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8A50A" w14:textId="77777777" w:rsidR="004D2D16" w:rsidRDefault="004D2D16" w:rsidP="09FA6643">
      <w:pPr>
        <w:rPr>
          <w:rFonts w:asciiTheme="majorHAnsi" w:hAnsiTheme="majorHAnsi"/>
          <w:b/>
          <w:bCs/>
        </w:rPr>
      </w:pPr>
    </w:p>
    <w:p w14:paraId="5C9AA2DA" w14:textId="6B6E3914" w:rsidR="005F434C" w:rsidRDefault="00CB4A8E" w:rsidP="09FA6643">
      <w:pPr>
        <w:rPr>
          <w:rFonts w:asciiTheme="majorHAnsi" w:hAnsiTheme="majorHAnsi"/>
          <w:b/>
          <w:bCs/>
        </w:rPr>
      </w:pPr>
      <w:r>
        <w:rPr>
          <w:rFonts w:asciiTheme="majorHAnsi" w:hAnsiTheme="majorHAnsi"/>
          <w:b/>
          <w:bCs/>
        </w:rPr>
        <w:t>2</w:t>
      </w:r>
      <w:r w:rsidR="002975B7">
        <w:rPr>
          <w:rFonts w:asciiTheme="majorHAnsi" w:hAnsiTheme="majorHAnsi"/>
          <w:b/>
          <w:bCs/>
        </w:rPr>
        <w:t>6</w:t>
      </w:r>
      <w:r w:rsidR="008C0937">
        <w:rPr>
          <w:rFonts w:asciiTheme="majorHAnsi" w:hAnsiTheme="majorHAnsi"/>
          <w:b/>
          <w:bCs/>
        </w:rPr>
        <w:t xml:space="preserve"> October</w:t>
      </w:r>
      <w:r w:rsidR="005F434C">
        <w:rPr>
          <w:rFonts w:asciiTheme="majorHAnsi" w:hAnsiTheme="majorHAnsi"/>
          <w:b/>
          <w:bCs/>
        </w:rPr>
        <w:t xml:space="preserve"> 2022</w:t>
      </w:r>
    </w:p>
    <w:p w14:paraId="3EBDE05B" w14:textId="77777777" w:rsidR="004D2D16" w:rsidRDefault="004D2D16" w:rsidP="09FA6643">
      <w:pPr>
        <w:rPr>
          <w:rFonts w:asciiTheme="majorHAnsi" w:hAnsiTheme="majorHAnsi"/>
          <w:b/>
          <w:bCs/>
        </w:rPr>
      </w:pPr>
    </w:p>
    <w:p w14:paraId="71B70BBA" w14:textId="77777777" w:rsidR="004D2D16" w:rsidRDefault="004D2D16" w:rsidP="09FA6643">
      <w:pPr>
        <w:rPr>
          <w:rFonts w:asciiTheme="majorHAnsi" w:hAnsiTheme="majorHAnsi"/>
          <w:b/>
          <w:bCs/>
        </w:rPr>
      </w:pPr>
    </w:p>
    <w:p w14:paraId="291CB8E3" w14:textId="01A1F0FA" w:rsidR="004D2D16" w:rsidRDefault="004D2D16" w:rsidP="09FA6643">
      <w:pPr>
        <w:rPr>
          <w:rFonts w:asciiTheme="majorHAnsi" w:hAnsiTheme="majorHAnsi"/>
          <w:b/>
          <w:bCs/>
        </w:rPr>
      </w:pPr>
    </w:p>
    <w:p w14:paraId="323E4E1B" w14:textId="77777777" w:rsidR="004D2D16" w:rsidRDefault="004D2D16" w:rsidP="09FA6643">
      <w:pPr>
        <w:rPr>
          <w:rFonts w:asciiTheme="majorHAnsi" w:hAnsiTheme="majorHAnsi"/>
          <w:b/>
          <w:bCs/>
        </w:rPr>
      </w:pPr>
    </w:p>
    <w:p w14:paraId="150A9506" w14:textId="77777777" w:rsidR="004D2D16" w:rsidRDefault="004D2D16" w:rsidP="09FA6643">
      <w:pPr>
        <w:rPr>
          <w:rFonts w:asciiTheme="majorHAnsi" w:hAnsiTheme="majorHAnsi"/>
          <w:b/>
          <w:bCs/>
        </w:rPr>
      </w:pPr>
    </w:p>
    <w:p w14:paraId="77C88669" w14:textId="6019E7AF" w:rsidR="004D2D16" w:rsidRDefault="002975B7" w:rsidP="002975B7">
      <w:pPr>
        <w:rPr>
          <w:rFonts w:asciiTheme="majorHAnsi" w:hAnsiTheme="majorHAnsi"/>
          <w:b/>
          <w:bCs/>
        </w:rPr>
      </w:pPr>
      <w:r>
        <w:rPr>
          <w:rFonts w:asciiTheme="majorHAnsi" w:hAnsiTheme="majorHAnsi"/>
          <w:b/>
          <w:bCs/>
        </w:rPr>
        <w:tab/>
      </w:r>
    </w:p>
    <w:p w14:paraId="7A2DE4A1" w14:textId="5674DB36" w:rsidR="009A0260" w:rsidRPr="00CD5D5A" w:rsidRDefault="00F944DF" w:rsidP="09FA6643">
      <w:pPr>
        <w:rPr>
          <w:rFonts w:eastAsia="Calibri"/>
          <w:b/>
          <w:bCs/>
        </w:rPr>
      </w:pPr>
      <w:r w:rsidRPr="00CD5D5A">
        <w:rPr>
          <w:rFonts w:asciiTheme="majorHAnsi" w:hAnsiTheme="majorHAnsi"/>
          <w:b/>
          <w:bCs/>
        </w:rPr>
        <w:t xml:space="preserve">National Horse Traceability </w:t>
      </w:r>
      <w:r w:rsidR="008243C2" w:rsidRPr="00CD5D5A">
        <w:rPr>
          <w:rFonts w:asciiTheme="majorHAnsi" w:hAnsiTheme="majorHAnsi"/>
          <w:b/>
          <w:bCs/>
        </w:rPr>
        <w:t>Working Group</w:t>
      </w:r>
      <w:r w:rsidR="00F05ACA" w:rsidRPr="00CD5D5A">
        <w:rPr>
          <w:rFonts w:asciiTheme="majorHAnsi" w:hAnsiTheme="majorHAnsi"/>
          <w:b/>
          <w:bCs/>
        </w:rPr>
        <w:t xml:space="preserve"> </w:t>
      </w:r>
      <w:r w:rsidRPr="00CD5D5A">
        <w:rPr>
          <w:rFonts w:asciiTheme="majorHAnsi" w:hAnsiTheme="majorHAnsi"/>
          <w:b/>
          <w:bCs/>
        </w:rPr>
        <w:t>Final R</w:t>
      </w:r>
      <w:r w:rsidR="00F05ACA" w:rsidRPr="00CD5D5A">
        <w:rPr>
          <w:rFonts w:asciiTheme="majorHAnsi" w:hAnsiTheme="majorHAnsi"/>
          <w:b/>
          <w:bCs/>
        </w:rPr>
        <w:t>eport</w:t>
      </w:r>
    </w:p>
    <w:p w14:paraId="7E7C42C3" w14:textId="24317121" w:rsidR="00764D6A" w:rsidRPr="0080375E" w:rsidRDefault="00764D6A" w:rsidP="000A5E71">
      <w:pPr>
        <w:pStyle w:val="Picture"/>
        <w:rPr>
          <w:rFonts w:asciiTheme="majorHAnsi" w:hAnsiTheme="majorHAnsi"/>
        </w:rPr>
      </w:pPr>
    </w:p>
    <w:p w14:paraId="62D9B2FB" w14:textId="271F05B9" w:rsidR="00764D6A" w:rsidRPr="0080375E" w:rsidRDefault="00764D6A" w:rsidP="0026580D">
      <w:pPr>
        <w:pStyle w:val="Normalsmall"/>
        <w:rPr>
          <w:rFonts w:asciiTheme="majorHAnsi" w:hAnsiTheme="majorHAnsi"/>
        </w:rPr>
      </w:pPr>
    </w:p>
    <w:p w14:paraId="53E3B8CC" w14:textId="77777777" w:rsidR="00764D6A" w:rsidRPr="0080375E" w:rsidRDefault="00E91D72">
      <w:pPr>
        <w:spacing w:after="0" w:line="240" w:lineRule="auto"/>
        <w:rPr>
          <w:rFonts w:asciiTheme="majorHAnsi" w:hAnsiTheme="majorHAnsi"/>
        </w:rPr>
      </w:pPr>
      <w:r w:rsidRPr="0080375E">
        <w:rPr>
          <w:rFonts w:asciiTheme="majorHAnsi" w:hAnsiTheme="majorHAnsi"/>
        </w:rPr>
        <w:br w:type="page"/>
      </w:r>
    </w:p>
    <w:sdt>
      <w:sdtPr>
        <w:rPr>
          <w:rFonts w:asciiTheme="majorHAnsi" w:eastAsiaTheme="minorHAnsi" w:hAnsiTheme="majorHAnsi"/>
          <w:b/>
          <w:bCs w:val="0"/>
          <w:noProof/>
          <w:color w:val="auto"/>
          <w:sz w:val="22"/>
          <w:szCs w:val="22"/>
          <w:lang w:eastAsia="en-US"/>
        </w:rPr>
        <w:id w:val="-760297017"/>
        <w:docPartObj>
          <w:docPartGallery w:val="Table of Contents"/>
          <w:docPartUnique/>
        </w:docPartObj>
      </w:sdtPr>
      <w:sdtEndPr/>
      <w:sdtContent>
        <w:p w14:paraId="62353DE1" w14:textId="3270BD51" w:rsidR="00764D6A" w:rsidRPr="0080375E" w:rsidRDefault="00E91D72">
          <w:pPr>
            <w:pStyle w:val="TOCHeading"/>
            <w:rPr>
              <w:rFonts w:asciiTheme="majorHAnsi" w:hAnsiTheme="majorHAnsi"/>
            </w:rPr>
          </w:pPr>
          <w:r w:rsidRPr="0080375E">
            <w:rPr>
              <w:rFonts w:asciiTheme="majorHAnsi" w:hAnsiTheme="majorHAnsi"/>
            </w:rPr>
            <w:t>Contents</w:t>
          </w:r>
          <w:r w:rsidR="004E1A71">
            <w:rPr>
              <w:rFonts w:asciiTheme="majorHAnsi" w:hAnsiTheme="majorHAnsi"/>
            </w:rPr>
            <w:t xml:space="preserve">  </w:t>
          </w:r>
        </w:p>
        <w:p w14:paraId="712F93FE" w14:textId="68D25A1B" w:rsidR="005B21F8" w:rsidRDefault="00E91D72">
          <w:pPr>
            <w:pStyle w:val="TOC1"/>
            <w:rPr>
              <w:rFonts w:asciiTheme="minorHAnsi" w:eastAsiaTheme="minorEastAsia" w:hAnsiTheme="minorHAnsi"/>
              <w:b w:val="0"/>
              <w:lang w:eastAsia="en-AU"/>
            </w:rPr>
          </w:pPr>
          <w:r w:rsidRPr="0080375E">
            <w:rPr>
              <w:rFonts w:asciiTheme="majorHAnsi" w:hAnsiTheme="majorHAnsi"/>
              <w:b w:val="0"/>
            </w:rPr>
            <w:fldChar w:fldCharType="begin"/>
          </w:r>
          <w:r w:rsidRPr="0080375E">
            <w:rPr>
              <w:rFonts w:asciiTheme="majorHAnsi" w:hAnsiTheme="majorHAnsi"/>
              <w:b w:val="0"/>
            </w:rPr>
            <w:instrText xml:space="preserve"> TOC \h \z \u \t "Heading 2,1,Heading 3,2,Style1,2,TOA Heading,1" </w:instrText>
          </w:r>
          <w:r w:rsidRPr="0080375E">
            <w:rPr>
              <w:rFonts w:asciiTheme="majorHAnsi" w:hAnsiTheme="majorHAnsi"/>
              <w:b w:val="0"/>
            </w:rPr>
            <w:fldChar w:fldCharType="separate"/>
          </w:r>
          <w:hyperlink w:anchor="_Toc121397546" w:history="1">
            <w:r w:rsidR="005B21F8" w:rsidRPr="00716657">
              <w:rPr>
                <w:rStyle w:val="Hyperlink"/>
                <w:rFonts w:asciiTheme="majorHAnsi" w:hAnsiTheme="majorHAnsi"/>
              </w:rPr>
              <w:t>Executive Summary</w:t>
            </w:r>
            <w:r w:rsidR="005B21F8">
              <w:rPr>
                <w:webHidden/>
              </w:rPr>
              <w:tab/>
            </w:r>
            <w:r w:rsidR="005B21F8">
              <w:rPr>
                <w:webHidden/>
              </w:rPr>
              <w:fldChar w:fldCharType="begin"/>
            </w:r>
            <w:r w:rsidR="005B21F8">
              <w:rPr>
                <w:webHidden/>
              </w:rPr>
              <w:instrText xml:space="preserve"> PAGEREF _Toc121397546 \h </w:instrText>
            </w:r>
            <w:r w:rsidR="005B21F8">
              <w:rPr>
                <w:webHidden/>
              </w:rPr>
            </w:r>
            <w:r w:rsidR="005B21F8">
              <w:rPr>
                <w:webHidden/>
              </w:rPr>
              <w:fldChar w:fldCharType="separate"/>
            </w:r>
            <w:r w:rsidR="005B21F8">
              <w:rPr>
                <w:webHidden/>
              </w:rPr>
              <w:t>4</w:t>
            </w:r>
            <w:r w:rsidR="005B21F8">
              <w:rPr>
                <w:webHidden/>
              </w:rPr>
              <w:fldChar w:fldCharType="end"/>
            </w:r>
          </w:hyperlink>
        </w:p>
        <w:p w14:paraId="494D5A7A" w14:textId="73124DA9" w:rsidR="005B21F8" w:rsidRDefault="00CF6E4C">
          <w:pPr>
            <w:pStyle w:val="TOC1"/>
            <w:rPr>
              <w:rFonts w:asciiTheme="minorHAnsi" w:eastAsiaTheme="minorEastAsia" w:hAnsiTheme="minorHAnsi"/>
              <w:b w:val="0"/>
              <w:lang w:eastAsia="en-AU"/>
            </w:rPr>
          </w:pPr>
          <w:hyperlink w:anchor="_Toc121397547" w:history="1">
            <w:r w:rsidR="005B21F8" w:rsidRPr="00716657">
              <w:rPr>
                <w:rStyle w:val="Hyperlink"/>
              </w:rPr>
              <w:t>1</w:t>
            </w:r>
            <w:r w:rsidR="005B21F8">
              <w:rPr>
                <w:rFonts w:asciiTheme="minorHAnsi" w:eastAsiaTheme="minorEastAsia" w:hAnsiTheme="minorHAnsi"/>
                <w:b w:val="0"/>
                <w:lang w:eastAsia="en-AU"/>
              </w:rPr>
              <w:tab/>
            </w:r>
            <w:r w:rsidR="005B21F8" w:rsidRPr="00716657">
              <w:rPr>
                <w:rStyle w:val="Hyperlink"/>
                <w:rFonts w:asciiTheme="majorHAnsi" w:hAnsiTheme="majorHAnsi"/>
              </w:rPr>
              <w:t>Background</w:t>
            </w:r>
            <w:r w:rsidR="005B21F8">
              <w:rPr>
                <w:webHidden/>
              </w:rPr>
              <w:tab/>
            </w:r>
            <w:r w:rsidR="005B21F8">
              <w:rPr>
                <w:webHidden/>
              </w:rPr>
              <w:fldChar w:fldCharType="begin"/>
            </w:r>
            <w:r w:rsidR="005B21F8">
              <w:rPr>
                <w:webHidden/>
              </w:rPr>
              <w:instrText xml:space="preserve"> PAGEREF _Toc121397547 \h </w:instrText>
            </w:r>
            <w:r w:rsidR="005B21F8">
              <w:rPr>
                <w:webHidden/>
              </w:rPr>
            </w:r>
            <w:r w:rsidR="005B21F8">
              <w:rPr>
                <w:webHidden/>
              </w:rPr>
              <w:fldChar w:fldCharType="separate"/>
            </w:r>
            <w:r w:rsidR="005B21F8">
              <w:rPr>
                <w:webHidden/>
              </w:rPr>
              <w:t>8</w:t>
            </w:r>
            <w:r w:rsidR="005B21F8">
              <w:rPr>
                <w:webHidden/>
              </w:rPr>
              <w:fldChar w:fldCharType="end"/>
            </w:r>
          </w:hyperlink>
        </w:p>
        <w:p w14:paraId="3794E70B" w14:textId="2141D01D" w:rsidR="005B21F8" w:rsidRDefault="00CF6E4C">
          <w:pPr>
            <w:pStyle w:val="TOC2"/>
            <w:rPr>
              <w:rFonts w:asciiTheme="minorHAnsi" w:eastAsiaTheme="minorEastAsia" w:hAnsiTheme="minorHAnsi"/>
              <w:lang w:eastAsia="en-AU"/>
            </w:rPr>
          </w:pPr>
          <w:hyperlink w:anchor="_Toc121397548" w:history="1">
            <w:r w:rsidR="005B21F8" w:rsidRPr="00716657">
              <w:rPr>
                <w:rStyle w:val="Hyperlink"/>
                <w:rFonts w:asciiTheme="majorHAnsi" w:hAnsiTheme="majorHAnsi"/>
                <w:lang w:eastAsia="ja-JP"/>
              </w:rPr>
              <w:t>Senate inquiry</w:t>
            </w:r>
            <w:r w:rsidR="005B21F8">
              <w:rPr>
                <w:webHidden/>
              </w:rPr>
              <w:tab/>
            </w:r>
            <w:r w:rsidR="005B21F8">
              <w:rPr>
                <w:webHidden/>
              </w:rPr>
              <w:fldChar w:fldCharType="begin"/>
            </w:r>
            <w:r w:rsidR="005B21F8">
              <w:rPr>
                <w:webHidden/>
              </w:rPr>
              <w:instrText xml:space="preserve"> PAGEREF _Toc121397548 \h </w:instrText>
            </w:r>
            <w:r w:rsidR="005B21F8">
              <w:rPr>
                <w:webHidden/>
              </w:rPr>
            </w:r>
            <w:r w:rsidR="005B21F8">
              <w:rPr>
                <w:webHidden/>
              </w:rPr>
              <w:fldChar w:fldCharType="separate"/>
            </w:r>
            <w:r w:rsidR="005B21F8">
              <w:rPr>
                <w:webHidden/>
              </w:rPr>
              <w:t>8</w:t>
            </w:r>
            <w:r w:rsidR="005B21F8">
              <w:rPr>
                <w:webHidden/>
              </w:rPr>
              <w:fldChar w:fldCharType="end"/>
            </w:r>
          </w:hyperlink>
        </w:p>
        <w:p w14:paraId="667059F9" w14:textId="713791DF" w:rsidR="005B21F8" w:rsidRDefault="00CF6E4C">
          <w:pPr>
            <w:pStyle w:val="TOC2"/>
            <w:rPr>
              <w:rFonts w:asciiTheme="minorHAnsi" w:eastAsiaTheme="minorEastAsia" w:hAnsiTheme="minorHAnsi"/>
              <w:lang w:eastAsia="en-AU"/>
            </w:rPr>
          </w:pPr>
          <w:hyperlink w:anchor="_Toc121397549" w:history="1">
            <w:r w:rsidR="005B21F8" w:rsidRPr="00716657">
              <w:rPr>
                <w:rStyle w:val="Hyperlink"/>
                <w:rFonts w:asciiTheme="majorHAnsi" w:hAnsiTheme="majorHAnsi"/>
                <w:lang w:eastAsia="ja-JP"/>
              </w:rPr>
              <w:t>Context for the convening of the NHTWG</w:t>
            </w:r>
            <w:r w:rsidR="005B21F8">
              <w:rPr>
                <w:webHidden/>
              </w:rPr>
              <w:tab/>
            </w:r>
            <w:r w:rsidR="005B21F8">
              <w:rPr>
                <w:webHidden/>
              </w:rPr>
              <w:fldChar w:fldCharType="begin"/>
            </w:r>
            <w:r w:rsidR="005B21F8">
              <w:rPr>
                <w:webHidden/>
              </w:rPr>
              <w:instrText xml:space="preserve"> PAGEREF _Toc121397549 \h </w:instrText>
            </w:r>
            <w:r w:rsidR="005B21F8">
              <w:rPr>
                <w:webHidden/>
              </w:rPr>
            </w:r>
            <w:r w:rsidR="005B21F8">
              <w:rPr>
                <w:webHidden/>
              </w:rPr>
              <w:fldChar w:fldCharType="separate"/>
            </w:r>
            <w:r w:rsidR="005B21F8">
              <w:rPr>
                <w:webHidden/>
              </w:rPr>
              <w:t>8</w:t>
            </w:r>
            <w:r w:rsidR="005B21F8">
              <w:rPr>
                <w:webHidden/>
              </w:rPr>
              <w:fldChar w:fldCharType="end"/>
            </w:r>
          </w:hyperlink>
        </w:p>
        <w:p w14:paraId="7F38A282" w14:textId="54C074A8" w:rsidR="005B21F8" w:rsidRDefault="00CF6E4C">
          <w:pPr>
            <w:pStyle w:val="TOC1"/>
            <w:rPr>
              <w:rFonts w:asciiTheme="minorHAnsi" w:eastAsiaTheme="minorEastAsia" w:hAnsiTheme="minorHAnsi"/>
              <w:b w:val="0"/>
              <w:lang w:eastAsia="en-AU"/>
            </w:rPr>
          </w:pPr>
          <w:hyperlink w:anchor="_Toc121397550" w:history="1">
            <w:r w:rsidR="005B21F8" w:rsidRPr="00716657">
              <w:rPr>
                <w:rStyle w:val="Hyperlink"/>
              </w:rPr>
              <w:t>2</w:t>
            </w:r>
            <w:r w:rsidR="005B21F8">
              <w:rPr>
                <w:rFonts w:asciiTheme="minorHAnsi" w:eastAsiaTheme="minorEastAsia" w:hAnsiTheme="minorHAnsi"/>
                <w:b w:val="0"/>
                <w:lang w:eastAsia="en-AU"/>
              </w:rPr>
              <w:tab/>
            </w:r>
            <w:r w:rsidR="005B21F8" w:rsidRPr="00716657">
              <w:rPr>
                <w:rStyle w:val="Hyperlink"/>
                <w:rFonts w:asciiTheme="majorHAnsi" w:hAnsiTheme="majorHAnsi"/>
              </w:rPr>
              <w:t>The National Horse Traceability Working Group</w:t>
            </w:r>
            <w:r w:rsidR="005B21F8">
              <w:rPr>
                <w:webHidden/>
              </w:rPr>
              <w:tab/>
            </w:r>
            <w:r w:rsidR="005B21F8">
              <w:rPr>
                <w:webHidden/>
              </w:rPr>
              <w:fldChar w:fldCharType="begin"/>
            </w:r>
            <w:r w:rsidR="005B21F8">
              <w:rPr>
                <w:webHidden/>
              </w:rPr>
              <w:instrText xml:space="preserve"> PAGEREF _Toc121397550 \h </w:instrText>
            </w:r>
            <w:r w:rsidR="005B21F8">
              <w:rPr>
                <w:webHidden/>
              </w:rPr>
            </w:r>
            <w:r w:rsidR="005B21F8">
              <w:rPr>
                <w:webHidden/>
              </w:rPr>
              <w:fldChar w:fldCharType="separate"/>
            </w:r>
            <w:r w:rsidR="005B21F8">
              <w:rPr>
                <w:webHidden/>
              </w:rPr>
              <w:t>9</w:t>
            </w:r>
            <w:r w:rsidR="005B21F8">
              <w:rPr>
                <w:webHidden/>
              </w:rPr>
              <w:fldChar w:fldCharType="end"/>
            </w:r>
          </w:hyperlink>
        </w:p>
        <w:p w14:paraId="3ABF5B80" w14:textId="609D592B" w:rsidR="005B21F8" w:rsidRDefault="00CF6E4C">
          <w:pPr>
            <w:pStyle w:val="TOC2"/>
            <w:rPr>
              <w:rFonts w:asciiTheme="minorHAnsi" w:eastAsiaTheme="minorEastAsia" w:hAnsiTheme="minorHAnsi"/>
              <w:lang w:eastAsia="en-AU"/>
            </w:rPr>
          </w:pPr>
          <w:hyperlink w:anchor="_Toc121397551" w:history="1">
            <w:r w:rsidR="005B21F8" w:rsidRPr="00716657">
              <w:rPr>
                <w:rStyle w:val="Hyperlink"/>
                <w:rFonts w:asciiTheme="majorHAnsi" w:hAnsiTheme="majorHAnsi"/>
                <w:lang w:eastAsia="ja-JP"/>
              </w:rPr>
              <w:t>Terms of Reference</w:t>
            </w:r>
            <w:r w:rsidR="005B21F8">
              <w:rPr>
                <w:webHidden/>
              </w:rPr>
              <w:tab/>
            </w:r>
            <w:r w:rsidR="005B21F8">
              <w:rPr>
                <w:webHidden/>
              </w:rPr>
              <w:fldChar w:fldCharType="begin"/>
            </w:r>
            <w:r w:rsidR="005B21F8">
              <w:rPr>
                <w:webHidden/>
              </w:rPr>
              <w:instrText xml:space="preserve"> PAGEREF _Toc121397551 \h </w:instrText>
            </w:r>
            <w:r w:rsidR="005B21F8">
              <w:rPr>
                <w:webHidden/>
              </w:rPr>
            </w:r>
            <w:r w:rsidR="005B21F8">
              <w:rPr>
                <w:webHidden/>
              </w:rPr>
              <w:fldChar w:fldCharType="separate"/>
            </w:r>
            <w:r w:rsidR="005B21F8">
              <w:rPr>
                <w:webHidden/>
              </w:rPr>
              <w:t>9</w:t>
            </w:r>
            <w:r w:rsidR="005B21F8">
              <w:rPr>
                <w:webHidden/>
              </w:rPr>
              <w:fldChar w:fldCharType="end"/>
            </w:r>
          </w:hyperlink>
        </w:p>
        <w:p w14:paraId="5A260428" w14:textId="37B9986D" w:rsidR="005B21F8" w:rsidRDefault="00CF6E4C">
          <w:pPr>
            <w:pStyle w:val="TOC2"/>
            <w:rPr>
              <w:rFonts w:asciiTheme="minorHAnsi" w:eastAsiaTheme="minorEastAsia" w:hAnsiTheme="minorHAnsi"/>
              <w:lang w:eastAsia="en-AU"/>
            </w:rPr>
          </w:pPr>
          <w:hyperlink w:anchor="_Toc121397552" w:history="1">
            <w:r w:rsidR="005B21F8" w:rsidRPr="00716657">
              <w:rPr>
                <w:rStyle w:val="Hyperlink"/>
                <w:rFonts w:asciiTheme="majorHAnsi" w:hAnsiTheme="majorHAnsi"/>
                <w:lang w:eastAsia="ja-JP"/>
              </w:rPr>
              <w:t>Represented organisations</w:t>
            </w:r>
            <w:r w:rsidR="005B21F8">
              <w:rPr>
                <w:webHidden/>
              </w:rPr>
              <w:tab/>
            </w:r>
            <w:r w:rsidR="005B21F8">
              <w:rPr>
                <w:webHidden/>
              </w:rPr>
              <w:fldChar w:fldCharType="begin"/>
            </w:r>
            <w:r w:rsidR="005B21F8">
              <w:rPr>
                <w:webHidden/>
              </w:rPr>
              <w:instrText xml:space="preserve"> PAGEREF _Toc121397552 \h </w:instrText>
            </w:r>
            <w:r w:rsidR="005B21F8">
              <w:rPr>
                <w:webHidden/>
              </w:rPr>
            </w:r>
            <w:r w:rsidR="005B21F8">
              <w:rPr>
                <w:webHidden/>
              </w:rPr>
              <w:fldChar w:fldCharType="separate"/>
            </w:r>
            <w:r w:rsidR="005B21F8">
              <w:rPr>
                <w:webHidden/>
              </w:rPr>
              <w:t>9</w:t>
            </w:r>
            <w:r w:rsidR="005B21F8">
              <w:rPr>
                <w:webHidden/>
              </w:rPr>
              <w:fldChar w:fldCharType="end"/>
            </w:r>
          </w:hyperlink>
        </w:p>
        <w:p w14:paraId="7F7A5762" w14:textId="4FAF7384" w:rsidR="005B21F8" w:rsidRDefault="00CF6E4C">
          <w:pPr>
            <w:pStyle w:val="TOC1"/>
            <w:rPr>
              <w:rFonts w:asciiTheme="minorHAnsi" w:eastAsiaTheme="minorEastAsia" w:hAnsiTheme="minorHAnsi"/>
              <w:b w:val="0"/>
              <w:lang w:eastAsia="en-AU"/>
            </w:rPr>
          </w:pPr>
          <w:hyperlink w:anchor="_Toc121397553" w:history="1">
            <w:r w:rsidR="005B21F8" w:rsidRPr="00716657">
              <w:rPr>
                <w:rStyle w:val="Hyperlink"/>
              </w:rPr>
              <w:t>3</w:t>
            </w:r>
            <w:r w:rsidR="005B21F8">
              <w:rPr>
                <w:rFonts w:asciiTheme="minorHAnsi" w:eastAsiaTheme="minorEastAsia" w:hAnsiTheme="minorHAnsi"/>
                <w:b w:val="0"/>
                <w:lang w:eastAsia="en-AU"/>
              </w:rPr>
              <w:tab/>
            </w:r>
            <w:r w:rsidR="005B21F8" w:rsidRPr="00716657">
              <w:rPr>
                <w:rStyle w:val="Hyperlink"/>
                <w:rFonts w:asciiTheme="majorHAnsi" w:hAnsiTheme="majorHAnsi"/>
              </w:rPr>
              <w:t>Considerations</w:t>
            </w:r>
            <w:r w:rsidR="005B21F8">
              <w:rPr>
                <w:webHidden/>
              </w:rPr>
              <w:tab/>
            </w:r>
            <w:r w:rsidR="005B21F8">
              <w:rPr>
                <w:webHidden/>
              </w:rPr>
              <w:fldChar w:fldCharType="begin"/>
            </w:r>
            <w:r w:rsidR="005B21F8">
              <w:rPr>
                <w:webHidden/>
              </w:rPr>
              <w:instrText xml:space="preserve"> PAGEREF _Toc121397553 \h </w:instrText>
            </w:r>
            <w:r w:rsidR="005B21F8">
              <w:rPr>
                <w:webHidden/>
              </w:rPr>
            </w:r>
            <w:r w:rsidR="005B21F8">
              <w:rPr>
                <w:webHidden/>
              </w:rPr>
              <w:fldChar w:fldCharType="separate"/>
            </w:r>
            <w:r w:rsidR="005B21F8">
              <w:rPr>
                <w:webHidden/>
              </w:rPr>
              <w:t>11</w:t>
            </w:r>
            <w:r w:rsidR="005B21F8">
              <w:rPr>
                <w:webHidden/>
              </w:rPr>
              <w:fldChar w:fldCharType="end"/>
            </w:r>
          </w:hyperlink>
        </w:p>
        <w:p w14:paraId="1377372D" w14:textId="7D4ABF42" w:rsidR="005B21F8" w:rsidRDefault="00CF6E4C">
          <w:pPr>
            <w:pStyle w:val="TOC2"/>
            <w:rPr>
              <w:rFonts w:asciiTheme="minorHAnsi" w:eastAsiaTheme="minorEastAsia" w:hAnsiTheme="minorHAnsi"/>
              <w:lang w:eastAsia="en-AU"/>
            </w:rPr>
          </w:pPr>
          <w:hyperlink w:anchor="_Toc121397554" w:history="1">
            <w:r w:rsidR="005B21F8" w:rsidRPr="00716657">
              <w:rPr>
                <w:rStyle w:val="Hyperlink"/>
                <w:rFonts w:asciiTheme="majorHAnsi" w:hAnsiTheme="majorHAnsi"/>
                <w:lang w:eastAsia="ja-JP"/>
              </w:rPr>
              <w:t>Australia’s horse population and economic importance</w:t>
            </w:r>
            <w:r w:rsidR="005B21F8">
              <w:rPr>
                <w:webHidden/>
              </w:rPr>
              <w:tab/>
            </w:r>
            <w:r w:rsidR="005B21F8">
              <w:rPr>
                <w:webHidden/>
              </w:rPr>
              <w:fldChar w:fldCharType="begin"/>
            </w:r>
            <w:r w:rsidR="005B21F8">
              <w:rPr>
                <w:webHidden/>
              </w:rPr>
              <w:instrText xml:space="preserve"> PAGEREF _Toc121397554 \h </w:instrText>
            </w:r>
            <w:r w:rsidR="005B21F8">
              <w:rPr>
                <w:webHidden/>
              </w:rPr>
            </w:r>
            <w:r w:rsidR="005B21F8">
              <w:rPr>
                <w:webHidden/>
              </w:rPr>
              <w:fldChar w:fldCharType="separate"/>
            </w:r>
            <w:r w:rsidR="005B21F8">
              <w:rPr>
                <w:webHidden/>
              </w:rPr>
              <w:t>11</w:t>
            </w:r>
            <w:r w:rsidR="005B21F8">
              <w:rPr>
                <w:webHidden/>
              </w:rPr>
              <w:fldChar w:fldCharType="end"/>
            </w:r>
          </w:hyperlink>
        </w:p>
        <w:p w14:paraId="5F8C7477" w14:textId="502A9E2E" w:rsidR="005B21F8" w:rsidRDefault="00CF6E4C">
          <w:pPr>
            <w:pStyle w:val="TOC2"/>
            <w:rPr>
              <w:rFonts w:asciiTheme="minorHAnsi" w:eastAsiaTheme="minorEastAsia" w:hAnsiTheme="minorHAnsi"/>
              <w:lang w:eastAsia="en-AU"/>
            </w:rPr>
          </w:pPr>
          <w:hyperlink w:anchor="_Toc121397555" w:history="1">
            <w:r w:rsidR="005B21F8" w:rsidRPr="00716657">
              <w:rPr>
                <w:rStyle w:val="Hyperlink"/>
                <w:rFonts w:eastAsia="Calibri"/>
              </w:rPr>
              <w:t>Traceability during disease incursions</w:t>
            </w:r>
            <w:r w:rsidR="005B21F8">
              <w:rPr>
                <w:webHidden/>
              </w:rPr>
              <w:tab/>
            </w:r>
            <w:r w:rsidR="005B21F8">
              <w:rPr>
                <w:webHidden/>
              </w:rPr>
              <w:fldChar w:fldCharType="begin"/>
            </w:r>
            <w:r w:rsidR="005B21F8">
              <w:rPr>
                <w:webHidden/>
              </w:rPr>
              <w:instrText xml:space="preserve"> PAGEREF _Toc121397555 \h </w:instrText>
            </w:r>
            <w:r w:rsidR="005B21F8">
              <w:rPr>
                <w:webHidden/>
              </w:rPr>
            </w:r>
            <w:r w:rsidR="005B21F8">
              <w:rPr>
                <w:webHidden/>
              </w:rPr>
              <w:fldChar w:fldCharType="separate"/>
            </w:r>
            <w:r w:rsidR="005B21F8">
              <w:rPr>
                <w:webHidden/>
              </w:rPr>
              <w:t>11</w:t>
            </w:r>
            <w:r w:rsidR="005B21F8">
              <w:rPr>
                <w:webHidden/>
              </w:rPr>
              <w:fldChar w:fldCharType="end"/>
            </w:r>
          </w:hyperlink>
        </w:p>
        <w:p w14:paraId="2A5CDF22" w14:textId="726C5AF3" w:rsidR="005B21F8" w:rsidRDefault="00CF6E4C">
          <w:pPr>
            <w:pStyle w:val="TOC2"/>
            <w:rPr>
              <w:rFonts w:asciiTheme="minorHAnsi" w:eastAsiaTheme="minorEastAsia" w:hAnsiTheme="minorHAnsi"/>
              <w:lang w:eastAsia="en-AU"/>
            </w:rPr>
          </w:pPr>
          <w:hyperlink w:anchor="_Toc121397556" w:history="1">
            <w:r w:rsidR="005B21F8" w:rsidRPr="00716657">
              <w:rPr>
                <w:rStyle w:val="Hyperlink"/>
                <w:rFonts w:asciiTheme="majorHAnsi" w:hAnsiTheme="majorHAnsi"/>
                <w:lang w:eastAsia="ja-JP"/>
              </w:rPr>
              <w:t>Disease threats and incursion costs</w:t>
            </w:r>
            <w:r w:rsidR="005B21F8">
              <w:rPr>
                <w:webHidden/>
              </w:rPr>
              <w:tab/>
            </w:r>
            <w:r w:rsidR="005B21F8">
              <w:rPr>
                <w:webHidden/>
              </w:rPr>
              <w:fldChar w:fldCharType="begin"/>
            </w:r>
            <w:r w:rsidR="005B21F8">
              <w:rPr>
                <w:webHidden/>
              </w:rPr>
              <w:instrText xml:space="preserve"> PAGEREF _Toc121397556 \h </w:instrText>
            </w:r>
            <w:r w:rsidR="005B21F8">
              <w:rPr>
                <w:webHidden/>
              </w:rPr>
            </w:r>
            <w:r w:rsidR="005B21F8">
              <w:rPr>
                <w:webHidden/>
              </w:rPr>
              <w:fldChar w:fldCharType="separate"/>
            </w:r>
            <w:r w:rsidR="005B21F8">
              <w:rPr>
                <w:webHidden/>
              </w:rPr>
              <w:t>12</w:t>
            </w:r>
            <w:r w:rsidR="005B21F8">
              <w:rPr>
                <w:webHidden/>
              </w:rPr>
              <w:fldChar w:fldCharType="end"/>
            </w:r>
          </w:hyperlink>
        </w:p>
        <w:p w14:paraId="47E8F664" w14:textId="32467288" w:rsidR="005B21F8" w:rsidRDefault="00CF6E4C">
          <w:pPr>
            <w:pStyle w:val="TOC2"/>
            <w:rPr>
              <w:rFonts w:asciiTheme="minorHAnsi" w:eastAsiaTheme="minorEastAsia" w:hAnsiTheme="minorHAnsi"/>
              <w:lang w:eastAsia="en-AU"/>
            </w:rPr>
          </w:pPr>
          <w:hyperlink w:anchor="_Toc121397557" w:history="1">
            <w:r w:rsidR="005B21F8" w:rsidRPr="00716657">
              <w:rPr>
                <w:rStyle w:val="Hyperlink"/>
                <w:rFonts w:asciiTheme="majorHAnsi" w:hAnsiTheme="majorHAnsi"/>
                <w:lang w:eastAsia="ja-JP"/>
              </w:rPr>
              <w:t>World Organisation for Animal Health</w:t>
            </w:r>
            <w:r w:rsidR="005B21F8">
              <w:rPr>
                <w:webHidden/>
              </w:rPr>
              <w:tab/>
            </w:r>
            <w:r w:rsidR="005B21F8">
              <w:rPr>
                <w:webHidden/>
              </w:rPr>
              <w:fldChar w:fldCharType="begin"/>
            </w:r>
            <w:r w:rsidR="005B21F8">
              <w:rPr>
                <w:webHidden/>
              </w:rPr>
              <w:instrText xml:space="preserve"> PAGEREF _Toc121397557 \h </w:instrText>
            </w:r>
            <w:r w:rsidR="005B21F8">
              <w:rPr>
                <w:webHidden/>
              </w:rPr>
            </w:r>
            <w:r w:rsidR="005B21F8">
              <w:rPr>
                <w:webHidden/>
              </w:rPr>
              <w:fldChar w:fldCharType="separate"/>
            </w:r>
            <w:r w:rsidR="005B21F8">
              <w:rPr>
                <w:webHidden/>
              </w:rPr>
              <w:t>13</w:t>
            </w:r>
            <w:r w:rsidR="005B21F8">
              <w:rPr>
                <w:webHidden/>
              </w:rPr>
              <w:fldChar w:fldCharType="end"/>
            </w:r>
          </w:hyperlink>
        </w:p>
        <w:p w14:paraId="4F412867" w14:textId="2690E824" w:rsidR="005B21F8" w:rsidRDefault="00CF6E4C">
          <w:pPr>
            <w:pStyle w:val="TOC2"/>
            <w:rPr>
              <w:rFonts w:asciiTheme="minorHAnsi" w:eastAsiaTheme="minorEastAsia" w:hAnsiTheme="minorHAnsi"/>
              <w:lang w:eastAsia="en-AU"/>
            </w:rPr>
          </w:pPr>
          <w:hyperlink w:anchor="_Toc121397558" w:history="1">
            <w:r w:rsidR="005B21F8" w:rsidRPr="00716657">
              <w:rPr>
                <w:rStyle w:val="Hyperlink"/>
                <w:rFonts w:asciiTheme="majorHAnsi" w:hAnsiTheme="majorHAnsi"/>
                <w:lang w:eastAsia="ja-JP"/>
              </w:rPr>
              <w:t>Consultation</w:t>
            </w:r>
            <w:r w:rsidR="005B21F8">
              <w:rPr>
                <w:webHidden/>
              </w:rPr>
              <w:tab/>
            </w:r>
            <w:r w:rsidR="005B21F8">
              <w:rPr>
                <w:webHidden/>
              </w:rPr>
              <w:fldChar w:fldCharType="begin"/>
            </w:r>
            <w:r w:rsidR="005B21F8">
              <w:rPr>
                <w:webHidden/>
              </w:rPr>
              <w:instrText xml:space="preserve"> PAGEREF _Toc121397558 \h </w:instrText>
            </w:r>
            <w:r w:rsidR="005B21F8">
              <w:rPr>
                <w:webHidden/>
              </w:rPr>
            </w:r>
            <w:r w:rsidR="005B21F8">
              <w:rPr>
                <w:webHidden/>
              </w:rPr>
              <w:fldChar w:fldCharType="separate"/>
            </w:r>
            <w:r w:rsidR="005B21F8">
              <w:rPr>
                <w:webHidden/>
              </w:rPr>
              <w:t>14</w:t>
            </w:r>
            <w:r w:rsidR="005B21F8">
              <w:rPr>
                <w:webHidden/>
              </w:rPr>
              <w:fldChar w:fldCharType="end"/>
            </w:r>
          </w:hyperlink>
        </w:p>
        <w:p w14:paraId="11B7DB9A" w14:textId="1DCBBF8A" w:rsidR="005B21F8" w:rsidRDefault="00CF6E4C">
          <w:pPr>
            <w:pStyle w:val="TOC2"/>
            <w:rPr>
              <w:rFonts w:asciiTheme="minorHAnsi" w:eastAsiaTheme="minorEastAsia" w:hAnsiTheme="minorHAnsi"/>
              <w:lang w:eastAsia="en-AU"/>
            </w:rPr>
          </w:pPr>
          <w:hyperlink w:anchor="_Toc121397559" w:history="1">
            <w:r w:rsidR="005B21F8" w:rsidRPr="00716657">
              <w:rPr>
                <w:rStyle w:val="Hyperlink"/>
                <w:rFonts w:asciiTheme="majorHAnsi" w:hAnsiTheme="majorHAnsi"/>
                <w:lang w:eastAsia="ja-JP"/>
              </w:rPr>
              <w:t>Commercial registries</w:t>
            </w:r>
            <w:r w:rsidR="005B21F8">
              <w:rPr>
                <w:webHidden/>
              </w:rPr>
              <w:tab/>
            </w:r>
            <w:r w:rsidR="005B21F8">
              <w:rPr>
                <w:webHidden/>
              </w:rPr>
              <w:fldChar w:fldCharType="begin"/>
            </w:r>
            <w:r w:rsidR="005B21F8">
              <w:rPr>
                <w:webHidden/>
              </w:rPr>
              <w:instrText xml:space="preserve"> PAGEREF _Toc121397559 \h </w:instrText>
            </w:r>
            <w:r w:rsidR="005B21F8">
              <w:rPr>
                <w:webHidden/>
              </w:rPr>
            </w:r>
            <w:r w:rsidR="005B21F8">
              <w:rPr>
                <w:webHidden/>
              </w:rPr>
              <w:fldChar w:fldCharType="separate"/>
            </w:r>
            <w:r w:rsidR="005B21F8">
              <w:rPr>
                <w:webHidden/>
              </w:rPr>
              <w:t>16</w:t>
            </w:r>
            <w:r w:rsidR="005B21F8">
              <w:rPr>
                <w:webHidden/>
              </w:rPr>
              <w:fldChar w:fldCharType="end"/>
            </w:r>
          </w:hyperlink>
        </w:p>
        <w:p w14:paraId="557050CD" w14:textId="3D3E563B" w:rsidR="005B21F8" w:rsidRDefault="00CF6E4C">
          <w:pPr>
            <w:pStyle w:val="TOC2"/>
            <w:rPr>
              <w:rFonts w:asciiTheme="minorHAnsi" w:eastAsiaTheme="minorEastAsia" w:hAnsiTheme="minorHAnsi"/>
              <w:lang w:eastAsia="en-AU"/>
            </w:rPr>
          </w:pPr>
          <w:hyperlink w:anchor="_Toc121397560" w:history="1">
            <w:r w:rsidR="005B21F8" w:rsidRPr="00716657">
              <w:rPr>
                <w:rStyle w:val="Hyperlink"/>
                <w:rFonts w:asciiTheme="majorHAnsi" w:hAnsiTheme="majorHAnsi"/>
                <w:lang w:eastAsia="ja-JP"/>
              </w:rPr>
              <w:t>Thoroughbred industry registries</w:t>
            </w:r>
            <w:r w:rsidR="005B21F8">
              <w:rPr>
                <w:webHidden/>
              </w:rPr>
              <w:tab/>
            </w:r>
            <w:r w:rsidR="005B21F8">
              <w:rPr>
                <w:webHidden/>
              </w:rPr>
              <w:fldChar w:fldCharType="begin"/>
            </w:r>
            <w:r w:rsidR="005B21F8">
              <w:rPr>
                <w:webHidden/>
              </w:rPr>
              <w:instrText xml:space="preserve"> PAGEREF _Toc121397560 \h </w:instrText>
            </w:r>
            <w:r w:rsidR="005B21F8">
              <w:rPr>
                <w:webHidden/>
              </w:rPr>
            </w:r>
            <w:r w:rsidR="005B21F8">
              <w:rPr>
                <w:webHidden/>
              </w:rPr>
              <w:fldChar w:fldCharType="separate"/>
            </w:r>
            <w:r w:rsidR="005B21F8">
              <w:rPr>
                <w:webHidden/>
              </w:rPr>
              <w:t>17</w:t>
            </w:r>
            <w:r w:rsidR="005B21F8">
              <w:rPr>
                <w:webHidden/>
              </w:rPr>
              <w:fldChar w:fldCharType="end"/>
            </w:r>
          </w:hyperlink>
        </w:p>
        <w:p w14:paraId="50D8A89B" w14:textId="7DF4C55E" w:rsidR="005B21F8" w:rsidRDefault="00CF6E4C">
          <w:pPr>
            <w:pStyle w:val="TOC2"/>
            <w:rPr>
              <w:rFonts w:asciiTheme="minorHAnsi" w:eastAsiaTheme="minorEastAsia" w:hAnsiTheme="minorHAnsi"/>
              <w:lang w:eastAsia="en-AU"/>
            </w:rPr>
          </w:pPr>
          <w:hyperlink w:anchor="_Toc121397561" w:history="1">
            <w:r w:rsidR="005B21F8" w:rsidRPr="00716657">
              <w:rPr>
                <w:rStyle w:val="Hyperlink"/>
                <w:rFonts w:asciiTheme="majorHAnsi" w:hAnsiTheme="majorHAnsi"/>
                <w:lang w:eastAsia="ja-JP"/>
              </w:rPr>
              <w:t>Equestrian and breed associations</w:t>
            </w:r>
            <w:r w:rsidR="005B21F8">
              <w:rPr>
                <w:webHidden/>
              </w:rPr>
              <w:tab/>
            </w:r>
            <w:r w:rsidR="005B21F8">
              <w:rPr>
                <w:webHidden/>
              </w:rPr>
              <w:fldChar w:fldCharType="begin"/>
            </w:r>
            <w:r w:rsidR="005B21F8">
              <w:rPr>
                <w:webHidden/>
              </w:rPr>
              <w:instrText xml:space="preserve"> PAGEREF _Toc121397561 \h </w:instrText>
            </w:r>
            <w:r w:rsidR="005B21F8">
              <w:rPr>
                <w:webHidden/>
              </w:rPr>
            </w:r>
            <w:r w:rsidR="005B21F8">
              <w:rPr>
                <w:webHidden/>
              </w:rPr>
              <w:fldChar w:fldCharType="separate"/>
            </w:r>
            <w:r w:rsidR="005B21F8">
              <w:rPr>
                <w:webHidden/>
              </w:rPr>
              <w:t>17</w:t>
            </w:r>
            <w:r w:rsidR="005B21F8">
              <w:rPr>
                <w:webHidden/>
              </w:rPr>
              <w:fldChar w:fldCharType="end"/>
            </w:r>
          </w:hyperlink>
        </w:p>
        <w:p w14:paraId="22C91DE0" w14:textId="7118350E" w:rsidR="005B21F8" w:rsidRDefault="00CF6E4C">
          <w:pPr>
            <w:pStyle w:val="TOC1"/>
            <w:rPr>
              <w:rFonts w:asciiTheme="minorHAnsi" w:eastAsiaTheme="minorEastAsia" w:hAnsiTheme="minorHAnsi"/>
              <w:b w:val="0"/>
              <w:lang w:eastAsia="en-AU"/>
            </w:rPr>
          </w:pPr>
          <w:hyperlink w:anchor="_Toc121397562" w:history="1">
            <w:r w:rsidR="005B21F8" w:rsidRPr="00716657">
              <w:rPr>
                <w:rStyle w:val="Hyperlink"/>
              </w:rPr>
              <w:t>4</w:t>
            </w:r>
            <w:r w:rsidR="005B21F8">
              <w:rPr>
                <w:rFonts w:asciiTheme="minorHAnsi" w:eastAsiaTheme="minorEastAsia" w:hAnsiTheme="minorHAnsi"/>
                <w:b w:val="0"/>
                <w:lang w:eastAsia="en-AU"/>
              </w:rPr>
              <w:tab/>
            </w:r>
            <w:r w:rsidR="005B21F8" w:rsidRPr="00716657">
              <w:rPr>
                <w:rStyle w:val="Hyperlink"/>
                <w:rFonts w:asciiTheme="majorHAnsi" w:hAnsiTheme="majorHAnsi"/>
              </w:rPr>
              <w:t>Data collection and maintenance by organisations and businesses</w:t>
            </w:r>
            <w:r w:rsidR="005B21F8">
              <w:rPr>
                <w:webHidden/>
              </w:rPr>
              <w:tab/>
            </w:r>
            <w:r w:rsidR="005B21F8">
              <w:rPr>
                <w:webHidden/>
              </w:rPr>
              <w:fldChar w:fldCharType="begin"/>
            </w:r>
            <w:r w:rsidR="005B21F8">
              <w:rPr>
                <w:webHidden/>
              </w:rPr>
              <w:instrText xml:space="preserve"> PAGEREF _Toc121397562 \h </w:instrText>
            </w:r>
            <w:r w:rsidR="005B21F8">
              <w:rPr>
                <w:webHidden/>
              </w:rPr>
            </w:r>
            <w:r w:rsidR="005B21F8">
              <w:rPr>
                <w:webHidden/>
              </w:rPr>
              <w:fldChar w:fldCharType="separate"/>
            </w:r>
            <w:r w:rsidR="005B21F8">
              <w:rPr>
                <w:webHidden/>
              </w:rPr>
              <w:t>19</w:t>
            </w:r>
            <w:r w:rsidR="005B21F8">
              <w:rPr>
                <w:webHidden/>
              </w:rPr>
              <w:fldChar w:fldCharType="end"/>
            </w:r>
          </w:hyperlink>
        </w:p>
        <w:p w14:paraId="188BCC81" w14:textId="45DCDE52" w:rsidR="005B21F8" w:rsidRDefault="00CF6E4C">
          <w:pPr>
            <w:pStyle w:val="TOC2"/>
            <w:rPr>
              <w:rFonts w:asciiTheme="minorHAnsi" w:eastAsiaTheme="minorEastAsia" w:hAnsiTheme="minorHAnsi"/>
              <w:lang w:eastAsia="en-AU"/>
            </w:rPr>
          </w:pPr>
          <w:hyperlink w:anchor="_Toc121397563" w:history="1">
            <w:r w:rsidR="005B21F8" w:rsidRPr="00716657">
              <w:rPr>
                <w:rStyle w:val="Hyperlink"/>
              </w:rPr>
              <w:t>Survey of information collection practices</w:t>
            </w:r>
            <w:r w:rsidR="005B21F8">
              <w:rPr>
                <w:webHidden/>
              </w:rPr>
              <w:tab/>
            </w:r>
            <w:r w:rsidR="005B21F8">
              <w:rPr>
                <w:webHidden/>
              </w:rPr>
              <w:fldChar w:fldCharType="begin"/>
            </w:r>
            <w:r w:rsidR="005B21F8">
              <w:rPr>
                <w:webHidden/>
              </w:rPr>
              <w:instrText xml:space="preserve"> PAGEREF _Toc121397563 \h </w:instrText>
            </w:r>
            <w:r w:rsidR="005B21F8">
              <w:rPr>
                <w:webHidden/>
              </w:rPr>
            </w:r>
            <w:r w:rsidR="005B21F8">
              <w:rPr>
                <w:webHidden/>
              </w:rPr>
              <w:fldChar w:fldCharType="separate"/>
            </w:r>
            <w:r w:rsidR="005B21F8">
              <w:rPr>
                <w:webHidden/>
              </w:rPr>
              <w:t>19</w:t>
            </w:r>
            <w:r w:rsidR="005B21F8">
              <w:rPr>
                <w:webHidden/>
              </w:rPr>
              <w:fldChar w:fldCharType="end"/>
            </w:r>
          </w:hyperlink>
        </w:p>
        <w:p w14:paraId="46313832" w14:textId="656D8D40" w:rsidR="005B21F8" w:rsidRDefault="00CF6E4C">
          <w:pPr>
            <w:pStyle w:val="TOC2"/>
            <w:rPr>
              <w:rFonts w:asciiTheme="minorHAnsi" w:eastAsiaTheme="minorEastAsia" w:hAnsiTheme="minorHAnsi"/>
              <w:lang w:eastAsia="en-AU"/>
            </w:rPr>
          </w:pPr>
          <w:hyperlink w:anchor="_Toc121397564" w:history="1">
            <w:r w:rsidR="005B21F8" w:rsidRPr="00716657">
              <w:rPr>
                <w:rStyle w:val="Hyperlink"/>
                <w:rFonts w:asciiTheme="majorHAnsi" w:hAnsiTheme="majorHAnsi"/>
                <w:lang w:eastAsia="ja-JP"/>
              </w:rPr>
              <w:t>Summary of survey findings</w:t>
            </w:r>
            <w:r w:rsidR="005B21F8">
              <w:rPr>
                <w:webHidden/>
              </w:rPr>
              <w:tab/>
            </w:r>
            <w:r w:rsidR="005B21F8">
              <w:rPr>
                <w:webHidden/>
              </w:rPr>
              <w:fldChar w:fldCharType="begin"/>
            </w:r>
            <w:r w:rsidR="005B21F8">
              <w:rPr>
                <w:webHidden/>
              </w:rPr>
              <w:instrText xml:space="preserve"> PAGEREF _Toc121397564 \h </w:instrText>
            </w:r>
            <w:r w:rsidR="005B21F8">
              <w:rPr>
                <w:webHidden/>
              </w:rPr>
            </w:r>
            <w:r w:rsidR="005B21F8">
              <w:rPr>
                <w:webHidden/>
              </w:rPr>
              <w:fldChar w:fldCharType="separate"/>
            </w:r>
            <w:r w:rsidR="005B21F8">
              <w:rPr>
                <w:webHidden/>
              </w:rPr>
              <w:t>19</w:t>
            </w:r>
            <w:r w:rsidR="005B21F8">
              <w:rPr>
                <w:webHidden/>
              </w:rPr>
              <w:fldChar w:fldCharType="end"/>
            </w:r>
          </w:hyperlink>
        </w:p>
        <w:p w14:paraId="6945AD01" w14:textId="35FF8DA7" w:rsidR="005B21F8" w:rsidRDefault="00CF6E4C">
          <w:pPr>
            <w:pStyle w:val="TOC2"/>
            <w:rPr>
              <w:rFonts w:asciiTheme="minorHAnsi" w:eastAsiaTheme="minorEastAsia" w:hAnsiTheme="minorHAnsi"/>
              <w:lang w:eastAsia="en-AU"/>
            </w:rPr>
          </w:pPr>
          <w:hyperlink w:anchor="_Toc121397565" w:history="1">
            <w:r w:rsidR="005B21F8" w:rsidRPr="00716657">
              <w:rPr>
                <w:rStyle w:val="Hyperlink"/>
                <w:rFonts w:asciiTheme="majorHAnsi" w:hAnsiTheme="majorHAnsi"/>
                <w:lang w:eastAsia="ja-JP"/>
              </w:rPr>
              <w:t>Possible future registry enhancements</w:t>
            </w:r>
            <w:r w:rsidR="005B21F8">
              <w:rPr>
                <w:webHidden/>
              </w:rPr>
              <w:tab/>
            </w:r>
            <w:r w:rsidR="005B21F8">
              <w:rPr>
                <w:webHidden/>
              </w:rPr>
              <w:fldChar w:fldCharType="begin"/>
            </w:r>
            <w:r w:rsidR="005B21F8">
              <w:rPr>
                <w:webHidden/>
              </w:rPr>
              <w:instrText xml:space="preserve"> PAGEREF _Toc121397565 \h </w:instrText>
            </w:r>
            <w:r w:rsidR="005B21F8">
              <w:rPr>
                <w:webHidden/>
              </w:rPr>
            </w:r>
            <w:r w:rsidR="005B21F8">
              <w:rPr>
                <w:webHidden/>
              </w:rPr>
              <w:fldChar w:fldCharType="separate"/>
            </w:r>
            <w:r w:rsidR="005B21F8">
              <w:rPr>
                <w:webHidden/>
              </w:rPr>
              <w:t>21</w:t>
            </w:r>
            <w:r w:rsidR="005B21F8">
              <w:rPr>
                <w:webHidden/>
              </w:rPr>
              <w:fldChar w:fldCharType="end"/>
            </w:r>
          </w:hyperlink>
        </w:p>
        <w:p w14:paraId="310AED36" w14:textId="2ED9E53E" w:rsidR="005B21F8" w:rsidRDefault="00CF6E4C">
          <w:pPr>
            <w:pStyle w:val="TOC1"/>
            <w:rPr>
              <w:rFonts w:asciiTheme="minorHAnsi" w:eastAsiaTheme="minorEastAsia" w:hAnsiTheme="minorHAnsi"/>
              <w:b w:val="0"/>
              <w:lang w:eastAsia="en-AU"/>
            </w:rPr>
          </w:pPr>
          <w:hyperlink w:anchor="_Toc121397566" w:history="1">
            <w:r w:rsidR="005B21F8" w:rsidRPr="00716657">
              <w:rPr>
                <w:rStyle w:val="Hyperlink"/>
              </w:rPr>
              <w:t>5</w:t>
            </w:r>
            <w:r w:rsidR="005B21F8">
              <w:rPr>
                <w:rFonts w:asciiTheme="minorHAnsi" w:eastAsiaTheme="minorEastAsia" w:hAnsiTheme="minorHAnsi"/>
                <w:b w:val="0"/>
                <w:lang w:eastAsia="en-AU"/>
              </w:rPr>
              <w:tab/>
            </w:r>
            <w:r w:rsidR="005B21F8" w:rsidRPr="00716657">
              <w:rPr>
                <w:rStyle w:val="Hyperlink"/>
                <w:rFonts w:asciiTheme="majorHAnsi" w:hAnsiTheme="majorHAnsi"/>
              </w:rPr>
              <w:t>Horse Traceability Options</w:t>
            </w:r>
            <w:r w:rsidR="005B21F8">
              <w:rPr>
                <w:webHidden/>
              </w:rPr>
              <w:tab/>
            </w:r>
            <w:r w:rsidR="005B21F8">
              <w:rPr>
                <w:webHidden/>
              </w:rPr>
              <w:fldChar w:fldCharType="begin"/>
            </w:r>
            <w:r w:rsidR="005B21F8">
              <w:rPr>
                <w:webHidden/>
              </w:rPr>
              <w:instrText xml:space="preserve"> PAGEREF _Toc121397566 \h </w:instrText>
            </w:r>
            <w:r w:rsidR="005B21F8">
              <w:rPr>
                <w:webHidden/>
              </w:rPr>
            </w:r>
            <w:r w:rsidR="005B21F8">
              <w:rPr>
                <w:webHidden/>
              </w:rPr>
              <w:fldChar w:fldCharType="separate"/>
            </w:r>
            <w:r w:rsidR="005B21F8">
              <w:rPr>
                <w:webHidden/>
              </w:rPr>
              <w:t>22</w:t>
            </w:r>
            <w:r w:rsidR="005B21F8">
              <w:rPr>
                <w:webHidden/>
              </w:rPr>
              <w:fldChar w:fldCharType="end"/>
            </w:r>
          </w:hyperlink>
        </w:p>
        <w:p w14:paraId="0B3AEF09" w14:textId="5C7C86BF" w:rsidR="005B21F8" w:rsidRDefault="00CF6E4C">
          <w:pPr>
            <w:pStyle w:val="TOC2"/>
            <w:rPr>
              <w:rFonts w:asciiTheme="minorHAnsi" w:eastAsiaTheme="minorEastAsia" w:hAnsiTheme="minorHAnsi"/>
              <w:lang w:eastAsia="en-AU"/>
            </w:rPr>
          </w:pPr>
          <w:hyperlink w:anchor="_Toc121397567" w:history="1">
            <w:r w:rsidR="005B21F8" w:rsidRPr="00716657">
              <w:rPr>
                <w:rStyle w:val="Hyperlink"/>
                <w:lang w:eastAsia="ja-JP"/>
              </w:rPr>
              <w:t>MJA National Horse Traceability Project report</w:t>
            </w:r>
            <w:r w:rsidR="005B21F8">
              <w:rPr>
                <w:webHidden/>
              </w:rPr>
              <w:tab/>
            </w:r>
            <w:r w:rsidR="005B21F8">
              <w:rPr>
                <w:webHidden/>
              </w:rPr>
              <w:fldChar w:fldCharType="begin"/>
            </w:r>
            <w:r w:rsidR="005B21F8">
              <w:rPr>
                <w:webHidden/>
              </w:rPr>
              <w:instrText xml:space="preserve"> PAGEREF _Toc121397567 \h </w:instrText>
            </w:r>
            <w:r w:rsidR="005B21F8">
              <w:rPr>
                <w:webHidden/>
              </w:rPr>
            </w:r>
            <w:r w:rsidR="005B21F8">
              <w:rPr>
                <w:webHidden/>
              </w:rPr>
              <w:fldChar w:fldCharType="separate"/>
            </w:r>
            <w:r w:rsidR="005B21F8">
              <w:rPr>
                <w:webHidden/>
              </w:rPr>
              <w:t>22</w:t>
            </w:r>
            <w:r w:rsidR="005B21F8">
              <w:rPr>
                <w:webHidden/>
              </w:rPr>
              <w:fldChar w:fldCharType="end"/>
            </w:r>
          </w:hyperlink>
        </w:p>
        <w:p w14:paraId="6EF0EB82" w14:textId="5F4AB006" w:rsidR="005B21F8" w:rsidRDefault="00CF6E4C">
          <w:pPr>
            <w:pStyle w:val="TOC2"/>
            <w:rPr>
              <w:rFonts w:asciiTheme="minorHAnsi" w:eastAsiaTheme="minorEastAsia" w:hAnsiTheme="minorHAnsi"/>
              <w:lang w:eastAsia="en-AU"/>
            </w:rPr>
          </w:pPr>
          <w:hyperlink w:anchor="_Toc121397568" w:history="1">
            <w:r w:rsidR="005B21F8" w:rsidRPr="00716657">
              <w:rPr>
                <w:rStyle w:val="Hyperlink"/>
                <w:rFonts w:asciiTheme="majorHAnsi" w:hAnsiTheme="majorHAnsi"/>
              </w:rPr>
              <w:t>NHTWG assessment of traceability options</w:t>
            </w:r>
            <w:r w:rsidR="005B21F8">
              <w:rPr>
                <w:webHidden/>
              </w:rPr>
              <w:tab/>
            </w:r>
            <w:r w:rsidR="005B21F8">
              <w:rPr>
                <w:webHidden/>
              </w:rPr>
              <w:fldChar w:fldCharType="begin"/>
            </w:r>
            <w:r w:rsidR="005B21F8">
              <w:rPr>
                <w:webHidden/>
              </w:rPr>
              <w:instrText xml:space="preserve"> PAGEREF _Toc121397568 \h </w:instrText>
            </w:r>
            <w:r w:rsidR="005B21F8">
              <w:rPr>
                <w:webHidden/>
              </w:rPr>
            </w:r>
            <w:r w:rsidR="005B21F8">
              <w:rPr>
                <w:webHidden/>
              </w:rPr>
              <w:fldChar w:fldCharType="separate"/>
            </w:r>
            <w:r w:rsidR="005B21F8">
              <w:rPr>
                <w:webHidden/>
              </w:rPr>
              <w:t>23</w:t>
            </w:r>
            <w:r w:rsidR="005B21F8">
              <w:rPr>
                <w:webHidden/>
              </w:rPr>
              <w:fldChar w:fldCharType="end"/>
            </w:r>
          </w:hyperlink>
        </w:p>
        <w:p w14:paraId="2B87BFC2" w14:textId="71A906C4" w:rsidR="005B21F8" w:rsidRDefault="00CF6E4C">
          <w:pPr>
            <w:pStyle w:val="TOC2"/>
            <w:rPr>
              <w:rFonts w:asciiTheme="minorHAnsi" w:eastAsiaTheme="minorEastAsia" w:hAnsiTheme="minorHAnsi"/>
              <w:lang w:eastAsia="en-AU"/>
            </w:rPr>
          </w:pPr>
          <w:hyperlink w:anchor="_Toc121397569" w:history="1">
            <w:r w:rsidR="005B21F8" w:rsidRPr="00716657">
              <w:rPr>
                <w:rStyle w:val="Hyperlink"/>
              </w:rPr>
              <w:t>KPMG report – Design, governance and funding of a NHTS</w:t>
            </w:r>
            <w:r w:rsidR="005B21F8">
              <w:rPr>
                <w:webHidden/>
              </w:rPr>
              <w:tab/>
            </w:r>
            <w:r w:rsidR="005B21F8">
              <w:rPr>
                <w:webHidden/>
              </w:rPr>
              <w:fldChar w:fldCharType="begin"/>
            </w:r>
            <w:r w:rsidR="005B21F8">
              <w:rPr>
                <w:webHidden/>
              </w:rPr>
              <w:instrText xml:space="preserve"> PAGEREF _Toc121397569 \h </w:instrText>
            </w:r>
            <w:r w:rsidR="005B21F8">
              <w:rPr>
                <w:webHidden/>
              </w:rPr>
            </w:r>
            <w:r w:rsidR="005B21F8">
              <w:rPr>
                <w:webHidden/>
              </w:rPr>
              <w:fldChar w:fldCharType="separate"/>
            </w:r>
            <w:r w:rsidR="005B21F8">
              <w:rPr>
                <w:webHidden/>
              </w:rPr>
              <w:t>23</w:t>
            </w:r>
            <w:r w:rsidR="005B21F8">
              <w:rPr>
                <w:webHidden/>
              </w:rPr>
              <w:fldChar w:fldCharType="end"/>
            </w:r>
          </w:hyperlink>
        </w:p>
        <w:p w14:paraId="11D42DC0" w14:textId="2ABD9138" w:rsidR="005B21F8" w:rsidRDefault="00CF6E4C">
          <w:pPr>
            <w:pStyle w:val="TOC1"/>
            <w:rPr>
              <w:rFonts w:asciiTheme="minorHAnsi" w:eastAsiaTheme="minorEastAsia" w:hAnsiTheme="minorHAnsi"/>
              <w:b w:val="0"/>
              <w:lang w:eastAsia="en-AU"/>
            </w:rPr>
          </w:pPr>
          <w:hyperlink w:anchor="_Toc121397570" w:history="1">
            <w:r w:rsidR="005B21F8" w:rsidRPr="00716657">
              <w:rPr>
                <w:rStyle w:val="Hyperlink"/>
              </w:rPr>
              <w:t>6</w:t>
            </w:r>
            <w:r w:rsidR="005B21F8">
              <w:rPr>
                <w:rFonts w:asciiTheme="minorHAnsi" w:eastAsiaTheme="minorEastAsia" w:hAnsiTheme="minorHAnsi"/>
                <w:b w:val="0"/>
                <w:lang w:eastAsia="en-AU"/>
              </w:rPr>
              <w:tab/>
            </w:r>
            <w:r w:rsidR="005B21F8" w:rsidRPr="00716657">
              <w:rPr>
                <w:rStyle w:val="Hyperlink"/>
              </w:rPr>
              <w:t>Preferred traceability option and recommendations</w:t>
            </w:r>
            <w:r w:rsidR="005B21F8">
              <w:rPr>
                <w:webHidden/>
              </w:rPr>
              <w:tab/>
            </w:r>
            <w:r w:rsidR="005B21F8">
              <w:rPr>
                <w:webHidden/>
              </w:rPr>
              <w:fldChar w:fldCharType="begin"/>
            </w:r>
            <w:r w:rsidR="005B21F8">
              <w:rPr>
                <w:webHidden/>
              </w:rPr>
              <w:instrText xml:space="preserve"> PAGEREF _Toc121397570 \h </w:instrText>
            </w:r>
            <w:r w:rsidR="005B21F8">
              <w:rPr>
                <w:webHidden/>
              </w:rPr>
            </w:r>
            <w:r w:rsidR="005B21F8">
              <w:rPr>
                <w:webHidden/>
              </w:rPr>
              <w:fldChar w:fldCharType="separate"/>
            </w:r>
            <w:r w:rsidR="005B21F8">
              <w:rPr>
                <w:webHidden/>
              </w:rPr>
              <w:t>24</w:t>
            </w:r>
            <w:r w:rsidR="005B21F8">
              <w:rPr>
                <w:webHidden/>
              </w:rPr>
              <w:fldChar w:fldCharType="end"/>
            </w:r>
          </w:hyperlink>
        </w:p>
        <w:p w14:paraId="13EBE20A" w14:textId="64590F86" w:rsidR="005B21F8" w:rsidRDefault="00CF6E4C">
          <w:pPr>
            <w:pStyle w:val="TOC2"/>
            <w:rPr>
              <w:rFonts w:asciiTheme="minorHAnsi" w:eastAsiaTheme="minorEastAsia" w:hAnsiTheme="minorHAnsi"/>
              <w:lang w:eastAsia="en-AU"/>
            </w:rPr>
          </w:pPr>
          <w:hyperlink w:anchor="_Toc121397571" w:history="1">
            <w:r w:rsidR="005B21F8" w:rsidRPr="00716657">
              <w:rPr>
                <w:rStyle w:val="Hyperlink"/>
                <w:rFonts w:asciiTheme="majorHAnsi" w:hAnsiTheme="majorHAnsi"/>
                <w:lang w:eastAsia="ja-JP"/>
              </w:rPr>
              <w:t>Preferred option</w:t>
            </w:r>
            <w:r w:rsidR="005B21F8">
              <w:rPr>
                <w:webHidden/>
              </w:rPr>
              <w:tab/>
            </w:r>
            <w:r w:rsidR="005B21F8">
              <w:rPr>
                <w:webHidden/>
              </w:rPr>
              <w:fldChar w:fldCharType="begin"/>
            </w:r>
            <w:r w:rsidR="005B21F8">
              <w:rPr>
                <w:webHidden/>
              </w:rPr>
              <w:instrText xml:space="preserve"> PAGEREF _Toc121397571 \h </w:instrText>
            </w:r>
            <w:r w:rsidR="005B21F8">
              <w:rPr>
                <w:webHidden/>
              </w:rPr>
            </w:r>
            <w:r w:rsidR="005B21F8">
              <w:rPr>
                <w:webHidden/>
              </w:rPr>
              <w:fldChar w:fldCharType="separate"/>
            </w:r>
            <w:r w:rsidR="005B21F8">
              <w:rPr>
                <w:webHidden/>
              </w:rPr>
              <w:t>24</w:t>
            </w:r>
            <w:r w:rsidR="005B21F8">
              <w:rPr>
                <w:webHidden/>
              </w:rPr>
              <w:fldChar w:fldCharType="end"/>
            </w:r>
          </w:hyperlink>
        </w:p>
        <w:p w14:paraId="5B4B5174" w14:textId="0197B194" w:rsidR="005B21F8" w:rsidRDefault="00CF6E4C">
          <w:pPr>
            <w:pStyle w:val="TOC2"/>
            <w:rPr>
              <w:rFonts w:asciiTheme="minorHAnsi" w:eastAsiaTheme="minorEastAsia" w:hAnsiTheme="minorHAnsi"/>
              <w:lang w:eastAsia="en-AU"/>
            </w:rPr>
          </w:pPr>
          <w:hyperlink w:anchor="_Toc121397572" w:history="1">
            <w:r w:rsidR="005B21F8" w:rsidRPr="00716657">
              <w:rPr>
                <w:rStyle w:val="Hyperlink"/>
              </w:rPr>
              <w:t>National Horse Traceability Implementation Taskforce</w:t>
            </w:r>
            <w:r w:rsidR="005B21F8">
              <w:rPr>
                <w:webHidden/>
              </w:rPr>
              <w:tab/>
            </w:r>
            <w:r w:rsidR="005B21F8">
              <w:rPr>
                <w:webHidden/>
              </w:rPr>
              <w:fldChar w:fldCharType="begin"/>
            </w:r>
            <w:r w:rsidR="005B21F8">
              <w:rPr>
                <w:webHidden/>
              </w:rPr>
              <w:instrText xml:space="preserve"> PAGEREF _Toc121397572 \h </w:instrText>
            </w:r>
            <w:r w:rsidR="005B21F8">
              <w:rPr>
                <w:webHidden/>
              </w:rPr>
            </w:r>
            <w:r w:rsidR="005B21F8">
              <w:rPr>
                <w:webHidden/>
              </w:rPr>
              <w:fldChar w:fldCharType="separate"/>
            </w:r>
            <w:r w:rsidR="005B21F8">
              <w:rPr>
                <w:webHidden/>
              </w:rPr>
              <w:t>25</w:t>
            </w:r>
            <w:r w:rsidR="005B21F8">
              <w:rPr>
                <w:webHidden/>
              </w:rPr>
              <w:fldChar w:fldCharType="end"/>
            </w:r>
          </w:hyperlink>
        </w:p>
        <w:p w14:paraId="7380B557" w14:textId="1E2D3BC1" w:rsidR="005B21F8" w:rsidRDefault="00CF6E4C">
          <w:pPr>
            <w:pStyle w:val="TOC2"/>
            <w:rPr>
              <w:rFonts w:asciiTheme="minorHAnsi" w:eastAsiaTheme="minorEastAsia" w:hAnsiTheme="minorHAnsi"/>
              <w:lang w:eastAsia="en-AU"/>
            </w:rPr>
          </w:pPr>
          <w:hyperlink w:anchor="_Toc121397573" w:history="1">
            <w:r w:rsidR="005B21F8" w:rsidRPr="00716657">
              <w:rPr>
                <w:rStyle w:val="Hyperlink"/>
                <w:rFonts w:asciiTheme="majorHAnsi" w:hAnsiTheme="majorHAnsi"/>
                <w:lang w:eastAsia="ja-JP"/>
              </w:rPr>
              <w:t>The recommendations of the NHTWG regarding establishment of a NHTS in Australia are listed below in full:</w:t>
            </w:r>
            <w:r w:rsidR="005B21F8">
              <w:rPr>
                <w:webHidden/>
              </w:rPr>
              <w:tab/>
            </w:r>
            <w:r w:rsidR="005B21F8">
              <w:rPr>
                <w:webHidden/>
              </w:rPr>
              <w:fldChar w:fldCharType="begin"/>
            </w:r>
            <w:r w:rsidR="005B21F8">
              <w:rPr>
                <w:webHidden/>
              </w:rPr>
              <w:instrText xml:space="preserve"> PAGEREF _Toc121397573 \h </w:instrText>
            </w:r>
            <w:r w:rsidR="005B21F8">
              <w:rPr>
                <w:webHidden/>
              </w:rPr>
            </w:r>
            <w:r w:rsidR="005B21F8">
              <w:rPr>
                <w:webHidden/>
              </w:rPr>
              <w:fldChar w:fldCharType="separate"/>
            </w:r>
            <w:r w:rsidR="005B21F8">
              <w:rPr>
                <w:webHidden/>
              </w:rPr>
              <w:t>26</w:t>
            </w:r>
            <w:r w:rsidR="005B21F8">
              <w:rPr>
                <w:webHidden/>
              </w:rPr>
              <w:fldChar w:fldCharType="end"/>
            </w:r>
          </w:hyperlink>
        </w:p>
        <w:p w14:paraId="2BB9C185" w14:textId="5EF39500" w:rsidR="005B21F8" w:rsidRDefault="00CF6E4C">
          <w:pPr>
            <w:pStyle w:val="TOC1"/>
            <w:rPr>
              <w:rFonts w:asciiTheme="minorHAnsi" w:eastAsiaTheme="minorEastAsia" w:hAnsiTheme="minorHAnsi"/>
              <w:b w:val="0"/>
              <w:lang w:eastAsia="en-AU"/>
            </w:rPr>
          </w:pPr>
          <w:hyperlink w:anchor="_Toc121397574" w:history="1">
            <w:r w:rsidR="005B21F8" w:rsidRPr="00716657">
              <w:rPr>
                <w:rStyle w:val="Hyperlink"/>
              </w:rPr>
              <w:t>7</w:t>
            </w:r>
            <w:r w:rsidR="005B21F8">
              <w:rPr>
                <w:rFonts w:asciiTheme="minorHAnsi" w:eastAsiaTheme="minorEastAsia" w:hAnsiTheme="minorHAnsi"/>
                <w:b w:val="0"/>
                <w:lang w:eastAsia="en-AU"/>
              </w:rPr>
              <w:tab/>
            </w:r>
            <w:r w:rsidR="005B21F8" w:rsidRPr="00716657">
              <w:rPr>
                <w:rStyle w:val="Hyperlink"/>
                <w:rFonts w:asciiTheme="majorHAnsi" w:hAnsiTheme="majorHAnsi"/>
              </w:rPr>
              <w:t>Indicative costs and benefits of Option 2 and Option 4</w:t>
            </w:r>
            <w:r w:rsidR="005B21F8">
              <w:rPr>
                <w:webHidden/>
              </w:rPr>
              <w:tab/>
            </w:r>
            <w:r w:rsidR="005B21F8">
              <w:rPr>
                <w:webHidden/>
              </w:rPr>
              <w:fldChar w:fldCharType="begin"/>
            </w:r>
            <w:r w:rsidR="005B21F8">
              <w:rPr>
                <w:webHidden/>
              </w:rPr>
              <w:instrText xml:space="preserve"> PAGEREF _Toc121397574 \h </w:instrText>
            </w:r>
            <w:r w:rsidR="005B21F8">
              <w:rPr>
                <w:webHidden/>
              </w:rPr>
            </w:r>
            <w:r w:rsidR="005B21F8">
              <w:rPr>
                <w:webHidden/>
              </w:rPr>
              <w:fldChar w:fldCharType="separate"/>
            </w:r>
            <w:r w:rsidR="005B21F8">
              <w:rPr>
                <w:webHidden/>
              </w:rPr>
              <w:t>28</w:t>
            </w:r>
            <w:r w:rsidR="005B21F8">
              <w:rPr>
                <w:webHidden/>
              </w:rPr>
              <w:fldChar w:fldCharType="end"/>
            </w:r>
          </w:hyperlink>
        </w:p>
        <w:p w14:paraId="1041C8FC" w14:textId="613B3046" w:rsidR="005B21F8" w:rsidRDefault="00CF6E4C">
          <w:pPr>
            <w:pStyle w:val="TOC1"/>
            <w:rPr>
              <w:rFonts w:asciiTheme="minorHAnsi" w:eastAsiaTheme="minorEastAsia" w:hAnsiTheme="minorHAnsi"/>
              <w:b w:val="0"/>
              <w:lang w:eastAsia="en-AU"/>
            </w:rPr>
          </w:pPr>
          <w:hyperlink w:anchor="_Toc121397575" w:history="1">
            <w:r w:rsidR="005B21F8" w:rsidRPr="00716657">
              <w:rPr>
                <w:rStyle w:val="Hyperlink"/>
              </w:rPr>
              <w:t>8</w:t>
            </w:r>
            <w:r w:rsidR="005B21F8">
              <w:rPr>
                <w:rFonts w:asciiTheme="minorHAnsi" w:eastAsiaTheme="minorEastAsia" w:hAnsiTheme="minorHAnsi"/>
                <w:b w:val="0"/>
                <w:lang w:eastAsia="en-AU"/>
              </w:rPr>
              <w:tab/>
            </w:r>
            <w:r w:rsidR="005B21F8" w:rsidRPr="00716657">
              <w:rPr>
                <w:rStyle w:val="Hyperlink"/>
                <w:rFonts w:asciiTheme="majorHAnsi" w:hAnsiTheme="majorHAnsi" w:cstheme="minorHAnsi"/>
                <w:shd w:val="clear" w:color="auto" w:fill="FFFFFF"/>
              </w:rPr>
              <w:t xml:space="preserve">Possible funding models </w:t>
            </w:r>
            <w:r w:rsidR="005B21F8" w:rsidRPr="00716657">
              <w:rPr>
                <w:rStyle w:val="Hyperlink"/>
                <w:rFonts w:asciiTheme="majorHAnsi" w:hAnsiTheme="majorHAnsi"/>
              </w:rPr>
              <w:t>to support implementation and ongoing maintenance of Options 2 and 4</w:t>
            </w:r>
            <w:r w:rsidR="005B21F8">
              <w:rPr>
                <w:webHidden/>
              </w:rPr>
              <w:tab/>
            </w:r>
            <w:r w:rsidR="005B21F8">
              <w:rPr>
                <w:webHidden/>
              </w:rPr>
              <w:fldChar w:fldCharType="begin"/>
            </w:r>
            <w:r w:rsidR="005B21F8">
              <w:rPr>
                <w:webHidden/>
              </w:rPr>
              <w:instrText xml:space="preserve"> PAGEREF _Toc121397575 \h </w:instrText>
            </w:r>
            <w:r w:rsidR="005B21F8">
              <w:rPr>
                <w:webHidden/>
              </w:rPr>
            </w:r>
            <w:r w:rsidR="005B21F8">
              <w:rPr>
                <w:webHidden/>
              </w:rPr>
              <w:fldChar w:fldCharType="separate"/>
            </w:r>
            <w:r w:rsidR="005B21F8">
              <w:rPr>
                <w:webHidden/>
              </w:rPr>
              <w:t>31</w:t>
            </w:r>
            <w:r w:rsidR="005B21F8">
              <w:rPr>
                <w:webHidden/>
              </w:rPr>
              <w:fldChar w:fldCharType="end"/>
            </w:r>
          </w:hyperlink>
        </w:p>
        <w:p w14:paraId="46C831D4" w14:textId="61821F7E" w:rsidR="005B21F8" w:rsidRDefault="00CF6E4C">
          <w:pPr>
            <w:pStyle w:val="TOC1"/>
            <w:rPr>
              <w:rFonts w:asciiTheme="minorHAnsi" w:eastAsiaTheme="minorEastAsia" w:hAnsiTheme="minorHAnsi"/>
              <w:b w:val="0"/>
              <w:lang w:eastAsia="en-AU"/>
            </w:rPr>
          </w:pPr>
          <w:hyperlink w:anchor="_Toc121397576" w:history="1">
            <w:r w:rsidR="005B21F8" w:rsidRPr="00716657">
              <w:rPr>
                <w:rStyle w:val="Hyperlink"/>
              </w:rPr>
              <w:t>9</w:t>
            </w:r>
            <w:r w:rsidR="005B21F8">
              <w:rPr>
                <w:rFonts w:asciiTheme="minorHAnsi" w:eastAsiaTheme="minorEastAsia" w:hAnsiTheme="minorHAnsi"/>
                <w:b w:val="0"/>
                <w:lang w:eastAsia="en-AU"/>
              </w:rPr>
              <w:tab/>
            </w:r>
            <w:r w:rsidR="005B21F8" w:rsidRPr="00716657">
              <w:rPr>
                <w:rStyle w:val="Hyperlink"/>
                <w:rFonts w:asciiTheme="majorHAnsi" w:hAnsiTheme="majorHAnsi"/>
              </w:rPr>
              <w:t>Business rules for a traceability system for horses in Australia</w:t>
            </w:r>
            <w:r w:rsidR="005B21F8">
              <w:rPr>
                <w:webHidden/>
              </w:rPr>
              <w:tab/>
            </w:r>
            <w:r w:rsidR="005B21F8">
              <w:rPr>
                <w:webHidden/>
              </w:rPr>
              <w:fldChar w:fldCharType="begin"/>
            </w:r>
            <w:r w:rsidR="005B21F8">
              <w:rPr>
                <w:webHidden/>
              </w:rPr>
              <w:instrText xml:space="preserve"> PAGEREF _Toc121397576 \h </w:instrText>
            </w:r>
            <w:r w:rsidR="005B21F8">
              <w:rPr>
                <w:webHidden/>
              </w:rPr>
            </w:r>
            <w:r w:rsidR="005B21F8">
              <w:rPr>
                <w:webHidden/>
              </w:rPr>
              <w:fldChar w:fldCharType="separate"/>
            </w:r>
            <w:r w:rsidR="005B21F8">
              <w:rPr>
                <w:webHidden/>
              </w:rPr>
              <w:t>33</w:t>
            </w:r>
            <w:r w:rsidR="005B21F8">
              <w:rPr>
                <w:webHidden/>
              </w:rPr>
              <w:fldChar w:fldCharType="end"/>
            </w:r>
          </w:hyperlink>
        </w:p>
        <w:p w14:paraId="092C7A65" w14:textId="40AF1313" w:rsidR="005B21F8" w:rsidRDefault="00CF6E4C">
          <w:pPr>
            <w:pStyle w:val="TOC2"/>
            <w:rPr>
              <w:rFonts w:asciiTheme="minorHAnsi" w:eastAsiaTheme="minorEastAsia" w:hAnsiTheme="minorHAnsi"/>
              <w:lang w:eastAsia="en-AU"/>
            </w:rPr>
          </w:pPr>
          <w:hyperlink w:anchor="_Toc121397577" w:history="1">
            <w:r w:rsidR="005B21F8" w:rsidRPr="00716657">
              <w:rPr>
                <w:rStyle w:val="Hyperlink"/>
              </w:rPr>
              <w:t>Drafting of business rules</w:t>
            </w:r>
            <w:r w:rsidR="005B21F8">
              <w:rPr>
                <w:webHidden/>
              </w:rPr>
              <w:tab/>
            </w:r>
            <w:r w:rsidR="005B21F8">
              <w:rPr>
                <w:webHidden/>
              </w:rPr>
              <w:fldChar w:fldCharType="begin"/>
            </w:r>
            <w:r w:rsidR="005B21F8">
              <w:rPr>
                <w:webHidden/>
              </w:rPr>
              <w:instrText xml:space="preserve"> PAGEREF _Toc121397577 \h </w:instrText>
            </w:r>
            <w:r w:rsidR="005B21F8">
              <w:rPr>
                <w:webHidden/>
              </w:rPr>
            </w:r>
            <w:r w:rsidR="005B21F8">
              <w:rPr>
                <w:webHidden/>
              </w:rPr>
              <w:fldChar w:fldCharType="separate"/>
            </w:r>
            <w:r w:rsidR="005B21F8">
              <w:rPr>
                <w:webHidden/>
              </w:rPr>
              <w:t>33</w:t>
            </w:r>
            <w:r w:rsidR="005B21F8">
              <w:rPr>
                <w:webHidden/>
              </w:rPr>
              <w:fldChar w:fldCharType="end"/>
            </w:r>
          </w:hyperlink>
        </w:p>
        <w:p w14:paraId="0A602925" w14:textId="5A4574F6" w:rsidR="005B21F8" w:rsidRDefault="00CF6E4C">
          <w:pPr>
            <w:pStyle w:val="TOC2"/>
            <w:rPr>
              <w:rFonts w:asciiTheme="minorHAnsi" w:eastAsiaTheme="minorEastAsia" w:hAnsiTheme="minorHAnsi"/>
              <w:lang w:eastAsia="en-AU"/>
            </w:rPr>
          </w:pPr>
          <w:hyperlink w:anchor="_Toc121397578" w:history="1">
            <w:r w:rsidR="005B21F8" w:rsidRPr="00716657">
              <w:rPr>
                <w:rStyle w:val="Hyperlink"/>
              </w:rPr>
              <w:t>Survey of stakeholder views</w:t>
            </w:r>
            <w:r w:rsidR="005B21F8">
              <w:rPr>
                <w:webHidden/>
              </w:rPr>
              <w:tab/>
            </w:r>
            <w:r w:rsidR="005B21F8">
              <w:rPr>
                <w:webHidden/>
              </w:rPr>
              <w:fldChar w:fldCharType="begin"/>
            </w:r>
            <w:r w:rsidR="005B21F8">
              <w:rPr>
                <w:webHidden/>
              </w:rPr>
              <w:instrText xml:space="preserve"> PAGEREF _Toc121397578 \h </w:instrText>
            </w:r>
            <w:r w:rsidR="005B21F8">
              <w:rPr>
                <w:webHidden/>
              </w:rPr>
            </w:r>
            <w:r w:rsidR="005B21F8">
              <w:rPr>
                <w:webHidden/>
              </w:rPr>
              <w:fldChar w:fldCharType="separate"/>
            </w:r>
            <w:r w:rsidR="005B21F8">
              <w:rPr>
                <w:webHidden/>
              </w:rPr>
              <w:t>33</w:t>
            </w:r>
            <w:r w:rsidR="005B21F8">
              <w:rPr>
                <w:webHidden/>
              </w:rPr>
              <w:fldChar w:fldCharType="end"/>
            </w:r>
          </w:hyperlink>
        </w:p>
        <w:p w14:paraId="2617299D" w14:textId="276B15DA" w:rsidR="005B21F8" w:rsidRDefault="00CF6E4C">
          <w:pPr>
            <w:pStyle w:val="TOC2"/>
            <w:rPr>
              <w:rFonts w:asciiTheme="minorHAnsi" w:eastAsiaTheme="minorEastAsia" w:hAnsiTheme="minorHAnsi"/>
              <w:lang w:eastAsia="en-AU"/>
            </w:rPr>
          </w:pPr>
          <w:hyperlink w:anchor="_Toc121397579" w:history="1">
            <w:r w:rsidR="005B21F8" w:rsidRPr="00716657">
              <w:rPr>
                <w:rStyle w:val="Hyperlink"/>
                <w:lang w:eastAsia="ja-JP"/>
              </w:rPr>
              <w:t>Summary of findings</w:t>
            </w:r>
            <w:r w:rsidR="005B21F8">
              <w:rPr>
                <w:webHidden/>
              </w:rPr>
              <w:tab/>
            </w:r>
            <w:r w:rsidR="005B21F8">
              <w:rPr>
                <w:webHidden/>
              </w:rPr>
              <w:fldChar w:fldCharType="begin"/>
            </w:r>
            <w:r w:rsidR="005B21F8">
              <w:rPr>
                <w:webHidden/>
              </w:rPr>
              <w:instrText xml:space="preserve"> PAGEREF _Toc121397579 \h </w:instrText>
            </w:r>
            <w:r w:rsidR="005B21F8">
              <w:rPr>
                <w:webHidden/>
              </w:rPr>
            </w:r>
            <w:r w:rsidR="005B21F8">
              <w:rPr>
                <w:webHidden/>
              </w:rPr>
              <w:fldChar w:fldCharType="separate"/>
            </w:r>
            <w:r w:rsidR="005B21F8">
              <w:rPr>
                <w:webHidden/>
              </w:rPr>
              <w:t>34</w:t>
            </w:r>
            <w:r w:rsidR="005B21F8">
              <w:rPr>
                <w:webHidden/>
              </w:rPr>
              <w:fldChar w:fldCharType="end"/>
            </w:r>
          </w:hyperlink>
        </w:p>
        <w:p w14:paraId="61A43636" w14:textId="4CE84318" w:rsidR="005B21F8" w:rsidRDefault="00CF6E4C">
          <w:pPr>
            <w:pStyle w:val="TOC2"/>
            <w:rPr>
              <w:rFonts w:asciiTheme="minorHAnsi" w:eastAsiaTheme="minorEastAsia" w:hAnsiTheme="minorHAnsi"/>
              <w:lang w:eastAsia="en-AU"/>
            </w:rPr>
          </w:pPr>
          <w:hyperlink w:anchor="_Toc121397580" w:history="1">
            <w:r w:rsidR="005B21F8" w:rsidRPr="00716657">
              <w:rPr>
                <w:rStyle w:val="Hyperlink"/>
              </w:rPr>
              <w:t>Proposed business rules</w:t>
            </w:r>
            <w:r w:rsidR="005B21F8">
              <w:rPr>
                <w:webHidden/>
              </w:rPr>
              <w:tab/>
            </w:r>
            <w:r w:rsidR="005B21F8">
              <w:rPr>
                <w:webHidden/>
              </w:rPr>
              <w:fldChar w:fldCharType="begin"/>
            </w:r>
            <w:r w:rsidR="005B21F8">
              <w:rPr>
                <w:webHidden/>
              </w:rPr>
              <w:instrText xml:space="preserve"> PAGEREF _Toc121397580 \h </w:instrText>
            </w:r>
            <w:r w:rsidR="005B21F8">
              <w:rPr>
                <w:webHidden/>
              </w:rPr>
            </w:r>
            <w:r w:rsidR="005B21F8">
              <w:rPr>
                <w:webHidden/>
              </w:rPr>
              <w:fldChar w:fldCharType="separate"/>
            </w:r>
            <w:r w:rsidR="005B21F8">
              <w:rPr>
                <w:webHidden/>
              </w:rPr>
              <w:t>37</w:t>
            </w:r>
            <w:r w:rsidR="005B21F8">
              <w:rPr>
                <w:webHidden/>
              </w:rPr>
              <w:fldChar w:fldCharType="end"/>
            </w:r>
          </w:hyperlink>
        </w:p>
        <w:p w14:paraId="73C0AF13" w14:textId="2CC7666F" w:rsidR="005B21F8" w:rsidRDefault="00CF6E4C">
          <w:pPr>
            <w:pStyle w:val="TOC2"/>
            <w:rPr>
              <w:rFonts w:asciiTheme="minorHAnsi" w:eastAsiaTheme="minorEastAsia" w:hAnsiTheme="minorHAnsi"/>
              <w:lang w:eastAsia="en-AU"/>
            </w:rPr>
          </w:pPr>
          <w:hyperlink w:anchor="_Toc121397581" w:history="1">
            <w:r w:rsidR="005B21F8" w:rsidRPr="00716657">
              <w:rPr>
                <w:rStyle w:val="Hyperlink"/>
              </w:rPr>
              <w:t>Frequently Asked Questions</w:t>
            </w:r>
            <w:r w:rsidR="005B21F8">
              <w:rPr>
                <w:webHidden/>
              </w:rPr>
              <w:tab/>
            </w:r>
            <w:r w:rsidR="005B21F8">
              <w:rPr>
                <w:webHidden/>
              </w:rPr>
              <w:fldChar w:fldCharType="begin"/>
            </w:r>
            <w:r w:rsidR="005B21F8">
              <w:rPr>
                <w:webHidden/>
              </w:rPr>
              <w:instrText xml:space="preserve"> PAGEREF _Toc121397581 \h </w:instrText>
            </w:r>
            <w:r w:rsidR="005B21F8">
              <w:rPr>
                <w:webHidden/>
              </w:rPr>
            </w:r>
            <w:r w:rsidR="005B21F8">
              <w:rPr>
                <w:webHidden/>
              </w:rPr>
              <w:fldChar w:fldCharType="separate"/>
            </w:r>
            <w:r w:rsidR="005B21F8">
              <w:rPr>
                <w:webHidden/>
              </w:rPr>
              <w:t>37</w:t>
            </w:r>
            <w:r w:rsidR="005B21F8">
              <w:rPr>
                <w:webHidden/>
              </w:rPr>
              <w:fldChar w:fldCharType="end"/>
            </w:r>
          </w:hyperlink>
        </w:p>
        <w:p w14:paraId="4209569A" w14:textId="5D105931" w:rsidR="005B21F8" w:rsidRDefault="00CF6E4C">
          <w:pPr>
            <w:pStyle w:val="TOC2"/>
            <w:rPr>
              <w:rFonts w:asciiTheme="minorHAnsi" w:eastAsiaTheme="minorEastAsia" w:hAnsiTheme="minorHAnsi"/>
              <w:lang w:eastAsia="en-AU"/>
            </w:rPr>
          </w:pPr>
          <w:hyperlink w:anchor="_Toc121397582" w:history="1">
            <w:r w:rsidR="005B21F8" w:rsidRPr="00716657">
              <w:rPr>
                <w:rStyle w:val="Hyperlink"/>
              </w:rPr>
              <w:t>Complementary activities</w:t>
            </w:r>
            <w:r w:rsidR="005B21F8">
              <w:rPr>
                <w:webHidden/>
              </w:rPr>
              <w:tab/>
            </w:r>
            <w:r w:rsidR="005B21F8">
              <w:rPr>
                <w:webHidden/>
              </w:rPr>
              <w:fldChar w:fldCharType="begin"/>
            </w:r>
            <w:r w:rsidR="005B21F8">
              <w:rPr>
                <w:webHidden/>
              </w:rPr>
              <w:instrText xml:space="preserve"> PAGEREF _Toc121397582 \h </w:instrText>
            </w:r>
            <w:r w:rsidR="005B21F8">
              <w:rPr>
                <w:webHidden/>
              </w:rPr>
            </w:r>
            <w:r w:rsidR="005B21F8">
              <w:rPr>
                <w:webHidden/>
              </w:rPr>
              <w:fldChar w:fldCharType="separate"/>
            </w:r>
            <w:r w:rsidR="005B21F8">
              <w:rPr>
                <w:webHidden/>
              </w:rPr>
              <w:t>37</w:t>
            </w:r>
            <w:r w:rsidR="005B21F8">
              <w:rPr>
                <w:webHidden/>
              </w:rPr>
              <w:fldChar w:fldCharType="end"/>
            </w:r>
          </w:hyperlink>
        </w:p>
        <w:p w14:paraId="7B4C1E98" w14:textId="1AD2DE96" w:rsidR="005B21F8" w:rsidRDefault="00CF6E4C">
          <w:pPr>
            <w:pStyle w:val="TOC1"/>
            <w:rPr>
              <w:rFonts w:asciiTheme="minorHAnsi" w:eastAsiaTheme="minorEastAsia" w:hAnsiTheme="minorHAnsi"/>
              <w:b w:val="0"/>
              <w:lang w:eastAsia="en-AU"/>
            </w:rPr>
          </w:pPr>
          <w:hyperlink w:anchor="_Toc121397583" w:history="1">
            <w:r w:rsidR="005B21F8" w:rsidRPr="00716657">
              <w:rPr>
                <w:rStyle w:val="Hyperlink"/>
              </w:rPr>
              <w:t>10</w:t>
            </w:r>
            <w:r w:rsidR="005B21F8">
              <w:rPr>
                <w:rFonts w:asciiTheme="minorHAnsi" w:eastAsiaTheme="minorEastAsia" w:hAnsiTheme="minorHAnsi"/>
                <w:b w:val="0"/>
                <w:lang w:eastAsia="en-AU"/>
              </w:rPr>
              <w:tab/>
            </w:r>
            <w:r w:rsidR="005B21F8" w:rsidRPr="00716657">
              <w:rPr>
                <w:rStyle w:val="Hyperlink"/>
                <w:rFonts w:asciiTheme="majorHAnsi" w:hAnsiTheme="majorHAnsi"/>
              </w:rPr>
              <w:t>Responses to the NHTWG’s Terms of Reference</w:t>
            </w:r>
            <w:r w:rsidR="005B21F8">
              <w:rPr>
                <w:webHidden/>
              </w:rPr>
              <w:tab/>
            </w:r>
            <w:r w:rsidR="005B21F8">
              <w:rPr>
                <w:webHidden/>
              </w:rPr>
              <w:fldChar w:fldCharType="begin"/>
            </w:r>
            <w:r w:rsidR="005B21F8">
              <w:rPr>
                <w:webHidden/>
              </w:rPr>
              <w:instrText xml:space="preserve"> PAGEREF _Toc121397583 \h </w:instrText>
            </w:r>
            <w:r w:rsidR="005B21F8">
              <w:rPr>
                <w:webHidden/>
              </w:rPr>
            </w:r>
            <w:r w:rsidR="005B21F8">
              <w:rPr>
                <w:webHidden/>
              </w:rPr>
              <w:fldChar w:fldCharType="separate"/>
            </w:r>
            <w:r w:rsidR="005B21F8">
              <w:rPr>
                <w:webHidden/>
              </w:rPr>
              <w:t>38</w:t>
            </w:r>
            <w:r w:rsidR="005B21F8">
              <w:rPr>
                <w:webHidden/>
              </w:rPr>
              <w:fldChar w:fldCharType="end"/>
            </w:r>
          </w:hyperlink>
        </w:p>
        <w:p w14:paraId="323EA674" w14:textId="14BDAE44" w:rsidR="005B21F8" w:rsidRDefault="00CF6E4C">
          <w:pPr>
            <w:pStyle w:val="TOC1"/>
            <w:rPr>
              <w:rFonts w:asciiTheme="minorHAnsi" w:eastAsiaTheme="minorEastAsia" w:hAnsiTheme="minorHAnsi"/>
              <w:b w:val="0"/>
              <w:lang w:eastAsia="en-AU"/>
            </w:rPr>
          </w:pPr>
          <w:hyperlink w:anchor="_Toc121397584" w:history="1">
            <w:r w:rsidR="005B21F8" w:rsidRPr="00716657">
              <w:rPr>
                <w:rStyle w:val="Hyperlink"/>
                <w:rFonts w:asciiTheme="majorHAnsi" w:hAnsiTheme="majorHAnsi"/>
              </w:rPr>
              <w:t>Appendix A</w:t>
            </w:r>
            <w:r w:rsidR="005B21F8">
              <w:rPr>
                <w:webHidden/>
              </w:rPr>
              <w:tab/>
            </w:r>
            <w:r w:rsidR="005B21F8">
              <w:rPr>
                <w:webHidden/>
              </w:rPr>
              <w:fldChar w:fldCharType="begin"/>
            </w:r>
            <w:r w:rsidR="005B21F8">
              <w:rPr>
                <w:webHidden/>
              </w:rPr>
              <w:instrText xml:space="preserve"> PAGEREF _Toc121397584 \h </w:instrText>
            </w:r>
            <w:r w:rsidR="005B21F8">
              <w:rPr>
                <w:webHidden/>
              </w:rPr>
            </w:r>
            <w:r w:rsidR="005B21F8">
              <w:rPr>
                <w:webHidden/>
              </w:rPr>
              <w:fldChar w:fldCharType="separate"/>
            </w:r>
            <w:r w:rsidR="005B21F8">
              <w:rPr>
                <w:webHidden/>
              </w:rPr>
              <w:t>44</w:t>
            </w:r>
            <w:r w:rsidR="005B21F8">
              <w:rPr>
                <w:webHidden/>
              </w:rPr>
              <w:fldChar w:fldCharType="end"/>
            </w:r>
          </w:hyperlink>
        </w:p>
        <w:p w14:paraId="28848616" w14:textId="38B94D2A" w:rsidR="005B21F8" w:rsidRDefault="00CF6E4C">
          <w:pPr>
            <w:pStyle w:val="TOC2"/>
            <w:rPr>
              <w:rFonts w:asciiTheme="minorHAnsi" w:eastAsiaTheme="minorEastAsia" w:hAnsiTheme="minorHAnsi"/>
              <w:lang w:eastAsia="en-AU"/>
            </w:rPr>
          </w:pPr>
          <w:hyperlink w:anchor="_Toc121397585" w:history="1">
            <w:r w:rsidR="005B21F8" w:rsidRPr="00716657">
              <w:rPr>
                <w:rStyle w:val="Hyperlink"/>
                <w:rFonts w:asciiTheme="majorHAnsi" w:hAnsiTheme="majorHAnsi"/>
                <w:lang w:eastAsia="ja-JP"/>
              </w:rPr>
              <w:t>Proposed Business Rules to support a National Horse Traceability System</w:t>
            </w:r>
            <w:r w:rsidR="005B21F8">
              <w:rPr>
                <w:webHidden/>
              </w:rPr>
              <w:tab/>
            </w:r>
            <w:r w:rsidR="005B21F8">
              <w:rPr>
                <w:webHidden/>
              </w:rPr>
              <w:fldChar w:fldCharType="begin"/>
            </w:r>
            <w:r w:rsidR="005B21F8">
              <w:rPr>
                <w:webHidden/>
              </w:rPr>
              <w:instrText xml:space="preserve"> PAGEREF _Toc121397585 \h </w:instrText>
            </w:r>
            <w:r w:rsidR="005B21F8">
              <w:rPr>
                <w:webHidden/>
              </w:rPr>
            </w:r>
            <w:r w:rsidR="005B21F8">
              <w:rPr>
                <w:webHidden/>
              </w:rPr>
              <w:fldChar w:fldCharType="separate"/>
            </w:r>
            <w:r w:rsidR="005B21F8">
              <w:rPr>
                <w:webHidden/>
              </w:rPr>
              <w:t>44</w:t>
            </w:r>
            <w:r w:rsidR="005B21F8">
              <w:rPr>
                <w:webHidden/>
              </w:rPr>
              <w:fldChar w:fldCharType="end"/>
            </w:r>
          </w:hyperlink>
        </w:p>
        <w:p w14:paraId="7F18BA94" w14:textId="2BE7A7F6" w:rsidR="005B21F8" w:rsidRDefault="00CF6E4C">
          <w:pPr>
            <w:pStyle w:val="TOC1"/>
            <w:rPr>
              <w:rFonts w:asciiTheme="minorHAnsi" w:eastAsiaTheme="minorEastAsia" w:hAnsiTheme="minorHAnsi"/>
              <w:b w:val="0"/>
              <w:lang w:eastAsia="en-AU"/>
            </w:rPr>
          </w:pPr>
          <w:hyperlink w:anchor="_Toc121397586" w:history="1">
            <w:r w:rsidR="005B21F8" w:rsidRPr="00716657">
              <w:rPr>
                <w:rStyle w:val="Hyperlink"/>
                <w:rFonts w:asciiTheme="majorHAnsi" w:hAnsiTheme="majorHAnsi"/>
              </w:rPr>
              <w:t>Appendix B - Frequently Asked Questions</w:t>
            </w:r>
            <w:r w:rsidR="005B21F8">
              <w:rPr>
                <w:webHidden/>
              </w:rPr>
              <w:tab/>
            </w:r>
            <w:r w:rsidR="005B21F8">
              <w:rPr>
                <w:webHidden/>
              </w:rPr>
              <w:fldChar w:fldCharType="begin"/>
            </w:r>
            <w:r w:rsidR="005B21F8">
              <w:rPr>
                <w:webHidden/>
              </w:rPr>
              <w:instrText xml:space="preserve"> PAGEREF _Toc121397586 \h </w:instrText>
            </w:r>
            <w:r w:rsidR="005B21F8">
              <w:rPr>
                <w:webHidden/>
              </w:rPr>
            </w:r>
            <w:r w:rsidR="005B21F8">
              <w:rPr>
                <w:webHidden/>
              </w:rPr>
              <w:fldChar w:fldCharType="separate"/>
            </w:r>
            <w:r w:rsidR="005B21F8">
              <w:rPr>
                <w:webHidden/>
              </w:rPr>
              <w:t>63</w:t>
            </w:r>
            <w:r w:rsidR="005B21F8">
              <w:rPr>
                <w:webHidden/>
              </w:rPr>
              <w:fldChar w:fldCharType="end"/>
            </w:r>
          </w:hyperlink>
        </w:p>
        <w:p w14:paraId="72BAAFA1" w14:textId="5074BAF6" w:rsidR="005B21F8" w:rsidRDefault="00CF6E4C">
          <w:pPr>
            <w:pStyle w:val="TOC1"/>
            <w:rPr>
              <w:rFonts w:asciiTheme="minorHAnsi" w:eastAsiaTheme="minorEastAsia" w:hAnsiTheme="minorHAnsi"/>
              <w:b w:val="0"/>
              <w:lang w:eastAsia="en-AU"/>
            </w:rPr>
          </w:pPr>
          <w:hyperlink w:anchor="_Toc121397587" w:history="1">
            <w:r w:rsidR="005B21F8" w:rsidRPr="00716657">
              <w:rPr>
                <w:rStyle w:val="Hyperlink"/>
                <w:rFonts w:asciiTheme="majorHAnsi" w:hAnsiTheme="majorHAnsi"/>
              </w:rPr>
              <w:t>Appendix C – KPMG Report</w:t>
            </w:r>
            <w:r w:rsidR="005B21F8">
              <w:rPr>
                <w:webHidden/>
              </w:rPr>
              <w:tab/>
            </w:r>
            <w:r w:rsidR="005B21F8">
              <w:rPr>
                <w:webHidden/>
              </w:rPr>
              <w:fldChar w:fldCharType="begin"/>
            </w:r>
            <w:r w:rsidR="005B21F8">
              <w:rPr>
                <w:webHidden/>
              </w:rPr>
              <w:instrText xml:space="preserve"> PAGEREF _Toc121397587 \h </w:instrText>
            </w:r>
            <w:r w:rsidR="005B21F8">
              <w:rPr>
                <w:webHidden/>
              </w:rPr>
            </w:r>
            <w:r w:rsidR="005B21F8">
              <w:rPr>
                <w:webHidden/>
              </w:rPr>
              <w:fldChar w:fldCharType="separate"/>
            </w:r>
            <w:r w:rsidR="005B21F8">
              <w:rPr>
                <w:webHidden/>
              </w:rPr>
              <w:t>70</w:t>
            </w:r>
            <w:r w:rsidR="005B21F8">
              <w:rPr>
                <w:webHidden/>
              </w:rPr>
              <w:fldChar w:fldCharType="end"/>
            </w:r>
          </w:hyperlink>
        </w:p>
        <w:p w14:paraId="62B0A19A" w14:textId="7EF0BB08" w:rsidR="00764D6A" w:rsidRPr="00080D9C" w:rsidRDefault="00E91D72" w:rsidP="004003F9">
          <w:pPr>
            <w:pStyle w:val="TOC1"/>
            <w:tabs>
              <w:tab w:val="clear" w:pos="426"/>
            </w:tabs>
            <w:rPr>
              <w:rFonts w:asciiTheme="majorHAnsi" w:hAnsiTheme="majorHAnsi"/>
              <w:b w:val="0"/>
            </w:rPr>
          </w:pPr>
          <w:r w:rsidRPr="0080375E">
            <w:rPr>
              <w:rFonts w:asciiTheme="majorHAnsi" w:hAnsiTheme="majorHAnsi"/>
              <w:b w:val="0"/>
            </w:rPr>
            <w:fldChar w:fldCharType="end"/>
          </w:r>
        </w:p>
      </w:sdtContent>
    </w:sdt>
    <w:p w14:paraId="545A70E1" w14:textId="12289173" w:rsidR="00764D6A" w:rsidRDefault="00AB1C53">
      <w:pPr>
        <w:pStyle w:val="Heading2"/>
        <w:numPr>
          <w:ilvl w:val="0"/>
          <w:numId w:val="0"/>
        </w:numPr>
        <w:ind w:left="709" w:hanging="709"/>
        <w:rPr>
          <w:rFonts w:asciiTheme="majorHAnsi" w:hAnsiTheme="majorHAnsi"/>
        </w:rPr>
      </w:pPr>
      <w:bookmarkStart w:id="0" w:name="_Toc430782149"/>
      <w:bookmarkStart w:id="1" w:name="_Toc121397546"/>
      <w:r>
        <w:rPr>
          <w:rFonts w:asciiTheme="majorHAnsi" w:hAnsiTheme="majorHAnsi"/>
        </w:rPr>
        <w:lastRenderedPageBreak/>
        <w:t xml:space="preserve">Executive </w:t>
      </w:r>
      <w:r w:rsidR="00E91D72" w:rsidRPr="078EABDA">
        <w:rPr>
          <w:rFonts w:asciiTheme="majorHAnsi" w:hAnsiTheme="majorHAnsi"/>
        </w:rPr>
        <w:t>Summary</w:t>
      </w:r>
      <w:bookmarkEnd w:id="0"/>
      <w:bookmarkEnd w:id="1"/>
    </w:p>
    <w:p w14:paraId="156B88B5" w14:textId="131C6E97" w:rsidR="003E001F" w:rsidRDefault="003E001F" w:rsidP="003E001F">
      <w:pPr>
        <w:rPr>
          <w:rFonts w:asciiTheme="majorHAnsi" w:hAnsiTheme="majorHAnsi"/>
          <w:lang w:eastAsia="ja-JP"/>
        </w:rPr>
      </w:pPr>
      <w:r w:rsidRPr="2EA8987B">
        <w:rPr>
          <w:rFonts w:asciiTheme="majorHAnsi" w:hAnsiTheme="majorHAnsi"/>
          <w:lang w:eastAsia="ja-JP"/>
        </w:rPr>
        <w:t xml:space="preserve">The National Horse Traceability Working Group (NHTWG) is a non-statutory committee established in 2020 by the Agriculture Ministers’ Meeting (AMM) and the Australasian Racing Ministers’ Conference to provide advice on matters relating to the design and introduction of a traceability system </w:t>
      </w:r>
      <w:r w:rsidR="00EA3440" w:rsidRPr="2EA8987B">
        <w:rPr>
          <w:rFonts w:asciiTheme="majorHAnsi" w:hAnsiTheme="majorHAnsi"/>
          <w:lang w:eastAsia="ja-JP"/>
        </w:rPr>
        <w:t xml:space="preserve">with a biosecurity focus </w:t>
      </w:r>
      <w:r w:rsidRPr="2EA8987B">
        <w:rPr>
          <w:rFonts w:asciiTheme="majorHAnsi" w:hAnsiTheme="majorHAnsi"/>
          <w:lang w:eastAsia="ja-JP"/>
        </w:rPr>
        <w:t xml:space="preserve">for horses, donkeys and mules </w:t>
      </w:r>
      <w:r>
        <w:rPr>
          <w:rFonts w:asciiTheme="majorHAnsi" w:hAnsiTheme="majorHAnsi"/>
          <w:lang w:eastAsia="ja-JP"/>
        </w:rPr>
        <w:t xml:space="preserve">(collectively referred to as horses) </w:t>
      </w:r>
      <w:r w:rsidRPr="2EA8987B">
        <w:rPr>
          <w:rFonts w:asciiTheme="majorHAnsi" w:hAnsiTheme="majorHAnsi"/>
          <w:lang w:eastAsia="ja-JP"/>
        </w:rPr>
        <w:t>in Australia</w:t>
      </w:r>
      <w:r>
        <w:rPr>
          <w:rFonts w:asciiTheme="majorHAnsi" w:hAnsiTheme="majorHAnsi"/>
          <w:lang w:eastAsia="ja-JP"/>
        </w:rPr>
        <w:t>.</w:t>
      </w:r>
      <w:r w:rsidRPr="2EA8987B">
        <w:rPr>
          <w:rFonts w:asciiTheme="majorHAnsi" w:hAnsiTheme="majorHAnsi"/>
          <w:lang w:eastAsia="ja-JP"/>
        </w:rPr>
        <w:t xml:space="preserve"> </w:t>
      </w:r>
    </w:p>
    <w:p w14:paraId="59684186" w14:textId="1858CBFC" w:rsidR="003E001F" w:rsidRDefault="003E001F" w:rsidP="003E001F">
      <w:pPr>
        <w:rPr>
          <w:rFonts w:asciiTheme="majorHAnsi" w:hAnsiTheme="majorHAnsi"/>
          <w:lang w:eastAsia="ja-JP"/>
        </w:rPr>
      </w:pPr>
      <w:r>
        <w:rPr>
          <w:rFonts w:asciiTheme="majorHAnsi" w:hAnsiTheme="majorHAnsi"/>
          <w:lang w:eastAsia="ja-JP"/>
        </w:rPr>
        <w:t>Four options for implementing horse traceability were identified through a dedicated review project undertaken by Marsden Jacobs Associates</w:t>
      </w:r>
      <w:r w:rsidR="007E2463">
        <w:rPr>
          <w:rFonts w:asciiTheme="majorHAnsi" w:hAnsiTheme="majorHAnsi"/>
          <w:lang w:eastAsia="ja-JP"/>
        </w:rPr>
        <w:t xml:space="preserve"> on behalf of </w:t>
      </w:r>
      <w:r w:rsidR="00A15974">
        <w:rPr>
          <w:rFonts w:asciiTheme="majorHAnsi" w:hAnsiTheme="majorHAnsi"/>
          <w:lang w:eastAsia="ja-JP"/>
        </w:rPr>
        <w:t xml:space="preserve">the </w:t>
      </w:r>
      <w:r w:rsidR="00BA3DE1">
        <w:rPr>
          <w:rFonts w:asciiTheme="majorHAnsi" w:hAnsiTheme="majorHAnsi"/>
          <w:lang w:eastAsia="ja-JP"/>
        </w:rPr>
        <w:t xml:space="preserve">Victorian </w:t>
      </w:r>
      <w:r w:rsidR="00A15974">
        <w:rPr>
          <w:rFonts w:asciiTheme="majorHAnsi" w:hAnsiTheme="majorHAnsi"/>
          <w:lang w:eastAsia="ja-JP"/>
        </w:rPr>
        <w:t xml:space="preserve">Department of </w:t>
      </w:r>
      <w:r w:rsidR="00B55B03">
        <w:rPr>
          <w:rFonts w:asciiTheme="majorHAnsi" w:hAnsiTheme="majorHAnsi"/>
          <w:lang w:eastAsia="ja-JP"/>
        </w:rPr>
        <w:t>J</w:t>
      </w:r>
      <w:r w:rsidR="00A15974">
        <w:rPr>
          <w:rFonts w:asciiTheme="majorHAnsi" w:hAnsiTheme="majorHAnsi"/>
          <w:lang w:eastAsia="ja-JP"/>
        </w:rPr>
        <w:t xml:space="preserve">obs, </w:t>
      </w:r>
      <w:r w:rsidR="00B55B03">
        <w:rPr>
          <w:rFonts w:asciiTheme="majorHAnsi" w:hAnsiTheme="majorHAnsi"/>
          <w:lang w:eastAsia="ja-JP"/>
        </w:rPr>
        <w:t>P</w:t>
      </w:r>
      <w:r w:rsidR="00A15974">
        <w:rPr>
          <w:rFonts w:asciiTheme="majorHAnsi" w:hAnsiTheme="majorHAnsi"/>
          <w:lang w:eastAsia="ja-JP"/>
        </w:rPr>
        <w:t xml:space="preserve">recincts and </w:t>
      </w:r>
      <w:r w:rsidR="00B55B03">
        <w:rPr>
          <w:rFonts w:asciiTheme="majorHAnsi" w:hAnsiTheme="majorHAnsi"/>
          <w:lang w:eastAsia="ja-JP"/>
        </w:rPr>
        <w:t>R</w:t>
      </w:r>
      <w:r w:rsidR="00A15974">
        <w:rPr>
          <w:rFonts w:asciiTheme="majorHAnsi" w:hAnsiTheme="majorHAnsi"/>
          <w:lang w:eastAsia="ja-JP"/>
        </w:rPr>
        <w:t>egions</w:t>
      </w:r>
      <w:r w:rsidR="00B55B03">
        <w:rPr>
          <w:rFonts w:asciiTheme="majorHAnsi" w:hAnsiTheme="majorHAnsi"/>
          <w:lang w:eastAsia="ja-JP"/>
        </w:rPr>
        <w:t>,</w:t>
      </w:r>
      <w:r w:rsidR="007E2463">
        <w:rPr>
          <w:rFonts w:asciiTheme="majorHAnsi" w:hAnsiTheme="majorHAnsi"/>
          <w:lang w:eastAsia="ja-JP"/>
        </w:rPr>
        <w:t xml:space="preserve"> and provided to the NHTWG for consideration</w:t>
      </w:r>
      <w:r>
        <w:rPr>
          <w:rFonts w:asciiTheme="majorHAnsi" w:hAnsiTheme="majorHAnsi"/>
          <w:lang w:eastAsia="ja-JP"/>
        </w:rPr>
        <w:t xml:space="preserve">. </w:t>
      </w:r>
    </w:p>
    <w:p w14:paraId="0FA68D3F" w14:textId="4D6C9DC3" w:rsidR="003E001F" w:rsidRDefault="00F372A7" w:rsidP="003E001F">
      <w:pPr>
        <w:rPr>
          <w:rFonts w:asciiTheme="majorHAnsi" w:hAnsiTheme="majorHAnsi"/>
          <w:lang w:eastAsia="ja-JP"/>
        </w:rPr>
      </w:pPr>
      <w:r>
        <w:rPr>
          <w:rFonts w:asciiTheme="majorHAnsi" w:hAnsiTheme="majorHAnsi"/>
          <w:lang w:eastAsia="ja-JP"/>
        </w:rPr>
        <w:t xml:space="preserve">The </w:t>
      </w:r>
      <w:r w:rsidR="003E001F">
        <w:rPr>
          <w:rFonts w:asciiTheme="majorHAnsi" w:hAnsiTheme="majorHAnsi"/>
          <w:lang w:eastAsia="ja-JP"/>
        </w:rPr>
        <w:t>NHTWG has focused on two of these options, providing a more detailed view of the possible design and operation of a National Horse Traceability System (NHTS).</w:t>
      </w:r>
      <w:r w:rsidR="003E001F" w:rsidDel="00CA6EA5">
        <w:rPr>
          <w:rFonts w:asciiTheme="majorHAnsi" w:hAnsiTheme="majorHAnsi"/>
          <w:lang w:eastAsia="ja-JP"/>
        </w:rPr>
        <w:t xml:space="preserve"> </w:t>
      </w:r>
      <w:r w:rsidR="003E001F">
        <w:rPr>
          <w:rFonts w:asciiTheme="majorHAnsi" w:hAnsiTheme="majorHAnsi"/>
          <w:lang w:eastAsia="ja-JP"/>
        </w:rPr>
        <w:t>Namely, the NHTWG has explored a system based on the use of Property Identification Codes (PICs) complemented by the recording of horse movements by industry participants (Option 2), and a microchip-based system supported by a national ownership and movement database (Option 4)</w:t>
      </w:r>
      <w:r w:rsidR="003E001F">
        <w:rPr>
          <w:rStyle w:val="FootnoteReference"/>
          <w:rFonts w:asciiTheme="majorHAnsi" w:hAnsiTheme="majorHAnsi"/>
          <w:lang w:eastAsia="ja-JP"/>
        </w:rPr>
        <w:footnoteReference w:id="2"/>
      </w:r>
      <w:r w:rsidR="003E001F">
        <w:rPr>
          <w:rFonts w:asciiTheme="majorHAnsi" w:hAnsiTheme="majorHAnsi"/>
          <w:lang w:eastAsia="ja-JP"/>
        </w:rPr>
        <w:t>.</w:t>
      </w:r>
    </w:p>
    <w:p w14:paraId="03855C05" w14:textId="129A8853" w:rsidR="003E001F" w:rsidRDefault="003E001F" w:rsidP="003E001F">
      <w:pPr>
        <w:rPr>
          <w:rFonts w:asciiTheme="majorHAnsi" w:hAnsiTheme="majorHAnsi"/>
          <w:highlight w:val="yellow"/>
          <w:lang w:eastAsia="ja-JP"/>
        </w:rPr>
      </w:pPr>
      <w:r>
        <w:rPr>
          <w:rFonts w:asciiTheme="majorHAnsi" w:hAnsiTheme="majorHAnsi"/>
          <w:lang w:eastAsia="ja-JP"/>
        </w:rPr>
        <w:t>The NHTWG sponsored another consultancy undertaken by KPMG to assess the costs and benefits of Options 2 and 4. KPMG determined that both Options are expected to deliver the desired biosecurity outcomes, but Option 2 is substantially more cost effective in delivering these outcomes – including implementation and ongoing costs to horse owners</w:t>
      </w:r>
      <w:r>
        <w:rPr>
          <w:rFonts w:asciiTheme="majorHAnsi" w:hAnsiTheme="majorHAnsi"/>
          <w:vertAlign w:val="superscript"/>
          <w:lang w:eastAsia="ja-JP"/>
        </w:rPr>
        <w:t>2</w:t>
      </w:r>
      <w:r w:rsidR="00EA3440" w:rsidRPr="00F8393A">
        <w:rPr>
          <w:rFonts w:asciiTheme="majorHAnsi" w:hAnsiTheme="majorHAnsi"/>
          <w:lang w:eastAsia="ja-JP"/>
        </w:rPr>
        <w:t>.</w:t>
      </w:r>
      <w:r>
        <w:rPr>
          <w:rFonts w:asciiTheme="majorHAnsi" w:hAnsiTheme="majorHAnsi"/>
          <w:lang w:eastAsia="ja-JP"/>
        </w:rPr>
        <w:t xml:space="preserve"> </w:t>
      </w:r>
    </w:p>
    <w:p w14:paraId="2E27CCC9" w14:textId="3BB57EBC" w:rsidR="003E001F" w:rsidRPr="0059437D" w:rsidRDefault="003E001F" w:rsidP="003E001F">
      <w:r w:rsidRPr="0059437D">
        <w:t xml:space="preserve">Having taken into consideration the </w:t>
      </w:r>
      <w:r>
        <w:t>range of purposes for which</w:t>
      </w:r>
      <w:r w:rsidRPr="0059437D">
        <w:t xml:space="preserve"> horse</w:t>
      </w:r>
      <w:r>
        <w:t>s are kept in Australia, current biosecurity</w:t>
      </w:r>
      <w:r w:rsidR="008C1C0D">
        <w:t xml:space="preserve"> risk,</w:t>
      </w:r>
      <w:r>
        <w:t xml:space="preserve"> threats and cost, </w:t>
      </w:r>
      <w:r w:rsidR="00FD2BBA">
        <w:t xml:space="preserve">the </w:t>
      </w:r>
      <w:r>
        <w:t>NHTWG recommends, subject to agreement on funding, Option 2 be introduced.  Its features are as follows:</w:t>
      </w:r>
      <w:r w:rsidRPr="0059437D">
        <w:t xml:space="preserve"> </w:t>
      </w:r>
    </w:p>
    <w:p w14:paraId="47E811DC" w14:textId="77777777" w:rsidR="003E001F" w:rsidRPr="00DA06C7" w:rsidRDefault="003E001F" w:rsidP="003E001F">
      <w:pPr>
        <w:pStyle w:val="ListBullet"/>
        <w:widowControl w:val="0"/>
        <w:tabs>
          <w:tab w:val="num" w:pos="851"/>
        </w:tabs>
        <w:spacing w:before="60" w:after="60" w:line="288" w:lineRule="auto"/>
        <w:ind w:left="709"/>
        <w:rPr>
          <w:lang w:eastAsia="en-AU"/>
        </w:rPr>
      </w:pPr>
      <w:r>
        <w:rPr>
          <w:lang w:eastAsia="en-AU"/>
        </w:rPr>
        <w:t xml:space="preserve">The registration and assigning of PICs to all properties throughout Australia on which </w:t>
      </w:r>
      <w:r>
        <w:rPr>
          <w:lang w:eastAsia="en-AU"/>
        </w:rPr>
        <w:lastRenderedPageBreak/>
        <w:t xml:space="preserve">domesticated horses reside </w:t>
      </w:r>
    </w:p>
    <w:p w14:paraId="2D0212C5" w14:textId="77777777" w:rsidR="003E001F" w:rsidRPr="00DA06C7" w:rsidRDefault="003E001F" w:rsidP="003E001F">
      <w:pPr>
        <w:pStyle w:val="ListBullet"/>
        <w:widowControl w:val="0"/>
        <w:tabs>
          <w:tab w:val="num" w:pos="851"/>
        </w:tabs>
        <w:spacing w:before="60" w:after="60" w:line="288" w:lineRule="auto"/>
        <w:ind w:left="709"/>
        <w:rPr>
          <w:lang w:eastAsia="en-AU"/>
        </w:rPr>
      </w:pPr>
      <w:r>
        <w:rPr>
          <w:lang w:eastAsia="en-AU"/>
        </w:rPr>
        <w:t>U</w:t>
      </w:r>
      <w:r w:rsidRPr="00DA06C7">
        <w:rPr>
          <w:lang w:eastAsia="en-AU"/>
        </w:rPr>
        <w:t>niform national PIC​ business rules</w:t>
      </w:r>
      <w:r>
        <w:rPr>
          <w:lang w:eastAsia="en-AU"/>
        </w:rPr>
        <w:t xml:space="preserve"> for properties on which horses reside</w:t>
      </w:r>
    </w:p>
    <w:p w14:paraId="4396CDFB" w14:textId="77777777" w:rsidR="003E001F" w:rsidRPr="00DA06C7" w:rsidRDefault="003E001F" w:rsidP="003E001F">
      <w:pPr>
        <w:pStyle w:val="ListBullet"/>
        <w:widowControl w:val="0"/>
        <w:tabs>
          <w:tab w:val="num" w:pos="851"/>
        </w:tabs>
        <w:spacing w:before="60" w:after="60" w:line="288" w:lineRule="auto"/>
        <w:ind w:left="709"/>
        <w:rPr>
          <w:lang w:eastAsia="en-AU"/>
        </w:rPr>
      </w:pPr>
      <w:r>
        <w:rPr>
          <w:lang w:eastAsia="en-AU"/>
        </w:rPr>
        <w:t>E</w:t>
      </w:r>
      <w:r w:rsidRPr="00DA06C7">
        <w:rPr>
          <w:lang w:eastAsia="en-AU"/>
        </w:rPr>
        <w:t xml:space="preserve">nforcement </w:t>
      </w:r>
      <w:r>
        <w:rPr>
          <w:lang w:eastAsia="en-AU"/>
        </w:rPr>
        <w:t xml:space="preserve">by the jurisdictions </w:t>
      </w:r>
      <w:r w:rsidRPr="00DA06C7">
        <w:rPr>
          <w:lang w:eastAsia="en-AU"/>
        </w:rPr>
        <w:t xml:space="preserve">of PIC </w:t>
      </w:r>
      <w:r>
        <w:rPr>
          <w:lang w:eastAsia="en-AU"/>
        </w:rPr>
        <w:t xml:space="preserve">rules and associated </w:t>
      </w:r>
      <w:r w:rsidRPr="00DA06C7">
        <w:rPr>
          <w:lang w:eastAsia="en-AU"/>
        </w:rPr>
        <w:t>legislation</w:t>
      </w:r>
    </w:p>
    <w:p w14:paraId="0B68FBCA" w14:textId="77777777" w:rsidR="003E001F" w:rsidRPr="00DA06C7" w:rsidRDefault="003E001F" w:rsidP="003E001F">
      <w:pPr>
        <w:pStyle w:val="ListBullet"/>
        <w:widowControl w:val="0"/>
        <w:tabs>
          <w:tab w:val="num" w:pos="851"/>
        </w:tabs>
        <w:spacing w:before="60" w:after="60" w:line="288" w:lineRule="auto"/>
        <w:ind w:left="709"/>
        <w:rPr>
          <w:lang w:eastAsia="en-AU"/>
        </w:rPr>
      </w:pPr>
      <w:r>
        <w:rPr>
          <w:lang w:eastAsia="en-AU"/>
        </w:rPr>
        <w:t>M</w:t>
      </w:r>
      <w:r w:rsidRPr="00DA06C7">
        <w:rPr>
          <w:lang w:eastAsia="en-AU"/>
        </w:rPr>
        <w:t xml:space="preserve">andatory recording </w:t>
      </w:r>
      <w:r>
        <w:rPr>
          <w:lang w:eastAsia="en-AU"/>
        </w:rPr>
        <w:t xml:space="preserve">by industry participants </w:t>
      </w:r>
      <w:r w:rsidRPr="00DA06C7">
        <w:rPr>
          <w:lang w:eastAsia="en-AU"/>
        </w:rPr>
        <w:t xml:space="preserve">of </w:t>
      </w:r>
      <w:r>
        <w:rPr>
          <w:lang w:eastAsia="en-AU"/>
        </w:rPr>
        <w:t xml:space="preserve">horse </w:t>
      </w:r>
      <w:r w:rsidRPr="00DA06C7">
        <w:rPr>
          <w:lang w:eastAsia="en-AU"/>
        </w:rPr>
        <w:t xml:space="preserve">movements </w:t>
      </w:r>
      <w:r>
        <w:rPr>
          <w:lang w:eastAsia="en-AU"/>
        </w:rPr>
        <w:t xml:space="preserve">between PICs </w:t>
      </w:r>
    </w:p>
    <w:p w14:paraId="5590338C" w14:textId="77777777" w:rsidR="003E001F" w:rsidRDefault="003E001F" w:rsidP="003E001F">
      <w:pPr>
        <w:pStyle w:val="ListBullet"/>
        <w:widowControl w:val="0"/>
        <w:tabs>
          <w:tab w:val="num" w:pos="851"/>
        </w:tabs>
        <w:spacing w:before="60" w:after="60" w:line="288" w:lineRule="auto"/>
        <w:ind w:left="709"/>
        <w:rPr>
          <w:lang w:eastAsia="en-AU"/>
        </w:rPr>
      </w:pPr>
      <w:r>
        <w:rPr>
          <w:lang w:eastAsia="en-AU"/>
        </w:rPr>
        <w:t>V</w:t>
      </w:r>
      <w:r w:rsidRPr="00DA06C7">
        <w:rPr>
          <w:lang w:eastAsia="en-AU"/>
        </w:rPr>
        <w:t>oluntary microchipping</w:t>
      </w:r>
      <w:r>
        <w:rPr>
          <w:lang w:eastAsia="en-AU"/>
        </w:rPr>
        <w:t xml:space="preserve"> in a standardised manner</w:t>
      </w:r>
      <w:r w:rsidRPr="00DA06C7">
        <w:rPr>
          <w:lang w:eastAsia="en-AU"/>
        </w:rPr>
        <w:t xml:space="preserve"> and </w:t>
      </w:r>
      <w:r>
        <w:rPr>
          <w:lang w:eastAsia="en-AU"/>
        </w:rPr>
        <w:t xml:space="preserve">associated </w:t>
      </w:r>
      <w:r w:rsidRPr="00DA06C7">
        <w:rPr>
          <w:lang w:eastAsia="en-AU"/>
        </w:rPr>
        <w:t>registration</w:t>
      </w:r>
      <w:r>
        <w:rPr>
          <w:lang w:eastAsia="en-AU"/>
        </w:rPr>
        <w:t xml:space="preserve"> of ‘chipped’ horses on existing databases</w:t>
      </w:r>
    </w:p>
    <w:p w14:paraId="1816606C" w14:textId="77777777" w:rsidR="003E001F" w:rsidRPr="00DA06C7" w:rsidRDefault="003E001F" w:rsidP="003E001F">
      <w:pPr>
        <w:pStyle w:val="ListBullet"/>
        <w:widowControl w:val="0"/>
        <w:tabs>
          <w:tab w:val="num" w:pos="851"/>
        </w:tabs>
        <w:spacing w:before="60" w:after="60" w:line="288" w:lineRule="auto"/>
        <w:ind w:left="709"/>
        <w:rPr>
          <w:lang w:eastAsia="en-AU"/>
        </w:rPr>
      </w:pPr>
      <w:r>
        <w:rPr>
          <w:lang w:eastAsia="en-AU"/>
        </w:rPr>
        <w:t>M</w:t>
      </w:r>
      <w:r w:rsidRPr="00DA06C7">
        <w:rPr>
          <w:lang w:eastAsia="en-AU"/>
        </w:rPr>
        <w:t xml:space="preserve">andatory </w:t>
      </w:r>
      <w:r>
        <w:rPr>
          <w:lang w:eastAsia="en-AU"/>
        </w:rPr>
        <w:t>microchipping as an option in sectors where there is a particular need, such as to support integrity imperatives within the racing industries</w:t>
      </w:r>
      <w:r w:rsidRPr="00DA06C7" w:rsidDel="000954E9">
        <w:rPr>
          <w:lang w:eastAsia="en-AU"/>
        </w:rPr>
        <w:t xml:space="preserve"> </w:t>
      </w:r>
      <w:r w:rsidRPr="00DA06C7">
        <w:rPr>
          <w:lang w:eastAsia="en-AU"/>
        </w:rPr>
        <w:t>​</w:t>
      </w:r>
    </w:p>
    <w:p w14:paraId="2D7DCB8E" w14:textId="77777777" w:rsidR="003E001F" w:rsidRPr="00DA06C7" w:rsidRDefault="003E001F" w:rsidP="003E001F">
      <w:pPr>
        <w:pStyle w:val="ListBullet"/>
        <w:widowControl w:val="0"/>
        <w:spacing w:before="60" w:after="60" w:line="288" w:lineRule="auto"/>
        <w:ind w:left="709"/>
        <w:rPr>
          <w:lang w:eastAsia="en-AU"/>
        </w:rPr>
      </w:pPr>
      <w:r>
        <w:rPr>
          <w:lang w:eastAsia="en-AU"/>
        </w:rPr>
        <w:t xml:space="preserve">Use of </w:t>
      </w:r>
      <w:r w:rsidRPr="00DA06C7">
        <w:rPr>
          <w:lang w:eastAsia="en-AU"/>
        </w:rPr>
        <w:t>industry managed microchip or paper-based tracking ​</w:t>
      </w:r>
      <w:r>
        <w:rPr>
          <w:lang w:eastAsia="en-AU"/>
        </w:rPr>
        <w:t>(n</w:t>
      </w:r>
      <w:r w:rsidRPr="00DA06C7">
        <w:rPr>
          <w:lang w:eastAsia="en-AU"/>
        </w:rPr>
        <w:t xml:space="preserve">o national </w:t>
      </w:r>
      <w:r>
        <w:rPr>
          <w:lang w:eastAsia="en-AU"/>
        </w:rPr>
        <w:t xml:space="preserve">ownership or movement </w:t>
      </w:r>
      <w:r w:rsidRPr="00DA06C7">
        <w:rPr>
          <w:lang w:eastAsia="en-AU"/>
        </w:rPr>
        <w:t>register)​</w:t>
      </w:r>
    </w:p>
    <w:p w14:paraId="4DF6C287" w14:textId="21963CC5" w:rsidR="003E001F" w:rsidRDefault="003E001F" w:rsidP="003E001F">
      <w:pPr>
        <w:pStyle w:val="ListBullet"/>
        <w:widowControl w:val="0"/>
        <w:tabs>
          <w:tab w:val="num" w:pos="851"/>
        </w:tabs>
        <w:spacing w:before="60" w:after="60" w:line="288" w:lineRule="auto"/>
        <w:ind w:left="709"/>
        <w:rPr>
          <w:lang w:eastAsia="en-AU"/>
        </w:rPr>
      </w:pPr>
      <w:r w:rsidRPr="00DA06C7">
        <w:rPr>
          <w:lang w:eastAsia="en-AU"/>
        </w:rPr>
        <w:t xml:space="preserve">Industry </w:t>
      </w:r>
      <w:r>
        <w:rPr>
          <w:lang w:eastAsia="en-AU"/>
        </w:rPr>
        <w:t>r</w:t>
      </w:r>
      <w:r w:rsidRPr="00DA06C7">
        <w:rPr>
          <w:lang w:eastAsia="en-AU"/>
        </w:rPr>
        <w:t xml:space="preserve">egisters </w:t>
      </w:r>
      <w:r>
        <w:rPr>
          <w:lang w:eastAsia="en-AU"/>
        </w:rPr>
        <w:t>that record</w:t>
      </w:r>
      <w:r w:rsidRPr="00DA06C7">
        <w:rPr>
          <w:lang w:eastAsia="en-AU"/>
        </w:rPr>
        <w:t xml:space="preserve"> PIC </w:t>
      </w:r>
      <w:r>
        <w:rPr>
          <w:lang w:eastAsia="en-AU"/>
        </w:rPr>
        <w:t xml:space="preserve">details in relation to locations where horses owned or managed by constituents reside </w:t>
      </w:r>
    </w:p>
    <w:p w14:paraId="03315370" w14:textId="72286BC8" w:rsidR="00A86857" w:rsidRPr="00C32130" w:rsidRDefault="003E001F" w:rsidP="00C32130">
      <w:pPr>
        <w:pStyle w:val="ListBullet"/>
        <w:widowControl w:val="0"/>
        <w:tabs>
          <w:tab w:val="num" w:pos="851"/>
        </w:tabs>
        <w:spacing w:before="60" w:after="60" w:line="288" w:lineRule="auto"/>
        <w:ind w:left="709"/>
        <w:rPr>
          <w:lang w:eastAsia="en-AU"/>
        </w:rPr>
      </w:pPr>
      <w:r w:rsidRPr="00DA06C7">
        <w:rPr>
          <w:lang w:eastAsia="en-AU"/>
        </w:rPr>
        <w:t xml:space="preserve">Industry registers </w:t>
      </w:r>
      <w:r>
        <w:rPr>
          <w:lang w:eastAsia="en-AU"/>
        </w:rPr>
        <w:t>with</w:t>
      </w:r>
      <w:r w:rsidRPr="00DA06C7">
        <w:rPr>
          <w:lang w:eastAsia="en-AU"/>
        </w:rPr>
        <w:t xml:space="preserve"> authority to release data to government agencies specifically and exclusively for biosecurity and emergency response purposes</w:t>
      </w:r>
    </w:p>
    <w:p w14:paraId="02EF3116" w14:textId="5B205A34" w:rsidR="003E001F" w:rsidRDefault="003E001F" w:rsidP="003E001F">
      <w:pPr>
        <w:pStyle w:val="CommentText"/>
        <w:rPr>
          <w:rFonts w:asciiTheme="majorHAnsi" w:hAnsiTheme="majorHAnsi"/>
          <w:color w:val="000000" w:themeColor="text1"/>
          <w:sz w:val="22"/>
          <w:szCs w:val="22"/>
        </w:rPr>
      </w:pPr>
      <w:r w:rsidRPr="00D45E34">
        <w:rPr>
          <w:rFonts w:asciiTheme="majorHAnsi" w:hAnsiTheme="majorHAnsi"/>
          <w:sz w:val="22"/>
          <w:szCs w:val="22"/>
        </w:rPr>
        <w:t xml:space="preserve">The </w:t>
      </w:r>
      <w:r w:rsidRPr="00D45E34">
        <w:rPr>
          <w:rFonts w:asciiTheme="majorHAnsi" w:hAnsiTheme="majorHAnsi"/>
          <w:sz w:val="22"/>
          <w:szCs w:val="22"/>
          <w:lang w:eastAsia="ja-JP"/>
        </w:rPr>
        <w:t>NHTWG</w:t>
      </w:r>
      <w:r w:rsidRPr="00D45E34">
        <w:rPr>
          <w:rFonts w:asciiTheme="majorHAnsi" w:hAnsiTheme="majorHAnsi"/>
          <w:sz w:val="22"/>
          <w:szCs w:val="22"/>
        </w:rPr>
        <w:t xml:space="preserve"> </w:t>
      </w:r>
      <w:r>
        <w:rPr>
          <w:rFonts w:asciiTheme="majorHAnsi" w:hAnsiTheme="majorHAnsi"/>
          <w:sz w:val="22"/>
          <w:szCs w:val="22"/>
        </w:rPr>
        <w:t xml:space="preserve">has also </w:t>
      </w:r>
      <w:r w:rsidRPr="00D45E34">
        <w:rPr>
          <w:rFonts w:asciiTheme="majorHAnsi" w:hAnsiTheme="majorHAnsi"/>
          <w:sz w:val="22"/>
          <w:szCs w:val="22"/>
        </w:rPr>
        <w:t>reached agreement on</w:t>
      </w:r>
      <w:r w:rsidRPr="00D45E34">
        <w:rPr>
          <w:rStyle w:val="normaltextrun"/>
          <w:rFonts w:asciiTheme="majorHAnsi" w:hAnsiTheme="majorHAnsi"/>
          <w:sz w:val="22"/>
          <w:szCs w:val="22"/>
        </w:rPr>
        <w:t xml:space="preserve"> proposed business rules </w:t>
      </w:r>
      <w:r>
        <w:rPr>
          <w:rStyle w:val="normaltextrun"/>
          <w:rFonts w:asciiTheme="majorHAnsi" w:hAnsiTheme="majorHAnsi"/>
          <w:sz w:val="22"/>
          <w:szCs w:val="22"/>
        </w:rPr>
        <w:t xml:space="preserve">to support the operation of Option 2 </w:t>
      </w:r>
      <w:r w:rsidRPr="00D45E34">
        <w:rPr>
          <w:rStyle w:val="normaltextrun"/>
          <w:rFonts w:asciiTheme="majorHAnsi" w:hAnsiTheme="majorHAnsi"/>
          <w:sz w:val="22"/>
          <w:szCs w:val="22"/>
        </w:rPr>
        <w:t>(</w:t>
      </w:r>
      <w:r>
        <w:rPr>
          <w:rStyle w:val="normaltextrun"/>
          <w:rFonts w:asciiTheme="majorHAnsi" w:hAnsiTheme="majorHAnsi"/>
          <w:sz w:val="22"/>
          <w:szCs w:val="22"/>
        </w:rPr>
        <w:t>see Appendix</w:t>
      </w:r>
      <w:r w:rsidRPr="00D45E34">
        <w:rPr>
          <w:rStyle w:val="normaltextrun"/>
          <w:rFonts w:asciiTheme="majorHAnsi" w:hAnsiTheme="majorHAnsi"/>
          <w:sz w:val="22"/>
          <w:szCs w:val="22"/>
        </w:rPr>
        <w:t xml:space="preserve"> A</w:t>
      </w:r>
      <w:r>
        <w:rPr>
          <w:rStyle w:val="normaltextrun"/>
          <w:rFonts w:asciiTheme="majorHAnsi" w:hAnsiTheme="majorHAnsi"/>
          <w:sz w:val="22"/>
          <w:szCs w:val="22"/>
        </w:rPr>
        <w:t>) and proposes that they guide the drafting of enabling legislation and communications material</w:t>
      </w:r>
      <w:r w:rsidRPr="00D45E34">
        <w:rPr>
          <w:rFonts w:asciiTheme="majorHAnsi" w:hAnsiTheme="majorHAnsi"/>
          <w:color w:val="000000" w:themeColor="text1"/>
          <w:sz w:val="22"/>
          <w:szCs w:val="22"/>
        </w:rPr>
        <w:t xml:space="preserve">. </w:t>
      </w:r>
    </w:p>
    <w:p w14:paraId="2D3AC4D4" w14:textId="77777777" w:rsidR="003E001F" w:rsidRDefault="003E001F" w:rsidP="003E001F">
      <w:pPr>
        <w:pStyle w:val="CommentText"/>
        <w:rPr>
          <w:rFonts w:asciiTheme="majorHAnsi" w:hAnsiTheme="majorHAnsi"/>
          <w:color w:val="000000" w:themeColor="text1"/>
          <w:sz w:val="22"/>
          <w:szCs w:val="22"/>
        </w:rPr>
      </w:pPr>
      <w:r>
        <w:rPr>
          <w:rFonts w:asciiTheme="majorHAnsi" w:hAnsiTheme="majorHAnsi"/>
          <w:color w:val="000000" w:themeColor="text1"/>
          <w:sz w:val="22"/>
          <w:szCs w:val="22"/>
        </w:rPr>
        <w:t xml:space="preserve">These business rules provide the basis for nationally harmonised requirements, </w:t>
      </w:r>
      <w:r w:rsidRPr="00E549DE">
        <w:rPr>
          <w:rFonts w:asciiTheme="majorHAnsi" w:hAnsiTheme="majorHAnsi"/>
          <w:color w:val="000000" w:themeColor="text1"/>
          <w:sz w:val="22"/>
          <w:szCs w:val="22"/>
        </w:rPr>
        <w:t>outlin</w:t>
      </w:r>
      <w:r>
        <w:rPr>
          <w:rFonts w:asciiTheme="majorHAnsi" w:hAnsiTheme="majorHAnsi"/>
          <w:color w:val="000000" w:themeColor="text1"/>
          <w:sz w:val="22"/>
          <w:szCs w:val="22"/>
        </w:rPr>
        <w:t>ing</w:t>
      </w:r>
      <w:r w:rsidRPr="00E549DE">
        <w:rPr>
          <w:rFonts w:asciiTheme="majorHAnsi" w:hAnsiTheme="majorHAnsi"/>
          <w:color w:val="000000" w:themeColor="text1"/>
          <w:sz w:val="22"/>
          <w:szCs w:val="22"/>
        </w:rPr>
        <w:t xml:space="preserve"> industry participant obligations relating to property registration, how horses are to be microchipped where this identification method is used, movement recording requirements and associated information management.</w:t>
      </w:r>
    </w:p>
    <w:p w14:paraId="376D9540" w14:textId="43B985BB" w:rsidR="003E001F" w:rsidRDefault="003E001F" w:rsidP="00C773C8">
      <w:pPr>
        <w:rPr>
          <w:rFonts w:asciiTheme="majorHAnsi" w:hAnsiTheme="majorHAnsi"/>
        </w:rPr>
      </w:pPr>
      <w:r w:rsidRPr="2EA8987B">
        <w:rPr>
          <w:rFonts w:asciiTheme="majorHAnsi" w:hAnsiTheme="majorHAnsi"/>
          <w:color w:val="000000"/>
          <w:shd w:val="clear" w:color="auto" w:fill="FFFFFF"/>
        </w:rPr>
        <w:t xml:space="preserve">Although ultimately the development of a NHTS incorporating greater </w:t>
      </w:r>
      <w:r w:rsidRPr="2EA8987B">
        <w:rPr>
          <w:rFonts w:asciiTheme="majorHAnsi" w:hAnsiTheme="majorHAnsi"/>
          <w:color w:val="000000" w:themeColor="text1"/>
        </w:rPr>
        <w:t>functionality</w:t>
      </w:r>
      <w:r w:rsidRPr="2EA8987B">
        <w:rPr>
          <w:rFonts w:asciiTheme="majorHAnsi" w:hAnsiTheme="majorHAnsi"/>
          <w:color w:val="000000"/>
          <w:shd w:val="clear" w:color="auto" w:fill="FFFFFF"/>
        </w:rPr>
        <w:t xml:space="preserve"> may be desirable</w:t>
      </w:r>
      <w:r w:rsidRPr="2EA8987B">
        <w:rPr>
          <w:rFonts w:asciiTheme="majorHAnsi" w:hAnsiTheme="majorHAnsi"/>
          <w:color w:val="000000" w:themeColor="text1"/>
        </w:rPr>
        <w:t xml:space="preserve"> in the future</w:t>
      </w:r>
      <w:r w:rsidRPr="2EA8987B">
        <w:rPr>
          <w:rFonts w:asciiTheme="majorHAnsi" w:hAnsiTheme="majorHAnsi"/>
          <w:color w:val="000000"/>
          <w:shd w:val="clear" w:color="auto" w:fill="FFFFFF"/>
        </w:rPr>
        <w:t xml:space="preserve">, the </w:t>
      </w:r>
      <w:r w:rsidRPr="2EA8987B">
        <w:rPr>
          <w:rFonts w:asciiTheme="majorHAnsi" w:hAnsiTheme="majorHAnsi"/>
          <w:lang w:eastAsia="ja-JP"/>
        </w:rPr>
        <w:t>NHTWG</w:t>
      </w:r>
      <w:r w:rsidRPr="2EA8987B">
        <w:rPr>
          <w:rFonts w:asciiTheme="majorHAnsi" w:hAnsiTheme="majorHAnsi"/>
          <w:color w:val="000000"/>
          <w:shd w:val="clear" w:color="auto" w:fill="FFFFFF"/>
        </w:rPr>
        <w:t xml:space="preserve"> agree</w:t>
      </w:r>
      <w:r w:rsidRPr="2EA8987B">
        <w:rPr>
          <w:rFonts w:asciiTheme="majorHAnsi" w:hAnsiTheme="majorHAnsi"/>
          <w:color w:val="000000" w:themeColor="text1"/>
        </w:rPr>
        <w:t>d</w:t>
      </w:r>
      <w:r w:rsidRPr="2EA8987B">
        <w:rPr>
          <w:rFonts w:asciiTheme="majorHAnsi" w:hAnsiTheme="majorHAnsi"/>
          <w:color w:val="000000"/>
          <w:shd w:val="clear" w:color="auto" w:fill="FFFFFF"/>
        </w:rPr>
        <w:t xml:space="preserve"> that there needs to be a base level </w:t>
      </w:r>
      <w:r>
        <w:rPr>
          <w:rFonts w:asciiTheme="majorHAnsi" w:hAnsiTheme="majorHAnsi"/>
          <w:color w:val="000000"/>
          <w:shd w:val="clear" w:color="auto" w:fill="FFFFFF"/>
        </w:rPr>
        <w:t xml:space="preserve">policy and system platform as a </w:t>
      </w:r>
      <w:r w:rsidRPr="2EA8987B">
        <w:rPr>
          <w:rFonts w:asciiTheme="majorHAnsi" w:hAnsiTheme="majorHAnsi"/>
          <w:color w:val="000000"/>
          <w:shd w:val="clear" w:color="auto" w:fill="FFFFFF"/>
        </w:rPr>
        <w:t>starting point</w:t>
      </w:r>
      <w:r>
        <w:rPr>
          <w:rFonts w:asciiTheme="majorHAnsi" w:hAnsiTheme="majorHAnsi"/>
          <w:color w:val="000000" w:themeColor="text1"/>
        </w:rPr>
        <w:t xml:space="preserve"> t</w:t>
      </w:r>
      <w:r w:rsidRPr="2EA8987B">
        <w:rPr>
          <w:rFonts w:asciiTheme="majorHAnsi" w:hAnsiTheme="majorHAnsi"/>
          <w:color w:val="000000" w:themeColor="text1"/>
        </w:rPr>
        <w:t>hat</w:t>
      </w:r>
      <w:r>
        <w:rPr>
          <w:rFonts w:asciiTheme="majorHAnsi" w:hAnsiTheme="majorHAnsi"/>
          <w:color w:val="000000" w:themeColor="text1"/>
        </w:rPr>
        <w:t xml:space="preserve"> delivers</w:t>
      </w:r>
      <w:r w:rsidRPr="2EA8987B">
        <w:rPr>
          <w:rFonts w:asciiTheme="majorHAnsi" w:hAnsiTheme="majorHAnsi"/>
          <w:color w:val="000000" w:themeColor="text1"/>
        </w:rPr>
        <w:t xml:space="preserve"> </w:t>
      </w:r>
      <w:r>
        <w:rPr>
          <w:rFonts w:asciiTheme="majorHAnsi" w:hAnsiTheme="majorHAnsi"/>
          <w:color w:val="000000" w:themeColor="text1"/>
        </w:rPr>
        <w:t>functional traceability for biosecurity purposes ahead of consideration at a later date of a more comprehensive NHTS</w:t>
      </w:r>
      <w:r w:rsidRPr="2EA8987B">
        <w:rPr>
          <w:rFonts w:asciiTheme="majorHAnsi" w:hAnsiTheme="majorHAnsi"/>
          <w:color w:val="000000" w:themeColor="text1"/>
        </w:rPr>
        <w:t>.</w:t>
      </w:r>
      <w:r w:rsidRPr="2EA8987B">
        <w:rPr>
          <w:rFonts w:asciiTheme="majorHAnsi" w:hAnsiTheme="majorHAnsi"/>
          <w:color w:val="000000"/>
          <w:shd w:val="clear" w:color="auto" w:fill="FFFFFF"/>
        </w:rPr>
        <w:t xml:space="preserve"> </w:t>
      </w:r>
      <w:r>
        <w:rPr>
          <w:rFonts w:asciiTheme="majorHAnsi" w:hAnsiTheme="majorHAnsi"/>
          <w:color w:val="000000"/>
          <w:shd w:val="clear" w:color="auto" w:fill="FFFFFF"/>
        </w:rPr>
        <w:t xml:space="preserve"> </w:t>
      </w:r>
      <w:r w:rsidRPr="2EA8987B">
        <w:rPr>
          <w:rFonts w:asciiTheme="majorHAnsi" w:hAnsiTheme="majorHAnsi"/>
        </w:rPr>
        <w:t xml:space="preserve">Attempting to introduce a more comprehensive system </w:t>
      </w:r>
      <w:r>
        <w:rPr>
          <w:rFonts w:asciiTheme="majorHAnsi" w:hAnsiTheme="majorHAnsi"/>
        </w:rPr>
        <w:t xml:space="preserve">as the starting point </w:t>
      </w:r>
      <w:r w:rsidRPr="2EA8987B">
        <w:rPr>
          <w:rFonts w:asciiTheme="majorHAnsi" w:hAnsiTheme="majorHAnsi"/>
        </w:rPr>
        <w:t xml:space="preserve">may lead to resourcing and compliance challenges that are likely to undermine successful implementation.  </w:t>
      </w:r>
      <w:r w:rsidRPr="00593CA6">
        <w:t xml:space="preserve">Mandatory microchipping and movement recording </w:t>
      </w:r>
      <w:r>
        <w:t xml:space="preserve">on a national database would </w:t>
      </w:r>
      <w:r w:rsidRPr="00593CA6">
        <w:t xml:space="preserve">add </w:t>
      </w:r>
      <w:r>
        <w:t xml:space="preserve">significant additional </w:t>
      </w:r>
      <w:r w:rsidRPr="00593CA6">
        <w:t xml:space="preserve">costs and </w:t>
      </w:r>
      <w:r>
        <w:t xml:space="preserve">result in </w:t>
      </w:r>
      <w:r w:rsidRPr="00593CA6">
        <w:t>compliance and integrity issues</w:t>
      </w:r>
      <w:r>
        <w:t xml:space="preserve"> for minimal improvement in tracing efficiency for biosecurity purposes</w:t>
      </w:r>
      <w:r w:rsidRPr="00593CA6">
        <w:t>.</w:t>
      </w:r>
      <w:r w:rsidRPr="2EA8987B">
        <w:rPr>
          <w:rFonts w:asciiTheme="majorHAnsi" w:hAnsiTheme="majorHAnsi"/>
        </w:rPr>
        <w:t xml:space="preserve"> This, however, does not preclude the addition of further features and obligations </w:t>
      </w:r>
      <w:r>
        <w:rPr>
          <w:rFonts w:asciiTheme="majorHAnsi" w:hAnsiTheme="majorHAnsi"/>
        </w:rPr>
        <w:t xml:space="preserve">that address industry needs unrelated to biosecurity </w:t>
      </w:r>
      <w:r w:rsidRPr="2EA8987B">
        <w:rPr>
          <w:rFonts w:asciiTheme="majorHAnsi" w:hAnsiTheme="majorHAnsi"/>
        </w:rPr>
        <w:t xml:space="preserve">in the future. </w:t>
      </w:r>
    </w:p>
    <w:p w14:paraId="6FA2F683" w14:textId="6D6245D8" w:rsidR="006925CA" w:rsidRPr="007864C6" w:rsidRDefault="006925CA" w:rsidP="007864C6">
      <w:pPr>
        <w:rPr>
          <w:rFonts w:asciiTheme="majorHAnsi" w:hAnsiTheme="majorHAnsi"/>
          <w:color w:val="000000"/>
          <w:shd w:val="clear" w:color="auto" w:fill="FFFFFF"/>
        </w:rPr>
      </w:pPr>
      <w:r w:rsidRPr="007864C6">
        <w:rPr>
          <w:rFonts w:asciiTheme="majorHAnsi" w:hAnsiTheme="majorHAnsi"/>
          <w:color w:val="000000"/>
          <w:shd w:val="clear" w:color="auto" w:fill="FFFFFF"/>
        </w:rPr>
        <w:t>The NHTWG acknowledges that the preferred option is a significant departure from the current requirements of horse owners in diverse sectors and in different jurisdictions; currently the recreational horse industry is largely unregulated.  The recommended changes will require legislative amendments and an increase in regulatory burden for all sectors of the horse industry and governments. Further, considerable industry change management support will be necessary to implement the system, and should not be underestimated.</w:t>
      </w:r>
    </w:p>
    <w:p w14:paraId="1C5C3D19" w14:textId="77777777" w:rsidR="006925CA" w:rsidRPr="006925CA" w:rsidRDefault="006925CA" w:rsidP="006925CA">
      <w:pPr>
        <w:pStyle w:val="xmsonormal"/>
        <w:shd w:val="clear" w:color="auto" w:fill="FFFFFF"/>
        <w:rPr>
          <w:rFonts w:ascii="Cambria" w:hAnsi="Cambria" w:cs="Arial"/>
        </w:rPr>
      </w:pPr>
    </w:p>
    <w:p w14:paraId="02037D90" w14:textId="77777777" w:rsidR="003E001F" w:rsidRPr="00DA06C7" w:rsidRDefault="003E001F" w:rsidP="003E001F">
      <w:pPr>
        <w:rPr>
          <w:b/>
          <w:bCs/>
        </w:rPr>
      </w:pPr>
      <w:r w:rsidRPr="00DA06C7">
        <w:rPr>
          <w:b/>
          <w:bCs/>
        </w:rPr>
        <w:t xml:space="preserve">The recommendations of the </w:t>
      </w:r>
      <w:r w:rsidRPr="00DA06C7">
        <w:rPr>
          <w:b/>
          <w:bCs/>
          <w:lang w:eastAsia="ja-JP"/>
        </w:rPr>
        <w:t>NHTWG</w:t>
      </w:r>
      <w:r w:rsidRPr="00DA06C7">
        <w:rPr>
          <w:b/>
          <w:bCs/>
        </w:rPr>
        <w:t xml:space="preserve"> are that: </w:t>
      </w:r>
    </w:p>
    <w:p w14:paraId="5AF4B176" w14:textId="0A314E88" w:rsidR="003E001F" w:rsidRPr="00DA06C7" w:rsidRDefault="003E001F" w:rsidP="003E001F">
      <w:pPr>
        <w:pStyle w:val="ListParagraph"/>
        <w:numPr>
          <w:ilvl w:val="0"/>
          <w:numId w:val="39"/>
        </w:numPr>
        <w:spacing w:line="276" w:lineRule="auto"/>
        <w:rPr>
          <w:rFonts w:ascii="Cambria" w:hAnsi="Cambria" w:cstheme="minorBidi"/>
          <w:color w:val="000000"/>
          <w:shd w:val="clear" w:color="auto" w:fill="FFFFFF"/>
        </w:rPr>
      </w:pPr>
      <w:r w:rsidRPr="00DA06C7">
        <w:rPr>
          <w:rFonts w:ascii="Cambria" w:hAnsi="Cambria" w:cstheme="minorBidi"/>
          <w:color w:val="000000"/>
          <w:shd w:val="clear" w:color="auto" w:fill="FFFFFF"/>
        </w:rPr>
        <w:t>Australia’s NHTS should at its core address biosecurity threats and utilise the current property registration and PIC systems administered by the jurisdictions</w:t>
      </w:r>
    </w:p>
    <w:p w14:paraId="7848E5E4" w14:textId="77777777" w:rsidR="003E001F" w:rsidRPr="00DA06C7" w:rsidRDefault="003E001F" w:rsidP="003E001F">
      <w:pPr>
        <w:pStyle w:val="ListParagraph"/>
        <w:numPr>
          <w:ilvl w:val="0"/>
          <w:numId w:val="39"/>
        </w:numPr>
        <w:spacing w:line="276" w:lineRule="auto"/>
        <w:rPr>
          <w:rFonts w:ascii="Cambria" w:eastAsiaTheme="majorEastAsia" w:hAnsi="Cambria" w:cstheme="majorBidi"/>
          <w:color w:val="000000"/>
          <w:shd w:val="clear" w:color="auto" w:fill="FFFFFF"/>
        </w:rPr>
      </w:pPr>
      <w:r w:rsidRPr="00DA06C7">
        <w:rPr>
          <w:rFonts w:ascii="Cambria" w:hAnsi="Cambria" w:cstheme="minorBidi"/>
          <w:color w:val="000000" w:themeColor="text1"/>
        </w:rPr>
        <w:lastRenderedPageBreak/>
        <w:t>Industry participants be required to</w:t>
      </w:r>
      <w:r>
        <w:rPr>
          <w:rFonts w:ascii="Cambria" w:hAnsi="Cambria" w:cstheme="minorBidi"/>
          <w:color w:val="000000" w:themeColor="text1"/>
        </w:rPr>
        <w:t xml:space="preserve"> generate and</w:t>
      </w:r>
      <w:r w:rsidRPr="00DA06C7">
        <w:rPr>
          <w:rFonts w:ascii="Cambria" w:hAnsi="Cambria" w:cstheme="minorBidi"/>
          <w:color w:val="000000" w:themeColor="text1"/>
        </w:rPr>
        <w:t xml:space="preserve"> maintain horse movement records. These records should be readily accessible to government agencies for use during biosecurity incidents and emergencies </w:t>
      </w:r>
    </w:p>
    <w:p w14:paraId="1FA84D7F" w14:textId="77777777" w:rsidR="003E001F" w:rsidRPr="00CD78AF" w:rsidRDefault="003E001F" w:rsidP="003E001F">
      <w:pPr>
        <w:pStyle w:val="ListParagraph"/>
        <w:numPr>
          <w:ilvl w:val="0"/>
          <w:numId w:val="39"/>
        </w:numPr>
        <w:spacing w:line="276" w:lineRule="auto"/>
        <w:rPr>
          <w:rFonts w:ascii="Cambria" w:eastAsiaTheme="majorEastAsia" w:hAnsi="Cambria" w:cstheme="majorBidi"/>
          <w:color w:val="000000"/>
          <w:shd w:val="clear" w:color="auto" w:fill="FFFFFF"/>
        </w:rPr>
      </w:pPr>
      <w:r w:rsidRPr="00DA06C7">
        <w:rPr>
          <w:rFonts w:ascii="Cambria" w:hAnsi="Cambria"/>
          <w:color w:val="000000" w:themeColor="text1"/>
        </w:rPr>
        <w:t xml:space="preserve">Subject to an agreement on funding (see recommendation </w:t>
      </w:r>
      <w:r>
        <w:rPr>
          <w:rFonts w:ascii="Cambria" w:hAnsi="Cambria"/>
          <w:color w:val="000000" w:themeColor="text1"/>
        </w:rPr>
        <w:t>7</w:t>
      </w:r>
      <w:r w:rsidRPr="00DA06C7">
        <w:rPr>
          <w:rFonts w:ascii="Cambria" w:hAnsi="Cambria"/>
          <w:color w:val="000000" w:themeColor="text1"/>
        </w:rPr>
        <w:t>), jurisdictions be asked to enact legislation by no later than 1 January 2025 that will support nationally consistent business rules relating to the operation of the NHTS (see Appendix A)</w:t>
      </w:r>
    </w:p>
    <w:p w14:paraId="16B1C9BF" w14:textId="77777777" w:rsidR="003E001F" w:rsidRPr="00DA06C7" w:rsidRDefault="003E001F" w:rsidP="003E001F">
      <w:pPr>
        <w:pStyle w:val="ListParagraph"/>
        <w:numPr>
          <w:ilvl w:val="0"/>
          <w:numId w:val="39"/>
        </w:numPr>
        <w:spacing w:line="276" w:lineRule="auto"/>
        <w:rPr>
          <w:rFonts w:ascii="Cambria" w:eastAsiaTheme="majorEastAsia" w:hAnsi="Cambria" w:cstheme="majorBidi"/>
          <w:color w:val="000000"/>
          <w:shd w:val="clear" w:color="auto" w:fill="FFFFFF"/>
        </w:rPr>
      </w:pPr>
      <w:r w:rsidRPr="00DA06C7">
        <w:rPr>
          <w:rFonts w:ascii="Cambria" w:hAnsi="Cambria" w:cstheme="minorBidi"/>
          <w:color w:val="000000" w:themeColor="text1"/>
        </w:rPr>
        <w:t xml:space="preserve">Industry be asked to commit to working cooperatively with government to introduce, support and utilise the system </w:t>
      </w:r>
    </w:p>
    <w:p w14:paraId="3D95583D" w14:textId="095D0537" w:rsidR="003E001F" w:rsidRPr="00DA06C7" w:rsidRDefault="003E001F" w:rsidP="003E001F">
      <w:pPr>
        <w:pStyle w:val="ListParagraph"/>
        <w:numPr>
          <w:ilvl w:val="0"/>
          <w:numId w:val="39"/>
        </w:numPr>
        <w:spacing w:line="276" w:lineRule="auto"/>
        <w:rPr>
          <w:rFonts w:ascii="Cambria" w:hAnsi="Cambria"/>
          <w:color w:val="000000"/>
          <w:shd w:val="clear" w:color="auto" w:fill="FFFFFF"/>
        </w:rPr>
      </w:pPr>
      <w:r w:rsidRPr="00DA06C7">
        <w:rPr>
          <w:rFonts w:ascii="Cambria" w:hAnsi="Cambria" w:cstheme="minorBidi"/>
          <w:color w:val="000000"/>
          <w:shd w:val="clear" w:color="auto" w:fill="FFFFFF"/>
        </w:rPr>
        <w:t xml:space="preserve">Existing commercial and industry managed microchip registers be encouraged to record PIC details for the locations where horses reside when horses are </w:t>
      </w:r>
      <w:r>
        <w:rPr>
          <w:rFonts w:ascii="Cambria" w:hAnsi="Cambria" w:cstheme="minorBidi"/>
          <w:color w:val="000000"/>
          <w:shd w:val="clear" w:color="auto" w:fill="FFFFFF"/>
        </w:rPr>
        <w:t>initially registered</w:t>
      </w:r>
      <w:r w:rsidRPr="00DA06C7">
        <w:rPr>
          <w:rFonts w:ascii="Cambria" w:hAnsi="Cambria" w:cstheme="minorBidi"/>
          <w:color w:val="000000"/>
          <w:shd w:val="clear" w:color="auto" w:fill="FFFFFF"/>
        </w:rPr>
        <w:t xml:space="preserve">, microchipped, change ownership, </w:t>
      </w:r>
      <w:r>
        <w:rPr>
          <w:rFonts w:ascii="Cambria" w:hAnsi="Cambria" w:cstheme="minorBidi"/>
          <w:color w:val="000000"/>
          <w:shd w:val="clear" w:color="auto" w:fill="FFFFFF"/>
        </w:rPr>
        <w:t xml:space="preserve">are exported </w:t>
      </w:r>
      <w:r w:rsidRPr="00DA06C7">
        <w:rPr>
          <w:rFonts w:ascii="Cambria" w:hAnsi="Cambria" w:cstheme="minorBidi"/>
          <w:color w:val="000000"/>
          <w:shd w:val="clear" w:color="auto" w:fill="FFFFFF"/>
        </w:rPr>
        <w:t xml:space="preserve">or </w:t>
      </w:r>
      <w:r w:rsidRPr="00DA06C7">
        <w:rPr>
          <w:rFonts w:ascii="Cambria" w:hAnsi="Cambria" w:cstheme="minorBidi"/>
          <w:color w:val="000000" w:themeColor="text1"/>
        </w:rPr>
        <w:t xml:space="preserve">are </w:t>
      </w:r>
      <w:r w:rsidRPr="00DA06C7">
        <w:rPr>
          <w:rFonts w:ascii="Cambria" w:hAnsi="Cambria" w:cstheme="minorBidi"/>
          <w:color w:val="000000"/>
          <w:shd w:val="clear" w:color="auto" w:fill="FFFFFF"/>
        </w:rPr>
        <w:t>reported as deceased</w:t>
      </w:r>
    </w:p>
    <w:p w14:paraId="2566EA50" w14:textId="77777777" w:rsidR="003E001F" w:rsidRPr="00DA06C7" w:rsidRDefault="003E001F" w:rsidP="003E001F">
      <w:pPr>
        <w:pStyle w:val="ListParagraph"/>
        <w:numPr>
          <w:ilvl w:val="0"/>
          <w:numId w:val="39"/>
        </w:numPr>
        <w:spacing w:line="276" w:lineRule="auto"/>
        <w:rPr>
          <w:rFonts w:ascii="Cambria" w:hAnsi="Cambria"/>
          <w:color w:val="000000"/>
          <w:shd w:val="clear" w:color="auto" w:fill="FFFFFF"/>
        </w:rPr>
      </w:pPr>
      <w:r w:rsidRPr="00DA06C7">
        <w:rPr>
          <w:rFonts w:ascii="Cambria" w:hAnsi="Cambria"/>
          <w:color w:val="000000"/>
          <w:shd w:val="clear" w:color="auto" w:fill="FFFFFF"/>
        </w:rPr>
        <w:t>Commercial and industry horse identification and movement registers be encouraged to author</w:t>
      </w:r>
      <w:r w:rsidRPr="00DA06C7">
        <w:rPr>
          <w:rFonts w:ascii="Cambria" w:hAnsi="Cambria"/>
          <w:color w:val="000000" w:themeColor="text1"/>
        </w:rPr>
        <w:t xml:space="preserve">ise </w:t>
      </w:r>
      <w:r w:rsidRPr="00DA06C7">
        <w:rPr>
          <w:rFonts w:ascii="Cambria" w:hAnsi="Cambria"/>
          <w:color w:val="000000"/>
          <w:shd w:val="clear" w:color="auto" w:fill="FFFFFF"/>
        </w:rPr>
        <w:t xml:space="preserve">as part of their Terms of Use </w:t>
      </w:r>
      <w:r>
        <w:rPr>
          <w:rFonts w:ascii="Cambria" w:hAnsi="Cambria"/>
          <w:color w:val="000000" w:themeColor="text1"/>
        </w:rPr>
        <w:t>conditions that allow</w:t>
      </w:r>
      <w:r w:rsidRPr="00DA06C7">
        <w:rPr>
          <w:rFonts w:ascii="Cambria" w:hAnsi="Cambria"/>
          <w:color w:val="000000" w:themeColor="text1"/>
        </w:rPr>
        <w:t xml:space="preserve"> the</w:t>
      </w:r>
      <w:r w:rsidRPr="00DA06C7">
        <w:rPr>
          <w:rFonts w:ascii="Cambria" w:hAnsi="Cambria"/>
          <w:color w:val="000000"/>
          <w:shd w:val="clear" w:color="auto" w:fill="FFFFFF"/>
        </w:rPr>
        <w:t xml:space="preserve"> release </w:t>
      </w:r>
      <w:r w:rsidRPr="00DA06C7">
        <w:rPr>
          <w:rFonts w:ascii="Cambria" w:hAnsi="Cambria"/>
          <w:color w:val="000000" w:themeColor="text1"/>
        </w:rPr>
        <w:t xml:space="preserve">of </w:t>
      </w:r>
      <w:r w:rsidRPr="00DA06C7">
        <w:rPr>
          <w:rFonts w:ascii="Cambria" w:hAnsi="Cambria"/>
          <w:color w:val="000000"/>
          <w:shd w:val="clear" w:color="auto" w:fill="FFFFFF"/>
        </w:rPr>
        <w:t xml:space="preserve">data to government agencies for use during biosecurity incidents and emergencies  </w:t>
      </w:r>
    </w:p>
    <w:p w14:paraId="7837C3D8" w14:textId="54BECF3A" w:rsidR="003E001F" w:rsidRPr="001F4D16" w:rsidRDefault="003E001F" w:rsidP="003E001F">
      <w:pPr>
        <w:pStyle w:val="ListParagraph"/>
        <w:numPr>
          <w:ilvl w:val="0"/>
          <w:numId w:val="39"/>
        </w:numPr>
        <w:spacing w:line="276" w:lineRule="auto"/>
        <w:rPr>
          <w:rFonts w:ascii="Cambria" w:hAnsi="Cambria" w:cstheme="minorBidi"/>
          <w:color w:val="000000"/>
          <w:shd w:val="clear" w:color="auto" w:fill="FFFFFF"/>
        </w:rPr>
      </w:pPr>
      <w:r>
        <w:rPr>
          <w:rFonts w:ascii="Cambria" w:hAnsi="Cambria" w:cstheme="minorBidi"/>
          <w:color w:val="000000" w:themeColor="text1"/>
        </w:rPr>
        <w:t xml:space="preserve">AMM </w:t>
      </w:r>
      <w:r w:rsidRPr="00DA06C7">
        <w:rPr>
          <w:rFonts w:ascii="Cambria" w:hAnsi="Cambria" w:cstheme="minorBidi"/>
          <w:color w:val="000000" w:themeColor="text1"/>
        </w:rPr>
        <w:t>a</w:t>
      </w:r>
      <w:r w:rsidRPr="00DA06C7">
        <w:rPr>
          <w:rFonts w:ascii="Cambria" w:hAnsi="Cambria" w:cstheme="minorBidi"/>
          <w:color w:val="000000"/>
          <w:shd w:val="clear" w:color="auto" w:fill="FFFFFF"/>
        </w:rPr>
        <w:t>ppoint</w:t>
      </w:r>
      <w:r w:rsidRPr="00DA06C7">
        <w:rPr>
          <w:rFonts w:ascii="Cambria" w:hAnsi="Cambria"/>
        </w:rPr>
        <w:t xml:space="preserve"> an industry led National Horse </w:t>
      </w:r>
      <w:r w:rsidRPr="001F4D16">
        <w:rPr>
          <w:rFonts w:ascii="Cambria" w:hAnsi="Cambria"/>
        </w:rPr>
        <w:t xml:space="preserve">Traceability Implementation Taskforce (NHTIT) </w:t>
      </w:r>
      <w:r w:rsidRPr="00C041D9">
        <w:rPr>
          <w:rFonts w:ascii="Cambria" w:hAnsi="Cambria"/>
        </w:rPr>
        <w:t>to:</w:t>
      </w:r>
    </w:p>
    <w:p w14:paraId="0E612BEF" w14:textId="00BEDC78" w:rsidR="003E001F" w:rsidRPr="00893C86" w:rsidRDefault="003E001F" w:rsidP="003E001F">
      <w:pPr>
        <w:pStyle w:val="ListParagraph"/>
        <w:numPr>
          <w:ilvl w:val="0"/>
          <w:numId w:val="40"/>
        </w:numPr>
        <w:spacing w:line="276" w:lineRule="auto"/>
        <w:rPr>
          <w:rFonts w:ascii="Cambria" w:hAnsi="Cambria"/>
          <w:color w:val="000000"/>
          <w:shd w:val="clear" w:color="auto" w:fill="FFFFFF"/>
        </w:rPr>
      </w:pPr>
      <w:r w:rsidRPr="001F4D16">
        <w:rPr>
          <w:rFonts w:ascii="Cambria" w:hAnsi="Cambria"/>
          <w:color w:val="000000" w:themeColor="text1"/>
        </w:rPr>
        <w:t>recommend within 12 months of AMM agreement in principle to proceed, a mechanism for generating the funding needed for system implementation and maintenance, in particular cover</w:t>
      </w:r>
      <w:r>
        <w:rPr>
          <w:rFonts w:ascii="Cambria" w:hAnsi="Cambria"/>
          <w:color w:val="000000" w:themeColor="text1"/>
        </w:rPr>
        <w:t>ing</w:t>
      </w:r>
      <w:r w:rsidRPr="001F4D16">
        <w:rPr>
          <w:rFonts w:ascii="Cambria" w:hAnsi="Cambria"/>
          <w:color w:val="000000" w:themeColor="text1"/>
        </w:rPr>
        <w:t xml:space="preserve"> costs associated with communications, monitoring and enforcement;</w:t>
      </w:r>
    </w:p>
    <w:p w14:paraId="40DF2A0B" w14:textId="2339CCF3" w:rsidR="003E001F" w:rsidRPr="001F4D16" w:rsidRDefault="002D5181" w:rsidP="003E001F">
      <w:pPr>
        <w:pStyle w:val="ListParagraph"/>
        <w:numPr>
          <w:ilvl w:val="0"/>
          <w:numId w:val="40"/>
        </w:numPr>
        <w:spacing w:line="276" w:lineRule="auto"/>
        <w:rPr>
          <w:rFonts w:ascii="Cambria" w:hAnsi="Cambria"/>
          <w:color w:val="000000"/>
          <w:shd w:val="clear" w:color="auto" w:fill="FFFFFF"/>
        </w:rPr>
      </w:pPr>
      <w:r>
        <w:rPr>
          <w:rFonts w:ascii="Cambria" w:hAnsi="Cambria"/>
          <w:color w:val="000000" w:themeColor="text1"/>
        </w:rPr>
        <w:t>d</w:t>
      </w:r>
      <w:r w:rsidR="003E001F">
        <w:rPr>
          <w:rFonts w:ascii="Cambria" w:hAnsi="Cambria"/>
          <w:color w:val="000000" w:themeColor="text1"/>
        </w:rPr>
        <w:t xml:space="preserve">evelop a </w:t>
      </w:r>
      <w:r w:rsidR="003E001F" w:rsidRPr="004626F3">
        <w:rPr>
          <w:rFonts w:ascii="Cambria" w:hAnsi="Cambria"/>
          <w:color w:val="000000" w:themeColor="text1"/>
        </w:rPr>
        <w:t xml:space="preserve">cost guide to inform </w:t>
      </w:r>
      <w:r w:rsidR="003E001F">
        <w:rPr>
          <w:rFonts w:ascii="Cambria" w:hAnsi="Cambria"/>
          <w:color w:val="000000" w:themeColor="text1"/>
        </w:rPr>
        <w:t xml:space="preserve">and secure </w:t>
      </w:r>
      <w:r w:rsidR="003E001F" w:rsidRPr="004626F3">
        <w:rPr>
          <w:rFonts w:ascii="Cambria" w:hAnsi="Cambria"/>
          <w:color w:val="000000" w:themeColor="text1"/>
        </w:rPr>
        <w:t>outcome-based funding to enable</w:t>
      </w:r>
      <w:r w:rsidR="003E001F">
        <w:rPr>
          <w:rFonts w:ascii="Cambria" w:hAnsi="Cambria"/>
          <w:color w:val="000000" w:themeColor="text1"/>
        </w:rPr>
        <w:t xml:space="preserve"> implementation; </w:t>
      </w:r>
    </w:p>
    <w:p w14:paraId="4C5CC701" w14:textId="71402444" w:rsidR="003E001F" w:rsidRDefault="003E001F" w:rsidP="003E001F">
      <w:pPr>
        <w:pStyle w:val="ListParagraph"/>
        <w:numPr>
          <w:ilvl w:val="0"/>
          <w:numId w:val="40"/>
        </w:numPr>
        <w:spacing w:line="276" w:lineRule="auto"/>
        <w:rPr>
          <w:rFonts w:ascii="Cambria" w:hAnsi="Cambria" w:cstheme="minorBidi"/>
          <w:color w:val="000000"/>
          <w:shd w:val="clear" w:color="auto" w:fill="FFFFFF"/>
        </w:rPr>
      </w:pPr>
      <w:r w:rsidRPr="001F4D16">
        <w:rPr>
          <w:rFonts w:ascii="Cambria" w:hAnsi="Cambria" w:cs="Arial"/>
          <w:color w:val="000000"/>
          <w:shd w:val="clear" w:color="auto" w:fill="FFFFFF"/>
        </w:rPr>
        <w:t>oversee</w:t>
      </w:r>
      <w:r w:rsidRPr="00DA06C7">
        <w:rPr>
          <w:rFonts w:ascii="Cambria" w:hAnsi="Cambria" w:cs="Arial"/>
          <w:color w:val="000000"/>
          <w:shd w:val="clear" w:color="auto" w:fill="FFFFFF"/>
        </w:rPr>
        <w:t xml:space="preserve"> the introduction </w:t>
      </w:r>
      <w:r>
        <w:rPr>
          <w:rFonts w:ascii="Cambria" w:hAnsi="Cambria" w:cs="Arial"/>
          <w:color w:val="000000"/>
          <w:shd w:val="clear" w:color="auto" w:fill="FFFFFF"/>
        </w:rPr>
        <w:t xml:space="preserve">of the </w:t>
      </w:r>
      <w:r w:rsidRPr="00DA06C7">
        <w:rPr>
          <w:rFonts w:ascii="Cambria" w:hAnsi="Cambria" w:cs="Arial"/>
          <w:color w:val="000000"/>
          <w:shd w:val="clear" w:color="auto" w:fill="FFFFFF"/>
        </w:rPr>
        <w:t xml:space="preserve">preferred NHTS </w:t>
      </w:r>
      <w:r>
        <w:rPr>
          <w:rFonts w:ascii="Cambria" w:hAnsi="Cambria" w:cs="Arial"/>
          <w:color w:val="000000"/>
          <w:shd w:val="clear" w:color="auto" w:fill="FFFFFF"/>
        </w:rPr>
        <w:t xml:space="preserve">(Option 2) </w:t>
      </w:r>
      <w:r w:rsidRPr="00DA06C7">
        <w:rPr>
          <w:rFonts w:ascii="Cambria" w:hAnsi="Cambria" w:cs="Arial"/>
          <w:color w:val="000000"/>
          <w:shd w:val="clear" w:color="auto" w:fill="FFFFFF"/>
        </w:rPr>
        <w:t>within agreed timelines</w:t>
      </w:r>
      <w:r w:rsidRPr="00DA06C7">
        <w:rPr>
          <w:rFonts w:ascii="Cambria" w:hAnsi="Cambria" w:cstheme="minorBidi"/>
          <w:color w:val="000000"/>
          <w:shd w:val="clear" w:color="auto" w:fill="FFFFFF"/>
        </w:rPr>
        <w:t>;</w:t>
      </w:r>
    </w:p>
    <w:p w14:paraId="1E4B577E" w14:textId="05C628CB" w:rsidR="003E001F" w:rsidRPr="00DA06C7" w:rsidRDefault="00F12873" w:rsidP="003E001F">
      <w:pPr>
        <w:pStyle w:val="ListParagraph"/>
        <w:numPr>
          <w:ilvl w:val="0"/>
          <w:numId w:val="40"/>
        </w:numPr>
        <w:spacing w:line="276" w:lineRule="auto"/>
        <w:rPr>
          <w:rFonts w:ascii="Cambria" w:hAnsi="Cambria" w:cstheme="minorBidi"/>
          <w:color w:val="000000"/>
          <w:shd w:val="clear" w:color="auto" w:fill="FFFFFF"/>
        </w:rPr>
      </w:pPr>
      <w:r>
        <w:rPr>
          <w:rFonts w:ascii="Cambria" w:hAnsi="Cambria" w:cs="Arial"/>
          <w:color w:val="000000"/>
          <w:shd w:val="clear" w:color="auto" w:fill="FFFFFF"/>
        </w:rPr>
        <w:t>a</w:t>
      </w:r>
      <w:r w:rsidR="003E001F">
        <w:rPr>
          <w:rFonts w:ascii="Cambria" w:hAnsi="Cambria" w:cs="Arial"/>
          <w:color w:val="000000"/>
          <w:shd w:val="clear" w:color="auto" w:fill="FFFFFF"/>
        </w:rPr>
        <w:t>gree on KPIs against which the performance of the NHTS can be assessed in the future;</w:t>
      </w:r>
    </w:p>
    <w:p w14:paraId="4B68465A" w14:textId="77777777" w:rsidR="003E001F" w:rsidRPr="00DA06C7" w:rsidRDefault="003E001F" w:rsidP="003E001F">
      <w:pPr>
        <w:pStyle w:val="ListParagraph"/>
        <w:numPr>
          <w:ilvl w:val="0"/>
          <w:numId w:val="40"/>
        </w:numPr>
        <w:spacing w:line="276" w:lineRule="auto"/>
        <w:rPr>
          <w:rFonts w:ascii="Cambria" w:hAnsi="Cambria" w:cstheme="minorBidi"/>
          <w:color w:val="000000"/>
          <w:shd w:val="clear" w:color="auto" w:fill="FFFFFF"/>
        </w:rPr>
      </w:pPr>
      <w:r w:rsidRPr="00DA06C7">
        <w:rPr>
          <w:rFonts w:ascii="Cambria" w:hAnsi="Cambria" w:cstheme="minorBidi"/>
          <w:color w:val="000000"/>
          <w:shd w:val="clear" w:color="auto" w:fill="FFFFFF"/>
        </w:rPr>
        <w:t>develop a communications plan to be delivered by government and industry organisations outlining to horse industry participants their NHTS related obligations</w:t>
      </w:r>
      <w:r>
        <w:rPr>
          <w:rFonts w:ascii="Cambria" w:hAnsi="Cambria" w:cstheme="minorBidi"/>
          <w:color w:val="000000"/>
          <w:shd w:val="clear" w:color="auto" w:fill="FFFFFF"/>
        </w:rPr>
        <w:t xml:space="preserve"> and the benefits of the system</w:t>
      </w:r>
      <w:r w:rsidRPr="00DA06C7">
        <w:rPr>
          <w:rFonts w:ascii="Cambria" w:hAnsi="Cambria" w:cstheme="minorBidi"/>
          <w:color w:val="000000"/>
          <w:shd w:val="clear" w:color="auto" w:fill="FFFFFF"/>
        </w:rPr>
        <w:t xml:space="preserve">; </w:t>
      </w:r>
    </w:p>
    <w:p w14:paraId="7A5FD2C4" w14:textId="32445181" w:rsidR="003E001F" w:rsidRDefault="00DB10BD" w:rsidP="003E001F">
      <w:pPr>
        <w:pStyle w:val="ListParagraph"/>
        <w:numPr>
          <w:ilvl w:val="0"/>
          <w:numId w:val="40"/>
        </w:numPr>
        <w:spacing w:line="276" w:lineRule="auto"/>
        <w:rPr>
          <w:rFonts w:ascii="Cambria" w:hAnsi="Cambria" w:cstheme="minorBidi"/>
          <w:color w:val="000000"/>
          <w:shd w:val="clear" w:color="auto" w:fill="FFFFFF"/>
        </w:rPr>
      </w:pPr>
      <w:r>
        <w:rPr>
          <w:rFonts w:ascii="Cambria" w:hAnsi="Cambria" w:cstheme="minorBidi"/>
          <w:color w:val="000000"/>
          <w:shd w:val="clear" w:color="auto" w:fill="FFFFFF"/>
        </w:rPr>
        <w:t xml:space="preserve">through an independent review, </w:t>
      </w:r>
      <w:r w:rsidR="003E001F" w:rsidRPr="004B6DB2">
        <w:rPr>
          <w:rFonts w:ascii="Cambria" w:hAnsi="Cambria" w:cstheme="minorBidi"/>
          <w:color w:val="000000"/>
          <w:shd w:val="clear" w:color="auto" w:fill="FFFFFF"/>
        </w:rPr>
        <w:t>explore opportunities for greater database integration and electronic movement record collection and storage</w:t>
      </w:r>
      <w:r>
        <w:rPr>
          <w:rFonts w:ascii="Cambria" w:hAnsi="Cambria" w:cstheme="minorBidi"/>
          <w:color w:val="000000"/>
          <w:shd w:val="clear" w:color="auto" w:fill="FFFFFF"/>
        </w:rPr>
        <w:t xml:space="preserve"> including </w:t>
      </w:r>
      <w:r w:rsidR="005A3445">
        <w:rPr>
          <w:rFonts w:ascii="Cambria" w:hAnsi="Cambria" w:cstheme="minorBidi"/>
          <w:color w:val="000000"/>
          <w:shd w:val="clear" w:color="auto" w:fill="FFFFFF"/>
        </w:rPr>
        <w:t>leverag</w:t>
      </w:r>
      <w:r w:rsidR="00A5223B">
        <w:rPr>
          <w:rFonts w:ascii="Cambria" w:hAnsi="Cambria" w:cstheme="minorBidi"/>
          <w:color w:val="000000"/>
          <w:shd w:val="clear" w:color="auto" w:fill="FFFFFF"/>
        </w:rPr>
        <w:t xml:space="preserve">ing </w:t>
      </w:r>
      <w:r w:rsidR="005A1CB2">
        <w:rPr>
          <w:rFonts w:ascii="Cambria" w:hAnsi="Cambria" w:cstheme="minorBidi"/>
          <w:color w:val="000000"/>
          <w:shd w:val="clear" w:color="auto" w:fill="FFFFFF"/>
        </w:rPr>
        <w:t xml:space="preserve">existing </w:t>
      </w:r>
      <w:r w:rsidR="00A5223B">
        <w:rPr>
          <w:rFonts w:ascii="Cambria" w:hAnsi="Cambria" w:cstheme="minorBidi"/>
          <w:color w:val="000000"/>
          <w:shd w:val="clear" w:color="auto" w:fill="FFFFFF"/>
        </w:rPr>
        <w:t>industry</w:t>
      </w:r>
      <w:r w:rsidR="005A3445">
        <w:rPr>
          <w:rFonts w:ascii="Cambria" w:hAnsi="Cambria" w:cstheme="minorBidi"/>
          <w:color w:val="000000"/>
          <w:shd w:val="clear" w:color="auto" w:fill="FFFFFF"/>
        </w:rPr>
        <w:t xml:space="preserve"> sector database</w:t>
      </w:r>
      <w:r w:rsidR="00A5223B">
        <w:rPr>
          <w:rFonts w:ascii="Cambria" w:hAnsi="Cambria" w:cstheme="minorBidi"/>
          <w:color w:val="000000"/>
          <w:shd w:val="clear" w:color="auto" w:fill="FFFFFF"/>
        </w:rPr>
        <w:t>s</w:t>
      </w:r>
      <w:r w:rsidR="005A3445">
        <w:rPr>
          <w:rFonts w:ascii="Cambria" w:hAnsi="Cambria" w:cstheme="minorBidi"/>
          <w:color w:val="000000"/>
          <w:shd w:val="clear" w:color="auto" w:fill="FFFFFF"/>
        </w:rPr>
        <w:t xml:space="preserve"> and </w:t>
      </w:r>
      <w:r>
        <w:rPr>
          <w:rFonts w:ascii="Cambria" w:hAnsi="Cambria" w:cstheme="minorBidi"/>
          <w:color w:val="000000"/>
          <w:shd w:val="clear" w:color="auto" w:fill="FFFFFF"/>
        </w:rPr>
        <w:t>the possibility of adopting Universal Equine Life Number (UELN) standards</w:t>
      </w:r>
      <w:r w:rsidR="003E001F" w:rsidRPr="004B6DB2">
        <w:rPr>
          <w:rFonts w:ascii="Cambria" w:hAnsi="Cambria" w:cstheme="minorBidi"/>
          <w:color w:val="000000"/>
          <w:shd w:val="clear" w:color="auto" w:fill="FFFFFF"/>
        </w:rPr>
        <w:t xml:space="preserve">; </w:t>
      </w:r>
    </w:p>
    <w:p w14:paraId="4925B4DF" w14:textId="77777777" w:rsidR="003E001F" w:rsidRPr="004B6DB2" w:rsidRDefault="003E001F" w:rsidP="003E001F">
      <w:pPr>
        <w:pStyle w:val="ListParagraph"/>
        <w:numPr>
          <w:ilvl w:val="0"/>
          <w:numId w:val="40"/>
        </w:numPr>
        <w:spacing w:line="276" w:lineRule="auto"/>
        <w:rPr>
          <w:rFonts w:ascii="Cambria" w:hAnsi="Cambria" w:cstheme="minorBidi"/>
          <w:color w:val="000000"/>
          <w:shd w:val="clear" w:color="auto" w:fill="FFFFFF"/>
        </w:rPr>
      </w:pPr>
      <w:r>
        <w:rPr>
          <w:rFonts w:ascii="Cambria" w:hAnsi="Cambria" w:cstheme="minorBidi"/>
          <w:color w:val="000000"/>
          <w:shd w:val="clear" w:color="auto" w:fill="FFFFFF"/>
        </w:rPr>
        <w:t>e</w:t>
      </w:r>
      <w:r w:rsidRPr="004B6DB2">
        <w:rPr>
          <w:rFonts w:ascii="Cambria" w:hAnsi="Cambria" w:cstheme="minorBidi"/>
          <w:color w:val="000000"/>
          <w:shd w:val="clear" w:color="auto" w:fill="FFFFFF"/>
        </w:rPr>
        <w:t>ncourage and support industry sectors that choose to implement enhanced version</w:t>
      </w:r>
      <w:r>
        <w:rPr>
          <w:rFonts w:ascii="Cambria" w:hAnsi="Cambria" w:cstheme="minorBidi"/>
          <w:color w:val="000000"/>
          <w:shd w:val="clear" w:color="auto" w:fill="FFFFFF"/>
        </w:rPr>
        <w:t>s</w:t>
      </w:r>
      <w:r w:rsidRPr="004B6DB2">
        <w:rPr>
          <w:rFonts w:ascii="Cambria" w:hAnsi="Cambria" w:cstheme="minorBidi"/>
          <w:color w:val="000000"/>
          <w:shd w:val="clear" w:color="auto" w:fill="FFFFFF"/>
        </w:rPr>
        <w:t xml:space="preserve"> of the NHTS </w:t>
      </w:r>
      <w:r>
        <w:rPr>
          <w:rFonts w:ascii="Cambria" w:hAnsi="Cambria" w:cstheme="minorBidi"/>
          <w:color w:val="000000"/>
          <w:shd w:val="clear" w:color="auto" w:fill="FFFFFF"/>
        </w:rPr>
        <w:t>that have broader objectives</w:t>
      </w:r>
      <w:r w:rsidRPr="004B6DB2">
        <w:rPr>
          <w:rFonts w:ascii="Cambria" w:hAnsi="Cambria" w:cstheme="minorBidi"/>
          <w:color w:val="000000"/>
          <w:shd w:val="clear" w:color="auto" w:fill="FFFFFF"/>
        </w:rPr>
        <w:t xml:space="preserve"> </w:t>
      </w:r>
      <w:r>
        <w:rPr>
          <w:rFonts w:ascii="Cambria" w:hAnsi="Cambria" w:cstheme="minorBidi"/>
          <w:color w:val="000000"/>
          <w:shd w:val="clear" w:color="auto" w:fill="FFFFFF"/>
        </w:rPr>
        <w:t>such as</w:t>
      </w:r>
      <w:r w:rsidRPr="004B6DB2">
        <w:rPr>
          <w:rFonts w:ascii="Cambria" w:hAnsi="Cambria" w:cstheme="minorBidi"/>
          <w:color w:val="000000"/>
          <w:shd w:val="clear" w:color="auto" w:fill="FFFFFF"/>
        </w:rPr>
        <w:t xml:space="preserve"> welfare, emergency response management, rider safety and the integrity of trade in horses</w:t>
      </w:r>
    </w:p>
    <w:p w14:paraId="469898AB" w14:textId="77777777" w:rsidR="003E001F" w:rsidRPr="004B6DB2" w:rsidRDefault="003E001F" w:rsidP="003E001F">
      <w:pPr>
        <w:pStyle w:val="ListParagraph"/>
        <w:numPr>
          <w:ilvl w:val="0"/>
          <w:numId w:val="40"/>
        </w:numPr>
        <w:spacing w:line="276" w:lineRule="auto"/>
        <w:rPr>
          <w:rFonts w:ascii="Cambria" w:eastAsiaTheme="majorEastAsia" w:hAnsi="Cambria" w:cstheme="majorBidi"/>
          <w:color w:val="000000"/>
          <w:shd w:val="clear" w:color="auto" w:fill="FFFFFF"/>
        </w:rPr>
      </w:pPr>
      <w:r>
        <w:rPr>
          <w:rFonts w:ascii="Cambria" w:hAnsi="Cambria" w:cstheme="minorBidi"/>
          <w:color w:val="000000"/>
          <w:shd w:val="clear" w:color="auto" w:fill="FFFFFF"/>
        </w:rPr>
        <w:t>w</w:t>
      </w:r>
      <w:r w:rsidRPr="004B6DB2">
        <w:rPr>
          <w:rFonts w:ascii="Cambria" w:hAnsi="Cambria" w:cstheme="minorBidi"/>
          <w:color w:val="000000"/>
          <w:shd w:val="clear" w:color="auto" w:fill="FFFFFF"/>
        </w:rPr>
        <w:t>ithin five years after its commencement, engage an independent consultant to review the NHTS for the purpose</w:t>
      </w:r>
      <w:r w:rsidRPr="004B6DB2">
        <w:rPr>
          <w:rFonts w:ascii="Cambria" w:hAnsi="Cambria" w:cstheme="minorBidi"/>
          <w:color w:val="000000" w:themeColor="text1"/>
        </w:rPr>
        <w:t xml:space="preserve"> of</w:t>
      </w:r>
      <w:r w:rsidRPr="004B6DB2">
        <w:rPr>
          <w:rFonts w:ascii="Cambria" w:hAnsi="Cambria" w:cstheme="minorBidi"/>
          <w:color w:val="000000"/>
          <w:shd w:val="clear" w:color="auto" w:fill="FFFFFF"/>
        </w:rPr>
        <w:t>:</w:t>
      </w:r>
    </w:p>
    <w:p w14:paraId="6725A0CD" w14:textId="336C68A9" w:rsidR="003E001F" w:rsidRPr="00DA06C7" w:rsidRDefault="003E001F" w:rsidP="003E001F">
      <w:pPr>
        <w:pStyle w:val="ListParagraph"/>
        <w:numPr>
          <w:ilvl w:val="0"/>
          <w:numId w:val="41"/>
        </w:numPr>
        <w:spacing w:line="276" w:lineRule="auto"/>
        <w:ind w:left="1560"/>
        <w:rPr>
          <w:rFonts w:ascii="Cambria" w:eastAsiaTheme="majorEastAsia" w:hAnsi="Cambria" w:cstheme="majorBidi"/>
          <w:color w:val="000000"/>
          <w:shd w:val="clear" w:color="auto" w:fill="FFFFFF"/>
        </w:rPr>
      </w:pPr>
      <w:r w:rsidRPr="00DA06C7">
        <w:rPr>
          <w:rFonts w:ascii="Cambria" w:hAnsi="Cambria" w:cstheme="minorBidi"/>
          <w:color w:val="000000"/>
          <w:shd w:val="clear" w:color="auto" w:fill="FFFFFF"/>
        </w:rPr>
        <w:t>assess</w:t>
      </w:r>
      <w:r w:rsidRPr="00DA06C7">
        <w:rPr>
          <w:rFonts w:ascii="Cambria" w:hAnsi="Cambria" w:cstheme="minorBidi"/>
          <w:color w:val="000000" w:themeColor="text1"/>
        </w:rPr>
        <w:t>ing</w:t>
      </w:r>
      <w:r w:rsidRPr="00DA06C7">
        <w:rPr>
          <w:rFonts w:ascii="Cambria" w:hAnsi="Cambria" w:cstheme="minorBidi"/>
          <w:color w:val="000000"/>
          <w:shd w:val="clear" w:color="auto" w:fill="FFFFFF"/>
        </w:rPr>
        <w:t xml:space="preserve"> its effectiveness at tracing horses for biosecurity purposes against </w:t>
      </w:r>
      <w:r>
        <w:rPr>
          <w:rFonts w:ascii="Cambria" w:hAnsi="Cambria" w:cstheme="minorBidi"/>
          <w:color w:val="000000"/>
          <w:shd w:val="clear" w:color="auto" w:fill="FFFFFF"/>
        </w:rPr>
        <w:t>agreed</w:t>
      </w:r>
      <w:r w:rsidRPr="00DA06C7">
        <w:rPr>
          <w:rFonts w:ascii="Cambria" w:hAnsi="Cambria" w:cstheme="minorBidi"/>
          <w:color w:val="000000"/>
          <w:shd w:val="clear" w:color="auto" w:fill="FFFFFF"/>
        </w:rPr>
        <w:t xml:space="preserve"> performance standards (</w:t>
      </w:r>
      <w:r>
        <w:rPr>
          <w:rFonts w:ascii="Cambria" w:hAnsi="Cambria" w:cstheme="minorBidi"/>
          <w:color w:val="000000"/>
          <w:shd w:val="clear" w:color="auto" w:fill="FFFFFF"/>
        </w:rPr>
        <w:t>as listed in the business rules - see</w:t>
      </w:r>
      <w:r w:rsidRPr="00DA06C7">
        <w:rPr>
          <w:rFonts w:ascii="Cambria" w:hAnsi="Cambria" w:cstheme="minorBidi"/>
          <w:color w:val="000000"/>
          <w:shd w:val="clear" w:color="auto" w:fill="FFFFFF"/>
        </w:rPr>
        <w:t xml:space="preserve"> </w:t>
      </w:r>
      <w:r>
        <w:rPr>
          <w:rFonts w:ascii="Cambria" w:hAnsi="Cambria" w:cstheme="minorBidi"/>
          <w:color w:val="000000"/>
          <w:shd w:val="clear" w:color="auto" w:fill="FFFFFF"/>
        </w:rPr>
        <w:t>A</w:t>
      </w:r>
      <w:r w:rsidR="00FB2CE5">
        <w:rPr>
          <w:rFonts w:ascii="Cambria" w:hAnsi="Cambria" w:cstheme="minorBidi"/>
          <w:color w:val="000000"/>
          <w:shd w:val="clear" w:color="auto" w:fill="FFFFFF"/>
        </w:rPr>
        <w:t xml:space="preserve">ppendix </w:t>
      </w:r>
      <w:r w:rsidRPr="00DA06C7">
        <w:rPr>
          <w:rFonts w:ascii="Cambria" w:hAnsi="Cambria" w:cstheme="minorBidi"/>
          <w:color w:val="000000"/>
          <w:shd w:val="clear" w:color="auto" w:fill="FFFFFF"/>
        </w:rPr>
        <w:t xml:space="preserve">A) </w:t>
      </w:r>
    </w:p>
    <w:p w14:paraId="2996B9A8" w14:textId="41BB4221" w:rsidR="003E001F" w:rsidRPr="00DA06C7" w:rsidRDefault="003E001F" w:rsidP="003E001F">
      <w:pPr>
        <w:pStyle w:val="ListParagraph"/>
        <w:numPr>
          <w:ilvl w:val="0"/>
          <w:numId w:val="41"/>
        </w:numPr>
        <w:spacing w:line="276" w:lineRule="auto"/>
        <w:ind w:left="1560"/>
        <w:rPr>
          <w:rFonts w:ascii="Cambria" w:eastAsiaTheme="majorEastAsia" w:hAnsi="Cambria" w:cstheme="majorBidi"/>
          <w:color w:val="000000"/>
          <w:shd w:val="clear" w:color="auto" w:fill="FFFFFF"/>
        </w:rPr>
      </w:pPr>
      <w:r w:rsidRPr="00DA06C7">
        <w:rPr>
          <w:rFonts w:ascii="Cambria" w:hAnsi="Cambria" w:cstheme="minorBidi"/>
          <w:color w:val="000000" w:themeColor="text1"/>
        </w:rPr>
        <w:t xml:space="preserve">advising </w:t>
      </w:r>
      <w:r>
        <w:rPr>
          <w:rFonts w:ascii="Cambria" w:hAnsi="Cambria" w:cstheme="minorBidi"/>
          <w:color w:val="000000" w:themeColor="text1"/>
        </w:rPr>
        <w:t>AMM</w:t>
      </w:r>
      <w:r w:rsidRPr="00DA06C7">
        <w:rPr>
          <w:rFonts w:ascii="Cambria" w:hAnsi="Cambria" w:cstheme="minorBidi"/>
          <w:color w:val="000000" w:themeColor="text1"/>
        </w:rPr>
        <w:t xml:space="preserve"> on t</w:t>
      </w:r>
      <w:r w:rsidRPr="00DA06C7">
        <w:rPr>
          <w:rFonts w:ascii="Cambria" w:hAnsi="Cambria" w:cs="Arial"/>
          <w:color w:val="000000" w:themeColor="text1"/>
        </w:rPr>
        <w:t xml:space="preserve">he benefits, feasibility, cost and </w:t>
      </w:r>
      <w:r>
        <w:rPr>
          <w:rFonts w:ascii="Cambria" w:hAnsi="Cambria" w:cs="Arial"/>
          <w:color w:val="000000" w:themeColor="text1"/>
        </w:rPr>
        <w:t>a</w:t>
      </w:r>
      <w:r w:rsidRPr="00DA06C7">
        <w:rPr>
          <w:rFonts w:ascii="Cambria" w:hAnsi="Cambria" w:cs="Arial"/>
          <w:color w:val="000000" w:themeColor="text1"/>
        </w:rPr>
        <w:t xml:space="preserve"> funding model to support the introduction of a microchip-based traceability system for all horses incorporating a national horse database and movement register, and </w:t>
      </w:r>
      <w:r>
        <w:rPr>
          <w:rFonts w:ascii="Cambria" w:hAnsi="Cambria" w:cs="Arial"/>
          <w:color w:val="000000" w:themeColor="text1"/>
        </w:rPr>
        <w:t xml:space="preserve">covering </w:t>
      </w:r>
      <w:r w:rsidRPr="00DA06C7">
        <w:rPr>
          <w:rFonts w:ascii="Cambria" w:hAnsi="Cambria" w:cs="Arial"/>
          <w:color w:val="000000" w:themeColor="text1"/>
        </w:rPr>
        <w:t xml:space="preserve">associated </w:t>
      </w:r>
      <w:r>
        <w:rPr>
          <w:rFonts w:ascii="Cambria" w:hAnsi="Cambria" w:cs="Arial"/>
          <w:color w:val="000000" w:themeColor="text1"/>
        </w:rPr>
        <w:t xml:space="preserve">start-up costs and ongoing </w:t>
      </w:r>
      <w:r w:rsidRPr="00DA06C7">
        <w:rPr>
          <w:rFonts w:ascii="Cambria" w:hAnsi="Cambria" w:cs="Arial"/>
          <w:color w:val="000000" w:themeColor="text1"/>
        </w:rPr>
        <w:t xml:space="preserve">communications, monitoring and enforcement activities </w:t>
      </w:r>
    </w:p>
    <w:p w14:paraId="165D2C10" w14:textId="77777777" w:rsidR="003E001F" w:rsidRPr="00DA06C7" w:rsidRDefault="003E001F" w:rsidP="003E001F">
      <w:pPr>
        <w:pStyle w:val="ListParagraph"/>
        <w:numPr>
          <w:ilvl w:val="0"/>
          <w:numId w:val="41"/>
        </w:numPr>
        <w:spacing w:line="276" w:lineRule="auto"/>
        <w:ind w:left="1560"/>
        <w:rPr>
          <w:rFonts w:ascii="Cambria" w:eastAsiaTheme="majorEastAsia" w:hAnsi="Cambria" w:cstheme="majorBidi"/>
          <w:color w:val="000000"/>
          <w:shd w:val="clear" w:color="auto" w:fill="FFFFFF"/>
        </w:rPr>
      </w:pPr>
      <w:r w:rsidRPr="00DA06C7">
        <w:rPr>
          <w:rFonts w:ascii="Cambria" w:hAnsi="Cambria" w:cstheme="minorBidi"/>
          <w:color w:val="000000"/>
          <w:shd w:val="clear" w:color="auto" w:fill="FFFFFF"/>
        </w:rPr>
        <w:t xml:space="preserve">considering the appropriateness of accommodating broader industry objectives potentially relating to </w:t>
      </w:r>
      <w:r w:rsidRPr="00DA06C7">
        <w:rPr>
          <w:rFonts w:ascii="Cambria" w:hAnsi="Cambria"/>
        </w:rPr>
        <w:t>animal welfare, emergency response management and the integrity of trade in horses,</w:t>
      </w:r>
      <w:r w:rsidRPr="00DA06C7">
        <w:rPr>
          <w:rFonts w:ascii="Cambria" w:hAnsi="Cambria" w:cstheme="minorHAnsi"/>
        </w:rPr>
        <w:t xml:space="preserve"> </w:t>
      </w:r>
      <w:r w:rsidRPr="00DA06C7">
        <w:rPr>
          <w:rFonts w:ascii="Cambria" w:hAnsi="Cambria" w:cstheme="minorBidi"/>
          <w:color w:val="000000"/>
          <w:shd w:val="clear" w:color="auto" w:fill="FFFFFF"/>
        </w:rPr>
        <w:t>as part of the NHTS, and</w:t>
      </w:r>
    </w:p>
    <w:p w14:paraId="0F7026F9" w14:textId="77777777" w:rsidR="003E001F" w:rsidRPr="00DA06C7" w:rsidRDefault="003E001F" w:rsidP="003E001F">
      <w:pPr>
        <w:pStyle w:val="ListParagraph"/>
        <w:numPr>
          <w:ilvl w:val="0"/>
          <w:numId w:val="41"/>
        </w:numPr>
        <w:spacing w:line="276" w:lineRule="auto"/>
        <w:ind w:left="1560"/>
        <w:rPr>
          <w:rFonts w:ascii="Cambria" w:eastAsiaTheme="majorEastAsia" w:hAnsi="Cambria" w:cstheme="majorBidi"/>
          <w:color w:val="000000"/>
          <w:shd w:val="clear" w:color="auto" w:fill="FFFFFF"/>
        </w:rPr>
      </w:pPr>
      <w:r w:rsidRPr="00DA06C7">
        <w:rPr>
          <w:rFonts w:ascii="Cambria" w:hAnsi="Cambria"/>
          <w:color w:val="000000"/>
          <w:shd w:val="clear" w:color="auto" w:fill="FFFFFF"/>
        </w:rPr>
        <w:lastRenderedPageBreak/>
        <w:t>proposing appropriate amendments to the NHTS business rules</w:t>
      </w:r>
      <w:r>
        <w:rPr>
          <w:rFonts w:ascii="Cambria" w:hAnsi="Cambria"/>
          <w:color w:val="000000"/>
          <w:shd w:val="clear" w:color="auto" w:fill="FFFFFF"/>
        </w:rPr>
        <w:t xml:space="preserve"> to enhance the system’s performance</w:t>
      </w:r>
      <w:r w:rsidRPr="00DA06C7">
        <w:rPr>
          <w:rFonts w:ascii="Cambria" w:hAnsi="Cambria"/>
          <w:color w:val="000000"/>
          <w:shd w:val="clear" w:color="auto" w:fill="FFFFFF"/>
        </w:rPr>
        <w:t>.</w:t>
      </w:r>
    </w:p>
    <w:p w14:paraId="5C93EB08" w14:textId="69B3CFC1" w:rsidR="003E001F" w:rsidRDefault="003E001F" w:rsidP="003E001F">
      <w:pPr>
        <w:pStyle w:val="ListParagraph"/>
        <w:numPr>
          <w:ilvl w:val="0"/>
          <w:numId w:val="39"/>
        </w:numPr>
        <w:rPr>
          <w:rFonts w:ascii="Cambria" w:hAnsi="Cambria"/>
        </w:rPr>
      </w:pPr>
      <w:r>
        <w:rPr>
          <w:rFonts w:ascii="Cambria" w:hAnsi="Cambria"/>
        </w:rPr>
        <w:t>Approve the composition of the NHTIT as an industry</w:t>
      </w:r>
      <w:r w:rsidR="000A3A1E">
        <w:rPr>
          <w:rFonts w:ascii="Cambria" w:hAnsi="Cambria"/>
        </w:rPr>
        <w:t>-</w:t>
      </w:r>
      <w:r>
        <w:rPr>
          <w:rFonts w:ascii="Cambria" w:hAnsi="Cambria"/>
        </w:rPr>
        <w:t>led taskforce with Commonwealth and jurisdictional representation.</w:t>
      </w:r>
    </w:p>
    <w:p w14:paraId="45E8A90A" w14:textId="77777777" w:rsidR="009A0260" w:rsidRPr="0080375E" w:rsidRDefault="009A0260" w:rsidP="00D654FC">
      <w:pPr>
        <w:pStyle w:val="Heading2"/>
        <w:rPr>
          <w:rFonts w:asciiTheme="majorHAnsi" w:hAnsiTheme="majorHAnsi"/>
        </w:rPr>
      </w:pPr>
      <w:bookmarkStart w:id="2" w:name="_Toc121397547"/>
      <w:r w:rsidRPr="5CEE9FA0">
        <w:rPr>
          <w:rFonts w:asciiTheme="majorHAnsi" w:hAnsiTheme="majorHAnsi"/>
        </w:rPr>
        <w:lastRenderedPageBreak/>
        <w:t>Background</w:t>
      </w:r>
      <w:bookmarkEnd w:id="2"/>
    </w:p>
    <w:p w14:paraId="2F450860" w14:textId="77777777" w:rsidR="009A0260" w:rsidRPr="0080375E" w:rsidRDefault="009A0260" w:rsidP="00C158ED">
      <w:pPr>
        <w:pStyle w:val="Heading3"/>
        <w:numPr>
          <w:ilvl w:val="1"/>
          <w:numId w:val="0"/>
        </w:numPr>
        <w:spacing w:after="120"/>
        <w:ind w:left="964" w:hanging="964"/>
        <w:rPr>
          <w:rFonts w:asciiTheme="majorHAnsi" w:hAnsiTheme="majorHAnsi"/>
          <w:sz w:val="22"/>
          <w:szCs w:val="22"/>
          <w:lang w:eastAsia="ja-JP"/>
        </w:rPr>
      </w:pPr>
      <w:bookmarkStart w:id="3" w:name="_Toc121397548"/>
      <w:r w:rsidRPr="5CEE9FA0">
        <w:rPr>
          <w:rFonts w:asciiTheme="majorHAnsi" w:hAnsiTheme="majorHAnsi"/>
          <w:sz w:val="22"/>
          <w:szCs w:val="22"/>
          <w:lang w:eastAsia="ja-JP"/>
        </w:rPr>
        <w:t>Senate inquiry</w:t>
      </w:r>
      <w:bookmarkEnd w:id="3"/>
    </w:p>
    <w:p w14:paraId="5F455DC2" w14:textId="635E8D03" w:rsidR="5CEE9FA0" w:rsidRDefault="5CEE9FA0" w:rsidP="00C158ED">
      <w:pPr>
        <w:rPr>
          <w:lang w:eastAsia="ja-JP"/>
        </w:rPr>
      </w:pPr>
      <w:r w:rsidRPr="5CEE9FA0">
        <w:rPr>
          <w:lang w:eastAsia="ja-JP"/>
        </w:rPr>
        <w:t>In early 2019, the Australian Senate requested that its Rural and Regional Affairs and Transport References Committee investigate the feasibility of establishing a National Horse Traceability Register for all horses.  I</w:t>
      </w:r>
      <w:r w:rsidR="00EA1C79" w:rsidRPr="5CEE9FA0">
        <w:rPr>
          <w:lang w:eastAsia="ja-JP"/>
        </w:rPr>
        <w:t>n November 2019, the committee released its report entitled ‘</w:t>
      </w:r>
      <w:r w:rsidR="00EA1C79" w:rsidRPr="5CEE9FA0">
        <w:rPr>
          <w:i/>
          <w:iCs/>
          <w:lang w:eastAsia="ja-JP"/>
        </w:rPr>
        <w:t>The feasibility of a National Horse Traceability Register for all horses</w:t>
      </w:r>
      <w:r w:rsidR="00EA1C79" w:rsidRPr="5CEE9FA0">
        <w:rPr>
          <w:lang w:eastAsia="ja-JP"/>
        </w:rPr>
        <w:t xml:space="preserve">’ (the </w:t>
      </w:r>
      <w:r w:rsidR="005116F3" w:rsidRPr="5CEE9FA0">
        <w:rPr>
          <w:lang w:eastAsia="ja-JP"/>
        </w:rPr>
        <w:t>R</w:t>
      </w:r>
      <w:r w:rsidR="00EA1C79" w:rsidRPr="5CEE9FA0">
        <w:rPr>
          <w:lang w:eastAsia="ja-JP"/>
        </w:rPr>
        <w:t xml:space="preserve">eport).  </w:t>
      </w:r>
    </w:p>
    <w:p w14:paraId="7FE487A1" w14:textId="1F589ADF" w:rsidR="078EABDA" w:rsidRPr="008049C2" w:rsidRDefault="078EABDA" w:rsidP="00C158ED">
      <w:pPr>
        <w:pStyle w:val="Heading3"/>
        <w:numPr>
          <w:ilvl w:val="1"/>
          <w:numId w:val="0"/>
        </w:numPr>
        <w:spacing w:after="120"/>
        <w:ind w:left="964" w:hanging="964"/>
        <w:rPr>
          <w:rFonts w:asciiTheme="majorHAnsi" w:hAnsiTheme="majorHAnsi"/>
          <w:sz w:val="22"/>
          <w:szCs w:val="22"/>
          <w:lang w:eastAsia="ja-JP"/>
        </w:rPr>
      </w:pPr>
      <w:bookmarkStart w:id="4" w:name="_Toc121397549"/>
      <w:r w:rsidRPr="008049C2">
        <w:rPr>
          <w:rFonts w:asciiTheme="majorHAnsi" w:hAnsiTheme="majorHAnsi"/>
          <w:sz w:val="22"/>
          <w:szCs w:val="22"/>
          <w:lang w:eastAsia="ja-JP"/>
        </w:rPr>
        <w:t>Context for the convening of the NHTWG</w:t>
      </w:r>
      <w:bookmarkEnd w:id="4"/>
    </w:p>
    <w:p w14:paraId="2AABD940" w14:textId="130EE267" w:rsidR="078EABDA" w:rsidRDefault="078EABDA" w:rsidP="2EA8987B">
      <w:pPr>
        <w:rPr>
          <w:rFonts w:asciiTheme="majorHAnsi" w:hAnsiTheme="majorHAnsi"/>
          <w:lang w:eastAsia="ja-JP"/>
        </w:rPr>
      </w:pPr>
      <w:r w:rsidRPr="2EA8987B">
        <w:rPr>
          <w:rFonts w:asciiTheme="majorHAnsi" w:hAnsiTheme="majorHAnsi"/>
          <w:lang w:eastAsia="ja-JP"/>
        </w:rPr>
        <w:t>Following the release of the Report, the NHTWG was formed as a non-statutory committee in 2020 by the Agriculture Ministers’ Meeting (AMM) and the Australasian Racing Ministers’ Conference</w:t>
      </w:r>
      <w:r w:rsidR="002975B7">
        <w:rPr>
          <w:rFonts w:asciiTheme="majorHAnsi" w:hAnsiTheme="majorHAnsi"/>
          <w:lang w:eastAsia="ja-JP"/>
        </w:rPr>
        <w:t xml:space="preserve"> (ARMC)</w:t>
      </w:r>
      <w:r w:rsidRPr="2EA8987B">
        <w:rPr>
          <w:rFonts w:asciiTheme="majorHAnsi" w:hAnsiTheme="majorHAnsi"/>
          <w:lang w:eastAsia="ja-JP"/>
        </w:rPr>
        <w:t xml:space="preserve"> to provide advice on matters relating to the design and introduction of a traceability system for horses, donkeys and mules in Australia with biosecurity a</w:t>
      </w:r>
      <w:r w:rsidR="00032969">
        <w:rPr>
          <w:rFonts w:asciiTheme="majorHAnsi" w:hAnsiTheme="majorHAnsi"/>
          <w:lang w:eastAsia="ja-JP"/>
        </w:rPr>
        <w:t>s</w:t>
      </w:r>
      <w:r w:rsidRPr="2EA8987B">
        <w:rPr>
          <w:rFonts w:asciiTheme="majorHAnsi" w:hAnsiTheme="majorHAnsi"/>
          <w:lang w:eastAsia="ja-JP"/>
        </w:rPr>
        <w:t xml:space="preserve"> its core</w:t>
      </w:r>
      <w:r w:rsidR="00032969">
        <w:rPr>
          <w:rFonts w:asciiTheme="majorHAnsi" w:hAnsiTheme="majorHAnsi"/>
          <w:lang w:eastAsia="ja-JP"/>
        </w:rPr>
        <w:t xml:space="preserve"> purpose</w:t>
      </w:r>
      <w:r w:rsidRPr="2EA8987B">
        <w:rPr>
          <w:rFonts w:asciiTheme="majorHAnsi" w:hAnsiTheme="majorHAnsi"/>
          <w:lang w:eastAsia="ja-JP"/>
        </w:rPr>
        <w:t xml:space="preserve">. </w:t>
      </w:r>
    </w:p>
    <w:p w14:paraId="186F79BC" w14:textId="232664E5" w:rsidR="00EA1C79" w:rsidRDefault="00EA1C79" w:rsidP="5CEE9FA0">
      <w:pPr>
        <w:rPr>
          <w:rFonts w:asciiTheme="majorHAnsi" w:hAnsiTheme="majorHAnsi"/>
          <w:lang w:eastAsia="ja-JP"/>
        </w:rPr>
      </w:pPr>
      <w:r w:rsidRPr="5CEE9FA0">
        <w:rPr>
          <w:rFonts w:asciiTheme="majorHAnsi" w:hAnsiTheme="majorHAnsi"/>
          <w:lang w:eastAsia="ja-JP"/>
        </w:rPr>
        <w:t xml:space="preserve">In line with the </w:t>
      </w:r>
      <w:r w:rsidR="005116F3" w:rsidRPr="5CEE9FA0">
        <w:rPr>
          <w:rFonts w:asciiTheme="majorHAnsi" w:hAnsiTheme="majorHAnsi"/>
          <w:lang w:eastAsia="ja-JP"/>
        </w:rPr>
        <w:t>R</w:t>
      </w:r>
      <w:r w:rsidRPr="5CEE9FA0">
        <w:rPr>
          <w:rFonts w:asciiTheme="majorHAnsi" w:hAnsiTheme="majorHAnsi"/>
          <w:lang w:eastAsia="ja-JP"/>
        </w:rPr>
        <w:t xml:space="preserve">eport’s recommendations, </w:t>
      </w:r>
      <w:r w:rsidR="00AF4177">
        <w:rPr>
          <w:rFonts w:asciiTheme="majorHAnsi" w:hAnsiTheme="majorHAnsi"/>
          <w:lang w:eastAsia="ja-JP"/>
        </w:rPr>
        <w:t xml:space="preserve">the </w:t>
      </w:r>
      <w:r w:rsidR="00CF3C3E" w:rsidRPr="5CEE9FA0">
        <w:rPr>
          <w:rFonts w:asciiTheme="majorHAnsi" w:hAnsiTheme="majorHAnsi"/>
          <w:lang w:eastAsia="ja-JP"/>
        </w:rPr>
        <w:t xml:space="preserve">NHTWG </w:t>
      </w:r>
      <w:r w:rsidRPr="5CEE9FA0">
        <w:rPr>
          <w:rFonts w:asciiTheme="majorHAnsi" w:hAnsiTheme="majorHAnsi"/>
          <w:lang w:eastAsia="ja-JP"/>
        </w:rPr>
        <w:t>during its deliberations focused</w:t>
      </w:r>
      <w:r w:rsidR="00CF3C3E" w:rsidRPr="5CEE9FA0">
        <w:rPr>
          <w:rFonts w:asciiTheme="majorHAnsi" w:hAnsiTheme="majorHAnsi"/>
          <w:lang w:eastAsia="ja-JP"/>
        </w:rPr>
        <w:t xml:space="preserve"> </w:t>
      </w:r>
      <w:r w:rsidR="005A69F5" w:rsidRPr="5CEE9FA0">
        <w:rPr>
          <w:rFonts w:asciiTheme="majorHAnsi" w:hAnsiTheme="majorHAnsi"/>
          <w:lang w:eastAsia="ja-JP"/>
        </w:rPr>
        <w:t>on</w:t>
      </w:r>
      <w:r w:rsidRPr="5CEE9FA0">
        <w:rPr>
          <w:rFonts w:asciiTheme="majorHAnsi" w:hAnsiTheme="majorHAnsi"/>
          <w:lang w:eastAsia="ja-JP"/>
        </w:rPr>
        <w:t xml:space="preserve"> horse traceability in the context of the prevention and containment of disease, in particular economically important emergency animal diseases and zoonoses (diseases that can be transmitted to humans from animals).</w:t>
      </w:r>
      <w:r w:rsidR="078EABDA" w:rsidRPr="5CEE9FA0">
        <w:rPr>
          <w:rFonts w:asciiTheme="majorHAnsi" w:hAnsiTheme="majorHAnsi"/>
          <w:color w:val="000000" w:themeColor="text1"/>
        </w:rPr>
        <w:t xml:space="preserve"> </w:t>
      </w:r>
    </w:p>
    <w:p w14:paraId="5E00FC21" w14:textId="25EC0A92" w:rsidR="5CEE9FA0" w:rsidRDefault="5CEE9FA0" w:rsidP="5CEE9FA0">
      <w:pPr>
        <w:rPr>
          <w:rFonts w:eastAsia="Calibri"/>
          <w:color w:val="000000" w:themeColor="text1"/>
        </w:rPr>
      </w:pPr>
    </w:p>
    <w:p w14:paraId="5DA342C1" w14:textId="2744FCEE" w:rsidR="00611BB2" w:rsidRPr="0080375E" w:rsidRDefault="00611BB2" w:rsidP="00D654FC">
      <w:pPr>
        <w:pStyle w:val="Heading2"/>
        <w:rPr>
          <w:rFonts w:asciiTheme="majorHAnsi" w:hAnsiTheme="majorHAnsi"/>
        </w:rPr>
      </w:pPr>
      <w:bookmarkStart w:id="5" w:name="_Toc121397550"/>
      <w:r w:rsidRPr="5CEE9FA0">
        <w:rPr>
          <w:rFonts w:asciiTheme="majorHAnsi" w:hAnsiTheme="majorHAnsi"/>
        </w:rPr>
        <w:lastRenderedPageBreak/>
        <w:t xml:space="preserve">The </w:t>
      </w:r>
      <w:r w:rsidR="00BD4101" w:rsidRPr="5CEE9FA0">
        <w:rPr>
          <w:rFonts w:asciiTheme="majorHAnsi" w:hAnsiTheme="majorHAnsi"/>
        </w:rPr>
        <w:t>N</w:t>
      </w:r>
      <w:r w:rsidR="00206024" w:rsidRPr="5CEE9FA0">
        <w:rPr>
          <w:rFonts w:asciiTheme="majorHAnsi" w:hAnsiTheme="majorHAnsi"/>
        </w:rPr>
        <w:t xml:space="preserve">ational </w:t>
      </w:r>
      <w:r w:rsidR="00BD4101" w:rsidRPr="5CEE9FA0">
        <w:rPr>
          <w:rFonts w:asciiTheme="majorHAnsi" w:hAnsiTheme="majorHAnsi"/>
        </w:rPr>
        <w:t>H</w:t>
      </w:r>
      <w:r w:rsidR="00206024" w:rsidRPr="5CEE9FA0">
        <w:rPr>
          <w:rFonts w:asciiTheme="majorHAnsi" w:hAnsiTheme="majorHAnsi"/>
        </w:rPr>
        <w:t xml:space="preserve">orse Traceability </w:t>
      </w:r>
      <w:r w:rsidR="008243C2" w:rsidRPr="5CEE9FA0">
        <w:rPr>
          <w:rFonts w:asciiTheme="majorHAnsi" w:hAnsiTheme="majorHAnsi"/>
        </w:rPr>
        <w:t>Working Group</w:t>
      </w:r>
      <w:bookmarkEnd w:id="5"/>
    </w:p>
    <w:p w14:paraId="2CAEF70B" w14:textId="596324B6" w:rsidR="00C10D80" w:rsidRPr="001A23A0" w:rsidRDefault="00C10D80" w:rsidP="00AD54D0">
      <w:pPr>
        <w:pStyle w:val="Heading3"/>
        <w:numPr>
          <w:ilvl w:val="1"/>
          <w:numId w:val="0"/>
        </w:numPr>
        <w:spacing w:after="120"/>
        <w:ind w:left="964" w:hanging="964"/>
        <w:rPr>
          <w:rFonts w:asciiTheme="majorHAnsi" w:hAnsiTheme="majorHAnsi"/>
          <w:sz w:val="22"/>
          <w:szCs w:val="22"/>
          <w:lang w:eastAsia="ja-JP"/>
        </w:rPr>
      </w:pPr>
      <w:bookmarkStart w:id="6" w:name="_Toc121397551"/>
      <w:r w:rsidRPr="001A23A0">
        <w:rPr>
          <w:rFonts w:asciiTheme="majorHAnsi" w:hAnsiTheme="majorHAnsi"/>
          <w:sz w:val="22"/>
          <w:szCs w:val="22"/>
          <w:lang w:eastAsia="ja-JP"/>
        </w:rPr>
        <w:t>Terms of Reference</w:t>
      </w:r>
      <w:bookmarkEnd w:id="6"/>
    </w:p>
    <w:p w14:paraId="5B44C4E5" w14:textId="08B541EE" w:rsidR="00611BB2" w:rsidRPr="0080375E" w:rsidRDefault="00611BB2" w:rsidP="5CEE9FA0">
      <w:pPr>
        <w:rPr>
          <w:rFonts w:asciiTheme="majorHAnsi" w:hAnsiTheme="majorHAnsi"/>
          <w:lang w:eastAsia="ja-JP"/>
        </w:rPr>
      </w:pPr>
      <w:r w:rsidRPr="5CEE9FA0">
        <w:rPr>
          <w:rFonts w:asciiTheme="majorHAnsi" w:hAnsiTheme="majorHAnsi"/>
          <w:lang w:eastAsia="ja-JP"/>
        </w:rPr>
        <w:t xml:space="preserve">The terms of reference of the </w:t>
      </w:r>
      <w:r w:rsidR="00BD4101" w:rsidRPr="5CEE9FA0">
        <w:rPr>
          <w:rFonts w:asciiTheme="majorHAnsi" w:hAnsiTheme="majorHAnsi"/>
          <w:lang w:eastAsia="ja-JP"/>
        </w:rPr>
        <w:t>NHTWG</w:t>
      </w:r>
      <w:r w:rsidRPr="5CEE9FA0">
        <w:rPr>
          <w:rFonts w:asciiTheme="majorHAnsi" w:hAnsiTheme="majorHAnsi"/>
          <w:lang w:eastAsia="ja-JP"/>
        </w:rPr>
        <w:t xml:space="preserve"> </w:t>
      </w:r>
      <w:r w:rsidR="00B42A53" w:rsidRPr="5CEE9FA0">
        <w:rPr>
          <w:rFonts w:asciiTheme="majorHAnsi" w:hAnsiTheme="majorHAnsi"/>
          <w:lang w:eastAsia="ja-JP"/>
        </w:rPr>
        <w:t>were</w:t>
      </w:r>
      <w:r w:rsidRPr="5CEE9FA0">
        <w:rPr>
          <w:rFonts w:asciiTheme="majorHAnsi" w:hAnsiTheme="majorHAnsi"/>
          <w:lang w:eastAsia="ja-JP"/>
        </w:rPr>
        <w:t>:</w:t>
      </w:r>
    </w:p>
    <w:p w14:paraId="1816A557" w14:textId="589DEAE0" w:rsidR="009378C5" w:rsidRPr="0080375E" w:rsidRDefault="0073672A" w:rsidP="5CEE9FA0">
      <w:pPr>
        <w:pStyle w:val="ListNumber"/>
        <w:rPr>
          <w:rFonts w:asciiTheme="majorHAnsi" w:hAnsiTheme="majorHAnsi"/>
          <w:color w:val="1F497D" w:themeColor="text2"/>
          <w:lang w:eastAsia="ja-JP"/>
        </w:rPr>
      </w:pPr>
      <w:r w:rsidRPr="5CEE9FA0">
        <w:rPr>
          <w:rFonts w:asciiTheme="majorHAnsi" w:hAnsiTheme="majorHAnsi"/>
          <w:lang w:eastAsia="en-AU"/>
        </w:rPr>
        <w:t>To c</w:t>
      </w:r>
      <w:r w:rsidR="00ED5B99" w:rsidRPr="5CEE9FA0">
        <w:rPr>
          <w:rFonts w:asciiTheme="majorHAnsi" w:hAnsiTheme="majorHAnsi"/>
          <w:lang w:eastAsia="en-AU"/>
        </w:rPr>
        <w:t xml:space="preserve">onsider and make recommendations on the </w:t>
      </w:r>
      <w:r w:rsidR="00ED5B99" w:rsidRPr="5CEE9FA0">
        <w:rPr>
          <w:rFonts w:asciiTheme="majorHAnsi" w:hAnsiTheme="majorHAnsi"/>
        </w:rPr>
        <w:t xml:space="preserve">design, introduction, operation, legal framework and enforcement of a traceability system, addressing </w:t>
      </w:r>
      <w:r w:rsidR="00ED5B99" w:rsidRPr="5CEE9FA0">
        <w:rPr>
          <w:rFonts w:asciiTheme="majorHAnsi" w:hAnsiTheme="majorHAnsi"/>
          <w:shd w:val="clear" w:color="auto" w:fill="FFFFFF"/>
        </w:rPr>
        <w:t>biosecurity, welfare and broader horse industry and stakeholder needs</w:t>
      </w:r>
      <w:r w:rsidR="00ED5B99" w:rsidRPr="5CEE9FA0">
        <w:rPr>
          <w:rFonts w:asciiTheme="majorHAnsi" w:hAnsiTheme="majorHAnsi"/>
        </w:rPr>
        <w:t xml:space="preserve">. </w:t>
      </w:r>
    </w:p>
    <w:p w14:paraId="14B333AE" w14:textId="0E3CDF8E" w:rsidR="009378C5" w:rsidRPr="0080375E" w:rsidRDefault="0073672A" w:rsidP="5CEE9FA0">
      <w:pPr>
        <w:pStyle w:val="ListNumber"/>
        <w:rPr>
          <w:rFonts w:asciiTheme="majorHAnsi" w:hAnsiTheme="majorHAnsi"/>
          <w:color w:val="1F497D" w:themeColor="text2"/>
          <w:lang w:eastAsia="ja-JP"/>
        </w:rPr>
      </w:pPr>
      <w:r w:rsidRPr="5CEE9FA0">
        <w:rPr>
          <w:rFonts w:asciiTheme="majorHAnsi" w:hAnsiTheme="majorHAnsi"/>
        </w:rPr>
        <w:t>To r</w:t>
      </w:r>
      <w:r w:rsidR="00ED5B99" w:rsidRPr="5CEE9FA0">
        <w:rPr>
          <w:rFonts w:asciiTheme="majorHAnsi" w:hAnsiTheme="majorHAnsi"/>
        </w:rPr>
        <w:t>eview existing national livestock and companion animal traceability and register schemes as a guide how to approach the design and operation of a system for the horse industry.</w:t>
      </w:r>
    </w:p>
    <w:p w14:paraId="578BCB51" w14:textId="0DC45425" w:rsidR="009378C5" w:rsidRPr="0080375E" w:rsidRDefault="0073672A" w:rsidP="5CEE9FA0">
      <w:pPr>
        <w:pStyle w:val="ListNumber"/>
        <w:rPr>
          <w:rFonts w:asciiTheme="majorHAnsi" w:hAnsiTheme="majorHAnsi"/>
          <w:color w:val="1F497D" w:themeColor="text2"/>
          <w:lang w:eastAsia="ja-JP"/>
        </w:rPr>
      </w:pPr>
      <w:r w:rsidRPr="5CEE9FA0">
        <w:rPr>
          <w:rFonts w:asciiTheme="majorHAnsi" w:hAnsiTheme="majorHAnsi"/>
        </w:rPr>
        <w:t>To r</w:t>
      </w:r>
      <w:r w:rsidR="00ED5B99" w:rsidRPr="5CEE9FA0">
        <w:rPr>
          <w:rFonts w:asciiTheme="majorHAnsi" w:hAnsiTheme="majorHAnsi"/>
        </w:rPr>
        <w:t xml:space="preserve">eview existing horse tracing efforts and data collection arrangements in Australia. </w:t>
      </w:r>
    </w:p>
    <w:p w14:paraId="05DD018C" w14:textId="77777777" w:rsidR="009378C5" w:rsidRPr="0080375E" w:rsidRDefault="00ED5B99" w:rsidP="00225566">
      <w:pPr>
        <w:pStyle w:val="ListNumber"/>
        <w:rPr>
          <w:rFonts w:asciiTheme="majorHAnsi" w:hAnsiTheme="majorHAnsi"/>
          <w:color w:val="1F497D" w:themeColor="text2"/>
          <w:lang w:eastAsia="ja-JP"/>
        </w:rPr>
      </w:pPr>
      <w:r w:rsidRPr="5CEE9FA0">
        <w:rPr>
          <w:rFonts w:asciiTheme="majorHAnsi" w:hAnsiTheme="majorHAnsi"/>
        </w:rPr>
        <w:t xml:space="preserve">In consultation with stakeholders, consider the funding, policy, legal, communications and enforcement challenges for the jurisdictions. </w:t>
      </w:r>
    </w:p>
    <w:p w14:paraId="129C88C8" w14:textId="21DC494F" w:rsidR="00ED5B99" w:rsidRPr="0080375E" w:rsidRDefault="00ED5B99" w:rsidP="009378C5">
      <w:pPr>
        <w:pStyle w:val="ListNumber"/>
        <w:rPr>
          <w:rFonts w:asciiTheme="majorHAnsi" w:hAnsiTheme="majorHAnsi"/>
          <w:color w:val="1F497D" w:themeColor="text2"/>
          <w:lang w:eastAsia="ja-JP"/>
        </w:rPr>
      </w:pPr>
      <w:r w:rsidRPr="0080375E">
        <w:rPr>
          <w:rFonts w:asciiTheme="majorHAnsi" w:hAnsiTheme="majorHAnsi" w:cstheme="minorHAnsi"/>
        </w:rPr>
        <w:t xml:space="preserve">In consultation with stakeholders, advise on </w:t>
      </w:r>
    </w:p>
    <w:p w14:paraId="1A3825AB" w14:textId="77777777" w:rsidR="00ED5B99" w:rsidRPr="002B4426" w:rsidRDefault="00ED5B99" w:rsidP="00225566">
      <w:pPr>
        <w:pStyle w:val="ListParagraph"/>
        <w:numPr>
          <w:ilvl w:val="0"/>
          <w:numId w:val="72"/>
        </w:numPr>
        <w:spacing w:before="120" w:after="120" w:line="276" w:lineRule="auto"/>
        <w:ind w:left="851" w:hanging="425"/>
        <w:rPr>
          <w:rFonts w:ascii="Cambria" w:hAnsi="Cambria"/>
        </w:rPr>
      </w:pPr>
      <w:r w:rsidRPr="002B4426">
        <w:rPr>
          <w:rFonts w:ascii="Cambria" w:hAnsi="Cambria"/>
        </w:rPr>
        <w:t>Preferred horse identification, registration and database management arrangements including funding, legal and data access considerations,</w:t>
      </w:r>
    </w:p>
    <w:p w14:paraId="7709CFC2" w14:textId="77777777" w:rsidR="00ED5B99" w:rsidRPr="002B4426" w:rsidRDefault="00ED5B99" w:rsidP="00225566">
      <w:pPr>
        <w:pStyle w:val="ListParagraph"/>
        <w:numPr>
          <w:ilvl w:val="0"/>
          <w:numId w:val="72"/>
        </w:numPr>
        <w:spacing w:before="120" w:after="120" w:line="276" w:lineRule="auto"/>
        <w:ind w:left="851" w:hanging="425"/>
        <w:rPr>
          <w:rFonts w:ascii="Cambria" w:hAnsi="Cambria"/>
        </w:rPr>
      </w:pPr>
      <w:r w:rsidRPr="002B4426">
        <w:rPr>
          <w:rFonts w:ascii="Cambria" w:hAnsi="Cambria"/>
        </w:rPr>
        <w:t>Business rules relating to data collection and reporting applicable to each industry sector,</w:t>
      </w:r>
    </w:p>
    <w:p w14:paraId="4E743FFC" w14:textId="77777777" w:rsidR="00ED5B99" w:rsidRPr="002B4426" w:rsidRDefault="00ED5B99" w:rsidP="00225566">
      <w:pPr>
        <w:pStyle w:val="ListParagraph"/>
        <w:numPr>
          <w:ilvl w:val="0"/>
          <w:numId w:val="72"/>
        </w:numPr>
        <w:spacing w:before="120" w:after="120" w:line="276" w:lineRule="auto"/>
        <w:ind w:left="851" w:hanging="425"/>
        <w:rPr>
          <w:rFonts w:ascii="Cambria" w:hAnsi="Cambria"/>
        </w:rPr>
      </w:pPr>
      <w:r w:rsidRPr="002B4426">
        <w:rPr>
          <w:rFonts w:ascii="Cambria" w:hAnsi="Cambria"/>
        </w:rPr>
        <w:t>The register’s role in the management of emergency animal diseases, natural disaster preparedness, rider safety, and horse theft.</w:t>
      </w:r>
    </w:p>
    <w:p w14:paraId="7A48E8EB" w14:textId="77777777" w:rsidR="009378C5" w:rsidRPr="0080375E" w:rsidRDefault="00ED5B99" w:rsidP="009378C5">
      <w:pPr>
        <w:pStyle w:val="ListNumber"/>
        <w:rPr>
          <w:rFonts w:asciiTheme="majorHAnsi" w:hAnsiTheme="majorHAnsi" w:cstheme="minorHAnsi"/>
        </w:rPr>
      </w:pPr>
      <w:r w:rsidRPr="0080375E">
        <w:rPr>
          <w:rFonts w:asciiTheme="majorHAnsi" w:hAnsiTheme="majorHAnsi" w:cstheme="minorHAnsi"/>
        </w:rPr>
        <w:t xml:space="preserve">In consultation with stakeholders, develop an indicative timetable for the introduction of a system. </w:t>
      </w:r>
    </w:p>
    <w:p w14:paraId="6C7E28AB" w14:textId="21D6429C" w:rsidR="00ED5B99" w:rsidRPr="0080375E" w:rsidRDefault="00596322" w:rsidP="2EA8987B">
      <w:pPr>
        <w:pStyle w:val="ListNumber"/>
        <w:rPr>
          <w:rFonts w:asciiTheme="majorHAnsi" w:hAnsiTheme="majorHAnsi"/>
        </w:rPr>
      </w:pPr>
      <w:r w:rsidRPr="2EA8987B">
        <w:rPr>
          <w:rFonts w:asciiTheme="majorHAnsi" w:hAnsiTheme="majorHAnsi"/>
        </w:rPr>
        <w:t>N</w:t>
      </w:r>
      <w:r w:rsidR="00ED5B99" w:rsidRPr="2EA8987B">
        <w:rPr>
          <w:rFonts w:asciiTheme="majorHAnsi" w:hAnsiTheme="majorHAnsi"/>
        </w:rPr>
        <w:t>ot have a defined focus on welfare outcomes and</w:t>
      </w:r>
      <w:r w:rsidR="00A35481">
        <w:rPr>
          <w:rFonts w:asciiTheme="majorHAnsi" w:hAnsiTheme="majorHAnsi"/>
        </w:rPr>
        <w:t xml:space="preserve"> </w:t>
      </w:r>
      <w:r w:rsidR="00ED5B99" w:rsidRPr="2EA8987B">
        <w:rPr>
          <w:rFonts w:asciiTheme="majorHAnsi" w:hAnsiTheme="majorHAnsi"/>
        </w:rPr>
        <w:t>welfare activities related to horses or be deliberating on the end-of-life options for horses.</w:t>
      </w:r>
    </w:p>
    <w:p w14:paraId="17116E5D" w14:textId="7FF7DF69" w:rsidR="00ED5B99" w:rsidRPr="00B42A53" w:rsidRDefault="00F959A0" w:rsidP="2EA8987B">
      <w:pPr>
        <w:pStyle w:val="ListNumber"/>
        <w:rPr>
          <w:rFonts w:asciiTheme="majorHAnsi" w:eastAsiaTheme="majorEastAsia" w:hAnsiTheme="majorHAnsi" w:cstheme="majorBidi"/>
          <w:color w:val="1F497D" w:themeColor="text2"/>
          <w:lang w:eastAsia="ja-JP"/>
        </w:rPr>
      </w:pPr>
      <w:r w:rsidRPr="2EA8987B">
        <w:rPr>
          <w:rFonts w:asciiTheme="majorHAnsi" w:hAnsiTheme="majorHAnsi"/>
        </w:rPr>
        <w:t xml:space="preserve">To make recommendations to </w:t>
      </w:r>
      <w:r w:rsidR="0049608B">
        <w:rPr>
          <w:rFonts w:asciiTheme="majorHAnsi" w:hAnsiTheme="majorHAnsi"/>
        </w:rPr>
        <w:t xml:space="preserve">AMM </w:t>
      </w:r>
      <w:r w:rsidRPr="2EA8987B">
        <w:rPr>
          <w:rFonts w:asciiTheme="majorHAnsi" w:hAnsiTheme="majorHAnsi"/>
        </w:rPr>
        <w:t>and through</w:t>
      </w:r>
      <w:r w:rsidR="00F8393A">
        <w:rPr>
          <w:rFonts w:asciiTheme="majorHAnsi" w:hAnsiTheme="majorHAnsi"/>
        </w:rPr>
        <w:t xml:space="preserve"> the</w:t>
      </w:r>
      <w:r w:rsidRPr="2EA8987B">
        <w:rPr>
          <w:rFonts w:asciiTheme="majorHAnsi" w:hAnsiTheme="majorHAnsi"/>
        </w:rPr>
        <w:t xml:space="preserve"> A</w:t>
      </w:r>
      <w:r w:rsidR="00F8393A">
        <w:rPr>
          <w:rFonts w:asciiTheme="majorHAnsi" w:hAnsiTheme="majorHAnsi"/>
        </w:rPr>
        <w:t xml:space="preserve">griculture </w:t>
      </w:r>
      <w:r w:rsidRPr="2EA8987B">
        <w:rPr>
          <w:rFonts w:asciiTheme="majorHAnsi" w:hAnsiTheme="majorHAnsi"/>
        </w:rPr>
        <w:t>S</w:t>
      </w:r>
      <w:r w:rsidR="00F8393A">
        <w:rPr>
          <w:rFonts w:asciiTheme="majorHAnsi" w:hAnsiTheme="majorHAnsi"/>
        </w:rPr>
        <w:t xml:space="preserve">enior </w:t>
      </w:r>
      <w:r w:rsidRPr="2EA8987B">
        <w:rPr>
          <w:rFonts w:asciiTheme="majorHAnsi" w:hAnsiTheme="majorHAnsi"/>
        </w:rPr>
        <w:t>O</w:t>
      </w:r>
      <w:r w:rsidR="00F8393A">
        <w:rPr>
          <w:rFonts w:asciiTheme="majorHAnsi" w:hAnsiTheme="majorHAnsi"/>
        </w:rPr>
        <w:t xml:space="preserve">fficials’ </w:t>
      </w:r>
      <w:r w:rsidRPr="2EA8987B">
        <w:rPr>
          <w:rFonts w:asciiTheme="majorHAnsi" w:hAnsiTheme="majorHAnsi"/>
        </w:rPr>
        <w:t>C</w:t>
      </w:r>
      <w:r w:rsidR="00F8393A">
        <w:rPr>
          <w:rFonts w:asciiTheme="majorHAnsi" w:hAnsiTheme="majorHAnsi"/>
        </w:rPr>
        <w:t>ommittee (AGSOC)</w:t>
      </w:r>
      <w:r w:rsidRPr="2EA8987B">
        <w:rPr>
          <w:rFonts w:asciiTheme="majorHAnsi" w:hAnsiTheme="majorHAnsi"/>
        </w:rPr>
        <w:t>, for options for a national horse traceability system for Australia.</w:t>
      </w:r>
    </w:p>
    <w:p w14:paraId="2B6B2312" w14:textId="4DC1446E" w:rsidR="00F14899" w:rsidRPr="00F14899" w:rsidRDefault="00F14899" w:rsidP="00F14899">
      <w:pPr>
        <w:pStyle w:val="Heading3"/>
        <w:numPr>
          <w:ilvl w:val="1"/>
          <w:numId w:val="0"/>
        </w:numPr>
        <w:spacing w:after="120"/>
        <w:ind w:left="964" w:hanging="964"/>
        <w:rPr>
          <w:rFonts w:asciiTheme="majorHAnsi" w:hAnsiTheme="majorHAnsi"/>
          <w:sz w:val="22"/>
          <w:szCs w:val="22"/>
          <w:lang w:eastAsia="ja-JP"/>
        </w:rPr>
      </w:pPr>
      <w:bookmarkStart w:id="7" w:name="_Toc121397552"/>
      <w:r w:rsidRPr="00F14899">
        <w:rPr>
          <w:rFonts w:asciiTheme="majorHAnsi" w:hAnsiTheme="majorHAnsi"/>
          <w:sz w:val="22"/>
          <w:szCs w:val="22"/>
          <w:lang w:eastAsia="ja-JP"/>
        </w:rPr>
        <w:t>Represented organisations</w:t>
      </w:r>
      <w:bookmarkEnd w:id="7"/>
    </w:p>
    <w:p w14:paraId="466F3BD1" w14:textId="0C605F14" w:rsidR="078EABDA" w:rsidRDefault="003C6BBE" w:rsidP="5CEE9FA0">
      <w:pPr>
        <w:rPr>
          <w:rFonts w:asciiTheme="majorHAnsi" w:hAnsiTheme="majorHAnsi"/>
          <w:lang w:eastAsia="ja-JP"/>
        </w:rPr>
      </w:pPr>
      <w:r>
        <w:rPr>
          <w:rFonts w:asciiTheme="majorHAnsi" w:hAnsiTheme="majorHAnsi"/>
          <w:lang w:eastAsia="ja-JP"/>
        </w:rPr>
        <w:t xml:space="preserve">The </w:t>
      </w:r>
      <w:r w:rsidR="078EABDA" w:rsidRPr="5CEE9FA0">
        <w:rPr>
          <w:rFonts w:asciiTheme="majorHAnsi" w:hAnsiTheme="majorHAnsi"/>
          <w:lang w:eastAsia="ja-JP"/>
        </w:rPr>
        <w:t>NHTWG was chaired by Mr Stuart McLean</w:t>
      </w:r>
      <w:r w:rsidR="006F5D74">
        <w:rPr>
          <w:rFonts w:asciiTheme="majorHAnsi" w:hAnsiTheme="majorHAnsi"/>
          <w:lang w:eastAsia="ja-JP"/>
        </w:rPr>
        <w:t>,</w:t>
      </w:r>
      <w:r w:rsidR="078EABDA" w:rsidRPr="5CEE9FA0">
        <w:rPr>
          <w:rFonts w:asciiTheme="majorHAnsi" w:hAnsiTheme="majorHAnsi"/>
          <w:lang w:eastAsia="ja-JP"/>
        </w:rPr>
        <w:t xml:space="preserve"> OAM</w:t>
      </w:r>
      <w:r w:rsidR="0025342E">
        <w:rPr>
          <w:rFonts w:asciiTheme="majorHAnsi" w:hAnsiTheme="majorHAnsi"/>
          <w:lang w:eastAsia="ja-JP"/>
        </w:rPr>
        <w:t>,</w:t>
      </w:r>
      <w:r w:rsidR="078EABDA" w:rsidRPr="5CEE9FA0">
        <w:rPr>
          <w:rFonts w:asciiTheme="majorHAnsi" w:hAnsiTheme="majorHAnsi"/>
          <w:lang w:eastAsia="ja-JP"/>
        </w:rPr>
        <w:t xml:space="preserve"> with representatives from the following organisations:</w:t>
      </w:r>
    </w:p>
    <w:p w14:paraId="16BE8C39" w14:textId="34E0DD20" w:rsidR="078EABDA" w:rsidRDefault="078EABDA" w:rsidP="002849D6">
      <w:pPr>
        <w:pStyle w:val="ListParagraph"/>
        <w:numPr>
          <w:ilvl w:val="0"/>
          <w:numId w:val="3"/>
        </w:numPr>
        <w:spacing w:after="200" w:line="276" w:lineRule="auto"/>
        <w:rPr>
          <w:rFonts w:asciiTheme="majorHAnsi" w:eastAsiaTheme="majorEastAsia" w:hAnsiTheme="majorHAnsi" w:cstheme="majorBidi"/>
          <w:lang w:eastAsia="ja-JP"/>
        </w:rPr>
      </w:pPr>
      <w:r w:rsidRPr="5CEE9FA0">
        <w:rPr>
          <w:rFonts w:asciiTheme="majorHAnsi" w:hAnsiTheme="majorHAnsi"/>
          <w:lang w:eastAsia="ja-JP"/>
        </w:rPr>
        <w:t>Animal Health Australia</w:t>
      </w:r>
    </w:p>
    <w:p w14:paraId="4D711EAE" w14:textId="0EFF633C" w:rsidR="078EABDA" w:rsidRDefault="078EABDA" w:rsidP="002849D6">
      <w:pPr>
        <w:pStyle w:val="ListParagraph"/>
        <w:numPr>
          <w:ilvl w:val="0"/>
          <w:numId w:val="3"/>
        </w:numPr>
        <w:spacing w:after="200" w:line="276" w:lineRule="auto"/>
        <w:rPr>
          <w:rFonts w:asciiTheme="majorHAnsi" w:eastAsiaTheme="majorEastAsia" w:hAnsiTheme="majorHAnsi" w:cstheme="majorBidi"/>
          <w:lang w:eastAsia="ja-JP"/>
        </w:rPr>
      </w:pPr>
      <w:r w:rsidRPr="5CEE9FA0">
        <w:rPr>
          <w:rFonts w:asciiTheme="majorHAnsi" w:hAnsiTheme="majorHAnsi"/>
          <w:lang w:eastAsia="ja-JP"/>
        </w:rPr>
        <w:t>Harness Racing Australia</w:t>
      </w:r>
    </w:p>
    <w:p w14:paraId="3C44F164" w14:textId="5472F76A" w:rsidR="078EABDA" w:rsidRPr="0025342E" w:rsidRDefault="078EABDA" w:rsidP="002849D6">
      <w:pPr>
        <w:pStyle w:val="ListParagraph"/>
        <w:numPr>
          <w:ilvl w:val="0"/>
          <w:numId w:val="3"/>
        </w:numPr>
        <w:spacing w:after="200" w:line="276" w:lineRule="auto"/>
        <w:rPr>
          <w:rFonts w:asciiTheme="majorHAnsi" w:hAnsiTheme="majorHAnsi"/>
          <w:lang w:eastAsia="ja-JP"/>
        </w:rPr>
      </w:pPr>
      <w:r w:rsidRPr="5CEE9FA0">
        <w:rPr>
          <w:rFonts w:asciiTheme="majorHAnsi" w:hAnsiTheme="majorHAnsi"/>
          <w:lang w:eastAsia="ja-JP"/>
        </w:rPr>
        <w:t>Racing Australia</w:t>
      </w:r>
    </w:p>
    <w:p w14:paraId="07A2415D" w14:textId="5E28BFC1" w:rsidR="078EABDA" w:rsidRPr="0025342E" w:rsidRDefault="078EABDA" w:rsidP="002849D6">
      <w:pPr>
        <w:pStyle w:val="ListParagraph"/>
        <w:numPr>
          <w:ilvl w:val="0"/>
          <w:numId w:val="3"/>
        </w:numPr>
        <w:spacing w:after="200" w:line="276" w:lineRule="auto"/>
        <w:rPr>
          <w:rFonts w:asciiTheme="majorHAnsi" w:hAnsiTheme="majorHAnsi"/>
          <w:lang w:eastAsia="ja-JP"/>
        </w:rPr>
      </w:pPr>
      <w:r w:rsidRPr="5CEE9FA0">
        <w:rPr>
          <w:rFonts w:asciiTheme="majorHAnsi" w:hAnsiTheme="majorHAnsi"/>
          <w:lang w:eastAsia="ja-JP"/>
        </w:rPr>
        <w:t>Royal Society for the Prevention of Cruelty to Animals</w:t>
      </w:r>
    </w:p>
    <w:p w14:paraId="57D2494E" w14:textId="7CE49355" w:rsidR="078EABDA" w:rsidRDefault="078EABDA" w:rsidP="002849D6">
      <w:pPr>
        <w:pStyle w:val="ListParagraph"/>
        <w:numPr>
          <w:ilvl w:val="0"/>
          <w:numId w:val="3"/>
        </w:numPr>
        <w:spacing w:after="200" w:line="276" w:lineRule="auto"/>
        <w:rPr>
          <w:rFonts w:asciiTheme="majorHAnsi" w:eastAsiaTheme="majorEastAsia" w:hAnsiTheme="majorHAnsi" w:cstheme="majorBidi"/>
          <w:lang w:eastAsia="ja-JP"/>
        </w:rPr>
      </w:pPr>
      <w:r w:rsidRPr="5CEE9FA0">
        <w:rPr>
          <w:rFonts w:asciiTheme="majorHAnsi" w:hAnsiTheme="majorHAnsi"/>
          <w:lang w:eastAsia="ja-JP"/>
        </w:rPr>
        <w:t>Australian Horse Industry Council</w:t>
      </w:r>
    </w:p>
    <w:p w14:paraId="479504E8" w14:textId="1815D536" w:rsidR="078EABDA" w:rsidRDefault="078EABDA" w:rsidP="002849D6">
      <w:pPr>
        <w:pStyle w:val="ListParagraph"/>
        <w:numPr>
          <w:ilvl w:val="0"/>
          <w:numId w:val="3"/>
        </w:numPr>
        <w:spacing w:after="200" w:line="276" w:lineRule="auto"/>
        <w:rPr>
          <w:rFonts w:asciiTheme="majorHAnsi" w:eastAsiaTheme="majorEastAsia" w:hAnsiTheme="majorHAnsi" w:cstheme="majorBidi"/>
          <w:lang w:eastAsia="ja-JP"/>
        </w:rPr>
      </w:pPr>
      <w:r w:rsidRPr="5CEE9FA0">
        <w:rPr>
          <w:rFonts w:asciiTheme="majorHAnsi" w:hAnsiTheme="majorHAnsi"/>
          <w:lang w:eastAsia="ja-JP"/>
        </w:rPr>
        <w:lastRenderedPageBreak/>
        <w:t>Equestrian Australia</w:t>
      </w:r>
    </w:p>
    <w:p w14:paraId="6AA2F224" w14:textId="7F34624D" w:rsidR="078EABDA" w:rsidRDefault="078EABDA" w:rsidP="002849D6">
      <w:pPr>
        <w:pStyle w:val="ListParagraph"/>
        <w:numPr>
          <w:ilvl w:val="0"/>
          <w:numId w:val="3"/>
        </w:numPr>
        <w:spacing w:after="200" w:line="276" w:lineRule="auto"/>
        <w:rPr>
          <w:rFonts w:asciiTheme="majorHAnsi" w:eastAsiaTheme="majorEastAsia" w:hAnsiTheme="majorHAnsi" w:cstheme="majorBidi"/>
          <w:lang w:eastAsia="ja-JP"/>
        </w:rPr>
      </w:pPr>
      <w:r w:rsidRPr="2EA8987B">
        <w:rPr>
          <w:rFonts w:asciiTheme="majorHAnsi" w:hAnsiTheme="majorHAnsi"/>
          <w:lang w:eastAsia="ja-JP"/>
        </w:rPr>
        <w:t xml:space="preserve">The Australian and </w:t>
      </w:r>
      <w:r w:rsidR="0049608B">
        <w:rPr>
          <w:rFonts w:asciiTheme="majorHAnsi" w:hAnsiTheme="majorHAnsi"/>
          <w:lang w:eastAsia="ja-JP"/>
        </w:rPr>
        <w:t>St</w:t>
      </w:r>
      <w:r w:rsidRPr="2EA8987B">
        <w:rPr>
          <w:rFonts w:asciiTheme="majorHAnsi" w:hAnsiTheme="majorHAnsi"/>
          <w:lang w:eastAsia="ja-JP"/>
        </w:rPr>
        <w:t xml:space="preserve">ate and </w:t>
      </w:r>
      <w:r w:rsidR="0049608B">
        <w:rPr>
          <w:rFonts w:asciiTheme="majorHAnsi" w:hAnsiTheme="majorHAnsi"/>
          <w:lang w:eastAsia="ja-JP"/>
        </w:rPr>
        <w:t>T</w:t>
      </w:r>
      <w:r w:rsidRPr="2EA8987B">
        <w:rPr>
          <w:rFonts w:asciiTheme="majorHAnsi" w:hAnsiTheme="majorHAnsi"/>
          <w:lang w:eastAsia="ja-JP"/>
        </w:rPr>
        <w:t xml:space="preserve">erritory </w:t>
      </w:r>
      <w:r w:rsidR="0049608B">
        <w:rPr>
          <w:rFonts w:asciiTheme="majorHAnsi" w:hAnsiTheme="majorHAnsi"/>
          <w:lang w:eastAsia="ja-JP"/>
        </w:rPr>
        <w:t>G</w:t>
      </w:r>
      <w:r w:rsidRPr="2EA8987B">
        <w:rPr>
          <w:rFonts w:asciiTheme="majorHAnsi" w:hAnsiTheme="majorHAnsi"/>
          <w:lang w:eastAsia="ja-JP"/>
        </w:rPr>
        <w:t>overnments.</w:t>
      </w:r>
    </w:p>
    <w:p w14:paraId="6E09FAB8" w14:textId="35575438" w:rsidR="00611BB2" w:rsidRPr="00EC3D8E" w:rsidRDefault="00611BB2" w:rsidP="5CEE9FA0">
      <w:pPr>
        <w:rPr>
          <w:rFonts w:asciiTheme="majorHAnsi" w:hAnsiTheme="majorHAnsi"/>
          <w:lang w:eastAsia="ja-JP"/>
        </w:rPr>
      </w:pPr>
      <w:r w:rsidRPr="2EA8987B">
        <w:rPr>
          <w:rFonts w:asciiTheme="majorHAnsi" w:hAnsiTheme="majorHAnsi"/>
          <w:lang w:eastAsia="ja-JP"/>
        </w:rPr>
        <w:t xml:space="preserve">The </w:t>
      </w:r>
      <w:r w:rsidR="003173EE" w:rsidRPr="2EA8987B">
        <w:rPr>
          <w:rFonts w:asciiTheme="majorHAnsi" w:hAnsiTheme="majorHAnsi"/>
          <w:lang w:eastAsia="ja-JP"/>
        </w:rPr>
        <w:t xml:space="preserve">NHTWG </w:t>
      </w:r>
      <w:r w:rsidRPr="2EA8987B">
        <w:rPr>
          <w:rFonts w:asciiTheme="majorHAnsi" w:hAnsiTheme="majorHAnsi"/>
          <w:lang w:eastAsia="ja-JP"/>
        </w:rPr>
        <w:t xml:space="preserve">met </w:t>
      </w:r>
      <w:r w:rsidR="00DA0A61" w:rsidRPr="00EE42BD">
        <w:rPr>
          <w:rFonts w:asciiTheme="majorHAnsi" w:hAnsiTheme="majorHAnsi"/>
          <w:lang w:eastAsia="ja-JP"/>
        </w:rPr>
        <w:t>1</w:t>
      </w:r>
      <w:r w:rsidR="00B6309B" w:rsidRPr="00EE42BD">
        <w:rPr>
          <w:rFonts w:asciiTheme="majorHAnsi" w:hAnsiTheme="majorHAnsi"/>
          <w:lang w:eastAsia="ja-JP"/>
        </w:rPr>
        <w:t>4</w:t>
      </w:r>
      <w:r w:rsidRPr="00EE42BD">
        <w:rPr>
          <w:rFonts w:asciiTheme="majorHAnsi" w:hAnsiTheme="majorHAnsi"/>
          <w:lang w:eastAsia="ja-JP"/>
        </w:rPr>
        <w:t xml:space="preserve"> times</w:t>
      </w:r>
      <w:r w:rsidR="00B42A53" w:rsidRPr="00EE42BD">
        <w:rPr>
          <w:rFonts w:asciiTheme="majorHAnsi" w:hAnsiTheme="majorHAnsi"/>
          <w:lang w:eastAsia="ja-JP"/>
        </w:rPr>
        <w:t xml:space="preserve"> between October 2020 and </w:t>
      </w:r>
      <w:r w:rsidR="00A2020D" w:rsidRPr="00EE42BD">
        <w:rPr>
          <w:rFonts w:asciiTheme="majorHAnsi" w:hAnsiTheme="majorHAnsi"/>
          <w:lang w:eastAsia="ja-JP"/>
        </w:rPr>
        <w:t xml:space="preserve">October </w:t>
      </w:r>
      <w:r w:rsidR="00B42A53" w:rsidRPr="00EE42BD">
        <w:rPr>
          <w:rFonts w:asciiTheme="majorHAnsi" w:hAnsiTheme="majorHAnsi"/>
          <w:lang w:eastAsia="ja-JP"/>
        </w:rPr>
        <w:t xml:space="preserve">2022, </w:t>
      </w:r>
      <w:r w:rsidR="00450CED" w:rsidRPr="00EE42BD">
        <w:rPr>
          <w:rFonts w:asciiTheme="majorHAnsi" w:hAnsiTheme="majorHAnsi"/>
          <w:lang w:eastAsia="ja-JP"/>
        </w:rPr>
        <w:t>twice face to face (22 April and 19 May 2021)</w:t>
      </w:r>
      <w:r w:rsidRPr="00EE42BD">
        <w:rPr>
          <w:rFonts w:asciiTheme="majorHAnsi" w:hAnsiTheme="majorHAnsi"/>
          <w:lang w:eastAsia="ja-JP"/>
        </w:rPr>
        <w:t xml:space="preserve"> </w:t>
      </w:r>
      <w:r w:rsidR="00B42A53" w:rsidRPr="00EE42BD">
        <w:rPr>
          <w:rFonts w:asciiTheme="majorHAnsi" w:hAnsiTheme="majorHAnsi"/>
          <w:lang w:eastAsia="ja-JP"/>
        </w:rPr>
        <w:t xml:space="preserve">and </w:t>
      </w:r>
      <w:r w:rsidR="0059564E" w:rsidRPr="00EE42BD">
        <w:rPr>
          <w:rFonts w:asciiTheme="majorHAnsi" w:hAnsiTheme="majorHAnsi"/>
          <w:lang w:eastAsia="ja-JP"/>
        </w:rPr>
        <w:t>1</w:t>
      </w:r>
      <w:r w:rsidR="00B6309B" w:rsidRPr="00EE42BD">
        <w:rPr>
          <w:rFonts w:asciiTheme="majorHAnsi" w:hAnsiTheme="majorHAnsi"/>
          <w:lang w:eastAsia="ja-JP"/>
        </w:rPr>
        <w:t>2</w:t>
      </w:r>
      <w:r w:rsidR="00B42A53" w:rsidRPr="00EE42BD">
        <w:rPr>
          <w:rFonts w:asciiTheme="majorHAnsi" w:hAnsiTheme="majorHAnsi"/>
          <w:lang w:eastAsia="ja-JP"/>
        </w:rPr>
        <w:t xml:space="preserve"> times</w:t>
      </w:r>
      <w:r w:rsidR="00B42A53" w:rsidRPr="2EA8987B">
        <w:rPr>
          <w:rFonts w:asciiTheme="majorHAnsi" w:hAnsiTheme="majorHAnsi"/>
          <w:lang w:eastAsia="ja-JP"/>
        </w:rPr>
        <w:t xml:space="preserve"> </w:t>
      </w:r>
      <w:r w:rsidR="00FD122E" w:rsidRPr="2EA8987B">
        <w:rPr>
          <w:rFonts w:asciiTheme="majorHAnsi" w:hAnsiTheme="majorHAnsi"/>
          <w:lang w:eastAsia="ja-JP"/>
        </w:rPr>
        <w:t xml:space="preserve">by </w:t>
      </w:r>
      <w:r w:rsidR="00AC7227" w:rsidRPr="2EA8987B">
        <w:rPr>
          <w:rFonts w:asciiTheme="majorHAnsi" w:hAnsiTheme="majorHAnsi"/>
          <w:lang w:eastAsia="ja-JP"/>
        </w:rPr>
        <w:t>v</w:t>
      </w:r>
      <w:r w:rsidR="0022001E" w:rsidRPr="2EA8987B">
        <w:rPr>
          <w:rFonts w:asciiTheme="majorHAnsi" w:hAnsiTheme="majorHAnsi"/>
          <w:lang w:eastAsia="ja-JP"/>
        </w:rPr>
        <w:t xml:space="preserve">ideo </w:t>
      </w:r>
      <w:r w:rsidR="007D46E6" w:rsidRPr="2EA8987B">
        <w:rPr>
          <w:rFonts w:asciiTheme="majorHAnsi" w:hAnsiTheme="majorHAnsi"/>
          <w:lang w:eastAsia="ja-JP"/>
        </w:rPr>
        <w:t>conference</w:t>
      </w:r>
      <w:r w:rsidR="00B42A53" w:rsidRPr="2EA8987B">
        <w:rPr>
          <w:rFonts w:asciiTheme="majorHAnsi" w:hAnsiTheme="majorHAnsi"/>
          <w:lang w:eastAsia="ja-JP"/>
        </w:rPr>
        <w:t xml:space="preserve"> (21 July 2021, 20 August 2021, 10 September 2021, 22 October 2021, 13 December 2021</w:t>
      </w:r>
      <w:r w:rsidR="00352303">
        <w:rPr>
          <w:rFonts w:asciiTheme="majorHAnsi" w:hAnsiTheme="majorHAnsi"/>
          <w:lang w:eastAsia="ja-JP"/>
        </w:rPr>
        <w:t>,</w:t>
      </w:r>
      <w:r w:rsidR="00AC16F5">
        <w:rPr>
          <w:rFonts w:asciiTheme="majorHAnsi" w:hAnsiTheme="majorHAnsi"/>
          <w:lang w:eastAsia="ja-JP"/>
        </w:rPr>
        <w:t xml:space="preserve"> </w:t>
      </w:r>
      <w:r w:rsidR="00824490" w:rsidRPr="2EA8987B">
        <w:rPr>
          <w:rFonts w:asciiTheme="majorHAnsi" w:hAnsiTheme="majorHAnsi"/>
          <w:lang w:eastAsia="ja-JP"/>
        </w:rPr>
        <w:t>8</w:t>
      </w:r>
      <w:r w:rsidR="00B42A53" w:rsidRPr="2EA8987B">
        <w:rPr>
          <w:rFonts w:asciiTheme="majorHAnsi" w:hAnsiTheme="majorHAnsi"/>
          <w:lang w:eastAsia="ja-JP"/>
        </w:rPr>
        <w:t xml:space="preserve"> February 2022</w:t>
      </w:r>
      <w:r w:rsidR="003173EE" w:rsidRPr="2EA8987B">
        <w:rPr>
          <w:rFonts w:asciiTheme="majorHAnsi" w:hAnsiTheme="majorHAnsi"/>
          <w:lang w:eastAsia="ja-JP"/>
        </w:rPr>
        <w:t>, 24 March 2022</w:t>
      </w:r>
      <w:r w:rsidR="00866E1C">
        <w:rPr>
          <w:rFonts w:asciiTheme="majorHAnsi" w:hAnsiTheme="majorHAnsi"/>
          <w:lang w:eastAsia="ja-JP"/>
        </w:rPr>
        <w:t>, 5 May 2022</w:t>
      </w:r>
      <w:r w:rsidR="00202561">
        <w:rPr>
          <w:rFonts w:asciiTheme="majorHAnsi" w:hAnsiTheme="majorHAnsi"/>
          <w:lang w:eastAsia="ja-JP"/>
        </w:rPr>
        <w:t>, 27 June 2022</w:t>
      </w:r>
      <w:r w:rsidR="00824490">
        <w:rPr>
          <w:rFonts w:asciiTheme="majorHAnsi" w:hAnsiTheme="majorHAnsi"/>
          <w:lang w:eastAsia="ja-JP"/>
        </w:rPr>
        <w:t>, 10 August 2022</w:t>
      </w:r>
      <w:r w:rsidR="00B6309B">
        <w:rPr>
          <w:rFonts w:asciiTheme="majorHAnsi" w:hAnsiTheme="majorHAnsi"/>
          <w:lang w:eastAsia="ja-JP"/>
        </w:rPr>
        <w:t>,</w:t>
      </w:r>
      <w:r w:rsidR="00824490">
        <w:rPr>
          <w:rFonts w:asciiTheme="majorHAnsi" w:hAnsiTheme="majorHAnsi"/>
          <w:lang w:eastAsia="ja-JP"/>
        </w:rPr>
        <w:t xml:space="preserve"> 5 October 2022</w:t>
      </w:r>
      <w:r w:rsidR="00B6309B">
        <w:rPr>
          <w:rFonts w:asciiTheme="majorHAnsi" w:hAnsiTheme="majorHAnsi"/>
          <w:lang w:eastAsia="ja-JP"/>
        </w:rPr>
        <w:t xml:space="preserve"> and 26 October</w:t>
      </w:r>
      <w:r w:rsidR="003C73ED">
        <w:rPr>
          <w:rFonts w:asciiTheme="majorHAnsi" w:hAnsiTheme="majorHAnsi"/>
          <w:lang w:eastAsia="ja-JP"/>
        </w:rPr>
        <w:t xml:space="preserve"> 2022</w:t>
      </w:r>
      <w:r w:rsidR="00B42A53" w:rsidRPr="2EA8987B">
        <w:rPr>
          <w:rFonts w:asciiTheme="majorHAnsi" w:hAnsiTheme="majorHAnsi"/>
          <w:lang w:eastAsia="ja-JP"/>
        </w:rPr>
        <w:t>),</w:t>
      </w:r>
      <w:r w:rsidR="00FD122E" w:rsidRPr="2EA8987B">
        <w:rPr>
          <w:rFonts w:asciiTheme="majorHAnsi" w:hAnsiTheme="majorHAnsi"/>
          <w:lang w:eastAsia="ja-JP"/>
        </w:rPr>
        <w:t xml:space="preserve"> </w:t>
      </w:r>
      <w:r w:rsidRPr="2EA8987B">
        <w:rPr>
          <w:rFonts w:asciiTheme="majorHAnsi" w:hAnsiTheme="majorHAnsi"/>
          <w:lang w:eastAsia="ja-JP"/>
        </w:rPr>
        <w:t>and also corresponded by</w:t>
      </w:r>
      <w:r w:rsidR="00397463" w:rsidRPr="2EA8987B">
        <w:rPr>
          <w:rFonts w:asciiTheme="majorHAnsi" w:hAnsiTheme="majorHAnsi"/>
          <w:lang w:eastAsia="ja-JP"/>
        </w:rPr>
        <w:t xml:space="preserve"> Microsoft Teams and</w:t>
      </w:r>
      <w:r w:rsidRPr="2EA8987B">
        <w:rPr>
          <w:rFonts w:asciiTheme="majorHAnsi" w:hAnsiTheme="majorHAnsi"/>
          <w:lang w:eastAsia="ja-JP"/>
        </w:rPr>
        <w:t xml:space="preserve"> email.</w:t>
      </w:r>
    </w:p>
    <w:p w14:paraId="386E237C" w14:textId="1226B17E" w:rsidR="004A423A" w:rsidRPr="0080375E" w:rsidRDefault="00F8393A">
      <w:pPr>
        <w:rPr>
          <w:rFonts w:asciiTheme="majorHAnsi" w:hAnsiTheme="majorHAnsi"/>
          <w:lang w:eastAsia="ja-JP"/>
        </w:rPr>
      </w:pPr>
      <w:r>
        <w:rPr>
          <w:rFonts w:eastAsia="Cambria" w:cs="Cambria"/>
        </w:rPr>
        <w:t>A</w:t>
      </w:r>
      <w:r w:rsidR="2EA8987B" w:rsidRPr="2EA8987B">
        <w:rPr>
          <w:rFonts w:eastAsia="Cambria" w:cs="Cambria"/>
        </w:rPr>
        <w:t xml:space="preserve"> NHTWG </w:t>
      </w:r>
      <w:r w:rsidR="5CEE9FA0" w:rsidRPr="2EA8987B">
        <w:rPr>
          <w:rFonts w:asciiTheme="majorHAnsi" w:eastAsia="Calibri" w:hAnsiTheme="majorHAnsi"/>
          <w:lang w:eastAsia="ja-JP"/>
        </w:rPr>
        <w:t xml:space="preserve">subcommittee was convened to </w:t>
      </w:r>
      <w:r w:rsidR="00611BB2" w:rsidRPr="2EA8987B">
        <w:rPr>
          <w:rFonts w:asciiTheme="majorHAnsi" w:hAnsiTheme="majorHAnsi"/>
          <w:lang w:eastAsia="ja-JP"/>
        </w:rPr>
        <w:t xml:space="preserve">discuss </w:t>
      </w:r>
      <w:r w:rsidR="00252821" w:rsidRPr="2EA8987B">
        <w:rPr>
          <w:rFonts w:asciiTheme="majorHAnsi" w:hAnsiTheme="majorHAnsi"/>
          <w:lang w:eastAsia="ja-JP"/>
        </w:rPr>
        <w:t xml:space="preserve">the </w:t>
      </w:r>
      <w:r w:rsidR="00277048">
        <w:rPr>
          <w:rFonts w:asciiTheme="majorHAnsi" w:hAnsiTheme="majorHAnsi"/>
          <w:lang w:eastAsia="ja-JP"/>
        </w:rPr>
        <w:t>key elements</w:t>
      </w:r>
      <w:r w:rsidR="00252821" w:rsidRPr="2EA8987B">
        <w:rPr>
          <w:rFonts w:asciiTheme="majorHAnsi" w:hAnsiTheme="majorHAnsi"/>
          <w:lang w:eastAsia="ja-JP"/>
        </w:rPr>
        <w:t xml:space="preserve"> required to </w:t>
      </w:r>
      <w:r w:rsidR="002A5D63" w:rsidRPr="2EA8987B">
        <w:rPr>
          <w:rStyle w:val="normaltextrun"/>
          <w:rFonts w:asciiTheme="majorHAnsi" w:hAnsiTheme="majorHAnsi" w:cs="Calibri"/>
        </w:rPr>
        <w:t xml:space="preserve">achieve adequate </w:t>
      </w:r>
      <w:r w:rsidR="00032969">
        <w:rPr>
          <w:rStyle w:val="normaltextrun"/>
          <w:rFonts w:asciiTheme="majorHAnsi" w:hAnsiTheme="majorHAnsi" w:cs="Calibri"/>
        </w:rPr>
        <w:t xml:space="preserve">horse </w:t>
      </w:r>
      <w:r w:rsidR="00824490" w:rsidRPr="2EA8987B">
        <w:rPr>
          <w:rStyle w:val="normaltextrun"/>
          <w:rFonts w:asciiTheme="majorHAnsi" w:hAnsiTheme="majorHAnsi" w:cs="Calibri"/>
        </w:rPr>
        <w:t>traceability to</w:t>
      </w:r>
      <w:r w:rsidR="002A5D63" w:rsidRPr="2EA8987B">
        <w:rPr>
          <w:rStyle w:val="normaltextrun"/>
          <w:rFonts w:asciiTheme="majorHAnsi" w:hAnsiTheme="majorHAnsi" w:cs="Calibri"/>
        </w:rPr>
        <w:t xml:space="preserve"> address biosecurity risks,</w:t>
      </w:r>
      <w:r w:rsidR="00A62D55" w:rsidRPr="2EA8987B">
        <w:rPr>
          <w:rStyle w:val="normaltextrun"/>
          <w:rFonts w:asciiTheme="majorHAnsi" w:hAnsiTheme="majorHAnsi" w:cs="Calibri"/>
        </w:rPr>
        <w:t xml:space="preserve"> to draft </w:t>
      </w:r>
      <w:r w:rsidR="00B42A53" w:rsidRPr="2EA8987B">
        <w:rPr>
          <w:rStyle w:val="normaltextrun"/>
          <w:rFonts w:asciiTheme="majorHAnsi" w:hAnsiTheme="majorHAnsi" w:cs="Calibri"/>
        </w:rPr>
        <w:t>proposed</w:t>
      </w:r>
      <w:r w:rsidR="00A62D55" w:rsidRPr="2EA8987B">
        <w:rPr>
          <w:rStyle w:val="normaltextrun"/>
          <w:rFonts w:asciiTheme="majorHAnsi" w:hAnsiTheme="majorHAnsi" w:cs="Calibri"/>
        </w:rPr>
        <w:t xml:space="preserve"> business rules outlining </w:t>
      </w:r>
      <w:r w:rsidR="001767F7">
        <w:rPr>
          <w:rStyle w:val="normaltextrun"/>
          <w:rFonts w:asciiTheme="majorHAnsi" w:hAnsiTheme="majorHAnsi" w:cs="Calibri"/>
        </w:rPr>
        <w:t xml:space="preserve">horse sector </w:t>
      </w:r>
      <w:r w:rsidR="00A62D55" w:rsidRPr="2EA8987B">
        <w:rPr>
          <w:rStyle w:val="normaltextrun"/>
          <w:rFonts w:asciiTheme="majorHAnsi" w:hAnsiTheme="majorHAnsi" w:cs="Calibri"/>
        </w:rPr>
        <w:t>participant obligations relating to property registration, microchip use, movement records and associated data management</w:t>
      </w:r>
      <w:r w:rsidR="008E2C6F">
        <w:rPr>
          <w:rStyle w:val="normaltextrun"/>
          <w:rFonts w:asciiTheme="majorHAnsi" w:hAnsiTheme="majorHAnsi" w:cs="Calibri"/>
        </w:rPr>
        <w:t xml:space="preserve">, and to draft </w:t>
      </w:r>
      <w:hyperlink r:id="rId11" w:history="1">
        <w:r w:rsidR="008E2C6F" w:rsidRPr="00202F0C">
          <w:rPr>
            <w:rStyle w:val="normaltextrun"/>
            <w:rFonts w:asciiTheme="majorHAnsi" w:hAnsiTheme="majorHAnsi" w:cs="Calibri"/>
          </w:rPr>
          <w:t>a list of frequently asked questions and answers specific to horse traceability</w:t>
        </w:r>
      </w:hyperlink>
      <w:r w:rsidR="008E2C6F" w:rsidRPr="00202F0C">
        <w:rPr>
          <w:rStyle w:val="normaltextrun"/>
          <w:rFonts w:asciiTheme="majorHAnsi" w:hAnsiTheme="majorHAnsi" w:cs="Calibri"/>
        </w:rPr>
        <w:t xml:space="preserve"> in the context of a </w:t>
      </w:r>
      <w:r w:rsidR="00202F0C" w:rsidRPr="00202F0C">
        <w:rPr>
          <w:rStyle w:val="normaltextrun"/>
          <w:rFonts w:asciiTheme="majorHAnsi" w:hAnsiTheme="majorHAnsi" w:cs="Calibri"/>
        </w:rPr>
        <w:t>NHTS</w:t>
      </w:r>
      <w:r w:rsidR="00202F0C">
        <w:rPr>
          <w:rStyle w:val="normaltextrun"/>
          <w:rFonts w:asciiTheme="majorHAnsi" w:hAnsiTheme="majorHAnsi" w:cs="Calibri"/>
        </w:rPr>
        <w:t xml:space="preserve"> (See Appendix </w:t>
      </w:r>
      <w:r w:rsidR="00034921">
        <w:rPr>
          <w:rStyle w:val="normaltextrun"/>
          <w:rFonts w:asciiTheme="majorHAnsi" w:hAnsiTheme="majorHAnsi" w:cs="Calibri"/>
        </w:rPr>
        <w:t>B</w:t>
      </w:r>
      <w:r w:rsidR="00202F0C">
        <w:rPr>
          <w:rStyle w:val="normaltextrun"/>
          <w:rFonts w:asciiTheme="majorHAnsi" w:hAnsiTheme="majorHAnsi" w:cs="Calibri"/>
        </w:rPr>
        <w:t>)</w:t>
      </w:r>
      <w:r w:rsidR="00611BB2" w:rsidRPr="2EA8987B">
        <w:rPr>
          <w:rFonts w:asciiTheme="majorHAnsi" w:hAnsiTheme="majorHAnsi"/>
          <w:lang w:eastAsia="ja-JP"/>
        </w:rPr>
        <w:t>.</w:t>
      </w:r>
    </w:p>
    <w:p w14:paraId="2ABBA299" w14:textId="0C2087E4" w:rsidR="004A423A" w:rsidRPr="0080375E" w:rsidRDefault="5CEE9FA0" w:rsidP="5CEE9FA0">
      <w:pPr>
        <w:rPr>
          <w:rFonts w:asciiTheme="majorHAnsi" w:eastAsia="Calibri" w:hAnsiTheme="majorHAnsi"/>
          <w:lang w:eastAsia="ja-JP"/>
        </w:rPr>
      </w:pPr>
      <w:r w:rsidRPr="5CEE9FA0">
        <w:rPr>
          <w:rFonts w:asciiTheme="majorHAnsi" w:eastAsia="Calibri" w:hAnsiTheme="majorHAnsi"/>
          <w:lang w:eastAsia="ja-JP"/>
        </w:rPr>
        <w:t xml:space="preserve"> </w:t>
      </w:r>
    </w:p>
    <w:p w14:paraId="004F7B71" w14:textId="2F1C886F" w:rsidR="00B42A53" w:rsidRDefault="00B42A53" w:rsidP="00B42A53">
      <w:pPr>
        <w:pStyle w:val="Heading2"/>
        <w:rPr>
          <w:rFonts w:asciiTheme="majorHAnsi" w:hAnsiTheme="majorHAnsi"/>
        </w:rPr>
      </w:pPr>
      <w:bookmarkStart w:id="8" w:name="_Responses_to_the"/>
      <w:bookmarkStart w:id="9" w:name="_Toc121397553"/>
      <w:bookmarkStart w:id="10" w:name="_Toc92203335"/>
      <w:bookmarkStart w:id="11" w:name="_Toc92203370"/>
      <w:bookmarkEnd w:id="8"/>
      <w:r w:rsidRPr="5CEE9FA0">
        <w:rPr>
          <w:rFonts w:asciiTheme="majorHAnsi" w:hAnsiTheme="majorHAnsi"/>
        </w:rPr>
        <w:lastRenderedPageBreak/>
        <w:t>Considerations</w:t>
      </w:r>
      <w:bookmarkEnd w:id="9"/>
    </w:p>
    <w:p w14:paraId="4CD394A7" w14:textId="7C775990" w:rsidR="00F30BDF" w:rsidRDefault="00F30BDF" w:rsidP="007868DD">
      <w:pPr>
        <w:pStyle w:val="Heading3"/>
        <w:numPr>
          <w:ilvl w:val="1"/>
          <w:numId w:val="0"/>
        </w:numPr>
        <w:spacing w:after="120"/>
        <w:ind w:left="964" w:hanging="964"/>
        <w:rPr>
          <w:rFonts w:asciiTheme="majorHAnsi" w:hAnsiTheme="majorHAnsi"/>
          <w:sz w:val="22"/>
          <w:szCs w:val="22"/>
          <w:lang w:eastAsia="ja-JP"/>
        </w:rPr>
      </w:pPr>
      <w:bookmarkStart w:id="12" w:name="_Toc121397554"/>
      <w:r>
        <w:rPr>
          <w:rFonts w:asciiTheme="majorHAnsi" w:hAnsiTheme="majorHAnsi"/>
          <w:sz w:val="22"/>
          <w:szCs w:val="22"/>
          <w:lang w:eastAsia="ja-JP"/>
        </w:rPr>
        <w:t>Australia’s horse population</w:t>
      </w:r>
      <w:r w:rsidR="00032969">
        <w:rPr>
          <w:rFonts w:asciiTheme="majorHAnsi" w:hAnsiTheme="majorHAnsi"/>
          <w:sz w:val="22"/>
          <w:szCs w:val="22"/>
          <w:lang w:eastAsia="ja-JP"/>
        </w:rPr>
        <w:t xml:space="preserve"> and economic importance</w:t>
      </w:r>
      <w:bookmarkEnd w:id="12"/>
    </w:p>
    <w:p w14:paraId="3DCF25F6" w14:textId="14A4927D" w:rsidR="00F30BDF" w:rsidRPr="00F40EFA" w:rsidRDefault="00F30BDF" w:rsidP="00862599">
      <w:pPr>
        <w:rPr>
          <w:b/>
          <w:bCs/>
        </w:rPr>
      </w:pPr>
      <w:r w:rsidRPr="00F40EFA">
        <w:t xml:space="preserve">There is no accurate figure </w:t>
      </w:r>
      <w:r w:rsidR="00032969" w:rsidRPr="00F40EFA">
        <w:t>on</w:t>
      </w:r>
      <w:r w:rsidRPr="00F40EFA">
        <w:t xml:space="preserve"> Australia's horse population. Current estimates vary from between 900,000 to 1.8 million horses</w:t>
      </w:r>
      <w:r w:rsidR="00C627C1">
        <w:rPr>
          <w:rStyle w:val="FootnoteReference"/>
        </w:rPr>
        <w:t>3</w:t>
      </w:r>
      <w:r w:rsidR="00984A08" w:rsidRPr="00F40EFA">
        <w:t>.</w:t>
      </w:r>
    </w:p>
    <w:p w14:paraId="5E982656" w14:textId="01D39237" w:rsidR="00032969" w:rsidRDefault="00032969" w:rsidP="00742CC3">
      <w:r>
        <w:t>Horses are kept for a range of recreational, equestrian and racing purposes, as working animals particularly in the context of livestock production, and as pets.</w:t>
      </w:r>
    </w:p>
    <w:p w14:paraId="643E44CC" w14:textId="20AC9F3C" w:rsidR="00742CC3" w:rsidRPr="00742CC3" w:rsidRDefault="00742CC3" w:rsidP="00742CC3">
      <w:r>
        <w:t>The 2017 economic impact study of the nation’s Thoroughbred racing industry</w:t>
      </w:r>
      <w:r w:rsidR="00984A08">
        <w:t xml:space="preserve"> alone concluded that </w:t>
      </w:r>
      <w:r>
        <w:t>it contributed $9.15 billion to the Australian economy and provided 72</w:t>
      </w:r>
      <w:r w:rsidR="00032969">
        <w:t>,</w:t>
      </w:r>
      <w:r>
        <w:t>000 full-time jobs</w:t>
      </w:r>
      <w:r w:rsidR="00032969">
        <w:t>,</w:t>
      </w:r>
      <w:r>
        <w:t xml:space="preserve"> with more than 159</w:t>
      </w:r>
      <w:r w:rsidR="000A3A1E">
        <w:t>,</w:t>
      </w:r>
      <w:r>
        <w:t>000 individuals directly or indirectly involved in Thoroughbred racing nationally</w:t>
      </w:r>
      <w:r w:rsidR="00304148">
        <w:rPr>
          <w:rStyle w:val="FootnoteReference"/>
        </w:rPr>
        <w:t>4</w:t>
      </w:r>
      <w:r>
        <w:t>.</w:t>
      </w:r>
    </w:p>
    <w:p w14:paraId="79248685" w14:textId="57E8B0AF" w:rsidR="004E1A71" w:rsidRPr="00656826" w:rsidRDefault="004E1A71" w:rsidP="00656826">
      <w:pPr>
        <w:pStyle w:val="Heading3"/>
        <w:numPr>
          <w:ilvl w:val="0"/>
          <w:numId w:val="0"/>
        </w:numPr>
        <w:spacing w:after="120"/>
        <w:ind w:left="964" w:hanging="964"/>
        <w:rPr>
          <w:rFonts w:ascii="Cambria" w:eastAsia="Calibri" w:hAnsi="Cambria"/>
          <w:sz w:val="22"/>
          <w:szCs w:val="22"/>
        </w:rPr>
      </w:pPr>
      <w:bookmarkStart w:id="13" w:name="_Toc121397555"/>
      <w:r w:rsidRPr="00656826">
        <w:rPr>
          <w:rFonts w:ascii="Cambria" w:eastAsia="Calibri" w:hAnsi="Cambria"/>
          <w:sz w:val="22"/>
          <w:szCs w:val="22"/>
        </w:rPr>
        <w:t>Traceability during disease incursions</w:t>
      </w:r>
      <w:bookmarkEnd w:id="13"/>
    </w:p>
    <w:p w14:paraId="7071CB84" w14:textId="3F651EE0" w:rsidR="000B53CD" w:rsidRDefault="00F13A33" w:rsidP="00B8763E">
      <w:r>
        <w:rPr>
          <w:rFonts w:eastAsia="Calibri"/>
        </w:rPr>
        <w:t xml:space="preserve">There are many serious diseases that affect horses that are either not present in Australia or that occur sporadically.  Notable examples </w:t>
      </w:r>
      <w:r w:rsidR="00A264F1">
        <w:rPr>
          <w:rFonts w:eastAsia="Calibri"/>
        </w:rPr>
        <w:t>include</w:t>
      </w:r>
      <w:r>
        <w:rPr>
          <w:rFonts w:eastAsia="Calibri"/>
        </w:rPr>
        <w:t xml:space="preserve"> </w:t>
      </w:r>
      <w:r>
        <w:t xml:space="preserve">African horse sickness (AHS), </w:t>
      </w:r>
      <w:r w:rsidR="00FD3D3F">
        <w:t>e</w:t>
      </w:r>
      <w:r>
        <w:t>quine influenza</w:t>
      </w:r>
      <w:r w:rsidR="00220AB0">
        <w:t xml:space="preserve"> (EI)</w:t>
      </w:r>
      <w:r>
        <w:t>, Hendra virus</w:t>
      </w:r>
      <w:r w:rsidR="00032969">
        <w:t xml:space="preserve"> and</w:t>
      </w:r>
      <w:r>
        <w:t xml:space="preserve"> </w:t>
      </w:r>
      <w:r w:rsidR="004E1A71">
        <w:t>v</w:t>
      </w:r>
      <w:r>
        <w:t>esicular stomatitis.</w:t>
      </w:r>
      <w:r w:rsidR="00183672">
        <w:t xml:space="preserve">  The </w:t>
      </w:r>
      <w:r w:rsidR="00574F6B">
        <w:t>speed with which</w:t>
      </w:r>
      <w:r w:rsidR="00183672">
        <w:t xml:space="preserve"> infected and potentially exposed </w:t>
      </w:r>
      <w:r w:rsidR="00075DEA">
        <w:t>horses</w:t>
      </w:r>
      <w:r w:rsidR="00574F6B">
        <w:t xml:space="preserve"> are able to be traced</w:t>
      </w:r>
      <w:r w:rsidR="00183672">
        <w:t xml:space="preserve"> is </w:t>
      </w:r>
      <w:r w:rsidR="00574F6B">
        <w:t xml:space="preserve">a </w:t>
      </w:r>
      <w:r w:rsidR="00183672">
        <w:t>critical</w:t>
      </w:r>
      <w:r w:rsidR="00574F6B">
        <w:t xml:space="preserve"> factor in determining how quickly an</w:t>
      </w:r>
      <w:r w:rsidR="00183672">
        <w:t xml:space="preserve"> incursion</w:t>
      </w:r>
      <w:r w:rsidR="00574F6B">
        <w:t xml:space="preserve"> of an emergency disease is contained</w:t>
      </w:r>
      <w:r w:rsidR="00183672">
        <w:t>.</w:t>
      </w:r>
      <w:r w:rsidR="009F4605">
        <w:t xml:space="preserve">  </w:t>
      </w:r>
    </w:p>
    <w:p w14:paraId="21FB8525" w14:textId="2734E4EB" w:rsidR="00F13A33" w:rsidRDefault="009F4605" w:rsidP="00B8763E">
      <w:r>
        <w:t xml:space="preserve">Knowing the </w:t>
      </w:r>
      <w:r w:rsidR="000B53CD">
        <w:t>physical location</w:t>
      </w:r>
      <w:r>
        <w:t xml:space="preserve"> where susceptible animals may be located is also essential to </w:t>
      </w:r>
      <w:r w:rsidR="004B3A75">
        <w:t>support the surveillance effort and proactive measures such as vaccination</w:t>
      </w:r>
      <w:r w:rsidR="000B53CD">
        <w:t xml:space="preserve">.  </w:t>
      </w:r>
      <w:r w:rsidR="00B42C2E">
        <w:t xml:space="preserve">Figure 1 </w:t>
      </w:r>
      <w:r w:rsidR="000B53CD">
        <w:t xml:space="preserve">provides an example of how geospatial data </w:t>
      </w:r>
      <w:r w:rsidR="00E22DF4">
        <w:t xml:space="preserve">sourced from Victoria’s </w:t>
      </w:r>
      <w:r w:rsidR="00700D9E">
        <w:t>Property Identification Code (</w:t>
      </w:r>
      <w:r w:rsidR="000B53CD">
        <w:t>PIC</w:t>
      </w:r>
      <w:r w:rsidR="00700D9E">
        <w:t>)</w:t>
      </w:r>
      <w:r w:rsidR="00E22DF4">
        <w:t xml:space="preserve"> register </w:t>
      </w:r>
      <w:r w:rsidR="000B53CD">
        <w:t xml:space="preserve">is able to be used </w:t>
      </w:r>
      <w:r w:rsidR="00E22DF4">
        <w:t>to identify</w:t>
      </w:r>
      <w:r w:rsidR="000B53CD">
        <w:t xml:space="preserve"> properties </w:t>
      </w:r>
      <w:r w:rsidR="00E22DF4">
        <w:t>with susceptible species that are in</w:t>
      </w:r>
      <w:r w:rsidR="000B53CD">
        <w:t xml:space="preserve"> the vicinity of a</w:t>
      </w:r>
      <w:r w:rsidR="00BC1A4C">
        <w:t xml:space="preserve"> simulated</w:t>
      </w:r>
      <w:r w:rsidR="000B53CD">
        <w:t xml:space="preserve"> disease outbreak.</w:t>
      </w:r>
    </w:p>
    <w:p w14:paraId="22C6D642" w14:textId="411670E0" w:rsidR="00B42C2E" w:rsidRDefault="00B42C2E" w:rsidP="00F13A33">
      <w:pPr>
        <w:spacing w:after="0" w:line="240" w:lineRule="auto"/>
      </w:pPr>
    </w:p>
    <w:p w14:paraId="14F5257B" w14:textId="1BABACF0" w:rsidR="00B42C2E" w:rsidRDefault="00B42C2E" w:rsidP="00F13A33">
      <w:pPr>
        <w:spacing w:after="0" w:line="240" w:lineRule="auto"/>
      </w:pPr>
    </w:p>
    <w:p w14:paraId="24163115" w14:textId="0265A775" w:rsidR="00B42C2E" w:rsidRDefault="00B42C2E" w:rsidP="00F13A33">
      <w:pPr>
        <w:spacing w:after="0" w:line="240" w:lineRule="auto"/>
      </w:pPr>
    </w:p>
    <w:p w14:paraId="10D5E928" w14:textId="795E591B" w:rsidR="00B42C2E" w:rsidRDefault="00B42C2E" w:rsidP="00F13A33">
      <w:pPr>
        <w:spacing w:after="0" w:line="240" w:lineRule="auto"/>
      </w:pPr>
    </w:p>
    <w:p w14:paraId="338D4CC8" w14:textId="4EC764C1" w:rsidR="00B42C2E" w:rsidRDefault="00B42C2E" w:rsidP="00F13A33">
      <w:pPr>
        <w:spacing w:after="0" w:line="240" w:lineRule="auto"/>
      </w:pPr>
    </w:p>
    <w:p w14:paraId="5271209F" w14:textId="58FD4BCD" w:rsidR="00B42C2E" w:rsidRDefault="00B42C2E" w:rsidP="00F13A33">
      <w:pPr>
        <w:spacing w:after="0" w:line="240" w:lineRule="auto"/>
      </w:pPr>
    </w:p>
    <w:p w14:paraId="0851E1BA" w14:textId="484D3F69" w:rsidR="00B42C2E" w:rsidRDefault="00B42C2E" w:rsidP="00F13A33">
      <w:pPr>
        <w:spacing w:after="0" w:line="240" w:lineRule="auto"/>
      </w:pPr>
    </w:p>
    <w:p w14:paraId="56868ABE" w14:textId="02856E93" w:rsidR="00B42C2E" w:rsidRDefault="00B42C2E" w:rsidP="00F13A33">
      <w:pPr>
        <w:spacing w:after="0" w:line="240" w:lineRule="auto"/>
      </w:pPr>
    </w:p>
    <w:p w14:paraId="53EF9ED2" w14:textId="2AACB895" w:rsidR="00B42C2E" w:rsidRDefault="00B42C2E" w:rsidP="00F13A33">
      <w:pPr>
        <w:spacing w:after="0" w:line="240" w:lineRule="auto"/>
      </w:pPr>
    </w:p>
    <w:p w14:paraId="3F31F1E3" w14:textId="7A196F6C" w:rsidR="00B42C2E" w:rsidRDefault="00B42C2E" w:rsidP="00F13A33">
      <w:pPr>
        <w:spacing w:after="0" w:line="240" w:lineRule="auto"/>
      </w:pPr>
    </w:p>
    <w:p w14:paraId="3CD479E5" w14:textId="3E55232E" w:rsidR="00B42C2E" w:rsidRDefault="00B42C2E" w:rsidP="00F13A33">
      <w:pPr>
        <w:spacing w:after="0" w:line="240" w:lineRule="auto"/>
      </w:pPr>
    </w:p>
    <w:p w14:paraId="63335F25" w14:textId="44D5FA90" w:rsidR="00B42C2E" w:rsidRDefault="00B42C2E" w:rsidP="00F13A33">
      <w:pPr>
        <w:spacing w:after="0" w:line="240" w:lineRule="auto"/>
      </w:pPr>
    </w:p>
    <w:p w14:paraId="5FFA4445" w14:textId="1F1A02BB" w:rsidR="00B42C2E" w:rsidRDefault="00B42C2E" w:rsidP="00F13A33">
      <w:pPr>
        <w:spacing w:after="0" w:line="240" w:lineRule="auto"/>
      </w:pPr>
    </w:p>
    <w:p w14:paraId="43E7767B" w14:textId="21B92F84" w:rsidR="00B42C2E" w:rsidRDefault="00B42C2E" w:rsidP="00F13A33">
      <w:pPr>
        <w:spacing w:after="0" w:line="240" w:lineRule="auto"/>
      </w:pPr>
    </w:p>
    <w:p w14:paraId="5860A4D5" w14:textId="0EA05CF8" w:rsidR="00B42C2E" w:rsidRDefault="00B42C2E" w:rsidP="00F13A33">
      <w:pPr>
        <w:spacing w:after="0" w:line="240" w:lineRule="auto"/>
      </w:pPr>
    </w:p>
    <w:p w14:paraId="391B448D" w14:textId="6621A060" w:rsidR="00B42C2E" w:rsidRDefault="00B42C2E" w:rsidP="00F13A33">
      <w:pPr>
        <w:spacing w:after="0" w:line="240" w:lineRule="auto"/>
      </w:pPr>
    </w:p>
    <w:p w14:paraId="38A336CD" w14:textId="77777777" w:rsidR="00AB17C9" w:rsidRDefault="00AB17C9" w:rsidP="00F13A33">
      <w:pPr>
        <w:spacing w:after="0" w:line="240" w:lineRule="auto"/>
      </w:pPr>
    </w:p>
    <w:p w14:paraId="321804AF" w14:textId="77777777" w:rsidR="00AB17C9" w:rsidRDefault="00AB17C9" w:rsidP="00F13A33">
      <w:pPr>
        <w:spacing w:after="0" w:line="240" w:lineRule="auto"/>
      </w:pPr>
    </w:p>
    <w:p w14:paraId="6C4E955B" w14:textId="77777777" w:rsidR="00AB17C9" w:rsidRDefault="00AB17C9" w:rsidP="00F13A33">
      <w:pPr>
        <w:spacing w:after="0" w:line="240" w:lineRule="auto"/>
      </w:pPr>
    </w:p>
    <w:p w14:paraId="1EA33778" w14:textId="77777777" w:rsidR="00AB17C9" w:rsidRDefault="00AB17C9" w:rsidP="00F13A33">
      <w:pPr>
        <w:spacing w:after="0" w:line="240" w:lineRule="auto"/>
      </w:pPr>
    </w:p>
    <w:p w14:paraId="5122947A" w14:textId="77777777" w:rsidR="00AB17C9" w:rsidRDefault="00AB17C9" w:rsidP="00F13A33">
      <w:pPr>
        <w:spacing w:after="0" w:line="240" w:lineRule="auto"/>
      </w:pPr>
    </w:p>
    <w:p w14:paraId="331263D5" w14:textId="638CBDDD" w:rsidR="00B42C2E" w:rsidRDefault="00B42C2E" w:rsidP="00F13A33">
      <w:pPr>
        <w:spacing w:after="0" w:line="240" w:lineRule="auto"/>
      </w:pPr>
    </w:p>
    <w:p w14:paraId="6FB22BCF" w14:textId="493CF37D" w:rsidR="00B42C2E" w:rsidRPr="00B42C2E" w:rsidRDefault="00B42C2E" w:rsidP="00B42C2E">
      <w:pPr>
        <w:spacing w:after="0" w:line="240" w:lineRule="auto"/>
        <w:ind w:left="1134" w:hanging="1134"/>
      </w:pPr>
      <w:r>
        <w:rPr>
          <w:b/>
          <w:bCs/>
        </w:rPr>
        <w:lastRenderedPageBreak/>
        <w:t>Figure 1</w:t>
      </w:r>
      <w:r w:rsidR="000A3A1E">
        <w:rPr>
          <w:b/>
          <w:bCs/>
        </w:rPr>
        <w:t>.</w:t>
      </w:r>
      <w:r>
        <w:rPr>
          <w:b/>
          <w:bCs/>
        </w:rPr>
        <w:tab/>
        <w:t>Use of geos</w:t>
      </w:r>
      <w:r w:rsidRPr="00B42C2E">
        <w:rPr>
          <w:b/>
          <w:bCs/>
        </w:rPr>
        <w:t xml:space="preserve">patial </w:t>
      </w:r>
      <w:r>
        <w:rPr>
          <w:b/>
          <w:bCs/>
        </w:rPr>
        <w:t xml:space="preserve">PIC register data to identify properties within a </w:t>
      </w:r>
      <w:r w:rsidRPr="00B42C2E">
        <w:rPr>
          <w:b/>
          <w:bCs/>
        </w:rPr>
        <w:t xml:space="preserve">5km </w:t>
      </w:r>
      <w:r>
        <w:rPr>
          <w:b/>
          <w:bCs/>
        </w:rPr>
        <w:t>radius of a</w:t>
      </w:r>
      <w:r w:rsidR="00700D9E">
        <w:rPr>
          <w:b/>
          <w:bCs/>
        </w:rPr>
        <w:t xml:space="preserve"> simulated</w:t>
      </w:r>
      <w:r>
        <w:rPr>
          <w:b/>
          <w:bCs/>
        </w:rPr>
        <w:t xml:space="preserve"> outbreak</w:t>
      </w:r>
    </w:p>
    <w:p w14:paraId="295CBF2C" w14:textId="77777777" w:rsidR="00B42C2E" w:rsidRDefault="00B42C2E" w:rsidP="00F13A33">
      <w:pPr>
        <w:spacing w:after="0" w:line="240" w:lineRule="auto"/>
      </w:pPr>
    </w:p>
    <w:p w14:paraId="2F3C4204" w14:textId="35BD6F04" w:rsidR="000B53CD" w:rsidRDefault="000B53CD" w:rsidP="00F13A33">
      <w:pPr>
        <w:spacing w:after="0" w:line="240" w:lineRule="auto"/>
      </w:pPr>
    </w:p>
    <w:p w14:paraId="3F58C4F2" w14:textId="52CF6E04" w:rsidR="000B53CD" w:rsidRDefault="000B53CD" w:rsidP="00F13A33">
      <w:pPr>
        <w:spacing w:after="0" w:line="240" w:lineRule="auto"/>
      </w:pPr>
      <w:r w:rsidRPr="000B53CD">
        <w:rPr>
          <w:noProof/>
        </w:rPr>
        <w:drawing>
          <wp:inline distT="0" distB="0" distL="0" distR="0" wp14:anchorId="7ABC7919" wp14:editId="5F576BC5">
            <wp:extent cx="5759450" cy="3852545"/>
            <wp:effectExtent l="0" t="0" r="0" b="0"/>
            <wp:docPr id="3074" name="Picture 2" descr="Use of geospatial PIC register data to identify properties within a 5km radius of a simulated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Use of geospatial PIC register data to identify properties within a 5km radius of a simulated outbre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852545"/>
                    </a:xfrm>
                    <a:prstGeom prst="rect">
                      <a:avLst/>
                    </a:prstGeom>
                    <a:noFill/>
                    <a:ln>
                      <a:noFill/>
                    </a:ln>
                    <a:effectLst/>
                  </pic:spPr>
                </pic:pic>
              </a:graphicData>
            </a:graphic>
          </wp:inline>
        </w:drawing>
      </w:r>
    </w:p>
    <w:p w14:paraId="1FD24988" w14:textId="3855A053" w:rsidR="00A264F1" w:rsidRDefault="00183672" w:rsidP="00F13A33">
      <w:pPr>
        <w:spacing w:after="0" w:line="240" w:lineRule="auto"/>
      </w:pPr>
      <w:r>
        <w:t xml:space="preserve">  </w:t>
      </w:r>
    </w:p>
    <w:p w14:paraId="298590F1" w14:textId="77777777" w:rsidR="000A4F27" w:rsidRDefault="000A4F27" w:rsidP="001F0B05">
      <w:pPr>
        <w:rPr>
          <w:rFonts w:eastAsia="Calibri"/>
        </w:rPr>
      </w:pPr>
    </w:p>
    <w:p w14:paraId="67547139" w14:textId="4A690F4D" w:rsidR="000A4F27" w:rsidRPr="001E7C1C" w:rsidRDefault="000A4F27" w:rsidP="001E7C1C">
      <w:pPr>
        <w:rPr>
          <w:rFonts w:eastAsia="Calibri"/>
        </w:rPr>
      </w:pPr>
      <w:r w:rsidRPr="243915F5">
        <w:rPr>
          <w:rFonts w:eastAsia="Calibri"/>
        </w:rPr>
        <w:t xml:space="preserve">The NHTWG </w:t>
      </w:r>
      <w:r>
        <w:rPr>
          <w:rFonts w:eastAsia="Calibri"/>
        </w:rPr>
        <w:t>acknowledged</w:t>
      </w:r>
      <w:r w:rsidRPr="243915F5">
        <w:rPr>
          <w:rFonts w:eastAsia="Calibri"/>
        </w:rPr>
        <w:t xml:space="preserve"> that property registration is an integral part of all successful livestock traceability systems</w:t>
      </w:r>
      <w:r>
        <w:rPr>
          <w:rFonts w:eastAsia="Calibri"/>
        </w:rPr>
        <w:t>.  During biosecurity emergencies, the challenge is to quickly determine the properties where infected and exposed animals are located.  F</w:t>
      </w:r>
      <w:r w:rsidRPr="243915F5">
        <w:rPr>
          <w:rFonts w:eastAsia="Calibri"/>
        </w:rPr>
        <w:t>or a number of years</w:t>
      </w:r>
      <w:r>
        <w:rPr>
          <w:rFonts w:eastAsia="Calibri"/>
        </w:rPr>
        <w:t>,</w:t>
      </w:r>
      <w:r w:rsidRPr="243915F5">
        <w:rPr>
          <w:rFonts w:eastAsia="Calibri"/>
        </w:rPr>
        <w:t xml:space="preserve"> properties in Australia on which horses are kept</w:t>
      </w:r>
      <w:r>
        <w:rPr>
          <w:rFonts w:eastAsia="Calibri"/>
        </w:rPr>
        <w:t>,</w:t>
      </w:r>
      <w:r w:rsidRPr="243915F5">
        <w:rPr>
          <w:rFonts w:eastAsia="Calibri"/>
        </w:rPr>
        <w:t xml:space="preserve"> in most jurisdictions</w:t>
      </w:r>
      <w:r>
        <w:rPr>
          <w:rFonts w:eastAsia="Calibri"/>
        </w:rPr>
        <w:t>,</w:t>
      </w:r>
      <w:r w:rsidRPr="243915F5">
        <w:rPr>
          <w:rFonts w:eastAsia="Calibri"/>
        </w:rPr>
        <w:t xml:space="preserve"> have </w:t>
      </w:r>
      <w:r>
        <w:rPr>
          <w:rFonts w:eastAsia="Calibri"/>
        </w:rPr>
        <w:t xml:space="preserve">needed </w:t>
      </w:r>
      <w:r w:rsidRPr="243915F5">
        <w:rPr>
          <w:rFonts w:eastAsia="Calibri"/>
        </w:rPr>
        <w:t xml:space="preserve">a Property Identification Code (PIC). </w:t>
      </w:r>
      <w:r>
        <w:rPr>
          <w:rFonts w:eastAsia="Calibri"/>
        </w:rPr>
        <w:t xml:space="preserve">The </w:t>
      </w:r>
      <w:r w:rsidRPr="243915F5">
        <w:rPr>
          <w:rFonts w:eastAsia="Calibri"/>
        </w:rPr>
        <w:t xml:space="preserve">NHTWG also recognised that significant work </w:t>
      </w:r>
      <w:r>
        <w:rPr>
          <w:rFonts w:eastAsia="Calibri"/>
        </w:rPr>
        <w:t>is</w:t>
      </w:r>
      <w:r w:rsidRPr="243915F5">
        <w:rPr>
          <w:rFonts w:eastAsia="Calibri"/>
        </w:rPr>
        <w:t xml:space="preserve"> required to ensure PIC data </w:t>
      </w:r>
      <w:r>
        <w:rPr>
          <w:rFonts w:eastAsia="Calibri"/>
        </w:rPr>
        <w:t>is</w:t>
      </w:r>
      <w:r w:rsidRPr="243915F5">
        <w:rPr>
          <w:rFonts w:eastAsia="Calibri"/>
        </w:rPr>
        <w:t xml:space="preserve"> kept up</w:t>
      </w:r>
      <w:r>
        <w:rPr>
          <w:rFonts w:eastAsia="Calibri"/>
        </w:rPr>
        <w:t>-</w:t>
      </w:r>
      <w:r w:rsidRPr="243915F5">
        <w:rPr>
          <w:rFonts w:eastAsia="Calibri"/>
        </w:rPr>
        <w:t>to</w:t>
      </w:r>
      <w:r>
        <w:rPr>
          <w:rFonts w:eastAsia="Calibri"/>
        </w:rPr>
        <w:t>-</w:t>
      </w:r>
      <w:r w:rsidRPr="243915F5">
        <w:rPr>
          <w:rFonts w:eastAsia="Calibri"/>
        </w:rPr>
        <w:t xml:space="preserve">date and all horse owners/ carers </w:t>
      </w:r>
      <w:r>
        <w:rPr>
          <w:rFonts w:eastAsia="Calibri"/>
        </w:rPr>
        <w:t>are</w:t>
      </w:r>
      <w:r w:rsidRPr="243915F5">
        <w:rPr>
          <w:rFonts w:eastAsia="Calibri"/>
        </w:rPr>
        <w:t xml:space="preserve"> </w:t>
      </w:r>
      <w:r>
        <w:rPr>
          <w:rFonts w:eastAsia="Calibri"/>
        </w:rPr>
        <w:t>familiar with and appreciated the value of the PIC</w:t>
      </w:r>
      <w:r w:rsidRPr="243915F5">
        <w:rPr>
          <w:rFonts w:eastAsia="Calibri"/>
        </w:rPr>
        <w:t xml:space="preserve"> system. </w:t>
      </w:r>
    </w:p>
    <w:p w14:paraId="702AC96A" w14:textId="3A764C28" w:rsidR="004E1A71" w:rsidRDefault="004E1A71" w:rsidP="004E1A71">
      <w:pPr>
        <w:pStyle w:val="Heading3"/>
        <w:numPr>
          <w:ilvl w:val="1"/>
          <w:numId w:val="0"/>
        </w:numPr>
        <w:spacing w:after="120"/>
        <w:ind w:left="964" w:hanging="964"/>
        <w:rPr>
          <w:rFonts w:asciiTheme="majorHAnsi" w:hAnsiTheme="majorHAnsi"/>
          <w:sz w:val="22"/>
          <w:szCs w:val="22"/>
          <w:lang w:eastAsia="ja-JP"/>
        </w:rPr>
      </w:pPr>
      <w:bookmarkStart w:id="14" w:name="_Toc121397556"/>
      <w:r>
        <w:rPr>
          <w:rFonts w:asciiTheme="majorHAnsi" w:hAnsiTheme="majorHAnsi"/>
          <w:sz w:val="22"/>
          <w:szCs w:val="22"/>
          <w:lang w:eastAsia="ja-JP"/>
        </w:rPr>
        <w:t>Disease threats and incursion costs</w:t>
      </w:r>
      <w:bookmarkEnd w:id="14"/>
    </w:p>
    <w:p w14:paraId="2CA6B1F7" w14:textId="3159E672" w:rsidR="00A264F1" w:rsidRPr="001F0B05" w:rsidRDefault="00A264F1" w:rsidP="001F0B05">
      <w:r w:rsidRPr="00F13A33">
        <w:rPr>
          <w:rFonts w:eastAsia="Calibri"/>
        </w:rPr>
        <w:t xml:space="preserve">One example of a disease incursion impacting Australia’s horse industry was the </w:t>
      </w:r>
      <w:r w:rsidR="00FD3D3F">
        <w:rPr>
          <w:rFonts w:eastAsia="Calibri"/>
        </w:rPr>
        <w:t>e</w:t>
      </w:r>
      <w:r w:rsidRPr="00F13A33">
        <w:rPr>
          <w:rFonts w:eastAsia="Calibri"/>
        </w:rPr>
        <w:t xml:space="preserve">quine </w:t>
      </w:r>
      <w:r w:rsidR="00FD3D3F">
        <w:rPr>
          <w:rFonts w:eastAsia="Calibri"/>
        </w:rPr>
        <w:t>i</w:t>
      </w:r>
      <w:r w:rsidRPr="00F13A33">
        <w:rPr>
          <w:rFonts w:eastAsia="Calibri"/>
        </w:rPr>
        <w:t>nfluenza (EI) outbreak of 2007</w:t>
      </w:r>
      <w:r w:rsidR="00574F6B">
        <w:rPr>
          <w:rFonts w:eastAsia="Calibri"/>
        </w:rPr>
        <w:t>.   Horses on m</w:t>
      </w:r>
      <w:r w:rsidRPr="00F13A33">
        <w:rPr>
          <w:rFonts w:eastAsia="Calibri"/>
        </w:rPr>
        <w:t>ore than 10,000 properties</w:t>
      </w:r>
      <w:r w:rsidR="00574F6B">
        <w:rPr>
          <w:rFonts w:eastAsia="Calibri"/>
        </w:rPr>
        <w:t xml:space="preserve"> were affected and over </w:t>
      </w:r>
      <w:r w:rsidRPr="00F13A33">
        <w:rPr>
          <w:rFonts w:eastAsia="Calibri"/>
        </w:rPr>
        <w:t>140,000 horses</w:t>
      </w:r>
      <w:r w:rsidR="00574F6B">
        <w:rPr>
          <w:rFonts w:eastAsia="Calibri"/>
        </w:rPr>
        <w:t xml:space="preserve"> needed to be vaccinated during the response effort.  The outbreak</w:t>
      </w:r>
      <w:r w:rsidRPr="00F13A33">
        <w:rPr>
          <w:rFonts w:eastAsia="Calibri"/>
        </w:rPr>
        <w:t xml:space="preserve"> caused major disruption to</w:t>
      </w:r>
      <w:r w:rsidR="00574F6B">
        <w:rPr>
          <w:rFonts w:eastAsia="Calibri"/>
        </w:rPr>
        <w:t xml:space="preserve"> the movement of</w:t>
      </w:r>
      <w:r w:rsidRPr="00F13A33">
        <w:rPr>
          <w:rFonts w:eastAsia="Calibri"/>
        </w:rPr>
        <w:t xml:space="preserve"> horse</w:t>
      </w:r>
      <w:r w:rsidR="00574F6B">
        <w:rPr>
          <w:rFonts w:eastAsia="Calibri"/>
        </w:rPr>
        <w:t>s</w:t>
      </w:r>
      <w:r w:rsidRPr="00F13A33">
        <w:rPr>
          <w:rFonts w:eastAsia="Calibri"/>
        </w:rPr>
        <w:t xml:space="preserve"> across the country.  Estimates of the</w:t>
      </w:r>
      <w:r w:rsidR="00574F6B">
        <w:rPr>
          <w:rFonts w:eastAsia="Calibri"/>
        </w:rPr>
        <w:t xml:space="preserve"> economic impact</w:t>
      </w:r>
      <w:r w:rsidRPr="00F13A33">
        <w:rPr>
          <w:rFonts w:eastAsia="Calibri"/>
        </w:rPr>
        <w:t xml:space="preserve"> of the outbreak range from $350 million to $2 billion</w:t>
      </w:r>
      <w:r w:rsidR="0039287C">
        <w:rPr>
          <w:rStyle w:val="FootnoteReference"/>
        </w:rPr>
        <w:t>3</w:t>
      </w:r>
      <w:r>
        <w:t xml:space="preserve">. </w:t>
      </w:r>
    </w:p>
    <w:p w14:paraId="2717371A" w14:textId="61DA7A91" w:rsidR="00AE5C0B" w:rsidRDefault="00A264F1" w:rsidP="001F0B05">
      <w:r>
        <w:t xml:space="preserve">Containment and eradication costs associated with emergency animal disease incursions are shared between government and industry according to cost-sharing principles agreed under Emergency Animal Disease Response Agreement (EADRA). </w:t>
      </w:r>
    </w:p>
    <w:p w14:paraId="3871D44D" w14:textId="32D1D0CD" w:rsidR="00A264F1" w:rsidRDefault="00A264F1" w:rsidP="001F0B05">
      <w:r>
        <w:t>Diseases are classified in the EADRA agreement into four categories</w:t>
      </w:r>
      <w:r w:rsidR="00AE5C0B">
        <w:t xml:space="preserve"> with t</w:t>
      </w:r>
      <w:r>
        <w:t>he cost-sharing arrangements differ</w:t>
      </w:r>
      <w:r w:rsidR="00AE5C0B">
        <w:t>ing</w:t>
      </w:r>
      <w:r>
        <w:t xml:space="preserve"> for diseases in each category. For example, African horse sickness (AHS) </w:t>
      </w:r>
      <w:r>
        <w:lastRenderedPageBreak/>
        <w:t>is a Category 3 disease. The Commonwealth and states/territories would collectively be responsible for 50 per cent of the containment and eradication costs associated with the response to an AHS outbreak. Equine influenza is a Category 4 disease, with governments contributing 20 per cent to costs and industry responsible for 80 per cent.</w:t>
      </w:r>
    </w:p>
    <w:p w14:paraId="13FC71B9" w14:textId="56A3878B" w:rsidR="00A264F1" w:rsidRDefault="00A264F1" w:rsidP="00F13A33">
      <w:pPr>
        <w:spacing w:after="0" w:line="240" w:lineRule="auto"/>
      </w:pPr>
    </w:p>
    <w:p w14:paraId="5BD7710E" w14:textId="335DA14F" w:rsidR="00B42A53" w:rsidRPr="007868DD" w:rsidRDefault="5CEE9FA0" w:rsidP="007868DD">
      <w:pPr>
        <w:pStyle w:val="Heading3"/>
        <w:numPr>
          <w:ilvl w:val="1"/>
          <w:numId w:val="0"/>
        </w:numPr>
        <w:spacing w:after="120"/>
        <w:ind w:left="964" w:hanging="964"/>
        <w:rPr>
          <w:rFonts w:asciiTheme="majorHAnsi" w:hAnsiTheme="majorHAnsi"/>
          <w:sz w:val="22"/>
          <w:szCs w:val="22"/>
          <w:lang w:eastAsia="ja-JP"/>
        </w:rPr>
      </w:pPr>
      <w:bookmarkStart w:id="15" w:name="_Toc121397557"/>
      <w:r w:rsidRPr="007868DD">
        <w:rPr>
          <w:rFonts w:asciiTheme="majorHAnsi" w:hAnsiTheme="majorHAnsi"/>
          <w:sz w:val="22"/>
          <w:szCs w:val="22"/>
          <w:lang w:eastAsia="ja-JP"/>
        </w:rPr>
        <w:t>World Organisation for Animal Health</w:t>
      </w:r>
      <w:bookmarkEnd w:id="15"/>
    </w:p>
    <w:p w14:paraId="48019B02" w14:textId="58173C5F" w:rsidR="00F13A33" w:rsidRDefault="5CEE9FA0" w:rsidP="5CEE9FA0">
      <w:pPr>
        <w:rPr>
          <w:rFonts w:eastAsia="Calibri"/>
        </w:rPr>
      </w:pPr>
      <w:r w:rsidRPr="5CEE9FA0">
        <w:rPr>
          <w:rFonts w:eastAsia="Calibri"/>
        </w:rPr>
        <w:t>The World Organisation for Animal Health</w:t>
      </w:r>
      <w:r w:rsidR="00765CBB">
        <w:rPr>
          <w:rFonts w:eastAsia="Calibri"/>
        </w:rPr>
        <w:t xml:space="preserve"> (WOAH)</w:t>
      </w:r>
      <w:r w:rsidRPr="5CEE9FA0">
        <w:rPr>
          <w:rFonts w:eastAsia="Calibri"/>
        </w:rPr>
        <w:t xml:space="preserve"> (</w:t>
      </w:r>
      <w:r w:rsidR="009263F5">
        <w:rPr>
          <w:rFonts w:eastAsia="Calibri"/>
        </w:rPr>
        <w:t xml:space="preserve">formerly the </w:t>
      </w:r>
      <w:r w:rsidRPr="5CEE9FA0">
        <w:rPr>
          <w:rFonts w:eastAsia="Calibri"/>
        </w:rPr>
        <w:t xml:space="preserve">Office International des Epizooties or OIE) is the intergovernmental organisation responsible for improving animal health worldwide.  Standards published by the </w:t>
      </w:r>
      <w:r w:rsidR="008C6F18">
        <w:rPr>
          <w:rFonts w:eastAsia="Calibri"/>
        </w:rPr>
        <w:t>WOAH</w:t>
      </w:r>
      <w:r w:rsidRPr="5CEE9FA0">
        <w:rPr>
          <w:rFonts w:eastAsia="Calibri"/>
        </w:rPr>
        <w:t xml:space="preserve"> cover all animal species. </w:t>
      </w:r>
    </w:p>
    <w:p w14:paraId="209CF0DE" w14:textId="6C48716A" w:rsidR="00F13A33" w:rsidRPr="00F13A33" w:rsidRDefault="5CEE9FA0" w:rsidP="00F13A33">
      <w:pPr>
        <w:rPr>
          <w:rFonts w:eastAsia="Calibri"/>
        </w:rPr>
      </w:pPr>
      <w:r w:rsidRPr="5CEE9FA0">
        <w:rPr>
          <w:rFonts w:eastAsia="Calibri"/>
        </w:rPr>
        <w:t xml:space="preserve">Chapters 4.2 and 4.3 of the </w:t>
      </w:r>
      <w:r w:rsidR="008C6F18">
        <w:rPr>
          <w:rFonts w:eastAsia="Calibri"/>
        </w:rPr>
        <w:t>WOAH</w:t>
      </w:r>
      <w:r w:rsidR="008C6F18" w:rsidRPr="5CEE9FA0">
        <w:rPr>
          <w:rFonts w:eastAsia="Calibri"/>
        </w:rPr>
        <w:t xml:space="preserve"> </w:t>
      </w:r>
      <w:r w:rsidRPr="5CEE9FA0">
        <w:rPr>
          <w:rFonts w:eastAsia="Calibri"/>
        </w:rPr>
        <w:t xml:space="preserve">Terrestrial Code contain guidelines on the design and operation of a livestock </w:t>
      </w:r>
      <w:r w:rsidRPr="4A61F9D2">
        <w:rPr>
          <w:rFonts w:eastAsia="Calibri"/>
        </w:rPr>
        <w:t>traceability</w:t>
      </w:r>
      <w:r w:rsidRPr="5CEE9FA0">
        <w:rPr>
          <w:rFonts w:eastAsia="Calibri"/>
        </w:rPr>
        <w:t xml:space="preserve"> system</w:t>
      </w:r>
      <w:r w:rsidR="00913C78">
        <w:rPr>
          <w:rStyle w:val="FootnoteReference"/>
          <w:rFonts w:eastAsia="Calibri"/>
        </w:rPr>
        <w:t>5</w:t>
      </w:r>
      <w:r w:rsidR="00A078B4" w:rsidRPr="5CEE9FA0">
        <w:rPr>
          <w:rFonts w:eastAsia="Calibri"/>
        </w:rPr>
        <w:t xml:space="preserve">.   </w:t>
      </w:r>
      <w:r w:rsidRPr="5CEE9FA0">
        <w:rPr>
          <w:rFonts w:eastAsia="Calibri"/>
        </w:rPr>
        <w:t xml:space="preserve">Figure </w:t>
      </w:r>
      <w:r w:rsidR="00075DEA">
        <w:rPr>
          <w:rFonts w:eastAsia="Calibri"/>
        </w:rPr>
        <w:t>2</w:t>
      </w:r>
      <w:r w:rsidRPr="5CEE9FA0">
        <w:rPr>
          <w:rFonts w:eastAsia="Calibri"/>
        </w:rPr>
        <w:t xml:space="preserve"> shows the various components that</w:t>
      </w:r>
      <w:r w:rsidR="000A3A1E">
        <w:rPr>
          <w:rFonts w:eastAsia="Calibri"/>
        </w:rPr>
        <w:t>,</w:t>
      </w:r>
      <w:r w:rsidRPr="5CEE9FA0">
        <w:rPr>
          <w:rFonts w:eastAsia="Calibri"/>
        </w:rPr>
        <w:t xml:space="preserve"> according to the </w:t>
      </w:r>
      <w:r w:rsidR="008C6F18">
        <w:rPr>
          <w:rFonts w:eastAsia="Calibri"/>
        </w:rPr>
        <w:t>WOAH</w:t>
      </w:r>
      <w:r w:rsidR="000A3A1E">
        <w:rPr>
          <w:rFonts w:eastAsia="Calibri"/>
        </w:rPr>
        <w:t>,</w:t>
      </w:r>
      <w:r w:rsidR="008C6F18" w:rsidRPr="5CEE9FA0">
        <w:rPr>
          <w:rFonts w:eastAsia="Calibri"/>
        </w:rPr>
        <w:t xml:space="preserve"> </w:t>
      </w:r>
      <w:r w:rsidRPr="5CEE9FA0">
        <w:rPr>
          <w:rFonts w:eastAsia="Calibri"/>
        </w:rPr>
        <w:t xml:space="preserve">are likely to be needed as part of </w:t>
      </w:r>
      <w:r w:rsidRPr="4A61F9D2">
        <w:rPr>
          <w:rFonts w:eastAsia="Calibri"/>
        </w:rPr>
        <w:t xml:space="preserve">such a </w:t>
      </w:r>
      <w:r w:rsidRPr="5CEE9FA0">
        <w:rPr>
          <w:rFonts w:eastAsia="Calibri"/>
        </w:rPr>
        <w:t>system.</w:t>
      </w:r>
      <w:r w:rsidR="00F13A33" w:rsidRPr="00F13A33">
        <w:rPr>
          <w:rFonts w:eastAsia="Calibri"/>
        </w:rPr>
        <w:t xml:space="preserve"> </w:t>
      </w:r>
    </w:p>
    <w:p w14:paraId="1F3DD6DF" w14:textId="00A476D8" w:rsidR="00B42A53" w:rsidRPr="00F845EA" w:rsidRDefault="5CEE9FA0" w:rsidP="5CEE9FA0">
      <w:pPr>
        <w:rPr>
          <w:rFonts w:eastAsia="Calibri"/>
        </w:rPr>
      </w:pPr>
      <w:r w:rsidRPr="5CEE9FA0">
        <w:rPr>
          <w:rFonts w:eastAsia="Calibri"/>
        </w:rPr>
        <w:t xml:space="preserve">  </w:t>
      </w:r>
      <w:r w:rsidR="00B42A53">
        <w:tab/>
      </w:r>
    </w:p>
    <w:p w14:paraId="4CE9F078" w14:textId="0E73DD8F" w:rsidR="00B42A53" w:rsidRPr="00F40476" w:rsidRDefault="001F0B05" w:rsidP="5CEE9FA0">
      <w:pPr>
        <w:tabs>
          <w:tab w:val="left" w:pos="927"/>
        </w:tabs>
        <w:rPr>
          <w:rFonts w:asciiTheme="majorHAnsi" w:eastAsia="Calibri" w:hAnsiTheme="majorHAnsi"/>
          <w:b/>
          <w:bCs/>
        </w:rPr>
      </w:pPr>
      <w:r>
        <w:rPr>
          <w:rFonts w:eastAsia="Calibri"/>
        </w:rPr>
        <w:br w:type="column"/>
      </w:r>
      <w:r w:rsidR="5CEE9FA0" w:rsidRPr="5CEE9FA0">
        <w:rPr>
          <w:rFonts w:eastAsia="Calibri"/>
        </w:rPr>
        <w:lastRenderedPageBreak/>
        <w:t xml:space="preserve"> </w:t>
      </w:r>
      <w:r w:rsidR="5CEE9FA0" w:rsidRPr="00F40476">
        <w:rPr>
          <w:rFonts w:asciiTheme="majorHAnsi" w:eastAsia="Arial" w:hAnsiTheme="majorHAnsi" w:cs="Arial"/>
          <w:b/>
          <w:bCs/>
          <w:color w:val="1C1C1C"/>
        </w:rPr>
        <w:t xml:space="preserve">Figure </w:t>
      </w:r>
      <w:r w:rsidR="00075DEA">
        <w:rPr>
          <w:rFonts w:asciiTheme="majorHAnsi" w:eastAsia="Arial" w:hAnsiTheme="majorHAnsi" w:cs="Arial"/>
          <w:b/>
          <w:bCs/>
          <w:color w:val="1C1C1C"/>
        </w:rPr>
        <w:t>2</w:t>
      </w:r>
      <w:r w:rsidR="000A3A1E">
        <w:rPr>
          <w:rFonts w:asciiTheme="majorHAnsi" w:eastAsia="Arial" w:hAnsiTheme="majorHAnsi" w:cs="Arial"/>
          <w:b/>
          <w:bCs/>
          <w:color w:val="1C1C1C"/>
        </w:rPr>
        <w:t>.</w:t>
      </w:r>
      <w:r w:rsidR="5CEE9FA0" w:rsidRPr="00F40476">
        <w:rPr>
          <w:rFonts w:asciiTheme="majorHAnsi" w:eastAsia="Arial" w:hAnsiTheme="majorHAnsi" w:cs="Arial"/>
          <w:b/>
          <w:bCs/>
          <w:color w:val="1C1C1C"/>
        </w:rPr>
        <w:t xml:space="preserve"> Components of an animal identification system</w:t>
      </w:r>
    </w:p>
    <w:p w14:paraId="33CDDC70" w14:textId="7AF5A07E" w:rsidR="00B42A53" w:rsidRPr="00F845EA" w:rsidRDefault="5CEE9FA0" w:rsidP="5CEE9FA0">
      <w:r w:rsidRPr="5CEE9FA0">
        <w:rPr>
          <w:rFonts w:ascii="Calibri" w:eastAsia="Calibri" w:hAnsi="Calibri" w:cs="Calibri"/>
          <w:color w:val="1C1C1C"/>
          <w:sz w:val="24"/>
          <w:szCs w:val="24"/>
        </w:rPr>
        <w:t xml:space="preserve"> </w:t>
      </w:r>
    </w:p>
    <w:p w14:paraId="02D54BC9" w14:textId="720D1698" w:rsidR="00B42A53" w:rsidRPr="00F845EA" w:rsidRDefault="5CEE9FA0" w:rsidP="5CEE9FA0">
      <w:pPr>
        <w:rPr>
          <w:rFonts w:eastAsia="Calibri"/>
        </w:rPr>
      </w:pPr>
      <w:r>
        <w:rPr>
          <w:noProof/>
        </w:rPr>
        <w:drawing>
          <wp:inline distT="0" distB="0" distL="0" distR="0" wp14:anchorId="2067FCD5" wp14:editId="752C9BC7">
            <wp:extent cx="4572000" cy="4257675"/>
            <wp:effectExtent l="0" t="0" r="0" b="0"/>
            <wp:docPr id="9111690" name="Picture 9111690" descr="Components of an animal identification system include premises, registration PICs, information systems and databases, business rules, legal framework, support, auditing and compliance, identifica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690" name="Picture 9111690" descr="Components of an animal identification system include premises, registration PICs, information systems and databases, business rules, legal framework, support, auditing and compliance, identification technology."/>
                    <pic:cNvPicPr/>
                  </pic:nvPicPr>
                  <pic:blipFill>
                    <a:blip r:embed="rId13">
                      <a:extLst>
                        <a:ext uri="{28A0092B-C50C-407E-A947-70E740481C1C}">
                          <a14:useLocalDpi xmlns:a14="http://schemas.microsoft.com/office/drawing/2010/main" val="0"/>
                        </a:ext>
                      </a:extLst>
                    </a:blip>
                    <a:stretch>
                      <a:fillRect/>
                    </a:stretch>
                  </pic:blipFill>
                  <pic:spPr>
                    <a:xfrm>
                      <a:off x="0" y="0"/>
                      <a:ext cx="4572000" cy="4257675"/>
                    </a:xfrm>
                    <a:prstGeom prst="rect">
                      <a:avLst/>
                    </a:prstGeom>
                  </pic:spPr>
                </pic:pic>
              </a:graphicData>
            </a:graphic>
          </wp:inline>
        </w:drawing>
      </w:r>
    </w:p>
    <w:p w14:paraId="7276F69F" w14:textId="3F9608CD" w:rsidR="00B42A53" w:rsidRPr="00F845EA" w:rsidRDefault="00B42A53" w:rsidP="5CEE9FA0">
      <w:pPr>
        <w:spacing w:line="264" w:lineRule="auto"/>
      </w:pPr>
    </w:p>
    <w:p w14:paraId="17F3141A" w14:textId="45A3785A" w:rsidR="00B42A53" w:rsidRPr="00F845EA" w:rsidRDefault="5CEE9FA0" w:rsidP="5CEE9FA0">
      <w:pPr>
        <w:spacing w:line="264" w:lineRule="auto"/>
      </w:pPr>
      <w:r w:rsidRPr="5CEE9FA0">
        <w:rPr>
          <w:rFonts w:ascii="Arial" w:eastAsia="Arial" w:hAnsi="Arial" w:cs="Arial"/>
          <w:color w:val="1C1C1C"/>
          <w:sz w:val="18"/>
          <w:szCs w:val="18"/>
        </w:rPr>
        <w:t xml:space="preserve"> </w:t>
      </w:r>
    </w:p>
    <w:p w14:paraId="26131EA7" w14:textId="26A47A34" w:rsidR="00B42A53" w:rsidRPr="00F845EA" w:rsidRDefault="5CEE9FA0" w:rsidP="5CEE9FA0">
      <w:pPr>
        <w:rPr>
          <w:rFonts w:eastAsia="Calibri"/>
        </w:rPr>
      </w:pPr>
      <w:r w:rsidRPr="2EA8987B">
        <w:rPr>
          <w:rFonts w:eastAsia="Calibri"/>
        </w:rPr>
        <w:t xml:space="preserve">The </w:t>
      </w:r>
      <w:r w:rsidR="003173EE" w:rsidRPr="2EA8987B">
        <w:rPr>
          <w:rFonts w:eastAsia="Calibri"/>
        </w:rPr>
        <w:t>NHTWG</w:t>
      </w:r>
      <w:r w:rsidRPr="2EA8987B">
        <w:rPr>
          <w:rFonts w:eastAsia="Calibri"/>
        </w:rPr>
        <w:t xml:space="preserve"> noted that</w:t>
      </w:r>
      <w:r w:rsidR="4A61F9D2" w:rsidRPr="2EA8987B">
        <w:rPr>
          <w:rFonts w:eastAsia="Calibri"/>
        </w:rPr>
        <w:t xml:space="preserve"> t</w:t>
      </w:r>
      <w:r w:rsidRPr="2EA8987B">
        <w:rPr>
          <w:rFonts w:eastAsia="Calibri"/>
        </w:rPr>
        <w:t xml:space="preserve">he information system/database described in Figure </w:t>
      </w:r>
      <w:r w:rsidR="000A4F27">
        <w:rPr>
          <w:rFonts w:eastAsia="Calibri"/>
        </w:rPr>
        <w:t>2</w:t>
      </w:r>
      <w:r w:rsidR="000A4F27" w:rsidRPr="2EA8987B">
        <w:rPr>
          <w:rFonts w:eastAsia="Calibri"/>
        </w:rPr>
        <w:t xml:space="preserve"> </w:t>
      </w:r>
      <w:r w:rsidRPr="2EA8987B">
        <w:rPr>
          <w:rFonts w:eastAsia="Calibri"/>
        </w:rPr>
        <w:t>could potentially be a single database</w:t>
      </w:r>
      <w:r w:rsidR="00ED4138">
        <w:rPr>
          <w:rFonts w:eastAsia="Calibri"/>
        </w:rPr>
        <w:t>,</w:t>
      </w:r>
      <w:r w:rsidRPr="2EA8987B">
        <w:rPr>
          <w:rFonts w:eastAsia="Calibri"/>
        </w:rPr>
        <w:t xml:space="preserve"> or several separate databases</w:t>
      </w:r>
      <w:r w:rsidR="00ED4138">
        <w:rPr>
          <w:rFonts w:eastAsia="Calibri"/>
        </w:rPr>
        <w:t xml:space="preserve"> and </w:t>
      </w:r>
      <w:r w:rsidR="00AE5C0B">
        <w:rPr>
          <w:rFonts w:eastAsia="Calibri"/>
        </w:rPr>
        <w:t xml:space="preserve">electronic and paper-based </w:t>
      </w:r>
      <w:r w:rsidR="00ED4138">
        <w:rPr>
          <w:rFonts w:eastAsia="Calibri"/>
        </w:rPr>
        <w:t>record keeping systems</w:t>
      </w:r>
      <w:r w:rsidRPr="2EA8987B">
        <w:rPr>
          <w:rFonts w:eastAsia="Calibri"/>
        </w:rPr>
        <w:t xml:space="preserve"> that </w:t>
      </w:r>
      <w:r w:rsidR="007A12EE">
        <w:rPr>
          <w:rFonts w:eastAsia="Calibri"/>
        </w:rPr>
        <w:t>are able to</w:t>
      </w:r>
      <w:r w:rsidR="00ED4138">
        <w:rPr>
          <w:rFonts w:eastAsia="Calibri"/>
        </w:rPr>
        <w:t xml:space="preserve"> be accessed by government staff during biosecurity emergencies</w:t>
      </w:r>
      <w:r w:rsidRPr="2EA8987B">
        <w:rPr>
          <w:rFonts w:eastAsia="Calibri"/>
        </w:rPr>
        <w:t xml:space="preserve">.  </w:t>
      </w:r>
      <w:r w:rsidR="00E50FCD" w:rsidRPr="2EA8987B">
        <w:rPr>
          <w:rFonts w:eastAsia="Calibri"/>
        </w:rPr>
        <w:t>In an</w:t>
      </w:r>
      <w:r w:rsidRPr="2EA8987B">
        <w:rPr>
          <w:rFonts w:eastAsia="Calibri"/>
        </w:rPr>
        <w:t xml:space="preserve"> emergency response, this could </w:t>
      </w:r>
      <w:r w:rsidR="00951D45">
        <w:rPr>
          <w:rFonts w:eastAsia="Calibri"/>
        </w:rPr>
        <w:t xml:space="preserve">then enable </w:t>
      </w:r>
      <w:r w:rsidRPr="2EA8987B">
        <w:rPr>
          <w:rFonts w:eastAsia="Calibri"/>
        </w:rPr>
        <w:t>information about an animal, its probable property of residence and/or the name of the responsible person</w:t>
      </w:r>
      <w:r w:rsidR="00951D45">
        <w:rPr>
          <w:rFonts w:eastAsia="Calibri"/>
        </w:rPr>
        <w:t xml:space="preserve"> to be established</w:t>
      </w:r>
      <w:r w:rsidR="00D4113D">
        <w:rPr>
          <w:rFonts w:eastAsia="Calibri"/>
        </w:rPr>
        <w:t xml:space="preserve"> more rapidly</w:t>
      </w:r>
      <w:r w:rsidRPr="2EA8987B">
        <w:rPr>
          <w:rFonts w:eastAsia="Calibri"/>
        </w:rPr>
        <w:t>.</w:t>
      </w:r>
      <w:r w:rsidR="008B322E" w:rsidRPr="008B322E">
        <w:rPr>
          <w:rFonts w:eastAsia="Calibri"/>
        </w:rPr>
        <w:t xml:space="preserve"> </w:t>
      </w:r>
      <w:r w:rsidR="008B322E">
        <w:rPr>
          <w:rFonts w:eastAsia="Calibri"/>
        </w:rPr>
        <w:t xml:space="preserve"> Whilst not ideal, record keeping could also be paper based.  </w:t>
      </w:r>
    </w:p>
    <w:p w14:paraId="0FDA732C" w14:textId="0BA739B7" w:rsidR="00B42A53" w:rsidRPr="007868DD" w:rsidRDefault="00B42A53" w:rsidP="007868DD">
      <w:pPr>
        <w:pStyle w:val="Heading3"/>
        <w:numPr>
          <w:ilvl w:val="1"/>
          <w:numId w:val="0"/>
        </w:numPr>
        <w:spacing w:after="120"/>
        <w:ind w:left="964" w:hanging="964"/>
        <w:rPr>
          <w:rFonts w:asciiTheme="majorHAnsi" w:hAnsiTheme="majorHAnsi"/>
          <w:sz w:val="22"/>
          <w:szCs w:val="22"/>
          <w:lang w:eastAsia="ja-JP"/>
        </w:rPr>
      </w:pPr>
      <w:bookmarkStart w:id="16" w:name="_Toc121397558"/>
      <w:r w:rsidRPr="007868DD">
        <w:rPr>
          <w:rFonts w:asciiTheme="majorHAnsi" w:hAnsiTheme="majorHAnsi"/>
          <w:sz w:val="22"/>
          <w:szCs w:val="22"/>
          <w:lang w:eastAsia="ja-JP"/>
        </w:rPr>
        <w:t>Consultation</w:t>
      </w:r>
      <w:bookmarkEnd w:id="16"/>
    </w:p>
    <w:p w14:paraId="043F3EA6" w14:textId="68DB5E33" w:rsidR="00B42A53" w:rsidRPr="00F845EA" w:rsidRDefault="00B42A53" w:rsidP="5CEE9FA0">
      <w:pPr>
        <w:rPr>
          <w:rFonts w:eastAsia="Calibri"/>
        </w:rPr>
      </w:pPr>
      <w:r w:rsidRPr="5CEE9FA0">
        <w:rPr>
          <w:rFonts w:eastAsia="Calibri"/>
        </w:rPr>
        <w:t xml:space="preserve">To support the review, the </w:t>
      </w:r>
      <w:r w:rsidR="00671856">
        <w:rPr>
          <w:rFonts w:asciiTheme="majorHAnsi" w:hAnsiTheme="majorHAnsi"/>
          <w:lang w:eastAsia="ja-JP"/>
        </w:rPr>
        <w:t>NHTWG</w:t>
      </w:r>
      <w:r w:rsidRPr="5CEE9FA0">
        <w:rPr>
          <w:rFonts w:eastAsia="Calibri"/>
        </w:rPr>
        <w:t xml:space="preserve"> considered advice from a range of stakeholders and assessed information from a range of sources</w:t>
      </w:r>
      <w:r w:rsidRPr="4A61F9D2">
        <w:rPr>
          <w:rFonts w:eastAsia="Calibri"/>
        </w:rPr>
        <w:t>.</w:t>
      </w:r>
    </w:p>
    <w:p w14:paraId="09531A4F" w14:textId="77777777" w:rsidR="00B42A53" w:rsidRPr="001727A5" w:rsidRDefault="00B42A53" w:rsidP="5CEE9FA0">
      <w:pPr>
        <w:rPr>
          <w:rFonts w:asciiTheme="majorHAnsi" w:hAnsiTheme="majorHAnsi"/>
          <w:color w:val="000000"/>
          <w:u w:val="single"/>
          <w:shd w:val="clear" w:color="auto" w:fill="FFFFFF"/>
        </w:rPr>
      </w:pPr>
      <w:r w:rsidRPr="5CEE9FA0">
        <w:rPr>
          <w:rFonts w:asciiTheme="majorHAnsi" w:hAnsiTheme="majorHAnsi"/>
          <w:color w:val="000000"/>
          <w:u w:val="single"/>
          <w:shd w:val="clear" w:color="auto" w:fill="FFFFFF"/>
        </w:rPr>
        <w:t>Racing Australia</w:t>
      </w:r>
    </w:p>
    <w:p w14:paraId="1F67179A" w14:textId="144F8EDA" w:rsidR="00B42A53" w:rsidRPr="001727A5" w:rsidRDefault="00B42A53" w:rsidP="0256D567">
      <w:pPr>
        <w:rPr>
          <w:rFonts w:asciiTheme="majorHAnsi" w:hAnsiTheme="majorHAnsi"/>
          <w:b/>
          <w:bCs/>
          <w:lang w:eastAsia="ja-JP"/>
        </w:rPr>
      </w:pPr>
      <w:r w:rsidRPr="0256D567">
        <w:rPr>
          <w:rFonts w:asciiTheme="majorHAnsi" w:hAnsiTheme="majorHAnsi"/>
          <w:color w:val="000000"/>
          <w:shd w:val="clear" w:color="auto" w:fill="FFFFFF"/>
        </w:rPr>
        <w:t>Racing Australia has</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introduced new requirements that ensure location and</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 xml:space="preserve">owner data are available for </w:t>
      </w:r>
      <w:r w:rsidR="00E50FCD" w:rsidRPr="0256D567">
        <w:rPr>
          <w:rFonts w:asciiTheme="majorHAnsi" w:hAnsiTheme="majorHAnsi"/>
          <w:color w:val="000000"/>
          <w:shd w:val="clear" w:color="auto" w:fill="FFFFFF"/>
        </w:rPr>
        <w:t>Thoroughbred broodmares</w:t>
      </w:r>
      <w:r w:rsidRPr="0256D567">
        <w:rPr>
          <w:rFonts w:asciiTheme="majorHAnsi" w:hAnsiTheme="majorHAnsi"/>
          <w:color w:val="000000"/>
          <w:shd w:val="clear" w:color="auto" w:fill="FFFFFF"/>
        </w:rPr>
        <w:t>, stallions, foals,</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unnamed horses,</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registered</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racehorses and retired racehorses at least until they leave the industry</w:t>
      </w:r>
      <w:r w:rsidR="00DD36CD">
        <w:rPr>
          <w:rFonts w:asciiTheme="majorHAnsi" w:hAnsiTheme="majorHAnsi"/>
          <w:color w:val="000000"/>
          <w:shd w:val="clear" w:color="auto" w:fill="FFFFFF"/>
        </w:rPr>
        <w:t xml:space="preserve"> or care of Thoroughbred industry participants</w:t>
      </w:r>
      <w:r w:rsidRPr="0256D567">
        <w:rPr>
          <w:rFonts w:asciiTheme="majorHAnsi" w:hAnsiTheme="majorHAnsi"/>
          <w:color w:val="000000"/>
          <w:shd w:val="clear" w:color="auto" w:fill="FFFFFF"/>
        </w:rPr>
        <w:t xml:space="preserve">. </w:t>
      </w:r>
    </w:p>
    <w:p w14:paraId="54250CCB" w14:textId="227F2F02" w:rsidR="00B42A53" w:rsidRPr="001727A5" w:rsidRDefault="00B42A53" w:rsidP="0256D567">
      <w:pPr>
        <w:rPr>
          <w:rFonts w:asciiTheme="majorHAnsi" w:hAnsiTheme="majorHAnsi"/>
          <w:b/>
          <w:bCs/>
          <w:lang w:eastAsia="ja-JP"/>
        </w:rPr>
      </w:pPr>
      <w:r w:rsidRPr="0256D567">
        <w:rPr>
          <w:rFonts w:asciiTheme="majorHAnsi" w:hAnsiTheme="majorHAnsi"/>
          <w:color w:val="000000"/>
          <w:shd w:val="clear" w:color="auto" w:fill="FFFFFF"/>
        </w:rPr>
        <w:lastRenderedPageBreak/>
        <w:t>The database not only requires people involved in the racing industry to ensure that real-time location data for horses is accurate, but also allows for owners of retired racehorses</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to voluntarily</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provide location and ownership data.  Individual horse identification and location traceability is via</w:t>
      </w:r>
      <w:r w:rsidRPr="0256D567">
        <w:rPr>
          <w:rFonts w:asciiTheme="majorHAnsi" w:hAnsiTheme="majorHAnsi" w:cs="Cambria"/>
          <w:color w:val="000000"/>
          <w:shd w:val="clear" w:color="auto" w:fill="FFFFFF"/>
        </w:rPr>
        <w:t xml:space="preserve"> the use of </w:t>
      </w:r>
      <w:r w:rsidRPr="0256D567">
        <w:rPr>
          <w:rFonts w:asciiTheme="majorHAnsi" w:hAnsiTheme="majorHAnsi"/>
          <w:color w:val="000000"/>
          <w:shd w:val="clear" w:color="auto" w:fill="FFFFFF"/>
        </w:rPr>
        <w:t>microchips which are utilised across the</w:t>
      </w:r>
      <w:r w:rsidRPr="0256D567">
        <w:rPr>
          <w:rFonts w:asciiTheme="majorHAnsi" w:hAnsiTheme="majorHAnsi" w:cs="Cambria"/>
          <w:color w:val="000000"/>
          <w:shd w:val="clear" w:color="auto" w:fill="FFFFFF"/>
        </w:rPr>
        <w:t> T</w:t>
      </w:r>
      <w:r w:rsidRPr="0256D567">
        <w:rPr>
          <w:rFonts w:asciiTheme="majorHAnsi" w:hAnsiTheme="majorHAnsi"/>
          <w:color w:val="000000"/>
          <w:shd w:val="clear" w:color="auto" w:fill="FFFFFF"/>
        </w:rPr>
        <w:t>horoughbred horse population and</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are integrated</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into the</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racing industry</w:t>
      </w:r>
      <w:r w:rsidRPr="0256D567">
        <w:rPr>
          <w:rFonts w:asciiTheme="majorHAnsi" w:hAnsiTheme="majorHAnsi" w:cs="VIC"/>
          <w:color w:val="000000"/>
          <w:shd w:val="clear" w:color="auto" w:fill="FFFFFF"/>
        </w:rPr>
        <w:t>’</w:t>
      </w:r>
      <w:r w:rsidRPr="0256D567">
        <w:rPr>
          <w:rFonts w:asciiTheme="majorHAnsi" w:hAnsiTheme="majorHAnsi"/>
          <w:color w:val="000000"/>
          <w:shd w:val="clear" w:color="auto" w:fill="FFFFFF"/>
        </w:rPr>
        <w:t>s</w:t>
      </w:r>
      <w:r w:rsidRPr="0256D567">
        <w:rPr>
          <w:rFonts w:asciiTheme="majorHAnsi" w:hAnsiTheme="majorHAnsi" w:cs="Cambria"/>
          <w:color w:val="000000"/>
          <w:shd w:val="clear" w:color="auto" w:fill="FFFFFF"/>
        </w:rPr>
        <w:t> </w:t>
      </w:r>
      <w:r w:rsidRPr="0256D567">
        <w:rPr>
          <w:rFonts w:asciiTheme="majorHAnsi" w:hAnsiTheme="majorHAnsi"/>
          <w:color w:val="000000"/>
          <w:shd w:val="clear" w:color="auto" w:fill="FFFFFF"/>
        </w:rPr>
        <w:t>traceability platform.</w:t>
      </w:r>
    </w:p>
    <w:p w14:paraId="2BC45BDF" w14:textId="3EE7F2D2" w:rsidR="00B42A53" w:rsidRDefault="00B42A53" w:rsidP="5CEE9FA0">
      <w:pPr>
        <w:spacing w:line="240" w:lineRule="auto"/>
        <w:rPr>
          <w:u w:val="single"/>
          <w:lang w:eastAsia="ja-JP"/>
        </w:rPr>
      </w:pPr>
      <w:r w:rsidRPr="5CEE9FA0">
        <w:rPr>
          <w:u w:val="single"/>
          <w:lang w:eastAsia="ja-JP"/>
        </w:rPr>
        <w:t>Professor Tim Morris</w:t>
      </w:r>
    </w:p>
    <w:p w14:paraId="010C727E" w14:textId="5722EBA8" w:rsidR="00B42A53" w:rsidRDefault="00B42A53" w:rsidP="5CEE9FA0">
      <w:pPr>
        <w:rPr>
          <w:rFonts w:asciiTheme="majorHAnsi" w:hAnsiTheme="majorHAnsi"/>
          <w:color w:val="000000" w:themeColor="text1"/>
        </w:rPr>
      </w:pPr>
      <w:r>
        <w:t xml:space="preserve">Professor Tim Morris </w:t>
      </w:r>
      <w:r w:rsidRPr="5CEE9FA0">
        <w:t xml:space="preserve">was invited to </w:t>
      </w:r>
      <w:r>
        <w:t xml:space="preserve">present to the </w:t>
      </w:r>
      <w:r w:rsidR="00671856">
        <w:rPr>
          <w:rFonts w:asciiTheme="majorHAnsi" w:hAnsiTheme="majorHAnsi"/>
          <w:lang w:eastAsia="ja-JP"/>
        </w:rPr>
        <w:t>NHTWG</w:t>
      </w:r>
      <w:r w:rsidR="00671856">
        <w:t xml:space="preserve"> </w:t>
      </w:r>
      <w:r>
        <w:t>at its meeting on 22 October 2021</w:t>
      </w:r>
      <w:r w:rsidRPr="5CEE9FA0">
        <w:rPr>
          <w:b/>
          <w:bCs/>
          <w:lang w:eastAsia="ja-JP"/>
        </w:rPr>
        <w:t xml:space="preserve"> </w:t>
      </w:r>
      <w:r w:rsidRPr="5CEE9FA0">
        <w:rPr>
          <w:rFonts w:asciiTheme="majorHAnsi" w:hAnsiTheme="majorHAnsi"/>
          <w:color w:val="000000" w:themeColor="text1"/>
        </w:rPr>
        <w:t xml:space="preserve">on the UK’s Equine Register in partnership with government and relevant industry sectors.   Professor Morris </w:t>
      </w:r>
      <w:r>
        <w:t xml:space="preserve">is </w:t>
      </w:r>
      <w:r w:rsidRPr="5CEE9FA0">
        <w:t xml:space="preserve">a non-executive board member from the United Kingdom’s Department for Environment, Food &amp; Rural Affairs.  </w:t>
      </w:r>
    </w:p>
    <w:p w14:paraId="71AC97C5" w14:textId="4E35E590" w:rsidR="00B42A53" w:rsidRDefault="00B42A53" w:rsidP="5CEE9FA0">
      <w:pPr>
        <w:rPr>
          <w:rFonts w:asciiTheme="majorHAnsi" w:hAnsiTheme="majorHAnsi"/>
          <w:color w:val="000000" w:themeColor="text1"/>
        </w:rPr>
      </w:pPr>
      <w:r w:rsidRPr="5CEE9FA0">
        <w:rPr>
          <w:rFonts w:asciiTheme="majorHAnsi" w:hAnsiTheme="majorHAnsi"/>
          <w:color w:val="000000"/>
          <w:shd w:val="clear" w:color="auto" w:fill="FFFFFF"/>
        </w:rPr>
        <w:t xml:space="preserve">Professor Morris </w:t>
      </w:r>
      <w:r w:rsidR="006A66C8">
        <w:rPr>
          <w:rFonts w:asciiTheme="majorHAnsi" w:hAnsiTheme="majorHAnsi"/>
          <w:color w:val="000000"/>
          <w:shd w:val="clear" w:color="auto" w:fill="FFFFFF"/>
        </w:rPr>
        <w:t>recommended that</w:t>
      </w:r>
      <w:r w:rsidR="006A66C8" w:rsidRPr="5CEE9FA0">
        <w:rPr>
          <w:rFonts w:asciiTheme="majorHAnsi" w:hAnsiTheme="majorHAnsi"/>
          <w:color w:val="000000"/>
          <w:shd w:val="clear" w:color="auto" w:fill="FFFFFF"/>
        </w:rPr>
        <w:t xml:space="preserve"> </w:t>
      </w:r>
      <w:r w:rsidRPr="5CEE9FA0">
        <w:rPr>
          <w:rFonts w:asciiTheme="majorHAnsi" w:hAnsiTheme="majorHAnsi"/>
          <w:color w:val="000000"/>
          <w:shd w:val="clear" w:color="auto" w:fill="FFFFFF"/>
        </w:rPr>
        <w:t xml:space="preserve">the </w:t>
      </w:r>
      <w:r w:rsidR="00671856">
        <w:rPr>
          <w:rFonts w:asciiTheme="majorHAnsi" w:hAnsiTheme="majorHAnsi"/>
          <w:lang w:eastAsia="ja-JP"/>
        </w:rPr>
        <w:t>NHTWG</w:t>
      </w:r>
      <w:r w:rsidR="00671856" w:rsidRPr="5CEE9FA0">
        <w:rPr>
          <w:rFonts w:asciiTheme="majorHAnsi" w:hAnsiTheme="majorHAnsi"/>
          <w:color w:val="000000"/>
          <w:shd w:val="clear" w:color="auto" w:fill="FFFFFF"/>
        </w:rPr>
        <w:t xml:space="preserve"> </w:t>
      </w:r>
      <w:r w:rsidRPr="5CEE9FA0">
        <w:rPr>
          <w:rFonts w:asciiTheme="majorHAnsi" w:hAnsiTheme="majorHAnsi"/>
          <w:color w:val="000000"/>
          <w:shd w:val="clear" w:color="auto" w:fill="FFFFFF"/>
        </w:rPr>
        <w:t>consider three important points</w:t>
      </w:r>
      <w:r w:rsidR="005116F3" w:rsidRPr="5CEE9FA0">
        <w:rPr>
          <w:rFonts w:asciiTheme="majorHAnsi" w:hAnsiTheme="majorHAnsi"/>
          <w:color w:val="000000"/>
          <w:shd w:val="clear" w:color="auto" w:fill="FFFFFF"/>
        </w:rPr>
        <w:t>:</w:t>
      </w:r>
      <w:r w:rsidRPr="5CEE9FA0">
        <w:rPr>
          <w:rFonts w:asciiTheme="majorHAnsi" w:hAnsiTheme="majorHAnsi"/>
          <w:color w:val="000000"/>
          <w:shd w:val="clear" w:color="auto" w:fill="FFFFFF"/>
        </w:rPr>
        <w:t xml:space="preserve"> </w:t>
      </w:r>
    </w:p>
    <w:p w14:paraId="054755E8" w14:textId="4B7FEE71" w:rsidR="00B42A53" w:rsidRDefault="009E38DA" w:rsidP="002849D6">
      <w:pPr>
        <w:pStyle w:val="ListParagraph"/>
        <w:numPr>
          <w:ilvl w:val="3"/>
          <w:numId w:val="7"/>
        </w:numPr>
        <w:spacing w:line="276" w:lineRule="auto"/>
        <w:ind w:left="1135" w:hanging="284"/>
        <w:rPr>
          <w:rFonts w:asciiTheme="majorHAnsi" w:hAnsiTheme="majorHAnsi"/>
          <w:color w:val="000000"/>
          <w:shd w:val="clear" w:color="auto" w:fill="FFFFFF"/>
        </w:rPr>
      </w:pPr>
      <w:r>
        <w:rPr>
          <w:rFonts w:asciiTheme="majorHAnsi" w:hAnsiTheme="majorHAnsi"/>
          <w:color w:val="000000"/>
          <w:shd w:val="clear" w:color="auto" w:fill="FFFFFF"/>
        </w:rPr>
        <w:t>What is the purpose</w:t>
      </w:r>
      <w:r w:rsidR="00F24E47">
        <w:rPr>
          <w:rFonts w:asciiTheme="majorHAnsi" w:hAnsiTheme="majorHAnsi"/>
          <w:color w:val="000000"/>
          <w:shd w:val="clear" w:color="auto" w:fill="FFFFFF"/>
        </w:rPr>
        <w:t>?</w:t>
      </w:r>
    </w:p>
    <w:p w14:paraId="1CB76A25" w14:textId="3438A212" w:rsidR="00B42A53" w:rsidRDefault="009E38DA" w:rsidP="002849D6">
      <w:pPr>
        <w:pStyle w:val="ListParagraph"/>
        <w:numPr>
          <w:ilvl w:val="3"/>
          <w:numId w:val="7"/>
        </w:numPr>
        <w:spacing w:line="276" w:lineRule="auto"/>
        <w:ind w:left="1135" w:hanging="284"/>
        <w:rPr>
          <w:rFonts w:asciiTheme="majorHAnsi" w:hAnsiTheme="majorHAnsi"/>
          <w:color w:val="000000"/>
          <w:shd w:val="clear" w:color="auto" w:fill="FFFFFF"/>
        </w:rPr>
      </w:pPr>
      <w:r>
        <w:rPr>
          <w:rFonts w:asciiTheme="majorHAnsi" w:hAnsiTheme="majorHAnsi"/>
          <w:color w:val="000000"/>
          <w:shd w:val="clear" w:color="auto" w:fill="FFFFFF"/>
        </w:rPr>
        <w:t>What data is required?</w:t>
      </w:r>
    </w:p>
    <w:p w14:paraId="436FBE25" w14:textId="7BAE6BEB" w:rsidR="00B42A53" w:rsidRPr="00270FFA" w:rsidRDefault="009E38DA" w:rsidP="002849D6">
      <w:pPr>
        <w:pStyle w:val="ListParagraph"/>
        <w:numPr>
          <w:ilvl w:val="3"/>
          <w:numId w:val="7"/>
        </w:numPr>
        <w:spacing w:line="276" w:lineRule="auto"/>
        <w:ind w:left="1135" w:hanging="284"/>
        <w:rPr>
          <w:rFonts w:asciiTheme="majorHAnsi" w:hAnsiTheme="majorHAnsi"/>
          <w:color w:val="000000"/>
          <w:shd w:val="clear" w:color="auto" w:fill="FFFFFF"/>
        </w:rPr>
      </w:pPr>
      <w:r>
        <w:rPr>
          <w:rFonts w:asciiTheme="majorHAnsi" w:hAnsiTheme="majorHAnsi"/>
          <w:color w:val="000000"/>
          <w:shd w:val="clear" w:color="auto" w:fill="FFFFFF"/>
        </w:rPr>
        <w:t>How will the system be enforced?</w:t>
      </w:r>
    </w:p>
    <w:p w14:paraId="30DE6DD4" w14:textId="77777777" w:rsidR="00B42A53" w:rsidRDefault="00B42A53" w:rsidP="2EA8987B">
      <w:pPr>
        <w:rPr>
          <w:i/>
          <w:iCs/>
          <w:lang w:eastAsia="ja-JP"/>
        </w:rPr>
      </w:pPr>
      <w:r w:rsidRPr="2EA8987B">
        <w:rPr>
          <w:i/>
          <w:iCs/>
          <w:lang w:eastAsia="ja-JP"/>
        </w:rPr>
        <w:t>Quotes</w:t>
      </w:r>
    </w:p>
    <w:p w14:paraId="01BD00B1" w14:textId="77777777" w:rsidR="00B42A53" w:rsidRPr="00E55BE2" w:rsidRDefault="00B42A53" w:rsidP="00B42A53">
      <w:pPr>
        <w:rPr>
          <w:lang w:eastAsia="ja-JP"/>
        </w:rPr>
      </w:pPr>
      <w:r w:rsidRPr="38B7569D">
        <w:rPr>
          <w:lang w:eastAsia="ja-JP"/>
        </w:rPr>
        <w:t>‘Keep it really simple and think about the core function”.</w:t>
      </w:r>
    </w:p>
    <w:p w14:paraId="234EBCE0" w14:textId="204532B5" w:rsidR="00B42A53" w:rsidRPr="00680C2E" w:rsidRDefault="00B42A53" w:rsidP="5CEE9FA0">
      <w:pPr>
        <w:rPr>
          <w:i/>
          <w:iCs/>
          <w:lang w:eastAsia="ja-JP"/>
        </w:rPr>
      </w:pPr>
      <w:r w:rsidRPr="5CEE9FA0">
        <w:rPr>
          <w:u w:val="single"/>
          <w:lang w:eastAsia="ja-JP"/>
        </w:rPr>
        <w:t>Mr Stewart Everett</w:t>
      </w:r>
    </w:p>
    <w:p w14:paraId="4AD03AE6" w14:textId="4F0BDAB0" w:rsidR="00B42A53" w:rsidRPr="00680C2E" w:rsidRDefault="00B42A53" w:rsidP="5CEE9FA0">
      <w:pPr>
        <w:rPr>
          <w:i/>
          <w:iCs/>
          <w:lang w:eastAsia="ja-JP"/>
        </w:rPr>
      </w:pPr>
      <w:r>
        <w:t xml:space="preserve">Mr Stewart Everett </w:t>
      </w:r>
      <w:r w:rsidRPr="5CEE9FA0">
        <w:t xml:space="preserve">was invited to </w:t>
      </w:r>
      <w:r>
        <w:t xml:space="preserve">present to the </w:t>
      </w:r>
      <w:r w:rsidR="00671856">
        <w:rPr>
          <w:rFonts w:asciiTheme="majorHAnsi" w:hAnsiTheme="majorHAnsi"/>
          <w:lang w:eastAsia="ja-JP"/>
        </w:rPr>
        <w:t>NHTWG</w:t>
      </w:r>
      <w:r w:rsidR="00671856">
        <w:t xml:space="preserve"> </w:t>
      </w:r>
      <w:r>
        <w:t>at its meeting on 22 October 2021</w:t>
      </w:r>
      <w:r w:rsidRPr="5CEE9FA0">
        <w:rPr>
          <w:rFonts w:asciiTheme="majorHAnsi" w:hAnsiTheme="majorHAnsi"/>
          <w:color w:val="000000" w:themeColor="text1"/>
        </w:rPr>
        <w:t xml:space="preserve"> on the operation of the UK’s Central Equine Database.   Mr Everett is the </w:t>
      </w:r>
      <w:r w:rsidRPr="5CEE9FA0">
        <w:rPr>
          <w:lang w:eastAsia="ja-JP"/>
        </w:rPr>
        <w:t>Chief Executive of the UK’s Equine Register.</w:t>
      </w:r>
    </w:p>
    <w:p w14:paraId="6D9ADC60" w14:textId="4C9C1212" w:rsidR="00B42A53" w:rsidRPr="008F736F" w:rsidRDefault="0FEAE030" w:rsidP="6EEF17EB">
      <w:pPr>
        <w:rPr>
          <w:rFonts w:asciiTheme="majorHAnsi" w:hAnsiTheme="majorHAnsi"/>
          <w:color w:val="000000" w:themeColor="text1"/>
        </w:rPr>
      </w:pPr>
      <w:r w:rsidRPr="6EEF17EB">
        <w:rPr>
          <w:rFonts w:asciiTheme="majorHAnsi" w:hAnsiTheme="majorHAnsi"/>
          <w:color w:val="000000"/>
          <w:shd w:val="clear" w:color="auto" w:fill="FFFFFF"/>
        </w:rPr>
        <w:t xml:space="preserve">The Equine Register </w:t>
      </w:r>
      <w:r w:rsidR="00C178EE">
        <w:rPr>
          <w:rFonts w:asciiTheme="majorHAnsi" w:hAnsiTheme="majorHAnsi"/>
          <w:color w:val="000000"/>
          <w:shd w:val="clear" w:color="auto" w:fill="FFFFFF"/>
        </w:rPr>
        <w:t>operates</w:t>
      </w:r>
      <w:r w:rsidRPr="6EEF17EB">
        <w:rPr>
          <w:rFonts w:asciiTheme="majorHAnsi" w:hAnsiTheme="majorHAnsi"/>
          <w:color w:val="000000"/>
          <w:shd w:val="clear" w:color="auto" w:fill="FFFFFF"/>
        </w:rPr>
        <w:t xml:space="preserve"> integrated animal identification and lifetime traceability systems. The register enables government, industry and governing bodies to provide national identification, registration, verification, safeguarding and lifetime traceable services</w:t>
      </w:r>
      <w:r w:rsidR="73504C31" w:rsidRPr="6EEF17EB">
        <w:rPr>
          <w:rFonts w:asciiTheme="majorHAnsi" w:hAnsiTheme="majorHAnsi"/>
          <w:color w:val="000000"/>
          <w:shd w:val="clear" w:color="auto" w:fill="FFFFFF"/>
        </w:rPr>
        <w:t xml:space="preserve"> and </w:t>
      </w:r>
      <w:r w:rsidRPr="6EEF17EB">
        <w:rPr>
          <w:rFonts w:asciiTheme="majorHAnsi" w:hAnsiTheme="majorHAnsi"/>
          <w:color w:val="000000"/>
          <w:shd w:val="clear" w:color="auto" w:fill="FFFFFF"/>
        </w:rPr>
        <w:t xml:space="preserve">provides the Central Equine Database for the UK Government via the National </w:t>
      </w:r>
      <w:r w:rsidR="00707082" w:rsidRPr="6EEF17EB">
        <w:rPr>
          <w:rFonts w:asciiTheme="majorHAnsi" w:hAnsiTheme="majorHAnsi"/>
          <w:color w:val="000000"/>
          <w:shd w:val="clear" w:color="auto" w:fill="FFFFFF"/>
        </w:rPr>
        <w:t>ChipCh</w:t>
      </w:r>
      <w:r w:rsidR="00707082">
        <w:rPr>
          <w:rFonts w:asciiTheme="majorHAnsi" w:hAnsiTheme="majorHAnsi"/>
          <w:color w:val="000000"/>
          <w:shd w:val="clear" w:color="auto" w:fill="FFFFFF"/>
        </w:rPr>
        <w:t>e</w:t>
      </w:r>
      <w:r w:rsidR="00707082" w:rsidRPr="6EEF17EB">
        <w:rPr>
          <w:rFonts w:asciiTheme="majorHAnsi" w:hAnsiTheme="majorHAnsi"/>
          <w:color w:val="000000"/>
          <w:shd w:val="clear" w:color="auto" w:fill="FFFFFF"/>
        </w:rPr>
        <w:t>cker</w:t>
      </w:r>
      <w:r w:rsidRPr="6EEF17EB">
        <w:rPr>
          <w:rFonts w:asciiTheme="majorHAnsi" w:hAnsiTheme="majorHAnsi"/>
          <w:color w:val="000000"/>
          <w:shd w:val="clear" w:color="auto" w:fill="FFFFFF"/>
        </w:rPr>
        <w:t xml:space="preserve"> platform. </w:t>
      </w:r>
    </w:p>
    <w:p w14:paraId="31707707" w14:textId="1DB5F48D" w:rsidR="00B42A53" w:rsidRPr="008F736F" w:rsidRDefault="0FEAE030" w:rsidP="6EEF17EB">
      <w:pPr>
        <w:rPr>
          <w:rFonts w:asciiTheme="majorHAnsi" w:hAnsiTheme="majorHAnsi"/>
          <w:color w:val="000000"/>
          <w:shd w:val="clear" w:color="auto" w:fill="FFFFFF"/>
        </w:rPr>
      </w:pPr>
      <w:r w:rsidRPr="6EEF17EB">
        <w:rPr>
          <w:rFonts w:asciiTheme="majorHAnsi" w:hAnsiTheme="majorHAnsi"/>
          <w:color w:val="000000"/>
          <w:shd w:val="clear" w:color="auto" w:fill="FFFFFF"/>
        </w:rPr>
        <w:t>ChipChecker provides the public and veterinarians with secure access to equine records</w:t>
      </w:r>
      <w:r w:rsidR="73504C31" w:rsidRPr="6EEF17EB">
        <w:rPr>
          <w:rFonts w:asciiTheme="majorHAnsi" w:hAnsiTheme="majorHAnsi"/>
          <w:color w:val="000000"/>
          <w:shd w:val="clear" w:color="auto" w:fill="FFFFFF"/>
        </w:rPr>
        <w:t xml:space="preserve"> and enables </w:t>
      </w:r>
      <w:r w:rsidRPr="6EEF17EB">
        <w:rPr>
          <w:rFonts w:asciiTheme="majorHAnsi" w:hAnsiTheme="majorHAnsi"/>
          <w:color w:val="000000"/>
          <w:shd w:val="clear" w:color="auto" w:fill="FFFFFF"/>
        </w:rPr>
        <w:t xml:space="preserve">owners to view and update details about themselves and their horses. It provides a digital solution for veterinarians, police, local authorities, welfare and border control agencies to identify a horse in real time and offline. The Equine Register provides data integration, insights and data management of multi species data for the Livestock </w:t>
      </w:r>
      <w:r w:rsidR="00F24E47">
        <w:rPr>
          <w:rFonts w:asciiTheme="majorHAnsi" w:hAnsiTheme="majorHAnsi"/>
          <w:color w:val="000000"/>
          <w:shd w:val="clear" w:color="auto" w:fill="FFFFFF"/>
        </w:rPr>
        <w:t>I</w:t>
      </w:r>
      <w:r w:rsidRPr="6EEF17EB">
        <w:rPr>
          <w:rFonts w:asciiTheme="majorHAnsi" w:hAnsiTheme="majorHAnsi"/>
          <w:color w:val="000000"/>
          <w:shd w:val="clear" w:color="auto" w:fill="FFFFFF"/>
        </w:rPr>
        <w:t>nformation Service, Department of the Environment</w:t>
      </w:r>
      <w:r w:rsidR="00F24E47">
        <w:rPr>
          <w:rFonts w:asciiTheme="majorHAnsi" w:hAnsiTheme="majorHAnsi"/>
          <w:color w:val="000000"/>
          <w:shd w:val="clear" w:color="auto" w:fill="FFFFFF"/>
        </w:rPr>
        <w:t>,</w:t>
      </w:r>
      <w:r w:rsidRPr="6EEF17EB">
        <w:rPr>
          <w:rFonts w:asciiTheme="majorHAnsi" w:hAnsiTheme="majorHAnsi"/>
          <w:color w:val="000000"/>
          <w:shd w:val="clear" w:color="auto" w:fill="FFFFFF"/>
        </w:rPr>
        <w:t xml:space="preserve"> Food and Rural Affairs (DEFRA) and livestock industr</w:t>
      </w:r>
      <w:r w:rsidR="73504C31" w:rsidRPr="6EEF17EB">
        <w:rPr>
          <w:rFonts w:asciiTheme="majorHAnsi" w:hAnsiTheme="majorHAnsi"/>
          <w:color w:val="000000"/>
          <w:shd w:val="clear" w:color="auto" w:fill="FFFFFF"/>
        </w:rPr>
        <w:t>ies. The Register has been in place</w:t>
      </w:r>
      <w:r w:rsidRPr="6EEF17EB">
        <w:rPr>
          <w:rFonts w:asciiTheme="majorHAnsi" w:hAnsiTheme="majorHAnsi"/>
          <w:color w:val="000000"/>
          <w:shd w:val="clear" w:color="auto" w:fill="FFFFFF"/>
        </w:rPr>
        <w:t xml:space="preserve"> since 2016.</w:t>
      </w:r>
    </w:p>
    <w:p w14:paraId="259B6DB8" w14:textId="11CB04B2" w:rsidR="00B42A53" w:rsidRDefault="00B42A53" w:rsidP="5CEE9FA0">
      <w:pPr>
        <w:rPr>
          <w:rFonts w:eastAsia="Calibri"/>
          <w:lang w:eastAsia="ja-JP"/>
        </w:rPr>
      </w:pPr>
      <w:r w:rsidRPr="5CEE9FA0">
        <w:rPr>
          <w:u w:val="single"/>
          <w:lang w:eastAsia="ja-JP"/>
        </w:rPr>
        <w:t>Dr Denis Napthine</w:t>
      </w:r>
      <w:r w:rsidRPr="4A61F9D2">
        <w:rPr>
          <w:u w:val="single"/>
          <w:lang w:eastAsia="ja-JP"/>
        </w:rPr>
        <w:t xml:space="preserve"> </w:t>
      </w:r>
      <w:r w:rsidRPr="4A61F9D2">
        <w:rPr>
          <w:u w:val="single"/>
        </w:rPr>
        <w:t>and Mr Tom Riley</w:t>
      </w:r>
    </w:p>
    <w:p w14:paraId="6B2DF22B" w14:textId="170EDCE9" w:rsidR="00B42A53" w:rsidRDefault="00B42A53" w:rsidP="5CEE9FA0">
      <w:pPr>
        <w:rPr>
          <w:b/>
          <w:bCs/>
          <w:lang w:eastAsia="ja-JP"/>
        </w:rPr>
      </w:pPr>
      <w:r>
        <w:t xml:space="preserve">Dr Dennis Napthine and Mr Tom Riley met with the </w:t>
      </w:r>
      <w:r w:rsidR="00671856">
        <w:rPr>
          <w:rFonts w:asciiTheme="majorHAnsi" w:hAnsiTheme="majorHAnsi"/>
          <w:lang w:eastAsia="ja-JP"/>
        </w:rPr>
        <w:t>NHTWG</w:t>
      </w:r>
      <w:r w:rsidR="00671856">
        <w:t xml:space="preserve"> </w:t>
      </w:r>
      <w:r>
        <w:t xml:space="preserve">on 22 October 2021 to discuss the findings and recommendations specific to horse traceability contained in the </w:t>
      </w:r>
      <w:r w:rsidRPr="5CEE9FA0">
        <w:rPr>
          <w:i/>
          <w:iCs/>
        </w:rPr>
        <w:t>Thoroughbred Welfare Initiative</w:t>
      </w:r>
      <w:r>
        <w:t xml:space="preserve"> report. This report was prepared by the Thoroughbred Aftercare Welfare Working Group (TAWWG) and was released on 29 November 2021.  </w:t>
      </w:r>
    </w:p>
    <w:p w14:paraId="47F7C122" w14:textId="4E793E89" w:rsidR="00B42A53" w:rsidRDefault="0FEAE030" w:rsidP="5CEE9FA0">
      <w:pPr>
        <w:rPr>
          <w:b/>
          <w:bCs/>
          <w:lang w:eastAsia="ja-JP"/>
        </w:rPr>
      </w:pPr>
      <w:r w:rsidRPr="6EEF17EB">
        <w:rPr>
          <w:lang w:eastAsia="en-AU"/>
        </w:rPr>
        <w:lastRenderedPageBreak/>
        <w:t xml:space="preserve">The </w:t>
      </w:r>
      <w:r>
        <w:t>TAWWG included</w:t>
      </w:r>
      <w:r w:rsidRPr="6EEF17EB">
        <w:rPr>
          <w:lang w:eastAsia="en-AU"/>
        </w:rPr>
        <w:t xml:space="preserve"> participants from the breeding and racing sectors of the </w:t>
      </w:r>
      <w:r w:rsidR="00F24E47">
        <w:rPr>
          <w:lang w:eastAsia="en-AU"/>
        </w:rPr>
        <w:t>T</w:t>
      </w:r>
      <w:r w:rsidR="00F24E47" w:rsidRPr="6EEF17EB">
        <w:rPr>
          <w:lang w:eastAsia="en-AU"/>
        </w:rPr>
        <w:t xml:space="preserve">horoughbred </w:t>
      </w:r>
      <w:r w:rsidRPr="6EEF17EB">
        <w:rPr>
          <w:lang w:eastAsia="en-AU"/>
        </w:rPr>
        <w:t xml:space="preserve">industry and focused in particular on how the welfare of </w:t>
      </w:r>
      <w:r w:rsidR="00F24E47">
        <w:rPr>
          <w:lang w:eastAsia="en-AU"/>
        </w:rPr>
        <w:t>T</w:t>
      </w:r>
      <w:r w:rsidRPr="6EEF17EB">
        <w:rPr>
          <w:lang w:eastAsia="en-AU"/>
        </w:rPr>
        <w:t xml:space="preserve">horoughbred horses could be protected and enhanced throughout their lives, including through better traceability.   </w:t>
      </w:r>
    </w:p>
    <w:p w14:paraId="2151FFD4" w14:textId="69ECFFAE" w:rsidR="00B42A53" w:rsidRDefault="00B42A53" w:rsidP="5CEE9FA0">
      <w:pPr>
        <w:rPr>
          <w:b/>
          <w:bCs/>
          <w:lang w:eastAsia="ja-JP"/>
        </w:rPr>
      </w:pPr>
      <w:r w:rsidRPr="5CEE9FA0">
        <w:rPr>
          <w:lang w:eastAsia="en-AU"/>
        </w:rPr>
        <w:t xml:space="preserve">A copy of the </w:t>
      </w:r>
      <w:r w:rsidRPr="5CEE9FA0">
        <w:rPr>
          <w:i/>
          <w:iCs/>
        </w:rPr>
        <w:t>Thoroughbred Welfare Initiative</w:t>
      </w:r>
      <w:r>
        <w:t xml:space="preserve"> report can be found</w:t>
      </w:r>
      <w:r w:rsidR="005116F3">
        <w:t xml:space="preserve"> at</w:t>
      </w:r>
      <w:r>
        <w:t xml:space="preserve"> </w:t>
      </w:r>
      <w:hyperlink r:id="rId14" w:history="1">
        <w:r w:rsidR="00F24E47" w:rsidRPr="003A00B7">
          <w:rPr>
            <w:rStyle w:val="Hyperlink"/>
          </w:rPr>
          <w:t>www.</w:t>
        </w:r>
        <w:r w:rsidR="00F24E47" w:rsidRPr="003A00B7">
          <w:rPr>
            <w:rStyle w:val="Hyperlink"/>
            <w:lang w:eastAsia="en-AU"/>
          </w:rPr>
          <w:t>thoroughbredwelfareinitiative.org.au</w:t>
        </w:r>
      </w:hyperlink>
      <w:r w:rsidR="00F24E47">
        <w:rPr>
          <w:lang w:eastAsia="en-AU"/>
        </w:rPr>
        <w:t xml:space="preserve"> </w:t>
      </w:r>
      <w:r w:rsidRPr="5CEE9FA0">
        <w:rPr>
          <w:lang w:eastAsia="en-AU"/>
        </w:rPr>
        <w:t xml:space="preserve"> </w:t>
      </w:r>
      <w:r w:rsidR="00F24E47">
        <w:rPr>
          <w:lang w:eastAsia="en-AU"/>
        </w:rPr>
        <w:t xml:space="preserve"> </w:t>
      </w:r>
    </w:p>
    <w:p w14:paraId="3C6E90C8" w14:textId="77777777" w:rsidR="003915C6" w:rsidRPr="00B148C8" w:rsidRDefault="003915C6" w:rsidP="003915C6">
      <w:pPr>
        <w:pStyle w:val="Heading3"/>
        <w:numPr>
          <w:ilvl w:val="1"/>
          <w:numId w:val="0"/>
        </w:numPr>
        <w:spacing w:after="120"/>
        <w:ind w:left="964" w:hanging="964"/>
        <w:rPr>
          <w:rFonts w:asciiTheme="majorHAnsi" w:hAnsiTheme="majorHAnsi"/>
          <w:sz w:val="22"/>
          <w:szCs w:val="22"/>
          <w:lang w:eastAsia="ja-JP"/>
        </w:rPr>
      </w:pPr>
      <w:bookmarkStart w:id="17" w:name="_Toc121397559"/>
      <w:r w:rsidRPr="00B148C8">
        <w:rPr>
          <w:rFonts w:asciiTheme="majorHAnsi" w:hAnsiTheme="majorHAnsi"/>
          <w:sz w:val="22"/>
          <w:szCs w:val="22"/>
          <w:lang w:eastAsia="ja-JP"/>
        </w:rPr>
        <w:t>Commercial registries</w:t>
      </w:r>
      <w:bookmarkEnd w:id="17"/>
      <w:r w:rsidRPr="00B148C8">
        <w:rPr>
          <w:rFonts w:asciiTheme="majorHAnsi" w:hAnsiTheme="majorHAnsi"/>
          <w:sz w:val="22"/>
          <w:szCs w:val="22"/>
          <w:lang w:eastAsia="ja-JP"/>
        </w:rPr>
        <w:t xml:space="preserve"> </w:t>
      </w:r>
    </w:p>
    <w:p w14:paraId="78B52065" w14:textId="77777777" w:rsidR="003915C6" w:rsidRDefault="003915C6" w:rsidP="003915C6">
      <w:pPr>
        <w:spacing w:line="257" w:lineRule="auto"/>
        <w:rPr>
          <w:rFonts w:asciiTheme="majorHAnsi" w:eastAsiaTheme="majorEastAsia" w:hAnsiTheme="majorHAnsi" w:cstheme="majorBidi"/>
        </w:rPr>
      </w:pPr>
      <w:r w:rsidRPr="6EEF17EB">
        <w:rPr>
          <w:rFonts w:asciiTheme="majorHAnsi" w:eastAsiaTheme="majorEastAsia" w:hAnsiTheme="majorHAnsi" w:cstheme="majorBidi"/>
        </w:rPr>
        <w:t xml:space="preserve">The </w:t>
      </w:r>
      <w:r w:rsidRPr="6EEF17EB">
        <w:rPr>
          <w:rFonts w:asciiTheme="majorHAnsi" w:hAnsiTheme="majorHAnsi"/>
          <w:lang w:eastAsia="ja-JP"/>
        </w:rPr>
        <w:t>NHTWG</w:t>
      </w:r>
      <w:r w:rsidRPr="6EEF17EB">
        <w:rPr>
          <w:rFonts w:asciiTheme="majorHAnsi" w:eastAsiaTheme="majorEastAsia" w:hAnsiTheme="majorHAnsi" w:cstheme="majorBidi"/>
        </w:rPr>
        <w:t xml:space="preserve"> noted that there are currently five companion animal and horse microchip registry services licensed under Victoria’s </w:t>
      </w:r>
      <w:r w:rsidRPr="6EEF17EB">
        <w:rPr>
          <w:rFonts w:asciiTheme="majorHAnsi" w:eastAsiaTheme="majorEastAsia" w:hAnsiTheme="majorHAnsi" w:cstheme="majorBidi"/>
          <w:i/>
          <w:iCs/>
        </w:rPr>
        <w:t>Domestic Animals Act</w:t>
      </w:r>
      <w:r w:rsidRPr="6EEF17EB">
        <w:rPr>
          <w:rFonts w:asciiTheme="majorHAnsi" w:eastAsiaTheme="majorEastAsia" w:hAnsiTheme="majorHAnsi" w:cstheme="majorBidi"/>
        </w:rPr>
        <w:t xml:space="preserve"> </w:t>
      </w:r>
      <w:r>
        <w:rPr>
          <w:rFonts w:asciiTheme="majorHAnsi" w:eastAsiaTheme="majorEastAsia" w:hAnsiTheme="majorHAnsi" w:cstheme="majorBidi"/>
        </w:rPr>
        <w:t xml:space="preserve">and that operate nationally </w:t>
      </w:r>
      <w:r w:rsidRPr="6EEF17EB">
        <w:rPr>
          <w:rFonts w:asciiTheme="majorHAnsi" w:eastAsiaTheme="majorEastAsia" w:hAnsiTheme="majorHAnsi" w:cstheme="majorBidi"/>
        </w:rPr>
        <w:t>namely:</w:t>
      </w:r>
    </w:p>
    <w:p w14:paraId="57A8B76E" w14:textId="77777777" w:rsidR="003915C6" w:rsidRDefault="003915C6" w:rsidP="005F14E3">
      <w:pPr>
        <w:pStyle w:val="ListParagraph"/>
        <w:numPr>
          <w:ilvl w:val="0"/>
          <w:numId w:val="2"/>
        </w:numPr>
        <w:spacing w:line="276" w:lineRule="auto"/>
        <w:ind w:left="850" w:hanging="425"/>
        <w:rPr>
          <w:rFonts w:asciiTheme="majorHAnsi" w:eastAsiaTheme="majorEastAsia" w:hAnsiTheme="majorHAnsi" w:cstheme="majorBidi"/>
        </w:rPr>
      </w:pPr>
      <w:r w:rsidRPr="5CEE9FA0">
        <w:rPr>
          <w:rFonts w:asciiTheme="majorHAnsi" w:eastAsiaTheme="majorEastAsia" w:hAnsiTheme="majorHAnsi" w:cstheme="majorBidi"/>
        </w:rPr>
        <w:t>Petsafe (including standardbred microchip information sourced from Harness Racing Australia)</w:t>
      </w:r>
    </w:p>
    <w:p w14:paraId="7E91D0CC" w14:textId="77777777" w:rsidR="003915C6" w:rsidRDefault="003915C6" w:rsidP="005F14E3">
      <w:pPr>
        <w:pStyle w:val="ListParagraph"/>
        <w:numPr>
          <w:ilvl w:val="0"/>
          <w:numId w:val="2"/>
        </w:numPr>
        <w:spacing w:line="276" w:lineRule="auto"/>
        <w:ind w:left="850" w:hanging="425"/>
        <w:rPr>
          <w:rFonts w:asciiTheme="majorHAnsi" w:eastAsiaTheme="majorEastAsia" w:hAnsiTheme="majorHAnsi" w:cstheme="majorBidi"/>
        </w:rPr>
      </w:pPr>
      <w:r w:rsidRPr="5CEE9FA0">
        <w:rPr>
          <w:rFonts w:asciiTheme="majorHAnsi" w:eastAsiaTheme="majorEastAsia" w:hAnsiTheme="majorHAnsi" w:cstheme="majorBidi"/>
        </w:rPr>
        <w:t>Australasian Animal Register</w:t>
      </w:r>
    </w:p>
    <w:p w14:paraId="3B041A25" w14:textId="77777777" w:rsidR="003915C6" w:rsidRDefault="003915C6" w:rsidP="005F14E3">
      <w:pPr>
        <w:pStyle w:val="ListParagraph"/>
        <w:numPr>
          <w:ilvl w:val="0"/>
          <w:numId w:val="2"/>
        </w:numPr>
        <w:spacing w:line="276" w:lineRule="auto"/>
        <w:ind w:left="850" w:hanging="425"/>
        <w:rPr>
          <w:rFonts w:asciiTheme="majorHAnsi" w:eastAsiaTheme="majorEastAsia" w:hAnsiTheme="majorHAnsi" w:cstheme="majorBidi"/>
        </w:rPr>
      </w:pPr>
      <w:r w:rsidRPr="5CEE9FA0">
        <w:rPr>
          <w:rFonts w:asciiTheme="majorHAnsi" w:eastAsiaTheme="majorEastAsia" w:hAnsiTheme="majorHAnsi" w:cstheme="majorBidi"/>
        </w:rPr>
        <w:t>Central Animal Records</w:t>
      </w:r>
    </w:p>
    <w:p w14:paraId="276BD6FC" w14:textId="77777777" w:rsidR="003915C6" w:rsidRDefault="003915C6" w:rsidP="005F14E3">
      <w:pPr>
        <w:pStyle w:val="ListParagraph"/>
        <w:numPr>
          <w:ilvl w:val="0"/>
          <w:numId w:val="2"/>
        </w:numPr>
        <w:spacing w:line="276" w:lineRule="auto"/>
        <w:ind w:left="850" w:hanging="425"/>
        <w:rPr>
          <w:rFonts w:asciiTheme="majorHAnsi" w:eastAsiaTheme="majorEastAsia" w:hAnsiTheme="majorHAnsi" w:cstheme="majorBidi"/>
        </w:rPr>
      </w:pPr>
      <w:r w:rsidRPr="5CEE9FA0">
        <w:rPr>
          <w:rFonts w:asciiTheme="majorHAnsi" w:eastAsiaTheme="majorEastAsia" w:hAnsiTheme="majorHAnsi" w:cstheme="majorBidi"/>
        </w:rPr>
        <w:t>Homesafe ID</w:t>
      </w:r>
    </w:p>
    <w:p w14:paraId="6F233758" w14:textId="77777777" w:rsidR="003915C6" w:rsidRDefault="003915C6" w:rsidP="005F14E3">
      <w:pPr>
        <w:pStyle w:val="ListParagraph"/>
        <w:numPr>
          <w:ilvl w:val="0"/>
          <w:numId w:val="2"/>
        </w:numPr>
        <w:spacing w:line="276" w:lineRule="auto"/>
        <w:ind w:left="850" w:hanging="425"/>
        <w:rPr>
          <w:rFonts w:asciiTheme="majorHAnsi" w:eastAsiaTheme="majorEastAsia" w:hAnsiTheme="majorHAnsi" w:cstheme="majorBidi"/>
        </w:rPr>
      </w:pPr>
      <w:r w:rsidRPr="5CEE9FA0">
        <w:rPr>
          <w:rFonts w:asciiTheme="majorHAnsi" w:eastAsiaTheme="majorEastAsia" w:hAnsiTheme="majorHAnsi" w:cstheme="majorBidi"/>
        </w:rPr>
        <w:t>National Pet Register</w:t>
      </w:r>
    </w:p>
    <w:p w14:paraId="1E9F6F46" w14:textId="58747705" w:rsidR="003915C6" w:rsidRDefault="003915C6" w:rsidP="00E67198">
      <w:pPr>
        <w:spacing w:before="200"/>
        <w:rPr>
          <w:rFonts w:asciiTheme="majorHAnsi" w:eastAsiaTheme="majorEastAsia" w:hAnsiTheme="majorHAnsi" w:cstheme="majorBidi"/>
        </w:rPr>
      </w:pPr>
      <w:r w:rsidRPr="5CEE9FA0">
        <w:rPr>
          <w:rFonts w:asciiTheme="majorHAnsi" w:eastAsiaTheme="majorEastAsia" w:hAnsiTheme="majorHAnsi" w:cstheme="majorBidi"/>
        </w:rPr>
        <w:t xml:space="preserve">Working together licensed registers sponsor the Pet Address website (at </w:t>
      </w:r>
      <w:hyperlink r:id="rId15">
        <w:r w:rsidRPr="5CEE9FA0">
          <w:rPr>
            <w:rStyle w:val="Hyperlink"/>
            <w:rFonts w:asciiTheme="majorHAnsi" w:eastAsiaTheme="majorEastAsia" w:hAnsiTheme="majorHAnsi" w:cstheme="majorBidi"/>
          </w:rPr>
          <w:t>www.petaddress.com.au</w:t>
        </w:r>
      </w:hyperlink>
      <w:r w:rsidRPr="5CEE9FA0">
        <w:rPr>
          <w:rFonts w:asciiTheme="majorHAnsi" w:eastAsiaTheme="majorEastAsia" w:hAnsiTheme="majorHAnsi" w:cstheme="majorBidi"/>
        </w:rPr>
        <w:t>).  This website enables users to search to determine the participating database where ownership information for a microchipped horse can be found.  If a microchip number is present on one of the participating databases, users are then directed to that database for further information about that animal.  Purchasers can then report ownership changes, and parties with access privileges</w:t>
      </w:r>
      <w:r w:rsidR="00F24E47">
        <w:rPr>
          <w:rFonts w:asciiTheme="majorHAnsi" w:eastAsiaTheme="majorEastAsia" w:hAnsiTheme="majorHAnsi" w:cstheme="majorBidi"/>
        </w:rPr>
        <w:t>,</w:t>
      </w:r>
      <w:r w:rsidRPr="5CEE9FA0">
        <w:rPr>
          <w:rFonts w:asciiTheme="majorHAnsi" w:eastAsiaTheme="majorEastAsia" w:hAnsiTheme="majorHAnsi" w:cstheme="majorBidi"/>
        </w:rPr>
        <w:t xml:space="preserve"> such as pounds</w:t>
      </w:r>
      <w:r w:rsidR="00F24E47">
        <w:rPr>
          <w:rFonts w:asciiTheme="majorHAnsi" w:eastAsiaTheme="majorEastAsia" w:hAnsiTheme="majorHAnsi" w:cstheme="majorBidi"/>
        </w:rPr>
        <w:t>,</w:t>
      </w:r>
      <w:r w:rsidRPr="5CEE9FA0">
        <w:rPr>
          <w:rFonts w:asciiTheme="majorHAnsi" w:eastAsiaTheme="majorEastAsia" w:hAnsiTheme="majorHAnsi" w:cstheme="majorBidi"/>
        </w:rPr>
        <w:t xml:space="preserve"> can use sourced information to rehome stray animals.  </w:t>
      </w:r>
      <w:r w:rsidR="00557E7B">
        <w:rPr>
          <w:rFonts w:asciiTheme="majorHAnsi" w:eastAsiaTheme="majorEastAsia" w:hAnsiTheme="majorHAnsi" w:cstheme="majorBidi"/>
        </w:rPr>
        <w:t>L</w:t>
      </w:r>
      <w:r w:rsidR="00557E7B" w:rsidRPr="6EEF17EB">
        <w:rPr>
          <w:rFonts w:asciiTheme="majorHAnsi" w:eastAsiaTheme="majorEastAsia" w:hAnsiTheme="majorHAnsi" w:cstheme="majorBidi"/>
        </w:rPr>
        <w:t>icensed registry databases focus</w:t>
      </w:r>
      <w:r w:rsidR="00557E7B">
        <w:rPr>
          <w:rFonts w:asciiTheme="majorHAnsi" w:eastAsiaTheme="majorEastAsia" w:hAnsiTheme="majorHAnsi" w:cstheme="majorBidi"/>
        </w:rPr>
        <w:t xml:space="preserve"> principally</w:t>
      </w:r>
      <w:r w:rsidR="00557E7B" w:rsidRPr="6EEF17EB">
        <w:rPr>
          <w:rFonts w:asciiTheme="majorHAnsi" w:eastAsiaTheme="majorEastAsia" w:hAnsiTheme="majorHAnsi" w:cstheme="majorBidi"/>
        </w:rPr>
        <w:t xml:space="preserve"> on dog and cat registration</w:t>
      </w:r>
      <w:r w:rsidR="00557E7B">
        <w:rPr>
          <w:rFonts w:asciiTheme="majorHAnsi" w:eastAsiaTheme="majorEastAsia" w:hAnsiTheme="majorHAnsi" w:cstheme="majorBidi"/>
        </w:rPr>
        <w:t>.</w:t>
      </w:r>
      <w:r w:rsidR="00557E7B" w:rsidRPr="6EEF17EB">
        <w:rPr>
          <w:rFonts w:asciiTheme="majorHAnsi" w:eastAsiaTheme="majorEastAsia" w:hAnsiTheme="majorHAnsi" w:cstheme="majorBidi"/>
        </w:rPr>
        <w:t xml:space="preserve"> </w:t>
      </w:r>
      <w:r w:rsidRPr="6EEF17EB">
        <w:rPr>
          <w:rFonts w:asciiTheme="majorHAnsi" w:eastAsiaTheme="majorEastAsia" w:hAnsiTheme="majorHAnsi" w:cstheme="majorBidi"/>
        </w:rPr>
        <w:t xml:space="preserve">Horses </w:t>
      </w:r>
      <w:r w:rsidR="00557E7B">
        <w:rPr>
          <w:rFonts w:asciiTheme="majorHAnsi" w:eastAsiaTheme="majorEastAsia" w:hAnsiTheme="majorHAnsi" w:cstheme="majorBidi"/>
        </w:rPr>
        <w:t xml:space="preserve">are believed to </w:t>
      </w:r>
      <w:r w:rsidRPr="6EEF17EB">
        <w:rPr>
          <w:rFonts w:asciiTheme="majorHAnsi" w:eastAsiaTheme="majorEastAsia" w:hAnsiTheme="majorHAnsi" w:cstheme="majorBidi"/>
        </w:rPr>
        <w:t xml:space="preserve">represent </w:t>
      </w:r>
      <w:r w:rsidR="00557E7B">
        <w:rPr>
          <w:rFonts w:asciiTheme="majorHAnsi" w:eastAsiaTheme="majorEastAsia" w:hAnsiTheme="majorHAnsi" w:cstheme="majorBidi"/>
        </w:rPr>
        <w:t xml:space="preserve">only </w:t>
      </w:r>
      <w:r w:rsidRPr="6EEF17EB">
        <w:rPr>
          <w:rFonts w:asciiTheme="majorHAnsi" w:eastAsiaTheme="majorEastAsia" w:hAnsiTheme="majorHAnsi" w:cstheme="majorBidi"/>
        </w:rPr>
        <w:t>a small percentage of the animal</w:t>
      </w:r>
      <w:r w:rsidR="00557E7B">
        <w:rPr>
          <w:rFonts w:asciiTheme="majorHAnsi" w:eastAsiaTheme="majorEastAsia" w:hAnsiTheme="majorHAnsi" w:cstheme="majorBidi"/>
        </w:rPr>
        <w:t xml:space="preserve">s that they have </w:t>
      </w:r>
      <w:r w:rsidRPr="6EEF17EB">
        <w:rPr>
          <w:rFonts w:asciiTheme="majorHAnsi" w:eastAsiaTheme="majorEastAsia" w:hAnsiTheme="majorHAnsi" w:cstheme="majorBidi"/>
        </w:rPr>
        <w:t>list</w:t>
      </w:r>
      <w:r w:rsidR="00557E7B">
        <w:rPr>
          <w:rFonts w:asciiTheme="majorHAnsi" w:eastAsiaTheme="majorEastAsia" w:hAnsiTheme="majorHAnsi" w:cstheme="majorBidi"/>
        </w:rPr>
        <w:t>ed</w:t>
      </w:r>
      <w:r w:rsidRPr="6EEF17EB">
        <w:rPr>
          <w:rFonts w:asciiTheme="majorHAnsi" w:eastAsiaTheme="majorEastAsia" w:hAnsiTheme="majorHAnsi" w:cstheme="majorBidi"/>
        </w:rPr>
        <w:t xml:space="preserve">.  </w:t>
      </w:r>
    </w:p>
    <w:p w14:paraId="657C8ADF" w14:textId="77777777" w:rsidR="003915C6" w:rsidRDefault="003915C6" w:rsidP="003915C6">
      <w:pPr>
        <w:rPr>
          <w:rFonts w:asciiTheme="majorHAnsi" w:eastAsiaTheme="majorEastAsia" w:hAnsiTheme="majorHAnsi" w:cstheme="majorBidi"/>
        </w:rPr>
      </w:pPr>
      <w:r w:rsidRPr="5CEE9FA0">
        <w:rPr>
          <w:rFonts w:asciiTheme="majorHAnsi" w:eastAsiaTheme="majorEastAsia" w:hAnsiTheme="majorHAnsi" w:cstheme="majorBidi"/>
        </w:rPr>
        <w:t xml:space="preserve">Licensed animal registry services charge a fee to register a microchipped horse or to change the ownership details of a horse.  Fees for the processing of such changes are typically in the range of $15 to $25.  To register ownership changes, the signature of the seller or a statutory declaration are generally required.  </w:t>
      </w:r>
    </w:p>
    <w:p w14:paraId="75E880EC" w14:textId="27C569E8" w:rsidR="003915C6" w:rsidRDefault="003915C6" w:rsidP="003915C6">
      <w:pPr>
        <w:rPr>
          <w:rFonts w:asciiTheme="majorHAnsi" w:eastAsiaTheme="majorEastAsia" w:hAnsiTheme="majorHAnsi" w:cstheme="majorBidi"/>
        </w:rPr>
      </w:pPr>
      <w:r w:rsidRPr="3B8424AC">
        <w:rPr>
          <w:rFonts w:asciiTheme="majorHAnsi" w:eastAsiaTheme="majorEastAsia" w:hAnsiTheme="majorHAnsi" w:cstheme="majorBidi"/>
        </w:rPr>
        <w:t xml:space="preserve">The usefulness of licensed registers in establishing the current owner and/or property of residence of a horse, or whether a horse is still alive or not, is limited.  The lack of online options, the difficulty in securing the signature/s of previous owners and cost are several reasons why purchasers of horses fail to register an acquisition.  Transcription errors when microchip numbers are manually recorded on ownership transfer forms, and the presence for some horses of records on more than one commercial register are also issues. </w:t>
      </w:r>
    </w:p>
    <w:p w14:paraId="73A6DDDC" w14:textId="77777777" w:rsidR="003915C6" w:rsidRDefault="003915C6" w:rsidP="003915C6">
      <w:pPr>
        <w:rPr>
          <w:rFonts w:asciiTheme="majorHAnsi" w:eastAsiaTheme="majorEastAsia" w:hAnsiTheme="majorHAnsi" w:cstheme="majorBidi"/>
        </w:rPr>
      </w:pPr>
      <w:r w:rsidRPr="5CEE9FA0">
        <w:rPr>
          <w:rFonts w:asciiTheme="majorHAnsi" w:eastAsiaTheme="majorEastAsia" w:hAnsiTheme="majorHAnsi" w:cstheme="majorBidi"/>
        </w:rPr>
        <w:t xml:space="preserve">There are legal considerations for registers in relation to the release of information that they hold about microchipped animals.  Parties adversely affected by the release of information could potentially take legal action against a register.  For this reason, registers typically restrict access to records about microchipped animals.  Clauses such as the following typically appear on registry websites: </w:t>
      </w:r>
    </w:p>
    <w:p w14:paraId="639A3223" w14:textId="77777777" w:rsidR="003915C6" w:rsidRDefault="003915C6" w:rsidP="003915C6">
      <w:pPr>
        <w:ind w:left="720"/>
        <w:rPr>
          <w:rFonts w:asciiTheme="majorHAnsi" w:eastAsiaTheme="majorEastAsia" w:hAnsiTheme="majorHAnsi" w:cstheme="majorBidi"/>
          <w:i/>
          <w:iCs/>
        </w:rPr>
      </w:pPr>
      <w:r w:rsidRPr="5CEE9FA0">
        <w:rPr>
          <w:rFonts w:asciiTheme="majorHAnsi" w:eastAsiaTheme="majorEastAsia" w:hAnsiTheme="majorHAnsi" w:cstheme="majorBidi"/>
          <w:i/>
          <w:iCs/>
        </w:rPr>
        <w:t>‘xxx will only release your information to assist in reuniting you with your pet or if required by law. Councils have access to your owner and pet information on xxx and other national microchip registries and may use this information with local council pet registration and in administration of legislation’</w:t>
      </w:r>
    </w:p>
    <w:p w14:paraId="2D82543D" w14:textId="0F09F7CF" w:rsidR="003915C6" w:rsidRDefault="003915C6" w:rsidP="000019DF">
      <w:pPr>
        <w:rPr>
          <w:rFonts w:asciiTheme="majorHAnsi" w:eastAsiaTheme="majorEastAsia" w:hAnsiTheme="majorHAnsi" w:cstheme="majorBidi"/>
        </w:rPr>
      </w:pPr>
      <w:r>
        <w:rPr>
          <w:rFonts w:asciiTheme="majorHAnsi" w:eastAsiaTheme="majorEastAsia" w:hAnsiTheme="majorHAnsi" w:cstheme="majorBidi"/>
        </w:rPr>
        <w:lastRenderedPageBreak/>
        <w:t>The cost and</w:t>
      </w:r>
      <w:r w:rsidRPr="4A61F9D2">
        <w:rPr>
          <w:rFonts w:asciiTheme="majorHAnsi" w:eastAsiaTheme="majorEastAsia" w:hAnsiTheme="majorHAnsi" w:cstheme="majorBidi"/>
        </w:rPr>
        <w:t xml:space="preserve"> challeng</w:t>
      </w:r>
      <w:r>
        <w:rPr>
          <w:rFonts w:asciiTheme="majorHAnsi" w:eastAsiaTheme="majorEastAsia" w:hAnsiTheme="majorHAnsi" w:cstheme="majorBidi"/>
        </w:rPr>
        <w:t xml:space="preserve">es associated with </w:t>
      </w:r>
      <w:r w:rsidRPr="4A61F9D2">
        <w:rPr>
          <w:rFonts w:asciiTheme="majorHAnsi" w:eastAsiaTheme="majorEastAsia" w:hAnsiTheme="majorHAnsi" w:cstheme="majorBidi"/>
        </w:rPr>
        <w:t>enforc</w:t>
      </w:r>
      <w:r>
        <w:rPr>
          <w:rFonts w:asciiTheme="majorHAnsi" w:eastAsiaTheme="majorEastAsia" w:hAnsiTheme="majorHAnsi" w:cstheme="majorBidi"/>
        </w:rPr>
        <w:t>ing</w:t>
      </w:r>
      <w:r w:rsidRPr="4A61F9D2">
        <w:rPr>
          <w:rFonts w:asciiTheme="majorHAnsi" w:eastAsiaTheme="majorEastAsia" w:hAnsiTheme="majorHAnsi" w:cstheme="majorBidi"/>
        </w:rPr>
        <w:t xml:space="preserve"> a requirement that people acquiring </w:t>
      </w:r>
      <w:r>
        <w:rPr>
          <w:rFonts w:asciiTheme="majorHAnsi" w:eastAsiaTheme="majorEastAsia" w:hAnsiTheme="majorHAnsi" w:cstheme="majorBidi"/>
        </w:rPr>
        <w:t xml:space="preserve">microchipped </w:t>
      </w:r>
      <w:r w:rsidRPr="4A61F9D2">
        <w:rPr>
          <w:rFonts w:asciiTheme="majorHAnsi" w:eastAsiaTheme="majorEastAsia" w:hAnsiTheme="majorHAnsi" w:cstheme="majorBidi"/>
        </w:rPr>
        <w:t xml:space="preserve">horses either as purchasers or as carers register the sale, movement, export or death of a horse in a timely manner </w:t>
      </w:r>
      <w:r>
        <w:rPr>
          <w:rFonts w:asciiTheme="majorHAnsi" w:eastAsiaTheme="majorEastAsia" w:hAnsiTheme="majorHAnsi" w:cstheme="majorBidi"/>
        </w:rPr>
        <w:t xml:space="preserve">was considered on behalf of the NHTWG by KPMG (see Section </w:t>
      </w:r>
      <w:r w:rsidR="002E10F6">
        <w:rPr>
          <w:rFonts w:asciiTheme="majorHAnsi" w:eastAsiaTheme="majorEastAsia" w:hAnsiTheme="majorHAnsi" w:cstheme="majorBidi"/>
        </w:rPr>
        <w:t>7</w:t>
      </w:r>
      <w:r w:rsidR="000A4F27">
        <w:rPr>
          <w:rFonts w:asciiTheme="majorHAnsi" w:eastAsiaTheme="majorEastAsia" w:hAnsiTheme="majorHAnsi" w:cstheme="majorBidi"/>
        </w:rPr>
        <w:t xml:space="preserve"> </w:t>
      </w:r>
      <w:r>
        <w:rPr>
          <w:rFonts w:asciiTheme="majorHAnsi" w:eastAsiaTheme="majorEastAsia" w:hAnsiTheme="majorHAnsi" w:cstheme="majorBidi"/>
        </w:rPr>
        <w:t>of this report)</w:t>
      </w:r>
      <w:r w:rsidRPr="4A61F9D2">
        <w:rPr>
          <w:rFonts w:asciiTheme="majorHAnsi" w:eastAsiaTheme="majorEastAsia" w:hAnsiTheme="majorHAnsi" w:cstheme="majorBidi"/>
        </w:rPr>
        <w:t xml:space="preserve">.  </w:t>
      </w:r>
    </w:p>
    <w:p w14:paraId="7BE674BC" w14:textId="77777777" w:rsidR="003915C6" w:rsidRPr="00BC55BE" w:rsidRDefault="003915C6" w:rsidP="003915C6">
      <w:pPr>
        <w:pStyle w:val="Heading3"/>
        <w:numPr>
          <w:ilvl w:val="1"/>
          <w:numId w:val="0"/>
        </w:numPr>
        <w:spacing w:after="120"/>
        <w:ind w:left="964" w:hanging="964"/>
        <w:rPr>
          <w:rFonts w:asciiTheme="majorHAnsi" w:hAnsiTheme="majorHAnsi"/>
          <w:sz w:val="22"/>
          <w:szCs w:val="22"/>
          <w:lang w:eastAsia="ja-JP"/>
        </w:rPr>
      </w:pPr>
      <w:bookmarkStart w:id="18" w:name="_Toc121397560"/>
      <w:r>
        <w:rPr>
          <w:rFonts w:asciiTheme="majorHAnsi" w:hAnsiTheme="majorHAnsi"/>
          <w:sz w:val="22"/>
          <w:szCs w:val="22"/>
          <w:lang w:eastAsia="ja-JP"/>
        </w:rPr>
        <w:t>Thoroughbred</w:t>
      </w:r>
      <w:r w:rsidRPr="00BC55BE">
        <w:rPr>
          <w:rFonts w:asciiTheme="majorHAnsi" w:hAnsiTheme="majorHAnsi"/>
          <w:sz w:val="22"/>
          <w:szCs w:val="22"/>
          <w:lang w:eastAsia="ja-JP"/>
        </w:rPr>
        <w:t xml:space="preserve"> industry registries</w:t>
      </w:r>
      <w:bookmarkEnd w:id="18"/>
    </w:p>
    <w:p w14:paraId="53194290" w14:textId="1C60EA62" w:rsidR="003915C6" w:rsidRDefault="003915C6" w:rsidP="000019DF">
      <w:pPr>
        <w:rPr>
          <w:rFonts w:asciiTheme="majorHAnsi" w:eastAsiaTheme="majorEastAsia" w:hAnsiTheme="majorHAnsi" w:cstheme="majorBidi"/>
        </w:rPr>
      </w:pPr>
      <w:r w:rsidRPr="14E37C28">
        <w:rPr>
          <w:rFonts w:asciiTheme="majorHAnsi" w:eastAsiaTheme="majorEastAsia" w:hAnsiTheme="majorHAnsi" w:cstheme="majorBidi"/>
        </w:rPr>
        <w:t>The Australian Stud Book</w:t>
      </w:r>
      <w:r>
        <w:rPr>
          <w:rFonts w:asciiTheme="majorHAnsi" w:eastAsiaTheme="majorEastAsia" w:hAnsiTheme="majorHAnsi" w:cstheme="majorBidi"/>
        </w:rPr>
        <w:t xml:space="preserve"> </w:t>
      </w:r>
      <w:r w:rsidRPr="14E37C28">
        <w:rPr>
          <w:rFonts w:asciiTheme="majorHAnsi" w:eastAsiaTheme="majorEastAsia" w:hAnsiTheme="majorHAnsi" w:cstheme="majorBidi"/>
        </w:rPr>
        <w:t>(ASB)</w:t>
      </w:r>
      <w:r>
        <w:rPr>
          <w:rFonts w:asciiTheme="majorHAnsi" w:eastAsiaTheme="majorEastAsia" w:hAnsiTheme="majorHAnsi" w:cstheme="majorBidi"/>
        </w:rPr>
        <w:t>,</w:t>
      </w:r>
      <w:r w:rsidRPr="14E37C28">
        <w:rPr>
          <w:rFonts w:asciiTheme="majorHAnsi" w:eastAsiaTheme="majorEastAsia" w:hAnsiTheme="majorHAnsi" w:cstheme="majorBidi"/>
        </w:rPr>
        <w:t xml:space="preserve"> a subsidiary of Racing Australia</w:t>
      </w:r>
      <w:r w:rsidR="00947AF7">
        <w:rPr>
          <w:rFonts w:asciiTheme="majorHAnsi" w:eastAsiaTheme="majorEastAsia" w:hAnsiTheme="majorHAnsi" w:cstheme="majorBidi"/>
        </w:rPr>
        <w:t xml:space="preserve"> (RA)</w:t>
      </w:r>
      <w:r>
        <w:rPr>
          <w:rFonts w:asciiTheme="majorHAnsi" w:eastAsiaTheme="majorEastAsia" w:hAnsiTheme="majorHAnsi" w:cstheme="majorBidi"/>
        </w:rPr>
        <w:t>,</w:t>
      </w:r>
      <w:r w:rsidRPr="14E37C28">
        <w:rPr>
          <w:rFonts w:asciiTheme="majorHAnsi" w:eastAsiaTheme="majorEastAsia" w:hAnsiTheme="majorHAnsi" w:cstheme="majorBidi"/>
        </w:rPr>
        <w:t xml:space="preserve"> records the parentage of Thoroughbreds born or entering Australia for the purpose of racing and breeding. Individual identification is via DNA typing, brands, markings and</w:t>
      </w:r>
      <w:r w:rsidR="00DA48C8">
        <w:rPr>
          <w:rFonts w:asciiTheme="majorHAnsi" w:eastAsiaTheme="majorEastAsia" w:hAnsiTheme="majorHAnsi" w:cstheme="majorBidi"/>
        </w:rPr>
        <w:t>,</w:t>
      </w:r>
      <w:r w:rsidRPr="14E37C28">
        <w:rPr>
          <w:rFonts w:asciiTheme="majorHAnsi" w:eastAsiaTheme="majorEastAsia" w:hAnsiTheme="majorHAnsi" w:cstheme="majorBidi"/>
        </w:rPr>
        <w:t xml:space="preserve"> since the year 2000</w:t>
      </w:r>
      <w:r w:rsidR="00DA48C8">
        <w:rPr>
          <w:rFonts w:asciiTheme="majorHAnsi" w:eastAsiaTheme="majorEastAsia" w:hAnsiTheme="majorHAnsi" w:cstheme="majorBidi"/>
        </w:rPr>
        <w:t>,</w:t>
      </w:r>
      <w:r w:rsidRPr="14E37C28">
        <w:rPr>
          <w:rFonts w:asciiTheme="majorHAnsi" w:eastAsiaTheme="majorEastAsia" w:hAnsiTheme="majorHAnsi" w:cstheme="majorBidi"/>
        </w:rPr>
        <w:t xml:space="preserve"> microchip</w:t>
      </w:r>
      <w:r>
        <w:rPr>
          <w:rFonts w:asciiTheme="majorHAnsi" w:eastAsiaTheme="majorEastAsia" w:hAnsiTheme="majorHAnsi" w:cstheme="majorBidi"/>
        </w:rPr>
        <w:t xml:space="preserve"> numbers,</w:t>
      </w:r>
      <w:r w:rsidRPr="14E37C28">
        <w:rPr>
          <w:rFonts w:asciiTheme="majorHAnsi" w:eastAsiaTheme="majorEastAsia" w:hAnsiTheme="majorHAnsi" w:cstheme="majorBidi"/>
        </w:rPr>
        <w:t xml:space="preserve"> all attached to a unique ASB identification number.  </w:t>
      </w:r>
      <w:r w:rsidR="00947AF7">
        <w:rPr>
          <w:rFonts w:asciiTheme="majorHAnsi" w:eastAsiaTheme="majorEastAsia" w:hAnsiTheme="majorHAnsi" w:cstheme="majorBidi"/>
        </w:rPr>
        <w:t>RA</w:t>
      </w:r>
      <w:r w:rsidRPr="14E37C28">
        <w:rPr>
          <w:rFonts w:asciiTheme="majorHAnsi" w:eastAsiaTheme="majorEastAsia" w:hAnsiTheme="majorHAnsi" w:cstheme="majorBidi"/>
        </w:rPr>
        <w:t xml:space="preserve"> </w:t>
      </w:r>
      <w:r w:rsidRPr="14E37C28">
        <w:rPr>
          <w:rFonts w:asciiTheme="majorHAnsi" w:eastAsiaTheme="majorEastAsia" w:hAnsiTheme="majorHAnsi" w:cstheme="majorBidi"/>
          <w:color w:val="303030"/>
        </w:rPr>
        <w:t xml:space="preserve">references the ASB register for ownership registration purposes whilst </w:t>
      </w:r>
      <w:r w:rsidR="00DA48C8">
        <w:rPr>
          <w:rFonts w:asciiTheme="majorHAnsi" w:eastAsiaTheme="majorEastAsia" w:hAnsiTheme="majorHAnsi" w:cstheme="majorBidi"/>
          <w:color w:val="303030"/>
        </w:rPr>
        <w:t>T</w:t>
      </w:r>
      <w:r w:rsidR="00DA48C8" w:rsidRPr="14E37C28">
        <w:rPr>
          <w:rFonts w:asciiTheme="majorHAnsi" w:eastAsiaTheme="majorEastAsia" w:hAnsiTheme="majorHAnsi" w:cstheme="majorBidi"/>
          <w:color w:val="303030"/>
        </w:rPr>
        <w:t xml:space="preserve">horoughbreds </w:t>
      </w:r>
      <w:r w:rsidRPr="14E37C28">
        <w:rPr>
          <w:rFonts w:asciiTheme="majorHAnsi" w:eastAsiaTheme="majorEastAsia" w:hAnsiTheme="majorHAnsi" w:cstheme="majorBidi"/>
          <w:color w:val="303030"/>
        </w:rPr>
        <w:t>are in the racing or breeding herd.  RA</w:t>
      </w:r>
      <w:r w:rsidRPr="14E37C28">
        <w:rPr>
          <w:rFonts w:asciiTheme="majorHAnsi" w:eastAsiaTheme="majorEastAsia" w:hAnsiTheme="majorHAnsi" w:cstheme="majorBidi"/>
        </w:rPr>
        <w:t xml:space="preserve"> also provides a horse identification service for people who have acquired a</w:t>
      </w:r>
      <w:r w:rsidR="00FB1EFD">
        <w:rPr>
          <w:rFonts w:asciiTheme="majorHAnsi" w:eastAsiaTheme="majorEastAsia" w:hAnsiTheme="majorHAnsi" w:cstheme="majorBidi"/>
        </w:rPr>
        <w:t xml:space="preserve"> </w:t>
      </w:r>
      <w:r w:rsidRPr="14E37C28">
        <w:rPr>
          <w:rFonts w:asciiTheme="majorHAnsi" w:eastAsiaTheme="majorEastAsia" w:hAnsiTheme="majorHAnsi" w:cstheme="majorBidi"/>
        </w:rPr>
        <w:t>Thoroughbred that has left the racing industry but require clarification on the horse</w:t>
      </w:r>
      <w:r>
        <w:rPr>
          <w:rFonts w:asciiTheme="majorHAnsi" w:eastAsiaTheme="majorEastAsia" w:hAnsiTheme="majorHAnsi" w:cstheme="majorBidi"/>
        </w:rPr>
        <w:t>’</w:t>
      </w:r>
      <w:r w:rsidRPr="14E37C28">
        <w:rPr>
          <w:rFonts w:asciiTheme="majorHAnsi" w:eastAsiaTheme="majorEastAsia" w:hAnsiTheme="majorHAnsi" w:cstheme="majorBidi"/>
        </w:rPr>
        <w:t xml:space="preserve">s identity, for a fee of $75 per search.  </w:t>
      </w:r>
    </w:p>
    <w:p w14:paraId="0B1B684E" w14:textId="4D0C788F" w:rsidR="003915C6" w:rsidRPr="000963E6" w:rsidRDefault="003915C6" w:rsidP="000019DF">
      <w:pPr>
        <w:rPr>
          <w:b/>
          <w:bCs/>
        </w:rPr>
      </w:pPr>
      <w:r w:rsidRPr="000963E6">
        <w:t xml:space="preserve">The </w:t>
      </w:r>
      <w:r w:rsidR="00DA48C8">
        <w:t>T</w:t>
      </w:r>
      <w:r w:rsidR="00DA48C8" w:rsidRPr="000963E6">
        <w:t xml:space="preserve">horoughbred </w:t>
      </w:r>
      <w:r w:rsidRPr="000963E6">
        <w:t xml:space="preserve">industry’s microchip register is currently not linked to the Pet Address system. </w:t>
      </w:r>
    </w:p>
    <w:p w14:paraId="357D3195" w14:textId="77777777" w:rsidR="003915C6" w:rsidRPr="00872231" w:rsidRDefault="003915C6" w:rsidP="003915C6">
      <w:pPr>
        <w:pStyle w:val="Heading3"/>
        <w:numPr>
          <w:ilvl w:val="1"/>
          <w:numId w:val="0"/>
        </w:numPr>
        <w:spacing w:after="120"/>
        <w:ind w:left="964" w:hanging="964"/>
        <w:rPr>
          <w:rFonts w:asciiTheme="majorHAnsi" w:hAnsiTheme="majorHAnsi"/>
          <w:sz w:val="22"/>
          <w:szCs w:val="22"/>
          <w:lang w:eastAsia="ja-JP"/>
        </w:rPr>
      </w:pPr>
      <w:bookmarkStart w:id="19" w:name="_Toc121397561"/>
      <w:r w:rsidRPr="00872231">
        <w:rPr>
          <w:rFonts w:asciiTheme="majorHAnsi" w:hAnsiTheme="majorHAnsi"/>
          <w:sz w:val="22"/>
          <w:szCs w:val="22"/>
          <w:lang w:eastAsia="ja-JP"/>
        </w:rPr>
        <w:t>Equestrian and breed associations</w:t>
      </w:r>
      <w:bookmarkEnd w:id="19"/>
    </w:p>
    <w:p w14:paraId="1EE3F247" w14:textId="77777777" w:rsidR="003915C6" w:rsidRPr="004443FC" w:rsidRDefault="003915C6" w:rsidP="003915C6">
      <w:r>
        <w:t>The Equestrian Australia (EA) member database, EA Online, is used for member registration by EA and all State Branches. Horses are required to hold full registration for competition events. Only information about horses and ponies that participate in events is collected. EA Online data is not shared with other sectors, or with organising committees.</w:t>
      </w:r>
    </w:p>
    <w:p w14:paraId="29D25CC5" w14:textId="1C0D6224" w:rsidR="003915C6" w:rsidRPr="004443FC" w:rsidRDefault="003915C6" w:rsidP="003915C6">
      <w:r w:rsidRPr="004443FC">
        <w:t xml:space="preserve">There is no national entry system for state and national events. Multiple event entry systems are used, including Nominate </w:t>
      </w:r>
      <w:hyperlink r:id="rId16" w:history="1">
        <w:r w:rsidRPr="004443FC">
          <w:rPr>
            <w:rStyle w:val="Hyperlink"/>
          </w:rPr>
          <w:t>https://nominate.com.au/</w:t>
        </w:r>
      </w:hyperlink>
      <w:r w:rsidRPr="004443FC">
        <w:t xml:space="preserve">, Global Entries Online </w:t>
      </w:r>
      <w:hyperlink r:id="rId17" w:history="1">
        <w:r w:rsidR="00DA48C8" w:rsidRPr="00DA48C8">
          <w:rPr>
            <w:rStyle w:val="Hyperlink"/>
          </w:rPr>
          <w:t>www.globalentriesonline.com.au</w:t>
        </w:r>
      </w:hyperlink>
      <w:r w:rsidRPr="004443FC">
        <w:t xml:space="preserve">, ManeHub </w:t>
      </w:r>
      <w:hyperlink r:id="rId18" w:history="1">
        <w:r w:rsidR="00DA48C8" w:rsidRPr="00DA48C8">
          <w:rPr>
            <w:rStyle w:val="Hyperlink"/>
          </w:rPr>
          <w:t>www.manehub.com</w:t>
        </w:r>
      </w:hyperlink>
      <w:r w:rsidRPr="004443FC">
        <w:t xml:space="preserve">, Equipe </w:t>
      </w:r>
      <w:hyperlink r:id="rId19" w:history="1">
        <w:r w:rsidR="00DA48C8" w:rsidRPr="00DA48C8">
          <w:rPr>
            <w:rStyle w:val="Hyperlink"/>
          </w:rPr>
          <w:t>www.equipe.com</w:t>
        </w:r>
      </w:hyperlink>
      <w:r w:rsidRPr="004443FC">
        <w:t xml:space="preserve"> and many more. These systems all collect different information.</w:t>
      </w:r>
    </w:p>
    <w:p w14:paraId="063DB648" w14:textId="7681587F" w:rsidR="003915C6" w:rsidRPr="004443FC" w:rsidRDefault="003915C6" w:rsidP="003915C6">
      <w:r w:rsidRPr="004443FC">
        <w:t>When a horse dies</w:t>
      </w:r>
      <w:r w:rsidR="00035DD2">
        <w:t>,</w:t>
      </w:r>
      <w:r w:rsidRPr="004443FC">
        <w:t xml:space="preserve"> the identification papers may be retained by the owners but must </w:t>
      </w:r>
      <w:r w:rsidR="00035DD2">
        <w:t xml:space="preserve">be </w:t>
      </w:r>
      <w:r w:rsidRPr="004443FC">
        <w:t xml:space="preserve">first sent to EA for cancellation. There are no penalties for not updating this information. When a horse is sold, the owners should notify EA but there are no penalties for not doing so. If the horse is sold to another EA member, the horse will have to be removed from the previous owner’s membership and registered to the new owner’s membership in order for them to ride it at events (particularly those that use Nominate and are linked with EA Online). </w:t>
      </w:r>
    </w:p>
    <w:p w14:paraId="08868AED" w14:textId="621D13DF" w:rsidR="003915C6" w:rsidRPr="00BC436F" w:rsidRDefault="003915C6" w:rsidP="003915C6">
      <w:r w:rsidRPr="00BC436F">
        <w:t>The Australian Horse Industry Council</w:t>
      </w:r>
      <w:r w:rsidR="003913EF">
        <w:t xml:space="preserve"> (AHIC)</w:t>
      </w:r>
      <w:r w:rsidRPr="00BC436F">
        <w:t xml:space="preserve"> is a </w:t>
      </w:r>
      <w:r w:rsidR="00977146">
        <w:t>diverse</w:t>
      </w:r>
      <w:r w:rsidR="00977146" w:rsidRPr="00BC436F">
        <w:t xml:space="preserve"> </w:t>
      </w:r>
      <w:r w:rsidRPr="00BC436F">
        <w:t>collective of breed societies, performance/competition focused organisations, service providers and commercial retail enterprises.</w:t>
      </w:r>
    </w:p>
    <w:p w14:paraId="2C8C645D" w14:textId="77777777" w:rsidR="003915C6" w:rsidRPr="00BC436F" w:rsidRDefault="003915C6" w:rsidP="003915C6">
      <w:r w:rsidRPr="00BC436F">
        <w:t>Some of the breed societies have developed (at their own expense) sophisticated registration requirements (Stud Books) that may use any number of identification methodologies. This includes microchipping, brands, descriptions of colour, gender or a document of description which has the markings (white socks, blazes, hair whorls etc.). However, it is not mandatory to register all progeny within the breed society. The accuracy of the data held by breed societies cannot be assured, especially when horses change ownership or upon death of an animal. Some registered horses may hold multiple registrations across several organisations or have different names, giving an inflated picture of the total horse population.</w:t>
      </w:r>
    </w:p>
    <w:p w14:paraId="20F31B74" w14:textId="487ABB05" w:rsidR="003915C6" w:rsidRPr="00BC436F" w:rsidRDefault="003915C6" w:rsidP="003915C6">
      <w:r w:rsidRPr="00BC436F">
        <w:lastRenderedPageBreak/>
        <w:t xml:space="preserve">Amongst the performance/competition groups there is a range of detail required by the organisation as to the absolute identity of the horses used for competition or club/rally participation. Details such as where the event was held, the identity of participants </w:t>
      </w:r>
      <w:r>
        <w:t xml:space="preserve">who </w:t>
      </w:r>
      <w:r w:rsidRPr="00BC436F">
        <w:t>attended</w:t>
      </w:r>
      <w:r>
        <w:t>,</w:t>
      </w:r>
      <w:r w:rsidRPr="00BC436F">
        <w:t xml:space="preserve"> and in some cases where the point of origin and place of return of the horses who </w:t>
      </w:r>
      <w:r>
        <w:t>were</w:t>
      </w:r>
      <w:r w:rsidRPr="00BC436F">
        <w:t xml:space="preserve"> used in the event are </w:t>
      </w:r>
      <w:r>
        <w:t xml:space="preserve">often </w:t>
      </w:r>
      <w:r w:rsidRPr="00BC436F">
        <w:t xml:space="preserve">recorded. Tracing documentation is an essential part of the entry system on platforms such as Event Secretary </w:t>
      </w:r>
      <w:hyperlink r:id="rId20" w:history="1">
        <w:r w:rsidRPr="00BC436F">
          <w:rPr>
            <w:rStyle w:val="Hyperlink"/>
          </w:rPr>
          <w:t>www.eventsecretary.com.au</w:t>
        </w:r>
      </w:hyperlink>
      <w:r w:rsidRPr="00BC436F">
        <w:t xml:space="preserve">, Campdraft Central </w:t>
      </w:r>
      <w:hyperlink r:id="rId21" w:history="1">
        <w:r w:rsidRPr="00BC436F">
          <w:rPr>
            <w:rStyle w:val="Hyperlink"/>
          </w:rPr>
          <w:t>www.campdraftcentral.com.au</w:t>
        </w:r>
      </w:hyperlink>
      <w:r w:rsidRPr="00BC436F">
        <w:t xml:space="preserve"> or Horsecomps  </w:t>
      </w:r>
      <w:hyperlink r:id="rId22" w:history="1">
        <w:r w:rsidRPr="00BC436F">
          <w:rPr>
            <w:rStyle w:val="Hyperlink"/>
          </w:rPr>
          <w:t>www.horsecomps.com</w:t>
        </w:r>
      </w:hyperlink>
      <w:r w:rsidRPr="00BC436F">
        <w:t xml:space="preserve"> . Despite not having absolute identification requirements of horses used at competitions or a club rally, valuable biosecurity tracing data is</w:t>
      </w:r>
      <w:r>
        <w:t xml:space="preserve"> often</w:t>
      </w:r>
      <w:r w:rsidRPr="00BC436F">
        <w:t xml:space="preserve"> collected</w:t>
      </w:r>
      <w:r>
        <w:t xml:space="preserve"> such </w:t>
      </w:r>
      <w:r w:rsidRPr="00BC436F">
        <w:t>as place of origin, contact details of the owners of horse cohorts at the event</w:t>
      </w:r>
      <w:r>
        <w:t>,</w:t>
      </w:r>
      <w:r w:rsidRPr="00BC436F">
        <w:t xml:space="preserve"> and place of return after the event or rally. </w:t>
      </w:r>
      <w:r>
        <w:t>The c</w:t>
      </w:r>
      <w:r w:rsidRPr="00BC436F">
        <w:t xml:space="preserve">urrent vaccination </w:t>
      </w:r>
      <w:r>
        <w:t xml:space="preserve">status </w:t>
      </w:r>
      <w:r w:rsidRPr="00BC436F">
        <w:t xml:space="preserve">of horses </w:t>
      </w:r>
      <w:r>
        <w:t>may be recorded</w:t>
      </w:r>
      <w:r w:rsidRPr="00BC436F">
        <w:t xml:space="preserve"> at the discretion of owners.</w:t>
      </w:r>
      <w:r w:rsidR="00DB6FAC">
        <w:t xml:space="preserve"> There are a number of equine competition organisations (such as the Australian Endurance Riders Association and the National Campdraft Council of Australia) that already require a PIC as a mandatory entry requirement for competition.</w:t>
      </w:r>
    </w:p>
    <w:p w14:paraId="2970F88D" w14:textId="276594A5" w:rsidR="003915C6" w:rsidRPr="00BC436F" w:rsidRDefault="003915C6" w:rsidP="003915C6">
      <w:r w:rsidRPr="00BC436F">
        <w:t xml:space="preserve">With the retail enterprises and service provider members of the </w:t>
      </w:r>
      <w:r w:rsidR="003913EF">
        <w:t>AHIC</w:t>
      </w:r>
      <w:r>
        <w:t>,</w:t>
      </w:r>
      <w:r w:rsidRPr="00BC436F">
        <w:t xml:space="preserve"> there exists an opportunity to reach out to any of the horse enthusiasts who are not members of any breed or performance organisation. These businesses possess within their client base an ability to make contact with horse owners in the event of an exotic disease incursion or in response to a natural disaster. Some of the service provider groups require their membership to keep accurate records of </w:t>
      </w:r>
      <w:r>
        <w:t>locations that</w:t>
      </w:r>
      <w:r w:rsidRPr="00BC436F">
        <w:t xml:space="preserve"> they have</w:t>
      </w:r>
      <w:r>
        <w:t xml:space="preserve"> visited</w:t>
      </w:r>
      <w:r w:rsidRPr="00BC436F">
        <w:t xml:space="preserve"> and </w:t>
      </w:r>
      <w:r w:rsidR="00035DD2">
        <w:t xml:space="preserve">to </w:t>
      </w:r>
      <w:r w:rsidRPr="00BC436F">
        <w:t xml:space="preserve">what horses they have provided professional care. This information is a core element of any biosecurity tracing document. The Equine Dental Association of Australia  </w:t>
      </w:r>
      <w:hyperlink r:id="rId23" w:history="1">
        <w:r w:rsidRPr="00BC436F">
          <w:rPr>
            <w:rStyle w:val="Hyperlink"/>
          </w:rPr>
          <w:t>www.equinedental.com.au</w:t>
        </w:r>
      </w:hyperlink>
      <w:r w:rsidRPr="00BC436F">
        <w:t xml:space="preserve"> recognises the potential of the members in unwittingly spread</w:t>
      </w:r>
      <w:r w:rsidR="001A212B">
        <w:t>ing</w:t>
      </w:r>
      <w:r w:rsidRPr="00BC436F">
        <w:t xml:space="preserve"> disease. </w:t>
      </w:r>
    </w:p>
    <w:p w14:paraId="32606F98" w14:textId="708BCEDD" w:rsidR="003915C6" w:rsidRPr="00B06034" w:rsidRDefault="003915C6" w:rsidP="003915C6">
      <w:pPr>
        <w:spacing w:line="257" w:lineRule="auto"/>
        <w:rPr>
          <w:rFonts w:asciiTheme="majorHAnsi" w:eastAsiaTheme="majorEastAsia" w:hAnsiTheme="majorHAnsi" w:cstheme="majorBidi"/>
        </w:rPr>
      </w:pPr>
      <w:bookmarkStart w:id="20" w:name="_Toc110246383"/>
      <w:bookmarkStart w:id="21" w:name="_Toc113031379"/>
    </w:p>
    <w:bookmarkEnd w:id="20"/>
    <w:bookmarkEnd w:id="21"/>
    <w:p w14:paraId="3B89B787" w14:textId="2062C30E" w:rsidR="0013688D" w:rsidRPr="0013688D" w:rsidRDefault="0013688D" w:rsidP="5CEE9FA0">
      <w:pPr>
        <w:rPr>
          <w:lang w:eastAsia="en-AU"/>
        </w:rPr>
      </w:pPr>
    </w:p>
    <w:p w14:paraId="6A96E547" w14:textId="11559C85" w:rsidR="00B42A53" w:rsidRPr="008D3B64" w:rsidRDefault="00B42A53" w:rsidP="5CEE9FA0">
      <w:pPr>
        <w:rPr>
          <w:rFonts w:eastAsia="Calibri"/>
          <w:b/>
          <w:bCs/>
          <w:lang w:eastAsia="ja-JP"/>
        </w:rPr>
      </w:pPr>
    </w:p>
    <w:p w14:paraId="39E6B1DB" w14:textId="7169C071" w:rsidR="00B42A53" w:rsidRDefault="008177C4" w:rsidP="00B42A53">
      <w:pPr>
        <w:pStyle w:val="Heading2"/>
        <w:rPr>
          <w:rFonts w:asciiTheme="majorHAnsi" w:hAnsiTheme="majorHAnsi"/>
        </w:rPr>
      </w:pPr>
      <w:bookmarkStart w:id="22" w:name="_Regulation"/>
      <w:bookmarkStart w:id="23" w:name="_Options_to_manage"/>
      <w:bookmarkStart w:id="24" w:name="_Toc121397562"/>
      <w:bookmarkEnd w:id="22"/>
      <w:bookmarkEnd w:id="23"/>
      <w:r>
        <w:rPr>
          <w:rFonts w:asciiTheme="majorHAnsi" w:hAnsiTheme="majorHAnsi"/>
        </w:rPr>
        <w:lastRenderedPageBreak/>
        <w:t>D</w:t>
      </w:r>
      <w:r w:rsidR="00A406D8">
        <w:rPr>
          <w:rFonts w:asciiTheme="majorHAnsi" w:hAnsiTheme="majorHAnsi"/>
        </w:rPr>
        <w:t xml:space="preserve">ata </w:t>
      </w:r>
      <w:r w:rsidR="003A4EEF" w:rsidRPr="00A406D8">
        <w:rPr>
          <w:rFonts w:asciiTheme="majorHAnsi" w:hAnsiTheme="majorHAnsi"/>
        </w:rPr>
        <w:t>collect</w:t>
      </w:r>
      <w:r w:rsidR="00760E7D">
        <w:rPr>
          <w:rFonts w:asciiTheme="majorHAnsi" w:hAnsiTheme="majorHAnsi"/>
        </w:rPr>
        <w:t>ion</w:t>
      </w:r>
      <w:r w:rsidR="003A4EEF" w:rsidRPr="00A406D8">
        <w:rPr>
          <w:rFonts w:asciiTheme="majorHAnsi" w:hAnsiTheme="majorHAnsi"/>
        </w:rPr>
        <w:t xml:space="preserve"> and </w:t>
      </w:r>
      <w:r w:rsidR="00C2606B" w:rsidRPr="00A406D8">
        <w:rPr>
          <w:rFonts w:asciiTheme="majorHAnsi" w:hAnsiTheme="majorHAnsi"/>
        </w:rPr>
        <w:t>maintena</w:t>
      </w:r>
      <w:r w:rsidR="00C2606B">
        <w:rPr>
          <w:rFonts w:asciiTheme="majorHAnsi" w:hAnsiTheme="majorHAnsi"/>
        </w:rPr>
        <w:t>nce</w:t>
      </w:r>
      <w:r w:rsidR="003A4EEF" w:rsidRPr="00A406D8">
        <w:rPr>
          <w:rFonts w:asciiTheme="majorHAnsi" w:hAnsiTheme="majorHAnsi"/>
        </w:rPr>
        <w:t xml:space="preserve"> </w:t>
      </w:r>
      <w:r w:rsidR="001D45FF">
        <w:rPr>
          <w:rFonts w:asciiTheme="majorHAnsi" w:hAnsiTheme="majorHAnsi"/>
        </w:rPr>
        <w:t xml:space="preserve">by </w:t>
      </w:r>
      <w:r w:rsidR="003A4EEF" w:rsidRPr="00A406D8">
        <w:rPr>
          <w:rFonts w:asciiTheme="majorHAnsi" w:hAnsiTheme="majorHAnsi"/>
        </w:rPr>
        <w:t>organisations and businesses</w:t>
      </w:r>
      <w:bookmarkEnd w:id="24"/>
    </w:p>
    <w:p w14:paraId="2E904FE1" w14:textId="71552A33" w:rsidR="003915C6" w:rsidRPr="00BE3B17" w:rsidRDefault="003915C6" w:rsidP="00BE3B17">
      <w:pPr>
        <w:pStyle w:val="Heading3"/>
        <w:numPr>
          <w:ilvl w:val="0"/>
          <w:numId w:val="0"/>
        </w:numPr>
        <w:spacing w:after="120"/>
        <w:ind w:left="964" w:hanging="964"/>
        <w:rPr>
          <w:rFonts w:ascii="Cambria" w:hAnsi="Cambria"/>
          <w:sz w:val="22"/>
          <w:szCs w:val="22"/>
        </w:rPr>
      </w:pPr>
      <w:bookmarkStart w:id="25" w:name="_Toc121397563"/>
      <w:r w:rsidRPr="00BE3B17">
        <w:rPr>
          <w:rFonts w:ascii="Cambria" w:hAnsi="Cambria"/>
          <w:sz w:val="22"/>
          <w:szCs w:val="22"/>
        </w:rPr>
        <w:t>Survey of information collection practices</w:t>
      </w:r>
      <w:bookmarkEnd w:id="25"/>
    </w:p>
    <w:p w14:paraId="7FD1192C" w14:textId="7F5D04DB" w:rsidR="00D811AB" w:rsidRDefault="00D811AB" w:rsidP="004A66D8">
      <w:r>
        <w:t xml:space="preserve">To further understand the opportunities and challenges associated with implementing a NHTS, the NHTWG engaged a service provider to conduct a survey of horse industry organisations and businesses in order to gain feedback on current information collection practices.  </w:t>
      </w:r>
    </w:p>
    <w:p w14:paraId="13BFAD31" w14:textId="77777777" w:rsidR="00D811AB" w:rsidRDefault="00D811AB" w:rsidP="004A66D8">
      <w:r>
        <w:t xml:space="preserve">The survey proforma was forwarded in late January 2022 to 69 industry stakeholder organisations and 30 businesses. Submissions closed in mid-February 2022.  The survey sought responses about the types of information organisations and businesses already collected and maintained, who collects it, updated it or had access to it, conditions of information collection from members or customers, and under what circumstances information about a disease or emergency incident could be distributed to contacts recorded on respondents’ registers. </w:t>
      </w:r>
    </w:p>
    <w:p w14:paraId="3B63DC2F" w14:textId="77777777" w:rsidR="00D811AB" w:rsidRDefault="00D811AB" w:rsidP="004A66D8">
      <w:pPr>
        <w:rPr>
          <w:rFonts w:asciiTheme="majorHAnsi" w:hAnsiTheme="majorHAnsi"/>
          <w:color w:val="000000" w:themeColor="text1"/>
        </w:rPr>
      </w:pPr>
      <w:r w:rsidRPr="6EEF17EB">
        <w:rPr>
          <w:rFonts w:asciiTheme="majorHAnsi" w:hAnsiTheme="majorHAnsi"/>
          <w:color w:val="000000" w:themeColor="text1"/>
        </w:rPr>
        <w:t xml:space="preserve">Completion of the </w:t>
      </w:r>
      <w:r w:rsidRPr="6EEF17EB">
        <w:rPr>
          <w:rFonts w:eastAsia="Cambria" w:cs="Cambria"/>
          <w:color w:val="000000" w:themeColor="text1"/>
        </w:rPr>
        <w:t>questionnaire wa</w:t>
      </w:r>
      <w:r w:rsidRPr="6EEF17EB">
        <w:rPr>
          <w:rFonts w:asciiTheme="majorHAnsi" w:hAnsiTheme="majorHAnsi"/>
          <w:color w:val="000000" w:themeColor="text1"/>
        </w:rPr>
        <w:t>s voluntary and any personal information provided by respondents remains confidential.</w:t>
      </w:r>
    </w:p>
    <w:p w14:paraId="0102D770" w14:textId="297A76B7" w:rsidR="00D811AB" w:rsidRPr="006B1CE0" w:rsidRDefault="00D811AB" w:rsidP="00D811AB">
      <w:pPr>
        <w:pStyle w:val="Heading3"/>
        <w:numPr>
          <w:ilvl w:val="1"/>
          <w:numId w:val="0"/>
        </w:numPr>
        <w:spacing w:after="120"/>
        <w:ind w:left="964" w:hanging="964"/>
        <w:rPr>
          <w:rFonts w:asciiTheme="majorHAnsi" w:hAnsiTheme="majorHAnsi"/>
          <w:sz w:val="22"/>
          <w:szCs w:val="22"/>
          <w:lang w:eastAsia="ja-JP"/>
        </w:rPr>
      </w:pPr>
      <w:bookmarkStart w:id="26" w:name="_Toc121397564"/>
      <w:r w:rsidRPr="006B1CE0">
        <w:rPr>
          <w:rFonts w:asciiTheme="majorHAnsi" w:hAnsiTheme="majorHAnsi"/>
          <w:sz w:val="22"/>
          <w:szCs w:val="22"/>
          <w:lang w:eastAsia="ja-JP"/>
        </w:rPr>
        <w:t>Summary of</w:t>
      </w:r>
      <w:r w:rsidR="002B40FD">
        <w:rPr>
          <w:rFonts w:asciiTheme="majorHAnsi" w:hAnsiTheme="majorHAnsi"/>
          <w:sz w:val="22"/>
          <w:szCs w:val="22"/>
          <w:lang w:eastAsia="ja-JP"/>
        </w:rPr>
        <w:t xml:space="preserve"> survey f</w:t>
      </w:r>
      <w:r w:rsidRPr="006B1CE0">
        <w:rPr>
          <w:rFonts w:asciiTheme="majorHAnsi" w:hAnsiTheme="majorHAnsi"/>
          <w:sz w:val="22"/>
          <w:szCs w:val="22"/>
          <w:lang w:eastAsia="ja-JP"/>
        </w:rPr>
        <w:t>indings</w:t>
      </w:r>
      <w:bookmarkEnd w:id="26"/>
    </w:p>
    <w:p w14:paraId="650F876D" w14:textId="77777777" w:rsidR="00D811AB" w:rsidRDefault="00D811AB" w:rsidP="00D811AB">
      <w:r>
        <w:t xml:space="preserve">Responses were collected from organisations, defined as a separate legal entity, and businesses, either a sole trader, partnership, company or trust.  Some individuals responded in both categories, which contributed to a high ‘not applicable’ response to some questions. </w:t>
      </w:r>
    </w:p>
    <w:p w14:paraId="1FCB5317" w14:textId="5CEA8834" w:rsidR="00D811AB" w:rsidRDefault="00D811AB" w:rsidP="00D811AB">
      <w:r>
        <w:t xml:space="preserve">The types of organisations that responded </w:t>
      </w:r>
      <w:r w:rsidR="00D37643">
        <w:t>included</w:t>
      </w:r>
      <w:r>
        <w:t xml:space="preserve"> associations related to riding types (such as riding club or racing), breed societies, animal welfare and rescue groups, as well as some tertiary education institutions.  Business types that responded included veterinary practices, and horse health, transport, studs, breeders, trainers of horses and riders, agistment property operators and industry service providers (such as saddlery and event management). </w:t>
      </w:r>
    </w:p>
    <w:p w14:paraId="563F6D46" w14:textId="04C9A25A" w:rsidR="00D811AB" w:rsidRDefault="00D811AB" w:rsidP="00D811AB">
      <w:r>
        <w:t xml:space="preserve">The number of fully completed survey responses was low compared with the numbers of people involved in the horse industry – about 26 completed the majority of the organisation questions while about 31 completed some or all of the business questions.  This is unlikely to be a representative sample and so it has been difficult to identify trends that can be said with certainty exist across the industry. That said, the information gleaned from responses does provide </w:t>
      </w:r>
      <w:r w:rsidR="00D37643">
        <w:t xml:space="preserve">an </w:t>
      </w:r>
      <w:r>
        <w:t xml:space="preserve">insight into the current practices around information gathering and storage. </w:t>
      </w:r>
    </w:p>
    <w:p w14:paraId="5A50010D" w14:textId="77777777" w:rsidR="00D811AB" w:rsidRDefault="00D811AB" w:rsidP="00D811AB">
      <w:r>
        <w:t xml:space="preserve">Overall, the keeping of records, and in particular the types of information kept in a register, was specifically related to the mandate of the organisation. If the organisation was managing data on behalf of their sector or where there was an interface with a council/shire or police, the practices around collection, management and access seemed to be more rigorous, particularly the larger the organisation.  Six organisations had more than 5000 members and these all had a centralised database owned by the organisation and none had paper-only systems. They all had either electronic systems or a combination of electronic and paper systems. </w:t>
      </w:r>
    </w:p>
    <w:p w14:paraId="4A453BC5" w14:textId="77777777" w:rsidR="00D811AB" w:rsidRDefault="00D811AB" w:rsidP="00D811AB">
      <w:r>
        <w:lastRenderedPageBreak/>
        <w:t xml:space="preserve">For the majority of organisation respondents, they were storing data in a register, and it was only the registered owner who could update the register via an electronic or paper-based update provided to the organisation for a staff member to complete. </w:t>
      </w:r>
    </w:p>
    <w:p w14:paraId="5D12CB8F" w14:textId="77777777" w:rsidR="00D811AB" w:rsidRDefault="00D811AB" w:rsidP="00D811AB">
      <w:r>
        <w:t>With regard to people who were able to access records, this was related to the organisation or business mandate and how the information had been gathered. Terms of use relating to privacy and the reason for which data was originally collected were the primary reasons why the information in the register could not be broadly shared. Breed societies were more likely to enable anyone to access the register.</w:t>
      </w:r>
    </w:p>
    <w:p w14:paraId="3518025E" w14:textId="77777777" w:rsidR="00D811AB" w:rsidRDefault="00D811AB" w:rsidP="00D811AB">
      <w:r>
        <w:t xml:space="preserve">Across organisations and businesses, there is a range of detail collected relating to horse identification. In summary, both groups are collecting what they need to be able to operate and any change may require alterations to the entity’s purpose, privacy policy, operating regulations and/or upgrades to its information keeping procedures and tools. </w:t>
      </w:r>
    </w:p>
    <w:p w14:paraId="751FACAF" w14:textId="4F9ADCAB" w:rsidR="00D811AB" w:rsidRDefault="00D811AB" w:rsidP="00D811AB">
      <w:r>
        <w:t>About 70% of organisation respondents were keeping details on horse gender/markings, registered horse name, microchip number, brands/tattoos and member/ licensed person details (name, address, phone). About 60% were keeping the address of propert</w:t>
      </w:r>
      <w:r w:rsidR="006353F3">
        <w:t>ies</w:t>
      </w:r>
      <w:r>
        <w:t xml:space="preserve"> where horse</w:t>
      </w:r>
      <w:r w:rsidR="006353F3">
        <w:t>s</w:t>
      </w:r>
      <w:r>
        <w:t xml:space="preserve"> reside while 45% were keeping PIC information. For businesses, nearly all were keeping their customer’s name and phone number and three-quarters recorded the identity of horses. Only one-third were keeping details of the PIC from where </w:t>
      </w:r>
      <w:r w:rsidR="00D37643">
        <w:t>a</w:t>
      </w:r>
      <w:r>
        <w:t xml:space="preserve"> horse was transported to attend the business location. </w:t>
      </w:r>
    </w:p>
    <w:p w14:paraId="5B309BED" w14:textId="25D9CEEA" w:rsidR="00D811AB" w:rsidRDefault="00D811AB" w:rsidP="00D811AB">
      <w:r>
        <w:t>With events being a potentially high</w:t>
      </w:r>
      <w:r w:rsidR="00D37643">
        <w:t>-</w:t>
      </w:r>
      <w:r>
        <w:t>risk place for disease transmission, the focus on maintenance of records around events was of interest in the survey. Of those organisations with involvement in events, 85% were keeping records of horses that attended.  Of those keeping records, 77% were recording horse identity, 69% the carer’s name and phone number, and 46% each for location from which a horse was dispatched and that location’s PIC.  While not a large sample size (n=13), this provided some of the highest similarities around record keeping between groups in the survey responses.</w:t>
      </w:r>
    </w:p>
    <w:p w14:paraId="72DAB1BB" w14:textId="77777777" w:rsidR="00D811AB" w:rsidRDefault="00D811AB" w:rsidP="00D811AB">
      <w:r>
        <w:t xml:space="preserve">In the case of an emergency, the ability of all groups to share specific information about members on their registers was mixed. For organisations, more than half of respondents would be able to share horse ownership, identification and location/ contact person details based on membership conditions. For businesses, only 45% would be able to share information about their customers in the event of an emergency. </w:t>
      </w:r>
    </w:p>
    <w:p w14:paraId="4AE13C95" w14:textId="77777777" w:rsidR="00D811AB" w:rsidRDefault="00D811AB" w:rsidP="00D811AB">
      <w:r>
        <w:t xml:space="preserve">However, the willingness to pass on information in the event of a disease incident was high among both groups at more than 90% each. This would indicate the importance of timely information distribution in a format that organisations can easily distribute to members. </w:t>
      </w:r>
    </w:p>
    <w:p w14:paraId="5FEF710E" w14:textId="3E8BE7FA" w:rsidR="00D811AB" w:rsidRDefault="00D811AB" w:rsidP="00D811AB">
      <w:r>
        <w:t xml:space="preserve">Overall, businesses were more positive about </w:t>
      </w:r>
      <w:r w:rsidR="006353F3">
        <w:t>a</w:t>
      </w:r>
      <w:r>
        <w:t xml:space="preserve"> system and its potential benefits to the industry than organisations were – but they also identified a broader range of potential issues. The most common potential issues identified across both groups were cost, non-compliance, the additional workload for volunteer organisations, and ensuring quality and confidentiality of data and ensuring that it is only used for the purpose for which it is collected. The most common potential benefits listed were disease management, biosecurity and traceability and improvements to animal welfare. </w:t>
      </w:r>
    </w:p>
    <w:p w14:paraId="3328B521" w14:textId="14B343EC" w:rsidR="002B40FD" w:rsidRDefault="00952963" w:rsidP="002B40FD">
      <w:pPr>
        <w:pStyle w:val="Heading3"/>
        <w:numPr>
          <w:ilvl w:val="1"/>
          <w:numId w:val="0"/>
        </w:numPr>
        <w:spacing w:after="120"/>
        <w:rPr>
          <w:rFonts w:eastAsia="Calibri" w:cs="Calibri"/>
        </w:rPr>
      </w:pPr>
      <w:bookmarkStart w:id="27" w:name="_Toc121397565"/>
      <w:r>
        <w:rPr>
          <w:rFonts w:asciiTheme="majorHAnsi" w:hAnsiTheme="majorHAnsi"/>
          <w:sz w:val="22"/>
          <w:szCs w:val="22"/>
          <w:lang w:eastAsia="ja-JP"/>
        </w:rPr>
        <w:lastRenderedPageBreak/>
        <w:t>Possible</w:t>
      </w:r>
      <w:r w:rsidR="002B40FD" w:rsidRPr="00746A58">
        <w:rPr>
          <w:rFonts w:asciiTheme="majorHAnsi" w:hAnsiTheme="majorHAnsi"/>
          <w:sz w:val="22"/>
          <w:szCs w:val="22"/>
          <w:lang w:eastAsia="ja-JP"/>
        </w:rPr>
        <w:t xml:space="preserve"> future</w:t>
      </w:r>
      <w:r w:rsidR="00A77F87">
        <w:rPr>
          <w:rFonts w:asciiTheme="majorHAnsi" w:hAnsiTheme="majorHAnsi"/>
          <w:sz w:val="22"/>
          <w:szCs w:val="22"/>
          <w:lang w:eastAsia="ja-JP"/>
        </w:rPr>
        <w:t xml:space="preserve"> registry enhancements</w:t>
      </w:r>
      <w:bookmarkEnd w:id="27"/>
    </w:p>
    <w:p w14:paraId="3BB9735A" w14:textId="65C7168C" w:rsidR="002B40FD" w:rsidRDefault="002B40FD" w:rsidP="00DD2A93">
      <w:pPr>
        <w:rPr>
          <w:rFonts w:asciiTheme="majorHAnsi" w:eastAsiaTheme="majorEastAsia" w:hAnsiTheme="majorHAnsi" w:cstheme="majorBidi"/>
        </w:rPr>
      </w:pPr>
      <w:r w:rsidRPr="5CEE9FA0">
        <w:rPr>
          <w:rFonts w:asciiTheme="majorHAnsi" w:eastAsiaTheme="majorEastAsia" w:hAnsiTheme="majorHAnsi" w:cstheme="majorBidi"/>
        </w:rPr>
        <w:t xml:space="preserve">Registers on which information about horses is stored would be more useful </w:t>
      </w:r>
      <w:r>
        <w:rPr>
          <w:rFonts w:asciiTheme="majorHAnsi" w:eastAsiaTheme="majorEastAsia" w:hAnsiTheme="majorHAnsi" w:cstheme="majorBidi"/>
        </w:rPr>
        <w:t xml:space="preserve">for </w:t>
      </w:r>
      <w:r w:rsidR="00DF76EE">
        <w:rPr>
          <w:rFonts w:asciiTheme="majorHAnsi" w:eastAsiaTheme="majorEastAsia" w:hAnsiTheme="majorHAnsi" w:cstheme="majorBidi"/>
        </w:rPr>
        <w:t xml:space="preserve">biosecurity and </w:t>
      </w:r>
      <w:r>
        <w:rPr>
          <w:rFonts w:asciiTheme="majorHAnsi" w:eastAsiaTheme="majorEastAsia" w:hAnsiTheme="majorHAnsi" w:cstheme="majorBidi"/>
        </w:rPr>
        <w:t xml:space="preserve">other purposes </w:t>
      </w:r>
      <w:r w:rsidRPr="5CEE9FA0">
        <w:rPr>
          <w:rFonts w:asciiTheme="majorHAnsi" w:eastAsiaTheme="majorEastAsia" w:hAnsiTheme="majorHAnsi" w:cstheme="majorBidi"/>
        </w:rPr>
        <w:t>if they also had the ability to accept and record</w:t>
      </w:r>
      <w:r>
        <w:rPr>
          <w:rFonts w:asciiTheme="majorHAnsi" w:eastAsiaTheme="majorEastAsia" w:hAnsiTheme="majorHAnsi" w:cstheme="majorBidi"/>
        </w:rPr>
        <w:t xml:space="preserve"> on a voluntary basis information that industry could then take responsibility for</w:t>
      </w:r>
      <w:r w:rsidR="00DE066A">
        <w:rPr>
          <w:rFonts w:asciiTheme="majorHAnsi" w:eastAsiaTheme="majorEastAsia" w:hAnsiTheme="majorHAnsi" w:cstheme="majorBidi"/>
        </w:rPr>
        <w:t>.</w:t>
      </w:r>
      <w:r>
        <w:rPr>
          <w:rFonts w:asciiTheme="majorHAnsi" w:eastAsiaTheme="majorEastAsia" w:hAnsiTheme="majorHAnsi" w:cstheme="majorBidi"/>
        </w:rPr>
        <w:t xml:space="preserve"> Such functionality could include the ability to record</w:t>
      </w:r>
      <w:r w:rsidRPr="5CEE9FA0">
        <w:rPr>
          <w:rFonts w:asciiTheme="majorHAnsi" w:eastAsiaTheme="majorEastAsia" w:hAnsiTheme="majorHAnsi" w:cstheme="majorBidi"/>
        </w:rPr>
        <w:t>:</w:t>
      </w:r>
    </w:p>
    <w:p w14:paraId="548B1EA8" w14:textId="77777777" w:rsidR="002B40FD" w:rsidRDefault="002B40FD" w:rsidP="00DD2A93">
      <w:pPr>
        <w:pStyle w:val="ListParagraph"/>
        <w:numPr>
          <w:ilvl w:val="0"/>
          <w:numId w:val="1"/>
        </w:numPr>
        <w:spacing w:after="200" w:line="23" w:lineRule="atLeast"/>
        <w:ind w:left="851" w:hanging="425"/>
        <w:rPr>
          <w:rFonts w:asciiTheme="majorHAnsi" w:eastAsiaTheme="majorEastAsia" w:hAnsiTheme="majorHAnsi" w:cstheme="majorBidi"/>
        </w:rPr>
      </w:pPr>
      <w:r w:rsidRPr="6EEF17EB">
        <w:rPr>
          <w:rFonts w:asciiTheme="majorHAnsi" w:eastAsiaTheme="majorEastAsia" w:hAnsiTheme="majorHAnsi" w:cstheme="majorBidi"/>
        </w:rPr>
        <w:t>Breed (if not already accommodated)</w:t>
      </w:r>
    </w:p>
    <w:p w14:paraId="78240080" w14:textId="630A12BB" w:rsidR="002B40FD" w:rsidRDefault="002B40FD" w:rsidP="00DD2A93">
      <w:pPr>
        <w:pStyle w:val="ListParagraph"/>
        <w:numPr>
          <w:ilvl w:val="0"/>
          <w:numId w:val="1"/>
        </w:numPr>
        <w:spacing w:after="200" w:line="23" w:lineRule="atLeast"/>
        <w:ind w:left="851" w:hanging="425"/>
        <w:rPr>
          <w:rFonts w:asciiTheme="majorHAnsi" w:eastAsiaTheme="majorEastAsia" w:hAnsiTheme="majorHAnsi" w:cstheme="majorBidi"/>
        </w:rPr>
      </w:pPr>
      <w:r>
        <w:rPr>
          <w:rFonts w:asciiTheme="majorHAnsi" w:eastAsiaTheme="majorEastAsia" w:hAnsiTheme="majorHAnsi" w:cstheme="majorBidi"/>
        </w:rPr>
        <w:t>N</w:t>
      </w:r>
      <w:r w:rsidRPr="14E37C28">
        <w:rPr>
          <w:rFonts w:asciiTheme="majorHAnsi" w:eastAsiaTheme="majorEastAsia" w:hAnsiTheme="majorHAnsi" w:cstheme="majorBidi"/>
        </w:rPr>
        <w:t>ame if the horse has been named for racing or breeding</w:t>
      </w:r>
      <w:r>
        <w:rPr>
          <w:rFonts w:asciiTheme="majorHAnsi" w:eastAsiaTheme="majorEastAsia" w:hAnsiTheme="majorHAnsi" w:cstheme="majorBidi"/>
        </w:rPr>
        <w:t>,</w:t>
      </w:r>
      <w:r w:rsidRPr="14E37C28">
        <w:rPr>
          <w:rFonts w:asciiTheme="majorHAnsi" w:eastAsiaTheme="majorEastAsia" w:hAnsiTheme="majorHAnsi" w:cstheme="majorBidi"/>
        </w:rPr>
        <w:t xml:space="preserve"> </w:t>
      </w:r>
      <w:r>
        <w:rPr>
          <w:rFonts w:asciiTheme="majorHAnsi" w:eastAsiaTheme="majorEastAsia" w:hAnsiTheme="majorHAnsi" w:cstheme="majorBidi"/>
        </w:rPr>
        <w:t>or for performance or equestrian purposes</w:t>
      </w:r>
    </w:p>
    <w:p w14:paraId="147D716B" w14:textId="3F2874A6" w:rsidR="000A4F27" w:rsidRDefault="000A4F27" w:rsidP="00DD2A93">
      <w:pPr>
        <w:pStyle w:val="ListParagraph"/>
        <w:numPr>
          <w:ilvl w:val="0"/>
          <w:numId w:val="1"/>
        </w:numPr>
        <w:spacing w:after="200" w:line="23" w:lineRule="atLeast"/>
        <w:ind w:left="851" w:hanging="425"/>
        <w:rPr>
          <w:rFonts w:asciiTheme="majorHAnsi" w:eastAsiaTheme="majorEastAsia" w:hAnsiTheme="majorHAnsi" w:cstheme="majorBidi"/>
        </w:rPr>
      </w:pPr>
      <w:r>
        <w:rPr>
          <w:rFonts w:asciiTheme="majorHAnsi" w:eastAsiaTheme="majorEastAsia" w:hAnsiTheme="majorHAnsi" w:cstheme="majorBidi"/>
        </w:rPr>
        <w:t>Previous uses</w:t>
      </w:r>
    </w:p>
    <w:p w14:paraId="183416CE" w14:textId="77777777" w:rsidR="002B40FD" w:rsidRDefault="002B40FD" w:rsidP="00DD2A93">
      <w:pPr>
        <w:pStyle w:val="ListParagraph"/>
        <w:numPr>
          <w:ilvl w:val="0"/>
          <w:numId w:val="1"/>
        </w:numPr>
        <w:spacing w:after="200" w:line="23" w:lineRule="atLeast"/>
        <w:ind w:left="851" w:hanging="425"/>
        <w:rPr>
          <w:rFonts w:asciiTheme="majorHAnsi" w:eastAsiaTheme="majorEastAsia" w:hAnsiTheme="majorHAnsi" w:cstheme="majorBidi"/>
        </w:rPr>
      </w:pPr>
      <w:r>
        <w:rPr>
          <w:rFonts w:asciiTheme="majorHAnsi" w:eastAsiaTheme="majorEastAsia" w:hAnsiTheme="majorHAnsi" w:cstheme="majorBidi"/>
        </w:rPr>
        <w:t>Date of birth (actual date, month and year, or year)</w:t>
      </w:r>
    </w:p>
    <w:p w14:paraId="215B8A52" w14:textId="77777777" w:rsidR="002B40FD" w:rsidRDefault="002B40FD" w:rsidP="00DD2A93">
      <w:pPr>
        <w:pStyle w:val="ListParagraph"/>
        <w:numPr>
          <w:ilvl w:val="0"/>
          <w:numId w:val="1"/>
        </w:numPr>
        <w:spacing w:after="200" w:line="23" w:lineRule="atLeast"/>
        <w:ind w:left="851" w:hanging="425"/>
        <w:rPr>
          <w:rFonts w:asciiTheme="majorHAnsi" w:eastAsiaTheme="majorEastAsia" w:hAnsiTheme="majorHAnsi" w:cstheme="majorBidi"/>
        </w:rPr>
      </w:pPr>
      <w:r>
        <w:rPr>
          <w:rFonts w:asciiTheme="majorHAnsi" w:eastAsiaTheme="majorEastAsia" w:hAnsiTheme="majorHAnsi" w:cstheme="majorBidi"/>
        </w:rPr>
        <w:t>G</w:t>
      </w:r>
      <w:r w:rsidRPr="5CEE9FA0">
        <w:rPr>
          <w:rFonts w:asciiTheme="majorHAnsi" w:eastAsiaTheme="majorEastAsia" w:hAnsiTheme="majorHAnsi" w:cstheme="majorBidi"/>
        </w:rPr>
        <w:t>ender and markings</w:t>
      </w:r>
    </w:p>
    <w:p w14:paraId="4FD62914" w14:textId="77777777" w:rsidR="002B40FD" w:rsidRDefault="002B40FD" w:rsidP="00DD2A93">
      <w:pPr>
        <w:pStyle w:val="ListParagraph"/>
        <w:numPr>
          <w:ilvl w:val="0"/>
          <w:numId w:val="1"/>
        </w:numPr>
        <w:spacing w:after="200" w:line="23" w:lineRule="atLeast"/>
        <w:ind w:left="851" w:hanging="425"/>
        <w:rPr>
          <w:rFonts w:asciiTheme="majorHAnsi" w:eastAsiaTheme="majorEastAsia" w:hAnsiTheme="majorHAnsi" w:cstheme="majorBidi"/>
        </w:rPr>
      </w:pPr>
      <w:r w:rsidRPr="3B8424AC">
        <w:rPr>
          <w:rFonts w:asciiTheme="majorHAnsi" w:eastAsiaTheme="majorEastAsia" w:hAnsiTheme="majorHAnsi" w:cstheme="majorBidi"/>
        </w:rPr>
        <w:t>Carer and their phone number and email address</w:t>
      </w:r>
    </w:p>
    <w:p w14:paraId="65F2D46E" w14:textId="77777777" w:rsidR="002B40FD" w:rsidRDefault="002B40FD" w:rsidP="00DD2A93">
      <w:pPr>
        <w:pStyle w:val="ListParagraph"/>
        <w:numPr>
          <w:ilvl w:val="0"/>
          <w:numId w:val="1"/>
        </w:numPr>
        <w:spacing w:after="200" w:line="23" w:lineRule="atLeast"/>
        <w:ind w:left="851" w:hanging="425"/>
        <w:rPr>
          <w:rFonts w:asciiTheme="majorHAnsi" w:eastAsiaTheme="majorEastAsia" w:hAnsiTheme="majorHAnsi" w:cstheme="majorBidi"/>
        </w:rPr>
      </w:pPr>
      <w:r w:rsidRPr="3B8424AC">
        <w:rPr>
          <w:rFonts w:asciiTheme="majorHAnsi" w:eastAsiaTheme="majorEastAsia" w:hAnsiTheme="majorHAnsi" w:cstheme="majorBidi"/>
        </w:rPr>
        <w:t>PIC of place where the horse is located (essential from an emergency disease or natural disaster response perspective)</w:t>
      </w:r>
    </w:p>
    <w:p w14:paraId="2FCC7CF1" w14:textId="4455DCC5" w:rsidR="002B40FD" w:rsidRPr="004A66D8" w:rsidRDefault="002B40FD" w:rsidP="00DD2A93">
      <w:pPr>
        <w:pStyle w:val="ListParagraph"/>
        <w:numPr>
          <w:ilvl w:val="0"/>
          <w:numId w:val="1"/>
        </w:numPr>
        <w:spacing w:after="200" w:line="23" w:lineRule="atLeast"/>
        <w:ind w:left="851" w:hanging="425"/>
      </w:pPr>
      <w:r w:rsidRPr="21D9489F">
        <w:rPr>
          <w:rFonts w:asciiTheme="majorHAnsi" w:eastAsiaTheme="majorEastAsia" w:hAnsiTheme="majorHAnsi" w:cstheme="majorBidi"/>
        </w:rPr>
        <w:t>That an animal has died or been exported</w:t>
      </w:r>
    </w:p>
    <w:p w14:paraId="7DEDB3FA" w14:textId="0EF0DCCF" w:rsidR="000A4F27" w:rsidRDefault="000A4F27" w:rsidP="002B40FD">
      <w:pPr>
        <w:spacing w:line="257" w:lineRule="auto"/>
        <w:rPr>
          <w:rFonts w:asciiTheme="majorHAnsi" w:eastAsiaTheme="majorEastAsia" w:hAnsiTheme="majorHAnsi" w:cstheme="majorBidi"/>
        </w:rPr>
      </w:pPr>
      <w:r>
        <w:rPr>
          <w:rFonts w:asciiTheme="majorHAnsi" w:eastAsiaTheme="majorEastAsia" w:hAnsiTheme="majorHAnsi" w:cstheme="majorBidi"/>
        </w:rPr>
        <w:t>Spare fields should also be available for use as needed at a later date.</w:t>
      </w:r>
    </w:p>
    <w:p w14:paraId="66E12C35" w14:textId="77777777" w:rsidR="000A4F27" w:rsidRDefault="002B40FD" w:rsidP="002B40FD">
      <w:pPr>
        <w:spacing w:line="257" w:lineRule="auto"/>
      </w:pPr>
      <w:r w:rsidRPr="003F5A83">
        <w:t xml:space="preserve">Increasing and maintaining the information on registers about horses is a challenge for the future.  Increasing information on registries will add legal and IT complexity to the challenge of ensuring that records held are accurate and up-to-date. </w:t>
      </w:r>
    </w:p>
    <w:p w14:paraId="52E2027D" w14:textId="04AFC9E6" w:rsidR="002B40FD" w:rsidRDefault="002B40FD" w:rsidP="002B40FD">
      <w:pPr>
        <w:spacing w:line="257" w:lineRule="auto"/>
        <w:rPr>
          <w:rFonts w:asciiTheme="majorHAnsi" w:hAnsiTheme="majorHAnsi"/>
        </w:rPr>
      </w:pPr>
      <w:r w:rsidRPr="003F5A83">
        <w:t>Work will</w:t>
      </w:r>
      <w:r w:rsidRPr="00CA37CC">
        <w:rPr>
          <w:rFonts w:asciiTheme="majorHAnsi" w:hAnsiTheme="majorHAnsi"/>
        </w:rPr>
        <w:t xml:space="preserve"> also be needed to ensure that registry services are able to release information for biosecurity purposes with legal protection. </w:t>
      </w:r>
    </w:p>
    <w:p w14:paraId="184F26AF" w14:textId="21B8EC53" w:rsidR="002B40FD" w:rsidRPr="00D811AB" w:rsidRDefault="002B40FD" w:rsidP="002B40FD">
      <w:pPr>
        <w:rPr>
          <w:rFonts w:eastAsia="Calibri"/>
          <w:b/>
          <w:bCs/>
          <w:color w:val="000000" w:themeColor="text1"/>
        </w:rPr>
      </w:pPr>
      <w:r>
        <w:rPr>
          <w:rFonts w:asciiTheme="majorHAnsi" w:hAnsiTheme="majorHAnsi"/>
        </w:rPr>
        <w:t xml:space="preserve">Developments in technology, including the use of </w:t>
      </w:r>
      <w:r w:rsidR="00557E7B">
        <w:rPr>
          <w:rFonts w:asciiTheme="majorHAnsi" w:hAnsiTheme="majorHAnsi"/>
        </w:rPr>
        <w:t xml:space="preserve">microchip </w:t>
      </w:r>
      <w:r>
        <w:rPr>
          <w:rFonts w:asciiTheme="majorHAnsi" w:hAnsiTheme="majorHAnsi"/>
        </w:rPr>
        <w:t xml:space="preserve">readers with </w:t>
      </w:r>
      <w:r w:rsidR="00A8495F">
        <w:rPr>
          <w:rFonts w:asciiTheme="majorHAnsi" w:hAnsiTheme="majorHAnsi"/>
        </w:rPr>
        <w:t>Bluetooth</w:t>
      </w:r>
      <w:r>
        <w:rPr>
          <w:rFonts w:asciiTheme="majorHAnsi" w:hAnsiTheme="majorHAnsi"/>
        </w:rPr>
        <w:t xml:space="preserve"> functionality that link to apps on mobile phones, have the potential in the future to simplify the recording of </w:t>
      </w:r>
      <w:r w:rsidR="00557E7B">
        <w:rPr>
          <w:rFonts w:asciiTheme="majorHAnsi" w:hAnsiTheme="majorHAnsi"/>
        </w:rPr>
        <w:t xml:space="preserve">useful information including </w:t>
      </w:r>
      <w:r>
        <w:rPr>
          <w:rFonts w:asciiTheme="majorHAnsi" w:hAnsiTheme="majorHAnsi"/>
        </w:rPr>
        <w:t>movement</w:t>
      </w:r>
      <w:r w:rsidR="00557E7B">
        <w:rPr>
          <w:rFonts w:asciiTheme="majorHAnsi" w:hAnsiTheme="majorHAnsi"/>
        </w:rPr>
        <w:t>s on industry registers</w:t>
      </w:r>
      <w:r>
        <w:rPr>
          <w:rFonts w:asciiTheme="majorHAnsi" w:hAnsiTheme="majorHAnsi"/>
        </w:rPr>
        <w:t>.  They will also avoid the need for microchip numbers to be transcribed reducing the risk of transcription errors.</w:t>
      </w:r>
    </w:p>
    <w:p w14:paraId="4574AD7C" w14:textId="7CDB537E" w:rsidR="00B42A53" w:rsidRDefault="005915B6" w:rsidP="00B42A53">
      <w:pPr>
        <w:pStyle w:val="Heading2"/>
        <w:rPr>
          <w:rFonts w:asciiTheme="majorHAnsi" w:hAnsiTheme="majorHAnsi"/>
        </w:rPr>
      </w:pPr>
      <w:bookmarkStart w:id="28" w:name="_Toc121397566"/>
      <w:r>
        <w:rPr>
          <w:rFonts w:asciiTheme="majorHAnsi" w:hAnsiTheme="majorHAnsi"/>
        </w:rPr>
        <w:lastRenderedPageBreak/>
        <w:t>Horse Traceability Options</w:t>
      </w:r>
      <w:bookmarkEnd w:id="28"/>
      <w:r>
        <w:rPr>
          <w:rFonts w:asciiTheme="majorHAnsi" w:hAnsiTheme="majorHAnsi"/>
        </w:rPr>
        <w:t xml:space="preserve"> </w:t>
      </w:r>
    </w:p>
    <w:p w14:paraId="07E1A31E" w14:textId="77777777" w:rsidR="003915C6" w:rsidRPr="00151612" w:rsidRDefault="003915C6" w:rsidP="00151612">
      <w:pPr>
        <w:pStyle w:val="Heading3"/>
        <w:numPr>
          <w:ilvl w:val="0"/>
          <w:numId w:val="0"/>
        </w:numPr>
        <w:spacing w:after="120"/>
        <w:ind w:left="964" w:hanging="964"/>
        <w:rPr>
          <w:rFonts w:ascii="Cambria" w:hAnsi="Cambria"/>
          <w:sz w:val="22"/>
          <w:szCs w:val="22"/>
          <w:lang w:eastAsia="ja-JP"/>
        </w:rPr>
      </w:pPr>
      <w:bookmarkStart w:id="29" w:name="_Toc121397567"/>
      <w:r w:rsidRPr="00151612">
        <w:rPr>
          <w:rFonts w:ascii="Cambria" w:hAnsi="Cambria"/>
          <w:sz w:val="22"/>
          <w:szCs w:val="22"/>
          <w:lang w:eastAsia="ja-JP"/>
        </w:rPr>
        <w:t>MJA National Horse Traceability Project report</w:t>
      </w:r>
      <w:bookmarkEnd w:id="29"/>
    </w:p>
    <w:p w14:paraId="763B5DC2" w14:textId="6BB21E8E" w:rsidR="003915C6" w:rsidRDefault="003915C6" w:rsidP="003915C6">
      <w:pPr>
        <w:rPr>
          <w:lang w:val="en-GB"/>
        </w:rPr>
      </w:pPr>
      <w:r w:rsidRPr="5CEE9FA0">
        <w:rPr>
          <w:lang w:eastAsia="ja-JP"/>
        </w:rPr>
        <w:t>Marsden Jacob Associates (</w:t>
      </w:r>
      <w:r w:rsidRPr="00055EE3">
        <w:rPr>
          <w:lang w:val="en-GB"/>
        </w:rPr>
        <w:t xml:space="preserve">MJA) was engaged by the Victorian Department of Jobs, Precincts and Regions, independent of the </w:t>
      </w:r>
      <w:r w:rsidRPr="00055EE3">
        <w:rPr>
          <w:rFonts w:asciiTheme="majorHAnsi" w:hAnsiTheme="majorHAnsi"/>
          <w:lang w:eastAsia="ja-JP"/>
        </w:rPr>
        <w:t>NHTWG</w:t>
      </w:r>
      <w:r w:rsidRPr="00055EE3">
        <w:rPr>
          <w:lang w:val="en-GB"/>
        </w:rPr>
        <w:t>, to provide a report assess</w:t>
      </w:r>
      <w:r w:rsidR="005915B6">
        <w:rPr>
          <w:lang w:val="en-GB"/>
        </w:rPr>
        <w:t>ing</w:t>
      </w:r>
      <w:r w:rsidRPr="00055EE3">
        <w:rPr>
          <w:lang w:val="en-GB"/>
        </w:rPr>
        <w:t xml:space="preserve"> options for the identification and tracking of horses in Australia for biosecurity purposes.  </w:t>
      </w:r>
    </w:p>
    <w:p w14:paraId="5E88CD97" w14:textId="77777777" w:rsidR="003915C6" w:rsidRPr="0052494F" w:rsidRDefault="003915C6" w:rsidP="003915C6">
      <w:pPr>
        <w:rPr>
          <w:rFonts w:asciiTheme="majorHAnsi" w:hAnsiTheme="majorHAnsi"/>
        </w:rPr>
      </w:pPr>
      <w:r w:rsidRPr="0052494F">
        <w:rPr>
          <w:rFonts w:asciiTheme="majorHAnsi" w:hAnsiTheme="majorHAnsi"/>
          <w:lang w:val="en-GB"/>
        </w:rPr>
        <w:t>The MJA report, released in January 2022, d</w:t>
      </w:r>
      <w:r w:rsidRPr="0052494F">
        <w:rPr>
          <w:rFonts w:asciiTheme="majorHAnsi" w:hAnsiTheme="majorHAnsi"/>
        </w:rPr>
        <w:t>escribe</w:t>
      </w:r>
      <w:r>
        <w:rPr>
          <w:rFonts w:asciiTheme="majorHAnsi" w:hAnsiTheme="majorHAnsi"/>
        </w:rPr>
        <w:t>d</w:t>
      </w:r>
      <w:r w:rsidRPr="0052494F">
        <w:rPr>
          <w:rFonts w:asciiTheme="majorHAnsi" w:hAnsiTheme="majorHAnsi"/>
        </w:rPr>
        <w:t xml:space="preserve"> current traceability arrangements within horse industry sectors, describe</w:t>
      </w:r>
      <w:r>
        <w:rPr>
          <w:rFonts w:asciiTheme="majorHAnsi" w:hAnsiTheme="majorHAnsi"/>
        </w:rPr>
        <w:t>d</w:t>
      </w:r>
      <w:r w:rsidRPr="0052494F">
        <w:rPr>
          <w:rFonts w:asciiTheme="majorHAnsi" w:hAnsiTheme="majorHAnsi"/>
        </w:rPr>
        <w:t xml:space="preserve"> overseas models (United Kingdom, European Union, Canada) for tracking horses and assesse</w:t>
      </w:r>
      <w:r>
        <w:rPr>
          <w:rFonts w:asciiTheme="majorHAnsi" w:hAnsiTheme="majorHAnsi"/>
        </w:rPr>
        <w:t>d</w:t>
      </w:r>
      <w:r w:rsidRPr="0052494F">
        <w:rPr>
          <w:rFonts w:asciiTheme="majorHAnsi" w:hAnsiTheme="majorHAnsi"/>
        </w:rPr>
        <w:t xml:space="preserve"> the scope and suitability of state PIC registers and industry-based animal identification and/or movement registers.  The report also discusse</w:t>
      </w:r>
      <w:r>
        <w:rPr>
          <w:rFonts w:asciiTheme="majorHAnsi" w:hAnsiTheme="majorHAnsi"/>
        </w:rPr>
        <w:t>d</w:t>
      </w:r>
      <w:r w:rsidRPr="0052494F">
        <w:rPr>
          <w:rFonts w:asciiTheme="majorHAnsi" w:hAnsiTheme="majorHAnsi"/>
        </w:rPr>
        <w:t xml:space="preserve"> horse related emergency disease threats.  </w:t>
      </w:r>
    </w:p>
    <w:p w14:paraId="41440C45" w14:textId="77777777" w:rsidR="003915C6" w:rsidRPr="0052494F" w:rsidRDefault="003915C6" w:rsidP="003915C6">
      <w:pPr>
        <w:rPr>
          <w:rFonts w:asciiTheme="majorHAnsi" w:eastAsia="Times New Roman" w:hAnsiTheme="majorHAnsi" w:cs="Times New Roman"/>
          <w:sz w:val="28"/>
          <w:szCs w:val="24"/>
          <w:lang w:eastAsia="en-AU"/>
        </w:rPr>
      </w:pPr>
      <w:r w:rsidRPr="0052494F">
        <w:rPr>
          <w:rFonts w:asciiTheme="majorHAnsi" w:eastAsia="Times New Roman" w:hAnsiTheme="majorHAnsi" w:cs="Times New Roman"/>
          <w:lang w:val="en-GB"/>
        </w:rPr>
        <w:t>The MJA report consider</w:t>
      </w:r>
      <w:r>
        <w:rPr>
          <w:rFonts w:asciiTheme="majorHAnsi" w:hAnsiTheme="majorHAnsi"/>
          <w:lang w:val="en-GB"/>
        </w:rPr>
        <w:t>ed</w:t>
      </w:r>
      <w:r w:rsidRPr="0052494F">
        <w:rPr>
          <w:rFonts w:asciiTheme="majorHAnsi" w:eastAsia="Times New Roman" w:hAnsiTheme="majorHAnsi" w:cs="Times New Roman"/>
          <w:lang w:val="en-GB"/>
        </w:rPr>
        <w:t xml:space="preserve"> four options for enhancing horse </w:t>
      </w:r>
      <w:r w:rsidRPr="0052494F">
        <w:rPr>
          <w:rFonts w:asciiTheme="majorHAnsi" w:eastAsia="Times New Roman" w:hAnsiTheme="majorHAnsi" w:cs="Times New Roman"/>
          <w:lang w:eastAsia="en-AU"/>
        </w:rPr>
        <w:t>traceability in Australia</w:t>
      </w:r>
      <w:r>
        <w:rPr>
          <w:rFonts w:asciiTheme="majorHAnsi" w:eastAsia="Times New Roman" w:hAnsiTheme="majorHAnsi" w:cs="Times New Roman"/>
          <w:lang w:eastAsia="en-AU"/>
        </w:rPr>
        <w:t xml:space="preserve"> (see Table 1).</w:t>
      </w:r>
    </w:p>
    <w:p w14:paraId="6A979AEA" w14:textId="77777777" w:rsidR="003915C6" w:rsidRDefault="003915C6" w:rsidP="003915C6">
      <w:pPr>
        <w:pStyle w:val="Heading4"/>
        <w:keepNext w:val="0"/>
        <w:widowControl w:val="0"/>
        <w:numPr>
          <w:ilvl w:val="0"/>
          <w:numId w:val="0"/>
        </w:numPr>
        <w:rPr>
          <w:rFonts w:asciiTheme="majorHAnsi" w:hAnsiTheme="majorHAnsi"/>
          <w:b w:val="0"/>
          <w:bCs w:val="0"/>
          <w:sz w:val="22"/>
          <w:szCs w:val="22"/>
          <w:lang w:eastAsia="en-AU"/>
        </w:rPr>
      </w:pPr>
    </w:p>
    <w:p w14:paraId="551EF9C5" w14:textId="2CBE581A" w:rsidR="003915C6" w:rsidRPr="00E87EAD" w:rsidRDefault="003915C6" w:rsidP="003915C6">
      <w:pPr>
        <w:pStyle w:val="Caption"/>
        <w:rPr>
          <w:rFonts w:asciiTheme="majorHAnsi" w:hAnsiTheme="majorHAnsi"/>
          <w:i/>
          <w:iCs/>
          <w:sz w:val="22"/>
          <w:szCs w:val="22"/>
        </w:rPr>
      </w:pPr>
      <w:r w:rsidRPr="00314A5E">
        <w:rPr>
          <w:rFonts w:asciiTheme="majorHAnsi" w:hAnsiTheme="majorHAnsi"/>
          <w:sz w:val="22"/>
          <w:szCs w:val="22"/>
        </w:rPr>
        <w:t xml:space="preserve">Table </w:t>
      </w:r>
      <w:r w:rsidRPr="00314A5E">
        <w:rPr>
          <w:rFonts w:asciiTheme="majorHAnsi" w:hAnsiTheme="majorHAnsi"/>
          <w:sz w:val="22"/>
          <w:szCs w:val="22"/>
        </w:rPr>
        <w:fldChar w:fldCharType="begin"/>
      </w:r>
      <w:r w:rsidRPr="00314A5E">
        <w:rPr>
          <w:rFonts w:asciiTheme="majorHAnsi" w:hAnsiTheme="majorHAnsi"/>
          <w:sz w:val="22"/>
          <w:szCs w:val="22"/>
        </w:rPr>
        <w:instrText>SEQ Table \* ARABIC</w:instrText>
      </w:r>
      <w:r w:rsidRPr="00314A5E">
        <w:rPr>
          <w:rFonts w:asciiTheme="majorHAnsi" w:hAnsiTheme="majorHAnsi"/>
          <w:sz w:val="22"/>
          <w:szCs w:val="22"/>
        </w:rPr>
        <w:fldChar w:fldCharType="separate"/>
      </w:r>
      <w:r w:rsidRPr="00314A5E">
        <w:rPr>
          <w:rFonts w:asciiTheme="majorHAnsi" w:hAnsiTheme="majorHAnsi"/>
          <w:noProof/>
          <w:sz w:val="22"/>
          <w:szCs w:val="22"/>
        </w:rPr>
        <w:t>1</w:t>
      </w:r>
      <w:r w:rsidRPr="00314A5E">
        <w:rPr>
          <w:rFonts w:asciiTheme="majorHAnsi" w:hAnsiTheme="majorHAnsi"/>
          <w:sz w:val="22"/>
          <w:szCs w:val="22"/>
        </w:rPr>
        <w:fldChar w:fldCharType="end"/>
      </w:r>
      <w:r w:rsidR="008A626F">
        <w:rPr>
          <w:rFonts w:asciiTheme="majorHAnsi" w:hAnsiTheme="majorHAnsi"/>
          <w:sz w:val="22"/>
          <w:szCs w:val="22"/>
        </w:rPr>
        <w:t>.</w:t>
      </w:r>
      <w:r w:rsidRPr="00314A5E">
        <w:rPr>
          <w:rFonts w:asciiTheme="majorHAnsi" w:hAnsiTheme="majorHAnsi"/>
          <w:sz w:val="22"/>
          <w:szCs w:val="22"/>
        </w:rPr>
        <w:t xml:space="preserve"> Table of Options </w:t>
      </w:r>
      <w:r>
        <w:rPr>
          <w:rFonts w:asciiTheme="majorHAnsi" w:hAnsiTheme="majorHAnsi"/>
          <w:i/>
          <w:iCs/>
          <w:sz w:val="22"/>
          <w:szCs w:val="22"/>
        </w:rPr>
        <w:t>– (from</w:t>
      </w:r>
      <w:r w:rsidRPr="00E87EAD">
        <w:rPr>
          <w:rFonts w:asciiTheme="majorHAnsi" w:hAnsiTheme="majorHAnsi"/>
          <w:i/>
          <w:iCs/>
          <w:sz w:val="22"/>
          <w:szCs w:val="22"/>
        </w:rPr>
        <w:t xml:space="preserve"> Marsden Jacob Associates - ‘National Horse Traceability Project’ report</w:t>
      </w:r>
      <w:r>
        <w:rPr>
          <w:rFonts w:asciiTheme="majorHAnsi" w:hAnsiTheme="majorHAnsi"/>
          <w:i/>
          <w:iCs/>
          <w:sz w:val="22"/>
          <w:szCs w:val="22"/>
        </w:rPr>
        <w:t xml:space="preserve"> – 13 January 2022</w:t>
      </w:r>
      <w:r w:rsidRPr="00E87EAD">
        <w:rPr>
          <w:rFonts w:asciiTheme="majorHAnsi" w:hAnsiTheme="majorHAnsi"/>
          <w:i/>
          <w:iCs/>
          <w:sz w:val="22"/>
          <w:szCs w:val="22"/>
        </w:rPr>
        <w:t>, Page 5</w:t>
      </w:r>
      <w:r>
        <w:rPr>
          <w:rFonts w:asciiTheme="majorHAnsi" w:hAnsiTheme="majorHAnsi"/>
          <w:i/>
          <w:iCs/>
          <w:sz w:val="22"/>
          <w:szCs w:val="22"/>
        </w:rPr>
        <w:t>)</w:t>
      </w:r>
      <w:r w:rsidRPr="00E87EAD">
        <w:rPr>
          <w:rFonts w:asciiTheme="majorHAnsi" w:hAnsiTheme="majorHAnsi"/>
          <w:i/>
          <w:iCs/>
          <w:sz w:val="22"/>
          <w:szCs w:val="22"/>
        </w:rPr>
        <w:t>.</w:t>
      </w:r>
    </w:p>
    <w:tbl>
      <w:tblPr>
        <w:tblStyle w:val="MJTableStyle1default"/>
        <w:tblW w:w="0" w:type="auto"/>
        <w:tblBorders>
          <w:insideV w:val="single" w:sz="4" w:space="0" w:color="C0504D" w:themeColor="accent2"/>
        </w:tblBorders>
        <w:tblLook w:val="0480" w:firstRow="0" w:lastRow="0" w:firstColumn="1" w:lastColumn="0" w:noHBand="0" w:noVBand="1"/>
      </w:tblPr>
      <w:tblGrid>
        <w:gridCol w:w="9060"/>
      </w:tblGrid>
      <w:tr w:rsidR="003915C6" w:rsidRPr="00314A5E" w14:paraId="33CCA7C9" w14:textId="77777777" w:rsidTr="005A7664">
        <w:trPr>
          <w:cnfStyle w:val="000000100000" w:firstRow="0" w:lastRow="0" w:firstColumn="0" w:lastColumn="0" w:oddVBand="0" w:evenVBand="0" w:oddHBand="1" w:evenHBand="0" w:firstRowFirstColumn="0" w:firstRowLastColumn="0" w:lastRowFirstColumn="0" w:lastRowLastColumn="0"/>
          <w:trHeight w:val="1849"/>
        </w:trPr>
        <w:tc>
          <w:tcPr>
            <w:tcW w:w="9060" w:type="dxa"/>
          </w:tcPr>
          <w:p w14:paraId="2060D096" w14:textId="77777777" w:rsidR="003915C6" w:rsidRPr="00314A5E" w:rsidRDefault="003915C6" w:rsidP="007B3962">
            <w:pPr>
              <w:pStyle w:val="Heading4"/>
              <w:keepNext w:val="0"/>
              <w:widowControl w:val="0"/>
              <w:outlineLvl w:val="3"/>
              <w:rPr>
                <w:rFonts w:asciiTheme="majorHAnsi" w:hAnsiTheme="majorHAnsi"/>
                <w:b w:val="0"/>
                <w:bCs w:val="0"/>
                <w:sz w:val="22"/>
                <w:szCs w:val="22"/>
              </w:rPr>
            </w:pPr>
            <w:r w:rsidRPr="00314A5E">
              <w:rPr>
                <w:rFonts w:asciiTheme="majorHAnsi" w:hAnsiTheme="majorHAnsi"/>
                <w:sz w:val="22"/>
                <w:szCs w:val="22"/>
              </w:rPr>
              <w:t>Option 1: Continuation of the status quo​</w:t>
            </w:r>
          </w:p>
          <w:p w14:paraId="3D2ED20D" w14:textId="4D4CBF45" w:rsidR="003915C6" w:rsidRPr="00314A5E" w:rsidRDefault="008A626F" w:rsidP="007B3962">
            <w:pPr>
              <w:pStyle w:val="ListBullet"/>
              <w:widowControl w:val="0"/>
              <w:tabs>
                <w:tab w:val="num" w:pos="851"/>
              </w:tabs>
              <w:spacing w:before="60" w:after="60" w:line="288" w:lineRule="auto"/>
              <w:ind w:left="284" w:hanging="284"/>
              <w:rPr>
                <w:rFonts w:asciiTheme="majorHAnsi" w:hAnsiTheme="majorHAnsi"/>
                <w:lang w:eastAsia="en-AU"/>
              </w:rPr>
            </w:pPr>
            <w:r>
              <w:rPr>
                <w:rFonts w:asciiTheme="majorHAnsi" w:hAnsiTheme="majorHAnsi"/>
                <w:lang w:eastAsia="en-AU"/>
              </w:rPr>
              <w:t>V</w:t>
            </w:r>
            <w:r w:rsidR="003915C6" w:rsidRPr="00314A5E">
              <w:rPr>
                <w:rFonts w:asciiTheme="majorHAnsi" w:hAnsiTheme="majorHAnsi"/>
                <w:lang w:eastAsia="en-AU"/>
              </w:rPr>
              <w:t>oluntary microchipping and database registration: mandatory under racing industry rules for Thoroughbreds and Standardbreds only​</w:t>
            </w:r>
          </w:p>
          <w:p w14:paraId="483D021B" w14:textId="77777777"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PIC coverage​ for all locations where horses reside</w:t>
            </w:r>
          </w:p>
          <w:p w14:paraId="6786A74A" w14:textId="77777777"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No national register (beyond above)​</w:t>
            </w:r>
          </w:p>
        </w:tc>
      </w:tr>
      <w:tr w:rsidR="003915C6" w:rsidRPr="00314A5E" w14:paraId="01E010F8" w14:textId="77777777" w:rsidTr="005A7664">
        <w:trPr>
          <w:cnfStyle w:val="000000010000" w:firstRow="0" w:lastRow="0" w:firstColumn="0" w:lastColumn="0" w:oddVBand="0" w:evenVBand="0" w:oddHBand="0" w:evenHBand="1" w:firstRowFirstColumn="0" w:firstRowLastColumn="0" w:lastRowFirstColumn="0" w:lastRowLastColumn="0"/>
          <w:trHeight w:val="2703"/>
        </w:trPr>
        <w:tc>
          <w:tcPr>
            <w:tcW w:w="9060" w:type="dxa"/>
          </w:tcPr>
          <w:p w14:paraId="4D4DA50F" w14:textId="77777777" w:rsidR="003915C6" w:rsidRPr="00314A5E" w:rsidRDefault="003915C6" w:rsidP="007B3962">
            <w:pPr>
              <w:pStyle w:val="Heading4"/>
              <w:keepNext w:val="0"/>
              <w:widowControl w:val="0"/>
              <w:outlineLvl w:val="3"/>
              <w:rPr>
                <w:rFonts w:asciiTheme="majorHAnsi" w:hAnsiTheme="majorHAnsi"/>
                <w:b w:val="0"/>
                <w:bCs w:val="0"/>
                <w:sz w:val="22"/>
                <w:szCs w:val="22"/>
                <w:lang w:eastAsia="en-AU"/>
              </w:rPr>
            </w:pPr>
            <w:r w:rsidRPr="00314A5E">
              <w:rPr>
                <w:rFonts w:asciiTheme="majorHAnsi" w:hAnsiTheme="majorHAnsi"/>
                <w:sz w:val="22"/>
                <w:szCs w:val="22"/>
                <w:lang w:eastAsia="en-AU"/>
              </w:rPr>
              <w:t>Option 2: Building on Option 1 and addressing gaps in the PIC system​</w:t>
            </w:r>
          </w:p>
          <w:p w14:paraId="36C1FE86" w14:textId="6BCF0723" w:rsidR="003915C6" w:rsidRPr="00314A5E" w:rsidRDefault="008A626F" w:rsidP="007B3962">
            <w:pPr>
              <w:pStyle w:val="ListBullet"/>
              <w:widowControl w:val="0"/>
              <w:tabs>
                <w:tab w:val="num" w:pos="851"/>
              </w:tabs>
              <w:spacing w:before="60" w:after="60" w:line="288" w:lineRule="auto"/>
              <w:ind w:left="284" w:hanging="284"/>
              <w:rPr>
                <w:rFonts w:asciiTheme="majorHAnsi" w:hAnsiTheme="majorHAnsi"/>
                <w:lang w:eastAsia="en-AU"/>
              </w:rPr>
            </w:pPr>
            <w:r>
              <w:rPr>
                <w:rFonts w:asciiTheme="majorHAnsi" w:hAnsiTheme="majorHAnsi"/>
                <w:lang w:eastAsia="en-AU"/>
              </w:rPr>
              <w:t>U</w:t>
            </w:r>
            <w:r w:rsidRPr="00314A5E">
              <w:rPr>
                <w:rFonts w:asciiTheme="majorHAnsi" w:hAnsiTheme="majorHAnsi"/>
                <w:lang w:eastAsia="en-AU"/>
              </w:rPr>
              <w:t xml:space="preserve">niform </w:t>
            </w:r>
            <w:r w:rsidR="003915C6" w:rsidRPr="00314A5E">
              <w:rPr>
                <w:rFonts w:asciiTheme="majorHAnsi" w:hAnsiTheme="majorHAnsi"/>
                <w:lang w:eastAsia="en-AU"/>
              </w:rPr>
              <w:t>national PIC​ business rules</w:t>
            </w:r>
          </w:p>
          <w:p w14:paraId="4B4E3EDC" w14:textId="3B1C78A8" w:rsidR="003915C6" w:rsidRPr="00314A5E" w:rsidRDefault="008A626F" w:rsidP="007B3962">
            <w:pPr>
              <w:pStyle w:val="ListBullet"/>
              <w:widowControl w:val="0"/>
              <w:tabs>
                <w:tab w:val="num" w:pos="851"/>
              </w:tabs>
              <w:spacing w:before="60" w:after="60" w:line="288" w:lineRule="auto"/>
              <w:ind w:left="284" w:hanging="284"/>
              <w:rPr>
                <w:rFonts w:asciiTheme="majorHAnsi" w:hAnsiTheme="majorHAnsi"/>
                <w:lang w:eastAsia="en-AU"/>
              </w:rPr>
            </w:pPr>
            <w:r>
              <w:rPr>
                <w:rFonts w:asciiTheme="majorHAnsi" w:hAnsiTheme="majorHAnsi"/>
                <w:lang w:eastAsia="en-AU"/>
              </w:rPr>
              <w:t>E</w:t>
            </w:r>
            <w:r w:rsidR="003915C6" w:rsidRPr="00314A5E">
              <w:rPr>
                <w:rFonts w:asciiTheme="majorHAnsi" w:hAnsiTheme="majorHAnsi"/>
                <w:lang w:eastAsia="en-AU"/>
              </w:rPr>
              <w:t>nforcement of PIC legislation</w:t>
            </w:r>
          </w:p>
          <w:p w14:paraId="13CE5225" w14:textId="671CEEEF" w:rsidR="003915C6" w:rsidRPr="00314A5E" w:rsidRDefault="008A626F" w:rsidP="007B3962">
            <w:pPr>
              <w:pStyle w:val="ListBullet"/>
              <w:widowControl w:val="0"/>
              <w:tabs>
                <w:tab w:val="num" w:pos="851"/>
              </w:tabs>
              <w:spacing w:before="60" w:after="60" w:line="288" w:lineRule="auto"/>
              <w:ind w:left="284" w:hanging="284"/>
              <w:rPr>
                <w:rFonts w:asciiTheme="majorHAnsi" w:hAnsiTheme="majorHAnsi"/>
                <w:lang w:eastAsia="en-AU"/>
              </w:rPr>
            </w:pPr>
            <w:r>
              <w:rPr>
                <w:rFonts w:asciiTheme="majorHAnsi" w:hAnsiTheme="majorHAnsi"/>
                <w:lang w:eastAsia="en-AU"/>
              </w:rPr>
              <w:t>M</w:t>
            </w:r>
            <w:r w:rsidR="003915C6" w:rsidRPr="00314A5E">
              <w:rPr>
                <w:rFonts w:asciiTheme="majorHAnsi" w:hAnsiTheme="majorHAnsi"/>
                <w:lang w:eastAsia="en-AU"/>
              </w:rPr>
              <w:t>andatory recording of high-risk movements from and to PICs</w:t>
            </w:r>
          </w:p>
          <w:p w14:paraId="6D320F35" w14:textId="7F045202" w:rsidR="003915C6" w:rsidRPr="00314A5E" w:rsidRDefault="008A626F" w:rsidP="007B3962">
            <w:pPr>
              <w:pStyle w:val="ListBullet"/>
              <w:widowControl w:val="0"/>
              <w:tabs>
                <w:tab w:val="num" w:pos="851"/>
              </w:tabs>
              <w:spacing w:before="60" w:after="60" w:line="288" w:lineRule="auto"/>
              <w:ind w:left="284" w:hanging="284"/>
              <w:rPr>
                <w:rFonts w:asciiTheme="majorHAnsi" w:hAnsiTheme="majorHAnsi"/>
                <w:lang w:eastAsia="en-AU"/>
              </w:rPr>
            </w:pPr>
            <w:r>
              <w:rPr>
                <w:rFonts w:asciiTheme="majorHAnsi" w:hAnsiTheme="majorHAnsi"/>
                <w:lang w:eastAsia="en-AU"/>
              </w:rPr>
              <w:t>E</w:t>
            </w:r>
            <w:r w:rsidR="003915C6" w:rsidRPr="00314A5E">
              <w:rPr>
                <w:rFonts w:asciiTheme="majorHAnsi" w:hAnsiTheme="majorHAnsi"/>
                <w:lang w:eastAsia="en-AU"/>
              </w:rPr>
              <w:t>xisting industry</w:t>
            </w:r>
            <w:r>
              <w:rPr>
                <w:rFonts w:asciiTheme="majorHAnsi" w:hAnsiTheme="majorHAnsi"/>
                <w:lang w:eastAsia="en-AU"/>
              </w:rPr>
              <w:t>-</w:t>
            </w:r>
            <w:r w:rsidR="003915C6" w:rsidRPr="00314A5E">
              <w:rPr>
                <w:rFonts w:asciiTheme="majorHAnsi" w:hAnsiTheme="majorHAnsi"/>
                <w:lang w:eastAsia="en-AU"/>
              </w:rPr>
              <w:t>managed microchip or paper-based tracking ​</w:t>
            </w:r>
          </w:p>
          <w:p w14:paraId="347E662E" w14:textId="20D5BA43"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 xml:space="preserve">Industry </w:t>
            </w:r>
            <w:r w:rsidR="008A626F">
              <w:rPr>
                <w:rFonts w:asciiTheme="majorHAnsi" w:hAnsiTheme="majorHAnsi"/>
                <w:lang w:eastAsia="en-AU"/>
              </w:rPr>
              <w:t>r</w:t>
            </w:r>
            <w:r w:rsidRPr="00314A5E">
              <w:rPr>
                <w:rFonts w:asciiTheme="majorHAnsi" w:hAnsiTheme="majorHAnsi"/>
                <w:lang w:eastAsia="en-AU"/>
              </w:rPr>
              <w:t>egisters align with uniform PIC business rules and link to Pet Address</w:t>
            </w:r>
          </w:p>
          <w:p w14:paraId="7022CB59" w14:textId="77777777"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Industry registers establish authority to release data to government agencies specifically and exclusively for biosecurity and emergency response purposes</w:t>
            </w:r>
          </w:p>
        </w:tc>
      </w:tr>
      <w:tr w:rsidR="003915C6" w:rsidRPr="00314A5E" w14:paraId="7FFC6B87" w14:textId="77777777" w:rsidTr="005A7664">
        <w:trPr>
          <w:cnfStyle w:val="000000100000" w:firstRow="0" w:lastRow="0" w:firstColumn="0" w:lastColumn="0" w:oddVBand="0" w:evenVBand="0" w:oddHBand="1" w:evenHBand="0" w:firstRowFirstColumn="0" w:firstRowLastColumn="0" w:lastRowFirstColumn="0" w:lastRowLastColumn="0"/>
          <w:trHeight w:val="2407"/>
        </w:trPr>
        <w:tc>
          <w:tcPr>
            <w:tcW w:w="9060" w:type="dxa"/>
          </w:tcPr>
          <w:p w14:paraId="0BF7A27C" w14:textId="77777777" w:rsidR="003915C6" w:rsidRPr="00314A5E" w:rsidRDefault="003915C6" w:rsidP="007B3962">
            <w:pPr>
              <w:pStyle w:val="Heading4"/>
              <w:keepNext w:val="0"/>
              <w:widowControl w:val="0"/>
              <w:outlineLvl w:val="3"/>
              <w:rPr>
                <w:rFonts w:asciiTheme="majorHAnsi" w:hAnsiTheme="majorHAnsi"/>
                <w:b w:val="0"/>
                <w:bCs w:val="0"/>
                <w:sz w:val="22"/>
                <w:szCs w:val="22"/>
                <w:lang w:eastAsia="en-AU"/>
              </w:rPr>
            </w:pPr>
            <w:r w:rsidRPr="00314A5E">
              <w:rPr>
                <w:rFonts w:asciiTheme="majorHAnsi" w:hAnsiTheme="majorHAnsi"/>
                <w:sz w:val="22"/>
                <w:szCs w:val="22"/>
                <w:lang w:eastAsia="en-AU"/>
              </w:rPr>
              <w:t>Option 3: Unified PIC system with jurisdictional reconciliation of databases including national register linking microchip databases​</w:t>
            </w:r>
          </w:p>
          <w:p w14:paraId="36211EDB" w14:textId="77777777"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rPr>
            </w:pPr>
            <w:r w:rsidRPr="00314A5E">
              <w:rPr>
                <w:rFonts w:asciiTheme="majorHAnsi" w:hAnsiTheme="majorHAnsi"/>
              </w:rPr>
              <w:t>Mandatory use of PICs by industry with the recording of movements from and to PICs</w:t>
            </w:r>
          </w:p>
          <w:p w14:paraId="2FA97DAF" w14:textId="77777777"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Record location and movement data across animal lifecycle (address inconsistencies and gaps) ​</w:t>
            </w:r>
          </w:p>
          <w:p w14:paraId="14476DBB" w14:textId="05E4A4DF"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State level paper-based and</w:t>
            </w:r>
            <w:r w:rsidR="008A626F">
              <w:rPr>
                <w:rFonts w:asciiTheme="majorHAnsi" w:hAnsiTheme="majorHAnsi"/>
                <w:lang w:eastAsia="en-AU"/>
              </w:rPr>
              <w:t>/</w:t>
            </w:r>
            <w:r w:rsidRPr="00314A5E">
              <w:rPr>
                <w:rFonts w:asciiTheme="majorHAnsi" w:hAnsiTheme="majorHAnsi"/>
                <w:lang w:eastAsia="en-AU"/>
              </w:rPr>
              <w:t>or electronic system for all horse movements​</w:t>
            </w:r>
          </w:p>
          <w:p w14:paraId="13495988" w14:textId="142A3E9E"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 xml:space="preserve">National </w:t>
            </w:r>
            <w:r w:rsidR="008A626F">
              <w:rPr>
                <w:rFonts w:asciiTheme="majorHAnsi" w:hAnsiTheme="majorHAnsi"/>
                <w:lang w:eastAsia="en-AU"/>
              </w:rPr>
              <w:t>r</w:t>
            </w:r>
            <w:r w:rsidR="008A626F" w:rsidRPr="00314A5E">
              <w:rPr>
                <w:rFonts w:asciiTheme="majorHAnsi" w:hAnsiTheme="majorHAnsi"/>
                <w:lang w:eastAsia="en-AU"/>
              </w:rPr>
              <w:t xml:space="preserve">egister </w:t>
            </w:r>
            <w:r w:rsidRPr="00314A5E">
              <w:rPr>
                <w:rFonts w:asciiTheme="majorHAnsi" w:hAnsiTheme="majorHAnsi"/>
                <w:lang w:eastAsia="en-AU"/>
              </w:rPr>
              <w:t>linking industry and commercial microchip databases</w:t>
            </w:r>
          </w:p>
        </w:tc>
      </w:tr>
      <w:tr w:rsidR="003915C6" w:rsidRPr="00314A5E" w14:paraId="54AA7741" w14:textId="77777777" w:rsidTr="005A7664">
        <w:trPr>
          <w:cnfStyle w:val="000000010000" w:firstRow="0" w:lastRow="0" w:firstColumn="0" w:lastColumn="0" w:oddVBand="0" w:evenVBand="0" w:oddHBand="0" w:evenHBand="1" w:firstRowFirstColumn="0" w:firstRowLastColumn="0" w:lastRowFirstColumn="0" w:lastRowLastColumn="0"/>
          <w:trHeight w:val="2119"/>
        </w:trPr>
        <w:tc>
          <w:tcPr>
            <w:tcW w:w="9060" w:type="dxa"/>
          </w:tcPr>
          <w:p w14:paraId="11B611EE" w14:textId="77777777" w:rsidR="003915C6" w:rsidRPr="00314A5E" w:rsidRDefault="003915C6" w:rsidP="007B3962">
            <w:pPr>
              <w:pStyle w:val="Heading4"/>
              <w:keepNext w:val="0"/>
              <w:widowControl w:val="0"/>
              <w:outlineLvl w:val="3"/>
              <w:rPr>
                <w:rFonts w:asciiTheme="majorHAnsi" w:hAnsiTheme="majorHAnsi"/>
                <w:b w:val="0"/>
                <w:bCs w:val="0"/>
                <w:sz w:val="22"/>
                <w:szCs w:val="22"/>
                <w:lang w:eastAsia="en-AU"/>
              </w:rPr>
            </w:pPr>
            <w:r w:rsidRPr="00314A5E">
              <w:rPr>
                <w:rFonts w:asciiTheme="majorHAnsi" w:hAnsiTheme="majorHAnsi"/>
                <w:sz w:val="22"/>
                <w:szCs w:val="22"/>
                <w:lang w:eastAsia="en-AU"/>
              </w:rPr>
              <w:lastRenderedPageBreak/>
              <w:t>Option 4: NLIS+ approach for horses (significant step)​</w:t>
            </w:r>
          </w:p>
          <w:p w14:paraId="10DAA2EB" w14:textId="77777777"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Mandatory microchipping​ for all horses</w:t>
            </w:r>
          </w:p>
          <w:p w14:paraId="2EA8C17A" w14:textId="77777777" w:rsidR="003915C6" w:rsidRPr="00314A5E" w:rsidRDefault="003915C6" w:rsidP="007B3962">
            <w:pPr>
              <w:pStyle w:val="ListBullet"/>
              <w:widowControl w:val="0"/>
              <w:tabs>
                <w:tab w:val="num" w:pos="851"/>
              </w:tabs>
              <w:spacing w:before="60" w:after="60" w:line="288" w:lineRule="auto"/>
              <w:ind w:left="284" w:hanging="284"/>
              <w:rPr>
                <w:rFonts w:asciiTheme="majorHAnsi" w:eastAsiaTheme="minorEastAsia" w:hAnsiTheme="majorHAnsi"/>
              </w:rPr>
            </w:pPr>
            <w:r w:rsidRPr="00314A5E">
              <w:rPr>
                <w:rFonts w:asciiTheme="majorHAnsi" w:hAnsiTheme="majorHAnsi"/>
              </w:rPr>
              <w:t>Describes register ownership and system governance arrangements that could potentially be adopted.</w:t>
            </w:r>
          </w:p>
          <w:p w14:paraId="1B133053" w14:textId="77777777"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Uniform national PIC​ business rules</w:t>
            </w:r>
          </w:p>
          <w:p w14:paraId="4A31B32C" w14:textId="0079BC86"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All movement data is scanned and updated within 24</w:t>
            </w:r>
            <w:r w:rsidR="008A626F">
              <w:rPr>
                <w:rFonts w:asciiTheme="majorHAnsi" w:hAnsiTheme="majorHAnsi"/>
                <w:lang w:eastAsia="en-AU"/>
              </w:rPr>
              <w:t xml:space="preserve"> </w:t>
            </w:r>
            <w:r w:rsidRPr="00314A5E">
              <w:rPr>
                <w:rFonts w:asciiTheme="majorHAnsi" w:hAnsiTheme="majorHAnsi"/>
                <w:lang w:eastAsia="en-AU"/>
              </w:rPr>
              <w:t>h</w:t>
            </w:r>
            <w:r w:rsidR="008A626F">
              <w:rPr>
                <w:rFonts w:asciiTheme="majorHAnsi" w:hAnsiTheme="majorHAnsi"/>
                <w:lang w:eastAsia="en-AU"/>
              </w:rPr>
              <w:t>ou</w:t>
            </w:r>
            <w:r w:rsidRPr="00314A5E">
              <w:rPr>
                <w:rFonts w:asciiTheme="majorHAnsi" w:hAnsiTheme="majorHAnsi"/>
                <w:lang w:eastAsia="en-AU"/>
              </w:rPr>
              <w:t>rs.​</w:t>
            </w:r>
          </w:p>
          <w:p w14:paraId="6FB382B6" w14:textId="77777777" w:rsidR="003915C6" w:rsidRPr="00314A5E" w:rsidRDefault="003915C6" w:rsidP="007B3962">
            <w:pPr>
              <w:pStyle w:val="ListBullet"/>
              <w:widowControl w:val="0"/>
              <w:tabs>
                <w:tab w:val="num" w:pos="851"/>
              </w:tabs>
              <w:spacing w:before="60" w:after="60" w:line="288" w:lineRule="auto"/>
              <w:ind w:left="284" w:hanging="284"/>
              <w:rPr>
                <w:rFonts w:asciiTheme="majorHAnsi" w:hAnsiTheme="majorHAnsi"/>
                <w:lang w:eastAsia="en-AU"/>
              </w:rPr>
            </w:pPr>
            <w:r w:rsidRPr="00314A5E">
              <w:rPr>
                <w:rFonts w:asciiTheme="majorHAnsi" w:hAnsiTheme="majorHAnsi"/>
                <w:lang w:eastAsia="en-AU"/>
              </w:rPr>
              <w:t>National movement register</w:t>
            </w:r>
          </w:p>
        </w:tc>
      </w:tr>
    </w:tbl>
    <w:p w14:paraId="2AADCB43" w14:textId="77777777" w:rsidR="003915C6" w:rsidRPr="0041476E" w:rsidRDefault="003915C6" w:rsidP="003915C6">
      <w:pPr>
        <w:rPr>
          <w:lang w:eastAsia="ja-JP"/>
        </w:rPr>
      </w:pPr>
    </w:p>
    <w:p w14:paraId="7928F83A" w14:textId="4BA1880A" w:rsidR="00557E7B" w:rsidRDefault="003915C6" w:rsidP="00981500">
      <w:pPr>
        <w:rPr>
          <w:lang w:val="en-GB"/>
        </w:rPr>
      </w:pPr>
      <w:r>
        <w:rPr>
          <w:lang w:val="en-GB"/>
        </w:rPr>
        <w:t xml:space="preserve">MJA </w:t>
      </w:r>
      <w:r w:rsidRPr="6EEF17EB">
        <w:rPr>
          <w:lang w:val="en-GB"/>
        </w:rPr>
        <w:t>conclude</w:t>
      </w:r>
      <w:r>
        <w:rPr>
          <w:lang w:val="en-GB"/>
        </w:rPr>
        <w:t>d</w:t>
      </w:r>
      <w:r w:rsidRPr="6EEF17EB">
        <w:rPr>
          <w:lang w:val="en-GB"/>
        </w:rPr>
        <w:t xml:space="preserve"> that the preferred approach in the first instance should be</w:t>
      </w:r>
      <w:r>
        <w:rPr>
          <w:lang w:val="en-GB"/>
        </w:rPr>
        <w:t xml:space="preserve"> Option 2, namely</w:t>
      </w:r>
      <w:r w:rsidRPr="6EEF17EB">
        <w:rPr>
          <w:lang w:val="en-GB"/>
        </w:rPr>
        <w:t xml:space="preserve"> the strengthening of the existing PIC system, improved record keeping for horse movements, and better access to and utilisation of industry</w:t>
      </w:r>
      <w:r w:rsidR="008A626F">
        <w:rPr>
          <w:lang w:val="en-GB"/>
        </w:rPr>
        <w:t>-</w:t>
      </w:r>
      <w:r w:rsidRPr="6EEF17EB">
        <w:rPr>
          <w:lang w:val="en-GB"/>
        </w:rPr>
        <w:t xml:space="preserve">held information by government agencies during disease outbreaks and emergencies.  </w:t>
      </w:r>
    </w:p>
    <w:p w14:paraId="685B8A3A" w14:textId="1DBD1059" w:rsidR="003915C6" w:rsidRPr="00C60A12" w:rsidRDefault="003915C6" w:rsidP="00981500">
      <w:r w:rsidRPr="6EEF17EB">
        <w:rPr>
          <w:lang w:val="en-GB"/>
        </w:rPr>
        <w:t>MJA noted that knowing the properties where susceptible animals are located is critically important during disease outbreaks.</w:t>
      </w:r>
      <w:r>
        <w:rPr>
          <w:lang w:val="en-GB"/>
        </w:rPr>
        <w:t xml:space="preserve"> B</w:t>
      </w:r>
      <w:r>
        <w:t xml:space="preserve">ecause of its relatively lower cost and likely effectiveness at delivering the required biosecurity outcomes, </w:t>
      </w:r>
      <w:r>
        <w:rPr>
          <w:lang w:val="en-GB"/>
        </w:rPr>
        <w:t xml:space="preserve">MJA </w:t>
      </w:r>
      <w:r>
        <w:t xml:space="preserve">recommended that as a starting point, a NHTS utilise the PIC system complemented by record keeping where horses move between PICs.  MJA concluded that the funding and compliance challenges associated with attempting to implement a microchip-based system complemented by a national owner register and movement database would likely critically undermine successful implementation.  </w:t>
      </w:r>
    </w:p>
    <w:p w14:paraId="1AD2B873" w14:textId="77777777" w:rsidR="003915C6" w:rsidRDefault="003915C6" w:rsidP="00981500">
      <w:r w:rsidRPr="5CEE9FA0">
        <w:rPr>
          <w:lang w:eastAsia="en-AU"/>
        </w:rPr>
        <w:t xml:space="preserve">A copy of the </w:t>
      </w:r>
      <w:r w:rsidRPr="5CEE9FA0">
        <w:rPr>
          <w:i/>
          <w:iCs/>
          <w:lang w:eastAsia="ja-JP"/>
        </w:rPr>
        <w:t xml:space="preserve">MJA National Horse Traceability Project </w:t>
      </w:r>
      <w:r w:rsidRPr="5CEE9FA0">
        <w:rPr>
          <w:lang w:eastAsia="ja-JP"/>
        </w:rPr>
        <w:t>report</w:t>
      </w:r>
      <w:r w:rsidRPr="5CEE9FA0">
        <w:t xml:space="preserve"> </w:t>
      </w:r>
      <w:r>
        <w:t xml:space="preserve">can be found at </w:t>
      </w:r>
      <w:hyperlink r:id="rId24" w:history="1">
        <w:r w:rsidRPr="0077126D">
          <w:rPr>
            <w:rStyle w:val="Hyperlink"/>
          </w:rPr>
          <w:t>https://agriculture.vic.gov.au/livestock-and-animals/horses/horse-traceability</w:t>
        </w:r>
      </w:hyperlink>
      <w:r>
        <w:t>.</w:t>
      </w:r>
    </w:p>
    <w:p w14:paraId="20FAE467" w14:textId="485F2D39" w:rsidR="003915C6" w:rsidRPr="00BB2DCB" w:rsidRDefault="005915B6" w:rsidP="00283B1E">
      <w:pPr>
        <w:pStyle w:val="Heading3"/>
        <w:numPr>
          <w:ilvl w:val="0"/>
          <w:numId w:val="0"/>
        </w:numPr>
        <w:spacing w:after="120"/>
        <w:ind w:left="964" w:hanging="964"/>
        <w:rPr>
          <w:rFonts w:asciiTheme="majorHAnsi" w:hAnsiTheme="majorHAnsi"/>
          <w:sz w:val="22"/>
          <w:szCs w:val="22"/>
        </w:rPr>
      </w:pPr>
      <w:bookmarkStart w:id="30" w:name="_Toc121397568"/>
      <w:r w:rsidRPr="00BB2DCB">
        <w:rPr>
          <w:rFonts w:asciiTheme="majorHAnsi" w:hAnsiTheme="majorHAnsi"/>
          <w:sz w:val="22"/>
          <w:szCs w:val="22"/>
        </w:rPr>
        <w:t>NHTWG assessment of traceability options</w:t>
      </w:r>
      <w:bookmarkEnd w:id="30"/>
      <w:r w:rsidRPr="00BB2DCB">
        <w:rPr>
          <w:rFonts w:asciiTheme="majorHAnsi" w:hAnsiTheme="majorHAnsi"/>
          <w:sz w:val="22"/>
          <w:szCs w:val="22"/>
        </w:rPr>
        <w:t xml:space="preserve"> </w:t>
      </w:r>
    </w:p>
    <w:p w14:paraId="4895B6D3" w14:textId="4E516CDF" w:rsidR="005915B6" w:rsidRDefault="003915C6" w:rsidP="003915C6">
      <w:pPr>
        <w:rPr>
          <w:lang w:eastAsia="en-AU"/>
        </w:rPr>
      </w:pPr>
      <w:r>
        <w:rPr>
          <w:lang w:eastAsia="en-AU"/>
        </w:rPr>
        <w:t xml:space="preserve">After considering information in the MJA report and </w:t>
      </w:r>
      <w:r w:rsidRPr="5CEE9FA0">
        <w:rPr>
          <w:rFonts w:eastAsia="Calibri"/>
        </w:rPr>
        <w:t>advice from a range of sources</w:t>
      </w:r>
      <w:r>
        <w:rPr>
          <w:rFonts w:eastAsia="Calibri"/>
        </w:rPr>
        <w:t>, t</w:t>
      </w:r>
      <w:r>
        <w:rPr>
          <w:lang w:eastAsia="en-AU"/>
        </w:rPr>
        <w:t>he NHTWG agreed that the two options that best represented possible pathways forward in relation to a future NHTS were Option 2 and Option 4</w:t>
      </w:r>
      <w:r w:rsidRPr="00D21C64">
        <w:rPr>
          <w:lang w:eastAsia="en-AU"/>
        </w:rPr>
        <w:t xml:space="preserve">.  </w:t>
      </w:r>
      <w:r w:rsidR="001208DE" w:rsidRPr="00D21C64">
        <w:rPr>
          <w:lang w:eastAsia="en-AU"/>
        </w:rPr>
        <w:t xml:space="preserve">Refer to Section </w:t>
      </w:r>
      <w:r w:rsidR="00122AB1" w:rsidRPr="00D21C64">
        <w:rPr>
          <w:lang w:eastAsia="en-AU"/>
        </w:rPr>
        <w:t>8</w:t>
      </w:r>
      <w:r w:rsidR="007052DA" w:rsidRPr="00D21C64">
        <w:rPr>
          <w:lang w:eastAsia="en-AU"/>
        </w:rPr>
        <w:t xml:space="preserve"> of</w:t>
      </w:r>
      <w:r w:rsidR="007052DA" w:rsidRPr="00267DA1">
        <w:rPr>
          <w:lang w:eastAsia="en-AU"/>
        </w:rPr>
        <w:t xml:space="preserve"> the report for further information on</w:t>
      </w:r>
      <w:r w:rsidR="007C236B" w:rsidRPr="00267DA1">
        <w:rPr>
          <w:lang w:eastAsia="en-AU"/>
        </w:rPr>
        <w:t xml:space="preserve"> the assessment of</w:t>
      </w:r>
      <w:r w:rsidR="00A914E9" w:rsidRPr="00267DA1">
        <w:rPr>
          <w:lang w:eastAsia="en-AU"/>
        </w:rPr>
        <w:t xml:space="preserve"> the</w:t>
      </w:r>
      <w:r w:rsidR="007052DA" w:rsidRPr="00267DA1">
        <w:rPr>
          <w:lang w:eastAsia="en-AU"/>
        </w:rPr>
        <w:t xml:space="preserve"> </w:t>
      </w:r>
      <w:r w:rsidR="007C236B" w:rsidRPr="00267DA1">
        <w:rPr>
          <w:lang w:eastAsia="en-AU"/>
        </w:rPr>
        <w:t>Options</w:t>
      </w:r>
      <w:r w:rsidR="00A914E9" w:rsidRPr="00267DA1">
        <w:rPr>
          <w:lang w:eastAsia="en-AU"/>
        </w:rPr>
        <w:t>.</w:t>
      </w:r>
    </w:p>
    <w:p w14:paraId="0483AE5D" w14:textId="5AD61543" w:rsidR="005915B6" w:rsidRPr="00BB2DCB" w:rsidRDefault="005915B6" w:rsidP="00283B1E">
      <w:pPr>
        <w:pStyle w:val="Heading3"/>
        <w:numPr>
          <w:ilvl w:val="0"/>
          <w:numId w:val="0"/>
        </w:numPr>
        <w:spacing w:after="120"/>
        <w:ind w:left="964" w:hanging="964"/>
        <w:rPr>
          <w:rFonts w:ascii="Cambria" w:hAnsi="Cambria"/>
          <w:sz w:val="22"/>
          <w:szCs w:val="22"/>
        </w:rPr>
      </w:pPr>
      <w:bookmarkStart w:id="31" w:name="_Toc121397569"/>
      <w:r w:rsidRPr="00BB2DCB">
        <w:rPr>
          <w:rFonts w:ascii="Cambria" w:hAnsi="Cambria"/>
          <w:sz w:val="22"/>
          <w:szCs w:val="22"/>
        </w:rPr>
        <w:t>K</w:t>
      </w:r>
      <w:r w:rsidR="00164B92">
        <w:rPr>
          <w:rFonts w:ascii="Cambria" w:hAnsi="Cambria"/>
          <w:sz w:val="22"/>
          <w:szCs w:val="22"/>
        </w:rPr>
        <w:t>PM</w:t>
      </w:r>
      <w:r w:rsidRPr="00BB2DCB">
        <w:rPr>
          <w:rFonts w:ascii="Cambria" w:hAnsi="Cambria"/>
          <w:sz w:val="22"/>
          <w:szCs w:val="22"/>
        </w:rPr>
        <w:t>G report – Design, governance and funding of a NHTS</w:t>
      </w:r>
      <w:bookmarkEnd w:id="31"/>
    </w:p>
    <w:p w14:paraId="3046C6BF" w14:textId="3DF83510" w:rsidR="003915C6" w:rsidRPr="0013688D" w:rsidRDefault="003915C6" w:rsidP="003915C6">
      <w:pPr>
        <w:rPr>
          <w:lang w:eastAsia="en-AU"/>
        </w:rPr>
      </w:pPr>
      <w:r>
        <w:rPr>
          <w:lang w:eastAsia="en-AU"/>
        </w:rPr>
        <w:t>On behalf of the NHTWG, K</w:t>
      </w:r>
      <w:r w:rsidR="00164B92">
        <w:rPr>
          <w:lang w:eastAsia="en-AU"/>
        </w:rPr>
        <w:t>PM</w:t>
      </w:r>
      <w:r>
        <w:rPr>
          <w:lang w:eastAsia="en-AU"/>
        </w:rPr>
        <w:t>G was engaged to prepare a report focusing in particular on Options 2 and 4.  The K</w:t>
      </w:r>
      <w:r w:rsidR="008A626F">
        <w:rPr>
          <w:lang w:eastAsia="en-AU"/>
        </w:rPr>
        <w:t>P</w:t>
      </w:r>
      <w:r>
        <w:rPr>
          <w:lang w:eastAsia="en-AU"/>
        </w:rPr>
        <w:t xml:space="preserve">MG report entitled </w:t>
      </w:r>
      <w:r w:rsidRPr="007A12EE">
        <w:rPr>
          <w:i/>
          <w:iCs/>
          <w:lang w:eastAsia="en-AU"/>
        </w:rPr>
        <w:t>‘Scoping of models for the design, governance and funding of a national horse traceability system</w:t>
      </w:r>
      <w:r>
        <w:rPr>
          <w:i/>
          <w:iCs/>
          <w:lang w:eastAsia="en-AU"/>
        </w:rPr>
        <w:t xml:space="preserve">’ </w:t>
      </w:r>
      <w:r w:rsidRPr="0052494F">
        <w:rPr>
          <w:lang w:eastAsia="en-AU"/>
        </w:rPr>
        <w:t>was finalised in August 2022</w:t>
      </w:r>
      <w:r>
        <w:rPr>
          <w:i/>
          <w:iCs/>
          <w:lang w:eastAsia="en-AU"/>
        </w:rPr>
        <w:t xml:space="preserve"> </w:t>
      </w:r>
      <w:r>
        <w:rPr>
          <w:rFonts w:asciiTheme="majorHAnsi" w:eastAsiaTheme="majorEastAsia" w:hAnsiTheme="majorHAnsi" w:cstheme="majorBidi"/>
        </w:rPr>
        <w:t>(see Section 7 of this report</w:t>
      </w:r>
      <w:r w:rsidR="00164B92">
        <w:rPr>
          <w:rFonts w:asciiTheme="majorHAnsi" w:eastAsiaTheme="majorEastAsia" w:hAnsiTheme="majorHAnsi" w:cstheme="majorBidi"/>
        </w:rPr>
        <w:t xml:space="preserve"> for more detailed information on Options 2 and 4</w:t>
      </w:r>
      <w:r>
        <w:rPr>
          <w:rFonts w:asciiTheme="majorHAnsi" w:eastAsiaTheme="majorEastAsia" w:hAnsiTheme="majorHAnsi" w:cstheme="majorBidi"/>
        </w:rPr>
        <w:t>).</w:t>
      </w:r>
    </w:p>
    <w:p w14:paraId="0E166BA3" w14:textId="77777777" w:rsidR="006E3421" w:rsidRPr="006E3421" w:rsidRDefault="006E3421" w:rsidP="007A12EE">
      <w:pPr>
        <w:pStyle w:val="bodywithletters"/>
        <w:rPr>
          <w:lang w:eastAsia="ja-JP"/>
        </w:rPr>
      </w:pPr>
    </w:p>
    <w:p w14:paraId="10AB54DC" w14:textId="77777777" w:rsidR="00787121" w:rsidRPr="00246384" w:rsidRDefault="00787121" w:rsidP="00787121">
      <w:pPr>
        <w:pStyle w:val="Heading2"/>
        <w:rPr>
          <w:rFonts w:ascii="Cambria" w:hAnsi="Cambria"/>
        </w:rPr>
      </w:pPr>
      <w:bookmarkStart w:id="32" w:name="_Toc121397570"/>
      <w:r w:rsidRPr="00246384">
        <w:rPr>
          <w:rFonts w:ascii="Cambria" w:hAnsi="Cambria"/>
        </w:rPr>
        <w:lastRenderedPageBreak/>
        <w:t>Preferred traceability option and recommendations</w:t>
      </w:r>
      <w:bookmarkEnd w:id="32"/>
      <w:r w:rsidRPr="00246384">
        <w:rPr>
          <w:rFonts w:ascii="Cambria" w:hAnsi="Cambria"/>
        </w:rPr>
        <w:t xml:space="preserve"> </w:t>
      </w:r>
    </w:p>
    <w:p w14:paraId="17E33432" w14:textId="77777777" w:rsidR="00787121" w:rsidRPr="002E1A6A" w:rsidRDefault="00787121" w:rsidP="00787121">
      <w:pPr>
        <w:pStyle w:val="Heading3"/>
        <w:numPr>
          <w:ilvl w:val="1"/>
          <w:numId w:val="0"/>
        </w:numPr>
        <w:spacing w:after="120"/>
        <w:ind w:left="964" w:hanging="964"/>
        <w:rPr>
          <w:rFonts w:asciiTheme="majorHAnsi" w:hAnsiTheme="majorHAnsi"/>
          <w:sz w:val="22"/>
          <w:szCs w:val="22"/>
          <w:lang w:eastAsia="ja-JP"/>
        </w:rPr>
      </w:pPr>
      <w:bookmarkStart w:id="33" w:name="_Toc121397571"/>
      <w:r w:rsidRPr="002E1A6A">
        <w:rPr>
          <w:rFonts w:asciiTheme="majorHAnsi" w:hAnsiTheme="majorHAnsi"/>
          <w:sz w:val="22"/>
          <w:szCs w:val="22"/>
          <w:lang w:eastAsia="ja-JP"/>
        </w:rPr>
        <w:t>Preferred option</w:t>
      </w:r>
      <w:bookmarkEnd w:id="33"/>
    </w:p>
    <w:p w14:paraId="02562574" w14:textId="77777777" w:rsidR="00787121" w:rsidRDefault="00787121" w:rsidP="00787121">
      <w:pPr>
        <w:rPr>
          <w:rFonts w:asciiTheme="majorHAnsi" w:hAnsiTheme="majorHAnsi"/>
          <w:lang w:eastAsia="ja-JP"/>
        </w:rPr>
      </w:pPr>
      <w:r>
        <w:rPr>
          <w:rFonts w:asciiTheme="majorHAnsi" w:hAnsiTheme="majorHAnsi"/>
          <w:lang w:eastAsia="ja-JP"/>
        </w:rPr>
        <w:t xml:space="preserve">Four design options for a horse traceability system with biosecurity as its focus were identified through a review project undertaken to assist the NHTWG by MJA. </w:t>
      </w:r>
    </w:p>
    <w:p w14:paraId="3DE78AF6" w14:textId="03102507" w:rsidR="00787121" w:rsidRDefault="00787121" w:rsidP="00787121">
      <w:pPr>
        <w:rPr>
          <w:rFonts w:asciiTheme="majorHAnsi" w:hAnsiTheme="majorHAnsi"/>
          <w:highlight w:val="yellow"/>
          <w:lang w:eastAsia="ja-JP"/>
        </w:rPr>
      </w:pPr>
      <w:r>
        <w:rPr>
          <w:rFonts w:asciiTheme="majorHAnsi" w:hAnsiTheme="majorHAnsi"/>
          <w:lang w:eastAsia="ja-JP"/>
        </w:rPr>
        <w:t>The NHTWG has focused on two of these options, leading to more detailed consideration of the possible design and operational features of a National Horse Traceability System (NHTS).</w:t>
      </w:r>
      <w:r w:rsidDel="00CA6EA5">
        <w:rPr>
          <w:rFonts w:asciiTheme="majorHAnsi" w:hAnsiTheme="majorHAnsi"/>
          <w:lang w:eastAsia="ja-JP"/>
        </w:rPr>
        <w:t xml:space="preserve"> </w:t>
      </w:r>
      <w:r>
        <w:rPr>
          <w:rFonts w:asciiTheme="majorHAnsi" w:hAnsiTheme="majorHAnsi"/>
          <w:lang w:eastAsia="ja-JP"/>
        </w:rPr>
        <w:t>These options are a system based on the use of Property Identification Codes (PICs) complemented by the recording of horse movements by industry participants (Option 2), and a microchip-based system supported by a national ownership and movement database (Option 4)</w:t>
      </w:r>
      <w:r w:rsidR="00826322">
        <w:rPr>
          <w:rStyle w:val="FootnoteReference"/>
          <w:rFonts w:asciiTheme="majorHAnsi" w:hAnsiTheme="majorHAnsi"/>
          <w:lang w:eastAsia="ja-JP"/>
        </w:rPr>
        <w:t>1</w:t>
      </w:r>
      <w:r w:rsidR="00826322">
        <w:rPr>
          <w:rFonts w:asciiTheme="majorHAnsi" w:hAnsiTheme="majorHAnsi"/>
          <w:lang w:eastAsia="ja-JP"/>
        </w:rPr>
        <w:t xml:space="preserve">.  </w:t>
      </w:r>
      <w:r>
        <w:rPr>
          <w:rFonts w:asciiTheme="majorHAnsi" w:hAnsiTheme="majorHAnsi"/>
          <w:lang w:eastAsia="ja-JP"/>
        </w:rPr>
        <w:t>KPMG determined that both Options are expected to deliver the desired biosecurity outcomes, but Option 2 is substantially more cost effective in delivering these outcomes – including implementation and ongoing costs to horse owners</w:t>
      </w:r>
      <w:r w:rsidR="00915689">
        <w:rPr>
          <w:rStyle w:val="FootnoteReference"/>
          <w:rFonts w:asciiTheme="majorHAnsi" w:hAnsiTheme="majorHAnsi"/>
          <w:lang w:eastAsia="ja-JP"/>
        </w:rPr>
        <w:t>2</w:t>
      </w:r>
      <w:r w:rsidR="008A626F">
        <w:rPr>
          <w:rFonts w:asciiTheme="majorHAnsi" w:hAnsiTheme="majorHAnsi"/>
          <w:lang w:eastAsia="ja-JP"/>
        </w:rPr>
        <w:t>.</w:t>
      </w:r>
    </w:p>
    <w:p w14:paraId="76CAE592" w14:textId="77777777" w:rsidR="00787121" w:rsidRPr="0059437D" w:rsidRDefault="00787121" w:rsidP="00787121">
      <w:r w:rsidRPr="6EEF17EB">
        <w:rPr>
          <w:rFonts w:asciiTheme="majorHAnsi" w:hAnsiTheme="majorHAnsi"/>
          <w:lang w:eastAsia="ja-JP"/>
        </w:rPr>
        <w:t>The preferred option that the NHTWG proposes be considered by AMM to improve the ability to track horses is</w:t>
      </w:r>
      <w:r>
        <w:rPr>
          <w:rFonts w:asciiTheme="majorHAnsi" w:hAnsiTheme="majorHAnsi"/>
          <w:lang w:eastAsia="ja-JP"/>
        </w:rPr>
        <w:t xml:space="preserve"> Option 2 as described in the proposed business rules (Appendix A).  Its</w:t>
      </w:r>
      <w:r w:rsidRPr="00835D88">
        <w:t xml:space="preserve"> </w:t>
      </w:r>
      <w:r>
        <w:t>features are as follows:</w:t>
      </w:r>
      <w:r w:rsidRPr="0059437D">
        <w:t xml:space="preserve"> </w:t>
      </w:r>
    </w:p>
    <w:p w14:paraId="60D5F997" w14:textId="77777777" w:rsidR="00787121" w:rsidRPr="00DA06C7" w:rsidRDefault="00787121" w:rsidP="00787121">
      <w:pPr>
        <w:pStyle w:val="ListBullet"/>
        <w:widowControl w:val="0"/>
        <w:tabs>
          <w:tab w:val="num" w:pos="851"/>
        </w:tabs>
        <w:spacing w:before="60" w:after="60" w:line="288" w:lineRule="auto"/>
        <w:ind w:left="709"/>
        <w:rPr>
          <w:lang w:eastAsia="en-AU"/>
        </w:rPr>
      </w:pPr>
      <w:r>
        <w:rPr>
          <w:lang w:eastAsia="en-AU"/>
        </w:rPr>
        <w:t xml:space="preserve">The registration and assigning of PICs to all properties throughout Australia on which domesticated horses reside </w:t>
      </w:r>
    </w:p>
    <w:p w14:paraId="0BD4F0E6" w14:textId="77777777" w:rsidR="00787121" w:rsidRPr="00DA06C7" w:rsidRDefault="00787121" w:rsidP="00787121">
      <w:pPr>
        <w:pStyle w:val="ListBullet"/>
        <w:widowControl w:val="0"/>
        <w:tabs>
          <w:tab w:val="num" w:pos="851"/>
        </w:tabs>
        <w:spacing w:before="60" w:after="60" w:line="288" w:lineRule="auto"/>
        <w:ind w:left="709"/>
        <w:rPr>
          <w:lang w:eastAsia="en-AU"/>
        </w:rPr>
      </w:pPr>
      <w:r>
        <w:rPr>
          <w:lang w:eastAsia="en-AU"/>
        </w:rPr>
        <w:t>U</w:t>
      </w:r>
      <w:r w:rsidRPr="00DA06C7">
        <w:rPr>
          <w:lang w:eastAsia="en-AU"/>
        </w:rPr>
        <w:t>niform national PIC​ business rules</w:t>
      </w:r>
      <w:r>
        <w:rPr>
          <w:lang w:eastAsia="en-AU"/>
        </w:rPr>
        <w:t xml:space="preserve"> for properties on which horses reside</w:t>
      </w:r>
    </w:p>
    <w:p w14:paraId="032A4F45" w14:textId="77777777" w:rsidR="00787121" w:rsidRPr="00DA06C7" w:rsidRDefault="00787121" w:rsidP="00787121">
      <w:pPr>
        <w:pStyle w:val="ListBullet"/>
        <w:widowControl w:val="0"/>
        <w:tabs>
          <w:tab w:val="num" w:pos="851"/>
        </w:tabs>
        <w:spacing w:before="60" w:after="60" w:line="288" w:lineRule="auto"/>
        <w:ind w:left="709"/>
        <w:rPr>
          <w:lang w:eastAsia="en-AU"/>
        </w:rPr>
      </w:pPr>
      <w:r>
        <w:rPr>
          <w:lang w:eastAsia="en-AU"/>
        </w:rPr>
        <w:t>E</w:t>
      </w:r>
      <w:r w:rsidRPr="00DA06C7">
        <w:rPr>
          <w:lang w:eastAsia="en-AU"/>
        </w:rPr>
        <w:t xml:space="preserve">nforcement </w:t>
      </w:r>
      <w:r>
        <w:rPr>
          <w:lang w:eastAsia="en-AU"/>
        </w:rPr>
        <w:t xml:space="preserve">by the jurisdictions </w:t>
      </w:r>
      <w:r w:rsidRPr="00DA06C7">
        <w:rPr>
          <w:lang w:eastAsia="en-AU"/>
        </w:rPr>
        <w:t xml:space="preserve">of PIC </w:t>
      </w:r>
      <w:r>
        <w:rPr>
          <w:lang w:eastAsia="en-AU"/>
        </w:rPr>
        <w:t xml:space="preserve">rules and associated </w:t>
      </w:r>
      <w:r w:rsidRPr="00DA06C7">
        <w:rPr>
          <w:lang w:eastAsia="en-AU"/>
        </w:rPr>
        <w:t>legislation</w:t>
      </w:r>
    </w:p>
    <w:p w14:paraId="092FC7E3" w14:textId="77777777" w:rsidR="00787121" w:rsidRPr="00DA06C7" w:rsidRDefault="00787121" w:rsidP="00787121">
      <w:pPr>
        <w:pStyle w:val="ListBullet"/>
        <w:widowControl w:val="0"/>
        <w:tabs>
          <w:tab w:val="num" w:pos="851"/>
        </w:tabs>
        <w:spacing w:before="60" w:after="60" w:line="288" w:lineRule="auto"/>
        <w:ind w:left="709"/>
        <w:rPr>
          <w:lang w:eastAsia="en-AU"/>
        </w:rPr>
      </w:pPr>
      <w:r>
        <w:rPr>
          <w:lang w:eastAsia="en-AU"/>
        </w:rPr>
        <w:t>M</w:t>
      </w:r>
      <w:r w:rsidRPr="00DA06C7">
        <w:rPr>
          <w:lang w:eastAsia="en-AU"/>
        </w:rPr>
        <w:t xml:space="preserve">andatory recording </w:t>
      </w:r>
      <w:r>
        <w:rPr>
          <w:lang w:eastAsia="en-AU"/>
        </w:rPr>
        <w:t xml:space="preserve">by industry participants </w:t>
      </w:r>
      <w:r w:rsidRPr="00DA06C7">
        <w:rPr>
          <w:lang w:eastAsia="en-AU"/>
        </w:rPr>
        <w:t xml:space="preserve">of </w:t>
      </w:r>
      <w:r>
        <w:rPr>
          <w:lang w:eastAsia="en-AU"/>
        </w:rPr>
        <w:t xml:space="preserve">horse </w:t>
      </w:r>
      <w:r w:rsidRPr="00DA06C7">
        <w:rPr>
          <w:lang w:eastAsia="en-AU"/>
        </w:rPr>
        <w:t xml:space="preserve">movements </w:t>
      </w:r>
      <w:r>
        <w:rPr>
          <w:lang w:eastAsia="en-AU"/>
        </w:rPr>
        <w:t xml:space="preserve">between PICs </w:t>
      </w:r>
    </w:p>
    <w:p w14:paraId="0913FD54" w14:textId="77777777" w:rsidR="00787121" w:rsidRDefault="00787121" w:rsidP="00787121">
      <w:pPr>
        <w:pStyle w:val="ListBullet"/>
        <w:widowControl w:val="0"/>
        <w:tabs>
          <w:tab w:val="num" w:pos="851"/>
        </w:tabs>
        <w:spacing w:before="60" w:after="60" w:line="288" w:lineRule="auto"/>
        <w:ind w:left="709"/>
        <w:rPr>
          <w:lang w:eastAsia="en-AU"/>
        </w:rPr>
      </w:pPr>
      <w:r>
        <w:rPr>
          <w:lang w:eastAsia="en-AU"/>
        </w:rPr>
        <w:t>V</w:t>
      </w:r>
      <w:r w:rsidRPr="00DA06C7">
        <w:rPr>
          <w:lang w:eastAsia="en-AU"/>
        </w:rPr>
        <w:t>oluntary microchipping</w:t>
      </w:r>
      <w:r>
        <w:rPr>
          <w:lang w:eastAsia="en-AU"/>
        </w:rPr>
        <w:t xml:space="preserve"> in a standardised manner</w:t>
      </w:r>
      <w:r w:rsidRPr="00DA06C7">
        <w:rPr>
          <w:lang w:eastAsia="en-AU"/>
        </w:rPr>
        <w:t xml:space="preserve"> and </w:t>
      </w:r>
      <w:r>
        <w:rPr>
          <w:lang w:eastAsia="en-AU"/>
        </w:rPr>
        <w:t xml:space="preserve">associated </w:t>
      </w:r>
      <w:r w:rsidRPr="00DA06C7">
        <w:rPr>
          <w:lang w:eastAsia="en-AU"/>
        </w:rPr>
        <w:t>registration</w:t>
      </w:r>
      <w:r>
        <w:rPr>
          <w:lang w:eastAsia="en-AU"/>
        </w:rPr>
        <w:t xml:space="preserve"> of ‘chipped’ horses on existing databases</w:t>
      </w:r>
    </w:p>
    <w:p w14:paraId="5EEA29EA" w14:textId="77777777" w:rsidR="00787121" w:rsidRPr="00DA06C7" w:rsidRDefault="00787121" w:rsidP="00787121">
      <w:pPr>
        <w:pStyle w:val="ListBullet"/>
        <w:widowControl w:val="0"/>
        <w:tabs>
          <w:tab w:val="num" w:pos="851"/>
        </w:tabs>
        <w:spacing w:before="60" w:after="60" w:line="288" w:lineRule="auto"/>
        <w:ind w:left="709"/>
        <w:rPr>
          <w:lang w:eastAsia="en-AU"/>
        </w:rPr>
      </w:pPr>
      <w:r>
        <w:rPr>
          <w:lang w:eastAsia="en-AU"/>
        </w:rPr>
        <w:t>M</w:t>
      </w:r>
      <w:r w:rsidRPr="00DA06C7">
        <w:rPr>
          <w:lang w:eastAsia="en-AU"/>
        </w:rPr>
        <w:t xml:space="preserve">andatory </w:t>
      </w:r>
      <w:r>
        <w:rPr>
          <w:lang w:eastAsia="en-AU"/>
        </w:rPr>
        <w:t>microchipping as an option in sectors where there is a particular need, such as to support integrity imperatives within the racing industries</w:t>
      </w:r>
      <w:r w:rsidRPr="00DA06C7" w:rsidDel="000954E9">
        <w:rPr>
          <w:lang w:eastAsia="en-AU"/>
        </w:rPr>
        <w:t xml:space="preserve"> </w:t>
      </w:r>
      <w:r w:rsidRPr="00DA06C7">
        <w:rPr>
          <w:lang w:eastAsia="en-AU"/>
        </w:rPr>
        <w:t>​</w:t>
      </w:r>
    </w:p>
    <w:p w14:paraId="5856DF9C" w14:textId="77777777" w:rsidR="00787121" w:rsidRPr="00DA06C7" w:rsidRDefault="00787121" w:rsidP="00787121">
      <w:pPr>
        <w:pStyle w:val="ListBullet"/>
        <w:widowControl w:val="0"/>
        <w:spacing w:before="60" w:after="60" w:line="288" w:lineRule="auto"/>
        <w:ind w:left="709"/>
        <w:rPr>
          <w:lang w:eastAsia="en-AU"/>
        </w:rPr>
      </w:pPr>
      <w:r>
        <w:rPr>
          <w:lang w:eastAsia="en-AU"/>
        </w:rPr>
        <w:t xml:space="preserve">Use of </w:t>
      </w:r>
      <w:r w:rsidRPr="00DA06C7">
        <w:rPr>
          <w:lang w:eastAsia="en-AU"/>
        </w:rPr>
        <w:t>industry managed microchip or paper-based tracking ​</w:t>
      </w:r>
      <w:r>
        <w:rPr>
          <w:lang w:eastAsia="en-AU"/>
        </w:rPr>
        <w:t>(n</w:t>
      </w:r>
      <w:r w:rsidRPr="00DA06C7">
        <w:rPr>
          <w:lang w:eastAsia="en-AU"/>
        </w:rPr>
        <w:t xml:space="preserve">o national </w:t>
      </w:r>
      <w:r>
        <w:rPr>
          <w:lang w:eastAsia="en-AU"/>
        </w:rPr>
        <w:t xml:space="preserve">ownership or movement </w:t>
      </w:r>
      <w:r w:rsidRPr="00DA06C7">
        <w:rPr>
          <w:lang w:eastAsia="en-AU"/>
        </w:rPr>
        <w:t>register)​</w:t>
      </w:r>
    </w:p>
    <w:p w14:paraId="17CD424F" w14:textId="77777777" w:rsidR="00787121" w:rsidRDefault="00787121" w:rsidP="00787121">
      <w:pPr>
        <w:pStyle w:val="ListBullet"/>
        <w:widowControl w:val="0"/>
        <w:tabs>
          <w:tab w:val="num" w:pos="851"/>
        </w:tabs>
        <w:spacing w:before="60" w:after="60" w:line="288" w:lineRule="auto"/>
        <w:ind w:left="709"/>
        <w:rPr>
          <w:lang w:eastAsia="en-AU"/>
        </w:rPr>
      </w:pPr>
      <w:r w:rsidRPr="00DA06C7">
        <w:rPr>
          <w:lang w:eastAsia="en-AU"/>
        </w:rPr>
        <w:t xml:space="preserve">Industry </w:t>
      </w:r>
      <w:r>
        <w:rPr>
          <w:lang w:eastAsia="en-AU"/>
        </w:rPr>
        <w:t>r</w:t>
      </w:r>
      <w:r w:rsidRPr="00DA06C7">
        <w:rPr>
          <w:lang w:eastAsia="en-AU"/>
        </w:rPr>
        <w:t xml:space="preserve">egisters </w:t>
      </w:r>
      <w:r>
        <w:rPr>
          <w:lang w:eastAsia="en-AU"/>
        </w:rPr>
        <w:t>that record</w:t>
      </w:r>
      <w:r w:rsidRPr="00DA06C7">
        <w:rPr>
          <w:lang w:eastAsia="en-AU"/>
        </w:rPr>
        <w:t xml:space="preserve"> PIC </w:t>
      </w:r>
      <w:r>
        <w:rPr>
          <w:lang w:eastAsia="en-AU"/>
        </w:rPr>
        <w:t xml:space="preserve">details in relation to locations where horses owned or managed by constituents reside </w:t>
      </w:r>
    </w:p>
    <w:p w14:paraId="387593FC" w14:textId="71ABCF3A" w:rsidR="00787121" w:rsidRPr="00DA06C7" w:rsidRDefault="00787121" w:rsidP="00787121">
      <w:pPr>
        <w:pStyle w:val="ListBullet"/>
        <w:widowControl w:val="0"/>
        <w:tabs>
          <w:tab w:val="num" w:pos="851"/>
        </w:tabs>
        <w:spacing w:before="60" w:after="60" w:line="288" w:lineRule="auto"/>
        <w:ind w:left="709"/>
        <w:rPr>
          <w:lang w:eastAsia="en-AU"/>
        </w:rPr>
      </w:pPr>
      <w:r w:rsidRPr="00DA06C7">
        <w:rPr>
          <w:lang w:eastAsia="en-AU"/>
        </w:rPr>
        <w:t xml:space="preserve">Industry registers </w:t>
      </w:r>
      <w:r>
        <w:rPr>
          <w:lang w:eastAsia="en-AU"/>
        </w:rPr>
        <w:t>with</w:t>
      </w:r>
      <w:r w:rsidRPr="00DA06C7">
        <w:rPr>
          <w:lang w:eastAsia="en-AU"/>
        </w:rPr>
        <w:t xml:space="preserve"> authority to release data to government agencies specifically and exclusively for biosecurity and emergency response purposes</w:t>
      </w:r>
      <w:r w:rsidR="00183B7A">
        <w:rPr>
          <w:lang w:eastAsia="en-AU"/>
        </w:rPr>
        <w:t>.</w:t>
      </w:r>
    </w:p>
    <w:p w14:paraId="11BB08BC" w14:textId="77777777" w:rsidR="00787121" w:rsidRDefault="00787121" w:rsidP="00787121">
      <w:pPr>
        <w:rPr>
          <w:rFonts w:asciiTheme="majorHAnsi" w:hAnsiTheme="majorHAnsi"/>
          <w:lang w:eastAsia="ja-JP"/>
        </w:rPr>
      </w:pPr>
      <w:r>
        <w:rPr>
          <w:rFonts w:asciiTheme="majorHAnsi" w:hAnsiTheme="majorHAnsi"/>
          <w:lang w:eastAsia="ja-JP"/>
        </w:rPr>
        <w:t>Other recommended complementary activities include</w:t>
      </w:r>
      <w:r w:rsidRPr="6EEF17EB">
        <w:rPr>
          <w:rFonts w:asciiTheme="majorHAnsi" w:hAnsiTheme="majorHAnsi"/>
          <w:lang w:eastAsia="ja-JP"/>
        </w:rPr>
        <w:t>:</w:t>
      </w:r>
    </w:p>
    <w:p w14:paraId="4F4AD423" w14:textId="04D62DD6" w:rsidR="00787121" w:rsidRDefault="00787121" w:rsidP="00787121">
      <w:pPr>
        <w:pStyle w:val="ListBullet"/>
        <w:widowControl w:val="0"/>
        <w:tabs>
          <w:tab w:val="num" w:pos="851"/>
        </w:tabs>
        <w:spacing w:before="0" w:line="288" w:lineRule="auto"/>
        <w:ind w:left="644" w:hanging="360"/>
        <w:rPr>
          <w:rFonts w:asciiTheme="majorHAnsi" w:hAnsiTheme="majorHAnsi"/>
          <w:lang w:eastAsia="en-AU"/>
        </w:rPr>
      </w:pPr>
      <w:r>
        <w:rPr>
          <w:rFonts w:asciiTheme="majorHAnsi" w:hAnsiTheme="majorHAnsi"/>
          <w:lang w:eastAsia="en-AU"/>
        </w:rPr>
        <w:t>Refreshing of the PIC registers maintained by the jurisdictions for all parcels of land on which horses reside, with ongoing work to ensure that these registers remain accurate and up-to-date</w:t>
      </w:r>
    </w:p>
    <w:p w14:paraId="04B91344" w14:textId="77777777" w:rsidR="00787121" w:rsidRPr="000F0B50" w:rsidRDefault="00787121" w:rsidP="00787121">
      <w:pPr>
        <w:pStyle w:val="ListBullet"/>
        <w:widowControl w:val="0"/>
        <w:tabs>
          <w:tab w:val="num" w:pos="851"/>
        </w:tabs>
        <w:spacing w:before="0" w:line="288" w:lineRule="auto"/>
        <w:ind w:left="644" w:hanging="360"/>
        <w:rPr>
          <w:rFonts w:asciiTheme="majorHAnsi" w:hAnsiTheme="majorHAnsi"/>
          <w:lang w:eastAsia="en-AU"/>
        </w:rPr>
      </w:pPr>
      <w:r>
        <w:rPr>
          <w:rFonts w:asciiTheme="majorHAnsi" w:hAnsiTheme="majorHAnsi"/>
          <w:lang w:eastAsia="en-AU"/>
        </w:rPr>
        <w:t xml:space="preserve">Working with </w:t>
      </w:r>
      <w:r w:rsidRPr="6EEF17EB">
        <w:rPr>
          <w:rFonts w:asciiTheme="majorHAnsi" w:hAnsiTheme="majorHAnsi"/>
          <w:lang w:eastAsia="en-AU"/>
        </w:rPr>
        <w:t xml:space="preserve">existing identification </w:t>
      </w:r>
      <w:r>
        <w:rPr>
          <w:rFonts w:asciiTheme="majorHAnsi" w:hAnsiTheme="majorHAnsi"/>
          <w:lang w:eastAsia="en-AU"/>
        </w:rPr>
        <w:t>and movement recording registers to maximise their value during biosecurity emergencies and natural disasters</w:t>
      </w:r>
    </w:p>
    <w:p w14:paraId="4B24D54B" w14:textId="77777777" w:rsidR="00787121" w:rsidRPr="00EB4477" w:rsidRDefault="00787121" w:rsidP="00787121">
      <w:pPr>
        <w:pStyle w:val="ListBullet"/>
        <w:widowControl w:val="0"/>
        <w:tabs>
          <w:tab w:val="num" w:pos="851"/>
        </w:tabs>
        <w:spacing w:before="0" w:line="288" w:lineRule="auto"/>
        <w:ind w:left="644" w:hanging="360"/>
        <w:rPr>
          <w:rFonts w:asciiTheme="majorHAnsi" w:hAnsiTheme="majorHAnsi"/>
          <w:lang w:val="en"/>
        </w:rPr>
      </w:pPr>
      <w:r>
        <w:rPr>
          <w:rFonts w:asciiTheme="majorHAnsi" w:hAnsiTheme="majorHAnsi"/>
          <w:lang w:eastAsia="en-AU"/>
        </w:rPr>
        <w:lastRenderedPageBreak/>
        <w:t xml:space="preserve">Supporting </w:t>
      </w:r>
      <w:r w:rsidRPr="00EB4477">
        <w:rPr>
          <w:rFonts w:asciiTheme="majorHAnsi" w:hAnsiTheme="majorHAnsi"/>
          <w:lang w:eastAsia="en-AU"/>
        </w:rPr>
        <w:t>registers accommodate, utilise and align with uniform PIC business rules</w:t>
      </w:r>
    </w:p>
    <w:p w14:paraId="5F1783EC" w14:textId="77777777" w:rsidR="00787121" w:rsidRPr="008B09E5" w:rsidRDefault="00787121" w:rsidP="00787121">
      <w:pPr>
        <w:pStyle w:val="ListBullet"/>
        <w:widowControl w:val="0"/>
        <w:tabs>
          <w:tab w:val="num" w:pos="851"/>
        </w:tabs>
        <w:spacing w:before="0" w:after="0" w:line="240" w:lineRule="auto"/>
        <w:ind w:left="644" w:hanging="360"/>
      </w:pPr>
      <w:r w:rsidRPr="00A35D6A">
        <w:rPr>
          <w:rFonts w:asciiTheme="majorHAnsi" w:hAnsiTheme="majorHAnsi"/>
          <w:lang w:eastAsia="en-AU"/>
        </w:rPr>
        <w:t>Encouraging registers to establish authority to release data to government agencies specifically</w:t>
      </w:r>
      <w:r>
        <w:rPr>
          <w:rFonts w:asciiTheme="majorHAnsi" w:hAnsiTheme="majorHAnsi"/>
          <w:lang w:eastAsia="en-AU"/>
        </w:rPr>
        <w:t xml:space="preserve"> for biosecurity and emergency response purposes</w:t>
      </w:r>
    </w:p>
    <w:p w14:paraId="242CE13C" w14:textId="77777777" w:rsidR="00787121" w:rsidRDefault="00787121" w:rsidP="00787121">
      <w:pPr>
        <w:pStyle w:val="ListBullet"/>
        <w:ind w:left="644" w:hanging="360"/>
        <w:rPr>
          <w:shd w:val="clear" w:color="auto" w:fill="FFFFFF"/>
        </w:rPr>
      </w:pPr>
      <w:r>
        <w:rPr>
          <w:shd w:val="clear" w:color="auto" w:fill="FFFFFF"/>
        </w:rPr>
        <w:t>E</w:t>
      </w:r>
      <w:r w:rsidRPr="004B6DB2">
        <w:rPr>
          <w:shd w:val="clear" w:color="auto" w:fill="FFFFFF"/>
        </w:rPr>
        <w:t>xplore opportunities for greater database integration and electronic movement record collection and storage</w:t>
      </w:r>
      <w:r>
        <w:rPr>
          <w:shd w:val="clear" w:color="auto" w:fill="FFFFFF"/>
        </w:rPr>
        <w:t xml:space="preserve"> including the possibility of adopting Universal Equine Life Number (UELN) standards.</w:t>
      </w:r>
      <w:r w:rsidRPr="004B6DB2">
        <w:rPr>
          <w:shd w:val="clear" w:color="auto" w:fill="FFFFFF"/>
        </w:rPr>
        <w:t xml:space="preserve"> </w:t>
      </w:r>
    </w:p>
    <w:p w14:paraId="68C96EDF" w14:textId="77777777" w:rsidR="00787121" w:rsidRPr="005254C7" w:rsidRDefault="00787121" w:rsidP="00787121">
      <w:pPr>
        <w:pStyle w:val="ListBullet"/>
        <w:widowControl w:val="0"/>
        <w:numPr>
          <w:ilvl w:val="0"/>
          <w:numId w:val="0"/>
        </w:numPr>
        <w:spacing w:before="0" w:after="0" w:line="240" w:lineRule="auto"/>
        <w:ind w:left="785" w:hanging="425"/>
      </w:pPr>
    </w:p>
    <w:p w14:paraId="12AF4412" w14:textId="77777777" w:rsidR="00787121" w:rsidRDefault="00787121" w:rsidP="00787121">
      <w:pPr>
        <w:rPr>
          <w:rFonts w:asciiTheme="majorHAnsi" w:hAnsiTheme="majorHAnsi"/>
        </w:rPr>
      </w:pPr>
      <w:r w:rsidRPr="3B8424AC">
        <w:rPr>
          <w:rFonts w:asciiTheme="majorHAnsi" w:hAnsiTheme="majorHAnsi"/>
          <w:color w:val="000000" w:themeColor="text1"/>
        </w:rPr>
        <w:t>Although ultimately the development of a NHTS incorporating greater functionality may be desirable, the NHTWG agree</w:t>
      </w:r>
      <w:r>
        <w:rPr>
          <w:rFonts w:asciiTheme="majorHAnsi" w:hAnsiTheme="majorHAnsi"/>
          <w:color w:val="000000" w:themeColor="text1"/>
        </w:rPr>
        <w:t>s</w:t>
      </w:r>
      <w:r w:rsidRPr="3B8424AC">
        <w:rPr>
          <w:rFonts w:asciiTheme="majorHAnsi" w:hAnsiTheme="majorHAnsi"/>
          <w:color w:val="000000" w:themeColor="text1"/>
        </w:rPr>
        <w:t xml:space="preserve"> that there needs to be a base level starting point that provides the platform to facilitate a move in time to </w:t>
      </w:r>
      <w:r>
        <w:rPr>
          <w:rFonts w:asciiTheme="majorHAnsi" w:hAnsiTheme="majorHAnsi"/>
          <w:color w:val="000000" w:themeColor="text1"/>
        </w:rPr>
        <w:t>a more advanced</w:t>
      </w:r>
      <w:r w:rsidRPr="3B8424AC">
        <w:rPr>
          <w:rFonts w:asciiTheme="majorHAnsi" w:hAnsiTheme="majorHAnsi"/>
          <w:color w:val="000000" w:themeColor="text1"/>
        </w:rPr>
        <w:t xml:space="preserve"> system</w:t>
      </w:r>
      <w:r>
        <w:rPr>
          <w:rFonts w:asciiTheme="majorHAnsi" w:hAnsiTheme="majorHAnsi"/>
          <w:color w:val="000000" w:themeColor="text1"/>
        </w:rPr>
        <w:t xml:space="preserve"> should this be industry’s wish</w:t>
      </w:r>
      <w:r w:rsidRPr="3B8424AC">
        <w:rPr>
          <w:rFonts w:asciiTheme="majorHAnsi" w:hAnsiTheme="majorHAnsi"/>
          <w:color w:val="000000" w:themeColor="text1"/>
        </w:rPr>
        <w:t xml:space="preserve">. </w:t>
      </w:r>
      <w:r w:rsidRPr="3B8424AC">
        <w:rPr>
          <w:rFonts w:asciiTheme="majorHAnsi" w:hAnsiTheme="majorHAnsi"/>
        </w:rPr>
        <w:t>Attempting to introduce as the starting point a more complicated and demanding system would lead to resourcing and compliance challenges that are likely to undermine successful implementation.  This, however, does not preclude the addition of further features and obligations</w:t>
      </w:r>
      <w:r>
        <w:rPr>
          <w:rFonts w:asciiTheme="majorHAnsi" w:hAnsiTheme="majorHAnsi"/>
        </w:rPr>
        <w:t xml:space="preserve"> by particular industry sectors to address their broader needs, or more generally</w:t>
      </w:r>
      <w:r w:rsidRPr="3B8424AC">
        <w:rPr>
          <w:rFonts w:asciiTheme="majorHAnsi" w:hAnsiTheme="majorHAnsi"/>
        </w:rPr>
        <w:t xml:space="preserve"> in the future.</w:t>
      </w:r>
      <w:r>
        <w:rPr>
          <w:rFonts w:asciiTheme="majorHAnsi" w:hAnsiTheme="majorHAnsi"/>
        </w:rPr>
        <w:t xml:space="preserve">  </w:t>
      </w:r>
      <w:r w:rsidRPr="001071A4">
        <w:rPr>
          <w:rFonts w:asciiTheme="majorHAnsi" w:hAnsiTheme="majorHAnsi"/>
        </w:rPr>
        <w:t xml:space="preserve">This includes features and obligations that </w:t>
      </w:r>
      <w:r>
        <w:rPr>
          <w:rFonts w:asciiTheme="majorHAnsi" w:hAnsiTheme="majorHAnsi"/>
        </w:rPr>
        <w:t>are likely to</w:t>
      </w:r>
      <w:r w:rsidRPr="001071A4">
        <w:rPr>
          <w:rFonts w:asciiTheme="majorHAnsi" w:hAnsiTheme="majorHAnsi"/>
        </w:rPr>
        <w:t xml:space="preserve"> be beneficial in relation to horse welfare</w:t>
      </w:r>
      <w:r>
        <w:rPr>
          <w:rFonts w:ascii="Calibri Light" w:hAnsi="Calibri Light" w:cs="Calibri Light"/>
          <w:lang w:eastAsia="en-AU"/>
        </w:rPr>
        <w:t>.</w:t>
      </w:r>
    </w:p>
    <w:p w14:paraId="68D31EF5" w14:textId="59FC1124" w:rsidR="00787121" w:rsidRPr="00CC269C" w:rsidRDefault="00787121" w:rsidP="00787121">
      <w:pPr>
        <w:pStyle w:val="Heading3"/>
        <w:numPr>
          <w:ilvl w:val="0"/>
          <w:numId w:val="0"/>
        </w:numPr>
        <w:spacing w:after="120"/>
        <w:ind w:left="964" w:hanging="964"/>
        <w:rPr>
          <w:rFonts w:ascii="Cambria" w:hAnsi="Cambria"/>
          <w:sz w:val="22"/>
          <w:szCs w:val="22"/>
        </w:rPr>
      </w:pPr>
      <w:bookmarkStart w:id="34" w:name="_Toc121397572"/>
      <w:r w:rsidRPr="00CC269C">
        <w:rPr>
          <w:rFonts w:ascii="Cambria" w:hAnsi="Cambria"/>
          <w:sz w:val="22"/>
          <w:szCs w:val="22"/>
        </w:rPr>
        <w:t>National Horse Traceability Implementation Task</w:t>
      </w:r>
      <w:r w:rsidR="00183B7A">
        <w:rPr>
          <w:rFonts w:ascii="Cambria" w:hAnsi="Cambria"/>
          <w:sz w:val="22"/>
          <w:szCs w:val="22"/>
        </w:rPr>
        <w:t>f</w:t>
      </w:r>
      <w:r w:rsidRPr="00CC269C">
        <w:rPr>
          <w:rFonts w:ascii="Cambria" w:hAnsi="Cambria"/>
          <w:sz w:val="22"/>
          <w:szCs w:val="22"/>
        </w:rPr>
        <w:t>orce</w:t>
      </w:r>
      <w:bookmarkEnd w:id="34"/>
    </w:p>
    <w:p w14:paraId="06579498" w14:textId="63CB0F49" w:rsidR="00787121" w:rsidRDefault="00787121" w:rsidP="00787121">
      <w:pPr>
        <w:rPr>
          <w:color w:val="000000"/>
          <w:shd w:val="clear" w:color="auto" w:fill="FFFFFF"/>
        </w:rPr>
      </w:pPr>
      <w:r>
        <w:rPr>
          <w:color w:val="000000"/>
          <w:shd w:val="clear" w:color="auto" w:fill="FFFFFF"/>
        </w:rPr>
        <w:t xml:space="preserve">An important consideration for the NHTWG is the mechanism through which further work on the development and introduction of a NHTS should be progressed.  NHTWG considers that the vehicle for this work should be a taskforce led by industry, with membership available to representatives from the Commonwealth and jurisdictions. </w:t>
      </w:r>
    </w:p>
    <w:p w14:paraId="68EC3ACC" w14:textId="77777777" w:rsidR="00787121" w:rsidRDefault="00787121" w:rsidP="00787121">
      <w:r>
        <w:rPr>
          <w:color w:val="000000"/>
          <w:shd w:val="clear" w:color="auto" w:fill="FFFFFF"/>
        </w:rPr>
        <w:t xml:space="preserve">The suggested name for this taskforce is the </w:t>
      </w:r>
      <w:r w:rsidRPr="00BF0CBD">
        <w:t>National Horse Traceability Implementation Taskforce (NHTIT)</w:t>
      </w:r>
      <w:r>
        <w:t xml:space="preserve">.  Its role would in the first instance focus on establishing funding arrangements to support the introduction and maintenance of a NHTS, defining the system’s KPIs, developing a communications plan and working with industry sectors to accommodate and gain maximum benefit from the system. </w:t>
      </w:r>
    </w:p>
    <w:p w14:paraId="49988B10" w14:textId="6CD027B5" w:rsidR="00787121" w:rsidRPr="00BF0CBD" w:rsidRDefault="00787121" w:rsidP="00787121">
      <w:pPr>
        <w:rPr>
          <w:color w:val="000000"/>
          <w:shd w:val="clear" w:color="auto" w:fill="FFFFFF"/>
        </w:rPr>
      </w:pPr>
      <w:r>
        <w:t xml:space="preserve">After five years from its ‘go live’ date, it is envisaged that NHTIT would engage an independent party to review the performance of the NHTS and </w:t>
      </w:r>
      <w:r w:rsidRPr="00BF0CBD">
        <w:rPr>
          <w:color w:val="000000"/>
          <w:shd w:val="clear" w:color="auto" w:fill="FFFFFF"/>
        </w:rPr>
        <w:t xml:space="preserve">consider the appropriateness of accommodating broader industry objectives potentially relating to </w:t>
      </w:r>
      <w:r w:rsidRPr="00BF0CBD">
        <w:t>animal welfare, emergency response management and the integrity of trade in horses</w:t>
      </w:r>
      <w:r w:rsidR="00183B7A">
        <w:t>.</w:t>
      </w:r>
    </w:p>
    <w:p w14:paraId="7C1BAE50" w14:textId="77777777" w:rsidR="00787121" w:rsidRPr="00BF0CBD" w:rsidRDefault="00787121" w:rsidP="00787121"/>
    <w:p w14:paraId="4CFB3A88" w14:textId="77777777" w:rsidR="00787121" w:rsidRDefault="00787121" w:rsidP="00787121">
      <w:pPr>
        <w:rPr>
          <w:rFonts w:asciiTheme="majorHAnsi" w:hAnsiTheme="majorHAnsi"/>
          <w:u w:val="single"/>
        </w:rPr>
      </w:pPr>
    </w:p>
    <w:p w14:paraId="5D015CD4" w14:textId="77777777" w:rsidR="00787121" w:rsidRDefault="00787121" w:rsidP="00787121">
      <w:pPr>
        <w:rPr>
          <w:rFonts w:asciiTheme="majorHAnsi" w:hAnsiTheme="majorHAnsi"/>
          <w:u w:val="single"/>
        </w:rPr>
      </w:pPr>
    </w:p>
    <w:p w14:paraId="357FF298" w14:textId="77777777" w:rsidR="00915689" w:rsidRDefault="00915689" w:rsidP="00787121">
      <w:pPr>
        <w:rPr>
          <w:rFonts w:asciiTheme="majorHAnsi" w:hAnsiTheme="majorHAnsi"/>
          <w:u w:val="single"/>
        </w:rPr>
      </w:pPr>
    </w:p>
    <w:p w14:paraId="66DE1CE9" w14:textId="77777777" w:rsidR="00915689" w:rsidRDefault="00915689" w:rsidP="00787121">
      <w:pPr>
        <w:rPr>
          <w:rFonts w:asciiTheme="majorHAnsi" w:hAnsiTheme="majorHAnsi"/>
          <w:u w:val="single"/>
        </w:rPr>
      </w:pPr>
    </w:p>
    <w:p w14:paraId="7DBF47B0" w14:textId="77777777" w:rsidR="00915689" w:rsidRPr="00D0059F" w:rsidRDefault="00915689" w:rsidP="00787121">
      <w:pPr>
        <w:rPr>
          <w:rFonts w:asciiTheme="majorHAnsi" w:hAnsiTheme="majorHAnsi"/>
          <w:u w:val="single"/>
        </w:rPr>
      </w:pPr>
    </w:p>
    <w:p w14:paraId="185320A9" w14:textId="01EC0648" w:rsidR="00787121" w:rsidRDefault="0053766D" w:rsidP="00600768">
      <w:pPr>
        <w:pStyle w:val="Heading3"/>
        <w:numPr>
          <w:ilvl w:val="1"/>
          <w:numId w:val="0"/>
        </w:numPr>
        <w:spacing w:after="120"/>
        <w:rPr>
          <w:rFonts w:asciiTheme="majorHAnsi" w:hAnsiTheme="majorHAnsi"/>
          <w:sz w:val="22"/>
          <w:szCs w:val="22"/>
          <w:lang w:eastAsia="ja-JP"/>
        </w:rPr>
      </w:pPr>
      <w:bookmarkStart w:id="35" w:name="_Toc121397573"/>
      <w:r>
        <w:rPr>
          <w:rFonts w:asciiTheme="majorHAnsi" w:hAnsiTheme="majorHAnsi"/>
          <w:sz w:val="22"/>
          <w:szCs w:val="22"/>
          <w:lang w:eastAsia="ja-JP"/>
        </w:rPr>
        <w:lastRenderedPageBreak/>
        <w:t>The r</w:t>
      </w:r>
      <w:r w:rsidR="00787121" w:rsidRPr="002E1A6A">
        <w:rPr>
          <w:rFonts w:asciiTheme="majorHAnsi" w:hAnsiTheme="majorHAnsi"/>
          <w:sz w:val="22"/>
          <w:szCs w:val="22"/>
          <w:lang w:eastAsia="ja-JP"/>
        </w:rPr>
        <w:t>ecommendations</w:t>
      </w:r>
      <w:r w:rsidR="00600768">
        <w:rPr>
          <w:rFonts w:asciiTheme="majorHAnsi" w:hAnsiTheme="majorHAnsi"/>
          <w:sz w:val="22"/>
          <w:szCs w:val="22"/>
          <w:lang w:eastAsia="ja-JP"/>
        </w:rPr>
        <w:t xml:space="preserve"> of the NHTWG regarding establishment of a NHTS in Australia are listed below in full:</w:t>
      </w:r>
      <w:bookmarkEnd w:id="35"/>
    </w:p>
    <w:p w14:paraId="4818BF99" w14:textId="77777777" w:rsidR="00787121" w:rsidRPr="00DA06C7" w:rsidRDefault="00787121" w:rsidP="00787121">
      <w:pPr>
        <w:pStyle w:val="ListParagraph"/>
        <w:numPr>
          <w:ilvl w:val="0"/>
          <w:numId w:val="70"/>
        </w:numPr>
        <w:spacing w:after="120" w:line="23" w:lineRule="atLeast"/>
        <w:rPr>
          <w:rFonts w:ascii="Cambria" w:hAnsi="Cambria" w:cstheme="minorBidi"/>
          <w:color w:val="000000"/>
          <w:shd w:val="clear" w:color="auto" w:fill="FFFFFF"/>
        </w:rPr>
      </w:pPr>
      <w:r w:rsidRPr="00DA06C7">
        <w:rPr>
          <w:rFonts w:ascii="Cambria" w:hAnsi="Cambria" w:cstheme="minorBidi"/>
          <w:color w:val="000000"/>
          <w:shd w:val="clear" w:color="auto" w:fill="FFFFFF"/>
        </w:rPr>
        <w:t>Australia’s NHTS should at its core address biosecurity threats and utilise the current property registration and PIC systems administered by the jurisdictions</w:t>
      </w:r>
    </w:p>
    <w:p w14:paraId="787B2001" w14:textId="77777777" w:rsidR="00787121" w:rsidRPr="00DA06C7" w:rsidRDefault="00787121" w:rsidP="00787121">
      <w:pPr>
        <w:pStyle w:val="ListParagraph"/>
        <w:numPr>
          <w:ilvl w:val="0"/>
          <w:numId w:val="70"/>
        </w:numPr>
        <w:spacing w:after="120" w:line="23" w:lineRule="atLeast"/>
        <w:rPr>
          <w:rFonts w:ascii="Cambria" w:eastAsiaTheme="majorEastAsia" w:hAnsi="Cambria" w:cstheme="majorBidi"/>
          <w:color w:val="000000"/>
          <w:shd w:val="clear" w:color="auto" w:fill="FFFFFF"/>
        </w:rPr>
      </w:pPr>
      <w:r w:rsidRPr="00DA06C7">
        <w:rPr>
          <w:rFonts w:ascii="Cambria" w:hAnsi="Cambria" w:cstheme="minorBidi"/>
          <w:color w:val="000000" w:themeColor="text1"/>
        </w:rPr>
        <w:t>Industry participants be required to</w:t>
      </w:r>
      <w:r>
        <w:rPr>
          <w:rFonts w:ascii="Cambria" w:hAnsi="Cambria" w:cstheme="minorBidi"/>
          <w:color w:val="000000" w:themeColor="text1"/>
        </w:rPr>
        <w:t xml:space="preserve"> generate and</w:t>
      </w:r>
      <w:r w:rsidRPr="00DA06C7">
        <w:rPr>
          <w:rFonts w:ascii="Cambria" w:hAnsi="Cambria" w:cstheme="minorBidi"/>
          <w:color w:val="000000" w:themeColor="text1"/>
        </w:rPr>
        <w:t xml:space="preserve"> maintain horse movement records. These records should be readily accessible to government agencies for use during biosecurity incidents and emergencies </w:t>
      </w:r>
    </w:p>
    <w:p w14:paraId="2687B4E2" w14:textId="77777777" w:rsidR="00787121" w:rsidRPr="00CD78AF" w:rsidRDefault="00787121" w:rsidP="00787121">
      <w:pPr>
        <w:pStyle w:val="ListParagraph"/>
        <w:numPr>
          <w:ilvl w:val="0"/>
          <w:numId w:val="70"/>
        </w:numPr>
        <w:spacing w:after="120" w:line="23" w:lineRule="atLeast"/>
        <w:rPr>
          <w:rFonts w:ascii="Cambria" w:eastAsiaTheme="majorEastAsia" w:hAnsi="Cambria" w:cstheme="majorBidi"/>
          <w:color w:val="000000"/>
          <w:shd w:val="clear" w:color="auto" w:fill="FFFFFF"/>
        </w:rPr>
      </w:pPr>
      <w:r w:rsidRPr="00DA06C7">
        <w:rPr>
          <w:rFonts w:ascii="Cambria" w:hAnsi="Cambria"/>
          <w:color w:val="000000" w:themeColor="text1"/>
        </w:rPr>
        <w:t xml:space="preserve">Subject to an agreement on funding (see recommendation </w:t>
      </w:r>
      <w:r>
        <w:rPr>
          <w:rFonts w:ascii="Cambria" w:hAnsi="Cambria"/>
          <w:color w:val="000000" w:themeColor="text1"/>
        </w:rPr>
        <w:t>7</w:t>
      </w:r>
      <w:r w:rsidRPr="00DA06C7">
        <w:rPr>
          <w:rFonts w:ascii="Cambria" w:hAnsi="Cambria"/>
          <w:color w:val="000000" w:themeColor="text1"/>
        </w:rPr>
        <w:t>), jurisdictions be asked to enact legislation by no later than 1 January 2025 that will support nationally consistent business rules relating to the operation of the NHTS (see Appendix A)</w:t>
      </w:r>
    </w:p>
    <w:p w14:paraId="3F3318F2" w14:textId="77777777" w:rsidR="00787121" w:rsidRPr="00DA06C7" w:rsidRDefault="00787121" w:rsidP="00787121">
      <w:pPr>
        <w:pStyle w:val="ListParagraph"/>
        <w:numPr>
          <w:ilvl w:val="0"/>
          <w:numId w:val="70"/>
        </w:numPr>
        <w:spacing w:after="120" w:line="23" w:lineRule="atLeast"/>
        <w:rPr>
          <w:rFonts w:ascii="Cambria" w:eastAsiaTheme="majorEastAsia" w:hAnsi="Cambria" w:cstheme="majorBidi"/>
          <w:color w:val="000000"/>
          <w:shd w:val="clear" w:color="auto" w:fill="FFFFFF"/>
        </w:rPr>
      </w:pPr>
      <w:r w:rsidRPr="00DA06C7">
        <w:rPr>
          <w:rFonts w:ascii="Cambria" w:hAnsi="Cambria" w:cstheme="minorBidi"/>
          <w:color w:val="000000" w:themeColor="text1"/>
        </w:rPr>
        <w:t xml:space="preserve">Industry be asked to commit to working cooperatively with government to introduce, support and utilise the system </w:t>
      </w:r>
    </w:p>
    <w:p w14:paraId="2650C366" w14:textId="77777777" w:rsidR="00787121" w:rsidRPr="00DA06C7" w:rsidRDefault="00787121" w:rsidP="00787121">
      <w:pPr>
        <w:pStyle w:val="ListParagraph"/>
        <w:numPr>
          <w:ilvl w:val="0"/>
          <w:numId w:val="70"/>
        </w:numPr>
        <w:spacing w:after="120" w:line="23" w:lineRule="atLeast"/>
        <w:rPr>
          <w:rFonts w:ascii="Cambria" w:hAnsi="Cambria"/>
          <w:color w:val="000000"/>
          <w:shd w:val="clear" w:color="auto" w:fill="FFFFFF"/>
        </w:rPr>
      </w:pPr>
      <w:r w:rsidRPr="00DA06C7">
        <w:rPr>
          <w:rFonts w:ascii="Cambria" w:hAnsi="Cambria" w:cstheme="minorBidi"/>
          <w:color w:val="000000"/>
          <w:shd w:val="clear" w:color="auto" w:fill="FFFFFF"/>
        </w:rPr>
        <w:t xml:space="preserve">Existing commercial and industry managed microchip registers be encouraged to record PIC details for the locations where horses reside when horses are </w:t>
      </w:r>
      <w:r>
        <w:rPr>
          <w:rFonts w:ascii="Cambria" w:hAnsi="Cambria" w:cstheme="minorBidi"/>
          <w:color w:val="000000"/>
          <w:shd w:val="clear" w:color="auto" w:fill="FFFFFF"/>
        </w:rPr>
        <w:t>initially registered</w:t>
      </w:r>
      <w:r w:rsidRPr="00DA06C7">
        <w:rPr>
          <w:rFonts w:ascii="Cambria" w:hAnsi="Cambria" w:cstheme="minorBidi"/>
          <w:color w:val="000000"/>
          <w:shd w:val="clear" w:color="auto" w:fill="FFFFFF"/>
        </w:rPr>
        <w:t xml:space="preserve">, microchipped, change ownership, </w:t>
      </w:r>
      <w:r>
        <w:rPr>
          <w:rFonts w:ascii="Cambria" w:hAnsi="Cambria" w:cstheme="minorBidi"/>
          <w:color w:val="000000"/>
          <w:shd w:val="clear" w:color="auto" w:fill="FFFFFF"/>
        </w:rPr>
        <w:t xml:space="preserve">are exported </w:t>
      </w:r>
      <w:r w:rsidRPr="00DA06C7">
        <w:rPr>
          <w:rFonts w:ascii="Cambria" w:hAnsi="Cambria" w:cstheme="minorBidi"/>
          <w:color w:val="000000"/>
          <w:shd w:val="clear" w:color="auto" w:fill="FFFFFF"/>
        </w:rPr>
        <w:t xml:space="preserve">or </w:t>
      </w:r>
      <w:r w:rsidRPr="00DA06C7">
        <w:rPr>
          <w:rFonts w:ascii="Cambria" w:hAnsi="Cambria" w:cstheme="minorBidi"/>
          <w:color w:val="000000" w:themeColor="text1"/>
        </w:rPr>
        <w:t xml:space="preserve">are </w:t>
      </w:r>
      <w:r w:rsidRPr="00DA06C7">
        <w:rPr>
          <w:rFonts w:ascii="Cambria" w:hAnsi="Cambria" w:cstheme="minorBidi"/>
          <w:color w:val="000000"/>
          <w:shd w:val="clear" w:color="auto" w:fill="FFFFFF"/>
        </w:rPr>
        <w:t>reported as deceased</w:t>
      </w:r>
    </w:p>
    <w:p w14:paraId="0364DE79" w14:textId="77777777" w:rsidR="00787121" w:rsidRPr="00DA06C7" w:rsidRDefault="00787121" w:rsidP="00787121">
      <w:pPr>
        <w:pStyle w:val="ListParagraph"/>
        <w:numPr>
          <w:ilvl w:val="0"/>
          <w:numId w:val="70"/>
        </w:numPr>
        <w:spacing w:after="120" w:line="23" w:lineRule="atLeast"/>
        <w:rPr>
          <w:rFonts w:ascii="Cambria" w:hAnsi="Cambria"/>
          <w:color w:val="000000"/>
          <w:shd w:val="clear" w:color="auto" w:fill="FFFFFF"/>
        </w:rPr>
      </w:pPr>
      <w:r w:rsidRPr="00DA06C7">
        <w:rPr>
          <w:rFonts w:ascii="Cambria" w:hAnsi="Cambria"/>
          <w:color w:val="000000"/>
          <w:shd w:val="clear" w:color="auto" w:fill="FFFFFF"/>
        </w:rPr>
        <w:t>Commercial and industry horse identification and movement registers be encouraged to author</w:t>
      </w:r>
      <w:r w:rsidRPr="00DA06C7">
        <w:rPr>
          <w:rFonts w:ascii="Cambria" w:hAnsi="Cambria"/>
          <w:color w:val="000000" w:themeColor="text1"/>
        </w:rPr>
        <w:t xml:space="preserve">ise </w:t>
      </w:r>
      <w:r w:rsidRPr="00DA06C7">
        <w:rPr>
          <w:rFonts w:ascii="Cambria" w:hAnsi="Cambria"/>
          <w:color w:val="000000"/>
          <w:shd w:val="clear" w:color="auto" w:fill="FFFFFF"/>
        </w:rPr>
        <w:t xml:space="preserve">as part of their Terms of Use </w:t>
      </w:r>
      <w:r>
        <w:rPr>
          <w:rFonts w:ascii="Cambria" w:hAnsi="Cambria"/>
          <w:color w:val="000000" w:themeColor="text1"/>
        </w:rPr>
        <w:t>conditions that allow</w:t>
      </w:r>
      <w:r w:rsidRPr="00DA06C7">
        <w:rPr>
          <w:rFonts w:ascii="Cambria" w:hAnsi="Cambria"/>
          <w:color w:val="000000" w:themeColor="text1"/>
        </w:rPr>
        <w:t xml:space="preserve"> the</w:t>
      </w:r>
      <w:r w:rsidRPr="00DA06C7">
        <w:rPr>
          <w:rFonts w:ascii="Cambria" w:hAnsi="Cambria"/>
          <w:color w:val="000000"/>
          <w:shd w:val="clear" w:color="auto" w:fill="FFFFFF"/>
        </w:rPr>
        <w:t xml:space="preserve"> release </w:t>
      </w:r>
      <w:r w:rsidRPr="00DA06C7">
        <w:rPr>
          <w:rFonts w:ascii="Cambria" w:hAnsi="Cambria"/>
          <w:color w:val="000000" w:themeColor="text1"/>
        </w:rPr>
        <w:t xml:space="preserve">of </w:t>
      </w:r>
      <w:r w:rsidRPr="00DA06C7">
        <w:rPr>
          <w:rFonts w:ascii="Cambria" w:hAnsi="Cambria"/>
          <w:color w:val="000000"/>
          <w:shd w:val="clear" w:color="auto" w:fill="FFFFFF"/>
        </w:rPr>
        <w:t xml:space="preserve">data to government agencies for use during biosecurity incidents and emergencies  </w:t>
      </w:r>
    </w:p>
    <w:p w14:paraId="4FB78732" w14:textId="00164767" w:rsidR="00787121" w:rsidRPr="001F4D16" w:rsidRDefault="00787121" w:rsidP="00787121">
      <w:pPr>
        <w:pStyle w:val="ListParagraph"/>
        <w:numPr>
          <w:ilvl w:val="0"/>
          <w:numId w:val="70"/>
        </w:numPr>
        <w:spacing w:after="120" w:line="23" w:lineRule="atLeast"/>
        <w:rPr>
          <w:rFonts w:ascii="Cambria" w:hAnsi="Cambria" w:cstheme="minorBidi"/>
          <w:color w:val="000000"/>
          <w:shd w:val="clear" w:color="auto" w:fill="FFFFFF"/>
        </w:rPr>
      </w:pPr>
      <w:r w:rsidRPr="00DA06C7">
        <w:rPr>
          <w:rFonts w:ascii="Cambria" w:hAnsi="Cambria" w:cstheme="minorBidi"/>
          <w:color w:val="000000"/>
          <w:shd w:val="clear" w:color="auto" w:fill="FFFFFF"/>
        </w:rPr>
        <w:t>A</w:t>
      </w:r>
      <w:r>
        <w:rPr>
          <w:rFonts w:ascii="Cambria" w:hAnsi="Cambria" w:cstheme="minorBidi"/>
          <w:color w:val="000000"/>
          <w:shd w:val="clear" w:color="auto" w:fill="FFFFFF"/>
        </w:rPr>
        <w:t xml:space="preserve">griculture </w:t>
      </w:r>
      <w:r w:rsidRPr="00DA06C7">
        <w:rPr>
          <w:rFonts w:ascii="Cambria" w:hAnsi="Cambria" w:cstheme="minorBidi"/>
          <w:color w:val="000000" w:themeColor="text1"/>
        </w:rPr>
        <w:t>M</w:t>
      </w:r>
      <w:r>
        <w:rPr>
          <w:rFonts w:ascii="Cambria" w:hAnsi="Cambria" w:cstheme="minorBidi"/>
          <w:color w:val="000000" w:themeColor="text1"/>
        </w:rPr>
        <w:t xml:space="preserve">inisters </w:t>
      </w:r>
      <w:r w:rsidRPr="00DA06C7">
        <w:rPr>
          <w:rFonts w:ascii="Cambria" w:hAnsi="Cambria" w:cstheme="minorBidi"/>
          <w:color w:val="000000" w:themeColor="text1"/>
        </w:rPr>
        <w:t>M</w:t>
      </w:r>
      <w:r>
        <w:rPr>
          <w:rFonts w:ascii="Cambria" w:hAnsi="Cambria" w:cstheme="minorBidi"/>
          <w:color w:val="000000" w:themeColor="text1"/>
        </w:rPr>
        <w:t>eeting</w:t>
      </w:r>
      <w:r w:rsidRPr="00DA06C7">
        <w:rPr>
          <w:rFonts w:ascii="Cambria" w:hAnsi="Cambria" w:cstheme="minorBidi"/>
          <w:color w:val="000000" w:themeColor="text1"/>
        </w:rPr>
        <w:t xml:space="preserve"> </w:t>
      </w:r>
      <w:r>
        <w:rPr>
          <w:rFonts w:ascii="Cambria" w:hAnsi="Cambria" w:cstheme="minorBidi"/>
          <w:color w:val="000000" w:themeColor="text1"/>
        </w:rPr>
        <w:t xml:space="preserve">(AMM) </w:t>
      </w:r>
      <w:r w:rsidRPr="00DA06C7">
        <w:rPr>
          <w:rFonts w:ascii="Cambria" w:hAnsi="Cambria" w:cstheme="minorBidi"/>
          <w:color w:val="000000" w:themeColor="text1"/>
        </w:rPr>
        <w:t>a</w:t>
      </w:r>
      <w:r w:rsidRPr="00DA06C7">
        <w:rPr>
          <w:rFonts w:ascii="Cambria" w:hAnsi="Cambria" w:cstheme="minorBidi"/>
          <w:color w:val="000000"/>
          <w:shd w:val="clear" w:color="auto" w:fill="FFFFFF"/>
        </w:rPr>
        <w:t>ppoint</w:t>
      </w:r>
      <w:r w:rsidRPr="00DA06C7">
        <w:rPr>
          <w:rFonts w:ascii="Cambria" w:hAnsi="Cambria"/>
        </w:rPr>
        <w:t xml:space="preserve"> an industry</w:t>
      </w:r>
      <w:r w:rsidR="00183B7A">
        <w:rPr>
          <w:rFonts w:ascii="Cambria" w:hAnsi="Cambria"/>
        </w:rPr>
        <w:t>-</w:t>
      </w:r>
      <w:r w:rsidRPr="00DA06C7">
        <w:rPr>
          <w:rFonts w:ascii="Cambria" w:hAnsi="Cambria"/>
        </w:rPr>
        <w:t xml:space="preserve">led National Horse </w:t>
      </w:r>
      <w:r w:rsidRPr="001F4D16">
        <w:rPr>
          <w:rFonts w:ascii="Cambria" w:hAnsi="Cambria"/>
        </w:rPr>
        <w:t>Traceability Implementation Taskforce (NHTIT) to:</w:t>
      </w:r>
    </w:p>
    <w:p w14:paraId="4ECA6EB1" w14:textId="77777777" w:rsidR="00787121" w:rsidRPr="00893C86" w:rsidRDefault="00787121" w:rsidP="00787121">
      <w:pPr>
        <w:pStyle w:val="ListParagraph"/>
        <w:numPr>
          <w:ilvl w:val="0"/>
          <w:numId w:val="71"/>
        </w:numPr>
        <w:spacing w:after="120" w:line="23" w:lineRule="atLeast"/>
        <w:rPr>
          <w:rFonts w:ascii="Cambria" w:hAnsi="Cambria"/>
          <w:color w:val="000000"/>
          <w:shd w:val="clear" w:color="auto" w:fill="FFFFFF"/>
        </w:rPr>
      </w:pPr>
      <w:r w:rsidRPr="001F4D16">
        <w:rPr>
          <w:rFonts w:ascii="Cambria" w:hAnsi="Cambria"/>
          <w:color w:val="000000" w:themeColor="text1"/>
        </w:rPr>
        <w:t>recommend within 12 months of AMM agreement in principle to proceed, a mechanism for generating the funding needed for system implementation and maintenance, in particular cover</w:t>
      </w:r>
      <w:r>
        <w:rPr>
          <w:rFonts w:ascii="Cambria" w:hAnsi="Cambria"/>
          <w:color w:val="000000" w:themeColor="text1"/>
        </w:rPr>
        <w:t>ing</w:t>
      </w:r>
      <w:r w:rsidRPr="001F4D16">
        <w:rPr>
          <w:rFonts w:ascii="Cambria" w:hAnsi="Cambria"/>
          <w:color w:val="000000" w:themeColor="text1"/>
        </w:rPr>
        <w:t xml:space="preserve"> costs associated with communications, monitoring and enforcement;</w:t>
      </w:r>
    </w:p>
    <w:p w14:paraId="47055ADC" w14:textId="77777777" w:rsidR="00787121" w:rsidRPr="001F4D16" w:rsidRDefault="00787121" w:rsidP="00787121">
      <w:pPr>
        <w:pStyle w:val="ListParagraph"/>
        <w:numPr>
          <w:ilvl w:val="0"/>
          <w:numId w:val="71"/>
        </w:numPr>
        <w:spacing w:after="120" w:line="23" w:lineRule="atLeast"/>
        <w:rPr>
          <w:rFonts w:ascii="Cambria" w:hAnsi="Cambria"/>
          <w:color w:val="000000"/>
          <w:shd w:val="clear" w:color="auto" w:fill="FFFFFF"/>
        </w:rPr>
      </w:pPr>
      <w:r>
        <w:rPr>
          <w:rFonts w:ascii="Cambria" w:hAnsi="Cambria"/>
          <w:color w:val="000000" w:themeColor="text1"/>
        </w:rPr>
        <w:t xml:space="preserve">develop a </w:t>
      </w:r>
      <w:r w:rsidRPr="004626F3">
        <w:rPr>
          <w:rFonts w:ascii="Cambria" w:hAnsi="Cambria"/>
          <w:color w:val="000000" w:themeColor="text1"/>
        </w:rPr>
        <w:t xml:space="preserve">cost guide to inform </w:t>
      </w:r>
      <w:r>
        <w:rPr>
          <w:rFonts w:ascii="Cambria" w:hAnsi="Cambria"/>
          <w:color w:val="000000" w:themeColor="text1"/>
        </w:rPr>
        <w:t xml:space="preserve">and secure </w:t>
      </w:r>
      <w:r w:rsidRPr="004626F3">
        <w:rPr>
          <w:rFonts w:ascii="Cambria" w:hAnsi="Cambria"/>
          <w:color w:val="000000" w:themeColor="text1"/>
        </w:rPr>
        <w:t>outcome-based funding to enable</w:t>
      </w:r>
      <w:r>
        <w:rPr>
          <w:rFonts w:ascii="Cambria" w:hAnsi="Cambria"/>
          <w:color w:val="000000" w:themeColor="text1"/>
        </w:rPr>
        <w:t xml:space="preserve"> implementation; </w:t>
      </w:r>
    </w:p>
    <w:p w14:paraId="337B8C9B" w14:textId="77777777" w:rsidR="00787121" w:rsidRDefault="00787121" w:rsidP="00787121">
      <w:pPr>
        <w:pStyle w:val="ListParagraph"/>
        <w:numPr>
          <w:ilvl w:val="0"/>
          <w:numId w:val="71"/>
        </w:numPr>
        <w:spacing w:after="120" w:line="23" w:lineRule="atLeast"/>
        <w:rPr>
          <w:rFonts w:ascii="Cambria" w:hAnsi="Cambria" w:cstheme="minorBidi"/>
          <w:color w:val="000000"/>
          <w:shd w:val="clear" w:color="auto" w:fill="FFFFFF"/>
        </w:rPr>
      </w:pPr>
      <w:r w:rsidRPr="001F4D16">
        <w:rPr>
          <w:rFonts w:ascii="Cambria" w:hAnsi="Cambria" w:cs="Arial"/>
          <w:color w:val="000000"/>
          <w:shd w:val="clear" w:color="auto" w:fill="FFFFFF"/>
        </w:rPr>
        <w:t>oversee</w:t>
      </w:r>
      <w:r w:rsidRPr="00DA06C7">
        <w:rPr>
          <w:rFonts w:ascii="Cambria" w:hAnsi="Cambria" w:cs="Arial"/>
          <w:color w:val="000000"/>
          <w:shd w:val="clear" w:color="auto" w:fill="FFFFFF"/>
        </w:rPr>
        <w:t xml:space="preserve"> the introduction </w:t>
      </w:r>
      <w:r>
        <w:rPr>
          <w:rFonts w:ascii="Cambria" w:hAnsi="Cambria" w:cs="Arial"/>
          <w:color w:val="000000"/>
          <w:shd w:val="clear" w:color="auto" w:fill="FFFFFF"/>
        </w:rPr>
        <w:t xml:space="preserve">of the </w:t>
      </w:r>
      <w:r w:rsidRPr="00DA06C7">
        <w:rPr>
          <w:rFonts w:ascii="Cambria" w:hAnsi="Cambria" w:cs="Arial"/>
          <w:color w:val="000000"/>
          <w:shd w:val="clear" w:color="auto" w:fill="FFFFFF"/>
        </w:rPr>
        <w:t xml:space="preserve">preferred NHTS </w:t>
      </w:r>
      <w:r>
        <w:rPr>
          <w:rFonts w:ascii="Cambria" w:hAnsi="Cambria" w:cs="Arial"/>
          <w:color w:val="000000"/>
          <w:shd w:val="clear" w:color="auto" w:fill="FFFFFF"/>
        </w:rPr>
        <w:t xml:space="preserve">(Option 2) </w:t>
      </w:r>
      <w:r w:rsidRPr="00DA06C7">
        <w:rPr>
          <w:rFonts w:ascii="Cambria" w:hAnsi="Cambria" w:cs="Arial"/>
          <w:color w:val="000000"/>
          <w:shd w:val="clear" w:color="auto" w:fill="FFFFFF"/>
        </w:rPr>
        <w:t>within agreed timelines</w:t>
      </w:r>
      <w:r w:rsidRPr="00DA06C7">
        <w:rPr>
          <w:rFonts w:ascii="Cambria" w:hAnsi="Cambria" w:cstheme="minorBidi"/>
          <w:color w:val="000000"/>
          <w:shd w:val="clear" w:color="auto" w:fill="FFFFFF"/>
        </w:rPr>
        <w:t>;</w:t>
      </w:r>
    </w:p>
    <w:p w14:paraId="25CDD241" w14:textId="77777777" w:rsidR="00787121" w:rsidRPr="00DA06C7" w:rsidRDefault="00787121" w:rsidP="00787121">
      <w:pPr>
        <w:pStyle w:val="ListParagraph"/>
        <w:numPr>
          <w:ilvl w:val="0"/>
          <w:numId w:val="71"/>
        </w:numPr>
        <w:spacing w:after="120" w:line="23" w:lineRule="atLeast"/>
        <w:rPr>
          <w:rFonts w:ascii="Cambria" w:hAnsi="Cambria" w:cstheme="minorBidi"/>
          <w:color w:val="000000"/>
          <w:shd w:val="clear" w:color="auto" w:fill="FFFFFF"/>
        </w:rPr>
      </w:pPr>
      <w:r>
        <w:rPr>
          <w:rFonts w:ascii="Cambria" w:hAnsi="Cambria" w:cs="Arial"/>
          <w:color w:val="000000"/>
          <w:shd w:val="clear" w:color="auto" w:fill="FFFFFF"/>
        </w:rPr>
        <w:t>agree on KPIs against which the performance of the NHTS can be assessed in the future;</w:t>
      </w:r>
    </w:p>
    <w:p w14:paraId="6407C713" w14:textId="77777777" w:rsidR="00787121" w:rsidRPr="00DA06C7" w:rsidRDefault="00787121" w:rsidP="00787121">
      <w:pPr>
        <w:pStyle w:val="ListParagraph"/>
        <w:numPr>
          <w:ilvl w:val="0"/>
          <w:numId w:val="71"/>
        </w:numPr>
        <w:spacing w:after="120" w:line="23" w:lineRule="atLeast"/>
        <w:rPr>
          <w:rFonts w:ascii="Cambria" w:hAnsi="Cambria" w:cstheme="minorBidi"/>
          <w:color w:val="000000"/>
          <w:shd w:val="clear" w:color="auto" w:fill="FFFFFF"/>
        </w:rPr>
      </w:pPr>
      <w:r w:rsidRPr="00DA06C7">
        <w:rPr>
          <w:rFonts w:ascii="Cambria" w:hAnsi="Cambria" w:cstheme="minorBidi"/>
          <w:color w:val="000000"/>
          <w:shd w:val="clear" w:color="auto" w:fill="FFFFFF"/>
        </w:rPr>
        <w:t>develop a communications plan to be delivered by government and industry organisations outlining to horse industry participants their NHTS related obligations</w:t>
      </w:r>
      <w:r>
        <w:rPr>
          <w:rFonts w:ascii="Cambria" w:hAnsi="Cambria" w:cstheme="minorBidi"/>
          <w:color w:val="000000"/>
          <w:shd w:val="clear" w:color="auto" w:fill="FFFFFF"/>
        </w:rPr>
        <w:t xml:space="preserve"> and the benefits of the system</w:t>
      </w:r>
      <w:r w:rsidRPr="00DA06C7">
        <w:rPr>
          <w:rFonts w:ascii="Cambria" w:hAnsi="Cambria" w:cstheme="minorBidi"/>
          <w:color w:val="000000"/>
          <w:shd w:val="clear" w:color="auto" w:fill="FFFFFF"/>
        </w:rPr>
        <w:t xml:space="preserve">; </w:t>
      </w:r>
    </w:p>
    <w:p w14:paraId="196D1E56" w14:textId="77777777" w:rsidR="00787121" w:rsidRPr="00001D7C" w:rsidRDefault="00787121" w:rsidP="00787121">
      <w:pPr>
        <w:pStyle w:val="ListParagraph"/>
        <w:numPr>
          <w:ilvl w:val="0"/>
          <w:numId w:val="71"/>
        </w:numPr>
        <w:spacing w:line="276" w:lineRule="auto"/>
        <w:rPr>
          <w:rFonts w:ascii="Cambria" w:hAnsi="Cambria" w:cstheme="minorBidi"/>
          <w:color w:val="000000"/>
          <w:shd w:val="clear" w:color="auto" w:fill="FFFFFF"/>
        </w:rPr>
      </w:pPr>
      <w:r>
        <w:rPr>
          <w:rFonts w:ascii="Cambria" w:hAnsi="Cambria" w:cstheme="minorBidi"/>
          <w:color w:val="000000"/>
          <w:shd w:val="clear" w:color="auto" w:fill="FFFFFF"/>
        </w:rPr>
        <w:t xml:space="preserve">through an independent review, </w:t>
      </w:r>
      <w:r w:rsidRPr="004B6DB2">
        <w:rPr>
          <w:rFonts w:ascii="Cambria" w:hAnsi="Cambria" w:cstheme="minorBidi"/>
          <w:color w:val="000000"/>
          <w:shd w:val="clear" w:color="auto" w:fill="FFFFFF"/>
        </w:rPr>
        <w:t>explore opportunities for greater database integration and electronic movement record collection and storage</w:t>
      </w:r>
      <w:r>
        <w:rPr>
          <w:rFonts w:ascii="Cambria" w:hAnsi="Cambria" w:cstheme="minorBidi"/>
          <w:color w:val="000000"/>
          <w:shd w:val="clear" w:color="auto" w:fill="FFFFFF"/>
        </w:rPr>
        <w:t xml:space="preserve"> including leveraging existing industry sector databases and the possibility of adopting Universal Equine Life Number (UELN) standards</w:t>
      </w:r>
      <w:r w:rsidRPr="004B6DB2">
        <w:rPr>
          <w:rFonts w:ascii="Cambria" w:hAnsi="Cambria" w:cstheme="minorBidi"/>
          <w:color w:val="000000"/>
          <w:shd w:val="clear" w:color="auto" w:fill="FFFFFF"/>
        </w:rPr>
        <w:t xml:space="preserve">; </w:t>
      </w:r>
    </w:p>
    <w:p w14:paraId="0A319B71" w14:textId="77777777" w:rsidR="00787121" w:rsidRPr="004B6DB2" w:rsidRDefault="00787121" w:rsidP="00787121">
      <w:pPr>
        <w:pStyle w:val="ListParagraph"/>
        <w:numPr>
          <w:ilvl w:val="0"/>
          <w:numId w:val="71"/>
        </w:numPr>
        <w:spacing w:after="120" w:line="23" w:lineRule="atLeast"/>
        <w:rPr>
          <w:rFonts w:ascii="Cambria" w:hAnsi="Cambria" w:cstheme="minorBidi"/>
          <w:color w:val="000000"/>
          <w:shd w:val="clear" w:color="auto" w:fill="FFFFFF"/>
        </w:rPr>
      </w:pPr>
      <w:r>
        <w:rPr>
          <w:rFonts w:ascii="Cambria" w:hAnsi="Cambria" w:cstheme="minorBidi"/>
          <w:color w:val="000000"/>
          <w:shd w:val="clear" w:color="auto" w:fill="FFFFFF"/>
        </w:rPr>
        <w:t>e</w:t>
      </w:r>
      <w:r w:rsidRPr="004B6DB2">
        <w:rPr>
          <w:rFonts w:ascii="Cambria" w:hAnsi="Cambria" w:cstheme="minorBidi"/>
          <w:color w:val="000000"/>
          <w:shd w:val="clear" w:color="auto" w:fill="FFFFFF"/>
        </w:rPr>
        <w:t>ncourage and support industry sectors that choose to implement enhanced version</w:t>
      </w:r>
      <w:r>
        <w:rPr>
          <w:rFonts w:ascii="Cambria" w:hAnsi="Cambria" w:cstheme="minorBidi"/>
          <w:color w:val="000000"/>
          <w:shd w:val="clear" w:color="auto" w:fill="FFFFFF"/>
        </w:rPr>
        <w:t>s</w:t>
      </w:r>
      <w:r w:rsidRPr="004B6DB2">
        <w:rPr>
          <w:rFonts w:ascii="Cambria" w:hAnsi="Cambria" w:cstheme="minorBidi"/>
          <w:color w:val="000000"/>
          <w:shd w:val="clear" w:color="auto" w:fill="FFFFFF"/>
        </w:rPr>
        <w:t xml:space="preserve"> of the NHTS </w:t>
      </w:r>
      <w:r>
        <w:rPr>
          <w:rFonts w:ascii="Cambria" w:hAnsi="Cambria" w:cstheme="minorBidi"/>
          <w:color w:val="000000"/>
          <w:shd w:val="clear" w:color="auto" w:fill="FFFFFF"/>
        </w:rPr>
        <w:t>that have broader objectives</w:t>
      </w:r>
      <w:r w:rsidRPr="004B6DB2">
        <w:rPr>
          <w:rFonts w:ascii="Cambria" w:hAnsi="Cambria" w:cstheme="minorBidi"/>
          <w:color w:val="000000"/>
          <w:shd w:val="clear" w:color="auto" w:fill="FFFFFF"/>
        </w:rPr>
        <w:t xml:space="preserve"> </w:t>
      </w:r>
      <w:r>
        <w:rPr>
          <w:rFonts w:ascii="Cambria" w:hAnsi="Cambria" w:cstheme="minorBidi"/>
          <w:color w:val="000000"/>
          <w:shd w:val="clear" w:color="auto" w:fill="FFFFFF"/>
        </w:rPr>
        <w:t>such as</w:t>
      </w:r>
      <w:r w:rsidRPr="004B6DB2">
        <w:rPr>
          <w:rFonts w:ascii="Cambria" w:hAnsi="Cambria" w:cstheme="minorBidi"/>
          <w:color w:val="000000"/>
          <w:shd w:val="clear" w:color="auto" w:fill="FFFFFF"/>
        </w:rPr>
        <w:t xml:space="preserve"> welfare, emergency response management, rider safety and the integrity of trade in horses</w:t>
      </w:r>
    </w:p>
    <w:p w14:paraId="2C24FB7E" w14:textId="77777777" w:rsidR="00787121" w:rsidRPr="004B6DB2" w:rsidRDefault="00787121" w:rsidP="00787121">
      <w:pPr>
        <w:pStyle w:val="ListParagraph"/>
        <w:numPr>
          <w:ilvl w:val="0"/>
          <w:numId w:val="71"/>
        </w:numPr>
        <w:spacing w:after="120" w:line="23" w:lineRule="atLeast"/>
        <w:rPr>
          <w:rFonts w:ascii="Cambria" w:eastAsiaTheme="majorEastAsia" w:hAnsi="Cambria" w:cstheme="majorBidi"/>
          <w:color w:val="000000"/>
          <w:shd w:val="clear" w:color="auto" w:fill="FFFFFF"/>
        </w:rPr>
      </w:pPr>
      <w:r>
        <w:rPr>
          <w:rFonts w:ascii="Cambria" w:hAnsi="Cambria" w:cstheme="minorBidi"/>
          <w:color w:val="000000"/>
          <w:shd w:val="clear" w:color="auto" w:fill="FFFFFF"/>
        </w:rPr>
        <w:t>w</w:t>
      </w:r>
      <w:r w:rsidRPr="004B6DB2">
        <w:rPr>
          <w:rFonts w:ascii="Cambria" w:hAnsi="Cambria" w:cstheme="minorBidi"/>
          <w:color w:val="000000"/>
          <w:shd w:val="clear" w:color="auto" w:fill="FFFFFF"/>
        </w:rPr>
        <w:t>ithin five years after its commencement, engage an independent consultant to review the NHTS for the purpose</w:t>
      </w:r>
      <w:r w:rsidRPr="004B6DB2">
        <w:rPr>
          <w:rFonts w:ascii="Cambria" w:hAnsi="Cambria" w:cstheme="minorBidi"/>
          <w:color w:val="000000" w:themeColor="text1"/>
        </w:rPr>
        <w:t xml:space="preserve"> of</w:t>
      </w:r>
      <w:r w:rsidRPr="004B6DB2">
        <w:rPr>
          <w:rFonts w:ascii="Cambria" w:hAnsi="Cambria" w:cstheme="minorBidi"/>
          <w:color w:val="000000"/>
          <w:shd w:val="clear" w:color="auto" w:fill="FFFFFF"/>
        </w:rPr>
        <w:t>:</w:t>
      </w:r>
    </w:p>
    <w:p w14:paraId="21D0E884" w14:textId="77777777" w:rsidR="00787121" w:rsidRPr="00DA06C7" w:rsidRDefault="00787121" w:rsidP="00787121">
      <w:pPr>
        <w:pStyle w:val="ListParagraph"/>
        <w:numPr>
          <w:ilvl w:val="0"/>
          <w:numId w:val="41"/>
        </w:numPr>
        <w:spacing w:after="120" w:line="23" w:lineRule="atLeast"/>
        <w:ind w:left="1560"/>
        <w:rPr>
          <w:rFonts w:ascii="Cambria" w:eastAsiaTheme="majorEastAsia" w:hAnsi="Cambria" w:cstheme="majorBidi"/>
          <w:color w:val="000000"/>
          <w:shd w:val="clear" w:color="auto" w:fill="FFFFFF"/>
        </w:rPr>
      </w:pPr>
      <w:r w:rsidRPr="00DA06C7">
        <w:rPr>
          <w:rFonts w:ascii="Cambria" w:hAnsi="Cambria" w:cstheme="minorBidi"/>
          <w:color w:val="000000"/>
          <w:shd w:val="clear" w:color="auto" w:fill="FFFFFF"/>
        </w:rPr>
        <w:t>assess</w:t>
      </w:r>
      <w:r w:rsidRPr="00DA06C7">
        <w:rPr>
          <w:rFonts w:ascii="Cambria" w:hAnsi="Cambria" w:cstheme="minorBidi"/>
          <w:color w:val="000000" w:themeColor="text1"/>
        </w:rPr>
        <w:t>ing</w:t>
      </w:r>
      <w:r w:rsidRPr="00DA06C7">
        <w:rPr>
          <w:rFonts w:ascii="Cambria" w:hAnsi="Cambria" w:cstheme="minorBidi"/>
          <w:color w:val="000000"/>
          <w:shd w:val="clear" w:color="auto" w:fill="FFFFFF"/>
        </w:rPr>
        <w:t xml:space="preserve"> its effectiveness at tracing horses for biosecurity purposes against </w:t>
      </w:r>
      <w:r>
        <w:rPr>
          <w:rFonts w:ascii="Cambria" w:hAnsi="Cambria" w:cstheme="minorBidi"/>
          <w:color w:val="000000"/>
          <w:shd w:val="clear" w:color="auto" w:fill="FFFFFF"/>
        </w:rPr>
        <w:t>agreed</w:t>
      </w:r>
      <w:r w:rsidRPr="00DA06C7">
        <w:rPr>
          <w:rFonts w:ascii="Cambria" w:hAnsi="Cambria" w:cstheme="minorBidi"/>
          <w:color w:val="000000"/>
          <w:shd w:val="clear" w:color="auto" w:fill="FFFFFF"/>
        </w:rPr>
        <w:t xml:space="preserve"> performance standards (</w:t>
      </w:r>
      <w:r>
        <w:rPr>
          <w:rFonts w:ascii="Cambria" w:hAnsi="Cambria" w:cstheme="minorBidi"/>
          <w:color w:val="000000"/>
          <w:shd w:val="clear" w:color="auto" w:fill="FFFFFF"/>
        </w:rPr>
        <w:t>as listed in the business rules - see</w:t>
      </w:r>
      <w:r w:rsidRPr="00DA06C7">
        <w:rPr>
          <w:rFonts w:ascii="Cambria" w:hAnsi="Cambria" w:cstheme="minorBidi"/>
          <w:color w:val="000000"/>
          <w:shd w:val="clear" w:color="auto" w:fill="FFFFFF"/>
        </w:rPr>
        <w:t xml:space="preserve"> </w:t>
      </w:r>
      <w:r>
        <w:rPr>
          <w:rFonts w:ascii="Cambria" w:hAnsi="Cambria" w:cstheme="minorBidi"/>
          <w:color w:val="000000"/>
          <w:shd w:val="clear" w:color="auto" w:fill="FFFFFF"/>
        </w:rPr>
        <w:t>Appendix</w:t>
      </w:r>
      <w:r w:rsidRPr="00DA06C7">
        <w:rPr>
          <w:rFonts w:ascii="Cambria" w:hAnsi="Cambria" w:cstheme="minorBidi"/>
          <w:color w:val="000000"/>
          <w:shd w:val="clear" w:color="auto" w:fill="FFFFFF"/>
        </w:rPr>
        <w:t xml:space="preserve"> A) </w:t>
      </w:r>
    </w:p>
    <w:p w14:paraId="6674DE53" w14:textId="77777777" w:rsidR="00787121" w:rsidRPr="00DA06C7" w:rsidRDefault="00787121" w:rsidP="00787121">
      <w:pPr>
        <w:pStyle w:val="ListParagraph"/>
        <w:numPr>
          <w:ilvl w:val="0"/>
          <w:numId w:val="41"/>
        </w:numPr>
        <w:spacing w:after="120" w:line="23" w:lineRule="atLeast"/>
        <w:ind w:left="1560"/>
        <w:rPr>
          <w:rFonts w:ascii="Cambria" w:eastAsiaTheme="majorEastAsia" w:hAnsi="Cambria" w:cstheme="majorBidi"/>
          <w:color w:val="000000"/>
          <w:shd w:val="clear" w:color="auto" w:fill="FFFFFF"/>
        </w:rPr>
      </w:pPr>
      <w:r w:rsidRPr="00DA06C7">
        <w:rPr>
          <w:rFonts w:ascii="Cambria" w:hAnsi="Cambria" w:cstheme="minorBidi"/>
          <w:color w:val="000000" w:themeColor="text1"/>
        </w:rPr>
        <w:t xml:space="preserve">advising </w:t>
      </w:r>
      <w:r>
        <w:rPr>
          <w:rFonts w:ascii="Cambria" w:hAnsi="Cambria" w:cstheme="minorBidi"/>
          <w:color w:val="000000" w:themeColor="text1"/>
        </w:rPr>
        <w:t>AMM</w:t>
      </w:r>
      <w:r w:rsidRPr="00DA06C7">
        <w:rPr>
          <w:rFonts w:ascii="Cambria" w:hAnsi="Cambria" w:cstheme="minorBidi"/>
          <w:color w:val="000000" w:themeColor="text1"/>
        </w:rPr>
        <w:t xml:space="preserve"> on t</w:t>
      </w:r>
      <w:r w:rsidRPr="00DA06C7">
        <w:rPr>
          <w:rFonts w:ascii="Cambria" w:hAnsi="Cambria" w:cs="Arial"/>
          <w:color w:val="000000" w:themeColor="text1"/>
        </w:rPr>
        <w:t xml:space="preserve">he benefits, feasibility, cost and </w:t>
      </w:r>
      <w:r>
        <w:rPr>
          <w:rFonts w:ascii="Cambria" w:hAnsi="Cambria" w:cs="Arial"/>
          <w:color w:val="000000" w:themeColor="text1"/>
        </w:rPr>
        <w:t>a</w:t>
      </w:r>
      <w:r w:rsidRPr="00DA06C7">
        <w:rPr>
          <w:rFonts w:ascii="Cambria" w:hAnsi="Cambria" w:cs="Arial"/>
          <w:color w:val="000000" w:themeColor="text1"/>
        </w:rPr>
        <w:t xml:space="preserve"> funding model to support the introduction of a microchip-based traceability system for all horses incorporating a national horse database and movement register, and </w:t>
      </w:r>
      <w:r>
        <w:rPr>
          <w:rFonts w:ascii="Cambria" w:hAnsi="Cambria" w:cs="Arial"/>
          <w:color w:val="000000" w:themeColor="text1"/>
        </w:rPr>
        <w:t xml:space="preserve">covering </w:t>
      </w:r>
      <w:r w:rsidRPr="00DA06C7">
        <w:rPr>
          <w:rFonts w:ascii="Cambria" w:hAnsi="Cambria" w:cs="Arial"/>
          <w:color w:val="000000" w:themeColor="text1"/>
        </w:rPr>
        <w:lastRenderedPageBreak/>
        <w:t xml:space="preserve">associated </w:t>
      </w:r>
      <w:r>
        <w:rPr>
          <w:rFonts w:ascii="Cambria" w:hAnsi="Cambria" w:cs="Arial"/>
          <w:color w:val="000000" w:themeColor="text1"/>
        </w:rPr>
        <w:t xml:space="preserve">start-up costs and on-going </w:t>
      </w:r>
      <w:r w:rsidRPr="00DA06C7">
        <w:rPr>
          <w:rFonts w:ascii="Cambria" w:hAnsi="Cambria" w:cs="Arial"/>
          <w:color w:val="000000" w:themeColor="text1"/>
        </w:rPr>
        <w:t xml:space="preserve">communications, monitoring and enforcement activities </w:t>
      </w:r>
    </w:p>
    <w:p w14:paraId="2C821635" w14:textId="77777777" w:rsidR="00787121" w:rsidRPr="00DA06C7" w:rsidRDefault="00787121" w:rsidP="00787121">
      <w:pPr>
        <w:pStyle w:val="ListParagraph"/>
        <w:numPr>
          <w:ilvl w:val="0"/>
          <w:numId w:val="41"/>
        </w:numPr>
        <w:spacing w:after="120" w:line="23" w:lineRule="atLeast"/>
        <w:ind w:left="1560"/>
        <w:rPr>
          <w:rFonts w:ascii="Cambria" w:eastAsiaTheme="majorEastAsia" w:hAnsi="Cambria" w:cstheme="majorBidi"/>
          <w:color w:val="000000"/>
          <w:shd w:val="clear" w:color="auto" w:fill="FFFFFF"/>
        </w:rPr>
      </w:pPr>
      <w:r w:rsidRPr="00DA06C7">
        <w:rPr>
          <w:rFonts w:ascii="Cambria" w:hAnsi="Cambria" w:cstheme="minorBidi"/>
          <w:color w:val="000000"/>
          <w:shd w:val="clear" w:color="auto" w:fill="FFFFFF"/>
        </w:rPr>
        <w:t xml:space="preserve">considering the appropriateness of accommodating broader industry objectives potentially relating to </w:t>
      </w:r>
      <w:r w:rsidRPr="00DA06C7">
        <w:rPr>
          <w:rFonts w:ascii="Cambria" w:hAnsi="Cambria"/>
        </w:rPr>
        <w:t>animal welfare, emergency response management and the integrity of trade in horses,</w:t>
      </w:r>
      <w:r w:rsidRPr="00DA06C7">
        <w:rPr>
          <w:rFonts w:ascii="Cambria" w:hAnsi="Cambria" w:cstheme="minorHAnsi"/>
        </w:rPr>
        <w:t xml:space="preserve"> </w:t>
      </w:r>
      <w:r w:rsidRPr="00DA06C7">
        <w:rPr>
          <w:rFonts w:ascii="Cambria" w:hAnsi="Cambria" w:cstheme="minorBidi"/>
          <w:color w:val="000000"/>
          <w:shd w:val="clear" w:color="auto" w:fill="FFFFFF"/>
        </w:rPr>
        <w:t>as part of the NHTS, and</w:t>
      </w:r>
    </w:p>
    <w:p w14:paraId="159AB2FE" w14:textId="77777777" w:rsidR="00787121" w:rsidRPr="00DA06C7" w:rsidRDefault="00787121" w:rsidP="00787121">
      <w:pPr>
        <w:pStyle w:val="ListParagraph"/>
        <w:numPr>
          <w:ilvl w:val="0"/>
          <w:numId w:val="41"/>
        </w:numPr>
        <w:spacing w:after="120" w:line="23" w:lineRule="atLeast"/>
        <w:ind w:left="1560"/>
        <w:rPr>
          <w:rFonts w:ascii="Cambria" w:eastAsiaTheme="majorEastAsia" w:hAnsi="Cambria" w:cstheme="majorBidi"/>
          <w:color w:val="000000"/>
          <w:shd w:val="clear" w:color="auto" w:fill="FFFFFF"/>
        </w:rPr>
      </w:pPr>
      <w:r w:rsidRPr="00DA06C7">
        <w:rPr>
          <w:rFonts w:ascii="Cambria" w:hAnsi="Cambria"/>
          <w:color w:val="000000"/>
          <w:shd w:val="clear" w:color="auto" w:fill="FFFFFF"/>
        </w:rPr>
        <w:t>proposing appropriate amendments to the NHTS business rules</w:t>
      </w:r>
      <w:r>
        <w:rPr>
          <w:rFonts w:ascii="Cambria" w:hAnsi="Cambria"/>
          <w:color w:val="000000"/>
          <w:shd w:val="clear" w:color="auto" w:fill="FFFFFF"/>
        </w:rPr>
        <w:t xml:space="preserve"> to enhance the system’s performance</w:t>
      </w:r>
      <w:r w:rsidRPr="00DA06C7">
        <w:rPr>
          <w:rFonts w:ascii="Cambria" w:hAnsi="Cambria"/>
          <w:color w:val="000000"/>
          <w:shd w:val="clear" w:color="auto" w:fill="FFFFFF"/>
        </w:rPr>
        <w:t>.</w:t>
      </w:r>
    </w:p>
    <w:p w14:paraId="0EBA0054" w14:textId="362A6A32" w:rsidR="00787121" w:rsidRPr="00787121" w:rsidRDefault="00787121" w:rsidP="00787121">
      <w:pPr>
        <w:pStyle w:val="ListParagraph"/>
        <w:numPr>
          <w:ilvl w:val="0"/>
          <w:numId w:val="70"/>
        </w:numPr>
        <w:spacing w:after="120" w:line="23" w:lineRule="atLeast"/>
        <w:rPr>
          <w:rFonts w:ascii="Cambria" w:hAnsi="Cambria"/>
        </w:rPr>
      </w:pPr>
      <w:r>
        <w:rPr>
          <w:rFonts w:ascii="Cambria" w:hAnsi="Cambria"/>
        </w:rPr>
        <w:t>Approve the composition of the NHTIT as an industry</w:t>
      </w:r>
      <w:r w:rsidR="00183B7A">
        <w:rPr>
          <w:rFonts w:ascii="Cambria" w:hAnsi="Cambria"/>
        </w:rPr>
        <w:t>-</w:t>
      </w:r>
      <w:r>
        <w:rPr>
          <w:rFonts w:ascii="Cambria" w:hAnsi="Cambria"/>
        </w:rPr>
        <w:t>led taskforce with Commonwealth and jurisdictional representation.</w:t>
      </w:r>
    </w:p>
    <w:p w14:paraId="1813BCFF" w14:textId="77777777" w:rsidR="00FE2D6C" w:rsidRPr="006B7034" w:rsidRDefault="00FE2D6C" w:rsidP="0033071C">
      <w:pPr>
        <w:spacing w:after="0" w:line="240" w:lineRule="auto"/>
        <w:rPr>
          <w:i/>
          <w:iCs/>
        </w:rPr>
      </w:pPr>
    </w:p>
    <w:p w14:paraId="3D83DE9B" w14:textId="257A601D" w:rsidR="001272E1" w:rsidRDefault="001272E1" w:rsidP="001272E1">
      <w:pPr>
        <w:pStyle w:val="Heading2"/>
        <w:rPr>
          <w:rFonts w:asciiTheme="majorHAnsi" w:hAnsiTheme="majorHAnsi"/>
        </w:rPr>
      </w:pPr>
      <w:bookmarkStart w:id="36" w:name="_Toc121397574"/>
      <w:r>
        <w:rPr>
          <w:rFonts w:asciiTheme="majorHAnsi" w:hAnsiTheme="majorHAnsi"/>
        </w:rPr>
        <w:lastRenderedPageBreak/>
        <w:t>Indicative costs</w:t>
      </w:r>
      <w:r w:rsidR="00C601C7">
        <w:rPr>
          <w:rFonts w:asciiTheme="majorHAnsi" w:hAnsiTheme="majorHAnsi"/>
        </w:rPr>
        <w:t xml:space="preserve"> and benefits</w:t>
      </w:r>
      <w:r>
        <w:rPr>
          <w:rFonts w:asciiTheme="majorHAnsi" w:hAnsiTheme="majorHAnsi"/>
        </w:rPr>
        <w:t xml:space="preserve"> of Option 2 and Option 4</w:t>
      </w:r>
      <w:bookmarkEnd w:id="36"/>
    </w:p>
    <w:p w14:paraId="06FFB069" w14:textId="5009EBA9" w:rsidR="001272E1" w:rsidRPr="00042256" w:rsidRDefault="002B40FD" w:rsidP="0034558E">
      <w:pPr>
        <w:rPr>
          <w:rFonts w:cs="Cambria"/>
          <w:color w:val="000000"/>
          <w:shd w:val="clear" w:color="auto" w:fill="FFFFFF"/>
        </w:rPr>
      </w:pPr>
      <w:r>
        <w:rPr>
          <w:lang w:eastAsia="ja-JP"/>
        </w:rPr>
        <w:t xml:space="preserve">After considering </w:t>
      </w:r>
      <w:r w:rsidR="001272E1" w:rsidRPr="00FA0F5F">
        <w:rPr>
          <w:lang w:eastAsia="ja-JP"/>
        </w:rPr>
        <w:t>each of the options outlined in the MJA report</w:t>
      </w:r>
      <w:r>
        <w:rPr>
          <w:lang w:eastAsia="ja-JP"/>
        </w:rPr>
        <w:t>, the NHTWG</w:t>
      </w:r>
      <w:r w:rsidR="001272E1" w:rsidRPr="00FA0F5F">
        <w:rPr>
          <w:lang w:eastAsia="ja-JP"/>
        </w:rPr>
        <w:t xml:space="preserve"> recommended the engagement of a consultant </w:t>
      </w:r>
      <w:r w:rsidR="001272E1" w:rsidRPr="00FA0F5F">
        <w:rPr>
          <w:rFonts w:cstheme="minorHAnsi"/>
          <w:shd w:val="clear" w:color="auto" w:fill="FFFFFF"/>
        </w:rPr>
        <w:t xml:space="preserve">to </w:t>
      </w:r>
      <w:r w:rsidR="001272E1" w:rsidRPr="00FA0F5F">
        <w:rPr>
          <w:rFonts w:eastAsia="Times New Roman" w:cstheme="minorHAnsi"/>
        </w:rPr>
        <w:t>quantify the costs</w:t>
      </w:r>
      <w:r w:rsidR="00C601C7">
        <w:rPr>
          <w:rFonts w:eastAsia="Times New Roman" w:cstheme="minorHAnsi"/>
        </w:rPr>
        <w:t xml:space="preserve"> and benefits</w:t>
      </w:r>
      <w:r w:rsidR="001272E1" w:rsidRPr="00FA0F5F">
        <w:rPr>
          <w:rFonts w:eastAsia="Times New Roman" w:cstheme="minorHAnsi"/>
        </w:rPr>
        <w:t xml:space="preserve"> of establishing a base level NHTS employing state/territory PIC registers complemented by industry-maintained movement records (Option 2), as well as the costs</w:t>
      </w:r>
      <w:r w:rsidR="008D3825">
        <w:rPr>
          <w:rFonts w:eastAsia="Times New Roman" w:cstheme="minorHAnsi"/>
        </w:rPr>
        <w:t xml:space="preserve"> and benefits</w:t>
      </w:r>
      <w:r w:rsidR="001272E1" w:rsidRPr="00FA0F5F">
        <w:rPr>
          <w:rFonts w:eastAsia="Times New Roman" w:cstheme="minorHAnsi"/>
        </w:rPr>
        <w:t xml:space="preserve"> associated with a more advanced microchip-based system supported by a national horse ownership and movement database (Option 4)</w:t>
      </w:r>
      <w:r w:rsidR="001272E1" w:rsidRPr="00FA0F5F">
        <w:rPr>
          <w:rFonts w:cstheme="minorHAnsi"/>
        </w:rPr>
        <w:t xml:space="preserve">.  </w:t>
      </w:r>
      <w:r w:rsidR="001272E1" w:rsidRPr="00FA0F5F">
        <w:rPr>
          <w:rFonts w:cs="Cambria"/>
          <w:color w:val="000000"/>
          <w:shd w:val="clear" w:color="auto" w:fill="FFFFFF"/>
        </w:rPr>
        <w:t>KPMG was engaged by DJPR on behalf of the NHTWG in May 2022 to undertake this analysis.</w:t>
      </w:r>
    </w:p>
    <w:p w14:paraId="1A1F664B" w14:textId="71BDF2C3" w:rsidR="001272E1" w:rsidRPr="00FA0F5F" w:rsidRDefault="001272E1" w:rsidP="0034558E">
      <w:r w:rsidRPr="00FA0F5F">
        <w:rPr>
          <w:color w:val="000000"/>
          <w:shd w:val="clear" w:color="auto" w:fill="FFFFFF"/>
        </w:rPr>
        <w:t xml:space="preserve">KPMG’s report entitled </w:t>
      </w:r>
      <w:r w:rsidRPr="00FA0F5F">
        <w:rPr>
          <w:i/>
          <w:iCs/>
          <w:color w:val="000000"/>
          <w:shd w:val="clear" w:color="auto" w:fill="FFFFFF"/>
        </w:rPr>
        <w:t>‘Scoping of models for the design, governance and funding of a national horse traceability system</w:t>
      </w:r>
      <w:r w:rsidR="00081CD5">
        <w:rPr>
          <w:i/>
          <w:iCs/>
          <w:color w:val="000000"/>
          <w:shd w:val="clear" w:color="auto" w:fill="FFFFFF"/>
        </w:rPr>
        <w:t xml:space="preserve">’ </w:t>
      </w:r>
      <w:r w:rsidR="00081CD5" w:rsidRPr="00081CD5">
        <w:rPr>
          <w:color w:val="000000"/>
          <w:shd w:val="clear" w:color="auto" w:fill="FFFFFF"/>
        </w:rPr>
        <w:t xml:space="preserve">completed in </w:t>
      </w:r>
      <w:r w:rsidRPr="00081CD5">
        <w:rPr>
          <w:color w:val="000000"/>
          <w:shd w:val="clear" w:color="auto" w:fill="FFFFFF"/>
        </w:rPr>
        <w:t>August 2022</w:t>
      </w:r>
      <w:r w:rsidRPr="00FA0F5F">
        <w:t xml:space="preserve"> provides a national breakdown of the likely costs of implementing and supporting both Options 2 and 4 </w:t>
      </w:r>
      <w:r w:rsidR="00081CD5">
        <w:t xml:space="preserve">(see </w:t>
      </w:r>
      <w:r w:rsidR="003A67A8">
        <w:t>Appendix</w:t>
      </w:r>
      <w:r w:rsidR="00081CD5">
        <w:t xml:space="preserve"> C).  </w:t>
      </w:r>
      <w:r w:rsidR="00B802C0">
        <w:t xml:space="preserve">KPMG’s </w:t>
      </w:r>
      <w:r w:rsidR="00081CD5">
        <w:t>findings</w:t>
      </w:r>
      <w:r w:rsidR="00B802C0">
        <w:t xml:space="preserve"> </w:t>
      </w:r>
      <w:r w:rsidR="00081CD5">
        <w:t>are</w:t>
      </w:r>
      <w:r w:rsidRPr="00FA0F5F">
        <w:t xml:space="preserve"> outlined below:</w:t>
      </w:r>
    </w:p>
    <w:tbl>
      <w:tblPr>
        <w:tblStyle w:val="TableGrid"/>
        <w:tblW w:w="0" w:type="auto"/>
        <w:tblLook w:val="04A0" w:firstRow="1" w:lastRow="0" w:firstColumn="1" w:lastColumn="0" w:noHBand="0" w:noVBand="1"/>
      </w:tblPr>
      <w:tblGrid>
        <w:gridCol w:w="2450"/>
        <w:gridCol w:w="3312"/>
        <w:gridCol w:w="3298"/>
      </w:tblGrid>
      <w:tr w:rsidR="001272E1" w:rsidRPr="00FA0F5F" w14:paraId="0CB5385A" w14:textId="77777777" w:rsidTr="00CE6E00">
        <w:tc>
          <w:tcPr>
            <w:tcW w:w="2830" w:type="dxa"/>
            <w:shd w:val="clear" w:color="auto" w:fill="F2F2F2" w:themeFill="background1" w:themeFillShade="F2"/>
          </w:tcPr>
          <w:p w14:paraId="41A3FCEC" w14:textId="77777777" w:rsidR="001272E1" w:rsidRPr="00FA0F5F" w:rsidRDefault="001272E1" w:rsidP="00CE6E00">
            <w:pPr>
              <w:rPr>
                <w:rFonts w:cstheme="minorHAnsi"/>
                <w:b/>
              </w:rPr>
            </w:pPr>
          </w:p>
        </w:tc>
        <w:tc>
          <w:tcPr>
            <w:tcW w:w="3686" w:type="dxa"/>
            <w:shd w:val="clear" w:color="auto" w:fill="F2F2F2" w:themeFill="background1" w:themeFillShade="F2"/>
          </w:tcPr>
          <w:p w14:paraId="4B2AD3FB" w14:textId="77777777" w:rsidR="001272E1" w:rsidRPr="00FA0F5F" w:rsidRDefault="001272E1" w:rsidP="00CE6E00">
            <w:pPr>
              <w:rPr>
                <w:b/>
                <w:bCs/>
              </w:rPr>
            </w:pPr>
            <w:r w:rsidRPr="00FA0F5F">
              <w:rPr>
                <w:rFonts w:cstheme="minorHAnsi"/>
                <w:b/>
              </w:rPr>
              <w:t xml:space="preserve">Option 2 - </w:t>
            </w:r>
            <w:r w:rsidRPr="00FA0F5F">
              <w:rPr>
                <w:b/>
                <w:bCs/>
              </w:rPr>
              <w:t>Enhancing the PIC System and Record Keeping</w:t>
            </w:r>
          </w:p>
        </w:tc>
        <w:tc>
          <w:tcPr>
            <w:tcW w:w="3669" w:type="dxa"/>
            <w:shd w:val="clear" w:color="auto" w:fill="F2F2F2" w:themeFill="background1" w:themeFillShade="F2"/>
          </w:tcPr>
          <w:p w14:paraId="451333C0" w14:textId="77777777" w:rsidR="001272E1" w:rsidRPr="00FA0F5F" w:rsidRDefault="001272E1" w:rsidP="00CE6E00">
            <w:pPr>
              <w:rPr>
                <w:rFonts w:cstheme="minorHAnsi"/>
                <w:b/>
              </w:rPr>
            </w:pPr>
            <w:r w:rsidRPr="00FA0F5F">
              <w:rPr>
                <w:rFonts w:cstheme="minorHAnsi"/>
                <w:b/>
              </w:rPr>
              <w:t xml:space="preserve">Option 4 - </w:t>
            </w:r>
            <w:r w:rsidRPr="00FA0F5F">
              <w:rPr>
                <w:b/>
                <w:bCs/>
              </w:rPr>
              <w:t>National Horse Traceability Database</w:t>
            </w:r>
          </w:p>
        </w:tc>
      </w:tr>
      <w:tr w:rsidR="001272E1" w:rsidRPr="00FA0F5F" w14:paraId="1A09441E" w14:textId="77777777" w:rsidTr="00CE6E00">
        <w:tc>
          <w:tcPr>
            <w:tcW w:w="2830" w:type="dxa"/>
            <w:shd w:val="clear" w:color="auto" w:fill="F2F2F2" w:themeFill="background1" w:themeFillShade="F2"/>
          </w:tcPr>
          <w:p w14:paraId="1F3F81E1" w14:textId="60E4D82E" w:rsidR="001272E1" w:rsidRPr="00FA0F5F" w:rsidRDefault="001272E1" w:rsidP="00CE6E00">
            <w:r w:rsidRPr="00FA0F5F">
              <w:rPr>
                <w:b/>
                <w:bCs/>
              </w:rPr>
              <w:t>Cost to horse owners</w:t>
            </w:r>
          </w:p>
          <w:p w14:paraId="62665C85" w14:textId="77777777" w:rsidR="001272E1" w:rsidRPr="00FA0F5F" w:rsidRDefault="001272E1" w:rsidP="00CE6E00">
            <w:pPr>
              <w:rPr>
                <w:rFonts w:cstheme="minorHAnsi"/>
                <w:b/>
                <w:bCs/>
                <w:i/>
                <w:iCs/>
              </w:rPr>
            </w:pPr>
          </w:p>
        </w:tc>
        <w:tc>
          <w:tcPr>
            <w:tcW w:w="3686" w:type="dxa"/>
          </w:tcPr>
          <w:p w14:paraId="0BF8349C" w14:textId="77777777" w:rsidR="001272E1" w:rsidRPr="00FA0F5F" w:rsidRDefault="001272E1" w:rsidP="00CE6E00">
            <w:r w:rsidRPr="00FA0F5F">
              <w:t>Implementation costs principally to register properties that currently do not have a PIC and to refresh PIC registers: $500,000</w:t>
            </w:r>
          </w:p>
          <w:p w14:paraId="4C06F36D" w14:textId="77777777" w:rsidR="001272E1" w:rsidRPr="00FA0F5F" w:rsidRDefault="001272E1" w:rsidP="00CE6E00"/>
          <w:p w14:paraId="41B583A0" w14:textId="77777777" w:rsidR="001272E1" w:rsidRPr="00FA0F5F" w:rsidRDefault="001272E1" w:rsidP="00CE6E00">
            <w:r w:rsidRPr="00FA0F5F">
              <w:t>Ongoing costs associated with the maintenance of jurisdictional PIC register information: $500,000 p.a</w:t>
            </w:r>
          </w:p>
          <w:p w14:paraId="6B876198" w14:textId="77777777" w:rsidR="001272E1" w:rsidRPr="00FA0F5F" w:rsidRDefault="001272E1" w:rsidP="00CE6E00">
            <w:pPr>
              <w:rPr>
                <w:rFonts w:cstheme="minorHAnsi"/>
                <w:b/>
              </w:rPr>
            </w:pPr>
          </w:p>
        </w:tc>
        <w:tc>
          <w:tcPr>
            <w:tcW w:w="3669" w:type="dxa"/>
          </w:tcPr>
          <w:p w14:paraId="43B80791" w14:textId="11ACA885" w:rsidR="001272E1" w:rsidRPr="00FA0F5F" w:rsidRDefault="001272E1" w:rsidP="00CE6E00">
            <w:r w:rsidRPr="00FA0F5F">
              <w:t>Implementation costs principally for microchipping the national herd</w:t>
            </w:r>
            <w:r w:rsidR="00081CD5">
              <w:rPr>
                <w:rStyle w:val="FootnoteReference"/>
              </w:rPr>
              <w:footnoteReference w:id="3"/>
            </w:r>
            <w:r w:rsidRPr="00FA0F5F">
              <w:t xml:space="preserve"> and for readers: $1</w:t>
            </w:r>
            <w:r w:rsidR="00010647">
              <w:t>19</w:t>
            </w:r>
            <w:r w:rsidRPr="00FA0F5F">
              <w:t>.</w:t>
            </w:r>
            <w:r w:rsidR="00010647">
              <w:t>2</w:t>
            </w:r>
            <w:r w:rsidRPr="00FA0F5F">
              <w:t>m - $</w:t>
            </w:r>
            <w:r w:rsidR="00AC48F7">
              <w:t>137.8</w:t>
            </w:r>
            <w:r w:rsidRPr="00FA0F5F">
              <w:t>m</w:t>
            </w:r>
          </w:p>
          <w:p w14:paraId="06072F8E" w14:textId="77777777" w:rsidR="001272E1" w:rsidRPr="00FA0F5F" w:rsidRDefault="001272E1" w:rsidP="00CE6E00"/>
          <w:p w14:paraId="5CB800F3" w14:textId="2391F3DB" w:rsidR="001272E1" w:rsidRPr="00FA0F5F" w:rsidRDefault="001272E1" w:rsidP="00CE6E00">
            <w:r w:rsidRPr="00FA0F5F">
              <w:t>Ongoing costs to cover microchipping of the annual foal crop: $1</w:t>
            </w:r>
            <w:r w:rsidR="00AC48F7">
              <w:t>8</w:t>
            </w:r>
            <w:r w:rsidRPr="00FA0F5F">
              <w:t>.</w:t>
            </w:r>
            <w:r w:rsidR="00AC48F7">
              <w:t>3</w:t>
            </w:r>
            <w:r w:rsidRPr="00FA0F5F">
              <w:t>m – $2</w:t>
            </w:r>
            <w:r w:rsidR="00AC48F7">
              <w:t>2</w:t>
            </w:r>
            <w:r w:rsidRPr="00FA0F5F">
              <w:t>.</w:t>
            </w:r>
            <w:r w:rsidR="00AC48F7">
              <w:t>9</w:t>
            </w:r>
            <w:r w:rsidRPr="00FA0F5F">
              <w:t>m p.a</w:t>
            </w:r>
          </w:p>
        </w:tc>
      </w:tr>
      <w:tr w:rsidR="001272E1" w:rsidRPr="00FA0F5F" w14:paraId="154177AF" w14:textId="77777777" w:rsidTr="00CE6E00">
        <w:tc>
          <w:tcPr>
            <w:tcW w:w="2830" w:type="dxa"/>
            <w:shd w:val="clear" w:color="auto" w:fill="F2F2F2" w:themeFill="background1" w:themeFillShade="F2"/>
          </w:tcPr>
          <w:p w14:paraId="70870491" w14:textId="77777777" w:rsidR="001272E1" w:rsidRPr="00FA0F5F" w:rsidRDefault="001272E1" w:rsidP="00CE6E00">
            <w:pPr>
              <w:rPr>
                <w:b/>
                <w:bCs/>
              </w:rPr>
            </w:pPr>
            <w:r w:rsidRPr="00FA0F5F">
              <w:rPr>
                <w:b/>
                <w:bCs/>
              </w:rPr>
              <w:t>Cost to the system</w:t>
            </w:r>
          </w:p>
        </w:tc>
        <w:tc>
          <w:tcPr>
            <w:tcW w:w="3686" w:type="dxa"/>
          </w:tcPr>
          <w:p w14:paraId="06C72E6F" w14:textId="77777777" w:rsidR="001272E1" w:rsidRPr="00FA0F5F" w:rsidRDefault="001272E1" w:rsidP="00CE6E00">
            <w:r w:rsidRPr="00FA0F5F">
              <w:t>Implementation costs for communications and engagement: $400,000 - $1.6m</w:t>
            </w:r>
          </w:p>
          <w:p w14:paraId="224D0043" w14:textId="77777777" w:rsidR="001272E1" w:rsidRPr="00FA0F5F" w:rsidRDefault="001272E1" w:rsidP="00CE6E00"/>
          <w:p w14:paraId="7F0FDD0F" w14:textId="77777777" w:rsidR="001272E1" w:rsidRPr="00FA0F5F" w:rsidRDefault="001272E1" w:rsidP="00CE6E00">
            <w:r w:rsidRPr="00FA0F5F">
              <w:lastRenderedPageBreak/>
              <w:t>Ongoing costs mainly for monitoring and enforcement of PIC and record keeping requirements: $2.6m - $3.6m p.a</w:t>
            </w:r>
          </w:p>
        </w:tc>
        <w:tc>
          <w:tcPr>
            <w:tcW w:w="3669" w:type="dxa"/>
          </w:tcPr>
          <w:p w14:paraId="1EA076AC" w14:textId="77777777" w:rsidR="001272E1" w:rsidRPr="00FA0F5F" w:rsidRDefault="001272E1" w:rsidP="00CE6E00">
            <w:r w:rsidRPr="00FA0F5F">
              <w:lastRenderedPageBreak/>
              <w:t>Implementation costs mainly for database creation: $3.2m- $6.2m</w:t>
            </w:r>
          </w:p>
          <w:p w14:paraId="0CF55F75" w14:textId="77777777" w:rsidR="001272E1" w:rsidRPr="00FA0F5F" w:rsidRDefault="001272E1" w:rsidP="00CE6E00"/>
          <w:p w14:paraId="3C5BBD1B" w14:textId="288A4BB6" w:rsidR="001272E1" w:rsidRPr="00FA0F5F" w:rsidRDefault="001272E1" w:rsidP="00CE6E00">
            <w:r w:rsidRPr="00FA0F5F">
              <w:t xml:space="preserve">Ongoing costs mainly for database operations and </w:t>
            </w:r>
            <w:r w:rsidRPr="00FA0F5F">
              <w:lastRenderedPageBreak/>
              <w:t>governance, and for communications, monitoring and enforcement: $8.</w:t>
            </w:r>
            <w:r w:rsidR="00C94502">
              <w:t>3</w:t>
            </w:r>
            <w:r w:rsidRPr="00FA0F5F">
              <w:t>m</w:t>
            </w:r>
            <w:r w:rsidR="00B802C0">
              <w:t xml:space="preserve"> </w:t>
            </w:r>
            <w:r w:rsidRPr="00FA0F5F">
              <w:t>-</w:t>
            </w:r>
            <w:r w:rsidR="00B802C0">
              <w:t xml:space="preserve"> </w:t>
            </w:r>
            <w:r w:rsidRPr="00FA0F5F">
              <w:t xml:space="preserve"> $10.8m p.a</w:t>
            </w:r>
          </w:p>
          <w:p w14:paraId="26729817" w14:textId="77777777" w:rsidR="001272E1" w:rsidRPr="00FA0F5F" w:rsidRDefault="001272E1" w:rsidP="00CE6E00"/>
        </w:tc>
      </w:tr>
      <w:tr w:rsidR="001272E1" w:rsidRPr="00FA0F5F" w14:paraId="36123756" w14:textId="77777777" w:rsidTr="00CE6E00">
        <w:tc>
          <w:tcPr>
            <w:tcW w:w="2830" w:type="dxa"/>
            <w:shd w:val="clear" w:color="auto" w:fill="F2F2F2" w:themeFill="background1" w:themeFillShade="F2"/>
          </w:tcPr>
          <w:p w14:paraId="0B993970" w14:textId="77777777" w:rsidR="001272E1" w:rsidRPr="00FA0F5F" w:rsidRDefault="001272E1" w:rsidP="00CE6E00">
            <w:pPr>
              <w:rPr>
                <w:b/>
                <w:bCs/>
              </w:rPr>
            </w:pPr>
            <w:r w:rsidRPr="00FA0F5F">
              <w:rPr>
                <w:b/>
                <w:bCs/>
              </w:rPr>
              <w:lastRenderedPageBreak/>
              <w:t>Total costs</w:t>
            </w:r>
          </w:p>
        </w:tc>
        <w:tc>
          <w:tcPr>
            <w:tcW w:w="3686" w:type="dxa"/>
          </w:tcPr>
          <w:p w14:paraId="103D2E65" w14:textId="0B67426A" w:rsidR="001272E1" w:rsidRPr="00A13CAE" w:rsidRDefault="001272E1" w:rsidP="00CE6E00">
            <w:pPr>
              <w:rPr>
                <w:b/>
                <w:bCs/>
              </w:rPr>
            </w:pPr>
            <w:r w:rsidRPr="00A13CAE">
              <w:rPr>
                <w:b/>
                <w:bCs/>
              </w:rPr>
              <w:t>Implementation costs: $0.9</w:t>
            </w:r>
            <w:r w:rsidR="00B802C0">
              <w:rPr>
                <w:b/>
                <w:bCs/>
              </w:rPr>
              <w:t>m</w:t>
            </w:r>
            <w:r w:rsidRPr="00A13CAE">
              <w:rPr>
                <w:b/>
                <w:bCs/>
              </w:rPr>
              <w:t xml:space="preserve"> - $2.1m</w:t>
            </w:r>
          </w:p>
          <w:p w14:paraId="16298EB8" w14:textId="77777777" w:rsidR="001272E1" w:rsidRPr="00A13CAE" w:rsidRDefault="001272E1" w:rsidP="00CE6E00">
            <w:pPr>
              <w:rPr>
                <w:b/>
                <w:bCs/>
              </w:rPr>
            </w:pPr>
            <w:r w:rsidRPr="00A13CAE">
              <w:rPr>
                <w:b/>
                <w:bCs/>
              </w:rPr>
              <w:t>Ongoing costs: $3.1m – $4.1m p.a</w:t>
            </w:r>
          </w:p>
        </w:tc>
        <w:tc>
          <w:tcPr>
            <w:tcW w:w="3669" w:type="dxa"/>
          </w:tcPr>
          <w:p w14:paraId="5354DAE5" w14:textId="5B4B4F4A" w:rsidR="001272E1" w:rsidRPr="00A13CAE" w:rsidRDefault="001272E1" w:rsidP="00CE6E00">
            <w:pPr>
              <w:rPr>
                <w:b/>
                <w:bCs/>
              </w:rPr>
            </w:pPr>
            <w:r w:rsidRPr="00A13CAE">
              <w:rPr>
                <w:b/>
                <w:bCs/>
              </w:rPr>
              <w:t>Implementation costs: $</w:t>
            </w:r>
            <w:r w:rsidR="00045B55">
              <w:rPr>
                <w:b/>
                <w:bCs/>
              </w:rPr>
              <w:t>122.4</w:t>
            </w:r>
            <w:r w:rsidRPr="00A13CAE">
              <w:rPr>
                <w:b/>
                <w:bCs/>
              </w:rPr>
              <w:t xml:space="preserve">m – </w:t>
            </w:r>
            <w:r w:rsidR="00026795">
              <w:rPr>
                <w:b/>
                <w:bCs/>
              </w:rPr>
              <w:t>$</w:t>
            </w:r>
            <w:r w:rsidR="00045B55">
              <w:rPr>
                <w:b/>
                <w:bCs/>
              </w:rPr>
              <w:t>144</w:t>
            </w:r>
            <w:r w:rsidRPr="00A13CAE">
              <w:rPr>
                <w:b/>
                <w:bCs/>
              </w:rPr>
              <w:t>m</w:t>
            </w:r>
          </w:p>
          <w:p w14:paraId="795E69EA" w14:textId="1AF04B55" w:rsidR="001272E1" w:rsidRPr="00A13CAE" w:rsidRDefault="001272E1" w:rsidP="00CE6E00">
            <w:pPr>
              <w:rPr>
                <w:b/>
                <w:bCs/>
              </w:rPr>
            </w:pPr>
            <w:r w:rsidRPr="00A13CAE">
              <w:rPr>
                <w:b/>
                <w:bCs/>
              </w:rPr>
              <w:t>Ongoing costs: $2</w:t>
            </w:r>
            <w:r w:rsidR="00CC36B5">
              <w:rPr>
                <w:b/>
                <w:bCs/>
              </w:rPr>
              <w:t>6.6</w:t>
            </w:r>
            <w:r w:rsidRPr="00A13CAE">
              <w:rPr>
                <w:b/>
                <w:bCs/>
              </w:rPr>
              <w:t>m – $3</w:t>
            </w:r>
            <w:r w:rsidR="00CC36B5">
              <w:rPr>
                <w:b/>
                <w:bCs/>
              </w:rPr>
              <w:t>3</w:t>
            </w:r>
            <w:r w:rsidRPr="00A13CAE">
              <w:rPr>
                <w:b/>
                <w:bCs/>
              </w:rPr>
              <w:t>.</w:t>
            </w:r>
            <w:r w:rsidR="00CC36B5">
              <w:rPr>
                <w:b/>
                <w:bCs/>
              </w:rPr>
              <w:t>7</w:t>
            </w:r>
            <w:r w:rsidRPr="00A13CAE">
              <w:rPr>
                <w:b/>
                <w:bCs/>
              </w:rPr>
              <w:t>m p.a</w:t>
            </w:r>
          </w:p>
        </w:tc>
      </w:tr>
    </w:tbl>
    <w:p w14:paraId="73E1A57F" w14:textId="77777777" w:rsidR="001272E1" w:rsidRDefault="001272E1" w:rsidP="001272E1"/>
    <w:p w14:paraId="39316320" w14:textId="77777777" w:rsidR="00EC4EBC" w:rsidRDefault="00EC4EBC" w:rsidP="00EC4EBC">
      <w:pPr>
        <w:rPr>
          <w:rFonts w:asciiTheme="majorHAnsi" w:hAnsiTheme="majorHAnsi"/>
          <w:lang w:eastAsia="ja-JP"/>
        </w:rPr>
      </w:pPr>
      <w:r>
        <w:rPr>
          <w:rFonts w:asciiTheme="majorHAnsi" w:hAnsiTheme="majorHAnsi"/>
          <w:lang w:eastAsia="ja-JP"/>
        </w:rPr>
        <w:t>KPMG was able to estimate the costs, as above, however the assessment of the relative benefits was somewhat more subjective.</w:t>
      </w:r>
    </w:p>
    <w:p w14:paraId="36B49D37" w14:textId="1662606F" w:rsidR="00EC4EBC" w:rsidRPr="00FA7C66" w:rsidRDefault="00EC4EBC" w:rsidP="00EC4EBC">
      <w:pPr>
        <w:rPr>
          <w:rFonts w:asciiTheme="majorHAnsi" w:hAnsiTheme="majorHAnsi"/>
          <w:lang w:eastAsia="ja-JP"/>
        </w:rPr>
      </w:pPr>
      <w:r>
        <w:rPr>
          <w:rFonts w:asciiTheme="majorHAnsi" w:hAnsiTheme="majorHAnsi"/>
          <w:lang w:eastAsia="ja-JP"/>
        </w:rPr>
        <w:t xml:space="preserve">KPMG contends that for both options, there are considerable biosecurity benefits that can be realised – with the options representing different approaches and level of detail.  KPMG stated that there are incremental biosecurity benefits from implementing both options, with these benefits not expected to vary materially between Option 2 and Option </w:t>
      </w:r>
      <w:r w:rsidRPr="00FA7C66">
        <w:rPr>
          <w:rFonts w:asciiTheme="majorHAnsi" w:hAnsiTheme="majorHAnsi"/>
          <w:lang w:eastAsia="ja-JP"/>
        </w:rPr>
        <w:t>4 (</w:t>
      </w:r>
      <w:r w:rsidR="00F67ECD" w:rsidRPr="00FA7C66">
        <w:rPr>
          <w:rFonts w:asciiTheme="majorHAnsi" w:hAnsiTheme="majorHAnsi"/>
          <w:lang w:eastAsia="ja-JP"/>
        </w:rPr>
        <w:t xml:space="preserve">Refer to Appendix C - Slide </w:t>
      </w:r>
      <w:r w:rsidRPr="00FA7C66">
        <w:rPr>
          <w:rFonts w:asciiTheme="majorHAnsi" w:hAnsiTheme="majorHAnsi"/>
          <w:lang w:eastAsia="ja-JP"/>
        </w:rPr>
        <w:t xml:space="preserve">42 </w:t>
      </w:r>
      <w:r w:rsidR="00F83D31" w:rsidRPr="00FA7C66">
        <w:rPr>
          <w:rFonts w:asciiTheme="majorHAnsi" w:hAnsiTheme="majorHAnsi"/>
          <w:lang w:eastAsia="ja-JP"/>
        </w:rPr>
        <w:t xml:space="preserve">of the </w:t>
      </w:r>
      <w:r w:rsidRPr="00FA7C66">
        <w:rPr>
          <w:rFonts w:asciiTheme="majorHAnsi" w:hAnsiTheme="majorHAnsi"/>
          <w:lang w:eastAsia="ja-JP"/>
        </w:rPr>
        <w:t>KPMG report).</w:t>
      </w:r>
    </w:p>
    <w:p w14:paraId="4A00119C" w14:textId="6C0BDE7F" w:rsidR="00EC4EBC" w:rsidRDefault="00EC4EBC" w:rsidP="00EC4EBC">
      <w:pPr>
        <w:rPr>
          <w:rFonts w:asciiTheme="majorHAnsi" w:hAnsiTheme="majorHAnsi"/>
          <w:lang w:eastAsia="ja-JP"/>
        </w:rPr>
      </w:pPr>
      <w:r w:rsidRPr="00FA7C66">
        <w:rPr>
          <w:rFonts w:asciiTheme="majorHAnsi" w:hAnsiTheme="majorHAnsi"/>
          <w:lang w:eastAsia="ja-JP"/>
        </w:rPr>
        <w:t>Further, KPMG discussed stakeholder consultations that revealed non-biosecurity benefits</w:t>
      </w:r>
      <w:r w:rsidR="00A94A4F" w:rsidRPr="00FA7C66">
        <w:rPr>
          <w:rFonts w:asciiTheme="majorHAnsi" w:hAnsiTheme="majorHAnsi"/>
          <w:lang w:eastAsia="ja-JP"/>
        </w:rPr>
        <w:t xml:space="preserve"> </w:t>
      </w:r>
      <w:r w:rsidRPr="00FA7C66">
        <w:rPr>
          <w:rFonts w:asciiTheme="majorHAnsi" w:hAnsiTheme="majorHAnsi"/>
          <w:lang w:eastAsia="ja-JP"/>
        </w:rPr>
        <w:t>that could be unlo</w:t>
      </w:r>
      <w:r>
        <w:rPr>
          <w:rFonts w:asciiTheme="majorHAnsi" w:hAnsiTheme="majorHAnsi"/>
          <w:lang w:eastAsia="ja-JP"/>
        </w:rPr>
        <w:t>cked with fu</w:t>
      </w:r>
      <w:r w:rsidR="00994519">
        <w:rPr>
          <w:rFonts w:asciiTheme="majorHAnsi" w:hAnsiTheme="majorHAnsi"/>
          <w:lang w:eastAsia="ja-JP"/>
        </w:rPr>
        <w:t>r</w:t>
      </w:r>
      <w:r>
        <w:rPr>
          <w:rFonts w:asciiTheme="majorHAnsi" w:hAnsiTheme="majorHAnsi"/>
          <w:lang w:eastAsia="ja-JP"/>
        </w:rPr>
        <w:t>t</w:t>
      </w:r>
      <w:r w:rsidR="000427BA">
        <w:rPr>
          <w:rFonts w:asciiTheme="majorHAnsi" w:hAnsiTheme="majorHAnsi"/>
          <w:lang w:eastAsia="ja-JP"/>
        </w:rPr>
        <w:t>her</w:t>
      </w:r>
      <w:r>
        <w:rPr>
          <w:rFonts w:asciiTheme="majorHAnsi" w:hAnsiTheme="majorHAnsi"/>
          <w:lang w:eastAsia="ja-JP"/>
        </w:rPr>
        <w:t xml:space="preserve"> consideration</w:t>
      </w:r>
      <w:r w:rsidR="00B802C0">
        <w:rPr>
          <w:rFonts w:asciiTheme="majorHAnsi" w:hAnsiTheme="majorHAnsi"/>
          <w:lang w:eastAsia="ja-JP"/>
        </w:rPr>
        <w:t>, as outlined below</w:t>
      </w:r>
      <w:r>
        <w:rPr>
          <w:rFonts w:asciiTheme="majorHAnsi" w:hAnsiTheme="majorHAnsi"/>
          <w:lang w:eastAsia="ja-JP"/>
        </w:rPr>
        <w:t>.</w:t>
      </w:r>
    </w:p>
    <w:p w14:paraId="24204D15" w14:textId="0B91DE1A" w:rsidR="009D0DB6" w:rsidRDefault="009D0DB6" w:rsidP="00EC4EBC">
      <w:pPr>
        <w:rPr>
          <w:rFonts w:asciiTheme="majorHAnsi" w:hAnsiTheme="majorHAnsi"/>
          <w:lang w:eastAsia="ja-JP"/>
        </w:rPr>
      </w:pPr>
      <w:r>
        <w:rPr>
          <w:noProof/>
        </w:rPr>
        <w:drawing>
          <wp:inline distT="0" distB="0" distL="0" distR="0" wp14:anchorId="76024417" wp14:editId="390CF113">
            <wp:extent cx="5759450" cy="4124960"/>
            <wp:effectExtent l="0" t="0" r="0" b="8890"/>
            <wp:docPr id="4" name="Picture 4" descr="KPMG stakeholder consultations revealed non-biosecurity benefits that could be unlocked with further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PMG stakeholder consultations revealed non-biosecurity benefits that could be unlocked with further consideration."/>
                    <pic:cNvPicPr/>
                  </pic:nvPicPr>
                  <pic:blipFill>
                    <a:blip r:embed="rId25"/>
                    <a:stretch>
                      <a:fillRect/>
                    </a:stretch>
                  </pic:blipFill>
                  <pic:spPr>
                    <a:xfrm>
                      <a:off x="0" y="0"/>
                      <a:ext cx="5759450" cy="4124960"/>
                    </a:xfrm>
                    <a:prstGeom prst="rect">
                      <a:avLst/>
                    </a:prstGeom>
                  </pic:spPr>
                </pic:pic>
              </a:graphicData>
            </a:graphic>
          </wp:inline>
        </w:drawing>
      </w:r>
    </w:p>
    <w:p w14:paraId="131DB659" w14:textId="77777777" w:rsidR="006D516F" w:rsidRDefault="006D516F" w:rsidP="00EC4EBC">
      <w:pPr>
        <w:rPr>
          <w:rFonts w:asciiTheme="majorHAnsi" w:hAnsiTheme="majorHAnsi"/>
          <w:lang w:eastAsia="ja-JP"/>
        </w:rPr>
      </w:pPr>
    </w:p>
    <w:p w14:paraId="2D0163F4" w14:textId="2A165A9D" w:rsidR="00EC4EBC" w:rsidRDefault="00EC4EBC" w:rsidP="00EC4EBC">
      <w:pPr>
        <w:rPr>
          <w:rFonts w:asciiTheme="majorHAnsi" w:hAnsiTheme="majorHAnsi"/>
          <w:lang w:eastAsia="ja-JP"/>
        </w:rPr>
      </w:pPr>
      <w:r>
        <w:rPr>
          <w:rFonts w:asciiTheme="majorHAnsi" w:hAnsiTheme="majorHAnsi"/>
          <w:lang w:eastAsia="ja-JP"/>
        </w:rPr>
        <w:t>Significantly, KPMG noted that the capacity for additional functionality outline</w:t>
      </w:r>
      <w:r w:rsidR="00A94A4F">
        <w:rPr>
          <w:rFonts w:asciiTheme="majorHAnsi" w:hAnsiTheme="majorHAnsi"/>
          <w:lang w:eastAsia="ja-JP"/>
        </w:rPr>
        <w:t>d</w:t>
      </w:r>
      <w:r>
        <w:rPr>
          <w:rFonts w:asciiTheme="majorHAnsi" w:hAnsiTheme="majorHAnsi"/>
          <w:lang w:eastAsia="ja-JP"/>
        </w:rPr>
        <w:t xml:space="preserve"> in the table above to realise these benefits and the associated costs of developing that functionality was not quantified.  However, KPMG stated that there is no material and quantifiable difference in non-biosecurity benefits between Option 2 and Option 4.</w:t>
      </w:r>
    </w:p>
    <w:p w14:paraId="296456B1" w14:textId="77777777" w:rsidR="00EC4EBC" w:rsidRDefault="00EC4EBC" w:rsidP="00EC4EBC">
      <w:r>
        <w:rPr>
          <w:rFonts w:asciiTheme="majorHAnsi" w:hAnsiTheme="majorHAnsi"/>
          <w:lang w:eastAsia="ja-JP"/>
        </w:rPr>
        <w:t>In summary, KPMG determined that both Options are expected to deliver the desired biosecurity outcomes, but Option 2 is substantially more cost effective in delivering these outcomes – including implementation and ongoing costs to horse owners.</w:t>
      </w:r>
    </w:p>
    <w:p w14:paraId="65D276AF" w14:textId="77777777" w:rsidR="00EC4EBC" w:rsidRPr="00FA0F5F" w:rsidRDefault="00EC4EBC" w:rsidP="001272E1"/>
    <w:p w14:paraId="10BA6A53" w14:textId="77777777" w:rsidR="001071A4" w:rsidRDefault="001071A4" w:rsidP="001071A4">
      <w:pPr>
        <w:pStyle w:val="Heading2"/>
        <w:rPr>
          <w:rFonts w:asciiTheme="majorHAnsi" w:hAnsiTheme="majorHAnsi"/>
        </w:rPr>
      </w:pPr>
      <w:bookmarkStart w:id="37" w:name="_Toc121397575"/>
      <w:r w:rsidRPr="00E04D7C">
        <w:rPr>
          <w:rFonts w:asciiTheme="majorHAnsi" w:hAnsiTheme="majorHAnsi" w:cstheme="minorHAnsi"/>
          <w:shd w:val="clear" w:color="auto" w:fill="FFFFFF"/>
        </w:rPr>
        <w:lastRenderedPageBreak/>
        <w:t xml:space="preserve">Possible funding models </w:t>
      </w:r>
      <w:r w:rsidRPr="00E04D7C">
        <w:rPr>
          <w:rFonts w:asciiTheme="majorHAnsi" w:hAnsiTheme="majorHAnsi"/>
        </w:rPr>
        <w:t>to support implementation and ongoing maintenance of Options 2 and 4</w:t>
      </w:r>
      <w:bookmarkEnd w:id="37"/>
    </w:p>
    <w:p w14:paraId="5A8D9B83" w14:textId="5B169A03" w:rsidR="001071A4" w:rsidRDefault="001071A4" w:rsidP="0034558E">
      <w:pPr>
        <w:rPr>
          <w:rFonts w:cstheme="minorHAnsi"/>
          <w:color w:val="000000"/>
          <w:shd w:val="clear" w:color="auto" w:fill="FFFFFF"/>
        </w:rPr>
      </w:pPr>
      <w:r w:rsidRPr="00FA0F5F">
        <w:rPr>
          <w:rFonts w:cstheme="minorHAnsi"/>
          <w:color w:val="000000"/>
          <w:shd w:val="clear" w:color="auto" w:fill="FFFFFF"/>
        </w:rPr>
        <w:t>The NHTWG considered three possible funding models to support the implementation and maintenance of both Options 2 and 4, whilst acknowledging that other funding model</w:t>
      </w:r>
      <w:r w:rsidR="00B802C0">
        <w:rPr>
          <w:rFonts w:cstheme="minorHAnsi"/>
          <w:color w:val="000000"/>
          <w:shd w:val="clear" w:color="auto" w:fill="FFFFFF"/>
        </w:rPr>
        <w:t>s</w:t>
      </w:r>
      <w:r w:rsidRPr="00FA0F5F">
        <w:rPr>
          <w:rFonts w:cstheme="minorHAnsi"/>
          <w:color w:val="000000"/>
          <w:shd w:val="clear" w:color="auto" w:fill="FFFFFF"/>
        </w:rPr>
        <w:t xml:space="preserve"> could potentially also be feasible</w:t>
      </w:r>
      <w:r>
        <w:rPr>
          <w:rFonts w:cstheme="minorHAnsi"/>
          <w:color w:val="000000"/>
          <w:shd w:val="clear" w:color="auto" w:fill="FFFFFF"/>
        </w:rPr>
        <w:t>.</w:t>
      </w:r>
    </w:p>
    <w:p w14:paraId="13509E0C" w14:textId="77777777" w:rsidR="001071A4" w:rsidRPr="00FA0F5F" w:rsidRDefault="001071A4" w:rsidP="0034558E">
      <w:pPr>
        <w:rPr>
          <w:rFonts w:cstheme="minorHAnsi"/>
          <w:color w:val="000000"/>
          <w:shd w:val="clear" w:color="auto" w:fill="FFFFFF"/>
        </w:rPr>
      </w:pPr>
      <w:r>
        <w:rPr>
          <w:rFonts w:cstheme="minorHAnsi"/>
          <w:color w:val="000000"/>
          <w:shd w:val="clear" w:color="auto" w:fill="FFFFFF"/>
        </w:rPr>
        <w:t xml:space="preserve">Consideration of the costs associated with introducing and maintaining a traceability system for horses needs to also acknowledge the potential economic cost and impact on the welfare of affected horses associated with disease emergencies.  </w:t>
      </w:r>
    </w:p>
    <w:p w14:paraId="296ABB54" w14:textId="77777777" w:rsidR="001071A4" w:rsidRPr="00FA0F5F" w:rsidRDefault="001071A4" w:rsidP="0034558E">
      <w:pPr>
        <w:rPr>
          <w:rFonts w:cstheme="minorHAnsi"/>
          <w:color w:val="000000"/>
          <w:shd w:val="clear" w:color="auto" w:fill="FFFFFF"/>
        </w:rPr>
      </w:pPr>
      <w:r w:rsidRPr="00FA0F5F">
        <w:rPr>
          <w:rFonts w:cstheme="minorHAnsi"/>
          <w:color w:val="000000"/>
          <w:shd w:val="clear" w:color="auto" w:fill="FFFFFF"/>
        </w:rPr>
        <w:t>Models discussed included:</w:t>
      </w:r>
    </w:p>
    <w:p w14:paraId="7EA13EAF" w14:textId="77777777" w:rsidR="001071A4" w:rsidRPr="00FA0F5F" w:rsidRDefault="001071A4" w:rsidP="0034558E">
      <w:pPr>
        <w:pStyle w:val="ListParagraph"/>
        <w:numPr>
          <w:ilvl w:val="0"/>
          <w:numId w:val="49"/>
        </w:numPr>
        <w:spacing w:after="200" w:line="276" w:lineRule="auto"/>
        <w:contextualSpacing/>
        <w:rPr>
          <w:rFonts w:ascii="Cambria" w:hAnsi="Cambria" w:cstheme="minorHAnsi"/>
          <w:color w:val="000000"/>
          <w:shd w:val="clear" w:color="auto" w:fill="FFFFFF"/>
        </w:rPr>
      </w:pPr>
      <w:r w:rsidRPr="00FA0F5F">
        <w:rPr>
          <w:rFonts w:ascii="Cambria" w:hAnsi="Cambria" w:cstheme="minorHAnsi"/>
          <w:color w:val="000000"/>
          <w:shd w:val="clear" w:color="auto" w:fill="FFFFFF"/>
        </w:rPr>
        <w:t xml:space="preserve">Government </w:t>
      </w:r>
      <w:r w:rsidRPr="00FA0F5F">
        <w:rPr>
          <w:rFonts w:ascii="Cambria" w:hAnsi="Cambria"/>
        </w:rPr>
        <w:t>(funded by the states/territories, with Commonwealth investment principally to support implementation)</w:t>
      </w:r>
    </w:p>
    <w:p w14:paraId="0AEEB01F" w14:textId="77777777" w:rsidR="001071A4" w:rsidRPr="00FA0F5F" w:rsidRDefault="001071A4" w:rsidP="0034558E">
      <w:pPr>
        <w:pStyle w:val="ListParagraph"/>
        <w:numPr>
          <w:ilvl w:val="0"/>
          <w:numId w:val="49"/>
        </w:numPr>
        <w:spacing w:after="200" w:line="276" w:lineRule="auto"/>
        <w:contextualSpacing/>
        <w:rPr>
          <w:rFonts w:ascii="Cambria" w:hAnsi="Cambria" w:cstheme="minorHAnsi"/>
          <w:color w:val="000000"/>
          <w:shd w:val="clear" w:color="auto" w:fill="FFFFFF"/>
        </w:rPr>
      </w:pPr>
      <w:r w:rsidRPr="00FA0F5F">
        <w:rPr>
          <w:rFonts w:ascii="Cambria" w:hAnsi="Cambria" w:cstheme="minorHAnsi"/>
          <w:color w:val="000000"/>
          <w:shd w:val="clear" w:color="auto" w:fill="FFFFFF"/>
        </w:rPr>
        <w:t xml:space="preserve">Co-funded </w:t>
      </w:r>
      <w:r w:rsidRPr="00FA0F5F">
        <w:rPr>
          <w:rFonts w:ascii="Cambria" w:hAnsi="Cambria"/>
        </w:rPr>
        <w:t>(funded jointly by Commonwealth, states/territories and the horse industry)</w:t>
      </w:r>
    </w:p>
    <w:p w14:paraId="1FE157B7" w14:textId="3C11F9BA" w:rsidR="001071A4" w:rsidRPr="0034558E" w:rsidRDefault="001071A4" w:rsidP="001071A4">
      <w:pPr>
        <w:pStyle w:val="ListParagraph"/>
        <w:numPr>
          <w:ilvl w:val="0"/>
          <w:numId w:val="49"/>
        </w:numPr>
        <w:spacing w:after="200" w:line="276" w:lineRule="auto"/>
        <w:contextualSpacing/>
        <w:rPr>
          <w:rFonts w:ascii="Cambria" w:hAnsi="Cambria" w:cstheme="minorHAnsi"/>
          <w:color w:val="000000"/>
          <w:shd w:val="clear" w:color="auto" w:fill="FFFFFF"/>
        </w:rPr>
      </w:pPr>
      <w:r w:rsidRPr="00FA0F5F">
        <w:rPr>
          <w:rFonts w:ascii="Cambria" w:hAnsi="Cambria" w:cstheme="minorHAnsi"/>
          <w:color w:val="000000"/>
          <w:shd w:val="clear" w:color="auto" w:fill="FFFFFF"/>
        </w:rPr>
        <w:t>Levy funded (User pays – horse industry sourced)</w:t>
      </w:r>
    </w:p>
    <w:tbl>
      <w:tblPr>
        <w:tblStyle w:val="TableGrid"/>
        <w:tblW w:w="9858" w:type="dxa"/>
        <w:tblInd w:w="-147" w:type="dxa"/>
        <w:tblLook w:val="04A0" w:firstRow="1" w:lastRow="0" w:firstColumn="1" w:lastColumn="0" w:noHBand="0" w:noVBand="1"/>
      </w:tblPr>
      <w:tblGrid>
        <w:gridCol w:w="1988"/>
        <w:gridCol w:w="2265"/>
        <w:gridCol w:w="2268"/>
        <w:gridCol w:w="3337"/>
      </w:tblGrid>
      <w:tr w:rsidR="001071A4" w:rsidRPr="00FA0F5F" w14:paraId="5215D35C" w14:textId="77777777" w:rsidTr="00B824A5">
        <w:tc>
          <w:tcPr>
            <w:tcW w:w="1988" w:type="dxa"/>
            <w:shd w:val="clear" w:color="auto" w:fill="F2F2F2" w:themeFill="background1" w:themeFillShade="F2"/>
          </w:tcPr>
          <w:p w14:paraId="22EECBE5" w14:textId="77777777" w:rsidR="001071A4" w:rsidRPr="00FA0F5F" w:rsidRDefault="001071A4" w:rsidP="00B824A5">
            <w:pPr>
              <w:rPr>
                <w:rFonts w:cstheme="minorHAnsi"/>
                <w:b/>
              </w:rPr>
            </w:pPr>
          </w:p>
        </w:tc>
        <w:tc>
          <w:tcPr>
            <w:tcW w:w="2265" w:type="dxa"/>
            <w:shd w:val="clear" w:color="auto" w:fill="F2F2F2" w:themeFill="background1" w:themeFillShade="F2"/>
          </w:tcPr>
          <w:p w14:paraId="3E10D474" w14:textId="77777777" w:rsidR="001071A4" w:rsidRPr="00FA0F5F" w:rsidRDefault="001071A4" w:rsidP="00B824A5">
            <w:pPr>
              <w:rPr>
                <w:rFonts w:cstheme="minorHAnsi"/>
                <w:b/>
              </w:rPr>
            </w:pPr>
            <w:r w:rsidRPr="00FA0F5F">
              <w:rPr>
                <w:rFonts w:cstheme="minorHAnsi"/>
                <w:b/>
              </w:rPr>
              <w:t xml:space="preserve">Option 2 - </w:t>
            </w:r>
            <w:r w:rsidRPr="00FA0F5F">
              <w:rPr>
                <w:b/>
              </w:rPr>
              <w:t>potential cost recovery methods</w:t>
            </w:r>
          </w:p>
        </w:tc>
        <w:tc>
          <w:tcPr>
            <w:tcW w:w="2268" w:type="dxa"/>
            <w:shd w:val="clear" w:color="auto" w:fill="F2F2F2" w:themeFill="background1" w:themeFillShade="F2"/>
          </w:tcPr>
          <w:p w14:paraId="26B32BD3" w14:textId="77777777" w:rsidR="001071A4" w:rsidRPr="00FA0F5F" w:rsidRDefault="001071A4" w:rsidP="00B824A5">
            <w:pPr>
              <w:rPr>
                <w:rFonts w:cstheme="minorHAnsi"/>
                <w:b/>
              </w:rPr>
            </w:pPr>
            <w:r w:rsidRPr="00FA0F5F">
              <w:rPr>
                <w:rFonts w:cstheme="minorHAnsi"/>
                <w:b/>
              </w:rPr>
              <w:t xml:space="preserve">Option 4 - </w:t>
            </w:r>
            <w:r w:rsidRPr="00FA0F5F">
              <w:rPr>
                <w:b/>
              </w:rPr>
              <w:t>potential cost recovery methods</w:t>
            </w:r>
          </w:p>
        </w:tc>
        <w:tc>
          <w:tcPr>
            <w:tcW w:w="3337" w:type="dxa"/>
            <w:shd w:val="clear" w:color="auto" w:fill="F2F2F2" w:themeFill="background1" w:themeFillShade="F2"/>
          </w:tcPr>
          <w:p w14:paraId="42A514A5" w14:textId="77777777" w:rsidR="001071A4" w:rsidRPr="00FA0F5F" w:rsidRDefault="001071A4" w:rsidP="00B824A5">
            <w:pPr>
              <w:rPr>
                <w:rFonts w:cstheme="minorHAnsi"/>
                <w:b/>
              </w:rPr>
            </w:pPr>
            <w:r w:rsidRPr="00FA0F5F">
              <w:rPr>
                <w:rFonts w:cstheme="minorHAnsi"/>
                <w:b/>
              </w:rPr>
              <w:t>Comments</w:t>
            </w:r>
          </w:p>
        </w:tc>
      </w:tr>
      <w:tr w:rsidR="00877FBB" w:rsidRPr="00FA0F5F" w14:paraId="5B741F22" w14:textId="77777777" w:rsidTr="00B824A5">
        <w:tc>
          <w:tcPr>
            <w:tcW w:w="1988" w:type="dxa"/>
            <w:shd w:val="clear" w:color="auto" w:fill="F2F2F2" w:themeFill="background1" w:themeFillShade="F2"/>
          </w:tcPr>
          <w:p w14:paraId="7D55DF3C" w14:textId="243A4DA0" w:rsidR="00877FBB" w:rsidRPr="00FA0F5F" w:rsidRDefault="00877FBB" w:rsidP="00877FBB">
            <w:pPr>
              <w:rPr>
                <w:b/>
                <w:bCs/>
              </w:rPr>
            </w:pPr>
            <w:r>
              <w:rPr>
                <w:b/>
                <w:bCs/>
              </w:rPr>
              <w:t xml:space="preserve">Fully </w:t>
            </w:r>
            <w:r w:rsidR="00C90A73">
              <w:rPr>
                <w:b/>
                <w:bCs/>
              </w:rPr>
              <w:t>g</w:t>
            </w:r>
            <w:r w:rsidRPr="00FA0F5F">
              <w:rPr>
                <w:b/>
                <w:bCs/>
              </w:rPr>
              <w:t>overnment</w:t>
            </w:r>
            <w:r>
              <w:rPr>
                <w:b/>
                <w:bCs/>
              </w:rPr>
              <w:t xml:space="preserve"> funded</w:t>
            </w:r>
            <w:r w:rsidRPr="00FA0F5F">
              <w:rPr>
                <w:b/>
                <w:bCs/>
              </w:rPr>
              <w:t xml:space="preserve"> </w:t>
            </w:r>
          </w:p>
        </w:tc>
        <w:tc>
          <w:tcPr>
            <w:tcW w:w="2265" w:type="dxa"/>
          </w:tcPr>
          <w:p w14:paraId="73D8FCD9" w14:textId="77777777" w:rsidR="00877FBB" w:rsidRPr="00FA0F5F" w:rsidRDefault="00877FBB" w:rsidP="00877FBB">
            <w:pPr>
              <w:rPr>
                <w:rFonts w:cstheme="minorHAnsi"/>
                <w:bCs/>
              </w:rPr>
            </w:pPr>
            <w:r w:rsidRPr="00FA0F5F">
              <w:rPr>
                <w:rFonts w:cstheme="minorHAnsi"/>
                <w:bCs/>
              </w:rPr>
              <w:t xml:space="preserve">Initial seed funding </w:t>
            </w:r>
          </w:p>
          <w:p w14:paraId="666907F7" w14:textId="77777777" w:rsidR="00877FBB" w:rsidRPr="00FA0F5F" w:rsidRDefault="00877FBB" w:rsidP="00877FBB">
            <w:pPr>
              <w:rPr>
                <w:rFonts w:cstheme="minorHAnsi"/>
                <w:bCs/>
              </w:rPr>
            </w:pPr>
          </w:p>
          <w:p w14:paraId="6261FCCD" w14:textId="666387BD" w:rsidR="00877FBB" w:rsidRPr="00FA0F5F" w:rsidRDefault="00877FBB" w:rsidP="00877FBB">
            <w:pPr>
              <w:rPr>
                <w:rFonts w:cstheme="minorHAnsi"/>
                <w:bCs/>
              </w:rPr>
            </w:pPr>
            <w:r w:rsidRPr="00FA0F5F">
              <w:rPr>
                <w:rFonts w:cstheme="minorHAnsi"/>
                <w:bCs/>
              </w:rPr>
              <w:t xml:space="preserve">Ongoing funding </w:t>
            </w:r>
          </w:p>
        </w:tc>
        <w:tc>
          <w:tcPr>
            <w:tcW w:w="2268" w:type="dxa"/>
          </w:tcPr>
          <w:p w14:paraId="135B44EA" w14:textId="77777777" w:rsidR="00877FBB" w:rsidRPr="00FA0F5F" w:rsidRDefault="00877FBB" w:rsidP="00877FBB">
            <w:pPr>
              <w:rPr>
                <w:rFonts w:cstheme="minorHAnsi"/>
                <w:bCs/>
              </w:rPr>
            </w:pPr>
            <w:r w:rsidRPr="00FA0F5F">
              <w:rPr>
                <w:rFonts w:cstheme="minorHAnsi"/>
                <w:bCs/>
              </w:rPr>
              <w:t xml:space="preserve">Initial seed funding </w:t>
            </w:r>
          </w:p>
          <w:p w14:paraId="2F6F8406" w14:textId="77777777" w:rsidR="00877FBB" w:rsidRPr="00FA0F5F" w:rsidRDefault="00877FBB" w:rsidP="00877FBB">
            <w:pPr>
              <w:rPr>
                <w:rFonts w:cstheme="minorHAnsi"/>
                <w:bCs/>
              </w:rPr>
            </w:pPr>
          </w:p>
          <w:p w14:paraId="642C35FD" w14:textId="6428AACD" w:rsidR="00877FBB" w:rsidRPr="00FA0F5F" w:rsidRDefault="00877FBB" w:rsidP="00877FBB">
            <w:pPr>
              <w:rPr>
                <w:rFonts w:cstheme="minorHAnsi"/>
                <w:bCs/>
              </w:rPr>
            </w:pPr>
            <w:r w:rsidRPr="00FA0F5F">
              <w:rPr>
                <w:rFonts w:cstheme="minorHAnsi"/>
                <w:bCs/>
              </w:rPr>
              <w:t xml:space="preserve">Ongoing funding </w:t>
            </w:r>
          </w:p>
        </w:tc>
        <w:tc>
          <w:tcPr>
            <w:tcW w:w="3337" w:type="dxa"/>
          </w:tcPr>
          <w:p w14:paraId="0F200BDF" w14:textId="072D6566" w:rsidR="00877FBB" w:rsidRPr="00FA0F5F" w:rsidRDefault="00877FBB" w:rsidP="00877FBB">
            <w:pPr>
              <w:rPr>
                <w:rFonts w:cstheme="minorHAnsi"/>
                <w:bCs/>
              </w:rPr>
            </w:pPr>
            <w:r w:rsidRPr="00FA0F5F">
              <w:rPr>
                <w:rFonts w:cstheme="minorHAnsi"/>
                <w:bCs/>
              </w:rPr>
              <w:t>Initiative funding from government to support implementation is possible, however governments have indicated that ongoing system maintenance funding is unlikely to be available and will need to be sourced from industry.</w:t>
            </w:r>
          </w:p>
        </w:tc>
      </w:tr>
      <w:tr w:rsidR="00877FBB" w:rsidRPr="00FA0F5F" w14:paraId="53255CD1" w14:textId="77777777" w:rsidTr="00B824A5">
        <w:tc>
          <w:tcPr>
            <w:tcW w:w="1988" w:type="dxa"/>
            <w:shd w:val="clear" w:color="auto" w:fill="F2F2F2" w:themeFill="background1" w:themeFillShade="F2"/>
          </w:tcPr>
          <w:p w14:paraId="071A36EE" w14:textId="7397B53F" w:rsidR="00877FBB" w:rsidRPr="00FA0F5F" w:rsidRDefault="00877FBB" w:rsidP="00877FBB">
            <w:pPr>
              <w:rPr>
                <w:b/>
                <w:bCs/>
              </w:rPr>
            </w:pPr>
            <w:r w:rsidRPr="00FA0F5F">
              <w:rPr>
                <w:b/>
                <w:bCs/>
              </w:rPr>
              <w:t xml:space="preserve">Co-funded (funded jointly by </w:t>
            </w:r>
            <w:r>
              <w:rPr>
                <w:b/>
                <w:bCs/>
              </w:rPr>
              <w:t>governments</w:t>
            </w:r>
            <w:r w:rsidRPr="00FA0F5F">
              <w:rPr>
                <w:b/>
                <w:bCs/>
              </w:rPr>
              <w:t xml:space="preserve"> and the horse industry)</w:t>
            </w:r>
          </w:p>
        </w:tc>
        <w:tc>
          <w:tcPr>
            <w:tcW w:w="2265" w:type="dxa"/>
          </w:tcPr>
          <w:p w14:paraId="1E111EC3" w14:textId="77777777" w:rsidR="00877FBB" w:rsidRPr="00FA0F5F" w:rsidRDefault="00877FBB" w:rsidP="00877FBB">
            <w:pPr>
              <w:rPr>
                <w:rFonts w:cstheme="minorHAnsi"/>
                <w:bCs/>
              </w:rPr>
            </w:pPr>
            <w:r w:rsidRPr="00FA0F5F">
              <w:rPr>
                <w:rFonts w:cstheme="minorHAnsi"/>
                <w:bCs/>
              </w:rPr>
              <w:t>Initial seed funding</w:t>
            </w:r>
            <w:r>
              <w:rPr>
                <w:rFonts w:cstheme="minorHAnsi"/>
                <w:bCs/>
              </w:rPr>
              <w:t xml:space="preserve"> from governments</w:t>
            </w:r>
            <w:r w:rsidRPr="00FA0F5F">
              <w:rPr>
                <w:rFonts w:cstheme="minorHAnsi"/>
                <w:bCs/>
              </w:rPr>
              <w:t xml:space="preserve"> </w:t>
            </w:r>
          </w:p>
          <w:p w14:paraId="11D5CF79" w14:textId="77777777" w:rsidR="00877FBB" w:rsidRPr="00FA0F5F" w:rsidRDefault="00877FBB" w:rsidP="00877FBB">
            <w:pPr>
              <w:rPr>
                <w:rFonts w:cstheme="minorHAnsi"/>
                <w:bCs/>
              </w:rPr>
            </w:pPr>
          </w:p>
          <w:p w14:paraId="52850403" w14:textId="77777777" w:rsidR="00877FBB" w:rsidRPr="00FA0F5F" w:rsidRDefault="00877FBB" w:rsidP="00877FBB">
            <w:pPr>
              <w:rPr>
                <w:rFonts w:cstheme="minorHAnsi"/>
                <w:bCs/>
              </w:rPr>
            </w:pPr>
            <w:r w:rsidRPr="00FA0F5F">
              <w:rPr>
                <w:rFonts w:cstheme="minorHAnsi"/>
                <w:bCs/>
              </w:rPr>
              <w:t xml:space="preserve">Ongoing funding from industry through an annual PIC renewal fee potentially supplemented by </w:t>
            </w:r>
            <w:r w:rsidRPr="00FA0F5F">
              <w:rPr>
                <w:rFonts w:cstheme="minorHAnsi"/>
                <w:bCs/>
              </w:rPr>
              <w:lastRenderedPageBreak/>
              <w:t>limited government co-investment</w:t>
            </w:r>
          </w:p>
          <w:p w14:paraId="13BA0FB9" w14:textId="77777777" w:rsidR="00877FBB" w:rsidRPr="00FA0F5F" w:rsidRDefault="00877FBB" w:rsidP="00877FBB">
            <w:pPr>
              <w:rPr>
                <w:rFonts w:cstheme="minorHAnsi"/>
                <w:bCs/>
              </w:rPr>
            </w:pPr>
          </w:p>
        </w:tc>
        <w:tc>
          <w:tcPr>
            <w:tcW w:w="2268" w:type="dxa"/>
          </w:tcPr>
          <w:p w14:paraId="53F7C3A0" w14:textId="77777777" w:rsidR="00877FBB" w:rsidRPr="00FA0F5F" w:rsidRDefault="00877FBB" w:rsidP="00877FBB">
            <w:pPr>
              <w:rPr>
                <w:rFonts w:cstheme="minorHAnsi"/>
                <w:bCs/>
              </w:rPr>
            </w:pPr>
            <w:r w:rsidRPr="00FA0F5F">
              <w:rPr>
                <w:rFonts w:cstheme="minorHAnsi"/>
                <w:bCs/>
              </w:rPr>
              <w:lastRenderedPageBreak/>
              <w:t>Initial seed funding governments</w:t>
            </w:r>
          </w:p>
          <w:p w14:paraId="6318B77A" w14:textId="77777777" w:rsidR="00877FBB" w:rsidRPr="00FA0F5F" w:rsidRDefault="00877FBB" w:rsidP="00877FBB">
            <w:pPr>
              <w:rPr>
                <w:rFonts w:cstheme="minorHAnsi"/>
                <w:bCs/>
              </w:rPr>
            </w:pPr>
          </w:p>
          <w:p w14:paraId="4643A1CE" w14:textId="77777777" w:rsidR="00877FBB" w:rsidRPr="00FA0F5F" w:rsidRDefault="00877FBB" w:rsidP="00877FBB">
            <w:pPr>
              <w:rPr>
                <w:rFonts w:cstheme="minorHAnsi"/>
                <w:bCs/>
              </w:rPr>
            </w:pPr>
            <w:r w:rsidRPr="00FA0F5F">
              <w:rPr>
                <w:rFonts w:cstheme="minorHAnsi"/>
                <w:bCs/>
              </w:rPr>
              <w:t xml:space="preserve">Maintenance funding generated via </w:t>
            </w:r>
          </w:p>
          <w:p w14:paraId="2BA3378D" w14:textId="77777777" w:rsidR="00877FBB" w:rsidRPr="00FA0F5F" w:rsidRDefault="00877FBB" w:rsidP="00877FBB">
            <w:pPr>
              <w:pStyle w:val="ListParagraph"/>
              <w:numPr>
                <w:ilvl w:val="0"/>
                <w:numId w:val="50"/>
              </w:numPr>
              <w:ind w:left="466" w:hanging="425"/>
              <w:contextualSpacing/>
              <w:rPr>
                <w:rFonts w:ascii="Cambria" w:hAnsi="Cambria" w:cstheme="minorHAnsi"/>
                <w:bCs/>
              </w:rPr>
            </w:pPr>
            <w:r w:rsidRPr="00FA0F5F">
              <w:rPr>
                <w:rFonts w:ascii="Cambria" w:hAnsi="Cambria" w:cstheme="minorHAnsi"/>
                <w:bCs/>
              </w:rPr>
              <w:t>Annual PIC renewal fee</w:t>
            </w:r>
          </w:p>
          <w:p w14:paraId="2F96DC4A" w14:textId="77777777" w:rsidR="00877FBB" w:rsidRPr="00FA0F5F" w:rsidRDefault="00877FBB" w:rsidP="00877FBB">
            <w:pPr>
              <w:pStyle w:val="ListParagraph"/>
              <w:numPr>
                <w:ilvl w:val="0"/>
                <w:numId w:val="50"/>
              </w:numPr>
              <w:ind w:left="466" w:hanging="425"/>
              <w:contextualSpacing/>
              <w:rPr>
                <w:rFonts w:ascii="Cambria" w:hAnsi="Cambria" w:cstheme="minorHAnsi"/>
                <w:bCs/>
              </w:rPr>
            </w:pPr>
            <w:r w:rsidRPr="00FA0F5F">
              <w:rPr>
                <w:rFonts w:ascii="Cambria" w:hAnsi="Cambria" w:cstheme="minorHAnsi"/>
                <w:bCs/>
              </w:rPr>
              <w:t xml:space="preserve">Levy for registering a </w:t>
            </w:r>
            <w:r w:rsidRPr="00FA0F5F">
              <w:rPr>
                <w:rFonts w:ascii="Cambria" w:hAnsi="Cambria" w:cstheme="minorHAnsi"/>
                <w:bCs/>
              </w:rPr>
              <w:lastRenderedPageBreak/>
              <w:t>microchipped horse on the database, and/or</w:t>
            </w:r>
          </w:p>
          <w:p w14:paraId="498DC1F9" w14:textId="77777777" w:rsidR="00877FBB" w:rsidRPr="00FA0F5F" w:rsidRDefault="00877FBB" w:rsidP="00877FBB">
            <w:pPr>
              <w:pStyle w:val="ListParagraph"/>
              <w:numPr>
                <w:ilvl w:val="0"/>
                <w:numId w:val="50"/>
              </w:numPr>
              <w:ind w:left="466" w:hanging="425"/>
              <w:contextualSpacing/>
              <w:rPr>
                <w:rFonts w:ascii="Cambria" w:hAnsi="Cambria" w:cstheme="minorHAnsi"/>
                <w:bCs/>
              </w:rPr>
            </w:pPr>
            <w:r w:rsidRPr="00FA0F5F">
              <w:rPr>
                <w:rFonts w:ascii="Cambria" w:hAnsi="Cambria" w:cstheme="minorHAnsi"/>
                <w:bCs/>
              </w:rPr>
              <w:t>Fees for registering ownership changes and movements to race meetings and equestrian events</w:t>
            </w:r>
          </w:p>
          <w:p w14:paraId="63F9D5B7" w14:textId="77777777" w:rsidR="00877FBB" w:rsidRPr="00FA0F5F" w:rsidRDefault="00877FBB" w:rsidP="00877FBB">
            <w:pPr>
              <w:rPr>
                <w:rFonts w:cstheme="minorHAnsi"/>
                <w:bCs/>
              </w:rPr>
            </w:pPr>
          </w:p>
        </w:tc>
        <w:tc>
          <w:tcPr>
            <w:tcW w:w="3337" w:type="dxa"/>
          </w:tcPr>
          <w:p w14:paraId="5E57450C" w14:textId="77777777" w:rsidR="00877FBB" w:rsidRPr="00FA0F5F" w:rsidRDefault="00877FBB" w:rsidP="00877FBB">
            <w:pPr>
              <w:rPr>
                <w:rFonts w:cstheme="minorHAnsi"/>
                <w:bCs/>
              </w:rPr>
            </w:pPr>
            <w:r w:rsidRPr="00FA0F5F">
              <w:rPr>
                <w:rFonts w:cstheme="minorHAnsi"/>
                <w:bCs/>
              </w:rPr>
              <w:lastRenderedPageBreak/>
              <w:t>If nationally there are 100,000 horse PICs and an annual fee of $30 per PIC was introduced, this would generate ~$3m per annum</w:t>
            </w:r>
          </w:p>
          <w:p w14:paraId="5500C429" w14:textId="77777777" w:rsidR="00877FBB" w:rsidRPr="00FA0F5F" w:rsidRDefault="00877FBB" w:rsidP="00877FBB">
            <w:pPr>
              <w:rPr>
                <w:rFonts w:cstheme="minorHAnsi"/>
                <w:bCs/>
              </w:rPr>
            </w:pPr>
          </w:p>
          <w:p w14:paraId="19723AD4" w14:textId="77777777" w:rsidR="00877FBB" w:rsidRPr="00FA0F5F" w:rsidRDefault="00877FBB" w:rsidP="00877FBB">
            <w:pPr>
              <w:rPr>
                <w:rFonts w:cstheme="minorHAnsi"/>
                <w:bCs/>
              </w:rPr>
            </w:pPr>
            <w:r w:rsidRPr="00FA0F5F">
              <w:rPr>
                <w:rFonts w:cstheme="minorHAnsi"/>
                <w:bCs/>
              </w:rPr>
              <w:t xml:space="preserve">With Option 4, a ‘once for life’ horse registration fee of $100 would generate $10 million per </w:t>
            </w:r>
            <w:r w:rsidRPr="00FA0F5F">
              <w:rPr>
                <w:rFonts w:cstheme="minorHAnsi"/>
                <w:bCs/>
              </w:rPr>
              <w:lastRenderedPageBreak/>
              <w:t>annum based on 100,000 foals ‘chipped’ annually.</w:t>
            </w:r>
          </w:p>
          <w:p w14:paraId="4E479A00" w14:textId="77777777" w:rsidR="00877FBB" w:rsidRPr="00FA0F5F" w:rsidRDefault="00877FBB" w:rsidP="00877FBB">
            <w:pPr>
              <w:rPr>
                <w:rFonts w:cstheme="minorHAnsi"/>
                <w:bCs/>
              </w:rPr>
            </w:pPr>
          </w:p>
          <w:p w14:paraId="2BEBDAAD" w14:textId="77777777" w:rsidR="00877FBB" w:rsidRPr="00FA0F5F" w:rsidRDefault="00877FBB" w:rsidP="00877FBB">
            <w:pPr>
              <w:rPr>
                <w:rFonts w:cstheme="minorHAnsi"/>
                <w:bCs/>
              </w:rPr>
            </w:pPr>
            <w:r w:rsidRPr="00FA0F5F">
              <w:rPr>
                <w:rFonts w:cstheme="minorHAnsi"/>
                <w:bCs/>
              </w:rPr>
              <w:t>Database fees, if used as the only industry derived funding source, would need to be in the order of $20 per movement record to generate the required income.</w:t>
            </w:r>
          </w:p>
          <w:p w14:paraId="0288BF73" w14:textId="1F171376" w:rsidR="00877FBB" w:rsidRPr="00FA0F5F" w:rsidRDefault="00877FBB" w:rsidP="00877FBB">
            <w:pPr>
              <w:rPr>
                <w:rFonts w:cstheme="minorHAnsi"/>
                <w:bCs/>
              </w:rPr>
            </w:pPr>
            <w:r w:rsidRPr="00FA0F5F">
              <w:rPr>
                <w:rFonts w:cstheme="minorHAnsi"/>
                <w:bCs/>
              </w:rPr>
              <w:t>‘User pays’ fees and levies would also add to compliance costs due to likely industry opposition and resulting poor compliance</w:t>
            </w:r>
            <w:r w:rsidR="00CC16FA">
              <w:rPr>
                <w:rFonts w:cstheme="minorHAnsi"/>
                <w:bCs/>
              </w:rPr>
              <w:t>.</w:t>
            </w:r>
          </w:p>
        </w:tc>
      </w:tr>
      <w:tr w:rsidR="001071A4" w:rsidRPr="00FA0F5F" w14:paraId="696FC732" w14:textId="77777777" w:rsidTr="00B824A5">
        <w:tc>
          <w:tcPr>
            <w:tcW w:w="1988" w:type="dxa"/>
            <w:shd w:val="clear" w:color="auto" w:fill="F2F2F2" w:themeFill="background1" w:themeFillShade="F2"/>
          </w:tcPr>
          <w:p w14:paraId="7C714B4B" w14:textId="77777777" w:rsidR="001071A4" w:rsidRPr="00FA0F5F" w:rsidRDefault="001071A4" w:rsidP="00B824A5">
            <w:pPr>
              <w:rPr>
                <w:rFonts w:cstheme="minorHAnsi"/>
                <w:b/>
                <w:bCs/>
              </w:rPr>
            </w:pPr>
            <w:r w:rsidRPr="00FA0F5F">
              <w:rPr>
                <w:b/>
                <w:bCs/>
              </w:rPr>
              <w:lastRenderedPageBreak/>
              <w:t>Levy System (User pays – horse industry)</w:t>
            </w:r>
          </w:p>
        </w:tc>
        <w:tc>
          <w:tcPr>
            <w:tcW w:w="2265" w:type="dxa"/>
          </w:tcPr>
          <w:p w14:paraId="21626F43" w14:textId="77777777" w:rsidR="001071A4" w:rsidRPr="00FA0F5F" w:rsidRDefault="001071A4" w:rsidP="00B824A5">
            <w:pPr>
              <w:rPr>
                <w:rFonts w:cstheme="minorHAnsi"/>
                <w:bCs/>
              </w:rPr>
            </w:pPr>
            <w:r w:rsidRPr="00FA0F5F">
              <w:rPr>
                <w:rFonts w:cstheme="minorHAnsi"/>
                <w:bCs/>
              </w:rPr>
              <w:t>Ongoing funding from industry e.g. through the introduction of an annual PIC renewal fee to support jurisdictional roles</w:t>
            </w:r>
          </w:p>
        </w:tc>
        <w:tc>
          <w:tcPr>
            <w:tcW w:w="2268" w:type="dxa"/>
          </w:tcPr>
          <w:p w14:paraId="58533049" w14:textId="77777777" w:rsidR="001071A4" w:rsidRPr="00FA0F5F" w:rsidRDefault="001071A4" w:rsidP="00B824A5">
            <w:pPr>
              <w:rPr>
                <w:rFonts w:cstheme="minorHAnsi"/>
                <w:bCs/>
              </w:rPr>
            </w:pPr>
            <w:r w:rsidRPr="00FA0F5F">
              <w:rPr>
                <w:rFonts w:cstheme="minorHAnsi"/>
                <w:bCs/>
              </w:rPr>
              <w:t xml:space="preserve">Implementation and maintenance funding generated via industry sourced investment complemented by fees and levies as above to support jurisdictional roles. </w:t>
            </w:r>
          </w:p>
          <w:p w14:paraId="0A703D49" w14:textId="77777777" w:rsidR="001071A4" w:rsidRPr="00FA0F5F" w:rsidRDefault="001071A4" w:rsidP="00B824A5">
            <w:pPr>
              <w:rPr>
                <w:rFonts w:cstheme="minorHAnsi"/>
                <w:bCs/>
              </w:rPr>
            </w:pPr>
          </w:p>
        </w:tc>
        <w:tc>
          <w:tcPr>
            <w:tcW w:w="3337" w:type="dxa"/>
          </w:tcPr>
          <w:p w14:paraId="0EEBC80E" w14:textId="77777777" w:rsidR="001071A4" w:rsidRPr="00FA0F5F" w:rsidRDefault="001071A4" w:rsidP="00B824A5">
            <w:pPr>
              <w:rPr>
                <w:rFonts w:cstheme="minorHAnsi"/>
                <w:bCs/>
              </w:rPr>
            </w:pPr>
            <w:r w:rsidRPr="00FA0F5F">
              <w:rPr>
                <w:rFonts w:cstheme="minorHAnsi"/>
                <w:bCs/>
              </w:rPr>
              <w:t>It would be challenging for industry alone to amass the funds needed to implement Option 4.</w:t>
            </w:r>
          </w:p>
          <w:p w14:paraId="06666CD9" w14:textId="77777777" w:rsidR="001071A4" w:rsidRPr="00FA0F5F" w:rsidRDefault="001071A4" w:rsidP="00B824A5">
            <w:pPr>
              <w:rPr>
                <w:rFonts w:cstheme="minorHAnsi"/>
                <w:bCs/>
              </w:rPr>
            </w:pPr>
          </w:p>
          <w:p w14:paraId="226A774F" w14:textId="77777777" w:rsidR="001071A4" w:rsidRPr="00FA0F5F" w:rsidRDefault="001071A4" w:rsidP="00B824A5">
            <w:pPr>
              <w:rPr>
                <w:rFonts w:cstheme="minorHAnsi"/>
                <w:bCs/>
              </w:rPr>
            </w:pPr>
            <w:r w:rsidRPr="00FA0F5F">
              <w:rPr>
                <w:rFonts w:cstheme="minorHAnsi"/>
                <w:bCs/>
              </w:rPr>
              <w:t>The higher the industry levies and fees, the greater the monitoring and enforcement challenges and associated costs</w:t>
            </w:r>
          </w:p>
        </w:tc>
      </w:tr>
    </w:tbl>
    <w:p w14:paraId="0039BD88" w14:textId="77777777" w:rsidR="001071A4" w:rsidRPr="00FA0F5F" w:rsidRDefault="001071A4" w:rsidP="001071A4">
      <w:pPr>
        <w:rPr>
          <w:rFonts w:cstheme="minorHAnsi"/>
          <w:b/>
        </w:rPr>
      </w:pPr>
    </w:p>
    <w:p w14:paraId="4228C141" w14:textId="77777777" w:rsidR="001071A4" w:rsidRPr="00FA0F5F" w:rsidRDefault="001071A4" w:rsidP="00EF73C0">
      <w:r w:rsidRPr="00FA0F5F">
        <w:t xml:space="preserve">In line with KPMG’s findings, funding to support a NHTS would likely require a combination of co-investment by government and industry, particularly during implementation, complemented by a reliable and ideally nationally consistent cost recovery model to support system maintenance.  </w:t>
      </w:r>
    </w:p>
    <w:p w14:paraId="308AB2F5" w14:textId="29266AF0" w:rsidR="001071A4" w:rsidRPr="00FA0F5F" w:rsidRDefault="001071A4" w:rsidP="00EF73C0">
      <w:r w:rsidRPr="00FA0F5F">
        <w:t xml:space="preserve">A key learning reported by KPMG was provided by Integrity Systems Company </w:t>
      </w:r>
      <w:r>
        <w:t>(formerly known as NLIS Limited, the operator of the N</w:t>
      </w:r>
      <w:r w:rsidR="00CC16FA">
        <w:t xml:space="preserve">ational </w:t>
      </w:r>
      <w:r>
        <w:t>L</w:t>
      </w:r>
      <w:r w:rsidR="00CC16FA">
        <w:t xml:space="preserve">ivestock </w:t>
      </w:r>
      <w:r>
        <w:t>I</w:t>
      </w:r>
      <w:r w:rsidR="00CC16FA">
        <w:t xml:space="preserve">dentification </w:t>
      </w:r>
      <w:r>
        <w:t>S</w:t>
      </w:r>
      <w:r w:rsidR="00CC16FA">
        <w:t>ystem</w:t>
      </w:r>
      <w:r>
        <w:t xml:space="preserve"> database</w:t>
      </w:r>
      <w:r w:rsidRPr="00FA0F5F">
        <w:t xml:space="preserve">), namely that in regard to the funding of a traceability system, ongoing funding commitments and expected funding models must be established upfront to support compliance and system improvements and all operational aspects.  </w:t>
      </w:r>
    </w:p>
    <w:p w14:paraId="2529814F" w14:textId="6715E339" w:rsidR="001071A4" w:rsidRPr="00FA0F5F" w:rsidRDefault="001071A4" w:rsidP="00EF73C0">
      <w:r w:rsidRPr="00FA0F5F">
        <w:t>The NHTWG is also mindful of the level of concern about NHTS costs and scepticism about benefits expressed by industry respondents in their feedback to the Consultation Survey.</w:t>
      </w:r>
    </w:p>
    <w:p w14:paraId="445288D1" w14:textId="47D3F2CD" w:rsidR="001071A4" w:rsidRPr="00E04D7C" w:rsidRDefault="001071A4" w:rsidP="00EF73C0">
      <w:pPr>
        <w:rPr>
          <w:lang w:eastAsia="ja-JP"/>
        </w:rPr>
      </w:pPr>
      <w:r w:rsidRPr="00FA0F5F">
        <w:t xml:space="preserve">It is essential that funding is ‘locked in’ upfront </w:t>
      </w:r>
      <w:r>
        <w:t>before a decision is ma</w:t>
      </w:r>
      <w:r w:rsidR="00525FA1">
        <w:t>d</w:t>
      </w:r>
      <w:r>
        <w:t xml:space="preserve">e to proceed </w:t>
      </w:r>
      <w:r w:rsidRPr="00FA0F5F">
        <w:t>to prevent the erosion of system performance as funding for implementation is exhausted.  As MJA noted in its report, if system compliance is poor and not addressed, the horse industry and jurisdictions will face considerable reputational risk and the biosecurity and other expected benefits will not be realised.</w:t>
      </w:r>
    </w:p>
    <w:p w14:paraId="138EBA55" w14:textId="77777777" w:rsidR="00D5280F" w:rsidRPr="0080375E" w:rsidRDefault="00D5280F" w:rsidP="00D5280F">
      <w:pPr>
        <w:pStyle w:val="Heading2"/>
        <w:rPr>
          <w:rFonts w:asciiTheme="majorHAnsi" w:hAnsiTheme="majorHAnsi"/>
        </w:rPr>
      </w:pPr>
      <w:bookmarkStart w:id="38" w:name="_Toc121397576"/>
      <w:r w:rsidRPr="6EEF17EB">
        <w:rPr>
          <w:rFonts w:asciiTheme="majorHAnsi" w:hAnsiTheme="majorHAnsi"/>
        </w:rPr>
        <w:lastRenderedPageBreak/>
        <w:t xml:space="preserve">Business </w:t>
      </w:r>
      <w:r w:rsidRPr="00FC3A27">
        <w:rPr>
          <w:rFonts w:asciiTheme="majorHAnsi" w:hAnsiTheme="majorHAnsi"/>
        </w:rPr>
        <w:t xml:space="preserve">rules </w:t>
      </w:r>
      <w:r w:rsidRPr="6EEF17EB">
        <w:rPr>
          <w:rFonts w:asciiTheme="majorHAnsi" w:hAnsiTheme="majorHAnsi"/>
        </w:rPr>
        <w:t>for a traceability system for horse</w:t>
      </w:r>
      <w:r>
        <w:rPr>
          <w:rFonts w:asciiTheme="majorHAnsi" w:hAnsiTheme="majorHAnsi"/>
        </w:rPr>
        <w:t>s</w:t>
      </w:r>
      <w:r w:rsidRPr="6EEF17EB">
        <w:rPr>
          <w:rFonts w:asciiTheme="majorHAnsi" w:hAnsiTheme="majorHAnsi"/>
        </w:rPr>
        <w:t xml:space="preserve"> in Australia</w:t>
      </w:r>
      <w:bookmarkEnd w:id="38"/>
    </w:p>
    <w:p w14:paraId="658F0473" w14:textId="77777777" w:rsidR="00D5280F" w:rsidRPr="003771DC" w:rsidRDefault="00D5280F" w:rsidP="00D5280F">
      <w:pPr>
        <w:pStyle w:val="Heading3"/>
        <w:numPr>
          <w:ilvl w:val="0"/>
          <w:numId w:val="0"/>
        </w:numPr>
        <w:spacing w:after="120"/>
        <w:ind w:left="964" w:hanging="964"/>
        <w:rPr>
          <w:rFonts w:ascii="Cambria" w:hAnsi="Cambria"/>
          <w:sz w:val="22"/>
          <w:szCs w:val="22"/>
        </w:rPr>
      </w:pPr>
      <w:bookmarkStart w:id="39" w:name="_Toc121397577"/>
      <w:r w:rsidRPr="003771DC">
        <w:rPr>
          <w:rFonts w:ascii="Cambria" w:hAnsi="Cambria"/>
          <w:sz w:val="22"/>
          <w:szCs w:val="22"/>
        </w:rPr>
        <w:t>Drafting of business rules</w:t>
      </w:r>
      <w:bookmarkEnd w:id="39"/>
    </w:p>
    <w:p w14:paraId="3AAAAB1C" w14:textId="77777777" w:rsidR="00D5280F" w:rsidRDefault="00D5280F" w:rsidP="00D5280F">
      <w:pPr>
        <w:rPr>
          <w:b/>
          <w:bCs/>
        </w:rPr>
      </w:pPr>
      <w:r>
        <w:t>After considering the information it had received, and i</w:t>
      </w:r>
      <w:r w:rsidRPr="005254C7">
        <w:t xml:space="preserve">nformed by the conclusions in the MJA report, the NHTWG began </w:t>
      </w:r>
      <w:r>
        <w:t>the drafting of</w:t>
      </w:r>
      <w:r w:rsidRPr="005254C7">
        <w:t xml:space="preserve"> business rules </w:t>
      </w:r>
      <w:r>
        <w:t>for a NHTS aligning with Option 2.</w:t>
      </w:r>
    </w:p>
    <w:p w14:paraId="40732A43" w14:textId="77777777" w:rsidR="00D5280F" w:rsidRPr="003771DC" w:rsidRDefault="00D5280F" w:rsidP="00D5280F">
      <w:pPr>
        <w:pStyle w:val="Heading3"/>
        <w:numPr>
          <w:ilvl w:val="0"/>
          <w:numId w:val="0"/>
        </w:numPr>
        <w:spacing w:after="120"/>
        <w:ind w:left="964" w:hanging="964"/>
        <w:rPr>
          <w:rFonts w:ascii="Cambria" w:hAnsi="Cambria"/>
          <w:sz w:val="22"/>
          <w:szCs w:val="22"/>
        </w:rPr>
      </w:pPr>
      <w:bookmarkStart w:id="40" w:name="_Toc121397578"/>
      <w:r w:rsidRPr="003771DC">
        <w:rPr>
          <w:rFonts w:ascii="Cambria" w:hAnsi="Cambria"/>
          <w:sz w:val="22"/>
          <w:szCs w:val="22"/>
        </w:rPr>
        <w:t>Survey of stakeholder views</w:t>
      </w:r>
      <w:bookmarkEnd w:id="40"/>
    </w:p>
    <w:p w14:paraId="1D29250F" w14:textId="77777777" w:rsidR="00D5280F" w:rsidRDefault="00D5280F" w:rsidP="00D5280F">
      <w:pPr>
        <w:rPr>
          <w:rFonts w:cstheme="minorHAnsi"/>
        </w:rPr>
      </w:pPr>
      <w:r>
        <w:t>To assist the drafting process, an</w:t>
      </w:r>
      <w:r w:rsidRPr="00E422BE">
        <w:t xml:space="preserve"> independent provider was engaged on behalf of the NHTWG to design and conduct a survey seeking feedback from organisations, businesses and individuals in the horse industry </w:t>
      </w:r>
      <w:r w:rsidRPr="00E422BE">
        <w:rPr>
          <w:rFonts w:cstheme="minorHAnsi"/>
        </w:rPr>
        <w:t>regarding their views on the design and introduction of a traceability system for horses, donkeys and mules in Australia.</w:t>
      </w:r>
      <w:r>
        <w:rPr>
          <w:rFonts w:cstheme="minorHAnsi"/>
        </w:rPr>
        <w:t xml:space="preserve">  </w:t>
      </w:r>
    </w:p>
    <w:p w14:paraId="4E7F6652" w14:textId="77777777" w:rsidR="00D5280F" w:rsidRPr="007C2424" w:rsidRDefault="00D5280F" w:rsidP="00561D02">
      <w:pPr>
        <w:rPr>
          <w:b/>
          <w:bCs/>
        </w:rPr>
      </w:pPr>
      <w:r w:rsidRPr="00E422BE">
        <w:t>The survey sought stakeholder feedback on the proposed business rules describing Option 2. The four-week consultation period opened in late April 2022 and closed on 25 May 2022. The consultation period was widely promoted through relevant networks and platforms. All NHTWG members as well as stakeholders in the broader horse industry were provided with content to promote the survey and consultation period including via social media, websites, newsletters and other communication delivery channels.</w:t>
      </w:r>
    </w:p>
    <w:p w14:paraId="763930EF" w14:textId="53EC6550" w:rsidR="00927D99" w:rsidRDefault="00D5280F" w:rsidP="00561D02">
      <w:pPr>
        <w:tabs>
          <w:tab w:val="left" w:pos="1050"/>
        </w:tabs>
      </w:pPr>
      <w:r w:rsidRPr="00E422BE">
        <w:t>In total, 489 responses were received</w:t>
      </w:r>
      <w:r w:rsidR="00927D99">
        <w:t xml:space="preserve">. Of these responses, the breakdown </w:t>
      </w:r>
      <w:r w:rsidR="00C54EF3">
        <w:t xml:space="preserve">received across the three categories </w:t>
      </w:r>
      <w:r w:rsidR="00927D99">
        <w:t>was:</w:t>
      </w:r>
    </w:p>
    <w:p w14:paraId="1488DE40" w14:textId="77777777" w:rsidR="00927D99" w:rsidRPr="00561D02" w:rsidRDefault="00927D99" w:rsidP="00561D02">
      <w:pPr>
        <w:pStyle w:val="ListParagraph"/>
        <w:numPr>
          <w:ilvl w:val="0"/>
          <w:numId w:val="1"/>
        </w:numPr>
        <w:tabs>
          <w:tab w:val="left" w:pos="1050"/>
        </w:tabs>
        <w:spacing w:line="276" w:lineRule="auto"/>
        <w:ind w:left="714" w:hanging="357"/>
        <w:rPr>
          <w:rFonts w:ascii="Cambria" w:hAnsi="Cambria" w:cstheme="minorBidi"/>
        </w:rPr>
      </w:pPr>
      <w:r w:rsidRPr="00561D02">
        <w:rPr>
          <w:rFonts w:ascii="Cambria" w:hAnsi="Cambria" w:cstheme="minorBidi"/>
        </w:rPr>
        <w:t>Organisation, 33, or 7%</w:t>
      </w:r>
    </w:p>
    <w:p w14:paraId="7687406D" w14:textId="77777777" w:rsidR="00927D99" w:rsidRPr="00561D02" w:rsidRDefault="00927D99" w:rsidP="00561D02">
      <w:pPr>
        <w:pStyle w:val="ListParagraph"/>
        <w:numPr>
          <w:ilvl w:val="0"/>
          <w:numId w:val="1"/>
        </w:numPr>
        <w:tabs>
          <w:tab w:val="left" w:pos="1050"/>
        </w:tabs>
        <w:spacing w:line="276" w:lineRule="auto"/>
        <w:ind w:left="714" w:hanging="357"/>
        <w:rPr>
          <w:rFonts w:ascii="Cambria" w:hAnsi="Cambria" w:cstheme="minorBidi"/>
        </w:rPr>
      </w:pPr>
      <w:r w:rsidRPr="00561D02">
        <w:rPr>
          <w:rFonts w:ascii="Cambria" w:hAnsi="Cambria" w:cstheme="minorBidi"/>
        </w:rPr>
        <w:t>Business, 60, or 12%</w:t>
      </w:r>
    </w:p>
    <w:p w14:paraId="088548A3" w14:textId="2F2D5B30" w:rsidR="00D5280F" w:rsidRPr="00561D02" w:rsidRDefault="00927D99" w:rsidP="00561D02">
      <w:pPr>
        <w:pStyle w:val="ListParagraph"/>
        <w:numPr>
          <w:ilvl w:val="0"/>
          <w:numId w:val="1"/>
        </w:numPr>
        <w:tabs>
          <w:tab w:val="left" w:pos="1050"/>
        </w:tabs>
        <w:spacing w:line="276" w:lineRule="auto"/>
        <w:ind w:left="714" w:hanging="357"/>
        <w:rPr>
          <w:rFonts w:ascii="Cambria" w:hAnsi="Cambria" w:cstheme="minorBidi"/>
        </w:rPr>
      </w:pPr>
      <w:r w:rsidRPr="00561D02">
        <w:rPr>
          <w:rFonts w:ascii="Cambria" w:hAnsi="Cambria" w:cstheme="minorBidi"/>
        </w:rPr>
        <w:t>Individuals, 396, or 81%</w:t>
      </w:r>
      <w:r w:rsidR="00D5280F" w:rsidRPr="00561D02">
        <w:rPr>
          <w:rFonts w:ascii="Cambria" w:hAnsi="Cambria" w:cstheme="minorBidi"/>
        </w:rPr>
        <w:t xml:space="preserve"> </w:t>
      </w:r>
    </w:p>
    <w:p w14:paraId="7C403774" w14:textId="6E6D9AB0" w:rsidR="00D5280F" w:rsidRDefault="00D5280F" w:rsidP="00D5280F">
      <w:pPr>
        <w:tabs>
          <w:tab w:val="left" w:pos="1050"/>
        </w:tabs>
        <w:spacing w:after="0" w:line="240" w:lineRule="auto"/>
      </w:pPr>
    </w:p>
    <w:p w14:paraId="7DD4476C" w14:textId="417BA7A9" w:rsidR="00927D99" w:rsidRDefault="00D16CD5" w:rsidP="00D5280F">
      <w:pPr>
        <w:tabs>
          <w:tab w:val="left" w:pos="1050"/>
        </w:tabs>
        <w:spacing w:after="0" w:line="240" w:lineRule="auto"/>
      </w:pPr>
      <w:r>
        <w:t xml:space="preserve">Respondents </w:t>
      </w:r>
      <w:r w:rsidR="00516C66">
        <w:t xml:space="preserve">across all categories </w:t>
      </w:r>
      <w:r>
        <w:t>represented a broad range of sectors, as outlined below.</w:t>
      </w:r>
    </w:p>
    <w:p w14:paraId="46E96938" w14:textId="6CE5C2E0" w:rsidR="00D16CD5" w:rsidRDefault="00D16CD5" w:rsidP="00D5280F">
      <w:pPr>
        <w:tabs>
          <w:tab w:val="left" w:pos="1050"/>
        </w:tabs>
        <w:spacing w:after="0" w:line="240" w:lineRule="auto"/>
      </w:pPr>
    </w:p>
    <w:tbl>
      <w:tblPr>
        <w:tblStyle w:val="TableGrid"/>
        <w:tblW w:w="0" w:type="auto"/>
        <w:tblLook w:val="04A0" w:firstRow="1" w:lastRow="0" w:firstColumn="1" w:lastColumn="0" w:noHBand="0" w:noVBand="1"/>
      </w:tblPr>
      <w:tblGrid>
        <w:gridCol w:w="4531"/>
        <w:gridCol w:w="1288"/>
        <w:gridCol w:w="1288"/>
      </w:tblGrid>
      <w:tr w:rsidR="00D16CD5" w14:paraId="5FF195D3" w14:textId="77777777" w:rsidTr="00C30176">
        <w:tc>
          <w:tcPr>
            <w:tcW w:w="4531" w:type="dxa"/>
          </w:tcPr>
          <w:p w14:paraId="2930C889" w14:textId="4797CCF2" w:rsidR="00D16CD5" w:rsidRDefault="00C30176" w:rsidP="00D5280F">
            <w:pPr>
              <w:tabs>
                <w:tab w:val="left" w:pos="1050"/>
              </w:tabs>
              <w:spacing w:after="0" w:line="240" w:lineRule="auto"/>
            </w:pPr>
            <w:r w:rsidRPr="00D81F71">
              <w:rPr>
                <w:b/>
                <w:bCs/>
              </w:rPr>
              <w:t>Sector</w:t>
            </w:r>
          </w:p>
        </w:tc>
        <w:tc>
          <w:tcPr>
            <w:tcW w:w="1288" w:type="dxa"/>
          </w:tcPr>
          <w:p w14:paraId="4F8A05DD" w14:textId="0DF69DCC" w:rsidR="00D16CD5" w:rsidRDefault="00C30176" w:rsidP="00D5280F">
            <w:pPr>
              <w:tabs>
                <w:tab w:val="left" w:pos="1050"/>
              </w:tabs>
              <w:spacing w:after="0" w:line="240" w:lineRule="auto"/>
            </w:pPr>
            <w:r w:rsidRPr="00D81F71">
              <w:rPr>
                <w:b/>
                <w:bCs/>
              </w:rPr>
              <w:t>Responses</w:t>
            </w:r>
          </w:p>
        </w:tc>
        <w:tc>
          <w:tcPr>
            <w:tcW w:w="1288" w:type="dxa"/>
          </w:tcPr>
          <w:p w14:paraId="7D0FBDCE" w14:textId="42952389" w:rsidR="00D16CD5" w:rsidRDefault="00C30176" w:rsidP="00D5280F">
            <w:pPr>
              <w:tabs>
                <w:tab w:val="left" w:pos="1050"/>
              </w:tabs>
              <w:spacing w:after="0" w:line="240" w:lineRule="auto"/>
            </w:pPr>
            <w:r w:rsidRPr="00D81F71">
              <w:rPr>
                <w:b/>
                <w:bCs/>
              </w:rPr>
              <w:t>Responses</w:t>
            </w:r>
          </w:p>
        </w:tc>
      </w:tr>
      <w:tr w:rsidR="00C30176" w14:paraId="0EAD6192" w14:textId="77777777" w:rsidTr="00C30176">
        <w:tc>
          <w:tcPr>
            <w:tcW w:w="4531" w:type="dxa"/>
          </w:tcPr>
          <w:p w14:paraId="3D9E96B8" w14:textId="5D32C112" w:rsidR="00C30176" w:rsidRDefault="00C30176" w:rsidP="00C30176">
            <w:pPr>
              <w:tabs>
                <w:tab w:val="left" w:pos="1050"/>
              </w:tabs>
              <w:spacing w:after="0" w:line="240" w:lineRule="auto"/>
            </w:pPr>
            <w:r>
              <w:t>Campdraft / rodeo / western</w:t>
            </w:r>
          </w:p>
        </w:tc>
        <w:tc>
          <w:tcPr>
            <w:tcW w:w="1288" w:type="dxa"/>
          </w:tcPr>
          <w:p w14:paraId="0808DF86" w14:textId="7F25AEC5" w:rsidR="00C30176" w:rsidRDefault="00C30176" w:rsidP="00C30176">
            <w:pPr>
              <w:tabs>
                <w:tab w:val="left" w:pos="1050"/>
              </w:tabs>
              <w:spacing w:after="0" w:line="240" w:lineRule="auto"/>
            </w:pPr>
            <w:r>
              <w:t>3.7%</w:t>
            </w:r>
          </w:p>
        </w:tc>
        <w:tc>
          <w:tcPr>
            <w:tcW w:w="1288" w:type="dxa"/>
          </w:tcPr>
          <w:p w14:paraId="5773C084" w14:textId="63AEB699" w:rsidR="00C30176" w:rsidRDefault="00C30176" w:rsidP="00C30176">
            <w:pPr>
              <w:tabs>
                <w:tab w:val="left" w:pos="1050"/>
              </w:tabs>
              <w:spacing w:after="0" w:line="240" w:lineRule="auto"/>
            </w:pPr>
            <w:r>
              <w:t>18</w:t>
            </w:r>
          </w:p>
        </w:tc>
      </w:tr>
      <w:tr w:rsidR="00D16CD5" w14:paraId="5F678108" w14:textId="77777777" w:rsidTr="00C30176">
        <w:tc>
          <w:tcPr>
            <w:tcW w:w="4531" w:type="dxa"/>
          </w:tcPr>
          <w:p w14:paraId="520DA195" w14:textId="5A4A4530" w:rsidR="00D16CD5" w:rsidRDefault="00D16CD5" w:rsidP="00D5280F">
            <w:pPr>
              <w:tabs>
                <w:tab w:val="left" w:pos="1050"/>
              </w:tabs>
              <w:spacing w:after="0" w:line="240" w:lineRule="auto"/>
            </w:pPr>
            <w:r>
              <w:t>Companion animal / pet</w:t>
            </w:r>
          </w:p>
        </w:tc>
        <w:tc>
          <w:tcPr>
            <w:tcW w:w="1288" w:type="dxa"/>
          </w:tcPr>
          <w:p w14:paraId="6FFCBA7A" w14:textId="66CACAD3" w:rsidR="00D16CD5" w:rsidRDefault="00D16CD5" w:rsidP="00D5280F">
            <w:pPr>
              <w:tabs>
                <w:tab w:val="left" w:pos="1050"/>
              </w:tabs>
              <w:spacing w:after="0" w:line="240" w:lineRule="auto"/>
            </w:pPr>
            <w:r>
              <w:t>6.9%</w:t>
            </w:r>
          </w:p>
        </w:tc>
        <w:tc>
          <w:tcPr>
            <w:tcW w:w="1288" w:type="dxa"/>
          </w:tcPr>
          <w:p w14:paraId="4D8AC2FF" w14:textId="10DBC876" w:rsidR="00D16CD5" w:rsidRDefault="00D16CD5" w:rsidP="00D5280F">
            <w:pPr>
              <w:tabs>
                <w:tab w:val="left" w:pos="1050"/>
              </w:tabs>
              <w:spacing w:after="0" w:line="240" w:lineRule="auto"/>
            </w:pPr>
            <w:r>
              <w:t>34</w:t>
            </w:r>
          </w:p>
        </w:tc>
      </w:tr>
      <w:tr w:rsidR="00D16CD5" w14:paraId="65A971CE" w14:textId="77777777" w:rsidTr="00C30176">
        <w:tc>
          <w:tcPr>
            <w:tcW w:w="4531" w:type="dxa"/>
          </w:tcPr>
          <w:p w14:paraId="20CE0C4A" w14:textId="184FFE70" w:rsidR="00D16CD5" w:rsidRDefault="00D16CD5" w:rsidP="00D5280F">
            <w:pPr>
              <w:tabs>
                <w:tab w:val="left" w:pos="1050"/>
              </w:tabs>
              <w:spacing w:after="0" w:line="240" w:lineRule="auto"/>
            </w:pPr>
            <w:r>
              <w:t>Eventing / dressage</w:t>
            </w:r>
          </w:p>
        </w:tc>
        <w:tc>
          <w:tcPr>
            <w:tcW w:w="1288" w:type="dxa"/>
          </w:tcPr>
          <w:p w14:paraId="1BBA3A71" w14:textId="4863A1F1" w:rsidR="00D16CD5" w:rsidRDefault="00D16CD5" w:rsidP="00D5280F">
            <w:pPr>
              <w:tabs>
                <w:tab w:val="left" w:pos="1050"/>
              </w:tabs>
              <w:spacing w:after="0" w:line="240" w:lineRule="auto"/>
            </w:pPr>
            <w:r>
              <w:t>18.6%</w:t>
            </w:r>
          </w:p>
        </w:tc>
        <w:tc>
          <w:tcPr>
            <w:tcW w:w="1288" w:type="dxa"/>
          </w:tcPr>
          <w:p w14:paraId="5260C66F" w14:textId="68101C65" w:rsidR="00D16CD5" w:rsidRDefault="00D16CD5" w:rsidP="00D5280F">
            <w:pPr>
              <w:tabs>
                <w:tab w:val="left" w:pos="1050"/>
              </w:tabs>
              <w:spacing w:after="0" w:line="240" w:lineRule="auto"/>
            </w:pPr>
            <w:r>
              <w:t>91</w:t>
            </w:r>
          </w:p>
        </w:tc>
      </w:tr>
      <w:tr w:rsidR="00D16CD5" w14:paraId="37B0B0A0" w14:textId="77777777" w:rsidTr="00C30176">
        <w:tc>
          <w:tcPr>
            <w:tcW w:w="4531" w:type="dxa"/>
          </w:tcPr>
          <w:p w14:paraId="307FD1BD" w14:textId="58CB9574" w:rsidR="00D16CD5" w:rsidRDefault="00D16CD5" w:rsidP="00D5280F">
            <w:pPr>
              <w:tabs>
                <w:tab w:val="left" w:pos="1050"/>
              </w:tabs>
              <w:spacing w:after="0" w:line="240" w:lineRule="auto"/>
            </w:pPr>
            <w:r>
              <w:t>Harness racing</w:t>
            </w:r>
          </w:p>
        </w:tc>
        <w:tc>
          <w:tcPr>
            <w:tcW w:w="1288" w:type="dxa"/>
          </w:tcPr>
          <w:p w14:paraId="329E1AB3" w14:textId="3F872286" w:rsidR="00D16CD5" w:rsidRDefault="00D16CD5" w:rsidP="00D5280F">
            <w:pPr>
              <w:tabs>
                <w:tab w:val="left" w:pos="1050"/>
              </w:tabs>
              <w:spacing w:after="0" w:line="240" w:lineRule="auto"/>
            </w:pPr>
            <w:r>
              <w:t>0.8%</w:t>
            </w:r>
          </w:p>
        </w:tc>
        <w:tc>
          <w:tcPr>
            <w:tcW w:w="1288" w:type="dxa"/>
          </w:tcPr>
          <w:p w14:paraId="7673131A" w14:textId="3F9F9084" w:rsidR="00D16CD5" w:rsidRDefault="00D16CD5" w:rsidP="00D5280F">
            <w:pPr>
              <w:tabs>
                <w:tab w:val="left" w:pos="1050"/>
              </w:tabs>
              <w:spacing w:after="0" w:line="240" w:lineRule="auto"/>
            </w:pPr>
            <w:r>
              <w:t>4</w:t>
            </w:r>
          </w:p>
        </w:tc>
      </w:tr>
      <w:tr w:rsidR="00D16CD5" w14:paraId="0613D86C" w14:textId="77777777" w:rsidTr="00C30176">
        <w:tc>
          <w:tcPr>
            <w:tcW w:w="4531" w:type="dxa"/>
          </w:tcPr>
          <w:p w14:paraId="1074BE6C" w14:textId="1CE02384" w:rsidR="00D16CD5" w:rsidRDefault="00D16CD5" w:rsidP="00D5280F">
            <w:pPr>
              <w:tabs>
                <w:tab w:val="left" w:pos="1050"/>
              </w:tabs>
              <w:spacing w:after="0" w:line="240" w:lineRule="auto"/>
            </w:pPr>
            <w:r>
              <w:t>Pleasure / Riding Club</w:t>
            </w:r>
          </w:p>
        </w:tc>
        <w:tc>
          <w:tcPr>
            <w:tcW w:w="1288" w:type="dxa"/>
          </w:tcPr>
          <w:p w14:paraId="69B9F5F8" w14:textId="425FD0DE" w:rsidR="00D16CD5" w:rsidRDefault="00D16CD5" w:rsidP="00D5280F">
            <w:pPr>
              <w:tabs>
                <w:tab w:val="left" w:pos="1050"/>
              </w:tabs>
              <w:spacing w:after="0" w:line="240" w:lineRule="auto"/>
            </w:pPr>
            <w:r>
              <w:t>18.4%</w:t>
            </w:r>
          </w:p>
        </w:tc>
        <w:tc>
          <w:tcPr>
            <w:tcW w:w="1288" w:type="dxa"/>
          </w:tcPr>
          <w:p w14:paraId="1E1E28E7" w14:textId="0DCEEFB4" w:rsidR="00D16CD5" w:rsidRDefault="00D16CD5" w:rsidP="00D5280F">
            <w:pPr>
              <w:tabs>
                <w:tab w:val="left" w:pos="1050"/>
              </w:tabs>
              <w:spacing w:after="0" w:line="240" w:lineRule="auto"/>
            </w:pPr>
            <w:r>
              <w:t>90</w:t>
            </w:r>
          </w:p>
        </w:tc>
      </w:tr>
      <w:tr w:rsidR="00D16CD5" w14:paraId="13F57D5C" w14:textId="77777777" w:rsidTr="00C30176">
        <w:tc>
          <w:tcPr>
            <w:tcW w:w="4531" w:type="dxa"/>
          </w:tcPr>
          <w:p w14:paraId="42626B0B" w14:textId="3B3088CB" w:rsidR="00D16CD5" w:rsidRDefault="00D16CD5" w:rsidP="00D5280F">
            <w:pPr>
              <w:tabs>
                <w:tab w:val="left" w:pos="1050"/>
              </w:tabs>
              <w:spacing w:after="0" w:line="240" w:lineRule="auto"/>
            </w:pPr>
            <w:r>
              <w:t>Racing</w:t>
            </w:r>
          </w:p>
        </w:tc>
        <w:tc>
          <w:tcPr>
            <w:tcW w:w="1288" w:type="dxa"/>
          </w:tcPr>
          <w:p w14:paraId="54B16D98" w14:textId="518F90E1" w:rsidR="00D16CD5" w:rsidRDefault="00D16CD5" w:rsidP="00D5280F">
            <w:pPr>
              <w:tabs>
                <w:tab w:val="left" w:pos="1050"/>
              </w:tabs>
              <w:spacing w:after="0" w:line="240" w:lineRule="auto"/>
            </w:pPr>
            <w:r>
              <w:t>2.7%</w:t>
            </w:r>
          </w:p>
        </w:tc>
        <w:tc>
          <w:tcPr>
            <w:tcW w:w="1288" w:type="dxa"/>
          </w:tcPr>
          <w:p w14:paraId="35C64FF0" w14:textId="16F4FEF2" w:rsidR="00D16CD5" w:rsidRDefault="00D16CD5" w:rsidP="00D5280F">
            <w:pPr>
              <w:tabs>
                <w:tab w:val="left" w:pos="1050"/>
              </w:tabs>
              <w:spacing w:after="0" w:line="240" w:lineRule="auto"/>
            </w:pPr>
            <w:r>
              <w:t>13</w:t>
            </w:r>
          </w:p>
        </w:tc>
      </w:tr>
      <w:tr w:rsidR="00D16CD5" w14:paraId="12590993" w14:textId="77777777" w:rsidTr="00C30176">
        <w:tc>
          <w:tcPr>
            <w:tcW w:w="4531" w:type="dxa"/>
          </w:tcPr>
          <w:p w14:paraId="4BD6FDB9" w14:textId="6CD23D7C" w:rsidR="00D16CD5" w:rsidRDefault="00D16CD5" w:rsidP="00D5280F">
            <w:pPr>
              <w:tabs>
                <w:tab w:val="left" w:pos="1050"/>
              </w:tabs>
              <w:spacing w:after="0" w:line="240" w:lineRule="auto"/>
            </w:pPr>
            <w:r>
              <w:t>Rural / working</w:t>
            </w:r>
          </w:p>
        </w:tc>
        <w:tc>
          <w:tcPr>
            <w:tcW w:w="1288" w:type="dxa"/>
          </w:tcPr>
          <w:p w14:paraId="11D0911B" w14:textId="213D063A" w:rsidR="00D16CD5" w:rsidRDefault="00D16CD5" w:rsidP="00D5280F">
            <w:pPr>
              <w:tabs>
                <w:tab w:val="left" w:pos="1050"/>
              </w:tabs>
              <w:spacing w:after="0" w:line="240" w:lineRule="auto"/>
            </w:pPr>
            <w:r>
              <w:t>3.5%</w:t>
            </w:r>
          </w:p>
        </w:tc>
        <w:tc>
          <w:tcPr>
            <w:tcW w:w="1288" w:type="dxa"/>
          </w:tcPr>
          <w:p w14:paraId="095B65B2" w14:textId="7A1CED78" w:rsidR="00D16CD5" w:rsidRDefault="00D16CD5" w:rsidP="00D5280F">
            <w:pPr>
              <w:tabs>
                <w:tab w:val="left" w:pos="1050"/>
              </w:tabs>
              <w:spacing w:after="0" w:line="240" w:lineRule="auto"/>
            </w:pPr>
            <w:r>
              <w:t>17</w:t>
            </w:r>
          </w:p>
        </w:tc>
      </w:tr>
      <w:tr w:rsidR="00D16CD5" w14:paraId="122D6A69" w14:textId="77777777" w:rsidTr="00C30176">
        <w:tc>
          <w:tcPr>
            <w:tcW w:w="4531" w:type="dxa"/>
          </w:tcPr>
          <w:p w14:paraId="7FCE8FBA" w14:textId="17C6B90C" w:rsidR="00D16CD5" w:rsidRDefault="00D16CD5" w:rsidP="00D5280F">
            <w:pPr>
              <w:tabs>
                <w:tab w:val="left" w:pos="1050"/>
              </w:tabs>
              <w:spacing w:after="0" w:line="240" w:lineRule="auto"/>
            </w:pPr>
            <w:r>
              <w:t>Showing</w:t>
            </w:r>
          </w:p>
        </w:tc>
        <w:tc>
          <w:tcPr>
            <w:tcW w:w="1288" w:type="dxa"/>
          </w:tcPr>
          <w:p w14:paraId="326CC7C2" w14:textId="3D680847" w:rsidR="00D16CD5" w:rsidRDefault="00D16CD5" w:rsidP="00D5280F">
            <w:pPr>
              <w:tabs>
                <w:tab w:val="left" w:pos="1050"/>
              </w:tabs>
              <w:spacing w:after="0" w:line="240" w:lineRule="auto"/>
            </w:pPr>
            <w:r>
              <w:t>13.3%</w:t>
            </w:r>
          </w:p>
        </w:tc>
        <w:tc>
          <w:tcPr>
            <w:tcW w:w="1288" w:type="dxa"/>
          </w:tcPr>
          <w:p w14:paraId="12383A9E" w14:textId="05BB08BC" w:rsidR="00D16CD5" w:rsidRDefault="00D16CD5" w:rsidP="00D5280F">
            <w:pPr>
              <w:tabs>
                <w:tab w:val="left" w:pos="1050"/>
              </w:tabs>
              <w:spacing w:after="0" w:line="240" w:lineRule="auto"/>
            </w:pPr>
            <w:r>
              <w:t>65</w:t>
            </w:r>
          </w:p>
        </w:tc>
      </w:tr>
      <w:tr w:rsidR="00D16CD5" w14:paraId="48A5A87E" w14:textId="77777777" w:rsidTr="00C30176">
        <w:tc>
          <w:tcPr>
            <w:tcW w:w="4531" w:type="dxa"/>
          </w:tcPr>
          <w:p w14:paraId="0DF204BF" w14:textId="5E3EAFD4" w:rsidR="00D16CD5" w:rsidRDefault="00D16CD5" w:rsidP="00D5280F">
            <w:pPr>
              <w:tabs>
                <w:tab w:val="left" w:pos="1050"/>
              </w:tabs>
              <w:spacing w:after="0" w:line="240" w:lineRule="auto"/>
            </w:pPr>
            <w:r>
              <w:t>Stud stock</w:t>
            </w:r>
          </w:p>
        </w:tc>
        <w:tc>
          <w:tcPr>
            <w:tcW w:w="1288" w:type="dxa"/>
          </w:tcPr>
          <w:p w14:paraId="18ACCFB5" w14:textId="4160AB60" w:rsidR="00D16CD5" w:rsidRDefault="00D16CD5" w:rsidP="00D5280F">
            <w:pPr>
              <w:tabs>
                <w:tab w:val="left" w:pos="1050"/>
              </w:tabs>
              <w:spacing w:after="0" w:line="240" w:lineRule="auto"/>
            </w:pPr>
            <w:r>
              <w:t>9.8%</w:t>
            </w:r>
          </w:p>
        </w:tc>
        <w:tc>
          <w:tcPr>
            <w:tcW w:w="1288" w:type="dxa"/>
          </w:tcPr>
          <w:p w14:paraId="38A90EB3" w14:textId="00781992" w:rsidR="00D16CD5" w:rsidRDefault="00D16CD5" w:rsidP="00D5280F">
            <w:pPr>
              <w:tabs>
                <w:tab w:val="left" w:pos="1050"/>
              </w:tabs>
              <w:spacing w:after="0" w:line="240" w:lineRule="auto"/>
            </w:pPr>
            <w:r>
              <w:t>48</w:t>
            </w:r>
          </w:p>
        </w:tc>
      </w:tr>
      <w:tr w:rsidR="00D16CD5" w14:paraId="1296D351" w14:textId="77777777" w:rsidTr="00C30176">
        <w:tc>
          <w:tcPr>
            <w:tcW w:w="4531" w:type="dxa"/>
          </w:tcPr>
          <w:p w14:paraId="12A2EA5E" w14:textId="1BE0CAEF" w:rsidR="00D16CD5" w:rsidRDefault="00D16CD5" w:rsidP="00D5280F">
            <w:pPr>
              <w:tabs>
                <w:tab w:val="left" w:pos="1050"/>
              </w:tabs>
              <w:spacing w:after="0" w:line="240" w:lineRule="auto"/>
            </w:pPr>
            <w:r>
              <w:t>Other (please specify)</w:t>
            </w:r>
          </w:p>
        </w:tc>
        <w:tc>
          <w:tcPr>
            <w:tcW w:w="1288" w:type="dxa"/>
          </w:tcPr>
          <w:p w14:paraId="0F05CD20" w14:textId="35CDF078" w:rsidR="00D16CD5" w:rsidRDefault="00D16CD5" w:rsidP="00D5280F">
            <w:pPr>
              <w:tabs>
                <w:tab w:val="left" w:pos="1050"/>
              </w:tabs>
              <w:spacing w:after="0" w:line="240" w:lineRule="auto"/>
            </w:pPr>
            <w:r>
              <w:t>22.3%</w:t>
            </w:r>
          </w:p>
        </w:tc>
        <w:tc>
          <w:tcPr>
            <w:tcW w:w="1288" w:type="dxa"/>
          </w:tcPr>
          <w:p w14:paraId="6C9B0835" w14:textId="2FEF6C42" w:rsidR="00D16CD5" w:rsidRDefault="00D16CD5" w:rsidP="00D5280F">
            <w:pPr>
              <w:tabs>
                <w:tab w:val="left" w:pos="1050"/>
              </w:tabs>
              <w:spacing w:after="0" w:line="240" w:lineRule="auto"/>
            </w:pPr>
            <w:r>
              <w:t>109</w:t>
            </w:r>
          </w:p>
        </w:tc>
      </w:tr>
      <w:tr w:rsidR="00D16CD5" w14:paraId="5A3A5114" w14:textId="77777777" w:rsidTr="00C30176">
        <w:tc>
          <w:tcPr>
            <w:tcW w:w="4531" w:type="dxa"/>
          </w:tcPr>
          <w:p w14:paraId="75DAA445" w14:textId="7D30F711" w:rsidR="00D16CD5" w:rsidRDefault="00D16CD5" w:rsidP="00D81F71">
            <w:pPr>
              <w:tabs>
                <w:tab w:val="left" w:pos="1050"/>
              </w:tabs>
              <w:spacing w:after="0" w:line="240" w:lineRule="auto"/>
              <w:jc w:val="right"/>
            </w:pPr>
            <w:r>
              <w:t>TOTAL</w:t>
            </w:r>
          </w:p>
        </w:tc>
        <w:tc>
          <w:tcPr>
            <w:tcW w:w="1288" w:type="dxa"/>
          </w:tcPr>
          <w:p w14:paraId="5FDCF203" w14:textId="6D12D19D" w:rsidR="00D16CD5" w:rsidRDefault="00D16CD5" w:rsidP="00D5280F">
            <w:pPr>
              <w:tabs>
                <w:tab w:val="left" w:pos="1050"/>
              </w:tabs>
              <w:spacing w:after="0" w:line="240" w:lineRule="auto"/>
            </w:pPr>
            <w:r>
              <w:t>100%</w:t>
            </w:r>
          </w:p>
        </w:tc>
        <w:tc>
          <w:tcPr>
            <w:tcW w:w="1288" w:type="dxa"/>
          </w:tcPr>
          <w:p w14:paraId="3A3D3C2D" w14:textId="6DC7925E" w:rsidR="00D16CD5" w:rsidRDefault="00D16CD5" w:rsidP="00D5280F">
            <w:pPr>
              <w:tabs>
                <w:tab w:val="left" w:pos="1050"/>
              </w:tabs>
              <w:spacing w:after="0" w:line="240" w:lineRule="auto"/>
            </w:pPr>
            <w:r>
              <w:t>489</w:t>
            </w:r>
          </w:p>
        </w:tc>
      </w:tr>
    </w:tbl>
    <w:p w14:paraId="4571F4CD" w14:textId="3509A99B" w:rsidR="00D16CD5" w:rsidRDefault="00D16CD5" w:rsidP="00D5280F">
      <w:pPr>
        <w:tabs>
          <w:tab w:val="left" w:pos="1050"/>
        </w:tabs>
        <w:spacing w:after="0" w:line="240" w:lineRule="auto"/>
      </w:pPr>
    </w:p>
    <w:p w14:paraId="03146466" w14:textId="23FA0C94" w:rsidR="000C7360" w:rsidRPr="00D423B7" w:rsidRDefault="000C7360" w:rsidP="00561D02">
      <w:pPr>
        <w:spacing w:after="0"/>
      </w:pPr>
      <w:r w:rsidRPr="00D423B7">
        <w:t>Sectors listed in the ‘other’ category included</w:t>
      </w:r>
      <w:r>
        <w:t xml:space="preserve"> </w:t>
      </w:r>
      <w:r w:rsidRPr="00D423B7">
        <w:t>show jumping; animal welfare advocacy people</w:t>
      </w:r>
      <w:r>
        <w:t xml:space="preserve"> </w:t>
      </w:r>
      <w:r w:rsidRPr="00D423B7">
        <w:t>and organisations, rescue and rehome groups;</w:t>
      </w:r>
      <w:r>
        <w:t xml:space="preserve"> </w:t>
      </w:r>
      <w:r w:rsidRPr="00D423B7">
        <w:t>pleasure, polocrosse, endurance and harness</w:t>
      </w:r>
      <w:r>
        <w:t xml:space="preserve"> </w:t>
      </w:r>
      <w:r w:rsidRPr="00D423B7">
        <w:lastRenderedPageBreak/>
        <w:t>participants (but not harness racing); horse breed</w:t>
      </w:r>
      <w:r>
        <w:t xml:space="preserve"> </w:t>
      </w:r>
      <w:r w:rsidRPr="00D423B7">
        <w:t>society management; agistment; research; veterinary</w:t>
      </w:r>
      <w:r>
        <w:t xml:space="preserve"> </w:t>
      </w:r>
      <w:r w:rsidRPr="00D423B7">
        <w:t>and animal health; media; advocacy and a range of</w:t>
      </w:r>
      <w:r>
        <w:t xml:space="preserve"> </w:t>
      </w:r>
      <w:r w:rsidRPr="00D423B7">
        <w:t>industry service providers. A</w:t>
      </w:r>
      <w:r>
        <w:t xml:space="preserve"> </w:t>
      </w:r>
      <w:r w:rsidRPr="00D423B7">
        <w:t>number of responses</w:t>
      </w:r>
      <w:r>
        <w:t xml:space="preserve"> </w:t>
      </w:r>
      <w:r w:rsidRPr="00D423B7">
        <w:t>listed they were involved in multiple options listed</w:t>
      </w:r>
      <w:r>
        <w:t xml:space="preserve"> </w:t>
      </w:r>
      <w:r w:rsidRPr="00D423B7">
        <w:t>and, for some, it was not possible to select only one</w:t>
      </w:r>
      <w:r>
        <w:t xml:space="preserve"> </w:t>
      </w:r>
      <w:r w:rsidRPr="00D423B7">
        <w:t>as they were multi-disciplinary.</w:t>
      </w:r>
    </w:p>
    <w:p w14:paraId="4EBC65F7" w14:textId="7F6EFFCF" w:rsidR="00F242B8" w:rsidRDefault="00F242B8" w:rsidP="00561D02">
      <w:pPr>
        <w:tabs>
          <w:tab w:val="left" w:pos="1050"/>
        </w:tabs>
        <w:spacing w:after="0"/>
      </w:pPr>
    </w:p>
    <w:p w14:paraId="4529B5BF" w14:textId="1EBDD501" w:rsidR="00D16CD5" w:rsidRDefault="00D16CD5" w:rsidP="00561D02">
      <w:pPr>
        <w:tabs>
          <w:tab w:val="left" w:pos="1050"/>
        </w:tabs>
        <w:spacing w:after="0"/>
      </w:pPr>
      <w:r>
        <w:t>Organisations which responded also ranged in size</w:t>
      </w:r>
      <w:r w:rsidR="009D7780">
        <w:t xml:space="preserve"> in terms of member numbers</w:t>
      </w:r>
      <w:r w:rsidR="00DD26F6">
        <w:t xml:space="preserve">, including: </w:t>
      </w:r>
    </w:p>
    <w:p w14:paraId="322239D8" w14:textId="73D080E2" w:rsidR="00DD26F6" w:rsidRPr="00D81F71" w:rsidRDefault="00DD26F6" w:rsidP="00561D02">
      <w:pPr>
        <w:pStyle w:val="ListParagraph"/>
        <w:numPr>
          <w:ilvl w:val="0"/>
          <w:numId w:val="77"/>
        </w:numPr>
        <w:spacing w:line="276" w:lineRule="auto"/>
        <w:rPr>
          <w:rFonts w:ascii="Cambria" w:hAnsi="Cambria"/>
        </w:rPr>
      </w:pPr>
      <w:r w:rsidRPr="00D81F71">
        <w:rPr>
          <w:rFonts w:ascii="Cambria" w:hAnsi="Cambria"/>
        </w:rPr>
        <w:t xml:space="preserve">0-1000 </w:t>
      </w:r>
      <w:r w:rsidR="009D7780" w:rsidRPr="00D81F71">
        <w:rPr>
          <w:rFonts w:ascii="Cambria" w:hAnsi="Cambria"/>
        </w:rPr>
        <w:t>members –</w:t>
      </w:r>
      <w:r w:rsidRPr="00D81F71">
        <w:rPr>
          <w:rFonts w:ascii="Cambria" w:hAnsi="Cambria"/>
        </w:rPr>
        <w:t xml:space="preserve"> 1</w:t>
      </w:r>
      <w:r w:rsidR="008D5F4D" w:rsidRPr="00D81F71">
        <w:rPr>
          <w:rFonts w:ascii="Cambria" w:hAnsi="Cambria"/>
        </w:rPr>
        <w:t>2</w:t>
      </w:r>
      <w:r w:rsidR="009D7780" w:rsidRPr="00D81F71">
        <w:rPr>
          <w:rFonts w:ascii="Cambria" w:hAnsi="Cambria"/>
        </w:rPr>
        <w:t xml:space="preserve"> </w:t>
      </w:r>
    </w:p>
    <w:p w14:paraId="6611DC4C" w14:textId="0B526757" w:rsidR="00DD26F6" w:rsidRPr="00D81F71" w:rsidRDefault="00DD26F6" w:rsidP="00561D02">
      <w:pPr>
        <w:pStyle w:val="ListParagraph"/>
        <w:numPr>
          <w:ilvl w:val="0"/>
          <w:numId w:val="77"/>
        </w:numPr>
        <w:spacing w:line="276" w:lineRule="auto"/>
        <w:rPr>
          <w:rFonts w:ascii="Cambria" w:hAnsi="Cambria"/>
        </w:rPr>
      </w:pPr>
      <w:r w:rsidRPr="00D81F71">
        <w:rPr>
          <w:rFonts w:ascii="Cambria" w:hAnsi="Cambria"/>
        </w:rPr>
        <w:t xml:space="preserve">1001-5000 </w:t>
      </w:r>
      <w:r w:rsidR="009D7780" w:rsidRPr="00D81F71">
        <w:rPr>
          <w:rFonts w:ascii="Cambria" w:hAnsi="Cambria"/>
        </w:rPr>
        <w:t>members –</w:t>
      </w:r>
      <w:r w:rsidRPr="00D81F71">
        <w:rPr>
          <w:rFonts w:ascii="Cambria" w:hAnsi="Cambria"/>
        </w:rPr>
        <w:t xml:space="preserve"> 4</w:t>
      </w:r>
      <w:r w:rsidR="009D7780" w:rsidRPr="00D81F71">
        <w:rPr>
          <w:rFonts w:ascii="Cambria" w:hAnsi="Cambria"/>
        </w:rPr>
        <w:t xml:space="preserve"> </w:t>
      </w:r>
    </w:p>
    <w:p w14:paraId="563D3EBA" w14:textId="5F4FDD99" w:rsidR="00DD26F6" w:rsidRPr="00D81F71" w:rsidRDefault="00DD26F6" w:rsidP="00561D02">
      <w:pPr>
        <w:pStyle w:val="ListParagraph"/>
        <w:numPr>
          <w:ilvl w:val="0"/>
          <w:numId w:val="77"/>
        </w:numPr>
        <w:spacing w:line="276" w:lineRule="auto"/>
        <w:rPr>
          <w:rFonts w:ascii="Cambria" w:hAnsi="Cambria"/>
        </w:rPr>
      </w:pPr>
      <w:r w:rsidRPr="00D81F71">
        <w:rPr>
          <w:rFonts w:ascii="Cambria" w:hAnsi="Cambria"/>
        </w:rPr>
        <w:t xml:space="preserve">5001-10,000 </w:t>
      </w:r>
      <w:r w:rsidR="009D7780" w:rsidRPr="00D81F71">
        <w:rPr>
          <w:rFonts w:ascii="Cambria" w:hAnsi="Cambria"/>
        </w:rPr>
        <w:t>members –</w:t>
      </w:r>
      <w:r w:rsidRPr="00D81F71">
        <w:rPr>
          <w:rFonts w:ascii="Cambria" w:hAnsi="Cambria"/>
        </w:rPr>
        <w:t xml:space="preserve"> 7</w:t>
      </w:r>
      <w:r w:rsidR="009D7780" w:rsidRPr="00D81F71">
        <w:rPr>
          <w:rFonts w:ascii="Cambria" w:hAnsi="Cambria"/>
        </w:rPr>
        <w:t xml:space="preserve"> </w:t>
      </w:r>
    </w:p>
    <w:p w14:paraId="069C4DB9" w14:textId="338EF50E" w:rsidR="00DD26F6" w:rsidRPr="00D81F71" w:rsidRDefault="00DD26F6" w:rsidP="00561D02">
      <w:pPr>
        <w:pStyle w:val="ListParagraph"/>
        <w:numPr>
          <w:ilvl w:val="0"/>
          <w:numId w:val="77"/>
        </w:numPr>
        <w:spacing w:line="276" w:lineRule="auto"/>
        <w:rPr>
          <w:rFonts w:ascii="Cambria" w:hAnsi="Cambria"/>
        </w:rPr>
      </w:pPr>
      <w:r w:rsidRPr="00D81F71">
        <w:rPr>
          <w:rFonts w:ascii="Cambria" w:hAnsi="Cambria"/>
        </w:rPr>
        <w:t xml:space="preserve">More than 10,000 </w:t>
      </w:r>
      <w:r w:rsidR="009D7780" w:rsidRPr="00D81F71">
        <w:rPr>
          <w:rFonts w:ascii="Cambria" w:hAnsi="Cambria"/>
        </w:rPr>
        <w:t xml:space="preserve">members </w:t>
      </w:r>
      <w:r w:rsidRPr="00D81F71">
        <w:rPr>
          <w:rFonts w:ascii="Cambria" w:hAnsi="Cambria"/>
        </w:rPr>
        <w:t>– 4</w:t>
      </w:r>
    </w:p>
    <w:p w14:paraId="355E781E" w14:textId="15EDEEED" w:rsidR="00DD26F6" w:rsidRPr="00D81F71" w:rsidRDefault="00DD26F6" w:rsidP="00561D02">
      <w:pPr>
        <w:pStyle w:val="ListParagraph"/>
        <w:numPr>
          <w:ilvl w:val="0"/>
          <w:numId w:val="77"/>
        </w:numPr>
        <w:spacing w:line="276" w:lineRule="auto"/>
        <w:rPr>
          <w:rFonts w:ascii="Cambria" w:hAnsi="Cambria"/>
        </w:rPr>
      </w:pPr>
      <w:r w:rsidRPr="00D81F71">
        <w:rPr>
          <w:rFonts w:ascii="Cambria" w:hAnsi="Cambria"/>
        </w:rPr>
        <w:t xml:space="preserve">N/A </w:t>
      </w:r>
      <w:r w:rsidR="009D7780" w:rsidRPr="00D81F71">
        <w:rPr>
          <w:rFonts w:ascii="Cambria" w:hAnsi="Cambria"/>
        </w:rPr>
        <w:t>–</w:t>
      </w:r>
      <w:r w:rsidRPr="00D81F71">
        <w:rPr>
          <w:rFonts w:ascii="Cambria" w:hAnsi="Cambria"/>
        </w:rPr>
        <w:t xml:space="preserve"> 2</w:t>
      </w:r>
    </w:p>
    <w:p w14:paraId="6D812BC8" w14:textId="77777777" w:rsidR="00F242B8" w:rsidRPr="00E422BE" w:rsidRDefault="00F242B8" w:rsidP="00D5280F">
      <w:pPr>
        <w:tabs>
          <w:tab w:val="left" w:pos="1050"/>
        </w:tabs>
        <w:spacing w:after="0" w:line="240" w:lineRule="auto"/>
      </w:pPr>
    </w:p>
    <w:p w14:paraId="469C5DB8" w14:textId="77777777" w:rsidR="00D5280F" w:rsidRPr="00BF1657" w:rsidRDefault="00D5280F" w:rsidP="00D5280F">
      <w:pPr>
        <w:pStyle w:val="Heading3"/>
        <w:numPr>
          <w:ilvl w:val="1"/>
          <w:numId w:val="0"/>
        </w:numPr>
        <w:spacing w:after="120"/>
        <w:ind w:left="964" w:hanging="964"/>
        <w:rPr>
          <w:rFonts w:ascii="Cambria" w:hAnsi="Cambria"/>
          <w:b w:val="0"/>
          <w:bCs w:val="0"/>
          <w:sz w:val="22"/>
          <w:szCs w:val="22"/>
          <w:u w:val="single"/>
          <w:lang w:eastAsia="ja-JP"/>
        </w:rPr>
      </w:pPr>
      <w:bookmarkStart w:id="41" w:name="_Toc121397579"/>
      <w:r w:rsidRPr="00BF1657">
        <w:rPr>
          <w:rFonts w:ascii="Cambria" w:hAnsi="Cambria"/>
          <w:b w:val="0"/>
          <w:bCs w:val="0"/>
          <w:sz w:val="22"/>
          <w:szCs w:val="22"/>
          <w:u w:val="single"/>
          <w:lang w:eastAsia="ja-JP"/>
        </w:rPr>
        <w:t>Summary of findings</w:t>
      </w:r>
      <w:bookmarkEnd w:id="41"/>
    </w:p>
    <w:p w14:paraId="77C429FE" w14:textId="77777777" w:rsidR="00D5280F" w:rsidRPr="00E422BE" w:rsidRDefault="00D5280F" w:rsidP="00D5280F">
      <w:r w:rsidRPr="00E422BE">
        <w:t xml:space="preserve">There was a diverse range of feedback provided from survey respondents regarding the NHTS proposed in the consultation document.   The NHTS proposed by the NHTWG requires PICs for all properties on which horses reside as well as requiring individuals, organisations and businesses to create and maintain movement records (Option 2). </w:t>
      </w:r>
    </w:p>
    <w:p w14:paraId="3B8BE06C" w14:textId="77777777" w:rsidR="00D5280F" w:rsidRPr="00E422BE" w:rsidRDefault="00D5280F" w:rsidP="00D5280F">
      <w:r w:rsidRPr="00E422BE">
        <w:t>There were two extremes in opinion expressed by respondents namely those who do not want any system at all and those who believe the proposed system does not go far enough and that microchipping of all horses is necessary to support traceability for biosecurity purposes.</w:t>
      </w:r>
    </w:p>
    <w:p w14:paraId="002D5F7D" w14:textId="77777777" w:rsidR="00D5280F" w:rsidRPr="00E422BE" w:rsidRDefault="00D5280F" w:rsidP="00D5280F">
      <w:r w:rsidRPr="00E422BE">
        <w:t>The</w:t>
      </w:r>
      <w:r>
        <w:t xml:space="preserve"> following</w:t>
      </w:r>
      <w:r w:rsidRPr="00E422BE">
        <w:t xml:space="preserve"> two questions were</w:t>
      </w:r>
      <w:r>
        <w:t xml:space="preserve"> included amongst those</w:t>
      </w:r>
      <w:r w:rsidRPr="00E422BE">
        <w:t xml:space="preserve"> posed to individuals, organisations and businesses</w:t>
      </w:r>
      <w:r>
        <w:t>,</w:t>
      </w:r>
      <w:r w:rsidRPr="00E422BE">
        <w:t xml:space="preserve"> and responses are summarised as follows:</w:t>
      </w:r>
    </w:p>
    <w:p w14:paraId="67B4E020" w14:textId="53525747" w:rsidR="00D5280F" w:rsidRPr="00E422BE" w:rsidRDefault="00D5280F" w:rsidP="00D5280F">
      <w:pPr>
        <w:pStyle w:val="ListParagraph"/>
        <w:numPr>
          <w:ilvl w:val="0"/>
          <w:numId w:val="51"/>
        </w:numPr>
        <w:spacing w:after="200" w:line="276" w:lineRule="auto"/>
        <w:contextualSpacing/>
        <w:rPr>
          <w:rFonts w:ascii="Cambria" w:hAnsi="Cambria"/>
          <w:i/>
        </w:rPr>
      </w:pPr>
      <w:r w:rsidRPr="00E422BE">
        <w:rPr>
          <w:rFonts w:ascii="Cambria" w:hAnsi="Cambria"/>
          <w:i/>
        </w:rPr>
        <w:t>For individuals, does the location where your horse resides have a PIC? For organisations/businesses, do the locations where you host events or conduct business have a PIC?</w:t>
      </w:r>
    </w:p>
    <w:p w14:paraId="210721CA" w14:textId="77777777" w:rsidR="00D5280F" w:rsidRPr="00E422BE" w:rsidRDefault="00D5280F" w:rsidP="00D5280F">
      <w:pPr>
        <w:spacing w:after="0" w:line="240" w:lineRule="auto"/>
      </w:pPr>
    </w:p>
    <w:tbl>
      <w:tblPr>
        <w:tblStyle w:val="TableGrid"/>
        <w:tblW w:w="0" w:type="auto"/>
        <w:tblInd w:w="1129" w:type="dxa"/>
        <w:tblLook w:val="04A0" w:firstRow="1" w:lastRow="0" w:firstColumn="1" w:lastColumn="0" w:noHBand="0" w:noVBand="1"/>
      </w:tblPr>
      <w:tblGrid>
        <w:gridCol w:w="1985"/>
        <w:gridCol w:w="1668"/>
        <w:gridCol w:w="1559"/>
        <w:gridCol w:w="1701"/>
      </w:tblGrid>
      <w:tr w:rsidR="00D5280F" w:rsidRPr="00E422BE" w14:paraId="6661B9A7" w14:textId="77777777" w:rsidTr="008167FB">
        <w:tc>
          <w:tcPr>
            <w:tcW w:w="1985" w:type="dxa"/>
            <w:tcBorders>
              <w:top w:val="single" w:sz="4" w:space="0" w:color="auto"/>
              <w:left w:val="single" w:sz="4" w:space="0" w:color="auto"/>
              <w:bottom w:val="single" w:sz="4" w:space="0" w:color="auto"/>
              <w:right w:val="single" w:sz="4" w:space="0" w:color="auto"/>
            </w:tcBorders>
            <w:hideMark/>
          </w:tcPr>
          <w:p w14:paraId="29A81568" w14:textId="77777777" w:rsidR="00D5280F" w:rsidRPr="00E422BE" w:rsidRDefault="00D5280F" w:rsidP="008167FB">
            <w:pPr>
              <w:spacing w:after="0" w:line="240" w:lineRule="auto"/>
            </w:pPr>
            <w:r w:rsidRPr="00E422BE">
              <w:rPr>
                <w:b/>
              </w:rPr>
              <w:t>Response option</w:t>
            </w:r>
          </w:p>
        </w:tc>
        <w:tc>
          <w:tcPr>
            <w:tcW w:w="1668" w:type="dxa"/>
            <w:tcBorders>
              <w:top w:val="single" w:sz="4" w:space="0" w:color="auto"/>
              <w:left w:val="single" w:sz="4" w:space="0" w:color="auto"/>
              <w:bottom w:val="single" w:sz="4" w:space="0" w:color="auto"/>
              <w:right w:val="single" w:sz="4" w:space="0" w:color="auto"/>
            </w:tcBorders>
            <w:hideMark/>
          </w:tcPr>
          <w:p w14:paraId="3049F426" w14:textId="77777777" w:rsidR="00D5280F" w:rsidRPr="00E422BE" w:rsidRDefault="00D5280F" w:rsidP="008167FB">
            <w:pPr>
              <w:spacing w:after="0" w:line="240" w:lineRule="auto"/>
              <w:jc w:val="center"/>
              <w:rPr>
                <w:b/>
                <w:bCs/>
              </w:rPr>
            </w:pPr>
            <w:r w:rsidRPr="00E422BE">
              <w:rPr>
                <w:b/>
                <w:bCs/>
              </w:rPr>
              <w:t>Individual</w:t>
            </w:r>
          </w:p>
        </w:tc>
        <w:tc>
          <w:tcPr>
            <w:tcW w:w="1559" w:type="dxa"/>
            <w:tcBorders>
              <w:top w:val="single" w:sz="4" w:space="0" w:color="auto"/>
              <w:left w:val="single" w:sz="4" w:space="0" w:color="auto"/>
              <w:bottom w:val="single" w:sz="4" w:space="0" w:color="auto"/>
              <w:right w:val="single" w:sz="4" w:space="0" w:color="auto"/>
            </w:tcBorders>
            <w:hideMark/>
          </w:tcPr>
          <w:p w14:paraId="20282694" w14:textId="77777777" w:rsidR="00D5280F" w:rsidRPr="00E422BE" w:rsidRDefault="00D5280F" w:rsidP="008167FB">
            <w:pPr>
              <w:spacing w:after="0" w:line="240" w:lineRule="auto"/>
              <w:jc w:val="center"/>
              <w:rPr>
                <w:b/>
                <w:bCs/>
              </w:rPr>
            </w:pPr>
            <w:r w:rsidRPr="00E422BE">
              <w:rPr>
                <w:b/>
                <w:bCs/>
              </w:rPr>
              <w:t>Organisation</w:t>
            </w:r>
          </w:p>
        </w:tc>
        <w:tc>
          <w:tcPr>
            <w:tcW w:w="1701" w:type="dxa"/>
            <w:tcBorders>
              <w:top w:val="single" w:sz="4" w:space="0" w:color="auto"/>
              <w:left w:val="single" w:sz="4" w:space="0" w:color="auto"/>
              <w:bottom w:val="single" w:sz="4" w:space="0" w:color="auto"/>
              <w:right w:val="single" w:sz="4" w:space="0" w:color="auto"/>
            </w:tcBorders>
            <w:hideMark/>
          </w:tcPr>
          <w:p w14:paraId="3F5CCE43" w14:textId="77777777" w:rsidR="00D5280F" w:rsidRPr="00E422BE" w:rsidRDefault="00D5280F" w:rsidP="008167FB">
            <w:pPr>
              <w:spacing w:after="0" w:line="240" w:lineRule="auto"/>
              <w:jc w:val="center"/>
              <w:rPr>
                <w:b/>
                <w:bCs/>
              </w:rPr>
            </w:pPr>
            <w:r w:rsidRPr="00E422BE">
              <w:rPr>
                <w:b/>
                <w:bCs/>
              </w:rPr>
              <w:t>Business</w:t>
            </w:r>
          </w:p>
        </w:tc>
      </w:tr>
      <w:tr w:rsidR="00D5280F" w:rsidRPr="00E422BE" w14:paraId="2907453F" w14:textId="77777777" w:rsidTr="008167FB">
        <w:tc>
          <w:tcPr>
            <w:tcW w:w="1985" w:type="dxa"/>
            <w:tcBorders>
              <w:top w:val="single" w:sz="4" w:space="0" w:color="auto"/>
              <w:left w:val="single" w:sz="4" w:space="0" w:color="auto"/>
              <w:bottom w:val="single" w:sz="4" w:space="0" w:color="auto"/>
              <w:right w:val="single" w:sz="4" w:space="0" w:color="auto"/>
            </w:tcBorders>
            <w:hideMark/>
          </w:tcPr>
          <w:p w14:paraId="4E1C294A" w14:textId="77777777" w:rsidR="00D5280F" w:rsidRPr="00E422BE" w:rsidRDefault="00D5280F" w:rsidP="008167FB">
            <w:pPr>
              <w:spacing w:after="0" w:line="240" w:lineRule="auto"/>
            </w:pPr>
            <w:r w:rsidRPr="00E422BE">
              <w:t>Yes</w:t>
            </w:r>
          </w:p>
        </w:tc>
        <w:tc>
          <w:tcPr>
            <w:tcW w:w="1668" w:type="dxa"/>
            <w:tcBorders>
              <w:top w:val="single" w:sz="4" w:space="0" w:color="auto"/>
              <w:left w:val="single" w:sz="4" w:space="0" w:color="auto"/>
              <w:bottom w:val="single" w:sz="4" w:space="0" w:color="auto"/>
              <w:right w:val="single" w:sz="4" w:space="0" w:color="auto"/>
            </w:tcBorders>
            <w:hideMark/>
          </w:tcPr>
          <w:p w14:paraId="2968CBC2" w14:textId="77777777" w:rsidR="00D5280F" w:rsidRPr="00E422BE" w:rsidRDefault="00D5280F" w:rsidP="008167FB">
            <w:pPr>
              <w:spacing w:after="0" w:line="240" w:lineRule="auto"/>
              <w:jc w:val="center"/>
            </w:pPr>
            <w:r w:rsidRPr="00E422BE">
              <w:t>83%</w:t>
            </w:r>
          </w:p>
        </w:tc>
        <w:tc>
          <w:tcPr>
            <w:tcW w:w="1559" w:type="dxa"/>
            <w:tcBorders>
              <w:top w:val="single" w:sz="4" w:space="0" w:color="auto"/>
              <w:left w:val="single" w:sz="4" w:space="0" w:color="auto"/>
              <w:bottom w:val="single" w:sz="4" w:space="0" w:color="auto"/>
              <w:right w:val="single" w:sz="4" w:space="0" w:color="auto"/>
            </w:tcBorders>
            <w:hideMark/>
          </w:tcPr>
          <w:p w14:paraId="345D9D15" w14:textId="77777777" w:rsidR="00D5280F" w:rsidRPr="00E422BE" w:rsidRDefault="00D5280F" w:rsidP="008167FB">
            <w:pPr>
              <w:spacing w:after="0" w:line="240" w:lineRule="auto"/>
              <w:jc w:val="center"/>
            </w:pPr>
            <w:r w:rsidRPr="00E422BE">
              <w:t>38%</w:t>
            </w:r>
          </w:p>
        </w:tc>
        <w:tc>
          <w:tcPr>
            <w:tcW w:w="1701" w:type="dxa"/>
            <w:tcBorders>
              <w:top w:val="single" w:sz="4" w:space="0" w:color="auto"/>
              <w:left w:val="single" w:sz="4" w:space="0" w:color="auto"/>
              <w:bottom w:val="single" w:sz="4" w:space="0" w:color="auto"/>
              <w:right w:val="single" w:sz="4" w:space="0" w:color="auto"/>
            </w:tcBorders>
            <w:hideMark/>
          </w:tcPr>
          <w:p w14:paraId="065FECAC" w14:textId="77777777" w:rsidR="00D5280F" w:rsidRPr="00E422BE" w:rsidRDefault="00D5280F" w:rsidP="008167FB">
            <w:pPr>
              <w:spacing w:after="0" w:line="240" w:lineRule="auto"/>
              <w:jc w:val="center"/>
            </w:pPr>
            <w:r w:rsidRPr="00E422BE">
              <w:t>88%</w:t>
            </w:r>
          </w:p>
        </w:tc>
      </w:tr>
      <w:tr w:rsidR="00D5280F" w:rsidRPr="00E422BE" w14:paraId="795AE2A8" w14:textId="77777777" w:rsidTr="008167FB">
        <w:tc>
          <w:tcPr>
            <w:tcW w:w="1985" w:type="dxa"/>
            <w:tcBorders>
              <w:top w:val="single" w:sz="4" w:space="0" w:color="auto"/>
              <w:left w:val="single" w:sz="4" w:space="0" w:color="auto"/>
              <w:bottom w:val="single" w:sz="4" w:space="0" w:color="auto"/>
              <w:right w:val="single" w:sz="4" w:space="0" w:color="auto"/>
            </w:tcBorders>
            <w:hideMark/>
          </w:tcPr>
          <w:p w14:paraId="16F855A9" w14:textId="77777777" w:rsidR="00D5280F" w:rsidRPr="00E422BE" w:rsidRDefault="00D5280F" w:rsidP="008167FB">
            <w:pPr>
              <w:spacing w:after="0" w:line="240" w:lineRule="auto"/>
            </w:pPr>
            <w:r w:rsidRPr="00E422BE">
              <w:t>No</w:t>
            </w:r>
          </w:p>
        </w:tc>
        <w:tc>
          <w:tcPr>
            <w:tcW w:w="1668" w:type="dxa"/>
            <w:tcBorders>
              <w:top w:val="single" w:sz="4" w:space="0" w:color="auto"/>
              <w:left w:val="single" w:sz="4" w:space="0" w:color="auto"/>
              <w:bottom w:val="single" w:sz="4" w:space="0" w:color="auto"/>
              <w:right w:val="single" w:sz="4" w:space="0" w:color="auto"/>
            </w:tcBorders>
            <w:hideMark/>
          </w:tcPr>
          <w:p w14:paraId="4FFAEAB8" w14:textId="77777777" w:rsidR="00D5280F" w:rsidRPr="00E422BE" w:rsidRDefault="00D5280F" w:rsidP="008167FB">
            <w:pPr>
              <w:spacing w:after="0" w:line="240" w:lineRule="auto"/>
              <w:jc w:val="center"/>
            </w:pPr>
            <w:r w:rsidRPr="00E422BE">
              <w:t>8%</w:t>
            </w:r>
          </w:p>
        </w:tc>
        <w:tc>
          <w:tcPr>
            <w:tcW w:w="1559" w:type="dxa"/>
            <w:tcBorders>
              <w:top w:val="single" w:sz="4" w:space="0" w:color="auto"/>
              <w:left w:val="single" w:sz="4" w:space="0" w:color="auto"/>
              <w:bottom w:val="single" w:sz="4" w:space="0" w:color="auto"/>
              <w:right w:val="single" w:sz="4" w:space="0" w:color="auto"/>
            </w:tcBorders>
            <w:hideMark/>
          </w:tcPr>
          <w:p w14:paraId="680B62C4" w14:textId="77777777" w:rsidR="00D5280F" w:rsidRPr="00E422BE" w:rsidRDefault="00D5280F" w:rsidP="008167FB">
            <w:pPr>
              <w:spacing w:after="0" w:line="240" w:lineRule="auto"/>
              <w:jc w:val="center"/>
            </w:pPr>
            <w:r w:rsidRPr="00E422BE">
              <w:t>31%</w:t>
            </w:r>
          </w:p>
        </w:tc>
        <w:tc>
          <w:tcPr>
            <w:tcW w:w="1701" w:type="dxa"/>
            <w:tcBorders>
              <w:top w:val="single" w:sz="4" w:space="0" w:color="auto"/>
              <w:left w:val="single" w:sz="4" w:space="0" w:color="auto"/>
              <w:bottom w:val="single" w:sz="4" w:space="0" w:color="auto"/>
              <w:right w:val="single" w:sz="4" w:space="0" w:color="auto"/>
            </w:tcBorders>
            <w:hideMark/>
          </w:tcPr>
          <w:p w14:paraId="17D8F5D0" w14:textId="77777777" w:rsidR="00D5280F" w:rsidRPr="00E422BE" w:rsidRDefault="00D5280F" w:rsidP="008167FB">
            <w:pPr>
              <w:spacing w:after="0" w:line="240" w:lineRule="auto"/>
              <w:jc w:val="center"/>
            </w:pPr>
            <w:r w:rsidRPr="00E422BE">
              <w:t>2%</w:t>
            </w:r>
          </w:p>
        </w:tc>
      </w:tr>
      <w:tr w:rsidR="00D5280F" w:rsidRPr="00E422BE" w14:paraId="2D182C31" w14:textId="77777777" w:rsidTr="008167FB">
        <w:tc>
          <w:tcPr>
            <w:tcW w:w="1985" w:type="dxa"/>
            <w:tcBorders>
              <w:top w:val="single" w:sz="4" w:space="0" w:color="auto"/>
              <w:left w:val="single" w:sz="4" w:space="0" w:color="auto"/>
              <w:bottom w:val="single" w:sz="4" w:space="0" w:color="auto"/>
              <w:right w:val="single" w:sz="4" w:space="0" w:color="auto"/>
            </w:tcBorders>
            <w:hideMark/>
          </w:tcPr>
          <w:p w14:paraId="2EB64CC8" w14:textId="77777777" w:rsidR="00D5280F" w:rsidRPr="00E422BE" w:rsidRDefault="00D5280F" w:rsidP="008167FB">
            <w:pPr>
              <w:spacing w:after="0" w:line="240" w:lineRule="auto"/>
            </w:pPr>
            <w:r w:rsidRPr="00E422BE">
              <w:t>Unsure</w:t>
            </w:r>
          </w:p>
        </w:tc>
        <w:tc>
          <w:tcPr>
            <w:tcW w:w="1668" w:type="dxa"/>
            <w:tcBorders>
              <w:top w:val="single" w:sz="4" w:space="0" w:color="auto"/>
              <w:left w:val="single" w:sz="4" w:space="0" w:color="auto"/>
              <w:bottom w:val="single" w:sz="4" w:space="0" w:color="auto"/>
              <w:right w:val="single" w:sz="4" w:space="0" w:color="auto"/>
            </w:tcBorders>
            <w:hideMark/>
          </w:tcPr>
          <w:p w14:paraId="22AC50FA" w14:textId="77777777" w:rsidR="00D5280F" w:rsidRPr="00E422BE" w:rsidRDefault="00D5280F" w:rsidP="008167FB">
            <w:pPr>
              <w:spacing w:after="0" w:line="240" w:lineRule="auto"/>
              <w:jc w:val="center"/>
            </w:pPr>
            <w:r w:rsidRPr="00E422BE">
              <w:t>9%</w:t>
            </w:r>
          </w:p>
        </w:tc>
        <w:tc>
          <w:tcPr>
            <w:tcW w:w="1559" w:type="dxa"/>
            <w:tcBorders>
              <w:top w:val="single" w:sz="4" w:space="0" w:color="auto"/>
              <w:left w:val="single" w:sz="4" w:space="0" w:color="auto"/>
              <w:bottom w:val="single" w:sz="4" w:space="0" w:color="auto"/>
              <w:right w:val="single" w:sz="4" w:space="0" w:color="auto"/>
            </w:tcBorders>
            <w:hideMark/>
          </w:tcPr>
          <w:p w14:paraId="47AB42C3" w14:textId="77777777" w:rsidR="00D5280F" w:rsidRPr="00E422BE" w:rsidRDefault="00D5280F" w:rsidP="008167FB">
            <w:pPr>
              <w:spacing w:after="0" w:line="240" w:lineRule="auto"/>
              <w:jc w:val="center"/>
            </w:pPr>
            <w:r w:rsidRPr="00E422BE">
              <w:t>31%</w:t>
            </w:r>
          </w:p>
        </w:tc>
        <w:tc>
          <w:tcPr>
            <w:tcW w:w="1701" w:type="dxa"/>
            <w:tcBorders>
              <w:top w:val="single" w:sz="4" w:space="0" w:color="auto"/>
              <w:left w:val="single" w:sz="4" w:space="0" w:color="auto"/>
              <w:bottom w:val="single" w:sz="4" w:space="0" w:color="auto"/>
              <w:right w:val="single" w:sz="4" w:space="0" w:color="auto"/>
            </w:tcBorders>
            <w:hideMark/>
          </w:tcPr>
          <w:p w14:paraId="102D18AC" w14:textId="77777777" w:rsidR="00D5280F" w:rsidRPr="00E422BE" w:rsidRDefault="00D5280F" w:rsidP="008167FB">
            <w:pPr>
              <w:spacing w:after="0" w:line="240" w:lineRule="auto"/>
              <w:jc w:val="center"/>
            </w:pPr>
            <w:r w:rsidRPr="00E422BE">
              <w:t>10%</w:t>
            </w:r>
          </w:p>
        </w:tc>
      </w:tr>
    </w:tbl>
    <w:p w14:paraId="13642600" w14:textId="77777777" w:rsidR="00D5280F" w:rsidRPr="00E422BE" w:rsidRDefault="00D5280F" w:rsidP="00D5280F">
      <w:pPr>
        <w:spacing w:after="0" w:line="240" w:lineRule="auto"/>
      </w:pPr>
    </w:p>
    <w:p w14:paraId="04128B72" w14:textId="77777777" w:rsidR="00D5280F" w:rsidRPr="00E422BE" w:rsidRDefault="00D5280F" w:rsidP="00D5280F">
      <w:pPr>
        <w:spacing w:after="0" w:line="240" w:lineRule="auto"/>
      </w:pPr>
    </w:p>
    <w:p w14:paraId="567C45CA" w14:textId="77777777" w:rsidR="00D5280F" w:rsidRPr="00E422BE" w:rsidRDefault="00D5280F" w:rsidP="00D5280F">
      <w:pPr>
        <w:pStyle w:val="ListParagraph"/>
        <w:numPr>
          <w:ilvl w:val="0"/>
          <w:numId w:val="51"/>
        </w:numPr>
        <w:spacing w:after="200" w:line="276" w:lineRule="auto"/>
        <w:ind w:left="714" w:hanging="357"/>
        <w:contextualSpacing/>
        <w:rPr>
          <w:rFonts w:ascii="Cambria" w:hAnsi="Cambria"/>
          <w:bCs/>
          <w:i/>
          <w:iCs/>
        </w:rPr>
      </w:pPr>
      <w:r w:rsidRPr="00E422BE">
        <w:rPr>
          <w:rFonts w:ascii="Cambria" w:hAnsi="Cambria"/>
          <w:bCs/>
          <w:i/>
          <w:iCs/>
        </w:rPr>
        <w:t>If the proposed business rules are adopted, what actions do you anticipate will be necessary to implement the proposed arrangements within your sector of the industry?</w:t>
      </w:r>
    </w:p>
    <w:p w14:paraId="788E4B1E" w14:textId="77777777" w:rsidR="00D5280F" w:rsidRPr="00E422BE" w:rsidRDefault="00D5280F" w:rsidP="00D5280F">
      <w:pPr>
        <w:spacing w:after="0" w:line="240" w:lineRule="auto"/>
      </w:pPr>
    </w:p>
    <w:tbl>
      <w:tblPr>
        <w:tblStyle w:val="TableGrid"/>
        <w:tblW w:w="9016" w:type="dxa"/>
        <w:tblInd w:w="-5" w:type="dxa"/>
        <w:tblLook w:val="04A0" w:firstRow="1" w:lastRow="0" w:firstColumn="1" w:lastColumn="0" w:noHBand="0" w:noVBand="1"/>
      </w:tblPr>
      <w:tblGrid>
        <w:gridCol w:w="4869"/>
        <w:gridCol w:w="1397"/>
        <w:gridCol w:w="1531"/>
        <w:gridCol w:w="1219"/>
      </w:tblGrid>
      <w:tr w:rsidR="00D5280F" w:rsidRPr="00E422BE" w14:paraId="64E005A0" w14:textId="77777777" w:rsidTr="008167FB">
        <w:tc>
          <w:tcPr>
            <w:tcW w:w="4946" w:type="dxa"/>
            <w:tcBorders>
              <w:top w:val="single" w:sz="4" w:space="0" w:color="auto"/>
              <w:left w:val="single" w:sz="4" w:space="0" w:color="auto"/>
              <w:bottom w:val="single" w:sz="4" w:space="0" w:color="auto"/>
              <w:right w:val="single" w:sz="4" w:space="0" w:color="auto"/>
            </w:tcBorders>
            <w:hideMark/>
          </w:tcPr>
          <w:p w14:paraId="05E4BDF4" w14:textId="77777777" w:rsidR="00D5280F" w:rsidRPr="00E422BE" w:rsidRDefault="00D5280F" w:rsidP="008167FB">
            <w:pPr>
              <w:spacing w:after="0" w:line="240" w:lineRule="auto"/>
              <w:rPr>
                <w:b/>
              </w:rPr>
            </w:pPr>
            <w:r w:rsidRPr="00E422BE">
              <w:rPr>
                <w:b/>
              </w:rPr>
              <w:t>Response option</w:t>
            </w:r>
          </w:p>
        </w:tc>
        <w:tc>
          <w:tcPr>
            <w:tcW w:w="1401" w:type="dxa"/>
            <w:tcBorders>
              <w:top w:val="single" w:sz="4" w:space="0" w:color="auto"/>
              <w:left w:val="single" w:sz="4" w:space="0" w:color="auto"/>
              <w:bottom w:val="single" w:sz="4" w:space="0" w:color="auto"/>
              <w:right w:val="single" w:sz="4" w:space="0" w:color="auto"/>
            </w:tcBorders>
            <w:hideMark/>
          </w:tcPr>
          <w:p w14:paraId="3357FD74" w14:textId="77777777" w:rsidR="00D5280F" w:rsidRPr="00E422BE" w:rsidRDefault="00D5280F" w:rsidP="008167FB">
            <w:pPr>
              <w:spacing w:after="0" w:line="240" w:lineRule="auto"/>
              <w:jc w:val="center"/>
              <w:rPr>
                <w:b/>
                <w:bCs/>
              </w:rPr>
            </w:pPr>
            <w:r w:rsidRPr="00E422BE">
              <w:rPr>
                <w:b/>
                <w:bCs/>
              </w:rPr>
              <w:t>Individual</w:t>
            </w:r>
          </w:p>
          <w:p w14:paraId="51A30D60" w14:textId="77777777" w:rsidR="00D5280F" w:rsidRPr="00E422BE" w:rsidRDefault="00D5280F" w:rsidP="008167FB">
            <w:pPr>
              <w:spacing w:after="0" w:line="240" w:lineRule="auto"/>
              <w:jc w:val="center"/>
            </w:pPr>
            <w:r w:rsidRPr="00E422BE">
              <w:t>n=371</w:t>
            </w:r>
          </w:p>
        </w:tc>
        <w:tc>
          <w:tcPr>
            <w:tcW w:w="1447" w:type="dxa"/>
            <w:tcBorders>
              <w:top w:val="single" w:sz="4" w:space="0" w:color="auto"/>
              <w:left w:val="single" w:sz="4" w:space="0" w:color="auto"/>
              <w:bottom w:val="single" w:sz="4" w:space="0" w:color="auto"/>
              <w:right w:val="single" w:sz="4" w:space="0" w:color="auto"/>
            </w:tcBorders>
            <w:hideMark/>
          </w:tcPr>
          <w:p w14:paraId="77450B97" w14:textId="77777777" w:rsidR="00D5280F" w:rsidRPr="00E422BE" w:rsidRDefault="00D5280F" w:rsidP="008167FB">
            <w:pPr>
              <w:spacing w:after="0" w:line="240" w:lineRule="auto"/>
              <w:jc w:val="center"/>
              <w:rPr>
                <w:b/>
                <w:bCs/>
              </w:rPr>
            </w:pPr>
            <w:r w:rsidRPr="00E422BE">
              <w:rPr>
                <w:b/>
                <w:bCs/>
              </w:rPr>
              <w:t>Organisation</w:t>
            </w:r>
          </w:p>
          <w:p w14:paraId="2EDA9964" w14:textId="77777777" w:rsidR="00D5280F" w:rsidRPr="00E422BE" w:rsidRDefault="00D5280F" w:rsidP="008167FB">
            <w:pPr>
              <w:spacing w:after="0" w:line="240" w:lineRule="auto"/>
              <w:jc w:val="center"/>
            </w:pPr>
            <w:r w:rsidRPr="00E422BE">
              <w:t>n=29</w:t>
            </w:r>
          </w:p>
        </w:tc>
        <w:tc>
          <w:tcPr>
            <w:tcW w:w="1222" w:type="dxa"/>
            <w:tcBorders>
              <w:top w:val="single" w:sz="4" w:space="0" w:color="auto"/>
              <w:left w:val="single" w:sz="4" w:space="0" w:color="auto"/>
              <w:bottom w:val="single" w:sz="4" w:space="0" w:color="auto"/>
              <w:right w:val="single" w:sz="4" w:space="0" w:color="auto"/>
            </w:tcBorders>
            <w:hideMark/>
          </w:tcPr>
          <w:p w14:paraId="133B5CC9" w14:textId="77777777" w:rsidR="00D5280F" w:rsidRPr="00E422BE" w:rsidRDefault="00D5280F" w:rsidP="008167FB">
            <w:pPr>
              <w:spacing w:after="0" w:line="240" w:lineRule="auto"/>
              <w:jc w:val="center"/>
              <w:rPr>
                <w:b/>
                <w:bCs/>
              </w:rPr>
            </w:pPr>
            <w:r w:rsidRPr="00E422BE">
              <w:rPr>
                <w:b/>
                <w:bCs/>
              </w:rPr>
              <w:t>Business</w:t>
            </w:r>
          </w:p>
          <w:p w14:paraId="67633B1F" w14:textId="77777777" w:rsidR="00D5280F" w:rsidRPr="00E422BE" w:rsidRDefault="00D5280F" w:rsidP="008167FB">
            <w:pPr>
              <w:spacing w:after="0" w:line="240" w:lineRule="auto"/>
              <w:jc w:val="center"/>
            </w:pPr>
            <w:r w:rsidRPr="00E422BE">
              <w:t>n=48</w:t>
            </w:r>
          </w:p>
        </w:tc>
      </w:tr>
      <w:tr w:rsidR="00D5280F" w:rsidRPr="00E422BE" w14:paraId="423162A1" w14:textId="77777777" w:rsidTr="008167FB">
        <w:tc>
          <w:tcPr>
            <w:tcW w:w="4946" w:type="dxa"/>
            <w:tcBorders>
              <w:top w:val="single" w:sz="4" w:space="0" w:color="auto"/>
              <w:left w:val="single" w:sz="4" w:space="0" w:color="auto"/>
              <w:bottom w:val="single" w:sz="4" w:space="0" w:color="auto"/>
              <w:right w:val="single" w:sz="4" w:space="0" w:color="auto"/>
            </w:tcBorders>
            <w:hideMark/>
          </w:tcPr>
          <w:p w14:paraId="0144C483" w14:textId="77777777" w:rsidR="00D5280F" w:rsidRPr="00E422BE" w:rsidRDefault="00D5280F" w:rsidP="008167FB">
            <w:pPr>
              <w:spacing w:after="0" w:line="240" w:lineRule="auto"/>
            </w:pPr>
            <w:r w:rsidRPr="00E422BE">
              <w:rPr>
                <w:b/>
              </w:rPr>
              <w:t xml:space="preserve">Individual: </w:t>
            </w:r>
            <w:r w:rsidRPr="00E422BE">
              <w:t xml:space="preserve">Need to apply for a PIC from their state/territory government. </w:t>
            </w:r>
          </w:p>
          <w:p w14:paraId="463392F5" w14:textId="77777777" w:rsidR="00D5280F" w:rsidRPr="00E422BE" w:rsidRDefault="00D5280F" w:rsidP="008167FB">
            <w:pPr>
              <w:spacing w:after="0" w:line="240" w:lineRule="auto"/>
            </w:pPr>
            <w:r w:rsidRPr="00E422BE">
              <w:rPr>
                <w:b/>
              </w:rPr>
              <w:t>Business/organisation:</w:t>
            </w:r>
            <w:r w:rsidRPr="00E422BE">
              <w:t xml:space="preserve"> Need to request members, customers or event participants apply for a PIC from their state/territory government.</w:t>
            </w:r>
          </w:p>
        </w:tc>
        <w:tc>
          <w:tcPr>
            <w:tcW w:w="1401" w:type="dxa"/>
            <w:tcBorders>
              <w:top w:val="single" w:sz="4" w:space="0" w:color="auto"/>
              <w:left w:val="single" w:sz="4" w:space="0" w:color="auto"/>
              <w:bottom w:val="single" w:sz="4" w:space="0" w:color="auto"/>
              <w:right w:val="single" w:sz="4" w:space="0" w:color="auto"/>
            </w:tcBorders>
            <w:hideMark/>
          </w:tcPr>
          <w:p w14:paraId="439991C7" w14:textId="77777777" w:rsidR="00D5280F" w:rsidRPr="00E422BE" w:rsidRDefault="00D5280F" w:rsidP="008167FB">
            <w:pPr>
              <w:spacing w:after="0" w:line="240" w:lineRule="auto"/>
              <w:jc w:val="center"/>
            </w:pPr>
            <w:r w:rsidRPr="00E422BE">
              <w:t>12%</w:t>
            </w:r>
          </w:p>
        </w:tc>
        <w:tc>
          <w:tcPr>
            <w:tcW w:w="1447" w:type="dxa"/>
            <w:tcBorders>
              <w:top w:val="single" w:sz="4" w:space="0" w:color="auto"/>
              <w:left w:val="single" w:sz="4" w:space="0" w:color="auto"/>
              <w:bottom w:val="single" w:sz="4" w:space="0" w:color="auto"/>
              <w:right w:val="single" w:sz="4" w:space="0" w:color="auto"/>
            </w:tcBorders>
            <w:hideMark/>
          </w:tcPr>
          <w:p w14:paraId="757A5D40" w14:textId="77777777" w:rsidR="00D5280F" w:rsidRPr="00E422BE" w:rsidRDefault="00D5280F" w:rsidP="008167FB">
            <w:pPr>
              <w:spacing w:after="0" w:line="240" w:lineRule="auto"/>
              <w:jc w:val="center"/>
            </w:pPr>
            <w:r w:rsidRPr="00E422BE">
              <w:t>59%</w:t>
            </w:r>
          </w:p>
        </w:tc>
        <w:tc>
          <w:tcPr>
            <w:tcW w:w="1222" w:type="dxa"/>
            <w:tcBorders>
              <w:top w:val="single" w:sz="4" w:space="0" w:color="auto"/>
              <w:left w:val="single" w:sz="4" w:space="0" w:color="auto"/>
              <w:bottom w:val="single" w:sz="4" w:space="0" w:color="auto"/>
              <w:right w:val="single" w:sz="4" w:space="0" w:color="auto"/>
            </w:tcBorders>
            <w:hideMark/>
          </w:tcPr>
          <w:p w14:paraId="725857E8" w14:textId="77777777" w:rsidR="00D5280F" w:rsidRPr="00E422BE" w:rsidRDefault="00D5280F" w:rsidP="008167FB">
            <w:pPr>
              <w:spacing w:after="0" w:line="240" w:lineRule="auto"/>
              <w:jc w:val="center"/>
            </w:pPr>
            <w:r w:rsidRPr="00E422BE">
              <w:t>46%</w:t>
            </w:r>
          </w:p>
        </w:tc>
      </w:tr>
      <w:tr w:rsidR="00D5280F" w:rsidRPr="00E422BE" w14:paraId="28E65D0C" w14:textId="77777777" w:rsidTr="008167FB">
        <w:tc>
          <w:tcPr>
            <w:tcW w:w="4946" w:type="dxa"/>
            <w:tcBorders>
              <w:top w:val="single" w:sz="4" w:space="0" w:color="auto"/>
              <w:left w:val="single" w:sz="4" w:space="0" w:color="auto"/>
              <w:bottom w:val="single" w:sz="4" w:space="0" w:color="auto"/>
              <w:right w:val="single" w:sz="4" w:space="0" w:color="auto"/>
            </w:tcBorders>
            <w:hideMark/>
          </w:tcPr>
          <w:p w14:paraId="7BA1A45C" w14:textId="77777777" w:rsidR="00D5280F" w:rsidRPr="00E422BE" w:rsidRDefault="00D5280F" w:rsidP="008167FB">
            <w:pPr>
              <w:spacing w:after="0" w:line="240" w:lineRule="auto"/>
            </w:pPr>
            <w:r w:rsidRPr="00E422BE">
              <w:rPr>
                <w:b/>
              </w:rPr>
              <w:lastRenderedPageBreak/>
              <w:t>Individual:</w:t>
            </w:r>
            <w:r w:rsidRPr="00E422BE">
              <w:t xml:space="preserve"> Need to update information for a PIC they currently hold. </w:t>
            </w:r>
          </w:p>
          <w:p w14:paraId="032B5084" w14:textId="77777777" w:rsidR="00D5280F" w:rsidRPr="00E422BE" w:rsidRDefault="00D5280F" w:rsidP="008167FB">
            <w:pPr>
              <w:spacing w:after="0" w:line="240" w:lineRule="auto"/>
            </w:pPr>
            <w:r w:rsidRPr="00E422BE">
              <w:rPr>
                <w:b/>
              </w:rPr>
              <w:t>Business/organisation:</w:t>
            </w:r>
            <w:r w:rsidRPr="00E422BE">
              <w:t xml:space="preserve"> Update information regarding the PIC of members, customers or event participants.</w:t>
            </w:r>
          </w:p>
        </w:tc>
        <w:tc>
          <w:tcPr>
            <w:tcW w:w="1401" w:type="dxa"/>
            <w:tcBorders>
              <w:top w:val="single" w:sz="4" w:space="0" w:color="auto"/>
              <w:left w:val="single" w:sz="4" w:space="0" w:color="auto"/>
              <w:bottom w:val="single" w:sz="4" w:space="0" w:color="auto"/>
              <w:right w:val="single" w:sz="4" w:space="0" w:color="auto"/>
            </w:tcBorders>
            <w:hideMark/>
          </w:tcPr>
          <w:p w14:paraId="2FBC8B6E" w14:textId="77777777" w:rsidR="00D5280F" w:rsidRPr="00E422BE" w:rsidRDefault="00D5280F" w:rsidP="008167FB">
            <w:pPr>
              <w:spacing w:after="0" w:line="240" w:lineRule="auto"/>
              <w:jc w:val="center"/>
            </w:pPr>
            <w:r w:rsidRPr="00E422BE">
              <w:t>22%</w:t>
            </w:r>
          </w:p>
        </w:tc>
        <w:tc>
          <w:tcPr>
            <w:tcW w:w="1447" w:type="dxa"/>
            <w:tcBorders>
              <w:top w:val="single" w:sz="4" w:space="0" w:color="auto"/>
              <w:left w:val="single" w:sz="4" w:space="0" w:color="auto"/>
              <w:bottom w:val="single" w:sz="4" w:space="0" w:color="auto"/>
              <w:right w:val="single" w:sz="4" w:space="0" w:color="auto"/>
            </w:tcBorders>
            <w:hideMark/>
          </w:tcPr>
          <w:p w14:paraId="6F3DCCA2" w14:textId="77777777" w:rsidR="00D5280F" w:rsidRPr="00E422BE" w:rsidRDefault="00D5280F" w:rsidP="008167FB">
            <w:pPr>
              <w:spacing w:after="0" w:line="240" w:lineRule="auto"/>
              <w:jc w:val="center"/>
            </w:pPr>
            <w:r w:rsidRPr="00E422BE">
              <w:t>48%</w:t>
            </w:r>
          </w:p>
        </w:tc>
        <w:tc>
          <w:tcPr>
            <w:tcW w:w="1222" w:type="dxa"/>
            <w:tcBorders>
              <w:top w:val="single" w:sz="4" w:space="0" w:color="auto"/>
              <w:left w:val="single" w:sz="4" w:space="0" w:color="auto"/>
              <w:bottom w:val="single" w:sz="4" w:space="0" w:color="auto"/>
              <w:right w:val="single" w:sz="4" w:space="0" w:color="auto"/>
            </w:tcBorders>
            <w:hideMark/>
          </w:tcPr>
          <w:p w14:paraId="30E0533F" w14:textId="77777777" w:rsidR="00D5280F" w:rsidRPr="00E422BE" w:rsidRDefault="00D5280F" w:rsidP="008167FB">
            <w:pPr>
              <w:spacing w:after="0" w:line="240" w:lineRule="auto"/>
              <w:jc w:val="center"/>
            </w:pPr>
            <w:r w:rsidRPr="00E422BE">
              <w:t>42%</w:t>
            </w:r>
          </w:p>
        </w:tc>
      </w:tr>
      <w:tr w:rsidR="00D5280F" w:rsidRPr="00E422BE" w14:paraId="6E63B405" w14:textId="77777777" w:rsidTr="008167FB">
        <w:tc>
          <w:tcPr>
            <w:tcW w:w="4946" w:type="dxa"/>
            <w:tcBorders>
              <w:top w:val="single" w:sz="4" w:space="0" w:color="auto"/>
              <w:left w:val="single" w:sz="4" w:space="0" w:color="auto"/>
              <w:bottom w:val="single" w:sz="4" w:space="0" w:color="auto"/>
              <w:right w:val="single" w:sz="4" w:space="0" w:color="auto"/>
            </w:tcBorders>
            <w:hideMark/>
          </w:tcPr>
          <w:p w14:paraId="288C61F0" w14:textId="77777777" w:rsidR="00D5280F" w:rsidRPr="00E422BE" w:rsidRDefault="00D5280F" w:rsidP="008167FB">
            <w:pPr>
              <w:spacing w:after="0" w:line="240" w:lineRule="auto"/>
            </w:pPr>
            <w:r w:rsidRPr="00E422BE">
              <w:t>Begin to record horse movement onto or off their property</w:t>
            </w:r>
          </w:p>
        </w:tc>
        <w:tc>
          <w:tcPr>
            <w:tcW w:w="1401" w:type="dxa"/>
            <w:tcBorders>
              <w:top w:val="single" w:sz="4" w:space="0" w:color="auto"/>
              <w:left w:val="single" w:sz="4" w:space="0" w:color="auto"/>
              <w:bottom w:val="single" w:sz="4" w:space="0" w:color="auto"/>
              <w:right w:val="single" w:sz="4" w:space="0" w:color="auto"/>
            </w:tcBorders>
            <w:hideMark/>
          </w:tcPr>
          <w:p w14:paraId="2C960017" w14:textId="77777777" w:rsidR="00D5280F" w:rsidRPr="00E422BE" w:rsidRDefault="00D5280F" w:rsidP="008167FB">
            <w:pPr>
              <w:spacing w:after="0" w:line="240" w:lineRule="auto"/>
              <w:jc w:val="center"/>
            </w:pPr>
            <w:r w:rsidRPr="00E422BE">
              <w:t>68%</w:t>
            </w:r>
          </w:p>
        </w:tc>
        <w:tc>
          <w:tcPr>
            <w:tcW w:w="1447" w:type="dxa"/>
            <w:tcBorders>
              <w:top w:val="single" w:sz="4" w:space="0" w:color="auto"/>
              <w:left w:val="single" w:sz="4" w:space="0" w:color="auto"/>
              <w:bottom w:val="single" w:sz="4" w:space="0" w:color="auto"/>
              <w:right w:val="single" w:sz="4" w:space="0" w:color="auto"/>
            </w:tcBorders>
            <w:hideMark/>
          </w:tcPr>
          <w:p w14:paraId="118E4C46" w14:textId="77777777" w:rsidR="00D5280F" w:rsidRPr="00E422BE" w:rsidRDefault="00D5280F" w:rsidP="008167FB">
            <w:pPr>
              <w:spacing w:after="0" w:line="240" w:lineRule="auto"/>
              <w:jc w:val="center"/>
            </w:pPr>
            <w:r w:rsidRPr="00E422BE">
              <w:t>N/A</w:t>
            </w:r>
          </w:p>
        </w:tc>
        <w:tc>
          <w:tcPr>
            <w:tcW w:w="1222" w:type="dxa"/>
            <w:tcBorders>
              <w:top w:val="single" w:sz="4" w:space="0" w:color="auto"/>
              <w:left w:val="single" w:sz="4" w:space="0" w:color="auto"/>
              <w:bottom w:val="single" w:sz="4" w:space="0" w:color="auto"/>
              <w:right w:val="single" w:sz="4" w:space="0" w:color="auto"/>
            </w:tcBorders>
            <w:hideMark/>
          </w:tcPr>
          <w:p w14:paraId="1B10CBB6" w14:textId="77777777" w:rsidR="00D5280F" w:rsidRPr="00E422BE" w:rsidRDefault="00D5280F" w:rsidP="008167FB">
            <w:pPr>
              <w:spacing w:after="0" w:line="240" w:lineRule="auto"/>
              <w:jc w:val="center"/>
            </w:pPr>
            <w:r w:rsidRPr="00E422BE">
              <w:t>N/A</w:t>
            </w:r>
          </w:p>
        </w:tc>
      </w:tr>
      <w:tr w:rsidR="00D5280F" w:rsidRPr="00E422BE" w14:paraId="20EDF4EC" w14:textId="77777777" w:rsidTr="008167FB">
        <w:tc>
          <w:tcPr>
            <w:tcW w:w="4946" w:type="dxa"/>
            <w:tcBorders>
              <w:top w:val="single" w:sz="4" w:space="0" w:color="auto"/>
              <w:left w:val="single" w:sz="4" w:space="0" w:color="auto"/>
              <w:bottom w:val="single" w:sz="4" w:space="0" w:color="auto"/>
              <w:right w:val="single" w:sz="4" w:space="0" w:color="auto"/>
            </w:tcBorders>
            <w:hideMark/>
          </w:tcPr>
          <w:p w14:paraId="01FE18C9" w14:textId="77777777" w:rsidR="00D5280F" w:rsidRPr="00E422BE" w:rsidRDefault="00D5280F" w:rsidP="008167FB">
            <w:pPr>
              <w:spacing w:after="0" w:line="240" w:lineRule="auto"/>
            </w:pPr>
            <w:r w:rsidRPr="00E422BE">
              <w:t>Upgrading electronic systems for recording PICs and movements.</w:t>
            </w:r>
          </w:p>
        </w:tc>
        <w:tc>
          <w:tcPr>
            <w:tcW w:w="1401" w:type="dxa"/>
            <w:tcBorders>
              <w:top w:val="single" w:sz="4" w:space="0" w:color="auto"/>
              <w:left w:val="single" w:sz="4" w:space="0" w:color="auto"/>
              <w:bottom w:val="single" w:sz="4" w:space="0" w:color="auto"/>
              <w:right w:val="single" w:sz="4" w:space="0" w:color="auto"/>
            </w:tcBorders>
            <w:hideMark/>
          </w:tcPr>
          <w:p w14:paraId="0C0978F7" w14:textId="77777777" w:rsidR="00D5280F" w:rsidRPr="00E422BE" w:rsidRDefault="00D5280F" w:rsidP="008167FB">
            <w:pPr>
              <w:spacing w:after="0" w:line="240" w:lineRule="auto"/>
              <w:jc w:val="center"/>
            </w:pPr>
            <w:r w:rsidRPr="00E422BE">
              <w:t>N/A</w:t>
            </w:r>
          </w:p>
        </w:tc>
        <w:tc>
          <w:tcPr>
            <w:tcW w:w="1447" w:type="dxa"/>
            <w:tcBorders>
              <w:top w:val="single" w:sz="4" w:space="0" w:color="auto"/>
              <w:left w:val="single" w:sz="4" w:space="0" w:color="auto"/>
              <w:bottom w:val="single" w:sz="4" w:space="0" w:color="auto"/>
              <w:right w:val="single" w:sz="4" w:space="0" w:color="auto"/>
            </w:tcBorders>
            <w:hideMark/>
          </w:tcPr>
          <w:p w14:paraId="62725A12" w14:textId="77777777" w:rsidR="00D5280F" w:rsidRPr="00E422BE" w:rsidRDefault="00D5280F" w:rsidP="008167FB">
            <w:pPr>
              <w:spacing w:after="0" w:line="240" w:lineRule="auto"/>
              <w:jc w:val="center"/>
            </w:pPr>
            <w:r w:rsidRPr="00E422BE">
              <w:t>48%</w:t>
            </w:r>
          </w:p>
        </w:tc>
        <w:tc>
          <w:tcPr>
            <w:tcW w:w="1222" w:type="dxa"/>
            <w:tcBorders>
              <w:top w:val="single" w:sz="4" w:space="0" w:color="auto"/>
              <w:left w:val="single" w:sz="4" w:space="0" w:color="auto"/>
              <w:bottom w:val="single" w:sz="4" w:space="0" w:color="auto"/>
              <w:right w:val="single" w:sz="4" w:space="0" w:color="auto"/>
            </w:tcBorders>
            <w:hideMark/>
          </w:tcPr>
          <w:p w14:paraId="57F65A2A" w14:textId="77777777" w:rsidR="00D5280F" w:rsidRPr="00E422BE" w:rsidRDefault="00D5280F" w:rsidP="008167FB">
            <w:pPr>
              <w:spacing w:after="0" w:line="240" w:lineRule="auto"/>
              <w:jc w:val="center"/>
            </w:pPr>
            <w:r w:rsidRPr="00E422BE">
              <w:t>58%</w:t>
            </w:r>
          </w:p>
        </w:tc>
      </w:tr>
      <w:tr w:rsidR="00D5280F" w:rsidRPr="00E422BE" w14:paraId="2811172A" w14:textId="77777777" w:rsidTr="008167FB">
        <w:tc>
          <w:tcPr>
            <w:tcW w:w="4946" w:type="dxa"/>
            <w:tcBorders>
              <w:top w:val="single" w:sz="4" w:space="0" w:color="auto"/>
              <w:left w:val="single" w:sz="4" w:space="0" w:color="auto"/>
              <w:bottom w:val="single" w:sz="4" w:space="0" w:color="auto"/>
              <w:right w:val="single" w:sz="4" w:space="0" w:color="auto"/>
            </w:tcBorders>
            <w:hideMark/>
          </w:tcPr>
          <w:p w14:paraId="327F84FD" w14:textId="4EFA154B" w:rsidR="00D5280F" w:rsidRPr="00E422BE" w:rsidRDefault="00D5280F" w:rsidP="008167FB">
            <w:pPr>
              <w:spacing w:after="0" w:line="240" w:lineRule="auto"/>
              <w:rPr>
                <w:i/>
              </w:rPr>
            </w:pPr>
            <w:r w:rsidRPr="00E422BE">
              <w:t xml:space="preserve">Other </w:t>
            </w:r>
          </w:p>
        </w:tc>
        <w:tc>
          <w:tcPr>
            <w:tcW w:w="1401" w:type="dxa"/>
            <w:tcBorders>
              <w:top w:val="single" w:sz="4" w:space="0" w:color="auto"/>
              <w:left w:val="single" w:sz="4" w:space="0" w:color="auto"/>
              <w:bottom w:val="single" w:sz="4" w:space="0" w:color="auto"/>
              <w:right w:val="single" w:sz="4" w:space="0" w:color="auto"/>
            </w:tcBorders>
            <w:hideMark/>
          </w:tcPr>
          <w:p w14:paraId="611DA7CA" w14:textId="77777777" w:rsidR="00D5280F" w:rsidRPr="00E422BE" w:rsidRDefault="00D5280F" w:rsidP="008167FB">
            <w:pPr>
              <w:spacing w:after="0" w:line="240" w:lineRule="auto"/>
              <w:jc w:val="center"/>
            </w:pPr>
            <w:r w:rsidRPr="00E422BE">
              <w:t>23%</w:t>
            </w:r>
          </w:p>
        </w:tc>
        <w:tc>
          <w:tcPr>
            <w:tcW w:w="1447" w:type="dxa"/>
            <w:tcBorders>
              <w:top w:val="single" w:sz="4" w:space="0" w:color="auto"/>
              <w:left w:val="single" w:sz="4" w:space="0" w:color="auto"/>
              <w:bottom w:val="single" w:sz="4" w:space="0" w:color="auto"/>
              <w:right w:val="single" w:sz="4" w:space="0" w:color="auto"/>
            </w:tcBorders>
            <w:hideMark/>
          </w:tcPr>
          <w:p w14:paraId="49BACDF8" w14:textId="77777777" w:rsidR="00D5280F" w:rsidRPr="00E422BE" w:rsidRDefault="00D5280F" w:rsidP="008167FB">
            <w:pPr>
              <w:spacing w:after="0" w:line="240" w:lineRule="auto"/>
              <w:jc w:val="center"/>
            </w:pPr>
            <w:r w:rsidRPr="00E422BE">
              <w:t>41%</w:t>
            </w:r>
          </w:p>
        </w:tc>
        <w:tc>
          <w:tcPr>
            <w:tcW w:w="1222" w:type="dxa"/>
            <w:tcBorders>
              <w:top w:val="single" w:sz="4" w:space="0" w:color="auto"/>
              <w:left w:val="single" w:sz="4" w:space="0" w:color="auto"/>
              <w:bottom w:val="single" w:sz="4" w:space="0" w:color="auto"/>
              <w:right w:val="single" w:sz="4" w:space="0" w:color="auto"/>
            </w:tcBorders>
            <w:hideMark/>
          </w:tcPr>
          <w:p w14:paraId="1E7C77EA" w14:textId="77777777" w:rsidR="00D5280F" w:rsidRPr="00E422BE" w:rsidRDefault="00D5280F" w:rsidP="008167FB">
            <w:pPr>
              <w:spacing w:after="0" w:line="240" w:lineRule="auto"/>
              <w:jc w:val="center"/>
            </w:pPr>
            <w:r w:rsidRPr="00E422BE">
              <w:t>16%</w:t>
            </w:r>
          </w:p>
        </w:tc>
      </w:tr>
    </w:tbl>
    <w:p w14:paraId="4101F639" w14:textId="5D98A33C" w:rsidR="008D5F4D" w:rsidRDefault="008D5F4D" w:rsidP="008D5F4D">
      <w:pPr>
        <w:spacing w:after="0" w:line="240" w:lineRule="auto"/>
        <w:rPr>
          <w:rFonts w:ascii="ProximaNova-Light" w:eastAsia="Cambria" w:hAnsi="ProximaNova-Light" w:cs="ProximaNova-Light"/>
          <w:sz w:val="18"/>
          <w:szCs w:val="18"/>
          <w:lang w:eastAsia="en-AU"/>
        </w:rPr>
      </w:pPr>
    </w:p>
    <w:p w14:paraId="551C3AAA" w14:textId="77777777" w:rsidR="008D5F4D" w:rsidRPr="00E422BE" w:rsidRDefault="008D5F4D" w:rsidP="00D5280F">
      <w:pPr>
        <w:spacing w:after="0" w:line="240" w:lineRule="auto"/>
      </w:pPr>
    </w:p>
    <w:p w14:paraId="003A66B0" w14:textId="77777777" w:rsidR="00D5280F" w:rsidRPr="00E422BE" w:rsidRDefault="00D5280F" w:rsidP="00D5280F">
      <w:r w:rsidRPr="00E422BE">
        <w:t>Many did not see any value proposition in a NHTS for them or their organisation/business. Respondents identified numerous challenges if a system was adopted, including:</w:t>
      </w:r>
    </w:p>
    <w:p w14:paraId="5B821918" w14:textId="77777777" w:rsidR="00D5280F" w:rsidRPr="00E422BE" w:rsidRDefault="00D5280F" w:rsidP="00D5280F">
      <w:pPr>
        <w:pStyle w:val="ListParagraph"/>
        <w:numPr>
          <w:ilvl w:val="0"/>
          <w:numId w:val="52"/>
        </w:numPr>
        <w:spacing w:after="200" w:line="276" w:lineRule="auto"/>
        <w:contextualSpacing/>
        <w:rPr>
          <w:rFonts w:ascii="Cambria" w:hAnsi="Cambria"/>
          <w:bCs/>
        </w:rPr>
      </w:pPr>
      <w:r w:rsidRPr="00E422BE">
        <w:rPr>
          <w:rFonts w:ascii="Cambria" w:hAnsi="Cambria"/>
          <w:bCs/>
        </w:rPr>
        <w:t>Ensuring compliance, coupled with concerns over who would police it and how.</w:t>
      </w:r>
    </w:p>
    <w:p w14:paraId="29099F8A" w14:textId="77777777" w:rsidR="00D5280F" w:rsidRPr="00E422BE" w:rsidRDefault="00D5280F" w:rsidP="00D5280F">
      <w:pPr>
        <w:pStyle w:val="ListParagraph"/>
        <w:numPr>
          <w:ilvl w:val="0"/>
          <w:numId w:val="52"/>
        </w:numPr>
        <w:spacing w:after="200" w:line="276" w:lineRule="auto"/>
        <w:contextualSpacing/>
        <w:rPr>
          <w:rFonts w:ascii="Cambria" w:hAnsi="Cambria"/>
          <w:bCs/>
        </w:rPr>
      </w:pPr>
      <w:r w:rsidRPr="00E422BE">
        <w:rPr>
          <w:rFonts w:ascii="Cambria" w:hAnsi="Cambria"/>
          <w:bCs/>
        </w:rPr>
        <w:t>Confusion over requirements, which would be made worse if the system was complex and people did not understand it. A simple system was preferred and an app was referenced multiple times, although there were also concerns around IT issues and the capacity of all people to use electronic recording.</w:t>
      </w:r>
    </w:p>
    <w:p w14:paraId="713A2F9F" w14:textId="77777777" w:rsidR="00D5280F" w:rsidRPr="00E422BE" w:rsidRDefault="00D5280F" w:rsidP="00D5280F">
      <w:pPr>
        <w:pStyle w:val="ListParagraph"/>
        <w:numPr>
          <w:ilvl w:val="0"/>
          <w:numId w:val="52"/>
        </w:numPr>
        <w:spacing w:after="200" w:line="276" w:lineRule="auto"/>
        <w:contextualSpacing/>
        <w:rPr>
          <w:rFonts w:ascii="Cambria" w:hAnsi="Cambria"/>
          <w:bCs/>
        </w:rPr>
      </w:pPr>
      <w:r w:rsidRPr="00E422BE">
        <w:rPr>
          <w:rFonts w:ascii="Cambria" w:hAnsi="Cambria"/>
          <w:bCs/>
        </w:rPr>
        <w:t>Cost of implementation and who would pay.</w:t>
      </w:r>
    </w:p>
    <w:p w14:paraId="6041D355" w14:textId="77777777" w:rsidR="00D5280F" w:rsidRPr="00E422BE" w:rsidRDefault="00D5280F" w:rsidP="00D5280F">
      <w:pPr>
        <w:pStyle w:val="ListParagraph"/>
        <w:numPr>
          <w:ilvl w:val="0"/>
          <w:numId w:val="52"/>
        </w:numPr>
        <w:spacing w:after="200" w:line="276" w:lineRule="auto"/>
        <w:contextualSpacing/>
        <w:rPr>
          <w:rFonts w:ascii="Cambria" w:hAnsi="Cambria"/>
          <w:bCs/>
        </w:rPr>
      </w:pPr>
      <w:r w:rsidRPr="00E422BE">
        <w:rPr>
          <w:rFonts w:ascii="Cambria" w:hAnsi="Cambria"/>
          <w:bCs/>
        </w:rPr>
        <w:t>Integrity of record keeping such as quality issues, consistency and whether records would be completed in the required timeframe.</w:t>
      </w:r>
    </w:p>
    <w:p w14:paraId="5855455C" w14:textId="77777777" w:rsidR="00D5280F" w:rsidRPr="00E422BE" w:rsidRDefault="00D5280F" w:rsidP="00D5280F">
      <w:pPr>
        <w:pStyle w:val="ListParagraph"/>
        <w:numPr>
          <w:ilvl w:val="0"/>
          <w:numId w:val="52"/>
        </w:numPr>
        <w:spacing w:after="200" w:line="276" w:lineRule="auto"/>
        <w:contextualSpacing/>
        <w:rPr>
          <w:rFonts w:ascii="Cambria" w:hAnsi="Cambria"/>
          <w:bCs/>
        </w:rPr>
      </w:pPr>
      <w:r w:rsidRPr="00E422BE">
        <w:rPr>
          <w:rFonts w:ascii="Cambria" w:hAnsi="Cambria"/>
          <w:bCs/>
        </w:rPr>
        <w:t xml:space="preserve">Duplication of effort, particularly where information was already being collected such as through events and breed societies. </w:t>
      </w:r>
    </w:p>
    <w:p w14:paraId="5A52C053" w14:textId="77777777" w:rsidR="00D5280F" w:rsidRPr="00E422BE" w:rsidRDefault="00D5280F" w:rsidP="00D5280F">
      <w:pPr>
        <w:pStyle w:val="ListParagraph"/>
        <w:numPr>
          <w:ilvl w:val="0"/>
          <w:numId w:val="52"/>
        </w:numPr>
        <w:spacing w:after="200" w:line="276" w:lineRule="auto"/>
        <w:contextualSpacing/>
        <w:rPr>
          <w:rFonts w:ascii="Cambria" w:hAnsi="Cambria"/>
          <w:bCs/>
        </w:rPr>
      </w:pPr>
      <w:r w:rsidRPr="00E422BE">
        <w:rPr>
          <w:rFonts w:ascii="Cambria" w:hAnsi="Cambria"/>
          <w:bCs/>
        </w:rPr>
        <w:t>Difficulty in obtaining information, such as PIC numbers and particularly for communal venues such as pony club grounds, equestrian trails or beach ride areas.</w:t>
      </w:r>
    </w:p>
    <w:p w14:paraId="33A90B31" w14:textId="77777777" w:rsidR="00D5280F" w:rsidRPr="00E422BE" w:rsidRDefault="00D5280F" w:rsidP="00D5280F">
      <w:pPr>
        <w:pStyle w:val="ListParagraph"/>
        <w:numPr>
          <w:ilvl w:val="0"/>
          <w:numId w:val="52"/>
        </w:numPr>
        <w:spacing w:after="200" w:line="276" w:lineRule="auto"/>
        <w:contextualSpacing/>
        <w:rPr>
          <w:rFonts w:ascii="Cambria" w:hAnsi="Cambria"/>
          <w:bCs/>
        </w:rPr>
      </w:pPr>
      <w:r w:rsidRPr="00E422BE">
        <w:rPr>
          <w:rFonts w:ascii="Cambria" w:hAnsi="Cambria"/>
        </w:rPr>
        <w:t>Difficult engaging all sectors/individuals of the industry, especially those who are not part of the major horse industries/organisations.</w:t>
      </w:r>
      <w:r w:rsidRPr="00E422BE">
        <w:rPr>
          <w:rFonts w:ascii="Cambria" w:hAnsi="Cambria"/>
          <w:bCs/>
        </w:rPr>
        <w:t xml:space="preserve"> </w:t>
      </w:r>
    </w:p>
    <w:p w14:paraId="771F24DF" w14:textId="77777777" w:rsidR="00D5280F" w:rsidRPr="00E422BE" w:rsidRDefault="00D5280F" w:rsidP="00D5280F">
      <w:pPr>
        <w:pStyle w:val="ListParagraph"/>
        <w:numPr>
          <w:ilvl w:val="0"/>
          <w:numId w:val="52"/>
        </w:numPr>
        <w:spacing w:after="200" w:line="276" w:lineRule="auto"/>
        <w:contextualSpacing/>
        <w:rPr>
          <w:rFonts w:ascii="Cambria" w:hAnsi="Cambria"/>
        </w:rPr>
      </w:pPr>
      <w:r w:rsidRPr="00E422BE">
        <w:rPr>
          <w:rFonts w:ascii="Cambria" w:hAnsi="Cambria"/>
        </w:rPr>
        <w:t>Increased workload for already stretched volunteers, and following COVID when their responsibilities had increased.</w:t>
      </w:r>
    </w:p>
    <w:p w14:paraId="00D6898F" w14:textId="77777777" w:rsidR="00D5280F" w:rsidRPr="00E422BE" w:rsidRDefault="00D5280F" w:rsidP="00D5280F">
      <w:r w:rsidRPr="00E422BE">
        <w:rPr>
          <w:bCs/>
        </w:rPr>
        <w:t xml:space="preserve">When it came to maximising the benefits from a traceability system, the overwhelming response was that respondents did not see any additional benefit.  This was from those who did not agree with the proposal but also from those who had horses that were already microchipped and registered.  </w:t>
      </w:r>
      <w:r w:rsidRPr="00E422BE">
        <w:t xml:space="preserve">Of the small proportion which did see a benefit, often it was not actually being offered by the NHTS proposed and could only be realised in the future or if the system’s scope was widened. </w:t>
      </w:r>
    </w:p>
    <w:p w14:paraId="4167E0E1" w14:textId="77777777" w:rsidR="00D5280F" w:rsidRPr="00E422BE" w:rsidRDefault="00D5280F" w:rsidP="00D5280F">
      <w:r w:rsidRPr="00E422BE">
        <w:t>The breadth of responses included:</w:t>
      </w:r>
    </w:p>
    <w:p w14:paraId="492AFED7" w14:textId="77777777" w:rsidR="00D5280F" w:rsidRPr="00E422BE" w:rsidRDefault="00D5280F" w:rsidP="00D5280F">
      <w:pPr>
        <w:pStyle w:val="ListParagraph"/>
        <w:numPr>
          <w:ilvl w:val="0"/>
          <w:numId w:val="53"/>
        </w:numPr>
        <w:spacing w:after="200" w:line="276" w:lineRule="auto"/>
        <w:contextualSpacing/>
        <w:rPr>
          <w:rFonts w:ascii="Cambria" w:hAnsi="Cambria"/>
          <w:bCs/>
        </w:rPr>
      </w:pPr>
      <w:r w:rsidRPr="00E422BE">
        <w:rPr>
          <w:rFonts w:ascii="Cambria" w:hAnsi="Cambria"/>
          <w:bCs/>
        </w:rPr>
        <w:t>Overall horse traceability, biosecurity and disease control, and accountability in the event of an outbreak.</w:t>
      </w:r>
    </w:p>
    <w:p w14:paraId="117F6104" w14:textId="77777777" w:rsidR="00D5280F" w:rsidRPr="00E422BE" w:rsidRDefault="00D5280F" w:rsidP="00D5280F">
      <w:pPr>
        <w:pStyle w:val="ListParagraph"/>
        <w:numPr>
          <w:ilvl w:val="0"/>
          <w:numId w:val="53"/>
        </w:numPr>
        <w:spacing w:after="200" w:line="276" w:lineRule="auto"/>
        <w:contextualSpacing/>
        <w:rPr>
          <w:rFonts w:ascii="Cambria" w:hAnsi="Cambria"/>
          <w:bCs/>
        </w:rPr>
      </w:pPr>
      <w:r w:rsidRPr="00E422BE">
        <w:rPr>
          <w:rFonts w:ascii="Cambria" w:hAnsi="Cambria"/>
          <w:bCs/>
        </w:rPr>
        <w:t xml:space="preserve">Horse history and location, including tracing of individual horses. </w:t>
      </w:r>
    </w:p>
    <w:p w14:paraId="5EB980F0" w14:textId="77777777" w:rsidR="00D5280F" w:rsidRPr="00E422BE" w:rsidRDefault="00D5280F" w:rsidP="00D5280F">
      <w:pPr>
        <w:pStyle w:val="ListParagraph"/>
        <w:numPr>
          <w:ilvl w:val="0"/>
          <w:numId w:val="53"/>
        </w:numPr>
        <w:spacing w:after="200" w:line="276" w:lineRule="auto"/>
        <w:contextualSpacing/>
        <w:rPr>
          <w:rFonts w:ascii="Cambria" w:hAnsi="Cambria"/>
          <w:bCs/>
        </w:rPr>
      </w:pPr>
      <w:r w:rsidRPr="00E422BE">
        <w:rPr>
          <w:rFonts w:ascii="Cambria" w:hAnsi="Cambria"/>
          <w:bCs/>
        </w:rPr>
        <w:t>Increased information accessibility. Conversely, there was also concern from a few respondents about maintaining privacy of information provided.</w:t>
      </w:r>
    </w:p>
    <w:p w14:paraId="0D9450A8" w14:textId="77777777" w:rsidR="00D5280F" w:rsidRPr="00E422BE" w:rsidRDefault="00D5280F" w:rsidP="00D5280F">
      <w:pPr>
        <w:pStyle w:val="ListParagraph"/>
        <w:numPr>
          <w:ilvl w:val="0"/>
          <w:numId w:val="53"/>
        </w:numPr>
        <w:spacing w:after="200" w:line="276" w:lineRule="auto"/>
        <w:contextualSpacing/>
        <w:rPr>
          <w:rFonts w:ascii="Cambria" w:hAnsi="Cambria"/>
          <w:bCs/>
        </w:rPr>
      </w:pPr>
      <w:r w:rsidRPr="00E422BE">
        <w:rPr>
          <w:rFonts w:ascii="Cambria" w:hAnsi="Cambria"/>
          <w:bCs/>
        </w:rPr>
        <w:t>Horse safety and to support horse welfare advocacy.</w:t>
      </w:r>
    </w:p>
    <w:p w14:paraId="0DE6EBDD" w14:textId="77777777" w:rsidR="00D5280F" w:rsidRPr="00E422BE" w:rsidRDefault="00D5280F" w:rsidP="00D5280F">
      <w:pPr>
        <w:pStyle w:val="ListParagraph"/>
        <w:numPr>
          <w:ilvl w:val="0"/>
          <w:numId w:val="53"/>
        </w:numPr>
        <w:spacing w:after="200" w:line="276" w:lineRule="auto"/>
        <w:contextualSpacing/>
        <w:rPr>
          <w:rFonts w:ascii="Cambria" w:hAnsi="Cambria"/>
          <w:bCs/>
        </w:rPr>
      </w:pPr>
      <w:r w:rsidRPr="00E422BE">
        <w:rPr>
          <w:rFonts w:ascii="Cambria" w:hAnsi="Cambria"/>
          <w:bCs/>
        </w:rPr>
        <w:t>Preventing theft.</w:t>
      </w:r>
    </w:p>
    <w:p w14:paraId="6EF344EA" w14:textId="77777777" w:rsidR="00D5280F" w:rsidRPr="00E422BE" w:rsidRDefault="00D5280F" w:rsidP="00D5280F">
      <w:pPr>
        <w:pStyle w:val="ListParagraph"/>
        <w:numPr>
          <w:ilvl w:val="0"/>
          <w:numId w:val="53"/>
        </w:numPr>
        <w:spacing w:after="200" w:line="276" w:lineRule="auto"/>
        <w:contextualSpacing/>
        <w:rPr>
          <w:rFonts w:ascii="Cambria" w:hAnsi="Cambria"/>
          <w:bCs/>
        </w:rPr>
      </w:pPr>
      <w:r w:rsidRPr="00E422BE">
        <w:rPr>
          <w:rFonts w:ascii="Cambria" w:hAnsi="Cambria"/>
          <w:bCs/>
        </w:rPr>
        <w:t>Protection for property owners.</w:t>
      </w:r>
    </w:p>
    <w:p w14:paraId="05A7B7BA" w14:textId="77777777" w:rsidR="00D5280F" w:rsidRPr="00E422BE" w:rsidRDefault="00D5280F" w:rsidP="00D5280F">
      <w:pPr>
        <w:pStyle w:val="ListParagraph"/>
        <w:numPr>
          <w:ilvl w:val="0"/>
          <w:numId w:val="53"/>
        </w:numPr>
        <w:spacing w:after="200" w:line="276" w:lineRule="auto"/>
        <w:contextualSpacing/>
        <w:rPr>
          <w:rFonts w:ascii="Cambria" w:hAnsi="Cambria"/>
          <w:bCs/>
        </w:rPr>
      </w:pPr>
      <w:r w:rsidRPr="00E422BE">
        <w:rPr>
          <w:rFonts w:ascii="Cambria" w:hAnsi="Cambria"/>
          <w:bCs/>
        </w:rPr>
        <w:lastRenderedPageBreak/>
        <w:t>A national, collaborative system which links to other systems, and is not standalone or state-by-state.</w:t>
      </w:r>
    </w:p>
    <w:p w14:paraId="0E4011A5" w14:textId="77777777" w:rsidR="00D5280F" w:rsidRPr="00E422BE" w:rsidRDefault="00D5280F" w:rsidP="00D5280F">
      <w:pPr>
        <w:pStyle w:val="ListParagraph"/>
        <w:numPr>
          <w:ilvl w:val="0"/>
          <w:numId w:val="53"/>
        </w:numPr>
        <w:spacing w:after="200" w:line="276" w:lineRule="auto"/>
        <w:contextualSpacing/>
        <w:rPr>
          <w:rFonts w:ascii="Cambria" w:hAnsi="Cambria"/>
          <w:bCs/>
        </w:rPr>
      </w:pPr>
      <w:r w:rsidRPr="00E422BE">
        <w:rPr>
          <w:rFonts w:ascii="Cambria" w:hAnsi="Cambria"/>
          <w:bCs/>
        </w:rPr>
        <w:t>Natural disaster and recovery funding.</w:t>
      </w:r>
    </w:p>
    <w:p w14:paraId="4AF1ADD3" w14:textId="77777777" w:rsidR="00D5280F" w:rsidRPr="00E422BE" w:rsidRDefault="00D5280F" w:rsidP="00D5280F">
      <w:r w:rsidRPr="00E422BE">
        <w:t>Respondents identified that a significant education and awareness campaign would be required across multiple communication platforms and target audiences. Messaging would need to be simple with easy-to-understand outputs and maintained for a considerable length of time.</w:t>
      </w:r>
    </w:p>
    <w:p w14:paraId="34A64B0C" w14:textId="77777777" w:rsidR="00D5280F" w:rsidRPr="00E422BE" w:rsidRDefault="00D5280F" w:rsidP="00D5280F">
      <w:r w:rsidRPr="00E422BE">
        <w:t xml:space="preserve">There were no simple solutions offered regarding who should pay for the system and almost every sector pointed to another sector as responsible for funding it. For example, for the individual survey respondents, </w:t>
      </w:r>
      <w:r w:rsidRPr="00E422BE">
        <w:rPr>
          <w:bCs/>
        </w:rPr>
        <w:t>there were 227 comments</w:t>
      </w:r>
      <w:r w:rsidRPr="00E422BE">
        <w:t xml:space="preserve"> and 72% were against any form of charge to the industry or need for a financial contribution from them as individuals, to introduce and maintain the system. Of the remaining 28%, some did provide a cost threshold – ranging from $1 to $100, either as a once-off or per horse or per year – but a portion were not clear on how it should be funded or what it was that required funding. </w:t>
      </w:r>
    </w:p>
    <w:p w14:paraId="6A99EB91" w14:textId="77777777" w:rsidR="00D5280F" w:rsidRPr="00E422BE" w:rsidRDefault="00D5280F" w:rsidP="00D5280F">
      <w:r w:rsidRPr="00E422BE">
        <w:t>Most objections to paying were because respondents did not agree with the proposal and saw no benefit to them personally.  The sentiment was that they were already paying multiple membership and horse registration fees to existing organisations as well as land rates and insurance, and some also paid for microchipping. Many commented that owning horses was expensive enough already without additional traceability fees or costs. The sentiment was that if the government wants to implement this, they should be funding it. There was also strong sentiment that industry participants who only have one or two animals or only ride for pleasure should not be paying but rather the ‘big players’ should be leading the way and paying for the majority.</w:t>
      </w:r>
    </w:p>
    <w:p w14:paraId="2DEEFC35" w14:textId="77777777" w:rsidR="00D5280F" w:rsidRPr="00E422BE" w:rsidRDefault="00D5280F" w:rsidP="00D5280F">
      <w:r w:rsidRPr="00E422BE">
        <w:t>For organisations, sentiment was that not-for-profits should not have to pay while organisations which had already invested heavily in databases, registers and traceability felt they should not have to pay any extra costs. For businesses, 60% were against paying for the system.</w:t>
      </w:r>
    </w:p>
    <w:p w14:paraId="444E51A0" w14:textId="77777777" w:rsidR="00D5280F" w:rsidRPr="00E422BE" w:rsidRDefault="00D5280F" w:rsidP="00D5280F">
      <w:r w:rsidRPr="00E422BE">
        <w:t>When it came to paying more for a system that offered a national horse database with ownership and movement registration, as well as associated monitoring and enforcement, the majority of respondents did not want such as system or were unsure. The percentage breakdown of responses on the merits of a system offering a national horse database is summarised below:</w:t>
      </w:r>
    </w:p>
    <w:p w14:paraId="0B9E2ED6" w14:textId="77777777" w:rsidR="00D5280F" w:rsidRPr="00E422BE" w:rsidRDefault="00D5280F" w:rsidP="00D5280F">
      <w:pPr>
        <w:pStyle w:val="ListParagraph"/>
        <w:rPr>
          <w:rFonts w:ascii="Cambria" w:hAnsi="Cambria"/>
        </w:rPr>
      </w:pPr>
    </w:p>
    <w:tbl>
      <w:tblPr>
        <w:tblStyle w:val="TableGrid"/>
        <w:tblW w:w="0" w:type="auto"/>
        <w:tblInd w:w="720" w:type="dxa"/>
        <w:tblLook w:val="04A0" w:firstRow="1" w:lastRow="0" w:firstColumn="1" w:lastColumn="0" w:noHBand="0" w:noVBand="1"/>
      </w:tblPr>
      <w:tblGrid>
        <w:gridCol w:w="2128"/>
        <w:gridCol w:w="1258"/>
        <w:gridCol w:w="1134"/>
        <w:gridCol w:w="1276"/>
      </w:tblGrid>
      <w:tr w:rsidR="00D5280F" w:rsidRPr="00E422BE" w14:paraId="44CA3E50" w14:textId="77777777" w:rsidTr="008167FB">
        <w:tc>
          <w:tcPr>
            <w:tcW w:w="2128" w:type="dxa"/>
            <w:tcBorders>
              <w:top w:val="single" w:sz="4" w:space="0" w:color="auto"/>
              <w:left w:val="single" w:sz="4" w:space="0" w:color="auto"/>
              <w:bottom w:val="single" w:sz="4" w:space="0" w:color="auto"/>
              <w:right w:val="single" w:sz="4" w:space="0" w:color="auto"/>
            </w:tcBorders>
          </w:tcPr>
          <w:p w14:paraId="4E7774B3" w14:textId="77777777" w:rsidR="00D5280F" w:rsidRPr="00E422BE" w:rsidRDefault="00D5280F" w:rsidP="008167FB">
            <w:pPr>
              <w:pStyle w:val="ListParagraph"/>
              <w:ind w:left="0"/>
              <w:rPr>
                <w:rFonts w:ascii="Cambria" w:hAnsi="Cambria"/>
              </w:rPr>
            </w:pPr>
          </w:p>
        </w:tc>
        <w:tc>
          <w:tcPr>
            <w:tcW w:w="1258" w:type="dxa"/>
            <w:tcBorders>
              <w:top w:val="single" w:sz="4" w:space="0" w:color="auto"/>
              <w:left w:val="single" w:sz="4" w:space="0" w:color="auto"/>
              <w:bottom w:val="single" w:sz="4" w:space="0" w:color="auto"/>
              <w:right w:val="single" w:sz="4" w:space="0" w:color="auto"/>
            </w:tcBorders>
            <w:hideMark/>
          </w:tcPr>
          <w:p w14:paraId="57C4D044" w14:textId="77777777" w:rsidR="00D5280F" w:rsidRPr="00E422BE" w:rsidRDefault="00D5280F" w:rsidP="008167FB">
            <w:pPr>
              <w:pStyle w:val="ListParagraph"/>
              <w:ind w:left="0"/>
              <w:jc w:val="center"/>
              <w:rPr>
                <w:rFonts w:ascii="Cambria" w:hAnsi="Cambria"/>
                <w:b/>
              </w:rPr>
            </w:pPr>
            <w:r w:rsidRPr="00E422BE">
              <w:rPr>
                <w:rFonts w:ascii="Cambria" w:hAnsi="Cambria"/>
                <w:b/>
              </w:rPr>
              <w:t>Yes</w:t>
            </w:r>
          </w:p>
        </w:tc>
        <w:tc>
          <w:tcPr>
            <w:tcW w:w="1134" w:type="dxa"/>
            <w:tcBorders>
              <w:top w:val="single" w:sz="4" w:space="0" w:color="auto"/>
              <w:left w:val="single" w:sz="4" w:space="0" w:color="auto"/>
              <w:bottom w:val="single" w:sz="4" w:space="0" w:color="auto"/>
              <w:right w:val="single" w:sz="4" w:space="0" w:color="auto"/>
            </w:tcBorders>
            <w:hideMark/>
          </w:tcPr>
          <w:p w14:paraId="3476A75B" w14:textId="77777777" w:rsidR="00D5280F" w:rsidRPr="00E422BE" w:rsidRDefault="00D5280F" w:rsidP="008167FB">
            <w:pPr>
              <w:pStyle w:val="ListParagraph"/>
              <w:ind w:left="0"/>
              <w:jc w:val="center"/>
              <w:rPr>
                <w:rFonts w:ascii="Cambria" w:hAnsi="Cambria"/>
                <w:b/>
              </w:rPr>
            </w:pPr>
            <w:r w:rsidRPr="00E422BE">
              <w:rPr>
                <w:rFonts w:ascii="Cambria" w:hAnsi="Cambria"/>
                <w:b/>
              </w:rPr>
              <w:t>No</w:t>
            </w:r>
          </w:p>
        </w:tc>
        <w:tc>
          <w:tcPr>
            <w:tcW w:w="1276" w:type="dxa"/>
            <w:tcBorders>
              <w:top w:val="single" w:sz="4" w:space="0" w:color="auto"/>
              <w:left w:val="single" w:sz="4" w:space="0" w:color="auto"/>
              <w:bottom w:val="single" w:sz="4" w:space="0" w:color="auto"/>
              <w:right w:val="single" w:sz="4" w:space="0" w:color="auto"/>
            </w:tcBorders>
            <w:hideMark/>
          </w:tcPr>
          <w:p w14:paraId="46FF220E" w14:textId="77777777" w:rsidR="00D5280F" w:rsidRPr="00E422BE" w:rsidRDefault="00D5280F" w:rsidP="008167FB">
            <w:pPr>
              <w:pStyle w:val="ListParagraph"/>
              <w:ind w:left="0"/>
              <w:jc w:val="center"/>
              <w:rPr>
                <w:rFonts w:ascii="Cambria" w:hAnsi="Cambria"/>
                <w:b/>
              </w:rPr>
            </w:pPr>
            <w:r w:rsidRPr="00E422BE">
              <w:rPr>
                <w:rFonts w:ascii="Cambria" w:hAnsi="Cambria"/>
                <w:b/>
              </w:rPr>
              <w:t>Unsure</w:t>
            </w:r>
          </w:p>
        </w:tc>
      </w:tr>
      <w:tr w:rsidR="00D5280F" w:rsidRPr="00E422BE" w14:paraId="6D5441A8" w14:textId="77777777" w:rsidTr="008167FB">
        <w:tc>
          <w:tcPr>
            <w:tcW w:w="2128" w:type="dxa"/>
            <w:tcBorders>
              <w:top w:val="single" w:sz="4" w:space="0" w:color="auto"/>
              <w:left w:val="single" w:sz="4" w:space="0" w:color="auto"/>
              <w:bottom w:val="single" w:sz="4" w:space="0" w:color="auto"/>
              <w:right w:val="single" w:sz="4" w:space="0" w:color="auto"/>
            </w:tcBorders>
            <w:hideMark/>
          </w:tcPr>
          <w:p w14:paraId="1DC56AFE" w14:textId="77777777" w:rsidR="00D5280F" w:rsidRPr="00E422BE" w:rsidRDefault="00D5280F" w:rsidP="008167FB">
            <w:pPr>
              <w:pStyle w:val="ListParagraph"/>
              <w:ind w:left="0"/>
              <w:rPr>
                <w:rFonts w:ascii="Cambria" w:hAnsi="Cambria"/>
              </w:rPr>
            </w:pPr>
            <w:r w:rsidRPr="00E422BE">
              <w:rPr>
                <w:rFonts w:ascii="Cambria" w:hAnsi="Cambria"/>
              </w:rPr>
              <w:t>Individual</w:t>
            </w:r>
          </w:p>
        </w:tc>
        <w:tc>
          <w:tcPr>
            <w:tcW w:w="1258" w:type="dxa"/>
            <w:tcBorders>
              <w:top w:val="single" w:sz="4" w:space="0" w:color="auto"/>
              <w:left w:val="single" w:sz="4" w:space="0" w:color="auto"/>
              <w:bottom w:val="single" w:sz="4" w:space="0" w:color="auto"/>
              <w:right w:val="single" w:sz="4" w:space="0" w:color="auto"/>
            </w:tcBorders>
            <w:hideMark/>
          </w:tcPr>
          <w:p w14:paraId="39A64347" w14:textId="77777777" w:rsidR="00D5280F" w:rsidRPr="00E422BE" w:rsidRDefault="00D5280F" w:rsidP="008167FB">
            <w:pPr>
              <w:pStyle w:val="ListParagraph"/>
              <w:ind w:left="0"/>
              <w:jc w:val="center"/>
              <w:rPr>
                <w:rFonts w:ascii="Cambria" w:hAnsi="Cambria"/>
              </w:rPr>
            </w:pPr>
            <w:r w:rsidRPr="00E422BE">
              <w:rPr>
                <w:rFonts w:ascii="Cambria" w:hAnsi="Cambria"/>
              </w:rPr>
              <w:t>21%</w:t>
            </w:r>
          </w:p>
        </w:tc>
        <w:tc>
          <w:tcPr>
            <w:tcW w:w="1134" w:type="dxa"/>
            <w:tcBorders>
              <w:top w:val="single" w:sz="4" w:space="0" w:color="auto"/>
              <w:left w:val="single" w:sz="4" w:space="0" w:color="auto"/>
              <w:bottom w:val="single" w:sz="4" w:space="0" w:color="auto"/>
              <w:right w:val="single" w:sz="4" w:space="0" w:color="auto"/>
            </w:tcBorders>
            <w:hideMark/>
          </w:tcPr>
          <w:p w14:paraId="3A6FCCB1" w14:textId="77777777" w:rsidR="00D5280F" w:rsidRPr="00E422BE" w:rsidRDefault="00D5280F" w:rsidP="008167FB">
            <w:pPr>
              <w:pStyle w:val="ListParagraph"/>
              <w:ind w:left="0"/>
              <w:jc w:val="center"/>
              <w:rPr>
                <w:rFonts w:ascii="Cambria" w:hAnsi="Cambria"/>
              </w:rPr>
            </w:pPr>
            <w:r w:rsidRPr="00E422BE">
              <w:rPr>
                <w:rFonts w:ascii="Cambria" w:hAnsi="Cambria"/>
              </w:rPr>
              <w:t>58%</w:t>
            </w:r>
          </w:p>
        </w:tc>
        <w:tc>
          <w:tcPr>
            <w:tcW w:w="1276" w:type="dxa"/>
            <w:tcBorders>
              <w:top w:val="single" w:sz="4" w:space="0" w:color="auto"/>
              <w:left w:val="single" w:sz="4" w:space="0" w:color="auto"/>
              <w:bottom w:val="single" w:sz="4" w:space="0" w:color="auto"/>
              <w:right w:val="single" w:sz="4" w:space="0" w:color="auto"/>
            </w:tcBorders>
            <w:hideMark/>
          </w:tcPr>
          <w:p w14:paraId="6E0C6A3B" w14:textId="77777777" w:rsidR="00D5280F" w:rsidRPr="00E422BE" w:rsidRDefault="00D5280F" w:rsidP="008167FB">
            <w:pPr>
              <w:pStyle w:val="ListParagraph"/>
              <w:ind w:left="0"/>
              <w:jc w:val="center"/>
              <w:rPr>
                <w:rFonts w:ascii="Cambria" w:hAnsi="Cambria"/>
              </w:rPr>
            </w:pPr>
            <w:r w:rsidRPr="00E422BE">
              <w:rPr>
                <w:rFonts w:ascii="Cambria" w:hAnsi="Cambria"/>
              </w:rPr>
              <w:t>21%</w:t>
            </w:r>
          </w:p>
        </w:tc>
      </w:tr>
      <w:tr w:rsidR="00D5280F" w:rsidRPr="00E422BE" w14:paraId="602A2A6B" w14:textId="77777777" w:rsidTr="008167FB">
        <w:tc>
          <w:tcPr>
            <w:tcW w:w="2128" w:type="dxa"/>
            <w:tcBorders>
              <w:top w:val="single" w:sz="4" w:space="0" w:color="auto"/>
              <w:left w:val="single" w:sz="4" w:space="0" w:color="auto"/>
              <w:bottom w:val="single" w:sz="4" w:space="0" w:color="auto"/>
              <w:right w:val="single" w:sz="4" w:space="0" w:color="auto"/>
            </w:tcBorders>
            <w:hideMark/>
          </w:tcPr>
          <w:p w14:paraId="5467BD58" w14:textId="77777777" w:rsidR="00D5280F" w:rsidRPr="00E422BE" w:rsidRDefault="00D5280F" w:rsidP="008167FB">
            <w:pPr>
              <w:pStyle w:val="ListParagraph"/>
              <w:ind w:left="0"/>
              <w:rPr>
                <w:rFonts w:ascii="Cambria" w:hAnsi="Cambria"/>
              </w:rPr>
            </w:pPr>
            <w:r w:rsidRPr="00E422BE">
              <w:rPr>
                <w:rFonts w:ascii="Cambria" w:hAnsi="Cambria"/>
              </w:rPr>
              <w:t>Organisation</w:t>
            </w:r>
          </w:p>
        </w:tc>
        <w:tc>
          <w:tcPr>
            <w:tcW w:w="1258" w:type="dxa"/>
            <w:tcBorders>
              <w:top w:val="single" w:sz="4" w:space="0" w:color="auto"/>
              <w:left w:val="single" w:sz="4" w:space="0" w:color="auto"/>
              <w:bottom w:val="single" w:sz="4" w:space="0" w:color="auto"/>
              <w:right w:val="single" w:sz="4" w:space="0" w:color="auto"/>
            </w:tcBorders>
            <w:hideMark/>
          </w:tcPr>
          <w:p w14:paraId="2AD7C7CA" w14:textId="77777777" w:rsidR="00D5280F" w:rsidRPr="00E422BE" w:rsidRDefault="00D5280F" w:rsidP="008167FB">
            <w:pPr>
              <w:pStyle w:val="ListParagraph"/>
              <w:ind w:left="0"/>
              <w:jc w:val="center"/>
              <w:rPr>
                <w:rFonts w:ascii="Cambria" w:hAnsi="Cambria"/>
              </w:rPr>
            </w:pPr>
            <w:r w:rsidRPr="00E422BE">
              <w:rPr>
                <w:rFonts w:ascii="Cambria" w:hAnsi="Cambria"/>
              </w:rPr>
              <w:t>18%</w:t>
            </w:r>
          </w:p>
        </w:tc>
        <w:tc>
          <w:tcPr>
            <w:tcW w:w="1134" w:type="dxa"/>
            <w:tcBorders>
              <w:top w:val="single" w:sz="4" w:space="0" w:color="auto"/>
              <w:left w:val="single" w:sz="4" w:space="0" w:color="auto"/>
              <w:bottom w:val="single" w:sz="4" w:space="0" w:color="auto"/>
              <w:right w:val="single" w:sz="4" w:space="0" w:color="auto"/>
            </w:tcBorders>
            <w:hideMark/>
          </w:tcPr>
          <w:p w14:paraId="33185CA9" w14:textId="77777777" w:rsidR="00D5280F" w:rsidRPr="00E422BE" w:rsidRDefault="00D5280F" w:rsidP="008167FB">
            <w:pPr>
              <w:pStyle w:val="ListParagraph"/>
              <w:ind w:left="0"/>
              <w:jc w:val="center"/>
              <w:rPr>
                <w:rFonts w:ascii="Cambria" w:hAnsi="Cambria"/>
              </w:rPr>
            </w:pPr>
            <w:r w:rsidRPr="00E422BE">
              <w:rPr>
                <w:rFonts w:ascii="Cambria" w:hAnsi="Cambria"/>
              </w:rPr>
              <w:t>55%</w:t>
            </w:r>
          </w:p>
        </w:tc>
        <w:tc>
          <w:tcPr>
            <w:tcW w:w="1276" w:type="dxa"/>
            <w:tcBorders>
              <w:top w:val="single" w:sz="4" w:space="0" w:color="auto"/>
              <w:left w:val="single" w:sz="4" w:space="0" w:color="auto"/>
              <w:bottom w:val="single" w:sz="4" w:space="0" w:color="auto"/>
              <w:right w:val="single" w:sz="4" w:space="0" w:color="auto"/>
            </w:tcBorders>
            <w:hideMark/>
          </w:tcPr>
          <w:p w14:paraId="48A795C9" w14:textId="77777777" w:rsidR="00D5280F" w:rsidRPr="00E422BE" w:rsidRDefault="00D5280F" w:rsidP="008167FB">
            <w:pPr>
              <w:pStyle w:val="ListParagraph"/>
              <w:ind w:left="0"/>
              <w:jc w:val="center"/>
              <w:rPr>
                <w:rFonts w:ascii="Cambria" w:hAnsi="Cambria"/>
              </w:rPr>
            </w:pPr>
            <w:r w:rsidRPr="00E422BE">
              <w:rPr>
                <w:rFonts w:ascii="Cambria" w:hAnsi="Cambria"/>
              </w:rPr>
              <w:t>26%</w:t>
            </w:r>
          </w:p>
        </w:tc>
      </w:tr>
      <w:tr w:rsidR="00D5280F" w:rsidRPr="00E422BE" w14:paraId="3F233800" w14:textId="77777777" w:rsidTr="008167FB">
        <w:tc>
          <w:tcPr>
            <w:tcW w:w="2128" w:type="dxa"/>
            <w:tcBorders>
              <w:top w:val="single" w:sz="4" w:space="0" w:color="auto"/>
              <w:left w:val="single" w:sz="4" w:space="0" w:color="auto"/>
              <w:bottom w:val="single" w:sz="4" w:space="0" w:color="auto"/>
              <w:right w:val="single" w:sz="4" w:space="0" w:color="auto"/>
            </w:tcBorders>
            <w:hideMark/>
          </w:tcPr>
          <w:p w14:paraId="4CAA2203" w14:textId="77777777" w:rsidR="00D5280F" w:rsidRPr="00E422BE" w:rsidRDefault="00D5280F" w:rsidP="008167FB">
            <w:pPr>
              <w:pStyle w:val="ListParagraph"/>
              <w:ind w:left="0"/>
              <w:rPr>
                <w:rFonts w:ascii="Cambria" w:hAnsi="Cambria"/>
              </w:rPr>
            </w:pPr>
            <w:r w:rsidRPr="00E422BE">
              <w:rPr>
                <w:rFonts w:ascii="Cambria" w:hAnsi="Cambria"/>
              </w:rPr>
              <w:t>Business</w:t>
            </w:r>
          </w:p>
        </w:tc>
        <w:tc>
          <w:tcPr>
            <w:tcW w:w="1258" w:type="dxa"/>
            <w:tcBorders>
              <w:top w:val="single" w:sz="4" w:space="0" w:color="auto"/>
              <w:left w:val="single" w:sz="4" w:space="0" w:color="auto"/>
              <w:bottom w:val="single" w:sz="4" w:space="0" w:color="auto"/>
              <w:right w:val="single" w:sz="4" w:space="0" w:color="auto"/>
            </w:tcBorders>
            <w:hideMark/>
          </w:tcPr>
          <w:p w14:paraId="35E7B072" w14:textId="77777777" w:rsidR="00D5280F" w:rsidRPr="00E422BE" w:rsidRDefault="00D5280F" w:rsidP="008167FB">
            <w:pPr>
              <w:pStyle w:val="ListParagraph"/>
              <w:ind w:left="0"/>
              <w:jc w:val="center"/>
              <w:rPr>
                <w:rFonts w:ascii="Cambria" w:hAnsi="Cambria"/>
              </w:rPr>
            </w:pPr>
            <w:r w:rsidRPr="00E422BE">
              <w:rPr>
                <w:rFonts w:ascii="Cambria" w:hAnsi="Cambria"/>
              </w:rPr>
              <w:t>30%</w:t>
            </w:r>
          </w:p>
        </w:tc>
        <w:tc>
          <w:tcPr>
            <w:tcW w:w="1134" w:type="dxa"/>
            <w:tcBorders>
              <w:top w:val="single" w:sz="4" w:space="0" w:color="auto"/>
              <w:left w:val="single" w:sz="4" w:space="0" w:color="auto"/>
              <w:bottom w:val="single" w:sz="4" w:space="0" w:color="auto"/>
              <w:right w:val="single" w:sz="4" w:space="0" w:color="auto"/>
            </w:tcBorders>
            <w:hideMark/>
          </w:tcPr>
          <w:p w14:paraId="1468D9B6" w14:textId="77777777" w:rsidR="00D5280F" w:rsidRPr="00E422BE" w:rsidRDefault="00D5280F" w:rsidP="008167FB">
            <w:pPr>
              <w:pStyle w:val="ListParagraph"/>
              <w:ind w:left="0"/>
              <w:jc w:val="center"/>
              <w:rPr>
                <w:rFonts w:ascii="Cambria" w:hAnsi="Cambria"/>
              </w:rPr>
            </w:pPr>
            <w:r w:rsidRPr="00E422BE">
              <w:rPr>
                <w:rFonts w:ascii="Cambria" w:hAnsi="Cambria"/>
              </w:rPr>
              <w:t>46%</w:t>
            </w:r>
          </w:p>
        </w:tc>
        <w:tc>
          <w:tcPr>
            <w:tcW w:w="1276" w:type="dxa"/>
            <w:tcBorders>
              <w:top w:val="single" w:sz="4" w:space="0" w:color="auto"/>
              <w:left w:val="single" w:sz="4" w:space="0" w:color="auto"/>
              <w:bottom w:val="single" w:sz="4" w:space="0" w:color="auto"/>
              <w:right w:val="single" w:sz="4" w:space="0" w:color="auto"/>
            </w:tcBorders>
            <w:hideMark/>
          </w:tcPr>
          <w:p w14:paraId="1574DBDC" w14:textId="77777777" w:rsidR="00D5280F" w:rsidRPr="00E422BE" w:rsidRDefault="00D5280F" w:rsidP="008167FB">
            <w:pPr>
              <w:pStyle w:val="ListParagraph"/>
              <w:ind w:left="0"/>
              <w:jc w:val="center"/>
              <w:rPr>
                <w:rFonts w:ascii="Cambria" w:hAnsi="Cambria"/>
              </w:rPr>
            </w:pPr>
            <w:r w:rsidRPr="00E422BE">
              <w:rPr>
                <w:rFonts w:ascii="Cambria" w:hAnsi="Cambria"/>
              </w:rPr>
              <w:t>24%</w:t>
            </w:r>
          </w:p>
        </w:tc>
      </w:tr>
    </w:tbl>
    <w:p w14:paraId="452830DD" w14:textId="77777777" w:rsidR="00D5280F" w:rsidRPr="00E422BE" w:rsidRDefault="00D5280F" w:rsidP="00D5280F">
      <w:pPr>
        <w:pStyle w:val="ListParagraph"/>
        <w:rPr>
          <w:rFonts w:ascii="Cambria" w:hAnsi="Cambria" w:cstheme="minorBidi"/>
        </w:rPr>
      </w:pPr>
    </w:p>
    <w:p w14:paraId="31E77876" w14:textId="77777777" w:rsidR="00D5280F" w:rsidRPr="00E422BE" w:rsidRDefault="00D5280F" w:rsidP="00D5280F">
      <w:pPr>
        <w:spacing w:after="0" w:line="240" w:lineRule="auto"/>
      </w:pPr>
    </w:p>
    <w:p w14:paraId="1805091B" w14:textId="77777777" w:rsidR="00D5280F" w:rsidRDefault="00D5280F" w:rsidP="00D5280F">
      <w:r w:rsidRPr="00E422BE">
        <w:t xml:space="preserve">There was significant negative feedback regarding the NHTS.  The NHTWG noted that this summary lists a selection of the sentiment and comments from respondents.  For every positive or proactive comment received, there were many more comments that were negative or highlighting confusion or concern over the proposed NHTS. </w:t>
      </w:r>
    </w:p>
    <w:p w14:paraId="143B1A2B" w14:textId="77777777" w:rsidR="00D5280F" w:rsidRPr="00BA7171" w:rsidRDefault="00D5280F" w:rsidP="00D5280F">
      <w:pPr>
        <w:pStyle w:val="Heading3"/>
        <w:numPr>
          <w:ilvl w:val="0"/>
          <w:numId w:val="0"/>
        </w:numPr>
        <w:spacing w:after="120"/>
        <w:ind w:left="964" w:hanging="964"/>
        <w:rPr>
          <w:rFonts w:ascii="Cambria" w:hAnsi="Cambria"/>
          <w:sz w:val="22"/>
          <w:szCs w:val="22"/>
        </w:rPr>
      </w:pPr>
      <w:bookmarkStart w:id="42" w:name="_Toc121397580"/>
      <w:r w:rsidRPr="00BA7171">
        <w:rPr>
          <w:rFonts w:ascii="Cambria" w:hAnsi="Cambria"/>
          <w:sz w:val="22"/>
          <w:szCs w:val="22"/>
        </w:rPr>
        <w:lastRenderedPageBreak/>
        <w:t>Proposed business rules</w:t>
      </w:r>
      <w:bookmarkEnd w:id="42"/>
    </w:p>
    <w:p w14:paraId="3A67906E" w14:textId="77777777" w:rsidR="00D5280F" w:rsidRPr="00597EFF" w:rsidRDefault="00D5280F" w:rsidP="00D5280F">
      <w:r>
        <w:t>After considering feedback to the survey, the NHTS finalised t</w:t>
      </w:r>
      <w:r w:rsidRPr="005254C7">
        <w:t xml:space="preserve">he business rules </w:t>
      </w:r>
      <w:r>
        <w:t>that it believes are required to support a NHTS aligned with Option 2 (Appendix A).</w:t>
      </w:r>
      <w:r>
        <w:br/>
      </w:r>
      <w:r>
        <w:br/>
        <w:t>Assuming a decision is made in the future to introduce a NHTS based on Option 2, the business rules are designed to inform the drafting of enabling state/territory legislation and the preparation of communications material that will be used to advise industry participants of their responsibilities.</w:t>
      </w:r>
      <w:r>
        <w:br/>
      </w:r>
      <w:r>
        <w:br/>
      </w:r>
      <w:r w:rsidRPr="00604E26">
        <w:rPr>
          <w:rFonts w:asciiTheme="majorHAnsi" w:hAnsiTheme="majorHAnsi" w:cs="Arial"/>
        </w:rPr>
        <w:t>The use of implantable microchips is not mandatory under the proposed business rules.  Microchipping may, however, be required by industry organisations</w:t>
      </w:r>
      <w:r>
        <w:rPr>
          <w:rFonts w:asciiTheme="majorHAnsi" w:hAnsiTheme="majorHAnsi" w:cs="Arial"/>
        </w:rPr>
        <w:t>, for example by the racing codes,</w:t>
      </w:r>
      <w:r w:rsidRPr="00604E26">
        <w:rPr>
          <w:rFonts w:asciiTheme="majorHAnsi" w:hAnsiTheme="majorHAnsi" w:cs="Arial"/>
        </w:rPr>
        <w:t xml:space="preserve"> for identification, integrity and performance recording purposes.  </w:t>
      </w:r>
      <w:r>
        <w:rPr>
          <w:rFonts w:asciiTheme="majorHAnsi" w:hAnsiTheme="majorHAnsi" w:cs="Arial"/>
        </w:rPr>
        <w:t>Horse owners may also choose to microchip their horses on a voluntary basis.</w:t>
      </w:r>
      <w:r>
        <w:rPr>
          <w:rFonts w:asciiTheme="majorHAnsi" w:hAnsiTheme="majorHAnsi" w:cs="Arial"/>
        </w:rPr>
        <w:br/>
      </w:r>
      <w:r>
        <w:rPr>
          <w:rFonts w:asciiTheme="majorHAnsi" w:hAnsiTheme="majorHAnsi" w:cs="Arial"/>
        </w:rPr>
        <w:br/>
      </w:r>
      <w:r w:rsidRPr="00604E26">
        <w:rPr>
          <w:rFonts w:asciiTheme="majorHAnsi" w:hAnsiTheme="majorHAnsi"/>
          <w:lang w:val="en"/>
        </w:rPr>
        <w:t xml:space="preserve">It is important that the use of microchips is standardised so that where a microchip is present it can be reliably read in all states and territories. </w:t>
      </w:r>
      <w:r w:rsidRPr="00604E26">
        <w:rPr>
          <w:rFonts w:asciiTheme="majorHAnsi" w:hAnsiTheme="majorHAnsi"/>
        </w:rPr>
        <w:t xml:space="preserve">The proposed business rules </w:t>
      </w:r>
      <w:r>
        <w:rPr>
          <w:rFonts w:asciiTheme="majorHAnsi" w:hAnsiTheme="majorHAnsi"/>
        </w:rPr>
        <w:t>specify, therefore,</w:t>
      </w:r>
      <w:r w:rsidRPr="00604E26">
        <w:rPr>
          <w:rFonts w:asciiTheme="majorHAnsi" w:hAnsiTheme="majorHAnsi"/>
        </w:rPr>
        <w:t xml:space="preserve"> how microchips are to be used</w:t>
      </w:r>
      <w:r>
        <w:rPr>
          <w:rFonts w:asciiTheme="majorHAnsi" w:hAnsiTheme="majorHAnsi"/>
        </w:rPr>
        <w:t>, the microchip technology and numbering configuration, and the permitted implantation site</w:t>
      </w:r>
      <w:r w:rsidRPr="00604E26">
        <w:rPr>
          <w:rFonts w:asciiTheme="majorHAnsi" w:hAnsiTheme="majorHAnsi"/>
          <w:lang w:val="en"/>
        </w:rPr>
        <w:t>.</w:t>
      </w:r>
    </w:p>
    <w:p w14:paraId="321C9744" w14:textId="77777777" w:rsidR="00D5280F" w:rsidRPr="00BA7171" w:rsidRDefault="00D5280F" w:rsidP="00D5280F">
      <w:pPr>
        <w:pStyle w:val="Heading3"/>
        <w:numPr>
          <w:ilvl w:val="0"/>
          <w:numId w:val="0"/>
        </w:numPr>
        <w:spacing w:after="120"/>
        <w:ind w:left="964" w:hanging="964"/>
        <w:rPr>
          <w:rFonts w:ascii="Cambria" w:hAnsi="Cambria"/>
          <w:sz w:val="22"/>
          <w:szCs w:val="22"/>
        </w:rPr>
      </w:pPr>
      <w:bookmarkStart w:id="43" w:name="_Toc121397581"/>
      <w:r w:rsidRPr="00BA7171">
        <w:rPr>
          <w:rFonts w:ascii="Cambria" w:hAnsi="Cambria"/>
          <w:sz w:val="22"/>
          <w:szCs w:val="22"/>
        </w:rPr>
        <w:t>Frequently Asked Questions</w:t>
      </w:r>
      <w:bookmarkEnd w:id="43"/>
    </w:p>
    <w:p w14:paraId="0DE3D43D" w14:textId="77777777" w:rsidR="00D5280F" w:rsidRPr="003A67A8" w:rsidRDefault="00D5280F" w:rsidP="00D5280F">
      <w:pPr>
        <w:pStyle w:val="Bodycopy"/>
        <w:spacing w:after="200" w:line="276" w:lineRule="auto"/>
        <w:rPr>
          <w:rFonts w:asciiTheme="majorHAnsi" w:hAnsiTheme="majorHAnsi"/>
          <w:sz w:val="22"/>
          <w:szCs w:val="22"/>
          <w:lang w:val="en"/>
        </w:rPr>
      </w:pPr>
      <w:r w:rsidRPr="003A67A8">
        <w:rPr>
          <w:rFonts w:asciiTheme="majorHAnsi" w:hAnsiTheme="majorHAnsi"/>
          <w:sz w:val="22"/>
          <w:szCs w:val="22"/>
          <w:lang w:val="en"/>
        </w:rPr>
        <w:t xml:space="preserve">To assist to explain the proposed business rules and to provide context in relation to why horse traceability is important, the NHTWG also </w:t>
      </w:r>
      <w:r>
        <w:rPr>
          <w:rFonts w:asciiTheme="majorHAnsi" w:hAnsiTheme="majorHAnsi"/>
          <w:sz w:val="22"/>
          <w:szCs w:val="22"/>
          <w:lang w:val="en"/>
        </w:rPr>
        <w:t>drafted and published</w:t>
      </w:r>
      <w:r w:rsidRPr="003A67A8">
        <w:rPr>
          <w:rFonts w:asciiTheme="majorHAnsi" w:hAnsiTheme="majorHAnsi"/>
          <w:sz w:val="22"/>
          <w:szCs w:val="22"/>
          <w:lang w:val="en"/>
        </w:rPr>
        <w:t xml:space="preserve"> a ‘Frequently Asked Questions’</w:t>
      </w:r>
      <w:r>
        <w:rPr>
          <w:rFonts w:asciiTheme="majorHAnsi" w:hAnsiTheme="majorHAnsi"/>
          <w:sz w:val="22"/>
          <w:szCs w:val="22"/>
          <w:lang w:val="en"/>
        </w:rPr>
        <w:t xml:space="preserve"> bulletin (see Appendix B).</w:t>
      </w:r>
    </w:p>
    <w:p w14:paraId="7851D50A" w14:textId="77777777" w:rsidR="00D5280F" w:rsidRPr="003068D2" w:rsidRDefault="00D5280F" w:rsidP="00D5280F">
      <w:pPr>
        <w:pStyle w:val="Heading3"/>
        <w:numPr>
          <w:ilvl w:val="0"/>
          <w:numId w:val="0"/>
        </w:numPr>
        <w:spacing w:after="120"/>
        <w:ind w:left="964" w:hanging="964"/>
        <w:rPr>
          <w:rFonts w:ascii="Cambria" w:hAnsi="Cambria"/>
          <w:sz w:val="22"/>
          <w:szCs w:val="22"/>
        </w:rPr>
      </w:pPr>
      <w:bookmarkStart w:id="44" w:name="_Toc121397582"/>
      <w:r w:rsidRPr="003068D2">
        <w:rPr>
          <w:rFonts w:ascii="Cambria" w:hAnsi="Cambria"/>
          <w:sz w:val="22"/>
          <w:szCs w:val="22"/>
        </w:rPr>
        <w:t>Complementary activities</w:t>
      </w:r>
      <w:bookmarkEnd w:id="44"/>
    </w:p>
    <w:p w14:paraId="7666D944" w14:textId="77777777" w:rsidR="00D5280F" w:rsidRDefault="00D5280F" w:rsidP="00D5280F">
      <w:pPr>
        <w:rPr>
          <w:rFonts w:asciiTheme="majorHAnsi" w:hAnsiTheme="majorHAnsi"/>
          <w:lang w:eastAsia="ja-JP"/>
        </w:rPr>
      </w:pPr>
      <w:r>
        <w:rPr>
          <w:rFonts w:asciiTheme="majorHAnsi" w:hAnsiTheme="majorHAnsi"/>
          <w:lang w:eastAsia="ja-JP"/>
        </w:rPr>
        <w:t>In addition to the introduction of enabling state/territory legislation aligning with the proposed business rules, additional work will be needed to maximise the value of the NHTS.  This work includes:</w:t>
      </w:r>
    </w:p>
    <w:p w14:paraId="62A9F0A0" w14:textId="18EB2E97" w:rsidR="00D5280F" w:rsidRDefault="00D5280F" w:rsidP="00D5280F">
      <w:pPr>
        <w:pStyle w:val="ListBullet"/>
        <w:widowControl w:val="0"/>
        <w:tabs>
          <w:tab w:val="num" w:pos="851"/>
        </w:tabs>
        <w:spacing w:before="0" w:line="288" w:lineRule="auto"/>
        <w:ind w:left="644" w:hanging="284"/>
        <w:rPr>
          <w:rFonts w:asciiTheme="majorHAnsi" w:hAnsiTheme="majorHAnsi"/>
          <w:lang w:eastAsia="en-AU"/>
        </w:rPr>
      </w:pPr>
      <w:r>
        <w:rPr>
          <w:rFonts w:asciiTheme="majorHAnsi" w:hAnsiTheme="majorHAnsi"/>
          <w:lang w:eastAsia="en-AU"/>
        </w:rPr>
        <w:t>Refreshing of the PIC registers maintained by the jurisdictions for all parcels of land on which horses reside, with ongoing work to ensure that these registers remain accurate and up-to-date</w:t>
      </w:r>
    </w:p>
    <w:p w14:paraId="2C810BC2" w14:textId="77777777" w:rsidR="00D5280F" w:rsidRPr="000F0B50" w:rsidRDefault="00D5280F" w:rsidP="00D5280F">
      <w:pPr>
        <w:pStyle w:val="ListBullet"/>
        <w:widowControl w:val="0"/>
        <w:tabs>
          <w:tab w:val="num" w:pos="851"/>
        </w:tabs>
        <w:spacing w:before="0" w:line="288" w:lineRule="auto"/>
        <w:ind w:left="644" w:hanging="284"/>
        <w:rPr>
          <w:rFonts w:asciiTheme="majorHAnsi" w:hAnsiTheme="majorHAnsi"/>
          <w:lang w:eastAsia="en-AU"/>
        </w:rPr>
      </w:pPr>
      <w:r>
        <w:rPr>
          <w:rFonts w:asciiTheme="majorHAnsi" w:hAnsiTheme="majorHAnsi"/>
          <w:lang w:eastAsia="en-AU"/>
        </w:rPr>
        <w:t xml:space="preserve">Working with </w:t>
      </w:r>
      <w:r w:rsidRPr="6EEF17EB">
        <w:rPr>
          <w:rFonts w:asciiTheme="majorHAnsi" w:hAnsiTheme="majorHAnsi"/>
          <w:lang w:eastAsia="en-AU"/>
        </w:rPr>
        <w:t xml:space="preserve">existing identification </w:t>
      </w:r>
      <w:r>
        <w:rPr>
          <w:rFonts w:asciiTheme="majorHAnsi" w:hAnsiTheme="majorHAnsi"/>
          <w:lang w:eastAsia="en-AU"/>
        </w:rPr>
        <w:t>and movement recording registers to maximise their value during biosecurity emergencies and natural disasters</w:t>
      </w:r>
    </w:p>
    <w:p w14:paraId="6DACDEF3" w14:textId="51DC9A64" w:rsidR="00D5280F" w:rsidRPr="00EB4477" w:rsidRDefault="00D5280F" w:rsidP="00D5280F">
      <w:pPr>
        <w:pStyle w:val="ListBullet"/>
        <w:widowControl w:val="0"/>
        <w:tabs>
          <w:tab w:val="num" w:pos="851"/>
        </w:tabs>
        <w:spacing w:before="0" w:line="288" w:lineRule="auto"/>
        <w:ind w:left="644" w:hanging="284"/>
        <w:rPr>
          <w:rFonts w:asciiTheme="majorHAnsi" w:hAnsiTheme="majorHAnsi"/>
          <w:lang w:val="en"/>
        </w:rPr>
      </w:pPr>
      <w:r>
        <w:rPr>
          <w:rFonts w:asciiTheme="majorHAnsi" w:hAnsiTheme="majorHAnsi"/>
          <w:lang w:eastAsia="en-AU"/>
        </w:rPr>
        <w:t xml:space="preserve">Supporting </w:t>
      </w:r>
      <w:r w:rsidRPr="00EB4477">
        <w:rPr>
          <w:rFonts w:asciiTheme="majorHAnsi" w:hAnsiTheme="majorHAnsi"/>
          <w:lang w:eastAsia="en-AU"/>
        </w:rPr>
        <w:t xml:space="preserve">registers </w:t>
      </w:r>
      <w:r w:rsidR="0098765D">
        <w:rPr>
          <w:rFonts w:asciiTheme="majorHAnsi" w:hAnsiTheme="majorHAnsi"/>
          <w:lang w:eastAsia="en-AU"/>
        </w:rPr>
        <w:t xml:space="preserve">to </w:t>
      </w:r>
      <w:r w:rsidRPr="00EB4477">
        <w:rPr>
          <w:rFonts w:asciiTheme="majorHAnsi" w:hAnsiTheme="majorHAnsi"/>
          <w:lang w:eastAsia="en-AU"/>
        </w:rPr>
        <w:t>accommodate, utilise and align with uniform PIC business rules</w:t>
      </w:r>
    </w:p>
    <w:p w14:paraId="1BF20970" w14:textId="77777777" w:rsidR="00D5280F" w:rsidRPr="008B09E5" w:rsidRDefault="00D5280F" w:rsidP="00D5280F">
      <w:pPr>
        <w:pStyle w:val="ListBullet"/>
        <w:widowControl w:val="0"/>
        <w:tabs>
          <w:tab w:val="num" w:pos="851"/>
        </w:tabs>
        <w:spacing w:before="0" w:after="0" w:line="240" w:lineRule="auto"/>
        <w:ind w:left="644" w:hanging="284"/>
      </w:pPr>
      <w:r w:rsidRPr="00A35D6A">
        <w:rPr>
          <w:rFonts w:asciiTheme="majorHAnsi" w:hAnsiTheme="majorHAnsi"/>
          <w:lang w:eastAsia="en-AU"/>
        </w:rPr>
        <w:t>Encouraging registers to establish authority to release data to government agencies specifically</w:t>
      </w:r>
      <w:r>
        <w:rPr>
          <w:rFonts w:asciiTheme="majorHAnsi" w:hAnsiTheme="majorHAnsi"/>
          <w:lang w:eastAsia="en-AU"/>
        </w:rPr>
        <w:t xml:space="preserve"> for biosecurity purposes</w:t>
      </w:r>
    </w:p>
    <w:p w14:paraId="1966B086" w14:textId="0785EA9F" w:rsidR="00D5280F" w:rsidRPr="007F5C9C" w:rsidRDefault="00D5280F" w:rsidP="007F5C9C">
      <w:pPr>
        <w:pStyle w:val="ListBullet"/>
        <w:ind w:left="644" w:hanging="360"/>
        <w:rPr>
          <w:shd w:val="clear" w:color="auto" w:fill="FFFFFF"/>
        </w:rPr>
      </w:pPr>
      <w:r>
        <w:rPr>
          <w:shd w:val="clear" w:color="auto" w:fill="FFFFFF"/>
        </w:rPr>
        <w:t>E</w:t>
      </w:r>
      <w:r w:rsidRPr="004B6DB2">
        <w:rPr>
          <w:shd w:val="clear" w:color="auto" w:fill="FFFFFF"/>
        </w:rPr>
        <w:t>xplor</w:t>
      </w:r>
      <w:r>
        <w:rPr>
          <w:shd w:val="clear" w:color="auto" w:fill="FFFFFF"/>
        </w:rPr>
        <w:t>ing</w:t>
      </w:r>
      <w:r w:rsidRPr="004B6DB2">
        <w:rPr>
          <w:shd w:val="clear" w:color="auto" w:fill="FFFFFF"/>
        </w:rPr>
        <w:t xml:space="preserve"> opportunities for greater database integration and electronic movement record collection and storage</w:t>
      </w:r>
      <w:r>
        <w:rPr>
          <w:shd w:val="clear" w:color="auto" w:fill="FFFFFF"/>
        </w:rPr>
        <w:t xml:space="preserve"> including the possibility of adopting Universal Equine Life Number (UELN) standards.</w:t>
      </w:r>
      <w:r w:rsidRPr="004B6DB2">
        <w:rPr>
          <w:shd w:val="clear" w:color="auto" w:fill="FFFFFF"/>
        </w:rPr>
        <w:t xml:space="preserve"> </w:t>
      </w:r>
    </w:p>
    <w:p w14:paraId="665327E1" w14:textId="07D88B5A" w:rsidR="008C47F9" w:rsidRPr="0080375E" w:rsidRDefault="008C47F9" w:rsidP="003077CD">
      <w:pPr>
        <w:pStyle w:val="Heading2"/>
        <w:rPr>
          <w:rFonts w:asciiTheme="majorHAnsi" w:hAnsiTheme="majorHAnsi"/>
        </w:rPr>
      </w:pPr>
      <w:bookmarkStart w:id="45" w:name="_Toc121397583"/>
      <w:r w:rsidRPr="5CEE9FA0">
        <w:rPr>
          <w:rFonts w:asciiTheme="majorHAnsi" w:hAnsiTheme="majorHAnsi"/>
        </w:rPr>
        <w:lastRenderedPageBreak/>
        <w:t xml:space="preserve">Responses to the </w:t>
      </w:r>
      <w:r w:rsidR="00851B70">
        <w:rPr>
          <w:rFonts w:asciiTheme="majorHAnsi" w:hAnsiTheme="majorHAnsi"/>
        </w:rPr>
        <w:t>NHTWG’s</w:t>
      </w:r>
      <w:r w:rsidR="00B024E8" w:rsidRPr="5CEE9FA0">
        <w:rPr>
          <w:rFonts w:asciiTheme="majorHAnsi" w:hAnsiTheme="majorHAnsi"/>
        </w:rPr>
        <w:t xml:space="preserve"> </w:t>
      </w:r>
      <w:r w:rsidR="006A5C55" w:rsidRPr="5CEE9FA0">
        <w:rPr>
          <w:rFonts w:asciiTheme="majorHAnsi" w:hAnsiTheme="majorHAnsi"/>
        </w:rPr>
        <w:t>Terms of Reference</w:t>
      </w:r>
      <w:bookmarkEnd w:id="10"/>
      <w:bookmarkEnd w:id="11"/>
      <w:bookmarkEnd w:id="45"/>
    </w:p>
    <w:p w14:paraId="7CD44EC5" w14:textId="5E995242" w:rsidR="00C55548" w:rsidRPr="008243C2" w:rsidRDefault="008C47F9" w:rsidP="00082E54">
      <w:pPr>
        <w:rPr>
          <w:rFonts w:asciiTheme="majorHAnsi" w:hAnsiTheme="majorHAnsi"/>
        </w:rPr>
      </w:pPr>
      <w:r w:rsidRPr="21D9489F">
        <w:rPr>
          <w:rFonts w:asciiTheme="majorHAnsi" w:hAnsiTheme="majorHAnsi"/>
        </w:rPr>
        <w:t xml:space="preserve">The </w:t>
      </w:r>
      <w:r w:rsidR="00851B70">
        <w:rPr>
          <w:rFonts w:asciiTheme="majorHAnsi" w:hAnsiTheme="majorHAnsi"/>
        </w:rPr>
        <w:t>NHTWG</w:t>
      </w:r>
      <w:r w:rsidRPr="21D9489F">
        <w:rPr>
          <w:rFonts w:asciiTheme="majorHAnsi" w:hAnsiTheme="majorHAnsi"/>
        </w:rPr>
        <w:t xml:space="preserve"> addressed </w:t>
      </w:r>
      <w:r w:rsidR="008243C2" w:rsidRPr="21D9489F">
        <w:rPr>
          <w:rFonts w:asciiTheme="majorHAnsi" w:hAnsiTheme="majorHAnsi"/>
        </w:rPr>
        <w:t>all clauses of its Terms of Reference during its deliberations</w:t>
      </w:r>
      <w:r w:rsidRPr="21D9489F">
        <w:rPr>
          <w:rFonts w:asciiTheme="majorHAnsi" w:hAnsiTheme="majorHAnsi"/>
        </w:rPr>
        <w:t>.  A summary of discussions in relation to each Term of Reference is provided below.</w:t>
      </w:r>
    </w:p>
    <w:p w14:paraId="77DED52C" w14:textId="77777777" w:rsidR="00C55548" w:rsidRPr="00B024E8" w:rsidRDefault="00C55548" w:rsidP="00EA2BE2">
      <w:pPr>
        <w:pStyle w:val="ListParagraph"/>
        <w:numPr>
          <w:ilvl w:val="0"/>
          <w:numId w:val="36"/>
        </w:numPr>
        <w:spacing w:after="200" w:line="276" w:lineRule="auto"/>
        <w:ind w:left="357" w:hanging="357"/>
        <w:rPr>
          <w:rFonts w:asciiTheme="majorHAnsi" w:hAnsiTheme="majorHAnsi"/>
          <w:b/>
          <w:bCs/>
        </w:rPr>
      </w:pPr>
      <w:bookmarkStart w:id="46" w:name="_Toc92203336"/>
      <w:bookmarkStart w:id="47" w:name="_Toc92203371"/>
      <w:bookmarkStart w:id="48" w:name="_Toc92203949"/>
      <w:bookmarkStart w:id="49" w:name="_Toc92204292"/>
      <w:bookmarkStart w:id="50" w:name="_Toc92204361"/>
      <w:bookmarkStart w:id="51" w:name="_Toc95908525"/>
      <w:r w:rsidRPr="21D9489F">
        <w:rPr>
          <w:rFonts w:asciiTheme="majorHAnsi" w:hAnsiTheme="majorHAnsi"/>
          <w:b/>
          <w:bCs/>
        </w:rPr>
        <w:t xml:space="preserve">Consider and make recommendations on the design, introduction, operation, legal framework and enforcement of a traceability system, initially for the commercial horse sector, addressing </w:t>
      </w:r>
      <w:r w:rsidRPr="21D9489F">
        <w:rPr>
          <w:rFonts w:asciiTheme="majorHAnsi" w:hAnsiTheme="majorHAnsi"/>
          <w:b/>
          <w:bCs/>
          <w:shd w:val="clear" w:color="auto" w:fill="FFFFFF"/>
        </w:rPr>
        <w:t>biosecurity, welfare and broader horse industry and stakeholder needs</w:t>
      </w:r>
      <w:r w:rsidRPr="21D9489F">
        <w:rPr>
          <w:rFonts w:asciiTheme="majorHAnsi" w:hAnsiTheme="majorHAnsi"/>
          <w:b/>
          <w:bCs/>
        </w:rPr>
        <w:t>.</w:t>
      </w:r>
      <w:bookmarkEnd w:id="46"/>
      <w:bookmarkEnd w:id="47"/>
      <w:bookmarkEnd w:id="48"/>
      <w:bookmarkEnd w:id="49"/>
      <w:bookmarkEnd w:id="50"/>
      <w:bookmarkEnd w:id="51"/>
      <w:r w:rsidRPr="21D9489F">
        <w:rPr>
          <w:rFonts w:asciiTheme="majorHAnsi" w:hAnsiTheme="majorHAnsi"/>
          <w:b/>
          <w:bCs/>
        </w:rPr>
        <w:t xml:space="preserve"> </w:t>
      </w:r>
    </w:p>
    <w:p w14:paraId="78396B71" w14:textId="13CE5C9A" w:rsidR="00154684" w:rsidRPr="00B024E8" w:rsidRDefault="00C55548" w:rsidP="00082E54">
      <w:pPr>
        <w:spacing w:before="240"/>
        <w:ind w:left="426"/>
        <w:rPr>
          <w:rFonts w:asciiTheme="majorHAnsi" w:hAnsiTheme="majorHAnsi"/>
          <w:b/>
          <w:bCs/>
        </w:rPr>
      </w:pPr>
      <w:bookmarkStart w:id="52" w:name="_Toc92203337"/>
      <w:bookmarkStart w:id="53" w:name="_Toc92203372"/>
      <w:bookmarkStart w:id="54" w:name="_Toc92203950"/>
      <w:r w:rsidRPr="00B024E8">
        <w:rPr>
          <w:rFonts w:asciiTheme="majorHAnsi" w:hAnsiTheme="majorHAnsi"/>
        </w:rPr>
        <w:t xml:space="preserve">The Senate Rural and Regional Affairs and Transport References Committee report entitled </w:t>
      </w:r>
      <w:r w:rsidRPr="00B024E8">
        <w:rPr>
          <w:rFonts w:asciiTheme="majorHAnsi" w:hAnsiTheme="majorHAnsi"/>
          <w:i/>
          <w:iCs/>
        </w:rPr>
        <w:t>‘Feasibility of a national horse traceability register for all horses’</w:t>
      </w:r>
      <w:r w:rsidRPr="00B024E8">
        <w:rPr>
          <w:rFonts w:asciiTheme="majorHAnsi" w:hAnsiTheme="majorHAnsi"/>
        </w:rPr>
        <w:t xml:space="preserve"> released in late 2019, concluded that biosecurity (measures to reduce the transmission of </w:t>
      </w:r>
      <w:hyperlink r:id="rId26" w:tooltip="Infectious disease" w:history="1">
        <w:r w:rsidRPr="00B024E8">
          <w:rPr>
            <w:rFonts w:asciiTheme="majorHAnsi" w:hAnsiTheme="majorHAnsi"/>
          </w:rPr>
          <w:t>infectious diseases</w:t>
        </w:r>
      </w:hyperlink>
      <w:r w:rsidRPr="00B024E8">
        <w:rPr>
          <w:rFonts w:asciiTheme="majorHAnsi" w:hAnsiTheme="majorHAnsi"/>
        </w:rPr>
        <w:t>) above other considerations should inform the design and operation of a national horse traceability system.</w:t>
      </w:r>
      <w:bookmarkEnd w:id="52"/>
      <w:bookmarkEnd w:id="53"/>
      <w:bookmarkEnd w:id="54"/>
      <w:r w:rsidRPr="00B024E8">
        <w:rPr>
          <w:rFonts w:asciiTheme="majorHAnsi" w:hAnsiTheme="majorHAnsi"/>
        </w:rPr>
        <w:t xml:space="preserve">  </w:t>
      </w:r>
    </w:p>
    <w:p w14:paraId="0461E6EA" w14:textId="5A656BA5" w:rsidR="00154684" w:rsidRPr="00B024E8" w:rsidRDefault="6E6CD5D8" w:rsidP="00082E54">
      <w:pPr>
        <w:ind w:left="426"/>
        <w:rPr>
          <w:rFonts w:asciiTheme="majorHAnsi" w:hAnsiTheme="majorHAnsi"/>
          <w:b/>
          <w:bCs/>
        </w:rPr>
      </w:pPr>
      <w:bookmarkStart w:id="55" w:name="_Toc92203338"/>
      <w:bookmarkStart w:id="56" w:name="_Toc92203373"/>
      <w:bookmarkStart w:id="57" w:name="_Toc92203951"/>
      <w:r w:rsidRPr="6EEF17EB">
        <w:rPr>
          <w:rFonts w:asciiTheme="majorHAnsi" w:hAnsiTheme="majorHAnsi"/>
        </w:rPr>
        <w:t xml:space="preserve">A ‘whole of life’ </w:t>
      </w:r>
      <w:r w:rsidR="434DD6D5" w:rsidRPr="6EEF17EB">
        <w:rPr>
          <w:rFonts w:asciiTheme="majorHAnsi" w:hAnsiTheme="majorHAnsi"/>
        </w:rPr>
        <w:t>approach</w:t>
      </w:r>
      <w:r w:rsidRPr="6EEF17EB">
        <w:rPr>
          <w:rFonts w:asciiTheme="majorHAnsi" w:hAnsiTheme="majorHAnsi"/>
        </w:rPr>
        <w:t xml:space="preserve"> by which animals can be traced back to their place of birth is not essential for the management of likely disease risks facing Australia’s horse industry.  Diseases of greatest concern</w:t>
      </w:r>
      <w:r w:rsidR="00F35897">
        <w:rPr>
          <w:rFonts w:asciiTheme="majorHAnsi" w:hAnsiTheme="majorHAnsi"/>
        </w:rPr>
        <w:t>,</w:t>
      </w:r>
      <w:r w:rsidRPr="6EEF17EB">
        <w:rPr>
          <w:rFonts w:asciiTheme="majorHAnsi" w:hAnsiTheme="majorHAnsi"/>
        </w:rPr>
        <w:t xml:space="preserve"> including </w:t>
      </w:r>
      <w:r w:rsidR="001F5D7A">
        <w:rPr>
          <w:rFonts w:asciiTheme="majorHAnsi" w:hAnsiTheme="majorHAnsi"/>
        </w:rPr>
        <w:t>EI</w:t>
      </w:r>
      <w:r w:rsidRPr="6EEF17EB">
        <w:rPr>
          <w:rFonts w:asciiTheme="majorHAnsi" w:hAnsiTheme="majorHAnsi"/>
        </w:rPr>
        <w:t xml:space="preserve">, </w:t>
      </w:r>
      <w:r w:rsidR="001F5D7A">
        <w:rPr>
          <w:rFonts w:asciiTheme="majorHAnsi" w:hAnsiTheme="majorHAnsi"/>
        </w:rPr>
        <w:t>AHS</w:t>
      </w:r>
      <w:r w:rsidRPr="6EEF17EB">
        <w:rPr>
          <w:rFonts w:asciiTheme="majorHAnsi" w:hAnsiTheme="majorHAnsi"/>
        </w:rPr>
        <w:t xml:space="preserve"> and </w:t>
      </w:r>
      <w:r w:rsidR="006F5C76">
        <w:rPr>
          <w:rFonts w:asciiTheme="majorHAnsi" w:hAnsiTheme="majorHAnsi"/>
        </w:rPr>
        <w:t>v</w:t>
      </w:r>
      <w:r w:rsidRPr="6EEF17EB">
        <w:rPr>
          <w:rFonts w:asciiTheme="majorHAnsi" w:hAnsiTheme="majorHAnsi"/>
        </w:rPr>
        <w:t xml:space="preserve">esicular </w:t>
      </w:r>
      <w:r w:rsidR="00816D8C">
        <w:rPr>
          <w:rFonts w:asciiTheme="majorHAnsi" w:hAnsiTheme="majorHAnsi"/>
        </w:rPr>
        <w:t>s</w:t>
      </w:r>
      <w:r w:rsidRPr="6EEF17EB">
        <w:rPr>
          <w:rFonts w:asciiTheme="majorHAnsi" w:hAnsiTheme="majorHAnsi"/>
        </w:rPr>
        <w:t>tomatitis, have short incubation periods</w:t>
      </w:r>
      <w:r w:rsidR="00890E98">
        <w:rPr>
          <w:rFonts w:asciiTheme="majorHAnsi" w:hAnsiTheme="majorHAnsi"/>
        </w:rPr>
        <w:t>,</w:t>
      </w:r>
      <w:r w:rsidRPr="6EEF17EB">
        <w:rPr>
          <w:rFonts w:asciiTheme="majorHAnsi" w:hAnsiTheme="majorHAnsi"/>
        </w:rPr>
        <w:t xml:space="preserve"> and an emergency response to an outbreak of these diseases is not expected to require ‘whole of life’ traceability.</w:t>
      </w:r>
      <w:bookmarkEnd w:id="55"/>
      <w:bookmarkEnd w:id="56"/>
      <w:bookmarkEnd w:id="57"/>
    </w:p>
    <w:p w14:paraId="74A6265D" w14:textId="5EB4C397" w:rsidR="00C55548" w:rsidRPr="00B024E8" w:rsidRDefault="00C55548" w:rsidP="00082E54">
      <w:pPr>
        <w:ind w:left="426"/>
        <w:rPr>
          <w:rFonts w:asciiTheme="majorHAnsi" w:hAnsiTheme="majorHAnsi"/>
          <w:b/>
          <w:bCs/>
        </w:rPr>
      </w:pPr>
      <w:bookmarkStart w:id="58" w:name="_Toc92203339"/>
      <w:bookmarkStart w:id="59" w:name="_Toc92203374"/>
      <w:bookmarkStart w:id="60" w:name="_Toc92203952"/>
      <w:r w:rsidRPr="00B024E8">
        <w:rPr>
          <w:rFonts w:asciiTheme="majorHAnsi" w:hAnsiTheme="majorHAnsi"/>
        </w:rPr>
        <w:t xml:space="preserve">The expected outcome associated with the NHTS proposed by the </w:t>
      </w:r>
      <w:r w:rsidR="006D1546">
        <w:rPr>
          <w:rFonts w:asciiTheme="majorHAnsi" w:hAnsiTheme="majorHAnsi"/>
        </w:rPr>
        <w:t>NHTWG</w:t>
      </w:r>
      <w:r w:rsidR="00081CD5">
        <w:rPr>
          <w:rFonts w:asciiTheme="majorHAnsi" w:hAnsiTheme="majorHAnsi"/>
        </w:rPr>
        <w:t xml:space="preserve"> and that has been included in the preamble to the proposed business rules</w:t>
      </w:r>
      <w:r w:rsidRPr="00B024E8">
        <w:rPr>
          <w:rFonts w:asciiTheme="majorHAnsi" w:hAnsiTheme="majorHAnsi"/>
        </w:rPr>
        <w:t xml:space="preserve"> is that:</w:t>
      </w:r>
      <w:bookmarkEnd w:id="58"/>
      <w:bookmarkEnd w:id="59"/>
      <w:bookmarkEnd w:id="60"/>
    </w:p>
    <w:p w14:paraId="251AAF27" w14:textId="77777777" w:rsidR="00C55548" w:rsidRPr="00B024E8" w:rsidRDefault="00C55548" w:rsidP="002849D6">
      <w:pPr>
        <w:pStyle w:val="ListParagraph"/>
        <w:numPr>
          <w:ilvl w:val="0"/>
          <w:numId w:val="13"/>
        </w:numPr>
        <w:spacing w:line="276" w:lineRule="auto"/>
        <w:ind w:left="1418" w:hanging="567"/>
        <w:rPr>
          <w:rFonts w:asciiTheme="majorHAnsi" w:hAnsiTheme="majorHAnsi"/>
          <w:color w:val="1C1C1C"/>
        </w:rPr>
      </w:pPr>
      <w:r w:rsidRPr="1FA4D315">
        <w:rPr>
          <w:rStyle w:val="normaltextrun"/>
          <w:rFonts w:asciiTheme="majorHAnsi" w:hAnsiTheme="majorHAnsi" w:cstheme="minorBidi"/>
          <w:lang w:val="en-GB"/>
        </w:rPr>
        <w:t>horses throughout Australia must be traceable within 24 hours back to properties (PICs) on which they have resided or visited within a defined period of time depending on the biosecurity incident being managed (traceback), and </w:t>
      </w:r>
      <w:r w:rsidRPr="1FA4D315">
        <w:rPr>
          <w:rStyle w:val="eop"/>
          <w:rFonts w:asciiTheme="majorHAnsi" w:hAnsiTheme="majorHAnsi" w:cstheme="minorBidi"/>
        </w:rPr>
        <w:t> </w:t>
      </w:r>
    </w:p>
    <w:p w14:paraId="0BBE3E44" w14:textId="77777777" w:rsidR="00C55548" w:rsidRPr="00B024E8" w:rsidRDefault="00C55548" w:rsidP="002849D6">
      <w:pPr>
        <w:pStyle w:val="ListParagraph"/>
        <w:numPr>
          <w:ilvl w:val="0"/>
          <w:numId w:val="13"/>
        </w:numPr>
        <w:spacing w:line="276" w:lineRule="auto"/>
        <w:ind w:left="1418" w:hanging="567"/>
        <w:rPr>
          <w:rFonts w:asciiTheme="majorHAnsi" w:hAnsiTheme="majorHAnsi"/>
          <w:color w:val="1C1C1C"/>
        </w:rPr>
      </w:pPr>
      <w:r w:rsidRPr="00B024E8">
        <w:rPr>
          <w:rStyle w:val="normaltextrun"/>
          <w:rFonts w:asciiTheme="majorHAnsi" w:hAnsiTheme="majorHAnsi" w:cstheme="minorHAnsi"/>
          <w:lang w:val="en-GB"/>
        </w:rPr>
        <w:t>horses co-residing with or that have been in contact with horses of interest within a defined period of time must be locatable within 24 hours (contact tracing).</w:t>
      </w:r>
      <w:r w:rsidRPr="00B024E8">
        <w:rPr>
          <w:rStyle w:val="eop"/>
          <w:rFonts w:asciiTheme="majorHAnsi" w:hAnsiTheme="majorHAnsi" w:cstheme="minorHAnsi"/>
        </w:rPr>
        <w:t> </w:t>
      </w:r>
    </w:p>
    <w:p w14:paraId="7725253E" w14:textId="3DEAF37F" w:rsidR="00890E98" w:rsidRDefault="00A721D9" w:rsidP="00082E54">
      <w:pPr>
        <w:ind w:left="426"/>
        <w:rPr>
          <w:rStyle w:val="eop"/>
          <w:rFonts w:asciiTheme="majorHAnsi" w:hAnsiTheme="majorHAnsi"/>
        </w:rPr>
      </w:pPr>
      <w:r>
        <w:br/>
      </w:r>
      <w:r w:rsidR="00C55548" w:rsidRPr="243915F5">
        <w:rPr>
          <w:rStyle w:val="normaltextrun"/>
          <w:rFonts w:asciiTheme="majorHAnsi" w:hAnsiTheme="majorHAnsi"/>
          <w:lang w:val="en-GB"/>
        </w:rPr>
        <w:t>Properties</w:t>
      </w:r>
      <w:r w:rsidR="00F35897">
        <w:rPr>
          <w:rStyle w:val="normaltextrun"/>
          <w:rFonts w:asciiTheme="majorHAnsi" w:hAnsiTheme="majorHAnsi"/>
          <w:lang w:val="en-GB"/>
        </w:rPr>
        <w:t xml:space="preserve"> on which horses reside</w:t>
      </w:r>
      <w:r w:rsidR="00C55548" w:rsidRPr="243915F5">
        <w:rPr>
          <w:rStyle w:val="normaltextrun"/>
          <w:rFonts w:asciiTheme="majorHAnsi" w:hAnsiTheme="majorHAnsi"/>
          <w:lang w:val="en-GB"/>
        </w:rPr>
        <w:t xml:space="preserve"> </w:t>
      </w:r>
      <w:r w:rsidR="00F35897">
        <w:rPr>
          <w:rStyle w:val="normaltextrun"/>
          <w:rFonts w:asciiTheme="majorHAnsi" w:hAnsiTheme="majorHAnsi"/>
          <w:lang w:val="en-GB"/>
        </w:rPr>
        <w:t xml:space="preserve">that should have a PIC </w:t>
      </w:r>
      <w:r w:rsidR="00C55548" w:rsidRPr="243915F5">
        <w:rPr>
          <w:rStyle w:val="normaltextrun"/>
          <w:rFonts w:asciiTheme="majorHAnsi" w:hAnsiTheme="majorHAnsi"/>
          <w:lang w:val="en-GB"/>
        </w:rPr>
        <w:t>include farms, ‘lifestyle’ properties, studs, knackeries, abattoirs, depots, sho</w:t>
      </w:r>
      <w:r w:rsidR="006D2AD6" w:rsidRPr="243915F5">
        <w:rPr>
          <w:rStyle w:val="normaltextrun"/>
          <w:rFonts w:asciiTheme="majorHAnsi" w:hAnsiTheme="majorHAnsi"/>
          <w:lang w:val="en-GB"/>
        </w:rPr>
        <w:t>wg</w:t>
      </w:r>
      <w:r w:rsidR="00C55548" w:rsidRPr="243915F5">
        <w:rPr>
          <w:rStyle w:val="normaltextrun"/>
          <w:rFonts w:asciiTheme="majorHAnsi" w:hAnsiTheme="majorHAnsi"/>
          <w:lang w:val="en-GB"/>
        </w:rPr>
        <w:t>rounds, sale venues, event venues, racetracks, locations where horses congregate to exercise and veterinary clinics.</w:t>
      </w:r>
      <w:r w:rsidR="00C55548" w:rsidRPr="243915F5">
        <w:rPr>
          <w:rStyle w:val="eop"/>
          <w:rFonts w:asciiTheme="majorHAnsi" w:hAnsiTheme="majorHAnsi"/>
        </w:rPr>
        <w:t> </w:t>
      </w:r>
    </w:p>
    <w:p w14:paraId="065BA401" w14:textId="3487EA91" w:rsidR="00FA0A02" w:rsidRDefault="00FA0A02" w:rsidP="00082E54">
      <w:pPr>
        <w:ind w:left="426"/>
      </w:pPr>
      <w:r w:rsidRPr="002529F6">
        <w:t>Horses are typically managed individually</w:t>
      </w:r>
      <w:r>
        <w:t>,</w:t>
      </w:r>
      <w:r w:rsidRPr="002529F6">
        <w:t xml:space="preserve"> or in pairs </w:t>
      </w:r>
      <w:r>
        <w:t>for example</w:t>
      </w:r>
      <w:r w:rsidRPr="002529F6">
        <w:t xml:space="preserve"> mare</w:t>
      </w:r>
      <w:r>
        <w:t>s</w:t>
      </w:r>
      <w:r w:rsidRPr="002529F6">
        <w:t xml:space="preserve"> </w:t>
      </w:r>
      <w:r>
        <w:t>with their</w:t>
      </w:r>
      <w:r w:rsidRPr="002529F6">
        <w:t xml:space="preserve"> foal</w:t>
      </w:r>
      <w:r>
        <w:t>s</w:t>
      </w:r>
      <w:r w:rsidRPr="002529F6">
        <w:t xml:space="preserve">, rather than on a group or mob basis.  </w:t>
      </w:r>
      <w:r>
        <w:t>As the MJA report concludes, t</w:t>
      </w:r>
      <w:r w:rsidRPr="002529F6">
        <w:t xml:space="preserve">he presence of a microchip complemented by a requirement for movement recording on a national database </w:t>
      </w:r>
      <w:r>
        <w:t>is</w:t>
      </w:r>
      <w:r w:rsidRPr="002529F6">
        <w:t xml:space="preserve"> unlikely to improve the </w:t>
      </w:r>
      <w:r>
        <w:t xml:space="preserve">short-term </w:t>
      </w:r>
      <w:r w:rsidRPr="002529F6">
        <w:t xml:space="preserve">traceability </w:t>
      </w:r>
      <w:r w:rsidRPr="00FA2FC3">
        <w:t xml:space="preserve">of horses </w:t>
      </w:r>
      <w:r w:rsidRPr="00CB2318">
        <w:t xml:space="preserve">compared </w:t>
      </w:r>
      <w:r>
        <w:t>with</w:t>
      </w:r>
      <w:r w:rsidRPr="00CB2318">
        <w:t xml:space="preserve"> Option 2</w:t>
      </w:r>
      <w:r w:rsidRPr="004120BC">
        <w:t xml:space="preserve">.  </w:t>
      </w:r>
      <w:r w:rsidR="000240C7" w:rsidRPr="004120BC">
        <w:t xml:space="preserve">In terms of </w:t>
      </w:r>
      <w:r w:rsidR="0091403E" w:rsidRPr="004120BC">
        <w:t>industry views on animal welfare</w:t>
      </w:r>
      <w:r w:rsidR="00A53EED" w:rsidRPr="004120BC">
        <w:t xml:space="preserve"> these</w:t>
      </w:r>
      <w:r w:rsidR="0091403E" w:rsidRPr="004120BC">
        <w:t xml:space="preserve"> have</w:t>
      </w:r>
      <w:r w:rsidR="00E066A2" w:rsidRPr="004120BC">
        <w:t xml:space="preserve"> been referenced in the KPMG report</w:t>
      </w:r>
      <w:r w:rsidR="00B30C61" w:rsidRPr="004120BC">
        <w:t xml:space="preserve"> (Refer to Appendix </w:t>
      </w:r>
      <w:r w:rsidR="00284EE9" w:rsidRPr="004120BC">
        <w:t>C</w:t>
      </w:r>
      <w:r w:rsidR="00B30C61" w:rsidRPr="004120BC">
        <w:t xml:space="preserve"> </w:t>
      </w:r>
      <w:r w:rsidR="004120BC" w:rsidRPr="004120BC">
        <w:t xml:space="preserve">- </w:t>
      </w:r>
      <w:r w:rsidR="00B30C61" w:rsidRPr="004120BC">
        <w:t>Slide</w:t>
      </w:r>
      <w:r w:rsidR="00284EE9" w:rsidRPr="004120BC">
        <w:t>s 48 to 53</w:t>
      </w:r>
      <w:r w:rsidR="004E3E9C" w:rsidRPr="004120BC">
        <w:t>).</w:t>
      </w:r>
      <w:r w:rsidR="000240C7">
        <w:t xml:space="preserve">  </w:t>
      </w:r>
      <w:r>
        <w:t xml:space="preserve">Traceability in the previous six months should be adequate to support responses to </w:t>
      </w:r>
      <w:r w:rsidRPr="002529F6">
        <w:t>incursion</w:t>
      </w:r>
      <w:r>
        <w:t>s</w:t>
      </w:r>
      <w:r w:rsidRPr="002529F6">
        <w:t xml:space="preserve"> of emergency disease</w:t>
      </w:r>
      <w:r>
        <w:t>s</w:t>
      </w:r>
      <w:r w:rsidRPr="002529F6">
        <w:t xml:space="preserve"> such as </w:t>
      </w:r>
      <w:r w:rsidR="001F5D7A">
        <w:t>EI</w:t>
      </w:r>
      <w:r w:rsidRPr="002529F6">
        <w:t xml:space="preserve"> </w:t>
      </w:r>
      <w:r>
        <w:t>or</w:t>
      </w:r>
      <w:r w:rsidRPr="002529F6">
        <w:t xml:space="preserve"> </w:t>
      </w:r>
      <w:r w:rsidR="001F5D7A">
        <w:t>AHS</w:t>
      </w:r>
      <w:r w:rsidRPr="002529F6">
        <w:t xml:space="preserve">.   </w:t>
      </w:r>
    </w:p>
    <w:p w14:paraId="66E0B253" w14:textId="44F31C5A" w:rsidR="00154684" w:rsidRDefault="00A20D2E" w:rsidP="00082E54">
      <w:pPr>
        <w:ind w:left="426"/>
        <w:rPr>
          <w:color w:val="000000"/>
          <w:shd w:val="clear" w:color="auto" w:fill="FFFFFF"/>
        </w:rPr>
      </w:pPr>
      <w:r>
        <w:lastRenderedPageBreak/>
        <w:t>Whilst biosecurity should inform the design</w:t>
      </w:r>
      <w:r w:rsidR="00F13E1C">
        <w:t xml:space="preserve"> and</w:t>
      </w:r>
      <w:r>
        <w:t xml:space="preserve"> the operation of a NHTS, t</w:t>
      </w:r>
      <w:r w:rsidR="00962AA3">
        <w:t>he NHTWG supports and encourages industry to implement more advanced traceability arrangements that address broader needs</w:t>
      </w:r>
      <w:r w:rsidR="00905BB4">
        <w:t>.</w:t>
      </w:r>
      <w:r w:rsidR="00962AA3">
        <w:t xml:space="preserve"> </w:t>
      </w:r>
    </w:p>
    <w:p w14:paraId="0DD6B57C" w14:textId="682CFFF0" w:rsidR="00F35897" w:rsidRPr="003B72BE" w:rsidRDefault="00F35897" w:rsidP="00082E54">
      <w:pPr>
        <w:ind w:left="426"/>
        <w:rPr>
          <w:rFonts w:asciiTheme="majorHAnsi" w:hAnsiTheme="majorHAnsi"/>
        </w:rPr>
      </w:pPr>
      <w:r>
        <w:rPr>
          <w:color w:val="000000"/>
          <w:shd w:val="clear" w:color="auto" w:fill="FFFFFF"/>
        </w:rPr>
        <w:t>The NHTS proposed by the NHTWG also establishes a platform on which can be added greater functionality and additional requirements should there be consensus on the benefits</w:t>
      </w:r>
      <w:r w:rsidRPr="00F35897">
        <w:rPr>
          <w:color w:val="000000"/>
          <w:shd w:val="clear" w:color="auto" w:fill="FFFFFF"/>
        </w:rPr>
        <w:t xml:space="preserve"> </w:t>
      </w:r>
      <w:r w:rsidR="001F5E80">
        <w:rPr>
          <w:color w:val="000000"/>
          <w:shd w:val="clear" w:color="auto" w:fill="FFFFFF"/>
        </w:rPr>
        <w:t xml:space="preserve">and related costs of enhancements </w:t>
      </w:r>
      <w:r>
        <w:rPr>
          <w:color w:val="000000"/>
          <w:shd w:val="clear" w:color="auto" w:fill="FFFFFF"/>
        </w:rPr>
        <w:t>in the future.</w:t>
      </w:r>
    </w:p>
    <w:p w14:paraId="48E7FB49" w14:textId="77777777" w:rsidR="00C55548" w:rsidRPr="00B024E8" w:rsidRDefault="00C55548" w:rsidP="00827E42">
      <w:pPr>
        <w:pStyle w:val="ListParagraph"/>
        <w:numPr>
          <w:ilvl w:val="0"/>
          <w:numId w:val="36"/>
        </w:numPr>
        <w:spacing w:after="200" w:line="276" w:lineRule="auto"/>
        <w:ind w:left="357" w:hanging="357"/>
        <w:rPr>
          <w:rFonts w:asciiTheme="majorHAnsi" w:hAnsiTheme="majorHAnsi"/>
          <w:b/>
          <w:bCs/>
        </w:rPr>
      </w:pPr>
      <w:bookmarkStart w:id="61" w:name="_Toc92203340"/>
      <w:bookmarkStart w:id="62" w:name="_Toc92203375"/>
      <w:bookmarkStart w:id="63" w:name="_Toc92203953"/>
      <w:bookmarkStart w:id="64" w:name="_Toc92204293"/>
      <w:bookmarkStart w:id="65" w:name="_Toc92204362"/>
      <w:bookmarkStart w:id="66" w:name="_Toc95908526"/>
      <w:r w:rsidRPr="21D9489F">
        <w:rPr>
          <w:rFonts w:asciiTheme="majorHAnsi" w:hAnsiTheme="majorHAnsi"/>
          <w:b/>
          <w:bCs/>
        </w:rPr>
        <w:t>Review existing national livestock and companion animal traceability and register schemes as a guide to how to approach the design and operation of a system for the horse industry.</w:t>
      </w:r>
      <w:bookmarkEnd w:id="61"/>
      <w:bookmarkEnd w:id="62"/>
      <w:bookmarkEnd w:id="63"/>
      <w:bookmarkEnd w:id="64"/>
      <w:bookmarkEnd w:id="65"/>
      <w:bookmarkEnd w:id="66"/>
      <w:r w:rsidRPr="21D9489F">
        <w:rPr>
          <w:rFonts w:asciiTheme="majorHAnsi" w:hAnsiTheme="majorHAnsi"/>
          <w:b/>
          <w:bCs/>
        </w:rPr>
        <w:t xml:space="preserve"> </w:t>
      </w:r>
    </w:p>
    <w:p w14:paraId="3493924B" w14:textId="608EEDB9" w:rsidR="0051642B" w:rsidRDefault="0051642B" w:rsidP="00FA102D">
      <w:pPr>
        <w:pStyle w:val="ListParagraph"/>
        <w:ind w:left="426"/>
        <w:rPr>
          <w:rFonts w:asciiTheme="majorHAnsi" w:hAnsiTheme="majorHAnsi"/>
        </w:rPr>
      </w:pPr>
      <w:bookmarkStart w:id="67" w:name="_Toc92203345"/>
      <w:bookmarkStart w:id="68" w:name="_Toc92203380"/>
      <w:bookmarkStart w:id="69" w:name="_Toc92203958"/>
      <w:bookmarkStart w:id="70" w:name="_Toc92204294"/>
      <w:bookmarkStart w:id="71" w:name="_Toc92204363"/>
      <w:r w:rsidRPr="00BD19DD">
        <w:rPr>
          <w:rFonts w:asciiTheme="majorHAnsi" w:hAnsiTheme="majorHAnsi"/>
        </w:rPr>
        <w:t>Noting that the T</w:t>
      </w:r>
      <w:r w:rsidR="00AD27D0" w:rsidRPr="00BD19DD">
        <w:rPr>
          <w:rFonts w:asciiTheme="majorHAnsi" w:hAnsiTheme="majorHAnsi"/>
        </w:rPr>
        <w:t xml:space="preserve">erms </w:t>
      </w:r>
      <w:r w:rsidRPr="00BD19DD">
        <w:rPr>
          <w:rFonts w:asciiTheme="majorHAnsi" w:hAnsiTheme="majorHAnsi"/>
        </w:rPr>
        <w:t>o</w:t>
      </w:r>
      <w:r w:rsidR="00AD27D0" w:rsidRPr="00BD19DD">
        <w:rPr>
          <w:rFonts w:asciiTheme="majorHAnsi" w:hAnsiTheme="majorHAnsi"/>
        </w:rPr>
        <w:t xml:space="preserve">f </w:t>
      </w:r>
      <w:r w:rsidRPr="00BD19DD">
        <w:rPr>
          <w:rFonts w:asciiTheme="majorHAnsi" w:hAnsiTheme="majorHAnsi"/>
        </w:rPr>
        <w:t>R</w:t>
      </w:r>
      <w:r w:rsidR="00AD27D0" w:rsidRPr="00BD19DD">
        <w:rPr>
          <w:rFonts w:asciiTheme="majorHAnsi" w:hAnsiTheme="majorHAnsi"/>
        </w:rPr>
        <w:t>eference</w:t>
      </w:r>
      <w:r w:rsidRPr="00BD19DD">
        <w:rPr>
          <w:rFonts w:asciiTheme="majorHAnsi" w:hAnsiTheme="majorHAnsi"/>
        </w:rPr>
        <w:t xml:space="preserve"> were to look at companion animal traceability</w:t>
      </w:r>
      <w:r w:rsidR="00BD19DD" w:rsidRPr="00BD19DD">
        <w:rPr>
          <w:rFonts w:asciiTheme="majorHAnsi" w:hAnsiTheme="majorHAnsi"/>
        </w:rPr>
        <w:t>,</w:t>
      </w:r>
      <w:r w:rsidR="00FB5288" w:rsidRPr="00BD19DD">
        <w:rPr>
          <w:rFonts w:asciiTheme="majorHAnsi" w:hAnsiTheme="majorHAnsi"/>
        </w:rPr>
        <w:t xml:space="preserve"> given</w:t>
      </w:r>
      <w:r w:rsidR="00737A68" w:rsidRPr="00BD19DD">
        <w:rPr>
          <w:rFonts w:asciiTheme="majorHAnsi" w:hAnsiTheme="majorHAnsi"/>
        </w:rPr>
        <w:t xml:space="preserve"> </w:t>
      </w:r>
      <w:r w:rsidR="00104CA4" w:rsidRPr="00BD19DD">
        <w:rPr>
          <w:rFonts w:asciiTheme="majorHAnsi" w:hAnsiTheme="majorHAnsi"/>
        </w:rPr>
        <w:t xml:space="preserve">companion animal </w:t>
      </w:r>
      <w:r w:rsidRPr="00BD19DD">
        <w:rPr>
          <w:rFonts w:asciiTheme="majorHAnsi" w:hAnsiTheme="majorHAnsi"/>
        </w:rPr>
        <w:t xml:space="preserve">register schemes do not provide for traceability and movement information </w:t>
      </w:r>
      <w:r w:rsidR="0082017F" w:rsidRPr="00BD19DD">
        <w:rPr>
          <w:rFonts w:asciiTheme="majorHAnsi" w:hAnsiTheme="majorHAnsi"/>
        </w:rPr>
        <w:t xml:space="preserve">to be recorded they have not </w:t>
      </w:r>
      <w:r w:rsidR="00104CA4" w:rsidRPr="00BD19DD">
        <w:rPr>
          <w:rFonts w:asciiTheme="majorHAnsi" w:hAnsiTheme="majorHAnsi"/>
        </w:rPr>
        <w:t>been</w:t>
      </w:r>
      <w:r w:rsidRPr="00BD19DD">
        <w:rPr>
          <w:rFonts w:asciiTheme="majorHAnsi" w:hAnsiTheme="majorHAnsi"/>
        </w:rPr>
        <w:t xml:space="preserve"> addressed </w:t>
      </w:r>
      <w:r w:rsidR="00104CA4" w:rsidRPr="00BD19DD">
        <w:rPr>
          <w:rFonts w:asciiTheme="majorHAnsi" w:hAnsiTheme="majorHAnsi"/>
        </w:rPr>
        <w:t>and</w:t>
      </w:r>
      <w:r w:rsidRPr="00BD19DD">
        <w:rPr>
          <w:rFonts w:asciiTheme="majorHAnsi" w:hAnsiTheme="majorHAnsi"/>
        </w:rPr>
        <w:t xml:space="preserve"> considered.</w:t>
      </w:r>
    </w:p>
    <w:p w14:paraId="0671D027" w14:textId="0A45D89C" w:rsidR="00431AFE" w:rsidRPr="00B024E8" w:rsidRDefault="00431AFE" w:rsidP="00082E54">
      <w:pPr>
        <w:spacing w:before="240"/>
        <w:ind w:left="426"/>
        <w:rPr>
          <w:rFonts w:asciiTheme="majorHAnsi" w:hAnsiTheme="majorHAnsi"/>
        </w:rPr>
      </w:pPr>
      <w:r w:rsidRPr="3B8424AC">
        <w:rPr>
          <w:rFonts w:asciiTheme="majorHAnsi" w:hAnsiTheme="majorHAnsi"/>
        </w:rPr>
        <w:t xml:space="preserve">Property identification and registration is an integral component of the National Livestock Identification System (NLIS) for each of the foot-and-mouth disease (FMD) susceptible livestock species and is the basis on which livestock traceability systems in other countries operate.  </w:t>
      </w:r>
    </w:p>
    <w:p w14:paraId="574B17E5" w14:textId="159A42EC" w:rsidR="00431AFE" w:rsidRPr="00B024E8" w:rsidRDefault="004F69F7" w:rsidP="00082E54">
      <w:pPr>
        <w:ind w:left="426"/>
        <w:rPr>
          <w:rFonts w:asciiTheme="majorHAnsi" w:hAnsiTheme="majorHAnsi"/>
          <w:b/>
          <w:bCs/>
        </w:rPr>
      </w:pPr>
      <w:r>
        <w:rPr>
          <w:rFonts w:asciiTheme="majorHAnsi" w:hAnsiTheme="majorHAnsi"/>
        </w:rPr>
        <w:t>In all states except Tasmania</w:t>
      </w:r>
      <w:r w:rsidR="00431AFE" w:rsidRPr="54CFE729">
        <w:rPr>
          <w:rFonts w:asciiTheme="majorHAnsi" w:hAnsiTheme="majorHAnsi"/>
        </w:rPr>
        <w:t>, property owners and horse carers are required to have a PIC for the properties on which horses reside.  The information regarding each PIC held and maintained by the jurisdictions typically includes:</w:t>
      </w:r>
    </w:p>
    <w:p w14:paraId="76E0A114" w14:textId="77777777" w:rsidR="00431AFE" w:rsidRPr="00B024E8" w:rsidRDefault="00431AFE" w:rsidP="00082E54">
      <w:pPr>
        <w:pStyle w:val="ListParagraph"/>
        <w:numPr>
          <w:ilvl w:val="0"/>
          <w:numId w:val="37"/>
        </w:numPr>
        <w:spacing w:after="200" w:line="276" w:lineRule="auto"/>
        <w:ind w:left="1134"/>
        <w:rPr>
          <w:rFonts w:asciiTheme="majorHAnsi" w:eastAsiaTheme="majorEastAsia" w:hAnsiTheme="majorHAnsi" w:cstheme="majorBidi"/>
          <w:b/>
          <w:bCs/>
        </w:rPr>
      </w:pPr>
      <w:bookmarkStart w:id="72" w:name="_Toc95908527"/>
      <w:r w:rsidRPr="21D9489F">
        <w:rPr>
          <w:rFonts w:asciiTheme="majorHAnsi" w:eastAsiaTheme="majorEastAsia" w:hAnsiTheme="majorHAnsi" w:cstheme="majorBidi"/>
        </w:rPr>
        <w:t>Species present</w:t>
      </w:r>
      <w:bookmarkEnd w:id="72"/>
    </w:p>
    <w:p w14:paraId="229063E5" w14:textId="77777777" w:rsidR="00431AFE" w:rsidRPr="00B024E8" w:rsidRDefault="00431AFE" w:rsidP="00082E54">
      <w:pPr>
        <w:pStyle w:val="ListParagraph"/>
        <w:numPr>
          <w:ilvl w:val="0"/>
          <w:numId w:val="37"/>
        </w:numPr>
        <w:spacing w:after="200" w:line="276" w:lineRule="auto"/>
        <w:ind w:left="1134"/>
        <w:rPr>
          <w:rFonts w:asciiTheme="majorHAnsi" w:eastAsiaTheme="majorEastAsia" w:hAnsiTheme="majorHAnsi" w:cstheme="majorBidi"/>
          <w:b/>
          <w:bCs/>
        </w:rPr>
      </w:pPr>
      <w:bookmarkStart w:id="73" w:name="_Toc95908528"/>
      <w:r w:rsidRPr="21D9489F">
        <w:rPr>
          <w:rFonts w:asciiTheme="majorHAnsi" w:eastAsiaTheme="majorEastAsia" w:hAnsiTheme="majorHAnsi" w:cstheme="majorBidi"/>
        </w:rPr>
        <w:t>Name of property owner/manager and their contact details</w:t>
      </w:r>
      <w:bookmarkEnd w:id="73"/>
    </w:p>
    <w:p w14:paraId="307DD18C" w14:textId="1B75B83E" w:rsidR="00431AFE" w:rsidRPr="00B024E8" w:rsidRDefault="00431AFE" w:rsidP="00082E54">
      <w:pPr>
        <w:pStyle w:val="ListParagraph"/>
        <w:numPr>
          <w:ilvl w:val="0"/>
          <w:numId w:val="37"/>
        </w:numPr>
        <w:spacing w:after="200" w:line="276" w:lineRule="auto"/>
        <w:ind w:left="1134"/>
        <w:rPr>
          <w:rFonts w:asciiTheme="majorHAnsi" w:eastAsiaTheme="majorEastAsia" w:hAnsiTheme="majorHAnsi" w:cstheme="majorBidi"/>
          <w:b/>
          <w:bCs/>
        </w:rPr>
      </w:pPr>
      <w:bookmarkStart w:id="74" w:name="_Toc95908529"/>
      <w:r w:rsidRPr="21D9489F">
        <w:rPr>
          <w:rFonts w:asciiTheme="majorHAnsi" w:eastAsiaTheme="majorEastAsia" w:hAnsiTheme="majorHAnsi" w:cstheme="majorBidi"/>
        </w:rPr>
        <w:t>Name of livestock manager/carer and their contact details</w:t>
      </w:r>
      <w:bookmarkEnd w:id="74"/>
    </w:p>
    <w:p w14:paraId="107E12D4" w14:textId="5FC49362" w:rsidR="00431AFE" w:rsidRPr="00B024E8" w:rsidRDefault="00431AFE" w:rsidP="00082E54">
      <w:pPr>
        <w:pStyle w:val="ListParagraph"/>
        <w:numPr>
          <w:ilvl w:val="0"/>
          <w:numId w:val="37"/>
        </w:numPr>
        <w:spacing w:after="200" w:line="276" w:lineRule="auto"/>
        <w:ind w:left="1134"/>
        <w:rPr>
          <w:rFonts w:asciiTheme="majorHAnsi" w:eastAsiaTheme="majorEastAsia" w:hAnsiTheme="majorHAnsi" w:cstheme="majorBidi"/>
          <w:b/>
          <w:bCs/>
        </w:rPr>
      </w:pPr>
      <w:bookmarkStart w:id="75" w:name="_Toc95908530"/>
      <w:r w:rsidRPr="3B8424AC">
        <w:rPr>
          <w:rFonts w:asciiTheme="majorHAnsi" w:eastAsiaTheme="majorEastAsia" w:hAnsiTheme="majorHAnsi" w:cstheme="majorBidi"/>
        </w:rPr>
        <w:t>Geospatial information about the parcel/s of land associated with the PIC</w:t>
      </w:r>
      <w:bookmarkEnd w:id="75"/>
    </w:p>
    <w:p w14:paraId="7B362D7C" w14:textId="51C2F199" w:rsidR="21D9489F" w:rsidRPr="00EF73C0" w:rsidRDefault="3B8424AC" w:rsidP="00082E54">
      <w:pPr>
        <w:pStyle w:val="ListParagraph"/>
        <w:numPr>
          <w:ilvl w:val="0"/>
          <w:numId w:val="37"/>
        </w:numPr>
        <w:spacing w:after="200" w:line="276" w:lineRule="auto"/>
        <w:ind w:left="1134"/>
        <w:rPr>
          <w:b/>
          <w:bCs/>
        </w:rPr>
      </w:pPr>
      <w:r w:rsidRPr="00B33F5C">
        <w:rPr>
          <w:rFonts w:asciiTheme="majorHAnsi" w:eastAsiaTheme="majorEastAsia" w:hAnsiTheme="majorHAnsi" w:cstheme="majorBidi"/>
        </w:rPr>
        <w:t>Address of the property</w:t>
      </w:r>
    </w:p>
    <w:p w14:paraId="4FA51154" w14:textId="5B2024DC" w:rsidR="00431AFE" w:rsidRPr="00B024E8" w:rsidRDefault="00431AFE" w:rsidP="00082E54">
      <w:pPr>
        <w:ind w:left="426"/>
      </w:pPr>
      <w:r>
        <w:t>The PIC system is a tool that can enable the movement of horses between locations to be recorded, facilitating prompt traceback and contact tracking should the need arise.  An accurate and up</w:t>
      </w:r>
      <w:r w:rsidR="00026795">
        <w:t>-</w:t>
      </w:r>
      <w:r>
        <w:t>to</w:t>
      </w:r>
      <w:r w:rsidR="00026795">
        <w:t>-</w:t>
      </w:r>
      <w:r w:rsidR="00637703">
        <w:t xml:space="preserve">date PIC </w:t>
      </w:r>
      <w:r>
        <w:t>system also enables the location of nearby properties on which susceptible species also reside to be quickly identified during a disease outbreak.   Simply knowing the owner of a horse and the owner’s address</w:t>
      </w:r>
      <w:r w:rsidR="00D72066">
        <w:t>, which is the information typically held on companion animal registers,</w:t>
      </w:r>
      <w:r>
        <w:t xml:space="preserve"> will not enable horses of interest to be quickly located during an emergency.  Often horses are not located at the owner’s address. </w:t>
      </w:r>
    </w:p>
    <w:p w14:paraId="0A9693D8" w14:textId="508F7DC6" w:rsidR="00431AFE" w:rsidRDefault="017E9E93" w:rsidP="00082E54">
      <w:pPr>
        <w:ind w:left="426"/>
        <w:rPr>
          <w:rFonts w:asciiTheme="majorHAnsi" w:hAnsiTheme="majorHAnsi"/>
        </w:rPr>
      </w:pPr>
      <w:r w:rsidRPr="6EEF17EB">
        <w:rPr>
          <w:rFonts w:asciiTheme="majorHAnsi" w:hAnsiTheme="majorHAnsi"/>
        </w:rPr>
        <w:t xml:space="preserve">The challenge now and in the future is to ensure that the information held by the jurisdictions regarding properties with horses is kept up-to-date </w:t>
      </w:r>
      <w:r w:rsidR="00BA385B">
        <w:rPr>
          <w:rFonts w:asciiTheme="majorHAnsi" w:hAnsiTheme="majorHAnsi"/>
        </w:rPr>
        <w:t>to</w:t>
      </w:r>
      <w:r w:rsidRPr="6EEF17EB">
        <w:rPr>
          <w:rFonts w:asciiTheme="majorHAnsi" w:hAnsiTheme="majorHAnsi"/>
        </w:rPr>
        <w:t xml:space="preserve"> facilitate effective and prompt traceback</w:t>
      </w:r>
      <w:r w:rsidR="00BA385B">
        <w:rPr>
          <w:rFonts w:asciiTheme="majorHAnsi" w:hAnsiTheme="majorHAnsi"/>
        </w:rPr>
        <w:t xml:space="preserve"> and contact tracing should the need arise</w:t>
      </w:r>
      <w:r w:rsidRPr="6EEF17EB">
        <w:rPr>
          <w:rFonts w:asciiTheme="majorHAnsi" w:hAnsiTheme="majorHAnsi"/>
        </w:rPr>
        <w:t xml:space="preserve">.  This is a joint responsibility of </w:t>
      </w:r>
      <w:r w:rsidR="00BA385B">
        <w:rPr>
          <w:rFonts w:asciiTheme="majorHAnsi" w:hAnsiTheme="majorHAnsi"/>
        </w:rPr>
        <w:t xml:space="preserve">horse owners and carers, </w:t>
      </w:r>
      <w:r w:rsidRPr="6EEF17EB">
        <w:rPr>
          <w:rFonts w:asciiTheme="majorHAnsi" w:hAnsiTheme="majorHAnsi"/>
        </w:rPr>
        <w:t xml:space="preserve">industry </w:t>
      </w:r>
      <w:r w:rsidR="00BA385B">
        <w:rPr>
          <w:rFonts w:asciiTheme="majorHAnsi" w:hAnsiTheme="majorHAnsi"/>
        </w:rPr>
        <w:t xml:space="preserve">organisations </w:t>
      </w:r>
      <w:r w:rsidRPr="6EEF17EB">
        <w:rPr>
          <w:rFonts w:asciiTheme="majorHAnsi" w:hAnsiTheme="majorHAnsi"/>
        </w:rPr>
        <w:t>and the jurisdictions.  The jurisdictions need to commit to introducing and maintaining procedures for ensuring that their PIC registers remain up-to-date and accurate including in relation to properties on which horses reside.</w:t>
      </w:r>
      <w:r w:rsidR="00BA385B">
        <w:rPr>
          <w:rFonts w:asciiTheme="majorHAnsi" w:hAnsiTheme="majorHAnsi"/>
        </w:rPr>
        <w:t xml:space="preserve">  Ongoing industry funding to support this work is likely to be required.</w:t>
      </w:r>
    </w:p>
    <w:p w14:paraId="7176673C" w14:textId="77777777" w:rsidR="00C55548" w:rsidRPr="00B024E8" w:rsidRDefault="00C55548" w:rsidP="00711C77">
      <w:pPr>
        <w:pStyle w:val="ListParagraph"/>
        <w:numPr>
          <w:ilvl w:val="0"/>
          <w:numId w:val="36"/>
        </w:numPr>
        <w:spacing w:after="200" w:line="276" w:lineRule="auto"/>
        <w:ind w:left="357" w:hanging="357"/>
        <w:rPr>
          <w:rFonts w:asciiTheme="majorHAnsi" w:hAnsiTheme="majorHAnsi"/>
          <w:b/>
          <w:bCs/>
        </w:rPr>
      </w:pPr>
      <w:bookmarkStart w:id="76" w:name="_Toc95908531"/>
      <w:r w:rsidRPr="21D9489F">
        <w:rPr>
          <w:rFonts w:asciiTheme="majorHAnsi" w:hAnsiTheme="majorHAnsi"/>
          <w:b/>
          <w:bCs/>
        </w:rPr>
        <w:lastRenderedPageBreak/>
        <w:t>Review existing horse tracing efforts and data collection arrangements in Australia.</w:t>
      </w:r>
      <w:bookmarkEnd w:id="67"/>
      <w:bookmarkEnd w:id="68"/>
      <w:bookmarkEnd w:id="69"/>
      <w:bookmarkEnd w:id="70"/>
      <w:bookmarkEnd w:id="71"/>
      <w:bookmarkEnd w:id="76"/>
      <w:r w:rsidRPr="21D9489F">
        <w:rPr>
          <w:rFonts w:asciiTheme="majorHAnsi" w:hAnsiTheme="majorHAnsi"/>
          <w:b/>
          <w:bCs/>
        </w:rPr>
        <w:t xml:space="preserve"> </w:t>
      </w:r>
    </w:p>
    <w:p w14:paraId="093521AC" w14:textId="0FCFA668" w:rsidR="00E368B4" w:rsidRPr="00B024E8" w:rsidRDefault="017EBD0E" w:rsidP="00C5794F">
      <w:pPr>
        <w:autoSpaceDE w:val="0"/>
        <w:autoSpaceDN w:val="0"/>
        <w:adjustRightInd w:val="0"/>
        <w:spacing w:before="240"/>
        <w:ind w:left="426"/>
        <w:rPr>
          <w:rFonts w:asciiTheme="majorHAnsi" w:hAnsiTheme="majorHAnsi"/>
          <w:lang w:val="en"/>
        </w:rPr>
      </w:pPr>
      <w:r w:rsidRPr="6EEF17EB">
        <w:rPr>
          <w:rFonts w:asciiTheme="majorHAnsi" w:hAnsiTheme="majorHAnsi"/>
          <w:lang w:val="en"/>
        </w:rPr>
        <w:t xml:space="preserve">Horses in Australia are very mobile increasing the risk </w:t>
      </w:r>
      <w:r w:rsidR="001E5479">
        <w:rPr>
          <w:rFonts w:asciiTheme="majorHAnsi" w:hAnsiTheme="majorHAnsi"/>
          <w:lang w:val="en"/>
        </w:rPr>
        <w:t>that</w:t>
      </w:r>
      <w:r w:rsidR="001E5479" w:rsidRPr="6EEF17EB">
        <w:rPr>
          <w:rFonts w:asciiTheme="majorHAnsi" w:hAnsiTheme="majorHAnsi"/>
          <w:lang w:val="en"/>
        </w:rPr>
        <w:t xml:space="preserve"> </w:t>
      </w:r>
      <w:r w:rsidRPr="6EEF17EB">
        <w:rPr>
          <w:rFonts w:asciiTheme="majorHAnsi" w:hAnsiTheme="majorHAnsi"/>
          <w:lang w:val="en"/>
        </w:rPr>
        <w:t xml:space="preserve">infectious diseases </w:t>
      </w:r>
      <w:r w:rsidR="001E5479">
        <w:rPr>
          <w:rFonts w:asciiTheme="majorHAnsi" w:hAnsiTheme="majorHAnsi"/>
          <w:lang w:val="en"/>
        </w:rPr>
        <w:t>will</w:t>
      </w:r>
      <w:r w:rsidR="001E5479" w:rsidRPr="6EEF17EB">
        <w:rPr>
          <w:rFonts w:asciiTheme="majorHAnsi" w:hAnsiTheme="majorHAnsi"/>
          <w:lang w:val="en"/>
        </w:rPr>
        <w:t xml:space="preserve"> </w:t>
      </w:r>
      <w:r w:rsidRPr="6EEF17EB">
        <w:rPr>
          <w:rFonts w:asciiTheme="majorHAnsi" w:hAnsiTheme="majorHAnsi"/>
          <w:lang w:val="en"/>
        </w:rPr>
        <w:t xml:space="preserve">spread rapidly.  During their lives, horses frequently move between properties, to racetracks and training facilities, to veterinary clinics, agricultural shows and event venues, and through saleyards and auction venues.  Horses assemble in large numbers for training and recreation including </w:t>
      </w:r>
      <w:r w:rsidR="001E5479">
        <w:rPr>
          <w:rFonts w:asciiTheme="majorHAnsi" w:hAnsiTheme="majorHAnsi"/>
          <w:lang w:val="en"/>
        </w:rPr>
        <w:t xml:space="preserve">at </w:t>
      </w:r>
      <w:r w:rsidRPr="6EEF17EB">
        <w:rPr>
          <w:rFonts w:asciiTheme="majorHAnsi" w:hAnsiTheme="majorHAnsi"/>
          <w:lang w:val="en"/>
        </w:rPr>
        <w:t>trackwork for racing</w:t>
      </w:r>
      <w:r w:rsidR="001E5479">
        <w:rPr>
          <w:rFonts w:asciiTheme="majorHAnsi" w:hAnsiTheme="majorHAnsi"/>
          <w:lang w:val="en"/>
        </w:rPr>
        <w:t>,</w:t>
      </w:r>
      <w:r w:rsidRPr="6EEF17EB">
        <w:rPr>
          <w:rFonts w:asciiTheme="majorHAnsi" w:hAnsiTheme="majorHAnsi"/>
          <w:lang w:val="en"/>
        </w:rPr>
        <w:t xml:space="preserve"> </w:t>
      </w:r>
      <w:r w:rsidR="00D846C7" w:rsidRPr="6EEF17EB">
        <w:rPr>
          <w:rFonts w:asciiTheme="majorHAnsi" w:hAnsiTheme="majorHAnsi"/>
          <w:lang w:val="en"/>
        </w:rPr>
        <w:t xml:space="preserve">and </w:t>
      </w:r>
      <w:r w:rsidR="001E5479">
        <w:rPr>
          <w:rFonts w:asciiTheme="majorHAnsi" w:hAnsiTheme="majorHAnsi"/>
          <w:lang w:val="en"/>
        </w:rPr>
        <w:t xml:space="preserve">at </w:t>
      </w:r>
      <w:r w:rsidR="00D846C7" w:rsidRPr="6EEF17EB">
        <w:rPr>
          <w:rFonts w:asciiTheme="majorHAnsi" w:hAnsiTheme="majorHAnsi"/>
          <w:lang w:val="en"/>
        </w:rPr>
        <w:t>equestrian</w:t>
      </w:r>
      <w:r w:rsidRPr="6EEF17EB">
        <w:rPr>
          <w:rFonts w:asciiTheme="majorHAnsi" w:hAnsiTheme="majorHAnsi"/>
          <w:lang w:val="en"/>
        </w:rPr>
        <w:t xml:space="preserve">, domestic horse sport activity such as </w:t>
      </w:r>
      <w:r w:rsidR="00BD6EA1" w:rsidRPr="6EEF17EB">
        <w:rPr>
          <w:rFonts w:asciiTheme="majorHAnsi" w:hAnsiTheme="majorHAnsi"/>
          <w:lang w:val="en"/>
        </w:rPr>
        <w:t>camp drafting</w:t>
      </w:r>
      <w:r w:rsidR="00BD6EA1">
        <w:rPr>
          <w:rFonts w:asciiTheme="majorHAnsi" w:hAnsiTheme="majorHAnsi"/>
          <w:lang w:val="en"/>
        </w:rPr>
        <w:t xml:space="preserve">, </w:t>
      </w:r>
      <w:r w:rsidR="001E5479">
        <w:rPr>
          <w:rFonts w:asciiTheme="majorHAnsi" w:hAnsiTheme="majorHAnsi"/>
          <w:lang w:val="en"/>
        </w:rPr>
        <w:t>p</w:t>
      </w:r>
      <w:r w:rsidRPr="6EEF17EB">
        <w:rPr>
          <w:rFonts w:asciiTheme="majorHAnsi" w:hAnsiTheme="majorHAnsi"/>
          <w:lang w:val="en"/>
        </w:rPr>
        <w:t xml:space="preserve">ony </w:t>
      </w:r>
      <w:r w:rsidR="001E5479">
        <w:rPr>
          <w:rFonts w:asciiTheme="majorHAnsi" w:hAnsiTheme="majorHAnsi"/>
          <w:lang w:val="en"/>
        </w:rPr>
        <w:t>c</w:t>
      </w:r>
      <w:r w:rsidRPr="6EEF17EB">
        <w:rPr>
          <w:rFonts w:asciiTheme="majorHAnsi" w:hAnsiTheme="majorHAnsi"/>
          <w:lang w:val="en"/>
        </w:rPr>
        <w:t>lub</w:t>
      </w:r>
      <w:r w:rsidR="001E5479">
        <w:rPr>
          <w:rFonts w:asciiTheme="majorHAnsi" w:hAnsiTheme="majorHAnsi"/>
          <w:lang w:val="en"/>
        </w:rPr>
        <w:t xml:space="preserve"> and </w:t>
      </w:r>
      <w:r w:rsidRPr="6EEF17EB">
        <w:rPr>
          <w:rFonts w:asciiTheme="majorHAnsi" w:hAnsiTheme="majorHAnsi"/>
          <w:lang w:val="en"/>
        </w:rPr>
        <w:t xml:space="preserve">trail riding </w:t>
      </w:r>
      <w:r w:rsidR="001E5479">
        <w:rPr>
          <w:rFonts w:asciiTheme="majorHAnsi" w:hAnsiTheme="majorHAnsi"/>
          <w:lang w:val="en"/>
        </w:rPr>
        <w:t>events</w:t>
      </w:r>
      <w:r w:rsidRPr="6EEF17EB">
        <w:rPr>
          <w:rFonts w:asciiTheme="majorHAnsi" w:hAnsiTheme="majorHAnsi"/>
          <w:lang w:val="en"/>
        </w:rPr>
        <w:t xml:space="preserve">. </w:t>
      </w:r>
      <w:r w:rsidR="001E5479">
        <w:rPr>
          <w:rFonts w:asciiTheme="majorHAnsi" w:hAnsiTheme="majorHAnsi"/>
          <w:lang w:val="en"/>
        </w:rPr>
        <w:t xml:space="preserve">Horses are transported in large numbers to </w:t>
      </w:r>
      <w:r w:rsidRPr="6EEF17EB">
        <w:rPr>
          <w:rFonts w:asciiTheme="majorHAnsi" w:hAnsiTheme="majorHAnsi"/>
          <w:lang w:val="en"/>
        </w:rPr>
        <w:t xml:space="preserve">stud farms during </w:t>
      </w:r>
      <w:r w:rsidR="6BFA3C0F" w:rsidRPr="6EEF17EB">
        <w:rPr>
          <w:rFonts w:asciiTheme="majorHAnsi" w:hAnsiTheme="majorHAnsi"/>
          <w:lang w:val="en"/>
        </w:rPr>
        <w:t>breeding season</w:t>
      </w:r>
      <w:r w:rsidRPr="6EEF17EB">
        <w:rPr>
          <w:rFonts w:asciiTheme="majorHAnsi" w:hAnsiTheme="majorHAnsi"/>
          <w:lang w:val="en"/>
        </w:rPr>
        <w:t xml:space="preserve">, and then disperse </w:t>
      </w:r>
      <w:r w:rsidR="001E5479">
        <w:rPr>
          <w:rFonts w:asciiTheme="majorHAnsi" w:hAnsiTheme="majorHAnsi"/>
          <w:lang w:val="en"/>
        </w:rPr>
        <w:t xml:space="preserve">after the season </w:t>
      </w:r>
      <w:r w:rsidRPr="6EEF17EB">
        <w:rPr>
          <w:rFonts w:asciiTheme="majorHAnsi" w:hAnsiTheme="majorHAnsi"/>
          <w:lang w:val="en"/>
        </w:rPr>
        <w:t>over a large geographical area.  The movement of horses between states is common</w:t>
      </w:r>
      <w:r w:rsidR="006F5C76">
        <w:rPr>
          <w:rFonts w:asciiTheme="majorHAnsi" w:hAnsiTheme="majorHAnsi"/>
          <w:lang w:val="en"/>
        </w:rPr>
        <w:t xml:space="preserve"> highlighting the importance of a future NHTS being national</w:t>
      </w:r>
      <w:r w:rsidRPr="6EEF17EB">
        <w:rPr>
          <w:rFonts w:asciiTheme="majorHAnsi" w:hAnsiTheme="majorHAnsi"/>
          <w:lang w:val="en"/>
        </w:rPr>
        <w:t>.</w:t>
      </w:r>
    </w:p>
    <w:p w14:paraId="56597AA1" w14:textId="32733B43" w:rsidR="00E368B4" w:rsidRPr="00B024E8" w:rsidRDefault="00E368B4" w:rsidP="00C5794F">
      <w:pPr>
        <w:ind w:left="426"/>
        <w:rPr>
          <w:rFonts w:asciiTheme="majorHAnsi" w:hAnsiTheme="majorHAnsi" w:cstheme="minorHAnsi"/>
          <w:lang w:val="en"/>
        </w:rPr>
      </w:pPr>
      <w:r w:rsidRPr="00B024E8">
        <w:rPr>
          <w:rFonts w:asciiTheme="majorHAnsi" w:hAnsiTheme="majorHAnsi" w:cstheme="minorHAnsi"/>
          <w:lang w:val="en"/>
        </w:rPr>
        <w:t>Conversely, there are also horses kept for recreational purposes and as working animals that rarely leave the properties on which they reside.  Biosecurity risks associated with these horses are minimal compared to horses that move frequently.</w:t>
      </w:r>
    </w:p>
    <w:p w14:paraId="41C266B4" w14:textId="22816A32" w:rsidR="00E368B4" w:rsidRPr="00B024E8" w:rsidRDefault="017EBD0E" w:rsidP="00C5794F">
      <w:pPr>
        <w:ind w:left="426"/>
        <w:rPr>
          <w:b/>
          <w:bCs/>
          <w:lang w:val="en"/>
        </w:rPr>
      </w:pPr>
      <w:bookmarkStart w:id="77" w:name="_Toc95908532"/>
      <w:r w:rsidRPr="6EEF17EB">
        <w:rPr>
          <w:lang w:val="en"/>
        </w:rPr>
        <w:t xml:space="preserve">The racing industries maintain records relating to the movement of horses for racing and breeding purposes, and uses microchipping as a tool to support identification, integrity and traceability objectives.  Owners of horses used in equestrian competition or for recreational purposes </w:t>
      </w:r>
      <w:r w:rsidR="002D5828">
        <w:rPr>
          <w:lang w:val="en"/>
        </w:rPr>
        <w:t xml:space="preserve">are </w:t>
      </w:r>
      <w:r w:rsidRPr="6EEF17EB">
        <w:rPr>
          <w:lang w:val="en"/>
        </w:rPr>
        <w:t xml:space="preserve">also </w:t>
      </w:r>
      <w:r w:rsidR="001E5479">
        <w:rPr>
          <w:lang w:val="en"/>
        </w:rPr>
        <w:t xml:space="preserve">able to </w:t>
      </w:r>
      <w:r w:rsidRPr="6EEF17EB">
        <w:rPr>
          <w:lang w:val="en"/>
        </w:rPr>
        <w:t>microchip their horses on a voluntary basis</w:t>
      </w:r>
      <w:r w:rsidR="00C21C7C">
        <w:rPr>
          <w:lang w:val="en"/>
        </w:rPr>
        <w:t xml:space="preserve">, </w:t>
      </w:r>
      <w:r w:rsidR="007E792B">
        <w:rPr>
          <w:lang w:val="en"/>
        </w:rPr>
        <w:t>however</w:t>
      </w:r>
      <w:r w:rsidR="00C21C7C">
        <w:rPr>
          <w:lang w:val="en"/>
        </w:rPr>
        <w:t xml:space="preserve"> this should occur in a standardised manner</w:t>
      </w:r>
      <w:r w:rsidRPr="6EEF17EB">
        <w:rPr>
          <w:lang w:val="en"/>
        </w:rPr>
        <w:t xml:space="preserve">.  Organisations conducting equestrian events typically maintain records of horses that compete </w:t>
      </w:r>
      <w:r w:rsidR="001E5479">
        <w:rPr>
          <w:lang w:val="en"/>
        </w:rPr>
        <w:t>along with</w:t>
      </w:r>
      <w:r w:rsidR="001E5479" w:rsidRPr="6EEF17EB">
        <w:rPr>
          <w:lang w:val="en"/>
        </w:rPr>
        <w:t xml:space="preserve"> </w:t>
      </w:r>
      <w:r w:rsidRPr="6EEF17EB">
        <w:rPr>
          <w:lang w:val="en"/>
        </w:rPr>
        <w:t xml:space="preserve">their owner or carer details.  This information is </w:t>
      </w:r>
      <w:r w:rsidR="001E5479">
        <w:rPr>
          <w:lang w:val="en"/>
        </w:rPr>
        <w:t xml:space="preserve">potentially </w:t>
      </w:r>
      <w:r w:rsidRPr="6EEF17EB">
        <w:rPr>
          <w:lang w:val="en"/>
        </w:rPr>
        <w:t>useful to government agencies in a disease emergency.</w:t>
      </w:r>
      <w:bookmarkEnd w:id="77"/>
    </w:p>
    <w:p w14:paraId="7B5B53A4" w14:textId="00427910" w:rsidR="00E741D6" w:rsidRPr="00A77481" w:rsidRDefault="00E741D6" w:rsidP="00A77481">
      <w:pPr>
        <w:ind w:left="426"/>
        <w:rPr>
          <w:rFonts w:cs="Calibri"/>
          <w:color w:val="0070C0"/>
        </w:rPr>
      </w:pPr>
      <w:bookmarkStart w:id="78" w:name="_Toc95908533"/>
      <w:r w:rsidRPr="00C95467">
        <w:t xml:space="preserve">Further, horses within the racing and equestrian sectors are subject to a range of identification and record keeping obligations under their respective rules.  Participants are often licensed. These sectors already hold considerable information that could be useful in a biosecurity context.  The challenge going forward is for those progressing the introduction and administration of the NHTS to tap into this resource. </w:t>
      </w:r>
    </w:p>
    <w:p w14:paraId="1E48292B" w14:textId="01C4F0ED" w:rsidR="0065761D" w:rsidRDefault="00E368B4" w:rsidP="00C5794F">
      <w:pPr>
        <w:ind w:left="426"/>
      </w:pPr>
      <w:r w:rsidRPr="00B024E8">
        <w:rPr>
          <w:lang w:val="en"/>
        </w:rPr>
        <w:t>Microchip r</w:t>
      </w:r>
      <w:r w:rsidRPr="00B024E8">
        <w:t>egisters, however, are often not updated with ownership/carer changes</w:t>
      </w:r>
      <w:r w:rsidR="007C5838">
        <w:t>,</w:t>
      </w:r>
      <w:r w:rsidRPr="00B024E8">
        <w:t xml:space="preserve"> </w:t>
      </w:r>
      <w:r w:rsidR="007C5838">
        <w:t>or</w:t>
      </w:r>
      <w:r w:rsidR="007C5838" w:rsidRPr="00B024E8">
        <w:t xml:space="preserve"> </w:t>
      </w:r>
      <w:r w:rsidRPr="00B024E8">
        <w:t xml:space="preserve">the death or live export of microchipped horses.  </w:t>
      </w:r>
      <w:r w:rsidR="0018667C">
        <w:t>Ownership r</w:t>
      </w:r>
      <w:r w:rsidR="006337CE">
        <w:t>egisters of microchipped t</w:t>
      </w:r>
      <w:r w:rsidR="0065761D">
        <w:t>horoughbred and standardbred horses</w:t>
      </w:r>
      <w:r w:rsidR="006337CE">
        <w:t xml:space="preserve"> are maintained whilst horses </w:t>
      </w:r>
      <w:r w:rsidR="00CB4B45">
        <w:t xml:space="preserve">they </w:t>
      </w:r>
      <w:r w:rsidR="0065761D">
        <w:t>are in the racing and breeding herds</w:t>
      </w:r>
      <w:r w:rsidR="006337CE">
        <w:t xml:space="preserve"> of the respective indust</w:t>
      </w:r>
      <w:r w:rsidR="003A69DD">
        <w:t>r</w:t>
      </w:r>
      <w:r w:rsidR="006337CE">
        <w:t xml:space="preserve">ies. </w:t>
      </w:r>
    </w:p>
    <w:p w14:paraId="59EAD6AA" w14:textId="4A735B25" w:rsidR="00E368B4" w:rsidRPr="00B024E8" w:rsidRDefault="00E368B4" w:rsidP="00C5794F">
      <w:pPr>
        <w:ind w:left="426"/>
        <w:rPr>
          <w:b/>
          <w:bCs/>
        </w:rPr>
      </w:pPr>
      <w:r w:rsidRPr="00B024E8">
        <w:t xml:space="preserve">At present, microchip registers typically do not record the PIC of residence of horses, information regarding the movement of horses, or the name and contact details of carers (in addition to a horse’s owner).  </w:t>
      </w:r>
      <w:r w:rsidRPr="00B024E8">
        <w:rPr>
          <w:spacing w:val="-2"/>
        </w:rPr>
        <w:t>Knowing the owner of a horse is less useful from a biosecurity perspective than knowing the property on which the horse is located and the name and contact details of its carer</w:t>
      </w:r>
      <w:r w:rsidRPr="00B024E8">
        <w:t>.  For these reasons, microchip registers cannot be relied on as a single source of accurate information for tracing purposes during disease emergencies.</w:t>
      </w:r>
      <w:bookmarkEnd w:id="78"/>
      <w:r w:rsidRPr="00B024E8">
        <w:t xml:space="preserve">  </w:t>
      </w:r>
    </w:p>
    <w:p w14:paraId="305557AC" w14:textId="3D40F5E5" w:rsidR="00154684" w:rsidRPr="00B024E8" w:rsidRDefault="00E368B4" w:rsidP="00C5794F">
      <w:pPr>
        <w:ind w:left="426"/>
        <w:rPr>
          <w:rFonts w:asciiTheme="majorHAnsi" w:hAnsiTheme="majorHAnsi" w:cstheme="minorHAnsi"/>
        </w:rPr>
      </w:pPr>
      <w:r w:rsidRPr="00B024E8">
        <w:rPr>
          <w:rFonts w:asciiTheme="majorHAnsi" w:hAnsiTheme="majorHAnsi" w:cstheme="minorHAnsi"/>
        </w:rPr>
        <w:t>Based on current</w:t>
      </w:r>
      <w:r w:rsidR="007C5838">
        <w:rPr>
          <w:rFonts w:asciiTheme="majorHAnsi" w:hAnsiTheme="majorHAnsi" w:cstheme="minorHAnsi"/>
        </w:rPr>
        <w:t xml:space="preserve"> disease</w:t>
      </w:r>
      <w:r w:rsidRPr="00B024E8">
        <w:rPr>
          <w:rFonts w:asciiTheme="majorHAnsi" w:hAnsiTheme="majorHAnsi" w:cstheme="minorHAnsi"/>
        </w:rPr>
        <w:t xml:space="preserve"> threats</w:t>
      </w:r>
      <w:r w:rsidR="007C5838">
        <w:rPr>
          <w:rFonts w:asciiTheme="majorHAnsi" w:hAnsiTheme="majorHAnsi" w:cstheme="minorHAnsi"/>
        </w:rPr>
        <w:t>,</w:t>
      </w:r>
      <w:r w:rsidRPr="00B024E8">
        <w:rPr>
          <w:rFonts w:asciiTheme="majorHAnsi" w:hAnsiTheme="majorHAnsi" w:cstheme="minorHAnsi"/>
        </w:rPr>
        <w:t xml:space="preserve"> the </w:t>
      </w:r>
      <w:r w:rsidR="006D1546">
        <w:rPr>
          <w:rFonts w:asciiTheme="majorHAnsi" w:hAnsiTheme="majorHAnsi" w:cstheme="minorHAnsi"/>
        </w:rPr>
        <w:t>NH</w:t>
      </w:r>
      <w:r w:rsidR="00A3032D">
        <w:rPr>
          <w:rFonts w:asciiTheme="majorHAnsi" w:hAnsiTheme="majorHAnsi" w:cstheme="minorHAnsi"/>
        </w:rPr>
        <w:t>TWG</w:t>
      </w:r>
      <w:r w:rsidRPr="00B024E8">
        <w:rPr>
          <w:rFonts w:asciiTheme="majorHAnsi" w:hAnsiTheme="majorHAnsi" w:cstheme="minorHAnsi"/>
        </w:rPr>
        <w:t xml:space="preserve"> does not believe that there is </w:t>
      </w:r>
      <w:r w:rsidR="007C5838">
        <w:rPr>
          <w:rFonts w:asciiTheme="majorHAnsi" w:hAnsiTheme="majorHAnsi" w:cstheme="minorHAnsi"/>
        </w:rPr>
        <w:t xml:space="preserve">a </w:t>
      </w:r>
      <w:r w:rsidRPr="00B024E8">
        <w:rPr>
          <w:rFonts w:asciiTheme="majorHAnsi" w:hAnsiTheme="majorHAnsi" w:cstheme="minorHAnsi"/>
        </w:rPr>
        <w:t xml:space="preserve">compelling biosecurity reason why all horses in Australia should be required to be microchipped or that all movements between PICs should be registered on a central database.  However, the </w:t>
      </w:r>
      <w:r w:rsidR="00A3032D">
        <w:rPr>
          <w:rFonts w:asciiTheme="majorHAnsi" w:hAnsiTheme="majorHAnsi" w:cstheme="minorHAnsi"/>
        </w:rPr>
        <w:t>NHTWG</w:t>
      </w:r>
      <w:r w:rsidR="008243C2" w:rsidRPr="00B024E8">
        <w:rPr>
          <w:rFonts w:asciiTheme="majorHAnsi" w:hAnsiTheme="majorHAnsi" w:cstheme="minorHAnsi"/>
        </w:rPr>
        <w:t xml:space="preserve"> </w:t>
      </w:r>
      <w:r w:rsidRPr="00B024E8">
        <w:rPr>
          <w:rFonts w:asciiTheme="majorHAnsi" w:hAnsiTheme="majorHAnsi" w:cstheme="minorHAnsi"/>
        </w:rPr>
        <w:t xml:space="preserve">recommends that industry participants maintain records for all horse movements, with these records readily accessible to government agencies during biosecurity incidents and emergencies.  Situations where movements should be recorded are outlined in the proposed NHTS business rules (see </w:t>
      </w:r>
      <w:r w:rsidRPr="00297973">
        <w:rPr>
          <w:rFonts w:asciiTheme="majorHAnsi" w:hAnsiTheme="majorHAnsi" w:cstheme="minorHAnsi"/>
        </w:rPr>
        <w:t xml:space="preserve">Appendix </w:t>
      </w:r>
      <w:r w:rsidR="00DB648C">
        <w:rPr>
          <w:rFonts w:asciiTheme="majorHAnsi" w:hAnsiTheme="majorHAnsi" w:cstheme="minorHAnsi"/>
        </w:rPr>
        <w:t>A</w:t>
      </w:r>
      <w:r w:rsidRPr="00B024E8">
        <w:rPr>
          <w:rFonts w:asciiTheme="majorHAnsi" w:hAnsiTheme="majorHAnsi" w:cstheme="minorHAnsi"/>
        </w:rPr>
        <w:t>).</w:t>
      </w:r>
    </w:p>
    <w:p w14:paraId="614EDC52" w14:textId="77777777" w:rsidR="00C55548" w:rsidRPr="00B024E8" w:rsidRDefault="00C55548" w:rsidP="00711C77">
      <w:pPr>
        <w:pStyle w:val="ListParagraph"/>
        <w:numPr>
          <w:ilvl w:val="0"/>
          <w:numId w:val="36"/>
        </w:numPr>
        <w:spacing w:after="200" w:line="276" w:lineRule="auto"/>
        <w:ind w:left="357" w:hanging="357"/>
        <w:rPr>
          <w:rFonts w:asciiTheme="majorHAnsi" w:hAnsiTheme="majorHAnsi"/>
          <w:b/>
          <w:bCs/>
        </w:rPr>
      </w:pPr>
      <w:bookmarkStart w:id="79" w:name="_Toc92203349"/>
      <w:bookmarkStart w:id="80" w:name="_Toc92203384"/>
      <w:bookmarkStart w:id="81" w:name="_Toc92203962"/>
      <w:bookmarkStart w:id="82" w:name="_Toc92204295"/>
      <w:bookmarkStart w:id="83" w:name="_Toc92204364"/>
      <w:bookmarkStart w:id="84" w:name="_Toc95908534"/>
      <w:r w:rsidRPr="21D9489F">
        <w:rPr>
          <w:rFonts w:asciiTheme="majorHAnsi" w:hAnsiTheme="majorHAnsi"/>
          <w:b/>
          <w:bCs/>
        </w:rPr>
        <w:lastRenderedPageBreak/>
        <w:t>Design a system covering the commercial horse sector, at least at a high level, including the purpose of the register, governance and decision making, how it would function and the required legal basis for its effective operation.</w:t>
      </w:r>
      <w:bookmarkEnd w:id="79"/>
      <w:bookmarkEnd w:id="80"/>
      <w:bookmarkEnd w:id="81"/>
      <w:bookmarkEnd w:id="82"/>
      <w:bookmarkEnd w:id="83"/>
      <w:bookmarkEnd w:id="84"/>
      <w:r w:rsidRPr="21D9489F">
        <w:rPr>
          <w:rFonts w:asciiTheme="majorHAnsi" w:hAnsiTheme="majorHAnsi"/>
          <w:b/>
          <w:bCs/>
        </w:rPr>
        <w:t xml:space="preserve"> </w:t>
      </w:r>
    </w:p>
    <w:p w14:paraId="29672609" w14:textId="162FE54B" w:rsidR="00C55548" w:rsidRPr="00B024E8" w:rsidRDefault="00C55548" w:rsidP="00155F37">
      <w:pPr>
        <w:spacing w:before="240"/>
        <w:ind w:left="426"/>
        <w:rPr>
          <w:rFonts w:asciiTheme="majorHAnsi" w:hAnsiTheme="majorHAnsi"/>
        </w:rPr>
      </w:pPr>
      <w:r w:rsidRPr="3B8424AC">
        <w:rPr>
          <w:rFonts w:asciiTheme="majorHAnsi" w:hAnsiTheme="majorHAnsi"/>
        </w:rPr>
        <w:t xml:space="preserve">Animal traceability involves far more than simply identifying animals using brands, marks and identification devices.  The physical identification of a horse is one component of a multifaceted process that allows authorities to track an animal or group of animals to their properties of residence and to quickly locate past cohorts.  These components, when linked together, form a traceability system that authorities can use to address biosecurity challenges. </w:t>
      </w:r>
    </w:p>
    <w:p w14:paraId="752ADE7D" w14:textId="467C7E3F" w:rsidR="00C55548" w:rsidRPr="00B024E8" w:rsidRDefault="00C55548" w:rsidP="00155F37">
      <w:pPr>
        <w:ind w:left="426"/>
        <w:rPr>
          <w:rFonts w:asciiTheme="majorHAnsi" w:hAnsiTheme="majorHAnsi"/>
        </w:rPr>
      </w:pPr>
      <w:r w:rsidRPr="00B024E8">
        <w:rPr>
          <w:rFonts w:asciiTheme="majorHAnsi" w:hAnsiTheme="majorHAnsi"/>
        </w:rPr>
        <w:t xml:space="preserve">The </w:t>
      </w:r>
      <w:r w:rsidR="00A3032D">
        <w:rPr>
          <w:rFonts w:asciiTheme="majorHAnsi" w:hAnsiTheme="majorHAnsi" w:cstheme="minorHAnsi"/>
        </w:rPr>
        <w:t>NHTWG</w:t>
      </w:r>
      <w:r w:rsidR="008243C2" w:rsidRPr="00B024E8">
        <w:rPr>
          <w:rFonts w:asciiTheme="majorHAnsi" w:hAnsiTheme="majorHAnsi" w:cstheme="minorHAnsi"/>
        </w:rPr>
        <w:t xml:space="preserve"> </w:t>
      </w:r>
      <w:r w:rsidRPr="00B024E8">
        <w:rPr>
          <w:rFonts w:asciiTheme="majorHAnsi" w:hAnsiTheme="majorHAnsi"/>
        </w:rPr>
        <w:t xml:space="preserve">has prepared </w:t>
      </w:r>
      <w:r w:rsidR="00024A9E">
        <w:rPr>
          <w:rFonts w:asciiTheme="majorHAnsi" w:hAnsiTheme="majorHAnsi"/>
        </w:rPr>
        <w:t xml:space="preserve">draft </w:t>
      </w:r>
      <w:r w:rsidRPr="00B024E8">
        <w:rPr>
          <w:rFonts w:asciiTheme="majorHAnsi" w:hAnsiTheme="majorHAnsi"/>
        </w:rPr>
        <w:t xml:space="preserve">business rules that describe how </w:t>
      </w:r>
      <w:r w:rsidR="001E5479">
        <w:rPr>
          <w:rFonts w:asciiTheme="majorHAnsi" w:hAnsiTheme="majorHAnsi"/>
        </w:rPr>
        <w:t>its proposed</w:t>
      </w:r>
      <w:r w:rsidR="001E5479" w:rsidRPr="00B024E8">
        <w:rPr>
          <w:rFonts w:asciiTheme="majorHAnsi" w:hAnsiTheme="majorHAnsi"/>
        </w:rPr>
        <w:t xml:space="preserve"> </w:t>
      </w:r>
      <w:r w:rsidRPr="00B024E8">
        <w:rPr>
          <w:rFonts w:asciiTheme="majorHAnsi" w:hAnsiTheme="majorHAnsi"/>
        </w:rPr>
        <w:t xml:space="preserve">NHTS will operate (see </w:t>
      </w:r>
      <w:r w:rsidR="00E368B4" w:rsidRPr="00297973">
        <w:rPr>
          <w:rFonts w:asciiTheme="majorHAnsi" w:hAnsiTheme="majorHAnsi"/>
        </w:rPr>
        <w:t xml:space="preserve">Appendix </w:t>
      </w:r>
      <w:r w:rsidR="00DB648C">
        <w:rPr>
          <w:rFonts w:asciiTheme="majorHAnsi" w:hAnsiTheme="majorHAnsi"/>
        </w:rPr>
        <w:t>A</w:t>
      </w:r>
      <w:r w:rsidRPr="00B024E8">
        <w:rPr>
          <w:rFonts w:asciiTheme="majorHAnsi" w:hAnsiTheme="majorHAnsi"/>
        </w:rPr>
        <w:t>).  The system described in the</w:t>
      </w:r>
      <w:r w:rsidR="00024A9E">
        <w:rPr>
          <w:rFonts w:asciiTheme="majorHAnsi" w:hAnsiTheme="majorHAnsi"/>
        </w:rPr>
        <w:t xml:space="preserve"> proposed</w:t>
      </w:r>
      <w:r w:rsidRPr="00B024E8">
        <w:rPr>
          <w:rFonts w:asciiTheme="majorHAnsi" w:hAnsiTheme="majorHAnsi"/>
        </w:rPr>
        <w:t xml:space="preserve"> business rule</w:t>
      </w:r>
      <w:r w:rsidR="00024A9E">
        <w:rPr>
          <w:rFonts w:asciiTheme="majorHAnsi" w:hAnsiTheme="majorHAnsi"/>
        </w:rPr>
        <w:t>s</w:t>
      </w:r>
      <w:r w:rsidRPr="00B024E8">
        <w:rPr>
          <w:rFonts w:asciiTheme="majorHAnsi" w:hAnsiTheme="majorHAnsi"/>
        </w:rPr>
        <w:t xml:space="preserve"> is an integrated package, linking several components in a framework designed to address agreed biosecurity related objectives in relation to the timely and reliable tracking of horses. </w:t>
      </w:r>
    </w:p>
    <w:p w14:paraId="08A65C99" w14:textId="18278A82" w:rsidR="00C55548" w:rsidRPr="00B024E8" w:rsidRDefault="00C55548" w:rsidP="00155F37">
      <w:pPr>
        <w:ind w:left="426"/>
        <w:rPr>
          <w:rFonts w:asciiTheme="majorHAnsi" w:hAnsiTheme="majorHAnsi"/>
        </w:rPr>
      </w:pPr>
      <w:r w:rsidRPr="00B024E8">
        <w:rPr>
          <w:rFonts w:asciiTheme="majorHAnsi" w:hAnsiTheme="majorHAnsi"/>
        </w:rPr>
        <w:t>The starting point described in the proposed business rules is relatively low cost, is feasible and will support:</w:t>
      </w:r>
    </w:p>
    <w:p w14:paraId="713AFE5F" w14:textId="7B94EE32" w:rsidR="00C55548" w:rsidRPr="00B024E8" w:rsidRDefault="00C55548" w:rsidP="002849D6">
      <w:pPr>
        <w:pStyle w:val="ListParagraph"/>
        <w:numPr>
          <w:ilvl w:val="0"/>
          <w:numId w:val="12"/>
        </w:numPr>
        <w:spacing w:line="276" w:lineRule="auto"/>
        <w:ind w:left="1418" w:hanging="567"/>
        <w:rPr>
          <w:rFonts w:asciiTheme="majorHAnsi" w:hAnsiTheme="majorHAnsi"/>
        </w:rPr>
      </w:pPr>
      <w:r w:rsidRPr="00B024E8">
        <w:rPr>
          <w:rFonts w:asciiTheme="majorHAnsi" w:hAnsiTheme="majorHAnsi"/>
        </w:rPr>
        <w:t>Refreshing and maturing of the PIC system</w:t>
      </w:r>
      <w:r w:rsidR="001E5479">
        <w:rPr>
          <w:rFonts w:asciiTheme="majorHAnsi" w:hAnsiTheme="majorHAnsi"/>
        </w:rPr>
        <w:t>,</w:t>
      </w:r>
      <w:r w:rsidRPr="00B024E8">
        <w:rPr>
          <w:rFonts w:asciiTheme="majorHAnsi" w:hAnsiTheme="majorHAnsi"/>
        </w:rPr>
        <w:t xml:space="preserve"> </w:t>
      </w:r>
    </w:p>
    <w:p w14:paraId="7F3D6377" w14:textId="69CDCAED" w:rsidR="00C55548" w:rsidRPr="00B024E8" w:rsidRDefault="00C55548" w:rsidP="002849D6">
      <w:pPr>
        <w:pStyle w:val="ListParagraph"/>
        <w:numPr>
          <w:ilvl w:val="0"/>
          <w:numId w:val="12"/>
        </w:numPr>
        <w:spacing w:line="276" w:lineRule="auto"/>
        <w:ind w:left="1418" w:hanging="567"/>
        <w:rPr>
          <w:rFonts w:asciiTheme="majorHAnsi" w:hAnsiTheme="majorHAnsi"/>
        </w:rPr>
      </w:pPr>
      <w:r w:rsidRPr="00B024E8">
        <w:rPr>
          <w:rFonts w:asciiTheme="majorHAnsi" w:hAnsiTheme="majorHAnsi"/>
        </w:rPr>
        <w:t>Maturing and standardising industry movement/data recording systems</w:t>
      </w:r>
      <w:r w:rsidR="001E5479">
        <w:rPr>
          <w:rFonts w:asciiTheme="majorHAnsi" w:hAnsiTheme="majorHAnsi"/>
        </w:rPr>
        <w:t>, and</w:t>
      </w:r>
    </w:p>
    <w:p w14:paraId="197DF084" w14:textId="3A9232E2" w:rsidR="00F62381" w:rsidRPr="00C5794F" w:rsidRDefault="6E6CD5D8" w:rsidP="00C5794F">
      <w:pPr>
        <w:pStyle w:val="ListParagraph"/>
        <w:numPr>
          <w:ilvl w:val="0"/>
          <w:numId w:val="12"/>
        </w:numPr>
        <w:spacing w:line="276" w:lineRule="auto"/>
        <w:ind w:left="1418" w:hanging="567"/>
        <w:rPr>
          <w:rFonts w:asciiTheme="majorHAnsi" w:hAnsiTheme="majorHAnsi"/>
        </w:rPr>
      </w:pPr>
      <w:r w:rsidRPr="6EEF17EB">
        <w:rPr>
          <w:rFonts w:asciiTheme="majorHAnsi" w:hAnsiTheme="majorHAnsi"/>
        </w:rPr>
        <w:t xml:space="preserve">Enhancements </w:t>
      </w:r>
      <w:r w:rsidR="007C5838">
        <w:rPr>
          <w:rFonts w:asciiTheme="majorHAnsi" w:hAnsiTheme="majorHAnsi"/>
        </w:rPr>
        <w:t xml:space="preserve">of benefit to industry </w:t>
      </w:r>
      <w:r w:rsidRPr="6EEF17EB">
        <w:rPr>
          <w:rFonts w:asciiTheme="majorHAnsi" w:hAnsiTheme="majorHAnsi"/>
        </w:rPr>
        <w:t>once base level arrangements have been incorporated into industry’s standard operating procedures and become established practice.</w:t>
      </w:r>
      <w:r w:rsidR="00C5794F">
        <w:rPr>
          <w:rFonts w:asciiTheme="majorHAnsi" w:hAnsiTheme="majorHAnsi"/>
        </w:rPr>
        <w:br/>
      </w:r>
    </w:p>
    <w:p w14:paraId="02029D44" w14:textId="76CDC8C9" w:rsidR="00C55548" w:rsidRPr="00647834" w:rsidRDefault="6E6CD5D8" w:rsidP="00C5794F">
      <w:pPr>
        <w:ind w:left="426"/>
        <w:rPr>
          <w:rFonts w:asciiTheme="majorHAnsi" w:hAnsiTheme="majorHAnsi"/>
        </w:rPr>
      </w:pPr>
      <w:r w:rsidRPr="6EEF17EB">
        <w:rPr>
          <w:rFonts w:asciiTheme="majorHAnsi" w:hAnsiTheme="majorHAnsi"/>
        </w:rPr>
        <w:t xml:space="preserve">Attempting to introduce a more </w:t>
      </w:r>
      <w:r w:rsidR="003F0D2E" w:rsidRPr="6EEF17EB">
        <w:rPr>
          <w:rFonts w:asciiTheme="majorHAnsi" w:hAnsiTheme="majorHAnsi"/>
        </w:rPr>
        <w:t>complex system</w:t>
      </w:r>
      <w:r w:rsidRPr="6EEF17EB">
        <w:rPr>
          <w:rFonts w:asciiTheme="majorHAnsi" w:hAnsiTheme="majorHAnsi"/>
        </w:rPr>
        <w:t xml:space="preserve"> may lead to funding and integrity challenges that are likely to undermine successful implementation.  </w:t>
      </w:r>
      <w:r w:rsidR="049270E5" w:rsidRPr="6EEF17EB">
        <w:rPr>
          <w:rFonts w:asciiTheme="majorHAnsi" w:hAnsiTheme="majorHAnsi"/>
        </w:rPr>
        <w:t xml:space="preserve">Mandatory </w:t>
      </w:r>
      <w:r w:rsidR="049270E5">
        <w:t>microchipping complemented by movement records is likely to</w:t>
      </w:r>
      <w:r w:rsidR="003F0D2E">
        <w:t xml:space="preserve"> </w:t>
      </w:r>
      <w:r w:rsidR="049270E5">
        <w:t xml:space="preserve">add </w:t>
      </w:r>
      <w:r w:rsidR="00C55548">
        <w:t>significant</w:t>
      </w:r>
      <w:r w:rsidR="049270E5">
        <w:t xml:space="preserve"> new costs and compliance and integrity issues although </w:t>
      </w:r>
      <w:r w:rsidR="001E5479">
        <w:t>benefits beyond those associated with biosecurity are</w:t>
      </w:r>
      <w:r w:rsidR="049270E5">
        <w:t xml:space="preserve"> likely.</w:t>
      </w:r>
      <w:r w:rsidR="049270E5" w:rsidRPr="6EEF17EB">
        <w:rPr>
          <w:rFonts w:asciiTheme="majorHAnsi" w:hAnsiTheme="majorHAnsi"/>
        </w:rPr>
        <w:t xml:space="preserve">  </w:t>
      </w:r>
    </w:p>
    <w:p w14:paraId="1F7D8CF8" w14:textId="2D89B008" w:rsidR="00C55548" w:rsidRPr="00B024E8" w:rsidRDefault="049270E5" w:rsidP="00C5794F">
      <w:pPr>
        <w:ind w:left="426"/>
        <w:rPr>
          <w:rFonts w:asciiTheme="majorHAnsi" w:hAnsiTheme="majorHAnsi"/>
        </w:rPr>
      </w:pPr>
      <w:r w:rsidRPr="00647834">
        <w:rPr>
          <w:rFonts w:cs="Arial"/>
          <w:color w:val="000000"/>
          <w:shd w:val="clear" w:color="auto" w:fill="FFFFFF"/>
        </w:rPr>
        <w:t xml:space="preserve">If one or more jurisdictions have the view that mandatory microchipping </w:t>
      </w:r>
      <w:r w:rsidRPr="00647834">
        <w:rPr>
          <w:rFonts w:cs="Arial"/>
          <w:color w:val="000000" w:themeColor="text1"/>
        </w:rPr>
        <w:t>of horses</w:t>
      </w:r>
      <w:r w:rsidR="4D494BE3" w:rsidRPr="00647834">
        <w:rPr>
          <w:rFonts w:cs="Arial"/>
          <w:color w:val="000000" w:themeColor="text1"/>
        </w:rPr>
        <w:t xml:space="preserve"> </w:t>
      </w:r>
      <w:r w:rsidRPr="00647834">
        <w:rPr>
          <w:rFonts w:cs="Arial"/>
          <w:color w:val="000000"/>
          <w:shd w:val="clear" w:color="auto" w:fill="FFFFFF"/>
        </w:rPr>
        <w:t xml:space="preserve">and the establishment of a national register need to be explored to address </w:t>
      </w:r>
      <w:r w:rsidR="1BB7F99C" w:rsidRPr="00647834">
        <w:rPr>
          <w:rFonts w:cs="Arial"/>
          <w:color w:val="000000"/>
          <w:shd w:val="clear" w:color="auto" w:fill="FFFFFF"/>
        </w:rPr>
        <w:t>welfare and broader</w:t>
      </w:r>
      <w:r w:rsidR="2BF4B6D9" w:rsidRPr="00647834">
        <w:rPr>
          <w:rFonts w:cs="Arial"/>
          <w:color w:val="000000"/>
          <w:shd w:val="clear" w:color="auto" w:fill="FFFFFF"/>
        </w:rPr>
        <w:t xml:space="preserve"> horse industry and stakeholder needs (</w:t>
      </w:r>
      <w:r w:rsidR="60727BDB" w:rsidRPr="00647834">
        <w:rPr>
          <w:rFonts w:cs="Arial"/>
          <w:color w:val="000000"/>
          <w:shd w:val="clear" w:color="auto" w:fill="FFFFFF"/>
        </w:rPr>
        <w:t>horse theft and</w:t>
      </w:r>
      <w:r w:rsidRPr="00647834">
        <w:rPr>
          <w:rFonts w:cs="Arial"/>
          <w:color w:val="000000"/>
          <w:shd w:val="clear" w:color="auto" w:fill="FFFFFF"/>
        </w:rPr>
        <w:t xml:space="preserve"> monitoring of certain breeds to ensure that they are not transported to abattoirs and knackeries for slaughter</w:t>
      </w:r>
      <w:r w:rsidR="2BF4B6D9" w:rsidRPr="00647834">
        <w:rPr>
          <w:rFonts w:cs="Arial"/>
          <w:color w:val="000000"/>
          <w:shd w:val="clear" w:color="auto" w:fill="FFFFFF"/>
        </w:rPr>
        <w:t xml:space="preserve">), </w:t>
      </w:r>
      <w:r w:rsidRPr="00647834">
        <w:rPr>
          <w:rFonts w:cs="Arial"/>
          <w:color w:val="000000"/>
          <w:shd w:val="clear" w:color="auto" w:fill="FFFFFF"/>
        </w:rPr>
        <w:t xml:space="preserve">then </w:t>
      </w:r>
      <w:r w:rsidR="00E60F13" w:rsidRPr="6EEF17EB">
        <w:rPr>
          <w:rFonts w:cs="Arial"/>
          <w:color w:val="000000" w:themeColor="text1"/>
        </w:rPr>
        <w:t>AMM</w:t>
      </w:r>
      <w:r w:rsidRPr="00647834">
        <w:rPr>
          <w:rFonts w:cs="Arial"/>
          <w:color w:val="000000"/>
          <w:shd w:val="clear" w:color="auto" w:fill="FFFFFF"/>
        </w:rPr>
        <w:t xml:space="preserve"> may wish to expand the Terms of Reference of the proposed </w:t>
      </w:r>
      <w:r w:rsidR="2FDF15C2" w:rsidRPr="6EEF17EB">
        <w:rPr>
          <w:rFonts w:asciiTheme="majorHAnsi" w:hAnsiTheme="majorHAnsi"/>
        </w:rPr>
        <w:t>National Horse Traceability</w:t>
      </w:r>
      <w:r w:rsidR="02871471" w:rsidRPr="6EEF17EB">
        <w:rPr>
          <w:rFonts w:asciiTheme="majorHAnsi" w:hAnsiTheme="majorHAnsi"/>
        </w:rPr>
        <w:t xml:space="preserve"> </w:t>
      </w:r>
      <w:r w:rsidR="2FDF15C2" w:rsidRPr="6EEF17EB">
        <w:rPr>
          <w:rFonts w:asciiTheme="majorHAnsi" w:hAnsiTheme="majorHAnsi"/>
        </w:rPr>
        <w:t>I</w:t>
      </w:r>
      <w:r w:rsidR="02871471" w:rsidRPr="6EEF17EB">
        <w:rPr>
          <w:rFonts w:asciiTheme="majorHAnsi" w:hAnsiTheme="majorHAnsi"/>
        </w:rPr>
        <w:t>mplementation</w:t>
      </w:r>
      <w:r w:rsidR="633566FD" w:rsidRPr="6EEF17EB">
        <w:rPr>
          <w:rFonts w:asciiTheme="majorHAnsi" w:hAnsiTheme="majorHAnsi"/>
        </w:rPr>
        <w:t xml:space="preserve"> </w:t>
      </w:r>
      <w:r w:rsidR="2FDF15C2" w:rsidRPr="6EEF17EB">
        <w:rPr>
          <w:rFonts w:asciiTheme="majorHAnsi" w:hAnsiTheme="majorHAnsi"/>
        </w:rPr>
        <w:t>T</w:t>
      </w:r>
      <w:r w:rsidR="02871471" w:rsidRPr="6EEF17EB">
        <w:rPr>
          <w:rFonts w:asciiTheme="majorHAnsi" w:hAnsiTheme="majorHAnsi"/>
        </w:rPr>
        <w:t>askforce</w:t>
      </w:r>
      <w:r w:rsidR="633566FD" w:rsidRPr="6EEF17EB">
        <w:rPr>
          <w:rFonts w:asciiTheme="majorHAnsi" w:hAnsiTheme="majorHAnsi"/>
        </w:rPr>
        <w:t xml:space="preserve"> (NHTIT</w:t>
      </w:r>
      <w:r w:rsidR="04B93CAC" w:rsidRPr="6EEF17EB">
        <w:rPr>
          <w:rFonts w:asciiTheme="majorHAnsi" w:hAnsiTheme="majorHAnsi"/>
        </w:rPr>
        <w:t>)</w:t>
      </w:r>
      <w:r w:rsidRPr="00647834">
        <w:rPr>
          <w:rFonts w:cs="Arial"/>
          <w:color w:val="000000"/>
          <w:shd w:val="clear" w:color="auto" w:fill="FFFFFF"/>
        </w:rPr>
        <w:t>.</w:t>
      </w:r>
      <w:r w:rsidR="5DBB2610" w:rsidRPr="6EEF17EB">
        <w:rPr>
          <w:rFonts w:asciiTheme="majorHAnsi" w:hAnsiTheme="majorHAnsi"/>
        </w:rPr>
        <w:t xml:space="preserve"> </w:t>
      </w:r>
      <w:r w:rsidR="6E6CD5D8" w:rsidRPr="6EEF17EB">
        <w:rPr>
          <w:rFonts w:asciiTheme="majorHAnsi" w:hAnsiTheme="majorHAnsi"/>
        </w:rPr>
        <w:t xml:space="preserve">This is not to preclude the adding of further features and obligations to the NHTS in the future to enhance its usefulness </w:t>
      </w:r>
      <w:r w:rsidR="001E5479">
        <w:rPr>
          <w:rFonts w:asciiTheme="majorHAnsi" w:hAnsiTheme="majorHAnsi"/>
        </w:rPr>
        <w:t>for purposes other than biosecurity</w:t>
      </w:r>
      <w:r w:rsidR="6E6CD5D8" w:rsidRPr="6EEF17EB">
        <w:rPr>
          <w:rFonts w:asciiTheme="majorHAnsi" w:hAnsiTheme="majorHAnsi"/>
        </w:rPr>
        <w:t xml:space="preserve">.  In this regard, a </w:t>
      </w:r>
      <w:r w:rsidR="00F433F7" w:rsidRPr="6EEF17EB">
        <w:rPr>
          <w:rFonts w:asciiTheme="majorHAnsi" w:hAnsiTheme="majorHAnsi"/>
        </w:rPr>
        <w:t>periodic</w:t>
      </w:r>
      <w:r w:rsidR="6E6CD5D8" w:rsidRPr="6EEF17EB">
        <w:rPr>
          <w:rFonts w:asciiTheme="majorHAnsi" w:hAnsiTheme="majorHAnsi"/>
        </w:rPr>
        <w:t xml:space="preserve"> review is recommended </w:t>
      </w:r>
      <w:r w:rsidR="00935AAE" w:rsidRPr="00C95467">
        <w:rPr>
          <w:rFonts w:asciiTheme="majorHAnsi" w:hAnsiTheme="majorHAnsi"/>
        </w:rPr>
        <w:t>commencing five</w:t>
      </w:r>
      <w:r w:rsidR="6E6CD5D8" w:rsidRPr="00C95467">
        <w:rPr>
          <w:rFonts w:asciiTheme="majorHAnsi" w:hAnsiTheme="majorHAnsi"/>
        </w:rPr>
        <w:t xml:space="preserve"> years</w:t>
      </w:r>
      <w:r w:rsidR="6E6CD5D8" w:rsidRPr="6EEF17EB">
        <w:rPr>
          <w:rFonts w:asciiTheme="majorHAnsi" w:hAnsiTheme="majorHAnsi"/>
        </w:rPr>
        <w:t xml:space="preserve"> after the commencement date of the NHTS</w:t>
      </w:r>
      <w:r w:rsidR="001272E1">
        <w:rPr>
          <w:rFonts w:asciiTheme="majorHAnsi" w:hAnsiTheme="majorHAnsi"/>
        </w:rPr>
        <w:t xml:space="preserve"> focusing on the system’s performance against agreed KPIs</w:t>
      </w:r>
      <w:r w:rsidR="6E6CD5D8" w:rsidRPr="6EEF17EB">
        <w:rPr>
          <w:rFonts w:asciiTheme="majorHAnsi" w:hAnsiTheme="majorHAnsi"/>
        </w:rPr>
        <w:t>.</w:t>
      </w:r>
    </w:p>
    <w:p w14:paraId="0DA5B48C" w14:textId="39B759C5" w:rsidR="008F17B8" w:rsidRPr="00BF549C" w:rsidRDefault="6E6CD5D8" w:rsidP="00C5794F">
      <w:pPr>
        <w:ind w:left="426"/>
      </w:pPr>
      <w:r w:rsidRPr="6EEF17EB">
        <w:rPr>
          <w:rFonts w:asciiTheme="majorHAnsi" w:hAnsiTheme="majorHAnsi"/>
        </w:rPr>
        <w:t xml:space="preserve">Obligations relating to </w:t>
      </w:r>
      <w:r w:rsidR="00935AAE">
        <w:rPr>
          <w:rFonts w:asciiTheme="majorHAnsi" w:hAnsiTheme="majorHAnsi"/>
        </w:rPr>
        <w:t xml:space="preserve">the requirement that properties with horses have </w:t>
      </w:r>
      <w:r w:rsidRPr="6EEF17EB">
        <w:rPr>
          <w:rFonts w:asciiTheme="majorHAnsi" w:hAnsiTheme="majorHAnsi"/>
        </w:rPr>
        <w:t xml:space="preserve">PICs are already in place in all </w:t>
      </w:r>
      <w:r w:rsidR="00100158" w:rsidRPr="6EEF17EB">
        <w:rPr>
          <w:rFonts w:asciiTheme="majorHAnsi" w:hAnsiTheme="majorHAnsi"/>
        </w:rPr>
        <w:t>jurisdictions</w:t>
      </w:r>
      <w:r w:rsidRPr="6EEF17EB">
        <w:rPr>
          <w:rFonts w:asciiTheme="majorHAnsi" w:hAnsiTheme="majorHAnsi"/>
        </w:rPr>
        <w:t xml:space="preserve"> apart from </w:t>
      </w:r>
      <w:r w:rsidR="00FA0A02">
        <w:rPr>
          <w:rFonts w:asciiTheme="majorHAnsi" w:hAnsiTheme="majorHAnsi"/>
        </w:rPr>
        <w:t>Tasmania</w:t>
      </w:r>
      <w:r w:rsidR="00FA0A02" w:rsidRPr="6EEF17EB">
        <w:rPr>
          <w:rFonts w:asciiTheme="majorHAnsi" w:hAnsiTheme="majorHAnsi"/>
        </w:rPr>
        <w:t>,</w:t>
      </w:r>
      <w:r w:rsidRPr="6EEF17EB">
        <w:rPr>
          <w:rFonts w:asciiTheme="majorHAnsi" w:hAnsiTheme="majorHAnsi"/>
        </w:rPr>
        <w:t xml:space="preserve"> and movement information </w:t>
      </w:r>
      <w:r w:rsidR="007C5838">
        <w:rPr>
          <w:rFonts w:asciiTheme="majorHAnsi" w:hAnsiTheme="majorHAnsi"/>
        </w:rPr>
        <w:t xml:space="preserve">is collected </w:t>
      </w:r>
      <w:r w:rsidRPr="6EEF17EB">
        <w:rPr>
          <w:rFonts w:asciiTheme="majorHAnsi" w:hAnsiTheme="majorHAnsi"/>
        </w:rPr>
        <w:t>routinely when horses attend race meetings and equestrian events.</w:t>
      </w:r>
      <w:r w:rsidR="007C1F9A">
        <w:rPr>
          <w:rFonts w:asciiTheme="majorHAnsi" w:hAnsiTheme="majorHAnsi"/>
        </w:rPr>
        <w:t xml:space="preserve">  </w:t>
      </w:r>
      <w:r w:rsidR="00BF549C" w:rsidRPr="00C60A12">
        <w:t xml:space="preserve">The challenge for all jurisdictions and for industry is associated with ensuring that PIC registers are maintained and contain up-to-date information. </w:t>
      </w:r>
    </w:p>
    <w:p w14:paraId="4466C065" w14:textId="77777777" w:rsidR="00C55548" w:rsidRPr="00B024E8" w:rsidRDefault="00C55548" w:rsidP="00EB5EE2">
      <w:pPr>
        <w:pStyle w:val="ListParagraph"/>
        <w:numPr>
          <w:ilvl w:val="0"/>
          <w:numId w:val="36"/>
        </w:numPr>
        <w:spacing w:after="200" w:line="276" w:lineRule="auto"/>
        <w:ind w:left="425" w:hanging="425"/>
        <w:rPr>
          <w:rFonts w:asciiTheme="majorHAnsi" w:hAnsiTheme="majorHAnsi"/>
          <w:b/>
          <w:bCs/>
        </w:rPr>
      </w:pPr>
      <w:bookmarkStart w:id="85" w:name="_Toc92203350"/>
      <w:bookmarkStart w:id="86" w:name="_Toc92203385"/>
      <w:bookmarkStart w:id="87" w:name="_Toc92203963"/>
      <w:bookmarkStart w:id="88" w:name="_Toc92204296"/>
      <w:bookmarkStart w:id="89" w:name="_Toc92204365"/>
      <w:bookmarkStart w:id="90" w:name="_Toc95908535"/>
      <w:r w:rsidRPr="21D9489F">
        <w:rPr>
          <w:rFonts w:asciiTheme="majorHAnsi" w:hAnsiTheme="majorHAnsi"/>
          <w:b/>
          <w:bCs/>
        </w:rPr>
        <w:lastRenderedPageBreak/>
        <w:t>Explore how this system could be expanded to cover working horses and horses used for recreation when and if it is practical to do so, including matters that would need to be addressed in doing so.</w:t>
      </w:r>
      <w:bookmarkEnd w:id="85"/>
      <w:bookmarkEnd w:id="86"/>
      <w:bookmarkEnd w:id="87"/>
      <w:bookmarkEnd w:id="88"/>
      <w:bookmarkEnd w:id="89"/>
      <w:bookmarkEnd w:id="90"/>
    </w:p>
    <w:p w14:paraId="34EFC945" w14:textId="7FED1F09" w:rsidR="00C55548" w:rsidRPr="00375BE2" w:rsidRDefault="6E6CD5D8" w:rsidP="00155F37">
      <w:pPr>
        <w:spacing w:before="240"/>
        <w:ind w:left="426"/>
      </w:pPr>
      <w:r w:rsidRPr="6EEF17EB">
        <w:rPr>
          <w:rFonts w:asciiTheme="majorHAnsi" w:hAnsiTheme="majorHAnsi"/>
        </w:rPr>
        <w:t xml:space="preserve">The </w:t>
      </w:r>
      <w:r w:rsidR="5BF5CADA" w:rsidRPr="6EEF17EB">
        <w:rPr>
          <w:rFonts w:asciiTheme="majorHAnsi" w:hAnsiTheme="majorHAnsi"/>
        </w:rPr>
        <w:t xml:space="preserve">proposed </w:t>
      </w:r>
      <w:r w:rsidRPr="6EEF17EB">
        <w:rPr>
          <w:rFonts w:asciiTheme="majorHAnsi" w:hAnsiTheme="majorHAnsi"/>
        </w:rPr>
        <w:t xml:space="preserve">business rules that the </w:t>
      </w:r>
      <w:r w:rsidR="291BE0D9" w:rsidRPr="6EEF17EB">
        <w:rPr>
          <w:rFonts w:asciiTheme="majorHAnsi" w:hAnsiTheme="majorHAnsi"/>
        </w:rPr>
        <w:t>NHTWG</w:t>
      </w:r>
      <w:r w:rsidR="7BD80E98" w:rsidRPr="6EEF17EB">
        <w:rPr>
          <w:rFonts w:asciiTheme="majorHAnsi" w:hAnsiTheme="majorHAnsi"/>
        </w:rPr>
        <w:t xml:space="preserve"> </w:t>
      </w:r>
      <w:r w:rsidRPr="6EEF17EB">
        <w:rPr>
          <w:rFonts w:asciiTheme="majorHAnsi" w:hAnsiTheme="majorHAnsi"/>
        </w:rPr>
        <w:t>has prepared (</w:t>
      </w:r>
      <w:r w:rsidR="5DDFF65F" w:rsidRPr="6EEF17EB">
        <w:rPr>
          <w:rFonts w:asciiTheme="majorHAnsi" w:hAnsiTheme="majorHAnsi"/>
        </w:rPr>
        <w:t xml:space="preserve">Appendix </w:t>
      </w:r>
      <w:r w:rsidR="1D1C2B5C" w:rsidRPr="6EEF17EB">
        <w:rPr>
          <w:rFonts w:asciiTheme="majorHAnsi" w:hAnsiTheme="majorHAnsi"/>
        </w:rPr>
        <w:t>A</w:t>
      </w:r>
      <w:r w:rsidRPr="6EEF17EB">
        <w:rPr>
          <w:rFonts w:asciiTheme="majorHAnsi" w:hAnsiTheme="majorHAnsi"/>
        </w:rPr>
        <w:t xml:space="preserve">) cover working horses and horses used for recreation, however the proposed obligations on their owners and carers are limited because of the reduced biosecurity risks associated with such horses compared to those associated with horses that move </w:t>
      </w:r>
      <w:r w:rsidR="00C55548" w:rsidRPr="6EEF17EB">
        <w:rPr>
          <w:rFonts w:asciiTheme="majorHAnsi" w:hAnsiTheme="majorHAnsi"/>
        </w:rPr>
        <w:t>frequently</w:t>
      </w:r>
      <w:r w:rsidRPr="6EEF17EB">
        <w:rPr>
          <w:rFonts w:asciiTheme="majorHAnsi" w:hAnsiTheme="majorHAnsi"/>
        </w:rPr>
        <w:t xml:space="preserve"> and/or </w:t>
      </w:r>
      <w:r w:rsidR="00C55548" w:rsidRPr="6EEF17EB">
        <w:rPr>
          <w:rFonts w:asciiTheme="majorHAnsi" w:hAnsiTheme="majorHAnsi"/>
        </w:rPr>
        <w:t>that</w:t>
      </w:r>
      <w:r w:rsidRPr="6EEF17EB">
        <w:rPr>
          <w:rFonts w:asciiTheme="majorHAnsi" w:hAnsiTheme="majorHAnsi"/>
        </w:rPr>
        <w:t xml:space="preserve"> compete regularly.  The most important obligation on the owners and carers of working horses and horses </w:t>
      </w:r>
      <w:r w:rsidR="007C5838">
        <w:rPr>
          <w:rFonts w:asciiTheme="majorHAnsi" w:hAnsiTheme="majorHAnsi"/>
        </w:rPr>
        <w:t xml:space="preserve">that rarely </w:t>
      </w:r>
      <w:r w:rsidR="277BB2FB" w:rsidRPr="6EEF17EB">
        <w:rPr>
          <w:rFonts w:asciiTheme="majorHAnsi" w:hAnsiTheme="majorHAnsi"/>
        </w:rPr>
        <w:t xml:space="preserve">move </w:t>
      </w:r>
      <w:r w:rsidRPr="6EEF17EB">
        <w:rPr>
          <w:rFonts w:asciiTheme="majorHAnsi" w:hAnsiTheme="majorHAnsi"/>
        </w:rPr>
        <w:t>is that the properties on which their horses reside have a PIC</w:t>
      </w:r>
      <w:r w:rsidR="00375BE2" w:rsidRPr="00375BE2">
        <w:t xml:space="preserve"> </w:t>
      </w:r>
      <w:r w:rsidR="00375BE2" w:rsidRPr="00C60A12">
        <w:t>against which is recorded up-to-date information about the location and parcels of land associated with properties, and carers and their contact details</w:t>
      </w:r>
      <w:r w:rsidRPr="6EEF17EB">
        <w:rPr>
          <w:rFonts w:asciiTheme="majorHAnsi" w:hAnsiTheme="majorHAnsi"/>
        </w:rPr>
        <w:t>.</w:t>
      </w:r>
    </w:p>
    <w:p w14:paraId="7F481EA0" w14:textId="7CC58038" w:rsidR="00E00C93" w:rsidRPr="0045631D" w:rsidRDefault="00E34D8A" w:rsidP="0045631D">
      <w:pPr>
        <w:spacing w:before="240"/>
        <w:ind w:left="426"/>
        <w:rPr>
          <w:rFonts w:asciiTheme="majorHAnsi" w:hAnsiTheme="majorHAnsi"/>
        </w:rPr>
      </w:pPr>
      <w:r>
        <w:t xml:space="preserve">This </w:t>
      </w:r>
      <w:r w:rsidR="007C5838">
        <w:t xml:space="preserve">information </w:t>
      </w:r>
      <w:r>
        <w:t xml:space="preserve">will enable authorities to quickly </w:t>
      </w:r>
      <w:r w:rsidR="003D688B">
        <w:t xml:space="preserve">alert carers and </w:t>
      </w:r>
      <w:r>
        <w:t>locate horses that may be at risk</w:t>
      </w:r>
      <w:r w:rsidR="00E66175" w:rsidRPr="00E66175">
        <w:t xml:space="preserve"> </w:t>
      </w:r>
      <w:r w:rsidR="003D688B">
        <w:t xml:space="preserve">during </w:t>
      </w:r>
      <w:r w:rsidR="00E66175">
        <w:t>emergenc</w:t>
      </w:r>
      <w:r w:rsidR="003D688B">
        <w:t>ies and</w:t>
      </w:r>
      <w:r w:rsidR="00E66175">
        <w:t xml:space="preserve"> disease outbreak</w:t>
      </w:r>
      <w:r w:rsidR="003D688B">
        <w:t>s</w:t>
      </w:r>
      <w:r>
        <w:t>.</w:t>
      </w:r>
    </w:p>
    <w:p w14:paraId="6E092917" w14:textId="77777777" w:rsidR="00C55548" w:rsidRPr="00B024E8" w:rsidRDefault="00C55548" w:rsidP="00EB5EE2">
      <w:pPr>
        <w:pStyle w:val="ListParagraph"/>
        <w:numPr>
          <w:ilvl w:val="0"/>
          <w:numId w:val="36"/>
        </w:numPr>
        <w:spacing w:after="200" w:line="276" w:lineRule="auto"/>
        <w:ind w:left="425" w:hanging="425"/>
        <w:rPr>
          <w:rFonts w:asciiTheme="majorHAnsi" w:hAnsiTheme="majorHAnsi"/>
          <w:b/>
          <w:bCs/>
        </w:rPr>
      </w:pPr>
      <w:bookmarkStart w:id="91" w:name="_Toc92203351"/>
      <w:bookmarkStart w:id="92" w:name="_Toc92203386"/>
      <w:bookmarkStart w:id="93" w:name="_Toc92203964"/>
      <w:bookmarkStart w:id="94" w:name="_Toc92204297"/>
      <w:bookmarkStart w:id="95" w:name="_Toc92204366"/>
      <w:bookmarkStart w:id="96" w:name="_Toc95908536"/>
      <w:r w:rsidRPr="21D9489F">
        <w:rPr>
          <w:rFonts w:asciiTheme="majorHAnsi" w:hAnsiTheme="majorHAnsi"/>
          <w:b/>
          <w:bCs/>
        </w:rPr>
        <w:t>In consultation with stakeholders, consider the funding, policy, legal, communications and enforcement challenges for the jurisdictions.</w:t>
      </w:r>
      <w:bookmarkEnd w:id="91"/>
      <w:bookmarkEnd w:id="92"/>
      <w:bookmarkEnd w:id="93"/>
      <w:bookmarkEnd w:id="94"/>
      <w:bookmarkEnd w:id="95"/>
      <w:bookmarkEnd w:id="96"/>
      <w:r w:rsidRPr="21D9489F">
        <w:rPr>
          <w:rFonts w:asciiTheme="majorHAnsi" w:hAnsiTheme="majorHAnsi"/>
          <w:b/>
          <w:bCs/>
        </w:rPr>
        <w:t xml:space="preserve"> </w:t>
      </w:r>
    </w:p>
    <w:p w14:paraId="0D4F13F9" w14:textId="782E6355" w:rsidR="003059AE" w:rsidRDefault="6E6CD5D8" w:rsidP="00155F37">
      <w:pPr>
        <w:ind w:left="426"/>
        <w:rPr>
          <w:rFonts w:asciiTheme="majorHAnsi" w:hAnsiTheme="majorHAnsi"/>
          <w:b/>
          <w:bCs/>
        </w:rPr>
      </w:pPr>
      <w:bookmarkStart w:id="97" w:name="_Toc92203352"/>
      <w:bookmarkStart w:id="98" w:name="_Toc92203387"/>
      <w:bookmarkStart w:id="99" w:name="_Toc92203965"/>
      <w:r w:rsidRPr="6EEF17EB">
        <w:rPr>
          <w:rFonts w:asciiTheme="majorHAnsi" w:hAnsiTheme="majorHAnsi"/>
        </w:rPr>
        <w:t xml:space="preserve">In advance of the commencement of the proposed NHTS, communication and </w:t>
      </w:r>
      <w:r w:rsidR="003059AE" w:rsidRPr="6EEF17EB">
        <w:rPr>
          <w:rFonts w:asciiTheme="majorHAnsi" w:hAnsiTheme="majorHAnsi"/>
        </w:rPr>
        <w:t>education will</w:t>
      </w:r>
      <w:r w:rsidRPr="6EEF17EB">
        <w:rPr>
          <w:rFonts w:asciiTheme="majorHAnsi" w:hAnsiTheme="majorHAnsi"/>
        </w:rPr>
        <w:t xml:space="preserve"> be essential to ensure stakeholders understand their legal obligations and</w:t>
      </w:r>
      <w:r w:rsidR="00C55548" w:rsidRPr="6EEF17EB">
        <w:rPr>
          <w:rFonts w:asciiTheme="majorHAnsi" w:hAnsiTheme="majorHAnsi"/>
        </w:rPr>
        <w:t xml:space="preserve"> the reasons</w:t>
      </w:r>
      <w:r w:rsidRPr="6EEF17EB">
        <w:rPr>
          <w:rFonts w:asciiTheme="majorHAnsi" w:hAnsiTheme="majorHAnsi"/>
        </w:rPr>
        <w:t xml:space="preserve"> why compliance with NHTS requirements is important.</w:t>
      </w:r>
      <w:bookmarkEnd w:id="97"/>
      <w:bookmarkEnd w:id="98"/>
      <w:bookmarkEnd w:id="99"/>
      <w:r w:rsidRPr="6EEF17EB">
        <w:rPr>
          <w:rFonts w:asciiTheme="majorHAnsi" w:hAnsiTheme="majorHAnsi"/>
        </w:rPr>
        <w:t xml:space="preserve">  </w:t>
      </w:r>
      <w:bookmarkStart w:id="100" w:name="_Toc92203353"/>
      <w:bookmarkStart w:id="101" w:name="_Toc92203388"/>
      <w:bookmarkStart w:id="102" w:name="_Toc92203966"/>
    </w:p>
    <w:p w14:paraId="6B283902" w14:textId="5D809EB4" w:rsidR="003059AE" w:rsidRDefault="00DD31AC" w:rsidP="00155F37">
      <w:pPr>
        <w:ind w:left="426"/>
        <w:rPr>
          <w:rFonts w:asciiTheme="majorHAnsi" w:hAnsiTheme="majorHAnsi"/>
        </w:rPr>
      </w:pPr>
      <w:r w:rsidRPr="6EEF17EB">
        <w:rPr>
          <w:rFonts w:asciiTheme="majorHAnsi" w:hAnsiTheme="majorHAnsi"/>
        </w:rPr>
        <w:t>Education</w:t>
      </w:r>
      <w:r w:rsidR="6E6CD5D8" w:rsidRPr="6EEF17EB">
        <w:rPr>
          <w:rFonts w:asciiTheme="majorHAnsi" w:hAnsiTheme="majorHAnsi"/>
        </w:rPr>
        <w:t xml:space="preserve"> efforts should be ongoing, with industry and government working cooperatively on the production and distribution of communications material.  </w:t>
      </w:r>
      <w:bookmarkStart w:id="103" w:name="_Toc92203354"/>
      <w:bookmarkStart w:id="104" w:name="_Toc92203389"/>
      <w:bookmarkStart w:id="105" w:name="_Toc92203967"/>
      <w:bookmarkStart w:id="106" w:name="_Toc92204298"/>
      <w:bookmarkStart w:id="107" w:name="_Toc92204367"/>
      <w:bookmarkStart w:id="108" w:name="_Toc95908537"/>
      <w:bookmarkEnd w:id="100"/>
      <w:bookmarkEnd w:id="101"/>
      <w:bookmarkEnd w:id="102"/>
    </w:p>
    <w:p w14:paraId="2998506F" w14:textId="2A5535A2" w:rsidR="00FD3D3F" w:rsidRPr="003059AE" w:rsidRDefault="00FD3D3F" w:rsidP="00155F37">
      <w:pPr>
        <w:ind w:left="426"/>
        <w:rPr>
          <w:rFonts w:asciiTheme="majorHAnsi" w:hAnsiTheme="majorHAnsi"/>
          <w:b/>
          <w:bCs/>
        </w:rPr>
      </w:pPr>
      <w:r>
        <w:rPr>
          <w:color w:val="000000"/>
          <w:shd w:val="clear" w:color="auto" w:fill="FFFFFF"/>
        </w:rPr>
        <w:t xml:space="preserve">An important consideration for the NHTWG is the mechanism through which further work on the development and introduction of a NHTS should be progressed.   NHTWG considers that the vehicle for this work should be a taskforce led by industry with membership available to representatives from the Commonwealth and jurisdictions.   The suggested name for this taskforce is the </w:t>
      </w:r>
      <w:r w:rsidRPr="00BF0CBD">
        <w:t>National Horse Traceability Implementation Taskforce (NHTIT)</w:t>
      </w:r>
      <w:r>
        <w:t xml:space="preserve"> (see Section </w:t>
      </w:r>
      <w:r w:rsidR="00535C66">
        <w:t>6</w:t>
      </w:r>
      <w:r>
        <w:t xml:space="preserve"> of this report</w:t>
      </w:r>
      <w:r w:rsidR="00535C66">
        <w:t xml:space="preserve"> for further information on the role of the NHTIT)</w:t>
      </w:r>
      <w:r>
        <w:t xml:space="preserve">.  </w:t>
      </w:r>
    </w:p>
    <w:p w14:paraId="48B9D667" w14:textId="72BC75A0" w:rsidR="00C55548" w:rsidRPr="003059AE" w:rsidRDefault="00C55548" w:rsidP="00806889">
      <w:pPr>
        <w:pStyle w:val="ListParagraph"/>
        <w:numPr>
          <w:ilvl w:val="0"/>
          <w:numId w:val="36"/>
        </w:numPr>
        <w:spacing w:after="200" w:line="276" w:lineRule="auto"/>
        <w:ind w:left="426" w:hanging="426"/>
        <w:rPr>
          <w:rFonts w:asciiTheme="majorHAnsi" w:hAnsiTheme="majorHAnsi"/>
          <w:b/>
          <w:bCs/>
        </w:rPr>
      </w:pPr>
      <w:r w:rsidRPr="003059AE">
        <w:rPr>
          <w:rFonts w:asciiTheme="majorHAnsi" w:hAnsiTheme="majorHAnsi"/>
          <w:b/>
          <w:bCs/>
        </w:rPr>
        <w:t>In consultation with stakeholders, advise on:</w:t>
      </w:r>
      <w:bookmarkEnd w:id="103"/>
      <w:bookmarkEnd w:id="104"/>
      <w:bookmarkEnd w:id="105"/>
      <w:bookmarkEnd w:id="106"/>
      <w:bookmarkEnd w:id="107"/>
      <w:bookmarkEnd w:id="108"/>
    </w:p>
    <w:p w14:paraId="1C6316C5" w14:textId="77777777" w:rsidR="00C55548" w:rsidRPr="00B024E8" w:rsidRDefault="00C55548" w:rsidP="00D71B61">
      <w:pPr>
        <w:pStyle w:val="ListParagraph"/>
        <w:numPr>
          <w:ilvl w:val="1"/>
          <w:numId w:val="75"/>
        </w:numPr>
        <w:shd w:val="clear" w:color="auto" w:fill="FFFFFF"/>
        <w:tabs>
          <w:tab w:val="left" w:pos="1843"/>
        </w:tabs>
        <w:spacing w:after="200" w:line="276" w:lineRule="auto"/>
        <w:ind w:left="851"/>
        <w:contextualSpacing/>
        <w:rPr>
          <w:rFonts w:asciiTheme="majorHAnsi" w:hAnsiTheme="majorHAnsi" w:cstheme="minorHAnsi"/>
          <w:b/>
          <w:bCs/>
          <w:i/>
          <w:iCs/>
        </w:rPr>
      </w:pPr>
      <w:r w:rsidRPr="00B024E8">
        <w:rPr>
          <w:rFonts w:asciiTheme="majorHAnsi" w:hAnsiTheme="majorHAnsi" w:cstheme="minorHAnsi"/>
          <w:b/>
          <w:bCs/>
          <w:i/>
          <w:iCs/>
        </w:rPr>
        <w:t>Preferred horse identification, registration and database management arrangements including funding, legal and data access considerations,</w:t>
      </w:r>
    </w:p>
    <w:p w14:paraId="206D45E1" w14:textId="77777777" w:rsidR="00C55548" w:rsidRPr="00B024E8" w:rsidRDefault="00C55548" w:rsidP="00D71B61">
      <w:pPr>
        <w:pStyle w:val="ListParagraph"/>
        <w:numPr>
          <w:ilvl w:val="1"/>
          <w:numId w:val="75"/>
        </w:numPr>
        <w:shd w:val="clear" w:color="auto" w:fill="FFFFFF"/>
        <w:tabs>
          <w:tab w:val="left" w:pos="1843"/>
        </w:tabs>
        <w:spacing w:after="200" w:line="276" w:lineRule="auto"/>
        <w:ind w:left="851"/>
        <w:contextualSpacing/>
        <w:rPr>
          <w:rFonts w:asciiTheme="majorHAnsi" w:hAnsiTheme="majorHAnsi" w:cstheme="minorHAnsi"/>
          <w:b/>
          <w:bCs/>
          <w:i/>
          <w:iCs/>
        </w:rPr>
      </w:pPr>
      <w:r w:rsidRPr="00B024E8">
        <w:rPr>
          <w:rFonts w:asciiTheme="majorHAnsi" w:hAnsiTheme="majorHAnsi" w:cstheme="minorHAnsi"/>
          <w:b/>
          <w:bCs/>
          <w:i/>
          <w:iCs/>
        </w:rPr>
        <w:t>Business rules relating to data collection and reporting applicable to each industry sector,</w:t>
      </w:r>
    </w:p>
    <w:p w14:paraId="7FE2C9DC" w14:textId="1A13044C" w:rsidR="00C55548" w:rsidRPr="00B4311F" w:rsidRDefault="00C55548" w:rsidP="00D71B61">
      <w:pPr>
        <w:pStyle w:val="ListParagraph"/>
        <w:numPr>
          <w:ilvl w:val="1"/>
          <w:numId w:val="75"/>
        </w:numPr>
        <w:shd w:val="clear" w:color="auto" w:fill="FFFFFF"/>
        <w:tabs>
          <w:tab w:val="left" w:pos="1843"/>
        </w:tabs>
        <w:spacing w:after="200" w:line="276" w:lineRule="auto"/>
        <w:ind w:left="851"/>
        <w:contextualSpacing/>
        <w:rPr>
          <w:rFonts w:asciiTheme="majorHAnsi" w:hAnsiTheme="majorHAnsi" w:cstheme="minorHAnsi"/>
          <w:b/>
          <w:bCs/>
          <w:i/>
          <w:iCs/>
        </w:rPr>
      </w:pPr>
      <w:r w:rsidRPr="00B024E8">
        <w:rPr>
          <w:rFonts w:asciiTheme="majorHAnsi" w:hAnsiTheme="majorHAnsi" w:cstheme="minorHAnsi"/>
          <w:b/>
          <w:bCs/>
          <w:i/>
          <w:iCs/>
        </w:rPr>
        <w:t>The register’s role in the management of emergency animal diseases, natural disaster preparedness, rider safety, and horse theft.</w:t>
      </w:r>
    </w:p>
    <w:p w14:paraId="3A66EEF7" w14:textId="41B36AE7" w:rsidR="00C55548" w:rsidRPr="00B024E8" w:rsidRDefault="6E6CD5D8" w:rsidP="00155F37">
      <w:pPr>
        <w:spacing w:before="240"/>
        <w:ind w:left="426"/>
        <w:rPr>
          <w:rFonts w:asciiTheme="majorHAnsi" w:hAnsiTheme="majorHAnsi"/>
        </w:rPr>
      </w:pPr>
      <w:r w:rsidRPr="6EEF17EB">
        <w:rPr>
          <w:rFonts w:asciiTheme="majorHAnsi" w:hAnsiTheme="majorHAnsi"/>
        </w:rPr>
        <w:t xml:space="preserve">The NHTS proposed by the </w:t>
      </w:r>
      <w:r w:rsidR="291BE0D9" w:rsidRPr="6EEF17EB">
        <w:rPr>
          <w:rFonts w:asciiTheme="majorHAnsi" w:hAnsiTheme="majorHAnsi"/>
        </w:rPr>
        <w:t>NHTWG</w:t>
      </w:r>
      <w:r w:rsidR="7BD80E98" w:rsidRPr="6EEF17EB">
        <w:rPr>
          <w:rFonts w:asciiTheme="majorHAnsi" w:hAnsiTheme="majorHAnsi"/>
        </w:rPr>
        <w:t xml:space="preserve"> </w:t>
      </w:r>
      <w:r w:rsidRPr="6EEF17EB">
        <w:rPr>
          <w:rFonts w:asciiTheme="majorHAnsi" w:hAnsiTheme="majorHAnsi"/>
        </w:rPr>
        <w:t>will utilise</w:t>
      </w:r>
      <w:r w:rsidR="660993BE" w:rsidRPr="6EEF17EB">
        <w:rPr>
          <w:rFonts w:asciiTheme="majorHAnsi" w:hAnsiTheme="majorHAnsi"/>
        </w:rPr>
        <w:t xml:space="preserve"> existing</w:t>
      </w:r>
      <w:r w:rsidRPr="6EEF17EB">
        <w:rPr>
          <w:rFonts w:asciiTheme="majorHAnsi" w:hAnsiTheme="majorHAnsi"/>
        </w:rPr>
        <w:t xml:space="preserve"> jurisdictional property identification </w:t>
      </w:r>
      <w:r w:rsidR="00CF701B">
        <w:rPr>
          <w:rFonts w:asciiTheme="majorHAnsi" w:hAnsiTheme="majorHAnsi"/>
        </w:rPr>
        <w:t xml:space="preserve">code </w:t>
      </w:r>
      <w:r w:rsidR="00FD3D3F">
        <w:rPr>
          <w:rFonts w:asciiTheme="majorHAnsi" w:hAnsiTheme="majorHAnsi"/>
        </w:rPr>
        <w:t xml:space="preserve">(PIC) </w:t>
      </w:r>
      <w:r w:rsidRPr="6EEF17EB">
        <w:rPr>
          <w:rFonts w:asciiTheme="majorHAnsi" w:hAnsiTheme="majorHAnsi"/>
        </w:rPr>
        <w:t xml:space="preserve">registers and existing industry animal movement recording systems and identification registers.  A central movement database for horses where every movement of a horse between two properties (PICs), including to and from a racetrack, show, stud veterinary clinic, abattoir or knackery </w:t>
      </w:r>
      <w:r w:rsidR="660993BE" w:rsidRPr="6EEF17EB">
        <w:rPr>
          <w:rFonts w:asciiTheme="majorHAnsi" w:hAnsiTheme="majorHAnsi"/>
        </w:rPr>
        <w:t>must be</w:t>
      </w:r>
      <w:r w:rsidRPr="6EEF17EB">
        <w:rPr>
          <w:rFonts w:asciiTheme="majorHAnsi" w:hAnsiTheme="majorHAnsi"/>
        </w:rPr>
        <w:t xml:space="preserve"> recorded, would be very expensive to establish and operate.  Monitoring and enforcement costs </w:t>
      </w:r>
      <w:r w:rsidR="00FD3D3F">
        <w:rPr>
          <w:rFonts w:asciiTheme="majorHAnsi" w:hAnsiTheme="majorHAnsi"/>
        </w:rPr>
        <w:t xml:space="preserve">as documented by KPMG </w:t>
      </w:r>
      <w:r w:rsidRPr="6EEF17EB">
        <w:rPr>
          <w:rFonts w:asciiTheme="majorHAnsi" w:hAnsiTheme="majorHAnsi"/>
        </w:rPr>
        <w:t xml:space="preserve">would </w:t>
      </w:r>
      <w:r w:rsidR="00026795">
        <w:rPr>
          <w:rFonts w:asciiTheme="majorHAnsi" w:hAnsiTheme="majorHAnsi"/>
        </w:rPr>
        <w:t xml:space="preserve">also </w:t>
      </w:r>
      <w:r w:rsidRPr="6EEF17EB">
        <w:rPr>
          <w:rFonts w:asciiTheme="majorHAnsi" w:hAnsiTheme="majorHAnsi"/>
        </w:rPr>
        <w:t xml:space="preserve">be prohibitive.  Alternatively, if as proposed by the </w:t>
      </w:r>
      <w:r w:rsidR="291BE0D9" w:rsidRPr="6EEF17EB">
        <w:rPr>
          <w:rFonts w:asciiTheme="majorHAnsi" w:hAnsiTheme="majorHAnsi"/>
        </w:rPr>
        <w:t>NHTWG</w:t>
      </w:r>
      <w:r w:rsidRPr="6EEF17EB">
        <w:rPr>
          <w:rFonts w:asciiTheme="majorHAnsi" w:hAnsiTheme="majorHAnsi"/>
        </w:rPr>
        <w:t xml:space="preserve">, records are created and </w:t>
      </w:r>
      <w:r w:rsidRPr="6EEF17EB">
        <w:rPr>
          <w:rFonts w:asciiTheme="majorHAnsi" w:hAnsiTheme="majorHAnsi"/>
        </w:rPr>
        <w:lastRenderedPageBreak/>
        <w:t xml:space="preserve">kept at an enterprise/venue level, the regulatory burden will be minimal and the prompt tracking of horses during disease incidents should be achievable. </w:t>
      </w:r>
    </w:p>
    <w:p w14:paraId="19EA3EE4" w14:textId="77777777" w:rsidR="00C55548" w:rsidRPr="00B024E8" w:rsidRDefault="00C55548" w:rsidP="00C55548">
      <w:pPr>
        <w:shd w:val="clear" w:color="auto" w:fill="FFFFFF"/>
        <w:spacing w:after="0" w:line="240" w:lineRule="auto"/>
        <w:rPr>
          <w:rFonts w:asciiTheme="majorHAnsi" w:hAnsiTheme="majorHAnsi" w:cstheme="minorHAnsi"/>
          <w:i/>
          <w:iCs/>
        </w:rPr>
      </w:pPr>
    </w:p>
    <w:p w14:paraId="4A7B7D68" w14:textId="77777777" w:rsidR="00C55548" w:rsidRPr="00B024E8" w:rsidRDefault="00C55548" w:rsidP="00D71B61">
      <w:pPr>
        <w:pStyle w:val="ListParagraph"/>
        <w:numPr>
          <w:ilvl w:val="0"/>
          <w:numId w:val="36"/>
        </w:numPr>
        <w:spacing w:after="200" w:line="276" w:lineRule="auto"/>
        <w:ind w:left="425" w:hanging="425"/>
        <w:rPr>
          <w:rFonts w:asciiTheme="majorHAnsi" w:hAnsiTheme="majorHAnsi"/>
          <w:b/>
          <w:bCs/>
        </w:rPr>
      </w:pPr>
      <w:bookmarkStart w:id="109" w:name="_Toc92203355"/>
      <w:bookmarkStart w:id="110" w:name="_Toc92203390"/>
      <w:bookmarkStart w:id="111" w:name="_Toc92203968"/>
      <w:bookmarkStart w:id="112" w:name="_Toc92204299"/>
      <w:bookmarkStart w:id="113" w:name="_Toc92204368"/>
      <w:bookmarkStart w:id="114" w:name="_Toc95908538"/>
      <w:r w:rsidRPr="21D9489F">
        <w:rPr>
          <w:rFonts w:asciiTheme="majorHAnsi" w:hAnsiTheme="majorHAnsi"/>
          <w:b/>
          <w:bCs/>
        </w:rPr>
        <w:t>In consultation with stakeholders, develop an indicative timetable for the introduction of a system, initially for the commercial horse sector.</w:t>
      </w:r>
      <w:bookmarkEnd w:id="109"/>
      <w:bookmarkEnd w:id="110"/>
      <w:bookmarkEnd w:id="111"/>
      <w:bookmarkEnd w:id="112"/>
      <w:bookmarkEnd w:id="113"/>
      <w:bookmarkEnd w:id="114"/>
      <w:r w:rsidRPr="21D9489F">
        <w:rPr>
          <w:rFonts w:asciiTheme="majorHAnsi" w:hAnsiTheme="majorHAnsi"/>
          <w:b/>
          <w:bCs/>
        </w:rPr>
        <w:t xml:space="preserve"> </w:t>
      </w:r>
    </w:p>
    <w:p w14:paraId="1F2DD9A7" w14:textId="2BD8F1EB" w:rsidR="008C47F9" w:rsidRPr="00736627" w:rsidRDefault="00F64281" w:rsidP="00155F37">
      <w:pPr>
        <w:spacing w:before="240"/>
        <w:ind w:left="426"/>
        <w:rPr>
          <w:rFonts w:asciiTheme="majorHAnsi" w:hAnsiTheme="majorHAnsi"/>
          <w:b/>
          <w:bCs/>
        </w:rPr>
      </w:pPr>
      <w:bookmarkStart w:id="115" w:name="_Toc92203356"/>
      <w:bookmarkStart w:id="116" w:name="_Toc92203391"/>
      <w:bookmarkStart w:id="117" w:name="_Toc92203969"/>
      <w:r>
        <w:rPr>
          <w:rFonts w:asciiTheme="majorHAnsi" w:hAnsiTheme="majorHAnsi"/>
        </w:rPr>
        <w:t xml:space="preserve">Subject to agreement between industry and the </w:t>
      </w:r>
      <w:r w:rsidR="00E36B92">
        <w:rPr>
          <w:rFonts w:asciiTheme="majorHAnsi" w:hAnsiTheme="majorHAnsi"/>
        </w:rPr>
        <w:t>jurisdictions</w:t>
      </w:r>
      <w:r>
        <w:rPr>
          <w:rFonts w:asciiTheme="majorHAnsi" w:hAnsiTheme="majorHAnsi"/>
        </w:rPr>
        <w:t xml:space="preserve"> regarding funding for both implementation and on</w:t>
      </w:r>
      <w:r w:rsidR="005A4875">
        <w:rPr>
          <w:rFonts w:asciiTheme="majorHAnsi" w:hAnsiTheme="majorHAnsi"/>
        </w:rPr>
        <w:t xml:space="preserve">going system maintenance, </w:t>
      </w:r>
      <w:r w:rsidR="003D688B">
        <w:rPr>
          <w:rFonts w:asciiTheme="majorHAnsi" w:hAnsiTheme="majorHAnsi"/>
        </w:rPr>
        <w:t>t</w:t>
      </w:r>
      <w:r w:rsidR="00C55548" w:rsidRPr="3B8424AC">
        <w:rPr>
          <w:rFonts w:asciiTheme="majorHAnsi" w:hAnsiTheme="majorHAnsi"/>
        </w:rPr>
        <w:t xml:space="preserve">he </w:t>
      </w:r>
      <w:r w:rsidR="00A3032D" w:rsidRPr="3B8424AC">
        <w:rPr>
          <w:rFonts w:asciiTheme="majorHAnsi" w:hAnsiTheme="majorHAnsi"/>
        </w:rPr>
        <w:t>NHTWG</w:t>
      </w:r>
      <w:r w:rsidR="008243C2" w:rsidRPr="3B8424AC">
        <w:rPr>
          <w:rFonts w:asciiTheme="majorHAnsi" w:hAnsiTheme="majorHAnsi"/>
        </w:rPr>
        <w:t xml:space="preserve"> </w:t>
      </w:r>
      <w:r w:rsidR="00C55548" w:rsidRPr="3B8424AC">
        <w:rPr>
          <w:rFonts w:asciiTheme="majorHAnsi" w:hAnsiTheme="majorHAnsi"/>
        </w:rPr>
        <w:t>considers that it is feasible for</w:t>
      </w:r>
      <w:r w:rsidR="005A4875">
        <w:rPr>
          <w:rFonts w:asciiTheme="majorHAnsi" w:hAnsiTheme="majorHAnsi"/>
        </w:rPr>
        <w:t xml:space="preserve"> </w:t>
      </w:r>
      <w:r w:rsidR="00E36B92">
        <w:rPr>
          <w:rFonts w:asciiTheme="majorHAnsi" w:hAnsiTheme="majorHAnsi"/>
        </w:rPr>
        <w:t>enabling legislation to support the</w:t>
      </w:r>
      <w:r w:rsidR="00C55548" w:rsidRPr="3B8424AC">
        <w:rPr>
          <w:rFonts w:asciiTheme="majorHAnsi" w:hAnsiTheme="majorHAnsi"/>
        </w:rPr>
        <w:t xml:space="preserve"> NHTS to be</w:t>
      </w:r>
      <w:r w:rsidR="00E36B92">
        <w:rPr>
          <w:rFonts w:asciiTheme="majorHAnsi" w:hAnsiTheme="majorHAnsi"/>
        </w:rPr>
        <w:t xml:space="preserve"> in place in each jurisdiction by</w:t>
      </w:r>
      <w:r w:rsidR="00C55548" w:rsidRPr="3B8424AC">
        <w:rPr>
          <w:rFonts w:asciiTheme="majorHAnsi" w:hAnsiTheme="majorHAnsi"/>
        </w:rPr>
        <w:t xml:space="preserve"> </w:t>
      </w:r>
      <w:r w:rsidR="00C55548" w:rsidRPr="00C95467">
        <w:rPr>
          <w:rFonts w:asciiTheme="majorHAnsi" w:hAnsiTheme="majorHAnsi"/>
        </w:rPr>
        <w:t xml:space="preserve">1 January </w:t>
      </w:r>
      <w:r w:rsidR="003D688B" w:rsidRPr="00C95467">
        <w:rPr>
          <w:rFonts w:asciiTheme="majorHAnsi" w:hAnsiTheme="majorHAnsi"/>
        </w:rPr>
        <w:t>202</w:t>
      </w:r>
      <w:r w:rsidR="00EE50CD" w:rsidRPr="00C95467">
        <w:rPr>
          <w:rFonts w:asciiTheme="majorHAnsi" w:hAnsiTheme="majorHAnsi"/>
        </w:rPr>
        <w:t>5</w:t>
      </w:r>
      <w:r w:rsidR="00C55548" w:rsidRPr="00C95467">
        <w:rPr>
          <w:rFonts w:asciiTheme="majorHAnsi" w:hAnsiTheme="majorHAnsi"/>
        </w:rPr>
        <w:t>.  The tasks that will need to be completed over the coming year</w:t>
      </w:r>
      <w:r w:rsidR="00596E34" w:rsidRPr="00C95467">
        <w:rPr>
          <w:rFonts w:asciiTheme="majorHAnsi" w:hAnsiTheme="majorHAnsi"/>
        </w:rPr>
        <w:t>s</w:t>
      </w:r>
      <w:r w:rsidR="00C55548" w:rsidRPr="00C95467">
        <w:rPr>
          <w:rFonts w:asciiTheme="majorHAnsi" w:hAnsiTheme="majorHAnsi"/>
        </w:rPr>
        <w:t xml:space="preserve"> in pre</w:t>
      </w:r>
      <w:r w:rsidR="00C55548" w:rsidRPr="3B8424AC">
        <w:rPr>
          <w:rFonts w:asciiTheme="majorHAnsi" w:hAnsiTheme="majorHAnsi"/>
        </w:rPr>
        <w:t xml:space="preserve">paration for the commencement date essentially involve </w:t>
      </w:r>
      <w:r w:rsidR="007B4F8C">
        <w:rPr>
          <w:rFonts w:asciiTheme="majorHAnsi" w:hAnsiTheme="majorHAnsi"/>
        </w:rPr>
        <w:t xml:space="preserve">securing agreement on funding and </w:t>
      </w:r>
      <w:r w:rsidR="00C55548" w:rsidRPr="3B8424AC">
        <w:rPr>
          <w:rFonts w:asciiTheme="majorHAnsi" w:hAnsiTheme="majorHAnsi"/>
        </w:rPr>
        <w:t>standardising existing industry arrangements to align with the obligations outlined in the business rules and the enacting of enabling and harmonised Regulations and Orders</w:t>
      </w:r>
      <w:r w:rsidR="003D688B">
        <w:rPr>
          <w:rFonts w:asciiTheme="majorHAnsi" w:hAnsiTheme="majorHAnsi"/>
        </w:rPr>
        <w:t xml:space="preserve"> in all jurisdictions</w:t>
      </w:r>
      <w:r w:rsidR="00C55548" w:rsidRPr="3B8424AC">
        <w:rPr>
          <w:rFonts w:asciiTheme="majorHAnsi" w:hAnsiTheme="majorHAnsi"/>
        </w:rPr>
        <w:t>.</w:t>
      </w:r>
      <w:bookmarkEnd w:id="115"/>
      <w:bookmarkEnd w:id="116"/>
      <w:bookmarkEnd w:id="117"/>
    </w:p>
    <w:p w14:paraId="2815E170" w14:textId="77777777" w:rsidR="00FA1F37" w:rsidRPr="00E04D7C" w:rsidRDefault="00FA1F37" w:rsidP="00E04D7C">
      <w:pPr>
        <w:rPr>
          <w:lang w:eastAsia="ja-JP"/>
        </w:rPr>
      </w:pPr>
      <w:bookmarkStart w:id="118" w:name="_Toc92203359"/>
    </w:p>
    <w:bookmarkEnd w:id="118"/>
    <w:p w14:paraId="5AD046A6" w14:textId="77777777" w:rsidR="00273A00" w:rsidRPr="007E493D" w:rsidRDefault="00273A00" w:rsidP="00372B12">
      <w:pPr>
        <w:spacing w:after="120" w:line="23" w:lineRule="atLeast"/>
        <w:rPr>
          <w:i/>
          <w:iCs/>
          <w:color w:val="00B050"/>
          <w:sz w:val="32"/>
          <w:szCs w:val="32"/>
          <w:lang w:eastAsia="ja-JP"/>
        </w:rPr>
      </w:pPr>
    </w:p>
    <w:p w14:paraId="0E43395F" w14:textId="24F62F7A" w:rsidR="00F91465" w:rsidRPr="00E437CA" w:rsidRDefault="00F91465" w:rsidP="0052494F">
      <w:pPr>
        <w:pStyle w:val="Heading2"/>
        <w:numPr>
          <w:ilvl w:val="0"/>
          <w:numId w:val="0"/>
        </w:numPr>
        <w:ind w:left="284"/>
        <w:rPr>
          <w:rFonts w:asciiTheme="majorHAnsi" w:hAnsiTheme="majorHAnsi"/>
        </w:rPr>
      </w:pPr>
      <w:bookmarkStart w:id="119" w:name="_Toc92203360"/>
      <w:bookmarkStart w:id="120" w:name="_Toc121397584"/>
      <w:r w:rsidRPr="00E437CA">
        <w:rPr>
          <w:rFonts w:asciiTheme="majorHAnsi" w:hAnsiTheme="majorHAnsi"/>
        </w:rPr>
        <w:lastRenderedPageBreak/>
        <w:t>Appendi</w:t>
      </w:r>
      <w:r w:rsidR="00BE6A1E" w:rsidRPr="00E437CA">
        <w:rPr>
          <w:rFonts w:asciiTheme="majorHAnsi" w:hAnsiTheme="majorHAnsi"/>
        </w:rPr>
        <w:t>x A</w:t>
      </w:r>
      <w:bookmarkEnd w:id="119"/>
      <w:bookmarkEnd w:id="120"/>
    </w:p>
    <w:p w14:paraId="0A309FDA" w14:textId="77777777" w:rsidR="008A6084" w:rsidRPr="00032F14" w:rsidRDefault="008A6084" w:rsidP="00032F14">
      <w:pPr>
        <w:pStyle w:val="Heading3"/>
        <w:numPr>
          <w:ilvl w:val="1"/>
          <w:numId w:val="0"/>
        </w:numPr>
        <w:spacing w:after="120"/>
        <w:rPr>
          <w:rFonts w:asciiTheme="majorHAnsi" w:hAnsiTheme="majorHAnsi"/>
          <w:sz w:val="22"/>
          <w:szCs w:val="22"/>
          <w:lang w:eastAsia="ja-JP"/>
        </w:rPr>
      </w:pPr>
      <w:bookmarkStart w:id="121" w:name="_Appendix_A"/>
      <w:bookmarkStart w:id="122" w:name="_Toc121397585"/>
      <w:bookmarkEnd w:id="121"/>
      <w:r w:rsidRPr="00032F14">
        <w:rPr>
          <w:rFonts w:asciiTheme="majorHAnsi" w:hAnsiTheme="majorHAnsi"/>
          <w:sz w:val="22"/>
          <w:szCs w:val="22"/>
          <w:lang w:eastAsia="ja-JP"/>
        </w:rPr>
        <w:t>Proposed Business Rules to support a National Horse Traceability System</w:t>
      </w:r>
      <w:bookmarkEnd w:id="122"/>
      <w:r w:rsidRPr="00032F14">
        <w:rPr>
          <w:rFonts w:asciiTheme="majorHAnsi" w:hAnsiTheme="majorHAnsi"/>
          <w:sz w:val="22"/>
          <w:szCs w:val="22"/>
          <w:lang w:eastAsia="ja-JP"/>
        </w:rPr>
        <w:t xml:space="preserve"> </w:t>
      </w:r>
    </w:p>
    <w:p w14:paraId="06713143" w14:textId="77777777" w:rsidR="008A6084" w:rsidRPr="0080375E" w:rsidRDefault="008A6084" w:rsidP="008A6084">
      <w:pPr>
        <w:pStyle w:val="Heading1"/>
        <w:jc w:val="center"/>
        <w:rPr>
          <w:rFonts w:asciiTheme="majorHAnsi" w:hAnsiTheme="majorHAnsi" w:cs="Arial"/>
          <w:color w:val="auto"/>
          <w:sz w:val="22"/>
          <w:szCs w:val="22"/>
        </w:rPr>
      </w:pPr>
      <w:r w:rsidRPr="0080375E">
        <w:rPr>
          <w:rFonts w:asciiTheme="majorHAnsi" w:hAnsiTheme="majorHAnsi" w:cs="Arial"/>
          <w:sz w:val="22"/>
          <w:szCs w:val="22"/>
        </w:rPr>
        <w:t>National Horse Traceability System Business Rules</w:t>
      </w:r>
    </w:p>
    <w:p w14:paraId="3F7B7A42" w14:textId="77777777" w:rsidR="008A6084" w:rsidRPr="0080375E" w:rsidRDefault="008A6084" w:rsidP="008A6084">
      <w:pPr>
        <w:pStyle w:val="Heading1"/>
        <w:rPr>
          <w:rFonts w:asciiTheme="majorHAnsi" w:hAnsiTheme="majorHAnsi" w:cs="Arial"/>
          <w:b w:val="0"/>
          <w:sz w:val="22"/>
          <w:szCs w:val="22"/>
        </w:rPr>
      </w:pPr>
      <w:bookmarkStart w:id="123" w:name="_Toc466460684"/>
      <w:r w:rsidRPr="0080375E">
        <w:rPr>
          <w:rFonts w:asciiTheme="majorHAnsi" w:hAnsiTheme="majorHAnsi" w:cs="Arial"/>
          <w:sz w:val="22"/>
          <w:szCs w:val="22"/>
        </w:rPr>
        <w:t xml:space="preserve">Introduction </w:t>
      </w:r>
    </w:p>
    <w:p w14:paraId="0984173D" w14:textId="77777777" w:rsidR="002E302D" w:rsidRPr="0080375E" w:rsidRDefault="008A6084" w:rsidP="00860FAE">
      <w:pPr>
        <w:pStyle w:val="Bodycopy"/>
        <w:spacing w:before="240"/>
        <w:rPr>
          <w:rFonts w:asciiTheme="majorHAnsi" w:hAnsiTheme="majorHAnsi" w:cs="Arial"/>
          <w:color w:val="auto"/>
          <w:sz w:val="22"/>
          <w:szCs w:val="22"/>
        </w:rPr>
      </w:pPr>
      <w:r w:rsidRPr="0080375E">
        <w:rPr>
          <w:rFonts w:asciiTheme="majorHAnsi" w:hAnsiTheme="majorHAnsi" w:cs="Arial"/>
          <w:color w:val="auto"/>
          <w:sz w:val="22"/>
          <w:szCs w:val="22"/>
        </w:rPr>
        <w:t xml:space="preserve">The purpose of this document is to specify business rules for the operation of Australia’s system for tracking horses for endemic and exotic disease control purposes to be known as the National Horse Traceability System (NHTS). </w:t>
      </w:r>
    </w:p>
    <w:p w14:paraId="57766E22" w14:textId="1BCC5921" w:rsidR="008A6084" w:rsidRPr="0080375E" w:rsidRDefault="008A6084" w:rsidP="002E302D">
      <w:pPr>
        <w:pStyle w:val="Bodycopy"/>
        <w:rPr>
          <w:rFonts w:asciiTheme="majorHAnsi" w:hAnsiTheme="majorHAnsi" w:cs="Arial"/>
          <w:b/>
          <w:w w:val="105"/>
          <w:sz w:val="22"/>
          <w:szCs w:val="22"/>
        </w:rPr>
      </w:pPr>
      <w:r w:rsidRPr="0080375E">
        <w:rPr>
          <w:rFonts w:asciiTheme="majorHAnsi" w:hAnsiTheme="majorHAnsi" w:cs="Arial"/>
          <w:b/>
          <w:sz w:val="22"/>
          <w:szCs w:val="22"/>
        </w:rPr>
        <w:t>Reasons for horse traceability</w:t>
      </w:r>
    </w:p>
    <w:p w14:paraId="756BFCDE" w14:textId="2EADEFFE" w:rsidR="008A6084" w:rsidRPr="0080375E" w:rsidRDefault="008A6084">
      <w:pPr>
        <w:pStyle w:val="Bodycopy"/>
        <w:rPr>
          <w:rFonts w:asciiTheme="majorHAnsi" w:hAnsiTheme="majorHAnsi" w:cs="Arial"/>
          <w:color w:val="auto"/>
          <w:sz w:val="22"/>
          <w:szCs w:val="22"/>
        </w:rPr>
      </w:pPr>
      <w:r w:rsidRPr="55E80DF9">
        <w:rPr>
          <w:rFonts w:asciiTheme="majorHAnsi" w:hAnsiTheme="majorHAnsi" w:cs="Arial"/>
          <w:color w:val="auto"/>
          <w:sz w:val="22"/>
          <w:szCs w:val="22"/>
        </w:rPr>
        <w:t xml:space="preserve">Horses can act as vectors in the spread of infectious diseases such as equine influenza and other diseases such as Hendra </w:t>
      </w:r>
      <w:r w:rsidR="00486E89">
        <w:rPr>
          <w:rFonts w:asciiTheme="majorHAnsi" w:hAnsiTheme="majorHAnsi" w:cs="Arial"/>
          <w:color w:val="auto"/>
          <w:sz w:val="22"/>
          <w:szCs w:val="22"/>
        </w:rPr>
        <w:t xml:space="preserve">virus </w:t>
      </w:r>
      <w:r w:rsidRPr="55E80DF9">
        <w:rPr>
          <w:rFonts w:asciiTheme="majorHAnsi" w:hAnsiTheme="majorHAnsi" w:cs="Arial"/>
          <w:color w:val="auto"/>
          <w:sz w:val="22"/>
          <w:szCs w:val="22"/>
        </w:rPr>
        <w:t xml:space="preserve">and </w:t>
      </w:r>
      <w:r w:rsidR="00486E89">
        <w:rPr>
          <w:rFonts w:asciiTheme="majorHAnsi" w:hAnsiTheme="majorHAnsi" w:cs="Arial"/>
          <w:color w:val="auto"/>
          <w:sz w:val="22"/>
          <w:szCs w:val="22"/>
        </w:rPr>
        <w:t>v</w:t>
      </w:r>
      <w:r w:rsidRPr="55E80DF9">
        <w:rPr>
          <w:rFonts w:asciiTheme="majorHAnsi" w:hAnsiTheme="majorHAnsi" w:cs="Arial"/>
          <w:color w:val="auto"/>
          <w:sz w:val="22"/>
          <w:szCs w:val="22"/>
        </w:rPr>
        <w:t xml:space="preserve">esicular </w:t>
      </w:r>
      <w:r w:rsidR="00486E89">
        <w:rPr>
          <w:rFonts w:asciiTheme="majorHAnsi" w:hAnsiTheme="majorHAnsi" w:cs="Arial"/>
          <w:color w:val="auto"/>
          <w:sz w:val="22"/>
          <w:szCs w:val="22"/>
        </w:rPr>
        <w:t>s</w:t>
      </w:r>
      <w:r w:rsidRPr="55E80DF9">
        <w:rPr>
          <w:rFonts w:asciiTheme="majorHAnsi" w:hAnsiTheme="majorHAnsi" w:cs="Arial"/>
          <w:color w:val="auto"/>
          <w:sz w:val="22"/>
          <w:szCs w:val="22"/>
        </w:rPr>
        <w:t xml:space="preserve">tomatitis that have potentially significant market access and/or human health impacts.  </w:t>
      </w:r>
      <w:r w:rsidR="55E80DF9" w:rsidRPr="55E80DF9">
        <w:rPr>
          <w:rFonts w:ascii="Cambria" w:eastAsia="Cambria" w:hAnsi="Cambria" w:cs="Cambria"/>
          <w:sz w:val="22"/>
          <w:szCs w:val="22"/>
        </w:rPr>
        <w:t>In the event of an emergency animal disease outbreak i</w:t>
      </w:r>
      <w:r w:rsidRPr="55E80DF9">
        <w:rPr>
          <w:rFonts w:asciiTheme="majorHAnsi" w:hAnsiTheme="majorHAnsi" w:cs="Arial"/>
          <w:color w:val="auto"/>
          <w:sz w:val="22"/>
          <w:szCs w:val="22"/>
        </w:rPr>
        <w:t>t is essential that horses of interest are able to be located quickly and accurately to manage the spread of disease.</w:t>
      </w:r>
    </w:p>
    <w:p w14:paraId="4AD0CDC7" w14:textId="0EFF4DC3" w:rsidR="008A6084" w:rsidRPr="0080375E" w:rsidRDefault="008A6084" w:rsidP="55E80DF9">
      <w:pPr>
        <w:pStyle w:val="Bodycopy"/>
        <w:rPr>
          <w:rFonts w:asciiTheme="majorHAnsi" w:hAnsiTheme="majorHAnsi" w:cs="Arial"/>
          <w:color w:val="auto"/>
          <w:sz w:val="22"/>
          <w:szCs w:val="22"/>
        </w:rPr>
      </w:pPr>
      <w:r w:rsidRPr="55E80DF9">
        <w:rPr>
          <w:rFonts w:asciiTheme="majorHAnsi" w:hAnsiTheme="majorHAnsi" w:cs="Arial"/>
          <w:color w:val="auto"/>
          <w:sz w:val="22"/>
          <w:szCs w:val="22"/>
        </w:rPr>
        <w:t xml:space="preserve">Effective tracing enables authorities to promptly deliver preventive measures to reduce </w:t>
      </w:r>
      <w:r w:rsidR="00EF3451" w:rsidRPr="55E80DF9">
        <w:rPr>
          <w:rFonts w:asciiTheme="majorHAnsi" w:hAnsiTheme="majorHAnsi" w:cs="Arial"/>
          <w:color w:val="auto"/>
          <w:sz w:val="22"/>
          <w:szCs w:val="22"/>
        </w:rPr>
        <w:t>the duration</w:t>
      </w:r>
      <w:r w:rsidRPr="55E80DF9">
        <w:rPr>
          <w:rFonts w:asciiTheme="majorHAnsi" w:hAnsiTheme="majorHAnsi" w:cs="Arial"/>
          <w:color w:val="auto"/>
          <w:sz w:val="22"/>
          <w:szCs w:val="22"/>
        </w:rPr>
        <w:t xml:space="preserve"> of a disease outbreak and provide considerable commercial, biosecurity and animal welfare benefits.  The ability to accurately identify horses is also important when collecting disease surveillance information, including sampling for diagnostic purposes. </w:t>
      </w:r>
    </w:p>
    <w:p w14:paraId="25C0953F" w14:textId="7356F293" w:rsidR="002E302D" w:rsidRPr="0080375E" w:rsidRDefault="008A6084" w:rsidP="55E80DF9">
      <w:pPr>
        <w:pStyle w:val="Bodycopy"/>
        <w:rPr>
          <w:rFonts w:asciiTheme="majorHAnsi" w:hAnsiTheme="majorHAnsi" w:cs="Arial"/>
          <w:color w:val="auto"/>
          <w:sz w:val="22"/>
          <w:szCs w:val="22"/>
        </w:rPr>
      </w:pPr>
      <w:r w:rsidRPr="55E80DF9">
        <w:rPr>
          <w:rFonts w:asciiTheme="majorHAnsi" w:hAnsiTheme="majorHAnsi" w:cs="Arial"/>
          <w:color w:val="auto"/>
          <w:sz w:val="22"/>
          <w:szCs w:val="22"/>
        </w:rPr>
        <w:t>A ‘whole of life’ approach by which animals can be traced back to their farm of birth is not essential for the management of likely disease risks facing Australia’s horse industry.  For this reason, these business rules focus on the traceback and contact tracing of horses in the six month period that precedes a disease event.  Traceback and contact tracing for a longer time period may, however, still be possible.</w:t>
      </w:r>
    </w:p>
    <w:p w14:paraId="295E4444" w14:textId="227CB88C" w:rsidR="008A6084" w:rsidRPr="0080375E" w:rsidRDefault="008A6084" w:rsidP="002E302D">
      <w:pPr>
        <w:pStyle w:val="Bodycopy"/>
        <w:rPr>
          <w:rFonts w:asciiTheme="majorHAnsi" w:hAnsiTheme="majorHAnsi" w:cs="Arial"/>
          <w:b/>
          <w:color w:val="auto"/>
          <w:sz w:val="22"/>
          <w:szCs w:val="22"/>
        </w:rPr>
      </w:pPr>
      <w:r w:rsidRPr="0080375E">
        <w:rPr>
          <w:rFonts w:asciiTheme="majorHAnsi" w:hAnsiTheme="majorHAnsi" w:cs="Arial"/>
          <w:b/>
          <w:sz w:val="22"/>
          <w:szCs w:val="22"/>
        </w:rPr>
        <w:t>Traceability system</w:t>
      </w:r>
    </w:p>
    <w:p w14:paraId="206D9B54" w14:textId="5D0C3049"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The importance of animal identification and traceability is recognised in the Terrestrial Animal Health Code of the World Organisation for Animal Health (OIE).</w:t>
      </w:r>
      <w:r w:rsidR="00B71543">
        <w:rPr>
          <w:rFonts w:asciiTheme="majorHAnsi" w:hAnsiTheme="majorHAnsi" w:cs="Arial"/>
          <w:sz w:val="22"/>
          <w:szCs w:val="22"/>
          <w:vertAlign w:val="superscript"/>
        </w:rPr>
        <w:t>5</w:t>
      </w:r>
      <w:r w:rsidRPr="0080375E">
        <w:rPr>
          <w:rFonts w:asciiTheme="majorHAnsi" w:hAnsiTheme="majorHAnsi" w:cs="Arial"/>
          <w:color w:val="auto"/>
          <w:sz w:val="22"/>
          <w:szCs w:val="22"/>
        </w:rPr>
        <w:t xml:space="preserve"> </w:t>
      </w:r>
    </w:p>
    <w:p w14:paraId="27ECA8F4"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Animal traceability is far more than simply identifying animals. Using brands, marks and identification devices is one component of a multifaceted process that allows authorities to track an animal or group of animals to their properties of residence and to quickly locate past members of their cohort.  These components, when linked together, form a traceability system that authorities can use to address biosecurity challenges. </w:t>
      </w:r>
    </w:p>
    <w:p w14:paraId="3D1A5E66"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The National Horse Traceability System (NHTS) described in these business rules is an integrated package, linking several components in a framework designed to address clearly defined biosecurity related objectives.</w:t>
      </w:r>
    </w:p>
    <w:p w14:paraId="63923955" w14:textId="77777777" w:rsidR="00987862" w:rsidRDefault="00987862" w:rsidP="008A6084">
      <w:pPr>
        <w:pStyle w:val="beforebullets"/>
        <w:rPr>
          <w:rFonts w:asciiTheme="majorHAnsi" w:hAnsiTheme="majorHAnsi" w:cs="Arial"/>
          <w:color w:val="auto"/>
          <w:sz w:val="22"/>
          <w:szCs w:val="22"/>
        </w:rPr>
      </w:pPr>
    </w:p>
    <w:p w14:paraId="37A44D04" w14:textId="37CA364F" w:rsidR="008A6084" w:rsidRPr="0080375E" w:rsidRDefault="008A6084" w:rsidP="008A6084">
      <w:pPr>
        <w:pStyle w:val="beforebullets"/>
        <w:rPr>
          <w:rFonts w:asciiTheme="majorHAnsi" w:hAnsiTheme="majorHAnsi" w:cs="Arial"/>
          <w:color w:val="auto"/>
          <w:sz w:val="22"/>
          <w:szCs w:val="22"/>
        </w:rPr>
      </w:pPr>
      <w:r w:rsidRPr="0080375E">
        <w:rPr>
          <w:rFonts w:asciiTheme="majorHAnsi" w:hAnsiTheme="majorHAnsi" w:cs="Arial"/>
          <w:color w:val="auto"/>
          <w:sz w:val="22"/>
          <w:szCs w:val="22"/>
        </w:rPr>
        <w:t>To achieve adequate traceability, the NHTS system will require the following elements:</w:t>
      </w:r>
    </w:p>
    <w:p w14:paraId="352B63C0" w14:textId="77777777" w:rsidR="008A6084" w:rsidRPr="0080375E" w:rsidRDefault="008A6084" w:rsidP="008A6084">
      <w:pPr>
        <w:pStyle w:val="bodywithletters"/>
        <w:rPr>
          <w:rFonts w:asciiTheme="majorHAnsi" w:hAnsiTheme="majorHAnsi"/>
          <w:color w:val="auto"/>
          <w:sz w:val="22"/>
          <w:szCs w:val="22"/>
        </w:rPr>
      </w:pPr>
      <w:r w:rsidRPr="0080375E">
        <w:rPr>
          <w:rFonts w:asciiTheme="majorHAnsi" w:hAnsiTheme="majorHAnsi"/>
          <w:color w:val="auto"/>
          <w:sz w:val="22"/>
          <w:szCs w:val="22"/>
        </w:rPr>
        <w:t>a)</w:t>
      </w:r>
      <w:r w:rsidRPr="0080375E">
        <w:rPr>
          <w:rFonts w:asciiTheme="majorHAnsi" w:hAnsiTheme="majorHAnsi"/>
          <w:color w:val="auto"/>
          <w:sz w:val="22"/>
          <w:szCs w:val="22"/>
        </w:rPr>
        <w:tab/>
        <w:t>a property registration system maintained by the states/territories that allocates a unique identifying number known as a Property Identification Code (PIC) to properties. The PIC register contains information on the species present, contact details for the person who is responsible for animals and a mapping capability</w:t>
      </w:r>
    </w:p>
    <w:p w14:paraId="5C9E99A9" w14:textId="77777777" w:rsidR="008A6084" w:rsidRPr="0080375E" w:rsidRDefault="008A6084" w:rsidP="008A6084">
      <w:pPr>
        <w:pStyle w:val="bodywithletters"/>
        <w:rPr>
          <w:rFonts w:asciiTheme="majorHAnsi" w:hAnsiTheme="majorHAnsi"/>
          <w:color w:val="auto"/>
          <w:sz w:val="22"/>
          <w:szCs w:val="22"/>
        </w:rPr>
      </w:pPr>
      <w:r w:rsidRPr="0080375E">
        <w:rPr>
          <w:rFonts w:asciiTheme="majorHAnsi" w:hAnsiTheme="majorHAnsi"/>
          <w:color w:val="auto"/>
          <w:sz w:val="22"/>
          <w:szCs w:val="22"/>
        </w:rPr>
        <w:t>b)</w:t>
      </w:r>
      <w:r w:rsidRPr="0080375E">
        <w:rPr>
          <w:rFonts w:asciiTheme="majorHAnsi" w:hAnsiTheme="majorHAnsi"/>
          <w:color w:val="auto"/>
          <w:sz w:val="22"/>
          <w:szCs w:val="22"/>
        </w:rPr>
        <w:tab/>
        <w:t xml:space="preserve">where required by racing or equestrian authorities or utilised on a voluntary basis by owners, the use of implanted microchips (transponders) to permanently identify animals </w:t>
      </w:r>
    </w:p>
    <w:p w14:paraId="4B79CB39" w14:textId="77777777" w:rsidR="008A6084" w:rsidRPr="0080375E" w:rsidRDefault="008A6084" w:rsidP="008A6084">
      <w:pPr>
        <w:pStyle w:val="bodywithletters"/>
        <w:rPr>
          <w:rFonts w:asciiTheme="majorHAnsi" w:hAnsiTheme="majorHAnsi"/>
          <w:color w:val="auto"/>
          <w:sz w:val="22"/>
          <w:szCs w:val="22"/>
        </w:rPr>
      </w:pPr>
      <w:r w:rsidRPr="0080375E">
        <w:rPr>
          <w:rFonts w:asciiTheme="majorHAnsi" w:hAnsiTheme="majorHAnsi"/>
          <w:color w:val="auto"/>
          <w:sz w:val="22"/>
          <w:szCs w:val="22"/>
        </w:rPr>
        <w:lastRenderedPageBreak/>
        <w:t>c)</w:t>
      </w:r>
      <w:r w:rsidRPr="0080375E">
        <w:rPr>
          <w:rFonts w:asciiTheme="majorHAnsi" w:hAnsiTheme="majorHAnsi"/>
          <w:color w:val="auto"/>
          <w:sz w:val="22"/>
          <w:szCs w:val="22"/>
        </w:rPr>
        <w:tab/>
        <w:t>defined movement recording requirements</w:t>
      </w:r>
    </w:p>
    <w:p w14:paraId="1A7639F4" w14:textId="77777777" w:rsidR="008A6084" w:rsidRPr="0080375E" w:rsidRDefault="008A6084" w:rsidP="008A6084">
      <w:pPr>
        <w:pStyle w:val="bodywithletters"/>
        <w:rPr>
          <w:rFonts w:asciiTheme="majorHAnsi" w:hAnsiTheme="majorHAnsi"/>
          <w:color w:val="auto"/>
          <w:sz w:val="22"/>
          <w:szCs w:val="22"/>
        </w:rPr>
      </w:pPr>
      <w:r w:rsidRPr="0080375E">
        <w:rPr>
          <w:rFonts w:asciiTheme="majorHAnsi" w:hAnsiTheme="majorHAnsi"/>
          <w:color w:val="auto"/>
          <w:sz w:val="22"/>
          <w:szCs w:val="22"/>
        </w:rPr>
        <w:t>d)</w:t>
      </w:r>
      <w:r w:rsidRPr="0080375E">
        <w:rPr>
          <w:rFonts w:asciiTheme="majorHAnsi" w:hAnsiTheme="majorHAnsi"/>
          <w:color w:val="auto"/>
          <w:sz w:val="22"/>
          <w:szCs w:val="22"/>
        </w:rPr>
        <w:tab/>
        <w:t>industry managed secure databases that, where applicable, register transponders, brands and markings and receive and store movement records that wherever possible are linked to PICs</w:t>
      </w:r>
    </w:p>
    <w:p w14:paraId="4499FCDD" w14:textId="6CD12D63" w:rsidR="008A6084" w:rsidRPr="0080375E" w:rsidRDefault="008A6084" w:rsidP="008A6084">
      <w:pPr>
        <w:pStyle w:val="bodywithletters"/>
        <w:rPr>
          <w:rFonts w:asciiTheme="majorHAnsi" w:hAnsiTheme="majorHAnsi"/>
          <w:color w:val="auto"/>
          <w:sz w:val="22"/>
          <w:szCs w:val="22"/>
        </w:rPr>
      </w:pPr>
      <w:r w:rsidRPr="0080375E">
        <w:rPr>
          <w:rFonts w:asciiTheme="majorHAnsi" w:hAnsiTheme="majorHAnsi"/>
          <w:color w:val="auto"/>
          <w:sz w:val="22"/>
          <w:szCs w:val="22"/>
        </w:rPr>
        <w:t>e)</w:t>
      </w:r>
      <w:r w:rsidRPr="0080375E">
        <w:rPr>
          <w:rFonts w:asciiTheme="majorHAnsi" w:hAnsiTheme="majorHAnsi"/>
          <w:color w:val="auto"/>
          <w:sz w:val="22"/>
          <w:szCs w:val="22"/>
        </w:rPr>
        <w:tab/>
        <w:t xml:space="preserve">uniform </w:t>
      </w:r>
      <w:r w:rsidR="00486E89">
        <w:rPr>
          <w:rFonts w:asciiTheme="majorHAnsi" w:hAnsiTheme="majorHAnsi"/>
          <w:color w:val="auto"/>
          <w:sz w:val="22"/>
          <w:szCs w:val="22"/>
        </w:rPr>
        <w:t>b</w:t>
      </w:r>
      <w:r w:rsidRPr="0080375E">
        <w:rPr>
          <w:rFonts w:asciiTheme="majorHAnsi" w:hAnsiTheme="majorHAnsi"/>
          <w:color w:val="auto"/>
          <w:sz w:val="22"/>
          <w:szCs w:val="22"/>
        </w:rPr>
        <w:t xml:space="preserve">usiness </w:t>
      </w:r>
      <w:r w:rsidR="00486E89">
        <w:rPr>
          <w:rFonts w:asciiTheme="majorHAnsi" w:hAnsiTheme="majorHAnsi"/>
          <w:color w:val="auto"/>
          <w:sz w:val="22"/>
          <w:szCs w:val="22"/>
        </w:rPr>
        <w:t>r</w:t>
      </w:r>
      <w:r w:rsidRPr="0080375E">
        <w:rPr>
          <w:rFonts w:asciiTheme="majorHAnsi" w:hAnsiTheme="majorHAnsi"/>
          <w:color w:val="auto"/>
          <w:sz w:val="22"/>
          <w:szCs w:val="22"/>
        </w:rPr>
        <w:t>ules and associated legal frameworks supported by enabling state/territory legislation</w:t>
      </w:r>
    </w:p>
    <w:p w14:paraId="62867F1A" w14:textId="77777777" w:rsidR="008A6084" w:rsidRPr="0080375E" w:rsidRDefault="008A6084" w:rsidP="008A6084">
      <w:pPr>
        <w:pStyle w:val="bodywithletters"/>
        <w:rPr>
          <w:rFonts w:asciiTheme="majorHAnsi" w:hAnsiTheme="majorHAnsi"/>
          <w:color w:val="auto"/>
          <w:sz w:val="22"/>
          <w:szCs w:val="22"/>
        </w:rPr>
      </w:pPr>
      <w:r w:rsidRPr="0080375E">
        <w:rPr>
          <w:rFonts w:asciiTheme="majorHAnsi" w:hAnsiTheme="majorHAnsi"/>
          <w:color w:val="auto"/>
          <w:sz w:val="22"/>
          <w:szCs w:val="22"/>
        </w:rPr>
        <w:t>f)</w:t>
      </w:r>
      <w:r w:rsidRPr="0080375E">
        <w:rPr>
          <w:rFonts w:asciiTheme="majorHAnsi" w:hAnsiTheme="majorHAnsi"/>
          <w:color w:val="auto"/>
          <w:sz w:val="22"/>
          <w:szCs w:val="22"/>
        </w:rPr>
        <w:tab/>
        <w:t xml:space="preserve">an ongoing program to educate horse industry participants about their responsibilities </w:t>
      </w:r>
    </w:p>
    <w:p w14:paraId="5CC6F9F6" w14:textId="77777777" w:rsidR="008A6084" w:rsidRPr="0080375E" w:rsidRDefault="008A6084" w:rsidP="008A6084">
      <w:pPr>
        <w:pStyle w:val="bodywithletters"/>
        <w:rPr>
          <w:rFonts w:asciiTheme="majorHAnsi" w:hAnsiTheme="majorHAnsi"/>
          <w:color w:val="auto"/>
          <w:sz w:val="22"/>
          <w:szCs w:val="22"/>
        </w:rPr>
      </w:pPr>
      <w:r w:rsidRPr="0080375E">
        <w:rPr>
          <w:rFonts w:asciiTheme="majorHAnsi" w:hAnsiTheme="majorHAnsi"/>
          <w:color w:val="auto"/>
          <w:sz w:val="22"/>
          <w:szCs w:val="22"/>
        </w:rPr>
        <w:t>g)</w:t>
      </w:r>
      <w:r w:rsidRPr="0080375E">
        <w:rPr>
          <w:rFonts w:asciiTheme="majorHAnsi" w:hAnsiTheme="majorHAnsi"/>
          <w:color w:val="auto"/>
          <w:sz w:val="22"/>
          <w:szCs w:val="22"/>
        </w:rPr>
        <w:tab/>
        <w:t>documented arrangements for performance monitoring, governance, enforcement, evaluation and periodic review, and</w:t>
      </w:r>
    </w:p>
    <w:p w14:paraId="58703353" w14:textId="7EEB3B95" w:rsidR="008A6084" w:rsidRPr="0080375E" w:rsidRDefault="008A6084" w:rsidP="008A6084">
      <w:pPr>
        <w:pStyle w:val="bodywithletters"/>
        <w:rPr>
          <w:rFonts w:asciiTheme="majorHAnsi" w:hAnsiTheme="majorHAnsi"/>
          <w:color w:val="FF0000"/>
          <w:sz w:val="22"/>
          <w:szCs w:val="22"/>
        </w:rPr>
      </w:pPr>
      <w:r w:rsidRPr="0080375E">
        <w:rPr>
          <w:rFonts w:asciiTheme="majorHAnsi" w:hAnsiTheme="majorHAnsi"/>
          <w:color w:val="auto"/>
          <w:sz w:val="22"/>
          <w:szCs w:val="22"/>
        </w:rPr>
        <w:t>h)</w:t>
      </w:r>
      <w:r w:rsidRPr="0080375E">
        <w:rPr>
          <w:rFonts w:asciiTheme="majorHAnsi" w:hAnsiTheme="majorHAnsi"/>
          <w:color w:val="auto"/>
          <w:sz w:val="22"/>
          <w:szCs w:val="22"/>
        </w:rPr>
        <w:tab/>
        <w:t xml:space="preserve">a query system that allows authorities to easily establish the history and whereabouts of individual horses or groups of horses and their cohorts, specifically for emergency disease response purposes, on approved registers and databases. </w:t>
      </w:r>
    </w:p>
    <w:p w14:paraId="0DD89347" w14:textId="028CAE72" w:rsidR="004A34A9" w:rsidRPr="0080375E" w:rsidRDefault="008A6084" w:rsidP="004A34A9">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These </w:t>
      </w:r>
      <w:r w:rsidR="00486E89">
        <w:rPr>
          <w:rFonts w:asciiTheme="majorHAnsi" w:hAnsiTheme="majorHAnsi" w:cs="Arial"/>
          <w:color w:val="auto"/>
          <w:sz w:val="22"/>
          <w:szCs w:val="22"/>
        </w:rPr>
        <w:t>b</w:t>
      </w:r>
      <w:r w:rsidRPr="0080375E">
        <w:rPr>
          <w:rFonts w:asciiTheme="majorHAnsi" w:hAnsiTheme="majorHAnsi" w:cs="Arial"/>
          <w:color w:val="auto"/>
          <w:sz w:val="22"/>
          <w:szCs w:val="22"/>
        </w:rPr>
        <w:t xml:space="preserve">usiness </w:t>
      </w:r>
      <w:r w:rsidR="00486E89">
        <w:rPr>
          <w:rFonts w:asciiTheme="majorHAnsi" w:hAnsiTheme="majorHAnsi" w:cs="Arial"/>
          <w:color w:val="auto"/>
          <w:sz w:val="22"/>
          <w:szCs w:val="22"/>
        </w:rPr>
        <w:t>r</w:t>
      </w:r>
      <w:r w:rsidRPr="0080375E">
        <w:rPr>
          <w:rFonts w:asciiTheme="majorHAnsi" w:hAnsiTheme="majorHAnsi" w:cs="Arial"/>
          <w:color w:val="auto"/>
          <w:sz w:val="22"/>
          <w:szCs w:val="22"/>
        </w:rPr>
        <w:t>ules outline industry participant obligations relating to property registration, and the electronic identification of horses, movement recording and associated data management.  The other components of the NHTS discussed above will be developed and introduced as part of an implementation plan agreed between horse industry and government stakeholders.</w:t>
      </w:r>
    </w:p>
    <w:p w14:paraId="0736AF1B" w14:textId="45B00C67" w:rsidR="008A6084" w:rsidRPr="0080375E" w:rsidRDefault="008A6084" w:rsidP="004A34A9">
      <w:pPr>
        <w:pStyle w:val="Bodycopy"/>
        <w:rPr>
          <w:rFonts w:asciiTheme="majorHAnsi" w:hAnsiTheme="majorHAnsi" w:cs="Arial"/>
          <w:b/>
          <w:color w:val="auto"/>
          <w:sz w:val="22"/>
          <w:szCs w:val="22"/>
        </w:rPr>
      </w:pPr>
      <w:r w:rsidRPr="0080375E">
        <w:rPr>
          <w:rFonts w:asciiTheme="majorHAnsi" w:hAnsiTheme="majorHAnsi" w:cs="Arial"/>
          <w:b/>
          <w:sz w:val="22"/>
          <w:szCs w:val="22"/>
        </w:rPr>
        <w:t>Identification methods</w:t>
      </w:r>
    </w:p>
    <w:p w14:paraId="57E843E6" w14:textId="77777777" w:rsidR="008A6084" w:rsidRPr="0080375E" w:rsidRDefault="008A6084" w:rsidP="008A6084">
      <w:pPr>
        <w:pStyle w:val="Bodycopy"/>
        <w:rPr>
          <w:rFonts w:asciiTheme="majorHAnsi" w:hAnsiTheme="majorHAnsi" w:cs="Arial"/>
          <w:color w:val="000000" w:themeColor="text1"/>
          <w:spacing w:val="-2"/>
          <w:sz w:val="22"/>
          <w:szCs w:val="22"/>
        </w:rPr>
      </w:pPr>
      <w:r w:rsidRPr="0080375E">
        <w:rPr>
          <w:rFonts w:asciiTheme="majorHAnsi" w:hAnsiTheme="majorHAnsi" w:cs="Arial"/>
          <w:sz w:val="22"/>
          <w:szCs w:val="22"/>
        </w:rPr>
        <w:t>Identification systems for horses often utilise one or more methods including:</w:t>
      </w:r>
    </w:p>
    <w:p w14:paraId="0481A507" w14:textId="77777777" w:rsidR="008A6084" w:rsidRPr="0080375E" w:rsidRDefault="008A6084" w:rsidP="002849D6">
      <w:pPr>
        <w:pStyle w:val="NormalWeb"/>
        <w:numPr>
          <w:ilvl w:val="0"/>
          <w:numId w:val="14"/>
        </w:numPr>
        <w:spacing w:before="100" w:beforeAutospacing="1" w:after="100" w:afterAutospacing="1" w:line="240" w:lineRule="auto"/>
        <w:jc w:val="left"/>
        <w:rPr>
          <w:rFonts w:asciiTheme="majorHAnsi" w:hAnsiTheme="majorHAnsi" w:cs="Arial"/>
          <w:color w:val="000000" w:themeColor="text1"/>
          <w:spacing w:val="-2"/>
          <w:sz w:val="22"/>
          <w:szCs w:val="22"/>
        </w:rPr>
      </w:pPr>
      <w:r w:rsidRPr="0080375E">
        <w:rPr>
          <w:rFonts w:asciiTheme="majorHAnsi" w:hAnsiTheme="majorHAnsi" w:cs="Arial"/>
          <w:color w:val="000000" w:themeColor="text1"/>
          <w:spacing w:val="-2"/>
          <w:sz w:val="22"/>
          <w:szCs w:val="22"/>
        </w:rPr>
        <w:t>brands,</w:t>
      </w:r>
    </w:p>
    <w:p w14:paraId="7CA4A22E" w14:textId="77777777" w:rsidR="008A6084" w:rsidRPr="0080375E" w:rsidRDefault="008A6084" w:rsidP="002849D6">
      <w:pPr>
        <w:pStyle w:val="NormalWeb"/>
        <w:numPr>
          <w:ilvl w:val="0"/>
          <w:numId w:val="14"/>
        </w:numPr>
        <w:spacing w:before="100" w:beforeAutospacing="1" w:after="100" w:afterAutospacing="1" w:line="240" w:lineRule="auto"/>
        <w:jc w:val="left"/>
        <w:rPr>
          <w:rFonts w:asciiTheme="majorHAnsi" w:hAnsiTheme="majorHAnsi" w:cs="Arial"/>
          <w:color w:val="000000" w:themeColor="text1"/>
          <w:spacing w:val="-2"/>
          <w:sz w:val="22"/>
          <w:szCs w:val="22"/>
        </w:rPr>
      </w:pPr>
      <w:r w:rsidRPr="0080375E">
        <w:rPr>
          <w:rFonts w:asciiTheme="majorHAnsi" w:hAnsiTheme="majorHAnsi" w:cs="Arial"/>
          <w:color w:val="000000" w:themeColor="text1"/>
          <w:spacing w:val="-2"/>
          <w:sz w:val="22"/>
          <w:szCs w:val="22"/>
        </w:rPr>
        <w:t>recording markings and gender, for example via the signalment key system,</w:t>
      </w:r>
    </w:p>
    <w:p w14:paraId="52EEB818" w14:textId="77777777" w:rsidR="008A6084" w:rsidRPr="0080375E" w:rsidRDefault="008A6084" w:rsidP="002849D6">
      <w:pPr>
        <w:pStyle w:val="NormalWeb"/>
        <w:numPr>
          <w:ilvl w:val="0"/>
          <w:numId w:val="14"/>
        </w:numPr>
        <w:spacing w:before="100" w:beforeAutospacing="1" w:after="100" w:afterAutospacing="1" w:line="240" w:lineRule="auto"/>
        <w:jc w:val="left"/>
        <w:rPr>
          <w:rFonts w:asciiTheme="majorHAnsi" w:hAnsiTheme="majorHAnsi" w:cs="Arial"/>
          <w:color w:val="000000" w:themeColor="text1"/>
          <w:spacing w:val="-2"/>
          <w:sz w:val="22"/>
          <w:szCs w:val="22"/>
        </w:rPr>
      </w:pPr>
      <w:r w:rsidRPr="0080375E">
        <w:rPr>
          <w:rFonts w:asciiTheme="majorHAnsi" w:hAnsiTheme="majorHAnsi" w:cs="Arial"/>
          <w:color w:val="000000" w:themeColor="text1"/>
          <w:spacing w:val="-2"/>
          <w:sz w:val="22"/>
          <w:szCs w:val="22"/>
        </w:rPr>
        <w:t>DNA, and/or</w:t>
      </w:r>
    </w:p>
    <w:p w14:paraId="2B195473" w14:textId="77777777" w:rsidR="008A6084" w:rsidRPr="0080375E" w:rsidRDefault="008A6084" w:rsidP="002849D6">
      <w:pPr>
        <w:pStyle w:val="NormalWeb"/>
        <w:numPr>
          <w:ilvl w:val="0"/>
          <w:numId w:val="14"/>
        </w:numPr>
        <w:spacing w:before="100" w:beforeAutospacing="1" w:after="100" w:afterAutospacing="1" w:line="240" w:lineRule="auto"/>
        <w:jc w:val="left"/>
        <w:rPr>
          <w:rFonts w:asciiTheme="majorHAnsi" w:hAnsiTheme="majorHAnsi" w:cs="Arial"/>
          <w:color w:val="000000" w:themeColor="text1"/>
          <w:spacing w:val="-2"/>
          <w:sz w:val="22"/>
          <w:szCs w:val="22"/>
        </w:rPr>
      </w:pPr>
      <w:r w:rsidRPr="0080375E">
        <w:rPr>
          <w:rFonts w:asciiTheme="majorHAnsi" w:hAnsiTheme="majorHAnsi" w:cs="Arial"/>
          <w:color w:val="000000" w:themeColor="text1"/>
          <w:spacing w:val="-2"/>
          <w:sz w:val="22"/>
          <w:szCs w:val="22"/>
        </w:rPr>
        <w:t>microchipping</w:t>
      </w:r>
    </w:p>
    <w:p w14:paraId="05C9908E" w14:textId="77777777" w:rsidR="008A6084" w:rsidRPr="0080375E" w:rsidRDefault="008A6084" w:rsidP="3B8424AC">
      <w:pPr>
        <w:pStyle w:val="Bodycopy"/>
        <w:rPr>
          <w:rFonts w:asciiTheme="majorHAnsi" w:hAnsiTheme="majorHAnsi" w:cs="Arial"/>
          <w:color w:val="auto"/>
          <w:sz w:val="22"/>
          <w:szCs w:val="22"/>
        </w:rPr>
      </w:pPr>
      <w:r w:rsidRPr="3B8424AC">
        <w:rPr>
          <w:rFonts w:asciiTheme="majorHAnsi" w:hAnsiTheme="majorHAnsi" w:cs="Arial"/>
          <w:color w:val="auto"/>
          <w:sz w:val="22"/>
          <w:szCs w:val="22"/>
        </w:rPr>
        <w:t>The identification of a horse with a microchip (transponder) or brand does not make the horse traceable.  They are tools that when used in conjunction with an accessible and up-to-date database, property registration information and movement records assist in tracking horses for disease control purposes.</w:t>
      </w:r>
    </w:p>
    <w:p w14:paraId="20BB43B9"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Where horses are rarely moved from their property of residence, or are only moved individually or in small groups, the use of microchips and brands offers limited benefits from a traceability perspective provided accessible movement records are available to assist traceback and contact tracing.</w:t>
      </w:r>
    </w:p>
    <w:p w14:paraId="4B21C328" w14:textId="4C96270E" w:rsidR="008A6084" w:rsidRPr="0080375E" w:rsidRDefault="008A6084" w:rsidP="3B8424AC">
      <w:pPr>
        <w:pStyle w:val="Bodycopy"/>
        <w:rPr>
          <w:rFonts w:asciiTheme="majorHAnsi" w:hAnsiTheme="majorHAnsi" w:cs="Arial"/>
          <w:color w:val="auto"/>
          <w:sz w:val="22"/>
          <w:szCs w:val="22"/>
        </w:rPr>
      </w:pPr>
      <w:r w:rsidRPr="3B8424AC">
        <w:rPr>
          <w:rFonts w:asciiTheme="majorHAnsi" w:hAnsiTheme="majorHAnsi" w:cs="Arial"/>
          <w:color w:val="auto"/>
          <w:sz w:val="22"/>
          <w:szCs w:val="22"/>
        </w:rPr>
        <w:t xml:space="preserve">The mandatory microchipping of horses currently does not form part of the NHTS, however horse owners if they wish can microchip their horses provided it occurs in the manner described in these business rules.  </w:t>
      </w:r>
    </w:p>
    <w:p w14:paraId="27737F0B" w14:textId="685467D7" w:rsidR="008A6084" w:rsidRPr="0080375E" w:rsidRDefault="008A6084" w:rsidP="3B8424AC">
      <w:pPr>
        <w:pStyle w:val="Bodycopy"/>
        <w:rPr>
          <w:rFonts w:asciiTheme="majorHAnsi" w:hAnsiTheme="majorHAnsi" w:cs="Arial"/>
          <w:b/>
          <w:bCs/>
          <w:sz w:val="22"/>
          <w:szCs w:val="22"/>
        </w:rPr>
      </w:pPr>
      <w:r w:rsidRPr="3B8424AC">
        <w:rPr>
          <w:rFonts w:asciiTheme="majorHAnsi" w:hAnsiTheme="majorHAnsi" w:cs="Arial"/>
          <w:color w:val="auto"/>
          <w:sz w:val="22"/>
          <w:szCs w:val="22"/>
        </w:rPr>
        <w:t xml:space="preserve">Industry sectors including racing authorities, equestrian associations and breed </w:t>
      </w:r>
      <w:r w:rsidR="00DE3D5F" w:rsidRPr="3B8424AC">
        <w:rPr>
          <w:rFonts w:asciiTheme="majorHAnsi" w:hAnsiTheme="majorHAnsi" w:cs="Arial"/>
          <w:color w:val="auto"/>
          <w:sz w:val="22"/>
          <w:szCs w:val="22"/>
        </w:rPr>
        <w:t>societies may</w:t>
      </w:r>
      <w:r w:rsidRPr="3B8424AC">
        <w:rPr>
          <w:rFonts w:asciiTheme="majorHAnsi" w:hAnsiTheme="majorHAnsi" w:cs="Arial"/>
          <w:color w:val="auto"/>
          <w:sz w:val="22"/>
          <w:szCs w:val="22"/>
        </w:rPr>
        <w:t xml:space="preserve"> require microchipping for integrity and performance recording purposes.  Where horses are microchipped, information about implanted horses held on </w:t>
      </w:r>
      <w:r w:rsidR="003D1FFC" w:rsidRPr="3B8424AC">
        <w:rPr>
          <w:rFonts w:asciiTheme="majorHAnsi" w:hAnsiTheme="majorHAnsi" w:cs="Arial"/>
          <w:color w:val="auto"/>
          <w:sz w:val="22"/>
          <w:szCs w:val="22"/>
        </w:rPr>
        <w:t>accessible</w:t>
      </w:r>
      <w:r w:rsidRPr="3B8424AC">
        <w:rPr>
          <w:rFonts w:asciiTheme="majorHAnsi" w:hAnsiTheme="majorHAnsi" w:cs="Arial"/>
          <w:color w:val="auto"/>
          <w:sz w:val="22"/>
          <w:szCs w:val="22"/>
        </w:rPr>
        <w:t xml:space="preserve"> commercial and industry registers could potentially complement, for biosecurity purposes, the information held on jurisdictional PIC registers and the movement records created and maintained by industry participants in accordance with these business rules. </w:t>
      </w:r>
    </w:p>
    <w:p w14:paraId="14DD949A" w14:textId="77777777" w:rsidR="008A6084" w:rsidRPr="00B024E8" w:rsidRDefault="008A6084" w:rsidP="00B024E8">
      <w:pPr>
        <w:rPr>
          <w:b/>
          <w:bCs/>
        </w:rPr>
      </w:pPr>
      <w:bookmarkStart w:id="124" w:name="_Toc95908542"/>
      <w:r w:rsidRPr="00B024E8">
        <w:rPr>
          <w:b/>
          <w:bCs/>
        </w:rPr>
        <w:t>Expected Outcomes</w:t>
      </w:r>
      <w:bookmarkEnd w:id="124"/>
    </w:p>
    <w:p w14:paraId="139A95FD" w14:textId="77777777" w:rsidR="008A6084" w:rsidRPr="0080375E" w:rsidRDefault="008A6084" w:rsidP="00B024E8">
      <w:r w:rsidRPr="0080375E">
        <w:t>The expected outcome associated with the implementation and operation of these business rules is that:</w:t>
      </w:r>
    </w:p>
    <w:p w14:paraId="2C78CDAC" w14:textId="77777777" w:rsidR="008A6084" w:rsidRPr="00B024E8" w:rsidRDefault="008A6084" w:rsidP="002849D6">
      <w:pPr>
        <w:pStyle w:val="ListParagraph"/>
        <w:numPr>
          <w:ilvl w:val="0"/>
          <w:numId w:val="38"/>
        </w:numPr>
        <w:rPr>
          <w:color w:val="1C1C1C"/>
        </w:rPr>
      </w:pPr>
      <w:r w:rsidRPr="00B024E8">
        <w:rPr>
          <w:rStyle w:val="normaltextrun"/>
          <w:rFonts w:asciiTheme="majorHAnsi" w:hAnsiTheme="majorHAnsi" w:cs="Arial"/>
          <w:lang w:val="en-GB"/>
        </w:rPr>
        <w:lastRenderedPageBreak/>
        <w:t>horses throughout Australia must be traceable within 24 hours back to properties (PICs) on which they have resided or visited within a defined period of time depending on the biosecurity incident being managed (traceback), and </w:t>
      </w:r>
      <w:r w:rsidRPr="00B024E8">
        <w:rPr>
          <w:rStyle w:val="eop"/>
          <w:rFonts w:asciiTheme="majorHAnsi" w:hAnsiTheme="majorHAnsi" w:cs="Arial"/>
        </w:rPr>
        <w:t> </w:t>
      </w:r>
    </w:p>
    <w:p w14:paraId="31771341" w14:textId="77777777" w:rsidR="008A6084" w:rsidRPr="00B024E8" w:rsidRDefault="008A6084" w:rsidP="002849D6">
      <w:pPr>
        <w:pStyle w:val="ListParagraph"/>
        <w:numPr>
          <w:ilvl w:val="0"/>
          <w:numId w:val="38"/>
        </w:numPr>
        <w:rPr>
          <w:rStyle w:val="eop"/>
          <w:rFonts w:asciiTheme="majorHAnsi" w:hAnsiTheme="majorHAnsi" w:cs="Arial"/>
          <w:color w:val="1C1C1C"/>
        </w:rPr>
      </w:pPr>
      <w:r w:rsidRPr="00B024E8">
        <w:rPr>
          <w:rStyle w:val="normaltextrun"/>
          <w:rFonts w:asciiTheme="majorHAnsi" w:hAnsiTheme="majorHAnsi" w:cs="Arial"/>
          <w:lang w:val="en-GB"/>
        </w:rPr>
        <w:t>horses co-residing with or that have been in contact with horses of interest within a defined period of time must be locatable within 24 hours (contact tracing).</w:t>
      </w:r>
      <w:r w:rsidRPr="00B024E8">
        <w:rPr>
          <w:rStyle w:val="eop"/>
          <w:rFonts w:asciiTheme="majorHAnsi" w:hAnsiTheme="majorHAnsi" w:cs="Arial"/>
        </w:rPr>
        <w:t> </w:t>
      </w:r>
    </w:p>
    <w:p w14:paraId="402A814D" w14:textId="77777777" w:rsidR="008A6084" w:rsidRPr="0080375E" w:rsidRDefault="008A6084" w:rsidP="008A6084">
      <w:pPr>
        <w:pStyle w:val="paragraph"/>
        <w:spacing w:before="0" w:beforeAutospacing="0" w:after="0" w:afterAutospacing="0" w:line="276" w:lineRule="auto"/>
        <w:ind w:left="851"/>
        <w:textAlignment w:val="baseline"/>
        <w:rPr>
          <w:rFonts w:asciiTheme="majorHAnsi" w:hAnsiTheme="majorHAnsi" w:cs="Arial"/>
          <w:color w:val="1C1C1C"/>
          <w:sz w:val="22"/>
          <w:szCs w:val="22"/>
        </w:rPr>
      </w:pPr>
    </w:p>
    <w:p w14:paraId="732F3848" w14:textId="032E03DF" w:rsidR="008A6084" w:rsidRPr="00B024E8" w:rsidRDefault="008A6084" w:rsidP="21D9489F">
      <w:pPr>
        <w:pStyle w:val="paragraph"/>
        <w:spacing w:before="0" w:beforeAutospacing="0" w:after="0" w:afterAutospacing="0" w:line="276" w:lineRule="auto"/>
        <w:textAlignment w:val="baseline"/>
        <w:rPr>
          <w:rFonts w:asciiTheme="majorHAnsi" w:hAnsiTheme="majorHAnsi" w:cs="Arial"/>
          <w:b/>
          <w:bCs/>
          <w:color w:val="1C1C1C"/>
          <w:sz w:val="22"/>
          <w:szCs w:val="22"/>
        </w:rPr>
      </w:pPr>
      <w:r w:rsidRPr="21D9489F">
        <w:rPr>
          <w:rStyle w:val="normaltextrun"/>
          <w:rFonts w:asciiTheme="majorHAnsi" w:eastAsiaTheme="minorEastAsia" w:hAnsiTheme="majorHAnsi" w:cs="Arial"/>
          <w:b/>
          <w:bCs/>
          <w:sz w:val="22"/>
          <w:szCs w:val="22"/>
          <w:lang w:val="en-GB"/>
        </w:rPr>
        <w:t xml:space="preserve">Note: </w:t>
      </w:r>
    </w:p>
    <w:p w14:paraId="39AF34E6" w14:textId="0E301172" w:rsidR="008A6084" w:rsidRPr="00B024E8" w:rsidRDefault="008A6084" w:rsidP="21D9489F">
      <w:pPr>
        <w:pStyle w:val="paragraph"/>
        <w:spacing w:before="0" w:beforeAutospacing="0" w:after="0" w:afterAutospacing="0" w:line="276" w:lineRule="auto"/>
        <w:textAlignment w:val="baseline"/>
        <w:rPr>
          <w:rFonts w:asciiTheme="majorHAnsi" w:hAnsiTheme="majorHAnsi" w:cs="Arial"/>
          <w:b/>
          <w:bCs/>
          <w:color w:val="1C1C1C"/>
          <w:sz w:val="22"/>
          <w:szCs w:val="22"/>
        </w:rPr>
      </w:pPr>
      <w:r w:rsidRPr="21D9489F">
        <w:rPr>
          <w:rStyle w:val="normaltextrun"/>
          <w:rFonts w:asciiTheme="majorHAnsi" w:eastAsiaTheme="minorEastAsia" w:hAnsiTheme="majorHAnsi" w:cs="Arial"/>
          <w:b/>
          <w:bCs/>
          <w:sz w:val="22"/>
          <w:szCs w:val="22"/>
          <w:lang w:val="en-GB"/>
        </w:rPr>
        <w:t>Properties include farms, ‘lifestyle’ properties, studs, knackeries, abattoirs, depots, sho</w:t>
      </w:r>
      <w:r w:rsidR="006D2AD6" w:rsidRPr="21D9489F">
        <w:rPr>
          <w:rStyle w:val="normaltextrun"/>
          <w:rFonts w:asciiTheme="majorHAnsi" w:eastAsiaTheme="minorEastAsia" w:hAnsiTheme="majorHAnsi" w:cs="Arial"/>
          <w:b/>
          <w:bCs/>
          <w:sz w:val="22"/>
          <w:szCs w:val="22"/>
          <w:lang w:val="en-GB"/>
        </w:rPr>
        <w:t>wg</w:t>
      </w:r>
      <w:r w:rsidRPr="21D9489F">
        <w:rPr>
          <w:rStyle w:val="normaltextrun"/>
          <w:rFonts w:asciiTheme="majorHAnsi" w:eastAsiaTheme="minorEastAsia" w:hAnsiTheme="majorHAnsi" w:cs="Arial"/>
          <w:b/>
          <w:bCs/>
          <w:sz w:val="22"/>
          <w:szCs w:val="22"/>
          <w:lang w:val="en-GB"/>
        </w:rPr>
        <w:t xml:space="preserve">rounds, sale venues, event venues, racetracks, locations where horses congregate to exercised </w:t>
      </w:r>
      <w:r w:rsidR="0006772F">
        <w:rPr>
          <w:rStyle w:val="normaltextrun"/>
          <w:rFonts w:asciiTheme="majorHAnsi" w:eastAsiaTheme="minorEastAsia" w:hAnsiTheme="majorHAnsi" w:cs="Arial"/>
          <w:b/>
          <w:bCs/>
          <w:sz w:val="22"/>
          <w:szCs w:val="22"/>
          <w:lang w:val="en-GB"/>
        </w:rPr>
        <w:t xml:space="preserve">including Crown Land reserves, beaches, horse riding trails </w:t>
      </w:r>
      <w:r w:rsidRPr="21D9489F">
        <w:rPr>
          <w:rStyle w:val="normaltextrun"/>
          <w:rFonts w:asciiTheme="majorHAnsi" w:eastAsiaTheme="minorEastAsia" w:hAnsiTheme="majorHAnsi" w:cs="Arial"/>
          <w:b/>
          <w:bCs/>
          <w:sz w:val="22"/>
          <w:szCs w:val="22"/>
          <w:lang w:val="en-GB"/>
        </w:rPr>
        <w:t>and veterinary clinics</w:t>
      </w:r>
      <w:r w:rsidR="00486E89">
        <w:rPr>
          <w:rStyle w:val="normaltextrun"/>
          <w:rFonts w:asciiTheme="majorHAnsi" w:eastAsiaTheme="minorEastAsia" w:hAnsiTheme="majorHAnsi" w:cs="Arial"/>
          <w:b/>
          <w:bCs/>
          <w:sz w:val="22"/>
          <w:szCs w:val="22"/>
          <w:lang w:val="en-GB"/>
        </w:rPr>
        <w:t>.</w:t>
      </w:r>
      <w:r w:rsidRPr="21D9489F">
        <w:rPr>
          <w:rStyle w:val="eop"/>
          <w:rFonts w:asciiTheme="majorHAnsi" w:hAnsiTheme="majorHAnsi" w:cs="Arial"/>
          <w:b/>
          <w:bCs/>
          <w:sz w:val="22"/>
          <w:szCs w:val="22"/>
        </w:rPr>
        <w:t> </w:t>
      </w:r>
    </w:p>
    <w:p w14:paraId="5305EF61" w14:textId="77777777" w:rsidR="00B17886" w:rsidRPr="00B024E8" w:rsidRDefault="00B17886" w:rsidP="008A6084">
      <w:pPr>
        <w:pStyle w:val="Bodycopy"/>
        <w:rPr>
          <w:rFonts w:asciiTheme="majorHAnsi" w:hAnsiTheme="majorHAnsi" w:cs="Arial"/>
          <w:color w:val="auto"/>
          <w:sz w:val="22"/>
          <w:szCs w:val="22"/>
        </w:rPr>
      </w:pPr>
    </w:p>
    <w:p w14:paraId="1AFE1220" w14:textId="24D9A67F" w:rsidR="0076740E" w:rsidRPr="0080375E" w:rsidRDefault="008A6084" w:rsidP="0076740E">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These business rules represent minimum requirements that by no later than </w:t>
      </w:r>
      <w:r w:rsidRPr="004B4E33">
        <w:rPr>
          <w:rFonts w:asciiTheme="majorHAnsi" w:hAnsiTheme="majorHAnsi" w:cs="Arial"/>
          <w:color w:val="auto"/>
          <w:sz w:val="22"/>
          <w:szCs w:val="22"/>
        </w:rPr>
        <w:t>(</w:t>
      </w:r>
      <w:r w:rsidRPr="004B4E33">
        <w:rPr>
          <w:rFonts w:asciiTheme="majorHAnsi" w:hAnsiTheme="majorHAnsi" w:cs="Arial"/>
          <w:i/>
          <w:iCs/>
          <w:color w:val="auto"/>
          <w:sz w:val="22"/>
          <w:szCs w:val="22"/>
        </w:rPr>
        <w:t>insert agreed commencement date)</w:t>
      </w:r>
      <w:r w:rsidRPr="0080375E">
        <w:rPr>
          <w:rFonts w:asciiTheme="majorHAnsi" w:hAnsiTheme="majorHAnsi" w:cs="Arial"/>
          <w:i/>
          <w:iCs/>
          <w:color w:val="auto"/>
          <w:sz w:val="22"/>
          <w:szCs w:val="22"/>
        </w:rPr>
        <w:t xml:space="preserve"> </w:t>
      </w:r>
      <w:r w:rsidRPr="0080375E">
        <w:rPr>
          <w:rFonts w:asciiTheme="majorHAnsi" w:hAnsiTheme="majorHAnsi" w:cs="Arial"/>
          <w:color w:val="auto"/>
          <w:sz w:val="22"/>
          <w:szCs w:val="22"/>
        </w:rPr>
        <w:t xml:space="preserve">will be standardised and become obligatory throughout Australia under state/territory legislation.  </w:t>
      </w:r>
    </w:p>
    <w:p w14:paraId="00462F6D" w14:textId="46393048" w:rsidR="008A6084" w:rsidRPr="0080375E" w:rsidRDefault="008A6084" w:rsidP="0076740E">
      <w:pPr>
        <w:pStyle w:val="Bodycopy"/>
        <w:rPr>
          <w:rFonts w:asciiTheme="majorHAnsi" w:hAnsiTheme="majorHAnsi" w:cs="Arial"/>
          <w:b/>
          <w:color w:val="auto"/>
          <w:sz w:val="22"/>
          <w:szCs w:val="22"/>
        </w:rPr>
      </w:pPr>
      <w:r w:rsidRPr="0080375E">
        <w:rPr>
          <w:rFonts w:asciiTheme="majorHAnsi" w:hAnsiTheme="majorHAnsi" w:cs="Arial"/>
          <w:b/>
          <w:sz w:val="22"/>
          <w:szCs w:val="22"/>
        </w:rPr>
        <w:t>Scope</w:t>
      </w:r>
    </w:p>
    <w:p w14:paraId="1F9624EB"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These business rules apply to: </w:t>
      </w:r>
    </w:p>
    <w:p w14:paraId="5E130750" w14:textId="77777777" w:rsidR="008A6084" w:rsidRPr="0080375E" w:rsidRDefault="008A6084" w:rsidP="002849D6">
      <w:pPr>
        <w:pStyle w:val="Bodycopy"/>
        <w:numPr>
          <w:ilvl w:val="0"/>
          <w:numId w:val="11"/>
        </w:numPr>
        <w:rPr>
          <w:rFonts w:asciiTheme="majorHAnsi" w:hAnsiTheme="majorHAnsi" w:cs="Arial"/>
          <w:color w:val="auto"/>
          <w:sz w:val="22"/>
          <w:szCs w:val="22"/>
        </w:rPr>
      </w:pPr>
      <w:r w:rsidRPr="0080375E">
        <w:rPr>
          <w:rFonts w:asciiTheme="majorHAnsi" w:hAnsiTheme="majorHAnsi" w:cs="Arial"/>
          <w:color w:val="auto"/>
          <w:sz w:val="22"/>
          <w:szCs w:val="22"/>
        </w:rPr>
        <w:t>all horses, donkeys and mules (referred to collectively as horses) and their intact carcases,</w:t>
      </w:r>
    </w:p>
    <w:p w14:paraId="1B0C7C47" w14:textId="16F99273" w:rsidR="008A6084" w:rsidRPr="0080375E" w:rsidRDefault="008A6084" w:rsidP="002849D6">
      <w:pPr>
        <w:pStyle w:val="Bodycopy"/>
        <w:numPr>
          <w:ilvl w:val="0"/>
          <w:numId w:val="11"/>
        </w:numPr>
        <w:rPr>
          <w:rFonts w:asciiTheme="majorHAnsi" w:hAnsiTheme="majorHAnsi" w:cs="Arial"/>
          <w:color w:val="auto"/>
          <w:sz w:val="22"/>
          <w:szCs w:val="22"/>
        </w:rPr>
      </w:pPr>
      <w:r w:rsidRPr="0080375E">
        <w:rPr>
          <w:rFonts w:asciiTheme="majorHAnsi" w:hAnsiTheme="majorHAnsi" w:cs="Arial"/>
          <w:color w:val="auto"/>
          <w:sz w:val="22"/>
          <w:szCs w:val="22"/>
        </w:rPr>
        <w:t>their movements between properties</w:t>
      </w:r>
      <w:r w:rsidR="00486E89">
        <w:rPr>
          <w:rFonts w:asciiTheme="majorHAnsi" w:hAnsiTheme="majorHAnsi" w:cs="Arial"/>
          <w:color w:val="auto"/>
          <w:sz w:val="22"/>
          <w:szCs w:val="22"/>
        </w:rPr>
        <w:t xml:space="preserve"> (locations with different PICs)</w:t>
      </w:r>
      <w:r w:rsidRPr="0080375E">
        <w:rPr>
          <w:rFonts w:asciiTheme="majorHAnsi" w:hAnsiTheme="majorHAnsi" w:cs="Arial"/>
          <w:color w:val="auto"/>
          <w:sz w:val="22"/>
          <w:szCs w:val="22"/>
        </w:rPr>
        <w:t>, and</w:t>
      </w:r>
    </w:p>
    <w:p w14:paraId="1A91D0CC" w14:textId="6A0CF9B8" w:rsidR="0076740E" w:rsidRPr="0080375E" w:rsidRDefault="008A6084" w:rsidP="002849D6">
      <w:pPr>
        <w:pStyle w:val="Bodycopy"/>
        <w:numPr>
          <w:ilvl w:val="0"/>
          <w:numId w:val="11"/>
        </w:numPr>
        <w:spacing w:line="276" w:lineRule="auto"/>
        <w:rPr>
          <w:rFonts w:asciiTheme="majorHAnsi" w:hAnsiTheme="majorHAnsi" w:cs="Arial"/>
          <w:color w:val="auto"/>
          <w:sz w:val="22"/>
          <w:szCs w:val="22"/>
        </w:rPr>
      </w:pPr>
      <w:r w:rsidRPr="0080375E">
        <w:rPr>
          <w:rFonts w:asciiTheme="majorHAnsi" w:hAnsiTheme="majorHAnsi" w:cs="Arial"/>
          <w:color w:val="auto"/>
          <w:sz w:val="22"/>
          <w:szCs w:val="22"/>
        </w:rPr>
        <w:t>persons responsible for their management, care and/or their dispatch to, receival at and transportation from properties, including farms, residential properties, saleyards, assembly points, veterinary practices, pre-embarkation export depots, knackeries, abattoirs, racetracks, and pony club, rodeo, polo, camp drafting</w:t>
      </w:r>
      <w:r w:rsidR="00030C64">
        <w:rPr>
          <w:rFonts w:asciiTheme="majorHAnsi" w:hAnsiTheme="majorHAnsi" w:cs="Arial"/>
          <w:color w:val="auto"/>
          <w:sz w:val="22"/>
          <w:szCs w:val="22"/>
        </w:rPr>
        <w:t>,</w:t>
      </w:r>
      <w:r w:rsidRPr="0080375E">
        <w:rPr>
          <w:rFonts w:asciiTheme="majorHAnsi" w:hAnsiTheme="majorHAnsi" w:cs="Arial"/>
          <w:color w:val="auto"/>
          <w:sz w:val="22"/>
          <w:szCs w:val="22"/>
        </w:rPr>
        <w:t xml:space="preserve"> agricultural show venues</w:t>
      </w:r>
      <w:r w:rsidR="003209A3">
        <w:rPr>
          <w:rFonts w:asciiTheme="majorHAnsi" w:hAnsiTheme="majorHAnsi" w:cs="Arial"/>
          <w:color w:val="auto"/>
          <w:sz w:val="22"/>
          <w:szCs w:val="22"/>
        </w:rPr>
        <w:t>,</w:t>
      </w:r>
      <w:r w:rsidR="00030C64">
        <w:rPr>
          <w:rFonts w:asciiTheme="majorHAnsi" w:hAnsiTheme="majorHAnsi" w:cs="Arial"/>
          <w:color w:val="auto"/>
          <w:sz w:val="22"/>
          <w:szCs w:val="22"/>
        </w:rPr>
        <w:t xml:space="preserve"> and cr</w:t>
      </w:r>
      <w:r w:rsidR="00C163DD">
        <w:rPr>
          <w:rFonts w:asciiTheme="majorHAnsi" w:hAnsiTheme="majorHAnsi" w:cs="Arial"/>
          <w:color w:val="auto"/>
          <w:sz w:val="22"/>
          <w:szCs w:val="22"/>
        </w:rPr>
        <w:t>ematoriums</w:t>
      </w:r>
      <w:r w:rsidR="003209A3">
        <w:rPr>
          <w:rFonts w:asciiTheme="majorHAnsi" w:hAnsiTheme="majorHAnsi" w:cs="Arial"/>
          <w:color w:val="auto"/>
          <w:sz w:val="22"/>
          <w:szCs w:val="22"/>
        </w:rPr>
        <w:t xml:space="preserve"> and sites at which the carcases of horses are disposed</w:t>
      </w:r>
      <w:r w:rsidRPr="0080375E">
        <w:rPr>
          <w:rFonts w:asciiTheme="majorHAnsi" w:hAnsiTheme="majorHAnsi" w:cs="Arial"/>
          <w:color w:val="auto"/>
          <w:sz w:val="22"/>
          <w:szCs w:val="22"/>
        </w:rPr>
        <w:t xml:space="preserve">. </w:t>
      </w:r>
    </w:p>
    <w:p w14:paraId="65FF8FC2" w14:textId="436526E4" w:rsidR="008A6084" w:rsidRPr="0080375E" w:rsidRDefault="008A6084" w:rsidP="0076740E">
      <w:pPr>
        <w:pStyle w:val="Bodycopy"/>
        <w:spacing w:line="276" w:lineRule="auto"/>
        <w:rPr>
          <w:rFonts w:asciiTheme="majorHAnsi" w:hAnsiTheme="majorHAnsi" w:cs="Arial"/>
          <w:b/>
          <w:bCs/>
          <w:color w:val="auto"/>
          <w:sz w:val="22"/>
          <w:szCs w:val="22"/>
        </w:rPr>
      </w:pPr>
      <w:r w:rsidRPr="0080375E">
        <w:rPr>
          <w:rFonts w:asciiTheme="majorHAnsi" w:hAnsiTheme="majorHAnsi" w:cs="Arial"/>
          <w:b/>
          <w:bCs/>
          <w:sz w:val="22"/>
          <w:szCs w:val="22"/>
        </w:rPr>
        <w:t>Interpretation</w:t>
      </w:r>
    </w:p>
    <w:p w14:paraId="183AE47D" w14:textId="77777777" w:rsidR="008A6084" w:rsidRPr="0080375E" w:rsidRDefault="008A6084" w:rsidP="008A6084">
      <w:pPr>
        <w:pStyle w:val="beforebullets"/>
        <w:rPr>
          <w:rFonts w:asciiTheme="majorHAnsi" w:hAnsiTheme="majorHAnsi" w:cs="Arial"/>
          <w:color w:val="auto"/>
          <w:sz w:val="22"/>
          <w:szCs w:val="22"/>
        </w:rPr>
      </w:pPr>
      <w:r w:rsidRPr="0080375E">
        <w:rPr>
          <w:rFonts w:asciiTheme="majorHAnsi" w:hAnsiTheme="majorHAnsi" w:cs="Arial"/>
          <w:color w:val="auto"/>
          <w:sz w:val="22"/>
          <w:szCs w:val="22"/>
        </w:rPr>
        <w:t>Each numbered section or part of this document covers a responsible party, and contains the following information:</w:t>
      </w:r>
    </w:p>
    <w:p w14:paraId="265C4F2D" w14:textId="77777777" w:rsidR="008A6084" w:rsidRPr="0080375E" w:rsidRDefault="008A6084" w:rsidP="008A6084">
      <w:pPr>
        <w:pStyle w:val="Bulle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 xml:space="preserve">Scope — specifies the parties to whom the section or part applies </w:t>
      </w:r>
    </w:p>
    <w:p w14:paraId="3E563AED" w14:textId="77777777" w:rsidR="008A6084" w:rsidRPr="0080375E" w:rsidRDefault="008A6084" w:rsidP="008A6084">
      <w:pPr>
        <w:pStyle w:val="Bulle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 xml:space="preserve">Objective — intended outcome(s) for each section </w:t>
      </w:r>
    </w:p>
    <w:p w14:paraId="0D1F7E2D" w14:textId="77777777" w:rsidR="008A6084" w:rsidRPr="0080375E" w:rsidRDefault="008A6084" w:rsidP="008A6084">
      <w:pPr>
        <w:pStyle w:val="Bulle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Business Rules — minimum requirements that must be met under state/territory law</w:t>
      </w:r>
    </w:p>
    <w:p w14:paraId="0C38434A" w14:textId="19588E70" w:rsidR="008A6084" w:rsidRPr="0080375E" w:rsidRDefault="008A6084" w:rsidP="008A6084">
      <w:pPr>
        <w:pStyle w:val="Bulle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 xml:space="preserve">Verifiable statements — </w:t>
      </w:r>
      <w:r w:rsidR="008B683D">
        <w:rPr>
          <w:rFonts w:asciiTheme="majorHAnsi" w:hAnsiTheme="majorHAnsi"/>
          <w:color w:val="auto"/>
          <w:sz w:val="22"/>
          <w:szCs w:val="22"/>
        </w:rPr>
        <w:t>b</w:t>
      </w:r>
      <w:r w:rsidRPr="0080375E">
        <w:rPr>
          <w:rFonts w:asciiTheme="majorHAnsi" w:hAnsiTheme="majorHAnsi"/>
          <w:color w:val="auto"/>
          <w:sz w:val="22"/>
          <w:szCs w:val="22"/>
        </w:rPr>
        <w:t xml:space="preserve">usiness </w:t>
      </w:r>
      <w:r w:rsidR="008B683D">
        <w:rPr>
          <w:rFonts w:asciiTheme="majorHAnsi" w:hAnsiTheme="majorHAnsi"/>
          <w:color w:val="auto"/>
          <w:sz w:val="22"/>
          <w:szCs w:val="22"/>
        </w:rPr>
        <w:t>r</w:t>
      </w:r>
      <w:r w:rsidRPr="0080375E">
        <w:rPr>
          <w:rFonts w:asciiTheme="majorHAnsi" w:hAnsiTheme="majorHAnsi"/>
          <w:color w:val="auto"/>
          <w:sz w:val="22"/>
          <w:szCs w:val="22"/>
        </w:rPr>
        <w:t>ules are intended to be clear verifiable statements and are numbered with the prefix ‘S’</w:t>
      </w:r>
    </w:p>
    <w:p w14:paraId="657A3789" w14:textId="131512D0" w:rsidR="008A6084" w:rsidRPr="0080375E" w:rsidRDefault="008A6084" w:rsidP="008A6084">
      <w:pPr>
        <w:pStyle w:val="Bulle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 xml:space="preserve">Notes — provide guidance in the context of the </w:t>
      </w:r>
      <w:r w:rsidR="008B683D">
        <w:rPr>
          <w:rFonts w:asciiTheme="majorHAnsi" w:hAnsiTheme="majorHAnsi"/>
          <w:color w:val="auto"/>
          <w:sz w:val="22"/>
          <w:szCs w:val="22"/>
        </w:rPr>
        <w:t>b</w:t>
      </w:r>
      <w:r w:rsidRPr="0080375E">
        <w:rPr>
          <w:rFonts w:asciiTheme="majorHAnsi" w:hAnsiTheme="majorHAnsi"/>
          <w:color w:val="auto"/>
          <w:sz w:val="22"/>
          <w:szCs w:val="22"/>
        </w:rPr>
        <w:t xml:space="preserve">usiness </w:t>
      </w:r>
      <w:r w:rsidR="008B683D">
        <w:rPr>
          <w:rFonts w:asciiTheme="majorHAnsi" w:hAnsiTheme="majorHAnsi"/>
          <w:color w:val="auto"/>
          <w:sz w:val="22"/>
          <w:szCs w:val="22"/>
        </w:rPr>
        <w:t>r</w:t>
      </w:r>
      <w:r w:rsidRPr="0080375E">
        <w:rPr>
          <w:rFonts w:asciiTheme="majorHAnsi" w:hAnsiTheme="majorHAnsi"/>
          <w:color w:val="auto"/>
          <w:sz w:val="22"/>
          <w:szCs w:val="22"/>
        </w:rPr>
        <w:t>ules</w:t>
      </w:r>
    </w:p>
    <w:p w14:paraId="1CB171D1" w14:textId="77777777" w:rsidR="008A6084" w:rsidRPr="0080375E" w:rsidRDefault="008A6084" w:rsidP="008A6084">
      <w:pPr>
        <w:pStyle w:val="Bulletlast1"/>
        <w:spacing w:after="170"/>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Acronyms and terms — are as defined in the glossary.</w:t>
      </w:r>
    </w:p>
    <w:p w14:paraId="5E6819BE" w14:textId="77777777" w:rsidR="008A6084" w:rsidRPr="0080375E" w:rsidRDefault="008A6084" w:rsidP="008A6084">
      <w:pPr>
        <w:pStyle w:val="Bodycopy"/>
        <w:rPr>
          <w:rFonts w:asciiTheme="majorHAnsi" w:hAnsiTheme="majorHAnsi" w:cs="Arial"/>
          <w:w w:val="105"/>
          <w:sz w:val="22"/>
          <w:szCs w:val="22"/>
        </w:rPr>
      </w:pPr>
    </w:p>
    <w:p w14:paraId="5AB07E6A" w14:textId="77777777" w:rsidR="008A6084" w:rsidRPr="00B024E8" w:rsidRDefault="008A6084" w:rsidP="00B024E8">
      <w:pPr>
        <w:rPr>
          <w:b/>
          <w:bCs/>
        </w:rPr>
      </w:pPr>
      <w:bookmarkStart w:id="125" w:name="_Toc95908543"/>
      <w:r w:rsidRPr="00B024E8">
        <w:rPr>
          <w:b/>
          <w:bCs/>
        </w:rPr>
        <w:t>Industry databases</w:t>
      </w:r>
      <w:bookmarkEnd w:id="125"/>
    </w:p>
    <w:p w14:paraId="44A537F3" w14:textId="19800122" w:rsidR="008A6084" w:rsidRPr="0080375E" w:rsidRDefault="008A6084" w:rsidP="008A6084">
      <w:pPr>
        <w:pStyle w:val="Bodycopy"/>
        <w:rPr>
          <w:rFonts w:asciiTheme="majorHAnsi" w:hAnsiTheme="majorHAnsi" w:cs="Arial"/>
          <w:color w:val="auto"/>
          <w:sz w:val="22"/>
          <w:szCs w:val="22"/>
        </w:rPr>
      </w:pPr>
      <w:r w:rsidRPr="54CFE729">
        <w:rPr>
          <w:rFonts w:asciiTheme="majorHAnsi" w:hAnsiTheme="majorHAnsi" w:cs="Arial"/>
          <w:color w:val="auto"/>
          <w:sz w:val="22"/>
          <w:szCs w:val="22"/>
        </w:rPr>
        <w:t xml:space="preserve"> </w:t>
      </w:r>
      <w:r w:rsidRPr="0080375E">
        <w:rPr>
          <w:rFonts w:asciiTheme="majorHAnsi" w:hAnsiTheme="majorHAnsi" w:cs="Arial"/>
          <w:color w:val="auto"/>
          <w:sz w:val="22"/>
          <w:szCs w:val="22"/>
        </w:rPr>
        <w:t>Industry microchip registers and movement databases are encouraged to introduce upgrades that will allow the recording of PIC of residence details, name and contact details of carers, and in relation to the recording of movements either the addresses or PICs of the properties where a movement commences and ends.</w:t>
      </w:r>
    </w:p>
    <w:p w14:paraId="164F08A8" w14:textId="77777777" w:rsidR="0076740E" w:rsidRPr="0080375E" w:rsidRDefault="008A6084" w:rsidP="0076740E">
      <w:pPr>
        <w:pStyle w:val="Bodycopy"/>
        <w:rPr>
          <w:rFonts w:asciiTheme="majorHAnsi" w:hAnsiTheme="majorHAnsi" w:cs="Arial"/>
          <w:color w:val="auto"/>
          <w:sz w:val="22"/>
          <w:szCs w:val="22"/>
        </w:rPr>
      </w:pPr>
      <w:r w:rsidRPr="0080375E">
        <w:rPr>
          <w:rFonts w:asciiTheme="majorHAnsi" w:hAnsiTheme="majorHAnsi" w:cs="Arial"/>
          <w:color w:val="auto"/>
          <w:sz w:val="22"/>
          <w:szCs w:val="22"/>
        </w:rPr>
        <w:lastRenderedPageBreak/>
        <w:t>The carer is the person principally responsible for the care and husbandry of a horse or horses on a property.  From a biosecurity perspective, having access to a horse’s PIC of residence and the name and contact details of its carer is more important that having access to the name and contact details of its owner.  Carers will often include trainers, stud masters, veterinary practice managers, and persons keeping horses for commercial purposes, for lifestyle reasons or as pets.</w:t>
      </w:r>
    </w:p>
    <w:p w14:paraId="34651371" w14:textId="0A4F1115" w:rsidR="008A6084" w:rsidRPr="0080375E" w:rsidRDefault="008A6084" w:rsidP="0076740E">
      <w:pPr>
        <w:pStyle w:val="Bodycopy"/>
        <w:rPr>
          <w:rFonts w:asciiTheme="majorHAnsi" w:hAnsiTheme="majorHAnsi" w:cs="Arial"/>
          <w:b/>
          <w:color w:val="auto"/>
          <w:sz w:val="22"/>
          <w:szCs w:val="22"/>
        </w:rPr>
      </w:pPr>
      <w:r w:rsidRPr="0080375E">
        <w:rPr>
          <w:rFonts w:asciiTheme="majorHAnsi" w:hAnsiTheme="majorHAnsi" w:cs="Arial"/>
          <w:b/>
          <w:sz w:val="22"/>
          <w:szCs w:val="22"/>
        </w:rPr>
        <w:t>Record keeping</w:t>
      </w:r>
    </w:p>
    <w:p w14:paraId="68F3CA33" w14:textId="5AD7D51E" w:rsidR="004D019F" w:rsidRPr="0080375E" w:rsidRDefault="008A6084" w:rsidP="004D019F">
      <w:pPr>
        <w:rPr>
          <w:rFonts w:asciiTheme="majorHAnsi" w:hAnsiTheme="majorHAnsi" w:cs="Arial"/>
        </w:rPr>
      </w:pPr>
      <w:r w:rsidRPr="0080375E">
        <w:rPr>
          <w:rFonts w:asciiTheme="majorHAnsi" w:hAnsiTheme="majorHAnsi" w:cs="Arial"/>
        </w:rPr>
        <w:t>Movement records can be stored by industry participants in a retrievable electronic format or hardcopy if electronic is not available</w:t>
      </w:r>
      <w:r w:rsidR="008B683D">
        <w:rPr>
          <w:rFonts w:asciiTheme="majorHAnsi" w:hAnsiTheme="majorHAnsi" w:cs="Arial"/>
        </w:rPr>
        <w:t>,</w:t>
      </w:r>
      <w:r w:rsidRPr="0080375E">
        <w:rPr>
          <w:rFonts w:asciiTheme="majorHAnsi" w:hAnsiTheme="majorHAnsi" w:cs="Arial"/>
        </w:rPr>
        <w:t xml:space="preserve"> or on an accessible database provided they are able to be promptly retrieved when requested to do so by an authorised state/territory biosecurity officer. </w:t>
      </w:r>
    </w:p>
    <w:p w14:paraId="4F643763" w14:textId="39C58107" w:rsidR="008A6084" w:rsidRPr="0080375E" w:rsidRDefault="008A6084" w:rsidP="004D019F">
      <w:pPr>
        <w:rPr>
          <w:rFonts w:asciiTheme="majorHAnsi" w:hAnsiTheme="majorHAnsi" w:cs="Arial"/>
          <w:b/>
        </w:rPr>
      </w:pPr>
      <w:r w:rsidRPr="0080375E">
        <w:rPr>
          <w:rFonts w:asciiTheme="majorHAnsi" w:hAnsiTheme="majorHAnsi" w:cs="Arial"/>
          <w:b/>
        </w:rPr>
        <w:t>Commencement date</w:t>
      </w:r>
    </w:p>
    <w:p w14:paraId="52ADBF8F" w14:textId="4CD52004" w:rsidR="008A6084" w:rsidRPr="0080375E" w:rsidRDefault="008A6084" w:rsidP="008A6084">
      <w:pPr>
        <w:rPr>
          <w:rFonts w:asciiTheme="majorHAnsi" w:hAnsiTheme="majorHAnsi" w:cs="Arial"/>
        </w:rPr>
      </w:pPr>
      <w:r w:rsidRPr="0080375E">
        <w:rPr>
          <w:rFonts w:asciiTheme="majorHAnsi" w:hAnsiTheme="majorHAnsi" w:cs="Arial"/>
        </w:rPr>
        <w:t xml:space="preserve">State/territory laws are expected to be in place by no </w:t>
      </w:r>
      <w:r w:rsidRPr="004B4E33">
        <w:rPr>
          <w:rFonts w:asciiTheme="majorHAnsi" w:hAnsiTheme="majorHAnsi" w:cs="Arial"/>
        </w:rPr>
        <w:t>later than (</w:t>
      </w:r>
      <w:r w:rsidRPr="004B4E33">
        <w:rPr>
          <w:rFonts w:asciiTheme="majorHAnsi" w:hAnsiTheme="majorHAnsi" w:cs="Arial"/>
          <w:i/>
          <w:iCs/>
        </w:rPr>
        <w:t>insert date)</w:t>
      </w:r>
      <w:r w:rsidRPr="004B4E33">
        <w:rPr>
          <w:rFonts w:asciiTheme="majorHAnsi" w:hAnsiTheme="majorHAnsi" w:cs="Arial"/>
        </w:rPr>
        <w:t xml:space="preserve"> to</w:t>
      </w:r>
      <w:r w:rsidRPr="0080375E">
        <w:rPr>
          <w:rFonts w:asciiTheme="majorHAnsi" w:hAnsiTheme="majorHAnsi" w:cs="Arial"/>
        </w:rPr>
        <w:t xml:space="preserve"> bring into effect the obligations specified in these </w:t>
      </w:r>
      <w:r w:rsidR="008B683D">
        <w:rPr>
          <w:rFonts w:asciiTheme="majorHAnsi" w:hAnsiTheme="majorHAnsi" w:cs="Arial"/>
        </w:rPr>
        <w:t>b</w:t>
      </w:r>
      <w:r w:rsidRPr="0080375E">
        <w:rPr>
          <w:rFonts w:asciiTheme="majorHAnsi" w:hAnsiTheme="majorHAnsi" w:cs="Arial"/>
        </w:rPr>
        <w:t xml:space="preserve">usiness </w:t>
      </w:r>
      <w:r w:rsidR="008B683D">
        <w:rPr>
          <w:rFonts w:asciiTheme="majorHAnsi" w:hAnsiTheme="majorHAnsi" w:cs="Arial"/>
        </w:rPr>
        <w:t>r</w:t>
      </w:r>
      <w:r w:rsidRPr="0080375E">
        <w:rPr>
          <w:rFonts w:asciiTheme="majorHAnsi" w:hAnsiTheme="majorHAnsi" w:cs="Arial"/>
        </w:rPr>
        <w:t xml:space="preserve">ules. </w:t>
      </w:r>
    </w:p>
    <w:p w14:paraId="6E9AAEAF" w14:textId="77777777" w:rsidR="008A6084" w:rsidRPr="0080375E" w:rsidRDefault="008A6084" w:rsidP="008A6084">
      <w:pPr>
        <w:rPr>
          <w:rFonts w:asciiTheme="majorHAnsi" w:hAnsiTheme="majorHAnsi" w:cs="Arial"/>
          <w:b/>
          <w:bCs/>
        </w:rPr>
      </w:pPr>
      <w:r w:rsidRPr="0080375E">
        <w:rPr>
          <w:rFonts w:asciiTheme="majorHAnsi" w:hAnsiTheme="majorHAnsi" w:cs="Arial"/>
          <w:b/>
          <w:bCs/>
        </w:rPr>
        <w:br w:type="page"/>
      </w:r>
    </w:p>
    <w:p w14:paraId="75799737" w14:textId="77777777" w:rsidR="004D019F" w:rsidRPr="0080375E" w:rsidRDefault="008A6084" w:rsidP="004D019F">
      <w:pPr>
        <w:pStyle w:val="Heading1"/>
        <w:rPr>
          <w:rFonts w:asciiTheme="majorHAnsi" w:hAnsiTheme="majorHAnsi" w:cs="Arial"/>
          <w:sz w:val="24"/>
          <w:szCs w:val="24"/>
        </w:rPr>
      </w:pPr>
      <w:r w:rsidRPr="0080375E">
        <w:rPr>
          <w:rFonts w:asciiTheme="majorHAnsi" w:hAnsiTheme="majorHAnsi" w:cs="Arial"/>
          <w:sz w:val="24"/>
          <w:szCs w:val="24"/>
        </w:rPr>
        <w:lastRenderedPageBreak/>
        <w:t xml:space="preserve">Part 1: </w:t>
      </w:r>
      <w:bookmarkEnd w:id="123"/>
      <w:r w:rsidRPr="0080375E">
        <w:rPr>
          <w:rFonts w:asciiTheme="majorHAnsi" w:hAnsiTheme="majorHAnsi" w:cs="Arial"/>
          <w:sz w:val="24"/>
          <w:szCs w:val="24"/>
        </w:rPr>
        <w:t>Horse owners and carers</w:t>
      </w:r>
    </w:p>
    <w:p w14:paraId="225F49F1" w14:textId="0B5FCE4A" w:rsidR="008A6084" w:rsidRPr="0080375E" w:rsidRDefault="008A6084" w:rsidP="004D019F">
      <w:pPr>
        <w:pStyle w:val="Heading1"/>
        <w:rPr>
          <w:rFonts w:asciiTheme="majorHAnsi" w:hAnsiTheme="majorHAnsi" w:cs="Arial"/>
          <w:sz w:val="22"/>
          <w:szCs w:val="22"/>
        </w:rPr>
      </w:pPr>
      <w:r w:rsidRPr="0080375E">
        <w:rPr>
          <w:rFonts w:asciiTheme="majorHAnsi" w:hAnsiTheme="majorHAnsi" w:cs="Arial"/>
          <w:sz w:val="22"/>
          <w:szCs w:val="22"/>
        </w:rPr>
        <w:t>Scope</w:t>
      </w:r>
    </w:p>
    <w:p w14:paraId="3CA46BD5" w14:textId="77777777" w:rsidR="008A6084" w:rsidRPr="0080375E" w:rsidRDefault="008A6084" w:rsidP="008A6084">
      <w:pPr>
        <w:pStyle w:val="beforebullets"/>
        <w:rPr>
          <w:rFonts w:asciiTheme="majorHAnsi" w:hAnsiTheme="majorHAnsi" w:cs="Arial"/>
          <w:color w:val="auto"/>
          <w:sz w:val="22"/>
          <w:szCs w:val="22"/>
        </w:rPr>
      </w:pPr>
      <w:r w:rsidRPr="0080375E">
        <w:rPr>
          <w:rFonts w:asciiTheme="majorHAnsi" w:hAnsiTheme="majorHAnsi" w:cs="Arial"/>
          <w:color w:val="auto"/>
          <w:sz w:val="22"/>
          <w:szCs w:val="22"/>
        </w:rPr>
        <w:t>This Part of these business rules applies to:</w:t>
      </w:r>
    </w:p>
    <w:p w14:paraId="0AC99696" w14:textId="77777777" w:rsidR="008A6084" w:rsidRPr="0080375E" w:rsidRDefault="008A6084" w:rsidP="008A6084">
      <w:pPr>
        <w:pStyle w:val="Bulle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 xml:space="preserve">persons owning and/or managing a property where horses are bred, agisted, reared, held or kept </w:t>
      </w:r>
    </w:p>
    <w:p w14:paraId="72A2A18D" w14:textId="77777777" w:rsidR="008A6084" w:rsidRPr="0080375E" w:rsidRDefault="008A6084" w:rsidP="008A6084">
      <w:pPr>
        <w:pStyle w:val="Bulle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persons primarily responsible for the care of horses (carers), and</w:t>
      </w:r>
    </w:p>
    <w:p w14:paraId="4A851797" w14:textId="77777777" w:rsidR="004D019F" w:rsidRPr="0080375E" w:rsidRDefault="008A6084" w:rsidP="004D019F">
      <w:pPr>
        <w:pStyle w:val="Bulletlast1"/>
        <w:spacing w:after="170"/>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persons owning and/or managing horses moving off or onto a property at any point of a horse’s life for any reason, and to the intact carcases of dead horses.</w:t>
      </w:r>
    </w:p>
    <w:p w14:paraId="36502BDE" w14:textId="28FE9ACB" w:rsidR="008A6084" w:rsidRPr="0080375E" w:rsidRDefault="008A6084" w:rsidP="004D019F">
      <w:pPr>
        <w:pStyle w:val="Bulletlast1"/>
        <w:spacing w:after="170"/>
        <w:rPr>
          <w:rFonts w:asciiTheme="majorHAnsi" w:hAnsiTheme="majorHAnsi"/>
          <w:b/>
          <w:bCs/>
          <w:color w:val="auto"/>
          <w:sz w:val="22"/>
          <w:szCs w:val="22"/>
        </w:rPr>
      </w:pPr>
      <w:r w:rsidRPr="0080375E">
        <w:rPr>
          <w:rFonts w:asciiTheme="majorHAnsi" w:hAnsiTheme="majorHAnsi"/>
          <w:b/>
          <w:bCs/>
          <w:sz w:val="22"/>
          <w:szCs w:val="22"/>
        </w:rPr>
        <w:t>Objective</w:t>
      </w:r>
    </w:p>
    <w:p w14:paraId="2771CD9B" w14:textId="77777777" w:rsidR="004D019F" w:rsidRPr="0080375E" w:rsidRDefault="008A6084" w:rsidP="004D019F">
      <w:pPr>
        <w:pStyle w:val="Bodycopy"/>
        <w:rPr>
          <w:rFonts w:asciiTheme="majorHAnsi" w:hAnsiTheme="majorHAnsi" w:cs="Arial"/>
          <w:color w:val="auto"/>
          <w:sz w:val="22"/>
          <w:szCs w:val="22"/>
        </w:rPr>
      </w:pPr>
      <w:r w:rsidRPr="0080375E">
        <w:rPr>
          <w:rFonts w:asciiTheme="majorHAnsi" w:hAnsiTheme="majorHAnsi" w:cs="Arial"/>
          <w:color w:val="auto"/>
          <w:sz w:val="22"/>
          <w:szCs w:val="22"/>
        </w:rPr>
        <w:t>To ensure that the properties on which horses reside have a valid property identification code (PIC), and that their movements are recorded to facilitate tracking for biosecurity purposes as and when required.</w:t>
      </w:r>
    </w:p>
    <w:p w14:paraId="3A44F5C4" w14:textId="4FF28F57" w:rsidR="008A6084" w:rsidRPr="0080375E" w:rsidRDefault="008A6084" w:rsidP="004D019F">
      <w:pPr>
        <w:pStyle w:val="Bodycopy"/>
        <w:rPr>
          <w:rFonts w:asciiTheme="majorHAnsi" w:hAnsiTheme="majorHAnsi" w:cs="Arial"/>
          <w:b/>
          <w:color w:val="auto"/>
          <w:sz w:val="22"/>
          <w:szCs w:val="22"/>
        </w:rPr>
      </w:pPr>
      <w:r w:rsidRPr="0080375E">
        <w:rPr>
          <w:rFonts w:asciiTheme="majorHAnsi" w:hAnsiTheme="majorHAnsi" w:cs="Arial"/>
          <w:b/>
          <w:sz w:val="22"/>
          <w:szCs w:val="22"/>
        </w:rPr>
        <w:t>Business Rules</w:t>
      </w:r>
    </w:p>
    <w:p w14:paraId="029545CF" w14:textId="77777777" w:rsidR="008A6084" w:rsidRPr="00FE1E02" w:rsidRDefault="008A6084" w:rsidP="00FE1E02">
      <w:pPr>
        <w:rPr>
          <w:b/>
          <w:bCs/>
        </w:rPr>
      </w:pPr>
      <w:bookmarkStart w:id="126" w:name="_Toc95908544"/>
      <w:r w:rsidRPr="00FE1E02">
        <w:rPr>
          <w:b/>
          <w:bCs/>
        </w:rPr>
        <w:t>S1.1 Property identification</w:t>
      </w:r>
      <w:bookmarkEnd w:id="126"/>
    </w:p>
    <w:p w14:paraId="33A3D55D" w14:textId="77777777" w:rsidR="008A6084" w:rsidRPr="00FE1E02" w:rsidRDefault="008A6084" w:rsidP="00FE1E02">
      <w:pPr>
        <w:rPr>
          <w:b/>
          <w:bCs/>
        </w:rPr>
      </w:pPr>
      <w:r w:rsidRPr="00FE1E02">
        <w:rPr>
          <w:b/>
          <w:bCs/>
        </w:rPr>
        <w:t>S1.1.1</w:t>
      </w:r>
    </w:p>
    <w:p w14:paraId="2F3D2F59" w14:textId="77777777" w:rsidR="008A6084" w:rsidRPr="0080375E" w:rsidRDefault="008A6084" w:rsidP="002849D6">
      <w:pPr>
        <w:pStyle w:val="Bodycopy"/>
        <w:numPr>
          <w:ilvl w:val="0"/>
          <w:numId w:val="15"/>
        </w:numPr>
        <w:ind w:left="567" w:hanging="567"/>
        <w:rPr>
          <w:rFonts w:asciiTheme="majorHAnsi" w:hAnsiTheme="majorHAnsi" w:cs="Arial"/>
          <w:color w:val="auto"/>
          <w:sz w:val="22"/>
          <w:szCs w:val="22"/>
        </w:rPr>
      </w:pPr>
      <w:r w:rsidRPr="0080375E">
        <w:rPr>
          <w:rFonts w:asciiTheme="majorHAnsi" w:hAnsiTheme="majorHAnsi" w:cs="Arial"/>
          <w:color w:val="auto"/>
          <w:sz w:val="22"/>
          <w:szCs w:val="22"/>
        </w:rPr>
        <w:t>A person owning or managing a property on which a horse or horses are or will be kept must ensure that a valid PIC issued by the relevant state/territory government agency is in place for that property.</w:t>
      </w:r>
    </w:p>
    <w:p w14:paraId="594E3CA7" w14:textId="77777777" w:rsidR="008A6084" w:rsidRPr="0080375E" w:rsidRDefault="008A6084" w:rsidP="002849D6">
      <w:pPr>
        <w:pStyle w:val="Bodycopy"/>
        <w:numPr>
          <w:ilvl w:val="0"/>
          <w:numId w:val="15"/>
        </w:numPr>
        <w:ind w:left="567" w:hanging="567"/>
        <w:rPr>
          <w:rFonts w:asciiTheme="majorHAnsi" w:hAnsiTheme="majorHAnsi" w:cs="Arial"/>
          <w:color w:val="auto"/>
          <w:sz w:val="22"/>
          <w:szCs w:val="22"/>
        </w:rPr>
      </w:pPr>
      <w:r w:rsidRPr="0080375E">
        <w:rPr>
          <w:rFonts w:asciiTheme="majorHAnsi" w:hAnsiTheme="majorHAnsi" w:cs="Arial"/>
          <w:color w:val="auto"/>
          <w:sz w:val="22"/>
          <w:szCs w:val="22"/>
        </w:rPr>
        <w:t>A person who is the carer of a horse must ensure that a valid PIC issued by the relevant state/territory government agency is in place for the property on which that horse resides.</w:t>
      </w:r>
    </w:p>
    <w:p w14:paraId="2979ABE9" w14:textId="77777777" w:rsidR="008A6084" w:rsidRPr="00FE1E02" w:rsidRDefault="008A6084" w:rsidP="00FE1E02">
      <w:pPr>
        <w:rPr>
          <w:b/>
          <w:bCs/>
        </w:rPr>
      </w:pPr>
      <w:r w:rsidRPr="00FE1E02">
        <w:rPr>
          <w:b/>
          <w:bCs/>
        </w:rPr>
        <w:t>S1.1.2</w:t>
      </w:r>
    </w:p>
    <w:p w14:paraId="3BC4C9EF"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The property owner and carer are responsible for ensuring that their state/territory agency is notified within 28 days of changes to any of the following details relating to a PIC:</w:t>
      </w:r>
    </w:p>
    <w:p w14:paraId="0783A9D3" w14:textId="77777777" w:rsidR="008A6084" w:rsidRPr="0080375E" w:rsidRDefault="008A6084" w:rsidP="002849D6">
      <w:pPr>
        <w:pStyle w:val="bodyletterslast"/>
        <w:numPr>
          <w:ilvl w:val="0"/>
          <w:numId w:val="16"/>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owner contact details including name, address and contact phone number,</w:t>
      </w:r>
    </w:p>
    <w:p w14:paraId="6116A884" w14:textId="77777777" w:rsidR="008A6084" w:rsidRPr="0080375E" w:rsidRDefault="008A6084" w:rsidP="002849D6">
      <w:pPr>
        <w:pStyle w:val="bodyletterslast"/>
        <w:numPr>
          <w:ilvl w:val="0"/>
          <w:numId w:val="16"/>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carer contact details including name, address and contact phone number,</w:t>
      </w:r>
    </w:p>
    <w:p w14:paraId="3D4BB7E1" w14:textId="77777777" w:rsidR="008A6084" w:rsidRPr="0080375E" w:rsidRDefault="008A6084" w:rsidP="002849D6">
      <w:pPr>
        <w:pStyle w:val="bodyletterslast"/>
        <w:numPr>
          <w:ilvl w:val="0"/>
          <w:numId w:val="16"/>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changes to property boundaries involving their expansion through acquisition or agreement to graze horses, or their reduction through sale or the relinquishing of a lease or agistment right, and</w:t>
      </w:r>
    </w:p>
    <w:p w14:paraId="1CDA0A1B" w14:textId="77777777" w:rsidR="008A6084" w:rsidRPr="0080375E" w:rsidRDefault="008A6084" w:rsidP="002849D6">
      <w:pPr>
        <w:pStyle w:val="bodyletterslast"/>
        <w:numPr>
          <w:ilvl w:val="0"/>
          <w:numId w:val="16"/>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the livestock species that are or will be kept on the property.</w:t>
      </w:r>
    </w:p>
    <w:p w14:paraId="73C27FB4" w14:textId="77777777" w:rsidR="008A6084" w:rsidRPr="0080375E" w:rsidRDefault="008A6084" w:rsidP="008A6084">
      <w:pPr>
        <w:rPr>
          <w:rFonts w:asciiTheme="majorHAnsi" w:hAnsiTheme="majorHAnsi" w:cs="Arial"/>
          <w:b/>
          <w:color w:val="000000"/>
        </w:rPr>
      </w:pPr>
    </w:p>
    <w:p w14:paraId="07AA0AB0" w14:textId="77777777" w:rsidR="008A6084" w:rsidRPr="0080375E" w:rsidRDefault="008A6084" w:rsidP="008A6084">
      <w:pPr>
        <w:rPr>
          <w:rFonts w:asciiTheme="majorHAnsi" w:hAnsiTheme="majorHAnsi" w:cs="Arial"/>
          <w:b/>
        </w:rPr>
      </w:pPr>
      <w:r w:rsidRPr="0080375E">
        <w:rPr>
          <w:rFonts w:asciiTheme="majorHAnsi" w:hAnsiTheme="majorHAnsi" w:cs="Arial"/>
          <w:b/>
        </w:rPr>
        <w:t>Note:</w:t>
      </w:r>
    </w:p>
    <w:p w14:paraId="2168C3CD" w14:textId="77777777" w:rsidR="008A6084" w:rsidRPr="0080375E" w:rsidRDefault="008A6084" w:rsidP="008A6084">
      <w:pPr>
        <w:rPr>
          <w:rFonts w:asciiTheme="majorHAnsi" w:hAnsiTheme="majorHAnsi" w:cs="Arial"/>
          <w:b/>
        </w:rPr>
      </w:pPr>
      <w:r w:rsidRPr="0080375E">
        <w:rPr>
          <w:rFonts w:asciiTheme="majorHAnsi" w:hAnsiTheme="majorHAnsi" w:cs="Arial"/>
          <w:b/>
        </w:rPr>
        <w:t>A property on which one or more cattle, buffalo, bison, sheep, goats, pigs, alpacas, llamas, camels, horses, domesticated deer, and/or more than 10 domesticated emus or ostriches, and/or more than 50 poultry are present, must have a PIC.</w:t>
      </w:r>
    </w:p>
    <w:p w14:paraId="4B2C5C59" w14:textId="77777777" w:rsidR="008A6084" w:rsidRPr="00FE1E02" w:rsidRDefault="008A6084" w:rsidP="00FE1E02">
      <w:pPr>
        <w:rPr>
          <w:b/>
          <w:bCs/>
        </w:rPr>
      </w:pPr>
      <w:bookmarkStart w:id="127" w:name="_Toc95908545"/>
      <w:r w:rsidRPr="00FE1E02">
        <w:rPr>
          <w:b/>
          <w:bCs/>
        </w:rPr>
        <w:t>S1.2 Horse identification</w:t>
      </w:r>
      <w:bookmarkEnd w:id="127"/>
    </w:p>
    <w:p w14:paraId="7FDFAA1B" w14:textId="77777777" w:rsidR="008A6084" w:rsidRPr="00FE1E02" w:rsidRDefault="008A6084" w:rsidP="00FE1E02">
      <w:pPr>
        <w:rPr>
          <w:b/>
          <w:bCs/>
        </w:rPr>
      </w:pPr>
      <w:r w:rsidRPr="00FE1E02">
        <w:rPr>
          <w:b/>
          <w:bCs/>
        </w:rPr>
        <w:t xml:space="preserve">S1.2.1 </w:t>
      </w:r>
    </w:p>
    <w:p w14:paraId="428DBD9A" w14:textId="4D7CC859"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lastRenderedPageBreak/>
        <w:t xml:space="preserve">The use of implantable microchips is the only method for the permanent identification of horses regulated as part to these </w:t>
      </w:r>
      <w:r w:rsidR="008B683D">
        <w:rPr>
          <w:rFonts w:asciiTheme="majorHAnsi" w:hAnsiTheme="majorHAnsi" w:cs="Arial"/>
          <w:color w:val="auto"/>
          <w:sz w:val="22"/>
          <w:szCs w:val="22"/>
        </w:rPr>
        <w:t>b</w:t>
      </w:r>
      <w:r w:rsidRPr="0080375E">
        <w:rPr>
          <w:rFonts w:asciiTheme="majorHAnsi" w:hAnsiTheme="majorHAnsi" w:cs="Arial"/>
          <w:color w:val="auto"/>
          <w:sz w:val="22"/>
          <w:szCs w:val="22"/>
        </w:rPr>
        <w:t xml:space="preserve">usiness </w:t>
      </w:r>
      <w:r w:rsidR="008B683D">
        <w:rPr>
          <w:rFonts w:asciiTheme="majorHAnsi" w:hAnsiTheme="majorHAnsi" w:cs="Arial"/>
          <w:color w:val="auto"/>
          <w:sz w:val="22"/>
          <w:szCs w:val="22"/>
        </w:rPr>
        <w:t>r</w:t>
      </w:r>
      <w:r w:rsidRPr="0080375E">
        <w:rPr>
          <w:rFonts w:asciiTheme="majorHAnsi" w:hAnsiTheme="majorHAnsi" w:cs="Arial"/>
          <w:color w:val="auto"/>
          <w:sz w:val="22"/>
          <w:szCs w:val="22"/>
        </w:rPr>
        <w:t xml:space="preserve">ules.  </w:t>
      </w:r>
    </w:p>
    <w:p w14:paraId="52AF9715" w14:textId="77777777" w:rsidR="008A6084" w:rsidRPr="0080375E" w:rsidRDefault="008A6084" w:rsidP="008A6084">
      <w:pPr>
        <w:pStyle w:val="Bodycopy"/>
        <w:rPr>
          <w:rFonts w:asciiTheme="majorHAnsi" w:hAnsiTheme="majorHAnsi" w:cs="Arial"/>
          <w:b/>
          <w:bCs/>
          <w:color w:val="auto"/>
          <w:sz w:val="22"/>
          <w:szCs w:val="22"/>
        </w:rPr>
      </w:pPr>
      <w:r w:rsidRPr="0080375E">
        <w:rPr>
          <w:rFonts w:asciiTheme="majorHAnsi" w:hAnsiTheme="majorHAnsi" w:cs="Arial"/>
          <w:b/>
          <w:bCs/>
          <w:color w:val="auto"/>
          <w:sz w:val="22"/>
          <w:szCs w:val="22"/>
        </w:rPr>
        <w:t>Note:</w:t>
      </w:r>
    </w:p>
    <w:p w14:paraId="3543EE2D" w14:textId="64CA5820" w:rsidR="008A6084" w:rsidRPr="0080375E" w:rsidRDefault="008A6084" w:rsidP="3B8424AC">
      <w:pPr>
        <w:pStyle w:val="Bodycopy"/>
        <w:rPr>
          <w:rFonts w:asciiTheme="majorHAnsi" w:hAnsiTheme="majorHAnsi" w:cs="Arial"/>
          <w:b/>
          <w:bCs/>
          <w:color w:val="FF0000"/>
          <w:sz w:val="22"/>
          <w:szCs w:val="22"/>
        </w:rPr>
      </w:pPr>
      <w:r w:rsidRPr="3B8424AC">
        <w:rPr>
          <w:rFonts w:asciiTheme="majorHAnsi" w:hAnsiTheme="majorHAnsi" w:cs="Arial"/>
          <w:b/>
          <w:bCs/>
          <w:color w:val="auto"/>
          <w:sz w:val="22"/>
          <w:szCs w:val="22"/>
        </w:rPr>
        <w:t xml:space="preserve">The use of implantable microchips is not mandatory under these </w:t>
      </w:r>
      <w:r w:rsidR="008B683D">
        <w:rPr>
          <w:rFonts w:asciiTheme="majorHAnsi" w:hAnsiTheme="majorHAnsi" w:cs="Arial"/>
          <w:b/>
          <w:bCs/>
          <w:color w:val="auto"/>
          <w:sz w:val="22"/>
          <w:szCs w:val="22"/>
        </w:rPr>
        <w:t>b</w:t>
      </w:r>
      <w:r w:rsidRPr="3B8424AC">
        <w:rPr>
          <w:rFonts w:asciiTheme="majorHAnsi" w:hAnsiTheme="majorHAnsi" w:cs="Arial"/>
          <w:b/>
          <w:bCs/>
          <w:color w:val="auto"/>
          <w:sz w:val="22"/>
          <w:szCs w:val="22"/>
        </w:rPr>
        <w:t xml:space="preserve">usiness </w:t>
      </w:r>
      <w:r w:rsidR="008B683D">
        <w:rPr>
          <w:rFonts w:asciiTheme="majorHAnsi" w:hAnsiTheme="majorHAnsi" w:cs="Arial"/>
          <w:b/>
          <w:bCs/>
          <w:color w:val="auto"/>
          <w:sz w:val="22"/>
          <w:szCs w:val="22"/>
        </w:rPr>
        <w:t>r</w:t>
      </w:r>
      <w:r w:rsidRPr="3B8424AC">
        <w:rPr>
          <w:rFonts w:asciiTheme="majorHAnsi" w:hAnsiTheme="majorHAnsi" w:cs="Arial"/>
          <w:b/>
          <w:bCs/>
          <w:color w:val="auto"/>
          <w:sz w:val="22"/>
          <w:szCs w:val="22"/>
        </w:rPr>
        <w:t>ules.  Microchipping may</w:t>
      </w:r>
      <w:r w:rsidR="00D76B8B">
        <w:rPr>
          <w:rFonts w:asciiTheme="majorHAnsi" w:hAnsiTheme="majorHAnsi" w:cs="Arial"/>
          <w:b/>
          <w:bCs/>
          <w:color w:val="auto"/>
          <w:sz w:val="22"/>
          <w:szCs w:val="22"/>
        </w:rPr>
        <w:t>,</w:t>
      </w:r>
      <w:r w:rsidRPr="3B8424AC">
        <w:rPr>
          <w:rFonts w:asciiTheme="majorHAnsi" w:hAnsiTheme="majorHAnsi" w:cs="Arial"/>
          <w:b/>
          <w:bCs/>
          <w:color w:val="auto"/>
          <w:sz w:val="22"/>
          <w:szCs w:val="22"/>
        </w:rPr>
        <w:t xml:space="preserve"> however</w:t>
      </w:r>
      <w:r w:rsidR="00D76B8B">
        <w:rPr>
          <w:rFonts w:asciiTheme="majorHAnsi" w:hAnsiTheme="majorHAnsi" w:cs="Arial"/>
          <w:b/>
          <w:bCs/>
          <w:color w:val="auto"/>
          <w:sz w:val="22"/>
          <w:szCs w:val="22"/>
        </w:rPr>
        <w:t>,</w:t>
      </w:r>
      <w:r w:rsidRPr="3B8424AC">
        <w:rPr>
          <w:rFonts w:asciiTheme="majorHAnsi" w:hAnsiTheme="majorHAnsi" w:cs="Arial"/>
          <w:b/>
          <w:bCs/>
          <w:color w:val="auto"/>
          <w:sz w:val="22"/>
          <w:szCs w:val="22"/>
        </w:rPr>
        <w:t xml:space="preserve"> be required by industry organisations for</w:t>
      </w:r>
      <w:r w:rsidR="00CD00DF">
        <w:rPr>
          <w:rFonts w:asciiTheme="majorHAnsi" w:hAnsiTheme="majorHAnsi" w:cs="Arial"/>
          <w:b/>
          <w:bCs/>
          <w:color w:val="auto"/>
          <w:sz w:val="22"/>
          <w:szCs w:val="22"/>
        </w:rPr>
        <w:t xml:space="preserve"> </w:t>
      </w:r>
      <w:r w:rsidR="00CD00DF" w:rsidRPr="3B8424AC">
        <w:rPr>
          <w:rFonts w:asciiTheme="majorHAnsi" w:hAnsiTheme="majorHAnsi" w:cs="Arial"/>
          <w:b/>
          <w:bCs/>
          <w:color w:val="auto"/>
          <w:sz w:val="22"/>
          <w:szCs w:val="22"/>
        </w:rPr>
        <w:t>identification, integrity</w:t>
      </w:r>
      <w:r w:rsidRPr="3B8424AC">
        <w:rPr>
          <w:rFonts w:asciiTheme="majorHAnsi" w:hAnsiTheme="majorHAnsi" w:cs="Arial"/>
          <w:b/>
          <w:bCs/>
          <w:color w:val="auto"/>
          <w:sz w:val="22"/>
          <w:szCs w:val="22"/>
        </w:rPr>
        <w:t xml:space="preserve"> and performance recording purposes.  Other identification methods may be used by horse owners and horse industry organisations for management and other purposes. </w:t>
      </w:r>
    </w:p>
    <w:p w14:paraId="62447656" w14:textId="77777777" w:rsidR="008A6084" w:rsidRPr="00FE1E02" w:rsidRDefault="008A6084" w:rsidP="00FE1E02">
      <w:pPr>
        <w:rPr>
          <w:b/>
          <w:bCs/>
        </w:rPr>
      </w:pPr>
      <w:r w:rsidRPr="00FE1E02">
        <w:rPr>
          <w:b/>
          <w:bCs/>
        </w:rPr>
        <w:t>S1.2.2</w:t>
      </w:r>
    </w:p>
    <w:p w14:paraId="777CA545"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Other than in the context of the slaughter of horses in an abattoir or the processing of a carcase in a knackery, implanted transponders must not be removed from horses, or altered or damaged in any way either prior to or after implantation.</w:t>
      </w:r>
    </w:p>
    <w:p w14:paraId="583C12A4" w14:textId="77777777" w:rsidR="008A6084" w:rsidRPr="00F64F86" w:rsidRDefault="008A6084" w:rsidP="00F64F86">
      <w:pPr>
        <w:rPr>
          <w:b/>
          <w:bCs/>
        </w:rPr>
      </w:pPr>
      <w:bookmarkStart w:id="128" w:name="_Toc95908546"/>
      <w:r w:rsidRPr="00F64F86">
        <w:rPr>
          <w:b/>
          <w:bCs/>
        </w:rPr>
        <w:t>S1.2.3</w:t>
      </w:r>
      <w:bookmarkEnd w:id="128"/>
    </w:p>
    <w:p w14:paraId="13A40655" w14:textId="77777777" w:rsidR="008A6084" w:rsidRPr="0080375E" w:rsidRDefault="008A6084" w:rsidP="002849D6">
      <w:pPr>
        <w:pStyle w:val="bodyletterslast"/>
        <w:numPr>
          <w:ilvl w:val="0"/>
          <w:numId w:val="17"/>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A horse must not be implanted with a microchip until the animal’s near-side nuchal ligament has been scanned with a properly functioning full duplex-B (FDX-B) reader to ensure that the animal has not already been microchipped.</w:t>
      </w:r>
    </w:p>
    <w:p w14:paraId="16939BCF" w14:textId="77777777" w:rsidR="008A6084" w:rsidRPr="0080375E" w:rsidRDefault="008A6084" w:rsidP="002849D6">
      <w:pPr>
        <w:pStyle w:val="bodyletterslast"/>
        <w:numPr>
          <w:ilvl w:val="0"/>
          <w:numId w:val="17"/>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 xml:space="preserve">Where a horse is to be microchipped, the microchip used must operate in FDX-B mode, be encoded with a unique unalterable number and comply with Australian Standards AS5018-2001 and AS5019-2001. </w:t>
      </w:r>
    </w:p>
    <w:p w14:paraId="37CD1F21" w14:textId="77777777" w:rsidR="008A6084" w:rsidRPr="0080375E" w:rsidRDefault="008A6084" w:rsidP="002849D6">
      <w:pPr>
        <w:pStyle w:val="bodyletterslast"/>
        <w:numPr>
          <w:ilvl w:val="0"/>
          <w:numId w:val="17"/>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The microchip must be implanted into the nuchal ligament approximately 3 centimetres below the crest and approximately half-way between the poll and the withers on the left-hand (near) side either by a veterinarian or a technician permitted to microchip horses by the relevant state/territory authority.</w:t>
      </w:r>
    </w:p>
    <w:p w14:paraId="5330010A" w14:textId="77777777" w:rsidR="008A6084" w:rsidRPr="0080375E" w:rsidRDefault="008A6084" w:rsidP="002849D6">
      <w:pPr>
        <w:pStyle w:val="bodyletterslast"/>
        <w:numPr>
          <w:ilvl w:val="0"/>
          <w:numId w:val="17"/>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After implantation the person responsible for implanting the microchip must check using a FDX-B enabled reader to confirm that the microchip is operating correctly.</w:t>
      </w:r>
    </w:p>
    <w:p w14:paraId="73A4C47B" w14:textId="77777777" w:rsidR="008A6084" w:rsidRPr="0080375E" w:rsidRDefault="008A6084" w:rsidP="002849D6">
      <w:pPr>
        <w:pStyle w:val="bodyletterslast"/>
        <w:numPr>
          <w:ilvl w:val="0"/>
          <w:numId w:val="17"/>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The age in years, breed and gender of the horse, owner’s name and address, carer’s name and contact phone number, PIC of the location where the horse was implanted, and microchip number must be provided by the implanter within two business days to an accessible register approved by the relevant state/territory agency.</w:t>
      </w:r>
    </w:p>
    <w:p w14:paraId="416FC9C0" w14:textId="77777777" w:rsidR="008A6084" w:rsidRPr="0080375E" w:rsidRDefault="008A6084" w:rsidP="008A6084">
      <w:pPr>
        <w:tabs>
          <w:tab w:val="num" w:pos="0"/>
        </w:tabs>
        <w:rPr>
          <w:rFonts w:asciiTheme="majorHAnsi" w:hAnsiTheme="majorHAnsi" w:cs="Arial"/>
          <w:b/>
        </w:rPr>
      </w:pPr>
      <w:r w:rsidRPr="0080375E">
        <w:rPr>
          <w:rFonts w:asciiTheme="majorHAnsi" w:hAnsiTheme="majorHAnsi" w:cs="Arial"/>
          <w:b/>
        </w:rPr>
        <w:t>Note:</w:t>
      </w:r>
    </w:p>
    <w:p w14:paraId="789BB25F" w14:textId="77777777" w:rsidR="008A6084" w:rsidRPr="0080375E" w:rsidRDefault="008A6084" w:rsidP="008A6084">
      <w:pPr>
        <w:pStyle w:val="align-justify"/>
        <w:shd w:val="clear" w:color="auto" w:fill="FFFFFF"/>
        <w:tabs>
          <w:tab w:val="num" w:pos="0"/>
        </w:tabs>
        <w:autoSpaceDE w:val="0"/>
        <w:autoSpaceDN w:val="0"/>
        <w:adjustRightInd w:val="0"/>
        <w:jc w:val="left"/>
        <w:rPr>
          <w:rFonts w:asciiTheme="majorHAnsi" w:hAnsiTheme="majorHAnsi" w:cs="Arial"/>
        </w:rPr>
      </w:pPr>
      <w:r w:rsidRPr="0080375E">
        <w:rPr>
          <w:rFonts w:asciiTheme="majorHAnsi" w:hAnsiTheme="majorHAnsi" w:cs="Arial"/>
          <w:b/>
          <w:sz w:val="22"/>
          <w:szCs w:val="22"/>
        </w:rPr>
        <w:t>For thoroughbred and standardbred horses, microchips supplied by the Australian Stud Book and Harness Racing Australia under their respectively rules must be used.</w:t>
      </w:r>
      <w:r w:rsidRPr="0080375E">
        <w:rPr>
          <w:rFonts w:asciiTheme="majorHAnsi" w:hAnsiTheme="majorHAnsi" w:cs="Arial"/>
          <w:b/>
        </w:rPr>
        <w:t xml:space="preserve"> </w:t>
      </w:r>
    </w:p>
    <w:p w14:paraId="0816EEBC" w14:textId="77777777" w:rsidR="008A6084" w:rsidRPr="00FE1E02" w:rsidRDefault="008A6084" w:rsidP="00FE1E02">
      <w:pPr>
        <w:rPr>
          <w:b/>
          <w:bCs/>
        </w:rPr>
      </w:pPr>
      <w:bookmarkStart w:id="129" w:name="_Toc95908547"/>
      <w:r w:rsidRPr="00FE1E02">
        <w:rPr>
          <w:b/>
          <w:bCs/>
        </w:rPr>
        <w:t xml:space="preserve">S1.3 </w:t>
      </w:r>
      <w:r w:rsidRPr="00FE1E02">
        <w:rPr>
          <w:b/>
          <w:bCs/>
        </w:rPr>
        <w:tab/>
        <w:t>Movement recording</w:t>
      </w:r>
      <w:bookmarkEnd w:id="129"/>
      <w:r w:rsidRPr="00FE1E02">
        <w:rPr>
          <w:b/>
          <w:bCs/>
        </w:rPr>
        <w:t xml:space="preserve"> </w:t>
      </w:r>
    </w:p>
    <w:p w14:paraId="72D15E76" w14:textId="77777777" w:rsidR="008A6084" w:rsidRPr="00FE1E02" w:rsidRDefault="008A6084" w:rsidP="00FE1E02">
      <w:pPr>
        <w:rPr>
          <w:b/>
          <w:bCs/>
        </w:rPr>
      </w:pPr>
      <w:r w:rsidRPr="00FE1E02">
        <w:rPr>
          <w:b/>
          <w:bCs/>
        </w:rPr>
        <w:t>S1.3.1</w:t>
      </w:r>
    </w:p>
    <w:p w14:paraId="6521CF99" w14:textId="77777777" w:rsidR="008A6084" w:rsidRPr="0080375E" w:rsidRDefault="008A6084" w:rsidP="002849D6">
      <w:pPr>
        <w:pStyle w:val="beforebullets"/>
        <w:numPr>
          <w:ilvl w:val="0"/>
          <w:numId w:val="18"/>
        </w:numPr>
        <w:ind w:left="567" w:hanging="567"/>
        <w:rPr>
          <w:rFonts w:asciiTheme="majorHAnsi" w:hAnsiTheme="majorHAnsi" w:cs="Arial"/>
          <w:color w:val="auto"/>
          <w:sz w:val="22"/>
          <w:szCs w:val="22"/>
        </w:rPr>
      </w:pPr>
      <w:r w:rsidRPr="21D9489F">
        <w:rPr>
          <w:rFonts w:asciiTheme="majorHAnsi" w:hAnsiTheme="majorHAnsi" w:cs="Arial"/>
          <w:color w:val="auto"/>
          <w:sz w:val="22"/>
          <w:szCs w:val="22"/>
        </w:rPr>
        <w:t xml:space="preserve">The person dispatching or authorising the dispatch of a horse from a PIC must ensure that a </w:t>
      </w:r>
      <w:r w:rsidRPr="21D9489F">
        <w:rPr>
          <w:rStyle w:val="italic"/>
          <w:rFonts w:asciiTheme="majorHAnsi" w:eastAsiaTheme="minorEastAsia" w:hAnsiTheme="majorHAnsi" w:cs="Arial"/>
          <w:i w:val="0"/>
          <w:color w:val="auto"/>
          <w:sz w:val="22"/>
          <w:szCs w:val="22"/>
        </w:rPr>
        <w:t>movement record is</w:t>
      </w:r>
      <w:r w:rsidRPr="21D9489F">
        <w:rPr>
          <w:rFonts w:asciiTheme="majorHAnsi" w:hAnsiTheme="majorHAnsi" w:cs="Arial"/>
          <w:color w:val="auto"/>
          <w:sz w:val="22"/>
          <w:szCs w:val="22"/>
        </w:rPr>
        <w:t xml:space="preserve"> generated other than for movements:</w:t>
      </w:r>
    </w:p>
    <w:p w14:paraId="5D260ECD" w14:textId="182CC70C" w:rsidR="008A6084" w:rsidRPr="0080375E" w:rsidRDefault="008A6084" w:rsidP="002849D6">
      <w:pPr>
        <w:pStyle w:val="beforebullets"/>
        <w:numPr>
          <w:ilvl w:val="0"/>
          <w:numId w:val="19"/>
        </w:numPr>
        <w:ind w:left="1701" w:hanging="708"/>
        <w:rPr>
          <w:rFonts w:asciiTheme="majorHAnsi" w:hAnsiTheme="majorHAnsi" w:cs="Arial"/>
          <w:color w:val="auto"/>
          <w:sz w:val="22"/>
          <w:szCs w:val="22"/>
        </w:rPr>
      </w:pPr>
      <w:r w:rsidRPr="21D9489F">
        <w:rPr>
          <w:rFonts w:asciiTheme="majorHAnsi" w:hAnsiTheme="majorHAnsi" w:cs="Arial"/>
          <w:color w:val="auto"/>
          <w:sz w:val="22"/>
          <w:szCs w:val="22"/>
        </w:rPr>
        <w:t xml:space="preserve">to a racetrack for a race meeting, place where the horse will be exercised or veterinary clinic, provided the horse will return </w:t>
      </w:r>
      <w:r w:rsidR="00CB7B64" w:rsidRPr="00D42D70">
        <w:rPr>
          <w:rFonts w:asciiTheme="majorHAnsi" w:hAnsiTheme="majorHAnsi" w:cs="Arial"/>
          <w:color w:val="auto"/>
          <w:sz w:val="22"/>
          <w:szCs w:val="22"/>
        </w:rPr>
        <w:t>within 24 hours</w:t>
      </w:r>
      <w:r w:rsidRPr="00D42D70">
        <w:rPr>
          <w:rFonts w:asciiTheme="majorHAnsi" w:hAnsiTheme="majorHAnsi" w:cs="Arial"/>
          <w:color w:val="auto"/>
          <w:sz w:val="22"/>
          <w:szCs w:val="22"/>
        </w:rPr>
        <w:t xml:space="preserve"> </w:t>
      </w:r>
      <w:r w:rsidRPr="21D9489F">
        <w:rPr>
          <w:rFonts w:asciiTheme="majorHAnsi" w:hAnsiTheme="majorHAnsi" w:cs="Arial"/>
          <w:color w:val="auto"/>
          <w:sz w:val="22"/>
          <w:szCs w:val="22"/>
        </w:rPr>
        <w:t>to the PIC from which it was dispatched; or</w:t>
      </w:r>
    </w:p>
    <w:p w14:paraId="1812AFBB" w14:textId="77777777" w:rsidR="008A6084" w:rsidRPr="0080375E" w:rsidRDefault="008A6084" w:rsidP="002849D6">
      <w:pPr>
        <w:pStyle w:val="beforebullets"/>
        <w:numPr>
          <w:ilvl w:val="0"/>
          <w:numId w:val="19"/>
        </w:numPr>
        <w:ind w:left="1701" w:hanging="708"/>
        <w:rPr>
          <w:rFonts w:asciiTheme="majorHAnsi" w:hAnsiTheme="majorHAnsi" w:cs="Arial"/>
          <w:color w:val="auto"/>
          <w:sz w:val="22"/>
          <w:szCs w:val="22"/>
        </w:rPr>
      </w:pPr>
      <w:r w:rsidRPr="21D9489F">
        <w:rPr>
          <w:rFonts w:asciiTheme="majorHAnsi" w:hAnsiTheme="majorHAnsi" w:cs="Arial"/>
          <w:color w:val="auto"/>
          <w:sz w:val="22"/>
          <w:szCs w:val="22"/>
        </w:rPr>
        <w:t>to an equestrian event or show where the event organiser is maintaining the movement records specified in S5.2.1.</w:t>
      </w:r>
    </w:p>
    <w:p w14:paraId="1FEC69EF" w14:textId="77777777" w:rsidR="008A6084" w:rsidRPr="0080375E" w:rsidRDefault="008A6084" w:rsidP="002849D6">
      <w:pPr>
        <w:pStyle w:val="beforebullets"/>
        <w:numPr>
          <w:ilvl w:val="0"/>
          <w:numId w:val="18"/>
        </w:numPr>
        <w:ind w:left="567" w:hanging="567"/>
        <w:rPr>
          <w:rFonts w:asciiTheme="majorHAnsi" w:hAnsiTheme="majorHAnsi" w:cs="Arial"/>
          <w:color w:val="auto"/>
          <w:sz w:val="22"/>
          <w:szCs w:val="22"/>
        </w:rPr>
      </w:pPr>
      <w:r w:rsidRPr="21D9489F">
        <w:rPr>
          <w:rFonts w:asciiTheme="majorHAnsi" w:hAnsiTheme="majorHAnsi" w:cs="Arial"/>
          <w:color w:val="auto"/>
          <w:sz w:val="22"/>
          <w:szCs w:val="22"/>
        </w:rPr>
        <w:lastRenderedPageBreak/>
        <w:t xml:space="preserve">The </w:t>
      </w:r>
      <w:r w:rsidRPr="21D9489F">
        <w:rPr>
          <w:rStyle w:val="italic"/>
          <w:rFonts w:asciiTheme="majorHAnsi" w:eastAsiaTheme="minorEastAsia" w:hAnsiTheme="majorHAnsi" w:cs="Arial"/>
          <w:i w:val="0"/>
          <w:color w:val="auto"/>
          <w:sz w:val="22"/>
          <w:szCs w:val="22"/>
        </w:rPr>
        <w:t>movement record</w:t>
      </w:r>
      <w:r w:rsidRPr="21D9489F">
        <w:rPr>
          <w:rFonts w:asciiTheme="majorHAnsi" w:hAnsiTheme="majorHAnsi" w:cs="Arial"/>
          <w:color w:val="auto"/>
          <w:sz w:val="22"/>
          <w:szCs w:val="22"/>
        </w:rPr>
        <w:t xml:space="preserve"> must be accurate in respect to each horse in the consignment and must include:</w:t>
      </w:r>
    </w:p>
    <w:p w14:paraId="4BA8B6DD" w14:textId="025716E3" w:rsidR="008A6084" w:rsidRPr="0080375E" w:rsidRDefault="008A6084" w:rsidP="002849D6">
      <w:pPr>
        <w:pStyle w:val="bodywithletters"/>
        <w:numPr>
          <w:ilvl w:val="0"/>
          <w:numId w:val="20"/>
        </w:numPr>
        <w:spacing w:after="170"/>
        <w:ind w:left="1701" w:hanging="567"/>
        <w:rPr>
          <w:rFonts w:asciiTheme="majorHAnsi" w:hAnsiTheme="majorHAnsi"/>
          <w:color w:val="auto"/>
          <w:sz w:val="22"/>
          <w:szCs w:val="22"/>
        </w:rPr>
      </w:pPr>
      <w:r w:rsidRPr="3B8424AC">
        <w:rPr>
          <w:rFonts w:asciiTheme="majorHAnsi" w:hAnsiTheme="majorHAnsi"/>
          <w:color w:val="auto"/>
          <w:sz w:val="22"/>
          <w:szCs w:val="22"/>
        </w:rPr>
        <w:t xml:space="preserve">the PIC and address of the property from which the horse or horses are to be dispatched </w:t>
      </w:r>
    </w:p>
    <w:p w14:paraId="227C093D" w14:textId="77777777" w:rsidR="008A6084" w:rsidRPr="0080375E" w:rsidRDefault="008A6084" w:rsidP="002849D6">
      <w:pPr>
        <w:pStyle w:val="bodywithletters"/>
        <w:numPr>
          <w:ilvl w:val="0"/>
          <w:numId w:val="20"/>
        </w:numPr>
        <w:spacing w:after="170"/>
        <w:ind w:left="1701" w:hanging="567"/>
        <w:rPr>
          <w:rFonts w:asciiTheme="majorHAnsi" w:hAnsiTheme="majorHAnsi"/>
          <w:color w:val="auto"/>
          <w:sz w:val="22"/>
          <w:szCs w:val="22"/>
        </w:rPr>
      </w:pPr>
      <w:r w:rsidRPr="0080375E">
        <w:rPr>
          <w:rFonts w:asciiTheme="majorHAnsi" w:hAnsiTheme="majorHAnsi"/>
          <w:color w:val="auto"/>
          <w:sz w:val="22"/>
          <w:szCs w:val="22"/>
        </w:rPr>
        <w:t xml:space="preserve">the date of dispatch of the horse/s </w:t>
      </w:r>
    </w:p>
    <w:p w14:paraId="0B7B318B" w14:textId="77777777" w:rsidR="008A6084" w:rsidRPr="0080375E" w:rsidRDefault="008A6084" w:rsidP="002849D6">
      <w:pPr>
        <w:pStyle w:val="bodywithletters"/>
        <w:numPr>
          <w:ilvl w:val="0"/>
          <w:numId w:val="20"/>
        </w:numPr>
        <w:spacing w:after="170"/>
        <w:ind w:left="1701" w:hanging="567"/>
        <w:rPr>
          <w:rFonts w:asciiTheme="majorHAnsi" w:hAnsiTheme="majorHAnsi"/>
          <w:color w:val="auto"/>
          <w:sz w:val="22"/>
          <w:szCs w:val="22"/>
        </w:rPr>
      </w:pPr>
      <w:r w:rsidRPr="0080375E">
        <w:rPr>
          <w:rFonts w:asciiTheme="majorHAnsi" w:hAnsiTheme="majorHAnsi"/>
          <w:color w:val="auto"/>
          <w:sz w:val="22"/>
          <w:szCs w:val="22"/>
        </w:rPr>
        <w:t>the number horse/s in the consignment</w:t>
      </w:r>
    </w:p>
    <w:p w14:paraId="102866CF" w14:textId="77777777" w:rsidR="008A6084" w:rsidRPr="0080375E" w:rsidRDefault="008A6084" w:rsidP="002849D6">
      <w:pPr>
        <w:pStyle w:val="bodywithletters"/>
        <w:numPr>
          <w:ilvl w:val="0"/>
          <w:numId w:val="20"/>
        </w:numPr>
        <w:spacing w:after="170"/>
        <w:ind w:left="1701" w:hanging="567"/>
        <w:rPr>
          <w:rFonts w:asciiTheme="majorHAnsi" w:hAnsiTheme="majorHAnsi"/>
          <w:color w:val="auto"/>
          <w:sz w:val="22"/>
          <w:szCs w:val="22"/>
        </w:rPr>
      </w:pPr>
      <w:r w:rsidRPr="0080375E">
        <w:rPr>
          <w:rFonts w:asciiTheme="majorHAnsi" w:hAnsiTheme="majorHAnsi"/>
          <w:color w:val="auto"/>
          <w:sz w:val="22"/>
          <w:szCs w:val="22"/>
        </w:rPr>
        <w:t>the description of the horse/s dispatched including if applicable any brand or microchip</w:t>
      </w:r>
    </w:p>
    <w:p w14:paraId="78FCC759" w14:textId="77777777" w:rsidR="008A6084" w:rsidRPr="0080375E" w:rsidRDefault="008A6084" w:rsidP="002849D6">
      <w:pPr>
        <w:pStyle w:val="bodywithletters"/>
        <w:numPr>
          <w:ilvl w:val="0"/>
          <w:numId w:val="20"/>
        </w:numPr>
        <w:spacing w:after="170"/>
        <w:ind w:left="1701" w:hanging="567"/>
        <w:rPr>
          <w:rFonts w:asciiTheme="majorHAnsi" w:hAnsiTheme="majorHAnsi"/>
          <w:color w:val="auto"/>
          <w:sz w:val="22"/>
          <w:szCs w:val="22"/>
        </w:rPr>
      </w:pPr>
      <w:r w:rsidRPr="0080375E">
        <w:rPr>
          <w:rFonts w:asciiTheme="majorHAnsi" w:hAnsiTheme="majorHAnsi"/>
          <w:color w:val="auto"/>
          <w:sz w:val="22"/>
          <w:szCs w:val="22"/>
        </w:rPr>
        <w:t>the name of the person creating the record</w:t>
      </w:r>
    </w:p>
    <w:p w14:paraId="14788B5C" w14:textId="77777777" w:rsidR="008A6084" w:rsidRPr="0080375E" w:rsidRDefault="008A6084" w:rsidP="002849D6">
      <w:pPr>
        <w:pStyle w:val="bodywithletters"/>
        <w:numPr>
          <w:ilvl w:val="0"/>
          <w:numId w:val="20"/>
        </w:numPr>
        <w:spacing w:after="170"/>
        <w:ind w:left="1701" w:hanging="567"/>
        <w:rPr>
          <w:rFonts w:asciiTheme="majorHAnsi" w:hAnsiTheme="majorHAnsi"/>
          <w:color w:val="auto"/>
          <w:sz w:val="22"/>
          <w:szCs w:val="22"/>
        </w:rPr>
      </w:pPr>
      <w:r w:rsidRPr="0080375E">
        <w:rPr>
          <w:rFonts w:asciiTheme="majorHAnsi" w:hAnsiTheme="majorHAnsi"/>
          <w:color w:val="auto"/>
          <w:sz w:val="22"/>
          <w:szCs w:val="22"/>
        </w:rPr>
        <w:t>the phone number of the person creating the record</w:t>
      </w:r>
    </w:p>
    <w:p w14:paraId="6F86FCCB" w14:textId="77777777" w:rsidR="008A6084" w:rsidRPr="0080375E" w:rsidRDefault="008A6084" w:rsidP="002849D6">
      <w:pPr>
        <w:pStyle w:val="bodywithletters"/>
        <w:numPr>
          <w:ilvl w:val="0"/>
          <w:numId w:val="20"/>
        </w:numPr>
        <w:spacing w:after="170"/>
        <w:ind w:left="1701" w:hanging="567"/>
        <w:rPr>
          <w:rFonts w:asciiTheme="majorHAnsi" w:hAnsiTheme="majorHAnsi"/>
          <w:color w:val="auto"/>
          <w:sz w:val="22"/>
          <w:szCs w:val="22"/>
        </w:rPr>
      </w:pPr>
      <w:r w:rsidRPr="0080375E">
        <w:rPr>
          <w:rFonts w:asciiTheme="majorHAnsi" w:hAnsiTheme="majorHAnsi"/>
          <w:color w:val="auto"/>
          <w:sz w:val="22"/>
          <w:szCs w:val="22"/>
        </w:rPr>
        <w:t>the date the record is made</w:t>
      </w:r>
    </w:p>
    <w:p w14:paraId="289CF6AD" w14:textId="0D2D32FB" w:rsidR="008A6084" w:rsidRPr="0080375E" w:rsidRDefault="008A6084" w:rsidP="002849D6">
      <w:pPr>
        <w:pStyle w:val="bodyletterslast"/>
        <w:numPr>
          <w:ilvl w:val="0"/>
          <w:numId w:val="20"/>
        </w:numPr>
        <w:spacing w:after="170"/>
        <w:ind w:left="1701" w:hanging="567"/>
        <w:rPr>
          <w:rFonts w:asciiTheme="majorHAnsi" w:hAnsiTheme="majorHAnsi"/>
          <w:color w:val="auto"/>
          <w:sz w:val="22"/>
          <w:szCs w:val="22"/>
        </w:rPr>
      </w:pPr>
      <w:r w:rsidRPr="0080375E">
        <w:rPr>
          <w:rFonts w:asciiTheme="majorHAnsi" w:hAnsiTheme="majorHAnsi"/>
          <w:color w:val="auto"/>
          <w:sz w:val="22"/>
          <w:szCs w:val="22"/>
        </w:rPr>
        <w:t xml:space="preserve">the intended destination of the horse/s, being the PIC of the destination </w:t>
      </w:r>
      <w:r w:rsidRPr="0080375E">
        <w:rPr>
          <w:rFonts w:asciiTheme="majorHAnsi" w:hAnsiTheme="majorHAnsi"/>
          <w:iCs/>
          <w:color w:val="auto"/>
          <w:sz w:val="22"/>
          <w:szCs w:val="22"/>
        </w:rPr>
        <w:t>property and / or alternatively the</w:t>
      </w:r>
      <w:r w:rsidRPr="0080375E">
        <w:rPr>
          <w:rFonts w:asciiTheme="majorHAnsi" w:hAnsiTheme="majorHAnsi"/>
          <w:color w:val="auto"/>
          <w:sz w:val="22"/>
          <w:szCs w:val="22"/>
        </w:rPr>
        <w:t xml:space="preserve"> street address of the destination </w:t>
      </w:r>
      <w:r w:rsidRPr="0080375E">
        <w:rPr>
          <w:rFonts w:asciiTheme="majorHAnsi" w:hAnsiTheme="majorHAnsi"/>
          <w:iCs/>
          <w:color w:val="auto"/>
          <w:sz w:val="22"/>
          <w:szCs w:val="22"/>
        </w:rPr>
        <w:t>property</w:t>
      </w:r>
      <w:r w:rsidRPr="0080375E">
        <w:rPr>
          <w:rFonts w:asciiTheme="majorHAnsi" w:hAnsiTheme="majorHAnsi"/>
          <w:color w:val="auto"/>
          <w:sz w:val="22"/>
          <w:szCs w:val="22"/>
        </w:rPr>
        <w:t>, or the name of a</w:t>
      </w:r>
      <w:r w:rsidR="00617371">
        <w:rPr>
          <w:rFonts w:asciiTheme="majorHAnsi" w:hAnsiTheme="majorHAnsi"/>
          <w:color w:val="auto"/>
          <w:sz w:val="22"/>
          <w:szCs w:val="22"/>
        </w:rPr>
        <w:t>n auction venue,</w:t>
      </w:r>
      <w:r w:rsidRPr="0080375E">
        <w:rPr>
          <w:rFonts w:asciiTheme="majorHAnsi" w:hAnsiTheme="majorHAnsi"/>
          <w:color w:val="auto"/>
          <w:sz w:val="22"/>
          <w:szCs w:val="22"/>
        </w:rPr>
        <w:t xml:space="preserve"> saleyard, knackery or abattoir. </w:t>
      </w:r>
    </w:p>
    <w:p w14:paraId="28B0194D" w14:textId="77777777" w:rsidR="008A6084" w:rsidRPr="0080375E" w:rsidRDefault="008A6084" w:rsidP="002849D6">
      <w:pPr>
        <w:pStyle w:val="bodyletterslast"/>
        <w:numPr>
          <w:ilvl w:val="0"/>
          <w:numId w:val="18"/>
        </w:numPr>
        <w:spacing w:after="170"/>
        <w:rPr>
          <w:rFonts w:asciiTheme="majorHAnsi" w:hAnsiTheme="majorHAnsi"/>
          <w:color w:val="auto"/>
          <w:sz w:val="22"/>
          <w:szCs w:val="22"/>
        </w:rPr>
      </w:pPr>
      <w:r w:rsidRPr="0080375E">
        <w:rPr>
          <w:rFonts w:asciiTheme="majorHAnsi" w:hAnsiTheme="majorHAnsi"/>
          <w:color w:val="auto"/>
          <w:sz w:val="22"/>
          <w:szCs w:val="22"/>
        </w:rPr>
        <w:t>The movement record specified in S1.3.1(b) must be created within 24 hours of the dispatch of a horse from a PIC.</w:t>
      </w:r>
    </w:p>
    <w:p w14:paraId="06C75945" w14:textId="77777777" w:rsidR="008A6084" w:rsidRPr="0080375E" w:rsidRDefault="008A6084" w:rsidP="008A6084">
      <w:pPr>
        <w:pStyle w:val="Note"/>
        <w:rPr>
          <w:rFonts w:asciiTheme="majorHAnsi" w:hAnsiTheme="majorHAnsi" w:cs="Arial"/>
          <w:sz w:val="22"/>
          <w:szCs w:val="22"/>
        </w:rPr>
      </w:pPr>
      <w:r w:rsidRPr="0080375E">
        <w:rPr>
          <w:rFonts w:asciiTheme="majorHAnsi" w:hAnsiTheme="majorHAnsi" w:cs="Arial"/>
          <w:sz w:val="22"/>
          <w:szCs w:val="22"/>
        </w:rPr>
        <w:t>Note:</w:t>
      </w:r>
    </w:p>
    <w:p w14:paraId="28B86BAF" w14:textId="2088F44C" w:rsidR="008A6084" w:rsidRPr="0080375E" w:rsidRDefault="008A6084" w:rsidP="008A6084">
      <w:pPr>
        <w:pStyle w:val="Note"/>
        <w:rPr>
          <w:rFonts w:asciiTheme="majorHAnsi" w:hAnsiTheme="majorHAnsi" w:cs="Arial"/>
          <w:sz w:val="22"/>
          <w:szCs w:val="22"/>
        </w:rPr>
      </w:pPr>
      <w:r w:rsidRPr="0080375E">
        <w:rPr>
          <w:rFonts w:asciiTheme="majorHAnsi" w:hAnsiTheme="majorHAnsi" w:cs="Arial"/>
          <w:sz w:val="22"/>
          <w:szCs w:val="22"/>
        </w:rPr>
        <w:t>A movement record is required when a horse is moving to another PIC on which it will then reside, but not where a horse is being moved to race, be exercised, attend an equestrian event or show where movement records are being kept, or receive veterinary treatment, provided the horse will return directly</w:t>
      </w:r>
      <w:r w:rsidR="00617371">
        <w:rPr>
          <w:rFonts w:asciiTheme="majorHAnsi" w:hAnsiTheme="majorHAnsi" w:cs="Arial"/>
          <w:sz w:val="22"/>
          <w:szCs w:val="22"/>
        </w:rPr>
        <w:t xml:space="preserve"> within 24 hours</w:t>
      </w:r>
      <w:r w:rsidRPr="0080375E">
        <w:rPr>
          <w:rFonts w:asciiTheme="majorHAnsi" w:hAnsiTheme="majorHAnsi" w:cs="Arial"/>
          <w:sz w:val="22"/>
          <w:szCs w:val="22"/>
        </w:rPr>
        <w:t xml:space="preserve"> to its PIC of residence.  </w:t>
      </w:r>
    </w:p>
    <w:p w14:paraId="4607D438" w14:textId="77777777" w:rsidR="008A6084" w:rsidRPr="0080375E" w:rsidRDefault="008A6084" w:rsidP="008A6084">
      <w:pPr>
        <w:rPr>
          <w:rFonts w:asciiTheme="majorHAnsi" w:hAnsiTheme="majorHAnsi" w:cs="Arial"/>
          <w:b/>
        </w:rPr>
      </w:pPr>
      <w:r w:rsidRPr="0080375E">
        <w:rPr>
          <w:rFonts w:asciiTheme="majorHAnsi" w:hAnsiTheme="majorHAnsi" w:cs="Arial"/>
          <w:b/>
        </w:rPr>
        <w:t>Note:</w:t>
      </w:r>
    </w:p>
    <w:p w14:paraId="3565324D" w14:textId="77777777" w:rsidR="008A6084" w:rsidRPr="0080375E" w:rsidRDefault="008A6084" w:rsidP="008A6084">
      <w:pPr>
        <w:rPr>
          <w:rFonts w:asciiTheme="majorHAnsi" w:hAnsiTheme="majorHAnsi" w:cs="Arial"/>
          <w:b/>
        </w:rPr>
      </w:pPr>
      <w:r w:rsidRPr="0080375E">
        <w:rPr>
          <w:rFonts w:asciiTheme="majorHAnsi" w:hAnsiTheme="majorHAnsi" w:cs="Arial"/>
          <w:b/>
          <w:bCs/>
        </w:rPr>
        <w:t xml:space="preserve">Records can be stored in hardcopy or in a retrievable electronic format provided they are able to be promptly retrieved when requested to do so by an authorised state/territory biosecurity officer. </w:t>
      </w:r>
    </w:p>
    <w:p w14:paraId="7DF385F4" w14:textId="77777777" w:rsidR="008A6084" w:rsidRPr="00FE1E02" w:rsidRDefault="008A6084" w:rsidP="00FE1E02">
      <w:pPr>
        <w:rPr>
          <w:b/>
          <w:bCs/>
        </w:rPr>
      </w:pPr>
      <w:r w:rsidRPr="00FE1E02">
        <w:rPr>
          <w:b/>
          <w:bCs/>
        </w:rPr>
        <w:t>S1.3.2</w:t>
      </w:r>
    </w:p>
    <w:p w14:paraId="0266D389" w14:textId="77777777" w:rsidR="008A6084" w:rsidRPr="0080375E" w:rsidRDefault="008A6084" w:rsidP="002849D6">
      <w:pPr>
        <w:pStyle w:val="Bodycopy"/>
        <w:numPr>
          <w:ilvl w:val="0"/>
          <w:numId w:val="21"/>
        </w:numPr>
        <w:ind w:left="567" w:hanging="567"/>
        <w:rPr>
          <w:rFonts w:asciiTheme="majorHAnsi" w:hAnsiTheme="majorHAnsi" w:cs="Arial"/>
          <w:color w:val="auto"/>
          <w:sz w:val="22"/>
          <w:szCs w:val="22"/>
        </w:rPr>
      </w:pPr>
      <w:r w:rsidRPr="21D9489F">
        <w:rPr>
          <w:rFonts w:asciiTheme="majorHAnsi" w:hAnsiTheme="majorHAnsi" w:cs="Arial"/>
          <w:color w:val="auto"/>
          <w:sz w:val="22"/>
          <w:szCs w:val="22"/>
        </w:rPr>
        <w:t xml:space="preserve">The person generating </w:t>
      </w:r>
      <w:r w:rsidRPr="21D9489F">
        <w:rPr>
          <w:rFonts w:asciiTheme="majorHAnsi" w:eastAsia="Times New Roman" w:hAnsiTheme="majorHAnsi" w:cs="Arial"/>
          <w:color w:val="auto"/>
          <w:sz w:val="22"/>
          <w:szCs w:val="22"/>
        </w:rPr>
        <w:t>a movement record must keep t</w:t>
      </w:r>
      <w:r w:rsidRPr="21D9489F">
        <w:rPr>
          <w:rFonts w:asciiTheme="majorHAnsi" w:hAnsiTheme="majorHAnsi" w:cs="Arial"/>
          <w:color w:val="auto"/>
          <w:sz w:val="22"/>
          <w:szCs w:val="22"/>
        </w:rPr>
        <w:t xml:space="preserve">he record for a minimum of 6 months.  </w:t>
      </w:r>
    </w:p>
    <w:p w14:paraId="3DCDE5D8" w14:textId="77777777" w:rsidR="008A6084" w:rsidRPr="0080375E" w:rsidRDefault="008A6084" w:rsidP="002849D6">
      <w:pPr>
        <w:pStyle w:val="Bodycopy"/>
        <w:numPr>
          <w:ilvl w:val="0"/>
          <w:numId w:val="21"/>
        </w:numPr>
        <w:ind w:left="567" w:hanging="567"/>
        <w:rPr>
          <w:rFonts w:asciiTheme="majorHAnsi" w:hAnsiTheme="majorHAnsi" w:cs="Arial"/>
          <w:color w:val="auto"/>
          <w:sz w:val="22"/>
          <w:szCs w:val="22"/>
        </w:rPr>
      </w:pPr>
      <w:r w:rsidRPr="0080375E">
        <w:rPr>
          <w:rFonts w:asciiTheme="majorHAnsi" w:hAnsiTheme="majorHAnsi" w:cs="Arial"/>
          <w:color w:val="auto"/>
          <w:sz w:val="22"/>
          <w:szCs w:val="22"/>
        </w:rPr>
        <w:t>Copies of movement records must be retrievable by the person who generated the record upon request to do so by an authorised state/territory biosecurity officer within a reasonable timeframe per the requirements of the request.</w:t>
      </w:r>
      <w:r w:rsidRPr="0080375E">
        <w:rPr>
          <w:rFonts w:asciiTheme="majorHAnsi" w:hAnsiTheme="majorHAnsi" w:cs="Arial"/>
          <w:color w:val="auto"/>
          <w:sz w:val="22"/>
          <w:szCs w:val="22"/>
        </w:rPr>
        <w:br/>
      </w:r>
    </w:p>
    <w:p w14:paraId="30674344" w14:textId="77777777" w:rsidR="00E44507" w:rsidRPr="0080375E" w:rsidRDefault="008A6084" w:rsidP="00E44507">
      <w:pPr>
        <w:rPr>
          <w:rFonts w:asciiTheme="majorHAnsi" w:hAnsiTheme="majorHAnsi" w:cs="Arial"/>
          <w:b/>
        </w:rPr>
      </w:pPr>
      <w:r w:rsidRPr="0080375E">
        <w:rPr>
          <w:rFonts w:asciiTheme="majorHAnsi" w:hAnsiTheme="majorHAnsi" w:cs="Arial"/>
          <w:b/>
        </w:rPr>
        <w:t xml:space="preserve">Note: </w:t>
      </w:r>
    </w:p>
    <w:p w14:paraId="1EF7565B" w14:textId="7505FAD4" w:rsidR="008A6084" w:rsidRPr="0080375E" w:rsidRDefault="008A6084" w:rsidP="3B8424AC">
      <w:pPr>
        <w:rPr>
          <w:rFonts w:asciiTheme="majorHAnsi" w:hAnsiTheme="majorHAnsi" w:cs="Arial"/>
          <w:b/>
          <w:bCs/>
        </w:rPr>
      </w:pPr>
      <w:r w:rsidRPr="00647E46">
        <w:rPr>
          <w:rFonts w:asciiTheme="majorHAnsi" w:hAnsiTheme="majorHAnsi" w:cs="Arial"/>
          <w:b/>
          <w:bCs/>
        </w:rPr>
        <w:t xml:space="preserve">Reasonable timeframe is based on the necessity of the information being requested </w:t>
      </w:r>
      <w:r w:rsidR="004B2BA4" w:rsidRPr="00647E46">
        <w:rPr>
          <w:rFonts w:asciiTheme="majorHAnsi" w:hAnsiTheme="majorHAnsi" w:cs="Arial"/>
          <w:b/>
          <w:bCs/>
        </w:rPr>
        <w:t>i.e.,</w:t>
      </w:r>
      <w:r w:rsidRPr="00647E46">
        <w:rPr>
          <w:rFonts w:asciiTheme="majorHAnsi" w:hAnsiTheme="majorHAnsi" w:cs="Arial"/>
          <w:b/>
          <w:bCs/>
        </w:rPr>
        <w:t xml:space="preserve"> in an Emergency Animal Disease response the information must be supplied </w:t>
      </w:r>
      <w:r w:rsidR="00617371">
        <w:rPr>
          <w:rFonts w:asciiTheme="majorHAnsi" w:hAnsiTheme="majorHAnsi" w:cs="Arial"/>
          <w:b/>
          <w:bCs/>
        </w:rPr>
        <w:t>without delay</w:t>
      </w:r>
      <w:r w:rsidRPr="00647E46">
        <w:rPr>
          <w:rFonts w:asciiTheme="majorHAnsi" w:hAnsiTheme="majorHAnsi" w:cs="Arial"/>
          <w:b/>
          <w:bCs/>
        </w:rPr>
        <w:t>.</w:t>
      </w:r>
    </w:p>
    <w:p w14:paraId="11B8A519" w14:textId="77777777" w:rsidR="008A6084" w:rsidRPr="00FE1E02" w:rsidRDefault="008A6084" w:rsidP="00FE1E02">
      <w:pPr>
        <w:rPr>
          <w:b/>
          <w:bCs/>
        </w:rPr>
      </w:pPr>
      <w:r w:rsidRPr="00FE1E02">
        <w:rPr>
          <w:b/>
          <w:bCs/>
        </w:rPr>
        <w:t>S1.3.3</w:t>
      </w:r>
    </w:p>
    <w:p w14:paraId="73A260DC"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A person consigning a living or dead horse to a knackery must also create a movement record in the form of S1.3.1 (b).</w:t>
      </w:r>
    </w:p>
    <w:p w14:paraId="376ABB47" w14:textId="77777777" w:rsidR="008A6084" w:rsidRPr="0080375E" w:rsidRDefault="008A6084" w:rsidP="008A6084">
      <w:pPr>
        <w:pStyle w:val="Bodycopy"/>
        <w:rPr>
          <w:rFonts w:asciiTheme="majorHAnsi" w:hAnsiTheme="majorHAnsi" w:cs="Arial"/>
          <w:sz w:val="22"/>
          <w:szCs w:val="22"/>
        </w:rPr>
      </w:pPr>
      <w:r w:rsidRPr="0080375E">
        <w:rPr>
          <w:rFonts w:asciiTheme="majorHAnsi" w:hAnsiTheme="majorHAnsi" w:cs="Arial"/>
          <w:sz w:val="22"/>
          <w:szCs w:val="22"/>
        </w:rPr>
        <w:lastRenderedPageBreak/>
        <w:t>S1.3.4</w:t>
      </w:r>
    </w:p>
    <w:p w14:paraId="149F673D"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When a horse leaves Australia, the </w:t>
      </w:r>
      <w:r w:rsidRPr="0080375E">
        <w:rPr>
          <w:rFonts w:asciiTheme="majorHAnsi" w:hAnsiTheme="majorHAnsi" w:cs="Arial"/>
          <w:iCs/>
          <w:color w:val="auto"/>
          <w:sz w:val="22"/>
          <w:szCs w:val="22"/>
        </w:rPr>
        <w:t>exporter</w:t>
      </w:r>
      <w:r w:rsidRPr="0080375E">
        <w:rPr>
          <w:rFonts w:asciiTheme="majorHAnsi" w:hAnsiTheme="majorHAnsi" w:cs="Arial"/>
          <w:color w:val="auto"/>
          <w:sz w:val="22"/>
          <w:szCs w:val="22"/>
        </w:rPr>
        <w:t xml:space="preserve"> must ensure that a movement record in the form of S1.3.1 (b) is made in relation to the movement. </w:t>
      </w:r>
    </w:p>
    <w:p w14:paraId="42485DD6" w14:textId="77777777" w:rsidR="008A6084" w:rsidRPr="0080375E" w:rsidRDefault="008A6084" w:rsidP="008A6084">
      <w:pPr>
        <w:pStyle w:val="Bodycopy"/>
        <w:rPr>
          <w:rFonts w:asciiTheme="majorHAnsi" w:hAnsiTheme="majorHAnsi" w:cs="Arial"/>
          <w:b/>
          <w:bCs/>
          <w:color w:val="auto"/>
          <w:sz w:val="22"/>
          <w:szCs w:val="22"/>
        </w:rPr>
      </w:pPr>
    </w:p>
    <w:p w14:paraId="6D44A9F0" w14:textId="77777777" w:rsidR="008A6084" w:rsidRPr="0080375E" w:rsidRDefault="008A6084" w:rsidP="008A6084">
      <w:pPr>
        <w:pStyle w:val="Bodycopy"/>
        <w:rPr>
          <w:rFonts w:asciiTheme="majorHAnsi" w:hAnsiTheme="majorHAnsi" w:cs="Arial"/>
          <w:b/>
          <w:bCs/>
          <w:color w:val="auto"/>
          <w:sz w:val="22"/>
          <w:szCs w:val="22"/>
        </w:rPr>
      </w:pPr>
      <w:r w:rsidRPr="0080375E">
        <w:rPr>
          <w:rFonts w:asciiTheme="majorHAnsi" w:hAnsiTheme="majorHAnsi" w:cs="Arial"/>
          <w:b/>
          <w:bCs/>
          <w:color w:val="auto"/>
          <w:sz w:val="22"/>
          <w:szCs w:val="22"/>
        </w:rPr>
        <w:t>S1.4 Persons acquiring horses</w:t>
      </w:r>
    </w:p>
    <w:p w14:paraId="7E385C29" w14:textId="77777777" w:rsidR="008A6084" w:rsidRPr="00FE1E02" w:rsidRDefault="008A6084" w:rsidP="00FE1E02">
      <w:pPr>
        <w:rPr>
          <w:b/>
          <w:bCs/>
        </w:rPr>
      </w:pPr>
      <w:r w:rsidRPr="00FE1E02">
        <w:rPr>
          <w:b/>
          <w:bCs/>
        </w:rPr>
        <w:t>S1.4.1</w:t>
      </w:r>
    </w:p>
    <w:p w14:paraId="53349A63"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Where a horse is purchased other than at a public auction, no later than at the time of collection the purchaser must provide the person selling the horse with the PIC or the address of the next property to which the horse will be taken.</w:t>
      </w:r>
    </w:p>
    <w:p w14:paraId="2413ADCB" w14:textId="77777777" w:rsidR="008A6084" w:rsidRPr="00FE1E02" w:rsidRDefault="008A6084" w:rsidP="00FE1E02">
      <w:pPr>
        <w:rPr>
          <w:b/>
          <w:bCs/>
        </w:rPr>
      </w:pPr>
      <w:r w:rsidRPr="00FE1E02">
        <w:rPr>
          <w:b/>
          <w:bCs/>
        </w:rPr>
        <w:t>S1.4.2</w:t>
      </w:r>
    </w:p>
    <w:p w14:paraId="21FF18D1" w14:textId="71280526" w:rsidR="008A6084" w:rsidRPr="0080375E" w:rsidRDefault="008A6084" w:rsidP="54CFE729">
      <w:pPr>
        <w:pStyle w:val="Bodycopy"/>
        <w:rPr>
          <w:rFonts w:asciiTheme="majorHAnsi" w:hAnsiTheme="majorHAnsi" w:cs="Arial"/>
          <w:color w:val="auto"/>
          <w:sz w:val="22"/>
          <w:szCs w:val="22"/>
        </w:rPr>
      </w:pPr>
      <w:r w:rsidRPr="54CFE729">
        <w:rPr>
          <w:rFonts w:asciiTheme="majorHAnsi" w:hAnsiTheme="majorHAnsi" w:cs="Arial"/>
          <w:color w:val="auto"/>
          <w:sz w:val="22"/>
          <w:szCs w:val="22"/>
        </w:rPr>
        <w:t xml:space="preserve">A person acquiring a horse at a public auction, </w:t>
      </w:r>
      <w:r w:rsidR="006B7429">
        <w:rPr>
          <w:rFonts w:asciiTheme="majorHAnsi" w:hAnsiTheme="majorHAnsi" w:cs="Arial"/>
          <w:color w:val="auto"/>
          <w:sz w:val="22"/>
          <w:szCs w:val="22"/>
        </w:rPr>
        <w:t>including a processor</w:t>
      </w:r>
      <w:r w:rsidR="00AC1BF6">
        <w:rPr>
          <w:rFonts w:asciiTheme="majorHAnsi" w:hAnsiTheme="majorHAnsi" w:cs="Arial"/>
          <w:color w:val="auto"/>
          <w:sz w:val="22"/>
          <w:szCs w:val="22"/>
        </w:rPr>
        <w:t xml:space="preserve"> or person acting on behalf of a processor</w:t>
      </w:r>
      <w:r w:rsidRPr="54CFE729">
        <w:rPr>
          <w:rFonts w:asciiTheme="majorHAnsi" w:hAnsiTheme="majorHAnsi" w:cs="Arial"/>
          <w:color w:val="auto"/>
          <w:sz w:val="22"/>
          <w:szCs w:val="22"/>
        </w:rPr>
        <w:t xml:space="preserve">, must before the horse is collected provide the selling agent with the PIC or address of the next property to which the horse will be taken. </w:t>
      </w:r>
    </w:p>
    <w:p w14:paraId="5267DC1F" w14:textId="77777777" w:rsidR="008A6084" w:rsidRPr="0080375E" w:rsidRDefault="008A6084" w:rsidP="008A6084">
      <w:pPr>
        <w:pStyle w:val="Bodycopy"/>
        <w:rPr>
          <w:rFonts w:asciiTheme="majorHAnsi" w:hAnsiTheme="majorHAnsi" w:cs="Arial"/>
          <w:b/>
          <w:bCs/>
          <w:color w:val="auto"/>
          <w:sz w:val="22"/>
          <w:szCs w:val="22"/>
        </w:rPr>
      </w:pPr>
      <w:r w:rsidRPr="0080375E">
        <w:rPr>
          <w:rFonts w:asciiTheme="majorHAnsi" w:hAnsiTheme="majorHAnsi" w:cs="Arial"/>
          <w:b/>
          <w:bCs/>
          <w:color w:val="auto"/>
          <w:sz w:val="22"/>
          <w:szCs w:val="22"/>
        </w:rPr>
        <w:t>S1.5 Persons moving horses</w:t>
      </w:r>
    </w:p>
    <w:p w14:paraId="75747510" w14:textId="77777777" w:rsidR="008A6084" w:rsidRPr="00FE1E02" w:rsidRDefault="008A6084" w:rsidP="00FE1E02">
      <w:pPr>
        <w:rPr>
          <w:b/>
          <w:bCs/>
        </w:rPr>
      </w:pPr>
      <w:r w:rsidRPr="00FE1E02">
        <w:rPr>
          <w:b/>
          <w:bCs/>
        </w:rPr>
        <w:t>S1.5.1</w:t>
      </w:r>
    </w:p>
    <w:p w14:paraId="0FBBE4EC"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A person moving a horse or authorising the movement of a horse must provide the receiver, or in the case of a movement to an event, the event organiser, with the PIC or address of the property from which it was moved by no later than the time the horse arrives at its destination. </w:t>
      </w:r>
    </w:p>
    <w:p w14:paraId="3649D9D2" w14:textId="77777777" w:rsidR="008A6084" w:rsidRPr="00FE1E02" w:rsidRDefault="008A6084" w:rsidP="00FE1E02">
      <w:pPr>
        <w:rPr>
          <w:b/>
          <w:bCs/>
        </w:rPr>
      </w:pPr>
      <w:r w:rsidRPr="00FE1E02">
        <w:rPr>
          <w:b/>
          <w:bCs/>
        </w:rPr>
        <w:t>S1.5.2</w:t>
      </w:r>
    </w:p>
    <w:p w14:paraId="4A362DF2"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A person moving a horse or authorising the movement of a horse from an event, must provide the event organiser with the PIC or address of the property to which the horse will be taken if different from the PIC or address of the location on which it was located before it arrived. </w:t>
      </w:r>
    </w:p>
    <w:p w14:paraId="1B8D82E5" w14:textId="77777777" w:rsidR="008A6084" w:rsidRPr="00FE1E02" w:rsidRDefault="008A6084" w:rsidP="00FE1E02">
      <w:pPr>
        <w:rPr>
          <w:b/>
          <w:bCs/>
        </w:rPr>
      </w:pPr>
      <w:r w:rsidRPr="00FE1E02">
        <w:rPr>
          <w:b/>
          <w:bCs/>
        </w:rPr>
        <w:t>S1.5.3</w:t>
      </w:r>
    </w:p>
    <w:p w14:paraId="1EE346D6"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A person consigning a horse to a public auction or to an abattoir or knackery must advise the person receiving the horse of the PIC or address of the last property on which the horse resided by no later than the time the horse arrives at its destination. </w:t>
      </w:r>
    </w:p>
    <w:p w14:paraId="102149B3" w14:textId="77777777" w:rsidR="008A6084" w:rsidRPr="0080375E" w:rsidRDefault="008A6084" w:rsidP="008A6084">
      <w:pPr>
        <w:pStyle w:val="Bodycopy"/>
        <w:rPr>
          <w:rFonts w:asciiTheme="majorHAnsi" w:hAnsiTheme="majorHAnsi" w:cs="Arial"/>
          <w:b/>
          <w:bCs/>
          <w:color w:val="auto"/>
          <w:sz w:val="22"/>
          <w:szCs w:val="22"/>
        </w:rPr>
      </w:pPr>
    </w:p>
    <w:p w14:paraId="1D245ED8" w14:textId="77777777" w:rsidR="00E44507" w:rsidRPr="0080375E" w:rsidRDefault="008A6084" w:rsidP="00E44507">
      <w:pPr>
        <w:pStyle w:val="Heading1"/>
        <w:rPr>
          <w:rFonts w:asciiTheme="majorHAnsi" w:hAnsiTheme="majorHAnsi" w:cs="Arial"/>
          <w:b w:val="0"/>
          <w:color w:val="auto"/>
          <w:sz w:val="22"/>
          <w:szCs w:val="22"/>
        </w:rPr>
      </w:pPr>
      <w:r w:rsidRPr="0080375E">
        <w:rPr>
          <w:rFonts w:asciiTheme="majorHAnsi" w:eastAsia="Times New Roman" w:hAnsiTheme="majorHAnsi" w:cs="Arial"/>
          <w:color w:val="auto"/>
          <w:spacing w:val="-15"/>
          <w:sz w:val="22"/>
          <w:szCs w:val="22"/>
        </w:rPr>
        <w:br w:type="page"/>
      </w:r>
      <w:bookmarkStart w:id="130" w:name="_Toc466460685"/>
      <w:r w:rsidRPr="0080375E">
        <w:rPr>
          <w:rFonts w:asciiTheme="majorHAnsi" w:hAnsiTheme="majorHAnsi" w:cs="Arial"/>
          <w:sz w:val="22"/>
          <w:szCs w:val="22"/>
        </w:rPr>
        <w:lastRenderedPageBreak/>
        <w:t>Part 2: Transporters</w:t>
      </w:r>
      <w:bookmarkEnd w:id="130"/>
    </w:p>
    <w:p w14:paraId="0C02330C" w14:textId="6F57FA25" w:rsidR="008A6084" w:rsidRPr="0080375E" w:rsidRDefault="008A6084" w:rsidP="00E44507">
      <w:pPr>
        <w:pStyle w:val="Heading1"/>
        <w:rPr>
          <w:rFonts w:asciiTheme="majorHAnsi" w:hAnsiTheme="majorHAnsi" w:cs="Arial"/>
          <w:sz w:val="22"/>
          <w:szCs w:val="22"/>
        </w:rPr>
      </w:pPr>
      <w:r w:rsidRPr="0080375E">
        <w:rPr>
          <w:rFonts w:asciiTheme="majorHAnsi" w:hAnsiTheme="majorHAnsi" w:cs="Arial"/>
          <w:sz w:val="22"/>
          <w:szCs w:val="22"/>
        </w:rPr>
        <w:t>Scope</w:t>
      </w:r>
    </w:p>
    <w:p w14:paraId="4B6CF886" w14:textId="77777777" w:rsidR="008A6084" w:rsidRPr="0080375E" w:rsidRDefault="008A6084" w:rsidP="008A6084">
      <w:pPr>
        <w:pStyle w:val="beforebullets"/>
        <w:rPr>
          <w:rFonts w:asciiTheme="majorHAnsi" w:hAnsiTheme="majorHAnsi" w:cs="Arial"/>
          <w:color w:val="auto"/>
          <w:sz w:val="22"/>
          <w:szCs w:val="22"/>
        </w:rPr>
      </w:pPr>
      <w:r w:rsidRPr="0080375E">
        <w:rPr>
          <w:rFonts w:asciiTheme="majorHAnsi" w:hAnsiTheme="majorHAnsi" w:cs="Arial"/>
          <w:color w:val="auto"/>
          <w:sz w:val="22"/>
          <w:szCs w:val="22"/>
        </w:rPr>
        <w:t>This Part of these business rules applies to:</w:t>
      </w:r>
    </w:p>
    <w:p w14:paraId="3FCBD110" w14:textId="77777777" w:rsidR="000F4569" w:rsidRPr="0080375E" w:rsidRDefault="008A6084" w:rsidP="000F4569">
      <w:pPr>
        <w:pStyle w:val="Bulletlas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businesses involved in the transportation of horses between properties including to a saleyard, depot, abattoir, knackery, veterinary clinic, stud farm, agricultural show or equestrian event for any reason or purpose.</w:t>
      </w:r>
    </w:p>
    <w:p w14:paraId="0D9BE7C9" w14:textId="571E4863" w:rsidR="008A6084" w:rsidRPr="0080375E" w:rsidRDefault="008A6084" w:rsidP="000F4569">
      <w:pPr>
        <w:pStyle w:val="Bulletlast1"/>
        <w:rPr>
          <w:rFonts w:asciiTheme="majorHAnsi" w:hAnsiTheme="majorHAnsi"/>
          <w:b/>
          <w:bCs/>
          <w:color w:val="auto"/>
          <w:sz w:val="22"/>
          <w:szCs w:val="22"/>
        </w:rPr>
      </w:pPr>
      <w:r w:rsidRPr="0080375E">
        <w:rPr>
          <w:rFonts w:asciiTheme="majorHAnsi" w:hAnsiTheme="majorHAnsi"/>
          <w:b/>
          <w:bCs/>
          <w:sz w:val="22"/>
          <w:szCs w:val="22"/>
        </w:rPr>
        <w:t>Objective</w:t>
      </w:r>
    </w:p>
    <w:p w14:paraId="279E8123" w14:textId="77777777" w:rsidR="000F4569" w:rsidRPr="0080375E" w:rsidRDefault="008A6084" w:rsidP="000F4569">
      <w:pPr>
        <w:pStyle w:val="Bodycopy"/>
        <w:rPr>
          <w:rFonts w:asciiTheme="majorHAnsi" w:hAnsiTheme="majorHAnsi" w:cs="Arial"/>
          <w:color w:val="auto"/>
          <w:sz w:val="22"/>
          <w:szCs w:val="22"/>
        </w:rPr>
      </w:pPr>
      <w:r w:rsidRPr="0080375E">
        <w:rPr>
          <w:rFonts w:asciiTheme="majorHAnsi" w:hAnsiTheme="majorHAnsi" w:cs="Arial"/>
          <w:color w:val="auto"/>
          <w:sz w:val="22"/>
          <w:szCs w:val="22"/>
        </w:rPr>
        <w:t>To ensure that horses that are being moved by commercial transport operators are traceable should the need arise.</w:t>
      </w:r>
    </w:p>
    <w:p w14:paraId="75D64DED" w14:textId="15C7A8AC" w:rsidR="008A6084" w:rsidRPr="0080375E" w:rsidRDefault="008A6084" w:rsidP="000F4569">
      <w:pPr>
        <w:pStyle w:val="Bodycopy"/>
        <w:rPr>
          <w:rFonts w:asciiTheme="majorHAnsi" w:hAnsiTheme="majorHAnsi"/>
          <w:b/>
          <w:bCs/>
        </w:rPr>
      </w:pPr>
      <w:r w:rsidRPr="0080375E">
        <w:rPr>
          <w:rFonts w:asciiTheme="majorHAnsi" w:hAnsiTheme="majorHAnsi" w:cs="Arial"/>
          <w:b/>
          <w:bCs/>
          <w:sz w:val="22"/>
          <w:szCs w:val="22"/>
        </w:rPr>
        <w:t>Business Rules</w:t>
      </w:r>
    </w:p>
    <w:p w14:paraId="397885FE" w14:textId="77777777" w:rsidR="008A6084" w:rsidRPr="00FE1E02" w:rsidRDefault="008A6084" w:rsidP="00FE1E02">
      <w:pPr>
        <w:rPr>
          <w:b/>
          <w:bCs/>
        </w:rPr>
      </w:pPr>
      <w:bookmarkStart w:id="131" w:name="_Toc95908548"/>
      <w:r w:rsidRPr="00FE1E02">
        <w:rPr>
          <w:b/>
          <w:bCs/>
        </w:rPr>
        <w:t>S2.1 Movement document</w:t>
      </w:r>
      <w:bookmarkEnd w:id="131"/>
    </w:p>
    <w:p w14:paraId="5FB935B7" w14:textId="77777777" w:rsidR="008A6084" w:rsidRPr="00FE1E02" w:rsidRDefault="008A6084" w:rsidP="00FE1E02">
      <w:pPr>
        <w:rPr>
          <w:b/>
          <w:bCs/>
        </w:rPr>
      </w:pPr>
      <w:r w:rsidRPr="00FE1E02">
        <w:rPr>
          <w:b/>
          <w:bCs/>
        </w:rPr>
        <w:t>S2.1.1</w:t>
      </w:r>
    </w:p>
    <w:p w14:paraId="5F4EA284"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A business involved in the transportation of horses must for each consignment establish a record of:</w:t>
      </w:r>
    </w:p>
    <w:p w14:paraId="66BD9783" w14:textId="77777777" w:rsidR="008A6084" w:rsidRPr="0080375E" w:rsidRDefault="008A6084" w:rsidP="002849D6">
      <w:pPr>
        <w:pStyle w:val="bodywithletters"/>
        <w:numPr>
          <w:ilvl w:val="0"/>
          <w:numId w:val="22"/>
        </w:numPr>
        <w:spacing w:after="170"/>
        <w:ind w:left="1134" w:hanging="567"/>
        <w:rPr>
          <w:rFonts w:asciiTheme="majorHAnsi" w:hAnsiTheme="majorHAnsi"/>
          <w:color w:val="auto"/>
          <w:sz w:val="22"/>
          <w:szCs w:val="22"/>
        </w:rPr>
      </w:pPr>
      <w:r w:rsidRPr="0080375E">
        <w:rPr>
          <w:rFonts w:asciiTheme="majorHAnsi" w:hAnsiTheme="majorHAnsi"/>
          <w:color w:val="auto"/>
          <w:sz w:val="22"/>
          <w:szCs w:val="22"/>
        </w:rPr>
        <w:t xml:space="preserve">the PIC or address of the property from which the horse or horses were collected </w:t>
      </w:r>
    </w:p>
    <w:p w14:paraId="126A7C92" w14:textId="77777777" w:rsidR="008A6084" w:rsidRPr="0080375E" w:rsidRDefault="008A6084" w:rsidP="002849D6">
      <w:pPr>
        <w:pStyle w:val="bodywithletters"/>
        <w:numPr>
          <w:ilvl w:val="0"/>
          <w:numId w:val="22"/>
        </w:numPr>
        <w:spacing w:after="170"/>
        <w:ind w:left="1134" w:hanging="567"/>
        <w:rPr>
          <w:rFonts w:asciiTheme="majorHAnsi" w:hAnsiTheme="majorHAnsi"/>
          <w:color w:val="auto"/>
          <w:sz w:val="22"/>
          <w:szCs w:val="22"/>
        </w:rPr>
      </w:pPr>
      <w:r w:rsidRPr="0080375E">
        <w:rPr>
          <w:rFonts w:asciiTheme="majorHAnsi" w:hAnsiTheme="majorHAnsi"/>
          <w:color w:val="auto"/>
          <w:sz w:val="22"/>
          <w:szCs w:val="22"/>
        </w:rPr>
        <w:t xml:space="preserve">the date of departure of the horse/s </w:t>
      </w:r>
    </w:p>
    <w:p w14:paraId="1A39A9CF" w14:textId="77777777" w:rsidR="008A6084" w:rsidRPr="0080375E" w:rsidRDefault="008A6084" w:rsidP="002849D6">
      <w:pPr>
        <w:pStyle w:val="bodywithletters"/>
        <w:numPr>
          <w:ilvl w:val="0"/>
          <w:numId w:val="22"/>
        </w:numPr>
        <w:spacing w:after="170"/>
        <w:ind w:left="1134" w:hanging="567"/>
        <w:rPr>
          <w:rFonts w:asciiTheme="majorHAnsi" w:hAnsiTheme="majorHAnsi"/>
          <w:color w:val="auto"/>
          <w:sz w:val="22"/>
          <w:szCs w:val="22"/>
        </w:rPr>
      </w:pPr>
      <w:r w:rsidRPr="0080375E">
        <w:rPr>
          <w:rFonts w:asciiTheme="majorHAnsi" w:hAnsiTheme="majorHAnsi"/>
          <w:color w:val="auto"/>
          <w:sz w:val="22"/>
          <w:szCs w:val="22"/>
        </w:rPr>
        <w:t>the number horse/s in the consignment</w:t>
      </w:r>
    </w:p>
    <w:p w14:paraId="31342997" w14:textId="77777777" w:rsidR="008A6084" w:rsidRPr="0080375E" w:rsidRDefault="008A6084" w:rsidP="002849D6">
      <w:pPr>
        <w:pStyle w:val="bodywithletters"/>
        <w:numPr>
          <w:ilvl w:val="0"/>
          <w:numId w:val="22"/>
        </w:numPr>
        <w:spacing w:after="170"/>
        <w:ind w:left="1134" w:hanging="567"/>
        <w:rPr>
          <w:rFonts w:asciiTheme="majorHAnsi" w:hAnsiTheme="majorHAnsi"/>
          <w:color w:val="auto"/>
          <w:sz w:val="22"/>
          <w:szCs w:val="22"/>
        </w:rPr>
      </w:pPr>
      <w:r w:rsidRPr="0080375E">
        <w:rPr>
          <w:rFonts w:asciiTheme="majorHAnsi" w:hAnsiTheme="majorHAnsi"/>
          <w:color w:val="auto"/>
          <w:sz w:val="22"/>
          <w:szCs w:val="22"/>
        </w:rPr>
        <w:t xml:space="preserve">the name and telephone number of the person who has authorised the collection and movement of the horse/s, and </w:t>
      </w:r>
    </w:p>
    <w:p w14:paraId="74775752" w14:textId="3A05025D" w:rsidR="008A6084" w:rsidRPr="0080375E" w:rsidRDefault="008A6084" w:rsidP="002849D6">
      <w:pPr>
        <w:pStyle w:val="bodyletterslast"/>
        <w:numPr>
          <w:ilvl w:val="0"/>
          <w:numId w:val="22"/>
        </w:numPr>
        <w:spacing w:after="170"/>
        <w:ind w:left="1134" w:hanging="567"/>
        <w:rPr>
          <w:rFonts w:asciiTheme="majorHAnsi" w:hAnsiTheme="majorHAnsi"/>
          <w:color w:val="auto"/>
          <w:sz w:val="22"/>
          <w:szCs w:val="22"/>
        </w:rPr>
      </w:pPr>
      <w:r w:rsidRPr="3B8424AC">
        <w:rPr>
          <w:rFonts w:asciiTheme="majorHAnsi" w:hAnsiTheme="majorHAnsi"/>
          <w:color w:val="auto"/>
          <w:sz w:val="22"/>
          <w:szCs w:val="22"/>
        </w:rPr>
        <w:t xml:space="preserve">the destination of the horse/s, being the PIC of the destination property, the address of the destination property, and/or the name of a saleyard, knackery or abattoir. </w:t>
      </w:r>
    </w:p>
    <w:p w14:paraId="215DC839" w14:textId="77777777" w:rsidR="008A6084" w:rsidRPr="00FE1E02" w:rsidRDefault="008A6084" w:rsidP="008A6084">
      <w:pPr>
        <w:pStyle w:val="bodyletterslast"/>
        <w:spacing w:after="170"/>
        <w:ind w:left="0" w:firstLine="0"/>
        <w:rPr>
          <w:rFonts w:asciiTheme="majorHAnsi" w:hAnsiTheme="majorHAnsi"/>
          <w:b/>
          <w:bCs/>
          <w:color w:val="auto"/>
          <w:sz w:val="22"/>
          <w:szCs w:val="22"/>
        </w:rPr>
      </w:pPr>
      <w:r w:rsidRPr="00FE1E02">
        <w:rPr>
          <w:rFonts w:asciiTheme="majorHAnsi" w:hAnsiTheme="majorHAnsi"/>
          <w:b/>
          <w:bCs/>
          <w:color w:val="auto"/>
          <w:sz w:val="22"/>
          <w:szCs w:val="22"/>
        </w:rPr>
        <w:t>S2.1.2</w:t>
      </w:r>
    </w:p>
    <w:p w14:paraId="25D6E7AF" w14:textId="77777777" w:rsidR="008A6084" w:rsidRPr="0080375E" w:rsidRDefault="008A6084" w:rsidP="002849D6">
      <w:pPr>
        <w:pStyle w:val="bodyletterslast"/>
        <w:numPr>
          <w:ilvl w:val="0"/>
          <w:numId w:val="23"/>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Movement records must have been created by a transporter within 24 hours of the movement of a horse.</w:t>
      </w:r>
    </w:p>
    <w:p w14:paraId="4082E829" w14:textId="77777777" w:rsidR="008A6084" w:rsidRPr="0080375E" w:rsidRDefault="008A6084" w:rsidP="002849D6">
      <w:pPr>
        <w:pStyle w:val="Bodycopy"/>
        <w:numPr>
          <w:ilvl w:val="0"/>
          <w:numId w:val="23"/>
        </w:numPr>
        <w:ind w:left="567" w:hanging="567"/>
        <w:rPr>
          <w:rFonts w:asciiTheme="majorHAnsi" w:hAnsiTheme="majorHAnsi" w:cs="Arial"/>
          <w:color w:val="auto"/>
          <w:sz w:val="22"/>
          <w:szCs w:val="22"/>
        </w:rPr>
      </w:pPr>
      <w:r w:rsidRPr="21D9489F">
        <w:rPr>
          <w:rFonts w:asciiTheme="majorHAnsi" w:hAnsiTheme="majorHAnsi" w:cs="Arial"/>
          <w:color w:val="auto"/>
          <w:sz w:val="22"/>
          <w:szCs w:val="22"/>
        </w:rPr>
        <w:t xml:space="preserve">The transport business generating a movement record must keep the record for a minimum of 6 months.  </w:t>
      </w:r>
    </w:p>
    <w:p w14:paraId="79114096" w14:textId="77777777" w:rsidR="008A6084" w:rsidRPr="0080375E" w:rsidRDefault="008A6084" w:rsidP="002849D6">
      <w:pPr>
        <w:pStyle w:val="Bodycopy"/>
        <w:numPr>
          <w:ilvl w:val="0"/>
          <w:numId w:val="23"/>
        </w:numPr>
        <w:ind w:left="567" w:hanging="567"/>
        <w:rPr>
          <w:rFonts w:asciiTheme="majorHAnsi" w:hAnsiTheme="majorHAnsi" w:cs="Arial"/>
          <w:sz w:val="22"/>
          <w:szCs w:val="22"/>
        </w:rPr>
      </w:pPr>
      <w:r w:rsidRPr="0080375E">
        <w:rPr>
          <w:rFonts w:asciiTheme="majorHAnsi" w:hAnsiTheme="majorHAnsi" w:cs="Arial"/>
          <w:color w:val="auto"/>
          <w:sz w:val="22"/>
          <w:szCs w:val="22"/>
        </w:rPr>
        <w:t>Copies of movement records must be retrievable by the person who generated the record upon being requested to do so by an authorised state/territory biosecurity officer within a reasonable timeframe per the requirements of the request</w:t>
      </w:r>
    </w:p>
    <w:p w14:paraId="4148CCA5" w14:textId="048AA2E4" w:rsidR="008A6084" w:rsidRPr="00647E46" w:rsidRDefault="008A6084" w:rsidP="00647E46">
      <w:pPr>
        <w:pStyle w:val="Bodycopy"/>
        <w:rPr>
          <w:rFonts w:asciiTheme="majorHAnsi" w:eastAsia="Times New Roman" w:hAnsiTheme="majorHAnsi" w:cs="Arial"/>
          <w:b/>
          <w:spacing w:val="-15"/>
          <w:sz w:val="22"/>
          <w:szCs w:val="22"/>
        </w:rPr>
      </w:pPr>
      <w:r w:rsidRPr="00647E46">
        <w:rPr>
          <w:rFonts w:asciiTheme="majorHAnsi" w:eastAsiaTheme="minorHAnsi" w:hAnsiTheme="majorHAnsi" w:cs="Arial"/>
          <w:b/>
          <w:color w:val="auto"/>
          <w:sz w:val="22"/>
          <w:szCs w:val="22"/>
          <w:lang w:val="en-AU" w:eastAsia="en-US"/>
        </w:rPr>
        <w:t xml:space="preserve">Note: </w:t>
      </w:r>
      <w:r w:rsidR="00647E46" w:rsidRPr="00647E46">
        <w:rPr>
          <w:rFonts w:asciiTheme="majorHAnsi" w:hAnsiTheme="majorHAnsi" w:cs="Arial"/>
          <w:b/>
          <w:bCs/>
          <w:sz w:val="22"/>
          <w:szCs w:val="22"/>
        </w:rPr>
        <w:t xml:space="preserve">Reasonable timeframe is based on the necessity of the information being requested i.e., in an Emergency Animal Disease response, the information must be supplied </w:t>
      </w:r>
      <w:r w:rsidR="00617371">
        <w:rPr>
          <w:rFonts w:asciiTheme="majorHAnsi" w:hAnsiTheme="majorHAnsi" w:cs="Arial"/>
          <w:b/>
          <w:bCs/>
          <w:sz w:val="22"/>
          <w:szCs w:val="22"/>
        </w:rPr>
        <w:t>without delay</w:t>
      </w:r>
      <w:r w:rsidR="00647E46" w:rsidRPr="00647E46">
        <w:rPr>
          <w:rFonts w:asciiTheme="majorHAnsi" w:hAnsiTheme="majorHAnsi" w:cs="Arial"/>
          <w:b/>
          <w:bCs/>
          <w:sz w:val="22"/>
          <w:szCs w:val="22"/>
        </w:rPr>
        <w:t>.</w:t>
      </w:r>
      <w:r w:rsidRPr="00647E46">
        <w:rPr>
          <w:rFonts w:asciiTheme="majorHAnsi" w:hAnsiTheme="majorHAnsi" w:cs="Arial"/>
          <w:b/>
          <w:sz w:val="22"/>
          <w:szCs w:val="22"/>
        </w:rPr>
        <w:br w:type="page"/>
      </w:r>
      <w:bookmarkStart w:id="132" w:name="_Toc466460686"/>
    </w:p>
    <w:p w14:paraId="6A129ED2" w14:textId="77777777" w:rsidR="00603B10" w:rsidRPr="0080375E" w:rsidRDefault="008A6084" w:rsidP="00603B10">
      <w:pPr>
        <w:pStyle w:val="Heading1"/>
        <w:rPr>
          <w:rFonts w:asciiTheme="majorHAnsi" w:eastAsia="Times New Roman" w:hAnsiTheme="majorHAnsi" w:cs="Arial"/>
          <w:b w:val="0"/>
          <w:color w:val="auto"/>
          <w:spacing w:val="-15"/>
          <w:sz w:val="22"/>
          <w:szCs w:val="22"/>
        </w:rPr>
      </w:pPr>
      <w:r w:rsidRPr="0080375E">
        <w:rPr>
          <w:rFonts w:asciiTheme="majorHAnsi" w:hAnsiTheme="majorHAnsi" w:cs="Arial"/>
          <w:sz w:val="22"/>
          <w:szCs w:val="22"/>
        </w:rPr>
        <w:lastRenderedPageBreak/>
        <w:t>Part 3: Selling agents</w:t>
      </w:r>
      <w:bookmarkEnd w:id="132"/>
    </w:p>
    <w:p w14:paraId="415312B9" w14:textId="3351F437" w:rsidR="008A6084" w:rsidRPr="0080375E" w:rsidRDefault="008A6084" w:rsidP="00603B10">
      <w:pPr>
        <w:pStyle w:val="Heading1"/>
        <w:rPr>
          <w:rFonts w:asciiTheme="majorHAnsi" w:hAnsiTheme="majorHAnsi" w:cs="Arial"/>
          <w:sz w:val="22"/>
          <w:szCs w:val="22"/>
        </w:rPr>
      </w:pPr>
      <w:r w:rsidRPr="0080375E">
        <w:rPr>
          <w:rFonts w:asciiTheme="majorHAnsi" w:hAnsiTheme="majorHAnsi" w:cs="Arial"/>
          <w:sz w:val="22"/>
          <w:szCs w:val="22"/>
        </w:rPr>
        <w:t>Scope</w:t>
      </w:r>
    </w:p>
    <w:p w14:paraId="2B0223F1" w14:textId="77777777" w:rsidR="008A6084" w:rsidRPr="0080375E" w:rsidRDefault="008A6084" w:rsidP="008A6084">
      <w:pPr>
        <w:pStyle w:val="beforebullets"/>
        <w:rPr>
          <w:rFonts w:asciiTheme="majorHAnsi" w:hAnsiTheme="majorHAnsi" w:cs="Arial"/>
          <w:color w:val="auto"/>
          <w:sz w:val="22"/>
          <w:szCs w:val="22"/>
        </w:rPr>
      </w:pPr>
      <w:r w:rsidRPr="0080375E">
        <w:rPr>
          <w:rFonts w:asciiTheme="majorHAnsi" w:hAnsiTheme="majorHAnsi" w:cs="Arial"/>
          <w:color w:val="auto"/>
          <w:sz w:val="22"/>
          <w:szCs w:val="22"/>
        </w:rPr>
        <w:t>This Part of these business rules applies to:</w:t>
      </w:r>
    </w:p>
    <w:p w14:paraId="0C299B23" w14:textId="5597B3A8" w:rsidR="008A6084" w:rsidRPr="0080375E" w:rsidRDefault="008A6084" w:rsidP="008A6084">
      <w:pPr>
        <w:pStyle w:val="Bulletlast1"/>
        <w:spacing w:after="170"/>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 xml:space="preserve">person that operates a saleyard or holds a public auction including auctions held on a farm, </w:t>
      </w:r>
      <w:r w:rsidR="00617371">
        <w:rPr>
          <w:rFonts w:asciiTheme="majorHAnsi" w:hAnsiTheme="majorHAnsi"/>
          <w:color w:val="auto"/>
          <w:sz w:val="22"/>
          <w:szCs w:val="22"/>
        </w:rPr>
        <w:t>auction</w:t>
      </w:r>
      <w:r w:rsidR="00617371" w:rsidRPr="0080375E">
        <w:rPr>
          <w:rFonts w:asciiTheme="majorHAnsi" w:hAnsiTheme="majorHAnsi"/>
          <w:color w:val="auto"/>
          <w:sz w:val="22"/>
          <w:szCs w:val="22"/>
        </w:rPr>
        <w:t xml:space="preserve"> </w:t>
      </w:r>
      <w:r w:rsidRPr="0080375E">
        <w:rPr>
          <w:rFonts w:asciiTheme="majorHAnsi" w:hAnsiTheme="majorHAnsi"/>
          <w:color w:val="auto"/>
          <w:sz w:val="22"/>
          <w:szCs w:val="22"/>
        </w:rPr>
        <w:t>venues or at an agricultural show or exhibition. Also includes designated horse online selling platforms contracted to sell horses.</w:t>
      </w:r>
    </w:p>
    <w:p w14:paraId="23388162" w14:textId="789E79CE" w:rsidR="00402991" w:rsidRPr="0080375E" w:rsidRDefault="008A6084" w:rsidP="00402991">
      <w:pPr>
        <w:pStyle w:val="Note"/>
        <w:rPr>
          <w:rFonts w:asciiTheme="majorHAnsi" w:hAnsiTheme="majorHAnsi" w:cs="Arial"/>
          <w:sz w:val="22"/>
          <w:szCs w:val="22"/>
        </w:rPr>
      </w:pPr>
      <w:r w:rsidRPr="0080375E">
        <w:rPr>
          <w:rFonts w:asciiTheme="majorHAnsi" w:hAnsiTheme="majorHAnsi" w:cs="Arial"/>
          <w:sz w:val="22"/>
          <w:szCs w:val="22"/>
        </w:rPr>
        <w:t xml:space="preserve">Note: </w:t>
      </w:r>
      <w:r w:rsidRPr="0080375E">
        <w:rPr>
          <w:rFonts w:asciiTheme="majorHAnsi" w:hAnsiTheme="majorHAnsi" w:cs="Arial"/>
          <w:sz w:val="22"/>
          <w:szCs w:val="22"/>
        </w:rPr>
        <w:tab/>
      </w:r>
      <w:r w:rsidRPr="0080375E">
        <w:rPr>
          <w:rFonts w:asciiTheme="majorHAnsi" w:hAnsiTheme="majorHAnsi" w:cs="Arial"/>
          <w:sz w:val="22"/>
          <w:szCs w:val="22"/>
        </w:rPr>
        <w:br/>
        <w:t xml:space="preserve">This Part </w:t>
      </w:r>
      <w:r w:rsidR="00617371">
        <w:rPr>
          <w:rFonts w:asciiTheme="majorHAnsi" w:hAnsiTheme="majorHAnsi" w:cs="Arial"/>
          <w:sz w:val="22"/>
          <w:szCs w:val="22"/>
        </w:rPr>
        <w:t xml:space="preserve">also </w:t>
      </w:r>
      <w:r w:rsidRPr="0080375E">
        <w:rPr>
          <w:rFonts w:asciiTheme="majorHAnsi" w:hAnsiTheme="majorHAnsi" w:cs="Arial"/>
          <w:sz w:val="22"/>
          <w:szCs w:val="22"/>
        </w:rPr>
        <w:t>applies to agents involved in the private trading of horses including the trading of horses on the internet.</w:t>
      </w:r>
    </w:p>
    <w:p w14:paraId="0439FF7E" w14:textId="6BB894FC" w:rsidR="008A6084" w:rsidRPr="0080375E" w:rsidRDefault="008A6084" w:rsidP="00402991">
      <w:pPr>
        <w:pStyle w:val="Note"/>
        <w:rPr>
          <w:rFonts w:asciiTheme="majorHAnsi" w:hAnsiTheme="majorHAnsi" w:cs="Arial"/>
          <w:sz w:val="22"/>
          <w:szCs w:val="22"/>
        </w:rPr>
      </w:pPr>
      <w:r w:rsidRPr="0080375E">
        <w:rPr>
          <w:rFonts w:asciiTheme="majorHAnsi" w:hAnsiTheme="majorHAnsi" w:cs="Arial"/>
          <w:sz w:val="22"/>
          <w:szCs w:val="22"/>
        </w:rPr>
        <w:t>Objective</w:t>
      </w:r>
    </w:p>
    <w:p w14:paraId="04301973" w14:textId="77777777" w:rsidR="00402991" w:rsidRPr="0080375E" w:rsidRDefault="008A6084" w:rsidP="00402991">
      <w:pPr>
        <w:pStyle w:val="Bodycopy"/>
        <w:rPr>
          <w:rFonts w:asciiTheme="majorHAnsi" w:hAnsiTheme="majorHAnsi" w:cs="Arial"/>
          <w:color w:val="auto"/>
          <w:sz w:val="22"/>
          <w:szCs w:val="22"/>
        </w:rPr>
      </w:pPr>
      <w:r w:rsidRPr="0080375E">
        <w:rPr>
          <w:rFonts w:asciiTheme="majorHAnsi" w:hAnsiTheme="majorHAnsi" w:cs="Arial"/>
          <w:color w:val="auto"/>
          <w:sz w:val="22"/>
          <w:szCs w:val="22"/>
        </w:rPr>
        <w:t>To ensure that horses traded with the aid of an agent can be effectively and rapidly tracked for biosecurity purposes.</w:t>
      </w:r>
    </w:p>
    <w:p w14:paraId="0A8DB483" w14:textId="4B4A807D" w:rsidR="008A6084" w:rsidRPr="0080375E" w:rsidRDefault="008A6084" w:rsidP="00402991">
      <w:pPr>
        <w:pStyle w:val="Bodycopy"/>
        <w:rPr>
          <w:rFonts w:asciiTheme="majorHAnsi" w:hAnsiTheme="majorHAnsi" w:cs="Arial"/>
          <w:b/>
          <w:color w:val="auto"/>
          <w:sz w:val="22"/>
          <w:szCs w:val="22"/>
        </w:rPr>
      </w:pPr>
      <w:r w:rsidRPr="0080375E">
        <w:rPr>
          <w:rFonts w:asciiTheme="majorHAnsi" w:hAnsiTheme="majorHAnsi" w:cs="Arial"/>
          <w:b/>
          <w:sz w:val="22"/>
          <w:szCs w:val="22"/>
        </w:rPr>
        <w:t>Business Rules</w:t>
      </w:r>
    </w:p>
    <w:p w14:paraId="7952ACA0" w14:textId="77777777" w:rsidR="008A6084" w:rsidRPr="00FE1E02" w:rsidRDefault="008A6084" w:rsidP="00FE1E02">
      <w:pPr>
        <w:rPr>
          <w:b/>
          <w:bCs/>
        </w:rPr>
      </w:pPr>
      <w:bookmarkStart w:id="133" w:name="_Toc95908549"/>
      <w:r w:rsidRPr="00FE1E02">
        <w:rPr>
          <w:b/>
          <w:bCs/>
        </w:rPr>
        <w:t>S3.1 Horse identification</w:t>
      </w:r>
      <w:bookmarkEnd w:id="133"/>
    </w:p>
    <w:p w14:paraId="73B56850" w14:textId="77777777" w:rsidR="008A6084" w:rsidRPr="00FE1E02" w:rsidRDefault="008A6084" w:rsidP="00FE1E02">
      <w:pPr>
        <w:rPr>
          <w:b/>
          <w:bCs/>
        </w:rPr>
      </w:pPr>
      <w:r w:rsidRPr="00FE1E02">
        <w:rPr>
          <w:b/>
          <w:bCs/>
        </w:rPr>
        <w:t>S3.1.1</w:t>
      </w:r>
    </w:p>
    <w:p w14:paraId="116FBE60" w14:textId="77777777" w:rsidR="008A6084" w:rsidRPr="0080375E" w:rsidRDefault="008A6084" w:rsidP="008A6084">
      <w:pPr>
        <w:pStyle w:val="beforebullets"/>
        <w:spacing w:after="170"/>
        <w:rPr>
          <w:rFonts w:asciiTheme="majorHAnsi" w:hAnsiTheme="majorHAnsi" w:cs="Arial"/>
          <w:color w:val="auto"/>
          <w:sz w:val="22"/>
          <w:szCs w:val="22"/>
        </w:rPr>
      </w:pPr>
      <w:r w:rsidRPr="0080375E">
        <w:rPr>
          <w:rFonts w:asciiTheme="majorHAnsi" w:hAnsiTheme="majorHAnsi" w:cs="Arial"/>
          <w:color w:val="auto"/>
          <w:sz w:val="22"/>
          <w:szCs w:val="22"/>
        </w:rPr>
        <w:t>The selling agent must ensure that before a horse is offered for sale it can be reliably linked to the PIC or address of the property from which it was consigned.</w:t>
      </w:r>
    </w:p>
    <w:p w14:paraId="06E71F5A" w14:textId="77777777" w:rsidR="008A6084" w:rsidRPr="00FE1E02" w:rsidRDefault="008A6084" w:rsidP="00FE1E02">
      <w:pPr>
        <w:rPr>
          <w:b/>
          <w:bCs/>
        </w:rPr>
      </w:pPr>
      <w:bookmarkStart w:id="134" w:name="_Toc95908550"/>
      <w:r w:rsidRPr="00FE1E02">
        <w:rPr>
          <w:b/>
          <w:bCs/>
        </w:rPr>
        <w:t>S3.2</w:t>
      </w:r>
      <w:r w:rsidRPr="00FE1E02">
        <w:rPr>
          <w:b/>
          <w:bCs/>
        </w:rPr>
        <w:tab/>
        <w:t>Records regarding the sale of horses</w:t>
      </w:r>
      <w:bookmarkEnd w:id="134"/>
    </w:p>
    <w:p w14:paraId="6BAA7531" w14:textId="77777777" w:rsidR="008A6084" w:rsidRPr="00FE1E02" w:rsidRDefault="008A6084" w:rsidP="00FE1E02">
      <w:pPr>
        <w:rPr>
          <w:b/>
          <w:bCs/>
        </w:rPr>
      </w:pPr>
      <w:r w:rsidRPr="00FE1E02">
        <w:rPr>
          <w:b/>
          <w:bCs/>
        </w:rPr>
        <w:t>S3.2.1</w:t>
      </w:r>
    </w:p>
    <w:p w14:paraId="055ECD2B" w14:textId="77777777" w:rsidR="008A6084" w:rsidRPr="0080375E" w:rsidRDefault="008A6084" w:rsidP="002849D6">
      <w:pPr>
        <w:pStyle w:val="beforebullets"/>
        <w:numPr>
          <w:ilvl w:val="0"/>
          <w:numId w:val="24"/>
        </w:numPr>
        <w:ind w:left="567" w:hanging="567"/>
        <w:rPr>
          <w:rFonts w:asciiTheme="majorHAnsi" w:hAnsiTheme="majorHAnsi" w:cs="Arial"/>
          <w:color w:val="auto"/>
          <w:sz w:val="22"/>
          <w:szCs w:val="22"/>
        </w:rPr>
      </w:pPr>
      <w:r w:rsidRPr="0080375E">
        <w:rPr>
          <w:rFonts w:asciiTheme="majorHAnsi" w:hAnsiTheme="majorHAnsi" w:cs="Arial"/>
          <w:color w:val="auto"/>
          <w:sz w:val="22"/>
          <w:szCs w:val="22"/>
        </w:rPr>
        <w:t>The selling agent must record the following information for each horse that they sell both privately and by auction:</w:t>
      </w:r>
    </w:p>
    <w:p w14:paraId="20F1A18C" w14:textId="77777777" w:rsidR="008A6084" w:rsidRPr="0080375E" w:rsidRDefault="008A6084" w:rsidP="002849D6">
      <w:pPr>
        <w:pStyle w:val="bodywithletters"/>
        <w:numPr>
          <w:ilvl w:val="0"/>
          <w:numId w:val="25"/>
        </w:numPr>
        <w:spacing w:after="170"/>
        <w:ind w:left="1134" w:hanging="425"/>
        <w:rPr>
          <w:rFonts w:asciiTheme="majorHAnsi" w:hAnsiTheme="majorHAnsi"/>
          <w:color w:val="auto"/>
          <w:sz w:val="22"/>
          <w:szCs w:val="22"/>
        </w:rPr>
      </w:pPr>
      <w:r w:rsidRPr="0080375E">
        <w:rPr>
          <w:rFonts w:asciiTheme="majorHAnsi" w:hAnsiTheme="majorHAnsi"/>
          <w:color w:val="auto"/>
          <w:sz w:val="22"/>
          <w:szCs w:val="22"/>
        </w:rPr>
        <w:t>date of sale</w:t>
      </w:r>
    </w:p>
    <w:p w14:paraId="70CF30CD" w14:textId="77777777" w:rsidR="008A6084" w:rsidRPr="0080375E" w:rsidRDefault="008A6084" w:rsidP="002849D6">
      <w:pPr>
        <w:pStyle w:val="bodywithletters"/>
        <w:numPr>
          <w:ilvl w:val="0"/>
          <w:numId w:val="25"/>
        </w:numPr>
        <w:spacing w:after="170"/>
        <w:ind w:left="1134" w:hanging="425"/>
        <w:rPr>
          <w:rFonts w:asciiTheme="majorHAnsi" w:hAnsiTheme="majorHAnsi"/>
          <w:iCs/>
          <w:color w:val="auto"/>
          <w:sz w:val="22"/>
          <w:szCs w:val="22"/>
        </w:rPr>
      </w:pPr>
      <w:r w:rsidRPr="0080375E">
        <w:rPr>
          <w:rFonts w:asciiTheme="majorHAnsi" w:hAnsiTheme="majorHAnsi"/>
          <w:iCs/>
          <w:color w:val="auto"/>
          <w:sz w:val="22"/>
          <w:szCs w:val="22"/>
        </w:rPr>
        <w:t>sale lot number (if applicable)</w:t>
      </w:r>
    </w:p>
    <w:p w14:paraId="57902A79" w14:textId="77777777" w:rsidR="008A6084" w:rsidRPr="0080375E" w:rsidRDefault="008A6084" w:rsidP="002849D6">
      <w:pPr>
        <w:pStyle w:val="bodywithletters"/>
        <w:numPr>
          <w:ilvl w:val="0"/>
          <w:numId w:val="25"/>
        </w:numPr>
        <w:spacing w:after="170"/>
        <w:ind w:left="1134" w:hanging="425"/>
        <w:rPr>
          <w:rFonts w:asciiTheme="majorHAnsi" w:hAnsiTheme="majorHAnsi"/>
          <w:color w:val="auto"/>
          <w:sz w:val="22"/>
          <w:szCs w:val="22"/>
        </w:rPr>
      </w:pPr>
      <w:r w:rsidRPr="0080375E">
        <w:rPr>
          <w:rFonts w:asciiTheme="majorHAnsi" w:hAnsiTheme="majorHAnsi"/>
          <w:color w:val="auto"/>
          <w:sz w:val="22"/>
          <w:szCs w:val="22"/>
        </w:rPr>
        <w:t>PIC or address from which the horse was dispatched, and</w:t>
      </w:r>
    </w:p>
    <w:p w14:paraId="50BA437D" w14:textId="77777777" w:rsidR="008A6084" w:rsidRPr="0080375E" w:rsidRDefault="008A6084" w:rsidP="002849D6">
      <w:pPr>
        <w:pStyle w:val="bodywithletters"/>
        <w:numPr>
          <w:ilvl w:val="0"/>
          <w:numId w:val="25"/>
        </w:numPr>
        <w:spacing w:after="170"/>
        <w:ind w:left="1134" w:hanging="425"/>
        <w:rPr>
          <w:rFonts w:asciiTheme="majorHAnsi" w:hAnsiTheme="majorHAnsi"/>
          <w:color w:val="auto"/>
          <w:sz w:val="22"/>
          <w:szCs w:val="22"/>
        </w:rPr>
      </w:pPr>
      <w:r w:rsidRPr="0080375E">
        <w:rPr>
          <w:rFonts w:asciiTheme="majorHAnsi" w:hAnsiTheme="majorHAnsi"/>
          <w:color w:val="auto"/>
          <w:sz w:val="22"/>
          <w:szCs w:val="22"/>
        </w:rPr>
        <w:t>name of the buyer/authorised agent, or vendor if the horse was passed in, and the destination address and/or PIC provided by the buyer, or vendor for passed in lots, to which the horse is to be taken.</w:t>
      </w:r>
    </w:p>
    <w:p w14:paraId="14BC02F5" w14:textId="77777777" w:rsidR="008A6084" w:rsidRPr="00FE1E02" w:rsidRDefault="008A6084" w:rsidP="00FE1E02">
      <w:pPr>
        <w:rPr>
          <w:b/>
          <w:bCs/>
        </w:rPr>
      </w:pPr>
      <w:r w:rsidRPr="00FE1E02">
        <w:rPr>
          <w:b/>
          <w:bCs/>
        </w:rPr>
        <w:t>S3.2.2</w:t>
      </w:r>
    </w:p>
    <w:p w14:paraId="0BCA1DBD" w14:textId="77777777" w:rsidR="008A6084" w:rsidRPr="0080375E" w:rsidRDefault="008A6084" w:rsidP="008A6084">
      <w:pPr>
        <w:pStyle w:val="bodyletterslast"/>
        <w:spacing w:after="170"/>
        <w:ind w:left="0" w:firstLine="0"/>
        <w:rPr>
          <w:rFonts w:asciiTheme="majorHAnsi" w:hAnsiTheme="majorHAnsi"/>
          <w:color w:val="auto"/>
          <w:sz w:val="22"/>
          <w:szCs w:val="22"/>
        </w:rPr>
      </w:pPr>
      <w:r w:rsidRPr="0080375E">
        <w:rPr>
          <w:rFonts w:asciiTheme="majorHAnsi" w:hAnsiTheme="majorHAnsi"/>
          <w:color w:val="auto"/>
          <w:sz w:val="22"/>
          <w:szCs w:val="22"/>
        </w:rPr>
        <w:t>Movement records must have been created within 24 hours of the date when the purchaser takes possession of a sold horse, or a vendor takes possession of a passed in horse.</w:t>
      </w:r>
    </w:p>
    <w:p w14:paraId="2E7DC64A" w14:textId="77777777" w:rsidR="008A6084" w:rsidRPr="00FE1E02" w:rsidRDefault="008A6084" w:rsidP="00FE1E02">
      <w:pPr>
        <w:rPr>
          <w:b/>
          <w:bCs/>
        </w:rPr>
      </w:pPr>
      <w:bookmarkStart w:id="135" w:name="_Toc95908551"/>
      <w:r w:rsidRPr="00FE1E02">
        <w:rPr>
          <w:b/>
          <w:bCs/>
        </w:rPr>
        <w:t>S3.3 Post-sale documentation</w:t>
      </w:r>
      <w:bookmarkEnd w:id="135"/>
      <w:r w:rsidRPr="00FE1E02">
        <w:rPr>
          <w:b/>
          <w:bCs/>
        </w:rPr>
        <w:t xml:space="preserve"> </w:t>
      </w:r>
    </w:p>
    <w:p w14:paraId="2A2CD7C1" w14:textId="77777777" w:rsidR="008A6084" w:rsidRPr="00FE1E02" w:rsidRDefault="008A6084" w:rsidP="00FE1E02">
      <w:pPr>
        <w:rPr>
          <w:b/>
          <w:bCs/>
        </w:rPr>
      </w:pPr>
      <w:r w:rsidRPr="00FE1E02">
        <w:rPr>
          <w:b/>
          <w:bCs/>
        </w:rPr>
        <w:t>S3.3.1</w:t>
      </w:r>
    </w:p>
    <w:p w14:paraId="4CF0894C" w14:textId="4298C17D" w:rsidR="008A6084" w:rsidRPr="0080375E" w:rsidRDefault="008A6084" w:rsidP="21D9489F">
      <w:pPr>
        <w:pStyle w:val="Bodycopy"/>
        <w:rPr>
          <w:rFonts w:asciiTheme="majorHAnsi" w:hAnsiTheme="majorHAnsi" w:cs="Arial"/>
          <w:color w:val="auto"/>
          <w:sz w:val="22"/>
          <w:szCs w:val="22"/>
        </w:rPr>
      </w:pPr>
      <w:r w:rsidRPr="21D9489F">
        <w:rPr>
          <w:rFonts w:asciiTheme="majorHAnsi" w:hAnsiTheme="majorHAnsi" w:cs="Arial"/>
          <w:color w:val="auto"/>
          <w:sz w:val="22"/>
          <w:szCs w:val="22"/>
        </w:rPr>
        <w:t>The selling agent must keep a copy of the movement record described in S3.2.1 for a minimum of 6 months from the date of the sale and be able to retrieve the record upon request to do so by an authorised government biosecurity officer within a reasonable timeframe of the request.</w:t>
      </w:r>
    </w:p>
    <w:p w14:paraId="2ABE49F3" w14:textId="37D42207" w:rsidR="008A6084" w:rsidRPr="0080375E" w:rsidRDefault="00A071A6" w:rsidP="00A071A6">
      <w:pPr>
        <w:pStyle w:val="Bodycopy"/>
        <w:rPr>
          <w:rFonts w:asciiTheme="majorHAnsi" w:hAnsiTheme="majorHAnsi" w:cs="Arial"/>
          <w:sz w:val="22"/>
          <w:szCs w:val="22"/>
        </w:rPr>
      </w:pPr>
      <w:bookmarkStart w:id="136" w:name="_Toc466460688"/>
      <w:r w:rsidRPr="00647E46">
        <w:rPr>
          <w:rFonts w:asciiTheme="majorHAnsi" w:eastAsiaTheme="minorHAnsi" w:hAnsiTheme="majorHAnsi" w:cs="Arial"/>
          <w:b/>
          <w:color w:val="auto"/>
          <w:sz w:val="22"/>
          <w:szCs w:val="22"/>
          <w:lang w:val="en-AU" w:eastAsia="en-US"/>
        </w:rPr>
        <w:t xml:space="preserve">Note: </w:t>
      </w:r>
      <w:r w:rsidRPr="00647E46">
        <w:rPr>
          <w:rFonts w:asciiTheme="majorHAnsi" w:hAnsiTheme="majorHAnsi" w:cs="Arial"/>
          <w:b/>
          <w:bCs/>
          <w:sz w:val="22"/>
          <w:szCs w:val="22"/>
        </w:rPr>
        <w:t xml:space="preserve">Reasonable timeframe is based on the necessity of the information being requested i.e., in an Emergency Animal Disease response, the information must be supplied </w:t>
      </w:r>
      <w:r w:rsidR="00617371">
        <w:rPr>
          <w:rFonts w:asciiTheme="majorHAnsi" w:hAnsiTheme="majorHAnsi" w:cs="Arial"/>
          <w:b/>
          <w:bCs/>
          <w:sz w:val="22"/>
          <w:szCs w:val="22"/>
        </w:rPr>
        <w:t>without delay</w:t>
      </w:r>
      <w:r w:rsidRPr="00647E46">
        <w:rPr>
          <w:rFonts w:asciiTheme="majorHAnsi" w:hAnsiTheme="majorHAnsi" w:cs="Arial"/>
          <w:b/>
          <w:bCs/>
          <w:sz w:val="22"/>
          <w:szCs w:val="22"/>
        </w:rPr>
        <w:t>.</w:t>
      </w:r>
      <w:r w:rsidR="00E21592" w:rsidRPr="0080375E">
        <w:rPr>
          <w:rFonts w:asciiTheme="majorHAnsi" w:hAnsiTheme="majorHAnsi" w:cs="Arial"/>
          <w:sz w:val="22"/>
          <w:szCs w:val="22"/>
        </w:rPr>
        <w:br w:type="column"/>
      </w:r>
    </w:p>
    <w:p w14:paraId="4B7575F1" w14:textId="77777777" w:rsidR="00E21592" w:rsidRPr="0080375E" w:rsidRDefault="008A6084" w:rsidP="00E21592">
      <w:pPr>
        <w:rPr>
          <w:rFonts w:asciiTheme="majorHAnsi" w:hAnsiTheme="majorHAnsi" w:cs="Arial"/>
          <w:b/>
          <w:bCs/>
        </w:rPr>
      </w:pPr>
      <w:r w:rsidRPr="0080375E">
        <w:rPr>
          <w:rFonts w:asciiTheme="majorHAnsi" w:hAnsiTheme="majorHAnsi" w:cs="Arial"/>
          <w:b/>
          <w:bCs/>
        </w:rPr>
        <w:t>Part 4: Processors</w:t>
      </w:r>
      <w:bookmarkEnd w:id="136"/>
    </w:p>
    <w:p w14:paraId="4BC07393" w14:textId="3CC422BD" w:rsidR="008A6084" w:rsidRPr="0080375E" w:rsidRDefault="008A6084" w:rsidP="00E21592">
      <w:pPr>
        <w:rPr>
          <w:rFonts w:asciiTheme="majorHAnsi" w:hAnsiTheme="majorHAnsi" w:cs="Arial"/>
          <w:b/>
          <w:bCs/>
        </w:rPr>
      </w:pPr>
      <w:r w:rsidRPr="0080375E">
        <w:rPr>
          <w:rFonts w:asciiTheme="majorHAnsi" w:hAnsiTheme="majorHAnsi" w:cs="Arial"/>
          <w:b/>
          <w:bCs/>
        </w:rPr>
        <w:t>Scope</w:t>
      </w:r>
    </w:p>
    <w:p w14:paraId="311EA4CC" w14:textId="77777777" w:rsidR="008A6084" w:rsidRPr="0080375E" w:rsidRDefault="008A6084" w:rsidP="008A6084">
      <w:pPr>
        <w:pStyle w:val="beforebullets"/>
        <w:rPr>
          <w:rFonts w:asciiTheme="majorHAnsi" w:hAnsiTheme="majorHAnsi" w:cs="Arial"/>
          <w:color w:val="auto"/>
          <w:sz w:val="22"/>
          <w:szCs w:val="22"/>
        </w:rPr>
      </w:pPr>
      <w:r w:rsidRPr="0080375E">
        <w:rPr>
          <w:rFonts w:asciiTheme="majorHAnsi" w:hAnsiTheme="majorHAnsi" w:cs="Arial"/>
          <w:color w:val="auto"/>
          <w:sz w:val="22"/>
          <w:szCs w:val="22"/>
        </w:rPr>
        <w:t>This Part of these business rules applies to:</w:t>
      </w:r>
    </w:p>
    <w:p w14:paraId="72A7C591" w14:textId="77777777" w:rsidR="00E21592" w:rsidRPr="0080375E" w:rsidRDefault="008A6084" w:rsidP="00E21592">
      <w:pPr>
        <w:pStyle w:val="Bulletlas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persons owning, operating or managing a location where horses are processed, including a licensed abattoir or knackery.</w:t>
      </w:r>
    </w:p>
    <w:p w14:paraId="74B76495" w14:textId="5B8AB0A6" w:rsidR="008A6084" w:rsidRPr="0080375E" w:rsidRDefault="008A6084" w:rsidP="00E21592">
      <w:pPr>
        <w:pStyle w:val="Bulletlast1"/>
        <w:rPr>
          <w:rFonts w:asciiTheme="majorHAnsi" w:hAnsiTheme="majorHAnsi"/>
          <w:b/>
          <w:bCs/>
          <w:color w:val="auto"/>
          <w:sz w:val="22"/>
          <w:szCs w:val="22"/>
        </w:rPr>
      </w:pPr>
      <w:r w:rsidRPr="0080375E">
        <w:rPr>
          <w:rFonts w:asciiTheme="majorHAnsi" w:hAnsiTheme="majorHAnsi"/>
          <w:b/>
          <w:bCs/>
          <w:sz w:val="22"/>
          <w:szCs w:val="22"/>
        </w:rPr>
        <w:t>Objective</w:t>
      </w:r>
    </w:p>
    <w:p w14:paraId="2FE70CC2" w14:textId="372E07B4" w:rsidR="00E21592" w:rsidRPr="0080375E" w:rsidRDefault="008A6084" w:rsidP="3B8424AC">
      <w:pPr>
        <w:pStyle w:val="Bodycopy"/>
        <w:rPr>
          <w:rFonts w:asciiTheme="majorHAnsi" w:hAnsiTheme="majorHAnsi" w:cs="Arial"/>
          <w:color w:val="auto"/>
          <w:sz w:val="22"/>
          <w:szCs w:val="22"/>
        </w:rPr>
      </w:pPr>
      <w:r w:rsidRPr="3B8424AC">
        <w:rPr>
          <w:rFonts w:asciiTheme="majorHAnsi" w:hAnsiTheme="majorHAnsi" w:cs="Arial"/>
          <w:color w:val="auto"/>
          <w:sz w:val="22"/>
          <w:szCs w:val="22"/>
        </w:rPr>
        <w:t>To ensure that the last property of residence of a horse prior to arriving at the abattoir or knackery, which could be a saleyard, can be rapidly established for biosecurity purposes.</w:t>
      </w:r>
    </w:p>
    <w:p w14:paraId="55E8C849" w14:textId="79BF031B" w:rsidR="008A6084" w:rsidRPr="0080375E" w:rsidRDefault="008A6084" w:rsidP="00E21592">
      <w:pPr>
        <w:pStyle w:val="Bodycopy"/>
        <w:rPr>
          <w:rFonts w:asciiTheme="majorHAnsi" w:hAnsiTheme="majorHAnsi" w:cs="Arial"/>
          <w:b/>
          <w:color w:val="auto"/>
          <w:sz w:val="22"/>
          <w:szCs w:val="22"/>
        </w:rPr>
      </w:pPr>
      <w:r w:rsidRPr="0080375E">
        <w:rPr>
          <w:rFonts w:asciiTheme="majorHAnsi" w:hAnsiTheme="majorHAnsi" w:cs="Arial"/>
          <w:b/>
          <w:sz w:val="22"/>
          <w:szCs w:val="22"/>
        </w:rPr>
        <w:t>Business Rules</w:t>
      </w:r>
    </w:p>
    <w:p w14:paraId="5E588277" w14:textId="77777777" w:rsidR="008A6084" w:rsidRPr="00FE1E02" w:rsidRDefault="008A6084" w:rsidP="00FE1E02">
      <w:pPr>
        <w:rPr>
          <w:b/>
          <w:bCs/>
        </w:rPr>
      </w:pPr>
      <w:bookmarkStart w:id="137" w:name="_Toc95908552"/>
      <w:r w:rsidRPr="00FE1E02">
        <w:rPr>
          <w:b/>
          <w:bCs/>
        </w:rPr>
        <w:t>S4.1 Property identification</w:t>
      </w:r>
      <w:bookmarkEnd w:id="137"/>
    </w:p>
    <w:p w14:paraId="0492094B" w14:textId="77777777" w:rsidR="008A6084" w:rsidRPr="00FE1E02" w:rsidRDefault="008A6084" w:rsidP="00FE1E02">
      <w:pPr>
        <w:rPr>
          <w:b/>
          <w:bCs/>
        </w:rPr>
      </w:pPr>
      <w:r w:rsidRPr="00FE1E02">
        <w:rPr>
          <w:b/>
          <w:bCs/>
        </w:rPr>
        <w:t>S4.1.1</w:t>
      </w:r>
    </w:p>
    <w:p w14:paraId="717B3199"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A person owning or operating an abattoir or knackery at which horses are processed must ensure that a valid PIC issued by the relevant state/territory government agency is in place for that property.</w:t>
      </w:r>
    </w:p>
    <w:p w14:paraId="1E2AB2FF" w14:textId="77777777" w:rsidR="008A6084" w:rsidRPr="0080375E" w:rsidRDefault="008A6084" w:rsidP="008A6084">
      <w:pPr>
        <w:pStyle w:val="Bodycopy"/>
        <w:rPr>
          <w:rFonts w:asciiTheme="majorHAnsi" w:hAnsiTheme="majorHAnsi" w:cs="Arial"/>
          <w:color w:val="auto"/>
          <w:sz w:val="22"/>
          <w:szCs w:val="22"/>
        </w:rPr>
      </w:pPr>
    </w:p>
    <w:p w14:paraId="67219037" w14:textId="77777777" w:rsidR="008A6084" w:rsidRPr="00FE1E02" w:rsidRDefault="008A6084" w:rsidP="00FE1E02">
      <w:pPr>
        <w:rPr>
          <w:b/>
          <w:bCs/>
        </w:rPr>
      </w:pPr>
      <w:r w:rsidRPr="00FE1E02">
        <w:rPr>
          <w:b/>
          <w:bCs/>
        </w:rPr>
        <w:t>S4.1.2</w:t>
      </w:r>
    </w:p>
    <w:p w14:paraId="0DA674EF"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Each holding property and </w:t>
      </w:r>
      <w:r w:rsidRPr="0080375E">
        <w:rPr>
          <w:rFonts w:asciiTheme="majorHAnsi" w:hAnsiTheme="majorHAnsi" w:cs="Arial"/>
          <w:iCs/>
          <w:color w:val="auto"/>
          <w:sz w:val="22"/>
          <w:szCs w:val="22"/>
        </w:rPr>
        <w:t>depot</w:t>
      </w:r>
      <w:r w:rsidRPr="0080375E">
        <w:rPr>
          <w:rFonts w:asciiTheme="majorHAnsi" w:hAnsiTheme="majorHAnsi" w:cs="Arial"/>
          <w:color w:val="auto"/>
          <w:sz w:val="22"/>
          <w:szCs w:val="22"/>
        </w:rPr>
        <w:t xml:space="preserve"> used by a processor or knackery, if not adjoining the facility precinct and forming part of the precinct’s PIC, must have its own PIC issued by the relevant state/territory agency.</w:t>
      </w:r>
    </w:p>
    <w:p w14:paraId="45E0BE54" w14:textId="77777777" w:rsidR="008A6084" w:rsidRPr="00FE1E02" w:rsidRDefault="008A6084" w:rsidP="00FE1E02">
      <w:pPr>
        <w:rPr>
          <w:b/>
          <w:bCs/>
        </w:rPr>
      </w:pPr>
      <w:r w:rsidRPr="00FE1E02">
        <w:rPr>
          <w:b/>
          <w:bCs/>
        </w:rPr>
        <w:t>S4.1.3</w:t>
      </w:r>
    </w:p>
    <w:p w14:paraId="59F27D9F" w14:textId="77777777" w:rsidR="008A6084" w:rsidRPr="0080375E" w:rsidRDefault="008A6084" w:rsidP="008A6084">
      <w:pPr>
        <w:pStyle w:val="beforebullets"/>
        <w:spacing w:after="170"/>
        <w:rPr>
          <w:rFonts w:asciiTheme="majorHAnsi" w:hAnsiTheme="majorHAnsi" w:cs="Arial"/>
          <w:color w:val="auto"/>
          <w:sz w:val="22"/>
          <w:szCs w:val="22"/>
        </w:rPr>
      </w:pPr>
      <w:r w:rsidRPr="0080375E">
        <w:rPr>
          <w:rFonts w:asciiTheme="majorHAnsi" w:hAnsiTheme="majorHAnsi" w:cs="Arial"/>
          <w:color w:val="auto"/>
          <w:sz w:val="22"/>
          <w:szCs w:val="22"/>
        </w:rPr>
        <w:t>A horse must not be slaughtered or processed unless:</w:t>
      </w:r>
    </w:p>
    <w:p w14:paraId="46CA2630" w14:textId="77777777" w:rsidR="008A6084" w:rsidRPr="0080375E" w:rsidRDefault="008A6084" w:rsidP="002849D6">
      <w:pPr>
        <w:pStyle w:val="bodyletterslast"/>
        <w:numPr>
          <w:ilvl w:val="0"/>
          <w:numId w:val="26"/>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its last property of residence (which may be a saleyard) before arriving at the abattoir or knackery has been established, or</w:t>
      </w:r>
    </w:p>
    <w:p w14:paraId="5427C8B7" w14:textId="77777777" w:rsidR="008A6084" w:rsidRPr="0080375E" w:rsidRDefault="008A6084" w:rsidP="002849D6">
      <w:pPr>
        <w:pStyle w:val="bodyletterslast"/>
        <w:numPr>
          <w:ilvl w:val="0"/>
          <w:numId w:val="26"/>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it needs to be slaughtered to relieve unreasonable pain and suffering.  A record must then be immediately made and kept for two years of the name of the person who consigned the horse to the abattoir or knackery.</w:t>
      </w:r>
    </w:p>
    <w:p w14:paraId="154C070C" w14:textId="77777777" w:rsidR="008A6084" w:rsidRPr="0080375E" w:rsidRDefault="008A6084" w:rsidP="008A6084">
      <w:pPr>
        <w:pStyle w:val="bodyletterslast"/>
        <w:spacing w:after="170"/>
        <w:ind w:left="567" w:firstLine="0"/>
        <w:rPr>
          <w:rFonts w:asciiTheme="majorHAnsi" w:hAnsiTheme="majorHAnsi"/>
          <w:color w:val="auto"/>
          <w:sz w:val="22"/>
          <w:szCs w:val="22"/>
        </w:rPr>
      </w:pPr>
    </w:p>
    <w:p w14:paraId="20B726C9" w14:textId="77777777" w:rsidR="008A6084" w:rsidRPr="00FE1E02" w:rsidRDefault="008A6084" w:rsidP="00FE1E02">
      <w:pPr>
        <w:rPr>
          <w:b/>
          <w:bCs/>
        </w:rPr>
      </w:pPr>
      <w:r w:rsidRPr="00FE1E02">
        <w:rPr>
          <w:b/>
          <w:bCs/>
        </w:rPr>
        <w:t>S4.1.4</w:t>
      </w:r>
    </w:p>
    <w:p w14:paraId="2D57B52D" w14:textId="77777777" w:rsidR="008A6084" w:rsidRPr="0080375E" w:rsidRDefault="008A6084" w:rsidP="008A6084">
      <w:pPr>
        <w:pStyle w:val="beforebullets"/>
        <w:spacing w:after="170"/>
        <w:rPr>
          <w:rFonts w:asciiTheme="majorHAnsi" w:hAnsiTheme="majorHAnsi" w:cs="Arial"/>
          <w:color w:val="auto"/>
          <w:sz w:val="22"/>
          <w:szCs w:val="22"/>
        </w:rPr>
      </w:pPr>
      <w:r w:rsidRPr="0080375E">
        <w:rPr>
          <w:rFonts w:asciiTheme="majorHAnsi" w:hAnsiTheme="majorHAnsi" w:cs="Arial"/>
          <w:color w:val="auto"/>
          <w:sz w:val="22"/>
          <w:szCs w:val="22"/>
        </w:rPr>
        <w:t xml:space="preserve">Once a horse is slaughtered by a processor or knackery, its carcase must be identified in a manner that for disease surveillance purposes maintains correlation with its last property of residence until the point at which: </w:t>
      </w:r>
    </w:p>
    <w:p w14:paraId="18CE561E" w14:textId="77777777" w:rsidR="008A6084" w:rsidRPr="0080375E" w:rsidRDefault="008A6084" w:rsidP="002849D6">
      <w:pPr>
        <w:pStyle w:val="bodyletterslast"/>
        <w:numPr>
          <w:ilvl w:val="0"/>
          <w:numId w:val="27"/>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it has passed meat inspection and is deemed to comply with the Australian Standard for the Hygienic Production and Transportation of Meat and Meat Products for Human Consumption (AS 4696:2007) if destined for the human food chain, or</w:t>
      </w:r>
    </w:p>
    <w:p w14:paraId="3ECA7D69" w14:textId="77777777" w:rsidR="008A6084" w:rsidRPr="0080375E" w:rsidRDefault="008A6084" w:rsidP="002849D6">
      <w:pPr>
        <w:pStyle w:val="bodyletterslast"/>
        <w:numPr>
          <w:ilvl w:val="0"/>
          <w:numId w:val="27"/>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it has been inspected and deemed to comply with the Australian Standard for the Hygienic Production of Pet Meat AS 4841:2006 if destined for rendering or use as pet food.</w:t>
      </w:r>
    </w:p>
    <w:p w14:paraId="4339A139" w14:textId="77777777" w:rsidR="008A6084" w:rsidRPr="00FE1E02" w:rsidRDefault="008A6084" w:rsidP="00FE1E02">
      <w:pPr>
        <w:rPr>
          <w:b/>
          <w:bCs/>
        </w:rPr>
      </w:pPr>
      <w:bookmarkStart w:id="138" w:name="_Toc95908553"/>
      <w:r w:rsidRPr="00FE1E02">
        <w:rPr>
          <w:b/>
          <w:bCs/>
        </w:rPr>
        <w:lastRenderedPageBreak/>
        <w:t>S4.2 Movement documentation</w:t>
      </w:r>
      <w:bookmarkEnd w:id="138"/>
      <w:r w:rsidRPr="00FE1E02">
        <w:rPr>
          <w:b/>
          <w:bCs/>
        </w:rPr>
        <w:t xml:space="preserve"> </w:t>
      </w:r>
    </w:p>
    <w:p w14:paraId="14EAF0D6" w14:textId="77777777" w:rsidR="008A6084" w:rsidRPr="00FE1E02" w:rsidRDefault="008A6084" w:rsidP="00FE1E02">
      <w:pPr>
        <w:rPr>
          <w:b/>
          <w:bCs/>
        </w:rPr>
      </w:pPr>
      <w:r w:rsidRPr="00FE1E02">
        <w:rPr>
          <w:b/>
          <w:bCs/>
        </w:rPr>
        <w:t>S4.2.1</w:t>
      </w:r>
    </w:p>
    <w:p w14:paraId="1425EF27" w14:textId="77777777" w:rsidR="008A6084" w:rsidRPr="0080375E" w:rsidRDefault="008A6084" w:rsidP="008A6084">
      <w:pPr>
        <w:pStyle w:val="beforebullets"/>
        <w:spacing w:after="170"/>
        <w:rPr>
          <w:rFonts w:asciiTheme="majorHAnsi" w:hAnsiTheme="majorHAnsi" w:cs="Arial"/>
          <w:color w:val="auto"/>
          <w:sz w:val="22"/>
          <w:szCs w:val="22"/>
        </w:rPr>
      </w:pPr>
      <w:r w:rsidRPr="0080375E">
        <w:rPr>
          <w:rFonts w:asciiTheme="majorHAnsi" w:hAnsiTheme="majorHAnsi" w:cs="Arial"/>
          <w:color w:val="auto"/>
          <w:sz w:val="22"/>
          <w:szCs w:val="22"/>
        </w:rPr>
        <w:t>For each horse processed, processors and knackeries must generate a processing record recording the:</w:t>
      </w:r>
    </w:p>
    <w:p w14:paraId="0E54617F" w14:textId="77777777" w:rsidR="008A6084" w:rsidRPr="0080375E" w:rsidRDefault="008A6084" w:rsidP="002849D6">
      <w:pPr>
        <w:pStyle w:val="bodywithletters"/>
        <w:numPr>
          <w:ilvl w:val="0"/>
          <w:numId w:val="28"/>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 xml:space="preserve">PIC and/or address from which the horse was sourced (which may relate to a saleyard), and </w:t>
      </w:r>
    </w:p>
    <w:p w14:paraId="562CECB3" w14:textId="77777777" w:rsidR="008A6084" w:rsidRPr="0080375E" w:rsidRDefault="008A6084" w:rsidP="002849D6">
      <w:pPr>
        <w:pStyle w:val="bodywithletters"/>
        <w:numPr>
          <w:ilvl w:val="0"/>
          <w:numId w:val="28"/>
        </w:numPr>
        <w:spacing w:after="170"/>
        <w:ind w:left="567" w:hanging="567"/>
        <w:rPr>
          <w:rFonts w:asciiTheme="majorHAnsi" w:hAnsiTheme="majorHAnsi"/>
          <w:color w:val="auto"/>
          <w:sz w:val="22"/>
          <w:szCs w:val="22"/>
        </w:rPr>
      </w:pPr>
      <w:r w:rsidRPr="0080375E">
        <w:rPr>
          <w:rFonts w:asciiTheme="majorHAnsi" w:hAnsiTheme="majorHAnsi"/>
          <w:color w:val="auto"/>
          <w:sz w:val="22"/>
          <w:szCs w:val="22"/>
        </w:rPr>
        <w:t>date of slaughter/processing.</w:t>
      </w:r>
    </w:p>
    <w:p w14:paraId="14816546" w14:textId="77777777" w:rsidR="008A6084" w:rsidRPr="00FE1E02" w:rsidRDefault="008A6084" w:rsidP="00FE1E02">
      <w:pPr>
        <w:rPr>
          <w:b/>
          <w:bCs/>
        </w:rPr>
      </w:pPr>
      <w:r w:rsidRPr="00FE1E02">
        <w:rPr>
          <w:b/>
          <w:bCs/>
        </w:rPr>
        <w:t>S4.2.2</w:t>
      </w:r>
    </w:p>
    <w:p w14:paraId="4316E487" w14:textId="7603A39C" w:rsidR="008A6084" w:rsidRPr="0080375E" w:rsidRDefault="008A6084" w:rsidP="3B8424AC">
      <w:pPr>
        <w:pStyle w:val="bodyletterslast"/>
        <w:spacing w:after="170"/>
        <w:ind w:left="0" w:firstLine="0"/>
        <w:rPr>
          <w:rFonts w:asciiTheme="majorHAnsi" w:hAnsiTheme="majorHAnsi"/>
          <w:color w:val="auto"/>
          <w:sz w:val="22"/>
          <w:szCs w:val="22"/>
        </w:rPr>
      </w:pPr>
      <w:r w:rsidRPr="3B8424AC">
        <w:rPr>
          <w:rFonts w:asciiTheme="majorHAnsi" w:hAnsiTheme="majorHAnsi"/>
          <w:color w:val="auto"/>
          <w:sz w:val="22"/>
          <w:szCs w:val="22"/>
        </w:rPr>
        <w:t>Movement records must be created within 24 hours of the date when a horse is processed.</w:t>
      </w:r>
    </w:p>
    <w:p w14:paraId="0F4CAE35" w14:textId="77777777" w:rsidR="008A6084" w:rsidRPr="00FE1E02" w:rsidRDefault="008A6084" w:rsidP="00FE1E02">
      <w:pPr>
        <w:rPr>
          <w:b/>
          <w:bCs/>
        </w:rPr>
      </w:pPr>
      <w:bookmarkStart w:id="139" w:name="_Toc95908554"/>
      <w:r w:rsidRPr="00FE1E02">
        <w:rPr>
          <w:b/>
          <w:bCs/>
        </w:rPr>
        <w:t>S4.2.3</w:t>
      </w:r>
      <w:bookmarkEnd w:id="139"/>
    </w:p>
    <w:p w14:paraId="0BC3DC3B" w14:textId="77777777" w:rsidR="008A6084" w:rsidRPr="0080375E" w:rsidRDefault="008A6084" w:rsidP="21D9489F">
      <w:pPr>
        <w:pStyle w:val="Bodycopy"/>
        <w:rPr>
          <w:rFonts w:asciiTheme="majorHAnsi" w:hAnsiTheme="majorHAnsi" w:cs="Arial"/>
          <w:color w:val="auto"/>
          <w:sz w:val="22"/>
          <w:szCs w:val="22"/>
        </w:rPr>
      </w:pPr>
      <w:r w:rsidRPr="21D9489F">
        <w:rPr>
          <w:rFonts w:asciiTheme="majorHAnsi" w:hAnsiTheme="majorHAnsi" w:cs="Arial"/>
          <w:color w:val="auto"/>
          <w:sz w:val="22"/>
          <w:szCs w:val="22"/>
        </w:rPr>
        <w:t>The processor or knackery must keep a copy of the movement record described in S4.2.2 for a minimum of 6 months from the date of processing and be able to retrieve the record upon being requested to do so by an authorised government biosecurity officer within a reasonable timeframe per the requirements of the request.</w:t>
      </w:r>
    </w:p>
    <w:p w14:paraId="7464B740" w14:textId="77777777" w:rsidR="003D441A" w:rsidRDefault="00A071A6" w:rsidP="00A05AB1">
      <w:pPr>
        <w:pStyle w:val="Heading1"/>
        <w:rPr>
          <w:rFonts w:asciiTheme="majorHAnsi" w:hAnsiTheme="majorHAnsi" w:cs="Arial"/>
          <w:color w:val="auto"/>
          <w:sz w:val="22"/>
          <w:szCs w:val="22"/>
        </w:rPr>
      </w:pPr>
      <w:r w:rsidRPr="00A071A6">
        <w:rPr>
          <w:rFonts w:asciiTheme="majorHAnsi" w:hAnsiTheme="majorHAnsi" w:cs="Arial"/>
          <w:color w:val="auto"/>
          <w:sz w:val="22"/>
          <w:szCs w:val="22"/>
        </w:rPr>
        <w:t xml:space="preserve">Note: </w:t>
      </w:r>
    </w:p>
    <w:p w14:paraId="70C161F6" w14:textId="4DEF588D" w:rsidR="00114F1B" w:rsidRDefault="00A071A6" w:rsidP="00A05AB1">
      <w:pPr>
        <w:pStyle w:val="Heading1"/>
        <w:rPr>
          <w:rFonts w:asciiTheme="majorHAnsi" w:hAnsiTheme="majorHAnsi" w:cs="Arial"/>
          <w:sz w:val="22"/>
          <w:szCs w:val="22"/>
        </w:rPr>
      </w:pPr>
      <w:r w:rsidRPr="00A071A6">
        <w:rPr>
          <w:rFonts w:asciiTheme="majorHAnsi" w:hAnsiTheme="majorHAnsi" w:cs="Arial"/>
          <w:sz w:val="22"/>
          <w:szCs w:val="22"/>
        </w:rPr>
        <w:t xml:space="preserve">Reasonable timeframe is based on the necessity of the information being requested i.e., in an Emergency Animal Disease response, the information must be supplied </w:t>
      </w:r>
      <w:r w:rsidR="00617371">
        <w:rPr>
          <w:rFonts w:asciiTheme="majorHAnsi" w:hAnsiTheme="majorHAnsi" w:cs="Arial"/>
          <w:sz w:val="22"/>
          <w:szCs w:val="22"/>
        </w:rPr>
        <w:t>without delay</w:t>
      </w:r>
      <w:r w:rsidRPr="00A071A6">
        <w:rPr>
          <w:rFonts w:asciiTheme="majorHAnsi" w:hAnsiTheme="majorHAnsi" w:cs="Arial"/>
          <w:sz w:val="22"/>
          <w:szCs w:val="22"/>
        </w:rPr>
        <w:t>.</w:t>
      </w:r>
      <w:r w:rsidR="008A6084" w:rsidRPr="0080375E">
        <w:rPr>
          <w:rFonts w:asciiTheme="majorHAnsi" w:eastAsia="Times New Roman" w:hAnsiTheme="majorHAnsi" w:cs="Arial"/>
          <w:color w:val="auto"/>
          <w:spacing w:val="-15"/>
          <w:sz w:val="22"/>
          <w:szCs w:val="22"/>
        </w:rPr>
        <w:br w:type="page"/>
      </w:r>
      <w:bookmarkStart w:id="140" w:name="_Toc466460689"/>
      <w:r w:rsidR="008A6084" w:rsidRPr="0080375E">
        <w:rPr>
          <w:rFonts w:asciiTheme="majorHAnsi" w:hAnsiTheme="majorHAnsi" w:cs="Arial"/>
          <w:sz w:val="22"/>
          <w:szCs w:val="22"/>
        </w:rPr>
        <w:lastRenderedPageBreak/>
        <w:t>Part 5:</w:t>
      </w:r>
      <w:r w:rsidR="008A6084" w:rsidRPr="0080375E">
        <w:rPr>
          <w:rFonts w:asciiTheme="majorHAnsi" w:hAnsiTheme="majorHAnsi" w:cs="Arial"/>
          <w:sz w:val="22"/>
          <w:szCs w:val="22"/>
        </w:rPr>
        <w:tab/>
        <w:t>Race meetings, agricultural shows</w:t>
      </w:r>
      <w:r w:rsidR="00617371">
        <w:rPr>
          <w:rFonts w:asciiTheme="majorHAnsi" w:hAnsiTheme="majorHAnsi" w:cs="Arial"/>
          <w:sz w:val="22"/>
          <w:szCs w:val="22"/>
        </w:rPr>
        <w:t>,</w:t>
      </w:r>
      <w:r w:rsidR="008A6084" w:rsidRPr="0080375E">
        <w:rPr>
          <w:rFonts w:asciiTheme="majorHAnsi" w:hAnsiTheme="majorHAnsi" w:cs="Arial"/>
          <w:sz w:val="22"/>
          <w:szCs w:val="22"/>
        </w:rPr>
        <w:t xml:space="preserve"> equestrian events</w:t>
      </w:r>
      <w:r w:rsidR="000E4B71">
        <w:rPr>
          <w:rFonts w:asciiTheme="majorHAnsi" w:hAnsiTheme="majorHAnsi" w:cs="Arial"/>
          <w:sz w:val="22"/>
          <w:szCs w:val="22"/>
        </w:rPr>
        <w:t xml:space="preserve"> and veterinary clinics</w:t>
      </w:r>
      <w:r w:rsidR="008A6084" w:rsidRPr="0080375E">
        <w:rPr>
          <w:rFonts w:asciiTheme="majorHAnsi" w:hAnsiTheme="majorHAnsi" w:cs="Arial"/>
          <w:sz w:val="22"/>
          <w:szCs w:val="22"/>
        </w:rPr>
        <w:t xml:space="preserve"> </w:t>
      </w:r>
      <w:bookmarkEnd w:id="140"/>
    </w:p>
    <w:p w14:paraId="124530D4" w14:textId="77777777" w:rsidR="003D441A" w:rsidRPr="00835DD5" w:rsidRDefault="003D441A" w:rsidP="00835DD5">
      <w:pPr>
        <w:rPr>
          <w:b/>
        </w:rPr>
      </w:pPr>
    </w:p>
    <w:p w14:paraId="61F9DD62" w14:textId="029A33C9" w:rsidR="008A6084" w:rsidRPr="0080375E" w:rsidRDefault="008A6084" w:rsidP="00A05AB1">
      <w:pPr>
        <w:pStyle w:val="Heading1"/>
        <w:rPr>
          <w:rFonts w:asciiTheme="majorHAnsi" w:hAnsiTheme="majorHAnsi" w:cs="Arial"/>
          <w:sz w:val="22"/>
          <w:szCs w:val="22"/>
        </w:rPr>
      </w:pPr>
      <w:r w:rsidRPr="0080375E">
        <w:rPr>
          <w:rFonts w:asciiTheme="majorHAnsi" w:hAnsiTheme="majorHAnsi" w:cs="Arial"/>
          <w:sz w:val="22"/>
          <w:szCs w:val="22"/>
        </w:rPr>
        <w:t>Scope</w:t>
      </w:r>
    </w:p>
    <w:p w14:paraId="49AED19E" w14:textId="7566E9B6" w:rsidR="008A6084" w:rsidRPr="0080375E" w:rsidRDefault="008A6084" w:rsidP="008A6084">
      <w:pPr>
        <w:pStyle w:val="beforebullets"/>
        <w:rPr>
          <w:rFonts w:asciiTheme="majorHAnsi" w:hAnsiTheme="majorHAnsi" w:cs="Arial"/>
          <w:color w:val="auto"/>
          <w:sz w:val="22"/>
          <w:szCs w:val="22"/>
        </w:rPr>
      </w:pPr>
      <w:r w:rsidRPr="0080375E">
        <w:rPr>
          <w:rFonts w:asciiTheme="majorHAnsi" w:hAnsiTheme="majorHAnsi" w:cs="Arial"/>
          <w:color w:val="auto"/>
          <w:sz w:val="22"/>
          <w:szCs w:val="22"/>
        </w:rPr>
        <w:t xml:space="preserve">This Part of these </w:t>
      </w:r>
      <w:r w:rsidRPr="0080375E">
        <w:rPr>
          <w:rFonts w:asciiTheme="majorHAnsi" w:hAnsiTheme="majorHAnsi" w:cs="Arial"/>
          <w:sz w:val="22"/>
          <w:szCs w:val="22"/>
        </w:rPr>
        <w:t>business rules</w:t>
      </w:r>
      <w:r w:rsidRPr="0080375E">
        <w:rPr>
          <w:rFonts w:asciiTheme="majorHAnsi" w:hAnsiTheme="majorHAnsi" w:cs="Arial"/>
        </w:rPr>
        <w:t xml:space="preserve"> </w:t>
      </w:r>
      <w:r w:rsidRPr="0080375E">
        <w:rPr>
          <w:rFonts w:asciiTheme="majorHAnsi" w:hAnsiTheme="majorHAnsi" w:cs="Arial"/>
          <w:color w:val="auto"/>
          <w:sz w:val="22"/>
          <w:szCs w:val="22"/>
        </w:rPr>
        <w:t>applies to</w:t>
      </w:r>
      <w:r w:rsidR="00617371" w:rsidRPr="00617371">
        <w:rPr>
          <w:rFonts w:asciiTheme="majorHAnsi" w:hAnsiTheme="majorHAnsi"/>
          <w:color w:val="auto"/>
          <w:sz w:val="22"/>
          <w:szCs w:val="22"/>
        </w:rPr>
        <w:t xml:space="preserve"> </w:t>
      </w:r>
      <w:r w:rsidR="00617371" w:rsidRPr="0080375E">
        <w:rPr>
          <w:rFonts w:asciiTheme="majorHAnsi" w:hAnsiTheme="majorHAnsi"/>
          <w:color w:val="auto"/>
          <w:sz w:val="22"/>
          <w:szCs w:val="22"/>
        </w:rPr>
        <w:t>persons and organisations</w:t>
      </w:r>
      <w:r w:rsidR="00617371" w:rsidRPr="00617371">
        <w:rPr>
          <w:rFonts w:asciiTheme="majorHAnsi" w:hAnsiTheme="majorHAnsi"/>
          <w:color w:val="auto"/>
          <w:sz w:val="22"/>
          <w:szCs w:val="22"/>
        </w:rPr>
        <w:t xml:space="preserve"> </w:t>
      </w:r>
      <w:r w:rsidR="00617371" w:rsidRPr="0080375E">
        <w:rPr>
          <w:rFonts w:asciiTheme="majorHAnsi" w:hAnsiTheme="majorHAnsi"/>
          <w:color w:val="auto"/>
          <w:sz w:val="22"/>
          <w:szCs w:val="22"/>
        </w:rPr>
        <w:t>organising or managing an event at which horses will assemble</w:t>
      </w:r>
      <w:r w:rsidR="00617371">
        <w:rPr>
          <w:rFonts w:asciiTheme="majorHAnsi" w:hAnsiTheme="majorHAnsi"/>
          <w:color w:val="auto"/>
          <w:sz w:val="22"/>
          <w:szCs w:val="22"/>
        </w:rPr>
        <w:t xml:space="preserve"> including</w:t>
      </w:r>
      <w:r w:rsidR="00F7404C">
        <w:rPr>
          <w:rFonts w:asciiTheme="majorHAnsi" w:hAnsiTheme="majorHAnsi"/>
          <w:color w:val="auto"/>
          <w:sz w:val="22"/>
          <w:szCs w:val="22"/>
        </w:rPr>
        <w:t>:</w:t>
      </w:r>
    </w:p>
    <w:p w14:paraId="69CB07A5" w14:textId="7224FF7F" w:rsidR="00617371" w:rsidRDefault="008A6084" w:rsidP="00C97B42">
      <w:pPr>
        <w:pStyle w:val="Bulletlas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agricultural shows, race meetings, equestrian events included pony club gatherings, polo tournaments, rodeos</w:t>
      </w:r>
      <w:r w:rsidR="000902A9">
        <w:rPr>
          <w:rFonts w:asciiTheme="majorHAnsi" w:hAnsiTheme="majorHAnsi"/>
          <w:color w:val="auto"/>
          <w:sz w:val="22"/>
          <w:szCs w:val="22"/>
        </w:rPr>
        <w:t>,</w:t>
      </w:r>
      <w:r w:rsidR="007118DD">
        <w:rPr>
          <w:rFonts w:asciiTheme="majorHAnsi" w:hAnsiTheme="majorHAnsi"/>
          <w:color w:val="auto"/>
          <w:sz w:val="22"/>
          <w:szCs w:val="22"/>
        </w:rPr>
        <w:t xml:space="preserve"> </w:t>
      </w:r>
      <w:r w:rsidRPr="0080375E">
        <w:rPr>
          <w:rFonts w:asciiTheme="majorHAnsi" w:hAnsiTheme="majorHAnsi"/>
          <w:color w:val="auto"/>
          <w:sz w:val="22"/>
          <w:szCs w:val="22"/>
        </w:rPr>
        <w:t>camp drafts</w:t>
      </w:r>
      <w:r w:rsidR="00AC3E24">
        <w:rPr>
          <w:rFonts w:asciiTheme="majorHAnsi" w:hAnsiTheme="majorHAnsi"/>
          <w:color w:val="auto"/>
          <w:sz w:val="22"/>
          <w:szCs w:val="22"/>
        </w:rPr>
        <w:t>, training clinics and camps</w:t>
      </w:r>
      <w:r w:rsidR="00F7404C">
        <w:rPr>
          <w:rFonts w:asciiTheme="majorHAnsi" w:hAnsiTheme="majorHAnsi"/>
          <w:color w:val="auto"/>
          <w:sz w:val="22"/>
          <w:szCs w:val="22"/>
        </w:rPr>
        <w:t xml:space="preserve">, and </w:t>
      </w:r>
    </w:p>
    <w:p w14:paraId="6ACA84EA" w14:textId="66E2DE49" w:rsidR="00F7404C" w:rsidRDefault="008A6084" w:rsidP="00617371">
      <w:pPr>
        <w:pStyle w:val="Bulletlast1"/>
        <w:numPr>
          <w:ilvl w:val="0"/>
          <w:numId w:val="56"/>
        </w:numPr>
        <w:ind w:left="284" w:hanging="284"/>
        <w:rPr>
          <w:rFonts w:asciiTheme="majorHAnsi" w:hAnsiTheme="majorHAnsi"/>
          <w:color w:val="auto"/>
          <w:sz w:val="22"/>
          <w:szCs w:val="22"/>
        </w:rPr>
      </w:pPr>
      <w:r w:rsidRPr="0080375E">
        <w:rPr>
          <w:rFonts w:asciiTheme="majorHAnsi" w:hAnsiTheme="majorHAnsi"/>
          <w:color w:val="auto"/>
          <w:sz w:val="22"/>
          <w:szCs w:val="22"/>
        </w:rPr>
        <w:t xml:space="preserve">non-competition gathering of horses </w:t>
      </w:r>
      <w:r w:rsidR="00C97B42" w:rsidRPr="0080375E">
        <w:rPr>
          <w:rFonts w:asciiTheme="majorHAnsi" w:hAnsiTheme="majorHAnsi"/>
          <w:color w:val="auto"/>
          <w:sz w:val="22"/>
          <w:szCs w:val="22"/>
        </w:rPr>
        <w:t>i.e.</w:t>
      </w:r>
      <w:r w:rsidRPr="0080375E">
        <w:rPr>
          <w:rFonts w:asciiTheme="majorHAnsi" w:hAnsiTheme="majorHAnsi"/>
          <w:color w:val="auto"/>
          <w:sz w:val="22"/>
          <w:szCs w:val="22"/>
        </w:rPr>
        <w:t xml:space="preserve"> trail riding clubs, fun ride clubs</w:t>
      </w:r>
      <w:r w:rsidR="00F7404C">
        <w:rPr>
          <w:rFonts w:asciiTheme="majorHAnsi" w:hAnsiTheme="majorHAnsi"/>
          <w:color w:val="auto"/>
          <w:sz w:val="22"/>
          <w:szCs w:val="22"/>
        </w:rPr>
        <w:t>.</w:t>
      </w:r>
      <w:r w:rsidR="000E4B71">
        <w:rPr>
          <w:rFonts w:asciiTheme="majorHAnsi" w:hAnsiTheme="majorHAnsi"/>
          <w:color w:val="auto"/>
          <w:sz w:val="22"/>
          <w:szCs w:val="22"/>
        </w:rPr>
        <w:t xml:space="preserve"> </w:t>
      </w:r>
    </w:p>
    <w:p w14:paraId="6DE77BC9" w14:textId="63401D49" w:rsidR="00C97B42" w:rsidRPr="0080375E" w:rsidRDefault="00F7404C" w:rsidP="00835DD5">
      <w:pPr>
        <w:pStyle w:val="Bulletlast1"/>
        <w:ind w:left="0" w:firstLine="0"/>
        <w:rPr>
          <w:rFonts w:asciiTheme="majorHAnsi" w:hAnsiTheme="majorHAnsi"/>
          <w:color w:val="auto"/>
          <w:sz w:val="22"/>
          <w:szCs w:val="22"/>
        </w:rPr>
      </w:pPr>
      <w:r w:rsidRPr="0080375E">
        <w:rPr>
          <w:rFonts w:asciiTheme="majorHAnsi" w:hAnsiTheme="majorHAnsi"/>
          <w:color w:val="auto"/>
          <w:sz w:val="22"/>
          <w:szCs w:val="22"/>
        </w:rPr>
        <w:t xml:space="preserve">This Part of these </w:t>
      </w:r>
      <w:r w:rsidRPr="0080375E">
        <w:rPr>
          <w:rFonts w:asciiTheme="majorHAnsi" w:hAnsiTheme="majorHAnsi"/>
          <w:sz w:val="22"/>
          <w:szCs w:val="22"/>
        </w:rPr>
        <w:t>business rules</w:t>
      </w:r>
      <w:r w:rsidRPr="0080375E">
        <w:rPr>
          <w:rFonts w:asciiTheme="majorHAnsi" w:hAnsiTheme="majorHAnsi"/>
        </w:rPr>
        <w:t xml:space="preserve"> </w:t>
      </w:r>
      <w:r>
        <w:rPr>
          <w:rFonts w:asciiTheme="majorHAnsi" w:hAnsiTheme="majorHAnsi"/>
          <w:color w:val="auto"/>
          <w:sz w:val="22"/>
          <w:szCs w:val="22"/>
        </w:rPr>
        <w:t>also a</w:t>
      </w:r>
      <w:r w:rsidRPr="0080375E">
        <w:rPr>
          <w:rFonts w:asciiTheme="majorHAnsi" w:hAnsiTheme="majorHAnsi"/>
          <w:color w:val="auto"/>
          <w:sz w:val="22"/>
          <w:szCs w:val="22"/>
        </w:rPr>
        <w:t>pplies to</w:t>
      </w:r>
      <w:r w:rsidRPr="00617371">
        <w:rPr>
          <w:rFonts w:asciiTheme="majorHAnsi" w:hAnsiTheme="majorHAnsi"/>
          <w:color w:val="auto"/>
          <w:sz w:val="22"/>
          <w:szCs w:val="22"/>
        </w:rPr>
        <w:t xml:space="preserve"> </w:t>
      </w:r>
      <w:r w:rsidR="000E4B71">
        <w:rPr>
          <w:rFonts w:asciiTheme="majorHAnsi" w:hAnsiTheme="majorHAnsi"/>
          <w:color w:val="auto"/>
          <w:sz w:val="22"/>
          <w:szCs w:val="22"/>
        </w:rPr>
        <w:t>operators of veterinary clinics where horses are examined or treated</w:t>
      </w:r>
    </w:p>
    <w:p w14:paraId="3BBDA7CD" w14:textId="6C6B5D4E" w:rsidR="008A6084" w:rsidRPr="0080375E" w:rsidRDefault="008A6084" w:rsidP="00C97B42">
      <w:pPr>
        <w:pStyle w:val="Bulletlast1"/>
        <w:rPr>
          <w:rFonts w:asciiTheme="majorHAnsi" w:hAnsiTheme="majorHAnsi"/>
          <w:b/>
          <w:bCs/>
          <w:color w:val="auto"/>
          <w:sz w:val="22"/>
          <w:szCs w:val="22"/>
        </w:rPr>
      </w:pPr>
      <w:r w:rsidRPr="0080375E">
        <w:rPr>
          <w:rFonts w:asciiTheme="majorHAnsi" w:hAnsiTheme="majorHAnsi"/>
          <w:b/>
          <w:bCs/>
          <w:sz w:val="22"/>
          <w:szCs w:val="22"/>
        </w:rPr>
        <w:t>Objective</w:t>
      </w:r>
    </w:p>
    <w:p w14:paraId="31DF3F71" w14:textId="0BE6D512" w:rsidR="00C97B42" w:rsidRPr="0080375E" w:rsidRDefault="008A6084" w:rsidP="00C97B42">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To ensure that the movement of horses to and from events </w:t>
      </w:r>
      <w:r w:rsidR="00F70CAA">
        <w:rPr>
          <w:rFonts w:asciiTheme="majorHAnsi" w:hAnsiTheme="majorHAnsi" w:cs="Arial"/>
          <w:color w:val="auto"/>
          <w:sz w:val="22"/>
          <w:szCs w:val="22"/>
        </w:rPr>
        <w:t xml:space="preserve">and veterinary clinics </w:t>
      </w:r>
      <w:r w:rsidRPr="0080375E">
        <w:rPr>
          <w:rFonts w:asciiTheme="majorHAnsi" w:hAnsiTheme="majorHAnsi" w:cs="Arial"/>
          <w:color w:val="auto"/>
          <w:sz w:val="22"/>
          <w:szCs w:val="22"/>
        </w:rPr>
        <w:t>can be tracked effectively and rapidly.</w:t>
      </w:r>
    </w:p>
    <w:p w14:paraId="747052E4" w14:textId="0C18E393" w:rsidR="008A6084" w:rsidRPr="0080375E" w:rsidRDefault="008A6084" w:rsidP="00C97B42">
      <w:pPr>
        <w:pStyle w:val="Bodycopy"/>
        <w:rPr>
          <w:rFonts w:asciiTheme="majorHAnsi" w:hAnsiTheme="majorHAnsi" w:cs="Arial"/>
          <w:b/>
          <w:color w:val="auto"/>
          <w:sz w:val="22"/>
          <w:szCs w:val="22"/>
        </w:rPr>
      </w:pPr>
      <w:r w:rsidRPr="0080375E">
        <w:rPr>
          <w:rFonts w:asciiTheme="majorHAnsi" w:hAnsiTheme="majorHAnsi" w:cs="Arial"/>
          <w:b/>
          <w:sz w:val="22"/>
          <w:szCs w:val="22"/>
        </w:rPr>
        <w:t>Business Rules</w:t>
      </w:r>
    </w:p>
    <w:p w14:paraId="1428E3A6" w14:textId="77777777" w:rsidR="008A6084" w:rsidRPr="00FE1E02" w:rsidRDefault="008A6084" w:rsidP="00FE1E02">
      <w:pPr>
        <w:rPr>
          <w:b/>
          <w:bCs/>
        </w:rPr>
      </w:pPr>
      <w:bookmarkStart w:id="141" w:name="_Toc95908555"/>
      <w:r w:rsidRPr="00FE1E02">
        <w:rPr>
          <w:b/>
          <w:bCs/>
        </w:rPr>
        <w:t>S5.1 Property identification</w:t>
      </w:r>
      <w:bookmarkEnd w:id="141"/>
    </w:p>
    <w:p w14:paraId="7FB223A7" w14:textId="77777777" w:rsidR="008A6084" w:rsidRPr="00FE1E02" w:rsidRDefault="008A6084" w:rsidP="00FE1E02">
      <w:pPr>
        <w:rPr>
          <w:b/>
          <w:bCs/>
        </w:rPr>
      </w:pPr>
      <w:r w:rsidRPr="00FE1E02">
        <w:rPr>
          <w:b/>
          <w:bCs/>
        </w:rPr>
        <w:t>S5.1.1</w:t>
      </w:r>
    </w:p>
    <w:p w14:paraId="700EC164" w14:textId="4712CF37" w:rsidR="008A6084" w:rsidRPr="0080375E" w:rsidRDefault="008A6084" w:rsidP="3B8424AC">
      <w:pPr>
        <w:pStyle w:val="Bodycopy"/>
        <w:rPr>
          <w:rFonts w:asciiTheme="majorHAnsi" w:hAnsiTheme="majorHAnsi" w:cs="Arial"/>
          <w:color w:val="auto"/>
          <w:sz w:val="22"/>
          <w:szCs w:val="22"/>
        </w:rPr>
      </w:pPr>
      <w:r w:rsidRPr="3B8424AC">
        <w:rPr>
          <w:rFonts w:asciiTheme="majorHAnsi" w:hAnsiTheme="majorHAnsi" w:cs="Arial"/>
          <w:color w:val="auto"/>
          <w:sz w:val="22"/>
          <w:szCs w:val="22"/>
        </w:rPr>
        <w:t xml:space="preserve">Persons and organisations </w:t>
      </w:r>
      <w:r w:rsidR="00C25147">
        <w:rPr>
          <w:rFonts w:asciiTheme="majorHAnsi" w:hAnsiTheme="majorHAnsi" w:cs="Arial"/>
          <w:color w:val="auto"/>
          <w:sz w:val="22"/>
          <w:szCs w:val="22"/>
        </w:rPr>
        <w:t xml:space="preserve">operating a veterinary clinic or </w:t>
      </w:r>
      <w:r w:rsidRPr="3B8424AC">
        <w:rPr>
          <w:rFonts w:asciiTheme="majorHAnsi" w:hAnsiTheme="majorHAnsi" w:cs="Arial"/>
          <w:color w:val="auto"/>
          <w:sz w:val="22"/>
          <w:szCs w:val="22"/>
        </w:rPr>
        <w:t>organising or managing an event involving horses must ensure that the location where the event is held has a valid PIC issued by the relevant state/territory government agency.</w:t>
      </w:r>
    </w:p>
    <w:p w14:paraId="011DFFC2" w14:textId="77777777" w:rsidR="008A6084" w:rsidRPr="00FE1E02" w:rsidRDefault="008A6084" w:rsidP="00FE1E02">
      <w:pPr>
        <w:rPr>
          <w:b/>
          <w:bCs/>
        </w:rPr>
      </w:pPr>
      <w:bookmarkStart w:id="142" w:name="_Toc95908556"/>
      <w:r w:rsidRPr="00FE1E02">
        <w:rPr>
          <w:b/>
          <w:bCs/>
        </w:rPr>
        <w:t>S5.2 Movement recording</w:t>
      </w:r>
      <w:bookmarkEnd w:id="142"/>
    </w:p>
    <w:p w14:paraId="76E974A3" w14:textId="77777777" w:rsidR="008A6084" w:rsidRPr="00FE1E02" w:rsidRDefault="008A6084" w:rsidP="00FE1E02">
      <w:pPr>
        <w:rPr>
          <w:b/>
          <w:bCs/>
        </w:rPr>
      </w:pPr>
      <w:r w:rsidRPr="00FE1E02">
        <w:rPr>
          <w:b/>
          <w:bCs/>
        </w:rPr>
        <w:t>S5.2.1</w:t>
      </w:r>
    </w:p>
    <w:p w14:paraId="752C9623" w14:textId="77777777" w:rsidR="008A6084" w:rsidRPr="0080375E" w:rsidRDefault="008A6084" w:rsidP="008A6084">
      <w:pPr>
        <w:pStyle w:val="beforebullets"/>
        <w:spacing w:after="170"/>
        <w:rPr>
          <w:rFonts w:asciiTheme="majorHAnsi" w:hAnsiTheme="majorHAnsi" w:cs="Arial"/>
          <w:color w:val="auto"/>
          <w:sz w:val="22"/>
          <w:szCs w:val="22"/>
        </w:rPr>
      </w:pPr>
      <w:r w:rsidRPr="0080375E">
        <w:rPr>
          <w:rFonts w:asciiTheme="majorHAnsi" w:hAnsiTheme="majorHAnsi" w:cs="Arial"/>
          <w:color w:val="auto"/>
          <w:sz w:val="22"/>
          <w:szCs w:val="22"/>
        </w:rPr>
        <w:t>The person or entity responsible for an event must compile within two business days of the event the following records:</w:t>
      </w:r>
    </w:p>
    <w:p w14:paraId="4A88AAEF" w14:textId="77777777" w:rsidR="008A6084" w:rsidRPr="0080375E" w:rsidRDefault="008A6084" w:rsidP="002849D6">
      <w:pPr>
        <w:pStyle w:val="bodywithletters"/>
        <w:numPr>
          <w:ilvl w:val="0"/>
          <w:numId w:val="29"/>
        </w:numPr>
        <w:spacing w:after="170"/>
        <w:rPr>
          <w:rFonts w:asciiTheme="majorHAnsi" w:hAnsiTheme="majorHAnsi"/>
          <w:color w:val="auto"/>
          <w:sz w:val="22"/>
          <w:szCs w:val="22"/>
        </w:rPr>
      </w:pPr>
      <w:r w:rsidRPr="0080375E">
        <w:rPr>
          <w:rFonts w:asciiTheme="majorHAnsi" w:hAnsiTheme="majorHAnsi"/>
          <w:color w:val="auto"/>
          <w:sz w:val="22"/>
          <w:szCs w:val="22"/>
        </w:rPr>
        <w:t>the PIC and address of the location where the event was held</w:t>
      </w:r>
    </w:p>
    <w:p w14:paraId="78127427" w14:textId="77777777" w:rsidR="008A6084" w:rsidRPr="0080375E" w:rsidRDefault="008A6084" w:rsidP="002849D6">
      <w:pPr>
        <w:pStyle w:val="bodywithletters"/>
        <w:numPr>
          <w:ilvl w:val="0"/>
          <w:numId w:val="29"/>
        </w:numPr>
        <w:spacing w:after="170"/>
        <w:rPr>
          <w:rFonts w:asciiTheme="majorHAnsi" w:hAnsiTheme="majorHAnsi"/>
          <w:color w:val="auto"/>
          <w:sz w:val="22"/>
          <w:szCs w:val="22"/>
        </w:rPr>
      </w:pPr>
      <w:r w:rsidRPr="0080375E">
        <w:rPr>
          <w:rFonts w:asciiTheme="majorHAnsi" w:hAnsiTheme="majorHAnsi"/>
          <w:color w:val="auto"/>
          <w:sz w:val="22"/>
          <w:szCs w:val="22"/>
        </w:rPr>
        <w:t xml:space="preserve">the date of the event </w:t>
      </w:r>
    </w:p>
    <w:p w14:paraId="76FEFA7E" w14:textId="26CB25BB" w:rsidR="008A6084" w:rsidRPr="0080375E" w:rsidRDefault="008A6084" w:rsidP="002849D6">
      <w:pPr>
        <w:pStyle w:val="bodywithletters"/>
        <w:numPr>
          <w:ilvl w:val="0"/>
          <w:numId w:val="29"/>
        </w:numPr>
        <w:spacing w:after="170"/>
        <w:rPr>
          <w:rFonts w:asciiTheme="majorHAnsi" w:hAnsiTheme="majorHAnsi"/>
          <w:color w:val="auto"/>
          <w:sz w:val="22"/>
          <w:szCs w:val="22"/>
        </w:rPr>
      </w:pPr>
      <w:r w:rsidRPr="3B8424AC">
        <w:rPr>
          <w:rFonts w:asciiTheme="majorHAnsi" w:hAnsiTheme="majorHAnsi"/>
          <w:color w:val="auto"/>
          <w:sz w:val="22"/>
          <w:szCs w:val="22"/>
        </w:rPr>
        <w:t xml:space="preserve">the PIC and/address of the property from which each horse attending the event was dispatched </w:t>
      </w:r>
    </w:p>
    <w:p w14:paraId="2EDCBD91" w14:textId="77777777" w:rsidR="008A6084" w:rsidRPr="0080375E" w:rsidRDefault="008A6084" w:rsidP="002849D6">
      <w:pPr>
        <w:pStyle w:val="bodywithletters"/>
        <w:numPr>
          <w:ilvl w:val="0"/>
          <w:numId w:val="29"/>
        </w:numPr>
        <w:spacing w:after="170"/>
        <w:rPr>
          <w:rFonts w:asciiTheme="majorHAnsi" w:hAnsiTheme="majorHAnsi"/>
          <w:color w:val="auto"/>
          <w:sz w:val="22"/>
          <w:szCs w:val="22"/>
        </w:rPr>
      </w:pPr>
      <w:r w:rsidRPr="0080375E">
        <w:rPr>
          <w:rFonts w:asciiTheme="majorHAnsi" w:hAnsiTheme="majorHAnsi"/>
          <w:color w:val="auto"/>
          <w:sz w:val="22"/>
          <w:szCs w:val="22"/>
        </w:rPr>
        <w:t>phone number and other contact details of each exhibitor/person responsible for the horse at the event</w:t>
      </w:r>
    </w:p>
    <w:p w14:paraId="65613F03" w14:textId="77777777" w:rsidR="008A6084" w:rsidRPr="0080375E" w:rsidRDefault="008A6084" w:rsidP="002849D6">
      <w:pPr>
        <w:pStyle w:val="bodywithletters"/>
        <w:numPr>
          <w:ilvl w:val="0"/>
          <w:numId w:val="29"/>
        </w:numPr>
        <w:spacing w:after="170"/>
        <w:rPr>
          <w:rFonts w:asciiTheme="majorHAnsi" w:hAnsiTheme="majorHAnsi"/>
          <w:color w:val="auto"/>
          <w:sz w:val="22"/>
          <w:szCs w:val="22"/>
        </w:rPr>
      </w:pPr>
      <w:r w:rsidRPr="0080375E">
        <w:rPr>
          <w:rFonts w:asciiTheme="majorHAnsi" w:hAnsiTheme="majorHAnsi"/>
          <w:color w:val="auto"/>
          <w:sz w:val="22"/>
          <w:szCs w:val="22"/>
        </w:rPr>
        <w:t>the number of horses in total from each PIC or property in attendance</w:t>
      </w:r>
    </w:p>
    <w:p w14:paraId="5EBB4009" w14:textId="77777777" w:rsidR="008A6084" w:rsidRPr="0080375E" w:rsidRDefault="008A6084" w:rsidP="002849D6">
      <w:pPr>
        <w:pStyle w:val="bodywithletters"/>
        <w:numPr>
          <w:ilvl w:val="0"/>
          <w:numId w:val="29"/>
        </w:numPr>
        <w:spacing w:after="170"/>
        <w:rPr>
          <w:rFonts w:asciiTheme="majorHAnsi" w:hAnsiTheme="majorHAnsi"/>
          <w:color w:val="auto"/>
          <w:sz w:val="22"/>
          <w:szCs w:val="22"/>
        </w:rPr>
      </w:pPr>
      <w:r w:rsidRPr="0080375E">
        <w:rPr>
          <w:rFonts w:asciiTheme="majorHAnsi" w:hAnsiTheme="majorHAnsi"/>
          <w:color w:val="auto"/>
          <w:sz w:val="22"/>
          <w:szCs w:val="22"/>
        </w:rPr>
        <w:t>the name, email address and phone number of the person responsible for the record</w:t>
      </w:r>
    </w:p>
    <w:p w14:paraId="50949354" w14:textId="77777777" w:rsidR="008A6084" w:rsidRPr="0080375E" w:rsidRDefault="008A6084" w:rsidP="002849D6">
      <w:pPr>
        <w:pStyle w:val="bodyletterslast"/>
        <w:numPr>
          <w:ilvl w:val="0"/>
          <w:numId w:val="29"/>
        </w:numPr>
        <w:spacing w:after="170"/>
        <w:rPr>
          <w:rFonts w:asciiTheme="majorHAnsi" w:hAnsiTheme="majorHAnsi"/>
          <w:color w:val="auto"/>
          <w:sz w:val="22"/>
          <w:szCs w:val="22"/>
        </w:rPr>
      </w:pPr>
      <w:r w:rsidRPr="0080375E">
        <w:rPr>
          <w:rFonts w:asciiTheme="majorHAnsi" w:hAnsiTheme="majorHAnsi"/>
          <w:color w:val="auto"/>
          <w:sz w:val="22"/>
          <w:szCs w:val="22"/>
        </w:rPr>
        <w:t xml:space="preserve">the PIC or address of the property to which a horse will be sent after the event, if different from the PIC or address of the property from which the horse was located before it arrived. </w:t>
      </w:r>
    </w:p>
    <w:p w14:paraId="6EE4D33B" w14:textId="77777777" w:rsidR="008A6084" w:rsidRDefault="008A6084" w:rsidP="00FE1E02">
      <w:pPr>
        <w:rPr>
          <w:b/>
          <w:bCs/>
        </w:rPr>
      </w:pPr>
      <w:r w:rsidRPr="00FE1E02">
        <w:rPr>
          <w:b/>
          <w:bCs/>
        </w:rPr>
        <w:t>S5.2.2</w:t>
      </w:r>
    </w:p>
    <w:p w14:paraId="090DEDB1" w14:textId="77777777" w:rsidR="002A61C2" w:rsidRPr="000B7498" w:rsidRDefault="002A61C2" w:rsidP="002A61C2">
      <w:pPr>
        <w:pStyle w:val="beforebullets"/>
        <w:spacing w:after="170"/>
        <w:rPr>
          <w:rFonts w:asciiTheme="majorHAnsi" w:eastAsiaTheme="minorHAnsi" w:hAnsiTheme="majorHAnsi" w:cs="Calibri"/>
          <w:color w:val="auto"/>
          <w:sz w:val="22"/>
          <w:szCs w:val="22"/>
        </w:rPr>
      </w:pPr>
      <w:r w:rsidRPr="000B7498">
        <w:rPr>
          <w:rFonts w:asciiTheme="majorHAnsi" w:hAnsiTheme="majorHAnsi" w:cs="Calibri"/>
          <w:color w:val="auto"/>
          <w:sz w:val="22"/>
          <w:szCs w:val="22"/>
        </w:rPr>
        <w:lastRenderedPageBreak/>
        <w:t>The person or entity responsible for a veterinary clinic must compile within two business days of the arrival of a horse the following records:</w:t>
      </w:r>
    </w:p>
    <w:p w14:paraId="76644762" w14:textId="77777777" w:rsidR="002A61C2" w:rsidRPr="000B7498" w:rsidRDefault="002A61C2" w:rsidP="002A61C2">
      <w:pPr>
        <w:pStyle w:val="bodywithletters"/>
        <w:numPr>
          <w:ilvl w:val="0"/>
          <w:numId w:val="46"/>
        </w:numPr>
        <w:spacing w:after="170"/>
        <w:rPr>
          <w:rFonts w:asciiTheme="majorHAnsi" w:hAnsiTheme="majorHAnsi" w:cs="Calibri"/>
          <w:color w:val="auto"/>
          <w:sz w:val="22"/>
          <w:szCs w:val="22"/>
        </w:rPr>
      </w:pPr>
      <w:r w:rsidRPr="000B7498">
        <w:rPr>
          <w:rFonts w:asciiTheme="majorHAnsi" w:hAnsiTheme="majorHAnsi" w:cs="Calibri"/>
          <w:color w:val="auto"/>
          <w:sz w:val="22"/>
          <w:szCs w:val="22"/>
        </w:rPr>
        <w:t xml:space="preserve">the date when the horse arrived at the clinic </w:t>
      </w:r>
    </w:p>
    <w:p w14:paraId="001381A0" w14:textId="77777777" w:rsidR="002A61C2" w:rsidRPr="000B7498" w:rsidRDefault="002A61C2" w:rsidP="002A61C2">
      <w:pPr>
        <w:pStyle w:val="bodywithletters"/>
        <w:numPr>
          <w:ilvl w:val="0"/>
          <w:numId w:val="46"/>
        </w:numPr>
        <w:spacing w:after="170"/>
        <w:rPr>
          <w:rFonts w:asciiTheme="majorHAnsi" w:hAnsiTheme="majorHAnsi" w:cs="Calibri"/>
          <w:color w:val="auto"/>
          <w:sz w:val="22"/>
          <w:szCs w:val="22"/>
        </w:rPr>
      </w:pPr>
      <w:r w:rsidRPr="000B7498">
        <w:rPr>
          <w:rFonts w:asciiTheme="majorHAnsi" w:hAnsiTheme="majorHAnsi" w:cs="Calibri"/>
          <w:color w:val="auto"/>
          <w:sz w:val="22"/>
          <w:szCs w:val="22"/>
        </w:rPr>
        <w:t xml:space="preserve">the date when the horse left the clinic </w:t>
      </w:r>
    </w:p>
    <w:p w14:paraId="076096E5" w14:textId="77777777" w:rsidR="002A61C2" w:rsidRPr="000B7498" w:rsidRDefault="002A61C2" w:rsidP="002A61C2">
      <w:pPr>
        <w:pStyle w:val="bodywithletters"/>
        <w:numPr>
          <w:ilvl w:val="0"/>
          <w:numId w:val="46"/>
        </w:numPr>
        <w:spacing w:after="170"/>
        <w:rPr>
          <w:rFonts w:asciiTheme="majorHAnsi" w:hAnsiTheme="majorHAnsi" w:cs="Calibri"/>
          <w:color w:val="auto"/>
          <w:sz w:val="22"/>
          <w:szCs w:val="22"/>
        </w:rPr>
      </w:pPr>
      <w:r w:rsidRPr="000B7498">
        <w:rPr>
          <w:rFonts w:asciiTheme="majorHAnsi" w:hAnsiTheme="majorHAnsi" w:cs="Calibri"/>
          <w:color w:val="auto"/>
          <w:sz w:val="22"/>
          <w:szCs w:val="22"/>
        </w:rPr>
        <w:t xml:space="preserve">the PIC or address of the property from which the horse was dispatched </w:t>
      </w:r>
    </w:p>
    <w:p w14:paraId="1F897269" w14:textId="77777777" w:rsidR="002A61C2" w:rsidRPr="000B7498" w:rsidRDefault="002A61C2" w:rsidP="002A61C2">
      <w:pPr>
        <w:pStyle w:val="bodywithletters"/>
        <w:numPr>
          <w:ilvl w:val="0"/>
          <w:numId w:val="46"/>
        </w:numPr>
        <w:spacing w:after="170"/>
        <w:rPr>
          <w:rFonts w:asciiTheme="majorHAnsi" w:hAnsiTheme="majorHAnsi" w:cs="Calibri"/>
          <w:color w:val="auto"/>
          <w:sz w:val="22"/>
          <w:szCs w:val="22"/>
        </w:rPr>
      </w:pPr>
      <w:r w:rsidRPr="000B7498">
        <w:rPr>
          <w:rFonts w:asciiTheme="majorHAnsi" w:hAnsiTheme="majorHAnsi" w:cs="Calibri"/>
          <w:color w:val="auto"/>
          <w:sz w:val="22"/>
          <w:szCs w:val="22"/>
        </w:rPr>
        <w:t xml:space="preserve">name, phone number and email address of the person responsible for the horse </w:t>
      </w:r>
    </w:p>
    <w:p w14:paraId="55845DC5" w14:textId="014491A7" w:rsidR="002A61C2" w:rsidRPr="000B7498" w:rsidRDefault="002A61C2" w:rsidP="00FE1E02">
      <w:pPr>
        <w:pStyle w:val="bodyletterslast"/>
        <w:numPr>
          <w:ilvl w:val="0"/>
          <w:numId w:val="46"/>
        </w:numPr>
        <w:spacing w:after="170"/>
        <w:rPr>
          <w:rFonts w:asciiTheme="majorHAnsi" w:hAnsiTheme="majorHAnsi" w:cs="Calibri"/>
          <w:color w:val="auto"/>
          <w:sz w:val="22"/>
          <w:szCs w:val="22"/>
        </w:rPr>
      </w:pPr>
      <w:r w:rsidRPr="000B7498">
        <w:rPr>
          <w:rFonts w:asciiTheme="majorHAnsi" w:hAnsiTheme="majorHAnsi" w:cs="Calibri"/>
          <w:color w:val="auto"/>
          <w:sz w:val="22"/>
          <w:szCs w:val="22"/>
        </w:rPr>
        <w:t xml:space="preserve">the PIC or address of the property to which the horse was sent (which may be a knackery if the horse has died), if different from the PIC or address of the property from which the horse was located before it arrived. </w:t>
      </w:r>
    </w:p>
    <w:p w14:paraId="02BCFD81" w14:textId="55D56379" w:rsidR="00546B62" w:rsidRPr="00546B62" w:rsidRDefault="00546B62" w:rsidP="00546B62">
      <w:pPr>
        <w:rPr>
          <w:b/>
          <w:bCs/>
        </w:rPr>
      </w:pPr>
      <w:r w:rsidRPr="00546B62">
        <w:rPr>
          <w:b/>
          <w:bCs/>
        </w:rPr>
        <w:t>S5.2.3</w:t>
      </w:r>
    </w:p>
    <w:p w14:paraId="5B8876D8" w14:textId="1426BB01" w:rsidR="008A6084" w:rsidRPr="008E1408" w:rsidRDefault="008A6084" w:rsidP="002849D6">
      <w:pPr>
        <w:pStyle w:val="Bodycopy"/>
        <w:numPr>
          <w:ilvl w:val="0"/>
          <w:numId w:val="30"/>
        </w:numPr>
        <w:ind w:left="567" w:hanging="567"/>
        <w:rPr>
          <w:rFonts w:asciiTheme="majorHAnsi" w:hAnsiTheme="majorHAnsi" w:cs="Arial"/>
          <w:color w:val="auto"/>
          <w:sz w:val="22"/>
          <w:szCs w:val="22"/>
        </w:rPr>
      </w:pPr>
      <w:r w:rsidRPr="008E1408">
        <w:rPr>
          <w:rFonts w:asciiTheme="majorHAnsi" w:hAnsiTheme="majorHAnsi" w:cs="Arial"/>
          <w:color w:val="auto"/>
          <w:sz w:val="22"/>
          <w:szCs w:val="22"/>
        </w:rPr>
        <w:t>The person generating a</w:t>
      </w:r>
      <w:r w:rsidRPr="008E1408">
        <w:rPr>
          <w:rFonts w:asciiTheme="majorHAnsi" w:hAnsiTheme="majorHAnsi" w:cs="Arial"/>
          <w:i/>
          <w:iCs/>
          <w:color w:val="auto"/>
          <w:sz w:val="22"/>
          <w:szCs w:val="22"/>
        </w:rPr>
        <w:t xml:space="preserve"> </w:t>
      </w:r>
      <w:r w:rsidRPr="008E1408">
        <w:rPr>
          <w:rStyle w:val="italic"/>
          <w:rFonts w:asciiTheme="majorHAnsi" w:hAnsiTheme="majorHAnsi" w:cs="Arial"/>
          <w:i w:val="0"/>
          <w:iCs/>
          <w:color w:val="auto"/>
          <w:sz w:val="22"/>
          <w:szCs w:val="22"/>
        </w:rPr>
        <w:t>movement record</w:t>
      </w:r>
      <w:r w:rsidRPr="008E1408">
        <w:rPr>
          <w:rFonts w:asciiTheme="majorHAnsi" w:hAnsiTheme="majorHAnsi" w:cs="Arial"/>
          <w:i/>
          <w:iCs/>
          <w:color w:val="auto"/>
          <w:sz w:val="22"/>
          <w:szCs w:val="22"/>
        </w:rPr>
        <w:t xml:space="preserve"> </w:t>
      </w:r>
      <w:r w:rsidRPr="008E1408">
        <w:rPr>
          <w:rFonts w:asciiTheme="majorHAnsi" w:hAnsiTheme="majorHAnsi" w:cs="Arial"/>
          <w:color w:val="auto"/>
          <w:sz w:val="22"/>
          <w:szCs w:val="22"/>
        </w:rPr>
        <w:t xml:space="preserve">relating to an event </w:t>
      </w:r>
      <w:r w:rsidR="00546B62" w:rsidRPr="008E1408">
        <w:rPr>
          <w:rFonts w:asciiTheme="majorHAnsi" w:hAnsiTheme="majorHAnsi" w:cs="Arial"/>
          <w:color w:val="auto"/>
          <w:sz w:val="22"/>
          <w:szCs w:val="22"/>
        </w:rPr>
        <w:t xml:space="preserve">or arrival of a horse at a veterinary clinic </w:t>
      </w:r>
      <w:r w:rsidRPr="008E1408">
        <w:rPr>
          <w:rFonts w:asciiTheme="majorHAnsi" w:hAnsiTheme="majorHAnsi" w:cs="Arial"/>
          <w:color w:val="auto"/>
          <w:sz w:val="22"/>
          <w:szCs w:val="22"/>
        </w:rPr>
        <w:t xml:space="preserve">must keep the record for a minimum of 6 months.  </w:t>
      </w:r>
    </w:p>
    <w:p w14:paraId="1D44126A" w14:textId="77777777" w:rsidR="008A6084" w:rsidRPr="0080375E" w:rsidRDefault="008A6084" w:rsidP="002849D6">
      <w:pPr>
        <w:pStyle w:val="Bodycopy"/>
        <w:numPr>
          <w:ilvl w:val="0"/>
          <w:numId w:val="30"/>
        </w:numPr>
        <w:ind w:left="567" w:hanging="567"/>
        <w:rPr>
          <w:rFonts w:asciiTheme="majorHAnsi" w:hAnsiTheme="majorHAnsi" w:cs="Arial"/>
          <w:color w:val="auto"/>
          <w:sz w:val="22"/>
          <w:szCs w:val="22"/>
        </w:rPr>
      </w:pPr>
      <w:r w:rsidRPr="0080375E">
        <w:rPr>
          <w:rFonts w:asciiTheme="majorHAnsi" w:hAnsiTheme="majorHAnsi" w:cs="Arial"/>
          <w:color w:val="auto"/>
          <w:sz w:val="22"/>
          <w:szCs w:val="22"/>
        </w:rPr>
        <w:t>Copies of movement records must be retrievable by the person who generated the record upon request to do so by an authorised state/territory biosecurity officer within a reasonable timeframe per the requirements of the request.</w:t>
      </w:r>
    </w:p>
    <w:p w14:paraId="4F952A0F" w14:textId="77777777" w:rsidR="003D441A" w:rsidRDefault="008A6084" w:rsidP="3B8424AC">
      <w:pPr>
        <w:pStyle w:val="Note"/>
        <w:rPr>
          <w:rFonts w:asciiTheme="majorHAnsi" w:eastAsiaTheme="minorHAnsi" w:hAnsiTheme="majorHAnsi" w:cs="Arial"/>
          <w:sz w:val="22"/>
          <w:szCs w:val="22"/>
          <w:lang w:val="en-AU" w:eastAsia="en-US"/>
        </w:rPr>
      </w:pPr>
      <w:r>
        <w:tab/>
      </w:r>
      <w:r>
        <w:br/>
      </w:r>
      <w:r w:rsidR="00A071A6" w:rsidRPr="00A071A6">
        <w:rPr>
          <w:rFonts w:asciiTheme="majorHAnsi" w:eastAsiaTheme="minorHAnsi" w:hAnsiTheme="majorHAnsi" w:cs="Arial"/>
          <w:sz w:val="22"/>
          <w:szCs w:val="22"/>
          <w:lang w:val="en-AU" w:eastAsia="en-US"/>
        </w:rPr>
        <w:t xml:space="preserve">Note: </w:t>
      </w:r>
    </w:p>
    <w:p w14:paraId="57832D18" w14:textId="2F9BA1A1" w:rsidR="008A6084" w:rsidRPr="00A071A6" w:rsidRDefault="00A071A6" w:rsidP="3B8424AC">
      <w:pPr>
        <w:pStyle w:val="Note"/>
        <w:rPr>
          <w:rFonts w:asciiTheme="majorHAnsi" w:hAnsiTheme="majorHAnsi" w:cs="Arial"/>
          <w:sz w:val="22"/>
          <w:szCs w:val="22"/>
        </w:rPr>
      </w:pPr>
      <w:r w:rsidRPr="00A071A6">
        <w:rPr>
          <w:rFonts w:asciiTheme="majorHAnsi" w:hAnsiTheme="majorHAnsi" w:cs="Arial"/>
          <w:sz w:val="22"/>
          <w:szCs w:val="22"/>
        </w:rPr>
        <w:t xml:space="preserve">Reasonable timeframe is based on the necessity of the information being requested i.e., in an Emergency Animal Disease response, the information must be supplied </w:t>
      </w:r>
      <w:r w:rsidR="00F7404C">
        <w:rPr>
          <w:rFonts w:asciiTheme="majorHAnsi" w:hAnsiTheme="majorHAnsi" w:cs="Arial"/>
          <w:sz w:val="22"/>
          <w:szCs w:val="22"/>
        </w:rPr>
        <w:t>without delay</w:t>
      </w:r>
      <w:r w:rsidRPr="00A071A6">
        <w:rPr>
          <w:rFonts w:asciiTheme="majorHAnsi" w:hAnsiTheme="majorHAnsi" w:cs="Arial"/>
          <w:sz w:val="22"/>
          <w:szCs w:val="22"/>
        </w:rPr>
        <w:t>.</w:t>
      </w:r>
    </w:p>
    <w:p w14:paraId="5E65E196" w14:textId="77777777" w:rsidR="008A6084" w:rsidRPr="0080375E" w:rsidRDefault="008A6084" w:rsidP="008A6084">
      <w:pPr>
        <w:pStyle w:val="Note"/>
        <w:rPr>
          <w:rFonts w:asciiTheme="majorHAnsi" w:hAnsiTheme="majorHAnsi" w:cs="Arial"/>
          <w:sz w:val="22"/>
          <w:szCs w:val="22"/>
        </w:rPr>
      </w:pPr>
      <w:r w:rsidRPr="0080375E">
        <w:rPr>
          <w:rFonts w:asciiTheme="majorHAnsi" w:hAnsiTheme="majorHAnsi" w:cs="Arial"/>
          <w:sz w:val="22"/>
          <w:szCs w:val="22"/>
        </w:rPr>
        <w:t>Event records may be created and stored electronically or on an accessible movement database service.</w:t>
      </w:r>
      <w:r w:rsidRPr="0080375E">
        <w:rPr>
          <w:rFonts w:asciiTheme="majorHAnsi" w:hAnsiTheme="majorHAnsi" w:cs="Arial"/>
        </w:rPr>
        <w:br w:type="page"/>
      </w:r>
    </w:p>
    <w:p w14:paraId="1E6053D5" w14:textId="77777777" w:rsidR="00940C13" w:rsidRPr="0080375E" w:rsidRDefault="008A6084" w:rsidP="00940C13">
      <w:pPr>
        <w:pStyle w:val="Heading1"/>
        <w:rPr>
          <w:rFonts w:asciiTheme="majorHAnsi" w:eastAsia="Times New Roman" w:hAnsiTheme="majorHAnsi" w:cs="Arial"/>
          <w:b w:val="0"/>
          <w:color w:val="auto"/>
          <w:spacing w:val="-15"/>
          <w:sz w:val="22"/>
          <w:szCs w:val="22"/>
        </w:rPr>
      </w:pPr>
      <w:r w:rsidRPr="0080375E">
        <w:rPr>
          <w:rFonts w:asciiTheme="majorHAnsi" w:hAnsiTheme="majorHAnsi" w:cs="Arial"/>
          <w:sz w:val="22"/>
          <w:szCs w:val="22"/>
        </w:rPr>
        <w:lastRenderedPageBreak/>
        <w:t>Part 6: Databases and registers</w:t>
      </w:r>
    </w:p>
    <w:p w14:paraId="6A988F01" w14:textId="12428E78" w:rsidR="008A6084" w:rsidRPr="0080375E" w:rsidRDefault="008A6084" w:rsidP="00940C13">
      <w:pPr>
        <w:pStyle w:val="Heading1"/>
        <w:rPr>
          <w:rFonts w:asciiTheme="majorHAnsi" w:hAnsiTheme="majorHAnsi" w:cs="Arial"/>
          <w:sz w:val="22"/>
          <w:szCs w:val="22"/>
        </w:rPr>
      </w:pPr>
      <w:r w:rsidRPr="0080375E">
        <w:rPr>
          <w:rFonts w:asciiTheme="majorHAnsi" w:hAnsiTheme="majorHAnsi" w:cs="Arial"/>
          <w:sz w:val="22"/>
          <w:szCs w:val="22"/>
        </w:rPr>
        <w:t>Scope</w:t>
      </w:r>
    </w:p>
    <w:p w14:paraId="79B30901" w14:textId="77777777" w:rsidR="008A6084" w:rsidRPr="0080375E" w:rsidRDefault="008A6084" w:rsidP="008A6084">
      <w:pPr>
        <w:pStyle w:val="beforebullets"/>
        <w:rPr>
          <w:rFonts w:asciiTheme="majorHAnsi" w:hAnsiTheme="majorHAnsi" w:cs="Arial"/>
          <w:color w:val="auto"/>
          <w:sz w:val="22"/>
          <w:szCs w:val="22"/>
        </w:rPr>
      </w:pPr>
      <w:r w:rsidRPr="0080375E">
        <w:rPr>
          <w:rFonts w:asciiTheme="majorHAnsi" w:hAnsiTheme="majorHAnsi" w:cs="Arial"/>
          <w:color w:val="auto"/>
          <w:sz w:val="22"/>
          <w:szCs w:val="22"/>
        </w:rPr>
        <w:t xml:space="preserve">This Part of these </w:t>
      </w:r>
      <w:r w:rsidRPr="0080375E">
        <w:rPr>
          <w:rFonts w:asciiTheme="majorHAnsi" w:hAnsiTheme="majorHAnsi" w:cs="Arial"/>
          <w:sz w:val="22"/>
          <w:szCs w:val="22"/>
        </w:rPr>
        <w:t>business rules</w:t>
      </w:r>
      <w:r w:rsidRPr="0080375E">
        <w:rPr>
          <w:rFonts w:asciiTheme="majorHAnsi" w:hAnsiTheme="majorHAnsi" w:cs="Arial"/>
        </w:rPr>
        <w:t xml:space="preserve"> </w:t>
      </w:r>
      <w:r w:rsidRPr="0080375E">
        <w:rPr>
          <w:rFonts w:asciiTheme="majorHAnsi" w:hAnsiTheme="majorHAnsi" w:cs="Arial"/>
          <w:color w:val="auto"/>
          <w:sz w:val="22"/>
          <w:szCs w:val="22"/>
        </w:rPr>
        <w:t>applies to:</w:t>
      </w:r>
    </w:p>
    <w:p w14:paraId="4692DB95" w14:textId="77777777" w:rsidR="009D4A41" w:rsidRPr="0080375E" w:rsidRDefault="008A6084" w:rsidP="009D4A41">
      <w:pPr>
        <w:pStyle w:val="Bulletlast1"/>
        <w:rPr>
          <w:rFonts w:asciiTheme="majorHAnsi" w:hAnsiTheme="majorHAnsi"/>
          <w:color w:val="auto"/>
          <w:sz w:val="22"/>
          <w:szCs w:val="22"/>
        </w:rPr>
      </w:pPr>
      <w:r w:rsidRPr="0080375E">
        <w:rPr>
          <w:rFonts w:asciiTheme="majorHAnsi" w:hAnsiTheme="majorHAnsi"/>
          <w:color w:val="auto"/>
          <w:sz w:val="22"/>
          <w:szCs w:val="22"/>
        </w:rPr>
        <w:t>•</w:t>
      </w:r>
      <w:r w:rsidRPr="0080375E">
        <w:rPr>
          <w:rFonts w:asciiTheme="majorHAnsi" w:hAnsiTheme="majorHAnsi"/>
          <w:color w:val="auto"/>
          <w:sz w:val="22"/>
          <w:szCs w:val="22"/>
        </w:rPr>
        <w:tab/>
        <w:t xml:space="preserve">the operators of databases and registers used for microchip registration and/or the creation and storage of movement records. </w:t>
      </w:r>
    </w:p>
    <w:p w14:paraId="52B942F6" w14:textId="5F86846B" w:rsidR="008A6084" w:rsidRPr="0080375E" w:rsidRDefault="008A6084" w:rsidP="009D4A41">
      <w:pPr>
        <w:pStyle w:val="Bulletlast1"/>
        <w:rPr>
          <w:rFonts w:asciiTheme="majorHAnsi" w:hAnsiTheme="majorHAnsi"/>
          <w:b/>
          <w:bCs/>
          <w:color w:val="auto"/>
          <w:sz w:val="22"/>
          <w:szCs w:val="22"/>
        </w:rPr>
      </w:pPr>
      <w:r w:rsidRPr="0080375E">
        <w:rPr>
          <w:rFonts w:asciiTheme="majorHAnsi" w:hAnsiTheme="majorHAnsi"/>
          <w:b/>
          <w:bCs/>
          <w:sz w:val="22"/>
          <w:szCs w:val="22"/>
        </w:rPr>
        <w:t>Objective</w:t>
      </w:r>
    </w:p>
    <w:p w14:paraId="284AA67E" w14:textId="5E9C5A4F" w:rsidR="008A6084" w:rsidRPr="0080375E" w:rsidRDefault="008A6084" w:rsidP="4CC18E8F">
      <w:pPr>
        <w:pStyle w:val="Bodycopy"/>
        <w:rPr>
          <w:rFonts w:asciiTheme="majorHAnsi" w:hAnsiTheme="majorHAnsi" w:cs="Arial"/>
          <w:color w:val="auto"/>
          <w:sz w:val="22"/>
          <w:szCs w:val="22"/>
        </w:rPr>
      </w:pPr>
      <w:r w:rsidRPr="4CC18E8F">
        <w:rPr>
          <w:rFonts w:asciiTheme="majorHAnsi" w:hAnsiTheme="majorHAnsi" w:cs="Arial"/>
          <w:color w:val="auto"/>
          <w:sz w:val="22"/>
          <w:szCs w:val="22"/>
        </w:rPr>
        <w:t xml:space="preserve">To ensure that data held on commercial and horse industry microchip registers and movement databases accommodates biosecurity needs and can be accessed during an </w:t>
      </w:r>
      <w:r w:rsidR="00F7404C">
        <w:rPr>
          <w:rFonts w:asciiTheme="majorHAnsi" w:hAnsiTheme="majorHAnsi" w:cs="Arial"/>
          <w:color w:val="auto"/>
          <w:sz w:val="22"/>
          <w:szCs w:val="22"/>
        </w:rPr>
        <w:t>e</w:t>
      </w:r>
      <w:r w:rsidRPr="4CC18E8F">
        <w:rPr>
          <w:rFonts w:asciiTheme="majorHAnsi" w:hAnsiTheme="majorHAnsi" w:cs="Arial"/>
          <w:color w:val="auto"/>
          <w:sz w:val="22"/>
          <w:szCs w:val="22"/>
        </w:rPr>
        <w:t xml:space="preserve">mergency </w:t>
      </w:r>
      <w:r w:rsidR="00F7404C">
        <w:rPr>
          <w:rFonts w:asciiTheme="majorHAnsi" w:hAnsiTheme="majorHAnsi" w:cs="Arial"/>
          <w:color w:val="auto"/>
          <w:sz w:val="22"/>
          <w:szCs w:val="22"/>
        </w:rPr>
        <w:t>a</w:t>
      </w:r>
      <w:r w:rsidRPr="4CC18E8F">
        <w:rPr>
          <w:rFonts w:asciiTheme="majorHAnsi" w:hAnsiTheme="majorHAnsi" w:cs="Arial"/>
          <w:color w:val="auto"/>
          <w:sz w:val="22"/>
          <w:szCs w:val="22"/>
        </w:rPr>
        <w:t xml:space="preserve">nimal </w:t>
      </w:r>
      <w:r w:rsidR="00F7404C">
        <w:rPr>
          <w:rFonts w:asciiTheme="majorHAnsi" w:hAnsiTheme="majorHAnsi" w:cs="Arial"/>
          <w:color w:val="auto"/>
          <w:sz w:val="22"/>
          <w:szCs w:val="22"/>
        </w:rPr>
        <w:t>d</w:t>
      </w:r>
      <w:r w:rsidRPr="4CC18E8F">
        <w:rPr>
          <w:rFonts w:asciiTheme="majorHAnsi" w:hAnsiTheme="majorHAnsi" w:cs="Arial"/>
          <w:color w:val="auto"/>
          <w:sz w:val="22"/>
          <w:szCs w:val="22"/>
        </w:rPr>
        <w:t>isease</w:t>
      </w:r>
      <w:r w:rsidR="00F7404C">
        <w:rPr>
          <w:rFonts w:asciiTheme="majorHAnsi" w:hAnsiTheme="majorHAnsi" w:cs="Arial"/>
          <w:color w:val="auto"/>
          <w:sz w:val="22"/>
          <w:szCs w:val="22"/>
        </w:rPr>
        <w:t xml:space="preserve"> incident</w:t>
      </w:r>
      <w:r w:rsidRPr="4CC18E8F">
        <w:rPr>
          <w:rFonts w:asciiTheme="majorHAnsi" w:hAnsiTheme="majorHAnsi" w:cs="Arial"/>
          <w:color w:val="auto"/>
          <w:sz w:val="22"/>
          <w:szCs w:val="22"/>
        </w:rPr>
        <w:t xml:space="preserve"> or other biosecurity event by government biosecurity staff</w:t>
      </w:r>
      <w:r w:rsidR="00F7404C">
        <w:rPr>
          <w:rFonts w:asciiTheme="majorHAnsi" w:hAnsiTheme="majorHAnsi" w:cs="Arial"/>
          <w:color w:val="auto"/>
          <w:sz w:val="22"/>
          <w:szCs w:val="22"/>
        </w:rPr>
        <w:t>.</w:t>
      </w:r>
      <w:r w:rsidRPr="4CC18E8F">
        <w:rPr>
          <w:rFonts w:asciiTheme="majorHAnsi" w:hAnsiTheme="majorHAnsi" w:cs="Arial"/>
          <w:color w:val="auto"/>
          <w:sz w:val="22"/>
          <w:szCs w:val="22"/>
        </w:rPr>
        <w:t xml:space="preserve"> </w:t>
      </w:r>
    </w:p>
    <w:p w14:paraId="52E2026B" w14:textId="77777777" w:rsidR="008A6084" w:rsidRPr="0080375E" w:rsidRDefault="008A6084" w:rsidP="008A6084">
      <w:pPr>
        <w:rPr>
          <w:rFonts w:asciiTheme="majorHAnsi" w:hAnsiTheme="majorHAnsi" w:cs="Arial"/>
          <w:color w:val="000000"/>
        </w:rPr>
      </w:pPr>
    </w:p>
    <w:p w14:paraId="4383AA1F" w14:textId="77777777" w:rsidR="008A6084" w:rsidRPr="0080375E" w:rsidRDefault="008A6084" w:rsidP="008A6084">
      <w:pPr>
        <w:rPr>
          <w:rFonts w:asciiTheme="majorHAnsi" w:hAnsiTheme="majorHAnsi" w:cs="Arial"/>
          <w:b/>
          <w:bCs/>
        </w:rPr>
      </w:pPr>
      <w:r w:rsidRPr="0080375E">
        <w:rPr>
          <w:rFonts w:asciiTheme="majorHAnsi" w:hAnsiTheme="majorHAnsi" w:cs="Arial"/>
          <w:b/>
          <w:bCs/>
        </w:rPr>
        <w:t>S6.1 Microchip number uniqueness</w:t>
      </w:r>
    </w:p>
    <w:p w14:paraId="2D224CA4" w14:textId="77777777" w:rsidR="008A6084" w:rsidRPr="00FE1E02" w:rsidRDefault="008A6084" w:rsidP="008A6084">
      <w:pPr>
        <w:rPr>
          <w:rFonts w:asciiTheme="majorHAnsi" w:hAnsiTheme="majorHAnsi" w:cs="Arial"/>
          <w:b/>
          <w:bCs/>
        </w:rPr>
      </w:pPr>
      <w:r w:rsidRPr="00FE1E02">
        <w:rPr>
          <w:rFonts w:asciiTheme="majorHAnsi" w:hAnsiTheme="majorHAnsi" w:cs="Arial"/>
          <w:b/>
          <w:bCs/>
        </w:rPr>
        <w:t>S6.1.1</w:t>
      </w:r>
    </w:p>
    <w:p w14:paraId="17E30034" w14:textId="77777777" w:rsidR="008A6084" w:rsidRPr="0080375E" w:rsidRDefault="008A6084" w:rsidP="002849D6">
      <w:pPr>
        <w:pStyle w:val="Bodycopy"/>
        <w:numPr>
          <w:ilvl w:val="0"/>
          <w:numId w:val="31"/>
        </w:numPr>
        <w:ind w:left="567" w:hanging="567"/>
        <w:rPr>
          <w:rFonts w:asciiTheme="majorHAnsi" w:hAnsiTheme="majorHAnsi" w:cs="Arial"/>
          <w:sz w:val="22"/>
          <w:szCs w:val="22"/>
        </w:rPr>
      </w:pPr>
      <w:r w:rsidRPr="0080375E">
        <w:rPr>
          <w:rFonts w:asciiTheme="majorHAnsi" w:hAnsiTheme="majorHAnsi" w:cs="Arial"/>
          <w:sz w:val="22"/>
          <w:szCs w:val="22"/>
        </w:rPr>
        <w:t>Only microchips that comply with AS5018-2001 and AS5019-2001 are permitted to be used for the identification of horses in Australia.</w:t>
      </w:r>
    </w:p>
    <w:p w14:paraId="7A8B8F72" w14:textId="77777777" w:rsidR="008A6084" w:rsidRPr="0080375E" w:rsidRDefault="008A6084" w:rsidP="002849D6">
      <w:pPr>
        <w:pStyle w:val="ListParagraph"/>
        <w:numPr>
          <w:ilvl w:val="0"/>
          <w:numId w:val="31"/>
        </w:numPr>
        <w:spacing w:after="170"/>
        <w:ind w:left="567" w:hanging="567"/>
        <w:contextualSpacing/>
        <w:rPr>
          <w:rFonts w:asciiTheme="majorHAnsi" w:hAnsiTheme="majorHAnsi" w:cs="Arial"/>
        </w:rPr>
      </w:pPr>
      <w:r w:rsidRPr="0080375E">
        <w:rPr>
          <w:rFonts w:asciiTheme="majorHAnsi" w:hAnsiTheme="majorHAnsi" w:cs="Arial"/>
        </w:rPr>
        <w:t>Microchip registers, including interlinked registers that provide a search function, must ensure that there is no duplication of microchip numbers in relation to the microchips that they register.</w:t>
      </w:r>
    </w:p>
    <w:p w14:paraId="570B1055" w14:textId="77777777" w:rsidR="008A6084" w:rsidRPr="0080375E" w:rsidRDefault="008A6084" w:rsidP="008A6084">
      <w:pPr>
        <w:pStyle w:val="ListParagraph"/>
        <w:ind w:left="567" w:hanging="567"/>
        <w:rPr>
          <w:rFonts w:asciiTheme="majorHAnsi" w:hAnsiTheme="majorHAnsi" w:cs="Arial"/>
        </w:rPr>
      </w:pPr>
    </w:p>
    <w:p w14:paraId="5E7E79E6" w14:textId="77777777" w:rsidR="008A6084" w:rsidRPr="0080375E" w:rsidRDefault="008A6084" w:rsidP="002849D6">
      <w:pPr>
        <w:pStyle w:val="ListParagraph"/>
        <w:numPr>
          <w:ilvl w:val="0"/>
          <w:numId w:val="31"/>
        </w:numPr>
        <w:spacing w:after="170"/>
        <w:ind w:left="567" w:hanging="567"/>
        <w:contextualSpacing/>
        <w:rPr>
          <w:rFonts w:asciiTheme="majorHAnsi" w:hAnsiTheme="majorHAnsi" w:cs="Arial"/>
        </w:rPr>
      </w:pPr>
      <w:r w:rsidRPr="0080375E">
        <w:rPr>
          <w:rFonts w:asciiTheme="majorHAnsi" w:hAnsiTheme="majorHAnsi" w:cs="Arial"/>
        </w:rPr>
        <w:t>If it is discovered that a microchip number or numbers could have been duplicated, the details are to be reported within 5 business days to the relevant state/territory authority for investigation.</w:t>
      </w:r>
    </w:p>
    <w:p w14:paraId="35175169" w14:textId="77777777" w:rsidR="008A6084" w:rsidRPr="0080375E" w:rsidRDefault="008A6084" w:rsidP="008A6084">
      <w:pPr>
        <w:rPr>
          <w:rFonts w:asciiTheme="majorHAnsi" w:hAnsiTheme="majorHAnsi" w:cs="Arial"/>
        </w:rPr>
      </w:pPr>
    </w:p>
    <w:p w14:paraId="5A9AEF5A" w14:textId="77777777" w:rsidR="008A6084" w:rsidRPr="0080375E" w:rsidRDefault="008A6084" w:rsidP="008A6084">
      <w:pPr>
        <w:rPr>
          <w:rFonts w:asciiTheme="majorHAnsi" w:hAnsiTheme="majorHAnsi" w:cs="Arial"/>
          <w:b/>
          <w:bCs/>
        </w:rPr>
      </w:pPr>
      <w:r w:rsidRPr="0080375E">
        <w:rPr>
          <w:rFonts w:asciiTheme="majorHAnsi" w:hAnsiTheme="majorHAnsi" w:cs="Arial"/>
          <w:b/>
          <w:bCs/>
        </w:rPr>
        <w:t>S6.2 Biosecurity data</w:t>
      </w:r>
    </w:p>
    <w:p w14:paraId="04DD311B" w14:textId="77777777" w:rsidR="008A6084" w:rsidRPr="00FE1E02" w:rsidRDefault="008A6084" w:rsidP="008A6084">
      <w:pPr>
        <w:rPr>
          <w:rFonts w:asciiTheme="majorHAnsi" w:hAnsiTheme="majorHAnsi" w:cs="Arial"/>
          <w:b/>
          <w:bCs/>
        </w:rPr>
      </w:pPr>
      <w:r w:rsidRPr="00FE1E02">
        <w:rPr>
          <w:rFonts w:asciiTheme="majorHAnsi" w:hAnsiTheme="majorHAnsi" w:cs="Arial"/>
          <w:b/>
          <w:bCs/>
        </w:rPr>
        <w:t>S6.2.1</w:t>
      </w:r>
    </w:p>
    <w:p w14:paraId="34B19161" w14:textId="1F3A4C71" w:rsidR="008A6084" w:rsidRPr="0080375E" w:rsidRDefault="008A6084" w:rsidP="002849D6">
      <w:pPr>
        <w:pStyle w:val="ListParagraph"/>
        <w:numPr>
          <w:ilvl w:val="0"/>
          <w:numId w:val="32"/>
        </w:numPr>
        <w:spacing w:after="170"/>
        <w:ind w:left="567" w:hanging="567"/>
        <w:contextualSpacing/>
        <w:rPr>
          <w:rFonts w:asciiTheme="majorHAnsi" w:hAnsiTheme="majorHAnsi" w:cs="Arial"/>
        </w:rPr>
      </w:pPr>
      <w:r w:rsidRPr="54CFE729">
        <w:rPr>
          <w:rFonts w:asciiTheme="majorHAnsi" w:hAnsiTheme="majorHAnsi" w:cs="Arial"/>
        </w:rPr>
        <w:t xml:space="preserve">By no later than </w:t>
      </w:r>
      <w:r w:rsidR="00F7404C" w:rsidRPr="00C95467">
        <w:rPr>
          <w:rFonts w:asciiTheme="majorHAnsi" w:hAnsiTheme="majorHAnsi" w:cs="Arial"/>
        </w:rPr>
        <w:t>1 January 2026</w:t>
      </w:r>
      <w:r w:rsidRPr="00C95467">
        <w:rPr>
          <w:rFonts w:asciiTheme="majorHAnsi" w:hAnsiTheme="majorHAnsi" w:cs="Arial"/>
          <w:i/>
          <w:iCs/>
        </w:rPr>
        <w:t xml:space="preserve"> </w:t>
      </w:r>
      <w:r w:rsidRPr="00C95467">
        <w:rPr>
          <w:rFonts w:asciiTheme="majorHAnsi" w:hAnsiTheme="majorHAnsi" w:cs="Arial"/>
        </w:rPr>
        <w:t>microchip</w:t>
      </w:r>
      <w:r w:rsidRPr="54CFE729">
        <w:rPr>
          <w:rFonts w:asciiTheme="majorHAnsi" w:hAnsiTheme="majorHAnsi" w:cs="Arial"/>
        </w:rPr>
        <w:t xml:space="preserve"> registers must be able to record against each microchipped horse the PIC on which the horse was implanted, the current PIC of residence of a horse if the horse has moved, the horse’s carer and their contact email address and phone number, and a horse’s description for example using a signalment key system. </w:t>
      </w:r>
    </w:p>
    <w:p w14:paraId="1B231566" w14:textId="5907024A" w:rsidR="008A6084" w:rsidRPr="0080375E" w:rsidRDefault="003D441A" w:rsidP="008A6084">
      <w:pPr>
        <w:rPr>
          <w:rFonts w:asciiTheme="majorHAnsi" w:hAnsiTheme="majorHAnsi" w:cs="Arial"/>
          <w:b/>
          <w:bCs/>
        </w:rPr>
      </w:pPr>
      <w:r>
        <w:rPr>
          <w:rFonts w:asciiTheme="majorHAnsi" w:hAnsiTheme="majorHAnsi" w:cs="Arial"/>
          <w:b/>
          <w:bCs/>
        </w:rPr>
        <w:t>Note:</w:t>
      </w:r>
    </w:p>
    <w:p w14:paraId="2BF8B7C2" w14:textId="77777777" w:rsidR="008A6084" w:rsidRPr="0080375E" w:rsidRDefault="008A6084" w:rsidP="008A6084">
      <w:pPr>
        <w:rPr>
          <w:rFonts w:asciiTheme="majorHAnsi" w:hAnsiTheme="majorHAnsi" w:cs="Arial"/>
          <w:b/>
          <w:bCs/>
        </w:rPr>
      </w:pPr>
      <w:r w:rsidRPr="0080375E">
        <w:rPr>
          <w:rFonts w:asciiTheme="majorHAnsi" w:hAnsiTheme="majorHAnsi" w:cs="Arial"/>
          <w:b/>
          <w:bCs/>
        </w:rPr>
        <w:t xml:space="preserve">Implanters, and owners and carers of microchipped horsed are encouraged as part of the NHTS to submit PIC of residence details and a horse’s description when they register a horse, or notify a register of the movement of a horse or its death or export.  Registers are strongly encouraged to create fields for the recording of this information. </w:t>
      </w:r>
    </w:p>
    <w:p w14:paraId="7FAE4ECF" w14:textId="77777777" w:rsidR="008A6084" w:rsidRPr="0080375E" w:rsidRDefault="008A6084" w:rsidP="008A6084">
      <w:pPr>
        <w:rPr>
          <w:rFonts w:asciiTheme="majorHAnsi" w:hAnsiTheme="majorHAnsi" w:cs="Arial"/>
        </w:rPr>
      </w:pPr>
    </w:p>
    <w:p w14:paraId="5D126A63" w14:textId="7071CEB5" w:rsidR="008A6084" w:rsidRPr="00FD7ACC" w:rsidRDefault="003D441A" w:rsidP="00FD7ACC">
      <w:pPr>
        <w:spacing w:after="170"/>
        <w:contextualSpacing/>
        <w:rPr>
          <w:rFonts w:asciiTheme="majorHAnsi" w:hAnsiTheme="majorHAnsi" w:cs="Arial"/>
        </w:rPr>
      </w:pPr>
      <w:r>
        <w:rPr>
          <w:rFonts w:asciiTheme="majorHAnsi" w:hAnsiTheme="majorHAnsi" w:cs="Arial"/>
        </w:rPr>
        <w:t>b)</w:t>
      </w:r>
      <w:r>
        <w:rPr>
          <w:rFonts w:asciiTheme="majorHAnsi" w:hAnsiTheme="majorHAnsi" w:cs="Arial"/>
        </w:rPr>
        <w:tab/>
      </w:r>
      <w:r w:rsidR="41ABEF21" w:rsidRPr="00FD7ACC">
        <w:rPr>
          <w:rFonts w:asciiTheme="majorHAnsi" w:hAnsiTheme="majorHAnsi" w:cs="Arial"/>
        </w:rPr>
        <w:t>When an industry participant provides a PIC, the register must undertake an algorithm check to confirm the validity of the PIC.  If the industry participant is unable to provide a valid PIC, the register may record the invalid PIC.</w:t>
      </w:r>
    </w:p>
    <w:p w14:paraId="2688364D" w14:textId="7CEFAD91" w:rsidR="008A6084" w:rsidRPr="0080375E" w:rsidRDefault="003D441A" w:rsidP="008A6084">
      <w:pPr>
        <w:rPr>
          <w:rFonts w:asciiTheme="majorHAnsi" w:hAnsiTheme="majorHAnsi" w:cs="Arial"/>
          <w:b/>
          <w:bCs/>
        </w:rPr>
      </w:pPr>
      <w:r>
        <w:rPr>
          <w:rFonts w:asciiTheme="majorHAnsi" w:hAnsiTheme="majorHAnsi" w:cs="Arial"/>
          <w:b/>
          <w:bCs/>
        </w:rPr>
        <w:t>Note:</w:t>
      </w:r>
    </w:p>
    <w:p w14:paraId="5297F5BF" w14:textId="77777777" w:rsidR="008A6084" w:rsidRPr="0080375E" w:rsidRDefault="008A6084" w:rsidP="008A6084">
      <w:pPr>
        <w:rPr>
          <w:rFonts w:asciiTheme="majorHAnsi" w:hAnsiTheme="majorHAnsi" w:cs="Arial"/>
        </w:rPr>
      </w:pPr>
      <w:r w:rsidRPr="0080375E">
        <w:rPr>
          <w:rFonts w:asciiTheme="majorHAnsi" w:hAnsiTheme="majorHAnsi" w:cs="Arial"/>
          <w:b/>
          <w:bCs/>
        </w:rPr>
        <w:lastRenderedPageBreak/>
        <w:t>It may be possible during an emergency for state/territory biosecurity staff to determine from an invalid PIC number the correct PIC for the property.</w:t>
      </w:r>
    </w:p>
    <w:p w14:paraId="2ABB8F0F" w14:textId="77777777" w:rsidR="008A6084" w:rsidRPr="0080375E" w:rsidRDefault="008A6084" w:rsidP="008A6084">
      <w:pPr>
        <w:rPr>
          <w:rFonts w:asciiTheme="majorHAnsi" w:hAnsiTheme="majorHAnsi" w:cs="Arial"/>
        </w:rPr>
      </w:pPr>
    </w:p>
    <w:p w14:paraId="786BF0C9" w14:textId="6CEEE186" w:rsidR="008A6084" w:rsidRDefault="003D441A" w:rsidP="00FD7ACC">
      <w:pPr>
        <w:spacing w:after="170"/>
        <w:contextualSpacing/>
        <w:rPr>
          <w:rFonts w:asciiTheme="majorHAnsi" w:hAnsiTheme="majorHAnsi" w:cs="Arial"/>
        </w:rPr>
      </w:pPr>
      <w:r>
        <w:rPr>
          <w:rFonts w:asciiTheme="majorHAnsi" w:hAnsiTheme="majorHAnsi" w:cs="Arial"/>
        </w:rPr>
        <w:t>c)</w:t>
      </w:r>
      <w:r>
        <w:rPr>
          <w:rFonts w:asciiTheme="majorHAnsi" w:hAnsiTheme="majorHAnsi" w:cs="Arial"/>
        </w:rPr>
        <w:tab/>
      </w:r>
      <w:r w:rsidR="41ABEF21" w:rsidRPr="00FD7ACC">
        <w:rPr>
          <w:rFonts w:asciiTheme="majorHAnsi" w:hAnsiTheme="majorHAnsi" w:cs="Arial"/>
        </w:rPr>
        <w:t>Registries must allow authorized parties to efficiently and in a secure manner change information held on the register including owner’s name, address, contact number, PIC of residence details, name of carer and their contact details, gender changes for example when a colt is gelded, and that a horse has died or been exported.</w:t>
      </w:r>
    </w:p>
    <w:p w14:paraId="2B3FF8FF" w14:textId="77777777" w:rsidR="00284FD2" w:rsidRDefault="00284FD2" w:rsidP="00FD7ACC">
      <w:pPr>
        <w:spacing w:after="170"/>
        <w:contextualSpacing/>
        <w:rPr>
          <w:rFonts w:asciiTheme="majorHAnsi" w:hAnsiTheme="majorHAnsi" w:cs="Arial"/>
        </w:rPr>
      </w:pPr>
    </w:p>
    <w:p w14:paraId="4F7FDBC8" w14:textId="77777777" w:rsidR="00C95467" w:rsidRDefault="00284FD2" w:rsidP="00FD7ACC">
      <w:pPr>
        <w:spacing w:after="170"/>
        <w:contextualSpacing/>
        <w:rPr>
          <w:rFonts w:asciiTheme="majorHAnsi" w:hAnsiTheme="majorHAnsi" w:cs="Arial"/>
          <w:b/>
          <w:bCs/>
        </w:rPr>
      </w:pPr>
      <w:r w:rsidRPr="00C95467">
        <w:rPr>
          <w:rFonts w:asciiTheme="majorHAnsi" w:hAnsiTheme="majorHAnsi" w:cs="Arial"/>
          <w:b/>
          <w:bCs/>
        </w:rPr>
        <w:t xml:space="preserve">Note: </w:t>
      </w:r>
    </w:p>
    <w:p w14:paraId="0D10F29A" w14:textId="77777777" w:rsidR="00C95467" w:rsidRDefault="00C95467" w:rsidP="00FD7ACC">
      <w:pPr>
        <w:spacing w:after="170"/>
        <w:contextualSpacing/>
        <w:rPr>
          <w:rFonts w:asciiTheme="majorHAnsi" w:hAnsiTheme="majorHAnsi" w:cs="Arial"/>
          <w:b/>
          <w:bCs/>
        </w:rPr>
      </w:pPr>
    </w:p>
    <w:p w14:paraId="445E0C07" w14:textId="771F7679" w:rsidR="00284FD2" w:rsidRPr="00C95467" w:rsidRDefault="00284FD2" w:rsidP="00FD7ACC">
      <w:pPr>
        <w:spacing w:after="170"/>
        <w:contextualSpacing/>
        <w:rPr>
          <w:rFonts w:asciiTheme="majorHAnsi" w:hAnsiTheme="majorHAnsi" w:cs="Arial"/>
        </w:rPr>
      </w:pPr>
      <w:r w:rsidRPr="00C95467">
        <w:rPr>
          <w:rFonts w:asciiTheme="majorHAnsi" w:hAnsiTheme="majorHAnsi" w:cs="Arial"/>
        </w:rPr>
        <w:t>The Thoroughbred industry will only allow access to its administrative and breeding databases to parties governed by the Rules of Racing.</w:t>
      </w:r>
    </w:p>
    <w:p w14:paraId="60015404" w14:textId="77777777" w:rsidR="008A6084" w:rsidRPr="0080375E" w:rsidRDefault="008A6084" w:rsidP="008A6084">
      <w:pPr>
        <w:pStyle w:val="ListParagraph"/>
        <w:rPr>
          <w:rFonts w:asciiTheme="majorHAnsi" w:hAnsiTheme="majorHAnsi" w:cs="Arial"/>
        </w:rPr>
      </w:pPr>
    </w:p>
    <w:p w14:paraId="2E01072E" w14:textId="640B00EB" w:rsidR="008A6084" w:rsidRPr="0080375E" w:rsidRDefault="003D441A" w:rsidP="00FD7ACC">
      <w:pPr>
        <w:pStyle w:val="Bodycopy"/>
        <w:rPr>
          <w:rFonts w:asciiTheme="majorHAnsi" w:hAnsiTheme="majorHAnsi" w:cs="Arial"/>
          <w:color w:val="auto"/>
          <w:sz w:val="22"/>
          <w:szCs w:val="22"/>
        </w:rPr>
      </w:pPr>
      <w:r>
        <w:rPr>
          <w:rFonts w:asciiTheme="majorHAnsi" w:hAnsiTheme="majorHAnsi" w:cs="Arial"/>
          <w:sz w:val="22"/>
          <w:szCs w:val="22"/>
        </w:rPr>
        <w:t>d)</w:t>
      </w:r>
      <w:r>
        <w:rPr>
          <w:rFonts w:asciiTheme="majorHAnsi" w:hAnsiTheme="majorHAnsi" w:cs="Arial"/>
          <w:sz w:val="22"/>
          <w:szCs w:val="22"/>
        </w:rPr>
        <w:tab/>
      </w:r>
      <w:r w:rsidR="41ABEF21" w:rsidRPr="00FD7ACC">
        <w:rPr>
          <w:rFonts w:asciiTheme="majorHAnsi" w:hAnsiTheme="majorHAnsi" w:cs="Arial"/>
          <w:sz w:val="22"/>
          <w:szCs w:val="22"/>
        </w:rPr>
        <w:t xml:space="preserve">By no later </w:t>
      </w:r>
      <w:r w:rsidR="41ABEF21" w:rsidRPr="00C95467">
        <w:rPr>
          <w:rFonts w:asciiTheme="majorHAnsi" w:hAnsiTheme="majorHAnsi" w:cs="Arial"/>
          <w:sz w:val="22"/>
          <w:szCs w:val="22"/>
        </w:rPr>
        <w:t xml:space="preserve">than </w:t>
      </w:r>
      <w:r w:rsidR="00F7404C" w:rsidRPr="00C95467">
        <w:rPr>
          <w:rFonts w:asciiTheme="majorHAnsi" w:hAnsiTheme="majorHAnsi" w:cs="Arial"/>
          <w:sz w:val="22"/>
          <w:szCs w:val="22"/>
        </w:rPr>
        <w:t>1 January 2026</w:t>
      </w:r>
      <w:r w:rsidR="41ABEF21" w:rsidRPr="00C95467">
        <w:rPr>
          <w:rFonts w:asciiTheme="majorHAnsi" w:hAnsiTheme="majorHAnsi" w:cs="Arial"/>
          <w:sz w:val="22"/>
          <w:szCs w:val="22"/>
        </w:rPr>
        <w:t>,</w:t>
      </w:r>
      <w:r w:rsidR="41ABEF21" w:rsidRPr="55E80DF9">
        <w:rPr>
          <w:rFonts w:asciiTheme="majorHAnsi" w:hAnsiTheme="majorHAnsi" w:cs="Arial"/>
          <w:sz w:val="22"/>
          <w:szCs w:val="22"/>
        </w:rPr>
        <w:t xml:space="preserve"> </w:t>
      </w:r>
      <w:r w:rsidR="41ABEF21" w:rsidRPr="55E80DF9">
        <w:rPr>
          <w:rFonts w:asciiTheme="majorHAnsi" w:hAnsiTheme="majorHAnsi" w:cs="Arial"/>
          <w:color w:val="auto"/>
          <w:sz w:val="22"/>
          <w:szCs w:val="22"/>
        </w:rPr>
        <w:t>commercial and horse industry microchip registers and movement databases must have adopted business rules that allow authorised government biosecurity staff to access data for the sole purpose of assisting with the containment of biosecurity incidents.</w:t>
      </w:r>
    </w:p>
    <w:p w14:paraId="6ED8AE40" w14:textId="77777777" w:rsidR="00D54F1C" w:rsidRDefault="00D54F1C" w:rsidP="00D54F1C">
      <w:pPr>
        <w:rPr>
          <w:rFonts w:asciiTheme="majorHAnsi" w:hAnsiTheme="majorHAnsi" w:cs="Arial"/>
          <w:b/>
          <w:bCs/>
          <w:color w:val="000000"/>
        </w:rPr>
      </w:pPr>
      <w:r>
        <w:rPr>
          <w:rFonts w:asciiTheme="majorHAnsi" w:hAnsiTheme="majorHAnsi" w:cs="Arial"/>
          <w:b/>
          <w:bCs/>
          <w:color w:val="000000"/>
        </w:rPr>
        <w:t>Note:</w:t>
      </w:r>
    </w:p>
    <w:p w14:paraId="46F98E66" w14:textId="7F6DCD26" w:rsidR="00D54F1C" w:rsidRPr="00D54F1C" w:rsidRDefault="00D54F1C" w:rsidP="008A6084">
      <w:pPr>
        <w:rPr>
          <w:rFonts w:asciiTheme="majorHAnsi" w:hAnsiTheme="majorHAnsi" w:cs="Arial"/>
        </w:rPr>
      </w:pPr>
      <w:r>
        <w:rPr>
          <w:rFonts w:asciiTheme="majorHAnsi" w:hAnsiTheme="majorHAnsi" w:cs="Arial"/>
        </w:rPr>
        <w:t>Re</w:t>
      </w:r>
      <w:r w:rsidRPr="54CFE729">
        <w:rPr>
          <w:rFonts w:asciiTheme="majorHAnsi" w:hAnsiTheme="majorHAnsi" w:cs="Arial"/>
        </w:rPr>
        <w:t xml:space="preserve">gisters that provide commercial microchip registration services or provide a registry service for one or more sectors of the horse industry </w:t>
      </w:r>
      <w:r>
        <w:rPr>
          <w:rFonts w:asciiTheme="majorHAnsi" w:hAnsiTheme="majorHAnsi" w:cs="Arial"/>
        </w:rPr>
        <w:t>are encouraged to participate in the Petaddress microchip look-up service or offer an equivalent service that enables interested parties to identify the register on which information about a microchipped horse can be found</w:t>
      </w:r>
      <w:r w:rsidRPr="54CFE729">
        <w:rPr>
          <w:rFonts w:asciiTheme="majorHAnsi" w:hAnsiTheme="majorHAnsi" w:cs="Arial"/>
        </w:rPr>
        <w:t xml:space="preserve">. </w:t>
      </w:r>
    </w:p>
    <w:p w14:paraId="2CCEAB5E" w14:textId="67AF310C" w:rsidR="008A6084" w:rsidRPr="0080375E" w:rsidRDefault="008A6084" w:rsidP="008A6084">
      <w:pPr>
        <w:rPr>
          <w:rFonts w:asciiTheme="majorHAnsi" w:hAnsiTheme="majorHAnsi" w:cs="Arial"/>
          <w:b/>
          <w:bCs/>
        </w:rPr>
      </w:pPr>
      <w:r w:rsidRPr="0080375E">
        <w:rPr>
          <w:rFonts w:asciiTheme="majorHAnsi" w:hAnsiTheme="majorHAnsi" w:cs="Arial"/>
          <w:b/>
          <w:bCs/>
        </w:rPr>
        <w:t xml:space="preserve">S6.4 Movement information </w:t>
      </w:r>
    </w:p>
    <w:p w14:paraId="0F90F969" w14:textId="77777777" w:rsidR="008A6084" w:rsidRPr="00FE1E02" w:rsidRDefault="008A6084" w:rsidP="008A6084">
      <w:pPr>
        <w:rPr>
          <w:rFonts w:asciiTheme="majorHAnsi" w:hAnsiTheme="majorHAnsi" w:cs="Arial"/>
          <w:b/>
          <w:bCs/>
        </w:rPr>
      </w:pPr>
      <w:r w:rsidRPr="00FE1E02">
        <w:rPr>
          <w:rFonts w:asciiTheme="majorHAnsi" w:hAnsiTheme="majorHAnsi" w:cs="Arial"/>
          <w:b/>
          <w:bCs/>
        </w:rPr>
        <w:t>S6.4.1</w:t>
      </w:r>
    </w:p>
    <w:p w14:paraId="47BCF6D4" w14:textId="37824ACC" w:rsidR="008A6084" w:rsidRPr="0080375E" w:rsidRDefault="008A6084" w:rsidP="008A6084">
      <w:pPr>
        <w:rPr>
          <w:rFonts w:asciiTheme="majorHAnsi" w:hAnsiTheme="majorHAnsi" w:cs="Arial"/>
        </w:rPr>
      </w:pPr>
      <w:r w:rsidRPr="00CC7F09">
        <w:rPr>
          <w:rFonts w:asciiTheme="majorHAnsi" w:hAnsiTheme="majorHAnsi" w:cs="Arial"/>
        </w:rPr>
        <w:t xml:space="preserve">By no later </w:t>
      </w:r>
      <w:r w:rsidRPr="00C95467">
        <w:rPr>
          <w:rFonts w:asciiTheme="majorHAnsi" w:hAnsiTheme="majorHAnsi" w:cs="Arial"/>
        </w:rPr>
        <w:t xml:space="preserve">than </w:t>
      </w:r>
      <w:r w:rsidR="00F7404C" w:rsidRPr="00C95467">
        <w:rPr>
          <w:rFonts w:asciiTheme="majorHAnsi" w:hAnsiTheme="majorHAnsi" w:cs="Arial"/>
        </w:rPr>
        <w:t>1 January 2026</w:t>
      </w:r>
      <w:r w:rsidRPr="00C95467">
        <w:rPr>
          <w:rFonts w:asciiTheme="majorHAnsi" w:hAnsiTheme="majorHAnsi" w:cs="Arial"/>
          <w:i/>
          <w:iCs/>
        </w:rPr>
        <w:t>,</w:t>
      </w:r>
      <w:r w:rsidRPr="00C95467">
        <w:rPr>
          <w:rFonts w:asciiTheme="majorHAnsi" w:hAnsiTheme="majorHAnsi" w:cs="Arial"/>
        </w:rPr>
        <w:t xml:space="preserve"> all</w:t>
      </w:r>
      <w:r w:rsidRPr="0080375E">
        <w:rPr>
          <w:rFonts w:asciiTheme="majorHAnsi" w:hAnsiTheme="majorHAnsi" w:cs="Arial"/>
        </w:rPr>
        <w:t xml:space="preserve"> registers that provide movement recording services for horse related events must provide the functionality to record:</w:t>
      </w:r>
    </w:p>
    <w:p w14:paraId="3755FA02" w14:textId="77777777" w:rsidR="008A6084" w:rsidRPr="0080375E" w:rsidRDefault="008A6084" w:rsidP="002849D6">
      <w:pPr>
        <w:pStyle w:val="bodywithletters"/>
        <w:numPr>
          <w:ilvl w:val="0"/>
          <w:numId w:val="33"/>
        </w:numPr>
        <w:spacing w:after="170"/>
        <w:rPr>
          <w:rFonts w:asciiTheme="majorHAnsi" w:hAnsiTheme="majorHAnsi"/>
          <w:color w:val="auto"/>
          <w:sz w:val="22"/>
          <w:szCs w:val="22"/>
        </w:rPr>
      </w:pPr>
      <w:r w:rsidRPr="0080375E">
        <w:rPr>
          <w:rFonts w:asciiTheme="majorHAnsi" w:hAnsiTheme="majorHAnsi"/>
          <w:color w:val="auto"/>
          <w:sz w:val="22"/>
          <w:szCs w:val="22"/>
        </w:rPr>
        <w:t>the PIC and address of a property where the event is held</w:t>
      </w:r>
    </w:p>
    <w:p w14:paraId="7864F424" w14:textId="77777777" w:rsidR="008A6084" w:rsidRPr="0080375E" w:rsidRDefault="008A6084" w:rsidP="002849D6">
      <w:pPr>
        <w:pStyle w:val="bodywithletters"/>
        <w:numPr>
          <w:ilvl w:val="0"/>
          <w:numId w:val="33"/>
        </w:numPr>
        <w:spacing w:after="170"/>
        <w:rPr>
          <w:rFonts w:asciiTheme="majorHAnsi" w:hAnsiTheme="majorHAnsi"/>
          <w:color w:val="auto"/>
          <w:sz w:val="22"/>
          <w:szCs w:val="22"/>
        </w:rPr>
      </w:pPr>
      <w:r w:rsidRPr="0080375E">
        <w:rPr>
          <w:rFonts w:asciiTheme="majorHAnsi" w:hAnsiTheme="majorHAnsi"/>
          <w:color w:val="auto"/>
          <w:sz w:val="22"/>
          <w:szCs w:val="22"/>
        </w:rPr>
        <w:t xml:space="preserve">the date of the movement or event </w:t>
      </w:r>
    </w:p>
    <w:p w14:paraId="53F70BFA" w14:textId="77777777" w:rsidR="008A6084" w:rsidRPr="0080375E" w:rsidRDefault="008A6084" w:rsidP="002849D6">
      <w:pPr>
        <w:pStyle w:val="bodywithletters"/>
        <w:numPr>
          <w:ilvl w:val="0"/>
          <w:numId w:val="33"/>
        </w:numPr>
        <w:spacing w:after="170"/>
        <w:rPr>
          <w:rFonts w:asciiTheme="majorHAnsi" w:hAnsiTheme="majorHAnsi"/>
          <w:color w:val="auto"/>
          <w:sz w:val="22"/>
          <w:szCs w:val="22"/>
        </w:rPr>
      </w:pPr>
      <w:r w:rsidRPr="0080375E">
        <w:rPr>
          <w:rFonts w:asciiTheme="majorHAnsi" w:hAnsiTheme="majorHAnsi"/>
          <w:color w:val="auto"/>
          <w:sz w:val="22"/>
          <w:szCs w:val="22"/>
        </w:rPr>
        <w:t xml:space="preserve">the PIC or address of the </w:t>
      </w:r>
      <w:r w:rsidRPr="0080375E">
        <w:rPr>
          <w:rFonts w:asciiTheme="majorHAnsi" w:hAnsiTheme="majorHAnsi"/>
          <w:iCs/>
          <w:color w:val="auto"/>
          <w:sz w:val="22"/>
          <w:szCs w:val="22"/>
        </w:rPr>
        <w:t>property</w:t>
      </w:r>
      <w:r w:rsidRPr="0080375E">
        <w:rPr>
          <w:rFonts w:asciiTheme="majorHAnsi" w:hAnsiTheme="majorHAnsi"/>
          <w:color w:val="auto"/>
          <w:sz w:val="22"/>
          <w:szCs w:val="22"/>
        </w:rPr>
        <w:t xml:space="preserve"> from which each horse attending an event was dispatched </w:t>
      </w:r>
    </w:p>
    <w:p w14:paraId="47935C3F" w14:textId="77777777" w:rsidR="008A6084" w:rsidRPr="0080375E" w:rsidRDefault="008A6084" w:rsidP="002849D6">
      <w:pPr>
        <w:pStyle w:val="bodywithletters"/>
        <w:numPr>
          <w:ilvl w:val="0"/>
          <w:numId w:val="33"/>
        </w:numPr>
        <w:spacing w:after="170"/>
        <w:rPr>
          <w:rFonts w:asciiTheme="majorHAnsi" w:hAnsiTheme="majorHAnsi"/>
          <w:color w:val="auto"/>
          <w:sz w:val="22"/>
          <w:szCs w:val="22"/>
        </w:rPr>
      </w:pPr>
      <w:r w:rsidRPr="0080375E">
        <w:rPr>
          <w:rFonts w:asciiTheme="majorHAnsi" w:hAnsiTheme="majorHAnsi"/>
          <w:color w:val="auto"/>
          <w:sz w:val="22"/>
          <w:szCs w:val="22"/>
        </w:rPr>
        <w:t>the number of horses in total in attendance from each PIC or address at the event</w:t>
      </w:r>
    </w:p>
    <w:p w14:paraId="7B46C256" w14:textId="77777777" w:rsidR="008A6084" w:rsidRPr="0080375E" w:rsidRDefault="008A6084" w:rsidP="002849D6">
      <w:pPr>
        <w:pStyle w:val="bodywithletters"/>
        <w:numPr>
          <w:ilvl w:val="0"/>
          <w:numId w:val="33"/>
        </w:numPr>
        <w:spacing w:after="170"/>
        <w:rPr>
          <w:rFonts w:asciiTheme="majorHAnsi" w:hAnsiTheme="majorHAnsi"/>
          <w:color w:val="auto"/>
          <w:sz w:val="22"/>
          <w:szCs w:val="22"/>
        </w:rPr>
      </w:pPr>
      <w:r w:rsidRPr="0080375E">
        <w:rPr>
          <w:rFonts w:asciiTheme="majorHAnsi" w:hAnsiTheme="majorHAnsi"/>
          <w:color w:val="auto"/>
          <w:sz w:val="22"/>
          <w:szCs w:val="22"/>
        </w:rPr>
        <w:t xml:space="preserve">the intended destination of the horse/s, which may be the PIC or address of the </w:t>
      </w:r>
      <w:r w:rsidRPr="0080375E">
        <w:rPr>
          <w:rFonts w:asciiTheme="majorHAnsi" w:hAnsiTheme="majorHAnsi"/>
          <w:iCs/>
          <w:color w:val="auto"/>
          <w:sz w:val="22"/>
          <w:szCs w:val="22"/>
        </w:rPr>
        <w:t>property from which the horse or horses were consigned</w:t>
      </w:r>
      <w:r w:rsidRPr="0080375E">
        <w:rPr>
          <w:rFonts w:asciiTheme="majorHAnsi" w:hAnsiTheme="majorHAnsi"/>
          <w:color w:val="auto"/>
          <w:sz w:val="22"/>
          <w:szCs w:val="22"/>
        </w:rPr>
        <w:t xml:space="preserve"> or the PIC or street address of the destination </w:t>
      </w:r>
      <w:r w:rsidRPr="0080375E">
        <w:rPr>
          <w:rFonts w:asciiTheme="majorHAnsi" w:hAnsiTheme="majorHAnsi"/>
          <w:iCs/>
          <w:color w:val="auto"/>
          <w:sz w:val="22"/>
          <w:szCs w:val="22"/>
        </w:rPr>
        <w:t>property</w:t>
      </w:r>
      <w:r w:rsidRPr="0080375E">
        <w:rPr>
          <w:rFonts w:asciiTheme="majorHAnsi" w:hAnsiTheme="majorHAnsi"/>
          <w:color w:val="auto"/>
          <w:sz w:val="22"/>
          <w:szCs w:val="22"/>
        </w:rPr>
        <w:t xml:space="preserve">. </w:t>
      </w:r>
    </w:p>
    <w:p w14:paraId="649A5B32" w14:textId="77777777" w:rsidR="008A6084" w:rsidRPr="0080375E" w:rsidRDefault="008A6084" w:rsidP="002849D6">
      <w:pPr>
        <w:pStyle w:val="bodywithletters"/>
        <w:numPr>
          <w:ilvl w:val="0"/>
          <w:numId w:val="33"/>
        </w:numPr>
        <w:spacing w:after="170"/>
        <w:rPr>
          <w:rFonts w:asciiTheme="majorHAnsi" w:hAnsiTheme="majorHAnsi"/>
          <w:color w:val="auto"/>
          <w:sz w:val="22"/>
          <w:szCs w:val="22"/>
        </w:rPr>
      </w:pPr>
      <w:r w:rsidRPr="0080375E">
        <w:rPr>
          <w:rFonts w:asciiTheme="majorHAnsi" w:hAnsiTheme="majorHAnsi"/>
          <w:color w:val="auto"/>
          <w:sz w:val="22"/>
          <w:szCs w:val="22"/>
        </w:rPr>
        <w:t>the name, email address and phone number of the person creating the record</w:t>
      </w:r>
    </w:p>
    <w:p w14:paraId="10A9740B" w14:textId="77777777" w:rsidR="008A6084" w:rsidRPr="0080375E" w:rsidRDefault="008A6084" w:rsidP="008A6084">
      <w:pPr>
        <w:rPr>
          <w:rFonts w:asciiTheme="majorHAnsi" w:hAnsiTheme="majorHAnsi" w:cs="Arial"/>
          <w:color w:val="000000"/>
        </w:rPr>
      </w:pPr>
    </w:p>
    <w:p w14:paraId="4FD58C88" w14:textId="77777777" w:rsidR="008A6084" w:rsidRPr="0080375E" w:rsidRDefault="008A6084" w:rsidP="008A6084">
      <w:pPr>
        <w:rPr>
          <w:rFonts w:asciiTheme="majorHAnsi" w:hAnsiTheme="majorHAnsi" w:cs="Arial"/>
          <w:b/>
          <w:bCs/>
        </w:rPr>
      </w:pPr>
      <w:r w:rsidRPr="0080375E">
        <w:rPr>
          <w:rFonts w:asciiTheme="majorHAnsi" w:hAnsiTheme="majorHAnsi" w:cs="Arial"/>
          <w:b/>
          <w:bCs/>
        </w:rPr>
        <w:t>S6.5</w:t>
      </w:r>
      <w:r w:rsidRPr="0080375E">
        <w:rPr>
          <w:rFonts w:asciiTheme="majorHAnsi" w:hAnsiTheme="majorHAnsi" w:cs="Arial"/>
          <w:b/>
          <w:bCs/>
        </w:rPr>
        <w:tab/>
        <w:t>Security and data maintenance</w:t>
      </w:r>
    </w:p>
    <w:p w14:paraId="4E7D22A2" w14:textId="77777777" w:rsidR="008A6084" w:rsidRPr="00FE1E02" w:rsidRDefault="008A6084" w:rsidP="008A6084">
      <w:pPr>
        <w:rPr>
          <w:rFonts w:asciiTheme="majorHAnsi" w:hAnsiTheme="majorHAnsi" w:cs="Arial"/>
          <w:b/>
          <w:bCs/>
        </w:rPr>
      </w:pPr>
      <w:r w:rsidRPr="00FE1E02">
        <w:rPr>
          <w:rFonts w:asciiTheme="majorHAnsi" w:hAnsiTheme="majorHAnsi" w:cs="Arial"/>
          <w:b/>
          <w:bCs/>
        </w:rPr>
        <w:t>S6.5.1</w:t>
      </w:r>
    </w:p>
    <w:p w14:paraId="31A689E7" w14:textId="1312EF33" w:rsidR="008A6084" w:rsidRDefault="008A6084" w:rsidP="54CFE729">
      <w:pPr>
        <w:rPr>
          <w:rFonts w:asciiTheme="majorHAnsi" w:hAnsiTheme="majorHAnsi" w:cs="Arial"/>
        </w:rPr>
      </w:pPr>
      <w:r w:rsidRPr="54CFE729">
        <w:rPr>
          <w:rFonts w:asciiTheme="majorHAnsi" w:hAnsiTheme="majorHAnsi" w:cs="Arial"/>
        </w:rPr>
        <w:lastRenderedPageBreak/>
        <w:t>Horse industry databases and registries must ensure that recorded information is maintained in a manner that minimises the risk of unauthorised access and is ‘back</w:t>
      </w:r>
      <w:r w:rsidR="00F7404C">
        <w:rPr>
          <w:rFonts w:asciiTheme="majorHAnsi" w:hAnsiTheme="majorHAnsi" w:cs="Arial"/>
        </w:rPr>
        <w:t>ed</w:t>
      </w:r>
      <w:r w:rsidRPr="54CFE729">
        <w:rPr>
          <w:rFonts w:asciiTheme="majorHAnsi" w:hAnsiTheme="majorHAnsi" w:cs="Arial"/>
        </w:rPr>
        <w:t>-up’ to prevent data loss or corruption.</w:t>
      </w:r>
    </w:p>
    <w:p w14:paraId="6609A8FE" w14:textId="77777777" w:rsidR="00CC7F09" w:rsidRPr="0080375E" w:rsidRDefault="00CC7F09" w:rsidP="54CFE729">
      <w:pPr>
        <w:rPr>
          <w:rFonts w:asciiTheme="majorHAnsi" w:hAnsiTheme="majorHAnsi" w:cs="Arial"/>
        </w:rPr>
      </w:pPr>
    </w:p>
    <w:p w14:paraId="5D052FB8" w14:textId="77777777" w:rsidR="008A6084" w:rsidRPr="00FE1E02" w:rsidRDefault="008A6084" w:rsidP="008A6084">
      <w:pPr>
        <w:rPr>
          <w:rFonts w:asciiTheme="majorHAnsi" w:hAnsiTheme="majorHAnsi" w:cs="Arial"/>
          <w:b/>
          <w:bCs/>
        </w:rPr>
      </w:pPr>
      <w:r w:rsidRPr="00FE1E02">
        <w:rPr>
          <w:rFonts w:asciiTheme="majorHAnsi" w:hAnsiTheme="majorHAnsi" w:cs="Arial"/>
          <w:b/>
          <w:bCs/>
        </w:rPr>
        <w:t>S6.5.2</w:t>
      </w:r>
    </w:p>
    <w:p w14:paraId="2B0486A7" w14:textId="77777777" w:rsidR="008A6084" w:rsidRPr="0080375E" w:rsidRDefault="008A6084" w:rsidP="002849D6">
      <w:pPr>
        <w:pStyle w:val="ListParagraph"/>
        <w:numPr>
          <w:ilvl w:val="0"/>
          <w:numId w:val="34"/>
        </w:numPr>
        <w:spacing w:after="170"/>
        <w:ind w:left="567" w:hanging="567"/>
        <w:contextualSpacing/>
        <w:rPr>
          <w:rFonts w:asciiTheme="majorHAnsi" w:hAnsiTheme="majorHAnsi" w:cs="Arial"/>
        </w:rPr>
      </w:pPr>
      <w:r w:rsidRPr="0080375E">
        <w:rPr>
          <w:rFonts w:asciiTheme="majorHAnsi" w:hAnsiTheme="majorHAnsi" w:cs="Arial"/>
        </w:rPr>
        <w:t xml:space="preserve">Movement and microchip registry information must be retained by the operator, or by a legal Australian based entity contracted to do so by the operator, in an accessible form for at least 20 years. </w:t>
      </w:r>
    </w:p>
    <w:p w14:paraId="67AE8237" w14:textId="77777777" w:rsidR="008A6084" w:rsidRPr="0080375E" w:rsidRDefault="008A6084" w:rsidP="002849D6">
      <w:pPr>
        <w:pStyle w:val="Bodycopy"/>
        <w:numPr>
          <w:ilvl w:val="0"/>
          <w:numId w:val="34"/>
        </w:numPr>
        <w:ind w:left="567" w:hanging="567"/>
        <w:rPr>
          <w:rFonts w:asciiTheme="majorHAnsi" w:hAnsiTheme="majorHAnsi" w:cs="Arial"/>
          <w:sz w:val="22"/>
          <w:szCs w:val="22"/>
        </w:rPr>
      </w:pPr>
      <w:r w:rsidRPr="0080375E">
        <w:rPr>
          <w:rFonts w:asciiTheme="majorHAnsi" w:hAnsiTheme="majorHAnsi" w:cs="Arial"/>
          <w:color w:val="auto"/>
          <w:sz w:val="22"/>
          <w:szCs w:val="22"/>
        </w:rPr>
        <w:t>Authorised government biosecurity staff must be given access to relevant m</w:t>
      </w:r>
      <w:r w:rsidRPr="0080375E">
        <w:rPr>
          <w:rFonts w:asciiTheme="majorHAnsi" w:hAnsiTheme="majorHAnsi" w:cs="Arial"/>
          <w:sz w:val="22"/>
          <w:szCs w:val="22"/>
        </w:rPr>
        <w:t xml:space="preserve">ovement and microchip registry information </w:t>
      </w:r>
      <w:r w:rsidRPr="0080375E">
        <w:rPr>
          <w:rFonts w:asciiTheme="majorHAnsi" w:hAnsiTheme="majorHAnsi" w:cs="Arial"/>
          <w:color w:val="auto"/>
          <w:sz w:val="22"/>
          <w:szCs w:val="22"/>
        </w:rPr>
        <w:t>for the sole purpose of assisting with the containment of biosecurity incidents</w:t>
      </w:r>
      <w:r w:rsidRPr="0080375E">
        <w:rPr>
          <w:rFonts w:asciiTheme="majorHAnsi" w:hAnsiTheme="majorHAnsi" w:cs="Arial"/>
          <w:sz w:val="22"/>
          <w:szCs w:val="22"/>
        </w:rPr>
        <w:t xml:space="preserve"> within 24 hours of a request being received.</w:t>
      </w:r>
    </w:p>
    <w:p w14:paraId="2CC6781C" w14:textId="77777777" w:rsidR="008A6084" w:rsidRPr="0080375E" w:rsidRDefault="008A6084" w:rsidP="008A6084">
      <w:pPr>
        <w:rPr>
          <w:rFonts w:asciiTheme="majorHAnsi" w:hAnsiTheme="majorHAnsi" w:cs="Arial"/>
        </w:rPr>
      </w:pPr>
    </w:p>
    <w:p w14:paraId="54FA94E0" w14:textId="77777777" w:rsidR="008A6084" w:rsidRPr="0080375E" w:rsidRDefault="008A6084" w:rsidP="008A6084">
      <w:pPr>
        <w:rPr>
          <w:rFonts w:asciiTheme="majorHAnsi" w:hAnsiTheme="majorHAnsi" w:cs="Arial"/>
        </w:rPr>
      </w:pPr>
    </w:p>
    <w:p w14:paraId="2C2E32E3" w14:textId="77777777" w:rsidR="008A6084" w:rsidRPr="0080375E" w:rsidRDefault="008A6084" w:rsidP="008A6084">
      <w:pPr>
        <w:rPr>
          <w:rFonts w:asciiTheme="majorHAnsi" w:eastAsia="Times New Roman" w:hAnsiTheme="majorHAnsi" w:cs="Arial"/>
          <w:b/>
          <w:spacing w:val="-15"/>
        </w:rPr>
      </w:pPr>
      <w:bookmarkStart w:id="143" w:name="_Toc466460691"/>
      <w:r w:rsidRPr="0080375E">
        <w:rPr>
          <w:rFonts w:asciiTheme="majorHAnsi" w:eastAsia="Times New Roman" w:hAnsiTheme="majorHAnsi" w:cs="Arial"/>
          <w:b/>
          <w:spacing w:val="-15"/>
        </w:rPr>
        <w:br w:type="column"/>
      </w:r>
    </w:p>
    <w:p w14:paraId="0362FC52" w14:textId="77777777" w:rsidR="008A6084" w:rsidRPr="0080375E" w:rsidRDefault="008A6084" w:rsidP="54CFE729">
      <w:pPr>
        <w:pStyle w:val="Heading1"/>
        <w:rPr>
          <w:rFonts w:asciiTheme="majorHAnsi" w:hAnsiTheme="majorHAnsi" w:cs="Arial"/>
          <w:b w:val="0"/>
          <w:bCs w:val="0"/>
          <w:sz w:val="28"/>
        </w:rPr>
      </w:pPr>
      <w:r w:rsidRPr="54CFE729">
        <w:rPr>
          <w:rFonts w:asciiTheme="majorHAnsi" w:hAnsiTheme="majorHAnsi" w:cs="Arial"/>
          <w:sz w:val="28"/>
        </w:rPr>
        <w:t>Acronyms and terms</w:t>
      </w:r>
      <w:bookmarkEnd w:id="143"/>
    </w:p>
    <w:p w14:paraId="07767EB4" w14:textId="77777777" w:rsidR="008A6084" w:rsidRPr="0080375E" w:rsidRDefault="008A6084" w:rsidP="008A6084">
      <w:pPr>
        <w:rPr>
          <w:rFonts w:asciiTheme="majorHAnsi" w:hAnsiTheme="majorHAnsi" w:cs="Arial"/>
        </w:rPr>
      </w:pPr>
    </w:p>
    <w:p w14:paraId="67E7799C" w14:textId="77777777" w:rsidR="008A6084" w:rsidRPr="0080375E" w:rsidRDefault="008A6084" w:rsidP="008A6084">
      <w:pPr>
        <w:ind w:left="1134" w:hanging="1134"/>
        <w:jc w:val="both"/>
        <w:rPr>
          <w:rFonts w:asciiTheme="majorHAnsi" w:hAnsiTheme="majorHAnsi" w:cs="Arial"/>
          <w:b/>
        </w:rPr>
      </w:pPr>
      <w:r w:rsidRPr="0080375E">
        <w:rPr>
          <w:rFonts w:asciiTheme="majorHAnsi" w:hAnsiTheme="majorHAnsi" w:cs="Arial"/>
          <w:bCs/>
        </w:rPr>
        <w:t xml:space="preserve">The following terms apply throughout this </w:t>
      </w:r>
      <w:r w:rsidRPr="0080375E">
        <w:rPr>
          <w:rFonts w:asciiTheme="majorHAnsi" w:hAnsiTheme="majorHAnsi" w:cs="Arial"/>
        </w:rPr>
        <w:t xml:space="preserve">business rules </w:t>
      </w:r>
      <w:r w:rsidRPr="0080375E">
        <w:rPr>
          <w:rFonts w:asciiTheme="majorHAnsi" w:hAnsiTheme="majorHAnsi" w:cs="Arial"/>
          <w:bCs/>
        </w:rPr>
        <w:t>-</w:t>
      </w:r>
    </w:p>
    <w:p w14:paraId="79415464" w14:textId="51DA8842" w:rsidR="00EE3345" w:rsidRPr="008622EE" w:rsidRDefault="00EE3345" w:rsidP="008622EE">
      <w:pPr>
        <w:rPr>
          <w:b/>
          <w:bCs/>
        </w:rPr>
      </w:pPr>
      <w:bookmarkStart w:id="144" w:name="_Toc95908557"/>
      <w:r w:rsidRPr="008622EE">
        <w:rPr>
          <w:b/>
          <w:bCs/>
        </w:rPr>
        <w:t>Biosecurity Incident</w:t>
      </w:r>
    </w:p>
    <w:p w14:paraId="4593ACB9" w14:textId="29E0A3F4" w:rsidR="00EE3345" w:rsidRPr="008622EE" w:rsidRDefault="00EE3345" w:rsidP="008622EE">
      <w:pPr>
        <w:pStyle w:val="CommentText"/>
        <w:rPr>
          <w:rFonts w:asciiTheme="majorHAnsi" w:hAnsiTheme="majorHAnsi"/>
          <w:color w:val="111111"/>
          <w:sz w:val="22"/>
          <w:szCs w:val="22"/>
          <w:shd w:val="clear" w:color="auto" w:fill="FFFFFF"/>
        </w:rPr>
      </w:pPr>
      <w:r w:rsidRPr="000364D0">
        <w:rPr>
          <w:rFonts w:asciiTheme="majorHAnsi" w:hAnsiTheme="majorHAnsi"/>
          <w:color w:val="111111"/>
          <w:sz w:val="22"/>
          <w:szCs w:val="22"/>
          <w:shd w:val="clear" w:color="auto" w:fill="FFFFFF"/>
        </w:rPr>
        <w:t>An</w:t>
      </w:r>
      <w:r w:rsidRPr="000364D0">
        <w:rPr>
          <w:rStyle w:val="Strong"/>
          <w:rFonts w:asciiTheme="majorHAnsi" w:hAnsiTheme="majorHAnsi"/>
          <w:b w:val="0"/>
          <w:bCs w:val="0"/>
          <w:color w:val="111111"/>
          <w:sz w:val="22"/>
          <w:szCs w:val="22"/>
          <w:shd w:val="clear" w:color="auto" w:fill="FFFFFF"/>
        </w:rPr>
        <w:t> unintentional, unforeseen or uncontrolled exposure to an exotic pest</w:t>
      </w:r>
      <w:r>
        <w:rPr>
          <w:rStyle w:val="Strong"/>
          <w:rFonts w:asciiTheme="majorHAnsi" w:hAnsiTheme="majorHAnsi"/>
          <w:b w:val="0"/>
          <w:bCs w:val="0"/>
          <w:color w:val="111111"/>
          <w:sz w:val="22"/>
          <w:szCs w:val="22"/>
          <w:shd w:val="clear" w:color="auto" w:fill="FFFFFF"/>
        </w:rPr>
        <w:t>,</w:t>
      </w:r>
      <w:r w:rsidRPr="000364D0">
        <w:rPr>
          <w:rStyle w:val="Strong"/>
          <w:rFonts w:asciiTheme="majorHAnsi" w:hAnsiTheme="majorHAnsi"/>
          <w:b w:val="0"/>
          <w:bCs w:val="0"/>
          <w:color w:val="111111"/>
          <w:sz w:val="22"/>
          <w:szCs w:val="22"/>
          <w:shd w:val="clear" w:color="auto" w:fill="FFFFFF"/>
        </w:rPr>
        <w:t xml:space="preserve"> </w:t>
      </w:r>
      <w:r>
        <w:rPr>
          <w:rStyle w:val="Strong"/>
          <w:rFonts w:asciiTheme="majorHAnsi" w:hAnsiTheme="majorHAnsi"/>
          <w:b w:val="0"/>
          <w:bCs w:val="0"/>
          <w:color w:val="111111"/>
          <w:sz w:val="22"/>
          <w:szCs w:val="22"/>
          <w:shd w:val="clear" w:color="auto" w:fill="FFFFFF"/>
        </w:rPr>
        <w:t xml:space="preserve">infectious </w:t>
      </w:r>
      <w:r w:rsidRPr="000364D0">
        <w:rPr>
          <w:rStyle w:val="Strong"/>
          <w:rFonts w:asciiTheme="majorHAnsi" w:hAnsiTheme="majorHAnsi"/>
          <w:b w:val="0"/>
          <w:bCs w:val="0"/>
          <w:color w:val="111111"/>
          <w:sz w:val="22"/>
          <w:szCs w:val="22"/>
          <w:shd w:val="clear" w:color="auto" w:fill="FFFFFF"/>
        </w:rPr>
        <w:t>disease</w:t>
      </w:r>
      <w:r>
        <w:rPr>
          <w:rStyle w:val="Strong"/>
          <w:rFonts w:asciiTheme="majorHAnsi" w:hAnsiTheme="majorHAnsi"/>
          <w:b w:val="0"/>
          <w:bCs w:val="0"/>
          <w:color w:val="111111"/>
          <w:sz w:val="22"/>
          <w:szCs w:val="22"/>
          <w:shd w:val="clear" w:color="auto" w:fill="FFFFFF"/>
        </w:rPr>
        <w:t xml:space="preserve"> or incident where the health of horses are</w:t>
      </w:r>
      <w:r w:rsidR="00F7404C">
        <w:rPr>
          <w:rStyle w:val="Strong"/>
          <w:rFonts w:asciiTheme="majorHAnsi" w:hAnsiTheme="majorHAnsi"/>
          <w:b w:val="0"/>
          <w:bCs w:val="0"/>
          <w:color w:val="111111"/>
          <w:sz w:val="22"/>
          <w:szCs w:val="22"/>
          <w:shd w:val="clear" w:color="auto" w:fill="FFFFFF"/>
        </w:rPr>
        <w:t xml:space="preserve"> or may be</w:t>
      </w:r>
      <w:r>
        <w:rPr>
          <w:rStyle w:val="Strong"/>
          <w:rFonts w:asciiTheme="majorHAnsi" w:hAnsiTheme="majorHAnsi"/>
          <w:b w:val="0"/>
          <w:bCs w:val="0"/>
          <w:color w:val="111111"/>
          <w:sz w:val="22"/>
          <w:szCs w:val="22"/>
          <w:shd w:val="clear" w:color="auto" w:fill="FFFFFF"/>
        </w:rPr>
        <w:t xml:space="preserve"> impacted.</w:t>
      </w:r>
    </w:p>
    <w:p w14:paraId="363134AF" w14:textId="792618D5" w:rsidR="008A6084" w:rsidRPr="00F64F86" w:rsidRDefault="008A6084" w:rsidP="00F64F86">
      <w:pPr>
        <w:rPr>
          <w:b/>
          <w:bCs/>
        </w:rPr>
      </w:pPr>
      <w:r w:rsidRPr="00F64F86">
        <w:rPr>
          <w:b/>
          <w:bCs/>
        </w:rPr>
        <w:t>Business day</w:t>
      </w:r>
      <w:bookmarkEnd w:id="144"/>
    </w:p>
    <w:p w14:paraId="18BEDD57"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Means a day other than a Saturday, Sunday or public holiday.</w:t>
      </w:r>
    </w:p>
    <w:p w14:paraId="6D3E1C2F" w14:textId="77777777" w:rsidR="008A6084" w:rsidRPr="00F64F86" w:rsidRDefault="008A6084" w:rsidP="00F64F86">
      <w:pPr>
        <w:rPr>
          <w:b/>
          <w:bCs/>
        </w:rPr>
      </w:pPr>
      <w:bookmarkStart w:id="145" w:name="_Toc95908558"/>
      <w:r w:rsidRPr="00F64F86">
        <w:rPr>
          <w:b/>
          <w:bCs/>
        </w:rPr>
        <w:t>Carer</w:t>
      </w:r>
      <w:bookmarkEnd w:id="145"/>
    </w:p>
    <w:p w14:paraId="02CC1F27"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The person principally responsible for the care and husbandry of a horse or horses on a property. Carers will often include trainers, stud masters, veterinary practice managers, and persons keeping horses for commercial purposes, for lifestyle reasons or as pets.</w:t>
      </w:r>
    </w:p>
    <w:p w14:paraId="6BD3DA2E" w14:textId="77777777" w:rsidR="008A6084" w:rsidRPr="00F64F86" w:rsidRDefault="008A6084" w:rsidP="00F64F86">
      <w:pPr>
        <w:rPr>
          <w:b/>
          <w:bCs/>
        </w:rPr>
      </w:pPr>
      <w:bookmarkStart w:id="146" w:name="_Toc95908559"/>
      <w:r w:rsidRPr="00F64F86">
        <w:rPr>
          <w:b/>
          <w:bCs/>
        </w:rPr>
        <w:t>Cohort</w:t>
      </w:r>
      <w:bookmarkEnd w:id="146"/>
    </w:p>
    <w:p w14:paraId="39660DB3" w14:textId="77777777" w:rsidR="008A6084" w:rsidRPr="0080375E" w:rsidRDefault="008A6084" w:rsidP="008A6084">
      <w:pPr>
        <w:rPr>
          <w:rFonts w:asciiTheme="majorHAnsi" w:hAnsiTheme="majorHAnsi" w:cs="Arial"/>
        </w:rPr>
      </w:pPr>
      <w:r w:rsidRPr="0080375E">
        <w:rPr>
          <w:rFonts w:asciiTheme="majorHAnsi" w:hAnsiTheme="majorHAnsi" w:cs="Arial"/>
        </w:rPr>
        <w:t>A group of animals that have resided concurrently on a property or on a vehicle during transportation</w:t>
      </w:r>
    </w:p>
    <w:p w14:paraId="1B2867AB" w14:textId="77777777" w:rsidR="008A6084" w:rsidRPr="00F64F86" w:rsidRDefault="008A6084" w:rsidP="00F64F86">
      <w:pPr>
        <w:rPr>
          <w:b/>
          <w:bCs/>
        </w:rPr>
      </w:pPr>
      <w:bookmarkStart w:id="147" w:name="_Toc95908560"/>
      <w:r w:rsidRPr="00F64F86">
        <w:rPr>
          <w:b/>
          <w:bCs/>
        </w:rPr>
        <w:t>Consignment</w:t>
      </w:r>
      <w:bookmarkEnd w:id="147"/>
    </w:p>
    <w:p w14:paraId="781DC437"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One or more horses leaving a property.</w:t>
      </w:r>
    </w:p>
    <w:p w14:paraId="28FD5B8E" w14:textId="77777777" w:rsidR="008A6084" w:rsidRPr="00F64F86" w:rsidRDefault="008A6084" w:rsidP="00F64F86">
      <w:pPr>
        <w:rPr>
          <w:b/>
          <w:bCs/>
        </w:rPr>
      </w:pPr>
      <w:bookmarkStart w:id="148" w:name="_Toc95908561"/>
      <w:r w:rsidRPr="00F64F86">
        <w:rPr>
          <w:b/>
          <w:bCs/>
        </w:rPr>
        <w:t>Event</w:t>
      </w:r>
      <w:bookmarkEnd w:id="148"/>
    </w:p>
    <w:p w14:paraId="1AAE2DE1" w14:textId="0F0B062F" w:rsidR="008A6084" w:rsidRPr="0080375E" w:rsidRDefault="008A6084" w:rsidP="008A6084">
      <w:pPr>
        <w:pStyle w:val="Bulletlast1"/>
        <w:ind w:left="0" w:firstLine="0"/>
        <w:rPr>
          <w:rFonts w:asciiTheme="majorHAnsi" w:hAnsiTheme="majorHAnsi"/>
          <w:color w:val="auto"/>
          <w:sz w:val="22"/>
          <w:szCs w:val="22"/>
        </w:rPr>
      </w:pPr>
      <w:r w:rsidRPr="0080375E">
        <w:rPr>
          <w:rFonts w:asciiTheme="majorHAnsi" w:hAnsiTheme="majorHAnsi"/>
          <w:color w:val="auto"/>
          <w:sz w:val="22"/>
          <w:szCs w:val="22"/>
        </w:rPr>
        <w:t>An event</w:t>
      </w:r>
      <w:r w:rsidR="003E1A73">
        <w:rPr>
          <w:rFonts w:asciiTheme="majorHAnsi" w:hAnsiTheme="majorHAnsi"/>
          <w:color w:val="auto"/>
          <w:sz w:val="22"/>
          <w:szCs w:val="22"/>
        </w:rPr>
        <w:t xml:space="preserve"> includes but is not limited to </w:t>
      </w:r>
      <w:r w:rsidR="00E6015A">
        <w:rPr>
          <w:rFonts w:asciiTheme="majorHAnsi" w:hAnsiTheme="majorHAnsi"/>
          <w:color w:val="auto"/>
          <w:sz w:val="22"/>
          <w:szCs w:val="22"/>
        </w:rPr>
        <w:t>activities</w:t>
      </w:r>
      <w:r w:rsidRPr="0080375E">
        <w:rPr>
          <w:rFonts w:asciiTheme="majorHAnsi" w:hAnsiTheme="majorHAnsi"/>
          <w:color w:val="auto"/>
          <w:sz w:val="22"/>
          <w:szCs w:val="22"/>
        </w:rPr>
        <w:t xml:space="preserve"> such as a race meeting</w:t>
      </w:r>
      <w:r w:rsidR="00E6015A">
        <w:rPr>
          <w:rFonts w:asciiTheme="majorHAnsi" w:hAnsiTheme="majorHAnsi"/>
          <w:color w:val="auto"/>
          <w:sz w:val="22"/>
          <w:szCs w:val="22"/>
        </w:rPr>
        <w:t>s</w:t>
      </w:r>
      <w:r w:rsidRPr="0080375E">
        <w:rPr>
          <w:rFonts w:asciiTheme="majorHAnsi" w:hAnsiTheme="majorHAnsi"/>
          <w:color w:val="auto"/>
          <w:sz w:val="22"/>
          <w:szCs w:val="22"/>
        </w:rPr>
        <w:t>, agricultural show</w:t>
      </w:r>
      <w:r w:rsidR="00E6015A">
        <w:rPr>
          <w:rFonts w:asciiTheme="majorHAnsi" w:hAnsiTheme="majorHAnsi"/>
          <w:color w:val="auto"/>
          <w:sz w:val="22"/>
          <w:szCs w:val="22"/>
        </w:rPr>
        <w:t>s</w:t>
      </w:r>
      <w:r w:rsidRPr="0080375E">
        <w:rPr>
          <w:rFonts w:asciiTheme="majorHAnsi" w:hAnsiTheme="majorHAnsi"/>
          <w:color w:val="auto"/>
          <w:sz w:val="22"/>
          <w:szCs w:val="22"/>
        </w:rPr>
        <w:t xml:space="preserve">, equestrian </w:t>
      </w:r>
      <w:r w:rsidR="00E6015A">
        <w:rPr>
          <w:rFonts w:asciiTheme="majorHAnsi" w:hAnsiTheme="majorHAnsi"/>
          <w:color w:val="auto"/>
          <w:sz w:val="22"/>
          <w:szCs w:val="22"/>
        </w:rPr>
        <w:t xml:space="preserve">competitions </w:t>
      </w:r>
      <w:r w:rsidRPr="0080375E">
        <w:rPr>
          <w:rFonts w:asciiTheme="majorHAnsi" w:hAnsiTheme="majorHAnsi"/>
          <w:color w:val="auto"/>
          <w:sz w:val="22"/>
          <w:szCs w:val="22"/>
        </w:rPr>
        <w:t>includ</w:t>
      </w:r>
      <w:r w:rsidR="00E6015A">
        <w:rPr>
          <w:rFonts w:asciiTheme="majorHAnsi" w:hAnsiTheme="majorHAnsi"/>
          <w:color w:val="auto"/>
          <w:sz w:val="22"/>
          <w:szCs w:val="22"/>
        </w:rPr>
        <w:t>ing</w:t>
      </w:r>
      <w:r w:rsidR="00F0710C">
        <w:rPr>
          <w:rFonts w:asciiTheme="majorHAnsi" w:hAnsiTheme="majorHAnsi"/>
          <w:color w:val="auto"/>
          <w:sz w:val="22"/>
          <w:szCs w:val="22"/>
        </w:rPr>
        <w:t xml:space="preserve"> but not limited to</w:t>
      </w:r>
      <w:r w:rsidRPr="0080375E">
        <w:rPr>
          <w:rFonts w:asciiTheme="majorHAnsi" w:hAnsiTheme="majorHAnsi"/>
          <w:color w:val="auto"/>
          <w:sz w:val="22"/>
          <w:szCs w:val="22"/>
        </w:rPr>
        <w:t xml:space="preserve"> pony club, polo tournament, rodeo or camp draft</w:t>
      </w:r>
      <w:r w:rsidR="00F0710C">
        <w:rPr>
          <w:rFonts w:asciiTheme="majorHAnsi" w:hAnsiTheme="majorHAnsi"/>
          <w:color w:val="auto"/>
          <w:sz w:val="22"/>
          <w:szCs w:val="22"/>
        </w:rPr>
        <w:t xml:space="preserve"> events</w:t>
      </w:r>
      <w:r w:rsidRPr="0080375E">
        <w:rPr>
          <w:rFonts w:asciiTheme="majorHAnsi" w:hAnsiTheme="majorHAnsi"/>
          <w:color w:val="auto"/>
          <w:sz w:val="22"/>
          <w:szCs w:val="22"/>
        </w:rPr>
        <w:t>,</w:t>
      </w:r>
      <w:r w:rsidR="00F0710C">
        <w:rPr>
          <w:rFonts w:asciiTheme="majorHAnsi" w:hAnsiTheme="majorHAnsi"/>
          <w:color w:val="auto"/>
          <w:sz w:val="22"/>
          <w:szCs w:val="22"/>
        </w:rPr>
        <w:t xml:space="preserve"> or any situation</w:t>
      </w:r>
      <w:r w:rsidRPr="0080375E">
        <w:rPr>
          <w:rFonts w:asciiTheme="majorHAnsi" w:hAnsiTheme="majorHAnsi"/>
          <w:color w:val="auto"/>
          <w:sz w:val="22"/>
          <w:szCs w:val="22"/>
        </w:rPr>
        <w:t xml:space="preserve"> at which horses will assemble to compete or for exercise. </w:t>
      </w:r>
    </w:p>
    <w:p w14:paraId="2722DBAB" w14:textId="77777777" w:rsidR="008A6084" w:rsidRPr="00F64F86" w:rsidRDefault="008A6084" w:rsidP="00F64F86">
      <w:pPr>
        <w:rPr>
          <w:b/>
          <w:bCs/>
        </w:rPr>
      </w:pPr>
      <w:bookmarkStart w:id="149" w:name="_Toc95908562"/>
      <w:r w:rsidRPr="00F64F86">
        <w:rPr>
          <w:b/>
          <w:bCs/>
        </w:rPr>
        <w:t>Exporter</w:t>
      </w:r>
      <w:bookmarkEnd w:id="149"/>
    </w:p>
    <w:p w14:paraId="7F51FB2B" w14:textId="77777777" w:rsidR="008A6084" w:rsidRPr="0080375E" w:rsidRDefault="008A6084" w:rsidP="008A6084">
      <w:pPr>
        <w:ind w:left="35" w:hanging="35"/>
        <w:jc w:val="both"/>
        <w:rPr>
          <w:rFonts w:asciiTheme="majorHAnsi" w:hAnsiTheme="majorHAnsi" w:cs="Arial"/>
        </w:rPr>
      </w:pPr>
      <w:r w:rsidRPr="0080375E">
        <w:rPr>
          <w:rFonts w:asciiTheme="majorHAnsi" w:hAnsiTheme="majorHAnsi" w:cs="Arial"/>
        </w:rPr>
        <w:t xml:space="preserve">Person or company responsible for acquiring, assembling, preparing for export and exporting horses from Australia. </w:t>
      </w:r>
    </w:p>
    <w:p w14:paraId="071DAED7" w14:textId="77777777" w:rsidR="008A6084" w:rsidRPr="00F64F86" w:rsidRDefault="008A6084" w:rsidP="00F64F86">
      <w:pPr>
        <w:rPr>
          <w:b/>
          <w:bCs/>
        </w:rPr>
      </w:pPr>
      <w:bookmarkStart w:id="150" w:name="_Toc95908563"/>
      <w:r w:rsidRPr="00F64F86">
        <w:rPr>
          <w:b/>
          <w:bCs/>
        </w:rPr>
        <w:t>Horse/horses</w:t>
      </w:r>
      <w:bookmarkEnd w:id="150"/>
    </w:p>
    <w:p w14:paraId="18C9184B" w14:textId="77777777" w:rsidR="008A6084" w:rsidRPr="009E0A3C" w:rsidRDefault="008A6084" w:rsidP="009E0A3C">
      <w:bookmarkStart w:id="151" w:name="_Toc95908564"/>
      <w:r w:rsidRPr="009E0A3C">
        <w:t>Includes donkeys, mules and hinnies.</w:t>
      </w:r>
      <w:bookmarkEnd w:id="151"/>
      <w:r w:rsidRPr="009E0A3C">
        <w:t xml:space="preserve"> </w:t>
      </w:r>
    </w:p>
    <w:p w14:paraId="7FFED716" w14:textId="77777777" w:rsidR="00F4597D" w:rsidRPr="0080375E" w:rsidRDefault="00F4597D" w:rsidP="00F4597D">
      <w:pPr>
        <w:pStyle w:val="Heading3"/>
        <w:numPr>
          <w:ilvl w:val="0"/>
          <w:numId w:val="0"/>
        </w:numPr>
        <w:ind w:left="964" w:hanging="964"/>
        <w:rPr>
          <w:rFonts w:asciiTheme="majorHAnsi" w:hAnsiTheme="majorHAnsi" w:cs="Arial"/>
          <w:sz w:val="22"/>
          <w:szCs w:val="22"/>
        </w:rPr>
      </w:pPr>
    </w:p>
    <w:p w14:paraId="75B5B2D6" w14:textId="4A74DAE8" w:rsidR="008A6084" w:rsidRPr="00F64F86" w:rsidRDefault="008A6084" w:rsidP="00F64F86">
      <w:pPr>
        <w:rPr>
          <w:b/>
          <w:bCs/>
        </w:rPr>
      </w:pPr>
      <w:bookmarkStart w:id="152" w:name="_Toc95908565"/>
      <w:r w:rsidRPr="00F64F86">
        <w:rPr>
          <w:b/>
          <w:bCs/>
        </w:rPr>
        <w:t>Horse industry</w:t>
      </w:r>
      <w:bookmarkEnd w:id="152"/>
      <w:r w:rsidRPr="00F64F86">
        <w:rPr>
          <w:b/>
          <w:bCs/>
        </w:rPr>
        <w:t xml:space="preserve"> </w:t>
      </w:r>
    </w:p>
    <w:p w14:paraId="569AA16B" w14:textId="77777777" w:rsidR="008A6084" w:rsidRPr="0080375E" w:rsidRDefault="008A6084" w:rsidP="009E0A3C">
      <w:pPr>
        <w:rPr>
          <w:b/>
          <w:bCs/>
        </w:rPr>
      </w:pPr>
      <w:bookmarkStart w:id="153" w:name="_Toc95908566"/>
      <w:r w:rsidRPr="0080375E">
        <w:t>Collectively the recreational, equestrian, racing and working horse sectors</w:t>
      </w:r>
      <w:bookmarkEnd w:id="153"/>
    </w:p>
    <w:p w14:paraId="6642501E" w14:textId="77777777" w:rsidR="00F4597D" w:rsidRPr="0080375E" w:rsidRDefault="00F4597D" w:rsidP="00F4597D">
      <w:pPr>
        <w:pStyle w:val="Heading3"/>
        <w:numPr>
          <w:ilvl w:val="0"/>
          <w:numId w:val="0"/>
        </w:numPr>
        <w:ind w:left="964" w:hanging="964"/>
        <w:rPr>
          <w:rFonts w:asciiTheme="majorHAnsi" w:hAnsiTheme="majorHAnsi" w:cs="Arial"/>
          <w:sz w:val="22"/>
          <w:szCs w:val="22"/>
        </w:rPr>
      </w:pPr>
    </w:p>
    <w:p w14:paraId="052F7272" w14:textId="6E8E5AE7" w:rsidR="008A6084" w:rsidRPr="00F64F86" w:rsidRDefault="008A6084" w:rsidP="00F64F86">
      <w:pPr>
        <w:rPr>
          <w:b/>
          <w:bCs/>
        </w:rPr>
      </w:pPr>
      <w:bookmarkStart w:id="154" w:name="_Toc95908567"/>
      <w:r w:rsidRPr="00F64F86">
        <w:rPr>
          <w:b/>
          <w:bCs/>
        </w:rPr>
        <w:t>Movement</w:t>
      </w:r>
      <w:bookmarkEnd w:id="154"/>
    </w:p>
    <w:p w14:paraId="08463A76" w14:textId="77777777" w:rsidR="008A6084" w:rsidRPr="0080375E" w:rsidRDefault="008A6084" w:rsidP="009E0A3C">
      <w:pPr>
        <w:rPr>
          <w:b/>
          <w:bCs/>
        </w:rPr>
      </w:pPr>
      <w:bookmarkStart w:id="155" w:name="_Toc95908568"/>
      <w:r w:rsidRPr="0080375E">
        <w:t>Any movement involving one or more horses between two properties with different PICs.</w:t>
      </w:r>
      <w:bookmarkEnd w:id="155"/>
    </w:p>
    <w:p w14:paraId="49608149" w14:textId="77777777" w:rsidR="00F4597D" w:rsidRPr="0080375E" w:rsidRDefault="00F4597D" w:rsidP="00F4597D">
      <w:pPr>
        <w:pStyle w:val="Heading3"/>
        <w:numPr>
          <w:ilvl w:val="0"/>
          <w:numId w:val="0"/>
        </w:numPr>
        <w:ind w:left="964" w:hanging="964"/>
        <w:rPr>
          <w:rFonts w:asciiTheme="majorHAnsi" w:hAnsiTheme="majorHAnsi" w:cs="Arial"/>
          <w:sz w:val="22"/>
          <w:szCs w:val="22"/>
        </w:rPr>
      </w:pPr>
    </w:p>
    <w:p w14:paraId="093D7971" w14:textId="0FE46E19" w:rsidR="008A6084" w:rsidRPr="00F64F86" w:rsidRDefault="008A6084" w:rsidP="00F64F86">
      <w:pPr>
        <w:rPr>
          <w:b/>
          <w:bCs/>
        </w:rPr>
      </w:pPr>
      <w:bookmarkStart w:id="156" w:name="_Toc95908569"/>
      <w:r w:rsidRPr="00F64F86">
        <w:rPr>
          <w:b/>
          <w:bCs/>
        </w:rPr>
        <w:t>Movement record</w:t>
      </w:r>
      <w:bookmarkEnd w:id="156"/>
    </w:p>
    <w:p w14:paraId="16689CD9"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The record compiled by a person consigning, moving or selling horses and used to describe the horses and record the locations where the movement commenced and ended.  Movement records may be created and kept in electronic form.</w:t>
      </w:r>
    </w:p>
    <w:p w14:paraId="4655FE88" w14:textId="77777777" w:rsidR="008A6084" w:rsidRPr="00F64F86" w:rsidRDefault="008A6084" w:rsidP="00F64F86">
      <w:pPr>
        <w:rPr>
          <w:b/>
          <w:bCs/>
        </w:rPr>
      </w:pPr>
      <w:bookmarkStart w:id="157" w:name="_Toc95908570"/>
      <w:r w:rsidRPr="00F64F86">
        <w:rPr>
          <w:b/>
          <w:bCs/>
        </w:rPr>
        <w:t>National Horse Traceability System (NHTS)</w:t>
      </w:r>
      <w:bookmarkEnd w:id="157"/>
    </w:p>
    <w:p w14:paraId="6C128F1B"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The NHTS is the national system operating throughout Australia for identifying and tracking horses for biosecurity purposes.</w:t>
      </w:r>
    </w:p>
    <w:p w14:paraId="1F08E7A3" w14:textId="77777777" w:rsidR="008A6084" w:rsidRPr="00F64F86" w:rsidRDefault="008A6084" w:rsidP="00F64F86">
      <w:pPr>
        <w:rPr>
          <w:b/>
          <w:bCs/>
        </w:rPr>
      </w:pPr>
      <w:bookmarkStart w:id="158" w:name="_Toc95908571"/>
      <w:r w:rsidRPr="00F64F86">
        <w:rPr>
          <w:b/>
          <w:bCs/>
        </w:rPr>
        <w:t>Offering for sale/sell</w:t>
      </w:r>
      <w:bookmarkEnd w:id="158"/>
    </w:p>
    <w:p w14:paraId="33AB1030" w14:textId="77777777" w:rsidR="008A6084" w:rsidRPr="0080375E" w:rsidRDefault="008A6084" w:rsidP="008A6084">
      <w:pPr>
        <w:rPr>
          <w:rFonts w:asciiTheme="majorHAnsi" w:hAnsiTheme="majorHAnsi" w:cs="Arial"/>
        </w:rPr>
      </w:pPr>
      <w:r w:rsidRPr="0080375E">
        <w:rPr>
          <w:rFonts w:asciiTheme="majorHAnsi" w:hAnsiTheme="majorHAnsi" w:cs="Arial"/>
        </w:rPr>
        <w:t>Includes transactions where one or more horses are offered free of charge or given away.</w:t>
      </w:r>
    </w:p>
    <w:p w14:paraId="6B61B9A1" w14:textId="72721B63" w:rsidR="008622EE" w:rsidRPr="008622EE" w:rsidRDefault="008622EE" w:rsidP="008622EE">
      <w:pPr>
        <w:rPr>
          <w:b/>
          <w:bCs/>
        </w:rPr>
      </w:pPr>
      <w:bookmarkStart w:id="159" w:name="_Toc95908572"/>
      <w:r w:rsidRPr="008622EE">
        <w:rPr>
          <w:b/>
          <w:bCs/>
        </w:rPr>
        <w:t xml:space="preserve">Person </w:t>
      </w:r>
    </w:p>
    <w:p w14:paraId="6CFE3CAE" w14:textId="5A009540" w:rsidR="00EE3345" w:rsidRPr="008622EE" w:rsidRDefault="008622EE" w:rsidP="008622EE">
      <w:pPr>
        <w:pStyle w:val="CommentText"/>
        <w:rPr>
          <w:rFonts w:asciiTheme="majorHAnsi" w:hAnsiTheme="majorHAnsi"/>
          <w:sz w:val="22"/>
          <w:szCs w:val="22"/>
        </w:rPr>
      </w:pPr>
      <w:r w:rsidRPr="000364D0">
        <w:rPr>
          <w:rFonts w:asciiTheme="majorHAnsi" w:hAnsiTheme="majorHAnsi"/>
          <w:sz w:val="22"/>
          <w:szCs w:val="22"/>
        </w:rPr>
        <w:t>Includes a corporate entity recognised by law</w:t>
      </w:r>
      <w:r>
        <w:rPr>
          <w:rFonts w:asciiTheme="majorHAnsi" w:hAnsiTheme="majorHAnsi"/>
          <w:sz w:val="22"/>
          <w:szCs w:val="22"/>
        </w:rPr>
        <w:t>.</w:t>
      </w:r>
    </w:p>
    <w:p w14:paraId="4498CF37" w14:textId="7DF64D3E" w:rsidR="008A6084" w:rsidRPr="00F64F86" w:rsidRDefault="008A6084" w:rsidP="00F64F86">
      <w:pPr>
        <w:rPr>
          <w:b/>
          <w:bCs/>
        </w:rPr>
      </w:pPr>
      <w:r w:rsidRPr="00F64F86">
        <w:rPr>
          <w:b/>
          <w:bCs/>
        </w:rPr>
        <w:t>Property</w:t>
      </w:r>
      <w:bookmarkEnd w:id="159"/>
    </w:p>
    <w:p w14:paraId="3552394A"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 xml:space="preserve">A parcel of land, consisting of one or more blocks within the one locality, operating as part of a livestock enterprise, hobby/lifestyle farm or residence. It includes farms, private residences where horses are kept, sale venues, holding properties, racing stables, studs, veterinary hospitals and clinics, racetracks, equestrian and show venues, knackeries and abattoirs. </w:t>
      </w:r>
    </w:p>
    <w:p w14:paraId="2E6C8A39" w14:textId="77777777" w:rsidR="008A6084" w:rsidRPr="00F64F86" w:rsidRDefault="008A6084" w:rsidP="00F64F86">
      <w:pPr>
        <w:rPr>
          <w:b/>
          <w:bCs/>
        </w:rPr>
      </w:pPr>
      <w:bookmarkStart w:id="160" w:name="_Toc95908573"/>
      <w:r w:rsidRPr="00F64F86">
        <w:rPr>
          <w:b/>
          <w:bCs/>
        </w:rPr>
        <w:t>Property Identification Code (PIC)</w:t>
      </w:r>
      <w:bookmarkEnd w:id="160"/>
    </w:p>
    <w:p w14:paraId="14FF8B58" w14:textId="77777777" w:rsidR="008A6084" w:rsidRPr="0080375E" w:rsidRDefault="008A6084" w:rsidP="008A6084">
      <w:pPr>
        <w:pStyle w:val="Bodycopy"/>
        <w:rPr>
          <w:rFonts w:asciiTheme="majorHAnsi" w:hAnsiTheme="majorHAnsi" w:cs="Arial"/>
          <w:color w:val="auto"/>
          <w:sz w:val="22"/>
          <w:szCs w:val="22"/>
        </w:rPr>
      </w:pPr>
      <w:r w:rsidRPr="0080375E">
        <w:rPr>
          <w:rFonts w:asciiTheme="majorHAnsi" w:hAnsiTheme="majorHAnsi" w:cs="Arial"/>
          <w:color w:val="auto"/>
          <w:sz w:val="22"/>
          <w:szCs w:val="22"/>
        </w:rPr>
        <w:t>The eight-character alphanumeric code for a property as allocated by the relevant state or territory authority.</w:t>
      </w:r>
    </w:p>
    <w:p w14:paraId="2A917242" w14:textId="77777777" w:rsidR="008A6084" w:rsidRPr="00F64F86" w:rsidRDefault="008A6084" w:rsidP="00F64F86">
      <w:pPr>
        <w:rPr>
          <w:b/>
          <w:bCs/>
        </w:rPr>
      </w:pPr>
      <w:bookmarkStart w:id="161" w:name="_Toc95908574"/>
      <w:r w:rsidRPr="00F64F86">
        <w:rPr>
          <w:b/>
          <w:bCs/>
        </w:rPr>
        <w:t>Sale lot</w:t>
      </w:r>
      <w:bookmarkEnd w:id="161"/>
    </w:p>
    <w:p w14:paraId="28D905CD" w14:textId="77777777" w:rsidR="008A6084" w:rsidRPr="0080375E" w:rsidRDefault="008A6084" w:rsidP="008A6084">
      <w:pPr>
        <w:rPr>
          <w:rFonts w:asciiTheme="majorHAnsi" w:hAnsiTheme="majorHAnsi" w:cs="Arial"/>
        </w:rPr>
      </w:pPr>
      <w:r w:rsidRPr="0080375E">
        <w:rPr>
          <w:rFonts w:asciiTheme="majorHAnsi" w:hAnsiTheme="majorHAnsi" w:cs="Arial"/>
        </w:rPr>
        <w:t>One or more horses offered for sale and for which bids are invited at a public auction.</w:t>
      </w:r>
    </w:p>
    <w:p w14:paraId="24173F2A" w14:textId="0306FD45" w:rsidR="00485E9C" w:rsidRPr="005C4F77" w:rsidRDefault="008A6084" w:rsidP="005C4F77">
      <w:pPr>
        <w:pStyle w:val="Normalsmall"/>
        <w:rPr>
          <w:sz w:val="22"/>
          <w:szCs w:val="22"/>
        </w:rPr>
      </w:pPr>
      <w:bookmarkStart w:id="162" w:name="_Toc95908575"/>
      <w:r w:rsidRPr="005C4F77">
        <w:rPr>
          <w:b/>
          <w:bCs/>
          <w:sz w:val="22"/>
          <w:szCs w:val="22"/>
        </w:rPr>
        <w:t>Transporter</w:t>
      </w:r>
      <w:r w:rsidRPr="005C4F77">
        <w:rPr>
          <w:sz w:val="22"/>
          <w:szCs w:val="22"/>
        </w:rPr>
        <w:br/>
        <w:t>A transporter is responsible for the movement of a horse from a property to a different property. In this definition it is not the person who transports the horse who is the owner or carer at the property of origin. It is a different person from the owner/carer as defined in the Business Rules.</w:t>
      </w:r>
      <w:bookmarkEnd w:id="162"/>
    </w:p>
    <w:p w14:paraId="73C9529C" w14:textId="77777777" w:rsidR="008A6084" w:rsidRPr="00F64F86" w:rsidRDefault="008A6084" w:rsidP="00F64F86">
      <w:pPr>
        <w:rPr>
          <w:b/>
          <w:bCs/>
        </w:rPr>
      </w:pPr>
      <w:bookmarkStart w:id="163" w:name="_Toc95908576"/>
      <w:r w:rsidRPr="00F64F86">
        <w:rPr>
          <w:b/>
          <w:bCs/>
        </w:rPr>
        <w:t>Vendor</w:t>
      </w:r>
      <w:bookmarkEnd w:id="163"/>
    </w:p>
    <w:p w14:paraId="6E19EB70" w14:textId="3A464FDD" w:rsidR="00A01C81" w:rsidRDefault="008A6084" w:rsidP="00327F02">
      <w:pPr>
        <w:pStyle w:val="Bodycopy"/>
        <w:rPr>
          <w:rFonts w:asciiTheme="majorHAnsi" w:hAnsiTheme="majorHAnsi" w:cs="Arial"/>
          <w:color w:val="auto"/>
          <w:sz w:val="22"/>
          <w:szCs w:val="22"/>
        </w:rPr>
      </w:pPr>
      <w:r w:rsidRPr="0080375E">
        <w:rPr>
          <w:rFonts w:asciiTheme="majorHAnsi" w:hAnsiTheme="majorHAnsi" w:cs="Arial"/>
          <w:color w:val="auto"/>
          <w:sz w:val="22"/>
          <w:szCs w:val="22"/>
        </w:rPr>
        <w:t>A person, organisation or company offering horses for sale.</w:t>
      </w:r>
    </w:p>
    <w:p w14:paraId="6B3C052D" w14:textId="77777777" w:rsidR="0067171F" w:rsidRDefault="0067171F" w:rsidP="00327F02">
      <w:pPr>
        <w:pStyle w:val="Bodycopy"/>
        <w:rPr>
          <w:rFonts w:asciiTheme="majorHAnsi" w:hAnsiTheme="majorHAnsi" w:cs="Arial"/>
          <w:color w:val="auto"/>
          <w:sz w:val="22"/>
          <w:szCs w:val="22"/>
        </w:rPr>
      </w:pPr>
    </w:p>
    <w:p w14:paraId="00AD7FCF" w14:textId="36BA85BD" w:rsidR="003510D5" w:rsidRPr="00CF3AB9" w:rsidRDefault="00200D1C" w:rsidP="004508E4">
      <w:pPr>
        <w:pStyle w:val="Heading2"/>
        <w:numPr>
          <w:ilvl w:val="0"/>
          <w:numId w:val="0"/>
        </w:numPr>
        <w:rPr>
          <w:rFonts w:asciiTheme="majorHAnsi" w:hAnsiTheme="majorHAnsi"/>
          <w:szCs w:val="56"/>
        </w:rPr>
      </w:pPr>
      <w:bookmarkStart w:id="164" w:name="_Toc121397586"/>
      <w:bookmarkStart w:id="165" w:name="_Toc92203364"/>
      <w:bookmarkStart w:id="166" w:name="_Toc95908578"/>
      <w:r w:rsidRPr="00CF3AB9">
        <w:rPr>
          <w:rFonts w:asciiTheme="majorHAnsi" w:hAnsiTheme="majorHAnsi"/>
          <w:szCs w:val="56"/>
        </w:rPr>
        <w:lastRenderedPageBreak/>
        <w:t>Appendix B</w:t>
      </w:r>
      <w:r w:rsidR="00CF3AB9">
        <w:rPr>
          <w:rFonts w:asciiTheme="majorHAnsi" w:hAnsiTheme="majorHAnsi"/>
          <w:szCs w:val="56"/>
        </w:rPr>
        <w:t xml:space="preserve"> - </w:t>
      </w:r>
      <w:r w:rsidR="00442E3E" w:rsidRPr="00CF3AB9">
        <w:rPr>
          <w:rFonts w:asciiTheme="majorHAnsi" w:hAnsiTheme="majorHAnsi"/>
          <w:szCs w:val="56"/>
        </w:rPr>
        <w:t>Frequently Asked Questions</w:t>
      </w:r>
      <w:bookmarkEnd w:id="164"/>
    </w:p>
    <w:p w14:paraId="6CD32B70" w14:textId="19189F97" w:rsidR="00EC654C" w:rsidRPr="00D2182F" w:rsidRDefault="00EC654C" w:rsidP="00EC654C">
      <w:r w:rsidRPr="00D2182F">
        <w:rPr>
          <w:shd w:val="clear" w:color="auto" w:fill="FFFFFF"/>
        </w:rPr>
        <w:t xml:space="preserve">The </w:t>
      </w:r>
      <w:r>
        <w:rPr>
          <w:shd w:val="clear" w:color="auto" w:fill="FFFFFF"/>
        </w:rPr>
        <w:t>NHTWG</w:t>
      </w:r>
      <w:r w:rsidRPr="00D2182F">
        <w:rPr>
          <w:shd w:val="clear" w:color="auto" w:fill="FFFFFF"/>
        </w:rPr>
        <w:t xml:space="preserve"> has developed</w:t>
      </w:r>
      <w:r w:rsidR="004508E4">
        <w:rPr>
          <w:shd w:val="clear" w:color="auto" w:fill="FFFFFF"/>
        </w:rPr>
        <w:t xml:space="preserve"> and published</w:t>
      </w:r>
      <w:r w:rsidRPr="00D2182F">
        <w:rPr>
          <w:rFonts w:cs="Cambria"/>
          <w:shd w:val="clear" w:color="auto" w:fill="FFFFFF"/>
        </w:rPr>
        <w:t> </w:t>
      </w:r>
      <w:hyperlink r:id="rId27" w:history="1">
        <w:r w:rsidRPr="00D2182F">
          <w:rPr>
            <w:rStyle w:val="Hyperlink"/>
            <w:color w:val="auto"/>
            <w:u w:val="none"/>
            <w:shd w:val="clear" w:color="auto" w:fill="FFFFFF"/>
          </w:rPr>
          <w:t>a list of commonly asked questions and answers specific to horse traceability</w:t>
        </w:r>
      </w:hyperlink>
      <w:r w:rsidRPr="00D2182F">
        <w:rPr>
          <w:rFonts w:cs="Cambria"/>
          <w:shd w:val="clear" w:color="auto" w:fill="FFFFFF"/>
        </w:rPr>
        <w:t> </w:t>
      </w:r>
      <w:r w:rsidRPr="00D2182F">
        <w:rPr>
          <w:shd w:val="clear" w:color="auto" w:fill="FFFFFF"/>
        </w:rPr>
        <w:t xml:space="preserve">in the context of a </w:t>
      </w:r>
      <w:r>
        <w:rPr>
          <w:shd w:val="clear" w:color="auto" w:fill="FFFFFF"/>
        </w:rPr>
        <w:t>NHTS</w:t>
      </w:r>
      <w:r w:rsidRPr="00D2182F">
        <w:rPr>
          <w:shd w:val="clear" w:color="auto" w:fill="FFFFFF"/>
        </w:rPr>
        <w:t>.</w:t>
      </w:r>
    </w:p>
    <w:p w14:paraId="203E1360" w14:textId="77777777" w:rsidR="00A1278C" w:rsidRPr="00D2182F" w:rsidRDefault="00A1278C" w:rsidP="00A1278C">
      <w:pPr>
        <w:pStyle w:val="xmsonormal"/>
        <w:shd w:val="clear" w:color="auto" w:fill="FFFFFF" w:themeFill="background1"/>
        <w:rPr>
          <w:rFonts w:ascii="Cambria" w:hAnsi="Cambria"/>
          <w:b/>
          <w:bCs/>
        </w:rPr>
      </w:pPr>
      <w:r w:rsidRPr="00D2182F">
        <w:rPr>
          <w:rFonts w:ascii="Cambria" w:hAnsi="Cambria"/>
          <w:b/>
          <w:bCs/>
        </w:rPr>
        <w:t>What is the purpose of the National Horse Traceability Working Group (Working Group)?</w:t>
      </w:r>
    </w:p>
    <w:p w14:paraId="087A1389" w14:textId="77777777" w:rsidR="00A1278C" w:rsidRPr="00D2182F" w:rsidRDefault="00A1278C" w:rsidP="00A1278C">
      <w:pPr>
        <w:spacing w:after="0" w:line="240" w:lineRule="auto"/>
        <w:rPr>
          <w:rFonts w:cstheme="minorHAnsi"/>
        </w:rPr>
      </w:pPr>
    </w:p>
    <w:p w14:paraId="4E4C1116" w14:textId="77777777" w:rsidR="00A1278C" w:rsidRPr="00D2182F" w:rsidRDefault="00A1278C" w:rsidP="00A1278C">
      <w:pPr>
        <w:spacing w:after="0" w:line="240" w:lineRule="auto"/>
        <w:rPr>
          <w:rFonts w:cstheme="minorHAnsi"/>
        </w:rPr>
      </w:pPr>
      <w:r w:rsidRPr="00D2182F">
        <w:rPr>
          <w:rFonts w:cstheme="minorHAnsi"/>
        </w:rPr>
        <w:t xml:space="preserve">The National Horse Traceability Working Group (Working Group) is a non-statutory committee set up by the then Agriculture Ministers’ Forum in 2020 to provide advice on the design and introduction of a traceability system for horses, donkeys and mules in Australia.  </w:t>
      </w:r>
    </w:p>
    <w:p w14:paraId="57385A2C" w14:textId="77777777" w:rsidR="00A1278C" w:rsidRPr="00D2182F" w:rsidRDefault="00A1278C" w:rsidP="00A1278C">
      <w:pPr>
        <w:spacing w:after="0" w:line="240" w:lineRule="auto"/>
        <w:rPr>
          <w:rFonts w:cstheme="minorHAnsi"/>
        </w:rPr>
      </w:pPr>
      <w:r w:rsidRPr="00D2182F">
        <w:rPr>
          <w:rFonts w:cstheme="minorHAnsi"/>
        </w:rPr>
        <w:t xml:space="preserve">The Working Group was established following the release in mid-2021 of the Senate’s Rural and Regional Affairs and Transport References Committee’s report entitled </w:t>
      </w:r>
      <w:r w:rsidRPr="00D2182F">
        <w:rPr>
          <w:rFonts w:cstheme="minorHAnsi"/>
          <w:i/>
          <w:iCs/>
        </w:rPr>
        <w:t>‘The feasibility of a National Horse Traceability Register for all horses’</w:t>
      </w:r>
      <w:r w:rsidRPr="00D2182F">
        <w:rPr>
          <w:rFonts w:cstheme="minorHAnsi"/>
        </w:rPr>
        <w:t xml:space="preserve">, which recommended that at its core, a National Horse Traceability System (NHTS) should serve a biosecurity function.  </w:t>
      </w:r>
    </w:p>
    <w:p w14:paraId="27E83A61" w14:textId="77777777" w:rsidR="00A1278C" w:rsidRPr="00D2182F" w:rsidRDefault="00A1278C" w:rsidP="00A1278C">
      <w:pPr>
        <w:pStyle w:val="ListParagraph"/>
        <w:ind w:left="0"/>
        <w:rPr>
          <w:rFonts w:ascii="Cambria" w:hAnsi="Cambria" w:cstheme="minorHAnsi"/>
        </w:rPr>
      </w:pPr>
    </w:p>
    <w:p w14:paraId="13146066" w14:textId="77777777" w:rsidR="00A1278C" w:rsidRPr="00D2182F" w:rsidRDefault="00A1278C" w:rsidP="00A1278C">
      <w:pPr>
        <w:pStyle w:val="ListParagraph"/>
        <w:ind w:left="0"/>
        <w:rPr>
          <w:rFonts w:ascii="Cambria" w:hAnsi="Cambria" w:cstheme="minorHAnsi"/>
        </w:rPr>
      </w:pPr>
      <w:r w:rsidRPr="00D2182F">
        <w:rPr>
          <w:rFonts w:ascii="Cambria" w:hAnsi="Cambria" w:cstheme="minorHAnsi"/>
        </w:rPr>
        <w:t xml:space="preserve">The Working Group is considering further ways in which a NHTS could be used to deliver broader benefits to horse industry stakeholders. This is in line with the Senate Committee’s report which as part of Recommendation 6 proposed </w:t>
      </w:r>
      <w:r w:rsidRPr="00D2182F">
        <w:rPr>
          <w:rFonts w:ascii="Cambria" w:hAnsi="Cambria"/>
        </w:rPr>
        <w:t>that the NHTS be designed to enable additional features to be incorporated as it progresses, and to allow for the horse industry to take responsibility for and progress any future functionality amendments.  Such functionality amendments could assist with improving animal welfare, emergency response management and the integrity of trade in horses.</w:t>
      </w:r>
      <w:r w:rsidRPr="00D2182F">
        <w:rPr>
          <w:rFonts w:ascii="Cambria" w:hAnsi="Cambria" w:cstheme="minorHAnsi"/>
        </w:rPr>
        <w:t xml:space="preserve"> </w:t>
      </w:r>
    </w:p>
    <w:p w14:paraId="0FC2F5A2" w14:textId="77777777" w:rsidR="00A1278C" w:rsidRPr="00D2182F" w:rsidRDefault="00A1278C" w:rsidP="00A1278C">
      <w:pPr>
        <w:pStyle w:val="xmsonormal"/>
        <w:shd w:val="clear" w:color="auto" w:fill="FFFFFF" w:themeFill="background1"/>
        <w:rPr>
          <w:rFonts w:ascii="Cambria" w:hAnsi="Cambria"/>
          <w:b/>
          <w:bCs/>
        </w:rPr>
      </w:pPr>
    </w:p>
    <w:p w14:paraId="455613C1" w14:textId="77777777" w:rsidR="00A1278C" w:rsidRPr="00D2182F" w:rsidRDefault="00A1278C" w:rsidP="00A1278C">
      <w:pPr>
        <w:pStyle w:val="xmsonormal"/>
        <w:shd w:val="clear" w:color="auto" w:fill="FFFFFF" w:themeFill="background1"/>
        <w:rPr>
          <w:rFonts w:ascii="Cambria" w:hAnsi="Cambria"/>
          <w:b/>
          <w:bCs/>
        </w:rPr>
      </w:pPr>
      <w:r w:rsidRPr="00D2182F">
        <w:rPr>
          <w:rFonts w:ascii="Cambria" w:hAnsi="Cambria"/>
          <w:b/>
          <w:bCs/>
        </w:rPr>
        <w:t>What is the membership of the Working Group?</w:t>
      </w:r>
    </w:p>
    <w:p w14:paraId="1240AD08" w14:textId="77777777" w:rsidR="00A1278C" w:rsidRPr="00D2182F" w:rsidRDefault="00A1278C" w:rsidP="00A1278C">
      <w:pPr>
        <w:spacing w:after="0" w:line="240" w:lineRule="auto"/>
        <w:rPr>
          <w:rFonts w:cstheme="minorHAnsi"/>
        </w:rPr>
      </w:pPr>
      <w:bookmarkStart w:id="167" w:name="_Hlk105745432"/>
    </w:p>
    <w:p w14:paraId="563ABE2F" w14:textId="77777777" w:rsidR="00A1278C" w:rsidRPr="00D2182F" w:rsidRDefault="00A1278C" w:rsidP="00A1278C">
      <w:pPr>
        <w:spacing w:after="0" w:line="240" w:lineRule="auto"/>
        <w:rPr>
          <w:rFonts w:cstheme="minorHAnsi"/>
        </w:rPr>
      </w:pPr>
      <w:r w:rsidRPr="00D2182F">
        <w:rPr>
          <w:rFonts w:cstheme="minorHAnsi"/>
        </w:rPr>
        <w:t xml:space="preserve">The Working Group includes representatives from Animal Health Australia, Australian Horse Industry Council, Racing Australia, Harness Racing Australia, Equestrian Australia, the RSPCA and the State, Territory and Commonwealth governments. </w:t>
      </w:r>
    </w:p>
    <w:p w14:paraId="269EE658" w14:textId="77777777" w:rsidR="00A1278C" w:rsidRPr="00D2182F" w:rsidRDefault="00A1278C" w:rsidP="00A1278C">
      <w:pPr>
        <w:spacing w:after="0" w:line="240" w:lineRule="auto"/>
        <w:rPr>
          <w:rFonts w:cstheme="minorHAnsi"/>
        </w:rPr>
      </w:pPr>
    </w:p>
    <w:p w14:paraId="38F78C92" w14:textId="77777777" w:rsidR="00A1278C" w:rsidRPr="00D2182F" w:rsidRDefault="00A1278C" w:rsidP="00A1278C">
      <w:pPr>
        <w:spacing w:after="0" w:line="240" w:lineRule="auto"/>
        <w:rPr>
          <w:rFonts w:cstheme="minorHAnsi"/>
        </w:rPr>
      </w:pPr>
      <w:r w:rsidRPr="00D2182F">
        <w:rPr>
          <w:rFonts w:cstheme="minorHAnsi"/>
        </w:rPr>
        <w:t xml:space="preserve">Agriculture Victoria is represented by one of the thirteen government and non-government members of the Working Group and is providing administrative support.  </w:t>
      </w:r>
      <w:bookmarkEnd w:id="167"/>
    </w:p>
    <w:p w14:paraId="0BD88546" w14:textId="77777777" w:rsidR="00A1278C" w:rsidRPr="00D2182F" w:rsidRDefault="00A1278C" w:rsidP="00A1278C">
      <w:pPr>
        <w:pStyle w:val="xmsonormal"/>
        <w:shd w:val="clear" w:color="auto" w:fill="FFFFFF" w:themeFill="background1"/>
        <w:rPr>
          <w:rFonts w:ascii="Cambria" w:hAnsi="Cambria"/>
          <w:b/>
          <w:bCs/>
        </w:rPr>
      </w:pPr>
    </w:p>
    <w:p w14:paraId="0C7D85CE" w14:textId="77777777" w:rsidR="00A1278C" w:rsidRPr="00D2182F" w:rsidRDefault="00A1278C" w:rsidP="00A1278C">
      <w:pPr>
        <w:pStyle w:val="xmsonormal"/>
        <w:shd w:val="clear" w:color="auto" w:fill="FFFFFF" w:themeFill="background1"/>
        <w:rPr>
          <w:rFonts w:ascii="Cambria" w:hAnsi="Cambria"/>
          <w:b/>
          <w:bCs/>
        </w:rPr>
      </w:pPr>
      <w:r w:rsidRPr="00D2182F">
        <w:rPr>
          <w:rFonts w:ascii="Cambria" w:hAnsi="Cambria"/>
          <w:b/>
          <w:bCs/>
        </w:rPr>
        <w:t>What is horse traceability?</w:t>
      </w:r>
    </w:p>
    <w:p w14:paraId="4682EC3A" w14:textId="77777777" w:rsidR="00A1278C" w:rsidRPr="00D2182F" w:rsidRDefault="00A1278C" w:rsidP="00A1278C">
      <w:pPr>
        <w:pStyle w:val="xmsonormal"/>
        <w:shd w:val="clear" w:color="auto" w:fill="FFFFFF"/>
        <w:rPr>
          <w:rFonts w:ascii="Cambria" w:hAnsi="Cambria"/>
          <w:b/>
          <w:bCs/>
        </w:rPr>
      </w:pPr>
    </w:p>
    <w:p w14:paraId="27AD5659"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Horse traceability in the context of the proposed NHTS refers to the ability to trace (find) the location of horses and to determine their past movements from place to place. </w:t>
      </w:r>
    </w:p>
    <w:p w14:paraId="3FD64FAD" w14:textId="77777777" w:rsidR="00A1278C" w:rsidRPr="00D2182F" w:rsidRDefault="00A1278C" w:rsidP="00A1278C">
      <w:pPr>
        <w:pStyle w:val="xmsonormal"/>
        <w:shd w:val="clear" w:color="auto" w:fill="FFFFFF"/>
        <w:rPr>
          <w:rFonts w:ascii="Cambria" w:hAnsi="Cambria"/>
        </w:rPr>
      </w:pPr>
    </w:p>
    <w:p w14:paraId="1BBB744B"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What is the National Horse Traceability System?</w:t>
      </w:r>
    </w:p>
    <w:p w14:paraId="01692FED" w14:textId="77777777" w:rsidR="00A1278C" w:rsidRPr="00D2182F" w:rsidRDefault="00A1278C" w:rsidP="00A1278C">
      <w:pPr>
        <w:pStyle w:val="xmsonormal"/>
        <w:shd w:val="clear" w:color="auto" w:fill="FFFFFF"/>
        <w:rPr>
          <w:rFonts w:ascii="Cambria" w:hAnsi="Cambria"/>
        </w:rPr>
      </w:pPr>
    </w:p>
    <w:p w14:paraId="3B603FEF"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The proposed NHTS will be a tool that will be used to enhance horse traceability by government departments/agencies, to meet biosecurity challenges such as preparedness and response to disease outbreaks and natural disasters. </w:t>
      </w:r>
    </w:p>
    <w:p w14:paraId="76818D70" w14:textId="77777777" w:rsidR="00A1278C" w:rsidRPr="00D2182F" w:rsidRDefault="00A1278C" w:rsidP="00A1278C">
      <w:pPr>
        <w:pStyle w:val="xmsonormal"/>
        <w:shd w:val="clear" w:color="auto" w:fill="FFFFFF"/>
        <w:rPr>
          <w:rFonts w:ascii="Cambria" w:hAnsi="Cambria"/>
          <w:b/>
          <w:bCs/>
        </w:rPr>
      </w:pPr>
    </w:p>
    <w:p w14:paraId="631BF048"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 xml:space="preserve">What is the difference between horse traceability and horse welfare? </w:t>
      </w:r>
    </w:p>
    <w:p w14:paraId="41DDD7E4" w14:textId="77777777" w:rsidR="00A1278C" w:rsidRPr="00D2182F" w:rsidRDefault="00A1278C" w:rsidP="00A1278C">
      <w:pPr>
        <w:pStyle w:val="xmsonormal"/>
        <w:shd w:val="clear" w:color="auto" w:fill="FFFFFF"/>
        <w:rPr>
          <w:rFonts w:ascii="Cambria" w:hAnsi="Cambria"/>
        </w:rPr>
      </w:pPr>
    </w:p>
    <w:p w14:paraId="76B02895" w14:textId="77777777" w:rsidR="00A1278C" w:rsidRPr="00D2182F" w:rsidRDefault="00A1278C" w:rsidP="00A1278C">
      <w:pPr>
        <w:pStyle w:val="xmsonormal"/>
        <w:shd w:val="clear" w:color="auto" w:fill="FFFFFF"/>
        <w:rPr>
          <w:rFonts w:ascii="Cambria" w:hAnsi="Cambria"/>
        </w:rPr>
      </w:pPr>
      <w:r w:rsidRPr="00D2182F">
        <w:rPr>
          <w:rFonts w:ascii="Cambria" w:hAnsi="Cambria"/>
        </w:rPr>
        <w:t>In the context of a disease or natural disaster, horse traceability is used for finding:</w:t>
      </w:r>
    </w:p>
    <w:p w14:paraId="5F11C567" w14:textId="77777777" w:rsidR="00A1278C" w:rsidRPr="00D2182F" w:rsidRDefault="00A1278C" w:rsidP="00A1278C">
      <w:pPr>
        <w:pStyle w:val="xmsonormal"/>
        <w:numPr>
          <w:ilvl w:val="0"/>
          <w:numId w:val="60"/>
        </w:numPr>
        <w:shd w:val="clear" w:color="auto" w:fill="FFFFFF"/>
        <w:ind w:left="567" w:hanging="283"/>
        <w:rPr>
          <w:rFonts w:ascii="Cambria" w:hAnsi="Cambria"/>
        </w:rPr>
      </w:pPr>
      <w:r w:rsidRPr="00D2182F">
        <w:rPr>
          <w:rFonts w:ascii="Cambria" w:hAnsi="Cambria"/>
        </w:rPr>
        <w:t>where a horse or group of horses have been within the applicable time period for that disease or incident, and</w:t>
      </w:r>
    </w:p>
    <w:p w14:paraId="47CEE233" w14:textId="77777777" w:rsidR="00A1278C" w:rsidRPr="00D2182F" w:rsidRDefault="00A1278C" w:rsidP="00A1278C">
      <w:pPr>
        <w:pStyle w:val="xmsonormal"/>
        <w:numPr>
          <w:ilvl w:val="0"/>
          <w:numId w:val="60"/>
        </w:numPr>
        <w:shd w:val="clear" w:color="auto" w:fill="FFFFFF"/>
        <w:ind w:left="567" w:hanging="283"/>
        <w:rPr>
          <w:rFonts w:ascii="Cambria" w:hAnsi="Cambria"/>
        </w:rPr>
      </w:pPr>
      <w:r w:rsidRPr="00D2182F">
        <w:rPr>
          <w:rFonts w:ascii="Cambria" w:hAnsi="Cambria"/>
        </w:rPr>
        <w:t>the current locations of animals, both horses and other susceptible species, that were with or near an affected animal or location.</w:t>
      </w:r>
    </w:p>
    <w:p w14:paraId="66C899F0" w14:textId="77777777" w:rsidR="00A1278C" w:rsidRPr="00D2182F" w:rsidRDefault="00A1278C" w:rsidP="00A1278C">
      <w:pPr>
        <w:pStyle w:val="xmsonormal"/>
        <w:shd w:val="clear" w:color="auto" w:fill="FFFFFF"/>
        <w:rPr>
          <w:rFonts w:ascii="Cambria" w:hAnsi="Cambria"/>
        </w:rPr>
      </w:pPr>
    </w:p>
    <w:p w14:paraId="38C67D1B"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Good welfare means providing horses with all the necessary elements to ensure their physical and mental wellbeing. Complying with agreed welfare standards and codes, and with state and territory animal welfare legislation for the management and care of horses means that horse owners are meeting the minimum standards required for care of their horses.  </w:t>
      </w:r>
    </w:p>
    <w:p w14:paraId="31BA4462" w14:textId="77777777" w:rsidR="00A1278C" w:rsidRPr="00D2182F" w:rsidRDefault="00A1278C" w:rsidP="00A1278C">
      <w:pPr>
        <w:pStyle w:val="xmsonormal"/>
        <w:shd w:val="clear" w:color="auto" w:fill="FFFFFF"/>
        <w:rPr>
          <w:rFonts w:ascii="Cambria" w:hAnsi="Cambria"/>
        </w:rPr>
      </w:pPr>
    </w:p>
    <w:p w14:paraId="51DE39B2"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For thoroughbred racing and breeding industry participants, other horse welfare and traceability related obligations are contained within the Australian Rules of Racing, the Local Rules of Racing and the Rules of the Australian Stud Book. The standardbred breeding and racing industry is regulated by the Rules of Harness Racing.  </w:t>
      </w:r>
    </w:p>
    <w:p w14:paraId="55583030" w14:textId="77777777" w:rsidR="00A1278C" w:rsidRPr="00D2182F" w:rsidRDefault="00A1278C" w:rsidP="00A1278C">
      <w:pPr>
        <w:pStyle w:val="xmsonormal"/>
        <w:shd w:val="clear" w:color="auto" w:fill="FFFFFF"/>
        <w:rPr>
          <w:rFonts w:ascii="Cambria" w:hAnsi="Cambria"/>
        </w:rPr>
      </w:pPr>
    </w:p>
    <w:p w14:paraId="333D8910"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How do horse traceability and welfare intersect?</w:t>
      </w:r>
    </w:p>
    <w:p w14:paraId="5AC00CAB" w14:textId="77777777" w:rsidR="00A1278C" w:rsidRPr="00D2182F" w:rsidRDefault="00A1278C" w:rsidP="00A1278C">
      <w:pPr>
        <w:pStyle w:val="xmsonormal"/>
        <w:shd w:val="clear" w:color="auto" w:fill="FFFFFF"/>
        <w:rPr>
          <w:rFonts w:ascii="Cambria" w:hAnsi="Cambria"/>
        </w:rPr>
      </w:pPr>
    </w:p>
    <w:p w14:paraId="14B2DE81"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Horse welfare and traceability intersect in a number of ways including when the following occur: </w:t>
      </w:r>
    </w:p>
    <w:p w14:paraId="2D0EC14C" w14:textId="77777777" w:rsidR="00A1278C" w:rsidRPr="00D2182F" w:rsidRDefault="00A1278C" w:rsidP="00A1278C">
      <w:pPr>
        <w:pStyle w:val="xmsonormal"/>
        <w:shd w:val="clear" w:color="auto" w:fill="FFFFFF"/>
        <w:rPr>
          <w:rFonts w:ascii="Cambria" w:hAnsi="Cambria"/>
        </w:rPr>
      </w:pPr>
    </w:p>
    <w:p w14:paraId="2A1A508F" w14:textId="77777777" w:rsidR="00A1278C" w:rsidRPr="00D2182F" w:rsidRDefault="00A1278C" w:rsidP="00A1278C">
      <w:pPr>
        <w:pStyle w:val="xmsonormal"/>
        <w:numPr>
          <w:ilvl w:val="0"/>
          <w:numId w:val="63"/>
        </w:numPr>
        <w:shd w:val="clear" w:color="auto" w:fill="FFFFFF"/>
        <w:rPr>
          <w:rFonts w:ascii="Cambria" w:hAnsi="Cambria"/>
        </w:rPr>
      </w:pPr>
      <w:r w:rsidRPr="00D2182F">
        <w:rPr>
          <w:rFonts w:ascii="Cambria" w:hAnsi="Cambria"/>
        </w:rPr>
        <w:t xml:space="preserve">extreme weather events (fire/flood/drought), </w:t>
      </w:r>
    </w:p>
    <w:p w14:paraId="4E915085" w14:textId="77777777" w:rsidR="00A1278C" w:rsidRPr="00D2182F" w:rsidRDefault="00A1278C" w:rsidP="00A1278C">
      <w:pPr>
        <w:pStyle w:val="xmsonormal"/>
        <w:numPr>
          <w:ilvl w:val="0"/>
          <w:numId w:val="63"/>
        </w:numPr>
        <w:shd w:val="clear" w:color="auto" w:fill="FFFFFF"/>
        <w:rPr>
          <w:rFonts w:ascii="Cambria" w:hAnsi="Cambria"/>
        </w:rPr>
      </w:pPr>
      <w:r w:rsidRPr="00D2182F">
        <w:rPr>
          <w:rFonts w:ascii="Cambria" w:hAnsi="Cambria"/>
        </w:rPr>
        <w:t xml:space="preserve">disease outbreaks, and </w:t>
      </w:r>
    </w:p>
    <w:p w14:paraId="37CADE9A" w14:textId="77777777" w:rsidR="00A1278C" w:rsidRPr="00D2182F" w:rsidRDefault="00A1278C" w:rsidP="00A1278C">
      <w:pPr>
        <w:pStyle w:val="xmsonormal"/>
        <w:numPr>
          <w:ilvl w:val="0"/>
          <w:numId w:val="63"/>
        </w:numPr>
        <w:shd w:val="clear" w:color="auto" w:fill="FFFFFF"/>
        <w:rPr>
          <w:rFonts w:ascii="Cambria" w:hAnsi="Cambria"/>
        </w:rPr>
      </w:pPr>
      <w:r w:rsidRPr="00D2182F">
        <w:rPr>
          <w:rFonts w:ascii="Cambria" w:hAnsi="Cambria"/>
        </w:rPr>
        <w:t xml:space="preserve">when essential needs are not being met such as food, water, shelter. </w:t>
      </w:r>
    </w:p>
    <w:p w14:paraId="7CCA7D14" w14:textId="77777777" w:rsidR="00A1278C" w:rsidRPr="00D2182F" w:rsidRDefault="00A1278C" w:rsidP="00A1278C">
      <w:pPr>
        <w:pStyle w:val="xmsonormal"/>
        <w:shd w:val="clear" w:color="auto" w:fill="FFFFFF"/>
        <w:rPr>
          <w:rFonts w:ascii="Cambria" w:hAnsi="Cambria"/>
        </w:rPr>
      </w:pPr>
    </w:p>
    <w:p w14:paraId="7F2D5EE0"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In the event of any one of these emergencies it is essential to be able to contact the owner/carer quickly to make arrangements to ensure the horses safety.  </w:t>
      </w:r>
    </w:p>
    <w:p w14:paraId="0A9DA5E6" w14:textId="77777777" w:rsidR="00A1278C" w:rsidRPr="00D2182F" w:rsidRDefault="00A1278C" w:rsidP="00A1278C">
      <w:pPr>
        <w:pStyle w:val="xmsonormal"/>
        <w:shd w:val="clear" w:color="auto" w:fill="FFFFFF"/>
        <w:rPr>
          <w:rFonts w:ascii="Cambria" w:hAnsi="Cambria"/>
          <w:b/>
          <w:bCs/>
        </w:rPr>
      </w:pPr>
    </w:p>
    <w:p w14:paraId="5CF21908"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Is rider safety being considered as a part of the proposed traceability system?</w:t>
      </w:r>
    </w:p>
    <w:p w14:paraId="4EB735C0" w14:textId="77777777" w:rsidR="00A1278C" w:rsidRPr="00D2182F" w:rsidRDefault="00A1278C" w:rsidP="00A1278C">
      <w:pPr>
        <w:spacing w:after="0" w:line="240" w:lineRule="auto"/>
        <w:rPr>
          <w:rFonts w:cs="Calibri"/>
          <w:lang w:eastAsia="en-AU"/>
        </w:rPr>
      </w:pPr>
    </w:p>
    <w:p w14:paraId="6595EB87" w14:textId="77777777" w:rsidR="00A1278C" w:rsidRPr="00D2182F" w:rsidRDefault="00A1278C" w:rsidP="00A1278C">
      <w:pPr>
        <w:spacing w:after="0" w:line="240" w:lineRule="auto"/>
        <w:rPr>
          <w:rFonts w:cs="Calibri"/>
          <w:lang w:eastAsia="en-AU"/>
        </w:rPr>
      </w:pPr>
      <w:r w:rsidRPr="00D2182F">
        <w:rPr>
          <w:rFonts w:cs="Calibri"/>
          <w:lang w:eastAsia="en-AU"/>
        </w:rPr>
        <w:t xml:space="preserve">At this point in time, the proposed NHTS will not include a function to ensure the safety of riders, this remains the responsibility of the individual. Remembering that each horse is unique with differing temperaments, athletic ability and that a horse responds in the moment, in relation to that horse’s experiences. </w:t>
      </w:r>
    </w:p>
    <w:p w14:paraId="43797FA5" w14:textId="77777777" w:rsidR="00A1278C" w:rsidRPr="00D2182F" w:rsidRDefault="00A1278C" w:rsidP="00A1278C">
      <w:pPr>
        <w:spacing w:after="0" w:line="240" w:lineRule="auto"/>
        <w:rPr>
          <w:rFonts w:cs="Calibri"/>
          <w:lang w:eastAsia="en-AU"/>
        </w:rPr>
      </w:pPr>
    </w:p>
    <w:p w14:paraId="2722C279" w14:textId="77777777" w:rsidR="00A1278C" w:rsidRPr="00D2182F" w:rsidRDefault="00A1278C" w:rsidP="00A1278C">
      <w:pPr>
        <w:spacing w:after="0" w:line="240" w:lineRule="auto"/>
        <w:rPr>
          <w:rFonts w:cs="Calibri"/>
          <w:lang w:eastAsia="en-AU"/>
        </w:rPr>
      </w:pPr>
      <w:r w:rsidRPr="00D2182F">
        <w:rPr>
          <w:rFonts w:cs="Calibri"/>
          <w:lang w:eastAsia="en-AU"/>
        </w:rPr>
        <w:t xml:space="preserve">Knowing that a horse’s movement history is available, individuals will be able to share this information with each other on a case by case basis, but this will not form part of the legislative framework.  </w:t>
      </w:r>
    </w:p>
    <w:p w14:paraId="7B8B5426"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What other work is being undertaken by government to continually improve horse welfare?</w:t>
      </w:r>
    </w:p>
    <w:p w14:paraId="2B283EDA" w14:textId="77777777" w:rsidR="00A1278C" w:rsidRPr="00D2182F" w:rsidRDefault="00A1278C" w:rsidP="00A1278C">
      <w:pPr>
        <w:spacing w:after="0" w:line="240" w:lineRule="auto"/>
        <w:rPr>
          <w:rFonts w:cs="Calibri"/>
          <w:lang w:eastAsia="en-AU"/>
        </w:rPr>
      </w:pPr>
    </w:p>
    <w:p w14:paraId="41FFED37" w14:textId="77777777" w:rsidR="00A1278C" w:rsidRPr="00D2182F" w:rsidRDefault="00A1278C" w:rsidP="00A1278C">
      <w:pPr>
        <w:spacing w:after="0" w:line="240" w:lineRule="auto"/>
      </w:pPr>
      <w:r w:rsidRPr="00D2182F">
        <w:rPr>
          <w:rFonts w:cs="Calibri"/>
          <w:lang w:eastAsia="en-AU"/>
        </w:rPr>
        <w:t xml:space="preserve">Work is underway at a national level, led by the Queensland Department of Agriculture and Fisheries, on the development of new </w:t>
      </w:r>
      <w:r w:rsidRPr="00D2182F">
        <w:t>‘</w:t>
      </w:r>
      <w:r w:rsidRPr="00D2182F">
        <w:rPr>
          <w:i/>
          <w:iCs/>
        </w:rPr>
        <w:t xml:space="preserve">Australian Animal Welfare Standards and Guidelines for Livestock at Processing Establishments’. </w:t>
      </w:r>
      <w:r w:rsidRPr="00D2182F">
        <w:t xml:space="preserve">Queensland </w:t>
      </w:r>
      <w:r w:rsidRPr="00D2182F">
        <w:rPr>
          <w:rFonts w:cs="Calibri"/>
          <w:lang w:eastAsia="en-AU"/>
        </w:rPr>
        <w:t>is also leading a review of the suitability of the existing</w:t>
      </w:r>
      <w:r w:rsidRPr="00D2182F">
        <w:t xml:space="preserve"> </w:t>
      </w:r>
      <w:r w:rsidRPr="00D2182F">
        <w:rPr>
          <w:i/>
          <w:iCs/>
        </w:rPr>
        <w:t>Australian Animal Welfare Standards and Guidelines for the Land Transport of Livestock</w:t>
      </w:r>
      <w:r w:rsidRPr="00D2182F">
        <w:t xml:space="preserve"> in relation to horses.</w:t>
      </w:r>
    </w:p>
    <w:p w14:paraId="123C1D6B" w14:textId="77777777" w:rsidR="00A1278C" w:rsidRPr="00D2182F" w:rsidRDefault="00A1278C" w:rsidP="00A1278C">
      <w:pPr>
        <w:pStyle w:val="xmsonormal"/>
        <w:shd w:val="clear" w:color="auto" w:fill="FFFFFF"/>
        <w:rPr>
          <w:rFonts w:ascii="Cambria" w:hAnsi="Cambria"/>
          <w:b/>
          <w:bCs/>
        </w:rPr>
      </w:pPr>
    </w:p>
    <w:p w14:paraId="27413B75"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Why is traceability for horses important in Australia?</w:t>
      </w:r>
    </w:p>
    <w:p w14:paraId="0C92CA14" w14:textId="77777777" w:rsidR="00A1278C" w:rsidRPr="00D2182F" w:rsidRDefault="00A1278C" w:rsidP="00A1278C">
      <w:pPr>
        <w:pStyle w:val="xmsonormal"/>
        <w:shd w:val="clear" w:color="auto" w:fill="FFFFFF"/>
        <w:rPr>
          <w:rFonts w:ascii="Cambria" w:hAnsi="Cambria"/>
          <w:b/>
          <w:bCs/>
        </w:rPr>
      </w:pPr>
    </w:p>
    <w:p w14:paraId="765F1B2F"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The ability to rapidly trace horses will enable authorities and industry to effectively manage the response to and recovery from a disease outbreak or natural disaster. </w:t>
      </w:r>
    </w:p>
    <w:p w14:paraId="39A2C393" w14:textId="77777777" w:rsidR="00A1278C" w:rsidRPr="00D2182F" w:rsidRDefault="00A1278C" w:rsidP="00A1278C">
      <w:pPr>
        <w:pStyle w:val="xmsonormal"/>
        <w:shd w:val="clear" w:color="auto" w:fill="FFFFFF"/>
        <w:rPr>
          <w:rFonts w:ascii="Cambria" w:hAnsi="Cambria"/>
        </w:rPr>
      </w:pPr>
    </w:p>
    <w:p w14:paraId="3435AEA7"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What biosecurity threats exist for horses?</w:t>
      </w:r>
    </w:p>
    <w:p w14:paraId="0A7A04C1" w14:textId="77777777" w:rsidR="00A1278C" w:rsidRPr="00D2182F" w:rsidRDefault="00A1278C" w:rsidP="00A1278C">
      <w:pPr>
        <w:pStyle w:val="xmsonormal"/>
        <w:shd w:val="clear" w:color="auto" w:fill="FFFFFF"/>
        <w:rPr>
          <w:rFonts w:ascii="Cambria" w:hAnsi="Cambria"/>
          <w:b/>
          <w:bCs/>
        </w:rPr>
      </w:pPr>
    </w:p>
    <w:p w14:paraId="0615098D"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Horses are susceptible to many infectious diseases including Equine Influenza, Hendra Virus, African Horse Sickness, Japanese Encephalitis Virus and Vesicular Stomatitis.  </w:t>
      </w:r>
    </w:p>
    <w:p w14:paraId="701C2ADB" w14:textId="77777777" w:rsidR="00A1278C" w:rsidRPr="00D2182F" w:rsidRDefault="00A1278C" w:rsidP="00A1278C">
      <w:pPr>
        <w:pStyle w:val="xmsonormal"/>
        <w:shd w:val="clear" w:color="auto" w:fill="FFFFFF"/>
        <w:rPr>
          <w:rFonts w:ascii="Cambria" w:hAnsi="Cambria"/>
        </w:rPr>
      </w:pPr>
    </w:p>
    <w:p w14:paraId="03A4FC16"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Outbreaks of serious diseases could potentially have significant horse health and welfare, economic, and in some cases human health implications.  </w:t>
      </w:r>
    </w:p>
    <w:p w14:paraId="6B679A74" w14:textId="77777777" w:rsidR="00A1278C" w:rsidRPr="00D2182F" w:rsidRDefault="00A1278C" w:rsidP="00A1278C">
      <w:pPr>
        <w:pStyle w:val="xmsonormal"/>
        <w:shd w:val="clear" w:color="auto" w:fill="FFFFFF"/>
        <w:rPr>
          <w:rFonts w:ascii="Cambria" w:hAnsi="Cambria"/>
        </w:rPr>
      </w:pPr>
    </w:p>
    <w:p w14:paraId="009D3268"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Who is responsible for biosecurity in Australia?</w:t>
      </w:r>
    </w:p>
    <w:p w14:paraId="29A36060" w14:textId="77777777" w:rsidR="00A1278C" w:rsidRPr="00D2182F" w:rsidRDefault="00A1278C" w:rsidP="00A1278C">
      <w:pPr>
        <w:pStyle w:val="xmsonormal"/>
        <w:shd w:val="clear" w:color="auto" w:fill="FFFFFF"/>
        <w:rPr>
          <w:rFonts w:ascii="Cambria" w:hAnsi="Cambria"/>
        </w:rPr>
      </w:pPr>
    </w:p>
    <w:p w14:paraId="7BB51D3D" w14:textId="77777777" w:rsidR="00A1278C" w:rsidRPr="00D2182F" w:rsidRDefault="00A1278C" w:rsidP="00A1278C">
      <w:pPr>
        <w:pStyle w:val="NoSpacing"/>
        <w:rPr>
          <w:rFonts w:ascii="Cambria" w:hAnsi="Cambria" w:cs="Calibri"/>
          <w:lang w:eastAsia="en-AU"/>
        </w:rPr>
      </w:pPr>
      <w:r w:rsidRPr="00D2182F">
        <w:rPr>
          <w:rFonts w:ascii="Cambria" w:hAnsi="Cambria" w:cs="Calibri"/>
          <w:lang w:eastAsia="en-AU"/>
        </w:rPr>
        <w:t xml:space="preserve">States and territories, with support from industry and the Commonwealth, are responsible for managing biosecurity within their borders, including disease surveillance and emergency response. The Commonwealth is responsible for matters relating to the national border, including border security, quarantine and regulation of imports. Pests and disease status can also be a relevant element of the Commonwealth’s agricultural export certification requirements.  </w:t>
      </w:r>
    </w:p>
    <w:p w14:paraId="6E2F94BF" w14:textId="77777777" w:rsidR="00A1278C" w:rsidRPr="00D2182F" w:rsidRDefault="00A1278C" w:rsidP="00A1278C">
      <w:pPr>
        <w:pStyle w:val="NoSpacing"/>
        <w:rPr>
          <w:rFonts w:ascii="Cambria" w:hAnsi="Cambria" w:cs="Calibri"/>
          <w:lang w:eastAsia="en-AU"/>
        </w:rPr>
      </w:pPr>
    </w:p>
    <w:p w14:paraId="326A550E" w14:textId="77777777" w:rsidR="00A1278C" w:rsidRPr="00D2182F" w:rsidRDefault="00A1278C" w:rsidP="00A1278C">
      <w:pPr>
        <w:pStyle w:val="NoSpacing"/>
        <w:rPr>
          <w:rFonts w:ascii="Cambria" w:hAnsi="Cambria" w:cs="Calibri"/>
          <w:lang w:eastAsia="en-AU"/>
        </w:rPr>
      </w:pPr>
      <w:r w:rsidRPr="00D2182F">
        <w:rPr>
          <w:rFonts w:ascii="Cambria" w:hAnsi="Cambria" w:cs="Calibri"/>
          <w:lang w:eastAsia="en-AU"/>
        </w:rPr>
        <w:t>The maintenance of biosecurity standards relating to horses in Australia is the joint responsibility of horse owners and carers, various horse industry sectors, the states/territories and the Commonwealth.  Supporting organisations, in particular Animal Health Australia, also play a role.</w:t>
      </w:r>
    </w:p>
    <w:p w14:paraId="344DC2B1" w14:textId="77777777" w:rsidR="00A1278C" w:rsidRPr="00D2182F" w:rsidRDefault="00A1278C" w:rsidP="00A1278C">
      <w:pPr>
        <w:pStyle w:val="NoSpacing"/>
        <w:rPr>
          <w:rFonts w:ascii="Cambria" w:hAnsi="Cambria" w:cs="Calibri"/>
          <w:lang w:eastAsia="en-AU"/>
        </w:rPr>
      </w:pPr>
    </w:p>
    <w:p w14:paraId="2632DA84" w14:textId="77777777" w:rsidR="00A1278C" w:rsidRPr="00D2182F" w:rsidRDefault="00A1278C" w:rsidP="00A1278C">
      <w:pPr>
        <w:pStyle w:val="NoSpacing"/>
        <w:rPr>
          <w:rFonts w:ascii="Cambria" w:hAnsi="Cambria" w:cs="Calibri"/>
          <w:lang w:eastAsia="en-AU"/>
        </w:rPr>
      </w:pPr>
      <w:r w:rsidRPr="00D2182F">
        <w:rPr>
          <w:rFonts w:ascii="Cambria" w:hAnsi="Cambria" w:cs="Calibri"/>
          <w:lang w:eastAsia="en-AU"/>
        </w:rPr>
        <w:t xml:space="preserve">Animal Health Australia is the custodian of the Emergency Animal Disease Response Agreement (EADRA) that outlines stakeholder responsibilities, joint decision making and the cost share arrangements for a national emergency animal disease response. The Australian Veterinary Emergency Plan (AUSVETPLAN) sets out nationally agreed plans on how to respond to emergency animal disease outbreaks.  </w:t>
      </w:r>
    </w:p>
    <w:p w14:paraId="07F5C81B" w14:textId="77777777" w:rsidR="00A1278C" w:rsidRPr="00D2182F" w:rsidRDefault="00A1278C" w:rsidP="00A1278C">
      <w:pPr>
        <w:pStyle w:val="xmsonormal"/>
        <w:shd w:val="clear" w:color="auto" w:fill="FFFFFF"/>
        <w:rPr>
          <w:rFonts w:ascii="Cambria" w:hAnsi="Cambria"/>
        </w:rPr>
      </w:pPr>
    </w:p>
    <w:p w14:paraId="7B0A7897"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What is a PIC?</w:t>
      </w:r>
    </w:p>
    <w:p w14:paraId="5BC12F51" w14:textId="77777777" w:rsidR="00A1278C" w:rsidRPr="00D2182F" w:rsidRDefault="00A1278C" w:rsidP="00A1278C">
      <w:pPr>
        <w:pStyle w:val="xmsonormal"/>
        <w:shd w:val="clear" w:color="auto" w:fill="FFFFFF"/>
        <w:rPr>
          <w:rFonts w:ascii="Cambria" w:hAnsi="Cambria"/>
        </w:rPr>
      </w:pPr>
    </w:p>
    <w:p w14:paraId="1D411703"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A Property Identification Code (PIC) is a unique eight character identifying code allocated by the agency responsible for animal health in each state or territory. The requirement for properties on which horses reside to have a PIC was introduced in most states and territories soon after the 2007 Equine Influenza outbreak. A PIC identifies a parcel or parcels of land on which livestock are or may be held.  </w:t>
      </w:r>
    </w:p>
    <w:p w14:paraId="651C86BC" w14:textId="77777777" w:rsidR="00A1278C" w:rsidRPr="00D2182F" w:rsidRDefault="00A1278C" w:rsidP="00A1278C">
      <w:pPr>
        <w:pStyle w:val="xmsonormal"/>
        <w:shd w:val="clear" w:color="auto" w:fill="FFFFFF"/>
        <w:rPr>
          <w:rFonts w:ascii="Cambria" w:hAnsi="Cambria"/>
        </w:rPr>
      </w:pPr>
    </w:p>
    <w:p w14:paraId="1269C06D" w14:textId="77777777" w:rsidR="00A1278C" w:rsidRPr="00D2182F" w:rsidRDefault="00A1278C" w:rsidP="00A1278C">
      <w:pPr>
        <w:pStyle w:val="xmsonormal"/>
        <w:shd w:val="clear" w:color="auto" w:fill="FFFFFF"/>
        <w:rPr>
          <w:rFonts w:ascii="Cambria" w:hAnsi="Cambria"/>
        </w:rPr>
      </w:pPr>
      <w:r w:rsidRPr="00D2182F">
        <w:rPr>
          <w:rFonts w:ascii="Cambria" w:hAnsi="Cambria"/>
        </w:rPr>
        <w:t>Information regarding each PIC is held in registries maintained by the states or territories.</w:t>
      </w:r>
    </w:p>
    <w:p w14:paraId="7E07DF2C" w14:textId="77777777" w:rsidR="00A1278C" w:rsidRPr="00D2182F" w:rsidRDefault="00A1278C" w:rsidP="00A1278C">
      <w:pPr>
        <w:pStyle w:val="xmsonormal"/>
        <w:shd w:val="clear" w:color="auto" w:fill="FFFFFF"/>
        <w:rPr>
          <w:rFonts w:ascii="Cambria" w:hAnsi="Cambria"/>
        </w:rPr>
      </w:pPr>
    </w:p>
    <w:p w14:paraId="0F09A96D" w14:textId="77777777" w:rsidR="00A1278C" w:rsidRPr="00D2182F" w:rsidRDefault="00A1278C" w:rsidP="00A1278C">
      <w:pPr>
        <w:pStyle w:val="xmsonormal"/>
        <w:shd w:val="clear" w:color="auto" w:fill="FFFFFF"/>
        <w:rPr>
          <w:rFonts w:ascii="Cambria" w:hAnsi="Cambria"/>
        </w:rPr>
      </w:pPr>
      <w:r w:rsidRPr="00D2182F">
        <w:rPr>
          <w:rFonts w:ascii="Cambria" w:hAnsi="Cambria"/>
        </w:rPr>
        <w:t>This will generally include:</w:t>
      </w:r>
    </w:p>
    <w:p w14:paraId="00B5799E" w14:textId="77777777" w:rsidR="00A1278C" w:rsidRPr="00D2182F" w:rsidRDefault="00A1278C" w:rsidP="00A1278C">
      <w:pPr>
        <w:pStyle w:val="xmsonormal"/>
        <w:shd w:val="clear" w:color="auto" w:fill="FFFFFF"/>
        <w:rPr>
          <w:rFonts w:ascii="Cambria" w:hAnsi="Cambria"/>
        </w:rPr>
      </w:pPr>
    </w:p>
    <w:p w14:paraId="4D074CA8" w14:textId="77777777" w:rsidR="00A1278C" w:rsidRPr="00D2182F" w:rsidRDefault="00A1278C" w:rsidP="00A1278C">
      <w:pPr>
        <w:numPr>
          <w:ilvl w:val="0"/>
          <w:numId w:val="59"/>
        </w:numPr>
        <w:shd w:val="clear" w:color="auto" w:fill="FFFFFF"/>
        <w:spacing w:after="0" w:line="240" w:lineRule="auto"/>
        <w:rPr>
          <w:rFonts w:eastAsia="Times New Roman" w:cstheme="minorHAnsi"/>
          <w:lang w:eastAsia="en-AU"/>
        </w:rPr>
      </w:pPr>
      <w:r w:rsidRPr="00D2182F">
        <w:rPr>
          <w:rFonts w:eastAsia="Times New Roman" w:cstheme="minorHAnsi"/>
          <w:lang w:eastAsia="en-AU"/>
        </w:rPr>
        <w:t>Name and/or address of the property</w:t>
      </w:r>
    </w:p>
    <w:p w14:paraId="2C14B3F5" w14:textId="77777777" w:rsidR="00A1278C" w:rsidRPr="00D2182F" w:rsidRDefault="00A1278C" w:rsidP="00A1278C">
      <w:pPr>
        <w:numPr>
          <w:ilvl w:val="0"/>
          <w:numId w:val="59"/>
        </w:numPr>
        <w:shd w:val="clear" w:color="auto" w:fill="FFFFFF"/>
        <w:spacing w:after="0" w:line="240" w:lineRule="auto"/>
        <w:rPr>
          <w:rFonts w:eastAsia="Times New Roman" w:cstheme="minorHAnsi"/>
          <w:lang w:eastAsia="en-AU"/>
        </w:rPr>
      </w:pPr>
      <w:r w:rsidRPr="00D2182F">
        <w:rPr>
          <w:rFonts w:eastAsia="Times New Roman" w:cstheme="minorHAnsi"/>
          <w:lang w:eastAsia="en-AU"/>
        </w:rPr>
        <w:t>Name of the property owner and their contact details</w:t>
      </w:r>
    </w:p>
    <w:p w14:paraId="314884AA" w14:textId="77777777" w:rsidR="00A1278C" w:rsidRPr="00D2182F" w:rsidRDefault="00A1278C" w:rsidP="00A1278C">
      <w:pPr>
        <w:numPr>
          <w:ilvl w:val="0"/>
          <w:numId w:val="59"/>
        </w:numPr>
        <w:shd w:val="clear" w:color="auto" w:fill="FFFFFF"/>
        <w:spacing w:after="0" w:line="240" w:lineRule="auto"/>
        <w:rPr>
          <w:rFonts w:eastAsia="Times New Roman" w:cstheme="minorHAnsi"/>
          <w:lang w:eastAsia="en-AU"/>
        </w:rPr>
      </w:pPr>
      <w:r w:rsidRPr="00D2182F">
        <w:rPr>
          <w:rFonts w:eastAsia="Times New Roman" w:cstheme="minorHAnsi"/>
          <w:lang w:eastAsia="en-AU"/>
        </w:rPr>
        <w:t xml:space="preserve">Name of the livestock manager/carer and their contact details, </w:t>
      </w:r>
    </w:p>
    <w:p w14:paraId="46162C3F" w14:textId="77777777" w:rsidR="00A1278C" w:rsidRPr="00D2182F" w:rsidRDefault="00A1278C" w:rsidP="00A1278C">
      <w:pPr>
        <w:numPr>
          <w:ilvl w:val="0"/>
          <w:numId w:val="59"/>
        </w:numPr>
        <w:shd w:val="clear" w:color="auto" w:fill="FFFFFF"/>
        <w:spacing w:after="0" w:line="240" w:lineRule="auto"/>
        <w:rPr>
          <w:rFonts w:eastAsia="Times New Roman" w:cstheme="minorHAnsi"/>
          <w:lang w:eastAsia="en-AU"/>
        </w:rPr>
      </w:pPr>
      <w:r w:rsidRPr="00D2182F">
        <w:rPr>
          <w:rFonts w:eastAsia="Times New Roman" w:cstheme="minorHAnsi"/>
          <w:lang w:eastAsia="en-AU"/>
        </w:rPr>
        <w:t>Geospatial information about the parcel/s of land associated with the PIC, and</w:t>
      </w:r>
    </w:p>
    <w:p w14:paraId="5BAC5975" w14:textId="77777777" w:rsidR="00A1278C" w:rsidRPr="00D2182F" w:rsidRDefault="00A1278C" w:rsidP="00A1278C">
      <w:pPr>
        <w:numPr>
          <w:ilvl w:val="0"/>
          <w:numId w:val="59"/>
        </w:numPr>
        <w:shd w:val="clear" w:color="auto" w:fill="FFFFFF"/>
        <w:spacing w:after="0" w:line="240" w:lineRule="auto"/>
        <w:rPr>
          <w:rFonts w:eastAsia="Times New Roman" w:cstheme="minorHAnsi"/>
          <w:lang w:eastAsia="en-AU"/>
        </w:rPr>
      </w:pPr>
      <w:r w:rsidRPr="00D2182F">
        <w:rPr>
          <w:rFonts w:eastAsia="Times New Roman" w:cstheme="minorHAnsi"/>
        </w:rPr>
        <w:t xml:space="preserve">Species present (including domesticated horses) </w:t>
      </w:r>
    </w:p>
    <w:p w14:paraId="7DF0BEE8" w14:textId="77777777" w:rsidR="00A1278C" w:rsidRPr="00D2182F" w:rsidRDefault="00A1278C" w:rsidP="00A1278C">
      <w:pPr>
        <w:pStyle w:val="xmsonormal"/>
        <w:shd w:val="clear" w:color="auto" w:fill="FFFFFF"/>
        <w:rPr>
          <w:rFonts w:ascii="Cambria" w:hAnsi="Cambria"/>
          <w:b/>
          <w:bCs/>
        </w:rPr>
      </w:pPr>
    </w:p>
    <w:p w14:paraId="17D8CF95"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Who is currently required to register for a PIC?</w:t>
      </w:r>
    </w:p>
    <w:p w14:paraId="73A03FFF" w14:textId="77777777" w:rsidR="00A1278C" w:rsidRPr="00D2182F" w:rsidRDefault="00A1278C" w:rsidP="00A1278C">
      <w:pPr>
        <w:pStyle w:val="xmsonormal"/>
        <w:shd w:val="clear" w:color="auto" w:fill="FFFFFF"/>
        <w:rPr>
          <w:rFonts w:ascii="Cambria" w:hAnsi="Cambria"/>
        </w:rPr>
      </w:pPr>
    </w:p>
    <w:p w14:paraId="65C414AB" w14:textId="77777777" w:rsidR="00A1278C" w:rsidRPr="00D2182F" w:rsidRDefault="00A1278C" w:rsidP="00A1278C">
      <w:pPr>
        <w:spacing w:after="0" w:line="240" w:lineRule="auto"/>
      </w:pPr>
      <w:r w:rsidRPr="00D2182F">
        <w:t>Owners and managers of horses must ensure that the properties on which their horses are kept have a PIC. Businesses responsible for land where horses will visit or attend such as showgrounds, racecourses, veterinary clinics must ensure they have a PIC.  In most states, properties on which cattle, buffalo, bison, sheep, goats, pigs, alpacas, llamas, horses, domesticated camels or deer must have a PIC.  This includes farms, residential properties at which livestock live, racetracks, transit depots, studs, veterinary practices, knackeries, abattoirs, public auction houses including saleyards, rodeo, camp drafting and agricultural show venues.</w:t>
      </w:r>
    </w:p>
    <w:p w14:paraId="2E59C7DA" w14:textId="77777777" w:rsidR="00A1278C" w:rsidRPr="00D2182F" w:rsidRDefault="00A1278C" w:rsidP="00A1278C">
      <w:pPr>
        <w:spacing w:after="0" w:line="240" w:lineRule="auto"/>
      </w:pPr>
    </w:p>
    <w:p w14:paraId="4554C6F8" w14:textId="77777777" w:rsidR="00A1278C" w:rsidRPr="00D2182F" w:rsidRDefault="00A1278C" w:rsidP="00A1278C">
      <w:pPr>
        <w:pStyle w:val="xmsonormal"/>
        <w:shd w:val="clear" w:color="auto" w:fill="FFFFFF"/>
        <w:rPr>
          <w:rFonts w:ascii="Cambria" w:hAnsi="Cambria"/>
        </w:rPr>
      </w:pPr>
      <w:r w:rsidRPr="00D2182F">
        <w:rPr>
          <w:rFonts w:ascii="Cambria" w:hAnsi="Cambria"/>
        </w:rPr>
        <w:t>The PIC system is the cornerstone of Australia’s National Livestock Identification System (NLIS) for cattle, sheep, goats and pigs, and will play a central role in the proposed NHTS.  </w:t>
      </w:r>
    </w:p>
    <w:p w14:paraId="6061EA97" w14:textId="77777777" w:rsidR="00A1278C" w:rsidRPr="00D2182F" w:rsidRDefault="00A1278C" w:rsidP="00A1278C">
      <w:pPr>
        <w:pStyle w:val="xmsonormal"/>
        <w:shd w:val="clear" w:color="auto" w:fill="FFFFFF"/>
        <w:rPr>
          <w:rFonts w:ascii="Cambria" w:hAnsi="Cambria"/>
        </w:rPr>
      </w:pPr>
    </w:p>
    <w:p w14:paraId="27717C2C"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How do I obtain a PIC?</w:t>
      </w:r>
    </w:p>
    <w:p w14:paraId="47B56B3E" w14:textId="77777777" w:rsidR="00A1278C" w:rsidRPr="00D2182F" w:rsidRDefault="00A1278C" w:rsidP="00A1278C">
      <w:pPr>
        <w:pStyle w:val="xmsonormal"/>
        <w:shd w:val="clear" w:color="auto" w:fill="FFFFFF"/>
        <w:rPr>
          <w:rFonts w:ascii="Cambria" w:hAnsi="Cambria"/>
          <w:b/>
          <w:bCs/>
        </w:rPr>
      </w:pPr>
    </w:p>
    <w:p w14:paraId="15DFF966" w14:textId="77777777" w:rsidR="00A1278C" w:rsidRPr="00D2182F" w:rsidRDefault="00A1278C" w:rsidP="00A1278C">
      <w:pPr>
        <w:pStyle w:val="xmsonormal"/>
        <w:shd w:val="clear" w:color="auto" w:fill="FFFFFF"/>
        <w:rPr>
          <w:rFonts w:ascii="Cambria" w:hAnsi="Cambria"/>
        </w:rPr>
      </w:pPr>
      <w:r w:rsidRPr="00D2182F">
        <w:rPr>
          <w:rFonts w:ascii="Cambria" w:hAnsi="Cambria"/>
        </w:rPr>
        <w:lastRenderedPageBreak/>
        <w:t xml:space="preserve">PICs are assigned by state and territory government agencies to parcels of land on which livestock are or may be held. </w:t>
      </w:r>
    </w:p>
    <w:p w14:paraId="4C6F89A8" w14:textId="77777777" w:rsidR="00A1278C" w:rsidRPr="00D2182F" w:rsidRDefault="00A1278C" w:rsidP="00A1278C">
      <w:pPr>
        <w:pStyle w:val="xmsonormal"/>
        <w:shd w:val="clear" w:color="auto" w:fill="FFFFFF"/>
        <w:rPr>
          <w:rFonts w:ascii="Cambria" w:hAnsi="Cambria"/>
        </w:rPr>
      </w:pPr>
    </w:p>
    <w:p w14:paraId="6E00D66F" w14:textId="77777777" w:rsidR="00A1278C" w:rsidRPr="00D2182F" w:rsidRDefault="00A1278C" w:rsidP="00A1278C">
      <w:pPr>
        <w:pStyle w:val="xmsonormal"/>
        <w:shd w:val="clear" w:color="auto" w:fill="FFFFFF"/>
        <w:rPr>
          <w:rFonts w:ascii="Cambria" w:hAnsi="Cambria"/>
        </w:rPr>
      </w:pPr>
      <w:r w:rsidRPr="00D2182F">
        <w:rPr>
          <w:rFonts w:ascii="Cambria" w:hAnsi="Cambria"/>
        </w:rPr>
        <w:t>To obtain a PIC, you should contact the relevant agency responsible for animal health in your</w:t>
      </w:r>
      <w:hyperlink r:id="rId28" w:history="1">
        <w:r w:rsidRPr="00D2182F">
          <w:rPr>
            <w:rFonts w:ascii="Cambria" w:hAnsi="Cambria"/>
          </w:rPr>
          <w:t> state or territory</w:t>
        </w:r>
      </w:hyperlink>
      <w:r w:rsidRPr="00D2182F">
        <w:rPr>
          <w:rFonts w:ascii="Cambria" w:hAnsi="Cambria"/>
        </w:rPr>
        <w:t>.</w:t>
      </w:r>
    </w:p>
    <w:p w14:paraId="312F4973" w14:textId="77777777" w:rsidR="00A1278C" w:rsidRPr="00D2182F" w:rsidRDefault="00A1278C" w:rsidP="00A1278C">
      <w:pPr>
        <w:pStyle w:val="xmsonormal"/>
        <w:shd w:val="clear" w:color="auto" w:fill="FFFFFF"/>
        <w:rPr>
          <w:rFonts w:ascii="Cambria" w:hAnsi="Cambria"/>
        </w:rPr>
      </w:pPr>
    </w:p>
    <w:p w14:paraId="7E21949E" w14:textId="77777777" w:rsidR="00A1278C" w:rsidRPr="00D2182F" w:rsidRDefault="00A1278C" w:rsidP="00A1278C">
      <w:pPr>
        <w:pStyle w:val="xmsonormal"/>
        <w:shd w:val="clear" w:color="auto" w:fill="FFFFFF"/>
        <w:rPr>
          <w:rFonts w:ascii="Cambria" w:hAnsi="Cambria"/>
          <w:i/>
          <w:iCs/>
        </w:rPr>
      </w:pPr>
      <w:r w:rsidRPr="00D2182F">
        <w:rPr>
          <w:rFonts w:ascii="Cambria" w:hAnsi="Cambria"/>
          <w:i/>
          <w:iCs/>
        </w:rPr>
        <w:t>Refer to Table 1 on page 9 for relevant state/territory contact details and website links.</w:t>
      </w:r>
    </w:p>
    <w:p w14:paraId="694F7B6A" w14:textId="77777777" w:rsidR="00A1278C" w:rsidRPr="00D2182F" w:rsidRDefault="00A1278C" w:rsidP="00A1278C">
      <w:pPr>
        <w:pStyle w:val="xmsonormal"/>
        <w:shd w:val="clear" w:color="auto" w:fill="FFFFFF"/>
        <w:rPr>
          <w:rFonts w:ascii="Cambria" w:hAnsi="Cambria"/>
          <w:b/>
          <w:bCs/>
        </w:rPr>
      </w:pPr>
    </w:p>
    <w:p w14:paraId="293E81D4"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How much does a PIC cost?</w:t>
      </w:r>
    </w:p>
    <w:p w14:paraId="5E076034" w14:textId="77777777" w:rsidR="00A1278C" w:rsidRPr="00D2182F" w:rsidRDefault="00A1278C" w:rsidP="00A1278C">
      <w:pPr>
        <w:pStyle w:val="xmsonormal"/>
        <w:shd w:val="clear" w:color="auto" w:fill="FFFFFF"/>
        <w:rPr>
          <w:rFonts w:ascii="Cambria" w:hAnsi="Cambria"/>
        </w:rPr>
      </w:pPr>
    </w:p>
    <w:p w14:paraId="5C02A1F3"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The costs associated with applying for and maintaining a PIC vary from state to state. </w:t>
      </w:r>
      <w:r w:rsidRPr="00D2182F">
        <w:rPr>
          <w:rFonts w:ascii="Cambria" w:hAnsi="Cambria" w:cstheme="minorHAnsi"/>
        </w:rPr>
        <w:t xml:space="preserve">Contact the relevant animal health agency </w:t>
      </w:r>
      <w:r w:rsidRPr="00D2182F">
        <w:rPr>
          <w:rFonts w:ascii="Cambria" w:hAnsi="Cambria" w:cstheme="minorHAnsi"/>
          <w:shd w:val="clear" w:color="auto" w:fill="FFFFFF"/>
        </w:rPr>
        <w:t>in your</w:t>
      </w:r>
      <w:r w:rsidRPr="00D2182F">
        <w:rPr>
          <w:rFonts w:ascii="Cambria" w:hAnsi="Cambria" w:cstheme="minorHAnsi"/>
          <w:bdr w:val="none" w:sz="0" w:space="0" w:color="auto" w:frame="1"/>
          <w:shd w:val="clear" w:color="auto" w:fill="FFFFFF"/>
        </w:rPr>
        <w:t> </w:t>
      </w:r>
      <w:r w:rsidRPr="00D2182F">
        <w:rPr>
          <w:rFonts w:ascii="Cambria" w:hAnsi="Cambria" w:cstheme="minorHAnsi"/>
        </w:rPr>
        <w:t xml:space="preserve">state or territory. </w:t>
      </w:r>
    </w:p>
    <w:p w14:paraId="6C0BD92A" w14:textId="77777777" w:rsidR="00A1278C" w:rsidRPr="00D2182F" w:rsidRDefault="00A1278C" w:rsidP="00A1278C">
      <w:pPr>
        <w:pStyle w:val="xmsonormal"/>
        <w:shd w:val="clear" w:color="auto" w:fill="FFFFFF"/>
        <w:rPr>
          <w:rFonts w:ascii="Cambria" w:hAnsi="Cambria" w:cstheme="minorHAnsi"/>
        </w:rPr>
      </w:pPr>
    </w:p>
    <w:p w14:paraId="1D97240F" w14:textId="77777777" w:rsidR="00A1278C" w:rsidRPr="00D2182F" w:rsidRDefault="00A1278C" w:rsidP="00A1278C">
      <w:pPr>
        <w:pStyle w:val="xmsonormal"/>
        <w:shd w:val="clear" w:color="auto" w:fill="FFFFFF"/>
        <w:rPr>
          <w:rFonts w:ascii="Cambria" w:hAnsi="Cambria"/>
          <w:i/>
          <w:iCs/>
        </w:rPr>
      </w:pPr>
      <w:r w:rsidRPr="00D2182F">
        <w:rPr>
          <w:rFonts w:ascii="Cambria" w:hAnsi="Cambria"/>
          <w:i/>
          <w:iCs/>
        </w:rPr>
        <w:t>Refer to Table 1 on page 9 for relevant State/Territory contact details and website links.</w:t>
      </w:r>
    </w:p>
    <w:p w14:paraId="4A4F1A68" w14:textId="77777777" w:rsidR="00A1278C" w:rsidRPr="00D2182F" w:rsidRDefault="00A1278C" w:rsidP="00A1278C">
      <w:pPr>
        <w:pStyle w:val="xmsonormal"/>
        <w:shd w:val="clear" w:color="auto" w:fill="FFFFFF"/>
        <w:rPr>
          <w:rFonts w:ascii="Cambria" w:hAnsi="Cambria"/>
        </w:rPr>
      </w:pPr>
    </w:p>
    <w:p w14:paraId="57B4E225" w14:textId="77777777" w:rsidR="00A1278C" w:rsidRPr="00D2182F" w:rsidRDefault="00A1278C" w:rsidP="00A1278C">
      <w:pPr>
        <w:pStyle w:val="xmsonormal"/>
        <w:shd w:val="clear" w:color="auto" w:fill="FFFFFF"/>
        <w:rPr>
          <w:rFonts w:ascii="Cambria" w:hAnsi="Cambria" w:cstheme="minorHAnsi"/>
          <w:b/>
          <w:bCs/>
        </w:rPr>
      </w:pPr>
      <w:r w:rsidRPr="00D2182F">
        <w:rPr>
          <w:rFonts w:ascii="Cambria" w:hAnsi="Cambria" w:cstheme="minorHAnsi"/>
          <w:b/>
          <w:bCs/>
        </w:rPr>
        <w:t>What do horse owners/carers need to do to keep their PIC information current?</w:t>
      </w:r>
    </w:p>
    <w:p w14:paraId="51548187" w14:textId="77777777" w:rsidR="00A1278C" w:rsidRPr="00D2182F" w:rsidRDefault="00A1278C" w:rsidP="00A1278C">
      <w:pPr>
        <w:pStyle w:val="xmsonormal"/>
        <w:shd w:val="clear" w:color="auto" w:fill="FFFFFF"/>
        <w:rPr>
          <w:rFonts w:ascii="Cambria" w:hAnsi="Cambria" w:cstheme="minorHAnsi"/>
        </w:rPr>
      </w:pPr>
    </w:p>
    <w:p w14:paraId="31F9FAF3" w14:textId="77777777" w:rsidR="00A1278C" w:rsidRPr="00D2182F" w:rsidRDefault="00A1278C" w:rsidP="00A1278C">
      <w:pPr>
        <w:pStyle w:val="xmsonormal"/>
        <w:shd w:val="clear" w:color="auto" w:fill="FFFFFF"/>
        <w:rPr>
          <w:rFonts w:ascii="Cambria" w:hAnsi="Cambria" w:cstheme="minorHAnsi"/>
        </w:rPr>
      </w:pPr>
      <w:r w:rsidRPr="00D2182F">
        <w:rPr>
          <w:rFonts w:ascii="Cambria" w:hAnsi="Cambria" w:cstheme="minorHAnsi"/>
        </w:rPr>
        <w:t>A property owner, stud/farm/agistment manager is responsible for ensuring that the relevant government agency in their state/territory is notified of changes to details relating to a PIC. This may include:</w:t>
      </w:r>
    </w:p>
    <w:p w14:paraId="5E1D0D20" w14:textId="77777777" w:rsidR="00A1278C" w:rsidRPr="00D2182F" w:rsidRDefault="00A1278C" w:rsidP="00A1278C">
      <w:pPr>
        <w:pStyle w:val="xmsonormal"/>
        <w:shd w:val="clear" w:color="auto" w:fill="FFFFFF"/>
        <w:rPr>
          <w:rFonts w:ascii="Cambria" w:hAnsi="Cambria" w:cstheme="minorHAnsi"/>
        </w:rPr>
      </w:pPr>
    </w:p>
    <w:p w14:paraId="1B8D5E18" w14:textId="77777777" w:rsidR="00A1278C" w:rsidRPr="00D2182F" w:rsidRDefault="00A1278C" w:rsidP="00A1278C">
      <w:pPr>
        <w:pStyle w:val="xmsonormal"/>
        <w:numPr>
          <w:ilvl w:val="0"/>
          <w:numId w:val="61"/>
        </w:numPr>
        <w:shd w:val="clear" w:color="auto" w:fill="FFFFFF"/>
        <w:rPr>
          <w:rFonts w:ascii="Cambria" w:hAnsi="Cambria" w:cstheme="minorHAnsi"/>
        </w:rPr>
      </w:pPr>
      <w:r w:rsidRPr="00D2182F">
        <w:rPr>
          <w:rFonts w:ascii="Cambria" w:hAnsi="Cambria" w:cstheme="minorHAnsi"/>
        </w:rPr>
        <w:t>owner contact details including name, address and contact phone number,</w:t>
      </w:r>
    </w:p>
    <w:p w14:paraId="195F6D8D" w14:textId="77777777" w:rsidR="00A1278C" w:rsidRPr="00D2182F" w:rsidRDefault="00A1278C" w:rsidP="00A1278C">
      <w:pPr>
        <w:pStyle w:val="xmsonormal"/>
        <w:numPr>
          <w:ilvl w:val="0"/>
          <w:numId w:val="61"/>
        </w:numPr>
        <w:shd w:val="clear" w:color="auto" w:fill="FFFFFF"/>
        <w:rPr>
          <w:rFonts w:ascii="Cambria" w:hAnsi="Cambria" w:cstheme="minorHAnsi"/>
        </w:rPr>
      </w:pPr>
      <w:r w:rsidRPr="00D2182F">
        <w:rPr>
          <w:rFonts w:ascii="Cambria" w:hAnsi="Cambria" w:cstheme="minorHAnsi"/>
        </w:rPr>
        <w:t>manager contact details including name, address and contact phone number,</w:t>
      </w:r>
    </w:p>
    <w:p w14:paraId="7CFA81DA" w14:textId="77777777" w:rsidR="00A1278C" w:rsidRPr="00D2182F" w:rsidRDefault="00A1278C" w:rsidP="00A1278C">
      <w:pPr>
        <w:pStyle w:val="xmsonormal"/>
        <w:numPr>
          <w:ilvl w:val="0"/>
          <w:numId w:val="61"/>
        </w:numPr>
        <w:shd w:val="clear" w:color="auto" w:fill="FFFFFF"/>
        <w:rPr>
          <w:rFonts w:ascii="Cambria" w:hAnsi="Cambria" w:cstheme="minorHAnsi"/>
        </w:rPr>
      </w:pPr>
      <w:r w:rsidRPr="00D2182F">
        <w:rPr>
          <w:rFonts w:ascii="Cambria" w:hAnsi="Cambria" w:cstheme="minorHAnsi"/>
        </w:rPr>
        <w:t>changes to property boundaries including expansion through acquisition or agreement to graze livestock, or reduction through sale or the relinquishing of a lease or agistment right, and</w:t>
      </w:r>
    </w:p>
    <w:p w14:paraId="31547AE9" w14:textId="77777777" w:rsidR="00A1278C" w:rsidRPr="00D2182F" w:rsidRDefault="00A1278C" w:rsidP="00A1278C">
      <w:pPr>
        <w:pStyle w:val="xmsonormal"/>
        <w:numPr>
          <w:ilvl w:val="0"/>
          <w:numId w:val="61"/>
        </w:numPr>
        <w:shd w:val="clear" w:color="auto" w:fill="FFFFFF"/>
        <w:rPr>
          <w:rFonts w:ascii="Cambria" w:hAnsi="Cambria" w:cstheme="minorHAnsi"/>
        </w:rPr>
      </w:pPr>
      <w:r w:rsidRPr="00D2182F">
        <w:rPr>
          <w:rFonts w:ascii="Cambria" w:hAnsi="Cambria" w:cstheme="minorHAnsi"/>
        </w:rPr>
        <w:t xml:space="preserve">the livestock species that are or will be kept on the property. </w:t>
      </w:r>
    </w:p>
    <w:p w14:paraId="10FC1A15" w14:textId="77777777" w:rsidR="00A1278C" w:rsidRPr="00D2182F" w:rsidRDefault="00A1278C" w:rsidP="00A1278C">
      <w:pPr>
        <w:pStyle w:val="xmsonormal"/>
        <w:shd w:val="clear" w:color="auto" w:fill="FFFFFF"/>
        <w:rPr>
          <w:rFonts w:ascii="Cambria" w:hAnsi="Cambria" w:cstheme="minorHAnsi"/>
        </w:rPr>
      </w:pPr>
    </w:p>
    <w:p w14:paraId="32815E83" w14:textId="77777777" w:rsidR="00A1278C" w:rsidRPr="00D2182F" w:rsidRDefault="00A1278C" w:rsidP="00A1278C">
      <w:pPr>
        <w:pStyle w:val="xmsonormal"/>
        <w:shd w:val="clear" w:color="auto" w:fill="FFFFFF"/>
        <w:rPr>
          <w:rFonts w:ascii="Cambria" w:hAnsi="Cambria" w:cstheme="minorHAnsi"/>
        </w:rPr>
      </w:pPr>
      <w:r w:rsidRPr="00D2182F">
        <w:rPr>
          <w:rFonts w:ascii="Cambria" w:hAnsi="Cambria" w:cstheme="minorHAnsi"/>
        </w:rPr>
        <w:t xml:space="preserve">Owners and carers should check with their relevant animal health agency regarding their obligations to report changes to information kept in a PIC register. </w:t>
      </w:r>
    </w:p>
    <w:p w14:paraId="28139AFD" w14:textId="77777777" w:rsidR="00A1278C" w:rsidRPr="00D2182F" w:rsidRDefault="00A1278C" w:rsidP="00A1278C">
      <w:pPr>
        <w:pStyle w:val="xmsonormal"/>
        <w:shd w:val="clear" w:color="auto" w:fill="FFFFFF"/>
        <w:rPr>
          <w:rFonts w:ascii="Cambria" w:hAnsi="Cambria"/>
          <w:i/>
          <w:iCs/>
        </w:rPr>
      </w:pPr>
    </w:p>
    <w:p w14:paraId="132D95C2" w14:textId="77777777" w:rsidR="00A1278C" w:rsidRPr="00D2182F" w:rsidRDefault="00A1278C" w:rsidP="00A1278C">
      <w:pPr>
        <w:pStyle w:val="xmsonormal"/>
        <w:shd w:val="clear" w:color="auto" w:fill="FFFFFF"/>
        <w:rPr>
          <w:rFonts w:ascii="Cambria" w:hAnsi="Cambria"/>
          <w:i/>
          <w:iCs/>
        </w:rPr>
      </w:pPr>
      <w:r w:rsidRPr="00D2182F">
        <w:rPr>
          <w:rFonts w:ascii="Cambria" w:hAnsi="Cambria"/>
          <w:i/>
          <w:iCs/>
        </w:rPr>
        <w:t>Refer to Table 1 on page 9 for relevant State/Territory contact details and website links.</w:t>
      </w:r>
    </w:p>
    <w:p w14:paraId="56D6EFA5" w14:textId="77777777" w:rsidR="00A1278C" w:rsidRPr="00D2182F" w:rsidRDefault="00A1278C" w:rsidP="00A1278C">
      <w:pPr>
        <w:pStyle w:val="xmsonormal"/>
        <w:shd w:val="clear" w:color="auto" w:fill="FFFFFF"/>
        <w:rPr>
          <w:rFonts w:ascii="Cambria" w:hAnsi="Cambria"/>
          <w:b/>
          <w:bCs/>
        </w:rPr>
      </w:pPr>
    </w:p>
    <w:p w14:paraId="0EB46150"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Who should I contact to update my PIC details?</w:t>
      </w:r>
    </w:p>
    <w:p w14:paraId="390601C5" w14:textId="77777777" w:rsidR="00A1278C" w:rsidRPr="00D2182F" w:rsidRDefault="00A1278C" w:rsidP="00A1278C">
      <w:pPr>
        <w:pStyle w:val="xmsonormal"/>
        <w:shd w:val="clear" w:color="auto" w:fill="FFFFFF"/>
        <w:rPr>
          <w:rFonts w:ascii="Cambria" w:hAnsi="Cambria" w:cstheme="minorHAnsi"/>
        </w:rPr>
      </w:pPr>
    </w:p>
    <w:p w14:paraId="367EB5E3" w14:textId="77777777" w:rsidR="00A1278C" w:rsidRPr="00D2182F" w:rsidRDefault="00A1278C" w:rsidP="00A1278C">
      <w:pPr>
        <w:pStyle w:val="xmsonormal"/>
        <w:shd w:val="clear" w:color="auto" w:fill="FFFFFF"/>
        <w:rPr>
          <w:rFonts w:ascii="Cambria" w:hAnsi="Cambria" w:cstheme="minorHAnsi"/>
        </w:rPr>
      </w:pPr>
      <w:r w:rsidRPr="00D2182F">
        <w:rPr>
          <w:rFonts w:ascii="Cambria" w:hAnsi="Cambria" w:cstheme="minorHAnsi"/>
        </w:rPr>
        <w:t xml:space="preserve">Contact the relevant animal health agency </w:t>
      </w:r>
      <w:r w:rsidRPr="00D2182F">
        <w:rPr>
          <w:rFonts w:ascii="Cambria" w:hAnsi="Cambria" w:cstheme="minorHAnsi"/>
          <w:shd w:val="clear" w:color="auto" w:fill="FFFFFF"/>
        </w:rPr>
        <w:t>in your</w:t>
      </w:r>
      <w:r w:rsidRPr="00D2182F">
        <w:rPr>
          <w:rFonts w:ascii="Cambria" w:hAnsi="Cambria" w:cstheme="minorHAnsi"/>
          <w:bdr w:val="none" w:sz="0" w:space="0" w:color="auto" w:frame="1"/>
          <w:shd w:val="clear" w:color="auto" w:fill="FFFFFF"/>
        </w:rPr>
        <w:t> </w:t>
      </w:r>
      <w:r w:rsidRPr="00D2182F">
        <w:rPr>
          <w:rFonts w:ascii="Cambria" w:hAnsi="Cambria" w:cstheme="minorHAnsi"/>
        </w:rPr>
        <w:t xml:space="preserve">state or territory. </w:t>
      </w:r>
    </w:p>
    <w:p w14:paraId="36149EB5" w14:textId="77777777" w:rsidR="00A1278C" w:rsidRPr="00D2182F" w:rsidRDefault="00A1278C" w:rsidP="00A1278C">
      <w:pPr>
        <w:pStyle w:val="xmsonormal"/>
        <w:shd w:val="clear" w:color="auto" w:fill="FFFFFF"/>
        <w:rPr>
          <w:rFonts w:ascii="Cambria" w:hAnsi="Cambria" w:cstheme="minorHAnsi"/>
        </w:rPr>
      </w:pPr>
    </w:p>
    <w:p w14:paraId="5019460B" w14:textId="77777777" w:rsidR="00A1278C" w:rsidRPr="00D2182F" w:rsidRDefault="00A1278C" w:rsidP="00A1278C">
      <w:pPr>
        <w:pStyle w:val="xmsonormal"/>
        <w:shd w:val="clear" w:color="auto" w:fill="FFFFFF"/>
        <w:rPr>
          <w:rFonts w:ascii="Cambria" w:hAnsi="Cambria"/>
          <w:i/>
          <w:iCs/>
        </w:rPr>
      </w:pPr>
      <w:r w:rsidRPr="00D2182F">
        <w:rPr>
          <w:rFonts w:ascii="Cambria" w:hAnsi="Cambria"/>
          <w:i/>
          <w:iCs/>
        </w:rPr>
        <w:t>Refer to Table 1 on page 9 for relevant State/Territory contact details and website links.</w:t>
      </w:r>
    </w:p>
    <w:p w14:paraId="74A0E7FD" w14:textId="77777777" w:rsidR="00A1278C" w:rsidRPr="00D2182F" w:rsidRDefault="00A1278C" w:rsidP="00A1278C">
      <w:pPr>
        <w:pStyle w:val="xmsonormal"/>
        <w:shd w:val="clear" w:color="auto" w:fill="FFFFFF"/>
        <w:rPr>
          <w:rFonts w:ascii="Cambria" w:hAnsi="Cambria" w:cstheme="minorHAnsi"/>
        </w:rPr>
      </w:pPr>
      <w:r w:rsidRPr="00D2182F">
        <w:rPr>
          <w:rFonts w:ascii="Cambria" w:hAnsi="Cambria" w:cstheme="minorHAnsi"/>
        </w:rPr>
        <w:t xml:space="preserve"> </w:t>
      </w:r>
    </w:p>
    <w:p w14:paraId="5BF0C680"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How are horses traced today?</w:t>
      </w:r>
    </w:p>
    <w:p w14:paraId="3EFC046D" w14:textId="77777777" w:rsidR="00A1278C" w:rsidRPr="00D2182F" w:rsidRDefault="00A1278C" w:rsidP="00A1278C">
      <w:pPr>
        <w:pStyle w:val="xmsonormal"/>
        <w:shd w:val="clear" w:color="auto" w:fill="FFFFFF"/>
        <w:rPr>
          <w:rFonts w:ascii="Cambria" w:hAnsi="Cambria"/>
        </w:rPr>
      </w:pPr>
    </w:p>
    <w:p w14:paraId="6542A0F6" w14:textId="77777777" w:rsidR="00A1278C" w:rsidRPr="00D2182F" w:rsidRDefault="00A1278C" w:rsidP="00A1278C">
      <w:pPr>
        <w:pStyle w:val="xmsonormal"/>
        <w:shd w:val="clear" w:color="auto" w:fill="FFFFFF" w:themeFill="background1"/>
        <w:rPr>
          <w:rFonts w:ascii="Cambria" w:hAnsi="Cambria"/>
        </w:rPr>
      </w:pPr>
      <w:r w:rsidRPr="00D2182F">
        <w:rPr>
          <w:rFonts w:ascii="Cambria" w:hAnsi="Cambria"/>
        </w:rPr>
        <w:t>Currently, there is no formal NHTS in Australia. States and territories rely on their PIC system to identify where horses reside or have been located.</w:t>
      </w:r>
    </w:p>
    <w:p w14:paraId="4825F5A0" w14:textId="77777777" w:rsidR="00A1278C" w:rsidRPr="00D2182F" w:rsidRDefault="00A1278C" w:rsidP="00A1278C">
      <w:pPr>
        <w:pStyle w:val="xmsonormal"/>
        <w:shd w:val="clear" w:color="auto" w:fill="FFFFFF"/>
        <w:rPr>
          <w:rFonts w:ascii="Cambria" w:hAnsi="Cambria"/>
        </w:rPr>
      </w:pPr>
    </w:p>
    <w:p w14:paraId="734CE96B" w14:textId="77777777" w:rsidR="00A1278C" w:rsidRPr="00D2182F" w:rsidRDefault="00A1278C" w:rsidP="00A1278C">
      <w:pPr>
        <w:pStyle w:val="xmsonormal"/>
        <w:shd w:val="clear" w:color="auto" w:fill="FFFFFF"/>
        <w:rPr>
          <w:rFonts w:ascii="Cambria" w:hAnsi="Cambria"/>
        </w:rPr>
      </w:pPr>
      <w:r w:rsidRPr="00D2182F">
        <w:rPr>
          <w:rFonts w:ascii="Cambria" w:hAnsi="Cambria"/>
        </w:rPr>
        <w:t>Some sectors of the horse industry already have more advanced identification and traceability systems to support integrity and performance recording imperatives, such as the thoroughbred and harness racing industries.</w:t>
      </w:r>
    </w:p>
    <w:p w14:paraId="68A39618" w14:textId="77777777" w:rsidR="00A1278C" w:rsidRPr="00D2182F" w:rsidRDefault="00A1278C" w:rsidP="00A1278C">
      <w:pPr>
        <w:pStyle w:val="xmsonormal"/>
        <w:shd w:val="clear" w:color="auto" w:fill="FFFFFF"/>
        <w:rPr>
          <w:rFonts w:ascii="Cambria" w:hAnsi="Cambria"/>
        </w:rPr>
      </w:pPr>
    </w:p>
    <w:p w14:paraId="66C20A08" w14:textId="77777777" w:rsidR="00A1278C" w:rsidRPr="00D2182F" w:rsidRDefault="00A1278C" w:rsidP="00A1278C">
      <w:pPr>
        <w:spacing w:after="0" w:line="240" w:lineRule="auto"/>
      </w:pPr>
      <w:r w:rsidRPr="00D2182F">
        <w:t>There are currently no nationally consistent requirements relating to the keeping of records when horses move.   Movement recording used in conjunction with the PIC system will greatly enhance the ability of government authorities to trace horses during disease outbreaks and in times of natural disaster</w:t>
      </w:r>
      <w:r w:rsidRPr="00D2182F">
        <w:rPr>
          <w:shd w:val="clear" w:color="auto" w:fill="FFFFFF"/>
        </w:rPr>
        <w:t xml:space="preserve">. </w:t>
      </w:r>
    </w:p>
    <w:p w14:paraId="3D07C3A7" w14:textId="77777777" w:rsidR="00A1278C" w:rsidRPr="00D2182F" w:rsidRDefault="00A1278C" w:rsidP="00A1278C">
      <w:pPr>
        <w:pStyle w:val="xmsonormal"/>
        <w:shd w:val="clear" w:color="auto" w:fill="FFFFFF"/>
        <w:rPr>
          <w:rFonts w:ascii="Cambria" w:hAnsi="Cambria"/>
          <w:b/>
          <w:bCs/>
        </w:rPr>
      </w:pPr>
    </w:p>
    <w:p w14:paraId="6DE9A2F9"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How is PIC information currently used by state and territory governments?</w:t>
      </w:r>
    </w:p>
    <w:p w14:paraId="371E2B56" w14:textId="77777777" w:rsidR="00A1278C" w:rsidRPr="00D2182F" w:rsidRDefault="00A1278C" w:rsidP="00A1278C">
      <w:pPr>
        <w:pStyle w:val="xmsonormal"/>
        <w:shd w:val="clear" w:color="auto" w:fill="FFFFFF"/>
        <w:rPr>
          <w:rFonts w:ascii="Cambria" w:hAnsi="Cambria"/>
        </w:rPr>
      </w:pPr>
    </w:p>
    <w:p w14:paraId="1B7145E8" w14:textId="77777777" w:rsidR="00A1278C" w:rsidRPr="00D2182F" w:rsidRDefault="00A1278C" w:rsidP="00A1278C">
      <w:pPr>
        <w:pStyle w:val="xmsonormal"/>
        <w:shd w:val="clear" w:color="auto" w:fill="FFFFFF"/>
        <w:rPr>
          <w:rFonts w:ascii="Cambria" w:hAnsi="Cambria"/>
        </w:rPr>
      </w:pPr>
      <w:r w:rsidRPr="00D2182F">
        <w:rPr>
          <w:rFonts w:ascii="Cambria" w:hAnsi="Cambria"/>
        </w:rPr>
        <w:t>During an outbreak of an infectious horse disease or natural disaster, government agencies will use their PIC registers to identify affected properties with horses and other susceptible species.  Persons responsible for the care of livestock on these properties will be quickly contacted and their animals examined and tested, moved or returned home, as appropriate.</w:t>
      </w:r>
    </w:p>
    <w:p w14:paraId="63938994" w14:textId="77777777" w:rsidR="00A1278C" w:rsidRPr="00D2182F" w:rsidRDefault="00A1278C" w:rsidP="00A1278C">
      <w:pPr>
        <w:pStyle w:val="xmsonormal"/>
        <w:shd w:val="clear" w:color="auto" w:fill="FFFFFF"/>
        <w:rPr>
          <w:rFonts w:ascii="Cambria" w:hAnsi="Cambria"/>
        </w:rPr>
      </w:pPr>
    </w:p>
    <w:p w14:paraId="2E11EABA"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Why is it important that PIC details are kept up-to-date?</w:t>
      </w:r>
    </w:p>
    <w:p w14:paraId="0066B3FF" w14:textId="77777777" w:rsidR="00A1278C" w:rsidRPr="00D2182F" w:rsidRDefault="00A1278C" w:rsidP="00A1278C">
      <w:pPr>
        <w:pStyle w:val="xmsonormal"/>
        <w:shd w:val="clear" w:color="auto" w:fill="FFFFFF"/>
        <w:rPr>
          <w:rFonts w:ascii="Cambria" w:hAnsi="Cambria"/>
          <w:b/>
          <w:bCs/>
        </w:rPr>
      </w:pPr>
    </w:p>
    <w:p w14:paraId="7F13E99E" w14:textId="77777777" w:rsidR="00A1278C" w:rsidRPr="00D2182F" w:rsidRDefault="00A1278C" w:rsidP="00A1278C">
      <w:pPr>
        <w:pStyle w:val="xmsonormal"/>
        <w:shd w:val="clear" w:color="auto" w:fill="FFFFFF" w:themeFill="background1"/>
        <w:rPr>
          <w:rFonts w:ascii="Cambria" w:hAnsi="Cambria"/>
        </w:rPr>
      </w:pPr>
      <w:r w:rsidRPr="00D2182F">
        <w:rPr>
          <w:rFonts w:ascii="Cambria" w:hAnsi="Cambria"/>
        </w:rPr>
        <w:t xml:space="preserve">An accurate and up-to-date PIC system enables the location of properties on which horses or other susceptible species are kept to be quickly identified during a disease outbreak or natural disaster, which helps to protect horse health and welfare.  </w:t>
      </w:r>
    </w:p>
    <w:p w14:paraId="39F64424" w14:textId="77777777" w:rsidR="00A1278C" w:rsidRPr="00D2182F" w:rsidRDefault="00A1278C" w:rsidP="00A1278C">
      <w:pPr>
        <w:pStyle w:val="xmsonormal"/>
        <w:shd w:val="clear" w:color="auto" w:fill="FFFFFF"/>
        <w:rPr>
          <w:rFonts w:ascii="Cambria" w:hAnsi="Cambria"/>
        </w:rPr>
      </w:pPr>
    </w:p>
    <w:p w14:paraId="37A0F6F7"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If PIC details are not kept up-to-date, state and territory governments may not be able to identify affected properties and contact horse owners or carers to quickly locate horses when necessary.  </w:t>
      </w:r>
    </w:p>
    <w:p w14:paraId="352F2C0F" w14:textId="77777777" w:rsidR="00A1278C" w:rsidRPr="00D2182F" w:rsidRDefault="00A1278C" w:rsidP="00A1278C">
      <w:pPr>
        <w:pStyle w:val="xmsonormal"/>
        <w:shd w:val="clear" w:color="auto" w:fill="FFFFFF"/>
        <w:rPr>
          <w:rFonts w:ascii="Cambria" w:hAnsi="Cambria"/>
        </w:rPr>
      </w:pPr>
    </w:p>
    <w:p w14:paraId="6DBA1C7B"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What is the role of the PIC in a horse traceability system?</w:t>
      </w:r>
    </w:p>
    <w:p w14:paraId="17E37D24" w14:textId="77777777" w:rsidR="00A1278C" w:rsidRPr="00D2182F" w:rsidRDefault="00A1278C" w:rsidP="00A1278C">
      <w:pPr>
        <w:pStyle w:val="xmsonormal"/>
        <w:shd w:val="clear" w:color="auto" w:fill="FFFFFF"/>
        <w:rPr>
          <w:rFonts w:ascii="Cambria" w:hAnsi="Cambria"/>
          <w:b/>
          <w:bCs/>
        </w:rPr>
      </w:pPr>
    </w:p>
    <w:p w14:paraId="0D449BA2" w14:textId="77777777" w:rsidR="00A1278C" w:rsidRPr="00D2182F" w:rsidRDefault="00A1278C" w:rsidP="00A1278C">
      <w:pPr>
        <w:pStyle w:val="xmsonormal"/>
        <w:shd w:val="clear" w:color="auto" w:fill="FFFFFF"/>
        <w:rPr>
          <w:rFonts w:ascii="Cambria" w:hAnsi="Cambria"/>
        </w:rPr>
      </w:pPr>
      <w:r w:rsidRPr="00D2182F">
        <w:rPr>
          <w:rFonts w:ascii="Cambria" w:hAnsi="Cambria"/>
        </w:rPr>
        <w:t>A PIC identifies a parcel of land on which a horse/s (or other species) are kept and provides contact details for the owner/carer.</w:t>
      </w:r>
    </w:p>
    <w:p w14:paraId="1C134941" w14:textId="77777777" w:rsidR="00A1278C" w:rsidRPr="00D2182F" w:rsidRDefault="00A1278C" w:rsidP="00A1278C">
      <w:pPr>
        <w:pStyle w:val="xmsonormal"/>
        <w:shd w:val="clear" w:color="auto" w:fill="FFFFFF"/>
        <w:rPr>
          <w:rFonts w:ascii="Cambria" w:hAnsi="Cambria"/>
        </w:rPr>
      </w:pPr>
    </w:p>
    <w:p w14:paraId="2AEE0D52"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The PIC system enables the recording of movements of livestock between properties.  </w:t>
      </w:r>
    </w:p>
    <w:p w14:paraId="0981B9F1" w14:textId="77777777" w:rsidR="00A1278C" w:rsidRPr="00D2182F" w:rsidRDefault="00A1278C" w:rsidP="00A1278C">
      <w:pPr>
        <w:pStyle w:val="xmsonormal"/>
        <w:shd w:val="clear" w:color="auto" w:fill="FFFFFF"/>
        <w:rPr>
          <w:rFonts w:ascii="Cambria" w:hAnsi="Cambria"/>
        </w:rPr>
      </w:pPr>
    </w:p>
    <w:p w14:paraId="50C6FA0A"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Are there any current horse movement requirements in my state/territory?</w:t>
      </w:r>
    </w:p>
    <w:p w14:paraId="7C7320E7" w14:textId="77777777" w:rsidR="00A1278C" w:rsidRPr="00D2182F" w:rsidRDefault="00A1278C" w:rsidP="00A1278C">
      <w:pPr>
        <w:pStyle w:val="xmsonormal"/>
        <w:shd w:val="clear" w:color="auto" w:fill="FFFFFF"/>
        <w:rPr>
          <w:rFonts w:ascii="Cambria" w:hAnsi="Cambria"/>
        </w:rPr>
      </w:pPr>
    </w:p>
    <w:p w14:paraId="67C244DD"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In some states, for example Queensland and NSW, people moving horses may need to carry a waybill or Travelling Stock Statement.  </w:t>
      </w:r>
    </w:p>
    <w:p w14:paraId="22D8B15F" w14:textId="77777777" w:rsidR="00A1278C" w:rsidRPr="00D2182F" w:rsidRDefault="00A1278C" w:rsidP="00A1278C">
      <w:pPr>
        <w:pStyle w:val="xmsonormal"/>
        <w:shd w:val="clear" w:color="auto" w:fill="FFFFFF"/>
        <w:rPr>
          <w:rFonts w:ascii="Cambria" w:hAnsi="Cambria"/>
        </w:rPr>
      </w:pPr>
    </w:p>
    <w:p w14:paraId="6E19503E"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Check the website of the relevant government authority in the state/territory in which horses are to be moved to determine movement documentation requirements. </w:t>
      </w:r>
    </w:p>
    <w:p w14:paraId="5C284658" w14:textId="77777777" w:rsidR="00A1278C" w:rsidRPr="00D2182F" w:rsidRDefault="00A1278C" w:rsidP="00A1278C">
      <w:pPr>
        <w:pStyle w:val="xmsonormal"/>
        <w:shd w:val="clear" w:color="auto" w:fill="FFFFFF"/>
        <w:rPr>
          <w:rFonts w:ascii="Cambria" w:hAnsi="Cambria" w:cstheme="minorHAnsi"/>
        </w:rPr>
      </w:pPr>
    </w:p>
    <w:p w14:paraId="101F867F" w14:textId="77777777" w:rsidR="00A1278C" w:rsidRPr="00D2182F" w:rsidRDefault="00A1278C" w:rsidP="00A1278C">
      <w:pPr>
        <w:pStyle w:val="xmsonormal"/>
        <w:shd w:val="clear" w:color="auto" w:fill="FFFFFF"/>
        <w:rPr>
          <w:rFonts w:ascii="Cambria" w:hAnsi="Cambria"/>
          <w:i/>
          <w:iCs/>
        </w:rPr>
      </w:pPr>
      <w:r w:rsidRPr="00D2182F">
        <w:rPr>
          <w:rFonts w:ascii="Cambria" w:hAnsi="Cambria"/>
          <w:i/>
          <w:iCs/>
        </w:rPr>
        <w:t>Refer to Table 1 on page 9 for relevant State/Territory contact details and website links.</w:t>
      </w:r>
    </w:p>
    <w:p w14:paraId="24777886" w14:textId="77777777" w:rsidR="00A1278C" w:rsidRPr="00D2182F" w:rsidRDefault="00A1278C" w:rsidP="00A1278C">
      <w:pPr>
        <w:pStyle w:val="xmsonormal"/>
        <w:shd w:val="clear" w:color="auto" w:fill="FFFFFF"/>
        <w:rPr>
          <w:rFonts w:ascii="Cambria" w:hAnsi="Cambria"/>
        </w:rPr>
      </w:pPr>
    </w:p>
    <w:p w14:paraId="165783F9" w14:textId="77777777" w:rsidR="00A1278C" w:rsidRPr="00D2182F" w:rsidRDefault="00A1278C" w:rsidP="00A1278C">
      <w:pPr>
        <w:pStyle w:val="xmsonormal"/>
        <w:shd w:val="clear" w:color="auto" w:fill="FFFFFF"/>
        <w:rPr>
          <w:rFonts w:ascii="Cambria" w:hAnsi="Cambria"/>
          <w:b/>
          <w:bCs/>
        </w:rPr>
      </w:pPr>
    </w:p>
    <w:p w14:paraId="366EB263"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 xml:space="preserve">Do other countries have horse traceability systems? </w:t>
      </w:r>
    </w:p>
    <w:p w14:paraId="4FBE4C04" w14:textId="77777777" w:rsidR="00A1278C" w:rsidRPr="00D2182F" w:rsidRDefault="00A1278C" w:rsidP="00A1278C">
      <w:pPr>
        <w:pStyle w:val="xmsonormal"/>
        <w:shd w:val="clear" w:color="auto" w:fill="FFFFFF"/>
        <w:rPr>
          <w:rFonts w:ascii="Cambria" w:hAnsi="Cambria"/>
          <w:b/>
          <w:bCs/>
        </w:rPr>
      </w:pPr>
    </w:p>
    <w:p w14:paraId="52771D4E" w14:textId="77777777" w:rsidR="00A1278C" w:rsidRPr="00D2182F" w:rsidRDefault="00A1278C" w:rsidP="00A1278C">
      <w:pPr>
        <w:pStyle w:val="xmsonormal"/>
        <w:shd w:val="clear" w:color="auto" w:fill="FFFFFF"/>
        <w:rPr>
          <w:rFonts w:ascii="Cambria" w:hAnsi="Cambria"/>
        </w:rPr>
      </w:pPr>
      <w:r w:rsidRPr="00D2182F">
        <w:rPr>
          <w:rFonts w:ascii="Cambria" w:hAnsi="Cambria"/>
        </w:rPr>
        <w:t>Horse traceability systems operate in the UK, European Union and Canada. They each have differing objectives and obligations on horse owners and carers.</w:t>
      </w:r>
    </w:p>
    <w:p w14:paraId="3EAC09BC" w14:textId="77777777" w:rsidR="00A1278C" w:rsidRPr="00D2182F" w:rsidRDefault="00A1278C" w:rsidP="00A1278C">
      <w:pPr>
        <w:pStyle w:val="xmsonormal"/>
        <w:shd w:val="clear" w:color="auto" w:fill="FFFFFF"/>
        <w:rPr>
          <w:rFonts w:ascii="Cambria" w:hAnsi="Cambria"/>
          <w:b/>
          <w:bCs/>
        </w:rPr>
      </w:pPr>
    </w:p>
    <w:p w14:paraId="68FE4750"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What will a horse traceability system mean for me?</w:t>
      </w:r>
    </w:p>
    <w:p w14:paraId="7E02B5FB" w14:textId="77777777" w:rsidR="00A1278C" w:rsidRPr="00D2182F" w:rsidRDefault="00A1278C" w:rsidP="00A1278C">
      <w:pPr>
        <w:pStyle w:val="xmsonormal"/>
        <w:shd w:val="clear" w:color="auto" w:fill="FFFFFF"/>
        <w:rPr>
          <w:rFonts w:ascii="Cambria" w:hAnsi="Cambria"/>
          <w:b/>
          <w:bCs/>
        </w:rPr>
      </w:pPr>
    </w:p>
    <w:p w14:paraId="490C49EE"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The proposed NHTS will require that people keeping horses must have a PIC for the properties on which their horses reside.  This is currently the case in most states and territories.  </w:t>
      </w:r>
    </w:p>
    <w:p w14:paraId="777D1117" w14:textId="77777777" w:rsidR="00A1278C" w:rsidRPr="00D2182F" w:rsidRDefault="00A1278C" w:rsidP="00A1278C">
      <w:pPr>
        <w:pStyle w:val="xmsonormal"/>
        <w:shd w:val="clear" w:color="auto" w:fill="FFFFFF"/>
        <w:rPr>
          <w:rFonts w:ascii="Cambria" w:hAnsi="Cambria"/>
        </w:rPr>
      </w:pPr>
    </w:p>
    <w:p w14:paraId="14059333" w14:textId="77777777" w:rsidR="00A1278C" w:rsidRPr="00D2182F" w:rsidRDefault="00A1278C" w:rsidP="00A1278C">
      <w:pPr>
        <w:pStyle w:val="xmsonormal"/>
        <w:shd w:val="clear" w:color="auto" w:fill="FFFFFF" w:themeFill="background1"/>
        <w:rPr>
          <w:rFonts w:ascii="Cambria" w:hAnsi="Cambria"/>
        </w:rPr>
      </w:pPr>
      <w:r w:rsidRPr="00D2182F">
        <w:rPr>
          <w:rFonts w:ascii="Cambria" w:hAnsi="Cambria"/>
        </w:rPr>
        <w:t>They will also be required to create and retain records when horses move to a different PIC.</w:t>
      </w:r>
    </w:p>
    <w:p w14:paraId="34ECB81C" w14:textId="77777777" w:rsidR="00A1278C" w:rsidRPr="00D2182F" w:rsidRDefault="00A1278C" w:rsidP="00A1278C">
      <w:pPr>
        <w:pStyle w:val="xmsonormal"/>
        <w:shd w:val="clear" w:color="auto" w:fill="FFFFFF"/>
        <w:rPr>
          <w:rFonts w:ascii="Cambria" w:hAnsi="Cambria"/>
        </w:rPr>
      </w:pPr>
    </w:p>
    <w:p w14:paraId="785FE6EE" w14:textId="77777777" w:rsidR="00A1278C" w:rsidRPr="00D2182F" w:rsidRDefault="00A1278C" w:rsidP="00A1278C">
      <w:pPr>
        <w:pStyle w:val="xmsonormal"/>
        <w:shd w:val="clear" w:color="auto" w:fill="FFFFFF"/>
        <w:rPr>
          <w:rFonts w:ascii="Cambria" w:hAnsi="Cambria"/>
        </w:rPr>
      </w:pPr>
      <w:r w:rsidRPr="00D2182F">
        <w:rPr>
          <w:rFonts w:ascii="Cambria" w:hAnsi="Cambria"/>
        </w:rPr>
        <w:t>These measures will enable horses to be traced more quickly during disease outbreaks, minimising the economic impact and protecting their health and welfare.</w:t>
      </w:r>
    </w:p>
    <w:p w14:paraId="122B33B9" w14:textId="77777777" w:rsidR="00A1278C" w:rsidRPr="00D2182F" w:rsidRDefault="00A1278C" w:rsidP="00A1278C">
      <w:pPr>
        <w:pStyle w:val="xmsonormal"/>
        <w:shd w:val="clear" w:color="auto" w:fill="FFFFFF"/>
        <w:rPr>
          <w:rFonts w:ascii="Cambria" w:hAnsi="Cambria"/>
        </w:rPr>
      </w:pPr>
    </w:p>
    <w:p w14:paraId="1E6BEC0B"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What new requirements will be proposed that do not currently apply?</w:t>
      </w:r>
    </w:p>
    <w:p w14:paraId="2D4B1F70" w14:textId="77777777" w:rsidR="00A1278C" w:rsidRPr="00D2182F" w:rsidRDefault="00A1278C" w:rsidP="00A1278C">
      <w:pPr>
        <w:pStyle w:val="xmsonormal"/>
        <w:shd w:val="clear" w:color="auto" w:fill="FFFFFF"/>
        <w:rPr>
          <w:rFonts w:ascii="Cambria" w:hAnsi="Cambria"/>
          <w:b/>
          <w:bCs/>
        </w:rPr>
      </w:pPr>
    </w:p>
    <w:p w14:paraId="3601E36E" w14:textId="77777777" w:rsidR="00A1278C" w:rsidRPr="00D2182F" w:rsidRDefault="00A1278C" w:rsidP="00A1278C">
      <w:pPr>
        <w:numPr>
          <w:ilvl w:val="0"/>
          <w:numId w:val="62"/>
        </w:numPr>
        <w:shd w:val="clear" w:color="auto" w:fill="FFFFFF"/>
        <w:spacing w:after="0" w:line="240" w:lineRule="auto"/>
        <w:rPr>
          <w:rFonts w:eastAsia="Times New Roman" w:cstheme="minorHAnsi"/>
          <w:lang w:eastAsia="en-AU"/>
        </w:rPr>
      </w:pPr>
      <w:r w:rsidRPr="00D2182F">
        <w:rPr>
          <w:rFonts w:eastAsia="Times New Roman" w:cstheme="minorHAnsi"/>
          <w:lang w:eastAsia="en-AU"/>
        </w:rPr>
        <w:t>Introducing uniform national PIC related business rules for properties and other locations where horses reside.</w:t>
      </w:r>
    </w:p>
    <w:p w14:paraId="017EC157" w14:textId="77777777" w:rsidR="00A1278C" w:rsidRPr="00D2182F" w:rsidRDefault="00A1278C" w:rsidP="00A1278C">
      <w:pPr>
        <w:pStyle w:val="ListParagraph"/>
        <w:numPr>
          <w:ilvl w:val="0"/>
          <w:numId w:val="62"/>
        </w:numPr>
        <w:rPr>
          <w:rStyle w:val="eop"/>
          <w:rFonts w:ascii="Cambria" w:hAnsi="Cambria"/>
        </w:rPr>
      </w:pPr>
      <w:r w:rsidRPr="00D2182F">
        <w:rPr>
          <w:rStyle w:val="normaltextrun"/>
          <w:rFonts w:ascii="Cambria" w:eastAsia="Times New Roman" w:hAnsi="Cambria"/>
        </w:rPr>
        <w:t>Improving traceability through mandatory recording of PICs by competitors at horse events.</w:t>
      </w:r>
      <w:r w:rsidRPr="00D2182F">
        <w:rPr>
          <w:rStyle w:val="eop"/>
          <w:rFonts w:ascii="Cambria" w:eastAsia="Times New Roman" w:hAnsi="Cambria"/>
        </w:rPr>
        <w:t> </w:t>
      </w:r>
    </w:p>
    <w:p w14:paraId="76CBD9EE" w14:textId="77777777" w:rsidR="00A1278C" w:rsidRPr="00D2182F" w:rsidRDefault="00A1278C" w:rsidP="00A1278C">
      <w:pPr>
        <w:numPr>
          <w:ilvl w:val="0"/>
          <w:numId w:val="62"/>
        </w:numPr>
        <w:shd w:val="clear" w:color="auto" w:fill="FFFFFF"/>
        <w:spacing w:after="0" w:line="240" w:lineRule="auto"/>
        <w:rPr>
          <w:rFonts w:eastAsia="Times New Roman" w:cstheme="minorHAnsi"/>
          <w:lang w:eastAsia="en-AU"/>
        </w:rPr>
      </w:pPr>
      <w:r w:rsidRPr="00D2182F">
        <w:rPr>
          <w:rFonts w:eastAsia="Times New Roman" w:cstheme="minorHAnsi"/>
          <w:lang w:eastAsia="en-AU"/>
        </w:rPr>
        <w:lastRenderedPageBreak/>
        <w:t>Requiring horse movement information to be recorded and retained by all sectors of the horse industry/community.</w:t>
      </w:r>
    </w:p>
    <w:p w14:paraId="05746991" w14:textId="77777777" w:rsidR="00A1278C" w:rsidRPr="00D2182F" w:rsidRDefault="00A1278C" w:rsidP="00A1278C">
      <w:pPr>
        <w:pStyle w:val="xmsonormal"/>
        <w:shd w:val="clear" w:color="auto" w:fill="FFFFFF"/>
        <w:rPr>
          <w:rFonts w:ascii="Cambria" w:hAnsi="Cambria"/>
          <w:b/>
          <w:bCs/>
        </w:rPr>
      </w:pPr>
    </w:p>
    <w:p w14:paraId="5E02801E"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 xml:space="preserve">What is the cost of national horse traceability system? </w:t>
      </w:r>
    </w:p>
    <w:p w14:paraId="20F9F1B1" w14:textId="77777777" w:rsidR="00A1278C" w:rsidRPr="00D2182F" w:rsidRDefault="00A1278C" w:rsidP="00A1278C">
      <w:pPr>
        <w:pStyle w:val="xmsonormal"/>
        <w:shd w:val="clear" w:color="auto" w:fill="FFFFFF"/>
        <w:rPr>
          <w:rFonts w:ascii="Cambria" w:hAnsi="Cambria"/>
          <w:b/>
          <w:bCs/>
        </w:rPr>
      </w:pPr>
    </w:p>
    <w:p w14:paraId="2FB9D145" w14:textId="77777777" w:rsidR="00A1278C" w:rsidRPr="00D2182F" w:rsidRDefault="00A1278C" w:rsidP="00A1278C">
      <w:pPr>
        <w:pStyle w:val="xmsonormal"/>
        <w:shd w:val="clear" w:color="auto" w:fill="FFFFFF"/>
        <w:rPr>
          <w:rFonts w:ascii="Cambria" w:hAnsi="Cambria" w:cstheme="minorHAnsi"/>
        </w:rPr>
      </w:pPr>
      <w:r w:rsidRPr="00D2182F">
        <w:rPr>
          <w:rFonts w:ascii="Cambria" w:hAnsi="Cambria" w:cstheme="minorHAnsi"/>
        </w:rPr>
        <w:t>A consultant has been engaged</w:t>
      </w:r>
      <w:r w:rsidRPr="00D2182F">
        <w:rPr>
          <w:rFonts w:ascii="Cambria" w:hAnsi="Cambria" w:cstheme="minorHAnsi"/>
          <w:shd w:val="clear" w:color="auto" w:fill="FFFFFF"/>
        </w:rPr>
        <w:t xml:space="preserve"> to </w:t>
      </w:r>
      <w:r w:rsidRPr="00D2182F">
        <w:rPr>
          <w:rFonts w:ascii="Cambria" w:eastAsia="Times New Roman" w:hAnsi="Cambria" w:cstheme="minorHAnsi"/>
        </w:rPr>
        <w:t>quantify the costs of establishing a base level NHTS using state and territory PIC registers and industry-maintained movement records, as well as a more advanced microchip-based system supported by a national horse ownership and movement database</w:t>
      </w:r>
      <w:r w:rsidRPr="00D2182F">
        <w:rPr>
          <w:rFonts w:ascii="Cambria" w:hAnsi="Cambria" w:cstheme="minorHAnsi"/>
        </w:rPr>
        <w:t>. This will inform the Working Group’s recommendations to Agriculture ministers.</w:t>
      </w:r>
    </w:p>
    <w:p w14:paraId="069DFFDD" w14:textId="77777777" w:rsidR="00A1278C" w:rsidRPr="00D2182F" w:rsidRDefault="00A1278C" w:rsidP="00A1278C">
      <w:pPr>
        <w:pStyle w:val="xmsonormal"/>
        <w:shd w:val="clear" w:color="auto" w:fill="FFFFFF"/>
        <w:rPr>
          <w:rFonts w:ascii="Cambria" w:hAnsi="Cambria" w:cstheme="minorHAnsi"/>
        </w:rPr>
      </w:pPr>
    </w:p>
    <w:p w14:paraId="766D72CF" w14:textId="77777777" w:rsidR="00A1278C" w:rsidRPr="00D2182F" w:rsidRDefault="00A1278C" w:rsidP="00A1278C">
      <w:pPr>
        <w:pStyle w:val="xmsonormal"/>
        <w:shd w:val="clear" w:color="auto" w:fill="FFFFFF"/>
        <w:rPr>
          <w:rFonts w:ascii="Cambria" w:hAnsi="Cambria"/>
        </w:rPr>
      </w:pPr>
      <w:r w:rsidRPr="00D2182F">
        <w:rPr>
          <w:rFonts w:ascii="Cambria" w:hAnsi="Cambria"/>
        </w:rPr>
        <w:t>Components of the NHTS may require additional funding including communications, and monitoring and enforcement of regulatory requirements.</w:t>
      </w:r>
    </w:p>
    <w:p w14:paraId="5FDA71DF" w14:textId="77777777" w:rsidR="00A1278C" w:rsidRPr="00D2182F" w:rsidRDefault="00A1278C" w:rsidP="00A1278C">
      <w:pPr>
        <w:pStyle w:val="xmsonormal"/>
        <w:shd w:val="clear" w:color="auto" w:fill="FFFFFF"/>
        <w:rPr>
          <w:rFonts w:ascii="Cambria" w:hAnsi="Cambria"/>
        </w:rPr>
      </w:pPr>
    </w:p>
    <w:p w14:paraId="5A4F6FD2"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An on-going communications effort will be needed to ensure that people who own properties on which horses are kept and who care for horses understand their obligations relating to obtaining and maintaining a PIC.  </w:t>
      </w:r>
    </w:p>
    <w:p w14:paraId="3481B623" w14:textId="77777777" w:rsidR="00A1278C" w:rsidRPr="00D2182F" w:rsidRDefault="00A1278C" w:rsidP="00A1278C">
      <w:pPr>
        <w:pStyle w:val="xmsonormal"/>
        <w:shd w:val="clear" w:color="auto" w:fill="FFFFFF"/>
        <w:rPr>
          <w:rFonts w:ascii="Cambria" w:hAnsi="Cambria"/>
        </w:rPr>
      </w:pPr>
    </w:p>
    <w:p w14:paraId="6F35374D" w14:textId="77777777" w:rsidR="00A1278C" w:rsidRPr="00D2182F" w:rsidRDefault="00A1278C" w:rsidP="00A1278C">
      <w:pPr>
        <w:pStyle w:val="xmsonormal"/>
        <w:shd w:val="clear" w:color="auto" w:fill="FFFFFF"/>
        <w:rPr>
          <w:rFonts w:ascii="Cambria" w:hAnsi="Cambria"/>
          <w:b/>
          <w:bCs/>
        </w:rPr>
      </w:pPr>
      <w:r w:rsidRPr="00D2182F">
        <w:rPr>
          <w:rFonts w:ascii="Cambria" w:hAnsi="Cambria"/>
        </w:rPr>
        <w:t xml:space="preserve">On-going effort will also be needed to ensure adequate communication and extension is provided, as well as monitoring the compliance of industry participants with movement recording obligations.  </w:t>
      </w:r>
    </w:p>
    <w:p w14:paraId="679775F6" w14:textId="77777777" w:rsidR="00A1278C" w:rsidRPr="00D2182F" w:rsidRDefault="00A1278C" w:rsidP="00A1278C">
      <w:pPr>
        <w:pStyle w:val="xmsonormal"/>
        <w:shd w:val="clear" w:color="auto" w:fill="FFFFFF"/>
        <w:rPr>
          <w:rFonts w:ascii="Cambria" w:hAnsi="Cambria"/>
          <w:b/>
          <w:bCs/>
        </w:rPr>
      </w:pPr>
    </w:p>
    <w:p w14:paraId="38955B46"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How will my horse be identified in a horse traceability system?</w:t>
      </w:r>
    </w:p>
    <w:p w14:paraId="54DB5E66" w14:textId="77777777" w:rsidR="00A1278C" w:rsidRPr="00D2182F" w:rsidRDefault="00A1278C" w:rsidP="00A1278C">
      <w:pPr>
        <w:pStyle w:val="xmsonormal"/>
        <w:shd w:val="clear" w:color="auto" w:fill="FFFFFF"/>
        <w:rPr>
          <w:rFonts w:ascii="Cambria" w:hAnsi="Cambria"/>
        </w:rPr>
      </w:pPr>
    </w:p>
    <w:p w14:paraId="7EC16450"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Horses are typically managed on an individual or small group basis. The identity of horses that are moving between properties could be recorded for traceability purposes using identification descriptions such as breed, gender, colour, markings, brands, and where possible or required, microchip details.  </w:t>
      </w:r>
    </w:p>
    <w:p w14:paraId="5C325B87" w14:textId="77777777" w:rsidR="00A1278C" w:rsidRPr="00D2182F" w:rsidRDefault="00A1278C" w:rsidP="00A1278C">
      <w:pPr>
        <w:pStyle w:val="xmsonormal"/>
        <w:shd w:val="clear" w:color="auto" w:fill="FFFFFF"/>
        <w:rPr>
          <w:rFonts w:ascii="Cambria" w:hAnsi="Cambria"/>
        </w:rPr>
      </w:pPr>
    </w:p>
    <w:p w14:paraId="12EE3DA9"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How will the users of the horse traceability system handle my information?</w:t>
      </w:r>
    </w:p>
    <w:p w14:paraId="58C03A49" w14:textId="77777777" w:rsidR="00A1278C" w:rsidRPr="00D2182F" w:rsidRDefault="00A1278C" w:rsidP="00A1278C">
      <w:pPr>
        <w:pStyle w:val="xmsonormal"/>
        <w:shd w:val="clear" w:color="auto" w:fill="FFFFFF"/>
        <w:rPr>
          <w:rFonts w:ascii="Cambria" w:hAnsi="Cambria"/>
          <w:b/>
          <w:bCs/>
        </w:rPr>
      </w:pPr>
    </w:p>
    <w:p w14:paraId="6188DDB5" w14:textId="77777777" w:rsidR="00A1278C" w:rsidRPr="00D2182F" w:rsidRDefault="00A1278C" w:rsidP="00A1278C">
      <w:pPr>
        <w:pStyle w:val="xmsonormal"/>
        <w:shd w:val="clear" w:color="auto" w:fill="FFFFFF"/>
        <w:rPr>
          <w:rFonts w:ascii="Cambria" w:hAnsi="Cambria"/>
        </w:rPr>
      </w:pPr>
      <w:r w:rsidRPr="00D2182F">
        <w:rPr>
          <w:rFonts w:ascii="Cambria" w:hAnsi="Cambria"/>
        </w:rPr>
        <w:t>In the event of an emergency, to support disease surveillance or for monitoring and enforcement purposes, only state and territory governments will have access to PIC information held on their PIC registers.  They may also require copies of movement records.</w:t>
      </w:r>
    </w:p>
    <w:p w14:paraId="5AAE44C4" w14:textId="77777777" w:rsidR="00A1278C" w:rsidRPr="00D2182F" w:rsidRDefault="00A1278C" w:rsidP="00A1278C">
      <w:pPr>
        <w:pStyle w:val="xmsonormal"/>
        <w:shd w:val="clear" w:color="auto" w:fill="FFFFFF"/>
        <w:rPr>
          <w:rFonts w:ascii="Cambria" w:hAnsi="Cambria"/>
        </w:rPr>
      </w:pPr>
    </w:p>
    <w:p w14:paraId="6A90EF23" w14:textId="77777777" w:rsidR="00A1278C" w:rsidRPr="00D2182F" w:rsidRDefault="00A1278C" w:rsidP="00A1278C">
      <w:pPr>
        <w:pStyle w:val="xmsonormal"/>
        <w:shd w:val="clear" w:color="auto" w:fill="FFFFFF"/>
        <w:rPr>
          <w:rFonts w:ascii="Cambria" w:hAnsi="Cambria"/>
        </w:rPr>
      </w:pPr>
      <w:r w:rsidRPr="00D2182F">
        <w:rPr>
          <w:rFonts w:ascii="Cambria" w:hAnsi="Cambria"/>
        </w:rPr>
        <w:t>Industry held movement information provided by industry participants as part of a proposed NHTS will be governed by state and territory privacy provisions and can only be utilised by authorised officers.</w:t>
      </w:r>
    </w:p>
    <w:p w14:paraId="55330D0C" w14:textId="77777777" w:rsidR="00A1278C" w:rsidRPr="00D2182F" w:rsidRDefault="00A1278C" w:rsidP="00A1278C">
      <w:pPr>
        <w:pStyle w:val="xmsonormal"/>
        <w:shd w:val="clear" w:color="auto" w:fill="FFFFFF"/>
        <w:rPr>
          <w:rFonts w:ascii="Cambria" w:hAnsi="Cambria"/>
          <w:b/>
          <w:bCs/>
        </w:rPr>
      </w:pPr>
    </w:p>
    <w:p w14:paraId="22885E74"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t>When will the horse traceability system be live?</w:t>
      </w:r>
    </w:p>
    <w:p w14:paraId="649C3A7E" w14:textId="77777777" w:rsidR="00A1278C" w:rsidRPr="00D2182F" w:rsidRDefault="00A1278C" w:rsidP="00A1278C">
      <w:pPr>
        <w:pStyle w:val="xmsonormal"/>
        <w:shd w:val="clear" w:color="auto" w:fill="FFFFFF"/>
        <w:rPr>
          <w:rFonts w:ascii="Cambria" w:hAnsi="Cambria"/>
          <w:b/>
          <w:bCs/>
        </w:rPr>
      </w:pPr>
    </w:p>
    <w:p w14:paraId="587CD002" w14:textId="77777777" w:rsidR="00A1278C" w:rsidRPr="00D2182F" w:rsidRDefault="00A1278C" w:rsidP="00A1278C">
      <w:pPr>
        <w:pStyle w:val="xmsonormal"/>
        <w:shd w:val="clear" w:color="auto" w:fill="FFFFFF"/>
        <w:rPr>
          <w:rFonts w:ascii="Cambria" w:hAnsi="Cambria"/>
        </w:rPr>
      </w:pPr>
      <w:r w:rsidRPr="00D2182F">
        <w:rPr>
          <w:rFonts w:ascii="Cambria" w:hAnsi="Cambria"/>
        </w:rPr>
        <w:t xml:space="preserve">The Working Group’s role is to make recommendations on the design and introduction of a NHTS. The Working Group will provide recommendations to Agriculture Ministers in the coming months.  These recommendations will be considered and decided upon by Agriculture Ministers, followed by implementation on the agreed date.  </w:t>
      </w:r>
    </w:p>
    <w:p w14:paraId="4744CD92" w14:textId="77777777" w:rsidR="00A1278C" w:rsidRPr="00D2182F" w:rsidRDefault="00A1278C" w:rsidP="00A1278C">
      <w:pPr>
        <w:pStyle w:val="xmsonormal"/>
        <w:shd w:val="clear" w:color="auto" w:fill="FFFFFF"/>
        <w:rPr>
          <w:rFonts w:ascii="Cambria" w:hAnsi="Cambria"/>
        </w:rPr>
      </w:pPr>
    </w:p>
    <w:p w14:paraId="358F22A5" w14:textId="77777777" w:rsidR="00A1278C" w:rsidRPr="00D2182F" w:rsidRDefault="00A1278C" w:rsidP="00A1278C">
      <w:pPr>
        <w:pStyle w:val="xmsonormal"/>
        <w:shd w:val="clear" w:color="auto" w:fill="FFFFFF"/>
        <w:rPr>
          <w:rFonts w:ascii="Cambria" w:hAnsi="Cambria"/>
        </w:rPr>
      </w:pPr>
      <w:r w:rsidRPr="00D2182F">
        <w:rPr>
          <w:rFonts w:ascii="Cambria" w:hAnsi="Cambria"/>
          <w:b/>
          <w:bCs/>
        </w:rPr>
        <w:t>Refer to Table 1 below for State/Territory contact details and website links</w:t>
      </w:r>
    </w:p>
    <w:p w14:paraId="4F30EE28" w14:textId="77777777" w:rsidR="00A1278C" w:rsidRPr="00D2182F" w:rsidRDefault="00A1278C" w:rsidP="00A1278C">
      <w:pPr>
        <w:pStyle w:val="xmsonormal"/>
        <w:shd w:val="clear" w:color="auto" w:fill="FFFFFF"/>
        <w:rPr>
          <w:rFonts w:ascii="Cambria" w:hAnsi="Cambria"/>
        </w:rPr>
      </w:pPr>
    </w:p>
    <w:p w14:paraId="232D42AF" w14:textId="77777777" w:rsidR="00A1278C" w:rsidRPr="00D2182F" w:rsidRDefault="00A1278C" w:rsidP="00A1278C">
      <w:pPr>
        <w:pStyle w:val="xmsonormal"/>
        <w:shd w:val="clear" w:color="auto" w:fill="FFFFFF"/>
        <w:rPr>
          <w:rFonts w:ascii="Cambria" w:hAnsi="Cambria"/>
          <w:b/>
          <w:bCs/>
        </w:rPr>
      </w:pPr>
      <w:r w:rsidRPr="00D2182F">
        <w:rPr>
          <w:rFonts w:ascii="Cambria" w:hAnsi="Cambria"/>
          <w:b/>
          <w:bCs/>
        </w:rPr>
        <w:br w:type="column"/>
      </w:r>
      <w:r w:rsidRPr="00D2182F">
        <w:rPr>
          <w:rFonts w:ascii="Cambria" w:hAnsi="Cambria"/>
          <w:b/>
          <w:bCs/>
        </w:rPr>
        <w:lastRenderedPageBreak/>
        <w:t>Table 1 - State/Territory contact details and website links</w:t>
      </w:r>
    </w:p>
    <w:p w14:paraId="1A63F85C" w14:textId="77777777" w:rsidR="00A1278C" w:rsidRPr="00D2182F" w:rsidRDefault="00A1278C" w:rsidP="00A1278C">
      <w:pPr>
        <w:pStyle w:val="xmsonormal"/>
        <w:shd w:val="clear" w:color="auto" w:fill="FFFFFF"/>
        <w:rPr>
          <w:rFonts w:ascii="Cambria" w:hAnsi="Cambria"/>
          <w:b/>
          <w:bCs/>
        </w:rPr>
      </w:pPr>
    </w:p>
    <w:tbl>
      <w:tblPr>
        <w:tblStyle w:val="TableGrid10"/>
        <w:tblW w:w="9677" w:type="dxa"/>
        <w:tblLook w:val="04A0" w:firstRow="1" w:lastRow="0" w:firstColumn="1" w:lastColumn="0" w:noHBand="0" w:noVBand="1"/>
      </w:tblPr>
      <w:tblGrid>
        <w:gridCol w:w="1967"/>
        <w:gridCol w:w="1494"/>
        <w:gridCol w:w="6216"/>
      </w:tblGrid>
      <w:tr w:rsidR="00A1278C" w:rsidRPr="00024C92" w14:paraId="791C819F" w14:textId="77777777" w:rsidTr="00BE0798">
        <w:tc>
          <w:tcPr>
            <w:tcW w:w="2122" w:type="dxa"/>
          </w:tcPr>
          <w:p w14:paraId="083BB186" w14:textId="77777777" w:rsidR="00A1278C" w:rsidRPr="00D2182F" w:rsidRDefault="00A1278C" w:rsidP="00BE0798">
            <w:pPr>
              <w:keepNext/>
              <w:keepLines/>
              <w:shd w:val="clear" w:color="auto" w:fill="FFFFFF"/>
              <w:spacing w:after="0" w:line="420" w:lineRule="atLeast"/>
              <w:textAlignment w:val="baseline"/>
              <w:outlineLvl w:val="2"/>
              <w:rPr>
                <w:rFonts w:ascii="Cambria" w:hAnsi="Cambria" w:cstheme="minorHAnsi"/>
                <w:b/>
                <w:bCs/>
                <w:sz w:val="16"/>
                <w:szCs w:val="16"/>
                <w:lang w:eastAsia="en-AU"/>
              </w:rPr>
            </w:pPr>
            <w:r w:rsidRPr="00D2182F">
              <w:rPr>
                <w:rFonts w:ascii="Cambria" w:hAnsi="Cambria" w:cstheme="minorHAnsi"/>
                <w:b/>
                <w:bCs/>
                <w:sz w:val="16"/>
                <w:szCs w:val="16"/>
                <w:lang w:eastAsia="en-AU"/>
              </w:rPr>
              <w:t>State/Territory</w:t>
            </w:r>
          </w:p>
        </w:tc>
        <w:tc>
          <w:tcPr>
            <w:tcW w:w="1609" w:type="dxa"/>
          </w:tcPr>
          <w:p w14:paraId="75161BD2"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b/>
                <w:bCs/>
                <w:sz w:val="16"/>
                <w:szCs w:val="16"/>
                <w:lang w:eastAsia="en-AU"/>
              </w:rPr>
            </w:pPr>
            <w:r w:rsidRPr="00D2182F">
              <w:rPr>
                <w:rFonts w:ascii="Cambria" w:hAnsi="Cambria" w:cstheme="minorHAnsi"/>
                <w:b/>
                <w:bCs/>
                <w:sz w:val="16"/>
                <w:szCs w:val="16"/>
                <w:lang w:eastAsia="en-AU"/>
              </w:rPr>
              <w:t>Contact phone number</w:t>
            </w:r>
          </w:p>
        </w:tc>
        <w:tc>
          <w:tcPr>
            <w:tcW w:w="5946" w:type="dxa"/>
          </w:tcPr>
          <w:p w14:paraId="6C3645B1" w14:textId="77777777" w:rsidR="00A1278C" w:rsidRPr="00D2182F" w:rsidRDefault="00A1278C" w:rsidP="00BE0798">
            <w:pPr>
              <w:keepNext/>
              <w:keepLines/>
              <w:shd w:val="clear" w:color="auto" w:fill="FFFFFF"/>
              <w:spacing w:after="0" w:line="420" w:lineRule="atLeast"/>
              <w:textAlignment w:val="baseline"/>
              <w:outlineLvl w:val="2"/>
              <w:rPr>
                <w:rFonts w:ascii="Cambria" w:hAnsi="Cambria" w:cstheme="minorHAnsi"/>
                <w:b/>
                <w:bCs/>
                <w:sz w:val="16"/>
                <w:szCs w:val="16"/>
                <w:lang w:eastAsia="en-AU"/>
              </w:rPr>
            </w:pPr>
            <w:r w:rsidRPr="00D2182F">
              <w:rPr>
                <w:rFonts w:ascii="Cambria" w:hAnsi="Cambria" w:cstheme="minorHAnsi"/>
                <w:b/>
                <w:bCs/>
                <w:sz w:val="16"/>
                <w:szCs w:val="16"/>
                <w:lang w:eastAsia="en-AU"/>
              </w:rPr>
              <w:t>Website to apply for a Property Identification Code</w:t>
            </w:r>
          </w:p>
        </w:tc>
      </w:tr>
      <w:tr w:rsidR="00A1278C" w:rsidRPr="00024C92" w14:paraId="28179105" w14:textId="77777777" w:rsidTr="00BE0798">
        <w:tc>
          <w:tcPr>
            <w:tcW w:w="2122" w:type="dxa"/>
          </w:tcPr>
          <w:p w14:paraId="55A5A75F"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Australian Capital Territory</w:t>
            </w:r>
          </w:p>
          <w:p w14:paraId="4F12D608"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p>
          <w:p w14:paraId="20A9C7AD" w14:textId="77777777" w:rsidR="00A1278C" w:rsidRPr="00D2182F" w:rsidRDefault="00CF6E4C" w:rsidP="00BE0798">
            <w:pPr>
              <w:keepNext/>
              <w:keepLines/>
              <w:shd w:val="clear" w:color="auto" w:fill="FFFFFF"/>
              <w:spacing w:after="0" w:line="259" w:lineRule="auto"/>
              <w:textAlignment w:val="baseline"/>
              <w:outlineLvl w:val="2"/>
              <w:rPr>
                <w:rFonts w:ascii="Cambria" w:eastAsiaTheme="majorEastAsia" w:hAnsi="Cambria" w:cstheme="minorHAnsi"/>
                <w:sz w:val="16"/>
                <w:szCs w:val="16"/>
                <w:lang w:eastAsia="en-AU"/>
              </w:rPr>
            </w:pPr>
            <w:hyperlink r:id="rId29" w:tgtFrame="_blank" w:tooltip="Environment, Planning and Sustainable Development Directorate – Environment" w:history="1">
              <w:r w:rsidR="00A1278C" w:rsidRPr="00D2182F">
                <w:rPr>
                  <w:rFonts w:ascii="Cambria" w:hAnsi="Cambria" w:cstheme="minorHAnsi"/>
                  <w:sz w:val="16"/>
                  <w:szCs w:val="16"/>
                  <w:lang w:eastAsia="en-AU"/>
                </w:rPr>
                <w:t>Environment, Planning and Sustainable Development Directorate – Environment</w:t>
              </w:r>
            </w:hyperlink>
          </w:p>
        </w:tc>
        <w:tc>
          <w:tcPr>
            <w:tcW w:w="1609" w:type="dxa"/>
          </w:tcPr>
          <w:p w14:paraId="2C5DF85D"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Phone: (02) 6205 3737</w:t>
            </w:r>
          </w:p>
        </w:tc>
        <w:tc>
          <w:tcPr>
            <w:tcW w:w="5946" w:type="dxa"/>
          </w:tcPr>
          <w:p w14:paraId="2C0DCA53" w14:textId="77777777" w:rsidR="00A1278C" w:rsidRPr="00D2182F" w:rsidRDefault="00CF6E4C" w:rsidP="00BE0798">
            <w:pPr>
              <w:spacing w:after="0" w:line="240" w:lineRule="auto"/>
              <w:rPr>
                <w:rFonts w:ascii="Cambria" w:hAnsi="Cambria" w:cstheme="minorHAnsi"/>
                <w:sz w:val="16"/>
                <w:szCs w:val="16"/>
                <w:lang w:eastAsia="en-AU"/>
              </w:rPr>
            </w:pPr>
            <w:hyperlink r:id="rId30" w:anchor="PIC" w:history="1">
              <w:r w:rsidR="00A1278C" w:rsidRPr="00D2182F">
                <w:rPr>
                  <w:rFonts w:ascii="Cambria" w:hAnsi="Cambria" w:cstheme="minorHAnsi"/>
                  <w:sz w:val="16"/>
                  <w:szCs w:val="16"/>
                  <w:u w:val="single"/>
                  <w:lang w:eastAsia="en-AU"/>
                </w:rPr>
                <w:t>https://www.environment.act.gov.au/parks-conservation/plants-and-animals/Biosecurity/animal-health/livestock-management#PIC</w:t>
              </w:r>
            </w:hyperlink>
            <w:r w:rsidR="00A1278C" w:rsidRPr="00D2182F">
              <w:rPr>
                <w:rFonts w:ascii="Cambria" w:hAnsi="Cambria" w:cstheme="minorHAnsi"/>
                <w:sz w:val="16"/>
                <w:szCs w:val="16"/>
                <w:lang w:eastAsia="en-AU"/>
              </w:rPr>
              <w:t xml:space="preserve"> </w:t>
            </w:r>
          </w:p>
        </w:tc>
      </w:tr>
      <w:tr w:rsidR="00A1278C" w:rsidRPr="00024C92" w14:paraId="4167DE50" w14:textId="77777777" w:rsidTr="00BE0798">
        <w:tc>
          <w:tcPr>
            <w:tcW w:w="2122" w:type="dxa"/>
          </w:tcPr>
          <w:p w14:paraId="2B232F81"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New South Wales</w:t>
            </w:r>
          </w:p>
          <w:p w14:paraId="7FE234A9" w14:textId="77777777" w:rsidR="00A1278C" w:rsidRPr="00D2182F" w:rsidRDefault="00A1278C" w:rsidP="00BE0798">
            <w:pPr>
              <w:spacing w:after="160" w:line="259" w:lineRule="auto"/>
              <w:rPr>
                <w:rFonts w:ascii="Cambria" w:hAnsi="Cambria" w:cstheme="minorHAnsi"/>
                <w:sz w:val="16"/>
                <w:szCs w:val="16"/>
                <w:lang w:eastAsia="en-AU"/>
              </w:rPr>
            </w:pPr>
          </w:p>
          <w:p w14:paraId="240B3E91" w14:textId="77777777" w:rsidR="00A1278C" w:rsidRPr="00D2182F" w:rsidRDefault="00CF6E4C" w:rsidP="00BE0798">
            <w:pPr>
              <w:spacing w:after="160" w:line="259" w:lineRule="auto"/>
              <w:rPr>
                <w:rFonts w:ascii="Cambria" w:hAnsi="Cambria" w:cstheme="minorHAnsi"/>
                <w:sz w:val="16"/>
                <w:szCs w:val="16"/>
                <w:lang w:eastAsia="en-AU"/>
              </w:rPr>
            </w:pPr>
            <w:hyperlink r:id="rId31" w:tgtFrame="_blank" w:tooltip="NSW Department of Primary Industries" w:history="1">
              <w:r w:rsidR="00A1278C" w:rsidRPr="00D2182F">
                <w:rPr>
                  <w:rFonts w:ascii="Cambria" w:hAnsi="Cambria" w:cstheme="minorHAnsi"/>
                  <w:sz w:val="16"/>
                  <w:szCs w:val="16"/>
                  <w:lang w:eastAsia="en-AU"/>
                </w:rPr>
                <w:t>Department of Primary Industries</w:t>
              </w:r>
            </w:hyperlink>
          </w:p>
        </w:tc>
        <w:tc>
          <w:tcPr>
            <w:tcW w:w="1609" w:type="dxa"/>
          </w:tcPr>
          <w:p w14:paraId="5E6C0E3A"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Local Land Services Helpline: 1300 795 299</w:t>
            </w:r>
          </w:p>
        </w:tc>
        <w:tc>
          <w:tcPr>
            <w:tcW w:w="5946" w:type="dxa"/>
          </w:tcPr>
          <w:p w14:paraId="726AA0D5" w14:textId="77777777" w:rsidR="00A1278C" w:rsidRPr="00D2182F" w:rsidRDefault="00CF6E4C" w:rsidP="00BE0798">
            <w:pPr>
              <w:spacing w:after="0" w:line="240" w:lineRule="auto"/>
              <w:rPr>
                <w:rFonts w:ascii="Cambria" w:hAnsi="Cambria" w:cstheme="minorHAnsi"/>
                <w:sz w:val="16"/>
                <w:szCs w:val="16"/>
                <w:lang w:eastAsia="en-AU"/>
              </w:rPr>
            </w:pPr>
            <w:hyperlink r:id="rId32" w:history="1">
              <w:r w:rsidR="00A1278C" w:rsidRPr="00D2182F">
                <w:rPr>
                  <w:rFonts w:ascii="Cambria" w:hAnsi="Cambria" w:cstheme="minorHAnsi"/>
                  <w:sz w:val="16"/>
                  <w:szCs w:val="16"/>
                  <w:u w:val="single"/>
                  <w:lang w:eastAsia="en-AU"/>
                </w:rPr>
                <w:t>https://www.lls.nsw.gov.au/i-want-to/apply-for-a-property-identification-code</w:t>
              </w:r>
            </w:hyperlink>
          </w:p>
          <w:p w14:paraId="7FA8FC71" w14:textId="77777777" w:rsidR="00A1278C" w:rsidRPr="00D2182F" w:rsidRDefault="00A1278C" w:rsidP="00BE0798">
            <w:pPr>
              <w:spacing w:after="0" w:line="240" w:lineRule="auto"/>
              <w:rPr>
                <w:rFonts w:ascii="Cambria" w:hAnsi="Cambria" w:cstheme="minorHAnsi"/>
                <w:sz w:val="16"/>
                <w:szCs w:val="16"/>
                <w:lang w:eastAsia="en-AU"/>
              </w:rPr>
            </w:pPr>
          </w:p>
          <w:p w14:paraId="10E97F01" w14:textId="77777777" w:rsidR="00A1278C" w:rsidRPr="00D2182F" w:rsidRDefault="00A1278C" w:rsidP="00BE0798">
            <w:pPr>
              <w:spacing w:after="0" w:line="240" w:lineRule="auto"/>
              <w:rPr>
                <w:rFonts w:ascii="Cambria" w:hAnsi="Cambria" w:cstheme="minorHAnsi"/>
                <w:sz w:val="16"/>
                <w:szCs w:val="16"/>
                <w:lang w:eastAsia="en-AU"/>
              </w:rPr>
            </w:pPr>
            <w:r w:rsidRPr="00D2182F">
              <w:rPr>
                <w:rFonts w:ascii="Cambria" w:hAnsi="Cambria" w:cstheme="minorHAnsi"/>
                <w:sz w:val="16"/>
                <w:szCs w:val="16"/>
                <w:lang w:eastAsia="en-AU"/>
              </w:rPr>
              <w:t>For movement documentation requirements please visit:</w:t>
            </w:r>
          </w:p>
          <w:p w14:paraId="68B9F7E4" w14:textId="77777777" w:rsidR="00A1278C" w:rsidRPr="00D2182F" w:rsidRDefault="00CF6E4C" w:rsidP="00BE0798">
            <w:pPr>
              <w:spacing w:after="0" w:line="240" w:lineRule="auto"/>
              <w:rPr>
                <w:rFonts w:ascii="Cambria" w:hAnsi="Cambria" w:cstheme="minorHAnsi"/>
                <w:sz w:val="16"/>
                <w:szCs w:val="16"/>
                <w:lang w:eastAsia="en-AU"/>
              </w:rPr>
            </w:pPr>
            <w:hyperlink r:id="rId33" w:history="1">
              <w:r w:rsidR="00A1278C" w:rsidRPr="00D2182F">
                <w:rPr>
                  <w:rFonts w:ascii="Cambria" w:hAnsi="Cambria" w:cstheme="minorHAnsi"/>
                  <w:sz w:val="16"/>
                  <w:szCs w:val="16"/>
                  <w:u w:val="single"/>
                  <w:lang w:eastAsia="en-AU"/>
                </w:rPr>
                <w:t>https://www.lls.nsw.gov.au/__data/assets/pdf_file/0016/1260007/Transporting-horses-in-NSW-FAQs-Sept-2020.pdf</w:t>
              </w:r>
            </w:hyperlink>
          </w:p>
        </w:tc>
      </w:tr>
      <w:tr w:rsidR="00A1278C" w:rsidRPr="00024C92" w14:paraId="5DE67A05" w14:textId="77777777" w:rsidTr="00BE0798">
        <w:tc>
          <w:tcPr>
            <w:tcW w:w="2122" w:type="dxa"/>
          </w:tcPr>
          <w:p w14:paraId="48C87FE6"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Northern Territory</w:t>
            </w:r>
          </w:p>
          <w:p w14:paraId="4EDF766B" w14:textId="77777777" w:rsidR="00A1278C" w:rsidRPr="00D2182F" w:rsidRDefault="00A1278C" w:rsidP="00BE0798">
            <w:pPr>
              <w:shd w:val="clear" w:color="auto" w:fill="FFFFFF"/>
              <w:spacing w:after="0" w:line="240" w:lineRule="auto"/>
              <w:textAlignment w:val="baseline"/>
              <w:rPr>
                <w:rFonts w:ascii="Cambria" w:hAnsi="Cambria" w:cstheme="minorHAnsi"/>
                <w:sz w:val="16"/>
                <w:szCs w:val="16"/>
                <w:lang w:eastAsia="en-AU"/>
              </w:rPr>
            </w:pPr>
          </w:p>
          <w:p w14:paraId="6DCEB4DE" w14:textId="77777777" w:rsidR="00A1278C" w:rsidRPr="00D2182F" w:rsidRDefault="00CF6E4C" w:rsidP="00BE0798">
            <w:pPr>
              <w:shd w:val="clear" w:color="auto" w:fill="FFFFFF"/>
              <w:spacing w:after="0" w:line="240" w:lineRule="auto"/>
              <w:textAlignment w:val="baseline"/>
              <w:rPr>
                <w:rFonts w:ascii="Cambria" w:hAnsi="Cambria" w:cstheme="minorHAnsi"/>
                <w:sz w:val="16"/>
                <w:szCs w:val="16"/>
                <w:lang w:eastAsia="en-AU"/>
              </w:rPr>
            </w:pPr>
            <w:hyperlink r:id="rId34" w:tgtFrame="_blank" w:tooltip="NT Department of Primary Industry and Resources" w:history="1">
              <w:r w:rsidR="00A1278C" w:rsidRPr="00D2182F">
                <w:rPr>
                  <w:rFonts w:ascii="Cambria" w:hAnsi="Cambria" w:cstheme="minorHAnsi"/>
                  <w:sz w:val="16"/>
                  <w:szCs w:val="16"/>
                  <w:lang w:eastAsia="en-AU"/>
                </w:rPr>
                <w:t>Department of Primary Industry and Resources</w:t>
              </w:r>
            </w:hyperlink>
          </w:p>
          <w:p w14:paraId="2DFDAC39" w14:textId="77777777" w:rsidR="00A1278C" w:rsidRPr="00D2182F" w:rsidRDefault="00A1278C" w:rsidP="00BE0798">
            <w:pPr>
              <w:shd w:val="clear" w:color="auto" w:fill="FFFFFF"/>
              <w:spacing w:after="0" w:line="240" w:lineRule="auto"/>
              <w:textAlignment w:val="baseline"/>
              <w:rPr>
                <w:rFonts w:ascii="Cambria" w:hAnsi="Cambria" w:cstheme="minorHAnsi"/>
                <w:sz w:val="16"/>
                <w:szCs w:val="16"/>
                <w:lang w:eastAsia="en-AU"/>
              </w:rPr>
            </w:pPr>
          </w:p>
        </w:tc>
        <w:tc>
          <w:tcPr>
            <w:tcW w:w="1609" w:type="dxa"/>
          </w:tcPr>
          <w:p w14:paraId="77C4DF0B"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Phone: (08) 8973 9703</w:t>
            </w:r>
          </w:p>
          <w:p w14:paraId="56ADAF1E"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p>
        </w:tc>
        <w:tc>
          <w:tcPr>
            <w:tcW w:w="5946" w:type="dxa"/>
          </w:tcPr>
          <w:p w14:paraId="6023F121" w14:textId="77777777" w:rsidR="00A1278C" w:rsidRPr="00D2182F" w:rsidRDefault="00CF6E4C" w:rsidP="00BE0798">
            <w:pPr>
              <w:spacing w:after="0" w:line="240" w:lineRule="auto"/>
              <w:rPr>
                <w:rFonts w:ascii="Cambria" w:hAnsi="Cambria" w:cstheme="minorHAnsi"/>
                <w:sz w:val="16"/>
                <w:szCs w:val="16"/>
                <w:lang w:eastAsia="en-AU"/>
              </w:rPr>
            </w:pPr>
            <w:hyperlink r:id="rId35" w:history="1">
              <w:r w:rsidR="00A1278C" w:rsidRPr="00D2182F">
                <w:rPr>
                  <w:rFonts w:ascii="Cambria" w:hAnsi="Cambria" w:cstheme="minorHAnsi"/>
                  <w:sz w:val="16"/>
                  <w:szCs w:val="16"/>
                  <w:u w:val="single"/>
                  <w:lang w:eastAsia="en-AU"/>
                </w:rPr>
                <w:t>https://nt.gov.au/industry/agriculture/livestock/get-a-property-identification-code</w:t>
              </w:r>
            </w:hyperlink>
            <w:r w:rsidR="00A1278C" w:rsidRPr="00D2182F">
              <w:rPr>
                <w:rFonts w:ascii="Cambria" w:hAnsi="Cambria" w:cstheme="minorHAnsi"/>
                <w:sz w:val="16"/>
                <w:szCs w:val="16"/>
                <w:lang w:eastAsia="en-AU"/>
              </w:rPr>
              <w:t xml:space="preserve"> </w:t>
            </w:r>
          </w:p>
        </w:tc>
      </w:tr>
      <w:tr w:rsidR="00A1278C" w:rsidRPr="00024C92" w14:paraId="41EBF3AA" w14:textId="77777777" w:rsidTr="00BE0798">
        <w:tc>
          <w:tcPr>
            <w:tcW w:w="2122" w:type="dxa"/>
          </w:tcPr>
          <w:p w14:paraId="6DE3F565"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Queensland</w:t>
            </w:r>
          </w:p>
          <w:p w14:paraId="5D4A0CE4" w14:textId="77777777" w:rsidR="00A1278C" w:rsidRPr="00D2182F" w:rsidRDefault="00A1278C" w:rsidP="00BE0798">
            <w:pPr>
              <w:shd w:val="clear" w:color="auto" w:fill="FFFFFF"/>
              <w:spacing w:after="0" w:line="240" w:lineRule="auto"/>
              <w:textAlignment w:val="baseline"/>
              <w:rPr>
                <w:rFonts w:ascii="Cambria" w:hAnsi="Cambria" w:cstheme="minorHAnsi"/>
                <w:sz w:val="16"/>
                <w:szCs w:val="16"/>
                <w:lang w:eastAsia="en-AU"/>
              </w:rPr>
            </w:pPr>
          </w:p>
          <w:p w14:paraId="7CDD6190" w14:textId="77777777" w:rsidR="00A1278C" w:rsidRPr="00D2182F" w:rsidRDefault="00CF6E4C" w:rsidP="00BE0798">
            <w:pPr>
              <w:shd w:val="clear" w:color="auto" w:fill="FFFFFF"/>
              <w:spacing w:after="0" w:line="240" w:lineRule="auto"/>
              <w:textAlignment w:val="baseline"/>
              <w:rPr>
                <w:rFonts w:ascii="Cambria" w:hAnsi="Cambria" w:cstheme="minorHAnsi"/>
                <w:sz w:val="16"/>
                <w:szCs w:val="16"/>
                <w:lang w:eastAsia="en-AU"/>
              </w:rPr>
            </w:pPr>
            <w:hyperlink r:id="rId36" w:tgtFrame="_blank" w:tooltip="QLD Department of Agriculture and Fisheries" w:history="1">
              <w:r w:rsidR="00A1278C" w:rsidRPr="00D2182F">
                <w:rPr>
                  <w:rFonts w:ascii="Cambria" w:hAnsi="Cambria" w:cstheme="minorHAnsi"/>
                  <w:sz w:val="16"/>
                  <w:szCs w:val="16"/>
                  <w:lang w:eastAsia="en-AU"/>
                </w:rPr>
                <w:t>Department of Agriculture and Fisheries</w:t>
              </w:r>
            </w:hyperlink>
          </w:p>
          <w:p w14:paraId="53F4D03D" w14:textId="77777777" w:rsidR="00A1278C" w:rsidRPr="00D2182F" w:rsidRDefault="00A1278C" w:rsidP="00BE0798">
            <w:pPr>
              <w:shd w:val="clear" w:color="auto" w:fill="FFFFFF"/>
              <w:spacing w:after="0" w:line="240" w:lineRule="auto"/>
              <w:textAlignment w:val="baseline"/>
              <w:rPr>
                <w:rFonts w:ascii="Cambria" w:hAnsi="Cambria" w:cstheme="minorHAnsi"/>
                <w:sz w:val="16"/>
                <w:szCs w:val="16"/>
                <w:lang w:eastAsia="en-AU"/>
              </w:rPr>
            </w:pPr>
          </w:p>
        </w:tc>
        <w:tc>
          <w:tcPr>
            <w:tcW w:w="1609" w:type="dxa"/>
          </w:tcPr>
          <w:p w14:paraId="71E5A8F8"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Biosecurity Queensland - Business Information Centre: 13 25 23</w:t>
            </w:r>
          </w:p>
        </w:tc>
        <w:tc>
          <w:tcPr>
            <w:tcW w:w="5946" w:type="dxa"/>
          </w:tcPr>
          <w:p w14:paraId="1290391E" w14:textId="77777777" w:rsidR="00A1278C" w:rsidRPr="00D2182F" w:rsidRDefault="00CF6E4C" w:rsidP="00BE0798">
            <w:pPr>
              <w:spacing w:after="0" w:line="240" w:lineRule="auto"/>
              <w:rPr>
                <w:rFonts w:ascii="Cambria" w:hAnsi="Cambria" w:cstheme="minorHAnsi"/>
                <w:sz w:val="16"/>
                <w:szCs w:val="16"/>
                <w:lang w:eastAsia="en-AU"/>
              </w:rPr>
            </w:pPr>
            <w:hyperlink r:id="rId37" w:history="1">
              <w:r w:rsidR="00A1278C" w:rsidRPr="00D2182F">
                <w:rPr>
                  <w:rFonts w:ascii="Cambria" w:hAnsi="Cambria" w:cstheme="minorHAnsi"/>
                  <w:sz w:val="16"/>
                  <w:szCs w:val="16"/>
                  <w:u w:val="single"/>
                  <w:lang w:eastAsia="en-AU"/>
                </w:rPr>
                <w:t>https://www.business.qld.gov.au/industries/farms-fishing-forestry/agriculture/land-management/pic</w:t>
              </w:r>
            </w:hyperlink>
            <w:r w:rsidR="00A1278C" w:rsidRPr="00D2182F">
              <w:rPr>
                <w:rFonts w:ascii="Cambria" w:hAnsi="Cambria" w:cstheme="minorHAnsi"/>
                <w:sz w:val="16"/>
                <w:szCs w:val="16"/>
                <w:lang w:eastAsia="en-AU"/>
              </w:rPr>
              <w:t xml:space="preserve"> </w:t>
            </w:r>
          </w:p>
        </w:tc>
      </w:tr>
      <w:tr w:rsidR="00A1278C" w:rsidRPr="00024C92" w14:paraId="34BB8FAC" w14:textId="77777777" w:rsidTr="00BE0798">
        <w:tc>
          <w:tcPr>
            <w:tcW w:w="2122" w:type="dxa"/>
          </w:tcPr>
          <w:p w14:paraId="13EF8A57"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South Australia</w:t>
            </w:r>
          </w:p>
          <w:p w14:paraId="679AED51" w14:textId="77777777" w:rsidR="00A1278C" w:rsidRPr="00D2182F" w:rsidRDefault="00A1278C" w:rsidP="00BE0798">
            <w:pPr>
              <w:shd w:val="clear" w:color="auto" w:fill="FFFFFF"/>
              <w:spacing w:after="0" w:line="240" w:lineRule="auto"/>
              <w:textAlignment w:val="baseline"/>
              <w:rPr>
                <w:rFonts w:ascii="Cambria" w:hAnsi="Cambria" w:cstheme="minorHAnsi"/>
                <w:sz w:val="16"/>
                <w:szCs w:val="16"/>
                <w:lang w:eastAsia="en-AU"/>
              </w:rPr>
            </w:pPr>
          </w:p>
          <w:p w14:paraId="3D8F21BB" w14:textId="77777777" w:rsidR="00A1278C" w:rsidRPr="00024C92" w:rsidRDefault="00CF6E4C" w:rsidP="00BE0798">
            <w:pPr>
              <w:shd w:val="clear" w:color="auto" w:fill="FFFFFF"/>
              <w:spacing w:after="0" w:line="240" w:lineRule="auto"/>
              <w:textAlignment w:val="baseline"/>
              <w:rPr>
                <w:rFonts w:ascii="Cambria" w:hAnsi="Cambria" w:cstheme="minorHAnsi"/>
                <w:sz w:val="16"/>
                <w:szCs w:val="16"/>
                <w:lang w:eastAsia="en-AU"/>
              </w:rPr>
            </w:pPr>
            <w:hyperlink r:id="rId38" w:tgtFrame="_blank" w:tooltip="Primary Industries &amp; Regions of South Australia (PIRSA)" w:history="1">
              <w:r w:rsidR="00A1278C" w:rsidRPr="00D2182F">
                <w:rPr>
                  <w:rFonts w:ascii="Cambria" w:hAnsi="Cambria" w:cstheme="minorHAnsi"/>
                  <w:sz w:val="16"/>
                  <w:szCs w:val="16"/>
                  <w:lang w:eastAsia="en-AU"/>
                </w:rPr>
                <w:t>Primary Industries &amp; Regions of South Australia (PIRSA)</w:t>
              </w:r>
            </w:hyperlink>
          </w:p>
          <w:p w14:paraId="370DCC97" w14:textId="77777777" w:rsidR="00A1278C" w:rsidRPr="00D2182F" w:rsidRDefault="00A1278C" w:rsidP="00BE0798">
            <w:pPr>
              <w:shd w:val="clear" w:color="auto" w:fill="FFFFFF"/>
              <w:spacing w:after="0" w:line="240" w:lineRule="auto"/>
              <w:textAlignment w:val="baseline"/>
              <w:rPr>
                <w:rFonts w:ascii="Cambria" w:hAnsi="Cambria" w:cstheme="minorHAnsi"/>
                <w:sz w:val="16"/>
                <w:szCs w:val="16"/>
                <w:lang w:eastAsia="en-AU"/>
              </w:rPr>
            </w:pPr>
          </w:p>
        </w:tc>
        <w:tc>
          <w:tcPr>
            <w:tcW w:w="1609" w:type="dxa"/>
          </w:tcPr>
          <w:p w14:paraId="276E858A"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Biosecurity SA Phone: 1800 654 688</w:t>
            </w:r>
          </w:p>
        </w:tc>
        <w:tc>
          <w:tcPr>
            <w:tcW w:w="5946" w:type="dxa"/>
          </w:tcPr>
          <w:p w14:paraId="5605B9F3" w14:textId="77777777" w:rsidR="00A1278C" w:rsidRPr="00D2182F" w:rsidRDefault="00CF6E4C" w:rsidP="00BE0798">
            <w:pPr>
              <w:spacing w:after="0" w:line="240" w:lineRule="auto"/>
              <w:rPr>
                <w:rFonts w:ascii="Cambria" w:hAnsi="Cambria" w:cstheme="minorHAnsi"/>
                <w:sz w:val="16"/>
                <w:szCs w:val="16"/>
                <w:lang w:eastAsia="en-AU"/>
              </w:rPr>
            </w:pPr>
            <w:hyperlink r:id="rId39" w:history="1">
              <w:r w:rsidR="00A1278C" w:rsidRPr="00D2182F">
                <w:rPr>
                  <w:rFonts w:ascii="Cambria" w:hAnsi="Cambria" w:cstheme="minorHAnsi"/>
                  <w:sz w:val="16"/>
                  <w:szCs w:val="16"/>
                  <w:u w:val="single"/>
                  <w:lang w:eastAsia="en-AU"/>
                </w:rPr>
                <w:t>https://www.pir.sa.gov.au/biosecurity/animal_health/property_identification_code_pic</w:t>
              </w:r>
            </w:hyperlink>
            <w:r w:rsidR="00A1278C" w:rsidRPr="00D2182F">
              <w:rPr>
                <w:rFonts w:ascii="Cambria" w:hAnsi="Cambria" w:cstheme="minorHAnsi"/>
                <w:sz w:val="16"/>
                <w:szCs w:val="16"/>
                <w:lang w:eastAsia="en-AU"/>
              </w:rPr>
              <w:t xml:space="preserve"> </w:t>
            </w:r>
          </w:p>
        </w:tc>
      </w:tr>
      <w:tr w:rsidR="00A1278C" w:rsidRPr="00024C92" w14:paraId="261FB0DF" w14:textId="77777777" w:rsidTr="00BE0798">
        <w:tc>
          <w:tcPr>
            <w:tcW w:w="2122" w:type="dxa"/>
          </w:tcPr>
          <w:p w14:paraId="1A837EA5"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Tasmania</w:t>
            </w:r>
          </w:p>
          <w:p w14:paraId="419E4C85" w14:textId="77777777" w:rsidR="00A1278C" w:rsidRPr="00D2182F" w:rsidRDefault="00A1278C" w:rsidP="00BE0798">
            <w:pPr>
              <w:shd w:val="clear" w:color="auto" w:fill="FFFFFF"/>
              <w:spacing w:after="0" w:line="240" w:lineRule="auto"/>
              <w:textAlignment w:val="baseline"/>
              <w:rPr>
                <w:rFonts w:ascii="Cambria" w:hAnsi="Cambria" w:cstheme="minorHAnsi"/>
                <w:sz w:val="16"/>
                <w:szCs w:val="16"/>
                <w:lang w:eastAsia="en-AU"/>
              </w:rPr>
            </w:pPr>
          </w:p>
          <w:p w14:paraId="70EA5637" w14:textId="77777777" w:rsidR="00A1278C" w:rsidRPr="00D2182F" w:rsidRDefault="00CF6E4C" w:rsidP="00BE0798">
            <w:pPr>
              <w:shd w:val="clear" w:color="auto" w:fill="FFFFFF"/>
              <w:spacing w:after="0" w:line="240" w:lineRule="auto"/>
              <w:textAlignment w:val="baseline"/>
              <w:rPr>
                <w:rFonts w:ascii="Cambria" w:hAnsi="Cambria" w:cstheme="minorHAnsi"/>
                <w:sz w:val="16"/>
                <w:szCs w:val="16"/>
                <w:lang w:eastAsia="en-AU"/>
              </w:rPr>
            </w:pPr>
            <w:hyperlink r:id="rId40" w:tgtFrame="_blank" w:tooltip="TAS Department of Primary Industries, Parks, Water and Environment" w:history="1">
              <w:r w:rsidR="00A1278C" w:rsidRPr="00D2182F">
                <w:rPr>
                  <w:rFonts w:ascii="Cambria" w:hAnsi="Cambria" w:cstheme="minorHAnsi"/>
                  <w:sz w:val="16"/>
                  <w:szCs w:val="16"/>
                  <w:lang w:eastAsia="en-AU"/>
                </w:rPr>
                <w:t>Department of Natural Resources and Environment Tasmania</w:t>
              </w:r>
            </w:hyperlink>
          </w:p>
          <w:p w14:paraId="68FA7C41"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p>
        </w:tc>
        <w:tc>
          <w:tcPr>
            <w:tcW w:w="1609" w:type="dxa"/>
          </w:tcPr>
          <w:p w14:paraId="6C7DC89D"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Biosecurity Tasmania Phone: 1300 368 550</w:t>
            </w:r>
          </w:p>
        </w:tc>
        <w:tc>
          <w:tcPr>
            <w:tcW w:w="5946" w:type="dxa"/>
          </w:tcPr>
          <w:p w14:paraId="30862AAB" w14:textId="77777777" w:rsidR="00A1278C" w:rsidRPr="00D2182F" w:rsidRDefault="00CF6E4C" w:rsidP="00BE0798">
            <w:pPr>
              <w:spacing w:after="0" w:line="240" w:lineRule="auto"/>
              <w:rPr>
                <w:rFonts w:ascii="Cambria" w:hAnsi="Cambria" w:cstheme="minorHAnsi"/>
                <w:sz w:val="16"/>
                <w:szCs w:val="16"/>
                <w:lang w:eastAsia="en-AU"/>
              </w:rPr>
            </w:pPr>
            <w:hyperlink r:id="rId41" w:history="1">
              <w:r w:rsidR="00A1278C" w:rsidRPr="00D2182F">
                <w:rPr>
                  <w:rFonts w:ascii="Cambria" w:hAnsi="Cambria" w:cstheme="minorHAnsi"/>
                  <w:sz w:val="16"/>
                  <w:szCs w:val="16"/>
                  <w:u w:val="single"/>
                  <w:lang w:eastAsia="en-AU"/>
                </w:rPr>
                <w:t>https://nre.tas.gov.au/agriculture/animal-industries/identifying-selling-moving-livestock/about-livestock-identification/property-identification-code-(pic)-registration</w:t>
              </w:r>
            </w:hyperlink>
            <w:r w:rsidR="00A1278C" w:rsidRPr="00D2182F">
              <w:rPr>
                <w:rFonts w:ascii="Cambria" w:hAnsi="Cambria" w:cstheme="minorHAnsi"/>
                <w:sz w:val="16"/>
                <w:szCs w:val="16"/>
                <w:lang w:eastAsia="en-AU"/>
              </w:rPr>
              <w:t xml:space="preserve"> </w:t>
            </w:r>
          </w:p>
        </w:tc>
      </w:tr>
      <w:tr w:rsidR="00A1278C" w:rsidRPr="00024C92" w14:paraId="2FC1F3DC" w14:textId="77777777" w:rsidTr="00BE0798">
        <w:tc>
          <w:tcPr>
            <w:tcW w:w="2122" w:type="dxa"/>
          </w:tcPr>
          <w:p w14:paraId="28D1312E"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Victoria</w:t>
            </w:r>
          </w:p>
          <w:p w14:paraId="7C588733" w14:textId="77777777" w:rsidR="00A1278C" w:rsidRPr="00D2182F" w:rsidRDefault="00A1278C" w:rsidP="00BE0798">
            <w:pPr>
              <w:shd w:val="clear" w:color="auto" w:fill="FFFFFF"/>
              <w:spacing w:after="0" w:line="240" w:lineRule="auto"/>
              <w:textAlignment w:val="baseline"/>
              <w:rPr>
                <w:rFonts w:ascii="Cambria" w:hAnsi="Cambria" w:cstheme="minorHAnsi"/>
                <w:sz w:val="16"/>
                <w:szCs w:val="16"/>
                <w:lang w:eastAsia="en-AU"/>
              </w:rPr>
            </w:pPr>
          </w:p>
          <w:p w14:paraId="6B47B965" w14:textId="77777777" w:rsidR="00A1278C" w:rsidRPr="00D2182F" w:rsidRDefault="00CF6E4C" w:rsidP="00BE0798">
            <w:pPr>
              <w:shd w:val="clear" w:color="auto" w:fill="FFFFFF"/>
              <w:spacing w:after="0" w:line="240" w:lineRule="auto"/>
              <w:textAlignment w:val="baseline"/>
              <w:rPr>
                <w:rFonts w:ascii="Cambria" w:hAnsi="Cambria" w:cstheme="minorHAnsi"/>
                <w:sz w:val="16"/>
                <w:szCs w:val="16"/>
                <w:lang w:eastAsia="en-AU"/>
              </w:rPr>
            </w:pPr>
            <w:hyperlink r:id="rId42" w:tgtFrame="_blank" w:tooltip="Agriculture Victoria" w:history="1">
              <w:r w:rsidR="00A1278C" w:rsidRPr="00D2182F">
                <w:rPr>
                  <w:rFonts w:ascii="Cambria" w:hAnsi="Cambria" w:cstheme="minorHAnsi"/>
                  <w:sz w:val="16"/>
                  <w:szCs w:val="16"/>
                  <w:lang w:eastAsia="en-AU"/>
                </w:rPr>
                <w:t>Agriculture Victoria</w:t>
              </w:r>
            </w:hyperlink>
          </w:p>
          <w:p w14:paraId="39A039EC"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p>
        </w:tc>
        <w:tc>
          <w:tcPr>
            <w:tcW w:w="1609" w:type="dxa"/>
          </w:tcPr>
          <w:p w14:paraId="52DAF1AB"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Biosecurity Division Phone: 1800 678 779</w:t>
            </w:r>
          </w:p>
        </w:tc>
        <w:tc>
          <w:tcPr>
            <w:tcW w:w="5946" w:type="dxa"/>
          </w:tcPr>
          <w:p w14:paraId="34760C48" w14:textId="77777777" w:rsidR="00A1278C" w:rsidRPr="00D2182F" w:rsidRDefault="00CF6E4C" w:rsidP="00BE0798">
            <w:pPr>
              <w:spacing w:after="0" w:line="240" w:lineRule="auto"/>
              <w:rPr>
                <w:rFonts w:ascii="Cambria" w:hAnsi="Cambria" w:cstheme="minorHAnsi"/>
                <w:sz w:val="16"/>
                <w:szCs w:val="16"/>
                <w:lang w:eastAsia="en-AU"/>
              </w:rPr>
            </w:pPr>
            <w:hyperlink r:id="rId43" w:history="1">
              <w:r w:rsidR="00A1278C" w:rsidRPr="00D2182F">
                <w:rPr>
                  <w:rFonts w:ascii="Cambria" w:hAnsi="Cambria" w:cstheme="minorHAnsi"/>
                  <w:sz w:val="16"/>
                  <w:szCs w:val="16"/>
                  <w:u w:val="single"/>
                  <w:lang w:eastAsia="en-AU"/>
                </w:rPr>
                <w:t>https://agriculture.vic.gov.au/farm-management/property-identification-codes</w:t>
              </w:r>
            </w:hyperlink>
            <w:r w:rsidR="00A1278C" w:rsidRPr="00D2182F">
              <w:rPr>
                <w:rFonts w:ascii="Cambria" w:hAnsi="Cambria" w:cstheme="minorHAnsi"/>
                <w:sz w:val="16"/>
                <w:szCs w:val="16"/>
                <w:lang w:eastAsia="en-AU"/>
              </w:rPr>
              <w:t xml:space="preserve"> </w:t>
            </w:r>
          </w:p>
        </w:tc>
      </w:tr>
      <w:tr w:rsidR="00A1278C" w:rsidRPr="00024C92" w14:paraId="1463A55F" w14:textId="77777777" w:rsidTr="00BE0798">
        <w:tc>
          <w:tcPr>
            <w:tcW w:w="2122" w:type="dxa"/>
          </w:tcPr>
          <w:p w14:paraId="3EB50042"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r w:rsidRPr="00D2182F">
              <w:rPr>
                <w:rFonts w:ascii="Cambria" w:hAnsi="Cambria" w:cstheme="minorHAnsi"/>
                <w:sz w:val="16"/>
                <w:szCs w:val="16"/>
                <w:lang w:eastAsia="en-AU"/>
              </w:rPr>
              <w:t>Western Australia</w:t>
            </w:r>
          </w:p>
          <w:p w14:paraId="40D7CCCD" w14:textId="77777777" w:rsidR="00A1278C" w:rsidRPr="00D2182F" w:rsidRDefault="00A1278C" w:rsidP="00BE0798">
            <w:pPr>
              <w:shd w:val="clear" w:color="auto" w:fill="FFFFFF"/>
              <w:spacing w:after="0" w:line="240" w:lineRule="auto"/>
              <w:textAlignment w:val="baseline"/>
              <w:rPr>
                <w:rFonts w:ascii="Cambria" w:hAnsi="Cambria" w:cstheme="minorHAnsi"/>
                <w:sz w:val="16"/>
                <w:szCs w:val="16"/>
                <w:lang w:eastAsia="en-AU"/>
              </w:rPr>
            </w:pPr>
          </w:p>
          <w:p w14:paraId="31D8B2BC" w14:textId="77777777" w:rsidR="00A1278C" w:rsidRPr="00D2182F" w:rsidRDefault="00CF6E4C" w:rsidP="00BE0798">
            <w:pPr>
              <w:shd w:val="clear" w:color="auto" w:fill="FFFFFF"/>
              <w:spacing w:after="0" w:line="240" w:lineRule="auto"/>
              <w:textAlignment w:val="baseline"/>
              <w:rPr>
                <w:rFonts w:ascii="Cambria" w:hAnsi="Cambria" w:cstheme="minorHAnsi"/>
                <w:sz w:val="16"/>
                <w:szCs w:val="16"/>
                <w:lang w:eastAsia="en-AU"/>
              </w:rPr>
            </w:pPr>
            <w:hyperlink r:id="rId44" w:tgtFrame="_blank" w:tooltip="WA Department of Primary Industries and Regional Development" w:history="1">
              <w:r w:rsidR="00A1278C" w:rsidRPr="00D2182F">
                <w:rPr>
                  <w:rFonts w:ascii="Cambria" w:hAnsi="Cambria" w:cstheme="minorHAnsi"/>
                  <w:sz w:val="16"/>
                  <w:szCs w:val="16"/>
                  <w:lang w:eastAsia="en-AU"/>
                </w:rPr>
                <w:t>Department of Primary Industries and Regional Development</w:t>
              </w:r>
            </w:hyperlink>
          </w:p>
          <w:p w14:paraId="614D9D1A" w14:textId="77777777" w:rsidR="00A1278C" w:rsidRPr="00D2182F" w:rsidRDefault="00A1278C" w:rsidP="00BE0798">
            <w:pPr>
              <w:keepNext/>
              <w:keepLines/>
              <w:shd w:val="clear" w:color="auto" w:fill="FFFFFF"/>
              <w:spacing w:after="0" w:line="259" w:lineRule="auto"/>
              <w:textAlignment w:val="baseline"/>
              <w:outlineLvl w:val="2"/>
              <w:rPr>
                <w:rFonts w:ascii="Cambria" w:hAnsi="Cambria" w:cstheme="minorHAnsi"/>
                <w:sz w:val="16"/>
                <w:szCs w:val="16"/>
                <w:lang w:eastAsia="en-AU"/>
              </w:rPr>
            </w:pPr>
          </w:p>
        </w:tc>
        <w:tc>
          <w:tcPr>
            <w:tcW w:w="1609" w:type="dxa"/>
          </w:tcPr>
          <w:p w14:paraId="7990E13B" w14:textId="77777777" w:rsidR="00A1278C" w:rsidRPr="00D2182F" w:rsidRDefault="00A1278C" w:rsidP="00BE0798">
            <w:pPr>
              <w:spacing w:after="0" w:line="240" w:lineRule="auto"/>
              <w:rPr>
                <w:rFonts w:ascii="Cambria" w:hAnsi="Cambria" w:cstheme="minorHAnsi"/>
                <w:sz w:val="16"/>
                <w:szCs w:val="16"/>
                <w:lang w:eastAsia="en-AU"/>
              </w:rPr>
            </w:pPr>
            <w:r w:rsidRPr="00D2182F">
              <w:rPr>
                <w:rFonts w:ascii="Cambria" w:hAnsi="Cambria" w:cstheme="minorHAnsi"/>
                <w:sz w:val="16"/>
                <w:szCs w:val="16"/>
                <w:lang w:eastAsia="en-AU"/>
              </w:rPr>
              <w:t>Phone: 1300 926 547</w:t>
            </w:r>
          </w:p>
        </w:tc>
        <w:tc>
          <w:tcPr>
            <w:tcW w:w="5946" w:type="dxa"/>
          </w:tcPr>
          <w:p w14:paraId="461D9F20" w14:textId="77777777" w:rsidR="00A1278C" w:rsidRPr="00D2182F" w:rsidRDefault="00CF6E4C" w:rsidP="00BE0798">
            <w:pPr>
              <w:spacing w:after="0" w:line="240" w:lineRule="auto"/>
              <w:rPr>
                <w:rFonts w:ascii="Cambria" w:hAnsi="Cambria" w:cstheme="minorHAnsi"/>
                <w:sz w:val="16"/>
                <w:szCs w:val="16"/>
                <w:lang w:eastAsia="en-AU"/>
              </w:rPr>
            </w:pPr>
            <w:hyperlink r:id="rId45" w:history="1">
              <w:r w:rsidR="00A1278C" w:rsidRPr="00D2182F">
                <w:rPr>
                  <w:rFonts w:ascii="Cambria" w:hAnsi="Cambria" w:cstheme="minorHAnsi"/>
                  <w:sz w:val="16"/>
                  <w:szCs w:val="16"/>
                  <w:u w:val="single"/>
                  <w:lang w:eastAsia="en-AU"/>
                </w:rPr>
                <w:t>https://www.agric.wa.gov.au/livestock-biosecurity/stock-brand-and-pic-register-search-guide</w:t>
              </w:r>
            </w:hyperlink>
          </w:p>
          <w:p w14:paraId="796E70DA" w14:textId="77777777" w:rsidR="00A1278C" w:rsidRPr="00D2182F" w:rsidRDefault="00A1278C" w:rsidP="00BE0798">
            <w:pPr>
              <w:spacing w:after="0" w:line="240" w:lineRule="auto"/>
              <w:rPr>
                <w:rFonts w:ascii="Cambria" w:hAnsi="Cambria" w:cstheme="minorHAnsi"/>
                <w:sz w:val="16"/>
                <w:szCs w:val="16"/>
                <w:lang w:eastAsia="en-AU"/>
              </w:rPr>
            </w:pPr>
          </w:p>
          <w:p w14:paraId="1CEC606C" w14:textId="77777777" w:rsidR="00A1278C" w:rsidRPr="00D2182F" w:rsidRDefault="00A1278C" w:rsidP="00BE0798">
            <w:pPr>
              <w:spacing w:after="0" w:line="240" w:lineRule="auto"/>
              <w:rPr>
                <w:rFonts w:ascii="Cambria" w:hAnsi="Cambria" w:cstheme="minorHAnsi"/>
                <w:sz w:val="16"/>
                <w:szCs w:val="16"/>
                <w:lang w:eastAsia="en-AU"/>
              </w:rPr>
            </w:pPr>
            <w:r w:rsidRPr="00D2182F">
              <w:rPr>
                <w:rFonts w:ascii="Cambria" w:hAnsi="Cambria" w:cstheme="minorHAnsi"/>
                <w:sz w:val="16"/>
                <w:szCs w:val="16"/>
                <w:lang w:eastAsia="en-AU"/>
              </w:rPr>
              <w:t>For movement documentation requirements please visit:</w:t>
            </w:r>
          </w:p>
          <w:p w14:paraId="333BC136" w14:textId="77777777" w:rsidR="00A1278C" w:rsidRPr="00D2182F" w:rsidRDefault="00CF6E4C" w:rsidP="00BE0798">
            <w:pPr>
              <w:spacing w:after="0" w:line="240" w:lineRule="auto"/>
              <w:rPr>
                <w:rFonts w:ascii="Cambria" w:hAnsi="Cambria" w:cstheme="minorHAnsi"/>
                <w:sz w:val="16"/>
                <w:szCs w:val="16"/>
                <w:lang w:eastAsia="en-AU"/>
              </w:rPr>
            </w:pPr>
            <w:hyperlink r:id="rId46" w:history="1">
              <w:r w:rsidR="00A1278C" w:rsidRPr="00D2182F">
                <w:rPr>
                  <w:rFonts w:ascii="Cambria" w:hAnsi="Cambria" w:cstheme="minorHAnsi"/>
                  <w:sz w:val="16"/>
                  <w:szCs w:val="16"/>
                  <w:u w:val="single"/>
                  <w:lang w:eastAsia="en-AU"/>
                </w:rPr>
                <w:t>https://www.agric.wa.gov.au/livestock-movement-identification/moving-livestock-western-australia</w:t>
              </w:r>
            </w:hyperlink>
          </w:p>
          <w:p w14:paraId="16701461" w14:textId="77777777" w:rsidR="00A1278C" w:rsidRPr="00D2182F" w:rsidRDefault="00A1278C" w:rsidP="00BE0798">
            <w:pPr>
              <w:spacing w:after="0" w:line="240" w:lineRule="auto"/>
              <w:rPr>
                <w:rFonts w:ascii="Cambria" w:hAnsi="Cambria" w:cstheme="minorHAnsi"/>
                <w:sz w:val="16"/>
                <w:szCs w:val="16"/>
                <w:lang w:eastAsia="en-AU"/>
              </w:rPr>
            </w:pPr>
          </w:p>
          <w:p w14:paraId="64CA85F5" w14:textId="77777777" w:rsidR="00A1278C" w:rsidRPr="00D2182F" w:rsidRDefault="00A1278C" w:rsidP="00BE0798">
            <w:pPr>
              <w:spacing w:after="0" w:line="240" w:lineRule="auto"/>
              <w:rPr>
                <w:rFonts w:ascii="Cambria" w:hAnsi="Cambria" w:cstheme="minorHAnsi"/>
                <w:sz w:val="16"/>
                <w:szCs w:val="16"/>
                <w:lang w:eastAsia="en-AU"/>
              </w:rPr>
            </w:pPr>
            <w:r w:rsidRPr="00D2182F">
              <w:rPr>
                <w:rFonts w:ascii="Cambria" w:hAnsi="Cambria" w:cstheme="minorHAnsi"/>
                <w:sz w:val="16"/>
                <w:szCs w:val="16"/>
                <w:lang w:eastAsia="en-AU"/>
              </w:rPr>
              <w:t>For horse identification requirements visit:</w:t>
            </w:r>
          </w:p>
          <w:p w14:paraId="4881F519" w14:textId="77777777" w:rsidR="00A1278C" w:rsidRPr="00D2182F" w:rsidRDefault="00CF6E4C" w:rsidP="00BE0798">
            <w:pPr>
              <w:spacing w:after="0" w:line="240" w:lineRule="auto"/>
              <w:rPr>
                <w:rFonts w:ascii="Cambria" w:hAnsi="Cambria" w:cstheme="minorHAnsi"/>
                <w:sz w:val="16"/>
                <w:szCs w:val="16"/>
                <w:lang w:eastAsia="en-AU"/>
              </w:rPr>
            </w:pPr>
            <w:hyperlink r:id="rId47" w:history="1">
              <w:r w:rsidR="00A1278C" w:rsidRPr="00D2182F">
                <w:rPr>
                  <w:rFonts w:ascii="Cambria" w:hAnsi="Cambria" w:cstheme="minorHAnsi"/>
                  <w:sz w:val="16"/>
                  <w:szCs w:val="16"/>
                  <w:u w:val="single"/>
                  <w:lang w:eastAsia="en-AU"/>
                </w:rPr>
                <w:t>https://www.agric.wa.gov.au/livestock-movement-identification/horse-and-donkey-identification-western-australia</w:t>
              </w:r>
            </w:hyperlink>
          </w:p>
          <w:p w14:paraId="3CA4ABE8" w14:textId="77777777" w:rsidR="00A1278C" w:rsidRPr="00D2182F" w:rsidRDefault="00A1278C" w:rsidP="00BE0798">
            <w:pPr>
              <w:spacing w:after="0" w:line="240" w:lineRule="auto"/>
              <w:rPr>
                <w:rFonts w:ascii="Cambria" w:hAnsi="Cambria" w:cstheme="minorHAnsi"/>
                <w:sz w:val="16"/>
                <w:szCs w:val="16"/>
                <w:lang w:eastAsia="en-AU"/>
              </w:rPr>
            </w:pPr>
          </w:p>
        </w:tc>
      </w:tr>
    </w:tbl>
    <w:p w14:paraId="421CFAED" w14:textId="77777777" w:rsidR="00EC654C" w:rsidRPr="00EC654C" w:rsidRDefault="00EC654C" w:rsidP="00EC654C">
      <w:pPr>
        <w:rPr>
          <w:lang w:eastAsia="ja-JP"/>
        </w:rPr>
      </w:pPr>
    </w:p>
    <w:p w14:paraId="14AFC61D" w14:textId="11B50C7C" w:rsidR="007E2367" w:rsidRDefault="007E2367" w:rsidP="007E2367">
      <w:pPr>
        <w:pStyle w:val="Heading2"/>
        <w:numPr>
          <w:ilvl w:val="0"/>
          <w:numId w:val="0"/>
        </w:numPr>
        <w:ind w:left="284"/>
        <w:rPr>
          <w:rFonts w:asciiTheme="majorHAnsi" w:hAnsiTheme="majorHAnsi"/>
        </w:rPr>
      </w:pPr>
      <w:bookmarkStart w:id="168" w:name="_Toc121397587"/>
      <w:r>
        <w:rPr>
          <w:rFonts w:asciiTheme="majorHAnsi" w:hAnsiTheme="majorHAnsi"/>
        </w:rPr>
        <w:lastRenderedPageBreak/>
        <w:t>Appendix C</w:t>
      </w:r>
      <w:r w:rsidR="00425825">
        <w:rPr>
          <w:rFonts w:asciiTheme="majorHAnsi" w:hAnsiTheme="majorHAnsi"/>
        </w:rPr>
        <w:t xml:space="preserve"> – K</w:t>
      </w:r>
      <w:r w:rsidR="00562591">
        <w:rPr>
          <w:rFonts w:asciiTheme="majorHAnsi" w:hAnsiTheme="majorHAnsi"/>
        </w:rPr>
        <w:t>PM</w:t>
      </w:r>
      <w:r w:rsidR="00425825">
        <w:rPr>
          <w:rFonts w:asciiTheme="majorHAnsi" w:hAnsiTheme="majorHAnsi"/>
        </w:rPr>
        <w:t>G Report</w:t>
      </w:r>
      <w:bookmarkEnd w:id="168"/>
    </w:p>
    <w:p w14:paraId="417C2F5B" w14:textId="7252BF15" w:rsidR="004508E4" w:rsidRPr="00733E5B" w:rsidRDefault="00733E5B" w:rsidP="00535C66">
      <w:pPr>
        <w:rPr>
          <w:rFonts w:asciiTheme="majorHAnsi" w:eastAsia="Times New Roman" w:hAnsiTheme="majorHAnsi" w:cs="Arial"/>
          <w:sz w:val="32"/>
          <w:szCs w:val="32"/>
          <w:u w:val="single"/>
        </w:rPr>
      </w:pPr>
      <w:r w:rsidRPr="00733E5B">
        <w:rPr>
          <w:sz w:val="36"/>
          <w:szCs w:val="36"/>
          <w:lang w:eastAsia="ja-JP"/>
        </w:rPr>
        <w:t xml:space="preserve">Refer to </w:t>
      </w:r>
      <w:r w:rsidR="007E2367" w:rsidRPr="00733E5B">
        <w:rPr>
          <w:sz w:val="36"/>
          <w:szCs w:val="36"/>
          <w:lang w:eastAsia="ja-JP"/>
        </w:rPr>
        <w:t>K</w:t>
      </w:r>
      <w:r w:rsidR="00562591" w:rsidRPr="00733E5B">
        <w:rPr>
          <w:sz w:val="36"/>
          <w:szCs w:val="36"/>
          <w:lang w:eastAsia="ja-JP"/>
        </w:rPr>
        <w:t>PM</w:t>
      </w:r>
      <w:r w:rsidR="007E2367" w:rsidRPr="00733E5B">
        <w:rPr>
          <w:sz w:val="36"/>
          <w:szCs w:val="36"/>
          <w:lang w:eastAsia="ja-JP"/>
        </w:rPr>
        <w:t>G report</w:t>
      </w:r>
      <w:bookmarkEnd w:id="165"/>
      <w:bookmarkEnd w:id="166"/>
    </w:p>
    <w:sectPr w:rsidR="004508E4" w:rsidRPr="00733E5B" w:rsidSect="005A7664">
      <w:headerReference w:type="default" r:id="rId48"/>
      <w:footerReference w:type="default" r:id="rId49"/>
      <w:headerReference w:type="first" r:id="rId50"/>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7F575" w14:textId="77777777" w:rsidR="00CF6E4C" w:rsidRDefault="00CF6E4C">
      <w:r>
        <w:separator/>
      </w:r>
    </w:p>
    <w:p w14:paraId="49605AF3" w14:textId="77777777" w:rsidR="00CF6E4C" w:rsidRDefault="00CF6E4C"/>
    <w:p w14:paraId="108E0721" w14:textId="77777777" w:rsidR="00CF6E4C" w:rsidRDefault="00CF6E4C"/>
  </w:endnote>
  <w:endnote w:type="continuationSeparator" w:id="0">
    <w:p w14:paraId="22D0D59C" w14:textId="77777777" w:rsidR="00CF6E4C" w:rsidRDefault="00CF6E4C">
      <w:r>
        <w:continuationSeparator/>
      </w:r>
    </w:p>
    <w:p w14:paraId="409F9837" w14:textId="77777777" w:rsidR="00CF6E4C" w:rsidRDefault="00CF6E4C"/>
    <w:p w14:paraId="459F47F4" w14:textId="77777777" w:rsidR="00CF6E4C" w:rsidRDefault="00CF6E4C"/>
  </w:endnote>
  <w:endnote w:type="continuationNotice" w:id="1">
    <w:p w14:paraId="0AA4D43E" w14:textId="77777777" w:rsidR="00CF6E4C" w:rsidRDefault="00CF6E4C">
      <w:pPr>
        <w:pStyle w:val="Footer"/>
      </w:pPr>
    </w:p>
    <w:p w14:paraId="706EF569" w14:textId="77777777" w:rsidR="00CF6E4C" w:rsidRDefault="00CF6E4C"/>
    <w:p w14:paraId="6BC9A165" w14:textId="77777777" w:rsidR="00CF6E4C" w:rsidRDefault="00CF6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ProximaNova-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D829" w14:textId="29977D44" w:rsidR="002A5A3E" w:rsidRPr="0080375E" w:rsidRDefault="00703424">
    <w:pPr>
      <w:pStyle w:val="Footer"/>
      <w:rPr>
        <w:rFonts w:asciiTheme="majorHAnsi" w:hAnsiTheme="majorHAnsi"/>
      </w:rPr>
    </w:pPr>
    <w:r w:rsidRPr="0080375E">
      <w:rPr>
        <w:rFonts w:asciiTheme="majorHAnsi" w:hAnsiTheme="majorHAnsi"/>
      </w:rPr>
      <w:t xml:space="preserve">National Horse Traceability </w:t>
    </w:r>
    <w:r w:rsidR="008243C2">
      <w:rPr>
        <w:rFonts w:asciiTheme="majorHAnsi" w:hAnsiTheme="majorHAnsi"/>
      </w:rPr>
      <w:t>Working Group</w:t>
    </w:r>
  </w:p>
  <w:p w14:paraId="3B767FBA" w14:textId="77777777" w:rsidR="002A5A3E" w:rsidRDefault="002A5A3E">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09108" w14:textId="77777777" w:rsidR="00CF6E4C" w:rsidRDefault="00CF6E4C">
      <w:r>
        <w:separator/>
      </w:r>
    </w:p>
    <w:p w14:paraId="73C8927B" w14:textId="77777777" w:rsidR="00CF6E4C" w:rsidRDefault="00CF6E4C"/>
    <w:p w14:paraId="70A869D3" w14:textId="77777777" w:rsidR="00CF6E4C" w:rsidRDefault="00CF6E4C"/>
  </w:footnote>
  <w:footnote w:type="continuationSeparator" w:id="0">
    <w:p w14:paraId="3674A9E6" w14:textId="77777777" w:rsidR="00CF6E4C" w:rsidRDefault="00CF6E4C">
      <w:r>
        <w:continuationSeparator/>
      </w:r>
    </w:p>
    <w:p w14:paraId="34A6AAEE" w14:textId="77777777" w:rsidR="00CF6E4C" w:rsidRDefault="00CF6E4C"/>
    <w:p w14:paraId="78F84626" w14:textId="77777777" w:rsidR="00CF6E4C" w:rsidRDefault="00CF6E4C"/>
  </w:footnote>
  <w:footnote w:type="continuationNotice" w:id="1">
    <w:p w14:paraId="3490C48D" w14:textId="77777777" w:rsidR="00CF6E4C" w:rsidRDefault="00CF6E4C">
      <w:pPr>
        <w:pStyle w:val="Footer"/>
      </w:pPr>
    </w:p>
    <w:p w14:paraId="30D122B3" w14:textId="77777777" w:rsidR="00CF6E4C" w:rsidRDefault="00CF6E4C"/>
    <w:p w14:paraId="622CFFD2" w14:textId="77777777" w:rsidR="00CF6E4C" w:rsidRDefault="00CF6E4C"/>
  </w:footnote>
  <w:footnote w:id="2">
    <w:p w14:paraId="425765E6" w14:textId="4C9A3566" w:rsidR="003E001F" w:rsidRPr="00347E95" w:rsidRDefault="003E001F" w:rsidP="0068093E">
      <w:pPr>
        <w:rPr>
          <w:i/>
          <w:iCs/>
        </w:rPr>
      </w:pPr>
      <w:r w:rsidRPr="00347E95">
        <w:rPr>
          <w:rStyle w:val="FootnoteReference"/>
        </w:rPr>
        <w:footnoteRef/>
      </w:r>
      <w:r w:rsidRPr="00347E95">
        <w:t xml:space="preserve"> </w:t>
      </w:r>
      <w:r w:rsidRPr="00347E95">
        <w:rPr>
          <w:lang w:eastAsia="en-AU"/>
        </w:rPr>
        <w:t xml:space="preserve">See </w:t>
      </w:r>
      <w:r w:rsidRPr="00347E95">
        <w:rPr>
          <w:i/>
          <w:iCs/>
        </w:rPr>
        <w:t>Marsden Jacob Associates - ‘National Horse Traceability Project’ report – 13 January 2022 for further details.</w:t>
      </w:r>
    </w:p>
    <w:p w14:paraId="3FA19AD9" w14:textId="50945EDD" w:rsidR="0068093E" w:rsidRPr="00347E95" w:rsidRDefault="003E001F" w:rsidP="00304148">
      <w:r w:rsidRPr="00347E95">
        <w:rPr>
          <w:vertAlign w:val="superscript"/>
        </w:rPr>
        <w:t>2</w:t>
      </w:r>
      <w:r w:rsidR="00347E95">
        <w:rPr>
          <w:vertAlign w:val="superscript"/>
        </w:rPr>
        <w:t xml:space="preserve"> </w:t>
      </w:r>
      <w:r w:rsidRPr="00347E95">
        <w:rPr>
          <w:vertAlign w:val="superscript"/>
        </w:rPr>
        <w:t xml:space="preserve"> </w:t>
      </w:r>
      <w:r w:rsidRPr="00347E95">
        <w:t>See KPMG report (Appendix C</w:t>
      </w:r>
      <w:r w:rsidR="00FF065A" w:rsidRPr="00347E95">
        <w:t>) page</w:t>
      </w:r>
      <w:r w:rsidRPr="00347E95">
        <w:t xml:space="preserve"> 42.</w:t>
      </w:r>
    </w:p>
    <w:p w14:paraId="6FD63DEB" w14:textId="77777777" w:rsidR="00347E95" w:rsidRPr="00347E95" w:rsidRDefault="00347E95" w:rsidP="00347E95">
      <w:pPr>
        <w:pStyle w:val="FootnoteText"/>
        <w:rPr>
          <w:rFonts w:cstheme="minorHAnsi"/>
          <w:sz w:val="22"/>
          <w:szCs w:val="22"/>
          <w:lang w:eastAsia="ja-JP"/>
        </w:rPr>
      </w:pPr>
      <w:r w:rsidRPr="00347E95">
        <w:rPr>
          <w:rStyle w:val="FootnoteReference"/>
          <w:rFonts w:cstheme="minorHAnsi"/>
          <w:sz w:val="22"/>
        </w:rPr>
        <w:t>3</w:t>
      </w:r>
      <w:r w:rsidRPr="00347E95">
        <w:rPr>
          <w:rFonts w:cstheme="minorHAnsi"/>
          <w:sz w:val="22"/>
          <w:szCs w:val="22"/>
        </w:rPr>
        <w:t xml:space="preserve"> </w:t>
      </w:r>
      <w:r w:rsidRPr="00347E95">
        <w:rPr>
          <w:rFonts w:cstheme="minorHAnsi"/>
          <w:sz w:val="22"/>
          <w:szCs w:val="22"/>
          <w:lang w:eastAsia="ja-JP"/>
        </w:rPr>
        <w:t>Australian Senate’s Rural and Regional Affairs and Transport References Committee report entitled ‘</w:t>
      </w:r>
      <w:r w:rsidRPr="00347E95">
        <w:rPr>
          <w:rFonts w:cstheme="minorHAnsi"/>
          <w:i/>
          <w:iCs/>
          <w:sz w:val="22"/>
          <w:szCs w:val="22"/>
          <w:lang w:eastAsia="ja-JP"/>
        </w:rPr>
        <w:t>The feasibility of a National Horse Traceability Register for all horses</w:t>
      </w:r>
      <w:r w:rsidRPr="00347E95">
        <w:rPr>
          <w:rFonts w:cstheme="minorHAnsi"/>
          <w:sz w:val="22"/>
          <w:szCs w:val="22"/>
          <w:lang w:eastAsia="ja-JP"/>
        </w:rPr>
        <w:t>’</w:t>
      </w:r>
    </w:p>
    <w:p w14:paraId="0912660C" w14:textId="68385C78" w:rsidR="00347E95" w:rsidRPr="00347E95" w:rsidRDefault="00347E95" w:rsidP="00347E95">
      <w:pPr>
        <w:rPr>
          <w:rFonts w:cstheme="minorHAnsi"/>
        </w:rPr>
      </w:pPr>
      <w:r w:rsidRPr="00347E95">
        <w:rPr>
          <w:rStyle w:val="FootnoteReference"/>
        </w:rPr>
        <w:t>4</w:t>
      </w:r>
      <w:r w:rsidRPr="00347E95">
        <w:t xml:space="preserve"> IER published study Thoroughbred Racing Nationally, </w:t>
      </w:r>
      <w:r w:rsidRPr="00061F5F">
        <w:t>Racing Australia Study - Racing Australia Study</w:t>
      </w:r>
      <w:r w:rsidR="00A10ED0">
        <w:t xml:space="preserve">, </w:t>
      </w:r>
      <w:r w:rsidR="00A10ED0" w:rsidRPr="00A10ED0">
        <w:t>https://ier-study.racingaustralia.horse/</w:t>
      </w:r>
      <w:r w:rsidRPr="00347E95">
        <w:t>.</w:t>
      </w:r>
    </w:p>
    <w:p w14:paraId="5DFA52C7" w14:textId="77777777" w:rsidR="00347E95" w:rsidRDefault="00347E95" w:rsidP="00304148"/>
    <w:p w14:paraId="2457E352" w14:textId="77777777" w:rsidR="00B11EE2" w:rsidRPr="005144C3" w:rsidRDefault="00B11EE2" w:rsidP="003E001F">
      <w:pPr>
        <w:ind w:left="426"/>
      </w:pPr>
    </w:p>
    <w:p w14:paraId="7853B06E" w14:textId="77777777" w:rsidR="003E001F" w:rsidRDefault="003E001F" w:rsidP="003E001F">
      <w:pPr>
        <w:pStyle w:val="FootnoteText"/>
      </w:pPr>
    </w:p>
  </w:footnote>
  <w:footnote w:id="3">
    <w:p w14:paraId="216B9369" w14:textId="51ED2437" w:rsidR="00081CD5" w:rsidRDefault="00854DEA">
      <w:pPr>
        <w:pStyle w:val="FootnoteText"/>
      </w:pPr>
      <w:r>
        <w:rPr>
          <w:rStyle w:val="FootnoteReference"/>
        </w:rPr>
        <w:t>2</w:t>
      </w:r>
      <w:r>
        <w:t xml:space="preserve"> </w:t>
      </w:r>
      <w:r w:rsidR="00081CD5">
        <w:t>In most states/territories horses can only be microchipped by a veterinary surgeon.  The cost estimate for microchipping a horse used by KPMG was $175 including veterinary fees.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ADF3" w14:textId="417557FD" w:rsidR="009E0A3C" w:rsidRDefault="009E0A3C">
    <w:pPr>
      <w:pStyle w:val="Header"/>
    </w:pPr>
  </w:p>
  <w:p w14:paraId="672A6659" w14:textId="4B0AB08D" w:rsidR="009E0A3C" w:rsidRDefault="009E0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355C" w14:textId="3A17E878" w:rsidR="002A5A3E" w:rsidRDefault="002A5A3E">
    <w:pPr>
      <w:pStyle w:val="Header"/>
      <w:jc w:val="left"/>
    </w:pPr>
    <w:r>
      <w:rPr>
        <w:noProof/>
        <w:lang w:eastAsia="en-AU"/>
      </w:rPr>
      <w:drawing>
        <wp:inline distT="0" distB="0" distL="0" distR="0" wp14:anchorId="72A4FD99" wp14:editId="3EA1C866">
          <wp:extent cx="2123264" cy="63724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2083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32FC8"/>
    <w:multiLevelType w:val="hybridMultilevel"/>
    <w:tmpl w:val="3F98F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73C9B"/>
    <w:multiLevelType w:val="multilevel"/>
    <w:tmpl w:val="7854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92C7C"/>
    <w:multiLevelType w:val="hybridMultilevel"/>
    <w:tmpl w:val="8D740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B32764"/>
    <w:multiLevelType w:val="hybridMultilevel"/>
    <w:tmpl w:val="0D8C28DC"/>
    <w:lvl w:ilvl="0" w:tplc="0C090017">
      <w:start w:val="1"/>
      <w:numFmt w:val="lowerLetter"/>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B207034"/>
    <w:multiLevelType w:val="hybridMultilevel"/>
    <w:tmpl w:val="53CE6CFE"/>
    <w:lvl w:ilvl="0" w:tplc="A5AC4290">
      <w:start w:val="20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216833"/>
    <w:multiLevelType w:val="hybridMultilevel"/>
    <w:tmpl w:val="5CBAE488"/>
    <w:lvl w:ilvl="0" w:tplc="0C09001B">
      <w:start w:val="1"/>
      <w:numFmt w:val="lowerRoman"/>
      <w:lvlText w:val="%1."/>
      <w:lvlJc w:val="righ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0F947CD"/>
    <w:multiLevelType w:val="hybridMultilevel"/>
    <w:tmpl w:val="9CEA52EC"/>
    <w:lvl w:ilvl="0" w:tplc="C7A8FFE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F63C3"/>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styleLink w:val="TableBulletlist"/>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340391A"/>
    <w:multiLevelType w:val="hybridMultilevel"/>
    <w:tmpl w:val="D23E4464"/>
    <w:lvl w:ilvl="0" w:tplc="292289B4">
      <w:start w:val="1"/>
      <w:numFmt w:val="bullet"/>
      <w:lvlText w:val=""/>
      <w:lvlJc w:val="left"/>
      <w:pPr>
        <w:ind w:left="720" w:hanging="360"/>
      </w:pPr>
      <w:rPr>
        <w:rFonts w:ascii="Symbol" w:hAnsi="Symbol" w:hint="default"/>
      </w:rPr>
    </w:lvl>
    <w:lvl w:ilvl="1" w:tplc="2468136A">
      <w:start w:val="1"/>
      <w:numFmt w:val="bullet"/>
      <w:lvlText w:val="o"/>
      <w:lvlJc w:val="left"/>
      <w:pPr>
        <w:ind w:left="1440" w:hanging="360"/>
      </w:pPr>
      <w:rPr>
        <w:rFonts w:ascii="Courier New" w:hAnsi="Courier New" w:hint="default"/>
      </w:rPr>
    </w:lvl>
    <w:lvl w:ilvl="2" w:tplc="0CFC7DAE">
      <w:start w:val="1"/>
      <w:numFmt w:val="bullet"/>
      <w:lvlText w:val=""/>
      <w:lvlJc w:val="left"/>
      <w:pPr>
        <w:ind w:left="2160" w:hanging="360"/>
      </w:pPr>
      <w:rPr>
        <w:rFonts w:ascii="Wingdings" w:hAnsi="Wingdings" w:hint="default"/>
      </w:rPr>
    </w:lvl>
    <w:lvl w:ilvl="3" w:tplc="F050F08C">
      <w:start w:val="1"/>
      <w:numFmt w:val="bullet"/>
      <w:lvlText w:val=""/>
      <w:lvlJc w:val="left"/>
      <w:pPr>
        <w:ind w:left="2880" w:hanging="360"/>
      </w:pPr>
      <w:rPr>
        <w:rFonts w:ascii="Symbol" w:hAnsi="Symbol" w:hint="default"/>
      </w:rPr>
    </w:lvl>
    <w:lvl w:ilvl="4" w:tplc="E21ABB72">
      <w:start w:val="1"/>
      <w:numFmt w:val="bullet"/>
      <w:lvlText w:val="o"/>
      <w:lvlJc w:val="left"/>
      <w:pPr>
        <w:ind w:left="3600" w:hanging="360"/>
      </w:pPr>
      <w:rPr>
        <w:rFonts w:ascii="Courier New" w:hAnsi="Courier New" w:hint="default"/>
      </w:rPr>
    </w:lvl>
    <w:lvl w:ilvl="5" w:tplc="A5CAD54A">
      <w:start w:val="1"/>
      <w:numFmt w:val="bullet"/>
      <w:lvlText w:val=""/>
      <w:lvlJc w:val="left"/>
      <w:pPr>
        <w:ind w:left="4320" w:hanging="360"/>
      </w:pPr>
      <w:rPr>
        <w:rFonts w:ascii="Wingdings" w:hAnsi="Wingdings" w:hint="default"/>
      </w:rPr>
    </w:lvl>
    <w:lvl w:ilvl="6" w:tplc="03681012">
      <w:start w:val="1"/>
      <w:numFmt w:val="bullet"/>
      <w:lvlText w:val=""/>
      <w:lvlJc w:val="left"/>
      <w:pPr>
        <w:ind w:left="5040" w:hanging="360"/>
      </w:pPr>
      <w:rPr>
        <w:rFonts w:ascii="Symbol" w:hAnsi="Symbol" w:hint="default"/>
      </w:rPr>
    </w:lvl>
    <w:lvl w:ilvl="7" w:tplc="F70A0494">
      <w:start w:val="1"/>
      <w:numFmt w:val="bullet"/>
      <w:lvlText w:val="o"/>
      <w:lvlJc w:val="left"/>
      <w:pPr>
        <w:ind w:left="5760" w:hanging="360"/>
      </w:pPr>
      <w:rPr>
        <w:rFonts w:ascii="Courier New" w:hAnsi="Courier New" w:hint="default"/>
      </w:rPr>
    </w:lvl>
    <w:lvl w:ilvl="8" w:tplc="1940F92A">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A706859"/>
    <w:multiLevelType w:val="hybridMultilevel"/>
    <w:tmpl w:val="FA0A1AB0"/>
    <w:lvl w:ilvl="0" w:tplc="FFFFFFFF">
      <w:start w:val="1"/>
      <w:numFmt w:val="decimal"/>
      <w:lvlText w:val="%1."/>
      <w:lvlJc w:val="left"/>
      <w:pPr>
        <w:ind w:left="720" w:hanging="360"/>
      </w:pPr>
      <w:rPr>
        <w:rFonts w:ascii="Cambria" w:hAnsi="Cambria"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571E96"/>
    <w:multiLevelType w:val="hybridMultilevel"/>
    <w:tmpl w:val="F4DA070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1C146B14"/>
    <w:multiLevelType w:val="multilevel"/>
    <w:tmpl w:val="5AD286F8"/>
    <w:lvl w:ilvl="0">
      <w:start w:val="1"/>
      <w:numFmt w:val="none"/>
      <w:lvlText w:val="Source:"/>
      <w:lvlJc w:val="left"/>
      <w:pPr>
        <w:tabs>
          <w:tab w:val="num" w:pos="567"/>
        </w:tabs>
        <w:ind w:left="360" w:hanging="360"/>
      </w:pPr>
      <w:rPr>
        <w:rFonts w:hint="default"/>
      </w:rPr>
    </w:lvl>
    <w:lvl w:ilvl="1">
      <w:start w:val="1"/>
      <w:numFmt w:val="decimal"/>
      <w:pStyle w:val="MJNot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4D390C"/>
    <w:multiLevelType w:val="hybridMultilevel"/>
    <w:tmpl w:val="644087B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6" w15:restartNumberingAfterBreak="0">
    <w:nsid w:val="1EFA0A48"/>
    <w:multiLevelType w:val="hybridMultilevel"/>
    <w:tmpl w:val="FD0C4F7A"/>
    <w:lvl w:ilvl="0" w:tplc="A370AE54">
      <w:start w:val="497"/>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01B5421"/>
    <w:multiLevelType w:val="hybridMultilevel"/>
    <w:tmpl w:val="62048D7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27A8253A"/>
    <w:multiLevelType w:val="hybridMultilevel"/>
    <w:tmpl w:val="D16E1F8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C43FED"/>
    <w:multiLevelType w:val="hybridMultilevel"/>
    <w:tmpl w:val="3E78D140"/>
    <w:lvl w:ilvl="0" w:tplc="8BBE9190">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8AE5764"/>
    <w:multiLevelType w:val="hybridMultilevel"/>
    <w:tmpl w:val="618E1DF0"/>
    <w:lvl w:ilvl="0" w:tplc="0C090017">
      <w:start w:val="1"/>
      <w:numFmt w:val="lowerLetter"/>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21" w15:restartNumberingAfterBreak="0">
    <w:nsid w:val="29EF60E2"/>
    <w:multiLevelType w:val="hybridMultilevel"/>
    <w:tmpl w:val="2340C66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2C033065"/>
    <w:multiLevelType w:val="hybridMultilevel"/>
    <w:tmpl w:val="832C8F1E"/>
    <w:lvl w:ilvl="0" w:tplc="C7A8FFE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F03DDF"/>
    <w:multiLevelType w:val="hybridMultilevel"/>
    <w:tmpl w:val="8C785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6722DB"/>
    <w:multiLevelType w:val="hybridMultilevel"/>
    <w:tmpl w:val="12C8C93A"/>
    <w:lvl w:ilvl="0" w:tplc="A370AE54">
      <w:start w:val="497"/>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11F3F6F"/>
    <w:multiLevelType w:val="multilevel"/>
    <w:tmpl w:val="A6267746"/>
    <w:name w:val="NumberedList422"/>
    <w:lvl w:ilvl="0">
      <w:start w:val="1"/>
      <w:numFmt w:val="decimal"/>
      <w:pStyle w:val="LegalNumberindent"/>
      <w:lvlText w:val="%1."/>
      <w:lvlJc w:val="left"/>
      <w:pPr>
        <w:ind w:left="567" w:hanging="283"/>
      </w:pPr>
      <w:rPr>
        <w:rFonts w:hint="default"/>
      </w:rPr>
    </w:lvl>
    <w:lvl w:ilvl="1">
      <w:start w:val="1"/>
      <w:numFmt w:val="lowerRoman"/>
      <w:lvlText w:val="%2."/>
      <w:lvlJc w:val="left"/>
      <w:pPr>
        <w:ind w:left="851" w:hanging="283"/>
      </w:pPr>
      <w:rPr>
        <w:rFonts w:hint="default"/>
      </w:rPr>
    </w:lvl>
    <w:lvl w:ilvl="2">
      <w:start w:val="1"/>
      <w:numFmt w:val="lowerLetter"/>
      <w:lvlText w:val="%3."/>
      <w:lvlJc w:val="left"/>
      <w:pPr>
        <w:ind w:left="1135" w:hanging="283"/>
      </w:pPr>
      <w:rPr>
        <w:rFonts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6" w15:restartNumberingAfterBreak="0">
    <w:nsid w:val="318754D7"/>
    <w:multiLevelType w:val="hybridMultilevel"/>
    <w:tmpl w:val="B1162090"/>
    <w:lvl w:ilvl="0" w:tplc="8BBE919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357A5221"/>
    <w:multiLevelType w:val="hybridMultilevel"/>
    <w:tmpl w:val="5A8E7C52"/>
    <w:lvl w:ilvl="0" w:tplc="D0F4CB6E">
      <w:start w:val="1"/>
      <w:numFmt w:val="lowerLetter"/>
      <w:lvlText w:val="%1)"/>
      <w:lvlJc w:val="left"/>
      <w:pPr>
        <w:ind w:left="720" w:hanging="360"/>
      </w:pPr>
      <w:rPr>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394A15FE"/>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3983129B"/>
    <w:multiLevelType w:val="hybridMultilevel"/>
    <w:tmpl w:val="91BE96A0"/>
    <w:lvl w:ilvl="0" w:tplc="AFE098F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B057AD9"/>
    <w:multiLevelType w:val="hybridMultilevel"/>
    <w:tmpl w:val="40300008"/>
    <w:lvl w:ilvl="0" w:tplc="0C090017">
      <w:start w:val="1"/>
      <w:numFmt w:val="lowerLetter"/>
      <w:lvlText w:val="%1)"/>
      <w:lvlJc w:val="left"/>
      <w:pPr>
        <w:ind w:left="1146" w:hanging="360"/>
      </w:pPr>
    </w:lvl>
    <w:lvl w:ilvl="1" w:tplc="0C090019">
      <w:start w:val="1"/>
      <w:numFmt w:val="lowerLetter"/>
      <w:lvlText w:val="%2."/>
      <w:lvlJc w:val="left"/>
      <w:pPr>
        <w:ind w:left="1866" w:hanging="360"/>
      </w:p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start w:val="1"/>
      <w:numFmt w:val="lowerLetter"/>
      <w:lvlText w:val="%5."/>
      <w:lvlJc w:val="left"/>
      <w:pPr>
        <w:ind w:left="4026" w:hanging="360"/>
      </w:pPr>
    </w:lvl>
    <w:lvl w:ilvl="5" w:tplc="0C09001B">
      <w:start w:val="1"/>
      <w:numFmt w:val="lowerRoman"/>
      <w:lvlText w:val="%6."/>
      <w:lvlJc w:val="right"/>
      <w:pPr>
        <w:ind w:left="4746" w:hanging="180"/>
      </w:pPr>
    </w:lvl>
    <w:lvl w:ilvl="6" w:tplc="0C09000F">
      <w:start w:val="1"/>
      <w:numFmt w:val="decimal"/>
      <w:lvlText w:val="%7."/>
      <w:lvlJc w:val="left"/>
      <w:pPr>
        <w:ind w:left="5466" w:hanging="360"/>
      </w:pPr>
    </w:lvl>
    <w:lvl w:ilvl="7" w:tplc="0C090019">
      <w:start w:val="1"/>
      <w:numFmt w:val="lowerLetter"/>
      <w:lvlText w:val="%8."/>
      <w:lvlJc w:val="left"/>
      <w:pPr>
        <w:ind w:left="6186" w:hanging="360"/>
      </w:pPr>
    </w:lvl>
    <w:lvl w:ilvl="8" w:tplc="0C09001B">
      <w:start w:val="1"/>
      <w:numFmt w:val="lowerRoman"/>
      <w:lvlText w:val="%9."/>
      <w:lvlJc w:val="right"/>
      <w:pPr>
        <w:ind w:left="6906" w:hanging="180"/>
      </w:pPr>
    </w:lvl>
  </w:abstractNum>
  <w:abstractNum w:abstractNumId="31" w15:restartNumberingAfterBreak="0">
    <w:nsid w:val="408D15BC"/>
    <w:multiLevelType w:val="hybridMultilevel"/>
    <w:tmpl w:val="16C00CFE"/>
    <w:lvl w:ilvl="0" w:tplc="A6C422A2">
      <w:start w:val="1"/>
      <w:numFmt w:val="lowerLetter"/>
      <w:lvlText w:val="%1."/>
      <w:lvlJc w:val="left"/>
      <w:pPr>
        <w:ind w:left="720" w:hanging="360"/>
      </w:pPr>
    </w:lvl>
    <w:lvl w:ilvl="1" w:tplc="149E78A2">
      <w:start w:val="1"/>
      <w:numFmt w:val="lowerLetter"/>
      <w:lvlText w:val="%2."/>
      <w:lvlJc w:val="left"/>
      <w:pPr>
        <w:ind w:left="1440" w:hanging="360"/>
      </w:pPr>
    </w:lvl>
    <w:lvl w:ilvl="2" w:tplc="5896FF46">
      <w:start w:val="1"/>
      <w:numFmt w:val="lowerRoman"/>
      <w:lvlText w:val="%3."/>
      <w:lvlJc w:val="right"/>
      <w:pPr>
        <w:ind w:left="2160" w:hanging="180"/>
      </w:pPr>
    </w:lvl>
    <w:lvl w:ilvl="3" w:tplc="E42C28FC">
      <w:start w:val="1"/>
      <w:numFmt w:val="decimal"/>
      <w:lvlText w:val="%4."/>
      <w:lvlJc w:val="left"/>
      <w:pPr>
        <w:ind w:left="2880" w:hanging="360"/>
      </w:pPr>
    </w:lvl>
    <w:lvl w:ilvl="4" w:tplc="DA7C8B58">
      <w:start w:val="1"/>
      <w:numFmt w:val="lowerLetter"/>
      <w:lvlText w:val="%5."/>
      <w:lvlJc w:val="left"/>
      <w:pPr>
        <w:ind w:left="3600" w:hanging="360"/>
      </w:pPr>
    </w:lvl>
    <w:lvl w:ilvl="5" w:tplc="14BCE5B6">
      <w:start w:val="1"/>
      <w:numFmt w:val="lowerRoman"/>
      <w:lvlText w:val="%6."/>
      <w:lvlJc w:val="right"/>
      <w:pPr>
        <w:ind w:left="4320" w:hanging="180"/>
      </w:pPr>
    </w:lvl>
    <w:lvl w:ilvl="6" w:tplc="3E4C46B2">
      <w:start w:val="1"/>
      <w:numFmt w:val="decimal"/>
      <w:lvlText w:val="%7."/>
      <w:lvlJc w:val="left"/>
      <w:pPr>
        <w:ind w:left="5040" w:hanging="360"/>
      </w:pPr>
    </w:lvl>
    <w:lvl w:ilvl="7" w:tplc="8A8A472E">
      <w:start w:val="1"/>
      <w:numFmt w:val="lowerLetter"/>
      <w:lvlText w:val="%8."/>
      <w:lvlJc w:val="left"/>
      <w:pPr>
        <w:ind w:left="5760" w:hanging="360"/>
      </w:pPr>
    </w:lvl>
    <w:lvl w:ilvl="8" w:tplc="FC2A9FF4">
      <w:start w:val="1"/>
      <w:numFmt w:val="lowerRoman"/>
      <w:lvlText w:val="%9."/>
      <w:lvlJc w:val="right"/>
      <w:pPr>
        <w:ind w:left="6480" w:hanging="180"/>
      </w:pPr>
    </w:lvl>
  </w:abstractNum>
  <w:abstractNum w:abstractNumId="32" w15:restartNumberingAfterBreak="0">
    <w:nsid w:val="40A126B1"/>
    <w:multiLevelType w:val="hybridMultilevel"/>
    <w:tmpl w:val="B116209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420C1930"/>
    <w:multiLevelType w:val="hybridMultilevel"/>
    <w:tmpl w:val="D9A88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6B54EDF"/>
    <w:multiLevelType w:val="hybridMultilevel"/>
    <w:tmpl w:val="2340C66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6" w15:restartNumberingAfterBreak="0">
    <w:nsid w:val="4D3F2D5A"/>
    <w:multiLevelType w:val="hybridMultilevel"/>
    <w:tmpl w:val="2340C66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0BA3167"/>
    <w:multiLevelType w:val="multilevel"/>
    <w:tmpl w:val="19AA0F5C"/>
    <w:lvl w:ilvl="0">
      <w:start w:val="1"/>
      <w:numFmt w:val="bullet"/>
      <w:pStyle w:val="TableListBulletlvl1"/>
      <w:lvlText w:val=""/>
      <w:lvlJc w:val="left"/>
      <w:pPr>
        <w:ind w:left="170" w:hanging="170"/>
      </w:pPr>
      <w:rPr>
        <w:rFonts w:ascii="Symbol" w:hAnsi="Symbol" w:hint="default"/>
        <w:color w:val="auto"/>
      </w:rPr>
    </w:lvl>
    <w:lvl w:ilvl="1">
      <w:start w:val="1"/>
      <w:numFmt w:val="bullet"/>
      <w:pStyle w:val="TableListBulletlvl2"/>
      <w:lvlText w:val="‒"/>
      <w:lvlJc w:val="left"/>
      <w:pPr>
        <w:ind w:left="340" w:hanging="170"/>
      </w:pPr>
      <w:rPr>
        <w:rFonts w:ascii="Calibri" w:hAnsi="Calibri"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Wingdings" w:hAnsi="Wingdings" w:hint="default"/>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rPr>
    </w:lvl>
  </w:abstractNum>
  <w:abstractNum w:abstractNumId="38" w15:restartNumberingAfterBreak="0">
    <w:nsid w:val="50C278F0"/>
    <w:multiLevelType w:val="hybridMultilevel"/>
    <w:tmpl w:val="DF3A5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D962EC"/>
    <w:multiLevelType w:val="hybridMultilevel"/>
    <w:tmpl w:val="842AB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1FA2499"/>
    <w:multiLevelType w:val="hybridMultilevel"/>
    <w:tmpl w:val="618E1DF0"/>
    <w:lvl w:ilvl="0" w:tplc="0C090017">
      <w:start w:val="1"/>
      <w:numFmt w:val="lowerLetter"/>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41" w15:restartNumberingAfterBreak="0">
    <w:nsid w:val="541E4CC9"/>
    <w:multiLevelType w:val="hybridMultilevel"/>
    <w:tmpl w:val="5658EF72"/>
    <w:lvl w:ilvl="0" w:tplc="AFA8431E">
      <w:start w:val="11"/>
      <w:numFmt w:val="decimal"/>
      <w:lvlText w:val="%1."/>
      <w:lvlJc w:val="left"/>
      <w:pPr>
        <w:ind w:left="1744" w:hanging="740"/>
      </w:pPr>
      <w:rPr>
        <w:rFonts w:hint="default"/>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42" w15:restartNumberingAfterBreak="0">
    <w:nsid w:val="55143279"/>
    <w:multiLevelType w:val="hybridMultilevel"/>
    <w:tmpl w:val="F4F62EF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3" w15:restartNumberingAfterBreak="0">
    <w:nsid w:val="558C2FFF"/>
    <w:multiLevelType w:val="hybridMultilevel"/>
    <w:tmpl w:val="F66AFF1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558D4DAD"/>
    <w:multiLevelType w:val="hybridMultilevel"/>
    <w:tmpl w:val="5F4675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770342E"/>
    <w:multiLevelType w:val="multilevel"/>
    <w:tmpl w:val="7DBC334A"/>
    <w:styleLink w:val="Headinglist"/>
    <w:lvl w:ilvl="0">
      <w:start w:val="1"/>
      <w:numFmt w:val="decimal"/>
      <w:pStyle w:val="Heading2"/>
      <w:lvlText w:val="%1"/>
      <w:lvlJc w:val="left"/>
      <w:pPr>
        <w:ind w:left="1004"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79E0B98"/>
    <w:multiLevelType w:val="hybridMultilevel"/>
    <w:tmpl w:val="014C3B8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580A48AA"/>
    <w:multiLevelType w:val="hybridMultilevel"/>
    <w:tmpl w:val="BCD4C944"/>
    <w:lvl w:ilvl="0" w:tplc="C7A8FFE0">
      <w:start w:val="1"/>
      <w:numFmt w:val="bullet"/>
      <w:lvlText w:val="-"/>
      <w:lvlJc w:val="left"/>
      <w:pPr>
        <w:ind w:left="720" w:hanging="360"/>
      </w:pPr>
      <w:rPr>
        <w:rFonts w:ascii="Calibri" w:hAnsi="Calibri" w:hint="default"/>
      </w:rPr>
    </w:lvl>
    <w:lvl w:ilvl="1" w:tplc="CA2449A6">
      <w:start w:val="1"/>
      <w:numFmt w:val="bullet"/>
      <w:lvlText w:val="o"/>
      <w:lvlJc w:val="left"/>
      <w:pPr>
        <w:ind w:left="1440" w:hanging="360"/>
      </w:pPr>
      <w:rPr>
        <w:rFonts w:ascii="Courier New" w:hAnsi="Courier New" w:hint="default"/>
      </w:rPr>
    </w:lvl>
    <w:lvl w:ilvl="2" w:tplc="DB18C84A">
      <w:start w:val="1"/>
      <w:numFmt w:val="bullet"/>
      <w:lvlText w:val=""/>
      <w:lvlJc w:val="left"/>
      <w:pPr>
        <w:ind w:left="2160" w:hanging="360"/>
      </w:pPr>
      <w:rPr>
        <w:rFonts w:ascii="Wingdings" w:hAnsi="Wingdings" w:hint="default"/>
      </w:rPr>
    </w:lvl>
    <w:lvl w:ilvl="3" w:tplc="7D743556">
      <w:start w:val="1"/>
      <w:numFmt w:val="bullet"/>
      <w:lvlText w:val=""/>
      <w:lvlJc w:val="left"/>
      <w:pPr>
        <w:ind w:left="2880" w:hanging="360"/>
      </w:pPr>
      <w:rPr>
        <w:rFonts w:ascii="Symbol" w:hAnsi="Symbol" w:hint="default"/>
      </w:rPr>
    </w:lvl>
    <w:lvl w:ilvl="4" w:tplc="6DE215A6">
      <w:start w:val="1"/>
      <w:numFmt w:val="bullet"/>
      <w:lvlText w:val="o"/>
      <w:lvlJc w:val="left"/>
      <w:pPr>
        <w:ind w:left="3600" w:hanging="360"/>
      </w:pPr>
      <w:rPr>
        <w:rFonts w:ascii="Courier New" w:hAnsi="Courier New" w:hint="default"/>
      </w:rPr>
    </w:lvl>
    <w:lvl w:ilvl="5" w:tplc="F4B2E8C8">
      <w:start w:val="1"/>
      <w:numFmt w:val="bullet"/>
      <w:lvlText w:val=""/>
      <w:lvlJc w:val="left"/>
      <w:pPr>
        <w:ind w:left="4320" w:hanging="360"/>
      </w:pPr>
      <w:rPr>
        <w:rFonts w:ascii="Wingdings" w:hAnsi="Wingdings" w:hint="default"/>
      </w:rPr>
    </w:lvl>
    <w:lvl w:ilvl="6" w:tplc="C186C550">
      <w:start w:val="1"/>
      <w:numFmt w:val="bullet"/>
      <w:lvlText w:val=""/>
      <w:lvlJc w:val="left"/>
      <w:pPr>
        <w:ind w:left="5040" w:hanging="360"/>
      </w:pPr>
      <w:rPr>
        <w:rFonts w:ascii="Symbol" w:hAnsi="Symbol" w:hint="default"/>
      </w:rPr>
    </w:lvl>
    <w:lvl w:ilvl="7" w:tplc="22D24AF2">
      <w:start w:val="1"/>
      <w:numFmt w:val="bullet"/>
      <w:lvlText w:val="o"/>
      <w:lvlJc w:val="left"/>
      <w:pPr>
        <w:ind w:left="5760" w:hanging="360"/>
      </w:pPr>
      <w:rPr>
        <w:rFonts w:ascii="Courier New" w:hAnsi="Courier New" w:hint="default"/>
      </w:rPr>
    </w:lvl>
    <w:lvl w:ilvl="8" w:tplc="889E79F0">
      <w:start w:val="1"/>
      <w:numFmt w:val="bullet"/>
      <w:lvlText w:val=""/>
      <w:lvlJc w:val="left"/>
      <w:pPr>
        <w:ind w:left="6480" w:hanging="360"/>
      </w:pPr>
      <w:rPr>
        <w:rFonts w:ascii="Wingdings" w:hAnsi="Wingdings" w:hint="default"/>
      </w:rPr>
    </w:lvl>
  </w:abstractNum>
  <w:abstractNum w:abstractNumId="48" w15:restartNumberingAfterBreak="0">
    <w:nsid w:val="592D4A2F"/>
    <w:multiLevelType w:val="hybridMultilevel"/>
    <w:tmpl w:val="6F80F67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5AA12966"/>
    <w:multiLevelType w:val="multilevel"/>
    <w:tmpl w:val="A0241B28"/>
    <w:styleLink w:val="List1"/>
    <w:lvl w:ilvl="0">
      <w:start w:val="1"/>
      <w:numFmt w:val="bullet"/>
      <w:pStyle w:val="ListBullet"/>
      <w:lvlText w:val=""/>
      <w:lvlJc w:val="left"/>
      <w:pPr>
        <w:ind w:left="785" w:hanging="425"/>
      </w:pPr>
      <w:rPr>
        <w:rFonts w:ascii="Symbol" w:hAnsi="Symbol" w:hint="default"/>
        <w:color w:val="003150"/>
      </w:rPr>
    </w:lvl>
    <w:lvl w:ilvl="1">
      <w:start w:val="1"/>
      <w:numFmt w:val="bullet"/>
      <w:pStyle w:val="ListBullet2"/>
      <w:lvlText w:val=""/>
      <w:lvlJc w:val="left"/>
      <w:pPr>
        <w:ind w:left="1211" w:hanging="426"/>
      </w:pPr>
      <w:rPr>
        <w:rFonts w:ascii="Symbol" w:hAnsi="Symbol" w:hint="default"/>
        <w:color w:val="auto"/>
      </w:rPr>
    </w:lvl>
    <w:lvl w:ilvl="2">
      <w:start w:val="1"/>
      <w:numFmt w:val="bullet"/>
      <w:pStyle w:val="ListBullet3"/>
      <w:lvlText w:val="­"/>
      <w:lvlJc w:val="left"/>
      <w:pPr>
        <w:ind w:left="1636" w:hanging="425"/>
      </w:pPr>
      <w:rPr>
        <w:rFonts w:ascii="Cambria" w:hAnsi="Cambria" w:hint="default"/>
      </w:rPr>
    </w:lvl>
    <w:lvl w:ilvl="3">
      <w:start w:val="1"/>
      <w:numFmt w:val="bullet"/>
      <w:lvlText w:val=""/>
      <w:lvlJc w:val="left"/>
      <w:pPr>
        <w:ind w:left="3285" w:hanging="360"/>
      </w:pPr>
      <w:rPr>
        <w:rFonts w:ascii="Symbol" w:hAnsi="Symbol" w:hint="default"/>
      </w:rPr>
    </w:lvl>
    <w:lvl w:ilvl="4">
      <w:start w:val="1"/>
      <w:numFmt w:val="bullet"/>
      <w:lvlText w:val="o"/>
      <w:lvlJc w:val="left"/>
      <w:pPr>
        <w:ind w:left="4005" w:hanging="360"/>
      </w:pPr>
      <w:rPr>
        <w:rFonts w:ascii="Courier New" w:hAnsi="Courier New" w:hint="default"/>
      </w:rPr>
    </w:lvl>
    <w:lvl w:ilvl="5">
      <w:start w:val="1"/>
      <w:numFmt w:val="bullet"/>
      <w:lvlText w:val=""/>
      <w:lvlJc w:val="left"/>
      <w:pPr>
        <w:ind w:left="4725" w:hanging="360"/>
      </w:pPr>
      <w:rPr>
        <w:rFonts w:ascii="Wingdings" w:hAnsi="Wingdings" w:hint="default"/>
      </w:rPr>
    </w:lvl>
    <w:lvl w:ilvl="6">
      <w:start w:val="1"/>
      <w:numFmt w:val="bullet"/>
      <w:lvlText w:val=""/>
      <w:lvlJc w:val="left"/>
      <w:pPr>
        <w:ind w:left="5445" w:hanging="360"/>
      </w:pPr>
      <w:rPr>
        <w:rFonts w:ascii="Symbol" w:hAnsi="Symbol" w:hint="default"/>
      </w:rPr>
    </w:lvl>
    <w:lvl w:ilvl="7">
      <w:start w:val="1"/>
      <w:numFmt w:val="bullet"/>
      <w:lvlText w:val="o"/>
      <w:lvlJc w:val="left"/>
      <w:pPr>
        <w:ind w:left="6165" w:hanging="360"/>
      </w:pPr>
      <w:rPr>
        <w:rFonts w:ascii="Courier New" w:hAnsi="Courier New" w:hint="default"/>
      </w:rPr>
    </w:lvl>
    <w:lvl w:ilvl="8">
      <w:start w:val="1"/>
      <w:numFmt w:val="bullet"/>
      <w:lvlText w:val=""/>
      <w:lvlJc w:val="left"/>
      <w:pPr>
        <w:ind w:left="6885" w:hanging="360"/>
      </w:pPr>
      <w:rPr>
        <w:rFonts w:ascii="Wingdings" w:hAnsi="Wingdings" w:hint="default"/>
      </w:rPr>
    </w:lvl>
  </w:abstractNum>
  <w:abstractNum w:abstractNumId="50" w15:restartNumberingAfterBreak="0">
    <w:nsid w:val="5FAF1411"/>
    <w:multiLevelType w:val="hybridMultilevel"/>
    <w:tmpl w:val="04241980"/>
    <w:lvl w:ilvl="0" w:tplc="C7A8FFE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3C07EF"/>
    <w:multiLevelType w:val="multilevel"/>
    <w:tmpl w:val="2A9AD19E"/>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2A80484"/>
    <w:multiLevelType w:val="hybridMultilevel"/>
    <w:tmpl w:val="BFC445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6462515C"/>
    <w:multiLevelType w:val="hybridMultilevel"/>
    <w:tmpl w:val="AD4CAFC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64C9494C"/>
    <w:multiLevelType w:val="hybridMultilevel"/>
    <w:tmpl w:val="55E6AF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6C4331C"/>
    <w:multiLevelType w:val="hybridMultilevel"/>
    <w:tmpl w:val="0C961E4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66CD0FDA"/>
    <w:multiLevelType w:val="hybridMultilevel"/>
    <w:tmpl w:val="F66AFF1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68EF6B58"/>
    <w:multiLevelType w:val="hybridMultilevel"/>
    <w:tmpl w:val="D4EC243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8" w15:restartNumberingAfterBreak="0">
    <w:nsid w:val="6A337185"/>
    <w:multiLevelType w:val="hybridMultilevel"/>
    <w:tmpl w:val="75861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AD82314"/>
    <w:multiLevelType w:val="hybridMultilevel"/>
    <w:tmpl w:val="911EA80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6D605333"/>
    <w:multiLevelType w:val="hybridMultilevel"/>
    <w:tmpl w:val="FA0A1AB0"/>
    <w:lvl w:ilvl="0" w:tplc="220A60C4">
      <w:start w:val="1"/>
      <w:numFmt w:val="decimal"/>
      <w:lvlText w:val="%1."/>
      <w:lvlJc w:val="left"/>
      <w:pPr>
        <w:ind w:left="720" w:hanging="360"/>
      </w:pPr>
      <w:rPr>
        <w:rFonts w:ascii="Cambria" w:hAnsi="Cambria"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DA105EB"/>
    <w:multiLevelType w:val="hybridMultilevel"/>
    <w:tmpl w:val="11B25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DD96060"/>
    <w:multiLevelType w:val="hybridMultilevel"/>
    <w:tmpl w:val="3DA430A2"/>
    <w:lvl w:ilvl="0" w:tplc="95242322">
      <w:start w:val="1"/>
      <w:numFmt w:val="lowerLetter"/>
      <w:lvlText w:val="%1)"/>
      <w:lvlJc w:val="left"/>
      <w:pPr>
        <w:ind w:left="786" w:hanging="360"/>
      </w:p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63" w15:restartNumberingAfterBreak="0">
    <w:nsid w:val="6EB679F4"/>
    <w:multiLevelType w:val="multilevel"/>
    <w:tmpl w:val="CD7E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0D2398"/>
    <w:multiLevelType w:val="hybridMultilevel"/>
    <w:tmpl w:val="5ECC3A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71006D29"/>
    <w:multiLevelType w:val="multilevel"/>
    <w:tmpl w:val="F5985C8A"/>
    <w:name w:val="NumberedList432"/>
    <w:lvl w:ilvl="0">
      <w:start w:val="1"/>
      <w:numFmt w:val="decimal"/>
      <w:pStyle w:val="TableListNumberlvl1"/>
      <w:lvlText w:val="%1."/>
      <w:lvlJc w:val="left"/>
      <w:pPr>
        <w:ind w:left="170" w:hanging="170"/>
      </w:pPr>
      <w:rPr>
        <w:rFonts w:hint="default"/>
      </w:rPr>
    </w:lvl>
    <w:lvl w:ilvl="1">
      <w:start w:val="1"/>
      <w:numFmt w:val="lowerLetter"/>
      <w:pStyle w:val="TableListNumberlvl2"/>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6" w15:restartNumberingAfterBreak="0">
    <w:nsid w:val="74EF4852"/>
    <w:multiLevelType w:val="hybridMultilevel"/>
    <w:tmpl w:val="B1162090"/>
    <w:lvl w:ilvl="0" w:tplc="8BBE919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75EB1864"/>
    <w:multiLevelType w:val="hybridMultilevel"/>
    <w:tmpl w:val="E04C6A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681001A"/>
    <w:multiLevelType w:val="multilevel"/>
    <w:tmpl w:val="39E2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6ED381A"/>
    <w:multiLevelType w:val="hybridMultilevel"/>
    <w:tmpl w:val="18DCF3D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15:restartNumberingAfterBreak="0">
    <w:nsid w:val="79A57144"/>
    <w:multiLevelType w:val="hybridMultilevel"/>
    <w:tmpl w:val="175CAA48"/>
    <w:lvl w:ilvl="0" w:tplc="0C090001">
      <w:start w:val="1"/>
      <w:numFmt w:val="bullet"/>
      <w:lvlText w:val=""/>
      <w:lvlJc w:val="left"/>
      <w:pPr>
        <w:ind w:left="1080" w:hanging="360"/>
      </w:pPr>
      <w:rPr>
        <w:rFonts w:ascii="Symbol" w:hAnsi="Symbol" w:hint="default"/>
      </w:rPr>
    </w:lvl>
    <w:lvl w:ilvl="1" w:tplc="AAEEFB3E">
      <w:start w:val="1"/>
      <w:numFmt w:val="lowerLetter"/>
      <w:lvlText w:val="%2."/>
      <w:lvlJc w:val="left"/>
      <w:pPr>
        <w:ind w:left="1800" w:hanging="360"/>
      </w:pPr>
    </w:lvl>
    <w:lvl w:ilvl="2" w:tplc="0EE272DC">
      <w:start w:val="1"/>
      <w:numFmt w:val="lowerRoman"/>
      <w:lvlText w:val="%3."/>
      <w:lvlJc w:val="right"/>
      <w:pPr>
        <w:ind w:left="2520" w:hanging="180"/>
      </w:pPr>
    </w:lvl>
    <w:lvl w:ilvl="3" w:tplc="D4D0D7E0">
      <w:start w:val="1"/>
      <w:numFmt w:val="decimal"/>
      <w:lvlText w:val="%4."/>
      <w:lvlJc w:val="left"/>
      <w:pPr>
        <w:ind w:left="3240" w:hanging="360"/>
      </w:pPr>
    </w:lvl>
    <w:lvl w:ilvl="4" w:tplc="64D00A76">
      <w:start w:val="1"/>
      <w:numFmt w:val="lowerLetter"/>
      <w:lvlText w:val="%5."/>
      <w:lvlJc w:val="left"/>
      <w:pPr>
        <w:ind w:left="3960" w:hanging="360"/>
      </w:pPr>
    </w:lvl>
    <w:lvl w:ilvl="5" w:tplc="9E0466BE">
      <w:start w:val="1"/>
      <w:numFmt w:val="lowerRoman"/>
      <w:lvlText w:val="%6."/>
      <w:lvlJc w:val="right"/>
      <w:pPr>
        <w:ind w:left="4680" w:hanging="180"/>
      </w:pPr>
    </w:lvl>
    <w:lvl w:ilvl="6" w:tplc="05A269F8">
      <w:start w:val="1"/>
      <w:numFmt w:val="decimal"/>
      <w:lvlText w:val="%7."/>
      <w:lvlJc w:val="left"/>
      <w:pPr>
        <w:ind w:left="5400" w:hanging="360"/>
      </w:pPr>
    </w:lvl>
    <w:lvl w:ilvl="7" w:tplc="C9DA64D0">
      <w:start w:val="1"/>
      <w:numFmt w:val="lowerLetter"/>
      <w:lvlText w:val="%8."/>
      <w:lvlJc w:val="left"/>
      <w:pPr>
        <w:ind w:left="6120" w:hanging="360"/>
      </w:pPr>
    </w:lvl>
    <w:lvl w:ilvl="8" w:tplc="D7045B46">
      <w:start w:val="1"/>
      <w:numFmt w:val="lowerRoman"/>
      <w:lvlText w:val="%9."/>
      <w:lvlJc w:val="right"/>
      <w:pPr>
        <w:ind w:left="6840" w:hanging="180"/>
      </w:pPr>
    </w:lvl>
  </w:abstractNum>
  <w:abstractNum w:abstractNumId="71" w15:restartNumberingAfterBreak="0">
    <w:nsid w:val="7BF943AA"/>
    <w:multiLevelType w:val="hybridMultilevel"/>
    <w:tmpl w:val="911EA80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2" w15:restartNumberingAfterBreak="0">
    <w:nsid w:val="7E9B4B88"/>
    <w:multiLevelType w:val="hybridMultilevel"/>
    <w:tmpl w:val="BB064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7"/>
  </w:num>
  <w:num w:numId="2">
    <w:abstractNumId w:val="31"/>
  </w:num>
  <w:num w:numId="3">
    <w:abstractNumId w:val="10"/>
  </w:num>
  <w:num w:numId="4">
    <w:abstractNumId w:val="35"/>
  </w:num>
  <w:num w:numId="5">
    <w:abstractNumId w:val="11"/>
  </w:num>
  <w:num w:numId="6">
    <w:abstractNumId w:val="49"/>
  </w:num>
  <w:num w:numId="7">
    <w:abstractNumId w:val="28"/>
  </w:num>
  <w:num w:numId="8">
    <w:abstractNumId w:val="45"/>
    <w:lvlOverride w:ilvl="0">
      <w:lvl w:ilvl="0">
        <w:start w:val="1"/>
        <w:numFmt w:val="decimal"/>
        <w:pStyle w:val="Heading2"/>
        <w:lvlText w:val="%1"/>
        <w:lvlJc w:val="left"/>
        <w:pPr>
          <w:ind w:left="8234" w:hanging="720"/>
        </w:pPr>
        <w:rPr>
          <w:rFonts w:ascii="Cambria" w:hAnsi="Cambria"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9"/>
  </w:num>
  <w:num w:numId="10">
    <w:abstractNumId w:val="8"/>
  </w:num>
  <w:num w:numId="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num>
  <w:num w:numId="13">
    <w:abstractNumId w:val="17"/>
  </w:num>
  <w:num w:numId="14">
    <w:abstractNumId w:val="4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54"/>
  </w:num>
  <w:num w:numId="37">
    <w:abstractNumId w:val="58"/>
  </w:num>
  <w:num w:numId="38">
    <w:abstractNumId w:val="38"/>
  </w:num>
  <w:num w:numId="39">
    <w:abstractNumId w:val="60"/>
  </w:num>
  <w:num w:numId="40">
    <w:abstractNumId w:val="66"/>
  </w:num>
  <w:num w:numId="41">
    <w:abstractNumId w:val="70"/>
  </w:num>
  <w:num w:numId="42">
    <w:abstractNumId w:val="61"/>
  </w:num>
  <w:num w:numId="43">
    <w:abstractNumId w:val="26"/>
  </w:num>
  <w:num w:numId="44">
    <w:abstractNumId w:val="65"/>
  </w:num>
  <w:num w:numId="45">
    <w:abstractNumId w:val="14"/>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33"/>
  </w:num>
  <w:num w:numId="49">
    <w:abstractNumId w:val="1"/>
  </w:num>
  <w:num w:numId="50">
    <w:abstractNumId w:val="39"/>
  </w:num>
  <w:num w:numId="51">
    <w:abstractNumId w:val="5"/>
  </w:num>
  <w:num w:numId="52">
    <w:abstractNumId w:val="16"/>
  </w:num>
  <w:num w:numId="53">
    <w:abstractNumId w:val="24"/>
  </w:num>
  <w:num w:numId="54">
    <w:abstractNumId w:val="64"/>
  </w:num>
  <w:num w:numId="55">
    <w:abstractNumId w:val="19"/>
  </w:num>
  <w:num w:numId="56">
    <w:abstractNumId w:val="23"/>
  </w:num>
  <w:num w:numId="57">
    <w:abstractNumId w:val="3"/>
  </w:num>
  <w:num w:numId="58">
    <w:abstractNumId w:val="44"/>
  </w:num>
  <w:num w:numId="59">
    <w:abstractNumId w:val="68"/>
  </w:num>
  <w:num w:numId="60">
    <w:abstractNumId w:val="29"/>
  </w:num>
  <w:num w:numId="61">
    <w:abstractNumId w:val="67"/>
  </w:num>
  <w:num w:numId="62">
    <w:abstractNumId w:val="63"/>
  </w:num>
  <w:num w:numId="63">
    <w:abstractNumId w:val="18"/>
  </w:num>
  <w:num w:numId="64">
    <w:abstractNumId w:val="45"/>
  </w:num>
  <w:num w:numId="65">
    <w:abstractNumId w:val="41"/>
  </w:num>
  <w:num w:numId="66">
    <w:abstractNumId w:val="25"/>
  </w:num>
  <w:num w:numId="67">
    <w:abstractNumId w:val="45"/>
    <w:lvlOverride w:ilvl="0">
      <w:lvl w:ilvl="0">
        <w:start w:val="1"/>
        <w:numFmt w:val="decimal"/>
        <w:pStyle w:val="Heading2"/>
        <w:lvlText w:val="%1"/>
        <w:lvlJc w:val="left"/>
        <w:pPr>
          <w:ind w:left="1004" w:hanging="720"/>
        </w:pPr>
        <w:rPr>
          <w:rFonts w:ascii="Cambria" w:hAnsi="Cambria"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68">
    <w:abstractNumId w:val="2"/>
  </w:num>
  <w:num w:numId="69">
    <w:abstractNumId w:val="72"/>
  </w:num>
  <w:num w:numId="70">
    <w:abstractNumId w:val="12"/>
  </w:num>
  <w:num w:numId="71">
    <w:abstractNumId w:val="32"/>
  </w:num>
  <w:num w:numId="72">
    <w:abstractNumId w:val="22"/>
  </w:num>
  <w:num w:numId="73">
    <w:abstractNumId w:val="45"/>
    <w:lvlOverride w:ilvl="0">
      <w:lvl w:ilvl="0">
        <w:start w:val="1"/>
        <w:numFmt w:val="decimal"/>
        <w:pStyle w:val="Heading2"/>
        <w:lvlText w:val="%1"/>
        <w:lvlJc w:val="left"/>
        <w:pPr>
          <w:ind w:left="1004" w:hanging="720"/>
        </w:pPr>
        <w:rPr>
          <w:rFonts w:ascii="Cambria" w:hAnsi="Cambria"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74">
    <w:abstractNumId w:val="45"/>
    <w:lvlOverride w:ilvl="0">
      <w:lvl w:ilvl="0">
        <w:start w:val="1"/>
        <w:numFmt w:val="decimal"/>
        <w:pStyle w:val="Heading2"/>
        <w:lvlText w:val="%1"/>
        <w:lvlJc w:val="left"/>
        <w:pPr>
          <w:ind w:left="1004" w:hanging="720"/>
        </w:pPr>
        <w:rPr>
          <w:rFonts w:ascii="Cambria" w:hAnsi="Cambria"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75">
    <w:abstractNumId w:val="51"/>
  </w:num>
  <w:num w:numId="76">
    <w:abstractNumId w:val="0"/>
  </w:num>
  <w:num w:numId="77">
    <w:abstractNumId w:val="50"/>
  </w:num>
  <w:num w:numId="78">
    <w:abstractNumId w:val="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ACA"/>
    <w:rsid w:val="00001038"/>
    <w:rsid w:val="000017C0"/>
    <w:rsid w:val="000019DF"/>
    <w:rsid w:val="00001D58"/>
    <w:rsid w:val="00001D7C"/>
    <w:rsid w:val="000043A7"/>
    <w:rsid w:val="00007E77"/>
    <w:rsid w:val="00010647"/>
    <w:rsid w:val="00011813"/>
    <w:rsid w:val="000131A2"/>
    <w:rsid w:val="00013BF8"/>
    <w:rsid w:val="000169D8"/>
    <w:rsid w:val="00016DA6"/>
    <w:rsid w:val="00020B86"/>
    <w:rsid w:val="000240C7"/>
    <w:rsid w:val="0002438A"/>
    <w:rsid w:val="00024A9E"/>
    <w:rsid w:val="00025118"/>
    <w:rsid w:val="00025A35"/>
    <w:rsid w:val="00025E3A"/>
    <w:rsid w:val="000262E4"/>
    <w:rsid w:val="00026795"/>
    <w:rsid w:val="00030C64"/>
    <w:rsid w:val="00031F40"/>
    <w:rsid w:val="00032969"/>
    <w:rsid w:val="00032F14"/>
    <w:rsid w:val="00033882"/>
    <w:rsid w:val="00034921"/>
    <w:rsid w:val="00035DD2"/>
    <w:rsid w:val="0004086B"/>
    <w:rsid w:val="00042256"/>
    <w:rsid w:val="000427BA"/>
    <w:rsid w:val="000427E2"/>
    <w:rsid w:val="00045B55"/>
    <w:rsid w:val="0005024A"/>
    <w:rsid w:val="00051975"/>
    <w:rsid w:val="00052901"/>
    <w:rsid w:val="0005295D"/>
    <w:rsid w:val="00054CAA"/>
    <w:rsid w:val="00055A0A"/>
    <w:rsid w:val="00055B4F"/>
    <w:rsid w:val="00055EE3"/>
    <w:rsid w:val="000572A6"/>
    <w:rsid w:val="00057D14"/>
    <w:rsid w:val="000612B2"/>
    <w:rsid w:val="00061F5F"/>
    <w:rsid w:val="0006278A"/>
    <w:rsid w:val="00066779"/>
    <w:rsid w:val="0006772F"/>
    <w:rsid w:val="0006790B"/>
    <w:rsid w:val="00067B46"/>
    <w:rsid w:val="00067BF8"/>
    <w:rsid w:val="00070A90"/>
    <w:rsid w:val="000712EC"/>
    <w:rsid w:val="00073414"/>
    <w:rsid w:val="00075467"/>
    <w:rsid w:val="00075DEA"/>
    <w:rsid w:val="00075F5D"/>
    <w:rsid w:val="00080D9C"/>
    <w:rsid w:val="00081A1D"/>
    <w:rsid w:val="00081CD5"/>
    <w:rsid w:val="00082E54"/>
    <w:rsid w:val="000844D5"/>
    <w:rsid w:val="000846C0"/>
    <w:rsid w:val="00085863"/>
    <w:rsid w:val="00085978"/>
    <w:rsid w:val="00086B2A"/>
    <w:rsid w:val="000902A9"/>
    <w:rsid w:val="00093382"/>
    <w:rsid w:val="00094450"/>
    <w:rsid w:val="00094891"/>
    <w:rsid w:val="000951B6"/>
    <w:rsid w:val="000963E6"/>
    <w:rsid w:val="000970D0"/>
    <w:rsid w:val="000975BE"/>
    <w:rsid w:val="00097B73"/>
    <w:rsid w:val="00097FA8"/>
    <w:rsid w:val="000A0094"/>
    <w:rsid w:val="000A1A31"/>
    <w:rsid w:val="000A1D5A"/>
    <w:rsid w:val="000A1E54"/>
    <w:rsid w:val="000A213B"/>
    <w:rsid w:val="000A24BF"/>
    <w:rsid w:val="000A3A1E"/>
    <w:rsid w:val="000A3B65"/>
    <w:rsid w:val="000A4F27"/>
    <w:rsid w:val="000A5C5E"/>
    <w:rsid w:val="000A5E71"/>
    <w:rsid w:val="000A68A6"/>
    <w:rsid w:val="000A7AAF"/>
    <w:rsid w:val="000B0CEC"/>
    <w:rsid w:val="000B3150"/>
    <w:rsid w:val="000B4C12"/>
    <w:rsid w:val="000B53CD"/>
    <w:rsid w:val="000B7498"/>
    <w:rsid w:val="000B7B09"/>
    <w:rsid w:val="000C1BBC"/>
    <w:rsid w:val="000C2B90"/>
    <w:rsid w:val="000C5256"/>
    <w:rsid w:val="000C5C28"/>
    <w:rsid w:val="000C7360"/>
    <w:rsid w:val="000C7A9B"/>
    <w:rsid w:val="000D0BA6"/>
    <w:rsid w:val="000D2CCA"/>
    <w:rsid w:val="000D3193"/>
    <w:rsid w:val="000D3B9D"/>
    <w:rsid w:val="000D3E36"/>
    <w:rsid w:val="000D4494"/>
    <w:rsid w:val="000D583B"/>
    <w:rsid w:val="000D7E6E"/>
    <w:rsid w:val="000E1732"/>
    <w:rsid w:val="000E2937"/>
    <w:rsid w:val="000E2CB9"/>
    <w:rsid w:val="000E3F99"/>
    <w:rsid w:val="000E4B71"/>
    <w:rsid w:val="000E4FAD"/>
    <w:rsid w:val="000E56ED"/>
    <w:rsid w:val="000E582E"/>
    <w:rsid w:val="000E7A43"/>
    <w:rsid w:val="000F0B50"/>
    <w:rsid w:val="000F1114"/>
    <w:rsid w:val="000F12DF"/>
    <w:rsid w:val="000F2137"/>
    <w:rsid w:val="000F25AA"/>
    <w:rsid w:val="000F332B"/>
    <w:rsid w:val="000F390D"/>
    <w:rsid w:val="000F43B7"/>
    <w:rsid w:val="000F4569"/>
    <w:rsid w:val="000F54F8"/>
    <w:rsid w:val="000F59D9"/>
    <w:rsid w:val="000F72A8"/>
    <w:rsid w:val="00100158"/>
    <w:rsid w:val="00104166"/>
    <w:rsid w:val="00104CA4"/>
    <w:rsid w:val="00106F94"/>
    <w:rsid w:val="001071A4"/>
    <w:rsid w:val="00110CC5"/>
    <w:rsid w:val="00111377"/>
    <w:rsid w:val="00112B20"/>
    <w:rsid w:val="00114998"/>
    <w:rsid w:val="00114F10"/>
    <w:rsid w:val="00114F1B"/>
    <w:rsid w:val="00116491"/>
    <w:rsid w:val="00116A1C"/>
    <w:rsid w:val="00116F1C"/>
    <w:rsid w:val="00117B50"/>
    <w:rsid w:val="001208DE"/>
    <w:rsid w:val="00121B5A"/>
    <w:rsid w:val="00121C3B"/>
    <w:rsid w:val="00121E59"/>
    <w:rsid w:val="00122AB1"/>
    <w:rsid w:val="00123268"/>
    <w:rsid w:val="00123290"/>
    <w:rsid w:val="00123481"/>
    <w:rsid w:val="001272E1"/>
    <w:rsid w:val="00127FEB"/>
    <w:rsid w:val="0013176D"/>
    <w:rsid w:val="00132766"/>
    <w:rsid w:val="00132EAF"/>
    <w:rsid w:val="0013642A"/>
    <w:rsid w:val="0013688D"/>
    <w:rsid w:val="001368A2"/>
    <w:rsid w:val="00136EEC"/>
    <w:rsid w:val="00137165"/>
    <w:rsid w:val="00140ADE"/>
    <w:rsid w:val="00141792"/>
    <w:rsid w:val="001426C3"/>
    <w:rsid w:val="00143CC2"/>
    <w:rsid w:val="00144AA4"/>
    <w:rsid w:val="0014689D"/>
    <w:rsid w:val="00147E2F"/>
    <w:rsid w:val="00150616"/>
    <w:rsid w:val="00151612"/>
    <w:rsid w:val="00152184"/>
    <w:rsid w:val="00153755"/>
    <w:rsid w:val="00153EDA"/>
    <w:rsid w:val="0015438A"/>
    <w:rsid w:val="00154684"/>
    <w:rsid w:val="00154C1F"/>
    <w:rsid w:val="001550D1"/>
    <w:rsid w:val="00155599"/>
    <w:rsid w:val="00155F37"/>
    <w:rsid w:val="001562B6"/>
    <w:rsid w:val="00156A5F"/>
    <w:rsid w:val="00157D32"/>
    <w:rsid w:val="00164B92"/>
    <w:rsid w:val="00164C53"/>
    <w:rsid w:val="001669DB"/>
    <w:rsid w:val="00167470"/>
    <w:rsid w:val="001679EB"/>
    <w:rsid w:val="0017011A"/>
    <w:rsid w:val="001714F0"/>
    <w:rsid w:val="001727A5"/>
    <w:rsid w:val="00172B76"/>
    <w:rsid w:val="00172D5B"/>
    <w:rsid w:val="00173C55"/>
    <w:rsid w:val="001766CB"/>
    <w:rsid w:val="001767F7"/>
    <w:rsid w:val="0017699C"/>
    <w:rsid w:val="00176EE5"/>
    <w:rsid w:val="00177DA7"/>
    <w:rsid w:val="001826F8"/>
    <w:rsid w:val="001827CB"/>
    <w:rsid w:val="00182823"/>
    <w:rsid w:val="00183672"/>
    <w:rsid w:val="00183B7A"/>
    <w:rsid w:val="00184889"/>
    <w:rsid w:val="00185072"/>
    <w:rsid w:val="0018652F"/>
    <w:rsid w:val="0018667C"/>
    <w:rsid w:val="0019181C"/>
    <w:rsid w:val="00195229"/>
    <w:rsid w:val="001A1C95"/>
    <w:rsid w:val="001A212B"/>
    <w:rsid w:val="001A23A0"/>
    <w:rsid w:val="001A529B"/>
    <w:rsid w:val="001A6EC2"/>
    <w:rsid w:val="001B14B7"/>
    <w:rsid w:val="001B1756"/>
    <w:rsid w:val="001B2756"/>
    <w:rsid w:val="001B41CF"/>
    <w:rsid w:val="001B46F6"/>
    <w:rsid w:val="001B4DCC"/>
    <w:rsid w:val="001B6942"/>
    <w:rsid w:val="001B6FB4"/>
    <w:rsid w:val="001B7373"/>
    <w:rsid w:val="001C1A3D"/>
    <w:rsid w:val="001C27C8"/>
    <w:rsid w:val="001C36CD"/>
    <w:rsid w:val="001C437E"/>
    <w:rsid w:val="001D19CA"/>
    <w:rsid w:val="001D232D"/>
    <w:rsid w:val="001D45FF"/>
    <w:rsid w:val="001D468C"/>
    <w:rsid w:val="001D4F52"/>
    <w:rsid w:val="001D5904"/>
    <w:rsid w:val="001D6256"/>
    <w:rsid w:val="001D628B"/>
    <w:rsid w:val="001D6479"/>
    <w:rsid w:val="001D74F4"/>
    <w:rsid w:val="001E1217"/>
    <w:rsid w:val="001E2278"/>
    <w:rsid w:val="001E310E"/>
    <w:rsid w:val="001E34F0"/>
    <w:rsid w:val="001E5479"/>
    <w:rsid w:val="001E555A"/>
    <w:rsid w:val="001E7C1C"/>
    <w:rsid w:val="001F0B05"/>
    <w:rsid w:val="001F0CF7"/>
    <w:rsid w:val="001F1C2E"/>
    <w:rsid w:val="001F396E"/>
    <w:rsid w:val="001F5D7A"/>
    <w:rsid w:val="001F5E80"/>
    <w:rsid w:val="001F6FAF"/>
    <w:rsid w:val="001F76B6"/>
    <w:rsid w:val="00200D1C"/>
    <w:rsid w:val="00202561"/>
    <w:rsid w:val="00202766"/>
    <w:rsid w:val="00202C58"/>
    <w:rsid w:val="00202F0C"/>
    <w:rsid w:val="0020360E"/>
    <w:rsid w:val="00206024"/>
    <w:rsid w:val="0020690E"/>
    <w:rsid w:val="0020691F"/>
    <w:rsid w:val="0020778E"/>
    <w:rsid w:val="0021149E"/>
    <w:rsid w:val="002115F4"/>
    <w:rsid w:val="002157D1"/>
    <w:rsid w:val="00216D52"/>
    <w:rsid w:val="0022001E"/>
    <w:rsid w:val="00220AB0"/>
    <w:rsid w:val="00222137"/>
    <w:rsid w:val="00225566"/>
    <w:rsid w:val="00226819"/>
    <w:rsid w:val="00226A09"/>
    <w:rsid w:val="00226E82"/>
    <w:rsid w:val="0022710C"/>
    <w:rsid w:val="002271B8"/>
    <w:rsid w:val="00234E64"/>
    <w:rsid w:val="00235401"/>
    <w:rsid w:val="0023569F"/>
    <w:rsid w:val="00236EFE"/>
    <w:rsid w:val="00236F63"/>
    <w:rsid w:val="00237043"/>
    <w:rsid w:val="00237EF6"/>
    <w:rsid w:val="00240CE3"/>
    <w:rsid w:val="00240D2D"/>
    <w:rsid w:val="00242837"/>
    <w:rsid w:val="002430FB"/>
    <w:rsid w:val="00246384"/>
    <w:rsid w:val="0025035B"/>
    <w:rsid w:val="00251D1E"/>
    <w:rsid w:val="00252821"/>
    <w:rsid w:val="002529F6"/>
    <w:rsid w:val="0025306C"/>
    <w:rsid w:val="002530A5"/>
    <w:rsid w:val="0025342E"/>
    <w:rsid w:val="00254EB0"/>
    <w:rsid w:val="00257093"/>
    <w:rsid w:val="00257750"/>
    <w:rsid w:val="00257FC2"/>
    <w:rsid w:val="00257FF4"/>
    <w:rsid w:val="00261002"/>
    <w:rsid w:val="00261881"/>
    <w:rsid w:val="00265245"/>
    <w:rsid w:val="0026580D"/>
    <w:rsid w:val="00266988"/>
    <w:rsid w:val="00266F26"/>
    <w:rsid w:val="00267DA1"/>
    <w:rsid w:val="00267F75"/>
    <w:rsid w:val="00270FFA"/>
    <w:rsid w:val="002710AE"/>
    <w:rsid w:val="00272F16"/>
    <w:rsid w:val="00273A00"/>
    <w:rsid w:val="00276204"/>
    <w:rsid w:val="00277048"/>
    <w:rsid w:val="00280515"/>
    <w:rsid w:val="0028063F"/>
    <w:rsid w:val="00281BB6"/>
    <w:rsid w:val="00282167"/>
    <w:rsid w:val="002826C8"/>
    <w:rsid w:val="002827DB"/>
    <w:rsid w:val="00283B1E"/>
    <w:rsid w:val="002845EC"/>
    <w:rsid w:val="002849D6"/>
    <w:rsid w:val="00284D14"/>
    <w:rsid w:val="00284EE9"/>
    <w:rsid w:val="00284FB7"/>
    <w:rsid w:val="00284FD2"/>
    <w:rsid w:val="00286307"/>
    <w:rsid w:val="002962D0"/>
    <w:rsid w:val="002975B7"/>
    <w:rsid w:val="002978AF"/>
    <w:rsid w:val="00297973"/>
    <w:rsid w:val="002A28E9"/>
    <w:rsid w:val="002A3C99"/>
    <w:rsid w:val="002A5A3E"/>
    <w:rsid w:val="002A5D63"/>
    <w:rsid w:val="002A61C2"/>
    <w:rsid w:val="002A73AD"/>
    <w:rsid w:val="002B0D33"/>
    <w:rsid w:val="002B102A"/>
    <w:rsid w:val="002B1B77"/>
    <w:rsid w:val="002B2332"/>
    <w:rsid w:val="002B2D62"/>
    <w:rsid w:val="002B399F"/>
    <w:rsid w:val="002B40FD"/>
    <w:rsid w:val="002B4426"/>
    <w:rsid w:val="002B4E1D"/>
    <w:rsid w:val="002B5F3A"/>
    <w:rsid w:val="002C1659"/>
    <w:rsid w:val="002C21E9"/>
    <w:rsid w:val="002C27AA"/>
    <w:rsid w:val="002C2860"/>
    <w:rsid w:val="002C4383"/>
    <w:rsid w:val="002D12EC"/>
    <w:rsid w:val="002D328A"/>
    <w:rsid w:val="002D5181"/>
    <w:rsid w:val="002D5828"/>
    <w:rsid w:val="002D69DF"/>
    <w:rsid w:val="002D6BAF"/>
    <w:rsid w:val="002D719F"/>
    <w:rsid w:val="002E10F6"/>
    <w:rsid w:val="002E1126"/>
    <w:rsid w:val="002E1430"/>
    <w:rsid w:val="002E15A3"/>
    <w:rsid w:val="002E15AD"/>
    <w:rsid w:val="002E1A6A"/>
    <w:rsid w:val="002E302D"/>
    <w:rsid w:val="002E3440"/>
    <w:rsid w:val="002E4191"/>
    <w:rsid w:val="002E56C4"/>
    <w:rsid w:val="002E6356"/>
    <w:rsid w:val="002E6B26"/>
    <w:rsid w:val="002E6E6E"/>
    <w:rsid w:val="002E78FA"/>
    <w:rsid w:val="002E7F92"/>
    <w:rsid w:val="002F0195"/>
    <w:rsid w:val="002F04B6"/>
    <w:rsid w:val="002F08E2"/>
    <w:rsid w:val="002F1657"/>
    <w:rsid w:val="002F2B21"/>
    <w:rsid w:val="002F3611"/>
    <w:rsid w:val="002F4367"/>
    <w:rsid w:val="002F5DF6"/>
    <w:rsid w:val="002F76E9"/>
    <w:rsid w:val="003009F9"/>
    <w:rsid w:val="00300C24"/>
    <w:rsid w:val="00300DB2"/>
    <w:rsid w:val="003024BD"/>
    <w:rsid w:val="0030386A"/>
    <w:rsid w:val="00303F58"/>
    <w:rsid w:val="00304148"/>
    <w:rsid w:val="003059AE"/>
    <w:rsid w:val="00305D0A"/>
    <w:rsid w:val="0030645D"/>
    <w:rsid w:val="003068D2"/>
    <w:rsid w:val="003072E4"/>
    <w:rsid w:val="003077CD"/>
    <w:rsid w:val="00307906"/>
    <w:rsid w:val="00310179"/>
    <w:rsid w:val="00310979"/>
    <w:rsid w:val="00310ED0"/>
    <w:rsid w:val="003117CA"/>
    <w:rsid w:val="00313D46"/>
    <w:rsid w:val="00314007"/>
    <w:rsid w:val="00314844"/>
    <w:rsid w:val="00314A5E"/>
    <w:rsid w:val="00316597"/>
    <w:rsid w:val="003173EE"/>
    <w:rsid w:val="00320029"/>
    <w:rsid w:val="003209A3"/>
    <w:rsid w:val="0032380B"/>
    <w:rsid w:val="00324D2E"/>
    <w:rsid w:val="0032635C"/>
    <w:rsid w:val="00326F24"/>
    <w:rsid w:val="0032715B"/>
    <w:rsid w:val="003273E5"/>
    <w:rsid w:val="00327F02"/>
    <w:rsid w:val="0033071C"/>
    <w:rsid w:val="00333F9D"/>
    <w:rsid w:val="00334215"/>
    <w:rsid w:val="0034058F"/>
    <w:rsid w:val="00341E4A"/>
    <w:rsid w:val="003420C2"/>
    <w:rsid w:val="003421D2"/>
    <w:rsid w:val="003426E8"/>
    <w:rsid w:val="0034279B"/>
    <w:rsid w:val="00343FA9"/>
    <w:rsid w:val="003443A2"/>
    <w:rsid w:val="0034558E"/>
    <w:rsid w:val="00345650"/>
    <w:rsid w:val="003466E1"/>
    <w:rsid w:val="0034698A"/>
    <w:rsid w:val="00346DBA"/>
    <w:rsid w:val="00347E95"/>
    <w:rsid w:val="003510D5"/>
    <w:rsid w:val="0035114B"/>
    <w:rsid w:val="003511D3"/>
    <w:rsid w:val="00352303"/>
    <w:rsid w:val="0035449D"/>
    <w:rsid w:val="0035522D"/>
    <w:rsid w:val="0035527E"/>
    <w:rsid w:val="00356C3C"/>
    <w:rsid w:val="00360490"/>
    <w:rsid w:val="003604A8"/>
    <w:rsid w:val="0036063C"/>
    <w:rsid w:val="00360D7D"/>
    <w:rsid w:val="00361C56"/>
    <w:rsid w:val="00362CC0"/>
    <w:rsid w:val="0036347E"/>
    <w:rsid w:val="00367B10"/>
    <w:rsid w:val="00370D5A"/>
    <w:rsid w:val="00371D05"/>
    <w:rsid w:val="00372B12"/>
    <w:rsid w:val="003752DA"/>
    <w:rsid w:val="0037569C"/>
    <w:rsid w:val="00375BE2"/>
    <w:rsid w:val="003771DC"/>
    <w:rsid w:val="003774E7"/>
    <w:rsid w:val="003807ED"/>
    <w:rsid w:val="003850E0"/>
    <w:rsid w:val="00385C75"/>
    <w:rsid w:val="00387C89"/>
    <w:rsid w:val="003913EF"/>
    <w:rsid w:val="003915C6"/>
    <w:rsid w:val="00392471"/>
    <w:rsid w:val="0039287C"/>
    <w:rsid w:val="00394003"/>
    <w:rsid w:val="00396663"/>
    <w:rsid w:val="00397463"/>
    <w:rsid w:val="00397B4A"/>
    <w:rsid w:val="003A0C9D"/>
    <w:rsid w:val="003A2DC7"/>
    <w:rsid w:val="003A34AA"/>
    <w:rsid w:val="003A4EEF"/>
    <w:rsid w:val="003A61FB"/>
    <w:rsid w:val="003A67A8"/>
    <w:rsid w:val="003A69DD"/>
    <w:rsid w:val="003B03C7"/>
    <w:rsid w:val="003B1090"/>
    <w:rsid w:val="003B3FDD"/>
    <w:rsid w:val="003B4379"/>
    <w:rsid w:val="003B72BE"/>
    <w:rsid w:val="003C1979"/>
    <w:rsid w:val="003C1FEA"/>
    <w:rsid w:val="003C2B7C"/>
    <w:rsid w:val="003C3C26"/>
    <w:rsid w:val="003C3D1B"/>
    <w:rsid w:val="003C5752"/>
    <w:rsid w:val="003C6BBE"/>
    <w:rsid w:val="003C6EF5"/>
    <w:rsid w:val="003C73ED"/>
    <w:rsid w:val="003D0368"/>
    <w:rsid w:val="003D12C1"/>
    <w:rsid w:val="003D1A3F"/>
    <w:rsid w:val="003D1FFC"/>
    <w:rsid w:val="003D3BA3"/>
    <w:rsid w:val="003D441A"/>
    <w:rsid w:val="003D50F5"/>
    <w:rsid w:val="003D5E26"/>
    <w:rsid w:val="003D688B"/>
    <w:rsid w:val="003D6F5E"/>
    <w:rsid w:val="003E001F"/>
    <w:rsid w:val="003E0DA1"/>
    <w:rsid w:val="003E1A73"/>
    <w:rsid w:val="003E227D"/>
    <w:rsid w:val="003E2593"/>
    <w:rsid w:val="003E67CC"/>
    <w:rsid w:val="003E6A57"/>
    <w:rsid w:val="003E6CDB"/>
    <w:rsid w:val="003E747C"/>
    <w:rsid w:val="003F0D2E"/>
    <w:rsid w:val="003F115D"/>
    <w:rsid w:val="003F1725"/>
    <w:rsid w:val="003F1B0B"/>
    <w:rsid w:val="003F2727"/>
    <w:rsid w:val="003F3380"/>
    <w:rsid w:val="003F33D0"/>
    <w:rsid w:val="003F3892"/>
    <w:rsid w:val="003F5A83"/>
    <w:rsid w:val="004003F9"/>
    <w:rsid w:val="00400558"/>
    <w:rsid w:val="00402176"/>
    <w:rsid w:val="00402991"/>
    <w:rsid w:val="00402B0F"/>
    <w:rsid w:val="00406661"/>
    <w:rsid w:val="0040696B"/>
    <w:rsid w:val="00410B27"/>
    <w:rsid w:val="004119A5"/>
    <w:rsid w:val="00411F45"/>
    <w:rsid w:val="004120BC"/>
    <w:rsid w:val="00412563"/>
    <w:rsid w:val="0041413A"/>
    <w:rsid w:val="0041476E"/>
    <w:rsid w:val="00415485"/>
    <w:rsid w:val="004168B0"/>
    <w:rsid w:val="00417A33"/>
    <w:rsid w:val="0042252D"/>
    <w:rsid w:val="00422F08"/>
    <w:rsid w:val="00425825"/>
    <w:rsid w:val="00425A5E"/>
    <w:rsid w:val="00427DDC"/>
    <w:rsid w:val="004310EB"/>
    <w:rsid w:val="004318F6"/>
    <w:rsid w:val="00431AFE"/>
    <w:rsid w:val="00432EA3"/>
    <w:rsid w:val="0043442A"/>
    <w:rsid w:val="00435AA1"/>
    <w:rsid w:val="00436B9F"/>
    <w:rsid w:val="00437D49"/>
    <w:rsid w:val="00441A79"/>
    <w:rsid w:val="00441C2F"/>
    <w:rsid w:val="00442E3E"/>
    <w:rsid w:val="0044390E"/>
    <w:rsid w:val="004443FC"/>
    <w:rsid w:val="00447C35"/>
    <w:rsid w:val="0045022F"/>
    <w:rsid w:val="0045082F"/>
    <w:rsid w:val="004508E4"/>
    <w:rsid w:val="00450B96"/>
    <w:rsid w:val="00450CED"/>
    <w:rsid w:val="004514DB"/>
    <w:rsid w:val="00452EF6"/>
    <w:rsid w:val="00453BBE"/>
    <w:rsid w:val="00454E79"/>
    <w:rsid w:val="00455625"/>
    <w:rsid w:val="0045631D"/>
    <w:rsid w:val="00456CFF"/>
    <w:rsid w:val="00460C14"/>
    <w:rsid w:val="00461215"/>
    <w:rsid w:val="0046154F"/>
    <w:rsid w:val="0046422A"/>
    <w:rsid w:val="004653F4"/>
    <w:rsid w:val="00470506"/>
    <w:rsid w:val="00472137"/>
    <w:rsid w:val="004726DB"/>
    <w:rsid w:val="004731B2"/>
    <w:rsid w:val="00474151"/>
    <w:rsid w:val="004743D5"/>
    <w:rsid w:val="00475FB7"/>
    <w:rsid w:val="004775E7"/>
    <w:rsid w:val="004814C1"/>
    <w:rsid w:val="00483CC7"/>
    <w:rsid w:val="00485E9C"/>
    <w:rsid w:val="00486E89"/>
    <w:rsid w:val="004877E0"/>
    <w:rsid w:val="00490A6B"/>
    <w:rsid w:val="00491E5F"/>
    <w:rsid w:val="004920FE"/>
    <w:rsid w:val="00492965"/>
    <w:rsid w:val="00495868"/>
    <w:rsid w:val="00495E52"/>
    <w:rsid w:val="0049608B"/>
    <w:rsid w:val="004969CE"/>
    <w:rsid w:val="00496B1E"/>
    <w:rsid w:val="0049760A"/>
    <w:rsid w:val="004A1DE9"/>
    <w:rsid w:val="004A34A9"/>
    <w:rsid w:val="004A423A"/>
    <w:rsid w:val="004A66D8"/>
    <w:rsid w:val="004A7031"/>
    <w:rsid w:val="004A76F9"/>
    <w:rsid w:val="004B02AA"/>
    <w:rsid w:val="004B100B"/>
    <w:rsid w:val="004B1D54"/>
    <w:rsid w:val="004B28F8"/>
    <w:rsid w:val="004B2BA4"/>
    <w:rsid w:val="004B2E8B"/>
    <w:rsid w:val="004B3A75"/>
    <w:rsid w:val="004B4E33"/>
    <w:rsid w:val="004B738E"/>
    <w:rsid w:val="004C26F8"/>
    <w:rsid w:val="004C27B7"/>
    <w:rsid w:val="004C315D"/>
    <w:rsid w:val="004C631C"/>
    <w:rsid w:val="004C71DB"/>
    <w:rsid w:val="004C72D7"/>
    <w:rsid w:val="004D019F"/>
    <w:rsid w:val="004D25BA"/>
    <w:rsid w:val="004D2D16"/>
    <w:rsid w:val="004E03CB"/>
    <w:rsid w:val="004E116E"/>
    <w:rsid w:val="004E1319"/>
    <w:rsid w:val="004E1A71"/>
    <w:rsid w:val="004E29FF"/>
    <w:rsid w:val="004E3A3E"/>
    <w:rsid w:val="004E3E9C"/>
    <w:rsid w:val="004E56A9"/>
    <w:rsid w:val="004E628D"/>
    <w:rsid w:val="004E683D"/>
    <w:rsid w:val="004F3B0C"/>
    <w:rsid w:val="004F44E1"/>
    <w:rsid w:val="004F69F7"/>
    <w:rsid w:val="004F7053"/>
    <w:rsid w:val="004F776B"/>
    <w:rsid w:val="005015EE"/>
    <w:rsid w:val="005023A1"/>
    <w:rsid w:val="0050258F"/>
    <w:rsid w:val="00503F02"/>
    <w:rsid w:val="005043EB"/>
    <w:rsid w:val="005051EE"/>
    <w:rsid w:val="0050531E"/>
    <w:rsid w:val="0050631F"/>
    <w:rsid w:val="00506A51"/>
    <w:rsid w:val="005116F3"/>
    <w:rsid w:val="00512BB6"/>
    <w:rsid w:val="00513ED9"/>
    <w:rsid w:val="00515472"/>
    <w:rsid w:val="0051642B"/>
    <w:rsid w:val="00516C66"/>
    <w:rsid w:val="0052046A"/>
    <w:rsid w:val="00520BF6"/>
    <w:rsid w:val="00521626"/>
    <w:rsid w:val="00522BEB"/>
    <w:rsid w:val="0052494F"/>
    <w:rsid w:val="00524AE9"/>
    <w:rsid w:val="005254C7"/>
    <w:rsid w:val="00525FA1"/>
    <w:rsid w:val="00526324"/>
    <w:rsid w:val="00526A86"/>
    <w:rsid w:val="00531065"/>
    <w:rsid w:val="00533479"/>
    <w:rsid w:val="00534A21"/>
    <w:rsid w:val="005354B7"/>
    <w:rsid w:val="0053597B"/>
    <w:rsid w:val="00535C66"/>
    <w:rsid w:val="0053766D"/>
    <w:rsid w:val="00537895"/>
    <w:rsid w:val="005400F0"/>
    <w:rsid w:val="005401B4"/>
    <w:rsid w:val="00540324"/>
    <w:rsid w:val="00540F48"/>
    <w:rsid w:val="0054158D"/>
    <w:rsid w:val="005441F2"/>
    <w:rsid w:val="00544C3D"/>
    <w:rsid w:val="00546B62"/>
    <w:rsid w:val="0054731D"/>
    <w:rsid w:val="00551830"/>
    <w:rsid w:val="0055248F"/>
    <w:rsid w:val="00552625"/>
    <w:rsid w:val="00553FB1"/>
    <w:rsid w:val="00555741"/>
    <w:rsid w:val="0055651D"/>
    <w:rsid w:val="00556BB2"/>
    <w:rsid w:val="00557E7B"/>
    <w:rsid w:val="00560CAC"/>
    <w:rsid w:val="00561D02"/>
    <w:rsid w:val="00561F1D"/>
    <w:rsid w:val="00562591"/>
    <w:rsid w:val="0056367F"/>
    <w:rsid w:val="005669CE"/>
    <w:rsid w:val="0056782A"/>
    <w:rsid w:val="0057263A"/>
    <w:rsid w:val="00572BF8"/>
    <w:rsid w:val="00574F6B"/>
    <w:rsid w:val="00575FBC"/>
    <w:rsid w:val="00577889"/>
    <w:rsid w:val="00577EB2"/>
    <w:rsid w:val="005852E0"/>
    <w:rsid w:val="00586823"/>
    <w:rsid w:val="005915B6"/>
    <w:rsid w:val="00591FB5"/>
    <w:rsid w:val="00593CA6"/>
    <w:rsid w:val="0059564E"/>
    <w:rsid w:val="00596162"/>
    <w:rsid w:val="00596322"/>
    <w:rsid w:val="00596E34"/>
    <w:rsid w:val="00597EFF"/>
    <w:rsid w:val="005A1C8F"/>
    <w:rsid w:val="005A1CB2"/>
    <w:rsid w:val="005A3445"/>
    <w:rsid w:val="005A4875"/>
    <w:rsid w:val="005A4B48"/>
    <w:rsid w:val="005A4B4A"/>
    <w:rsid w:val="005A4C18"/>
    <w:rsid w:val="005A6401"/>
    <w:rsid w:val="005A69F5"/>
    <w:rsid w:val="005A7664"/>
    <w:rsid w:val="005B05EB"/>
    <w:rsid w:val="005B0E2C"/>
    <w:rsid w:val="005B1FD5"/>
    <w:rsid w:val="005B21F8"/>
    <w:rsid w:val="005B366B"/>
    <w:rsid w:val="005B3CBB"/>
    <w:rsid w:val="005B441E"/>
    <w:rsid w:val="005B6478"/>
    <w:rsid w:val="005B73DF"/>
    <w:rsid w:val="005C106C"/>
    <w:rsid w:val="005C2674"/>
    <w:rsid w:val="005C2734"/>
    <w:rsid w:val="005C4F77"/>
    <w:rsid w:val="005C5BA6"/>
    <w:rsid w:val="005C6E6E"/>
    <w:rsid w:val="005C7516"/>
    <w:rsid w:val="005D0619"/>
    <w:rsid w:val="005D0CE2"/>
    <w:rsid w:val="005D3A6D"/>
    <w:rsid w:val="005D5DEB"/>
    <w:rsid w:val="005D5FE5"/>
    <w:rsid w:val="005D7234"/>
    <w:rsid w:val="005D73AE"/>
    <w:rsid w:val="005D7C15"/>
    <w:rsid w:val="005E25BD"/>
    <w:rsid w:val="005E6D5E"/>
    <w:rsid w:val="005F14E3"/>
    <w:rsid w:val="005F3B71"/>
    <w:rsid w:val="005F434C"/>
    <w:rsid w:val="005F6BE9"/>
    <w:rsid w:val="005F7CB3"/>
    <w:rsid w:val="006001B1"/>
    <w:rsid w:val="00600768"/>
    <w:rsid w:val="00602A81"/>
    <w:rsid w:val="00603B10"/>
    <w:rsid w:val="00604E26"/>
    <w:rsid w:val="006053FA"/>
    <w:rsid w:val="00606D65"/>
    <w:rsid w:val="00610153"/>
    <w:rsid w:val="00610637"/>
    <w:rsid w:val="00610967"/>
    <w:rsid w:val="00611BB2"/>
    <w:rsid w:val="00612618"/>
    <w:rsid w:val="006132CD"/>
    <w:rsid w:val="006138D1"/>
    <w:rsid w:val="00614E4E"/>
    <w:rsid w:val="00615260"/>
    <w:rsid w:val="00616D88"/>
    <w:rsid w:val="00617371"/>
    <w:rsid w:val="0062013F"/>
    <w:rsid w:val="0062038B"/>
    <w:rsid w:val="00620EBE"/>
    <w:rsid w:val="006211F8"/>
    <w:rsid w:val="006222C6"/>
    <w:rsid w:val="00622488"/>
    <w:rsid w:val="00624AC6"/>
    <w:rsid w:val="0062736D"/>
    <w:rsid w:val="00627856"/>
    <w:rsid w:val="00627B78"/>
    <w:rsid w:val="006304EF"/>
    <w:rsid w:val="006311D8"/>
    <w:rsid w:val="006337CE"/>
    <w:rsid w:val="00634E15"/>
    <w:rsid w:val="006353F3"/>
    <w:rsid w:val="00637703"/>
    <w:rsid w:val="00641CA7"/>
    <w:rsid w:val="0064419B"/>
    <w:rsid w:val="00645CAA"/>
    <w:rsid w:val="00646208"/>
    <w:rsid w:val="00646E49"/>
    <w:rsid w:val="00647834"/>
    <w:rsid w:val="00647E46"/>
    <w:rsid w:val="00650F36"/>
    <w:rsid w:val="006531B4"/>
    <w:rsid w:val="00653783"/>
    <w:rsid w:val="00654A74"/>
    <w:rsid w:val="00656826"/>
    <w:rsid w:val="0065761D"/>
    <w:rsid w:val="00662580"/>
    <w:rsid w:val="006625D0"/>
    <w:rsid w:val="006635D1"/>
    <w:rsid w:val="0066466D"/>
    <w:rsid w:val="00664B33"/>
    <w:rsid w:val="006662A2"/>
    <w:rsid w:val="00667179"/>
    <w:rsid w:val="00667C25"/>
    <w:rsid w:val="00667CA4"/>
    <w:rsid w:val="0067171F"/>
    <w:rsid w:val="00671856"/>
    <w:rsid w:val="00672E87"/>
    <w:rsid w:val="00674D57"/>
    <w:rsid w:val="00674E44"/>
    <w:rsid w:val="00674F08"/>
    <w:rsid w:val="00677AEF"/>
    <w:rsid w:val="00677BC3"/>
    <w:rsid w:val="0068093E"/>
    <w:rsid w:val="00680C2E"/>
    <w:rsid w:val="00682725"/>
    <w:rsid w:val="00682A81"/>
    <w:rsid w:val="006834A9"/>
    <w:rsid w:val="006844EC"/>
    <w:rsid w:val="00686F73"/>
    <w:rsid w:val="0069089B"/>
    <w:rsid w:val="006925CA"/>
    <w:rsid w:val="00694059"/>
    <w:rsid w:val="00694974"/>
    <w:rsid w:val="00697C2B"/>
    <w:rsid w:val="00697DF0"/>
    <w:rsid w:val="006A0C57"/>
    <w:rsid w:val="006A10B5"/>
    <w:rsid w:val="006A324A"/>
    <w:rsid w:val="006A5C55"/>
    <w:rsid w:val="006A66C8"/>
    <w:rsid w:val="006B0140"/>
    <w:rsid w:val="006B024E"/>
    <w:rsid w:val="006B0ABA"/>
    <w:rsid w:val="006B1C2B"/>
    <w:rsid w:val="006B1CE0"/>
    <w:rsid w:val="006B4E17"/>
    <w:rsid w:val="006B4FD7"/>
    <w:rsid w:val="006B5225"/>
    <w:rsid w:val="006B7034"/>
    <w:rsid w:val="006B7429"/>
    <w:rsid w:val="006C16FF"/>
    <w:rsid w:val="006C36A9"/>
    <w:rsid w:val="006C3E60"/>
    <w:rsid w:val="006C40DE"/>
    <w:rsid w:val="006C474B"/>
    <w:rsid w:val="006C5145"/>
    <w:rsid w:val="006C702E"/>
    <w:rsid w:val="006D08C1"/>
    <w:rsid w:val="006D08C5"/>
    <w:rsid w:val="006D1546"/>
    <w:rsid w:val="006D2352"/>
    <w:rsid w:val="006D2AD6"/>
    <w:rsid w:val="006D3B6A"/>
    <w:rsid w:val="006D4BF3"/>
    <w:rsid w:val="006D516F"/>
    <w:rsid w:val="006D5B72"/>
    <w:rsid w:val="006D6B65"/>
    <w:rsid w:val="006D74B5"/>
    <w:rsid w:val="006E3421"/>
    <w:rsid w:val="006E379E"/>
    <w:rsid w:val="006E3C64"/>
    <w:rsid w:val="006E4483"/>
    <w:rsid w:val="006E688D"/>
    <w:rsid w:val="006E73D2"/>
    <w:rsid w:val="006E7957"/>
    <w:rsid w:val="006F0233"/>
    <w:rsid w:val="006F0957"/>
    <w:rsid w:val="006F14DE"/>
    <w:rsid w:val="006F29DD"/>
    <w:rsid w:val="006F3120"/>
    <w:rsid w:val="006F43E1"/>
    <w:rsid w:val="006F43EE"/>
    <w:rsid w:val="006F5C76"/>
    <w:rsid w:val="006F5D74"/>
    <w:rsid w:val="006F67EE"/>
    <w:rsid w:val="006F7451"/>
    <w:rsid w:val="006F7A90"/>
    <w:rsid w:val="006F7E40"/>
    <w:rsid w:val="00700D9E"/>
    <w:rsid w:val="00703424"/>
    <w:rsid w:val="00703E0A"/>
    <w:rsid w:val="00704054"/>
    <w:rsid w:val="00704714"/>
    <w:rsid w:val="00704753"/>
    <w:rsid w:val="007052DA"/>
    <w:rsid w:val="00707082"/>
    <w:rsid w:val="007118DD"/>
    <w:rsid w:val="00711A49"/>
    <w:rsid w:val="00711C77"/>
    <w:rsid w:val="0071251F"/>
    <w:rsid w:val="007128CD"/>
    <w:rsid w:val="00713E8D"/>
    <w:rsid w:val="0071426B"/>
    <w:rsid w:val="0071488F"/>
    <w:rsid w:val="00714CCE"/>
    <w:rsid w:val="00715E11"/>
    <w:rsid w:val="0071632B"/>
    <w:rsid w:val="0071760C"/>
    <w:rsid w:val="00717D76"/>
    <w:rsid w:val="007216E7"/>
    <w:rsid w:val="007228D4"/>
    <w:rsid w:val="007228FE"/>
    <w:rsid w:val="007233B1"/>
    <w:rsid w:val="0072631E"/>
    <w:rsid w:val="0072737B"/>
    <w:rsid w:val="007275DB"/>
    <w:rsid w:val="00727A98"/>
    <w:rsid w:val="00733E5B"/>
    <w:rsid w:val="00733E75"/>
    <w:rsid w:val="00733EAB"/>
    <w:rsid w:val="00734390"/>
    <w:rsid w:val="007350CB"/>
    <w:rsid w:val="007358CA"/>
    <w:rsid w:val="00736627"/>
    <w:rsid w:val="0073672A"/>
    <w:rsid w:val="00737A68"/>
    <w:rsid w:val="007413DE"/>
    <w:rsid w:val="00742CC3"/>
    <w:rsid w:val="0074580D"/>
    <w:rsid w:val="00745EF9"/>
    <w:rsid w:val="00746A58"/>
    <w:rsid w:val="00747489"/>
    <w:rsid w:val="00750BEF"/>
    <w:rsid w:val="00750D18"/>
    <w:rsid w:val="00751B16"/>
    <w:rsid w:val="00751EA6"/>
    <w:rsid w:val="00753D91"/>
    <w:rsid w:val="00753EE5"/>
    <w:rsid w:val="007567AF"/>
    <w:rsid w:val="00757425"/>
    <w:rsid w:val="00760E7D"/>
    <w:rsid w:val="007628C0"/>
    <w:rsid w:val="00764D6A"/>
    <w:rsid w:val="00765CBB"/>
    <w:rsid w:val="00765D28"/>
    <w:rsid w:val="00766337"/>
    <w:rsid w:val="0076740E"/>
    <w:rsid w:val="00773056"/>
    <w:rsid w:val="007745B9"/>
    <w:rsid w:val="00775C74"/>
    <w:rsid w:val="0078140C"/>
    <w:rsid w:val="00781C49"/>
    <w:rsid w:val="00782F60"/>
    <w:rsid w:val="0078432D"/>
    <w:rsid w:val="00785837"/>
    <w:rsid w:val="007864C6"/>
    <w:rsid w:val="007868DD"/>
    <w:rsid w:val="00787121"/>
    <w:rsid w:val="0078793C"/>
    <w:rsid w:val="007908B1"/>
    <w:rsid w:val="00790B45"/>
    <w:rsid w:val="00790C7A"/>
    <w:rsid w:val="00791444"/>
    <w:rsid w:val="0079144D"/>
    <w:rsid w:val="0079237D"/>
    <w:rsid w:val="007947DF"/>
    <w:rsid w:val="00795CF2"/>
    <w:rsid w:val="0079659D"/>
    <w:rsid w:val="00796D42"/>
    <w:rsid w:val="007A12EE"/>
    <w:rsid w:val="007A19E9"/>
    <w:rsid w:val="007A1BCB"/>
    <w:rsid w:val="007A2419"/>
    <w:rsid w:val="007A28DA"/>
    <w:rsid w:val="007A2D78"/>
    <w:rsid w:val="007A379B"/>
    <w:rsid w:val="007A419C"/>
    <w:rsid w:val="007A48F9"/>
    <w:rsid w:val="007A4A20"/>
    <w:rsid w:val="007A5A33"/>
    <w:rsid w:val="007A647E"/>
    <w:rsid w:val="007B0839"/>
    <w:rsid w:val="007B167D"/>
    <w:rsid w:val="007B1B90"/>
    <w:rsid w:val="007B2656"/>
    <w:rsid w:val="007B3897"/>
    <w:rsid w:val="007B4F8C"/>
    <w:rsid w:val="007B53DC"/>
    <w:rsid w:val="007B5FAB"/>
    <w:rsid w:val="007B7884"/>
    <w:rsid w:val="007B7ABC"/>
    <w:rsid w:val="007C0326"/>
    <w:rsid w:val="007C1F9A"/>
    <w:rsid w:val="007C236B"/>
    <w:rsid w:val="007C2424"/>
    <w:rsid w:val="007C2B13"/>
    <w:rsid w:val="007C358A"/>
    <w:rsid w:val="007C490E"/>
    <w:rsid w:val="007C5838"/>
    <w:rsid w:val="007C6E84"/>
    <w:rsid w:val="007C7F14"/>
    <w:rsid w:val="007D02BC"/>
    <w:rsid w:val="007D11A0"/>
    <w:rsid w:val="007D338F"/>
    <w:rsid w:val="007D46E6"/>
    <w:rsid w:val="007D67C5"/>
    <w:rsid w:val="007D6901"/>
    <w:rsid w:val="007E1BAF"/>
    <w:rsid w:val="007E2367"/>
    <w:rsid w:val="007E2463"/>
    <w:rsid w:val="007E2781"/>
    <w:rsid w:val="007E31C4"/>
    <w:rsid w:val="007E493D"/>
    <w:rsid w:val="007E792B"/>
    <w:rsid w:val="007F4938"/>
    <w:rsid w:val="007F4B4C"/>
    <w:rsid w:val="007F57D0"/>
    <w:rsid w:val="007F5C9C"/>
    <w:rsid w:val="007F64F2"/>
    <w:rsid w:val="008027EA"/>
    <w:rsid w:val="0080375E"/>
    <w:rsid w:val="008049C2"/>
    <w:rsid w:val="0080622C"/>
    <w:rsid w:val="00806889"/>
    <w:rsid w:val="008074F5"/>
    <w:rsid w:val="00807650"/>
    <w:rsid w:val="00810338"/>
    <w:rsid w:val="00814410"/>
    <w:rsid w:val="008144F5"/>
    <w:rsid w:val="00814984"/>
    <w:rsid w:val="00815E7B"/>
    <w:rsid w:val="008169BB"/>
    <w:rsid w:val="00816D8C"/>
    <w:rsid w:val="008177C4"/>
    <w:rsid w:val="00817FF2"/>
    <w:rsid w:val="0081DD5F"/>
    <w:rsid w:val="0082017F"/>
    <w:rsid w:val="008203AC"/>
    <w:rsid w:val="00820793"/>
    <w:rsid w:val="00821CD3"/>
    <w:rsid w:val="00822FAC"/>
    <w:rsid w:val="008243C2"/>
    <w:rsid w:val="00824490"/>
    <w:rsid w:val="00825DCA"/>
    <w:rsid w:val="00826322"/>
    <w:rsid w:val="00827E42"/>
    <w:rsid w:val="00830F99"/>
    <w:rsid w:val="00833D89"/>
    <w:rsid w:val="00835554"/>
    <w:rsid w:val="0083581F"/>
    <w:rsid w:val="00835D88"/>
    <w:rsid w:val="00835DD5"/>
    <w:rsid w:val="00836872"/>
    <w:rsid w:val="00836E4A"/>
    <w:rsid w:val="00837654"/>
    <w:rsid w:val="00847E81"/>
    <w:rsid w:val="00851B70"/>
    <w:rsid w:val="00851D7B"/>
    <w:rsid w:val="00852843"/>
    <w:rsid w:val="00852CB1"/>
    <w:rsid w:val="00853AD5"/>
    <w:rsid w:val="008544A0"/>
    <w:rsid w:val="00854C95"/>
    <w:rsid w:val="00854DEA"/>
    <w:rsid w:val="00855465"/>
    <w:rsid w:val="00856AF5"/>
    <w:rsid w:val="00860049"/>
    <w:rsid w:val="00860B42"/>
    <w:rsid w:val="00860FAE"/>
    <w:rsid w:val="00861CE0"/>
    <w:rsid w:val="008622EE"/>
    <w:rsid w:val="008624FF"/>
    <w:rsid w:val="00862599"/>
    <w:rsid w:val="00866516"/>
    <w:rsid w:val="00866E1C"/>
    <w:rsid w:val="00866E80"/>
    <w:rsid w:val="00867396"/>
    <w:rsid w:val="008711A3"/>
    <w:rsid w:val="00872231"/>
    <w:rsid w:val="00877977"/>
    <w:rsid w:val="00877FA4"/>
    <w:rsid w:val="00877FBB"/>
    <w:rsid w:val="00880D68"/>
    <w:rsid w:val="00881978"/>
    <w:rsid w:val="00881A62"/>
    <w:rsid w:val="0088592A"/>
    <w:rsid w:val="0088634D"/>
    <w:rsid w:val="00886925"/>
    <w:rsid w:val="00887D88"/>
    <w:rsid w:val="00890288"/>
    <w:rsid w:val="00890E98"/>
    <w:rsid w:val="00894B00"/>
    <w:rsid w:val="00894CAD"/>
    <w:rsid w:val="00896784"/>
    <w:rsid w:val="008A5497"/>
    <w:rsid w:val="008A6084"/>
    <w:rsid w:val="008A626F"/>
    <w:rsid w:val="008A6F09"/>
    <w:rsid w:val="008B01F1"/>
    <w:rsid w:val="008B09E5"/>
    <w:rsid w:val="008B322E"/>
    <w:rsid w:val="008B4EB3"/>
    <w:rsid w:val="008B5F84"/>
    <w:rsid w:val="008B683D"/>
    <w:rsid w:val="008B6A96"/>
    <w:rsid w:val="008C010B"/>
    <w:rsid w:val="008C0937"/>
    <w:rsid w:val="008C0F93"/>
    <w:rsid w:val="008C1C0D"/>
    <w:rsid w:val="008C27DF"/>
    <w:rsid w:val="008C33F5"/>
    <w:rsid w:val="008C3F48"/>
    <w:rsid w:val="008C47F9"/>
    <w:rsid w:val="008C6CF8"/>
    <w:rsid w:val="008C6F18"/>
    <w:rsid w:val="008C70EF"/>
    <w:rsid w:val="008C7E2D"/>
    <w:rsid w:val="008D2A3F"/>
    <w:rsid w:val="008D3386"/>
    <w:rsid w:val="008D35AA"/>
    <w:rsid w:val="008D3825"/>
    <w:rsid w:val="008D3B64"/>
    <w:rsid w:val="008D4B30"/>
    <w:rsid w:val="008D5F4D"/>
    <w:rsid w:val="008D619B"/>
    <w:rsid w:val="008D71FC"/>
    <w:rsid w:val="008D78DE"/>
    <w:rsid w:val="008E1408"/>
    <w:rsid w:val="008E2C6F"/>
    <w:rsid w:val="008E2EB5"/>
    <w:rsid w:val="008E5513"/>
    <w:rsid w:val="008E5B5E"/>
    <w:rsid w:val="008F0ACC"/>
    <w:rsid w:val="008F17B8"/>
    <w:rsid w:val="008F5D90"/>
    <w:rsid w:val="008F62B0"/>
    <w:rsid w:val="008F7157"/>
    <w:rsid w:val="008F736F"/>
    <w:rsid w:val="008F7858"/>
    <w:rsid w:val="008F7F04"/>
    <w:rsid w:val="00901B80"/>
    <w:rsid w:val="00905BB4"/>
    <w:rsid w:val="00907296"/>
    <w:rsid w:val="0091010A"/>
    <w:rsid w:val="00911A70"/>
    <w:rsid w:val="00911D59"/>
    <w:rsid w:val="0091304B"/>
    <w:rsid w:val="00913C78"/>
    <w:rsid w:val="0091403E"/>
    <w:rsid w:val="00915689"/>
    <w:rsid w:val="00920FD0"/>
    <w:rsid w:val="00925AB7"/>
    <w:rsid w:val="009263F5"/>
    <w:rsid w:val="00926A94"/>
    <w:rsid w:val="00927D99"/>
    <w:rsid w:val="00931018"/>
    <w:rsid w:val="00932392"/>
    <w:rsid w:val="00934665"/>
    <w:rsid w:val="00935AAE"/>
    <w:rsid w:val="009367AF"/>
    <w:rsid w:val="009376E7"/>
    <w:rsid w:val="009378C5"/>
    <w:rsid w:val="00940C13"/>
    <w:rsid w:val="00940EAD"/>
    <w:rsid w:val="00941225"/>
    <w:rsid w:val="009433A3"/>
    <w:rsid w:val="009434A3"/>
    <w:rsid w:val="00944698"/>
    <w:rsid w:val="00945043"/>
    <w:rsid w:val="00945F2E"/>
    <w:rsid w:val="009466AF"/>
    <w:rsid w:val="00946900"/>
    <w:rsid w:val="0094721C"/>
    <w:rsid w:val="00947AF7"/>
    <w:rsid w:val="00951D45"/>
    <w:rsid w:val="0095287A"/>
    <w:rsid w:val="00952963"/>
    <w:rsid w:val="009554D6"/>
    <w:rsid w:val="00956CEC"/>
    <w:rsid w:val="009615C8"/>
    <w:rsid w:val="00961A23"/>
    <w:rsid w:val="00962427"/>
    <w:rsid w:val="00962AA3"/>
    <w:rsid w:val="0096311B"/>
    <w:rsid w:val="009638F7"/>
    <w:rsid w:val="009651A8"/>
    <w:rsid w:val="00970B80"/>
    <w:rsid w:val="00971D81"/>
    <w:rsid w:val="00973115"/>
    <w:rsid w:val="00977146"/>
    <w:rsid w:val="00977C30"/>
    <w:rsid w:val="00981500"/>
    <w:rsid w:val="009823CE"/>
    <w:rsid w:val="00984A08"/>
    <w:rsid w:val="009865C8"/>
    <w:rsid w:val="00986B38"/>
    <w:rsid w:val="0098765D"/>
    <w:rsid w:val="00987862"/>
    <w:rsid w:val="00990835"/>
    <w:rsid w:val="009915F1"/>
    <w:rsid w:val="0099203B"/>
    <w:rsid w:val="00992268"/>
    <w:rsid w:val="0099271F"/>
    <w:rsid w:val="00993BB9"/>
    <w:rsid w:val="00994519"/>
    <w:rsid w:val="0099581C"/>
    <w:rsid w:val="009A0260"/>
    <w:rsid w:val="009A0396"/>
    <w:rsid w:val="009A2143"/>
    <w:rsid w:val="009A23FA"/>
    <w:rsid w:val="009A3008"/>
    <w:rsid w:val="009A426F"/>
    <w:rsid w:val="009A42CA"/>
    <w:rsid w:val="009A4FF8"/>
    <w:rsid w:val="009A503E"/>
    <w:rsid w:val="009A642D"/>
    <w:rsid w:val="009A7BC1"/>
    <w:rsid w:val="009B1B4B"/>
    <w:rsid w:val="009B1DF8"/>
    <w:rsid w:val="009B2EDB"/>
    <w:rsid w:val="009B3F9C"/>
    <w:rsid w:val="009B40CB"/>
    <w:rsid w:val="009B52A5"/>
    <w:rsid w:val="009B779B"/>
    <w:rsid w:val="009B7A96"/>
    <w:rsid w:val="009B7C86"/>
    <w:rsid w:val="009B7DE4"/>
    <w:rsid w:val="009C5A37"/>
    <w:rsid w:val="009C5DAE"/>
    <w:rsid w:val="009C692B"/>
    <w:rsid w:val="009C6B65"/>
    <w:rsid w:val="009C7D8F"/>
    <w:rsid w:val="009D0DB6"/>
    <w:rsid w:val="009D134B"/>
    <w:rsid w:val="009D252B"/>
    <w:rsid w:val="009D4A41"/>
    <w:rsid w:val="009D5007"/>
    <w:rsid w:val="009D7780"/>
    <w:rsid w:val="009D78ED"/>
    <w:rsid w:val="009E0A3C"/>
    <w:rsid w:val="009E2237"/>
    <w:rsid w:val="009E38DA"/>
    <w:rsid w:val="009E400F"/>
    <w:rsid w:val="009E6278"/>
    <w:rsid w:val="009E6420"/>
    <w:rsid w:val="009E6919"/>
    <w:rsid w:val="009E7DEF"/>
    <w:rsid w:val="009F1737"/>
    <w:rsid w:val="009F1E96"/>
    <w:rsid w:val="009F1F83"/>
    <w:rsid w:val="009F42E1"/>
    <w:rsid w:val="009F4605"/>
    <w:rsid w:val="009F4ADF"/>
    <w:rsid w:val="009F5EEB"/>
    <w:rsid w:val="009F6B49"/>
    <w:rsid w:val="00A01C81"/>
    <w:rsid w:val="00A04376"/>
    <w:rsid w:val="00A05AB1"/>
    <w:rsid w:val="00A071A6"/>
    <w:rsid w:val="00A078B4"/>
    <w:rsid w:val="00A10ED0"/>
    <w:rsid w:val="00A12187"/>
    <w:rsid w:val="00A1278C"/>
    <w:rsid w:val="00A127E9"/>
    <w:rsid w:val="00A13515"/>
    <w:rsid w:val="00A1362B"/>
    <w:rsid w:val="00A13CAE"/>
    <w:rsid w:val="00A154A4"/>
    <w:rsid w:val="00A15974"/>
    <w:rsid w:val="00A16BB4"/>
    <w:rsid w:val="00A17C12"/>
    <w:rsid w:val="00A2020D"/>
    <w:rsid w:val="00A20D2E"/>
    <w:rsid w:val="00A20D30"/>
    <w:rsid w:val="00A20F5D"/>
    <w:rsid w:val="00A2203F"/>
    <w:rsid w:val="00A234A9"/>
    <w:rsid w:val="00A23FD7"/>
    <w:rsid w:val="00A25C52"/>
    <w:rsid w:val="00A264F1"/>
    <w:rsid w:val="00A26A91"/>
    <w:rsid w:val="00A27823"/>
    <w:rsid w:val="00A27B47"/>
    <w:rsid w:val="00A3032D"/>
    <w:rsid w:val="00A310DF"/>
    <w:rsid w:val="00A31C75"/>
    <w:rsid w:val="00A31D21"/>
    <w:rsid w:val="00A31F8C"/>
    <w:rsid w:val="00A330A4"/>
    <w:rsid w:val="00A335E4"/>
    <w:rsid w:val="00A3446F"/>
    <w:rsid w:val="00A352B1"/>
    <w:rsid w:val="00A35481"/>
    <w:rsid w:val="00A35D6A"/>
    <w:rsid w:val="00A3661F"/>
    <w:rsid w:val="00A3735E"/>
    <w:rsid w:val="00A401D7"/>
    <w:rsid w:val="00A406D8"/>
    <w:rsid w:val="00A4159F"/>
    <w:rsid w:val="00A41FAC"/>
    <w:rsid w:val="00A423B5"/>
    <w:rsid w:val="00A42E01"/>
    <w:rsid w:val="00A42ECA"/>
    <w:rsid w:val="00A4300F"/>
    <w:rsid w:val="00A4545F"/>
    <w:rsid w:val="00A458A0"/>
    <w:rsid w:val="00A47BD5"/>
    <w:rsid w:val="00A500B4"/>
    <w:rsid w:val="00A50592"/>
    <w:rsid w:val="00A5223B"/>
    <w:rsid w:val="00A523B2"/>
    <w:rsid w:val="00A53EED"/>
    <w:rsid w:val="00A541BE"/>
    <w:rsid w:val="00A54845"/>
    <w:rsid w:val="00A55F0A"/>
    <w:rsid w:val="00A567C9"/>
    <w:rsid w:val="00A618F0"/>
    <w:rsid w:val="00A61C26"/>
    <w:rsid w:val="00A62D55"/>
    <w:rsid w:val="00A64FDF"/>
    <w:rsid w:val="00A65F69"/>
    <w:rsid w:val="00A719A0"/>
    <w:rsid w:val="00A721D9"/>
    <w:rsid w:val="00A72AB8"/>
    <w:rsid w:val="00A740EA"/>
    <w:rsid w:val="00A74F7F"/>
    <w:rsid w:val="00A76A99"/>
    <w:rsid w:val="00A77481"/>
    <w:rsid w:val="00A77F87"/>
    <w:rsid w:val="00A82F43"/>
    <w:rsid w:val="00A83DB4"/>
    <w:rsid w:val="00A84477"/>
    <w:rsid w:val="00A8495F"/>
    <w:rsid w:val="00A850F3"/>
    <w:rsid w:val="00A8619C"/>
    <w:rsid w:val="00A862AB"/>
    <w:rsid w:val="00A86857"/>
    <w:rsid w:val="00A86D86"/>
    <w:rsid w:val="00A8741E"/>
    <w:rsid w:val="00A914E9"/>
    <w:rsid w:val="00A94A4F"/>
    <w:rsid w:val="00A95F65"/>
    <w:rsid w:val="00A96761"/>
    <w:rsid w:val="00AA3959"/>
    <w:rsid w:val="00AA50B5"/>
    <w:rsid w:val="00AA563F"/>
    <w:rsid w:val="00AA5A62"/>
    <w:rsid w:val="00AB0F4C"/>
    <w:rsid w:val="00AB17C9"/>
    <w:rsid w:val="00AB1C53"/>
    <w:rsid w:val="00AB3206"/>
    <w:rsid w:val="00AC11F4"/>
    <w:rsid w:val="00AC16F5"/>
    <w:rsid w:val="00AC1BF6"/>
    <w:rsid w:val="00AC35F5"/>
    <w:rsid w:val="00AC3E24"/>
    <w:rsid w:val="00AC48F7"/>
    <w:rsid w:val="00AC549A"/>
    <w:rsid w:val="00AC586A"/>
    <w:rsid w:val="00AC65E6"/>
    <w:rsid w:val="00AC6DFB"/>
    <w:rsid w:val="00AC71C8"/>
    <w:rsid w:val="00AC7227"/>
    <w:rsid w:val="00AD112B"/>
    <w:rsid w:val="00AD16BB"/>
    <w:rsid w:val="00AD27D0"/>
    <w:rsid w:val="00AD37DC"/>
    <w:rsid w:val="00AD4910"/>
    <w:rsid w:val="00AD4ADC"/>
    <w:rsid w:val="00AD54D0"/>
    <w:rsid w:val="00AD55C8"/>
    <w:rsid w:val="00AD6248"/>
    <w:rsid w:val="00AD6C18"/>
    <w:rsid w:val="00AD7FBC"/>
    <w:rsid w:val="00AE0369"/>
    <w:rsid w:val="00AE0E0B"/>
    <w:rsid w:val="00AE1C62"/>
    <w:rsid w:val="00AE30BB"/>
    <w:rsid w:val="00AE32DF"/>
    <w:rsid w:val="00AE4237"/>
    <w:rsid w:val="00AE5B44"/>
    <w:rsid w:val="00AE5C0B"/>
    <w:rsid w:val="00AE6A53"/>
    <w:rsid w:val="00AE6F26"/>
    <w:rsid w:val="00AE748E"/>
    <w:rsid w:val="00AF0E80"/>
    <w:rsid w:val="00AF1E6F"/>
    <w:rsid w:val="00AF2697"/>
    <w:rsid w:val="00AF412D"/>
    <w:rsid w:val="00AF4177"/>
    <w:rsid w:val="00AF72E2"/>
    <w:rsid w:val="00AF7F1A"/>
    <w:rsid w:val="00B024E8"/>
    <w:rsid w:val="00B036B7"/>
    <w:rsid w:val="00B06034"/>
    <w:rsid w:val="00B062A4"/>
    <w:rsid w:val="00B10E17"/>
    <w:rsid w:val="00B11EE2"/>
    <w:rsid w:val="00B130E2"/>
    <w:rsid w:val="00B148C8"/>
    <w:rsid w:val="00B17886"/>
    <w:rsid w:val="00B20F95"/>
    <w:rsid w:val="00B2245E"/>
    <w:rsid w:val="00B22DEE"/>
    <w:rsid w:val="00B231D2"/>
    <w:rsid w:val="00B25908"/>
    <w:rsid w:val="00B26E0B"/>
    <w:rsid w:val="00B27BC9"/>
    <w:rsid w:val="00B30C61"/>
    <w:rsid w:val="00B3394E"/>
    <w:rsid w:val="00B33F5C"/>
    <w:rsid w:val="00B34D3D"/>
    <w:rsid w:val="00B35C87"/>
    <w:rsid w:val="00B36B7C"/>
    <w:rsid w:val="00B4033D"/>
    <w:rsid w:val="00B42199"/>
    <w:rsid w:val="00B42864"/>
    <w:rsid w:val="00B428D6"/>
    <w:rsid w:val="00B42A53"/>
    <w:rsid w:val="00B42C2E"/>
    <w:rsid w:val="00B4311F"/>
    <w:rsid w:val="00B43BC9"/>
    <w:rsid w:val="00B46640"/>
    <w:rsid w:val="00B47EDC"/>
    <w:rsid w:val="00B54C99"/>
    <w:rsid w:val="00B55941"/>
    <w:rsid w:val="00B55B03"/>
    <w:rsid w:val="00B56785"/>
    <w:rsid w:val="00B5740E"/>
    <w:rsid w:val="00B60E79"/>
    <w:rsid w:val="00B62A20"/>
    <w:rsid w:val="00B6309B"/>
    <w:rsid w:val="00B648B2"/>
    <w:rsid w:val="00B65832"/>
    <w:rsid w:val="00B65914"/>
    <w:rsid w:val="00B65D9C"/>
    <w:rsid w:val="00B6695A"/>
    <w:rsid w:val="00B70248"/>
    <w:rsid w:val="00B71543"/>
    <w:rsid w:val="00B727B8"/>
    <w:rsid w:val="00B7598F"/>
    <w:rsid w:val="00B765EE"/>
    <w:rsid w:val="00B802C0"/>
    <w:rsid w:val="00B8094A"/>
    <w:rsid w:val="00B80A15"/>
    <w:rsid w:val="00B81AE0"/>
    <w:rsid w:val="00B83874"/>
    <w:rsid w:val="00B84804"/>
    <w:rsid w:val="00B861B4"/>
    <w:rsid w:val="00B8719A"/>
    <w:rsid w:val="00B8763E"/>
    <w:rsid w:val="00B87C88"/>
    <w:rsid w:val="00B90B23"/>
    <w:rsid w:val="00B92817"/>
    <w:rsid w:val="00B93109"/>
    <w:rsid w:val="00B9381A"/>
    <w:rsid w:val="00B9579C"/>
    <w:rsid w:val="00B959A9"/>
    <w:rsid w:val="00B969BA"/>
    <w:rsid w:val="00B97E61"/>
    <w:rsid w:val="00BA1DF5"/>
    <w:rsid w:val="00BA2C92"/>
    <w:rsid w:val="00BA34D7"/>
    <w:rsid w:val="00BA385B"/>
    <w:rsid w:val="00BA3DE1"/>
    <w:rsid w:val="00BA43A8"/>
    <w:rsid w:val="00BA68DA"/>
    <w:rsid w:val="00BA7171"/>
    <w:rsid w:val="00BA7A19"/>
    <w:rsid w:val="00BA7DB5"/>
    <w:rsid w:val="00BB2326"/>
    <w:rsid w:val="00BB2DCB"/>
    <w:rsid w:val="00BB64DE"/>
    <w:rsid w:val="00BC1380"/>
    <w:rsid w:val="00BC1616"/>
    <w:rsid w:val="00BC1A4C"/>
    <w:rsid w:val="00BC25F3"/>
    <w:rsid w:val="00BC3D37"/>
    <w:rsid w:val="00BC402F"/>
    <w:rsid w:val="00BC436F"/>
    <w:rsid w:val="00BC4DAB"/>
    <w:rsid w:val="00BC55BE"/>
    <w:rsid w:val="00BC563E"/>
    <w:rsid w:val="00BC5C27"/>
    <w:rsid w:val="00BD0D76"/>
    <w:rsid w:val="00BD19DD"/>
    <w:rsid w:val="00BD1E01"/>
    <w:rsid w:val="00BD2537"/>
    <w:rsid w:val="00BD29EB"/>
    <w:rsid w:val="00BD2DD6"/>
    <w:rsid w:val="00BD4101"/>
    <w:rsid w:val="00BD6EA1"/>
    <w:rsid w:val="00BD759D"/>
    <w:rsid w:val="00BE0283"/>
    <w:rsid w:val="00BE0609"/>
    <w:rsid w:val="00BE08D6"/>
    <w:rsid w:val="00BE3B17"/>
    <w:rsid w:val="00BE3CAE"/>
    <w:rsid w:val="00BE3EF6"/>
    <w:rsid w:val="00BE51DF"/>
    <w:rsid w:val="00BE561A"/>
    <w:rsid w:val="00BE5DEF"/>
    <w:rsid w:val="00BE6A1E"/>
    <w:rsid w:val="00BE6BF7"/>
    <w:rsid w:val="00BE7DE9"/>
    <w:rsid w:val="00BE7F4F"/>
    <w:rsid w:val="00BF1657"/>
    <w:rsid w:val="00BF1C08"/>
    <w:rsid w:val="00BF23F9"/>
    <w:rsid w:val="00BF4AD9"/>
    <w:rsid w:val="00BF4BBA"/>
    <w:rsid w:val="00BF5048"/>
    <w:rsid w:val="00BF528C"/>
    <w:rsid w:val="00BF549C"/>
    <w:rsid w:val="00BF5847"/>
    <w:rsid w:val="00BF704C"/>
    <w:rsid w:val="00C003C5"/>
    <w:rsid w:val="00C00C39"/>
    <w:rsid w:val="00C02519"/>
    <w:rsid w:val="00C029FD"/>
    <w:rsid w:val="00C041D9"/>
    <w:rsid w:val="00C06D1A"/>
    <w:rsid w:val="00C06F05"/>
    <w:rsid w:val="00C10563"/>
    <w:rsid w:val="00C10B18"/>
    <w:rsid w:val="00C10D80"/>
    <w:rsid w:val="00C117C0"/>
    <w:rsid w:val="00C12ACE"/>
    <w:rsid w:val="00C12D17"/>
    <w:rsid w:val="00C14342"/>
    <w:rsid w:val="00C158ED"/>
    <w:rsid w:val="00C163DD"/>
    <w:rsid w:val="00C178EE"/>
    <w:rsid w:val="00C200AF"/>
    <w:rsid w:val="00C21C7C"/>
    <w:rsid w:val="00C22DDF"/>
    <w:rsid w:val="00C2414B"/>
    <w:rsid w:val="00C25147"/>
    <w:rsid w:val="00C25601"/>
    <w:rsid w:val="00C2596A"/>
    <w:rsid w:val="00C2606B"/>
    <w:rsid w:val="00C26B41"/>
    <w:rsid w:val="00C26DE9"/>
    <w:rsid w:val="00C2743A"/>
    <w:rsid w:val="00C27E6C"/>
    <w:rsid w:val="00C30176"/>
    <w:rsid w:val="00C30BE4"/>
    <w:rsid w:val="00C32130"/>
    <w:rsid w:val="00C33358"/>
    <w:rsid w:val="00C34984"/>
    <w:rsid w:val="00C416EC"/>
    <w:rsid w:val="00C41841"/>
    <w:rsid w:val="00C423BC"/>
    <w:rsid w:val="00C436F9"/>
    <w:rsid w:val="00C43AD1"/>
    <w:rsid w:val="00C446E9"/>
    <w:rsid w:val="00C4681D"/>
    <w:rsid w:val="00C46DFA"/>
    <w:rsid w:val="00C474B3"/>
    <w:rsid w:val="00C5013F"/>
    <w:rsid w:val="00C52050"/>
    <w:rsid w:val="00C5368A"/>
    <w:rsid w:val="00C54EF3"/>
    <w:rsid w:val="00C55104"/>
    <w:rsid w:val="00C55548"/>
    <w:rsid w:val="00C5794F"/>
    <w:rsid w:val="00C601C7"/>
    <w:rsid w:val="00C6045C"/>
    <w:rsid w:val="00C622E4"/>
    <w:rsid w:val="00C627C1"/>
    <w:rsid w:val="00C63434"/>
    <w:rsid w:val="00C645E6"/>
    <w:rsid w:val="00C65530"/>
    <w:rsid w:val="00C675BF"/>
    <w:rsid w:val="00C7041D"/>
    <w:rsid w:val="00C71738"/>
    <w:rsid w:val="00C72AFE"/>
    <w:rsid w:val="00C73F62"/>
    <w:rsid w:val="00C75934"/>
    <w:rsid w:val="00C7701D"/>
    <w:rsid w:val="00C773C8"/>
    <w:rsid w:val="00C806DB"/>
    <w:rsid w:val="00C8260C"/>
    <w:rsid w:val="00C83206"/>
    <w:rsid w:val="00C85C62"/>
    <w:rsid w:val="00C90A73"/>
    <w:rsid w:val="00C90E3E"/>
    <w:rsid w:val="00C925B3"/>
    <w:rsid w:val="00C92C39"/>
    <w:rsid w:val="00C94391"/>
    <w:rsid w:val="00C94502"/>
    <w:rsid w:val="00C95467"/>
    <w:rsid w:val="00C96EA1"/>
    <w:rsid w:val="00C97B42"/>
    <w:rsid w:val="00CA37CC"/>
    <w:rsid w:val="00CA5A44"/>
    <w:rsid w:val="00CA64F6"/>
    <w:rsid w:val="00CA7263"/>
    <w:rsid w:val="00CB467F"/>
    <w:rsid w:val="00CB4A8E"/>
    <w:rsid w:val="00CB4B45"/>
    <w:rsid w:val="00CB7B64"/>
    <w:rsid w:val="00CC16FA"/>
    <w:rsid w:val="00CC1815"/>
    <w:rsid w:val="00CC269C"/>
    <w:rsid w:val="00CC29EB"/>
    <w:rsid w:val="00CC36B5"/>
    <w:rsid w:val="00CC399F"/>
    <w:rsid w:val="00CC6B69"/>
    <w:rsid w:val="00CC7F09"/>
    <w:rsid w:val="00CD00DF"/>
    <w:rsid w:val="00CD10A7"/>
    <w:rsid w:val="00CD16C4"/>
    <w:rsid w:val="00CD21C6"/>
    <w:rsid w:val="00CD27F9"/>
    <w:rsid w:val="00CD2C78"/>
    <w:rsid w:val="00CD44F2"/>
    <w:rsid w:val="00CD5224"/>
    <w:rsid w:val="00CD5D5A"/>
    <w:rsid w:val="00CD5D6D"/>
    <w:rsid w:val="00CD6382"/>
    <w:rsid w:val="00CD6C9A"/>
    <w:rsid w:val="00CD7765"/>
    <w:rsid w:val="00CE0867"/>
    <w:rsid w:val="00CE2BDB"/>
    <w:rsid w:val="00CE3986"/>
    <w:rsid w:val="00CE49FD"/>
    <w:rsid w:val="00CE5D3B"/>
    <w:rsid w:val="00CE6456"/>
    <w:rsid w:val="00CF0C42"/>
    <w:rsid w:val="00CF1A48"/>
    <w:rsid w:val="00CF1AAA"/>
    <w:rsid w:val="00CF2F6A"/>
    <w:rsid w:val="00CF3693"/>
    <w:rsid w:val="00CF3AB9"/>
    <w:rsid w:val="00CF3C3E"/>
    <w:rsid w:val="00CF5C38"/>
    <w:rsid w:val="00CF5C61"/>
    <w:rsid w:val="00CF6E4C"/>
    <w:rsid w:val="00CF701B"/>
    <w:rsid w:val="00CF78B0"/>
    <w:rsid w:val="00CF7BD9"/>
    <w:rsid w:val="00D0014C"/>
    <w:rsid w:val="00D0059F"/>
    <w:rsid w:val="00D03B4A"/>
    <w:rsid w:val="00D04BF2"/>
    <w:rsid w:val="00D10128"/>
    <w:rsid w:val="00D10787"/>
    <w:rsid w:val="00D13AE2"/>
    <w:rsid w:val="00D1426E"/>
    <w:rsid w:val="00D14363"/>
    <w:rsid w:val="00D151F2"/>
    <w:rsid w:val="00D16CD5"/>
    <w:rsid w:val="00D17D74"/>
    <w:rsid w:val="00D200E5"/>
    <w:rsid w:val="00D21C64"/>
    <w:rsid w:val="00D22926"/>
    <w:rsid w:val="00D25A71"/>
    <w:rsid w:val="00D25EDC"/>
    <w:rsid w:val="00D276E3"/>
    <w:rsid w:val="00D27D2A"/>
    <w:rsid w:val="00D30CB3"/>
    <w:rsid w:val="00D34C02"/>
    <w:rsid w:val="00D35A16"/>
    <w:rsid w:val="00D36A64"/>
    <w:rsid w:val="00D37643"/>
    <w:rsid w:val="00D4113D"/>
    <w:rsid w:val="00D42C3F"/>
    <w:rsid w:val="00D42D70"/>
    <w:rsid w:val="00D431FD"/>
    <w:rsid w:val="00D44B8B"/>
    <w:rsid w:val="00D44D44"/>
    <w:rsid w:val="00D4661D"/>
    <w:rsid w:val="00D47121"/>
    <w:rsid w:val="00D51EAD"/>
    <w:rsid w:val="00D52697"/>
    <w:rsid w:val="00D5280F"/>
    <w:rsid w:val="00D52D06"/>
    <w:rsid w:val="00D52DF9"/>
    <w:rsid w:val="00D54741"/>
    <w:rsid w:val="00D549A4"/>
    <w:rsid w:val="00D54F1C"/>
    <w:rsid w:val="00D5796E"/>
    <w:rsid w:val="00D62EB8"/>
    <w:rsid w:val="00D64AD1"/>
    <w:rsid w:val="00D654FC"/>
    <w:rsid w:val="00D6626A"/>
    <w:rsid w:val="00D71B61"/>
    <w:rsid w:val="00D72066"/>
    <w:rsid w:val="00D72575"/>
    <w:rsid w:val="00D7316D"/>
    <w:rsid w:val="00D741B1"/>
    <w:rsid w:val="00D7538E"/>
    <w:rsid w:val="00D76B8B"/>
    <w:rsid w:val="00D809EF"/>
    <w:rsid w:val="00D811AB"/>
    <w:rsid w:val="00D81585"/>
    <w:rsid w:val="00D81F71"/>
    <w:rsid w:val="00D82823"/>
    <w:rsid w:val="00D846C7"/>
    <w:rsid w:val="00D84EB8"/>
    <w:rsid w:val="00D8773E"/>
    <w:rsid w:val="00D87AC4"/>
    <w:rsid w:val="00D87AEA"/>
    <w:rsid w:val="00D919ED"/>
    <w:rsid w:val="00D920EA"/>
    <w:rsid w:val="00D926F7"/>
    <w:rsid w:val="00D92A1E"/>
    <w:rsid w:val="00D952B1"/>
    <w:rsid w:val="00D9555D"/>
    <w:rsid w:val="00D9755A"/>
    <w:rsid w:val="00DA099A"/>
    <w:rsid w:val="00DA0A61"/>
    <w:rsid w:val="00DA129D"/>
    <w:rsid w:val="00DA20F4"/>
    <w:rsid w:val="00DA25E1"/>
    <w:rsid w:val="00DA3296"/>
    <w:rsid w:val="00DA48C8"/>
    <w:rsid w:val="00DB00E0"/>
    <w:rsid w:val="00DB10BD"/>
    <w:rsid w:val="00DB1136"/>
    <w:rsid w:val="00DB2043"/>
    <w:rsid w:val="00DB43AB"/>
    <w:rsid w:val="00DB46D6"/>
    <w:rsid w:val="00DB5852"/>
    <w:rsid w:val="00DB5E9B"/>
    <w:rsid w:val="00DB6416"/>
    <w:rsid w:val="00DB648C"/>
    <w:rsid w:val="00DB6ED2"/>
    <w:rsid w:val="00DB6FAC"/>
    <w:rsid w:val="00DB7C21"/>
    <w:rsid w:val="00DC04DA"/>
    <w:rsid w:val="00DC0532"/>
    <w:rsid w:val="00DC2D89"/>
    <w:rsid w:val="00DC4264"/>
    <w:rsid w:val="00DC6A03"/>
    <w:rsid w:val="00DC7958"/>
    <w:rsid w:val="00DC7B48"/>
    <w:rsid w:val="00DC7E4C"/>
    <w:rsid w:val="00DD0985"/>
    <w:rsid w:val="00DD26F6"/>
    <w:rsid w:val="00DD2A93"/>
    <w:rsid w:val="00DD31AC"/>
    <w:rsid w:val="00DD36CD"/>
    <w:rsid w:val="00DD39C2"/>
    <w:rsid w:val="00DD5404"/>
    <w:rsid w:val="00DD67FF"/>
    <w:rsid w:val="00DE066A"/>
    <w:rsid w:val="00DE0C38"/>
    <w:rsid w:val="00DE27C0"/>
    <w:rsid w:val="00DE2A3A"/>
    <w:rsid w:val="00DE3D5F"/>
    <w:rsid w:val="00DE3FD1"/>
    <w:rsid w:val="00DE662B"/>
    <w:rsid w:val="00DF04AD"/>
    <w:rsid w:val="00DF0832"/>
    <w:rsid w:val="00DF09B1"/>
    <w:rsid w:val="00DF29A6"/>
    <w:rsid w:val="00DF3D7E"/>
    <w:rsid w:val="00DF6F8C"/>
    <w:rsid w:val="00DF74C7"/>
    <w:rsid w:val="00DF76EE"/>
    <w:rsid w:val="00E00C93"/>
    <w:rsid w:val="00E01376"/>
    <w:rsid w:val="00E03523"/>
    <w:rsid w:val="00E038D3"/>
    <w:rsid w:val="00E04D7C"/>
    <w:rsid w:val="00E0571D"/>
    <w:rsid w:val="00E066A2"/>
    <w:rsid w:val="00E12F94"/>
    <w:rsid w:val="00E14894"/>
    <w:rsid w:val="00E15BD8"/>
    <w:rsid w:val="00E1787E"/>
    <w:rsid w:val="00E206C8"/>
    <w:rsid w:val="00E20810"/>
    <w:rsid w:val="00E21012"/>
    <w:rsid w:val="00E21592"/>
    <w:rsid w:val="00E22DF4"/>
    <w:rsid w:val="00E23215"/>
    <w:rsid w:val="00E2331D"/>
    <w:rsid w:val="00E27A4A"/>
    <w:rsid w:val="00E27B06"/>
    <w:rsid w:val="00E30F0C"/>
    <w:rsid w:val="00E332B1"/>
    <w:rsid w:val="00E33D05"/>
    <w:rsid w:val="00E340D5"/>
    <w:rsid w:val="00E34D8A"/>
    <w:rsid w:val="00E35B58"/>
    <w:rsid w:val="00E368B4"/>
    <w:rsid w:val="00E36B92"/>
    <w:rsid w:val="00E36D36"/>
    <w:rsid w:val="00E40444"/>
    <w:rsid w:val="00E41409"/>
    <w:rsid w:val="00E422BE"/>
    <w:rsid w:val="00E42561"/>
    <w:rsid w:val="00E437CA"/>
    <w:rsid w:val="00E43A89"/>
    <w:rsid w:val="00E43BBD"/>
    <w:rsid w:val="00E44507"/>
    <w:rsid w:val="00E4636B"/>
    <w:rsid w:val="00E50442"/>
    <w:rsid w:val="00E508C4"/>
    <w:rsid w:val="00E50FCD"/>
    <w:rsid w:val="00E559AA"/>
    <w:rsid w:val="00E55BE2"/>
    <w:rsid w:val="00E574F5"/>
    <w:rsid w:val="00E57557"/>
    <w:rsid w:val="00E6005D"/>
    <w:rsid w:val="00E6015A"/>
    <w:rsid w:val="00E60F13"/>
    <w:rsid w:val="00E633C1"/>
    <w:rsid w:val="00E63F64"/>
    <w:rsid w:val="00E66175"/>
    <w:rsid w:val="00E67198"/>
    <w:rsid w:val="00E6741C"/>
    <w:rsid w:val="00E72161"/>
    <w:rsid w:val="00E741D6"/>
    <w:rsid w:val="00E74F2D"/>
    <w:rsid w:val="00E75281"/>
    <w:rsid w:val="00E760CB"/>
    <w:rsid w:val="00E776A6"/>
    <w:rsid w:val="00E778C4"/>
    <w:rsid w:val="00E82D4F"/>
    <w:rsid w:val="00E8359D"/>
    <w:rsid w:val="00E850D2"/>
    <w:rsid w:val="00E8529E"/>
    <w:rsid w:val="00E86F2B"/>
    <w:rsid w:val="00E87EAD"/>
    <w:rsid w:val="00E91099"/>
    <w:rsid w:val="00E910C0"/>
    <w:rsid w:val="00E9131A"/>
    <w:rsid w:val="00E91D72"/>
    <w:rsid w:val="00E91D98"/>
    <w:rsid w:val="00E92D2D"/>
    <w:rsid w:val="00E9323C"/>
    <w:rsid w:val="00E93E9D"/>
    <w:rsid w:val="00E95FAE"/>
    <w:rsid w:val="00E969A4"/>
    <w:rsid w:val="00E96D8A"/>
    <w:rsid w:val="00E971E2"/>
    <w:rsid w:val="00EA08DE"/>
    <w:rsid w:val="00EA1808"/>
    <w:rsid w:val="00EA1A9F"/>
    <w:rsid w:val="00EA1C79"/>
    <w:rsid w:val="00EA2AA8"/>
    <w:rsid w:val="00EA2BE2"/>
    <w:rsid w:val="00EA3440"/>
    <w:rsid w:val="00EA4783"/>
    <w:rsid w:val="00EA4B00"/>
    <w:rsid w:val="00EA69DC"/>
    <w:rsid w:val="00EA7ABD"/>
    <w:rsid w:val="00EB1475"/>
    <w:rsid w:val="00EB1684"/>
    <w:rsid w:val="00EB381B"/>
    <w:rsid w:val="00EB4477"/>
    <w:rsid w:val="00EB5EE2"/>
    <w:rsid w:val="00EB69CF"/>
    <w:rsid w:val="00EB6A50"/>
    <w:rsid w:val="00EB6A71"/>
    <w:rsid w:val="00EC2833"/>
    <w:rsid w:val="00EC2E9E"/>
    <w:rsid w:val="00EC3368"/>
    <w:rsid w:val="00EC3D8E"/>
    <w:rsid w:val="00EC4EBC"/>
    <w:rsid w:val="00EC59AA"/>
    <w:rsid w:val="00EC654C"/>
    <w:rsid w:val="00ED0037"/>
    <w:rsid w:val="00ED1664"/>
    <w:rsid w:val="00ED4138"/>
    <w:rsid w:val="00ED4DD8"/>
    <w:rsid w:val="00ED5725"/>
    <w:rsid w:val="00ED5B99"/>
    <w:rsid w:val="00ED6DA1"/>
    <w:rsid w:val="00EE1069"/>
    <w:rsid w:val="00EE151D"/>
    <w:rsid w:val="00EE1F4C"/>
    <w:rsid w:val="00EE3345"/>
    <w:rsid w:val="00EE42BD"/>
    <w:rsid w:val="00EE44E9"/>
    <w:rsid w:val="00EE4E66"/>
    <w:rsid w:val="00EE50CD"/>
    <w:rsid w:val="00EE55AF"/>
    <w:rsid w:val="00EF0E17"/>
    <w:rsid w:val="00EF2807"/>
    <w:rsid w:val="00EF2F15"/>
    <w:rsid w:val="00EF3451"/>
    <w:rsid w:val="00EF3FD9"/>
    <w:rsid w:val="00EF523B"/>
    <w:rsid w:val="00EF55CC"/>
    <w:rsid w:val="00EF5732"/>
    <w:rsid w:val="00EF5970"/>
    <w:rsid w:val="00EF5F88"/>
    <w:rsid w:val="00EF6D9F"/>
    <w:rsid w:val="00EF722C"/>
    <w:rsid w:val="00EF73C0"/>
    <w:rsid w:val="00F0005E"/>
    <w:rsid w:val="00F01788"/>
    <w:rsid w:val="00F02696"/>
    <w:rsid w:val="00F0292C"/>
    <w:rsid w:val="00F03F85"/>
    <w:rsid w:val="00F04729"/>
    <w:rsid w:val="00F05ACA"/>
    <w:rsid w:val="00F0710C"/>
    <w:rsid w:val="00F07E09"/>
    <w:rsid w:val="00F11C94"/>
    <w:rsid w:val="00F12873"/>
    <w:rsid w:val="00F13A33"/>
    <w:rsid w:val="00F13E1C"/>
    <w:rsid w:val="00F14899"/>
    <w:rsid w:val="00F1659A"/>
    <w:rsid w:val="00F165E5"/>
    <w:rsid w:val="00F20331"/>
    <w:rsid w:val="00F20FC4"/>
    <w:rsid w:val="00F22315"/>
    <w:rsid w:val="00F22DC8"/>
    <w:rsid w:val="00F23354"/>
    <w:rsid w:val="00F23EAB"/>
    <w:rsid w:val="00F242B8"/>
    <w:rsid w:val="00F24E47"/>
    <w:rsid w:val="00F25B0A"/>
    <w:rsid w:val="00F25B30"/>
    <w:rsid w:val="00F30BDF"/>
    <w:rsid w:val="00F315ED"/>
    <w:rsid w:val="00F32BFF"/>
    <w:rsid w:val="00F331F5"/>
    <w:rsid w:val="00F34809"/>
    <w:rsid w:val="00F35897"/>
    <w:rsid w:val="00F362CF"/>
    <w:rsid w:val="00F36EE8"/>
    <w:rsid w:val="00F372A7"/>
    <w:rsid w:val="00F40476"/>
    <w:rsid w:val="00F40EFA"/>
    <w:rsid w:val="00F433F7"/>
    <w:rsid w:val="00F434D3"/>
    <w:rsid w:val="00F437DA"/>
    <w:rsid w:val="00F43C18"/>
    <w:rsid w:val="00F44955"/>
    <w:rsid w:val="00F4597D"/>
    <w:rsid w:val="00F50670"/>
    <w:rsid w:val="00F51018"/>
    <w:rsid w:val="00F52231"/>
    <w:rsid w:val="00F537DC"/>
    <w:rsid w:val="00F544AA"/>
    <w:rsid w:val="00F544F7"/>
    <w:rsid w:val="00F61159"/>
    <w:rsid w:val="00F62381"/>
    <w:rsid w:val="00F64281"/>
    <w:rsid w:val="00F64F86"/>
    <w:rsid w:val="00F656D9"/>
    <w:rsid w:val="00F65FB7"/>
    <w:rsid w:val="00F6604A"/>
    <w:rsid w:val="00F669DD"/>
    <w:rsid w:val="00F67B6F"/>
    <w:rsid w:val="00F67ECD"/>
    <w:rsid w:val="00F701FB"/>
    <w:rsid w:val="00F7036A"/>
    <w:rsid w:val="00F70765"/>
    <w:rsid w:val="00F70A33"/>
    <w:rsid w:val="00F70CAA"/>
    <w:rsid w:val="00F71C1A"/>
    <w:rsid w:val="00F7261B"/>
    <w:rsid w:val="00F72771"/>
    <w:rsid w:val="00F729A0"/>
    <w:rsid w:val="00F72ED1"/>
    <w:rsid w:val="00F73E4C"/>
    <w:rsid w:val="00F7404C"/>
    <w:rsid w:val="00F75693"/>
    <w:rsid w:val="00F77F92"/>
    <w:rsid w:val="00F827F4"/>
    <w:rsid w:val="00F82BA3"/>
    <w:rsid w:val="00F8393A"/>
    <w:rsid w:val="00F83D31"/>
    <w:rsid w:val="00F845EA"/>
    <w:rsid w:val="00F84D73"/>
    <w:rsid w:val="00F85C6D"/>
    <w:rsid w:val="00F86329"/>
    <w:rsid w:val="00F910F4"/>
    <w:rsid w:val="00F91426"/>
    <w:rsid w:val="00F91465"/>
    <w:rsid w:val="00F93037"/>
    <w:rsid w:val="00F944DF"/>
    <w:rsid w:val="00F9462E"/>
    <w:rsid w:val="00F952DC"/>
    <w:rsid w:val="00F959A0"/>
    <w:rsid w:val="00F96902"/>
    <w:rsid w:val="00F96F3E"/>
    <w:rsid w:val="00FA06E4"/>
    <w:rsid w:val="00FA0A02"/>
    <w:rsid w:val="00FA102D"/>
    <w:rsid w:val="00FA1F37"/>
    <w:rsid w:val="00FA26F3"/>
    <w:rsid w:val="00FA2743"/>
    <w:rsid w:val="00FA3422"/>
    <w:rsid w:val="00FA386A"/>
    <w:rsid w:val="00FA5093"/>
    <w:rsid w:val="00FA6E4E"/>
    <w:rsid w:val="00FA7AA5"/>
    <w:rsid w:val="00FA7C66"/>
    <w:rsid w:val="00FB09CD"/>
    <w:rsid w:val="00FB1EFD"/>
    <w:rsid w:val="00FB2CE5"/>
    <w:rsid w:val="00FB5288"/>
    <w:rsid w:val="00FB6E6C"/>
    <w:rsid w:val="00FC1759"/>
    <w:rsid w:val="00FC2919"/>
    <w:rsid w:val="00FC2DCC"/>
    <w:rsid w:val="00FC3A27"/>
    <w:rsid w:val="00FC53F3"/>
    <w:rsid w:val="00FD0BF6"/>
    <w:rsid w:val="00FD0D85"/>
    <w:rsid w:val="00FD122E"/>
    <w:rsid w:val="00FD2BBA"/>
    <w:rsid w:val="00FD3D3F"/>
    <w:rsid w:val="00FD45D6"/>
    <w:rsid w:val="00FD5A6F"/>
    <w:rsid w:val="00FD5F96"/>
    <w:rsid w:val="00FD65A5"/>
    <w:rsid w:val="00FD6DA2"/>
    <w:rsid w:val="00FD7401"/>
    <w:rsid w:val="00FD7ACC"/>
    <w:rsid w:val="00FD7B04"/>
    <w:rsid w:val="00FD7DE9"/>
    <w:rsid w:val="00FE03CD"/>
    <w:rsid w:val="00FE11D9"/>
    <w:rsid w:val="00FE1E02"/>
    <w:rsid w:val="00FE274C"/>
    <w:rsid w:val="00FE2D6C"/>
    <w:rsid w:val="00FE33E7"/>
    <w:rsid w:val="00FE3F75"/>
    <w:rsid w:val="00FE410C"/>
    <w:rsid w:val="00FE4AC8"/>
    <w:rsid w:val="00FE5E52"/>
    <w:rsid w:val="00FE6410"/>
    <w:rsid w:val="00FF065A"/>
    <w:rsid w:val="00FF0F84"/>
    <w:rsid w:val="00FF1106"/>
    <w:rsid w:val="00FF4FC8"/>
    <w:rsid w:val="00FF6BE9"/>
    <w:rsid w:val="017E9E93"/>
    <w:rsid w:val="017EBD0E"/>
    <w:rsid w:val="01E88DA7"/>
    <w:rsid w:val="01F9BFA2"/>
    <w:rsid w:val="02128F6F"/>
    <w:rsid w:val="0240175A"/>
    <w:rsid w:val="02471356"/>
    <w:rsid w:val="0256D567"/>
    <w:rsid w:val="02701DA5"/>
    <w:rsid w:val="02871471"/>
    <w:rsid w:val="0317B0CA"/>
    <w:rsid w:val="0322739B"/>
    <w:rsid w:val="03D405C5"/>
    <w:rsid w:val="03DBE7BB"/>
    <w:rsid w:val="043B4B24"/>
    <w:rsid w:val="045690CF"/>
    <w:rsid w:val="046F1852"/>
    <w:rsid w:val="047908AE"/>
    <w:rsid w:val="049270E5"/>
    <w:rsid w:val="04B93CAC"/>
    <w:rsid w:val="050C427A"/>
    <w:rsid w:val="05521B3D"/>
    <w:rsid w:val="056FD626"/>
    <w:rsid w:val="0614D90F"/>
    <w:rsid w:val="06A812DB"/>
    <w:rsid w:val="06B40868"/>
    <w:rsid w:val="06C238BA"/>
    <w:rsid w:val="06F79519"/>
    <w:rsid w:val="073C9B1C"/>
    <w:rsid w:val="0761FF8E"/>
    <w:rsid w:val="0777E593"/>
    <w:rsid w:val="078EABDA"/>
    <w:rsid w:val="07F9FFDF"/>
    <w:rsid w:val="0833FD01"/>
    <w:rsid w:val="0894DCCA"/>
    <w:rsid w:val="08C7C18A"/>
    <w:rsid w:val="0916F84C"/>
    <w:rsid w:val="09DFB39D"/>
    <w:rsid w:val="09E72136"/>
    <w:rsid w:val="09E8DE26"/>
    <w:rsid w:val="09F28D29"/>
    <w:rsid w:val="09F4873F"/>
    <w:rsid w:val="09FA1487"/>
    <w:rsid w:val="09FA6643"/>
    <w:rsid w:val="0A35F028"/>
    <w:rsid w:val="0A91830C"/>
    <w:rsid w:val="0B866A84"/>
    <w:rsid w:val="0B8D6343"/>
    <w:rsid w:val="0C57A278"/>
    <w:rsid w:val="0CA0E4F0"/>
    <w:rsid w:val="0D207EE8"/>
    <w:rsid w:val="0DBEB00A"/>
    <w:rsid w:val="0DEDE177"/>
    <w:rsid w:val="0DFA6ABE"/>
    <w:rsid w:val="0E170019"/>
    <w:rsid w:val="0EBC4F49"/>
    <w:rsid w:val="0EE8990C"/>
    <w:rsid w:val="0F6C4A3D"/>
    <w:rsid w:val="0FA162D2"/>
    <w:rsid w:val="0FBDC0A2"/>
    <w:rsid w:val="0FEAE030"/>
    <w:rsid w:val="10305E80"/>
    <w:rsid w:val="1069560B"/>
    <w:rsid w:val="111BA9DD"/>
    <w:rsid w:val="11599103"/>
    <w:rsid w:val="11F420C4"/>
    <w:rsid w:val="123BBF10"/>
    <w:rsid w:val="126B41F0"/>
    <w:rsid w:val="129FB3A2"/>
    <w:rsid w:val="12B6E84E"/>
    <w:rsid w:val="12D0E438"/>
    <w:rsid w:val="12EEB4C3"/>
    <w:rsid w:val="132F8203"/>
    <w:rsid w:val="13411D1F"/>
    <w:rsid w:val="1349FE17"/>
    <w:rsid w:val="1364CA3C"/>
    <w:rsid w:val="139674AE"/>
    <w:rsid w:val="13D78F71"/>
    <w:rsid w:val="14215DCB"/>
    <w:rsid w:val="14B77AC5"/>
    <w:rsid w:val="14D04A92"/>
    <w:rsid w:val="14E37C28"/>
    <w:rsid w:val="14F6552E"/>
    <w:rsid w:val="15104077"/>
    <w:rsid w:val="15236F59"/>
    <w:rsid w:val="152565BF"/>
    <w:rsid w:val="153CC72E"/>
    <w:rsid w:val="1663A8CC"/>
    <w:rsid w:val="168CC8BA"/>
    <w:rsid w:val="1692258F"/>
    <w:rsid w:val="16C23417"/>
    <w:rsid w:val="16E3B410"/>
    <w:rsid w:val="1763D90F"/>
    <w:rsid w:val="17875AFB"/>
    <w:rsid w:val="17BDEF25"/>
    <w:rsid w:val="17E81D5A"/>
    <w:rsid w:val="17F7D25B"/>
    <w:rsid w:val="180B42D9"/>
    <w:rsid w:val="185C6FAB"/>
    <w:rsid w:val="18977774"/>
    <w:rsid w:val="18A167D0"/>
    <w:rsid w:val="19851CAB"/>
    <w:rsid w:val="19DB8142"/>
    <w:rsid w:val="1A37C2E9"/>
    <w:rsid w:val="1A3D3831"/>
    <w:rsid w:val="1A501232"/>
    <w:rsid w:val="1A6B98F0"/>
    <w:rsid w:val="1A7F7829"/>
    <w:rsid w:val="1AEBEBC2"/>
    <w:rsid w:val="1AF0B624"/>
    <w:rsid w:val="1B35F352"/>
    <w:rsid w:val="1B4B0D7A"/>
    <w:rsid w:val="1B7E5BE7"/>
    <w:rsid w:val="1BA3870D"/>
    <w:rsid w:val="1BB7F99C"/>
    <w:rsid w:val="1C044223"/>
    <w:rsid w:val="1C3E0173"/>
    <w:rsid w:val="1C5DCA94"/>
    <w:rsid w:val="1CC0C146"/>
    <w:rsid w:val="1CE1A85C"/>
    <w:rsid w:val="1D1BD3A9"/>
    <w:rsid w:val="1D1C2B5C"/>
    <w:rsid w:val="1D262F11"/>
    <w:rsid w:val="1D276019"/>
    <w:rsid w:val="1D933C80"/>
    <w:rsid w:val="1E2D673E"/>
    <w:rsid w:val="1E4EDE88"/>
    <w:rsid w:val="1E569093"/>
    <w:rsid w:val="1E5C91A7"/>
    <w:rsid w:val="1E8F4AD5"/>
    <w:rsid w:val="1EB15C13"/>
    <w:rsid w:val="1EB9542E"/>
    <w:rsid w:val="1EC1FF72"/>
    <w:rsid w:val="1EDA52EE"/>
    <w:rsid w:val="1EDB27CF"/>
    <w:rsid w:val="1EDE9FD7"/>
    <w:rsid w:val="1EEB291E"/>
    <w:rsid w:val="1F32A945"/>
    <w:rsid w:val="1F7B6FF0"/>
    <w:rsid w:val="1F9E581D"/>
    <w:rsid w:val="1FA4D315"/>
    <w:rsid w:val="1FC00AF8"/>
    <w:rsid w:val="1FE9BBE3"/>
    <w:rsid w:val="204E5933"/>
    <w:rsid w:val="2053DE14"/>
    <w:rsid w:val="209D02E8"/>
    <w:rsid w:val="20A28959"/>
    <w:rsid w:val="2150C747"/>
    <w:rsid w:val="215FC1C8"/>
    <w:rsid w:val="21858C44"/>
    <w:rsid w:val="21B24344"/>
    <w:rsid w:val="21D9489F"/>
    <w:rsid w:val="2203E8C7"/>
    <w:rsid w:val="22164099"/>
    <w:rsid w:val="2260FD3A"/>
    <w:rsid w:val="2285C3B9"/>
    <w:rsid w:val="2286B2E2"/>
    <w:rsid w:val="2298F7C9"/>
    <w:rsid w:val="22A8D002"/>
    <w:rsid w:val="22C4319A"/>
    <w:rsid w:val="2346F984"/>
    <w:rsid w:val="2348B363"/>
    <w:rsid w:val="2382DB8C"/>
    <w:rsid w:val="23D1D096"/>
    <w:rsid w:val="24140B79"/>
    <w:rsid w:val="242C28FD"/>
    <w:rsid w:val="243915F5"/>
    <w:rsid w:val="248AC5E9"/>
    <w:rsid w:val="24CC3008"/>
    <w:rsid w:val="24DD6B38"/>
    <w:rsid w:val="24DDCBB0"/>
    <w:rsid w:val="2522AA41"/>
    <w:rsid w:val="256F37A0"/>
    <w:rsid w:val="257134D9"/>
    <w:rsid w:val="258EA5BF"/>
    <w:rsid w:val="27293A7D"/>
    <w:rsid w:val="276D9604"/>
    <w:rsid w:val="277BB2FB"/>
    <w:rsid w:val="27C0D44A"/>
    <w:rsid w:val="284C0740"/>
    <w:rsid w:val="2860C474"/>
    <w:rsid w:val="2868E1B8"/>
    <w:rsid w:val="28BF7920"/>
    <w:rsid w:val="28E052E4"/>
    <w:rsid w:val="2912FF25"/>
    <w:rsid w:val="291BE0D9"/>
    <w:rsid w:val="2A2812D0"/>
    <w:rsid w:val="2A3E8859"/>
    <w:rsid w:val="2A63A643"/>
    <w:rsid w:val="2B804F82"/>
    <w:rsid w:val="2BA0827A"/>
    <w:rsid w:val="2BCA1A02"/>
    <w:rsid w:val="2BCC0507"/>
    <w:rsid w:val="2BE64E47"/>
    <w:rsid w:val="2BF4B6D9"/>
    <w:rsid w:val="2BFF1E14"/>
    <w:rsid w:val="2C184671"/>
    <w:rsid w:val="2C343477"/>
    <w:rsid w:val="2C96D79A"/>
    <w:rsid w:val="2CBFF523"/>
    <w:rsid w:val="2D14BDBE"/>
    <w:rsid w:val="2D1F7863"/>
    <w:rsid w:val="2DCF9C0B"/>
    <w:rsid w:val="2DD15DD4"/>
    <w:rsid w:val="2E2E3C7B"/>
    <w:rsid w:val="2E55C679"/>
    <w:rsid w:val="2E676C17"/>
    <w:rsid w:val="2E75D4D5"/>
    <w:rsid w:val="2EA8987B"/>
    <w:rsid w:val="2F00D134"/>
    <w:rsid w:val="2F16ECA8"/>
    <w:rsid w:val="2F6B42BD"/>
    <w:rsid w:val="2F6E2AAD"/>
    <w:rsid w:val="2FCD1737"/>
    <w:rsid w:val="2FDF15C2"/>
    <w:rsid w:val="2FE123A9"/>
    <w:rsid w:val="2FF81832"/>
    <w:rsid w:val="3006F972"/>
    <w:rsid w:val="306B19BE"/>
    <w:rsid w:val="308629B6"/>
    <w:rsid w:val="30E97A4D"/>
    <w:rsid w:val="30EDA0EB"/>
    <w:rsid w:val="3190E03C"/>
    <w:rsid w:val="31B01216"/>
    <w:rsid w:val="31B8F98A"/>
    <w:rsid w:val="31CB98D4"/>
    <w:rsid w:val="31E9963E"/>
    <w:rsid w:val="32308BE6"/>
    <w:rsid w:val="3263FB28"/>
    <w:rsid w:val="326E5F98"/>
    <w:rsid w:val="329194F7"/>
    <w:rsid w:val="32FB69AD"/>
    <w:rsid w:val="33023C53"/>
    <w:rsid w:val="330852E2"/>
    <w:rsid w:val="34130E0B"/>
    <w:rsid w:val="346E3452"/>
    <w:rsid w:val="34B28B62"/>
    <w:rsid w:val="34BABA12"/>
    <w:rsid w:val="34CF638F"/>
    <w:rsid w:val="35033996"/>
    <w:rsid w:val="350ACB91"/>
    <w:rsid w:val="351BA75A"/>
    <w:rsid w:val="35226E27"/>
    <w:rsid w:val="358252E0"/>
    <w:rsid w:val="35FAD7BC"/>
    <w:rsid w:val="36A69BF2"/>
    <w:rsid w:val="36A8C8BD"/>
    <w:rsid w:val="3704D2F9"/>
    <w:rsid w:val="371B2EE4"/>
    <w:rsid w:val="371CE3AE"/>
    <w:rsid w:val="372FDC2D"/>
    <w:rsid w:val="379AF995"/>
    <w:rsid w:val="37BF00BF"/>
    <w:rsid w:val="37DE1A1B"/>
    <w:rsid w:val="37E02DED"/>
    <w:rsid w:val="3804BE07"/>
    <w:rsid w:val="389A4521"/>
    <w:rsid w:val="38B7569D"/>
    <w:rsid w:val="38FEB485"/>
    <w:rsid w:val="391D2FA3"/>
    <w:rsid w:val="394F44B0"/>
    <w:rsid w:val="394FCA1A"/>
    <w:rsid w:val="3974CC43"/>
    <w:rsid w:val="39E009C8"/>
    <w:rsid w:val="3A1F2E78"/>
    <w:rsid w:val="3A22C369"/>
    <w:rsid w:val="3A361582"/>
    <w:rsid w:val="3A9C0255"/>
    <w:rsid w:val="3B047F64"/>
    <w:rsid w:val="3B8424AC"/>
    <w:rsid w:val="3C37DD4E"/>
    <w:rsid w:val="3C6AC485"/>
    <w:rsid w:val="3C81E0D7"/>
    <w:rsid w:val="3D5721D3"/>
    <w:rsid w:val="3D5ABBF8"/>
    <w:rsid w:val="3D732488"/>
    <w:rsid w:val="3DB8FD4B"/>
    <w:rsid w:val="3DC5B464"/>
    <w:rsid w:val="3DD269E3"/>
    <w:rsid w:val="3E30D786"/>
    <w:rsid w:val="3E40454B"/>
    <w:rsid w:val="3E60416B"/>
    <w:rsid w:val="3E8C5724"/>
    <w:rsid w:val="3F0AD96B"/>
    <w:rsid w:val="3F8276FC"/>
    <w:rsid w:val="3F8A09AA"/>
    <w:rsid w:val="3F9AB7A1"/>
    <w:rsid w:val="3FA8797C"/>
    <w:rsid w:val="3FC26E0A"/>
    <w:rsid w:val="3FE142C3"/>
    <w:rsid w:val="3FF27924"/>
    <w:rsid w:val="400AB7F1"/>
    <w:rsid w:val="402A657F"/>
    <w:rsid w:val="40317FA0"/>
    <w:rsid w:val="40683931"/>
    <w:rsid w:val="406D6314"/>
    <w:rsid w:val="4085C3C0"/>
    <w:rsid w:val="408D82D8"/>
    <w:rsid w:val="409925F9"/>
    <w:rsid w:val="40E450CF"/>
    <w:rsid w:val="411E475D"/>
    <w:rsid w:val="41270FE6"/>
    <w:rsid w:val="412ACFC2"/>
    <w:rsid w:val="412C6359"/>
    <w:rsid w:val="415AC03E"/>
    <w:rsid w:val="417D1324"/>
    <w:rsid w:val="418DDBA9"/>
    <w:rsid w:val="41A68852"/>
    <w:rsid w:val="41ABEF21"/>
    <w:rsid w:val="41B5D41D"/>
    <w:rsid w:val="421C98FF"/>
    <w:rsid w:val="428C6E6E"/>
    <w:rsid w:val="42AB6559"/>
    <w:rsid w:val="42C91EC3"/>
    <w:rsid w:val="434DD6D5"/>
    <w:rsid w:val="4351A47E"/>
    <w:rsid w:val="435F1DF8"/>
    <w:rsid w:val="43F26BFE"/>
    <w:rsid w:val="445EB0A8"/>
    <w:rsid w:val="4473CA5F"/>
    <w:rsid w:val="44DB1C2B"/>
    <w:rsid w:val="44F25D6A"/>
    <w:rsid w:val="452C1ABB"/>
    <w:rsid w:val="453D8863"/>
    <w:rsid w:val="458E2408"/>
    <w:rsid w:val="45A5532C"/>
    <w:rsid w:val="45A5FBB7"/>
    <w:rsid w:val="45F19995"/>
    <w:rsid w:val="46430503"/>
    <w:rsid w:val="465B5AC4"/>
    <w:rsid w:val="46BA98E0"/>
    <w:rsid w:val="46D9875F"/>
    <w:rsid w:val="473D6E19"/>
    <w:rsid w:val="4741238D"/>
    <w:rsid w:val="47A89BBD"/>
    <w:rsid w:val="47BF895B"/>
    <w:rsid w:val="480AB61D"/>
    <w:rsid w:val="483859D3"/>
    <w:rsid w:val="4863BB7D"/>
    <w:rsid w:val="4871AA89"/>
    <w:rsid w:val="48A0C015"/>
    <w:rsid w:val="48A76E8C"/>
    <w:rsid w:val="48B35B03"/>
    <w:rsid w:val="49039D78"/>
    <w:rsid w:val="491011FA"/>
    <w:rsid w:val="49458F47"/>
    <w:rsid w:val="4977B168"/>
    <w:rsid w:val="49CE5F7C"/>
    <w:rsid w:val="49FF8BDE"/>
    <w:rsid w:val="4A50F847"/>
    <w:rsid w:val="4A61F9D2"/>
    <w:rsid w:val="4A9782CD"/>
    <w:rsid w:val="4A9F6DD9"/>
    <w:rsid w:val="4AD5916E"/>
    <w:rsid w:val="4BFD658C"/>
    <w:rsid w:val="4CC05231"/>
    <w:rsid w:val="4CC18E8F"/>
    <w:rsid w:val="4CEE853F"/>
    <w:rsid w:val="4CF40BB0"/>
    <w:rsid w:val="4D2BA232"/>
    <w:rsid w:val="4D343F87"/>
    <w:rsid w:val="4D494BE3"/>
    <w:rsid w:val="4D52018D"/>
    <w:rsid w:val="4D93469C"/>
    <w:rsid w:val="4DE3831D"/>
    <w:rsid w:val="4E0E5C24"/>
    <w:rsid w:val="4E151426"/>
    <w:rsid w:val="4E5B6CBF"/>
    <w:rsid w:val="4E67C2F0"/>
    <w:rsid w:val="4E9E228B"/>
    <w:rsid w:val="4ED65486"/>
    <w:rsid w:val="4F525AB8"/>
    <w:rsid w:val="4FE6F2EC"/>
    <w:rsid w:val="507BD3D9"/>
    <w:rsid w:val="50E597C2"/>
    <w:rsid w:val="51721FEE"/>
    <w:rsid w:val="5182C34D"/>
    <w:rsid w:val="519E260D"/>
    <w:rsid w:val="51AE90A9"/>
    <w:rsid w:val="51AEF550"/>
    <w:rsid w:val="51B2CF8A"/>
    <w:rsid w:val="51EFA4B7"/>
    <w:rsid w:val="525F6A8D"/>
    <w:rsid w:val="52797A9D"/>
    <w:rsid w:val="527E9A09"/>
    <w:rsid w:val="52C61A30"/>
    <w:rsid w:val="533B3413"/>
    <w:rsid w:val="534A24D7"/>
    <w:rsid w:val="534AC5B1"/>
    <w:rsid w:val="536452B5"/>
    <w:rsid w:val="53D46646"/>
    <w:rsid w:val="53DEB230"/>
    <w:rsid w:val="53E1E0BB"/>
    <w:rsid w:val="541A6A6A"/>
    <w:rsid w:val="543073D3"/>
    <w:rsid w:val="544C3F70"/>
    <w:rsid w:val="5482156B"/>
    <w:rsid w:val="54B246CB"/>
    <w:rsid w:val="54BDDC17"/>
    <w:rsid w:val="54CFE729"/>
    <w:rsid w:val="54FF1D95"/>
    <w:rsid w:val="557036A7"/>
    <w:rsid w:val="5578B5AE"/>
    <w:rsid w:val="55A0452F"/>
    <w:rsid w:val="55B11B5F"/>
    <w:rsid w:val="55B908E5"/>
    <w:rsid w:val="55E80DF9"/>
    <w:rsid w:val="55ED414B"/>
    <w:rsid w:val="55FEDD75"/>
    <w:rsid w:val="562C68B4"/>
    <w:rsid w:val="5667529E"/>
    <w:rsid w:val="568D9285"/>
    <w:rsid w:val="56C3C406"/>
    <w:rsid w:val="56FE1220"/>
    <w:rsid w:val="5702652B"/>
    <w:rsid w:val="57C6476B"/>
    <w:rsid w:val="57E9E78D"/>
    <w:rsid w:val="5830CE3D"/>
    <w:rsid w:val="58CBD3E8"/>
    <w:rsid w:val="58E8BC21"/>
    <w:rsid w:val="5923F7CA"/>
    <w:rsid w:val="59661620"/>
    <w:rsid w:val="59B6FEDE"/>
    <w:rsid w:val="59C4B9F4"/>
    <w:rsid w:val="59DD2CB4"/>
    <w:rsid w:val="5A029355"/>
    <w:rsid w:val="5A291EA7"/>
    <w:rsid w:val="5A3E4AF5"/>
    <w:rsid w:val="5A73B652"/>
    <w:rsid w:val="5A8A19CA"/>
    <w:rsid w:val="5ABB7CD7"/>
    <w:rsid w:val="5AC9F3AB"/>
    <w:rsid w:val="5B01E681"/>
    <w:rsid w:val="5B686EFF"/>
    <w:rsid w:val="5B7BF175"/>
    <w:rsid w:val="5B956A93"/>
    <w:rsid w:val="5BF5CADA"/>
    <w:rsid w:val="5C14B3CA"/>
    <w:rsid w:val="5C65C40C"/>
    <w:rsid w:val="5CBDD59D"/>
    <w:rsid w:val="5CD5E51F"/>
    <w:rsid w:val="5CEE9FA0"/>
    <w:rsid w:val="5D24118E"/>
    <w:rsid w:val="5D8586C8"/>
    <w:rsid w:val="5D88C301"/>
    <w:rsid w:val="5D92114D"/>
    <w:rsid w:val="5D9F450B"/>
    <w:rsid w:val="5DA862B7"/>
    <w:rsid w:val="5DB75F94"/>
    <w:rsid w:val="5DBB2610"/>
    <w:rsid w:val="5DDFF65F"/>
    <w:rsid w:val="5E1D1B2B"/>
    <w:rsid w:val="5E8C6E21"/>
    <w:rsid w:val="5EA00FC1"/>
    <w:rsid w:val="5F3BE0EB"/>
    <w:rsid w:val="5F46297E"/>
    <w:rsid w:val="5F479BE2"/>
    <w:rsid w:val="5FF87219"/>
    <w:rsid w:val="60639D5C"/>
    <w:rsid w:val="60649062"/>
    <w:rsid w:val="60727BDB"/>
    <w:rsid w:val="60D07261"/>
    <w:rsid w:val="610DC79F"/>
    <w:rsid w:val="611E3332"/>
    <w:rsid w:val="6135932F"/>
    <w:rsid w:val="620BEE5D"/>
    <w:rsid w:val="62B83B33"/>
    <w:rsid w:val="62C4081F"/>
    <w:rsid w:val="62E21ED6"/>
    <w:rsid w:val="62F3F9FE"/>
    <w:rsid w:val="633566FD"/>
    <w:rsid w:val="635D6570"/>
    <w:rsid w:val="6361E947"/>
    <w:rsid w:val="636E6605"/>
    <w:rsid w:val="6387035A"/>
    <w:rsid w:val="63BBE50B"/>
    <w:rsid w:val="63CC04DE"/>
    <w:rsid w:val="63F0E148"/>
    <w:rsid w:val="642A7E39"/>
    <w:rsid w:val="64387BBA"/>
    <w:rsid w:val="64DE4D03"/>
    <w:rsid w:val="6510C22B"/>
    <w:rsid w:val="65A29E6C"/>
    <w:rsid w:val="65B56B02"/>
    <w:rsid w:val="660993BE"/>
    <w:rsid w:val="666C09BB"/>
    <w:rsid w:val="668462D3"/>
    <w:rsid w:val="66AB12B7"/>
    <w:rsid w:val="66B1CB77"/>
    <w:rsid w:val="673E6ECD"/>
    <w:rsid w:val="674823D8"/>
    <w:rsid w:val="679B9317"/>
    <w:rsid w:val="67A876B3"/>
    <w:rsid w:val="67C76B21"/>
    <w:rsid w:val="6807DA1C"/>
    <w:rsid w:val="6870D137"/>
    <w:rsid w:val="68BC46DC"/>
    <w:rsid w:val="68D8ED33"/>
    <w:rsid w:val="68F4DFDC"/>
    <w:rsid w:val="690C5AB9"/>
    <w:rsid w:val="69BF389B"/>
    <w:rsid w:val="6A3800B9"/>
    <w:rsid w:val="6A979F46"/>
    <w:rsid w:val="6BC10067"/>
    <w:rsid w:val="6BCACDB8"/>
    <w:rsid w:val="6BFA3C0F"/>
    <w:rsid w:val="6C438D9F"/>
    <w:rsid w:val="6C56C3F4"/>
    <w:rsid w:val="6C9EA6AA"/>
    <w:rsid w:val="6CB653B9"/>
    <w:rsid w:val="6DB6AF23"/>
    <w:rsid w:val="6E1C9105"/>
    <w:rsid w:val="6E6CD5D8"/>
    <w:rsid w:val="6EC5BB6E"/>
    <w:rsid w:val="6ED13565"/>
    <w:rsid w:val="6EDDF0C5"/>
    <w:rsid w:val="6EEB1CA5"/>
    <w:rsid w:val="6EEF17EB"/>
    <w:rsid w:val="6F55420B"/>
    <w:rsid w:val="6F643ACE"/>
    <w:rsid w:val="6F69B866"/>
    <w:rsid w:val="6F919C71"/>
    <w:rsid w:val="6FB38898"/>
    <w:rsid w:val="7012825E"/>
    <w:rsid w:val="70CA5151"/>
    <w:rsid w:val="71010926"/>
    <w:rsid w:val="71316967"/>
    <w:rsid w:val="717D9D12"/>
    <w:rsid w:val="71EC79EC"/>
    <w:rsid w:val="72052D10"/>
    <w:rsid w:val="7219740E"/>
    <w:rsid w:val="725241DC"/>
    <w:rsid w:val="7289EC9B"/>
    <w:rsid w:val="72D0AD46"/>
    <w:rsid w:val="72D5F043"/>
    <w:rsid w:val="73504C31"/>
    <w:rsid w:val="737B8F17"/>
    <w:rsid w:val="74025BBC"/>
    <w:rsid w:val="744E23D0"/>
    <w:rsid w:val="744E9F84"/>
    <w:rsid w:val="7460FB70"/>
    <w:rsid w:val="749D39CF"/>
    <w:rsid w:val="74E68EFA"/>
    <w:rsid w:val="751BCAF8"/>
    <w:rsid w:val="753F2AB7"/>
    <w:rsid w:val="754E198B"/>
    <w:rsid w:val="755175CC"/>
    <w:rsid w:val="75D37C52"/>
    <w:rsid w:val="75E750F1"/>
    <w:rsid w:val="76043369"/>
    <w:rsid w:val="763AF387"/>
    <w:rsid w:val="7674B935"/>
    <w:rsid w:val="76B79B59"/>
    <w:rsid w:val="76FAC833"/>
    <w:rsid w:val="7705164B"/>
    <w:rsid w:val="7721B6F0"/>
    <w:rsid w:val="77AC6E1C"/>
    <w:rsid w:val="77EA2901"/>
    <w:rsid w:val="7829B1F3"/>
    <w:rsid w:val="784F003A"/>
    <w:rsid w:val="7876CB79"/>
    <w:rsid w:val="787AB298"/>
    <w:rsid w:val="78BE7A97"/>
    <w:rsid w:val="790B1D14"/>
    <w:rsid w:val="791D2CCC"/>
    <w:rsid w:val="79D5AE4D"/>
    <w:rsid w:val="79EAD09B"/>
    <w:rsid w:val="7A1682F9"/>
    <w:rsid w:val="7A2671FA"/>
    <w:rsid w:val="7A3CB70D"/>
    <w:rsid w:val="7B0401E8"/>
    <w:rsid w:val="7B247F58"/>
    <w:rsid w:val="7B353681"/>
    <w:rsid w:val="7B803E4A"/>
    <w:rsid w:val="7BAE6C3B"/>
    <w:rsid w:val="7BB4AC52"/>
    <w:rsid w:val="7BD80E98"/>
    <w:rsid w:val="7BD8644D"/>
    <w:rsid w:val="7C40890C"/>
    <w:rsid w:val="7C63CB48"/>
    <w:rsid w:val="7C738496"/>
    <w:rsid w:val="7C88BB7C"/>
    <w:rsid w:val="7CB8C39F"/>
    <w:rsid w:val="7D537DD9"/>
    <w:rsid w:val="7D546D02"/>
    <w:rsid w:val="7D5A7026"/>
    <w:rsid w:val="7D6CA636"/>
    <w:rsid w:val="7D87725B"/>
    <w:rsid w:val="7D8B9AA4"/>
    <w:rsid w:val="7E3E2984"/>
    <w:rsid w:val="7E99D9F4"/>
    <w:rsid w:val="7EB8D5E1"/>
    <w:rsid w:val="7F1D0B6D"/>
    <w:rsid w:val="7F4FFEB8"/>
    <w:rsid w:val="7F7897AA"/>
    <w:rsid w:val="7FF035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8B87C"/>
  <w15:docId w15:val="{6D6E00BB-217E-4EBE-B5BD-E093430DD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8"/>
      </w:numPr>
      <w:spacing w:after="240" w:line="240" w:lineRule="auto"/>
      <w:ind w:left="1004"/>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9"/>
    <w:qFormat/>
    <w:rsid w:val="00BC5C27"/>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6"/>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6"/>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4"/>
      </w:numPr>
      <w:ind w:left="357" w:hanging="357"/>
    </w:pPr>
  </w:style>
  <w:style w:type="paragraph" w:customStyle="1" w:styleId="TableBullet1">
    <w:name w:val="Table Bullet 1"/>
    <w:basedOn w:val="TableText"/>
    <w:uiPriority w:val="15"/>
    <w:qFormat/>
    <w:pPr>
      <w:numPr>
        <w:numId w:val="5"/>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6"/>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7"/>
      </w:numPr>
    </w:pPr>
  </w:style>
  <w:style w:type="numbering" w:customStyle="1" w:styleId="Headinglist">
    <w:name w:val="Heading list"/>
    <w:uiPriority w:val="99"/>
    <w:pPr>
      <w:numPr>
        <w:numId w:val="64"/>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6"/>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spacing w:before="60" w:after="60"/>
      <w:ind w:left="403" w:hanging="72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611BB2"/>
    <w:rPr>
      <w:color w:val="605E5C"/>
      <w:shd w:val="clear" w:color="auto" w:fill="E1DFDD"/>
    </w:rPr>
  </w:style>
  <w:style w:type="paragraph" w:styleId="ListParagraph">
    <w:name w:val="List Paragraph"/>
    <w:aliases w:val="DdeM List Paragraph,Bullets Level 1,List Numeric,Use Case List Paragraph,B1,List Paragraph1,List Paragraph2,List 1 Paragraph,Colorful List - Accent 11,Resume Title,Lettre d'introduction,List Paragraph - bullets,Body,FooterText,c,L,Dot pt"/>
    <w:basedOn w:val="Normal"/>
    <w:link w:val="ListParagraphChar"/>
    <w:uiPriority w:val="34"/>
    <w:qFormat/>
    <w:rsid w:val="00E63F64"/>
    <w:pPr>
      <w:spacing w:after="0" w:line="240" w:lineRule="auto"/>
      <w:ind w:left="720"/>
    </w:pPr>
    <w:rPr>
      <w:rFonts w:ascii="Calibri" w:hAnsi="Calibri" w:cs="Calibri"/>
    </w:rPr>
  </w:style>
  <w:style w:type="character" w:customStyle="1" w:styleId="ListParagraphChar">
    <w:name w:val="List Paragraph Char"/>
    <w:aliases w:val="DdeM List Paragraph Char,Bullets Level 1 Char,List Numeric Char,Use Case List Paragraph Char,B1 Char,List Paragraph1 Char,List Paragraph2 Char,List 1 Paragraph Char,Colorful List - Accent 11 Char,Resume Title Char,Body Char,c Char"/>
    <w:basedOn w:val="DefaultParagraphFont"/>
    <w:link w:val="ListParagraph"/>
    <w:uiPriority w:val="34"/>
    <w:qFormat/>
    <w:locked/>
    <w:rsid w:val="00ED5B99"/>
    <w:rPr>
      <w:rFonts w:ascii="Calibri" w:eastAsiaTheme="minorHAnsi" w:hAnsi="Calibri" w:cs="Calibri"/>
      <w:sz w:val="22"/>
      <w:szCs w:val="22"/>
      <w:lang w:eastAsia="en-US"/>
    </w:rPr>
  </w:style>
  <w:style w:type="paragraph" w:styleId="BodyText">
    <w:name w:val="Body Text"/>
    <w:basedOn w:val="Normal"/>
    <w:link w:val="BodyTextChar"/>
    <w:uiPriority w:val="1"/>
    <w:qFormat/>
    <w:rsid w:val="002E15AD"/>
    <w:pPr>
      <w:widowControl w:val="0"/>
      <w:spacing w:after="0" w:line="240" w:lineRule="auto"/>
      <w:ind w:left="864" w:hanging="624"/>
    </w:pPr>
    <w:rPr>
      <w:rFonts w:ascii="Palatino Linotype" w:eastAsia="Palatino Linotype" w:hAnsi="Palatino Linotype"/>
      <w:sz w:val="24"/>
      <w:szCs w:val="24"/>
      <w:lang w:val="en-US"/>
    </w:rPr>
  </w:style>
  <w:style w:type="character" w:customStyle="1" w:styleId="BodyTextChar">
    <w:name w:val="Body Text Char"/>
    <w:basedOn w:val="DefaultParagraphFont"/>
    <w:link w:val="BodyText"/>
    <w:uiPriority w:val="1"/>
    <w:rsid w:val="002E15AD"/>
    <w:rPr>
      <w:rFonts w:ascii="Palatino Linotype" w:eastAsia="Palatino Linotype" w:hAnsi="Palatino Linotype" w:cstheme="minorBidi"/>
      <w:sz w:val="24"/>
      <w:szCs w:val="24"/>
      <w:lang w:val="en-US" w:eastAsia="en-US"/>
    </w:rPr>
  </w:style>
  <w:style w:type="paragraph" w:customStyle="1" w:styleId="Bodycopy">
    <w:name w:val="&gt;Body copy"/>
    <w:basedOn w:val="Normal"/>
    <w:uiPriority w:val="99"/>
    <w:rsid w:val="00C55548"/>
    <w:pPr>
      <w:spacing w:after="170" w:line="220" w:lineRule="atLeast"/>
    </w:pPr>
    <w:rPr>
      <w:rFonts w:ascii="Arial" w:eastAsiaTheme="minorEastAsia" w:hAnsi="Arial" w:cs="VIC Light"/>
      <w:color w:val="000000"/>
      <w:sz w:val="18"/>
      <w:szCs w:val="18"/>
      <w:lang w:val="en-GB" w:eastAsia="en-AU"/>
    </w:rPr>
  </w:style>
  <w:style w:type="paragraph" w:customStyle="1" w:styleId="xxmsonormal">
    <w:name w:val="x_xmsonormal"/>
    <w:basedOn w:val="Normal"/>
    <w:rsid w:val="00C55548"/>
    <w:pPr>
      <w:spacing w:before="120" w:after="0" w:line="240" w:lineRule="auto"/>
      <w:jc w:val="both"/>
    </w:pPr>
    <w:rPr>
      <w:rFonts w:ascii="Calibri" w:hAnsi="Calibri" w:cs="Calibri"/>
      <w:lang w:eastAsia="en-AU"/>
    </w:rPr>
  </w:style>
  <w:style w:type="paragraph" w:customStyle="1" w:styleId="paragraph">
    <w:name w:val="paragraph"/>
    <w:basedOn w:val="Normal"/>
    <w:rsid w:val="00C555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55548"/>
  </w:style>
  <w:style w:type="character" w:customStyle="1" w:styleId="eop">
    <w:name w:val="eop"/>
    <w:basedOn w:val="DefaultParagraphFont"/>
    <w:rsid w:val="00C55548"/>
  </w:style>
  <w:style w:type="paragraph" w:customStyle="1" w:styleId="bodywithletters">
    <w:name w:val="body with letters"/>
    <w:basedOn w:val="Bodycopy"/>
    <w:uiPriority w:val="99"/>
    <w:rsid w:val="00AA3959"/>
    <w:pPr>
      <w:spacing w:after="113"/>
      <w:ind w:left="284" w:hanging="284"/>
    </w:pPr>
    <w:rPr>
      <w:rFonts w:eastAsia="Times New Roman" w:cs="Arial"/>
    </w:rPr>
  </w:style>
  <w:style w:type="paragraph" w:customStyle="1" w:styleId="align-justify">
    <w:name w:val="align-justify"/>
    <w:basedOn w:val="Normal"/>
    <w:uiPriority w:val="99"/>
    <w:rsid w:val="008A6084"/>
    <w:pPr>
      <w:spacing w:before="100" w:beforeAutospacing="1" w:after="100" w:afterAutospacing="1" w:line="240" w:lineRule="auto"/>
      <w:jc w:val="both"/>
    </w:pPr>
    <w:rPr>
      <w:rFonts w:ascii="Times New Roman" w:eastAsia="Times New Roman" w:hAnsi="Times New Roman" w:cs="Times New Roman"/>
      <w:sz w:val="24"/>
      <w:szCs w:val="24"/>
      <w:lang w:eastAsia="en-AU"/>
    </w:rPr>
  </w:style>
  <w:style w:type="paragraph" w:customStyle="1" w:styleId="Note">
    <w:name w:val="Note"/>
    <w:basedOn w:val="Bodycopy"/>
    <w:uiPriority w:val="99"/>
    <w:rsid w:val="008A6084"/>
    <w:rPr>
      <w:rFonts w:eastAsia="Times New Roman" w:cs="VIC"/>
      <w:b/>
      <w:bCs/>
      <w:color w:val="auto"/>
    </w:rPr>
  </w:style>
  <w:style w:type="paragraph" w:customStyle="1" w:styleId="beforebullets">
    <w:name w:val="before bullets"/>
    <w:basedOn w:val="Bodycopy"/>
    <w:uiPriority w:val="99"/>
    <w:rsid w:val="008A6084"/>
    <w:pPr>
      <w:spacing w:after="113"/>
    </w:pPr>
    <w:rPr>
      <w:rFonts w:eastAsia="Times New Roman"/>
    </w:rPr>
  </w:style>
  <w:style w:type="paragraph" w:customStyle="1" w:styleId="Bullet1">
    <w:name w:val="&gt;Bullet 1"/>
    <w:basedOn w:val="Bodycopy"/>
    <w:uiPriority w:val="99"/>
    <w:rsid w:val="008A6084"/>
    <w:pPr>
      <w:spacing w:after="113"/>
      <w:ind w:left="284" w:hanging="284"/>
    </w:pPr>
    <w:rPr>
      <w:rFonts w:eastAsia="Times New Roman" w:cs="Arial"/>
    </w:rPr>
  </w:style>
  <w:style w:type="paragraph" w:customStyle="1" w:styleId="Bulletlast1">
    <w:name w:val="&gt;Bullet last 1"/>
    <w:basedOn w:val="Bullet1"/>
    <w:uiPriority w:val="99"/>
    <w:rsid w:val="008A6084"/>
    <w:pPr>
      <w:spacing w:after="240"/>
    </w:pPr>
  </w:style>
  <w:style w:type="paragraph" w:customStyle="1" w:styleId="bodyletterslast">
    <w:name w:val="body letters last"/>
    <w:basedOn w:val="bodywithletters"/>
    <w:uiPriority w:val="99"/>
    <w:rsid w:val="008A6084"/>
    <w:pPr>
      <w:spacing w:after="240"/>
    </w:pPr>
  </w:style>
  <w:style w:type="paragraph" w:customStyle="1" w:styleId="footnote">
    <w:name w:val="footnote"/>
    <w:basedOn w:val="Normal"/>
    <w:uiPriority w:val="99"/>
    <w:rsid w:val="008A6084"/>
    <w:pPr>
      <w:spacing w:after="227" w:line="288" w:lineRule="auto"/>
      <w:ind w:left="113" w:hanging="113"/>
    </w:pPr>
    <w:rPr>
      <w:rFonts w:ascii="VIC Light" w:eastAsia="Times New Roman" w:hAnsi="VIC Light" w:cs="VIC Light"/>
      <w:color w:val="000000"/>
      <w:sz w:val="16"/>
      <w:szCs w:val="16"/>
      <w:lang w:val="en-GB" w:eastAsia="en-AU"/>
    </w:rPr>
  </w:style>
  <w:style w:type="character" w:customStyle="1" w:styleId="italic">
    <w:name w:val="italic"/>
    <w:uiPriority w:val="99"/>
    <w:rsid w:val="008A6084"/>
    <w:rPr>
      <w:i/>
      <w:iCs w:val="0"/>
    </w:rPr>
  </w:style>
  <w:style w:type="paragraph" w:customStyle="1" w:styleId="TableListBulletlvl1">
    <w:name w:val="Table List Bullet lvl1"/>
    <w:uiPriority w:val="8"/>
    <w:qFormat/>
    <w:rsid w:val="000F0B50"/>
    <w:pPr>
      <w:numPr>
        <w:numId w:val="35"/>
      </w:numPr>
      <w:spacing w:after="60"/>
    </w:pPr>
    <w:rPr>
      <w:rFonts w:asciiTheme="minorHAnsi" w:eastAsia="Calibri" w:hAnsiTheme="minorHAnsi" w:cstheme="minorHAnsi"/>
      <w:spacing w:val="-5"/>
      <w:lang w:val="en-GB" w:eastAsia="en-US"/>
    </w:rPr>
  </w:style>
  <w:style w:type="paragraph" w:customStyle="1" w:styleId="TableListBulletlvl2">
    <w:name w:val="Table List Bullet lvl2"/>
    <w:basedOn w:val="TableListBulletlvl1"/>
    <w:uiPriority w:val="8"/>
    <w:qFormat/>
    <w:rsid w:val="000F0B50"/>
    <w:pPr>
      <w:numPr>
        <w:ilvl w:val="1"/>
      </w:numPr>
    </w:pPr>
  </w:style>
  <w:style w:type="table" w:customStyle="1" w:styleId="MJTableStyle1default">
    <w:name w:val="*MJ Table Style 1 (default)"/>
    <w:basedOn w:val="TableNormal"/>
    <w:uiPriority w:val="99"/>
    <w:rsid w:val="00E92D2D"/>
    <w:pPr>
      <w:spacing w:before="60" w:after="60"/>
    </w:pPr>
    <w:rPr>
      <w:rFonts w:asciiTheme="minorHAnsi" w:eastAsiaTheme="minorHAnsi" w:hAnsiTheme="minorHAnsi" w:cstheme="minorBidi"/>
      <w:szCs w:val="22"/>
      <w:lang w:eastAsia="en-US"/>
    </w:rPr>
    <w:tblPr>
      <w:tblStyleRowBandSize w:val="1"/>
      <w:tblBorders>
        <w:top w:val="single" w:sz="4" w:space="0" w:color="C0504D" w:themeColor="accent2"/>
        <w:bottom w:val="single" w:sz="4" w:space="0" w:color="C0504D" w:themeColor="accent2"/>
        <w:insideH w:val="single" w:sz="4" w:space="0" w:color="C0504D"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rPr>
        <w:tblHeader/>
      </w:trPr>
      <w:tcPr>
        <w:shd w:val="clear" w:color="auto" w:fill="C0504D" w:themeFill="accent2"/>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paragraph" w:customStyle="1" w:styleId="TableListNumberlvl1">
    <w:name w:val="Table List Number lvl1"/>
    <w:basedOn w:val="TableListBulletlvl1"/>
    <w:uiPriority w:val="8"/>
    <w:qFormat/>
    <w:rsid w:val="00E92D2D"/>
    <w:pPr>
      <w:numPr>
        <w:numId w:val="44"/>
      </w:numPr>
    </w:pPr>
  </w:style>
  <w:style w:type="paragraph" w:customStyle="1" w:styleId="TableListNumberlvl2">
    <w:name w:val="Table List Number lvl2"/>
    <w:basedOn w:val="TableListNumberlvl1"/>
    <w:uiPriority w:val="8"/>
    <w:qFormat/>
    <w:rsid w:val="00E92D2D"/>
    <w:pPr>
      <w:numPr>
        <w:ilvl w:val="1"/>
      </w:numPr>
    </w:pPr>
  </w:style>
  <w:style w:type="paragraph" w:customStyle="1" w:styleId="MJNote">
    <w:name w:val="MJNote"/>
    <w:basedOn w:val="Normal"/>
    <w:next w:val="Normal"/>
    <w:uiPriority w:val="7"/>
    <w:qFormat/>
    <w:rsid w:val="00E92D2D"/>
    <w:pPr>
      <w:keepLines/>
      <w:numPr>
        <w:ilvl w:val="1"/>
        <w:numId w:val="45"/>
      </w:numPr>
      <w:spacing w:before="120" w:after="60" w:line="264" w:lineRule="auto"/>
      <w:ind w:left="851" w:hanging="851"/>
    </w:pPr>
    <w:rPr>
      <w:rFonts w:asciiTheme="minorHAnsi" w:eastAsia="Times New Roman" w:hAnsiTheme="minorHAnsi" w:cs="Times New Roman"/>
      <w:i/>
      <w:color w:val="1F497D" w:themeColor="text2"/>
      <w:sz w:val="18"/>
      <w:szCs w:val="18"/>
      <w:lang w:eastAsia="en-AU"/>
    </w:rPr>
  </w:style>
  <w:style w:type="paragraph" w:customStyle="1" w:styleId="xmsonormal">
    <w:name w:val="x_msonormal"/>
    <w:basedOn w:val="Normal"/>
    <w:rsid w:val="00672E87"/>
    <w:pPr>
      <w:spacing w:after="0" w:line="240" w:lineRule="auto"/>
    </w:pPr>
    <w:rPr>
      <w:rFonts w:ascii="Calibri" w:hAnsi="Calibri" w:cs="Calibri"/>
      <w:lang w:eastAsia="en-AU"/>
    </w:rPr>
  </w:style>
  <w:style w:type="paragraph" w:styleId="Revision">
    <w:name w:val="Revision"/>
    <w:hidden/>
    <w:uiPriority w:val="99"/>
    <w:semiHidden/>
    <w:rsid w:val="002529F6"/>
    <w:rPr>
      <w:rFonts w:eastAsiaTheme="minorHAnsi" w:cstheme="minorBidi"/>
      <w:sz w:val="22"/>
      <w:szCs w:val="22"/>
      <w:lang w:eastAsia="en-US"/>
    </w:rPr>
  </w:style>
  <w:style w:type="paragraph" w:styleId="NoSpacing">
    <w:name w:val="No Spacing"/>
    <w:uiPriority w:val="1"/>
    <w:qFormat/>
    <w:rsid w:val="00A1278C"/>
    <w:rPr>
      <w:rFonts w:asciiTheme="minorHAnsi" w:eastAsiaTheme="minorHAnsi" w:hAnsiTheme="minorHAnsi" w:cstheme="minorBidi"/>
      <w:sz w:val="22"/>
      <w:szCs w:val="22"/>
      <w:lang w:eastAsia="en-US"/>
    </w:rPr>
  </w:style>
  <w:style w:type="table" w:customStyle="1" w:styleId="TableGrid10">
    <w:name w:val="Table Grid1"/>
    <w:basedOn w:val="TableNormal"/>
    <w:next w:val="TableGrid"/>
    <w:uiPriority w:val="39"/>
    <w:rsid w:val="00A127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berindent">
    <w:name w:val="Legal Number indent"/>
    <w:basedOn w:val="Normal"/>
    <w:uiPriority w:val="11"/>
    <w:qFormat/>
    <w:rsid w:val="00185072"/>
    <w:pPr>
      <w:numPr>
        <w:numId w:val="66"/>
      </w:numPr>
      <w:spacing w:after="120" w:line="24" w:lineRule="atLeast"/>
      <w:contextualSpacing/>
    </w:pPr>
    <w:rPr>
      <w:rFonts w:asciiTheme="minorHAnsi" w:eastAsia="Calibri" w:hAnsiTheme="minorHAnsi" w:cstheme="minorHAnsi"/>
      <w:spacing w:val="-5"/>
      <w:szCs w:val="24"/>
    </w:rPr>
  </w:style>
  <w:style w:type="character" w:customStyle="1" w:styleId="contentpasted0">
    <w:name w:val="contentpasted0"/>
    <w:basedOn w:val="DefaultParagraphFont"/>
    <w:rsid w:val="00D73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03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52875">
      <w:bodyDiv w:val="1"/>
      <w:marLeft w:val="0"/>
      <w:marRight w:val="0"/>
      <w:marTop w:val="0"/>
      <w:marBottom w:val="0"/>
      <w:divBdr>
        <w:top w:val="none" w:sz="0" w:space="0" w:color="auto"/>
        <w:left w:val="none" w:sz="0" w:space="0" w:color="auto"/>
        <w:bottom w:val="none" w:sz="0" w:space="0" w:color="auto"/>
        <w:right w:val="none" w:sz="0" w:space="0" w:color="auto"/>
      </w:divBdr>
    </w:div>
    <w:div w:id="14636461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75008">
      <w:bodyDiv w:val="1"/>
      <w:marLeft w:val="0"/>
      <w:marRight w:val="0"/>
      <w:marTop w:val="0"/>
      <w:marBottom w:val="0"/>
      <w:divBdr>
        <w:top w:val="none" w:sz="0" w:space="0" w:color="auto"/>
        <w:left w:val="none" w:sz="0" w:space="0" w:color="auto"/>
        <w:bottom w:val="none" w:sz="0" w:space="0" w:color="auto"/>
        <w:right w:val="none" w:sz="0" w:space="0" w:color="auto"/>
      </w:divBdr>
    </w:div>
    <w:div w:id="277417798">
      <w:bodyDiv w:val="1"/>
      <w:marLeft w:val="0"/>
      <w:marRight w:val="0"/>
      <w:marTop w:val="0"/>
      <w:marBottom w:val="0"/>
      <w:divBdr>
        <w:top w:val="none" w:sz="0" w:space="0" w:color="auto"/>
        <w:left w:val="none" w:sz="0" w:space="0" w:color="auto"/>
        <w:bottom w:val="none" w:sz="0" w:space="0" w:color="auto"/>
        <w:right w:val="none" w:sz="0" w:space="0" w:color="auto"/>
      </w:divBdr>
    </w:div>
    <w:div w:id="29564961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383741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793952">
      <w:bodyDiv w:val="1"/>
      <w:marLeft w:val="0"/>
      <w:marRight w:val="0"/>
      <w:marTop w:val="0"/>
      <w:marBottom w:val="0"/>
      <w:divBdr>
        <w:top w:val="none" w:sz="0" w:space="0" w:color="auto"/>
        <w:left w:val="none" w:sz="0" w:space="0" w:color="auto"/>
        <w:bottom w:val="none" w:sz="0" w:space="0" w:color="auto"/>
        <w:right w:val="none" w:sz="0" w:space="0" w:color="auto"/>
      </w:divBdr>
    </w:div>
    <w:div w:id="667908335">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386657">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629070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82731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135879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66765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1614925">
      <w:bodyDiv w:val="1"/>
      <w:marLeft w:val="0"/>
      <w:marRight w:val="0"/>
      <w:marTop w:val="0"/>
      <w:marBottom w:val="0"/>
      <w:divBdr>
        <w:top w:val="none" w:sz="0" w:space="0" w:color="auto"/>
        <w:left w:val="none" w:sz="0" w:space="0" w:color="auto"/>
        <w:bottom w:val="none" w:sz="0" w:space="0" w:color="auto"/>
        <w:right w:val="none" w:sz="0" w:space="0" w:color="auto"/>
      </w:divBdr>
    </w:div>
    <w:div w:id="131217558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88580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8830182">
      <w:bodyDiv w:val="1"/>
      <w:marLeft w:val="0"/>
      <w:marRight w:val="0"/>
      <w:marTop w:val="0"/>
      <w:marBottom w:val="0"/>
      <w:divBdr>
        <w:top w:val="none" w:sz="0" w:space="0" w:color="auto"/>
        <w:left w:val="none" w:sz="0" w:space="0" w:color="auto"/>
        <w:bottom w:val="none" w:sz="0" w:space="0" w:color="auto"/>
        <w:right w:val="none" w:sz="0" w:space="0" w:color="auto"/>
      </w:divBdr>
    </w:div>
    <w:div w:id="1664509719">
      <w:bodyDiv w:val="1"/>
      <w:marLeft w:val="0"/>
      <w:marRight w:val="0"/>
      <w:marTop w:val="0"/>
      <w:marBottom w:val="0"/>
      <w:divBdr>
        <w:top w:val="none" w:sz="0" w:space="0" w:color="auto"/>
        <w:left w:val="none" w:sz="0" w:space="0" w:color="auto"/>
        <w:bottom w:val="none" w:sz="0" w:space="0" w:color="auto"/>
        <w:right w:val="none" w:sz="0" w:space="0" w:color="auto"/>
      </w:divBdr>
    </w:div>
    <w:div w:id="1665552327">
      <w:bodyDiv w:val="1"/>
      <w:marLeft w:val="0"/>
      <w:marRight w:val="0"/>
      <w:marTop w:val="0"/>
      <w:marBottom w:val="0"/>
      <w:divBdr>
        <w:top w:val="none" w:sz="0" w:space="0" w:color="auto"/>
        <w:left w:val="none" w:sz="0" w:space="0" w:color="auto"/>
        <w:bottom w:val="none" w:sz="0" w:space="0" w:color="auto"/>
        <w:right w:val="none" w:sz="0" w:space="0" w:color="auto"/>
      </w:divBdr>
      <w:divsChild>
        <w:div w:id="1353603261">
          <w:marLeft w:val="0"/>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657569">
      <w:bodyDiv w:val="1"/>
      <w:marLeft w:val="0"/>
      <w:marRight w:val="0"/>
      <w:marTop w:val="0"/>
      <w:marBottom w:val="0"/>
      <w:divBdr>
        <w:top w:val="none" w:sz="0" w:space="0" w:color="auto"/>
        <w:left w:val="none" w:sz="0" w:space="0" w:color="auto"/>
        <w:bottom w:val="none" w:sz="0" w:space="0" w:color="auto"/>
        <w:right w:val="none" w:sz="0" w:space="0" w:color="auto"/>
      </w:divBdr>
    </w:div>
    <w:div w:id="1768576268">
      <w:bodyDiv w:val="1"/>
      <w:marLeft w:val="0"/>
      <w:marRight w:val="0"/>
      <w:marTop w:val="0"/>
      <w:marBottom w:val="0"/>
      <w:divBdr>
        <w:top w:val="none" w:sz="0" w:space="0" w:color="auto"/>
        <w:left w:val="none" w:sz="0" w:space="0" w:color="auto"/>
        <w:bottom w:val="none" w:sz="0" w:space="0" w:color="auto"/>
        <w:right w:val="none" w:sz="0" w:space="0" w:color="auto"/>
      </w:divBdr>
    </w:div>
    <w:div w:id="177381594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79528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9812793">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manehub.com/" TargetMode="External"/><Relationship Id="rId26" Type="http://schemas.openxmlformats.org/officeDocument/2006/relationships/hyperlink" Target="https://urldefense.proofpoint.com/v2/url?u=https-3A__en.wikipedia.org_wiki_Infectious-5Fdisease&amp;d=DwMFaQ&amp;c=JnBkUqWXzx2bz-3a05d47Q&amp;r=km8DbnVn6FLgK8PnVqP3oYNbsYUZ0tlV2RneMXHAW1mnYuAzy6QYjvvb7nUPtJcc&amp;m=z8ZdGI4OWgNKSZQtLOp4hpt-c1IzCFkFwzqahGZk_Mg&amp;s=3fN4-d_h-yOIHhjQruv7tncmO_wIzPXyjdBqUs1DjXQ&amp;e=" TargetMode="External"/><Relationship Id="rId39" Type="http://schemas.openxmlformats.org/officeDocument/2006/relationships/hyperlink" Target="https://www.pir.sa.gov.au/biosecurity/animal_health/property_identification_code_pic" TargetMode="External"/><Relationship Id="rId3" Type="http://schemas.openxmlformats.org/officeDocument/2006/relationships/customXml" Target="../customXml/item3.xml"/><Relationship Id="rId21" Type="http://schemas.openxmlformats.org/officeDocument/2006/relationships/hyperlink" Target="http://www.campdraftcentral.com.au" TargetMode="External"/><Relationship Id="rId34" Type="http://schemas.openxmlformats.org/officeDocument/2006/relationships/hyperlink" Target="https://dpir.nt.gov.au/" TargetMode="External"/><Relationship Id="rId42" Type="http://schemas.openxmlformats.org/officeDocument/2006/relationships/hyperlink" Target="http://agriculture.vic.gov.au/home" TargetMode="External"/><Relationship Id="rId47" Type="http://schemas.openxmlformats.org/officeDocument/2006/relationships/hyperlink" Target="https://www.agric.wa.gov.au/livestock-movement-identification/horse-and-donkey-identification-western-australia"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globalentriesonline.com.au/" TargetMode="External"/><Relationship Id="rId25" Type="http://schemas.openxmlformats.org/officeDocument/2006/relationships/image" Target="media/image3.png"/><Relationship Id="rId33" Type="http://schemas.openxmlformats.org/officeDocument/2006/relationships/hyperlink" Target="https://www.lls.nsw.gov.au/__data/assets/pdf_file/0016/1260007/Transporting-horses-in-NSW-FAQs-Sept-2020.pdf" TargetMode="External"/><Relationship Id="rId38" Type="http://schemas.openxmlformats.org/officeDocument/2006/relationships/hyperlink" Target="https://www.pir.sa.gov.au/" TargetMode="External"/><Relationship Id="rId46" Type="http://schemas.openxmlformats.org/officeDocument/2006/relationships/hyperlink" Target="https://www.agric.wa.gov.au/livestock-movement-identification/moving-livestock-western-australia" TargetMode="External"/><Relationship Id="rId2" Type="http://schemas.openxmlformats.org/officeDocument/2006/relationships/customXml" Target="../customXml/item2.xml"/><Relationship Id="rId16" Type="http://schemas.openxmlformats.org/officeDocument/2006/relationships/hyperlink" Target="https://nominate.com.au/" TargetMode="External"/><Relationship Id="rId20" Type="http://schemas.openxmlformats.org/officeDocument/2006/relationships/hyperlink" Target="http://www.eventsecretary.com.au" TargetMode="External"/><Relationship Id="rId29" Type="http://schemas.openxmlformats.org/officeDocument/2006/relationships/hyperlink" Target="https://www.environment.act.gov.au/parks-conservation/plants-and-animals/Biosecurity/animal-health" TargetMode="External"/><Relationship Id="rId41" Type="http://schemas.openxmlformats.org/officeDocument/2006/relationships/hyperlink" Target="https://nre.tas.gov.au/agriculture/animal-industries/identifying-selling-moving-livestock/about-livestock-identification/property-identification-code-(pic)-registr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griculture.vic.gov.au/livestock-and-animals/horses/horse-traceability/horse-traceability-frequently-asked-questions" TargetMode="External"/><Relationship Id="rId24" Type="http://schemas.openxmlformats.org/officeDocument/2006/relationships/hyperlink" Target="https://agriculture.vic.gov.au/livestock-and-animals/horses/horse-traceability" TargetMode="External"/><Relationship Id="rId32" Type="http://schemas.openxmlformats.org/officeDocument/2006/relationships/hyperlink" Target="https://www.lls.nsw.gov.au/i-want-to/apply-for-a-property-identification-code" TargetMode="External"/><Relationship Id="rId37" Type="http://schemas.openxmlformats.org/officeDocument/2006/relationships/hyperlink" Target="https://www.business.qld.gov.au/industries/farms-fishing-forestry/agriculture/land-management/pic" TargetMode="External"/><Relationship Id="rId40" Type="http://schemas.openxmlformats.org/officeDocument/2006/relationships/hyperlink" Target="https://nre.tas.gov.au/" TargetMode="External"/><Relationship Id="rId45" Type="http://schemas.openxmlformats.org/officeDocument/2006/relationships/hyperlink" Target="https://www.agric.wa.gov.au/livestock-biosecurity/stock-brand-and-pic-register-search-guide" TargetMode="External"/><Relationship Id="rId5" Type="http://schemas.openxmlformats.org/officeDocument/2006/relationships/numbering" Target="numbering.xml"/><Relationship Id="rId15" Type="http://schemas.openxmlformats.org/officeDocument/2006/relationships/hyperlink" Target="http://www.petaddress.com.au/" TargetMode="External"/><Relationship Id="rId23" Type="http://schemas.openxmlformats.org/officeDocument/2006/relationships/hyperlink" Target="http://www.equinedental.com.au" TargetMode="External"/><Relationship Id="rId28" Type="http://schemas.openxmlformats.org/officeDocument/2006/relationships/hyperlink" Target="https://www.integritysystems.com.au/identification--traceability/state-territory-contacts/" TargetMode="External"/><Relationship Id="rId36" Type="http://schemas.openxmlformats.org/officeDocument/2006/relationships/hyperlink" Target="https://www.daf.qld.gov.au/"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equipe.com/" TargetMode="External"/><Relationship Id="rId31" Type="http://schemas.openxmlformats.org/officeDocument/2006/relationships/hyperlink" Target="https://www.dpi.nsw.gov.au/" TargetMode="External"/><Relationship Id="rId44" Type="http://schemas.openxmlformats.org/officeDocument/2006/relationships/hyperlink" Target="https://www.agric.wa.gov.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oroughbredwelfareinitiative.org.au" TargetMode="External"/><Relationship Id="rId22" Type="http://schemas.openxmlformats.org/officeDocument/2006/relationships/hyperlink" Target="http://www.horsecomps.com" TargetMode="External"/><Relationship Id="rId27" Type="http://schemas.openxmlformats.org/officeDocument/2006/relationships/hyperlink" Target="https://agriculture.vic.gov.au/livestock-and-animals/horses/horse-traceability/horse-traceability-frequently-asked-questions" TargetMode="External"/><Relationship Id="rId30" Type="http://schemas.openxmlformats.org/officeDocument/2006/relationships/hyperlink" Target="https://www.environment.act.gov.au/parks-conservation/plants-and-animals/Biosecurity/animal-health/livestock-management" TargetMode="External"/><Relationship Id="rId35" Type="http://schemas.openxmlformats.org/officeDocument/2006/relationships/hyperlink" Target="https://nt.gov.au/industry/agriculture/livestock/get-a-property-identification-code" TargetMode="External"/><Relationship Id="rId43" Type="http://schemas.openxmlformats.org/officeDocument/2006/relationships/hyperlink" Target="https://agriculture.vic.gov.au/farm-management/property-identification-codes"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767C823437976D4FBFD44036E5F11867" ma:contentTypeVersion="30" ma:contentTypeDescription="DEDJTR Document" ma:contentTypeScope="" ma:versionID="3a1fd2e593a9660be4ff6f88a6d2df6a">
  <xsd:schema xmlns:xsd="http://www.w3.org/2001/XMLSchema" xmlns:xs="http://www.w3.org/2001/XMLSchema" xmlns:p="http://schemas.microsoft.com/office/2006/metadata/properties" xmlns:ns2="1970f3ff-c7c3-4b73-8f0c-0bc260d159f3" xmlns:ns3="32e98561-183e-4de5-80c3-a793f40b4ede" xmlns:ns4="cbb12ebf-4c47-4e22-a860-80e11ea892f5" targetNamespace="http://schemas.microsoft.com/office/2006/metadata/properties" ma:root="true" ma:fieldsID="76ad771fdbe4429e95b597899efd5f7b" ns2:_="" ns3:_="" ns4:_="">
    <xsd:import namespace="1970f3ff-c7c3-4b73-8f0c-0bc260d159f3"/>
    <xsd:import namespace="32e98561-183e-4de5-80c3-a793f40b4ede"/>
    <xsd:import namespace="cbb12ebf-4c47-4e22-a860-80e11ea892f5"/>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DateTaken" minOccurs="0"/>
                <xsd:element ref="ns4:Commentsaboutpresentation" minOccurs="0"/>
                <xsd:element ref="ns4:MediaServiceAutoTags" minOccurs="0"/>
                <xsd:element ref="ns4:MediaServiceOCR" minOccurs="0"/>
                <xsd:element ref="ns4:MediaServiceGenerationTime" minOccurs="0"/>
                <xsd:element ref="ns4:MediaServiceEventHashCode" minOccurs="0"/>
                <xsd:element ref="ns4:_Flow_SignoffStatus" minOccurs="0"/>
                <xsd:element ref="ns4:MediaServiceAutoKeyPoints" minOccurs="0"/>
                <xsd:element ref="ns4:MediaServiceKeyPoints"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e98561-183e-4de5-80c3-a793f40b4ede"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79da438-f021-4093-8fac-64b1462d6bb0}" ma:internalName="TaxCatchAll" ma:showField="CatchAllData" ma:web="32e98561-183e-4de5-80c3-a793f40b4e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79da438-f021-4093-8fac-64b1462d6bb0}" ma:internalName="TaxCatchAllLabel" ma:readOnly="true" ma:showField="CatchAllDataLabel" ma:web="32e98561-183e-4de5-80c3-a793f40b4ed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b12ebf-4c47-4e22-a860-80e11ea892f5"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Commentsaboutpresentation" ma:index="25" nillable="true" ma:displayName="Comments about Folders" ma:description="Please tell us more about the use of this folderse.g audience, currency, where your photos came from?" ma:format="Dropdown" ma:internalName="Commentsaboutpresentation">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_Flow_SignoffStatus" ma:index="30" nillable="true" ma:displayName="Sign-off status" ma:internalName="Sign_x002d_off_x0020_status">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2e98561-183e-4de5-80c3-a793f40b4ede">
      <UserInfo>
        <DisplayName>Tony G Britt (DJPR)</DisplayName>
        <AccountId>51</AccountId>
        <AccountType/>
      </UserInfo>
    </SharedWithUsers>
    <lcf76f155ced4ddcb4097134ff3c332f xmlns="cbb12ebf-4c47-4e22-a860-80e11ea892f5">
      <Terms xmlns="http://schemas.microsoft.com/office/infopath/2007/PartnerControls"/>
    </lcf76f155ced4ddcb4097134ff3c332f>
    <TaxCatchAll xmlns="32e98561-183e-4de5-80c3-a793f40b4ede" xsi:nil="true"/>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Commentsaboutpresentation xmlns="cbb12ebf-4c47-4e22-a860-80e11ea892f5"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_Flow_SignoffStatus xmlns="cbb12ebf-4c47-4e22-a860-80e11ea892f5" xsi:nil="true"/>
    <g46a9f61d38540a784cfecbd3da27bca xmlns="1970f3ff-c7c3-4b73-8f0c-0bc260d159f3">
      <Terms xmlns="http://schemas.microsoft.com/office/infopath/2007/PartnerControls"/>
    </g46a9f61d38540a784cfecbd3da27b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E06DD3A9-9990-4E77-A450-87B4E0D2B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2e98561-183e-4de5-80c3-a793f40b4ede"/>
    <ds:schemaRef ds:uri="cbb12ebf-4c47-4e22-a860-80e11ea89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32e98561-183e-4de5-80c3-a793f40b4ede"/>
    <ds:schemaRef ds:uri="cbb12ebf-4c47-4e22-a860-80e11ea892f5"/>
    <ds:schemaRef ds:uri="1970f3ff-c7c3-4b73-8f0c-0bc260d159f3"/>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70</Pages>
  <Words>21648</Words>
  <Characters>123399</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Pet food review report</vt:lpstr>
    </vt:vector>
  </TitlesOfParts>
  <Company/>
  <LinksUpToDate>false</LinksUpToDate>
  <CharactersWithSpaces>144758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 food review report</dc:title>
  <dc:subject/>
  <dc:creator>Department of Agriculture, Water and the Environment</dc:creator>
  <cp:keywords/>
  <cp:lastModifiedBy>Tiffany L Haw (DEECA)</cp:lastModifiedBy>
  <cp:revision>19</cp:revision>
  <cp:lastPrinted>2021-07-31T16:02:00Z</cp:lastPrinted>
  <dcterms:created xsi:type="dcterms:W3CDTF">2022-12-08T02:11:00Z</dcterms:created>
  <dcterms:modified xsi:type="dcterms:W3CDTF">2023-01-15T23:50:00Z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0x010100611F6414DFB111E7BA88F9DF1743E31700767C823437976D4FBFD44036E5F11867</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2022-12-08T02:10:55Z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a5f7e8a0-7f1a-46ca-81c0-6e711eaf0730</vt:lpwstr>
  </property>
  <property fmtid="{D5CDD505-2E9C-101B-9397-08002B2CF9AE}" pid="10" name="MSIP_Label_d00a4df9-c942-4b09-b23a-6c1023f6de27_ContentBits">
    <vt:lpwstr>3</vt:lpwstr>
  </property>
  <property fmtid="{D5CDD505-2E9C-101B-9397-08002B2CF9AE}" pid="11" name="DEDJTRSection">
    <vt:lpwstr/>
  </property>
  <property fmtid="{D5CDD505-2E9C-101B-9397-08002B2CF9AE}" pid="12" name="DEDJTRGroup">
    <vt:lpwstr/>
  </property>
  <property fmtid="{D5CDD505-2E9C-101B-9397-08002B2CF9AE}" pid="13" name="DEDJTRSecurityClassification">
    <vt:lpwstr/>
  </property>
  <property fmtid="{D5CDD505-2E9C-101B-9397-08002B2CF9AE}" pid="14" name="DEDJTRDivision">
    <vt:lpwstr/>
  </property>
  <property fmtid="{D5CDD505-2E9C-101B-9397-08002B2CF9AE}" pid="15" name="DEDJTRBranch">
    <vt:lpwstr/>
  </property>
</Properties>
</file>