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896E" w14:textId="227ED3DA" w:rsidR="00A2213D" w:rsidRDefault="00A2213D" w:rsidP="00A2213D">
      <w:pPr>
        <w:pStyle w:val="Title"/>
        <w:rPr>
          <w:lang w:val="en-AU"/>
        </w:rPr>
      </w:pPr>
      <w:r>
        <w:rPr>
          <w:lang w:val="en-AU"/>
        </w:rPr>
        <w:t>Guide to chemical use in Victoria – What I can and can’t do</w:t>
      </w:r>
    </w:p>
    <w:p w14:paraId="62EAA771" w14:textId="4B193BCA" w:rsidR="00A2213D" w:rsidRDefault="00A2213D" w:rsidP="00A2213D">
      <w:pPr>
        <w:pStyle w:val="Agintrotext"/>
        <w:rPr>
          <w:lang w:val="en-AU"/>
        </w:rPr>
      </w:pPr>
      <w:r>
        <w:rPr>
          <w:lang w:val="en-AU"/>
        </w:rPr>
        <w:t xml:space="preserve">Chemical users should familiarise themselves with chemical use legislation in Victoria to ensure they meet their legal obligations. It is considered a user’s ‘duty of care’ to understand and comply with their legal obligations. </w:t>
      </w:r>
    </w:p>
    <w:p w14:paraId="5F26845F" w14:textId="4A5A4971" w:rsidR="00A2213D" w:rsidRPr="00A2213D" w:rsidRDefault="00A2213D" w:rsidP="00A2213D">
      <w:pPr>
        <w:rPr>
          <w:rFonts w:ascii="VIC" w:hAnsi="VIC"/>
        </w:rPr>
      </w:pPr>
      <w:r w:rsidRPr="00A2213D">
        <w:rPr>
          <w:rFonts w:ascii="VIC" w:hAnsi="VIC"/>
        </w:rPr>
        <w:t xml:space="preserve">Chemical use in Victoria is governed by the </w:t>
      </w:r>
      <w:r w:rsidRPr="00A2213D">
        <w:rPr>
          <w:rFonts w:ascii="VIC" w:hAnsi="VIC"/>
          <w:i/>
        </w:rPr>
        <w:t>Agricultural and Veterinary Chemicals (Control of Use) Act 1992</w:t>
      </w:r>
      <w:r w:rsidRPr="00A2213D">
        <w:rPr>
          <w:rFonts w:ascii="VIC" w:hAnsi="VIC"/>
        </w:rPr>
        <w:t xml:space="preserve">. This factsheet is designed for all chemical users in Victoria and explains: </w:t>
      </w:r>
    </w:p>
    <w:p w14:paraId="63B1270C" w14:textId="77777777" w:rsidR="00A2213D" w:rsidRPr="00A2213D" w:rsidRDefault="00A2213D" w:rsidP="00A2213D">
      <w:pPr>
        <w:pStyle w:val="Agbulletlist"/>
        <w:rPr>
          <w:rFonts w:ascii="VIC" w:hAnsi="VIC"/>
        </w:rPr>
      </w:pPr>
      <w:r w:rsidRPr="00A2213D">
        <w:rPr>
          <w:rFonts w:ascii="VIC" w:hAnsi="VIC"/>
        </w:rPr>
        <w:t xml:space="preserve">restrictions on the </w:t>
      </w:r>
      <w:r w:rsidRPr="00A2213D">
        <w:rPr>
          <w:rFonts w:ascii="VIC" w:hAnsi="VIC"/>
          <w:u w:val="single"/>
        </w:rPr>
        <w:t>supply</w:t>
      </w:r>
      <w:r w:rsidRPr="00A2213D">
        <w:rPr>
          <w:rFonts w:ascii="VIC" w:hAnsi="VIC"/>
        </w:rPr>
        <w:t xml:space="preserve"> and </w:t>
      </w:r>
      <w:r w:rsidRPr="00A2213D">
        <w:rPr>
          <w:rFonts w:ascii="VIC" w:hAnsi="VIC"/>
          <w:u w:val="single"/>
        </w:rPr>
        <w:t>use</w:t>
      </w:r>
      <w:r w:rsidRPr="00A2213D">
        <w:rPr>
          <w:rFonts w:ascii="VIC" w:hAnsi="VIC"/>
        </w:rPr>
        <w:t xml:space="preserve"> of certain high-risk chemicals </w:t>
      </w:r>
    </w:p>
    <w:p w14:paraId="1E33DED6" w14:textId="77777777" w:rsidR="00A2213D" w:rsidRPr="00A2213D" w:rsidRDefault="00A2213D" w:rsidP="00A2213D">
      <w:pPr>
        <w:pStyle w:val="Agbulletlist"/>
        <w:rPr>
          <w:rFonts w:ascii="VIC" w:hAnsi="VIC"/>
        </w:rPr>
      </w:pPr>
      <w:r w:rsidRPr="00A2213D">
        <w:rPr>
          <w:rFonts w:ascii="VIC" w:hAnsi="VIC"/>
        </w:rPr>
        <w:t>the use of chemicals ‘off-label’,</w:t>
      </w:r>
    </w:p>
    <w:p w14:paraId="46F88BA9" w14:textId="77777777" w:rsidR="00A2213D" w:rsidRPr="00A2213D" w:rsidRDefault="00A2213D" w:rsidP="00A2213D">
      <w:pPr>
        <w:pStyle w:val="Agbulletlist"/>
        <w:rPr>
          <w:rFonts w:ascii="VIC" w:hAnsi="VIC"/>
        </w:rPr>
      </w:pPr>
      <w:r w:rsidRPr="00A2213D">
        <w:rPr>
          <w:rFonts w:ascii="VIC" w:hAnsi="VIC"/>
        </w:rPr>
        <w:t xml:space="preserve">record keeping requirements, </w:t>
      </w:r>
    </w:p>
    <w:p w14:paraId="4812BD04" w14:textId="77777777" w:rsidR="00A2213D" w:rsidRPr="00A2213D" w:rsidRDefault="00A2213D" w:rsidP="00A2213D">
      <w:pPr>
        <w:pStyle w:val="Agbulletlist"/>
        <w:rPr>
          <w:rFonts w:ascii="VIC" w:hAnsi="VIC"/>
        </w:rPr>
      </w:pPr>
      <w:r w:rsidRPr="00A2213D">
        <w:rPr>
          <w:rFonts w:ascii="VIC" w:hAnsi="VIC"/>
        </w:rPr>
        <w:t xml:space="preserve">designation of Agricultural Chemical Control Areas (ACCAs), designed to protect susceptible crops from damage. </w:t>
      </w:r>
    </w:p>
    <w:p w14:paraId="11EA2E81" w14:textId="3C1D140F" w:rsidR="00A2213D" w:rsidRPr="00A2213D" w:rsidRDefault="00A2213D" w:rsidP="00A2213D">
      <w:pPr>
        <w:pStyle w:val="Agbulletlist"/>
        <w:numPr>
          <w:ilvl w:val="0"/>
          <w:numId w:val="0"/>
        </w:numPr>
        <w:spacing w:line="240" w:lineRule="auto"/>
        <w:ind w:left="284" w:hanging="284"/>
        <w:rPr>
          <w:rFonts w:ascii="VIC" w:hAnsi="VIC"/>
        </w:rPr>
      </w:pPr>
      <w:r w:rsidRPr="00A2213D">
        <w:rPr>
          <w:rFonts w:ascii="VIC" w:hAnsi="VIC"/>
          <w:noProof/>
        </w:rPr>
        <w:drawing>
          <wp:inline distT="0" distB="0" distL="0" distR="0" wp14:anchorId="508EBB7E" wp14:editId="4297695A">
            <wp:extent cx="3103245" cy="1784350"/>
            <wp:effectExtent l="0" t="0" r="1905" b="6350"/>
            <wp:docPr id="7" name="Picture 7" descr="Figure 1 Chemical application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 Chemical application in a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45" cy="1784350"/>
                    </a:xfrm>
                    <a:prstGeom prst="rect">
                      <a:avLst/>
                    </a:prstGeom>
                    <a:noFill/>
                  </pic:spPr>
                </pic:pic>
              </a:graphicData>
            </a:graphic>
          </wp:inline>
        </w:drawing>
      </w:r>
    </w:p>
    <w:p w14:paraId="6006BB7D" w14:textId="10410953" w:rsidR="00A2213D" w:rsidRPr="00A2213D" w:rsidRDefault="00A2213D" w:rsidP="00A2213D">
      <w:pPr>
        <w:pStyle w:val="Heading1"/>
        <w:rPr>
          <w:rFonts w:ascii="VIC" w:eastAsiaTheme="minorHAnsi" w:hAnsi="VIC"/>
          <w:lang w:val="en-AU"/>
        </w:rPr>
      </w:pPr>
      <w:r w:rsidRPr="00A2213D">
        <w:rPr>
          <w:rFonts w:ascii="VIC" w:eastAsiaTheme="minorHAnsi" w:hAnsi="VIC"/>
          <w:lang w:val="en-AU"/>
        </w:rPr>
        <w:t>‘Restricted Supply’ Chemicals</w:t>
      </w:r>
    </w:p>
    <w:p w14:paraId="7D53A630"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The Australian Pesticides and Veterinary Medicines Authority (APVMA) is responsible for all aspects of AgVet chemical manufacture, importation, registration, and review, up to and including the point of sale and supply. </w:t>
      </w:r>
    </w:p>
    <w:p w14:paraId="0D1B8257"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736403AB" w14:textId="450B065F"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The APVMA restricts the supply of high-risk chemicals to ensure they are only supplied to ‘authorised persons’ who have successfully completed accredited training. These chemicals are known as ‘restricted supply’ chemicals and include 1080, endosulfan and mevinphos. </w:t>
      </w:r>
    </w:p>
    <w:p w14:paraId="5EED9C93"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5C9C8B24"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It is a condition of registration that these products only be supplied to individuals authorised by the State, and it is an </w:t>
      </w:r>
    </w:p>
    <w:p w14:paraId="7C92D8D0" w14:textId="77777777" w:rsidR="00A2213D" w:rsidRPr="00A2213D" w:rsidRDefault="00A2213D" w:rsidP="00A2213D">
      <w:pPr>
        <w:autoSpaceDE w:val="0"/>
        <w:autoSpaceDN w:val="0"/>
        <w:adjustRightInd w:val="0"/>
        <w:spacing w:after="218" w:line="240" w:lineRule="auto"/>
        <w:rPr>
          <w:rFonts w:ascii="VIC" w:hAnsi="VIC" w:cs="Arial"/>
          <w:color w:val="000000"/>
          <w:szCs w:val="18"/>
          <w:lang w:val="en-AU"/>
        </w:rPr>
      </w:pPr>
      <w:r w:rsidRPr="00A2213D">
        <w:rPr>
          <w:rFonts w:ascii="VIC" w:hAnsi="VIC" w:cs="Arial"/>
          <w:color w:val="000000"/>
          <w:szCs w:val="18"/>
          <w:lang w:val="en-AU"/>
        </w:rPr>
        <w:t xml:space="preserve">APVMA offence to supply these chemical products to an unauthorised person. </w:t>
      </w:r>
    </w:p>
    <w:p w14:paraId="2894A39E"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In most cases in Victoria, this authorisation is an Agricultural Chemical User Permit (ACUP). A valid ACUP must be held by the person receiving one of these products, whether they will be the end user (who must also hold an ACUP) or not.  </w:t>
      </w:r>
    </w:p>
    <w:p w14:paraId="6955A835" w14:textId="53004EB1"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1622E1DB" w14:textId="77777777" w:rsidR="00A2213D" w:rsidRPr="00A2213D" w:rsidRDefault="00A2213D" w:rsidP="00A2213D">
      <w:pPr>
        <w:pStyle w:val="Agbodytext"/>
        <w:rPr>
          <w:rFonts w:ascii="VIC" w:hAnsi="VIC" w:cs="Arial"/>
          <w:color w:val="538135" w:themeColor="accent6" w:themeShade="BF"/>
          <w:szCs w:val="18"/>
          <w:lang w:val="en-AU"/>
        </w:rPr>
      </w:pPr>
      <w:r w:rsidRPr="00A2213D">
        <w:rPr>
          <w:rFonts w:ascii="VIC" w:hAnsi="VIC" w:cs="Arial"/>
          <w:b/>
          <w:bCs/>
          <w:color w:val="538135" w:themeColor="accent6" w:themeShade="BF"/>
          <w:szCs w:val="18"/>
          <w:lang w:val="en-AU"/>
        </w:rPr>
        <w:t>I CAN be supplied with ‘restricted supply’ chemicals if I hold an ACUP.</w:t>
      </w:r>
    </w:p>
    <w:p w14:paraId="6BEC0AAF" w14:textId="68EE78CA" w:rsidR="00A2213D" w:rsidRDefault="00A2213D" w:rsidP="00A2213D">
      <w:pPr>
        <w:pStyle w:val="Heading1"/>
        <w:spacing w:before="0" w:line="240" w:lineRule="auto"/>
        <w:rPr>
          <w:rFonts w:ascii="VIC" w:eastAsiaTheme="minorHAnsi" w:hAnsi="VIC"/>
          <w:bCs w:val="0"/>
          <w:caps w:val="0"/>
          <w:color w:val="FF0000"/>
          <w:sz w:val="18"/>
        </w:rPr>
      </w:pPr>
      <w:r w:rsidRPr="00A2213D">
        <w:rPr>
          <w:rFonts w:ascii="VIC" w:eastAsiaTheme="minorHAnsi" w:hAnsi="VIC"/>
          <w:noProof/>
          <w:color w:val="FF0000"/>
        </w:rPr>
        <w:lastRenderedPageBreak/>
        <w:drawing>
          <wp:inline distT="0" distB="0" distL="0" distR="0" wp14:anchorId="258AC806" wp14:editId="1F9CC8AF">
            <wp:extent cx="2857500" cy="1770380"/>
            <wp:effectExtent l="0" t="0" r="0" b="1270"/>
            <wp:docPr id="3" name="Picture 3" descr="Figure 2 Example of an A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Example of an AC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70380"/>
                    </a:xfrm>
                    <a:prstGeom prst="rect">
                      <a:avLst/>
                    </a:prstGeom>
                    <a:noFill/>
                  </pic:spPr>
                </pic:pic>
              </a:graphicData>
            </a:graphic>
          </wp:inline>
        </w:drawing>
      </w:r>
    </w:p>
    <w:p w14:paraId="533F57EA" w14:textId="22D1F68B" w:rsidR="00A2213D" w:rsidRPr="00A2213D" w:rsidRDefault="00A2213D" w:rsidP="00A2213D">
      <w:pPr>
        <w:pStyle w:val="Heading1"/>
        <w:spacing w:before="0" w:line="240" w:lineRule="auto"/>
        <w:rPr>
          <w:rFonts w:ascii="VIC" w:eastAsiaTheme="minorHAnsi" w:hAnsi="VIC"/>
          <w:noProof/>
          <w:color w:val="FF0000"/>
        </w:rPr>
      </w:pPr>
      <w:r w:rsidRPr="00A2213D">
        <w:rPr>
          <w:rFonts w:ascii="VIC" w:eastAsiaTheme="minorHAnsi" w:hAnsi="VIC"/>
          <w:bCs w:val="0"/>
          <w:caps w:val="0"/>
          <w:color w:val="FF0000"/>
          <w:sz w:val="18"/>
        </w:rPr>
        <w:t>I CAN’T pass these chemicals on to a user who does not hold an ACUP.</w:t>
      </w:r>
      <w:r w:rsidRPr="00A2213D">
        <w:rPr>
          <w:rFonts w:ascii="VIC" w:eastAsiaTheme="minorHAnsi" w:hAnsi="VIC"/>
          <w:noProof/>
          <w:color w:val="FF0000"/>
        </w:rPr>
        <w:t xml:space="preserve"> </w:t>
      </w:r>
    </w:p>
    <w:p w14:paraId="401C7F2E" w14:textId="77777777" w:rsidR="00A2213D" w:rsidRPr="00A2213D" w:rsidRDefault="00A2213D" w:rsidP="00A2213D">
      <w:pPr>
        <w:pStyle w:val="Heading1"/>
        <w:rPr>
          <w:rFonts w:ascii="VIC" w:eastAsiaTheme="minorHAnsi" w:hAnsi="VIC"/>
        </w:rPr>
      </w:pPr>
      <w:r w:rsidRPr="00A2213D">
        <w:rPr>
          <w:rFonts w:ascii="VIC" w:eastAsiaTheme="minorHAnsi" w:hAnsi="VIC"/>
        </w:rPr>
        <w:t xml:space="preserve">‘Restricted Use’ chemicals </w:t>
      </w:r>
    </w:p>
    <w:p w14:paraId="2047D304" w14:textId="77777777" w:rsidR="00A2213D" w:rsidRPr="00A2213D" w:rsidRDefault="00A2213D" w:rsidP="00A2213D">
      <w:pPr>
        <w:autoSpaceDE w:val="0"/>
        <w:autoSpaceDN w:val="0"/>
        <w:adjustRightInd w:val="0"/>
        <w:spacing w:after="218" w:line="240" w:lineRule="auto"/>
        <w:rPr>
          <w:rFonts w:ascii="VIC" w:hAnsi="VIC" w:cs="Arial"/>
          <w:color w:val="000000"/>
          <w:szCs w:val="18"/>
          <w:lang w:val="en-AU"/>
        </w:rPr>
      </w:pPr>
      <w:r w:rsidRPr="00A2213D">
        <w:rPr>
          <w:rFonts w:ascii="VIC" w:hAnsi="VIC" w:cs="Arial"/>
          <w:color w:val="000000"/>
          <w:szCs w:val="18"/>
          <w:lang w:val="en-AU"/>
        </w:rPr>
        <w:t xml:space="preserve">Agriculture Victoria (AgVic) is responsible for regulating the use of chemicals in Victoria. AgVic has a system of restricting the use of certain high-risk chemicals. These chemicals are referred to as ‘restricted use’ chemicals and include herbicides, fungicides, insecticides and fumigants. </w:t>
      </w:r>
    </w:p>
    <w:p w14:paraId="7E7708FB" w14:textId="77777777" w:rsidR="00A2213D" w:rsidRPr="00A2213D" w:rsidRDefault="00A2213D" w:rsidP="00A2213D">
      <w:pPr>
        <w:autoSpaceDE w:val="0"/>
        <w:autoSpaceDN w:val="0"/>
        <w:adjustRightInd w:val="0"/>
        <w:spacing w:after="218" w:line="240" w:lineRule="auto"/>
        <w:rPr>
          <w:rFonts w:ascii="VIC" w:hAnsi="VIC" w:cs="Arial"/>
          <w:color w:val="000000"/>
          <w:szCs w:val="18"/>
          <w:lang w:val="en-AU"/>
        </w:rPr>
      </w:pPr>
      <w:r w:rsidRPr="00A2213D">
        <w:rPr>
          <w:rFonts w:ascii="VIC" w:hAnsi="VIC" w:cs="Arial"/>
          <w:color w:val="000000"/>
          <w:szCs w:val="18"/>
          <w:lang w:val="en-AU"/>
        </w:rPr>
        <w:t>‘Restricted use’ chemicals are products that:</w:t>
      </w:r>
    </w:p>
    <w:p w14:paraId="37A07ECB" w14:textId="77777777" w:rsidR="00A2213D" w:rsidRPr="00A2213D" w:rsidRDefault="00A2213D" w:rsidP="00A2213D">
      <w:pPr>
        <w:pStyle w:val="Agbulletlist"/>
        <w:rPr>
          <w:rFonts w:ascii="VIC" w:hAnsi="VIC"/>
        </w:rPr>
      </w:pPr>
      <w:r w:rsidRPr="00A2213D">
        <w:rPr>
          <w:rFonts w:ascii="VIC" w:hAnsi="VIC"/>
        </w:rPr>
        <w:t xml:space="preserve">are Schedule 7 Poisons (Dangerous Poisons) </w:t>
      </w:r>
    </w:p>
    <w:p w14:paraId="232D0418" w14:textId="77777777" w:rsidR="00A2213D" w:rsidRPr="00A2213D" w:rsidRDefault="00A2213D" w:rsidP="00A2213D">
      <w:pPr>
        <w:pStyle w:val="Agbulletlist"/>
        <w:rPr>
          <w:rFonts w:ascii="VIC" w:hAnsi="VIC"/>
        </w:rPr>
      </w:pPr>
      <w:r w:rsidRPr="00A2213D">
        <w:rPr>
          <w:rFonts w:ascii="VIC" w:hAnsi="VIC"/>
        </w:rPr>
        <w:t xml:space="preserve">contain atrazine, metham sodium or ester formulations of 2,4-D, 2,4-DB, MCPA or triclopyr. </w:t>
      </w:r>
    </w:p>
    <w:p w14:paraId="1102D81A" w14:textId="77777777" w:rsidR="00A2213D" w:rsidRPr="00A2213D" w:rsidRDefault="00A2213D" w:rsidP="00A2213D">
      <w:pPr>
        <w:pStyle w:val="Agbulletlist"/>
        <w:numPr>
          <w:ilvl w:val="0"/>
          <w:numId w:val="0"/>
        </w:numPr>
        <w:rPr>
          <w:rFonts w:ascii="VIC" w:hAnsi="VIC"/>
          <w:lang w:val="en-AU"/>
        </w:rPr>
      </w:pPr>
      <w:r w:rsidRPr="00A2213D">
        <w:rPr>
          <w:rFonts w:ascii="VIC" w:hAnsi="VIC"/>
          <w:lang w:val="en-AU"/>
        </w:rPr>
        <w:t xml:space="preserve">Individuals using ‘restricted use’ chemicals must hold a valid ACUP or be working under the direct supervision of an ACUP holder or holder of a Commercial Operators Licence (COL). </w:t>
      </w:r>
    </w:p>
    <w:p w14:paraId="35290695" w14:textId="1ED055FA" w:rsidR="00A2213D" w:rsidRPr="00A2213D" w:rsidRDefault="00A2213D" w:rsidP="00A2213D">
      <w:pPr>
        <w:pStyle w:val="Agbulletlist"/>
        <w:numPr>
          <w:ilvl w:val="0"/>
          <w:numId w:val="0"/>
        </w:numPr>
        <w:rPr>
          <w:rFonts w:ascii="VIC" w:hAnsi="VIC"/>
          <w:lang w:val="en-AU"/>
        </w:rPr>
      </w:pPr>
      <w:r w:rsidRPr="00A2213D">
        <w:rPr>
          <w:rFonts w:ascii="VIC" w:hAnsi="VIC" w:cs="Arial"/>
          <w:color w:val="000000"/>
          <w:szCs w:val="18"/>
          <w:lang w:val="en-AU"/>
        </w:rPr>
        <w:t>Restricted use chemicals must also be used according to label directions unless a specific permit has been sought.</w:t>
      </w:r>
    </w:p>
    <w:p w14:paraId="01EE5142" w14:textId="77777777" w:rsidR="00A2213D" w:rsidRPr="00A2213D" w:rsidRDefault="00A2213D" w:rsidP="00A2213D">
      <w:pPr>
        <w:pStyle w:val="Heading2"/>
        <w:rPr>
          <w:rFonts w:ascii="VIC" w:eastAsiaTheme="minorHAnsi" w:hAnsi="VIC"/>
          <w:color w:val="auto"/>
          <w:lang w:val="en-AU"/>
        </w:rPr>
      </w:pPr>
      <w:r w:rsidRPr="00A2213D">
        <w:rPr>
          <w:rFonts w:ascii="VIC" w:eastAsiaTheme="minorHAnsi" w:hAnsi="VIC"/>
          <w:color w:val="auto"/>
          <w:lang w:val="en-AU"/>
        </w:rPr>
        <w:t>‘Restricted Use’ Vs ‘Restricted Supply’</w:t>
      </w:r>
    </w:p>
    <w:p w14:paraId="2EAFFD43"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It is important to note that ‘restricted supply’ chemicals (APVMA) are different from ‘restricted use’ chemicals (AgVic). A product may have AgVic state use restrictions, but not APVMA supply restrictions. </w:t>
      </w:r>
    </w:p>
    <w:p w14:paraId="3093B43B"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2D761174"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258856B3" w14:textId="397F20CD" w:rsidR="00A2213D" w:rsidRPr="00A2213D" w:rsidRDefault="00A2213D" w:rsidP="00A2213D">
      <w:pPr>
        <w:autoSpaceDE w:val="0"/>
        <w:autoSpaceDN w:val="0"/>
        <w:adjustRightInd w:val="0"/>
        <w:spacing w:after="0" w:line="240" w:lineRule="auto"/>
        <w:rPr>
          <w:rFonts w:ascii="VIC" w:hAnsi="VIC" w:cs="Arial"/>
          <w:b/>
          <w:bCs/>
          <w:color w:val="4C7329"/>
          <w:szCs w:val="18"/>
          <w:lang w:val="en-AU"/>
        </w:rPr>
      </w:pPr>
      <w:r w:rsidRPr="00A2213D">
        <w:rPr>
          <w:rFonts w:ascii="VIC" w:hAnsi="VIC" w:cs="Arial"/>
          <w:color w:val="4C7329"/>
          <w:sz w:val="24"/>
          <w:szCs w:val="24"/>
          <w:lang w:val="en-AU"/>
        </w:rPr>
        <w:t xml:space="preserve"> </w:t>
      </w:r>
      <w:r w:rsidRPr="00A2213D">
        <w:rPr>
          <w:rFonts w:ascii="VIC" w:hAnsi="VIC" w:cs="Arial"/>
          <w:b/>
          <w:bCs/>
          <w:color w:val="4C7329"/>
          <w:szCs w:val="18"/>
          <w:lang w:val="en-AU"/>
        </w:rPr>
        <w:t>I CAN use ‘restricted use’ chemicals provided I hold an ACUP and follow label directions.</w:t>
      </w:r>
    </w:p>
    <w:p w14:paraId="7A72D668" w14:textId="77777777" w:rsidR="00A2213D" w:rsidRPr="00A2213D" w:rsidRDefault="00A2213D" w:rsidP="00A2213D">
      <w:pPr>
        <w:autoSpaceDE w:val="0"/>
        <w:autoSpaceDN w:val="0"/>
        <w:adjustRightInd w:val="0"/>
        <w:spacing w:after="0" w:line="240" w:lineRule="auto"/>
        <w:rPr>
          <w:rFonts w:ascii="VIC" w:hAnsi="VIC" w:cs="Arial"/>
          <w:b/>
          <w:bCs/>
          <w:color w:val="000000"/>
          <w:szCs w:val="18"/>
          <w:lang w:val="en-AU"/>
        </w:rPr>
      </w:pPr>
    </w:p>
    <w:p w14:paraId="22985BA1" w14:textId="77777777" w:rsidR="00A2213D" w:rsidRPr="00A2213D" w:rsidRDefault="00A2213D" w:rsidP="00A2213D">
      <w:pPr>
        <w:autoSpaceDE w:val="0"/>
        <w:autoSpaceDN w:val="0"/>
        <w:adjustRightInd w:val="0"/>
        <w:spacing w:after="0" w:line="240" w:lineRule="auto"/>
        <w:jc w:val="center"/>
        <w:rPr>
          <w:rFonts w:ascii="VIC" w:hAnsi="VIC" w:cs="Arial"/>
          <w:b/>
          <w:bCs/>
          <w:color w:val="4C7329"/>
          <w:szCs w:val="18"/>
          <w:lang w:val="en-AU"/>
        </w:rPr>
      </w:pPr>
      <w:r w:rsidRPr="00A2213D">
        <w:rPr>
          <w:rFonts w:ascii="VIC" w:hAnsi="VIC" w:cs="Arial"/>
          <w:b/>
          <w:bCs/>
          <w:color w:val="4C7329"/>
          <w:szCs w:val="18"/>
          <w:lang w:val="en-AU"/>
        </w:rPr>
        <w:t>OR</w:t>
      </w:r>
    </w:p>
    <w:p w14:paraId="49FFEF1A" w14:textId="5D1A2F2A" w:rsidR="00A2213D" w:rsidRPr="00A2213D" w:rsidRDefault="00A2213D" w:rsidP="00A2213D">
      <w:pPr>
        <w:autoSpaceDE w:val="0"/>
        <w:autoSpaceDN w:val="0"/>
        <w:adjustRightInd w:val="0"/>
        <w:spacing w:after="0" w:line="240" w:lineRule="auto"/>
        <w:rPr>
          <w:rFonts w:ascii="VIC" w:hAnsi="VIC" w:cs="Arial"/>
          <w:b/>
          <w:bCs/>
          <w:color w:val="4C7329"/>
          <w:szCs w:val="18"/>
          <w:lang w:val="en-AU"/>
        </w:rPr>
      </w:pPr>
    </w:p>
    <w:p w14:paraId="7A849A73" w14:textId="77777777" w:rsidR="00A2213D" w:rsidRPr="00A2213D" w:rsidRDefault="00A2213D" w:rsidP="00A2213D">
      <w:pPr>
        <w:autoSpaceDE w:val="0"/>
        <w:autoSpaceDN w:val="0"/>
        <w:adjustRightInd w:val="0"/>
        <w:spacing w:after="0" w:line="240" w:lineRule="auto"/>
        <w:rPr>
          <w:rFonts w:ascii="VIC" w:hAnsi="VIC" w:cs="Arial"/>
          <w:b/>
          <w:bCs/>
          <w:color w:val="4C7329"/>
          <w:szCs w:val="18"/>
          <w:lang w:val="en-AU"/>
        </w:rPr>
      </w:pPr>
      <w:r w:rsidRPr="00A2213D">
        <w:rPr>
          <w:rFonts w:ascii="VIC" w:hAnsi="VIC" w:cs="Arial"/>
          <w:b/>
          <w:bCs/>
          <w:color w:val="4C7329"/>
          <w:szCs w:val="18"/>
          <w:lang w:val="en-AU"/>
        </w:rPr>
        <w:t xml:space="preserve">I CAN use ‘restricted use’ chemicals provided I am working under the supervision of an ACUP or COL holder and follow label directions. </w:t>
      </w:r>
    </w:p>
    <w:p w14:paraId="4C261E18"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6D5D6358" w14:textId="50903E2A" w:rsidR="00A2213D" w:rsidRPr="00A2213D" w:rsidRDefault="00A2213D" w:rsidP="00A2213D">
      <w:pPr>
        <w:pStyle w:val="Agbodytext"/>
        <w:jc w:val="center"/>
        <w:rPr>
          <w:rFonts w:ascii="VIC" w:hAnsi="VIC"/>
          <w:b/>
          <w:color w:val="FF0000"/>
        </w:rPr>
      </w:pPr>
      <w:r w:rsidRPr="00A2213D">
        <w:rPr>
          <w:rFonts w:ascii="VIC" w:hAnsi="VIC"/>
          <w:b/>
          <w:color w:val="FF0000"/>
        </w:rPr>
        <w:t>BUT</w:t>
      </w:r>
    </w:p>
    <w:p w14:paraId="32B92500" w14:textId="77777777" w:rsidR="00A2213D" w:rsidRPr="00A2213D" w:rsidRDefault="00A2213D" w:rsidP="00A2213D">
      <w:pPr>
        <w:autoSpaceDE w:val="0"/>
        <w:autoSpaceDN w:val="0"/>
        <w:adjustRightInd w:val="0"/>
        <w:spacing w:after="0" w:line="240" w:lineRule="auto"/>
        <w:rPr>
          <w:rFonts w:ascii="VIC" w:hAnsi="VIC" w:cs="Arial"/>
          <w:color w:val="FF0000"/>
          <w:szCs w:val="18"/>
          <w:lang w:val="en-AU"/>
        </w:rPr>
      </w:pPr>
      <w:r w:rsidRPr="00A2213D">
        <w:rPr>
          <w:rFonts w:ascii="VIC" w:hAnsi="VIC" w:cs="Arial"/>
          <w:b/>
          <w:bCs/>
          <w:color w:val="FF0000"/>
          <w:szCs w:val="18"/>
          <w:lang w:val="en-AU"/>
        </w:rPr>
        <w:t>I CAN’T use ‘restricted use’ chemicals in any manner contrary to label directions UNLESS I hold a specific permit to do so.</w:t>
      </w:r>
    </w:p>
    <w:p w14:paraId="72FF8B54" w14:textId="77777777" w:rsidR="00A2213D" w:rsidRPr="00A2213D" w:rsidRDefault="00A2213D" w:rsidP="00A2213D">
      <w:pPr>
        <w:pStyle w:val="Heading2"/>
        <w:rPr>
          <w:rFonts w:ascii="VIC" w:eastAsiaTheme="minorHAnsi" w:hAnsi="VIC"/>
          <w:color w:val="auto"/>
          <w:lang w:val="en-AU"/>
        </w:rPr>
      </w:pPr>
      <w:r w:rsidRPr="00A2213D">
        <w:rPr>
          <w:rFonts w:ascii="VIC" w:eastAsiaTheme="minorHAnsi" w:hAnsi="VIC"/>
          <w:color w:val="auto"/>
          <w:lang w:val="en-AU"/>
        </w:rPr>
        <w:t>Off-Label Permits for ‘restricted use’ chemicals</w:t>
      </w:r>
    </w:p>
    <w:p w14:paraId="50911D5C" w14:textId="77777777" w:rsidR="00A2213D" w:rsidRPr="00A2213D" w:rsidRDefault="00A2213D" w:rsidP="00A2213D">
      <w:pPr>
        <w:autoSpaceDE w:val="0"/>
        <w:autoSpaceDN w:val="0"/>
        <w:adjustRightInd w:val="0"/>
        <w:spacing w:after="218" w:line="240" w:lineRule="auto"/>
        <w:rPr>
          <w:rFonts w:ascii="VIC" w:hAnsi="VIC"/>
        </w:rPr>
      </w:pPr>
      <w:r w:rsidRPr="00A2213D">
        <w:rPr>
          <w:rFonts w:ascii="VIC" w:hAnsi="VIC" w:cs="Arial"/>
          <w:color w:val="000000"/>
          <w:szCs w:val="18"/>
          <w:lang w:val="en-AU"/>
        </w:rPr>
        <w:t xml:space="preserve">If a person proposes to use a ‘restricted use’ chemical for a use that is not listed on the chemical product label, they must submit an application to the APVMA. </w:t>
      </w:r>
    </w:p>
    <w:p w14:paraId="6A203866" w14:textId="77777777" w:rsidR="00A2213D" w:rsidRPr="00A2213D" w:rsidRDefault="00A2213D" w:rsidP="00A2213D">
      <w:pPr>
        <w:autoSpaceDE w:val="0"/>
        <w:autoSpaceDN w:val="0"/>
        <w:adjustRightInd w:val="0"/>
        <w:spacing w:after="218" w:line="240" w:lineRule="auto"/>
        <w:rPr>
          <w:rFonts w:ascii="VIC" w:hAnsi="VIC" w:cs="Arial"/>
          <w:color w:val="000000"/>
          <w:szCs w:val="18"/>
          <w:lang w:val="en-AU"/>
        </w:rPr>
      </w:pPr>
      <w:r w:rsidRPr="00A2213D">
        <w:rPr>
          <w:rFonts w:ascii="VIC" w:hAnsi="VIC" w:cs="Arial"/>
          <w:color w:val="000000"/>
          <w:szCs w:val="18"/>
          <w:lang w:val="en-AU"/>
        </w:rPr>
        <w:t xml:space="preserve">Application forms are available from the APVMA website at </w:t>
      </w:r>
      <w:hyperlink r:id="rId13" w:history="1">
        <w:r w:rsidRPr="00A2213D">
          <w:rPr>
            <w:rStyle w:val="Hyperlink"/>
            <w:rFonts w:ascii="VIC" w:hAnsi="VIC" w:cs="Arial"/>
            <w:szCs w:val="18"/>
            <w:lang w:val="en-AU"/>
          </w:rPr>
          <w:t>https://apvma.gov.au/node/611</w:t>
        </w:r>
      </w:hyperlink>
      <w:r w:rsidRPr="00A2213D">
        <w:rPr>
          <w:rFonts w:ascii="VIC" w:hAnsi="VIC" w:cs="Arial"/>
          <w:color w:val="000000"/>
          <w:szCs w:val="18"/>
          <w:lang w:val="en-AU"/>
        </w:rPr>
        <w:t xml:space="preserve"> </w:t>
      </w:r>
    </w:p>
    <w:p w14:paraId="7120830F"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On receipt of an application, APVMA will conduct a risk assessment of the proposed use (this may require the applicant to collect data), and will decide whether or not to issue the permit depending on the results. </w:t>
      </w:r>
    </w:p>
    <w:p w14:paraId="40E631D5" w14:textId="77777777" w:rsidR="00A2213D" w:rsidRPr="00A2213D" w:rsidRDefault="00A2213D" w:rsidP="00A2213D">
      <w:pPr>
        <w:pStyle w:val="Heading1"/>
        <w:rPr>
          <w:rFonts w:ascii="VIC" w:eastAsiaTheme="minorHAnsi" w:hAnsi="VIC"/>
        </w:rPr>
      </w:pPr>
      <w:r w:rsidRPr="00A2213D">
        <w:rPr>
          <w:rFonts w:ascii="VIC" w:eastAsiaTheme="minorHAnsi" w:hAnsi="VIC"/>
        </w:rPr>
        <w:lastRenderedPageBreak/>
        <w:t>Chemical use records</w:t>
      </w:r>
    </w:p>
    <w:p w14:paraId="5A12900B" w14:textId="77777777" w:rsidR="00A2213D" w:rsidRPr="00A2213D" w:rsidRDefault="00A2213D" w:rsidP="00A2213D">
      <w:pPr>
        <w:autoSpaceDE w:val="0"/>
        <w:autoSpaceDN w:val="0"/>
        <w:adjustRightInd w:val="0"/>
        <w:spacing w:after="218" w:line="240" w:lineRule="auto"/>
        <w:rPr>
          <w:rFonts w:ascii="VIC" w:hAnsi="VIC" w:cs="Arial"/>
          <w:color w:val="000000"/>
          <w:szCs w:val="18"/>
          <w:lang w:val="en-AU"/>
        </w:rPr>
      </w:pPr>
      <w:r w:rsidRPr="00A2213D">
        <w:rPr>
          <w:rFonts w:ascii="VIC" w:hAnsi="VIC" w:cs="Arial"/>
          <w:color w:val="000000"/>
          <w:szCs w:val="18"/>
          <w:lang w:val="en-AU"/>
        </w:rPr>
        <w:t xml:space="preserve">It is compulsory to make specified records within 48 hours of using an agricultural chemical product, and keep these records for a period of two years. </w:t>
      </w:r>
    </w:p>
    <w:p w14:paraId="152CE3C5"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This applies to all agricultural chemicals used, including poison baits used for pest animal control. This requirement excludes the use of household or home garden products applied by hand. </w:t>
      </w:r>
    </w:p>
    <w:p w14:paraId="762AB403" w14:textId="77777777" w:rsidR="00A2213D" w:rsidRPr="00A2213D" w:rsidRDefault="00A2213D" w:rsidP="00A2213D">
      <w:pPr>
        <w:autoSpaceDE w:val="0"/>
        <w:autoSpaceDN w:val="0"/>
        <w:adjustRightInd w:val="0"/>
        <w:spacing w:after="0" w:line="240" w:lineRule="auto"/>
        <w:rPr>
          <w:rFonts w:ascii="VIC" w:hAnsi="VIC" w:cs="Arial"/>
          <w:color w:val="000000"/>
          <w:sz w:val="24"/>
          <w:szCs w:val="24"/>
          <w:lang w:val="en-AU"/>
        </w:rPr>
      </w:pPr>
    </w:p>
    <w:p w14:paraId="5F48C0D0"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Likewise, specified records must be made within 48 hours of using a veterinary chemical product that is classified as a Schedule 4 Poison (Prescription Animal Remedy) or any animal health product which has an applicable withholding period to treat stock animals. Again, these records must be kept for a period of two years. </w:t>
      </w:r>
    </w:p>
    <w:p w14:paraId="0519D0CB" w14:textId="77777777" w:rsidR="00A2213D" w:rsidRPr="00A2213D" w:rsidRDefault="00A2213D" w:rsidP="00A2213D">
      <w:pPr>
        <w:pStyle w:val="Heading2"/>
        <w:rPr>
          <w:rFonts w:ascii="VIC" w:eastAsiaTheme="minorHAnsi" w:hAnsi="VIC"/>
        </w:rPr>
      </w:pPr>
      <w:r w:rsidRPr="00A2213D">
        <w:rPr>
          <w:rFonts w:ascii="VIC" w:eastAsiaTheme="minorHAnsi" w:hAnsi="VIC"/>
        </w:rPr>
        <w:t>Record Format</w:t>
      </w:r>
    </w:p>
    <w:p w14:paraId="4A6BBE6F" w14:textId="77777777" w:rsidR="00A2213D" w:rsidRPr="00A2213D" w:rsidRDefault="00A2213D" w:rsidP="00A2213D">
      <w:pPr>
        <w:autoSpaceDE w:val="0"/>
        <w:autoSpaceDN w:val="0"/>
        <w:adjustRightInd w:val="0"/>
        <w:spacing w:after="218" w:line="240" w:lineRule="auto"/>
        <w:rPr>
          <w:rFonts w:ascii="VIC" w:hAnsi="VIC" w:cs="Arial"/>
          <w:color w:val="000000"/>
          <w:szCs w:val="18"/>
          <w:lang w:val="en-AU"/>
        </w:rPr>
      </w:pPr>
      <w:r w:rsidRPr="00A2213D">
        <w:rPr>
          <w:rFonts w:ascii="VIC" w:hAnsi="VIC" w:cs="Arial"/>
          <w:color w:val="000000"/>
          <w:szCs w:val="18"/>
          <w:lang w:val="en-AU"/>
        </w:rPr>
        <w:t xml:space="preserve">AgVic does not specify the format in which these records must be kept. This is to provide a degree of flexibility to users who may wish to keep records on computer, in hard copy (e.g. record book, paper files) or a combination of both. </w:t>
      </w:r>
    </w:p>
    <w:p w14:paraId="22757521"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An important feature of any record is that it must be readily available to an AgVic authorised officer upon request. </w:t>
      </w:r>
    </w:p>
    <w:p w14:paraId="0F1B2D70"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20AAC8E1"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Chemical record books that comply with regulatory requirements are available commercially. Record keeping templates for recording the use of agricultural chemicals, poison baits and veterinary chemicals (including hormonal growth promotants) are also available from the AgVic Chemical Use website. </w:t>
      </w:r>
    </w:p>
    <w:p w14:paraId="52E91323"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529016C8" w14:textId="448D1519" w:rsidR="00A2213D" w:rsidRPr="00A2213D" w:rsidRDefault="00A2213D" w:rsidP="00A2213D">
      <w:pPr>
        <w:autoSpaceDE w:val="0"/>
        <w:autoSpaceDN w:val="0"/>
        <w:adjustRightInd w:val="0"/>
        <w:spacing w:after="0" w:line="240" w:lineRule="auto"/>
        <w:rPr>
          <w:rFonts w:ascii="VIC" w:hAnsi="VIC" w:cs="Arial"/>
          <w:b/>
          <w:bCs/>
          <w:color w:val="000000"/>
          <w:szCs w:val="18"/>
          <w:lang w:val="en-AU"/>
        </w:rPr>
      </w:pPr>
      <w:r w:rsidRPr="00A2213D">
        <w:rPr>
          <w:rFonts w:ascii="VIC" w:hAnsi="VIC" w:cs="Arial"/>
          <w:b/>
          <w:bCs/>
          <w:color w:val="000000"/>
          <w:szCs w:val="18"/>
          <w:lang w:val="en-AU"/>
        </w:rPr>
        <w:t xml:space="preserve">                                                                                        </w:t>
      </w:r>
    </w:p>
    <w:p w14:paraId="7CC6D42A" w14:textId="77777777" w:rsidR="00A2213D" w:rsidRPr="00A2213D" w:rsidRDefault="00A2213D" w:rsidP="00A2213D">
      <w:pPr>
        <w:autoSpaceDE w:val="0"/>
        <w:autoSpaceDN w:val="0"/>
        <w:adjustRightInd w:val="0"/>
        <w:spacing w:after="0" w:line="240" w:lineRule="auto"/>
        <w:rPr>
          <w:rFonts w:ascii="VIC" w:hAnsi="VIC" w:cs="Arial"/>
          <w:b/>
          <w:bCs/>
          <w:color w:val="000000"/>
          <w:szCs w:val="18"/>
          <w:lang w:val="en-AU"/>
        </w:rPr>
      </w:pPr>
      <w:r w:rsidRPr="00A2213D">
        <w:rPr>
          <w:rFonts w:ascii="VIC" w:hAnsi="VIC" w:cs="Arial"/>
          <w:b/>
          <w:bCs/>
          <w:color w:val="4C7329"/>
          <w:szCs w:val="18"/>
          <w:lang w:val="en-AU"/>
        </w:rPr>
        <w:t>I CAN keep records in a format that suits me, providing that I capture all the necessary information.</w:t>
      </w:r>
    </w:p>
    <w:p w14:paraId="72C64378" w14:textId="77777777" w:rsidR="00A2213D" w:rsidRPr="00A2213D" w:rsidRDefault="00A2213D" w:rsidP="00A2213D">
      <w:pPr>
        <w:autoSpaceDE w:val="0"/>
        <w:autoSpaceDN w:val="0"/>
        <w:adjustRightInd w:val="0"/>
        <w:spacing w:after="0" w:line="240" w:lineRule="auto"/>
        <w:rPr>
          <w:rFonts w:ascii="VIC" w:hAnsi="VIC" w:cs="Arial"/>
          <w:b/>
          <w:bCs/>
          <w:color w:val="000000"/>
          <w:szCs w:val="18"/>
          <w:lang w:val="en-AU"/>
        </w:rPr>
      </w:pPr>
    </w:p>
    <w:p w14:paraId="3B17484F" w14:textId="77777777" w:rsidR="00A2213D" w:rsidRPr="00A2213D" w:rsidRDefault="00A2213D" w:rsidP="00A2213D">
      <w:pPr>
        <w:autoSpaceDE w:val="0"/>
        <w:autoSpaceDN w:val="0"/>
        <w:adjustRightInd w:val="0"/>
        <w:spacing w:after="0" w:line="240" w:lineRule="auto"/>
        <w:jc w:val="center"/>
        <w:rPr>
          <w:rFonts w:ascii="VIC" w:hAnsi="VIC" w:cs="Arial"/>
          <w:b/>
          <w:bCs/>
          <w:color w:val="FF0000"/>
          <w:szCs w:val="18"/>
          <w:lang w:val="en-AU"/>
        </w:rPr>
      </w:pPr>
      <w:r w:rsidRPr="00A2213D">
        <w:rPr>
          <w:rFonts w:ascii="VIC" w:hAnsi="VIC" w:cs="Arial"/>
          <w:b/>
          <w:bCs/>
          <w:color w:val="FF0000"/>
          <w:szCs w:val="18"/>
          <w:lang w:val="en-AU"/>
        </w:rPr>
        <w:t>BUT</w:t>
      </w:r>
    </w:p>
    <w:p w14:paraId="073DBFF7" w14:textId="68C208F4" w:rsidR="00A2213D" w:rsidRPr="00A2213D" w:rsidRDefault="00A2213D" w:rsidP="00A2213D">
      <w:pPr>
        <w:autoSpaceDE w:val="0"/>
        <w:autoSpaceDN w:val="0"/>
        <w:adjustRightInd w:val="0"/>
        <w:spacing w:after="0" w:line="240" w:lineRule="auto"/>
        <w:rPr>
          <w:rFonts w:ascii="VIC" w:hAnsi="VIC"/>
          <w:b/>
          <w:color w:val="FF0000"/>
        </w:rPr>
      </w:pPr>
    </w:p>
    <w:p w14:paraId="66FA2239" w14:textId="77777777" w:rsidR="00A2213D" w:rsidRPr="00A2213D" w:rsidRDefault="00A2213D" w:rsidP="00A2213D">
      <w:pPr>
        <w:autoSpaceDE w:val="0"/>
        <w:autoSpaceDN w:val="0"/>
        <w:adjustRightInd w:val="0"/>
        <w:spacing w:after="0" w:line="240" w:lineRule="auto"/>
        <w:rPr>
          <w:rFonts w:ascii="VIC" w:hAnsi="VIC" w:cs="Arial"/>
          <w:b/>
          <w:bCs/>
          <w:color w:val="FF0000"/>
          <w:szCs w:val="18"/>
          <w:lang w:val="en-AU"/>
        </w:rPr>
      </w:pPr>
      <w:r w:rsidRPr="00A2213D">
        <w:rPr>
          <w:rFonts w:ascii="VIC" w:hAnsi="VIC"/>
          <w:b/>
          <w:color w:val="FF0000"/>
        </w:rPr>
        <w:t>I CAN’T dispose of chemical use records for two years.</w:t>
      </w:r>
    </w:p>
    <w:p w14:paraId="24FFC717" w14:textId="4E9907EB" w:rsidR="00A2213D" w:rsidRPr="00A2213D" w:rsidRDefault="00A2213D" w:rsidP="00A2213D">
      <w:pPr>
        <w:spacing w:line="240" w:lineRule="auto"/>
        <w:rPr>
          <w:rFonts w:ascii="VIC" w:hAnsi="VIC"/>
        </w:rPr>
      </w:pPr>
      <w:r w:rsidRPr="00A2213D">
        <w:rPr>
          <w:rFonts w:ascii="VIC" w:hAnsi="VIC"/>
          <w:noProof/>
        </w:rPr>
        <w:drawing>
          <wp:inline distT="0" distB="0" distL="0" distR="0" wp14:anchorId="66911265" wp14:editId="5FD1989D">
            <wp:extent cx="3103245" cy="2185035"/>
            <wp:effectExtent l="0" t="0" r="1905" b="5715"/>
            <wp:docPr id="2" name="Picture 2" descr="Figure 3 Example of record keep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Example of record keeping templ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85035"/>
                    </a:xfrm>
                    <a:prstGeom prst="rect">
                      <a:avLst/>
                    </a:prstGeom>
                    <a:noFill/>
                  </pic:spPr>
                </pic:pic>
              </a:graphicData>
            </a:graphic>
          </wp:inline>
        </w:drawing>
      </w:r>
    </w:p>
    <w:p w14:paraId="038583CB" w14:textId="77777777" w:rsidR="00A2213D" w:rsidRPr="00A2213D" w:rsidRDefault="00A2213D" w:rsidP="00A2213D">
      <w:pPr>
        <w:pStyle w:val="Heading1"/>
        <w:rPr>
          <w:rFonts w:ascii="VIC" w:eastAsiaTheme="minorHAnsi" w:hAnsi="VIC"/>
        </w:rPr>
      </w:pPr>
      <w:r w:rsidRPr="00A2213D">
        <w:rPr>
          <w:rFonts w:ascii="VIC" w:eastAsiaTheme="minorHAnsi" w:hAnsi="VIC"/>
        </w:rPr>
        <w:t xml:space="preserve">Off-label use of all other chemicals </w:t>
      </w:r>
    </w:p>
    <w:p w14:paraId="341DAC55" w14:textId="77777777" w:rsidR="00A2213D" w:rsidRPr="00A2213D" w:rsidRDefault="00A2213D" w:rsidP="00A2213D">
      <w:pPr>
        <w:autoSpaceDE w:val="0"/>
        <w:autoSpaceDN w:val="0"/>
        <w:adjustRightInd w:val="0"/>
        <w:spacing w:after="221" w:line="240" w:lineRule="auto"/>
        <w:rPr>
          <w:rFonts w:ascii="VIC" w:hAnsi="VIC" w:cs="Arial"/>
          <w:color w:val="000000"/>
          <w:szCs w:val="18"/>
          <w:lang w:val="en-AU"/>
        </w:rPr>
      </w:pPr>
      <w:r w:rsidRPr="00A2213D">
        <w:rPr>
          <w:rFonts w:ascii="VIC" w:hAnsi="VIC" w:cs="Arial"/>
          <w:color w:val="000000"/>
          <w:szCs w:val="18"/>
          <w:lang w:val="en-AU"/>
        </w:rPr>
        <w:t xml:space="preserve">Off-label use refers to situations when a chemical is used in a manner that is not specified on the chemical’s product label. </w:t>
      </w:r>
    </w:p>
    <w:p w14:paraId="71690B72" w14:textId="77777777" w:rsidR="00A2213D" w:rsidRPr="00A2213D" w:rsidRDefault="00A2213D" w:rsidP="00A2213D">
      <w:pPr>
        <w:autoSpaceDE w:val="0"/>
        <w:autoSpaceDN w:val="0"/>
        <w:adjustRightInd w:val="0"/>
        <w:spacing w:after="221" w:line="240" w:lineRule="auto"/>
        <w:rPr>
          <w:rFonts w:ascii="VIC" w:hAnsi="VIC" w:cs="Arial"/>
          <w:color w:val="000000"/>
          <w:szCs w:val="18"/>
          <w:lang w:val="en-AU"/>
        </w:rPr>
      </w:pPr>
      <w:r w:rsidRPr="00A2213D">
        <w:rPr>
          <w:rFonts w:ascii="VIC" w:hAnsi="VIC" w:cs="Arial"/>
          <w:color w:val="000000"/>
          <w:szCs w:val="18"/>
          <w:lang w:val="en-AU"/>
        </w:rPr>
        <w:t xml:space="preserve">Examples of off-label use include when a chemical is used to control a different pest or to protect a different host (crop or animal), at a different rate, or in a different manner to that listed on the label. Any variation from the label Directions for Use constitutes an off-label use. </w:t>
      </w:r>
    </w:p>
    <w:p w14:paraId="65E91B0F" w14:textId="77777777" w:rsidR="00A2213D" w:rsidRPr="00A2213D" w:rsidRDefault="00A2213D" w:rsidP="00A2213D">
      <w:pPr>
        <w:autoSpaceDE w:val="0"/>
        <w:autoSpaceDN w:val="0"/>
        <w:adjustRightInd w:val="0"/>
        <w:spacing w:after="221" w:line="240" w:lineRule="auto"/>
        <w:rPr>
          <w:rFonts w:ascii="VIC" w:hAnsi="VIC" w:cs="Arial"/>
          <w:color w:val="000000"/>
          <w:szCs w:val="18"/>
          <w:lang w:val="en-AU"/>
        </w:rPr>
      </w:pPr>
      <w:r w:rsidRPr="00A2213D">
        <w:rPr>
          <w:rFonts w:ascii="VIC" w:hAnsi="VIC" w:cs="Arial"/>
          <w:color w:val="000000"/>
          <w:szCs w:val="18"/>
          <w:lang w:val="en-AU"/>
        </w:rPr>
        <w:lastRenderedPageBreak/>
        <w:t xml:space="preserve">In Victoria, it is legal to use chemicals, </w:t>
      </w:r>
      <w:r w:rsidRPr="00A2213D">
        <w:rPr>
          <w:rFonts w:ascii="VIC" w:hAnsi="VIC" w:cs="Arial"/>
          <w:color w:val="000000"/>
          <w:szCs w:val="18"/>
          <w:u w:val="single"/>
          <w:lang w:val="en-AU"/>
        </w:rPr>
        <w:t>other than</w:t>
      </w:r>
      <w:r w:rsidRPr="00A2213D">
        <w:rPr>
          <w:rFonts w:ascii="VIC" w:hAnsi="VIC" w:cs="Arial"/>
          <w:color w:val="000000"/>
          <w:szCs w:val="18"/>
          <w:lang w:val="en-AU"/>
        </w:rPr>
        <w:t xml:space="preserve"> ‘restricted use’ chemicals, “off-label” providing that: </w:t>
      </w:r>
    </w:p>
    <w:p w14:paraId="3ABFF806" w14:textId="77777777" w:rsidR="00A2213D" w:rsidRPr="00A2213D" w:rsidRDefault="00A2213D" w:rsidP="00A2213D">
      <w:pPr>
        <w:pStyle w:val="Agbulletlist"/>
        <w:rPr>
          <w:rFonts w:ascii="VIC" w:hAnsi="VIC"/>
        </w:rPr>
      </w:pPr>
      <w:r w:rsidRPr="00A2213D">
        <w:rPr>
          <w:rFonts w:ascii="VIC" w:hAnsi="VIC"/>
        </w:rPr>
        <w:t xml:space="preserve">the maximum label rate is not exceeded </w:t>
      </w:r>
    </w:p>
    <w:p w14:paraId="719AD565" w14:textId="77777777" w:rsidR="00A2213D" w:rsidRPr="00A2213D" w:rsidRDefault="00A2213D" w:rsidP="00A2213D">
      <w:pPr>
        <w:pStyle w:val="Agbulletlist"/>
        <w:rPr>
          <w:rFonts w:ascii="VIC" w:hAnsi="VIC"/>
        </w:rPr>
      </w:pPr>
      <w:r w:rsidRPr="00A2213D">
        <w:rPr>
          <w:rFonts w:ascii="VIC" w:hAnsi="VIC"/>
        </w:rPr>
        <w:t xml:space="preserve">the label frequency of application is not exceeded </w:t>
      </w:r>
    </w:p>
    <w:p w14:paraId="5BF96E03" w14:textId="77777777" w:rsidR="00A2213D" w:rsidRPr="00A2213D" w:rsidRDefault="00A2213D" w:rsidP="00A2213D">
      <w:pPr>
        <w:pStyle w:val="Agbulletlist"/>
        <w:rPr>
          <w:rFonts w:ascii="VIC" w:hAnsi="VIC"/>
          <w:lang w:val="en-AU"/>
        </w:rPr>
      </w:pPr>
      <w:r w:rsidRPr="00A2213D">
        <w:rPr>
          <w:rFonts w:ascii="VIC" w:hAnsi="VIC"/>
          <w:lang w:val="en-AU"/>
        </w:rPr>
        <w:t xml:space="preserve">any specific label statements prohibiting the use are complied with (e.g. DO NOT statements). </w:t>
      </w:r>
    </w:p>
    <w:p w14:paraId="0AFE5FB4" w14:textId="77777777" w:rsidR="00A2213D" w:rsidRPr="00A2213D" w:rsidRDefault="00A2213D" w:rsidP="00A2213D">
      <w:pPr>
        <w:pStyle w:val="Agbulletlist"/>
        <w:numPr>
          <w:ilvl w:val="0"/>
          <w:numId w:val="0"/>
        </w:numPr>
        <w:rPr>
          <w:rFonts w:ascii="VIC" w:hAnsi="VIC"/>
          <w:lang w:val="en-AU"/>
        </w:rPr>
      </w:pPr>
      <w:r w:rsidRPr="00A2213D">
        <w:rPr>
          <w:rFonts w:ascii="VIC" w:hAnsi="VIC"/>
          <w:lang w:val="en-AU"/>
        </w:rPr>
        <w:t xml:space="preserve">Any person who chooses to use these chemicals in an off-label manner does so accepting total responsibility for: </w:t>
      </w:r>
    </w:p>
    <w:p w14:paraId="5BAA4478" w14:textId="77777777" w:rsidR="00A2213D" w:rsidRPr="00A2213D" w:rsidRDefault="00A2213D" w:rsidP="00A2213D">
      <w:pPr>
        <w:pStyle w:val="Agbulletlist"/>
        <w:rPr>
          <w:rFonts w:ascii="VIC" w:hAnsi="VIC"/>
          <w:lang w:val="en-AU"/>
        </w:rPr>
      </w:pPr>
      <w:r w:rsidRPr="00A2213D">
        <w:rPr>
          <w:rFonts w:ascii="VIC" w:hAnsi="VIC"/>
          <w:lang w:val="en-AU"/>
        </w:rPr>
        <w:t xml:space="preserve">Efficacy - whether the chemical achieves the desired result or not </w:t>
      </w:r>
    </w:p>
    <w:p w14:paraId="2E11A5C2" w14:textId="77777777" w:rsidR="00A2213D" w:rsidRPr="00A2213D" w:rsidRDefault="00A2213D" w:rsidP="00A2213D">
      <w:pPr>
        <w:pStyle w:val="Agbulletlist"/>
        <w:rPr>
          <w:rFonts w:ascii="VIC" w:hAnsi="VIC"/>
          <w:lang w:val="en-AU"/>
        </w:rPr>
      </w:pPr>
      <w:r w:rsidRPr="00A2213D">
        <w:rPr>
          <w:rFonts w:ascii="VIC" w:hAnsi="VIC"/>
          <w:lang w:val="en-AU"/>
        </w:rPr>
        <w:t xml:space="preserve">Residues in the environment </w:t>
      </w:r>
    </w:p>
    <w:p w14:paraId="7610C81C" w14:textId="77777777" w:rsidR="00A2213D" w:rsidRPr="00A2213D" w:rsidRDefault="00A2213D" w:rsidP="00A2213D">
      <w:pPr>
        <w:pStyle w:val="Agbulletlist"/>
        <w:rPr>
          <w:rFonts w:ascii="VIC" w:hAnsi="VIC"/>
          <w:lang w:val="en-AU"/>
        </w:rPr>
      </w:pPr>
      <w:r w:rsidRPr="00A2213D">
        <w:rPr>
          <w:rFonts w:ascii="VIC" w:hAnsi="VIC"/>
          <w:lang w:val="en-AU"/>
        </w:rPr>
        <w:t xml:space="preserve">Occupational Health and Safety issues </w:t>
      </w:r>
    </w:p>
    <w:p w14:paraId="7CD9C2B2" w14:textId="77777777" w:rsidR="00A2213D" w:rsidRPr="00A2213D" w:rsidRDefault="00A2213D" w:rsidP="00A2213D">
      <w:pPr>
        <w:pStyle w:val="Agbulletlist"/>
        <w:rPr>
          <w:rFonts w:ascii="VIC" w:hAnsi="VIC"/>
          <w:lang w:val="en-AU"/>
        </w:rPr>
      </w:pPr>
      <w:r w:rsidRPr="00A2213D">
        <w:rPr>
          <w:rFonts w:ascii="VIC" w:hAnsi="VIC"/>
          <w:lang w:val="en-AU"/>
        </w:rPr>
        <w:t>Residues in produce. (It is an offence for a person to sell produce derived from a plant or animal that contains a chemical residue that is above the Maximum Residue Limit).</w:t>
      </w:r>
    </w:p>
    <w:p w14:paraId="490F0F7D" w14:textId="06D89B80" w:rsidR="00A2213D" w:rsidRPr="00A2213D" w:rsidRDefault="00A2213D" w:rsidP="00A2213D">
      <w:pPr>
        <w:pStyle w:val="Agbulletlist"/>
        <w:numPr>
          <w:ilvl w:val="0"/>
          <w:numId w:val="0"/>
        </w:numPr>
        <w:ind w:left="284"/>
        <w:rPr>
          <w:rFonts w:ascii="VIC" w:hAnsi="VIC"/>
          <w:lang w:val="en-AU"/>
        </w:rPr>
      </w:pPr>
    </w:p>
    <w:p w14:paraId="61D20CBE" w14:textId="77777777" w:rsidR="00A2213D" w:rsidRPr="003E6F2D" w:rsidRDefault="00A2213D" w:rsidP="00A2213D">
      <w:pPr>
        <w:pStyle w:val="Agbulletlist"/>
        <w:numPr>
          <w:ilvl w:val="0"/>
          <w:numId w:val="0"/>
        </w:numPr>
        <w:rPr>
          <w:rFonts w:ascii="VIC" w:hAnsi="VIC"/>
          <w:b/>
          <w:color w:val="4C7329"/>
          <w:lang w:val="en-AU"/>
        </w:rPr>
      </w:pPr>
      <w:r w:rsidRPr="003E6F2D">
        <w:rPr>
          <w:rFonts w:ascii="VIC" w:hAnsi="VIC"/>
          <w:b/>
          <w:color w:val="4C7329"/>
          <w:lang w:val="en-AU"/>
        </w:rPr>
        <w:t xml:space="preserve">I CAN use chemicals off-label without a specific permit if they are not classified as ‘restricted use’ and I am willing to accept responsibility for my actions. </w:t>
      </w:r>
    </w:p>
    <w:p w14:paraId="523FC929" w14:textId="7261221A" w:rsidR="00A2213D" w:rsidRPr="003E6F2D" w:rsidRDefault="00A2213D" w:rsidP="00A2213D">
      <w:pPr>
        <w:pStyle w:val="Agbulletlist"/>
        <w:numPr>
          <w:ilvl w:val="0"/>
          <w:numId w:val="0"/>
        </w:numPr>
        <w:jc w:val="center"/>
        <w:rPr>
          <w:rFonts w:ascii="VIC" w:hAnsi="VIC"/>
          <w:b/>
          <w:color w:val="FF0000"/>
          <w:lang w:val="en-AU"/>
        </w:rPr>
      </w:pPr>
      <w:r w:rsidRPr="003E6F2D">
        <w:rPr>
          <w:rFonts w:ascii="VIC" w:hAnsi="VIC"/>
          <w:b/>
          <w:color w:val="FF0000"/>
          <w:lang w:val="en-AU"/>
        </w:rPr>
        <w:t>BUT</w:t>
      </w:r>
    </w:p>
    <w:p w14:paraId="74151890" w14:textId="77777777" w:rsidR="00A2213D" w:rsidRPr="003E6F2D" w:rsidRDefault="00A2213D" w:rsidP="00A2213D">
      <w:pPr>
        <w:pStyle w:val="Agbulletlist"/>
        <w:numPr>
          <w:ilvl w:val="0"/>
          <w:numId w:val="0"/>
        </w:numPr>
        <w:rPr>
          <w:rFonts w:ascii="VIC" w:hAnsi="VIC"/>
          <w:color w:val="FF0000"/>
        </w:rPr>
      </w:pPr>
      <w:r w:rsidRPr="003E6F2D">
        <w:rPr>
          <w:rFonts w:ascii="VIC" w:hAnsi="VIC" w:cs="Arial"/>
          <w:b/>
          <w:color w:val="FF0000"/>
          <w:szCs w:val="18"/>
          <w:lang w:val="en-AU"/>
        </w:rPr>
        <w:t>I CAN’T use chemicals ‘off-label’ if I intend to use them</w:t>
      </w:r>
    </w:p>
    <w:p w14:paraId="685C3104" w14:textId="77777777" w:rsidR="00A2213D" w:rsidRPr="003E6F2D" w:rsidRDefault="00A2213D" w:rsidP="00A2213D">
      <w:pPr>
        <w:pStyle w:val="Agbulletlist"/>
        <w:spacing w:after="0" w:line="240" w:lineRule="auto"/>
        <w:rPr>
          <w:rFonts w:ascii="VIC" w:hAnsi="VIC"/>
          <w:color w:val="FF0000"/>
        </w:rPr>
      </w:pPr>
      <w:r w:rsidRPr="003E6F2D">
        <w:rPr>
          <w:rFonts w:ascii="VIC" w:hAnsi="VIC"/>
          <w:color w:val="FF0000"/>
        </w:rPr>
        <w:t xml:space="preserve">at a higher rate than that listed on the label </w:t>
      </w:r>
    </w:p>
    <w:p w14:paraId="33D14517" w14:textId="77777777" w:rsidR="00A2213D" w:rsidRPr="003E6F2D" w:rsidRDefault="00A2213D" w:rsidP="00A2213D">
      <w:pPr>
        <w:pStyle w:val="Agbulletlist"/>
        <w:spacing w:after="0" w:line="240" w:lineRule="auto"/>
        <w:rPr>
          <w:rFonts w:ascii="VIC" w:hAnsi="VIC"/>
          <w:color w:val="FF0000"/>
        </w:rPr>
      </w:pPr>
      <w:r w:rsidRPr="003E6F2D">
        <w:rPr>
          <w:rFonts w:ascii="VIC" w:hAnsi="VIC"/>
          <w:color w:val="FF0000"/>
        </w:rPr>
        <w:t xml:space="preserve">more frequently than the frequency listed on the label </w:t>
      </w:r>
    </w:p>
    <w:p w14:paraId="7E5446A3" w14:textId="77777777" w:rsidR="00A2213D" w:rsidRPr="003E6F2D" w:rsidRDefault="00A2213D" w:rsidP="00A2213D">
      <w:pPr>
        <w:pStyle w:val="Agbulletlist"/>
        <w:spacing w:line="240" w:lineRule="auto"/>
        <w:rPr>
          <w:rFonts w:ascii="VIC" w:hAnsi="VIC"/>
          <w:color w:val="FF0000"/>
        </w:rPr>
      </w:pPr>
      <w:r w:rsidRPr="003E6F2D">
        <w:rPr>
          <w:rFonts w:ascii="VIC" w:hAnsi="VIC"/>
          <w:color w:val="FF0000"/>
        </w:rPr>
        <w:t xml:space="preserve">contrary to a specific ‘DO NOT’ label statement. </w:t>
      </w:r>
    </w:p>
    <w:p w14:paraId="0226DFC4" w14:textId="77777777" w:rsidR="00A2213D" w:rsidRPr="003E6F2D" w:rsidRDefault="00A2213D" w:rsidP="00A2213D">
      <w:pPr>
        <w:pStyle w:val="Agbulletlist"/>
        <w:numPr>
          <w:ilvl w:val="0"/>
          <w:numId w:val="0"/>
        </w:numPr>
        <w:spacing w:line="240" w:lineRule="auto"/>
        <w:rPr>
          <w:rFonts w:ascii="VIC" w:hAnsi="VIC"/>
          <w:b/>
          <w:color w:val="FF0000"/>
        </w:rPr>
      </w:pPr>
      <w:r w:rsidRPr="003E6F2D">
        <w:rPr>
          <w:rFonts w:ascii="VIC" w:hAnsi="VIC"/>
          <w:b/>
          <w:color w:val="FF0000"/>
        </w:rPr>
        <w:t>UNLESS I obtain a specific APVMA permit</w:t>
      </w:r>
    </w:p>
    <w:p w14:paraId="32A73397" w14:textId="77777777" w:rsidR="00A2213D" w:rsidRPr="00A2213D" w:rsidRDefault="00A2213D" w:rsidP="00A2213D">
      <w:pPr>
        <w:pStyle w:val="Heading1"/>
        <w:rPr>
          <w:rFonts w:ascii="VIC" w:eastAsiaTheme="minorHAnsi" w:hAnsi="VIC"/>
        </w:rPr>
      </w:pPr>
      <w:r w:rsidRPr="00A2213D">
        <w:rPr>
          <w:rFonts w:ascii="VIC" w:eastAsiaTheme="minorHAnsi" w:hAnsi="VIC"/>
        </w:rPr>
        <w:t>Agricultural Chemical control Areas</w:t>
      </w:r>
    </w:p>
    <w:p w14:paraId="53730690" w14:textId="178B5958" w:rsidR="00A2213D" w:rsidRPr="00A2213D" w:rsidRDefault="00A2213D" w:rsidP="003E6F2D">
      <w:pPr>
        <w:pStyle w:val="Agbodytext"/>
        <w:spacing w:line="240" w:lineRule="auto"/>
        <w:rPr>
          <w:rFonts w:ascii="VIC" w:hAnsi="VIC"/>
        </w:rPr>
      </w:pPr>
      <w:r w:rsidRPr="00A2213D">
        <w:rPr>
          <w:rFonts w:ascii="VIC" w:hAnsi="VIC"/>
          <w:noProof/>
        </w:rPr>
        <w:drawing>
          <wp:inline distT="0" distB="0" distL="0" distR="0" wp14:anchorId="4AFF787E" wp14:editId="173F0A96">
            <wp:extent cx="3368675" cy="2381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8675" cy="2381250"/>
                    </a:xfrm>
                    <a:prstGeom prst="rect">
                      <a:avLst/>
                    </a:prstGeom>
                    <a:noFill/>
                  </pic:spPr>
                </pic:pic>
              </a:graphicData>
            </a:graphic>
          </wp:inline>
        </w:drawing>
      </w:r>
    </w:p>
    <w:p w14:paraId="01102E87" w14:textId="77777777" w:rsidR="00A2213D" w:rsidRPr="00A2213D" w:rsidRDefault="00A2213D" w:rsidP="00A2213D">
      <w:pPr>
        <w:autoSpaceDE w:val="0"/>
        <w:autoSpaceDN w:val="0"/>
        <w:adjustRightInd w:val="0"/>
        <w:spacing w:after="218" w:line="240" w:lineRule="auto"/>
        <w:rPr>
          <w:rFonts w:ascii="VIC" w:hAnsi="VIC" w:cs="Arial"/>
          <w:color w:val="000000"/>
          <w:szCs w:val="18"/>
          <w:lang w:val="en-AU"/>
        </w:rPr>
      </w:pPr>
      <w:r w:rsidRPr="00A2213D">
        <w:rPr>
          <w:rFonts w:ascii="VIC" w:hAnsi="VIC" w:cs="Arial"/>
          <w:color w:val="000000"/>
          <w:szCs w:val="18"/>
          <w:lang w:val="en-AU"/>
        </w:rPr>
        <w:t xml:space="preserve">Nine Agricultural Chemical Control Areas (ACCAs) have been established in Victoria to protect herbicide sensitive and high value crops (such as grapevines, vegetables, and fruit trees) from damage. </w:t>
      </w:r>
    </w:p>
    <w:p w14:paraId="64D5B168"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The types of herbicides, their method of application and the periods in which certain chemicals can be applied are restricted in these areas. </w:t>
      </w:r>
    </w:p>
    <w:p w14:paraId="7503BDBE"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p>
    <w:p w14:paraId="2B931AF6" w14:textId="77777777" w:rsidR="00A2213D" w:rsidRPr="00A2213D" w:rsidRDefault="00A2213D" w:rsidP="00A2213D">
      <w:pPr>
        <w:pStyle w:val="Agbodytext"/>
        <w:rPr>
          <w:rFonts w:ascii="VIC" w:hAnsi="VIC"/>
          <w:b/>
        </w:rPr>
      </w:pPr>
      <w:r w:rsidRPr="00A2213D">
        <w:rPr>
          <w:rFonts w:ascii="VIC" w:hAnsi="VIC"/>
          <w:b/>
        </w:rPr>
        <w:t>Table 1: Dates ACCA restrictions are operational</w:t>
      </w:r>
    </w:p>
    <w:tbl>
      <w:tblPr>
        <w:tblStyle w:val="TableGrid"/>
        <w:tblW w:w="0" w:type="auto"/>
        <w:tblInd w:w="0" w:type="dxa"/>
        <w:tblLook w:val="04A0" w:firstRow="1" w:lastRow="0" w:firstColumn="1" w:lastColumn="0" w:noHBand="0" w:noVBand="1"/>
      </w:tblPr>
      <w:tblGrid>
        <w:gridCol w:w="2551"/>
        <w:gridCol w:w="2552"/>
      </w:tblGrid>
      <w:tr w:rsidR="00A2213D" w:rsidRPr="00A2213D" w14:paraId="2D3AA6D9"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457E0970" w14:textId="77777777" w:rsidR="00A2213D" w:rsidRPr="00A2213D" w:rsidRDefault="00A2213D">
            <w:pPr>
              <w:autoSpaceDE w:val="0"/>
              <w:autoSpaceDN w:val="0"/>
              <w:adjustRightInd w:val="0"/>
              <w:spacing w:after="0" w:line="240" w:lineRule="auto"/>
              <w:rPr>
                <w:rFonts w:ascii="VIC" w:hAnsi="VIC"/>
              </w:rPr>
            </w:pPr>
            <w:r w:rsidRPr="00A2213D">
              <w:rPr>
                <w:rFonts w:ascii="VIC" w:hAnsi="VIC" w:cs="Arial"/>
                <w:color w:val="000000"/>
                <w:szCs w:val="18"/>
                <w:lang w:val="en-AU"/>
              </w:rPr>
              <w:t xml:space="preserve">Melbourne </w:t>
            </w:r>
          </w:p>
        </w:tc>
        <w:tc>
          <w:tcPr>
            <w:tcW w:w="2552" w:type="dxa"/>
            <w:tcBorders>
              <w:top w:val="single" w:sz="4" w:space="0" w:color="auto"/>
              <w:left w:val="single" w:sz="4" w:space="0" w:color="auto"/>
              <w:bottom w:val="single" w:sz="4" w:space="0" w:color="auto"/>
              <w:right w:val="single" w:sz="4" w:space="0" w:color="auto"/>
            </w:tcBorders>
            <w:hideMark/>
          </w:tcPr>
          <w:p w14:paraId="0F3CDEC3" w14:textId="77777777" w:rsidR="00A2213D" w:rsidRPr="00A2213D" w:rsidRDefault="00A2213D">
            <w:pPr>
              <w:pStyle w:val="Agbodytext"/>
              <w:rPr>
                <w:rFonts w:ascii="VIC" w:hAnsi="VIC"/>
              </w:rPr>
            </w:pPr>
            <w:r w:rsidRPr="00A2213D">
              <w:rPr>
                <w:rFonts w:ascii="VIC" w:hAnsi="VIC"/>
              </w:rPr>
              <w:t>All year</w:t>
            </w:r>
          </w:p>
        </w:tc>
      </w:tr>
      <w:tr w:rsidR="00A2213D" w:rsidRPr="00A2213D" w14:paraId="671236BD"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3E1F9BAA" w14:textId="77777777" w:rsidR="00A2213D" w:rsidRPr="00A2213D" w:rsidRDefault="00A2213D">
            <w:pPr>
              <w:pStyle w:val="Agbodytext"/>
              <w:rPr>
                <w:rFonts w:ascii="VIC" w:hAnsi="VIC"/>
              </w:rPr>
            </w:pPr>
            <w:r w:rsidRPr="00A2213D">
              <w:rPr>
                <w:rFonts w:ascii="VIC" w:hAnsi="VIC" w:cs="Arial"/>
                <w:color w:val="000000"/>
                <w:szCs w:val="18"/>
                <w:lang w:val="en-AU"/>
              </w:rPr>
              <w:t>Lindenow</w:t>
            </w:r>
          </w:p>
        </w:tc>
        <w:tc>
          <w:tcPr>
            <w:tcW w:w="2552" w:type="dxa"/>
            <w:tcBorders>
              <w:top w:val="single" w:sz="4" w:space="0" w:color="auto"/>
              <w:left w:val="single" w:sz="4" w:space="0" w:color="auto"/>
              <w:bottom w:val="single" w:sz="4" w:space="0" w:color="auto"/>
              <w:right w:val="single" w:sz="4" w:space="0" w:color="auto"/>
            </w:tcBorders>
            <w:hideMark/>
          </w:tcPr>
          <w:p w14:paraId="5DA39183" w14:textId="77777777" w:rsidR="00A2213D" w:rsidRPr="00A2213D" w:rsidRDefault="00A2213D">
            <w:pPr>
              <w:pStyle w:val="Agbodytext"/>
              <w:rPr>
                <w:rFonts w:ascii="VIC" w:hAnsi="VIC"/>
              </w:rPr>
            </w:pPr>
            <w:r w:rsidRPr="00A2213D">
              <w:rPr>
                <w:rFonts w:ascii="VIC" w:hAnsi="VIC"/>
              </w:rPr>
              <w:t>All year</w:t>
            </w:r>
          </w:p>
        </w:tc>
      </w:tr>
      <w:tr w:rsidR="00A2213D" w:rsidRPr="00A2213D" w14:paraId="79B7CC79"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40CADCEF" w14:textId="77777777" w:rsidR="00A2213D" w:rsidRPr="00A2213D" w:rsidRDefault="00A2213D">
            <w:pPr>
              <w:pStyle w:val="Agbodytext"/>
              <w:rPr>
                <w:rFonts w:ascii="VIC" w:hAnsi="VIC"/>
              </w:rPr>
            </w:pPr>
            <w:r w:rsidRPr="00A2213D">
              <w:rPr>
                <w:rFonts w:ascii="VIC" w:hAnsi="VIC" w:cs="Arial"/>
                <w:color w:val="000000"/>
                <w:szCs w:val="18"/>
                <w:lang w:val="en-AU"/>
              </w:rPr>
              <w:lastRenderedPageBreak/>
              <w:t>Orbost</w:t>
            </w:r>
          </w:p>
        </w:tc>
        <w:tc>
          <w:tcPr>
            <w:tcW w:w="2552" w:type="dxa"/>
            <w:tcBorders>
              <w:top w:val="single" w:sz="4" w:space="0" w:color="auto"/>
              <w:left w:val="single" w:sz="4" w:space="0" w:color="auto"/>
              <w:bottom w:val="single" w:sz="4" w:space="0" w:color="auto"/>
              <w:right w:val="single" w:sz="4" w:space="0" w:color="auto"/>
            </w:tcBorders>
            <w:hideMark/>
          </w:tcPr>
          <w:p w14:paraId="418A825C" w14:textId="77777777" w:rsidR="00A2213D" w:rsidRPr="00A2213D" w:rsidRDefault="00A2213D">
            <w:pPr>
              <w:pStyle w:val="Agbodytext"/>
              <w:rPr>
                <w:rFonts w:ascii="VIC" w:hAnsi="VIC"/>
              </w:rPr>
            </w:pPr>
            <w:r w:rsidRPr="00A2213D">
              <w:rPr>
                <w:rFonts w:ascii="VIC" w:hAnsi="VIC"/>
              </w:rPr>
              <w:t>All year</w:t>
            </w:r>
          </w:p>
        </w:tc>
      </w:tr>
      <w:tr w:rsidR="00A2213D" w:rsidRPr="00A2213D" w14:paraId="7B19783A"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1B2C41FC" w14:textId="77777777" w:rsidR="00A2213D" w:rsidRPr="00A2213D" w:rsidRDefault="00A2213D">
            <w:pPr>
              <w:pStyle w:val="Agbodytext"/>
              <w:rPr>
                <w:rFonts w:ascii="VIC" w:hAnsi="VIC"/>
              </w:rPr>
            </w:pPr>
            <w:r w:rsidRPr="00A2213D">
              <w:rPr>
                <w:rFonts w:ascii="VIC" w:hAnsi="VIC" w:cs="Arial"/>
                <w:color w:val="000000"/>
                <w:szCs w:val="18"/>
                <w:lang w:val="en-AU"/>
              </w:rPr>
              <w:t>Boisdale</w:t>
            </w:r>
          </w:p>
        </w:tc>
        <w:tc>
          <w:tcPr>
            <w:tcW w:w="2552" w:type="dxa"/>
            <w:tcBorders>
              <w:top w:val="single" w:sz="4" w:space="0" w:color="auto"/>
              <w:left w:val="single" w:sz="4" w:space="0" w:color="auto"/>
              <w:bottom w:val="single" w:sz="4" w:space="0" w:color="auto"/>
              <w:right w:val="single" w:sz="4" w:space="0" w:color="auto"/>
            </w:tcBorders>
            <w:hideMark/>
          </w:tcPr>
          <w:p w14:paraId="0BEC1620" w14:textId="77777777" w:rsidR="00A2213D" w:rsidRPr="00A2213D" w:rsidRDefault="00A2213D">
            <w:pPr>
              <w:pStyle w:val="Agbodytext"/>
              <w:rPr>
                <w:rFonts w:ascii="VIC" w:hAnsi="VIC"/>
              </w:rPr>
            </w:pPr>
            <w:r w:rsidRPr="00A2213D">
              <w:rPr>
                <w:rFonts w:ascii="VIC" w:hAnsi="VIC"/>
              </w:rPr>
              <w:t>All year</w:t>
            </w:r>
          </w:p>
        </w:tc>
      </w:tr>
      <w:tr w:rsidR="00A2213D" w:rsidRPr="00A2213D" w14:paraId="25797FCD"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1B264887" w14:textId="77777777" w:rsidR="00A2213D" w:rsidRPr="00A2213D" w:rsidRDefault="00A2213D">
            <w:pPr>
              <w:pStyle w:val="Agbodytext"/>
              <w:rPr>
                <w:rFonts w:ascii="VIC" w:hAnsi="VIC"/>
              </w:rPr>
            </w:pPr>
            <w:r w:rsidRPr="00A2213D">
              <w:rPr>
                <w:rFonts w:ascii="VIC" w:hAnsi="VIC"/>
              </w:rPr>
              <w:t>Mallee and Mid Murray</w:t>
            </w:r>
          </w:p>
        </w:tc>
        <w:tc>
          <w:tcPr>
            <w:tcW w:w="2552" w:type="dxa"/>
            <w:tcBorders>
              <w:top w:val="single" w:sz="4" w:space="0" w:color="auto"/>
              <w:left w:val="single" w:sz="4" w:space="0" w:color="auto"/>
              <w:bottom w:val="single" w:sz="4" w:space="0" w:color="auto"/>
              <w:right w:val="single" w:sz="4" w:space="0" w:color="auto"/>
            </w:tcBorders>
            <w:hideMark/>
          </w:tcPr>
          <w:p w14:paraId="26B91579" w14:textId="77777777" w:rsidR="00A2213D" w:rsidRPr="00A2213D" w:rsidRDefault="00A2213D">
            <w:pPr>
              <w:autoSpaceDE w:val="0"/>
              <w:autoSpaceDN w:val="0"/>
              <w:adjustRightInd w:val="0"/>
              <w:spacing w:after="0" w:line="240" w:lineRule="auto"/>
              <w:rPr>
                <w:rFonts w:ascii="VIC" w:hAnsi="VIC"/>
              </w:rPr>
            </w:pPr>
            <w:r w:rsidRPr="00A2213D">
              <w:rPr>
                <w:rFonts w:ascii="VIC" w:hAnsi="VIC" w:cs="Arial"/>
                <w:color w:val="000000"/>
                <w:szCs w:val="18"/>
                <w:lang w:val="en-AU"/>
              </w:rPr>
              <w:t xml:space="preserve">1 August – 30 April the following year </w:t>
            </w:r>
          </w:p>
        </w:tc>
      </w:tr>
      <w:tr w:rsidR="00A2213D" w:rsidRPr="00A2213D" w14:paraId="63D36D1D"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4128A1D5" w14:textId="77777777" w:rsidR="00A2213D" w:rsidRPr="00A2213D" w:rsidRDefault="00A2213D">
            <w:pPr>
              <w:autoSpaceDE w:val="0"/>
              <w:autoSpaceDN w:val="0"/>
              <w:adjustRightInd w:val="0"/>
              <w:spacing w:after="0" w:line="240" w:lineRule="auto"/>
              <w:rPr>
                <w:rFonts w:ascii="VIC" w:hAnsi="VIC"/>
                <w:b/>
              </w:rPr>
            </w:pPr>
            <w:r w:rsidRPr="00A2213D">
              <w:rPr>
                <w:rFonts w:ascii="VIC" w:hAnsi="VIC" w:cs="Arial"/>
                <w:color w:val="000000"/>
                <w:szCs w:val="18"/>
                <w:lang w:val="en-AU"/>
              </w:rPr>
              <w:t xml:space="preserve">Extended Mallee </w:t>
            </w:r>
          </w:p>
        </w:tc>
        <w:tc>
          <w:tcPr>
            <w:tcW w:w="2552" w:type="dxa"/>
            <w:tcBorders>
              <w:top w:val="single" w:sz="4" w:space="0" w:color="auto"/>
              <w:left w:val="single" w:sz="4" w:space="0" w:color="auto"/>
              <w:bottom w:val="single" w:sz="4" w:space="0" w:color="auto"/>
              <w:right w:val="single" w:sz="4" w:space="0" w:color="auto"/>
            </w:tcBorders>
            <w:hideMark/>
          </w:tcPr>
          <w:p w14:paraId="4ED5315C" w14:textId="77777777" w:rsidR="00A2213D" w:rsidRPr="00A2213D" w:rsidRDefault="00A2213D">
            <w:pPr>
              <w:autoSpaceDE w:val="0"/>
              <w:autoSpaceDN w:val="0"/>
              <w:adjustRightInd w:val="0"/>
              <w:spacing w:after="0" w:line="240" w:lineRule="auto"/>
              <w:rPr>
                <w:rFonts w:ascii="VIC" w:hAnsi="VIC"/>
                <w:b/>
              </w:rPr>
            </w:pPr>
            <w:r w:rsidRPr="00A2213D">
              <w:rPr>
                <w:rFonts w:ascii="VIC" w:hAnsi="VIC" w:cs="Arial"/>
                <w:color w:val="000000"/>
                <w:szCs w:val="18"/>
                <w:lang w:val="en-AU"/>
              </w:rPr>
              <w:t xml:space="preserve">1 August – 30 April the following year </w:t>
            </w:r>
          </w:p>
        </w:tc>
      </w:tr>
      <w:tr w:rsidR="00A2213D" w:rsidRPr="00A2213D" w14:paraId="19B69C65"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410DD172" w14:textId="77777777" w:rsidR="00A2213D" w:rsidRPr="00A2213D" w:rsidRDefault="00A2213D">
            <w:pPr>
              <w:autoSpaceDE w:val="0"/>
              <w:autoSpaceDN w:val="0"/>
              <w:adjustRightInd w:val="0"/>
              <w:spacing w:after="0" w:line="240" w:lineRule="auto"/>
              <w:rPr>
                <w:rFonts w:ascii="VIC" w:hAnsi="VIC"/>
                <w:b/>
              </w:rPr>
            </w:pPr>
            <w:r w:rsidRPr="00A2213D">
              <w:rPr>
                <w:rFonts w:ascii="VIC" w:hAnsi="VIC" w:cs="Arial"/>
                <w:color w:val="000000"/>
                <w:szCs w:val="18"/>
                <w:lang w:val="en-AU"/>
              </w:rPr>
              <w:t xml:space="preserve">Goulburn Valley </w:t>
            </w:r>
          </w:p>
        </w:tc>
        <w:tc>
          <w:tcPr>
            <w:tcW w:w="2552" w:type="dxa"/>
            <w:tcBorders>
              <w:top w:val="single" w:sz="4" w:space="0" w:color="auto"/>
              <w:left w:val="single" w:sz="4" w:space="0" w:color="auto"/>
              <w:bottom w:val="single" w:sz="4" w:space="0" w:color="auto"/>
              <w:right w:val="single" w:sz="4" w:space="0" w:color="auto"/>
            </w:tcBorders>
            <w:hideMark/>
          </w:tcPr>
          <w:p w14:paraId="4A28C912" w14:textId="77777777" w:rsidR="00A2213D" w:rsidRPr="00A2213D" w:rsidRDefault="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1 September – 30 April the following year</w:t>
            </w:r>
          </w:p>
        </w:tc>
      </w:tr>
      <w:tr w:rsidR="00A2213D" w:rsidRPr="00A2213D" w14:paraId="3C16E84D"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0D9A94E7" w14:textId="77777777" w:rsidR="00A2213D" w:rsidRPr="00A2213D" w:rsidRDefault="00A2213D">
            <w:pPr>
              <w:autoSpaceDE w:val="0"/>
              <w:autoSpaceDN w:val="0"/>
              <w:adjustRightInd w:val="0"/>
              <w:spacing w:after="0" w:line="240" w:lineRule="auto"/>
              <w:rPr>
                <w:rFonts w:ascii="VIC" w:hAnsi="VIC"/>
                <w:b/>
              </w:rPr>
            </w:pPr>
            <w:r w:rsidRPr="00A2213D">
              <w:rPr>
                <w:rFonts w:ascii="VIC" w:hAnsi="VIC" w:cs="Arial"/>
                <w:color w:val="000000"/>
                <w:szCs w:val="18"/>
                <w:lang w:val="en-AU"/>
              </w:rPr>
              <w:t xml:space="preserve">North-Eastern </w:t>
            </w:r>
          </w:p>
        </w:tc>
        <w:tc>
          <w:tcPr>
            <w:tcW w:w="2552" w:type="dxa"/>
            <w:tcBorders>
              <w:top w:val="single" w:sz="4" w:space="0" w:color="auto"/>
              <w:left w:val="single" w:sz="4" w:space="0" w:color="auto"/>
              <w:bottom w:val="single" w:sz="4" w:space="0" w:color="auto"/>
              <w:right w:val="single" w:sz="4" w:space="0" w:color="auto"/>
            </w:tcBorders>
            <w:hideMark/>
          </w:tcPr>
          <w:p w14:paraId="7E4F1CF5" w14:textId="77777777" w:rsidR="00A2213D" w:rsidRPr="00A2213D" w:rsidRDefault="00A2213D">
            <w:pPr>
              <w:autoSpaceDE w:val="0"/>
              <w:autoSpaceDN w:val="0"/>
              <w:adjustRightInd w:val="0"/>
              <w:spacing w:after="0" w:line="240" w:lineRule="auto"/>
              <w:rPr>
                <w:rFonts w:ascii="VIC" w:hAnsi="VIC"/>
                <w:b/>
              </w:rPr>
            </w:pPr>
            <w:r w:rsidRPr="00A2213D">
              <w:rPr>
                <w:rFonts w:ascii="VIC" w:hAnsi="VIC" w:cs="Arial"/>
                <w:color w:val="000000"/>
                <w:szCs w:val="18"/>
                <w:lang w:val="en-AU"/>
              </w:rPr>
              <w:t xml:space="preserve">1 September – 30 April the following year </w:t>
            </w:r>
          </w:p>
        </w:tc>
      </w:tr>
      <w:tr w:rsidR="00A2213D" w:rsidRPr="00A2213D" w14:paraId="735BCB50" w14:textId="77777777" w:rsidTr="00A2213D">
        <w:tc>
          <w:tcPr>
            <w:tcW w:w="2551" w:type="dxa"/>
            <w:tcBorders>
              <w:top w:val="single" w:sz="4" w:space="0" w:color="auto"/>
              <w:left w:val="single" w:sz="4" w:space="0" w:color="auto"/>
              <w:bottom w:val="single" w:sz="4" w:space="0" w:color="auto"/>
              <w:right w:val="single" w:sz="4" w:space="0" w:color="auto"/>
            </w:tcBorders>
            <w:hideMark/>
          </w:tcPr>
          <w:p w14:paraId="55DAB135" w14:textId="77777777" w:rsidR="00A2213D" w:rsidRPr="00A2213D" w:rsidRDefault="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Rutherglen</w:t>
            </w:r>
          </w:p>
        </w:tc>
        <w:tc>
          <w:tcPr>
            <w:tcW w:w="2552" w:type="dxa"/>
            <w:tcBorders>
              <w:top w:val="single" w:sz="4" w:space="0" w:color="auto"/>
              <w:left w:val="single" w:sz="4" w:space="0" w:color="auto"/>
              <w:bottom w:val="single" w:sz="4" w:space="0" w:color="auto"/>
              <w:right w:val="single" w:sz="4" w:space="0" w:color="auto"/>
            </w:tcBorders>
            <w:hideMark/>
          </w:tcPr>
          <w:p w14:paraId="41CD12EC" w14:textId="77777777" w:rsidR="00A2213D" w:rsidRPr="00A2213D" w:rsidRDefault="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1 September – 30 April the following year </w:t>
            </w:r>
          </w:p>
        </w:tc>
      </w:tr>
    </w:tbl>
    <w:p w14:paraId="2393A544" w14:textId="77777777" w:rsidR="00A2213D" w:rsidRPr="00A2213D" w:rsidRDefault="00A2213D" w:rsidP="00A2213D">
      <w:pPr>
        <w:pStyle w:val="Agbodytext"/>
        <w:rPr>
          <w:rFonts w:ascii="VIC" w:hAnsi="VIC"/>
          <w:b/>
        </w:rPr>
      </w:pPr>
    </w:p>
    <w:p w14:paraId="7237D613" w14:textId="77777777" w:rsidR="00A2213D" w:rsidRPr="00A2213D" w:rsidRDefault="00A2213D" w:rsidP="00A2213D">
      <w:pPr>
        <w:autoSpaceDE w:val="0"/>
        <w:autoSpaceDN w:val="0"/>
        <w:adjustRightInd w:val="0"/>
        <w:spacing w:after="221" w:line="240" w:lineRule="auto"/>
        <w:rPr>
          <w:rFonts w:ascii="VIC" w:hAnsi="VIC" w:cs="Arial"/>
          <w:color w:val="000000"/>
          <w:szCs w:val="18"/>
          <w:lang w:val="en-AU"/>
        </w:rPr>
      </w:pPr>
      <w:r w:rsidRPr="00A2213D">
        <w:rPr>
          <w:rFonts w:ascii="VIC" w:hAnsi="VIC" w:cs="Arial"/>
          <w:color w:val="000000"/>
          <w:szCs w:val="18"/>
          <w:lang w:val="en-AU"/>
        </w:rPr>
        <w:t xml:space="preserve">Chemicals prohibited by aerial spraying or mister application whilst an ACCA is in operation (except Extended Mallee) are: </w:t>
      </w:r>
    </w:p>
    <w:p w14:paraId="631C95D4" w14:textId="77777777" w:rsidR="00A2213D" w:rsidRPr="00A2213D" w:rsidRDefault="00A2213D" w:rsidP="00A2213D">
      <w:pPr>
        <w:pStyle w:val="Agbulletlist"/>
        <w:rPr>
          <w:rFonts w:ascii="VIC" w:hAnsi="VIC"/>
        </w:rPr>
      </w:pPr>
      <w:r w:rsidRPr="00A2213D">
        <w:rPr>
          <w:rFonts w:ascii="VIC" w:hAnsi="VIC"/>
        </w:rPr>
        <w:t xml:space="preserve">any formulation of picloram </w:t>
      </w:r>
    </w:p>
    <w:p w14:paraId="5AACDAD4" w14:textId="77777777" w:rsidR="00A2213D" w:rsidRPr="00A2213D" w:rsidRDefault="00A2213D" w:rsidP="00A2213D">
      <w:pPr>
        <w:pStyle w:val="Agbulletlist"/>
        <w:rPr>
          <w:rFonts w:ascii="VIC" w:hAnsi="VIC"/>
        </w:rPr>
      </w:pPr>
      <w:r w:rsidRPr="00A2213D">
        <w:rPr>
          <w:rFonts w:ascii="VIC" w:hAnsi="VIC"/>
        </w:rPr>
        <w:t xml:space="preserve">hexazinone applied as a liquid </w:t>
      </w:r>
    </w:p>
    <w:p w14:paraId="3453D7AD" w14:textId="77777777" w:rsidR="00A2213D" w:rsidRPr="00A2213D" w:rsidRDefault="00A2213D" w:rsidP="00A2213D">
      <w:pPr>
        <w:pStyle w:val="Agbulletlist"/>
        <w:rPr>
          <w:rFonts w:ascii="VIC" w:hAnsi="VIC"/>
        </w:rPr>
      </w:pPr>
      <w:r w:rsidRPr="00A2213D">
        <w:rPr>
          <w:rFonts w:ascii="VIC" w:hAnsi="VIC"/>
        </w:rPr>
        <w:t xml:space="preserve">products containing sulfometuron methyl </w:t>
      </w:r>
    </w:p>
    <w:p w14:paraId="0F85C777" w14:textId="77777777" w:rsidR="00A2213D" w:rsidRPr="00A2213D" w:rsidRDefault="00A2213D" w:rsidP="00A2213D">
      <w:pPr>
        <w:pStyle w:val="Agbulletlist"/>
        <w:rPr>
          <w:rFonts w:ascii="VIC" w:hAnsi="VIC"/>
        </w:rPr>
      </w:pPr>
      <w:r w:rsidRPr="00A2213D">
        <w:rPr>
          <w:rFonts w:ascii="VIC" w:hAnsi="VIC"/>
        </w:rPr>
        <w:t xml:space="preserve">ester formulations of triclopyr. </w:t>
      </w:r>
    </w:p>
    <w:p w14:paraId="1A41DBE0" w14:textId="77777777" w:rsidR="00A2213D" w:rsidRPr="00A2213D" w:rsidRDefault="00A2213D" w:rsidP="00A2213D">
      <w:pPr>
        <w:autoSpaceDE w:val="0"/>
        <w:autoSpaceDN w:val="0"/>
        <w:adjustRightInd w:val="0"/>
        <w:spacing w:after="221" w:line="240" w:lineRule="auto"/>
        <w:rPr>
          <w:rFonts w:ascii="VIC" w:hAnsi="VIC" w:cs="Arial"/>
          <w:color w:val="000000"/>
          <w:szCs w:val="18"/>
          <w:lang w:val="en-AU"/>
        </w:rPr>
      </w:pPr>
      <w:r w:rsidRPr="00A2213D">
        <w:rPr>
          <w:rFonts w:ascii="VIC" w:hAnsi="VIC" w:cs="Arial"/>
          <w:color w:val="000000"/>
          <w:szCs w:val="18"/>
          <w:lang w:val="en-AU"/>
        </w:rPr>
        <w:t xml:space="preserve">Chemicals prohibited by all methods of application whilst an ACCA is in operation (except Extended Mallee): </w:t>
      </w:r>
    </w:p>
    <w:p w14:paraId="6B9CEA54" w14:textId="77777777" w:rsidR="00A2213D" w:rsidRPr="00A2213D" w:rsidRDefault="00A2213D" w:rsidP="00A2213D">
      <w:pPr>
        <w:pStyle w:val="Agbulletlist"/>
        <w:rPr>
          <w:rFonts w:ascii="VIC" w:hAnsi="VIC"/>
        </w:rPr>
      </w:pPr>
      <w:r w:rsidRPr="00A2213D">
        <w:rPr>
          <w:rFonts w:ascii="VIC" w:hAnsi="VIC"/>
        </w:rPr>
        <w:t xml:space="preserve">ester formulations of 2,4-D, 2,4-DB or MCPA </w:t>
      </w:r>
    </w:p>
    <w:p w14:paraId="2888EC63" w14:textId="77777777" w:rsidR="00A2213D" w:rsidRPr="003E6F2D" w:rsidRDefault="00A2213D" w:rsidP="00A2213D">
      <w:pPr>
        <w:pStyle w:val="Agbulletlist"/>
        <w:numPr>
          <w:ilvl w:val="0"/>
          <w:numId w:val="0"/>
        </w:numPr>
        <w:rPr>
          <w:rFonts w:ascii="VIC" w:hAnsi="VIC"/>
          <w:color w:val="FF0000"/>
          <w:lang w:val="en-AU"/>
        </w:rPr>
      </w:pPr>
      <w:r w:rsidRPr="003E6F2D">
        <w:rPr>
          <w:rFonts w:ascii="VIC" w:hAnsi="VIC"/>
          <w:b/>
          <w:color w:val="FF0000"/>
          <w:lang w:val="en-AU"/>
        </w:rPr>
        <w:t>I CAN’T use ester formulations of 2,4-D, 2,4-DB or MCPA in an ACCA while it is in operation</w:t>
      </w:r>
      <w:r w:rsidRPr="003E6F2D">
        <w:rPr>
          <w:rFonts w:ascii="VIC" w:hAnsi="VIC"/>
          <w:color w:val="FF0000"/>
          <w:lang w:val="en-AU"/>
        </w:rPr>
        <w:t xml:space="preserve">. </w:t>
      </w:r>
    </w:p>
    <w:p w14:paraId="0DE61007" w14:textId="77777777" w:rsidR="00A2213D" w:rsidRPr="00A2213D" w:rsidRDefault="00A2213D" w:rsidP="00A2213D">
      <w:pPr>
        <w:autoSpaceDE w:val="0"/>
        <w:autoSpaceDN w:val="0"/>
        <w:adjustRightInd w:val="0"/>
        <w:spacing w:after="218" w:line="240" w:lineRule="auto"/>
        <w:rPr>
          <w:rFonts w:ascii="VIC" w:hAnsi="VIC" w:cs="Arial"/>
          <w:color w:val="000000"/>
          <w:szCs w:val="18"/>
          <w:lang w:val="en-AU"/>
        </w:rPr>
      </w:pPr>
      <w:r w:rsidRPr="00A2213D">
        <w:rPr>
          <w:rFonts w:ascii="VIC" w:hAnsi="VIC" w:cs="Arial"/>
          <w:color w:val="000000"/>
          <w:szCs w:val="18"/>
          <w:lang w:val="en-AU"/>
        </w:rPr>
        <w:t xml:space="preserve">Chemicals prohibited from aerial spraying or mister application whilst an ACCA is in operation (except Extended Mallee) unless a permit has been granted by AgVic are: </w:t>
      </w:r>
    </w:p>
    <w:p w14:paraId="4E01A00E" w14:textId="77777777" w:rsidR="00A2213D" w:rsidRPr="00A2213D" w:rsidRDefault="00A2213D" w:rsidP="00A2213D">
      <w:pPr>
        <w:pStyle w:val="Agbulletlist"/>
        <w:rPr>
          <w:rFonts w:ascii="VIC" w:hAnsi="VIC"/>
          <w:lang w:val="en-AU"/>
        </w:rPr>
      </w:pPr>
      <w:r w:rsidRPr="00A2213D">
        <w:rPr>
          <w:rFonts w:ascii="VIC" w:hAnsi="VIC"/>
          <w:lang w:val="en-AU"/>
        </w:rPr>
        <w:t xml:space="preserve">any formulation of chlorsulfuron, clopyralid, glyphosate or metsulfuron methyl </w:t>
      </w:r>
    </w:p>
    <w:p w14:paraId="2F6605D0" w14:textId="77777777" w:rsidR="00A2213D" w:rsidRPr="00A2213D" w:rsidRDefault="00A2213D" w:rsidP="00A2213D">
      <w:pPr>
        <w:pStyle w:val="Agbulletlist"/>
        <w:rPr>
          <w:rFonts w:ascii="VIC" w:hAnsi="VIC"/>
          <w:lang w:val="en-AU"/>
        </w:rPr>
      </w:pPr>
      <w:r w:rsidRPr="00A2213D">
        <w:rPr>
          <w:rFonts w:ascii="VIC" w:hAnsi="VIC"/>
          <w:lang w:val="en-AU"/>
        </w:rPr>
        <w:t xml:space="preserve">any amine formulation of MCPA, MCPB, 2,4-D, 2,4-DB, dicamba, mecoprop or triclopyr. </w:t>
      </w:r>
    </w:p>
    <w:p w14:paraId="77F9D666" w14:textId="77777777" w:rsidR="00A2213D" w:rsidRPr="00A2213D" w:rsidRDefault="00A2213D" w:rsidP="00A2213D">
      <w:pPr>
        <w:pStyle w:val="Agbulletlist"/>
        <w:numPr>
          <w:ilvl w:val="0"/>
          <w:numId w:val="0"/>
        </w:numPr>
        <w:rPr>
          <w:rFonts w:ascii="VIC" w:hAnsi="VIC"/>
          <w:lang w:val="en-AU"/>
        </w:rPr>
      </w:pPr>
      <w:r w:rsidRPr="00A2213D">
        <w:rPr>
          <w:rFonts w:ascii="VIC" w:hAnsi="VIC"/>
          <w:lang w:val="en-AU"/>
        </w:rPr>
        <w:t xml:space="preserve">Chemicals prohibited while the Extended Mallee ACCA is in operation are ester formulations of: </w:t>
      </w:r>
    </w:p>
    <w:p w14:paraId="46A2FF17" w14:textId="77777777" w:rsidR="00A2213D" w:rsidRPr="00A2213D" w:rsidRDefault="00A2213D" w:rsidP="00A2213D">
      <w:pPr>
        <w:pStyle w:val="Agbulletlist"/>
        <w:rPr>
          <w:rFonts w:ascii="VIC" w:hAnsi="VIC"/>
          <w:lang w:val="en-AU"/>
        </w:rPr>
      </w:pPr>
      <w:r w:rsidRPr="00A2213D">
        <w:rPr>
          <w:rFonts w:ascii="VIC" w:hAnsi="VIC"/>
          <w:lang w:val="en-AU"/>
        </w:rPr>
        <w:t xml:space="preserve">2.4-D or MCPA – by any means of application </w:t>
      </w:r>
    </w:p>
    <w:p w14:paraId="7620EEE4" w14:textId="77777777" w:rsidR="00A2213D" w:rsidRPr="00A2213D" w:rsidRDefault="00A2213D" w:rsidP="00A2213D">
      <w:pPr>
        <w:pStyle w:val="Agbulletlist"/>
        <w:rPr>
          <w:rFonts w:ascii="VIC" w:hAnsi="VIC"/>
          <w:lang w:val="en-AU"/>
        </w:rPr>
      </w:pPr>
      <w:r w:rsidRPr="00A2213D">
        <w:rPr>
          <w:rFonts w:ascii="VIC" w:hAnsi="VIC"/>
          <w:lang w:val="en-AU"/>
        </w:rPr>
        <w:t xml:space="preserve">triclopyr – by aircraft or mister application. </w:t>
      </w:r>
    </w:p>
    <w:p w14:paraId="6879A35A" w14:textId="77777777" w:rsidR="00A2213D" w:rsidRPr="00A2213D" w:rsidRDefault="00A2213D" w:rsidP="00A2213D">
      <w:pPr>
        <w:pStyle w:val="Agbulletlist"/>
        <w:numPr>
          <w:ilvl w:val="0"/>
          <w:numId w:val="0"/>
        </w:numPr>
        <w:rPr>
          <w:rFonts w:ascii="VIC" w:hAnsi="VIC"/>
          <w:lang w:val="en-AU"/>
        </w:rPr>
      </w:pPr>
      <w:r w:rsidRPr="00A2213D">
        <w:rPr>
          <w:rFonts w:ascii="VIC" w:hAnsi="VIC"/>
          <w:lang w:val="en-AU"/>
        </w:rPr>
        <w:t xml:space="preserve">(Mister = spraying equipment that uses air for dispersing the spray, including orchard sprayers, air blasters and air shear sprayers that produce a fine or very fine spray quality according to the American Society of Agricultural Engineers Standard 572.1, but not air assisted boom sprayers, twin fluid nozzle sprayers or knapsack sprayers.) </w:t>
      </w:r>
    </w:p>
    <w:p w14:paraId="1D7C9DB9" w14:textId="77777777" w:rsidR="00A2213D" w:rsidRPr="00A2213D" w:rsidRDefault="00A2213D" w:rsidP="00A2213D">
      <w:pPr>
        <w:pStyle w:val="Agbulletlist"/>
        <w:numPr>
          <w:ilvl w:val="0"/>
          <w:numId w:val="0"/>
        </w:numPr>
        <w:rPr>
          <w:rFonts w:ascii="VIC" w:hAnsi="VIC"/>
          <w:lang w:val="en-AU"/>
        </w:rPr>
      </w:pPr>
      <w:r w:rsidRPr="00A2213D">
        <w:rPr>
          <w:rFonts w:ascii="VIC" w:hAnsi="VIC"/>
          <w:lang w:val="en-AU"/>
        </w:rPr>
        <w:t xml:space="preserve">ACCAs are defined by Parish boundaries, and the Lot numbers within those boundaries. Knowing this information for a property will help determine whether or not it is within an ACCA. Maps and descriptions of ACCA boundaries are available from AgVic offices and website. </w:t>
      </w:r>
    </w:p>
    <w:p w14:paraId="50BB7682" w14:textId="77777777" w:rsidR="00A2213D" w:rsidRPr="00A2213D" w:rsidRDefault="00A2213D" w:rsidP="00A2213D">
      <w:pPr>
        <w:pStyle w:val="Heading1"/>
        <w:rPr>
          <w:rFonts w:ascii="VIC" w:eastAsiaTheme="minorHAnsi" w:hAnsi="VIC"/>
        </w:rPr>
      </w:pPr>
      <w:r w:rsidRPr="00A2213D">
        <w:rPr>
          <w:rFonts w:ascii="VIC" w:eastAsiaTheme="minorHAnsi" w:hAnsi="VIC"/>
        </w:rPr>
        <w:t>Conclusion</w:t>
      </w:r>
    </w:p>
    <w:p w14:paraId="42BE2AD3" w14:textId="77777777" w:rsidR="00A2213D" w:rsidRPr="00A2213D" w:rsidRDefault="00A2213D" w:rsidP="00A2213D">
      <w:pPr>
        <w:pStyle w:val="Agbulletlist"/>
        <w:numPr>
          <w:ilvl w:val="0"/>
          <w:numId w:val="0"/>
        </w:numPr>
        <w:rPr>
          <w:rFonts w:ascii="VIC" w:hAnsi="VIC"/>
        </w:rPr>
      </w:pPr>
      <w:r w:rsidRPr="00A2213D">
        <w:rPr>
          <w:rFonts w:ascii="VIC" w:hAnsi="VIC" w:cs="Arial"/>
          <w:color w:val="000000"/>
          <w:szCs w:val="18"/>
          <w:lang w:val="en-AU"/>
        </w:rPr>
        <w:t>Before using any chemical, users should always read and familiarise themselves with the entire label, and obtain a copy of the product’s Safety Data Sheet (SDS). Both provide useful information about the chemical product, its contents, health hazards, safe use and handling instructions, Personal Protective Equipment (PPE) and first aid. Copies of SDS’s are available free upon request from chemical resellers or manufacturer’s websites</w:t>
      </w:r>
    </w:p>
    <w:p w14:paraId="147DB314" w14:textId="77777777" w:rsidR="00A2213D" w:rsidRPr="00A2213D" w:rsidRDefault="00A2213D" w:rsidP="00A2213D">
      <w:pPr>
        <w:rPr>
          <w:rFonts w:ascii="VIC" w:hAnsi="VIC"/>
        </w:rPr>
      </w:pPr>
      <w:r w:rsidRPr="00A2213D">
        <w:rPr>
          <w:rFonts w:ascii="VIC" w:hAnsi="VIC"/>
        </w:rPr>
        <w:t xml:space="preserve">For further advice on specific regulations outlined in this publication please see the following contact information. </w:t>
      </w:r>
    </w:p>
    <w:p w14:paraId="6ACE43EA" w14:textId="77777777" w:rsidR="00A2213D" w:rsidRPr="00A2213D" w:rsidRDefault="00A2213D" w:rsidP="00A2213D">
      <w:pPr>
        <w:pStyle w:val="Heading1"/>
        <w:rPr>
          <w:rFonts w:ascii="VIC" w:eastAsiaTheme="minorHAnsi" w:hAnsi="VIC"/>
          <w:lang w:val="en-AU"/>
        </w:rPr>
      </w:pPr>
      <w:r w:rsidRPr="00A2213D">
        <w:rPr>
          <w:rFonts w:ascii="VIC" w:eastAsiaTheme="minorHAnsi" w:hAnsi="VIC"/>
          <w:lang w:val="en-AU"/>
        </w:rPr>
        <w:lastRenderedPageBreak/>
        <w:t>Further information</w:t>
      </w:r>
    </w:p>
    <w:p w14:paraId="06104F43" w14:textId="77777777" w:rsidR="00A2213D" w:rsidRPr="00A2213D" w:rsidRDefault="00A2213D" w:rsidP="00A2213D">
      <w:pPr>
        <w:autoSpaceDE w:val="0"/>
        <w:autoSpaceDN w:val="0"/>
        <w:adjustRightInd w:val="0"/>
        <w:spacing w:after="213" w:line="240" w:lineRule="auto"/>
        <w:rPr>
          <w:rFonts w:ascii="VIC" w:hAnsi="VIC" w:cs="Arial"/>
          <w:color w:val="000000"/>
          <w:szCs w:val="18"/>
          <w:lang w:val="en-AU"/>
        </w:rPr>
      </w:pPr>
      <w:r w:rsidRPr="00A2213D">
        <w:rPr>
          <w:rFonts w:ascii="VIC" w:hAnsi="VIC" w:cs="Arial"/>
          <w:b/>
          <w:bCs/>
          <w:color w:val="000000"/>
          <w:szCs w:val="18"/>
          <w:lang w:val="en-AU"/>
        </w:rPr>
        <w:t xml:space="preserve">Agriculture Victoria Chemical Use website: </w:t>
      </w:r>
      <w:hyperlink r:id="rId16" w:history="1">
        <w:r w:rsidRPr="00A2213D">
          <w:rPr>
            <w:rStyle w:val="Hyperlink"/>
            <w:rFonts w:ascii="VIC" w:hAnsi="VIC"/>
          </w:rPr>
          <w:t>agriculture.vic.gov.au/agriculture/farm-management/chemicals</w:t>
        </w:r>
      </w:hyperlink>
    </w:p>
    <w:p w14:paraId="3ABD7C81" w14:textId="77777777" w:rsidR="00A2213D" w:rsidRPr="00A2213D" w:rsidRDefault="00A2213D" w:rsidP="00A2213D">
      <w:pPr>
        <w:autoSpaceDE w:val="0"/>
        <w:autoSpaceDN w:val="0"/>
        <w:adjustRightInd w:val="0"/>
        <w:spacing w:after="213" w:line="240" w:lineRule="auto"/>
        <w:rPr>
          <w:rFonts w:ascii="VIC" w:hAnsi="VIC" w:cs="Arial"/>
          <w:color w:val="000000"/>
          <w:szCs w:val="18"/>
          <w:lang w:val="en-AU"/>
        </w:rPr>
      </w:pPr>
      <w:r w:rsidRPr="00A2213D">
        <w:rPr>
          <w:rFonts w:ascii="VIC" w:hAnsi="VIC" w:cs="Arial"/>
          <w:b/>
          <w:bCs/>
          <w:color w:val="000000"/>
          <w:szCs w:val="18"/>
          <w:lang w:val="en-AU"/>
        </w:rPr>
        <w:t xml:space="preserve">Australian Pesticides and Veterinary Medicines Authority website: </w:t>
      </w:r>
      <w:hyperlink r:id="rId17" w:history="1">
        <w:r w:rsidRPr="00A2213D">
          <w:rPr>
            <w:rStyle w:val="Hyperlink"/>
            <w:rFonts w:ascii="VIC" w:hAnsi="VIC" w:cs="Arial"/>
            <w:szCs w:val="18"/>
            <w:lang w:val="en-AU"/>
          </w:rPr>
          <w:t>www.apvma.gov.au</w:t>
        </w:r>
      </w:hyperlink>
      <w:r w:rsidRPr="00A2213D">
        <w:rPr>
          <w:rFonts w:ascii="VIC" w:hAnsi="VIC" w:cs="Arial"/>
          <w:color w:val="000000"/>
          <w:szCs w:val="18"/>
          <w:lang w:val="en-AU"/>
        </w:rPr>
        <w:t xml:space="preserve">  </w:t>
      </w:r>
    </w:p>
    <w:p w14:paraId="125E3F6D" w14:textId="77777777" w:rsidR="00A2213D" w:rsidRPr="00A2213D" w:rsidRDefault="00A2213D" w:rsidP="00A2213D">
      <w:pPr>
        <w:autoSpaceDE w:val="0"/>
        <w:autoSpaceDN w:val="0"/>
        <w:adjustRightInd w:val="0"/>
        <w:spacing w:after="213" w:line="240" w:lineRule="auto"/>
        <w:rPr>
          <w:rFonts w:ascii="VIC" w:hAnsi="VIC" w:cs="Arial"/>
          <w:color w:val="000000"/>
          <w:szCs w:val="18"/>
          <w:lang w:val="en-AU"/>
        </w:rPr>
      </w:pPr>
      <w:r w:rsidRPr="00A2213D">
        <w:rPr>
          <w:rFonts w:ascii="VIC" w:hAnsi="VIC" w:cs="Arial"/>
          <w:b/>
          <w:bCs/>
          <w:color w:val="000000"/>
          <w:szCs w:val="18"/>
          <w:lang w:val="en-AU"/>
        </w:rPr>
        <w:t xml:space="preserve">Chemical manufacturers </w:t>
      </w:r>
    </w:p>
    <w:p w14:paraId="44B3F4EA" w14:textId="77777777" w:rsidR="00A2213D" w:rsidRPr="00A2213D" w:rsidRDefault="00A2213D" w:rsidP="00A2213D">
      <w:pPr>
        <w:autoSpaceDE w:val="0"/>
        <w:autoSpaceDN w:val="0"/>
        <w:adjustRightInd w:val="0"/>
        <w:spacing w:after="213" w:line="240" w:lineRule="auto"/>
        <w:rPr>
          <w:rFonts w:ascii="VIC" w:hAnsi="VIC" w:cs="Arial"/>
          <w:color w:val="000000"/>
          <w:szCs w:val="18"/>
          <w:lang w:val="en-AU"/>
        </w:rPr>
      </w:pPr>
      <w:r w:rsidRPr="00A2213D">
        <w:rPr>
          <w:rFonts w:ascii="VIC" w:hAnsi="VIC" w:cs="Arial"/>
          <w:b/>
          <w:bCs/>
          <w:color w:val="000000"/>
          <w:szCs w:val="18"/>
          <w:lang w:val="en-AU"/>
        </w:rPr>
        <w:t xml:space="preserve">Chemical resellers and agronomists </w:t>
      </w:r>
    </w:p>
    <w:p w14:paraId="46C79750"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b/>
          <w:bCs/>
          <w:color w:val="000000"/>
          <w:szCs w:val="18"/>
          <w:lang w:val="en-AU"/>
        </w:rPr>
        <w:t xml:space="preserve">Agriculture Victoria Chemical Standards Officers </w:t>
      </w:r>
    </w:p>
    <w:p w14:paraId="7204BDE3" w14:textId="77777777" w:rsidR="00A2213D" w:rsidRPr="00A2213D" w:rsidRDefault="00A2213D" w:rsidP="00A2213D">
      <w:pPr>
        <w:autoSpaceDE w:val="0"/>
        <w:autoSpaceDN w:val="0"/>
        <w:adjustRightInd w:val="0"/>
        <w:spacing w:after="0" w:line="240" w:lineRule="auto"/>
        <w:rPr>
          <w:rFonts w:ascii="VIC" w:hAnsi="VIC" w:cs="Arial"/>
          <w:color w:val="000000"/>
          <w:szCs w:val="18"/>
          <w:lang w:val="en-AU"/>
        </w:rPr>
      </w:pPr>
      <w:r w:rsidRPr="00A2213D">
        <w:rPr>
          <w:rFonts w:ascii="VIC" w:hAnsi="VIC" w:cs="Arial"/>
          <w:color w:val="000000"/>
          <w:szCs w:val="18"/>
          <w:lang w:val="en-AU"/>
        </w:rPr>
        <w:t xml:space="preserve">Email: </w:t>
      </w:r>
      <w:hyperlink r:id="rId18" w:history="1">
        <w:r w:rsidRPr="00A2213D">
          <w:rPr>
            <w:rStyle w:val="Hyperlink"/>
            <w:rFonts w:ascii="VIC" w:hAnsi="VIC" w:cs="Arial"/>
            <w:szCs w:val="18"/>
            <w:lang w:val="en-AU"/>
          </w:rPr>
          <w:t>chemicalstandards@agriculture.vic.gov.au</w:t>
        </w:r>
      </w:hyperlink>
      <w:r w:rsidRPr="00A2213D">
        <w:rPr>
          <w:rFonts w:ascii="VIC" w:hAnsi="VIC" w:cs="Arial"/>
          <w:color w:val="000000"/>
          <w:szCs w:val="18"/>
          <w:lang w:val="en-AU"/>
        </w:rPr>
        <w:t xml:space="preserve">  </w:t>
      </w:r>
    </w:p>
    <w:p w14:paraId="3AF5A7E6" w14:textId="77777777" w:rsidR="00A2213D" w:rsidRPr="00A2213D" w:rsidRDefault="00A2213D" w:rsidP="00A2213D">
      <w:pPr>
        <w:pStyle w:val="Agbodytext"/>
        <w:rPr>
          <w:rFonts w:ascii="VIC" w:hAnsi="VIC"/>
        </w:rPr>
      </w:pPr>
    </w:p>
    <w:p w14:paraId="7E13C6EF" w14:textId="77777777" w:rsidR="00A2213D" w:rsidRPr="00A2213D" w:rsidRDefault="00A2213D" w:rsidP="00A2213D">
      <w:pPr>
        <w:pStyle w:val="Agbodytext"/>
        <w:rPr>
          <w:rFonts w:ascii="VIC" w:hAnsi="VIC"/>
        </w:rPr>
      </w:pPr>
    </w:p>
    <w:p w14:paraId="303F3B42" w14:textId="77777777" w:rsidR="009A7F7B" w:rsidRDefault="009A7F7B"/>
    <w:sectPr w:rsidR="009A7F7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8039" w14:textId="77777777" w:rsidR="003E6F2D" w:rsidRDefault="003E6F2D" w:rsidP="003E6F2D">
      <w:pPr>
        <w:spacing w:after="0" w:line="240" w:lineRule="auto"/>
      </w:pPr>
      <w:r>
        <w:separator/>
      </w:r>
    </w:p>
  </w:endnote>
  <w:endnote w:type="continuationSeparator" w:id="0">
    <w:p w14:paraId="6DFEFE90" w14:textId="77777777" w:rsidR="003E6F2D" w:rsidRDefault="003E6F2D" w:rsidP="003E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479E" w14:textId="15284AAA" w:rsidR="003E6F2D" w:rsidRDefault="003E6F2D">
    <w:pPr>
      <w:pStyle w:val="Footer"/>
    </w:pPr>
    <w:r>
      <w:rPr>
        <w:noProof/>
      </w:rPr>
      <mc:AlternateContent>
        <mc:Choice Requires="wps">
          <w:drawing>
            <wp:anchor distT="0" distB="0" distL="114300" distR="114300" simplePos="0" relativeHeight="251657216" behindDoc="0" locked="0" layoutInCell="0" allowOverlap="1" wp14:anchorId="45C510A8" wp14:editId="5135A8D8">
              <wp:simplePos x="0" y="0"/>
              <wp:positionH relativeFrom="page">
                <wp:posOffset>0</wp:posOffset>
              </wp:positionH>
              <wp:positionV relativeFrom="page">
                <wp:posOffset>10227945</wp:posOffset>
              </wp:positionV>
              <wp:extent cx="7560310" cy="273050"/>
              <wp:effectExtent l="0" t="0" r="0" b="12700"/>
              <wp:wrapNone/>
              <wp:docPr id="10" name="MSIPCM51f54d629acc901a80f62e6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6DEB2" w14:textId="41CE2A7B" w:rsidR="003E6F2D" w:rsidRPr="003E6F2D" w:rsidRDefault="003E6F2D" w:rsidP="003E6F2D">
                          <w:pPr>
                            <w:spacing w:after="0"/>
                            <w:jc w:val="center"/>
                            <w:rPr>
                              <w:rFonts w:ascii="Calibri" w:hAnsi="Calibri" w:cs="Calibri"/>
                              <w:color w:val="000000"/>
                              <w:sz w:val="24"/>
                            </w:rPr>
                          </w:pPr>
                          <w:r w:rsidRPr="003E6F2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C510A8" id="_x0000_t202" coordsize="21600,21600" o:spt="202" path="m,l,21600r21600,l21600,xe">
              <v:stroke joinstyle="miter"/>
              <v:path gradientshapeok="t" o:connecttype="rect"/>
            </v:shapetype>
            <v:shape id="MSIPCM51f54d629acc901a80f62e62"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2C6DEB2" w14:textId="41CE2A7B" w:rsidR="003E6F2D" w:rsidRPr="003E6F2D" w:rsidRDefault="003E6F2D" w:rsidP="003E6F2D">
                    <w:pPr>
                      <w:spacing w:after="0"/>
                      <w:jc w:val="center"/>
                      <w:rPr>
                        <w:rFonts w:ascii="Calibri" w:hAnsi="Calibri" w:cs="Calibri"/>
                        <w:color w:val="000000"/>
                        <w:sz w:val="24"/>
                      </w:rPr>
                    </w:pPr>
                    <w:r w:rsidRPr="003E6F2D">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DE6D" w14:textId="77777777" w:rsidR="003E6F2D" w:rsidRDefault="003E6F2D" w:rsidP="003E6F2D">
      <w:pPr>
        <w:spacing w:after="0" w:line="240" w:lineRule="auto"/>
      </w:pPr>
      <w:r>
        <w:separator/>
      </w:r>
    </w:p>
  </w:footnote>
  <w:footnote w:type="continuationSeparator" w:id="0">
    <w:p w14:paraId="0A89819D" w14:textId="77777777" w:rsidR="003E6F2D" w:rsidRDefault="003E6F2D" w:rsidP="003E6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CA7" w14:textId="67D6D5B1" w:rsidR="003E6F2D" w:rsidRDefault="003E6F2D">
    <w:pPr>
      <w:pStyle w:val="Header"/>
    </w:pPr>
    <w:r>
      <w:rPr>
        <w:noProof/>
      </w:rPr>
      <mc:AlternateContent>
        <mc:Choice Requires="wps">
          <w:drawing>
            <wp:anchor distT="0" distB="0" distL="114300" distR="114300" simplePos="0" relativeHeight="251661312" behindDoc="0" locked="0" layoutInCell="0" allowOverlap="1" wp14:anchorId="37D0C32A" wp14:editId="6844F4E1">
              <wp:simplePos x="0" y="0"/>
              <wp:positionH relativeFrom="page">
                <wp:posOffset>0</wp:posOffset>
              </wp:positionH>
              <wp:positionV relativeFrom="page">
                <wp:posOffset>190500</wp:posOffset>
              </wp:positionV>
              <wp:extent cx="7560310" cy="273050"/>
              <wp:effectExtent l="0" t="0" r="0" b="12700"/>
              <wp:wrapNone/>
              <wp:docPr id="16" name="MSIPCMdf544668a91d772e2d3283d3"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DD96C7" w14:textId="7B02E922" w:rsidR="003E6F2D" w:rsidRPr="003E6F2D" w:rsidRDefault="003E6F2D" w:rsidP="003E6F2D">
                          <w:pPr>
                            <w:spacing w:after="0"/>
                            <w:jc w:val="center"/>
                            <w:rPr>
                              <w:rFonts w:ascii="Calibri" w:hAnsi="Calibri" w:cs="Calibri"/>
                              <w:color w:val="000000"/>
                              <w:sz w:val="24"/>
                            </w:rPr>
                          </w:pPr>
                          <w:r w:rsidRPr="003E6F2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D0C32A" id="_x0000_t202" coordsize="21600,21600" o:spt="202" path="m,l,21600r21600,l21600,xe">
              <v:stroke joinstyle="miter"/>
              <v:path gradientshapeok="t" o:connecttype="rect"/>
            </v:shapetype>
            <v:shape id="MSIPCMdf544668a91d772e2d3283d3"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DDD96C7" w14:textId="7B02E922" w:rsidR="003E6F2D" w:rsidRPr="003E6F2D" w:rsidRDefault="003E6F2D" w:rsidP="003E6F2D">
                    <w:pPr>
                      <w:spacing w:after="0"/>
                      <w:jc w:val="center"/>
                      <w:rPr>
                        <w:rFonts w:ascii="Calibri" w:hAnsi="Calibri" w:cs="Calibri"/>
                        <w:color w:val="000000"/>
                        <w:sz w:val="24"/>
                      </w:rPr>
                    </w:pPr>
                    <w:r w:rsidRPr="003E6F2D">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3D"/>
    <w:rsid w:val="003E6F2D"/>
    <w:rsid w:val="00932A3F"/>
    <w:rsid w:val="009A7F7B"/>
    <w:rsid w:val="00A2213D"/>
    <w:rsid w:val="00E45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125BF"/>
  <w15:chartTrackingRefBased/>
  <w15:docId w15:val="{237BF3B8-1B1F-474E-8F4F-18C8454B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3D"/>
    <w:pPr>
      <w:spacing w:after="120" w:line="220" w:lineRule="exact"/>
    </w:pPr>
    <w:rPr>
      <w:rFonts w:ascii="Arial" w:hAnsi="Arial" w:cs="VIC-SemiBold"/>
      <w:color w:val="000000" w:themeColor="text1"/>
      <w:sz w:val="18"/>
      <w:szCs w:val="52"/>
      <w:lang w:val="en-US"/>
    </w:rPr>
  </w:style>
  <w:style w:type="paragraph" w:styleId="Heading1">
    <w:name w:val="heading 1"/>
    <w:basedOn w:val="Normal"/>
    <w:next w:val="Normal"/>
    <w:link w:val="Heading1Char"/>
    <w:uiPriority w:val="9"/>
    <w:qFormat/>
    <w:rsid w:val="00A2213D"/>
    <w:pPr>
      <w:spacing w:before="480" w:after="220"/>
      <w:outlineLvl w:val="0"/>
    </w:pPr>
    <w:rPr>
      <w:rFonts w:eastAsia="Times New Roman"/>
      <w:b/>
      <w:bCs/>
      <w:caps/>
      <w:color w:val="4C7329"/>
      <w:sz w:val="22"/>
    </w:rPr>
  </w:style>
  <w:style w:type="paragraph" w:styleId="Heading2">
    <w:name w:val="heading 2"/>
    <w:basedOn w:val="Normal"/>
    <w:next w:val="Normal"/>
    <w:link w:val="Heading2Char"/>
    <w:uiPriority w:val="9"/>
    <w:semiHidden/>
    <w:unhideWhenUsed/>
    <w:qFormat/>
    <w:rsid w:val="00A2213D"/>
    <w:pPr>
      <w:spacing w:before="240" w:after="80"/>
      <w:outlineLvl w:val="1"/>
    </w:pPr>
    <w:rPr>
      <w:rFonts w:eastAsia="Times New Roman"/>
      <w:b/>
      <w:color w:val="7F7F7F" w:themeColor="text1" w:themeTint="8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13D"/>
    <w:rPr>
      <w:rFonts w:ascii="Arial" w:eastAsia="Times New Roman" w:hAnsi="Arial" w:cs="VIC-SemiBold"/>
      <w:b/>
      <w:bCs/>
      <w:caps/>
      <w:color w:val="4C7329"/>
      <w:szCs w:val="52"/>
      <w:lang w:val="en-US"/>
    </w:rPr>
  </w:style>
  <w:style w:type="character" w:customStyle="1" w:styleId="Heading2Char">
    <w:name w:val="Heading 2 Char"/>
    <w:basedOn w:val="DefaultParagraphFont"/>
    <w:link w:val="Heading2"/>
    <w:uiPriority w:val="9"/>
    <w:semiHidden/>
    <w:rsid w:val="00A2213D"/>
    <w:rPr>
      <w:rFonts w:ascii="Arial" w:eastAsia="Times New Roman" w:hAnsi="Arial" w:cs="VIC-SemiBold"/>
      <w:b/>
      <w:color w:val="7F7F7F" w:themeColor="text1" w:themeTint="80"/>
      <w:sz w:val="20"/>
      <w:szCs w:val="18"/>
      <w:lang w:val="en-US"/>
    </w:rPr>
  </w:style>
  <w:style w:type="character" w:styleId="Hyperlink">
    <w:name w:val="Hyperlink"/>
    <w:basedOn w:val="DefaultParagraphFont"/>
    <w:uiPriority w:val="99"/>
    <w:semiHidden/>
    <w:unhideWhenUsed/>
    <w:rsid w:val="00A2213D"/>
    <w:rPr>
      <w:color w:val="0563C1" w:themeColor="hyperlink"/>
      <w:u w:val="single"/>
    </w:rPr>
  </w:style>
  <w:style w:type="paragraph" w:styleId="Caption">
    <w:name w:val="caption"/>
    <w:basedOn w:val="Normal"/>
    <w:next w:val="Normal"/>
    <w:uiPriority w:val="35"/>
    <w:semiHidden/>
    <w:unhideWhenUsed/>
    <w:qFormat/>
    <w:rsid w:val="00A2213D"/>
    <w:pPr>
      <w:spacing w:after="200" w:line="240" w:lineRule="auto"/>
    </w:pPr>
    <w:rPr>
      <w:i/>
      <w:iCs/>
      <w:color w:val="44546A" w:themeColor="text2"/>
      <w:szCs w:val="18"/>
    </w:rPr>
  </w:style>
  <w:style w:type="paragraph" w:customStyle="1" w:styleId="Agintrotext">
    <w:name w:val="Ag intro text"/>
    <w:qFormat/>
    <w:rsid w:val="00A2213D"/>
    <w:pPr>
      <w:spacing w:after="480" w:line="340" w:lineRule="exact"/>
    </w:pPr>
    <w:rPr>
      <w:rFonts w:ascii="Arial" w:hAnsi="Arial" w:cs="VIC-SemiBold"/>
      <w:i/>
      <w:iCs/>
      <w:color w:val="4C7329"/>
      <w:sz w:val="28"/>
      <w:szCs w:val="52"/>
      <w:lang w:val="en-US"/>
    </w:rPr>
  </w:style>
  <w:style w:type="paragraph" w:customStyle="1" w:styleId="Agbodytext">
    <w:name w:val="Ag body text"/>
    <w:basedOn w:val="Normal"/>
    <w:qFormat/>
    <w:rsid w:val="00A2213D"/>
  </w:style>
  <w:style w:type="paragraph" w:customStyle="1" w:styleId="Agbulletlist">
    <w:name w:val="Ag bullet list"/>
    <w:basedOn w:val="Normal"/>
    <w:qFormat/>
    <w:rsid w:val="00A2213D"/>
    <w:pPr>
      <w:numPr>
        <w:numId w:val="1"/>
      </w:numPr>
    </w:pPr>
  </w:style>
  <w:style w:type="table" w:styleId="TableGrid">
    <w:name w:val="Table Grid"/>
    <w:basedOn w:val="TableNormal"/>
    <w:uiPriority w:val="39"/>
    <w:rsid w:val="00A2213D"/>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213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2213D"/>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3E6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F2D"/>
    <w:rPr>
      <w:rFonts w:ascii="Arial" w:hAnsi="Arial" w:cs="VIC-SemiBold"/>
      <w:color w:val="000000" w:themeColor="text1"/>
      <w:sz w:val="18"/>
      <w:szCs w:val="52"/>
      <w:lang w:val="en-US"/>
    </w:rPr>
  </w:style>
  <w:style w:type="paragraph" w:styleId="Footer">
    <w:name w:val="footer"/>
    <w:basedOn w:val="Normal"/>
    <w:link w:val="FooterChar"/>
    <w:uiPriority w:val="99"/>
    <w:unhideWhenUsed/>
    <w:rsid w:val="003E6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F2D"/>
    <w:rPr>
      <w:rFonts w:ascii="Arial" w:hAnsi="Arial" w:cs="VIC-SemiBold"/>
      <w:color w:val="000000" w:themeColor="text1"/>
      <w:sz w:val="1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vma.gov.au/node/611" TargetMode="External"/><Relationship Id="rId18" Type="http://schemas.openxmlformats.org/officeDocument/2006/relationships/hyperlink" Target="mailto:chemicalstandards@agriculture.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apvma.gov.au" TargetMode="External"/><Relationship Id="rId2" Type="http://schemas.openxmlformats.org/officeDocument/2006/relationships/customXml" Target="../customXml/item2.xml"/><Relationship Id="rId16" Type="http://schemas.openxmlformats.org/officeDocument/2006/relationships/hyperlink" Target="http://agriculture.vic.gov.au/agriculture/farm-management/chemic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BASPCI-1074048661-228017</_dlc_DocId>
    <_dlc_DocIdUrl xmlns="7ced9e6b-4cde-4b18-ab0a-09af9921cd59">
      <Url>https://vicgov.sharepoint.com/sites/VG000464/_layouts/15/DocIdRedir.aspx?ID=BASPCI-1074048661-228017</Url>
      <Description>BASPCI-1074048661-228017</Description>
    </_dlc_DocIdUrl>
  </documentManagement>
</p:properties>
</file>

<file path=customXml/itemProps1.xml><?xml version="1.0" encoding="utf-8"?>
<ds:datastoreItem xmlns:ds="http://schemas.openxmlformats.org/officeDocument/2006/customXml" ds:itemID="{147E4048-934F-4A48-B314-08178BCD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28396-B36A-4B69-B616-E44ECD0CF53B}">
  <ds:schemaRefs>
    <ds:schemaRef ds:uri="http://schemas.microsoft.com/sharepoint/events"/>
  </ds:schemaRefs>
</ds:datastoreItem>
</file>

<file path=customXml/itemProps3.xml><?xml version="1.0" encoding="utf-8"?>
<ds:datastoreItem xmlns:ds="http://schemas.openxmlformats.org/officeDocument/2006/customXml" ds:itemID="{A1667B53-19D5-474D-9F12-DD7357EBA19B}">
  <ds:schemaRefs>
    <ds:schemaRef ds:uri="http://schemas.microsoft.com/sharepoint/v3/contenttype/forms"/>
  </ds:schemaRefs>
</ds:datastoreItem>
</file>

<file path=customXml/itemProps4.xml><?xml version="1.0" encoding="utf-8"?>
<ds:datastoreItem xmlns:ds="http://schemas.openxmlformats.org/officeDocument/2006/customXml" ds:itemID="{140819F8-27C7-47E6-ACAC-34BBBEDBB4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6498dc-40ef-4a29-afc2-fee3124c2536"/>
    <ds:schemaRef ds:uri="http://purl.org/dc/elements/1.1/"/>
    <ds:schemaRef ds:uri="http://schemas.microsoft.com/office/2006/metadata/properties"/>
    <ds:schemaRef ds:uri="1970f3ff-c7c3-4b73-8f0c-0bc260d159f3"/>
    <ds:schemaRef ds:uri="7ced9e6b-4cde-4b18-ab0a-09af9921cd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dc:creator>
  <cp:keywords/>
  <dc:description/>
  <cp:lastModifiedBy>Jane L Collin (DJPR)</cp:lastModifiedBy>
  <cp:revision>2</cp:revision>
  <dcterms:created xsi:type="dcterms:W3CDTF">2022-08-08T10:33:00Z</dcterms:created>
  <dcterms:modified xsi:type="dcterms:W3CDTF">2022-08-08T10:33:00Z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2022-08-08T10:33:35Z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a4d00b61-93ba-4343-b926-786924ad31e9</vt:lpwstr>
  </property>
  <property fmtid="{D5CDD505-2E9C-101B-9397-08002B2CF9AE}" pid="8" name="MSIP_Label_d00a4df9-c942-4b09-b23a-6c1023f6de27_ContentBits">
    <vt:lpwstr>3</vt:lpwstr>
  </property>
  <property fmtid="{D5CDD505-2E9C-101B-9397-08002B2CF9AE}" pid="9" name="ContentTypeId">
    <vt:lpwstr>0x010100611F6414DFB111E7BA88F9DF1743E31700F6112DD87D2F8544A6EFA01EA969694F</vt:lpwstr>
  </property>
  <property fmtid="{D5CDD505-2E9C-101B-9397-08002B2CF9AE}" pid="10" name="DEDJTRDivision">
    <vt:lpwstr>2;#Agriculture Victoria|aa595c92-527f-46eb-8130-f23c3634d9e6</vt:lpwstr>
  </property>
  <property fmtid="{D5CDD505-2E9C-101B-9397-08002B2CF9AE}" pid="11" name="DEDJTRGroup">
    <vt:lpwstr>1;#Employment Investment and Trade|55ce1999-68b6-4f37-bdce-009ad410cd2a</vt:lpwstr>
  </property>
  <property fmtid="{D5CDD505-2E9C-101B-9397-08002B2CF9AE}" pid="12" name="DEDJTRSecurityClassification">
    <vt:lpwstr/>
  </property>
  <property fmtid="{D5CDD505-2E9C-101B-9397-08002B2CF9AE}" pid="13" name="DEDJTRBranch">
    <vt:lpwstr/>
  </property>
  <property fmtid="{D5CDD505-2E9C-101B-9397-08002B2CF9AE}" pid="14" name="DEDJTRSection">
    <vt:lpwstr/>
  </property>
  <property fmtid="{D5CDD505-2E9C-101B-9397-08002B2CF9AE}" pid="15" name="MediaServiceImageTags">
    <vt:lpwstr/>
  </property>
  <property fmtid="{D5CDD505-2E9C-101B-9397-08002B2CF9AE}" pid="16" name="_dlc_DocIdItemGuid">
    <vt:lpwstr>8ec47fe4-658a-4133-8fe4-44fc2e4ac9f7</vt:lpwstr>
  </property>
</Properties>
</file>