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4381" w14:textId="6B11CEA2" w:rsidR="00BD5E36" w:rsidRPr="0078723B" w:rsidRDefault="00B7028A" w:rsidP="00DD35EE">
      <w:pPr>
        <w:pStyle w:val="Agintrotext"/>
        <w:rPr>
          <w:rFonts w:ascii="VIC" w:hAnsi="VIC"/>
        </w:rPr>
        <w:sectPr w:rsidR="00BD5E36" w:rsidRPr="0078723B" w:rsidSect="00BD5E36">
          <w:headerReference w:type="even" r:id="rId8"/>
          <w:headerReference w:type="default" r:id="rId9"/>
          <w:footerReference w:type="even" r:id="rId10"/>
          <w:footerReference w:type="default" r:id="rId11"/>
          <w:headerReference w:type="first" r:id="rId12"/>
          <w:footerReference w:type="first" r:id="rId13"/>
          <w:type w:val="continuous"/>
          <w:pgSz w:w="11900" w:h="16840"/>
          <w:pgMar w:top="4163" w:right="709" w:bottom="1701" w:left="709" w:header="709" w:footer="709" w:gutter="0"/>
          <w:cols w:num="2" w:space="708"/>
          <w:titlePg/>
          <w:docGrid w:linePitch="360"/>
        </w:sectPr>
      </w:pPr>
      <w:r w:rsidRPr="0078723B">
        <w:rPr>
          <w:rFonts w:ascii="VIC" w:hAnsi="VIC"/>
          <w:noProof/>
          <w:lang w:val="en-AU" w:eastAsia="en-AU"/>
        </w:rPr>
        <mc:AlternateContent>
          <mc:Choice Requires="wps">
            <w:drawing>
              <wp:anchor distT="0" distB="0" distL="114300" distR="114300" simplePos="0" relativeHeight="251652096" behindDoc="1" locked="0" layoutInCell="1" allowOverlap="1" wp14:anchorId="34E9B269" wp14:editId="07E5EC85">
                <wp:simplePos x="0" y="0"/>
                <wp:positionH relativeFrom="margin">
                  <wp:align>left</wp:align>
                </wp:positionH>
                <wp:positionV relativeFrom="paragraph">
                  <wp:posOffset>-1494155</wp:posOffset>
                </wp:positionV>
                <wp:extent cx="3403600" cy="1240155"/>
                <wp:effectExtent l="0" t="0" r="6350" b="17145"/>
                <wp:wrapNone/>
                <wp:docPr id="80" name="Text Box 80"/>
                <wp:cNvGraphicFramePr/>
                <a:graphic xmlns:a="http://schemas.openxmlformats.org/drawingml/2006/main">
                  <a:graphicData uri="http://schemas.microsoft.com/office/word/2010/wordprocessingShape">
                    <wps:wsp>
                      <wps:cNvSpPr txBox="1"/>
                      <wps:spPr>
                        <a:xfrm>
                          <a:off x="0" y="0"/>
                          <a:ext cx="3403600"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499484" w14:textId="1ECB05BD" w:rsidR="00B7028A" w:rsidRPr="008839A8" w:rsidRDefault="008839A8" w:rsidP="00B7028A">
                            <w:pPr>
                              <w:pStyle w:val="Agtitle"/>
                              <w:rPr>
                                <w:rFonts w:ascii="VIC" w:hAnsi="VIC"/>
                                <w:lang w:val="en-AU"/>
                              </w:rPr>
                            </w:pPr>
                            <w:r w:rsidRPr="008839A8">
                              <w:rPr>
                                <w:rFonts w:ascii="VIC" w:hAnsi="VIC"/>
                              </w:rPr>
                              <w:t>Avoiding crop damage from residual herbicides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9B269" id="_x0000_t202" coordsize="21600,21600" o:spt="202" path="m,l,21600r21600,l21600,xe">
                <v:stroke joinstyle="miter"/>
                <v:path gradientshapeok="t" o:connecttype="rect"/>
              </v:shapetype>
              <v:shape id="Text Box 80" o:spid="_x0000_s1026" type="#_x0000_t202" style="position:absolute;margin-left:0;margin-top:-117.65pt;width:268pt;height:97.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" filled="f" stroked="f">
                <v:textbox inset="0,0,0,0">
                  <w:txbxContent>
                    <w:p w14:paraId="7C499484" w14:textId="1ECB05BD" w:rsidR="00B7028A" w:rsidRPr="008839A8" w:rsidRDefault="008839A8" w:rsidP="00B7028A">
                      <w:pPr>
                        <w:pStyle w:val="Agtitle"/>
                        <w:rPr>
                          <w:rFonts w:ascii="VIC" w:hAnsi="VIC"/>
                          <w:lang w:val="en-AU"/>
                        </w:rPr>
                      </w:pPr>
                      <w:r w:rsidRPr="008839A8">
                        <w:rPr>
                          <w:rFonts w:ascii="VIC" w:hAnsi="VIC"/>
                        </w:rPr>
                        <w:t>Avoiding crop damage from residual herbicides</w:t>
                      </w:r>
                    </w:p>
                  </w:txbxContent>
                </v:textbox>
                <w10:wrap anchorx="margin"/>
              </v:shape>
            </w:pict>
          </mc:Fallback>
        </mc:AlternateContent>
      </w:r>
    </w:p>
    <w:p w14:paraId="4E035DFF" w14:textId="0A5A8AF6" w:rsidR="00AF10AD" w:rsidRPr="0078723B" w:rsidRDefault="00AF10AD" w:rsidP="00854F49">
      <w:pPr>
        <w:autoSpaceDE w:val="0"/>
        <w:autoSpaceDN w:val="0"/>
        <w:adjustRightInd w:val="0"/>
        <w:spacing w:line="240" w:lineRule="auto"/>
        <w:rPr>
          <w:rFonts w:ascii="VIC" w:hAnsi="VIC"/>
          <w:i/>
          <w:iCs/>
          <w:color w:val="4C7329"/>
          <w:sz w:val="28"/>
        </w:rPr>
      </w:pPr>
      <w:r w:rsidRPr="0078723B">
        <w:rPr>
          <w:rFonts w:ascii="VIC" w:hAnsi="VIC"/>
          <w:i/>
          <w:iCs/>
          <w:color w:val="4C7329"/>
          <w:sz w:val="28"/>
        </w:rPr>
        <w:t>When researching the residual activity and cropping restrictions following herbicide application, the herbicide</w:t>
      </w:r>
      <w:r w:rsidR="00854F49">
        <w:rPr>
          <w:rFonts w:ascii="VIC" w:hAnsi="VIC"/>
          <w:i/>
          <w:iCs/>
          <w:color w:val="4C7329"/>
          <w:sz w:val="28"/>
        </w:rPr>
        <w:t xml:space="preserve"> </w:t>
      </w:r>
      <w:r w:rsidRPr="0078723B">
        <w:rPr>
          <w:rFonts w:ascii="VIC" w:hAnsi="VIC"/>
          <w:i/>
          <w:iCs/>
          <w:color w:val="4C7329"/>
          <w:sz w:val="28"/>
        </w:rPr>
        <w:t>label is the primary</w:t>
      </w:r>
      <w:r w:rsidR="00854F49">
        <w:rPr>
          <w:rFonts w:ascii="VIC" w:hAnsi="VIC"/>
          <w:i/>
          <w:iCs/>
          <w:color w:val="4C7329"/>
          <w:sz w:val="28"/>
        </w:rPr>
        <w:t xml:space="preserve"> </w:t>
      </w:r>
      <w:r w:rsidRPr="0078723B">
        <w:rPr>
          <w:rFonts w:ascii="VIC" w:hAnsi="VIC"/>
          <w:i/>
          <w:iCs/>
          <w:color w:val="4C7329"/>
          <w:sz w:val="28"/>
        </w:rPr>
        <w:t>source of information and should be read thoroughly.</w:t>
      </w:r>
    </w:p>
    <w:p w14:paraId="32CD02B3" w14:textId="62A41BDC" w:rsidR="00AF10AD" w:rsidRPr="0078723B" w:rsidRDefault="00AF10AD" w:rsidP="00AF10AD">
      <w:pPr>
        <w:autoSpaceDE w:val="0"/>
        <w:autoSpaceDN w:val="0"/>
        <w:adjustRightInd w:val="0"/>
        <w:spacing w:after="0" w:line="240" w:lineRule="auto"/>
        <w:rPr>
          <w:rFonts w:ascii="VIC" w:hAnsi="VIC"/>
          <w:i/>
          <w:iCs/>
          <w:color w:val="4C7329"/>
          <w:sz w:val="28"/>
        </w:rPr>
      </w:pPr>
      <w:r w:rsidRPr="0078723B">
        <w:rPr>
          <w:rFonts w:ascii="VIC" w:hAnsi="VIC"/>
          <w:i/>
          <w:iCs/>
          <w:color w:val="4C7329"/>
          <w:sz w:val="28"/>
        </w:rPr>
        <w:t>This fact sheet supports those</w:t>
      </w:r>
      <w:r w:rsidR="00854F49">
        <w:rPr>
          <w:rFonts w:ascii="VIC" w:hAnsi="VIC"/>
          <w:i/>
          <w:iCs/>
          <w:color w:val="4C7329"/>
          <w:sz w:val="28"/>
        </w:rPr>
        <w:t xml:space="preserve"> </w:t>
      </w:r>
      <w:r w:rsidRPr="0078723B">
        <w:rPr>
          <w:rFonts w:ascii="VIC" w:hAnsi="VIC"/>
          <w:i/>
          <w:iCs/>
          <w:color w:val="4C7329"/>
          <w:sz w:val="28"/>
        </w:rPr>
        <w:t>labels by providing a background explanation of how herbicides break down and</w:t>
      </w:r>
      <w:r w:rsidR="00854F49">
        <w:rPr>
          <w:rFonts w:ascii="VIC" w:hAnsi="VIC"/>
          <w:i/>
          <w:iCs/>
          <w:color w:val="4C7329"/>
          <w:sz w:val="28"/>
        </w:rPr>
        <w:t xml:space="preserve"> </w:t>
      </w:r>
      <w:r w:rsidRPr="0078723B">
        <w:rPr>
          <w:rFonts w:ascii="VIC" w:hAnsi="VIC"/>
          <w:i/>
          <w:iCs/>
          <w:color w:val="4C7329"/>
          <w:sz w:val="28"/>
        </w:rPr>
        <w:t>extra notes on some specific herbicides used in broadacre cropping.</w:t>
      </w:r>
    </w:p>
    <w:p w14:paraId="1448CA16" w14:textId="77777777" w:rsidR="00AF10AD" w:rsidRPr="0078723B" w:rsidRDefault="00AF10AD" w:rsidP="00AF10AD">
      <w:pPr>
        <w:pStyle w:val="Heading1"/>
        <w:rPr>
          <w:rFonts w:ascii="VIC" w:hAnsi="VIC"/>
          <w:lang w:val="en-AU"/>
        </w:rPr>
      </w:pPr>
      <w:r w:rsidRPr="0078723B">
        <w:rPr>
          <w:rFonts w:ascii="VIC" w:hAnsi="VIC"/>
          <w:lang w:val="en-AU"/>
        </w:rPr>
        <w:t>What are the issues?</w:t>
      </w:r>
    </w:p>
    <w:p w14:paraId="5E82F58F" w14:textId="130640F6" w:rsidR="00AF10AD" w:rsidRPr="0078723B" w:rsidRDefault="00AF10AD" w:rsidP="00AE116E">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Some herbicides can remain active in the soil for weeks,</w:t>
      </w:r>
      <w:r w:rsidR="00854F49">
        <w:rPr>
          <w:rFonts w:ascii="VIC" w:hAnsi="VIC" w:cs="Arial"/>
          <w:color w:val="auto"/>
          <w:szCs w:val="18"/>
          <w:lang w:val="en-AU"/>
        </w:rPr>
        <w:t xml:space="preserve"> </w:t>
      </w:r>
      <w:r w:rsidRPr="0078723B">
        <w:rPr>
          <w:rFonts w:ascii="VIC" w:hAnsi="VIC" w:cs="Arial"/>
          <w:color w:val="auto"/>
          <w:szCs w:val="18"/>
          <w:lang w:val="en-AU"/>
        </w:rPr>
        <w:t>months or years. This can be an advantage as it ensures good</w:t>
      </w:r>
      <w:r w:rsidR="00854F49">
        <w:rPr>
          <w:rFonts w:ascii="VIC" w:hAnsi="VIC" w:cs="Arial"/>
          <w:color w:val="auto"/>
          <w:szCs w:val="18"/>
          <w:lang w:val="en-AU"/>
        </w:rPr>
        <w:t xml:space="preserve"> </w:t>
      </w:r>
      <w:r w:rsidRPr="0078723B">
        <w:rPr>
          <w:rFonts w:ascii="VIC" w:hAnsi="VIC" w:cs="Arial"/>
          <w:color w:val="auto"/>
          <w:szCs w:val="18"/>
          <w:lang w:val="en-AU"/>
        </w:rPr>
        <w:t>long term weed control. However, if the herbicide stays in the</w:t>
      </w:r>
      <w:r w:rsidR="00854F49">
        <w:rPr>
          <w:rFonts w:ascii="VIC" w:hAnsi="VIC" w:cs="Arial"/>
          <w:color w:val="auto"/>
          <w:szCs w:val="18"/>
          <w:lang w:val="en-AU"/>
        </w:rPr>
        <w:t xml:space="preserve"> </w:t>
      </w:r>
      <w:r w:rsidRPr="0078723B">
        <w:rPr>
          <w:rFonts w:ascii="VIC" w:hAnsi="VIC" w:cs="Arial"/>
          <w:color w:val="auto"/>
          <w:szCs w:val="18"/>
          <w:lang w:val="en-AU"/>
        </w:rPr>
        <w:t>soil longer than intended it may damage sensitive crop or</w:t>
      </w:r>
      <w:r w:rsidR="00854F49">
        <w:rPr>
          <w:rFonts w:ascii="VIC" w:hAnsi="VIC" w:cs="Arial"/>
          <w:color w:val="auto"/>
          <w:szCs w:val="18"/>
          <w:lang w:val="en-AU"/>
        </w:rPr>
        <w:t xml:space="preserve"> </w:t>
      </w:r>
      <w:r w:rsidRPr="0078723B">
        <w:rPr>
          <w:rFonts w:ascii="VIC" w:hAnsi="VIC" w:cs="Arial"/>
          <w:color w:val="auto"/>
          <w:szCs w:val="18"/>
          <w:lang w:val="en-AU"/>
        </w:rPr>
        <w:t>pasture species sown in subsequent years.</w:t>
      </w:r>
    </w:p>
    <w:p w14:paraId="4F917E1A" w14:textId="2382B05A" w:rsidR="00AF10AD" w:rsidRPr="0078723B" w:rsidRDefault="00AF10AD" w:rsidP="00C47AB8">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For example, chlorsulfuron is used in wheat and barley, but</w:t>
      </w:r>
      <w:r w:rsidR="00AE116E">
        <w:rPr>
          <w:rFonts w:ascii="VIC" w:hAnsi="VIC" w:cs="Arial"/>
          <w:color w:val="auto"/>
          <w:szCs w:val="18"/>
          <w:lang w:val="en-AU"/>
        </w:rPr>
        <w:t xml:space="preserve"> </w:t>
      </w:r>
      <w:r w:rsidRPr="0078723B">
        <w:rPr>
          <w:rFonts w:ascii="VIC" w:hAnsi="VIC" w:cs="Arial"/>
          <w:color w:val="auto"/>
          <w:szCs w:val="18"/>
          <w:lang w:val="en-AU"/>
        </w:rPr>
        <w:t>can remain active in the soil for several years and damage</w:t>
      </w:r>
      <w:r w:rsidR="00AE116E">
        <w:rPr>
          <w:rFonts w:ascii="VIC" w:hAnsi="VIC" w:cs="Arial"/>
          <w:color w:val="auto"/>
          <w:szCs w:val="18"/>
          <w:lang w:val="en-AU"/>
        </w:rPr>
        <w:t xml:space="preserve"> </w:t>
      </w:r>
      <w:r w:rsidRPr="0078723B">
        <w:rPr>
          <w:rFonts w:ascii="VIC" w:hAnsi="VIC" w:cs="Arial"/>
          <w:color w:val="auto"/>
          <w:szCs w:val="18"/>
          <w:lang w:val="en-AU"/>
        </w:rPr>
        <w:t>legumes and oilseeds.</w:t>
      </w:r>
    </w:p>
    <w:p w14:paraId="1B9F7BB2"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A real problem for growers is the difficulty in identifying</w:t>
      </w:r>
    </w:p>
    <w:p w14:paraId="216EC413" w14:textId="13BBE12B" w:rsidR="00AF10AD" w:rsidRPr="0078723B" w:rsidRDefault="00AF10AD" w:rsidP="00C47AB8">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herbicide residues before they cause a problem. Currently, we</w:t>
      </w:r>
      <w:r w:rsidR="00AE116E">
        <w:rPr>
          <w:rFonts w:ascii="VIC" w:hAnsi="VIC" w:cs="Arial"/>
          <w:color w:val="auto"/>
          <w:szCs w:val="18"/>
          <w:lang w:val="en-AU"/>
        </w:rPr>
        <w:t xml:space="preserve"> </w:t>
      </w:r>
      <w:r w:rsidRPr="0078723B">
        <w:rPr>
          <w:rFonts w:ascii="VIC" w:hAnsi="VIC" w:cs="Arial"/>
          <w:color w:val="auto"/>
          <w:szCs w:val="18"/>
          <w:lang w:val="en-AU"/>
        </w:rPr>
        <w:t>are limited to predicting carryover based on information</w:t>
      </w:r>
      <w:r w:rsidR="00AE116E">
        <w:rPr>
          <w:rFonts w:ascii="VIC" w:hAnsi="VIC" w:cs="Arial"/>
          <w:color w:val="auto"/>
          <w:szCs w:val="18"/>
          <w:lang w:val="en-AU"/>
        </w:rPr>
        <w:t xml:space="preserve"> </w:t>
      </w:r>
      <w:r w:rsidRPr="0078723B">
        <w:rPr>
          <w:rFonts w:ascii="VIC" w:hAnsi="VIC" w:cs="Arial"/>
          <w:color w:val="auto"/>
          <w:szCs w:val="18"/>
          <w:lang w:val="en-AU"/>
        </w:rPr>
        <w:t>provided on the product labels about soil type and climate.</w:t>
      </w:r>
    </w:p>
    <w:p w14:paraId="5540BFFE" w14:textId="49F801D9" w:rsidR="00AF10AD" w:rsidRPr="0078723B" w:rsidRDefault="00AF10AD" w:rsidP="00C47AB8">
      <w:pPr>
        <w:autoSpaceDE w:val="0"/>
        <w:autoSpaceDN w:val="0"/>
        <w:adjustRightInd w:val="0"/>
        <w:spacing w:after="0" w:line="240" w:lineRule="auto"/>
        <w:rPr>
          <w:rFonts w:ascii="VIC" w:hAnsi="VIC"/>
        </w:rPr>
      </w:pPr>
      <w:r w:rsidRPr="0078723B">
        <w:rPr>
          <w:rFonts w:ascii="VIC" w:hAnsi="VIC" w:cs="Arial"/>
          <w:color w:val="auto"/>
          <w:szCs w:val="18"/>
          <w:lang w:val="en-AU"/>
        </w:rPr>
        <w:t>Herbicide residues are often too small to be detected by</w:t>
      </w:r>
      <w:r w:rsidR="00AE116E">
        <w:rPr>
          <w:rFonts w:ascii="VIC" w:hAnsi="VIC" w:cs="Arial"/>
          <w:color w:val="auto"/>
          <w:szCs w:val="18"/>
          <w:lang w:val="en-AU"/>
        </w:rPr>
        <w:t xml:space="preserve"> </w:t>
      </w:r>
      <w:r w:rsidRPr="0078723B">
        <w:rPr>
          <w:rFonts w:ascii="VIC" w:hAnsi="VIC" w:cs="Arial"/>
          <w:color w:val="auto"/>
          <w:szCs w:val="18"/>
          <w:lang w:val="en-AU"/>
        </w:rPr>
        <w:t xml:space="preserve">chemical analysis, or if the testing is </w:t>
      </w:r>
      <w:r w:rsidR="00C47AB8" w:rsidRPr="0078723B">
        <w:rPr>
          <w:rFonts w:ascii="VIC" w:hAnsi="VIC" w:cs="Arial"/>
          <w:color w:val="auto"/>
          <w:szCs w:val="18"/>
          <w:lang w:val="en-AU"/>
        </w:rPr>
        <w:t>possible,</w:t>
      </w:r>
      <w:r w:rsidRPr="0078723B">
        <w:rPr>
          <w:rFonts w:ascii="VIC" w:hAnsi="VIC" w:cs="Arial"/>
          <w:color w:val="auto"/>
          <w:szCs w:val="18"/>
          <w:lang w:val="en-AU"/>
        </w:rPr>
        <w:t xml:space="preserve"> it is too</w:t>
      </w:r>
      <w:r w:rsidR="00C47AB8">
        <w:rPr>
          <w:rFonts w:ascii="VIC" w:hAnsi="VIC" w:cs="Arial"/>
          <w:color w:val="auto"/>
          <w:szCs w:val="18"/>
          <w:lang w:val="en-AU"/>
        </w:rPr>
        <w:t xml:space="preserve"> </w:t>
      </w:r>
      <w:r w:rsidRPr="0078723B">
        <w:rPr>
          <w:rFonts w:ascii="VIC" w:hAnsi="VIC" w:cs="Arial"/>
          <w:color w:val="auto"/>
          <w:szCs w:val="18"/>
          <w:lang w:val="en-AU"/>
        </w:rPr>
        <w:t xml:space="preserve">expensive to be part of routine farming practice. </w:t>
      </w:r>
      <w:r w:rsidRPr="0078723B">
        <w:rPr>
          <w:rFonts w:ascii="VIC" w:hAnsi="VIC" w:cs="Arial"/>
          <w:color w:val="auto"/>
          <w:szCs w:val="18"/>
          <w:lang w:val="en-AU"/>
        </w:rPr>
        <w:t>Once the crop</w:t>
      </w:r>
      <w:r w:rsidR="00C47AB8">
        <w:rPr>
          <w:rFonts w:ascii="VIC" w:hAnsi="VIC" w:cs="Arial"/>
          <w:color w:val="auto"/>
          <w:szCs w:val="18"/>
          <w:lang w:val="en-AU"/>
        </w:rPr>
        <w:t xml:space="preserve"> </w:t>
      </w:r>
      <w:r w:rsidRPr="0078723B">
        <w:rPr>
          <w:rFonts w:ascii="VIC" w:hAnsi="VIC" w:cs="Arial"/>
          <w:color w:val="auto"/>
          <w:szCs w:val="18"/>
          <w:lang w:val="en-AU"/>
        </w:rPr>
        <w:t>has emerged, diagnosis is difficult because the symptoms of</w:t>
      </w:r>
      <w:r w:rsidR="00C47AB8">
        <w:rPr>
          <w:rFonts w:ascii="VIC" w:hAnsi="VIC" w:cs="Arial"/>
          <w:color w:val="auto"/>
          <w:szCs w:val="18"/>
          <w:lang w:val="en-AU"/>
        </w:rPr>
        <w:t xml:space="preserve"> </w:t>
      </w:r>
      <w:r w:rsidRPr="0078723B">
        <w:rPr>
          <w:rFonts w:ascii="VIC" w:hAnsi="VIC" w:cs="Arial"/>
          <w:color w:val="auto"/>
          <w:szCs w:val="18"/>
          <w:lang w:val="en-AU"/>
        </w:rPr>
        <w:t>residual herbicide damage can often be confused with and/or</w:t>
      </w:r>
      <w:r w:rsidR="00C47AB8">
        <w:rPr>
          <w:rFonts w:ascii="VIC" w:hAnsi="VIC" w:cs="Arial"/>
          <w:color w:val="auto"/>
          <w:szCs w:val="18"/>
          <w:lang w:val="en-AU"/>
        </w:rPr>
        <w:t xml:space="preserve"> </w:t>
      </w:r>
      <w:r w:rsidRPr="0078723B">
        <w:rPr>
          <w:rFonts w:ascii="VIC" w:hAnsi="VIC" w:cs="Arial"/>
          <w:color w:val="auto"/>
          <w:szCs w:val="18"/>
          <w:lang w:val="en-AU"/>
        </w:rPr>
        <w:t>make the crop vulnerable to other stresses, such as nutrient</w:t>
      </w:r>
      <w:r w:rsidR="00C47AB8">
        <w:rPr>
          <w:rFonts w:ascii="VIC" w:hAnsi="VIC" w:cs="Arial"/>
          <w:color w:val="auto"/>
          <w:szCs w:val="18"/>
          <w:lang w:val="en-AU"/>
        </w:rPr>
        <w:t xml:space="preserve"> </w:t>
      </w:r>
      <w:r w:rsidRPr="0078723B">
        <w:rPr>
          <w:rFonts w:ascii="VIC" w:hAnsi="VIC"/>
        </w:rPr>
        <w:t>deficiency or disease.</w:t>
      </w:r>
    </w:p>
    <w:p w14:paraId="3012494B" w14:textId="77777777" w:rsidR="00AF10AD" w:rsidRPr="0078723B" w:rsidRDefault="00AF10AD" w:rsidP="00AF10AD">
      <w:pPr>
        <w:pStyle w:val="Heading1"/>
        <w:rPr>
          <w:rFonts w:ascii="VIC" w:hAnsi="VIC"/>
          <w:lang w:val="en-AU"/>
        </w:rPr>
      </w:pPr>
      <w:r w:rsidRPr="0078723B">
        <w:rPr>
          <w:rFonts w:ascii="VIC" w:hAnsi="VIC"/>
          <w:lang w:val="en-AU"/>
        </w:rPr>
        <w:t>Which herbicides are residual?</w:t>
      </w:r>
    </w:p>
    <w:p w14:paraId="489289CD" w14:textId="373BA56F" w:rsidR="00AF10AD" w:rsidRPr="0078723B" w:rsidRDefault="00AF10AD" w:rsidP="00AF10AD">
      <w:pPr>
        <w:autoSpaceDE w:val="0"/>
        <w:autoSpaceDN w:val="0"/>
        <w:adjustRightInd w:val="0"/>
        <w:spacing w:after="0" w:line="240" w:lineRule="auto"/>
        <w:rPr>
          <w:rFonts w:ascii="VIC" w:hAnsi="VIC"/>
          <w:lang w:val="en-AU"/>
        </w:rPr>
      </w:pPr>
      <w:r w:rsidRPr="0078723B">
        <w:rPr>
          <w:rFonts w:ascii="VIC" w:hAnsi="VIC" w:cs="Arial"/>
          <w:color w:val="auto"/>
          <w:szCs w:val="18"/>
          <w:lang w:val="en-AU"/>
        </w:rPr>
        <w:t>The herbicides listed in the table all have some residual activity or planting restrictions. Product labels DO NOT use consistent terminology or put warnings in the same place</w:t>
      </w:r>
      <w:r w:rsidR="00C47AB8">
        <w:rPr>
          <w:rFonts w:ascii="VIC" w:hAnsi="VIC" w:cs="Arial"/>
          <w:color w:val="auto"/>
          <w:szCs w:val="18"/>
          <w:lang w:val="en-AU"/>
        </w:rPr>
        <w:t>,</w:t>
      </w:r>
      <w:r w:rsidRPr="0078723B">
        <w:rPr>
          <w:rFonts w:ascii="VIC" w:hAnsi="VIC" w:cs="Arial"/>
          <w:color w:val="auto"/>
          <w:szCs w:val="18"/>
          <w:lang w:val="en-AU"/>
        </w:rPr>
        <w:t xml:space="preserve"> so you need to read the entire label carefully.</w:t>
      </w:r>
      <w:r w:rsidR="00C47AB8">
        <w:rPr>
          <w:rFonts w:ascii="VIC" w:hAnsi="VIC" w:cs="Arial"/>
          <w:color w:val="auto"/>
          <w:szCs w:val="18"/>
          <w:lang w:val="en-AU"/>
        </w:rPr>
        <w:t xml:space="preserve"> </w:t>
      </w:r>
      <w:r w:rsidRPr="0078723B">
        <w:rPr>
          <w:rFonts w:ascii="VIC" w:hAnsi="VIC" w:cs="Arial"/>
          <w:color w:val="auto"/>
          <w:szCs w:val="18"/>
          <w:lang w:val="en-AU"/>
        </w:rPr>
        <w:t>Selected residue issues for each of the herbicide</w:t>
      </w:r>
      <w:r w:rsidR="00C47AB8">
        <w:rPr>
          <w:rFonts w:ascii="VIC" w:hAnsi="VIC" w:cs="Arial"/>
          <w:color w:val="auto"/>
          <w:szCs w:val="18"/>
          <w:lang w:val="en-AU"/>
        </w:rPr>
        <w:t xml:space="preserve"> </w:t>
      </w:r>
      <w:r w:rsidRPr="0078723B">
        <w:rPr>
          <w:rFonts w:ascii="VIC" w:hAnsi="VIC" w:cs="Arial"/>
          <w:color w:val="auto"/>
          <w:szCs w:val="18"/>
          <w:lang w:val="en-AU"/>
        </w:rPr>
        <w:t xml:space="preserve">groups are discussed in more detail </w:t>
      </w:r>
      <w:r w:rsidRPr="0078723B">
        <w:rPr>
          <w:rFonts w:ascii="VIC" w:hAnsi="VIC"/>
          <w:lang w:val="en-AU"/>
        </w:rPr>
        <w:t>further on.</w:t>
      </w:r>
    </w:p>
    <w:p w14:paraId="38BD6938" w14:textId="77777777" w:rsidR="00AF10AD" w:rsidRPr="0078723B" w:rsidRDefault="00AF10AD" w:rsidP="00AF10AD">
      <w:pPr>
        <w:autoSpaceDE w:val="0"/>
        <w:autoSpaceDN w:val="0"/>
        <w:adjustRightInd w:val="0"/>
        <w:spacing w:after="0" w:line="240" w:lineRule="auto"/>
        <w:rPr>
          <w:rFonts w:ascii="VIC" w:hAnsi="VIC"/>
        </w:rPr>
      </w:pPr>
    </w:p>
    <w:tbl>
      <w:tblPr>
        <w:tblStyle w:val="TableGrid"/>
        <w:tblW w:w="0" w:type="auto"/>
        <w:tblLook w:val="04A0" w:firstRow="1" w:lastRow="0" w:firstColumn="1" w:lastColumn="0" w:noHBand="0" w:noVBand="1"/>
      </w:tblPr>
      <w:tblGrid>
        <w:gridCol w:w="2467"/>
        <w:gridCol w:w="2410"/>
      </w:tblGrid>
      <w:tr w:rsidR="00AF10AD" w:rsidRPr="0078723B" w14:paraId="294550A0" w14:textId="77777777" w:rsidTr="00B47C50">
        <w:tc>
          <w:tcPr>
            <w:tcW w:w="2467" w:type="dxa"/>
            <w:shd w:val="clear" w:color="auto" w:fill="D0CECE" w:themeFill="background2" w:themeFillShade="E6"/>
            <w:vAlign w:val="center"/>
          </w:tcPr>
          <w:p w14:paraId="557A6AD3" w14:textId="77777777" w:rsidR="00AF10AD" w:rsidRPr="0078723B" w:rsidRDefault="00AF10AD" w:rsidP="0092163F">
            <w:pPr>
              <w:rPr>
                <w:rFonts w:ascii="VIC" w:hAnsi="VIC"/>
                <w:b/>
              </w:rPr>
            </w:pPr>
            <w:r w:rsidRPr="0078723B">
              <w:rPr>
                <w:rFonts w:ascii="VIC" w:hAnsi="VIC"/>
                <w:b/>
                <w:lang w:val="en-AU" w:eastAsia="en-AU"/>
              </w:rPr>
              <w:t xml:space="preserve">Herbicide group </w:t>
            </w:r>
          </w:p>
        </w:tc>
        <w:tc>
          <w:tcPr>
            <w:tcW w:w="2410" w:type="dxa"/>
            <w:shd w:val="clear" w:color="auto" w:fill="D0CECE" w:themeFill="background2" w:themeFillShade="E6"/>
            <w:vAlign w:val="center"/>
          </w:tcPr>
          <w:p w14:paraId="5461068E" w14:textId="77777777" w:rsidR="00AF10AD" w:rsidRPr="0078723B" w:rsidRDefault="00AF10AD" w:rsidP="0092163F">
            <w:pPr>
              <w:rPr>
                <w:rFonts w:ascii="VIC" w:hAnsi="VIC"/>
                <w:b/>
              </w:rPr>
            </w:pPr>
            <w:r w:rsidRPr="0078723B">
              <w:rPr>
                <w:rFonts w:ascii="VIC" w:hAnsi="VIC"/>
                <w:b/>
                <w:lang w:val="en-AU" w:eastAsia="en-AU"/>
              </w:rPr>
              <w:t xml:space="preserve">Active constituent </w:t>
            </w:r>
          </w:p>
        </w:tc>
      </w:tr>
      <w:tr w:rsidR="00AF10AD" w:rsidRPr="0078723B" w14:paraId="1230F3FA" w14:textId="77777777" w:rsidTr="00B47C50">
        <w:tc>
          <w:tcPr>
            <w:tcW w:w="2467" w:type="dxa"/>
            <w:vAlign w:val="center"/>
          </w:tcPr>
          <w:p w14:paraId="6332D833" w14:textId="79FB94FC" w:rsidR="00AF10AD" w:rsidRPr="0078723B" w:rsidRDefault="00AF10AD" w:rsidP="0092163F">
            <w:pPr>
              <w:rPr>
                <w:rFonts w:ascii="VIC" w:hAnsi="VIC"/>
              </w:rPr>
            </w:pPr>
            <w:r w:rsidRPr="0078723B">
              <w:rPr>
                <w:rFonts w:ascii="VIC" w:hAnsi="VIC"/>
                <w:lang w:val="en-AU" w:eastAsia="en-AU"/>
              </w:rPr>
              <w:t xml:space="preserve">Group </w:t>
            </w:r>
            <w:r w:rsidR="00DB0DD1">
              <w:rPr>
                <w:rFonts w:ascii="VIC" w:hAnsi="VIC"/>
                <w:lang w:val="en-AU" w:eastAsia="en-AU"/>
              </w:rPr>
              <w:t>2</w:t>
            </w:r>
            <w:r w:rsidRPr="0078723B">
              <w:rPr>
                <w:rFonts w:ascii="VIC" w:hAnsi="VIC"/>
                <w:lang w:val="en-AU" w:eastAsia="en-AU"/>
              </w:rPr>
              <w:t xml:space="preserve">: Sulfonylureas </w:t>
            </w:r>
          </w:p>
        </w:tc>
        <w:tc>
          <w:tcPr>
            <w:tcW w:w="2410" w:type="dxa"/>
            <w:vAlign w:val="center"/>
          </w:tcPr>
          <w:p w14:paraId="309D00B5" w14:textId="77777777" w:rsidR="00AF10AD" w:rsidRPr="0078723B" w:rsidRDefault="00AF10AD" w:rsidP="0092163F">
            <w:pPr>
              <w:rPr>
                <w:rFonts w:ascii="VIC" w:hAnsi="VIC"/>
              </w:rPr>
            </w:pPr>
            <w:proofErr w:type="spellStart"/>
            <w:r w:rsidRPr="0078723B">
              <w:rPr>
                <w:rFonts w:ascii="VIC" w:hAnsi="VIC"/>
                <w:lang w:val="en-AU" w:eastAsia="en-AU"/>
              </w:rPr>
              <w:t>azimsulfuron</w:t>
            </w:r>
            <w:proofErr w:type="spellEnd"/>
            <w:r w:rsidRPr="0078723B">
              <w:rPr>
                <w:rFonts w:ascii="VIC" w:hAnsi="VIC"/>
                <w:lang w:val="en-AU" w:eastAsia="en-AU"/>
              </w:rPr>
              <w:t xml:space="preserve">, </w:t>
            </w:r>
            <w:proofErr w:type="spellStart"/>
            <w:r w:rsidRPr="0078723B">
              <w:rPr>
                <w:rFonts w:ascii="VIC" w:hAnsi="VIC"/>
                <w:lang w:val="en-AU" w:eastAsia="en-AU"/>
              </w:rPr>
              <w:t>bensulfuron</w:t>
            </w:r>
            <w:proofErr w:type="spellEnd"/>
            <w:r w:rsidRPr="0078723B">
              <w:rPr>
                <w:rFonts w:ascii="VIC" w:hAnsi="VIC"/>
                <w:lang w:val="en-AU" w:eastAsia="en-AU"/>
              </w:rPr>
              <w:t xml:space="preserve">, chlorsulfuron, </w:t>
            </w:r>
            <w:proofErr w:type="spellStart"/>
            <w:r w:rsidRPr="0078723B">
              <w:rPr>
                <w:rFonts w:ascii="VIC" w:hAnsi="VIC"/>
                <w:lang w:val="en-AU" w:eastAsia="en-AU"/>
              </w:rPr>
              <w:t>halosulfuron</w:t>
            </w:r>
            <w:proofErr w:type="spellEnd"/>
            <w:r w:rsidRPr="0078723B">
              <w:rPr>
                <w:rFonts w:ascii="VIC" w:hAnsi="VIC"/>
                <w:lang w:val="en-AU" w:eastAsia="en-AU"/>
              </w:rPr>
              <w:t xml:space="preserve">, </w:t>
            </w:r>
            <w:proofErr w:type="spellStart"/>
            <w:r w:rsidRPr="0078723B">
              <w:rPr>
                <w:rFonts w:ascii="VIC" w:hAnsi="VIC"/>
                <w:lang w:val="en-AU" w:eastAsia="en-AU"/>
              </w:rPr>
              <w:t>iodosulfuron</w:t>
            </w:r>
            <w:proofErr w:type="spellEnd"/>
            <w:r w:rsidRPr="0078723B">
              <w:rPr>
                <w:rFonts w:ascii="VIC" w:hAnsi="VIC"/>
                <w:lang w:val="en-AU" w:eastAsia="en-AU"/>
              </w:rPr>
              <w:t xml:space="preserve">, </w:t>
            </w:r>
            <w:proofErr w:type="spellStart"/>
            <w:r w:rsidRPr="0078723B">
              <w:rPr>
                <w:rFonts w:ascii="VIC" w:hAnsi="VIC"/>
                <w:lang w:val="en-AU" w:eastAsia="en-AU"/>
              </w:rPr>
              <w:t>mesosulfuron</w:t>
            </w:r>
            <w:proofErr w:type="spellEnd"/>
            <w:r w:rsidRPr="0078723B">
              <w:rPr>
                <w:rFonts w:ascii="VIC" w:hAnsi="VIC"/>
                <w:lang w:val="en-AU" w:eastAsia="en-AU"/>
              </w:rPr>
              <w:t xml:space="preserve">, metsulfuron, </w:t>
            </w:r>
            <w:proofErr w:type="spellStart"/>
            <w:r w:rsidRPr="0078723B">
              <w:rPr>
                <w:rFonts w:ascii="VIC" w:hAnsi="VIC"/>
                <w:lang w:val="en-AU" w:eastAsia="en-AU"/>
              </w:rPr>
              <w:t>sulfosulfuron</w:t>
            </w:r>
            <w:proofErr w:type="spellEnd"/>
            <w:r w:rsidRPr="0078723B">
              <w:rPr>
                <w:rFonts w:ascii="VIC" w:hAnsi="VIC"/>
                <w:lang w:val="en-AU" w:eastAsia="en-AU"/>
              </w:rPr>
              <w:t xml:space="preserve">, </w:t>
            </w:r>
            <w:proofErr w:type="spellStart"/>
            <w:r w:rsidRPr="0078723B">
              <w:rPr>
                <w:rFonts w:ascii="VIC" w:hAnsi="VIC"/>
                <w:lang w:val="en-AU" w:eastAsia="en-AU"/>
              </w:rPr>
              <w:t>triasulfuron</w:t>
            </w:r>
            <w:proofErr w:type="spellEnd"/>
            <w:r w:rsidRPr="0078723B">
              <w:rPr>
                <w:rFonts w:ascii="VIC" w:hAnsi="VIC"/>
                <w:lang w:val="en-AU" w:eastAsia="en-AU"/>
              </w:rPr>
              <w:t xml:space="preserve">, </w:t>
            </w:r>
            <w:proofErr w:type="spellStart"/>
            <w:r w:rsidRPr="0078723B">
              <w:rPr>
                <w:rFonts w:ascii="VIC" w:hAnsi="VIC"/>
                <w:lang w:val="en-AU" w:eastAsia="en-AU"/>
              </w:rPr>
              <w:t>tribenuron</w:t>
            </w:r>
            <w:proofErr w:type="spellEnd"/>
            <w:r w:rsidRPr="0078723B">
              <w:rPr>
                <w:rFonts w:ascii="VIC" w:hAnsi="VIC"/>
                <w:lang w:val="en-AU" w:eastAsia="en-AU"/>
              </w:rPr>
              <w:t xml:space="preserve"> </w:t>
            </w:r>
          </w:p>
        </w:tc>
      </w:tr>
      <w:tr w:rsidR="00AF10AD" w:rsidRPr="0078723B" w14:paraId="550D5C83" w14:textId="77777777" w:rsidTr="00B47C50">
        <w:tc>
          <w:tcPr>
            <w:tcW w:w="2467" w:type="dxa"/>
            <w:vAlign w:val="center"/>
          </w:tcPr>
          <w:p w14:paraId="7B0C7796" w14:textId="7C6AD29C" w:rsidR="00AF10AD" w:rsidRPr="0078723B" w:rsidRDefault="00AF10AD" w:rsidP="0092163F">
            <w:pPr>
              <w:rPr>
                <w:rFonts w:ascii="VIC" w:hAnsi="VIC"/>
              </w:rPr>
            </w:pPr>
            <w:r w:rsidRPr="0078723B">
              <w:rPr>
                <w:rFonts w:ascii="VIC" w:hAnsi="VIC"/>
                <w:lang w:val="en-AU" w:eastAsia="en-AU"/>
              </w:rPr>
              <w:t xml:space="preserve">Group </w:t>
            </w:r>
            <w:r w:rsidR="00DB0DD1">
              <w:rPr>
                <w:rFonts w:ascii="VIC" w:hAnsi="VIC"/>
                <w:lang w:val="en-AU" w:eastAsia="en-AU"/>
              </w:rPr>
              <w:t>2</w:t>
            </w:r>
            <w:r w:rsidRPr="0078723B">
              <w:rPr>
                <w:rFonts w:ascii="VIC" w:hAnsi="VIC"/>
                <w:lang w:val="en-AU" w:eastAsia="en-AU"/>
              </w:rPr>
              <w:t>: Imidazolinones</w:t>
            </w:r>
            <w:r w:rsidR="003B4217">
              <w:rPr>
                <w:rFonts w:ascii="VIC" w:hAnsi="VIC"/>
                <w:lang w:val="en-AU" w:eastAsia="en-AU"/>
              </w:rPr>
              <w:t xml:space="preserve"> (IMIs)</w:t>
            </w:r>
            <w:r w:rsidRPr="0078723B">
              <w:rPr>
                <w:rFonts w:ascii="VIC" w:hAnsi="VIC"/>
                <w:lang w:val="en-AU" w:eastAsia="en-AU"/>
              </w:rPr>
              <w:t xml:space="preserve"> </w:t>
            </w:r>
          </w:p>
        </w:tc>
        <w:tc>
          <w:tcPr>
            <w:tcW w:w="2410" w:type="dxa"/>
            <w:vAlign w:val="center"/>
          </w:tcPr>
          <w:p w14:paraId="2854B76B" w14:textId="77777777" w:rsidR="00AF10AD" w:rsidRPr="0078723B" w:rsidRDefault="00AF10AD" w:rsidP="0092163F">
            <w:pPr>
              <w:rPr>
                <w:rFonts w:ascii="VIC" w:hAnsi="VIC"/>
              </w:rPr>
            </w:pPr>
            <w:proofErr w:type="spellStart"/>
            <w:r w:rsidRPr="0078723B">
              <w:rPr>
                <w:rFonts w:ascii="VIC" w:hAnsi="VIC"/>
                <w:lang w:val="en-AU" w:eastAsia="en-AU"/>
              </w:rPr>
              <w:t>imazamox</w:t>
            </w:r>
            <w:proofErr w:type="spellEnd"/>
            <w:r w:rsidRPr="0078723B">
              <w:rPr>
                <w:rFonts w:ascii="VIC" w:hAnsi="VIC"/>
                <w:lang w:val="en-AU" w:eastAsia="en-AU"/>
              </w:rPr>
              <w:t xml:space="preserve">, </w:t>
            </w:r>
            <w:proofErr w:type="spellStart"/>
            <w:r w:rsidRPr="0078723B">
              <w:rPr>
                <w:rFonts w:ascii="VIC" w:hAnsi="VIC"/>
                <w:lang w:val="en-AU" w:eastAsia="en-AU"/>
              </w:rPr>
              <w:t>imazapic</w:t>
            </w:r>
            <w:proofErr w:type="spellEnd"/>
            <w:r w:rsidRPr="0078723B">
              <w:rPr>
                <w:rFonts w:ascii="VIC" w:hAnsi="VIC"/>
                <w:lang w:val="en-AU" w:eastAsia="en-AU"/>
              </w:rPr>
              <w:t xml:space="preserve">, imazapyr, imazethapyr </w:t>
            </w:r>
          </w:p>
        </w:tc>
      </w:tr>
      <w:tr w:rsidR="00AF10AD" w:rsidRPr="0078723B" w14:paraId="00E33CFD" w14:textId="77777777" w:rsidTr="00B47C50">
        <w:tc>
          <w:tcPr>
            <w:tcW w:w="2467" w:type="dxa"/>
            <w:vAlign w:val="center"/>
          </w:tcPr>
          <w:p w14:paraId="7CA2E2DB" w14:textId="4FD1CBEF" w:rsidR="00AF10AD" w:rsidRPr="0078723B" w:rsidRDefault="00AF10AD" w:rsidP="0092163F">
            <w:pPr>
              <w:rPr>
                <w:rFonts w:ascii="VIC" w:hAnsi="VIC"/>
              </w:rPr>
            </w:pPr>
            <w:r w:rsidRPr="0078723B">
              <w:rPr>
                <w:rFonts w:ascii="VIC" w:hAnsi="VIC"/>
                <w:lang w:val="en-AU" w:eastAsia="en-AU"/>
              </w:rPr>
              <w:t xml:space="preserve">Group </w:t>
            </w:r>
            <w:r w:rsidR="00DB0DD1">
              <w:rPr>
                <w:rFonts w:ascii="VIC" w:hAnsi="VIC"/>
                <w:lang w:val="en-AU" w:eastAsia="en-AU"/>
              </w:rPr>
              <w:t>2</w:t>
            </w:r>
            <w:r w:rsidRPr="0078723B">
              <w:rPr>
                <w:rFonts w:ascii="VIC" w:hAnsi="VIC"/>
                <w:lang w:val="en-AU" w:eastAsia="en-AU"/>
              </w:rPr>
              <w:t>: Triazolopyrimidines</w:t>
            </w:r>
            <w:r w:rsidR="002C32CA">
              <w:rPr>
                <w:rFonts w:ascii="VIC" w:hAnsi="VIC"/>
                <w:lang w:val="en-AU" w:eastAsia="en-AU"/>
              </w:rPr>
              <w:t xml:space="preserve"> – Type 1</w:t>
            </w:r>
          </w:p>
        </w:tc>
        <w:tc>
          <w:tcPr>
            <w:tcW w:w="2410" w:type="dxa"/>
            <w:vAlign w:val="center"/>
          </w:tcPr>
          <w:p w14:paraId="0FE5E086" w14:textId="4FCE0AB1" w:rsidR="00AF10AD" w:rsidRPr="0078723B" w:rsidRDefault="00AF10AD" w:rsidP="0092163F">
            <w:pPr>
              <w:rPr>
                <w:rFonts w:ascii="VIC" w:hAnsi="VIC"/>
              </w:rPr>
            </w:pPr>
            <w:proofErr w:type="spellStart"/>
            <w:r w:rsidRPr="0078723B">
              <w:rPr>
                <w:rFonts w:ascii="VIC" w:hAnsi="VIC"/>
                <w:lang w:val="en-AU" w:eastAsia="en-AU"/>
              </w:rPr>
              <w:t>flumetsulam</w:t>
            </w:r>
            <w:proofErr w:type="spellEnd"/>
            <w:r w:rsidRPr="0078723B">
              <w:rPr>
                <w:rFonts w:ascii="VIC" w:hAnsi="VIC"/>
                <w:lang w:val="en-AU" w:eastAsia="en-AU"/>
              </w:rPr>
              <w:t xml:space="preserve">, </w:t>
            </w:r>
            <w:proofErr w:type="spellStart"/>
            <w:r w:rsidRPr="0078723B">
              <w:rPr>
                <w:rFonts w:ascii="VIC" w:hAnsi="VIC"/>
                <w:lang w:val="en-AU" w:eastAsia="en-AU"/>
              </w:rPr>
              <w:t>florasulam</w:t>
            </w:r>
            <w:proofErr w:type="spellEnd"/>
            <w:r w:rsidRPr="0078723B">
              <w:rPr>
                <w:rFonts w:ascii="VIC" w:hAnsi="VIC"/>
                <w:lang w:val="en-AU" w:eastAsia="en-AU"/>
              </w:rPr>
              <w:t xml:space="preserve">, </w:t>
            </w:r>
            <w:proofErr w:type="spellStart"/>
            <w:r w:rsidRPr="0078723B">
              <w:rPr>
                <w:rFonts w:ascii="VIC" w:hAnsi="VIC"/>
                <w:lang w:val="en-AU" w:eastAsia="en-AU"/>
              </w:rPr>
              <w:t>metosulam</w:t>
            </w:r>
            <w:proofErr w:type="spellEnd"/>
            <w:r w:rsidRPr="0078723B">
              <w:rPr>
                <w:rFonts w:ascii="VIC" w:hAnsi="VIC"/>
                <w:lang w:val="en-AU" w:eastAsia="en-AU"/>
              </w:rPr>
              <w:t xml:space="preserve"> </w:t>
            </w:r>
          </w:p>
        </w:tc>
      </w:tr>
      <w:tr w:rsidR="00D1157B" w:rsidRPr="0078723B" w14:paraId="2EBF7762" w14:textId="77777777" w:rsidTr="00B47C50">
        <w:tc>
          <w:tcPr>
            <w:tcW w:w="2467" w:type="dxa"/>
            <w:vAlign w:val="center"/>
          </w:tcPr>
          <w:p w14:paraId="39B3B5D7" w14:textId="660482E6" w:rsidR="00D1157B" w:rsidRPr="0078723B" w:rsidRDefault="00D1157B" w:rsidP="0092163F">
            <w:pPr>
              <w:rPr>
                <w:rFonts w:ascii="VIC" w:hAnsi="VIC"/>
                <w:lang w:val="en-AU" w:eastAsia="en-AU"/>
              </w:rPr>
            </w:pPr>
            <w:r w:rsidRPr="0078723B">
              <w:rPr>
                <w:rFonts w:ascii="VIC" w:hAnsi="VIC"/>
                <w:lang w:val="en-AU" w:eastAsia="en-AU"/>
              </w:rPr>
              <w:t xml:space="preserve">Group </w:t>
            </w:r>
            <w:r>
              <w:rPr>
                <w:rFonts w:ascii="VIC" w:hAnsi="VIC"/>
                <w:lang w:val="en-AU" w:eastAsia="en-AU"/>
              </w:rPr>
              <w:t>2</w:t>
            </w:r>
            <w:r w:rsidRPr="0078723B">
              <w:rPr>
                <w:rFonts w:ascii="VIC" w:hAnsi="VIC"/>
                <w:lang w:val="en-AU" w:eastAsia="en-AU"/>
              </w:rPr>
              <w:t>: Triazolopyrimidines</w:t>
            </w:r>
            <w:r w:rsidR="002C32CA">
              <w:rPr>
                <w:rFonts w:ascii="VIC" w:hAnsi="VIC"/>
                <w:lang w:val="en-AU" w:eastAsia="en-AU"/>
              </w:rPr>
              <w:t xml:space="preserve"> – Type 2</w:t>
            </w:r>
          </w:p>
        </w:tc>
        <w:tc>
          <w:tcPr>
            <w:tcW w:w="2410" w:type="dxa"/>
            <w:vAlign w:val="center"/>
          </w:tcPr>
          <w:p w14:paraId="3E53C528" w14:textId="65A39668" w:rsidR="00D1157B" w:rsidRPr="0078723B" w:rsidRDefault="003B4217" w:rsidP="0092163F">
            <w:pPr>
              <w:rPr>
                <w:rFonts w:ascii="VIC" w:hAnsi="VIC"/>
                <w:lang w:val="en-AU" w:eastAsia="en-AU"/>
              </w:rPr>
            </w:pPr>
            <w:proofErr w:type="spellStart"/>
            <w:r w:rsidRPr="0078723B">
              <w:rPr>
                <w:rFonts w:ascii="VIC" w:hAnsi="VIC"/>
                <w:lang w:val="en-AU" w:eastAsia="en-AU"/>
              </w:rPr>
              <w:t>pyroxsulam</w:t>
            </w:r>
            <w:proofErr w:type="spellEnd"/>
          </w:p>
        </w:tc>
      </w:tr>
      <w:tr w:rsidR="00587DC0" w:rsidRPr="0078723B" w14:paraId="758E6AED" w14:textId="77777777" w:rsidTr="00B47C50">
        <w:tc>
          <w:tcPr>
            <w:tcW w:w="2467" w:type="dxa"/>
            <w:vAlign w:val="center"/>
          </w:tcPr>
          <w:p w14:paraId="40179A6E" w14:textId="298F5D26" w:rsidR="00587DC0" w:rsidRPr="00F3298D" w:rsidRDefault="00F3298D" w:rsidP="0092163F">
            <w:pPr>
              <w:rPr>
                <w:rFonts w:ascii="VIC" w:hAnsi="VIC"/>
                <w:lang w:val="en-AU" w:eastAsia="en-AU"/>
              </w:rPr>
            </w:pPr>
            <w:r>
              <w:rPr>
                <w:rFonts w:ascii="VIC" w:hAnsi="VIC"/>
              </w:rPr>
              <w:t xml:space="preserve">Group 2: </w:t>
            </w:r>
            <w:proofErr w:type="spellStart"/>
            <w:r>
              <w:rPr>
                <w:rFonts w:ascii="VIC" w:hAnsi="VIC"/>
              </w:rPr>
              <w:t>P</w:t>
            </w:r>
            <w:r w:rsidRPr="00F3298D">
              <w:rPr>
                <w:rFonts w:ascii="VIC" w:hAnsi="VIC"/>
              </w:rPr>
              <w:t>yrimidinyl</w:t>
            </w:r>
            <w:proofErr w:type="spellEnd"/>
            <w:r w:rsidRPr="00F3298D">
              <w:rPr>
                <w:rFonts w:ascii="VIC" w:hAnsi="VIC"/>
              </w:rPr>
              <w:t>–</w:t>
            </w:r>
            <w:proofErr w:type="spellStart"/>
            <w:r w:rsidRPr="00F3298D">
              <w:rPr>
                <w:rFonts w:ascii="VIC" w:hAnsi="VIC"/>
              </w:rPr>
              <w:t>thio</w:t>
            </w:r>
            <w:proofErr w:type="spellEnd"/>
            <w:r>
              <w:rPr>
                <w:rFonts w:ascii="VIC" w:hAnsi="VIC"/>
              </w:rPr>
              <w:t>-</w:t>
            </w:r>
            <w:r w:rsidRPr="00F3298D">
              <w:rPr>
                <w:rFonts w:ascii="VIC" w:hAnsi="VIC"/>
              </w:rPr>
              <w:t>benzoates</w:t>
            </w:r>
          </w:p>
        </w:tc>
        <w:tc>
          <w:tcPr>
            <w:tcW w:w="2410" w:type="dxa"/>
            <w:vAlign w:val="center"/>
          </w:tcPr>
          <w:p w14:paraId="648C4DB8" w14:textId="0CB0E1E6" w:rsidR="00587DC0" w:rsidRPr="0078723B" w:rsidRDefault="002D7AB3" w:rsidP="0092163F">
            <w:pPr>
              <w:rPr>
                <w:rFonts w:ascii="VIC" w:hAnsi="VIC"/>
                <w:lang w:val="en-AU" w:eastAsia="en-AU"/>
              </w:rPr>
            </w:pPr>
            <w:proofErr w:type="spellStart"/>
            <w:r>
              <w:rPr>
                <w:rFonts w:ascii="VIC" w:hAnsi="VIC"/>
                <w:lang w:val="en-AU" w:eastAsia="en-AU"/>
              </w:rPr>
              <w:t>b</w:t>
            </w:r>
            <w:r w:rsidR="00F3298D">
              <w:rPr>
                <w:rFonts w:ascii="VIC" w:hAnsi="VIC"/>
                <w:lang w:val="en-AU" w:eastAsia="en-AU"/>
              </w:rPr>
              <w:t>ispyri</w:t>
            </w:r>
            <w:r>
              <w:rPr>
                <w:rFonts w:ascii="VIC" w:hAnsi="VIC"/>
                <w:lang w:val="en-AU" w:eastAsia="en-AU"/>
              </w:rPr>
              <w:t>bac</w:t>
            </w:r>
            <w:proofErr w:type="spellEnd"/>
            <w:r>
              <w:rPr>
                <w:rFonts w:ascii="VIC" w:hAnsi="VIC"/>
                <w:lang w:val="en-AU" w:eastAsia="en-AU"/>
              </w:rPr>
              <w:t xml:space="preserve">, </w:t>
            </w:r>
            <w:proofErr w:type="spellStart"/>
            <w:r>
              <w:rPr>
                <w:rFonts w:ascii="VIC" w:hAnsi="VIC"/>
                <w:lang w:val="en-AU" w:eastAsia="en-AU"/>
              </w:rPr>
              <w:t>pyrithiobac</w:t>
            </w:r>
            <w:proofErr w:type="spellEnd"/>
            <w:r>
              <w:rPr>
                <w:rFonts w:ascii="VIC" w:hAnsi="VIC"/>
                <w:lang w:val="en-AU" w:eastAsia="en-AU"/>
              </w:rPr>
              <w:t xml:space="preserve"> </w:t>
            </w:r>
          </w:p>
        </w:tc>
      </w:tr>
      <w:tr w:rsidR="00B47C50" w:rsidRPr="0078723B" w14:paraId="2F387ACA" w14:textId="77777777" w:rsidTr="00B47C50">
        <w:tc>
          <w:tcPr>
            <w:tcW w:w="2467" w:type="dxa"/>
            <w:vAlign w:val="center"/>
          </w:tcPr>
          <w:p w14:paraId="7761E8FF" w14:textId="61B6591E" w:rsidR="00B47C50" w:rsidRPr="0078723B" w:rsidRDefault="00B47C50" w:rsidP="00B47C50">
            <w:pPr>
              <w:rPr>
                <w:rFonts w:ascii="VIC" w:hAnsi="VIC"/>
                <w:lang w:val="en-AU" w:eastAsia="en-AU"/>
              </w:rPr>
            </w:pPr>
            <w:r w:rsidRPr="0078723B">
              <w:rPr>
                <w:rFonts w:ascii="VIC" w:hAnsi="VIC"/>
                <w:lang w:val="en-AU" w:eastAsia="en-AU"/>
              </w:rPr>
              <w:t xml:space="preserve">Group </w:t>
            </w:r>
            <w:r>
              <w:rPr>
                <w:rFonts w:ascii="VIC" w:hAnsi="VIC"/>
                <w:lang w:val="en-AU" w:eastAsia="en-AU"/>
              </w:rPr>
              <w:t>3</w:t>
            </w:r>
            <w:r w:rsidRPr="0078723B">
              <w:rPr>
                <w:rFonts w:ascii="VIC" w:hAnsi="VIC"/>
                <w:lang w:val="en-AU" w:eastAsia="en-AU"/>
              </w:rPr>
              <w:t xml:space="preserve">: Dinitroanilines </w:t>
            </w:r>
          </w:p>
        </w:tc>
        <w:tc>
          <w:tcPr>
            <w:tcW w:w="2410" w:type="dxa"/>
            <w:vAlign w:val="center"/>
          </w:tcPr>
          <w:p w14:paraId="023465F8" w14:textId="2B85B203" w:rsidR="00B47C50" w:rsidRPr="0078723B" w:rsidRDefault="00B47C50" w:rsidP="00B47C50">
            <w:pPr>
              <w:rPr>
                <w:rFonts w:ascii="VIC" w:hAnsi="VIC"/>
                <w:lang w:val="en-AU" w:eastAsia="en-AU"/>
              </w:rPr>
            </w:pPr>
            <w:r w:rsidRPr="0078723B">
              <w:rPr>
                <w:rFonts w:ascii="VIC" w:hAnsi="VIC"/>
                <w:lang w:val="en-AU" w:eastAsia="en-AU"/>
              </w:rPr>
              <w:t xml:space="preserve">pendimethalin, trifluralin </w:t>
            </w:r>
          </w:p>
        </w:tc>
      </w:tr>
      <w:tr w:rsidR="00B47C50" w:rsidRPr="0078723B" w14:paraId="52B7C7BA" w14:textId="77777777" w:rsidTr="00B47C50">
        <w:tc>
          <w:tcPr>
            <w:tcW w:w="2467" w:type="dxa"/>
            <w:vAlign w:val="center"/>
          </w:tcPr>
          <w:p w14:paraId="2AA0610B" w14:textId="24233C1C" w:rsidR="00B47C50" w:rsidRPr="0078723B" w:rsidRDefault="00B47C50" w:rsidP="00B47C50">
            <w:pPr>
              <w:rPr>
                <w:rFonts w:ascii="VIC" w:hAnsi="VIC"/>
                <w:lang w:val="en-AU" w:eastAsia="en-AU"/>
              </w:rPr>
            </w:pPr>
            <w:r w:rsidRPr="0078723B">
              <w:rPr>
                <w:rFonts w:ascii="VIC" w:hAnsi="VIC"/>
                <w:lang w:val="en-AU" w:eastAsia="en-AU"/>
              </w:rPr>
              <w:t xml:space="preserve">Group </w:t>
            </w:r>
            <w:r>
              <w:rPr>
                <w:rFonts w:ascii="VIC" w:hAnsi="VIC"/>
                <w:lang w:val="en-AU" w:eastAsia="en-AU"/>
              </w:rPr>
              <w:t>4</w:t>
            </w:r>
            <w:r w:rsidRPr="0078723B">
              <w:rPr>
                <w:rFonts w:ascii="VIC" w:hAnsi="VIC"/>
                <w:lang w:val="en-AU" w:eastAsia="en-AU"/>
              </w:rPr>
              <w:t>: Phenoxy</w:t>
            </w:r>
            <w:r>
              <w:rPr>
                <w:rFonts w:ascii="VIC" w:hAnsi="VIC"/>
                <w:lang w:val="en-AU" w:eastAsia="en-AU"/>
              </w:rPr>
              <w:t>-</w:t>
            </w:r>
            <w:r w:rsidRPr="0078723B">
              <w:rPr>
                <w:rFonts w:ascii="VIC" w:hAnsi="VIC"/>
                <w:lang w:val="en-AU" w:eastAsia="en-AU"/>
              </w:rPr>
              <w:t>carboxyl</w:t>
            </w:r>
            <w:r>
              <w:rPr>
                <w:rFonts w:ascii="VIC" w:hAnsi="VIC"/>
                <w:lang w:val="en-AU" w:eastAsia="en-AU"/>
              </w:rPr>
              <w:t>ates</w:t>
            </w:r>
            <w:r w:rsidRPr="0078723B">
              <w:rPr>
                <w:rFonts w:ascii="VIC" w:hAnsi="VIC"/>
                <w:lang w:val="en-AU" w:eastAsia="en-AU"/>
              </w:rPr>
              <w:t xml:space="preserve"> </w:t>
            </w:r>
          </w:p>
        </w:tc>
        <w:tc>
          <w:tcPr>
            <w:tcW w:w="2410" w:type="dxa"/>
            <w:vAlign w:val="center"/>
          </w:tcPr>
          <w:p w14:paraId="65B7AEBF" w14:textId="76C5B77D" w:rsidR="00B47C50" w:rsidRPr="0078723B" w:rsidRDefault="00B47C50" w:rsidP="00B47C50">
            <w:pPr>
              <w:rPr>
                <w:rFonts w:ascii="VIC" w:hAnsi="VIC"/>
                <w:lang w:val="en-AU" w:eastAsia="en-AU"/>
              </w:rPr>
            </w:pPr>
            <w:r w:rsidRPr="0078723B">
              <w:rPr>
                <w:rFonts w:ascii="VIC" w:hAnsi="VIC"/>
                <w:lang w:val="en-AU" w:eastAsia="en-AU"/>
              </w:rPr>
              <w:t xml:space="preserve">2,4-D </w:t>
            </w:r>
          </w:p>
        </w:tc>
      </w:tr>
      <w:tr w:rsidR="00B47C50" w:rsidRPr="0078723B" w14:paraId="30DACAB9" w14:textId="77777777" w:rsidTr="00B47C50">
        <w:tc>
          <w:tcPr>
            <w:tcW w:w="2467" w:type="dxa"/>
            <w:vAlign w:val="center"/>
          </w:tcPr>
          <w:p w14:paraId="45B98F3F" w14:textId="74B39547" w:rsidR="00B47C50" w:rsidRPr="0078723B" w:rsidRDefault="00B47C50" w:rsidP="00B47C50">
            <w:pPr>
              <w:rPr>
                <w:rFonts w:ascii="VIC" w:hAnsi="VIC"/>
                <w:lang w:val="en-AU" w:eastAsia="en-AU"/>
              </w:rPr>
            </w:pPr>
            <w:r w:rsidRPr="0078723B">
              <w:rPr>
                <w:rFonts w:ascii="VIC" w:hAnsi="VIC"/>
                <w:lang w:val="en-AU" w:eastAsia="en-AU"/>
              </w:rPr>
              <w:lastRenderedPageBreak/>
              <w:t xml:space="preserve">Group </w:t>
            </w:r>
            <w:r>
              <w:rPr>
                <w:rFonts w:ascii="VIC" w:hAnsi="VIC"/>
                <w:lang w:val="en-AU" w:eastAsia="en-AU"/>
              </w:rPr>
              <w:t>4</w:t>
            </w:r>
            <w:r w:rsidRPr="0078723B">
              <w:rPr>
                <w:rFonts w:ascii="VIC" w:hAnsi="VIC"/>
                <w:lang w:val="en-AU" w:eastAsia="en-AU"/>
              </w:rPr>
              <w:t>: Benzo</w:t>
            </w:r>
            <w:r>
              <w:rPr>
                <w:rFonts w:ascii="VIC" w:hAnsi="VIC"/>
                <w:lang w:val="en-AU" w:eastAsia="en-AU"/>
              </w:rPr>
              <w:t>ates</w:t>
            </w:r>
            <w:r w:rsidRPr="0078723B">
              <w:rPr>
                <w:rFonts w:ascii="VIC" w:hAnsi="VIC"/>
                <w:lang w:val="en-AU" w:eastAsia="en-AU"/>
              </w:rPr>
              <w:t xml:space="preserve"> </w:t>
            </w:r>
          </w:p>
        </w:tc>
        <w:tc>
          <w:tcPr>
            <w:tcW w:w="2410" w:type="dxa"/>
            <w:vAlign w:val="center"/>
          </w:tcPr>
          <w:p w14:paraId="7AB946B7" w14:textId="2872BDF4" w:rsidR="00B47C50" w:rsidRPr="0078723B" w:rsidRDefault="00B47C50" w:rsidP="00B47C50">
            <w:pPr>
              <w:rPr>
                <w:rFonts w:ascii="VIC" w:hAnsi="VIC"/>
                <w:lang w:val="en-AU" w:eastAsia="en-AU"/>
              </w:rPr>
            </w:pPr>
            <w:r w:rsidRPr="0078723B">
              <w:rPr>
                <w:rFonts w:ascii="VIC" w:hAnsi="VIC"/>
                <w:lang w:val="en-AU" w:eastAsia="en-AU"/>
              </w:rPr>
              <w:t xml:space="preserve">dicamba </w:t>
            </w:r>
          </w:p>
        </w:tc>
      </w:tr>
      <w:tr w:rsidR="00B47C50" w:rsidRPr="0078723B" w14:paraId="0AA0BB08" w14:textId="77777777" w:rsidTr="00B47C50">
        <w:tc>
          <w:tcPr>
            <w:tcW w:w="2467" w:type="dxa"/>
            <w:vAlign w:val="center"/>
          </w:tcPr>
          <w:p w14:paraId="44D825B1" w14:textId="5BED8D0D" w:rsidR="00B47C50" w:rsidRPr="0078723B" w:rsidRDefault="00B47C50" w:rsidP="00B47C50">
            <w:pPr>
              <w:rPr>
                <w:rFonts w:ascii="VIC" w:hAnsi="VIC"/>
                <w:lang w:val="en-AU" w:eastAsia="en-AU"/>
              </w:rPr>
            </w:pPr>
            <w:r w:rsidRPr="0078723B">
              <w:rPr>
                <w:rFonts w:ascii="VIC" w:hAnsi="VIC"/>
                <w:lang w:val="en-AU" w:eastAsia="en-AU"/>
              </w:rPr>
              <w:t xml:space="preserve">Group </w:t>
            </w:r>
            <w:r>
              <w:rPr>
                <w:rFonts w:ascii="VIC" w:hAnsi="VIC"/>
                <w:lang w:val="en-AU" w:eastAsia="en-AU"/>
              </w:rPr>
              <w:t>4</w:t>
            </w:r>
            <w:r w:rsidRPr="0078723B">
              <w:rPr>
                <w:rFonts w:ascii="VIC" w:hAnsi="VIC"/>
                <w:lang w:val="en-AU" w:eastAsia="en-AU"/>
              </w:rPr>
              <w:t>: Pyridine carboxyl</w:t>
            </w:r>
            <w:r>
              <w:rPr>
                <w:rFonts w:ascii="VIC" w:hAnsi="VIC"/>
                <w:lang w:val="en-AU" w:eastAsia="en-AU"/>
              </w:rPr>
              <w:t>ates</w:t>
            </w:r>
            <w:r w:rsidRPr="0078723B">
              <w:rPr>
                <w:rFonts w:ascii="VIC" w:hAnsi="VIC"/>
                <w:lang w:val="en-AU" w:eastAsia="en-AU"/>
              </w:rPr>
              <w:t xml:space="preserve"> </w:t>
            </w:r>
          </w:p>
        </w:tc>
        <w:tc>
          <w:tcPr>
            <w:tcW w:w="2410" w:type="dxa"/>
            <w:vAlign w:val="center"/>
          </w:tcPr>
          <w:p w14:paraId="332AC3A7" w14:textId="43490B2E" w:rsidR="00B47C50" w:rsidRPr="0078723B" w:rsidRDefault="00B47C50" w:rsidP="00B47C50">
            <w:pPr>
              <w:rPr>
                <w:rFonts w:ascii="VIC" w:hAnsi="VIC"/>
                <w:lang w:val="en-AU" w:eastAsia="en-AU"/>
              </w:rPr>
            </w:pPr>
            <w:r w:rsidRPr="0078723B">
              <w:rPr>
                <w:rFonts w:ascii="VIC" w:hAnsi="VIC"/>
                <w:lang w:val="en-AU" w:eastAsia="en-AU"/>
              </w:rPr>
              <w:t xml:space="preserve">aminopyralid, clopyralid </w:t>
            </w:r>
          </w:p>
        </w:tc>
      </w:tr>
      <w:tr w:rsidR="00B47C50" w:rsidRPr="0078723B" w14:paraId="5FD36840" w14:textId="77777777" w:rsidTr="00B47C50">
        <w:tc>
          <w:tcPr>
            <w:tcW w:w="2467" w:type="dxa"/>
            <w:vAlign w:val="center"/>
          </w:tcPr>
          <w:p w14:paraId="28A77441" w14:textId="488DDB08" w:rsidR="00B47C50" w:rsidRPr="0078723B" w:rsidRDefault="00B47C50" w:rsidP="00B47C50">
            <w:pPr>
              <w:rPr>
                <w:rFonts w:ascii="VIC" w:hAnsi="VIC"/>
              </w:rPr>
            </w:pPr>
            <w:r w:rsidRPr="0078723B">
              <w:rPr>
                <w:rFonts w:ascii="VIC" w:hAnsi="VIC"/>
                <w:lang w:val="en-AU" w:eastAsia="en-AU"/>
              </w:rPr>
              <w:t xml:space="preserve">Group </w:t>
            </w:r>
            <w:r>
              <w:rPr>
                <w:rFonts w:ascii="VIC" w:hAnsi="VIC"/>
                <w:lang w:val="en-AU" w:eastAsia="en-AU"/>
              </w:rPr>
              <w:t>5</w:t>
            </w:r>
            <w:r w:rsidRPr="0078723B">
              <w:rPr>
                <w:rFonts w:ascii="VIC" w:hAnsi="VIC"/>
                <w:lang w:val="en-AU" w:eastAsia="en-AU"/>
              </w:rPr>
              <w:t xml:space="preserve">: Triazines </w:t>
            </w:r>
          </w:p>
        </w:tc>
        <w:tc>
          <w:tcPr>
            <w:tcW w:w="2410" w:type="dxa"/>
            <w:vAlign w:val="center"/>
          </w:tcPr>
          <w:p w14:paraId="3B2399E3" w14:textId="77777777" w:rsidR="00B47C50" w:rsidRPr="0078723B" w:rsidRDefault="00B47C50" w:rsidP="00B47C50">
            <w:pPr>
              <w:rPr>
                <w:rFonts w:ascii="VIC" w:hAnsi="VIC"/>
              </w:rPr>
            </w:pPr>
            <w:r w:rsidRPr="0078723B">
              <w:rPr>
                <w:rFonts w:ascii="VIC" w:hAnsi="VIC"/>
                <w:lang w:val="en-AU" w:eastAsia="en-AU"/>
              </w:rPr>
              <w:t xml:space="preserve">atrazine, simazine </w:t>
            </w:r>
          </w:p>
        </w:tc>
      </w:tr>
      <w:tr w:rsidR="00B47C50" w:rsidRPr="0078723B" w14:paraId="3B120145" w14:textId="77777777" w:rsidTr="00B47C50">
        <w:tc>
          <w:tcPr>
            <w:tcW w:w="2467" w:type="dxa"/>
            <w:vAlign w:val="center"/>
          </w:tcPr>
          <w:p w14:paraId="4C534C0C" w14:textId="37E4F911" w:rsidR="00B47C50" w:rsidRPr="0078723B" w:rsidRDefault="00B47C50" w:rsidP="00B47C50">
            <w:pPr>
              <w:rPr>
                <w:rFonts w:ascii="VIC" w:hAnsi="VIC"/>
              </w:rPr>
            </w:pPr>
            <w:r w:rsidRPr="0078723B">
              <w:rPr>
                <w:rFonts w:ascii="VIC" w:hAnsi="VIC"/>
                <w:lang w:val="en-AU" w:eastAsia="en-AU"/>
              </w:rPr>
              <w:t xml:space="preserve">Group </w:t>
            </w:r>
            <w:r>
              <w:rPr>
                <w:rFonts w:ascii="VIC" w:hAnsi="VIC"/>
                <w:lang w:val="en-AU" w:eastAsia="en-AU"/>
              </w:rPr>
              <w:t>5</w:t>
            </w:r>
            <w:r w:rsidRPr="0078723B">
              <w:rPr>
                <w:rFonts w:ascii="VIC" w:hAnsi="VIC"/>
                <w:lang w:val="en-AU" w:eastAsia="en-AU"/>
              </w:rPr>
              <w:t xml:space="preserve">: </w:t>
            </w:r>
            <w:proofErr w:type="spellStart"/>
            <w:r w:rsidRPr="0078723B">
              <w:rPr>
                <w:rFonts w:ascii="VIC" w:hAnsi="VIC"/>
                <w:lang w:val="en-AU" w:eastAsia="en-AU"/>
              </w:rPr>
              <w:t>Triazinones</w:t>
            </w:r>
            <w:proofErr w:type="spellEnd"/>
            <w:r w:rsidRPr="0078723B">
              <w:rPr>
                <w:rFonts w:ascii="VIC" w:hAnsi="VIC"/>
                <w:lang w:val="en-AU" w:eastAsia="en-AU"/>
              </w:rPr>
              <w:t xml:space="preserve"> </w:t>
            </w:r>
          </w:p>
        </w:tc>
        <w:tc>
          <w:tcPr>
            <w:tcW w:w="2410" w:type="dxa"/>
            <w:vAlign w:val="center"/>
          </w:tcPr>
          <w:p w14:paraId="3299384F" w14:textId="77777777" w:rsidR="00B47C50" w:rsidRPr="0078723B" w:rsidRDefault="00B47C50" w:rsidP="00B47C50">
            <w:pPr>
              <w:rPr>
                <w:rFonts w:ascii="VIC" w:hAnsi="VIC"/>
              </w:rPr>
            </w:pPr>
            <w:r w:rsidRPr="0078723B">
              <w:rPr>
                <w:rFonts w:ascii="VIC" w:hAnsi="VIC"/>
                <w:lang w:val="en-AU" w:eastAsia="en-AU"/>
              </w:rPr>
              <w:t xml:space="preserve">metribuzin </w:t>
            </w:r>
          </w:p>
        </w:tc>
      </w:tr>
      <w:tr w:rsidR="00B47C50" w:rsidRPr="0078723B" w14:paraId="5606D2A0" w14:textId="77777777" w:rsidTr="00B47C50">
        <w:tc>
          <w:tcPr>
            <w:tcW w:w="2467" w:type="dxa"/>
            <w:vAlign w:val="center"/>
          </w:tcPr>
          <w:p w14:paraId="3CC7945A" w14:textId="6B833B5C" w:rsidR="00B47C50" w:rsidRPr="0078723B" w:rsidRDefault="00B47C50" w:rsidP="00B47C50">
            <w:pPr>
              <w:rPr>
                <w:rFonts w:ascii="VIC" w:hAnsi="VIC"/>
                <w:lang w:val="en-AU" w:eastAsia="en-AU"/>
              </w:rPr>
            </w:pPr>
            <w:r w:rsidRPr="0078723B">
              <w:rPr>
                <w:rFonts w:ascii="VIC" w:hAnsi="VIC"/>
                <w:lang w:val="en-AU" w:eastAsia="en-AU"/>
              </w:rPr>
              <w:t xml:space="preserve">Group </w:t>
            </w:r>
            <w:r>
              <w:rPr>
                <w:rFonts w:ascii="VIC" w:hAnsi="VIC"/>
                <w:lang w:val="en-AU" w:eastAsia="en-AU"/>
              </w:rPr>
              <w:t>5</w:t>
            </w:r>
            <w:r w:rsidRPr="0078723B">
              <w:rPr>
                <w:rFonts w:ascii="VIC" w:hAnsi="VIC"/>
                <w:lang w:val="en-AU" w:eastAsia="en-AU"/>
              </w:rPr>
              <w:t xml:space="preserve">: </w:t>
            </w:r>
            <w:proofErr w:type="spellStart"/>
            <w:r w:rsidRPr="0078723B">
              <w:rPr>
                <w:rFonts w:ascii="VIC" w:hAnsi="VIC"/>
                <w:lang w:val="en-AU" w:eastAsia="en-AU"/>
              </w:rPr>
              <w:t>Ureas</w:t>
            </w:r>
            <w:proofErr w:type="spellEnd"/>
            <w:r w:rsidRPr="0078723B">
              <w:rPr>
                <w:rFonts w:ascii="VIC" w:hAnsi="VIC"/>
                <w:lang w:val="en-AU" w:eastAsia="en-AU"/>
              </w:rPr>
              <w:t xml:space="preserve"> </w:t>
            </w:r>
          </w:p>
        </w:tc>
        <w:tc>
          <w:tcPr>
            <w:tcW w:w="2410" w:type="dxa"/>
            <w:vAlign w:val="center"/>
          </w:tcPr>
          <w:p w14:paraId="4F9303D5" w14:textId="77777777" w:rsidR="00B47C50" w:rsidRPr="0078723B" w:rsidRDefault="00B47C50" w:rsidP="00B47C50">
            <w:pPr>
              <w:rPr>
                <w:rFonts w:ascii="VIC" w:hAnsi="VIC"/>
                <w:lang w:val="en-AU" w:eastAsia="en-AU"/>
              </w:rPr>
            </w:pPr>
            <w:r w:rsidRPr="0078723B">
              <w:rPr>
                <w:rFonts w:ascii="VIC" w:hAnsi="VIC"/>
                <w:lang w:val="en-AU" w:eastAsia="en-AU"/>
              </w:rPr>
              <w:t xml:space="preserve">diuron </w:t>
            </w:r>
          </w:p>
        </w:tc>
      </w:tr>
      <w:tr w:rsidR="00DB0A7B" w:rsidRPr="0078723B" w14:paraId="3AA2D309" w14:textId="77777777" w:rsidTr="00B47C50">
        <w:tc>
          <w:tcPr>
            <w:tcW w:w="2467" w:type="dxa"/>
            <w:vAlign w:val="center"/>
          </w:tcPr>
          <w:p w14:paraId="71AC6185" w14:textId="4ED5D796" w:rsidR="00DB0A7B" w:rsidRPr="0078723B" w:rsidRDefault="00DB0A7B" w:rsidP="00DB0A7B">
            <w:pPr>
              <w:rPr>
                <w:rFonts w:ascii="VIC" w:hAnsi="VIC"/>
                <w:lang w:val="en-AU" w:eastAsia="en-AU"/>
              </w:rPr>
            </w:pPr>
            <w:r w:rsidRPr="0078723B">
              <w:rPr>
                <w:rFonts w:ascii="VIC" w:hAnsi="VIC"/>
                <w:lang w:val="en-AU" w:eastAsia="en-AU"/>
              </w:rPr>
              <w:t xml:space="preserve">Group </w:t>
            </w:r>
            <w:r>
              <w:rPr>
                <w:rFonts w:ascii="VIC" w:hAnsi="VIC"/>
                <w:lang w:val="en-AU" w:eastAsia="en-AU"/>
              </w:rPr>
              <w:t>15</w:t>
            </w:r>
            <w:r w:rsidRPr="0078723B">
              <w:rPr>
                <w:rFonts w:ascii="VIC" w:hAnsi="VIC"/>
                <w:lang w:val="en-AU" w:eastAsia="en-AU"/>
              </w:rPr>
              <w:t xml:space="preserve">: </w:t>
            </w:r>
            <w:proofErr w:type="spellStart"/>
            <w:r w:rsidRPr="0078723B">
              <w:rPr>
                <w:rFonts w:ascii="VIC" w:hAnsi="VIC"/>
                <w:lang w:val="en-AU" w:eastAsia="en-AU"/>
              </w:rPr>
              <w:t>Chloroacetamides</w:t>
            </w:r>
            <w:proofErr w:type="spellEnd"/>
            <w:r w:rsidRPr="0078723B">
              <w:rPr>
                <w:rFonts w:ascii="VIC" w:hAnsi="VIC"/>
                <w:lang w:val="en-AU" w:eastAsia="en-AU"/>
              </w:rPr>
              <w:t xml:space="preserve"> </w:t>
            </w:r>
          </w:p>
        </w:tc>
        <w:tc>
          <w:tcPr>
            <w:tcW w:w="2410" w:type="dxa"/>
            <w:vAlign w:val="center"/>
          </w:tcPr>
          <w:p w14:paraId="7D261FE7" w14:textId="7CBC7E9E" w:rsidR="00DB0A7B" w:rsidRPr="0078723B" w:rsidRDefault="00DB0A7B" w:rsidP="00DB0A7B">
            <w:pPr>
              <w:rPr>
                <w:rFonts w:ascii="VIC" w:hAnsi="VIC"/>
                <w:lang w:val="en-AU" w:eastAsia="en-AU"/>
              </w:rPr>
            </w:pPr>
            <w:r w:rsidRPr="0078723B">
              <w:rPr>
                <w:rFonts w:ascii="VIC" w:hAnsi="VIC"/>
                <w:lang w:val="en-AU" w:eastAsia="en-AU"/>
              </w:rPr>
              <w:t xml:space="preserve">dimethenamid, metolachlor </w:t>
            </w:r>
          </w:p>
        </w:tc>
      </w:tr>
      <w:tr w:rsidR="00DB0A7B" w:rsidRPr="0078723B" w14:paraId="0A784B2C" w14:textId="77777777" w:rsidTr="00B47C50">
        <w:tc>
          <w:tcPr>
            <w:tcW w:w="2467" w:type="dxa"/>
            <w:vAlign w:val="center"/>
          </w:tcPr>
          <w:p w14:paraId="08EFA11E" w14:textId="66525E2B" w:rsidR="00DB0A7B" w:rsidRPr="0078723B" w:rsidRDefault="00DB0A7B" w:rsidP="00DB0A7B">
            <w:pPr>
              <w:rPr>
                <w:rFonts w:ascii="VIC" w:hAnsi="VIC"/>
                <w:lang w:val="en-AU" w:eastAsia="en-AU"/>
              </w:rPr>
            </w:pPr>
            <w:r w:rsidRPr="0078723B">
              <w:rPr>
                <w:rFonts w:ascii="VIC" w:hAnsi="VIC"/>
                <w:lang w:val="en-AU" w:eastAsia="en-AU"/>
              </w:rPr>
              <w:t xml:space="preserve">Group </w:t>
            </w:r>
            <w:r>
              <w:rPr>
                <w:rFonts w:ascii="VIC" w:hAnsi="VIC"/>
                <w:lang w:val="en-AU" w:eastAsia="en-AU"/>
              </w:rPr>
              <w:t>15</w:t>
            </w:r>
            <w:r w:rsidRPr="0078723B">
              <w:rPr>
                <w:rFonts w:ascii="VIC" w:hAnsi="VIC"/>
                <w:lang w:val="en-AU" w:eastAsia="en-AU"/>
              </w:rPr>
              <w:t xml:space="preserve">: </w:t>
            </w:r>
            <w:proofErr w:type="spellStart"/>
            <w:r w:rsidRPr="0078723B">
              <w:rPr>
                <w:rFonts w:ascii="VIC" w:hAnsi="VIC"/>
                <w:lang w:val="en-AU" w:eastAsia="en-AU"/>
              </w:rPr>
              <w:t>Isoxazoline</w:t>
            </w:r>
            <w:r>
              <w:rPr>
                <w:rFonts w:ascii="VIC" w:hAnsi="VIC"/>
                <w:lang w:val="en-AU" w:eastAsia="en-AU"/>
              </w:rPr>
              <w:t>s</w:t>
            </w:r>
            <w:proofErr w:type="spellEnd"/>
            <w:r w:rsidRPr="0078723B">
              <w:rPr>
                <w:rFonts w:ascii="VIC" w:hAnsi="VIC"/>
                <w:lang w:val="en-AU" w:eastAsia="en-AU"/>
              </w:rPr>
              <w:t xml:space="preserve"> </w:t>
            </w:r>
          </w:p>
        </w:tc>
        <w:tc>
          <w:tcPr>
            <w:tcW w:w="2410" w:type="dxa"/>
            <w:vAlign w:val="center"/>
          </w:tcPr>
          <w:p w14:paraId="6C04AD46" w14:textId="00F391AF" w:rsidR="00DB0A7B" w:rsidRPr="0078723B" w:rsidRDefault="00DB0A7B" w:rsidP="00DB0A7B">
            <w:pPr>
              <w:rPr>
                <w:rFonts w:ascii="VIC" w:hAnsi="VIC"/>
                <w:lang w:val="en-AU" w:eastAsia="en-AU"/>
              </w:rPr>
            </w:pPr>
            <w:proofErr w:type="spellStart"/>
            <w:r w:rsidRPr="0078723B">
              <w:rPr>
                <w:rFonts w:ascii="VIC" w:hAnsi="VIC"/>
                <w:lang w:val="en-AU" w:eastAsia="en-AU"/>
              </w:rPr>
              <w:t>pyroxasulfone</w:t>
            </w:r>
            <w:proofErr w:type="spellEnd"/>
          </w:p>
        </w:tc>
      </w:tr>
      <w:tr w:rsidR="00DB0A7B" w:rsidRPr="0078723B" w14:paraId="2423F5F2" w14:textId="77777777" w:rsidTr="00B47C50">
        <w:tc>
          <w:tcPr>
            <w:tcW w:w="2467" w:type="dxa"/>
            <w:vAlign w:val="center"/>
          </w:tcPr>
          <w:p w14:paraId="311CF130" w14:textId="2223CA62" w:rsidR="00DB0A7B" w:rsidRPr="0078723B" w:rsidRDefault="00DB0A7B" w:rsidP="00DB0A7B">
            <w:pPr>
              <w:rPr>
                <w:rFonts w:ascii="VIC" w:hAnsi="VIC"/>
                <w:lang w:val="en-AU" w:eastAsia="en-AU"/>
              </w:rPr>
            </w:pPr>
            <w:r w:rsidRPr="0078723B">
              <w:rPr>
                <w:rFonts w:ascii="VIC" w:hAnsi="VIC"/>
                <w:lang w:val="en-AU" w:eastAsia="en-AU"/>
              </w:rPr>
              <w:t xml:space="preserve">Group </w:t>
            </w:r>
            <w:r>
              <w:rPr>
                <w:rFonts w:ascii="VIC" w:hAnsi="VIC"/>
                <w:lang w:val="en-AU" w:eastAsia="en-AU"/>
              </w:rPr>
              <w:t>27</w:t>
            </w:r>
            <w:r w:rsidRPr="0078723B">
              <w:rPr>
                <w:rFonts w:ascii="VIC" w:hAnsi="VIC"/>
                <w:lang w:val="en-AU" w:eastAsia="en-AU"/>
              </w:rPr>
              <w:t xml:space="preserve">: Pyrazoles </w:t>
            </w:r>
          </w:p>
        </w:tc>
        <w:tc>
          <w:tcPr>
            <w:tcW w:w="2410" w:type="dxa"/>
            <w:vAlign w:val="center"/>
          </w:tcPr>
          <w:p w14:paraId="3E5D80D3" w14:textId="77777777" w:rsidR="00DB0A7B" w:rsidRPr="0078723B" w:rsidRDefault="00DB0A7B" w:rsidP="00DB0A7B">
            <w:pPr>
              <w:rPr>
                <w:rFonts w:ascii="VIC" w:hAnsi="VIC"/>
                <w:lang w:val="en-AU" w:eastAsia="en-AU"/>
              </w:rPr>
            </w:pPr>
            <w:proofErr w:type="spellStart"/>
            <w:r w:rsidRPr="0078723B">
              <w:rPr>
                <w:rFonts w:ascii="VIC" w:hAnsi="VIC"/>
                <w:lang w:val="en-AU" w:eastAsia="en-AU"/>
              </w:rPr>
              <w:t>pyrasulfotole</w:t>
            </w:r>
            <w:proofErr w:type="spellEnd"/>
            <w:r w:rsidRPr="0078723B">
              <w:rPr>
                <w:rFonts w:ascii="VIC" w:hAnsi="VIC"/>
                <w:lang w:val="en-AU" w:eastAsia="en-AU"/>
              </w:rPr>
              <w:t xml:space="preserve"> </w:t>
            </w:r>
          </w:p>
        </w:tc>
      </w:tr>
      <w:tr w:rsidR="00DB0A7B" w:rsidRPr="0078723B" w14:paraId="6CBADF2A" w14:textId="77777777" w:rsidTr="00B47C50">
        <w:tc>
          <w:tcPr>
            <w:tcW w:w="2467" w:type="dxa"/>
            <w:vAlign w:val="center"/>
          </w:tcPr>
          <w:p w14:paraId="129F0FD8" w14:textId="0F5FF3EE" w:rsidR="00DB0A7B" w:rsidRPr="0078723B" w:rsidRDefault="00DB0A7B" w:rsidP="00DB0A7B">
            <w:pPr>
              <w:rPr>
                <w:rFonts w:ascii="VIC" w:hAnsi="VIC"/>
                <w:lang w:val="en-AU" w:eastAsia="en-AU"/>
              </w:rPr>
            </w:pPr>
            <w:r w:rsidRPr="0078723B">
              <w:rPr>
                <w:rFonts w:ascii="VIC" w:hAnsi="VIC"/>
                <w:lang w:val="en-AU" w:eastAsia="en-AU"/>
              </w:rPr>
              <w:t xml:space="preserve">Group </w:t>
            </w:r>
            <w:r>
              <w:rPr>
                <w:rFonts w:ascii="VIC" w:hAnsi="VIC"/>
                <w:lang w:val="en-AU" w:eastAsia="en-AU"/>
              </w:rPr>
              <w:t>27</w:t>
            </w:r>
            <w:r w:rsidRPr="0078723B">
              <w:rPr>
                <w:rFonts w:ascii="VIC" w:hAnsi="VIC"/>
                <w:lang w:val="en-AU" w:eastAsia="en-AU"/>
              </w:rPr>
              <w:t xml:space="preserve">: Isoxazoles </w:t>
            </w:r>
          </w:p>
        </w:tc>
        <w:tc>
          <w:tcPr>
            <w:tcW w:w="2410" w:type="dxa"/>
            <w:vAlign w:val="center"/>
          </w:tcPr>
          <w:p w14:paraId="7B2F9D85" w14:textId="77777777" w:rsidR="00DB0A7B" w:rsidRPr="0078723B" w:rsidRDefault="00DB0A7B" w:rsidP="00DB0A7B">
            <w:pPr>
              <w:rPr>
                <w:rFonts w:ascii="VIC" w:hAnsi="VIC"/>
                <w:lang w:val="en-AU" w:eastAsia="en-AU"/>
              </w:rPr>
            </w:pPr>
            <w:proofErr w:type="spellStart"/>
            <w:r w:rsidRPr="0078723B">
              <w:rPr>
                <w:rFonts w:ascii="VIC" w:hAnsi="VIC"/>
                <w:lang w:val="en-AU" w:eastAsia="en-AU"/>
              </w:rPr>
              <w:t>isoxaflutole</w:t>
            </w:r>
            <w:proofErr w:type="spellEnd"/>
            <w:r w:rsidRPr="0078723B">
              <w:rPr>
                <w:rFonts w:ascii="VIC" w:hAnsi="VIC"/>
                <w:lang w:val="en-AU" w:eastAsia="en-AU"/>
              </w:rPr>
              <w:t xml:space="preserve"> </w:t>
            </w:r>
          </w:p>
        </w:tc>
      </w:tr>
    </w:tbl>
    <w:p w14:paraId="2A5282B1" w14:textId="677B5985" w:rsidR="00AF10AD" w:rsidRPr="0078723B" w:rsidRDefault="00AF10AD" w:rsidP="005F5A62">
      <w:pPr>
        <w:autoSpaceDE w:val="0"/>
        <w:autoSpaceDN w:val="0"/>
        <w:adjustRightInd w:val="0"/>
        <w:spacing w:after="0" w:line="240" w:lineRule="auto"/>
        <w:rPr>
          <w:rFonts w:ascii="VIC" w:hAnsi="VIC"/>
        </w:rPr>
      </w:pPr>
      <w:r w:rsidRPr="0078723B">
        <w:rPr>
          <w:rFonts w:ascii="VIC" w:hAnsi="VIC" w:cs="Arial"/>
          <w:i/>
          <w:iCs/>
          <w:color w:val="auto"/>
          <w:szCs w:val="18"/>
          <w:lang w:val="en-AU"/>
        </w:rPr>
        <w:t>N.B. New herbicides may be released after publication of this</w:t>
      </w:r>
      <w:r w:rsidR="005F5A62">
        <w:rPr>
          <w:rFonts w:ascii="VIC" w:hAnsi="VIC" w:cs="Arial"/>
          <w:i/>
          <w:iCs/>
          <w:color w:val="auto"/>
          <w:szCs w:val="18"/>
          <w:lang w:val="en-AU"/>
        </w:rPr>
        <w:t xml:space="preserve"> </w:t>
      </w:r>
      <w:r w:rsidRPr="0078723B">
        <w:rPr>
          <w:rFonts w:ascii="VIC" w:hAnsi="VIC"/>
          <w:lang w:val="en-AU"/>
        </w:rPr>
        <w:t>fact sheet.</w:t>
      </w:r>
    </w:p>
    <w:p w14:paraId="3A6C9BF0" w14:textId="77777777" w:rsidR="00AF10AD" w:rsidRPr="0078723B" w:rsidRDefault="00AF10AD" w:rsidP="00AF10AD">
      <w:pPr>
        <w:pStyle w:val="Heading1"/>
        <w:rPr>
          <w:rFonts w:ascii="VIC" w:hAnsi="VIC"/>
          <w:lang w:val="en-AU"/>
        </w:rPr>
      </w:pPr>
      <w:r w:rsidRPr="0078723B">
        <w:rPr>
          <w:rFonts w:ascii="VIC" w:hAnsi="VIC"/>
          <w:lang w:val="en-AU"/>
        </w:rPr>
        <w:t>How do herbicides break down?</w:t>
      </w:r>
    </w:p>
    <w:p w14:paraId="73A725A5"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Herbicides break down via either chemical or microbial</w:t>
      </w:r>
    </w:p>
    <w:p w14:paraId="5570A7D9" w14:textId="013B2CF3" w:rsidR="00AF10AD" w:rsidRPr="0078723B" w:rsidRDefault="00AF10AD" w:rsidP="005F5A62">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degradation. Chemical degradation occurs</w:t>
      </w:r>
      <w:r w:rsidR="005F5A62">
        <w:rPr>
          <w:rFonts w:ascii="VIC" w:hAnsi="VIC" w:cs="Arial"/>
          <w:color w:val="auto"/>
          <w:szCs w:val="18"/>
          <w:lang w:val="en-AU"/>
        </w:rPr>
        <w:t xml:space="preserve"> </w:t>
      </w:r>
      <w:r w:rsidRPr="0078723B">
        <w:rPr>
          <w:rFonts w:ascii="VIC" w:hAnsi="VIC" w:cs="Arial"/>
          <w:color w:val="auto"/>
          <w:szCs w:val="18"/>
          <w:lang w:val="en-AU"/>
        </w:rPr>
        <w:t>spontaneously, but the speed depends on the soil type (clay or sand, acid or</w:t>
      </w:r>
      <w:r w:rsidR="005F5A62">
        <w:rPr>
          <w:rFonts w:ascii="VIC" w:hAnsi="VIC" w:cs="Arial"/>
          <w:color w:val="auto"/>
          <w:szCs w:val="18"/>
          <w:lang w:val="en-AU"/>
        </w:rPr>
        <w:t xml:space="preserve"> </w:t>
      </w:r>
      <w:r w:rsidRPr="0078723B">
        <w:rPr>
          <w:rFonts w:ascii="VIC" w:hAnsi="VIC" w:cs="Arial"/>
          <w:color w:val="auto"/>
          <w:szCs w:val="18"/>
          <w:lang w:val="en-AU"/>
        </w:rPr>
        <w:t>alkaline), moisture and</w:t>
      </w:r>
      <w:r w:rsidR="005F5A62">
        <w:rPr>
          <w:rFonts w:ascii="VIC" w:hAnsi="VIC" w:cs="Arial"/>
          <w:color w:val="auto"/>
          <w:szCs w:val="18"/>
          <w:lang w:val="en-AU"/>
        </w:rPr>
        <w:t xml:space="preserve"> t</w:t>
      </w:r>
      <w:r w:rsidRPr="0078723B">
        <w:rPr>
          <w:rFonts w:ascii="VIC" w:hAnsi="VIC" w:cs="Arial"/>
          <w:color w:val="auto"/>
          <w:szCs w:val="18"/>
          <w:lang w:val="en-AU"/>
        </w:rPr>
        <w:t>emperature. Microbial degradation</w:t>
      </w:r>
      <w:r w:rsidR="005F5A62">
        <w:rPr>
          <w:rFonts w:ascii="VIC" w:hAnsi="VIC" w:cs="Arial"/>
          <w:color w:val="auto"/>
          <w:szCs w:val="18"/>
          <w:lang w:val="en-AU"/>
        </w:rPr>
        <w:t xml:space="preserve"> </w:t>
      </w:r>
      <w:r w:rsidRPr="0078723B">
        <w:rPr>
          <w:rFonts w:ascii="VIC" w:hAnsi="VIC" w:cs="Arial"/>
          <w:color w:val="auto"/>
          <w:szCs w:val="18"/>
          <w:lang w:val="en-AU"/>
        </w:rPr>
        <w:t>depends on a population of suitable microbes living in the soil to consume the herbicide as a food source. Both</w:t>
      </w:r>
      <w:r w:rsidR="005F5A62">
        <w:rPr>
          <w:rFonts w:ascii="VIC" w:hAnsi="VIC" w:cs="Arial"/>
          <w:color w:val="auto"/>
          <w:szCs w:val="18"/>
          <w:lang w:val="en-AU"/>
        </w:rPr>
        <w:t xml:space="preserve"> </w:t>
      </w:r>
      <w:r w:rsidRPr="0078723B">
        <w:rPr>
          <w:rFonts w:ascii="VIC" w:hAnsi="VIC" w:cs="Arial"/>
          <w:color w:val="auto"/>
          <w:szCs w:val="18"/>
          <w:lang w:val="en-AU"/>
        </w:rPr>
        <w:t>processes are enhanced by heat and moisture. However, these processes are impeded by herbicide binding to the soil, and this depends on the soil</w:t>
      </w:r>
      <w:r w:rsidR="005F5A62">
        <w:rPr>
          <w:rFonts w:ascii="VIC" w:hAnsi="VIC" w:cs="Arial"/>
          <w:color w:val="auto"/>
          <w:szCs w:val="18"/>
          <w:lang w:val="en-AU"/>
        </w:rPr>
        <w:t xml:space="preserve"> </w:t>
      </w:r>
      <w:r w:rsidRPr="0078723B">
        <w:rPr>
          <w:rFonts w:ascii="VIC" w:hAnsi="VIC" w:cs="Arial"/>
          <w:color w:val="auto"/>
          <w:szCs w:val="18"/>
          <w:lang w:val="en-AU"/>
        </w:rPr>
        <w:t>structure (pH, clay or sand, and other compounds like organic matter or iron).</w:t>
      </w:r>
    </w:p>
    <w:p w14:paraId="11CF4C17" w14:textId="045DF92B"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For these reasons degradation of each herbicide needs to be</w:t>
      </w:r>
      <w:r w:rsidR="005F5A62">
        <w:rPr>
          <w:rFonts w:ascii="VIC" w:hAnsi="VIC" w:cs="Arial"/>
          <w:color w:val="auto"/>
          <w:szCs w:val="18"/>
          <w:lang w:val="en-AU"/>
        </w:rPr>
        <w:t xml:space="preserve"> </w:t>
      </w:r>
      <w:r w:rsidRPr="0078723B">
        <w:rPr>
          <w:rFonts w:ascii="VIC" w:hAnsi="VIC" w:cs="Arial"/>
          <w:color w:val="auto"/>
          <w:szCs w:val="18"/>
          <w:lang w:val="en-AU"/>
        </w:rPr>
        <w:t>considered separately and growers need to understand the soil type and climate when trying to interpret recropping periods on the product label for each paddock.</w:t>
      </w:r>
    </w:p>
    <w:p w14:paraId="58A6BA7D" w14:textId="77777777" w:rsidR="00AF10AD" w:rsidRPr="0078723B" w:rsidRDefault="00AF10AD" w:rsidP="00AF10AD">
      <w:pPr>
        <w:pStyle w:val="Heading1"/>
        <w:rPr>
          <w:rFonts w:ascii="VIC" w:hAnsi="VIC"/>
          <w:lang w:val="en-AU"/>
        </w:rPr>
      </w:pPr>
      <w:r w:rsidRPr="0078723B">
        <w:rPr>
          <w:rFonts w:ascii="VIC" w:hAnsi="VIC"/>
          <w:lang w:val="en-AU"/>
        </w:rPr>
        <w:t>How can I avoid damage from residual herbicides?</w:t>
      </w:r>
    </w:p>
    <w:p w14:paraId="5435B8E3" w14:textId="02812BCB" w:rsidR="00AF10AD" w:rsidRPr="0078723B" w:rsidRDefault="00AF10AD" w:rsidP="00F03CE4">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 xml:space="preserve">Select </w:t>
      </w:r>
      <w:proofErr w:type="gramStart"/>
      <w:r w:rsidRPr="0078723B">
        <w:rPr>
          <w:rFonts w:ascii="VIC" w:hAnsi="VIC" w:cs="Arial"/>
          <w:color w:val="auto"/>
          <w:szCs w:val="18"/>
          <w:lang w:val="en-AU"/>
        </w:rPr>
        <w:t>a</w:t>
      </w:r>
      <w:proofErr w:type="gramEnd"/>
      <w:r w:rsidRPr="0078723B">
        <w:rPr>
          <w:rFonts w:ascii="VIC" w:hAnsi="VIC" w:cs="Arial"/>
          <w:color w:val="auto"/>
          <w:szCs w:val="18"/>
          <w:lang w:val="en-AU"/>
        </w:rPr>
        <w:t xml:space="preserve"> herbicide which is necessary for the weed population you have. Make sure you consider what the recropping limitations may do to future rotation options.</w:t>
      </w:r>
      <w:r w:rsidR="005F5A62">
        <w:rPr>
          <w:rFonts w:ascii="VIC" w:hAnsi="VIC" w:cs="Arial"/>
          <w:color w:val="auto"/>
          <w:szCs w:val="18"/>
          <w:lang w:val="en-AU"/>
        </w:rPr>
        <w:t xml:space="preserve"> </w:t>
      </w:r>
      <w:r w:rsidRPr="0078723B">
        <w:rPr>
          <w:rFonts w:ascii="VIC" w:hAnsi="VIC" w:cs="Arial"/>
          <w:color w:val="auto"/>
          <w:szCs w:val="18"/>
          <w:lang w:val="en-AU"/>
        </w:rPr>
        <w:t>Read the herbicide label including the fine print.</w:t>
      </w:r>
    </w:p>
    <w:p w14:paraId="60EE9C6A" w14:textId="7556FB26" w:rsidR="00AF10AD" w:rsidRPr="0078723B" w:rsidRDefault="00AF10AD" w:rsidP="00F03CE4">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Chemical users are required to keep good records, including</w:t>
      </w:r>
      <w:r w:rsidR="005F5A62">
        <w:rPr>
          <w:rFonts w:ascii="VIC" w:hAnsi="VIC" w:cs="Arial"/>
          <w:color w:val="auto"/>
          <w:szCs w:val="18"/>
          <w:lang w:val="en-AU"/>
        </w:rPr>
        <w:t xml:space="preserve"> </w:t>
      </w:r>
      <w:r w:rsidRPr="0078723B">
        <w:rPr>
          <w:rFonts w:ascii="VIC" w:hAnsi="VIC" w:cs="Arial"/>
          <w:color w:val="auto"/>
          <w:szCs w:val="18"/>
          <w:lang w:val="en-AU"/>
        </w:rPr>
        <w:t>weather conditions, but in the case of unexpected damage</w:t>
      </w:r>
      <w:r w:rsidR="005F5A62">
        <w:rPr>
          <w:rFonts w:ascii="VIC" w:hAnsi="VIC" w:cs="Arial"/>
          <w:color w:val="auto"/>
          <w:szCs w:val="18"/>
          <w:lang w:val="en-AU"/>
        </w:rPr>
        <w:t xml:space="preserve"> </w:t>
      </w:r>
      <w:r w:rsidRPr="0078723B">
        <w:rPr>
          <w:rFonts w:ascii="VIC" w:hAnsi="VIC" w:cs="Arial"/>
          <w:color w:val="auto"/>
          <w:szCs w:val="18"/>
          <w:lang w:val="en-AU"/>
        </w:rPr>
        <w:t>good records can be invaluable, particularly spray dates, rates, batch numbers, rainfall, soil type and pH (including different soil types in the paddock).</w:t>
      </w:r>
    </w:p>
    <w:p w14:paraId="4FA6E34B" w14:textId="324C6ACF" w:rsidR="00AF10AD" w:rsidRPr="0078723B" w:rsidRDefault="00AF10AD" w:rsidP="00F03CE4">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If residues could be present, choose the least susceptible</w:t>
      </w:r>
      <w:r w:rsidR="005F5A62">
        <w:rPr>
          <w:rFonts w:ascii="VIC" w:hAnsi="VIC" w:cs="Arial"/>
          <w:color w:val="auto"/>
          <w:szCs w:val="18"/>
          <w:lang w:val="en-AU"/>
        </w:rPr>
        <w:t xml:space="preserve"> </w:t>
      </w:r>
      <w:r w:rsidRPr="0078723B">
        <w:rPr>
          <w:rFonts w:ascii="VIC" w:hAnsi="VIC" w:cs="Arial"/>
          <w:color w:val="auto"/>
          <w:szCs w:val="18"/>
          <w:lang w:val="en-AU"/>
        </w:rPr>
        <w:t>crops (refer to product labels). Optimise growing conditions to reduce the risk of compounding the problem with other</w:t>
      </w:r>
      <w:r w:rsidR="005F5A62">
        <w:rPr>
          <w:rFonts w:ascii="VIC" w:hAnsi="VIC" w:cs="Arial"/>
          <w:color w:val="auto"/>
          <w:szCs w:val="18"/>
          <w:lang w:val="en-AU"/>
        </w:rPr>
        <w:t xml:space="preserve"> </w:t>
      </w:r>
      <w:r w:rsidRPr="0078723B">
        <w:rPr>
          <w:rFonts w:ascii="VIC" w:hAnsi="VIC" w:cs="Arial"/>
          <w:color w:val="auto"/>
          <w:szCs w:val="18"/>
          <w:lang w:val="en-AU"/>
        </w:rPr>
        <w:t>stresses such as herbicide</w:t>
      </w:r>
      <w:r w:rsidR="005F5A62">
        <w:rPr>
          <w:rFonts w:ascii="VIC" w:hAnsi="VIC" w:cs="Arial"/>
          <w:color w:val="auto"/>
          <w:szCs w:val="18"/>
          <w:lang w:val="en-AU"/>
        </w:rPr>
        <w:t xml:space="preserve"> </w:t>
      </w:r>
      <w:r w:rsidRPr="0078723B">
        <w:rPr>
          <w:rFonts w:ascii="VIC" w:hAnsi="VIC" w:cs="Arial"/>
          <w:color w:val="auto"/>
          <w:szCs w:val="18"/>
          <w:lang w:val="en-AU"/>
        </w:rPr>
        <w:t>spray damage, disease and nutrient deficiency. These stresses make a crop more susceptible to herbicide residues.</w:t>
      </w:r>
    </w:p>
    <w:p w14:paraId="064D2CA7" w14:textId="2DA3FC70"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 xml:space="preserve">Be wary of compounding a residue problem by planting </w:t>
      </w:r>
      <w:proofErr w:type="gramStart"/>
      <w:r w:rsidRPr="0078723B">
        <w:rPr>
          <w:rFonts w:ascii="VIC" w:hAnsi="VIC" w:cs="Arial"/>
          <w:color w:val="auto"/>
          <w:szCs w:val="18"/>
          <w:lang w:val="en-AU"/>
        </w:rPr>
        <w:t>a</w:t>
      </w:r>
      <w:proofErr w:type="gramEnd"/>
      <w:r w:rsidR="005F5A62">
        <w:rPr>
          <w:rFonts w:ascii="VIC" w:hAnsi="VIC" w:cs="Arial"/>
          <w:color w:val="auto"/>
          <w:szCs w:val="18"/>
          <w:lang w:val="en-AU"/>
        </w:rPr>
        <w:t xml:space="preserve"> </w:t>
      </w:r>
      <w:r w:rsidRPr="0078723B">
        <w:rPr>
          <w:rFonts w:ascii="VIC" w:hAnsi="VIC" w:cs="Arial"/>
          <w:color w:val="auto"/>
          <w:szCs w:val="18"/>
          <w:lang w:val="en-AU"/>
        </w:rPr>
        <w:t>herbicide resistant crop and spraying with more of the same</w:t>
      </w:r>
      <w:r w:rsidR="005F5A62">
        <w:rPr>
          <w:rFonts w:ascii="VIC" w:hAnsi="VIC" w:cs="Arial"/>
          <w:color w:val="auto"/>
          <w:szCs w:val="18"/>
          <w:lang w:val="en-AU"/>
        </w:rPr>
        <w:t xml:space="preserve"> </w:t>
      </w:r>
      <w:r w:rsidRPr="0078723B">
        <w:rPr>
          <w:rFonts w:ascii="VIC" w:hAnsi="VIC" w:cs="Arial"/>
          <w:color w:val="auto"/>
          <w:szCs w:val="18"/>
          <w:lang w:val="en-AU"/>
        </w:rPr>
        <w:t>herbicide group. You may get around the problem with</w:t>
      </w:r>
      <w:r w:rsidR="00F03CE4">
        <w:rPr>
          <w:rFonts w:ascii="VIC" w:hAnsi="VIC" w:cs="Arial"/>
          <w:color w:val="auto"/>
          <w:szCs w:val="18"/>
          <w:lang w:val="en-AU"/>
        </w:rPr>
        <w:t xml:space="preserve"> </w:t>
      </w:r>
      <w:r w:rsidRPr="0078723B">
        <w:rPr>
          <w:rFonts w:ascii="VIC" w:hAnsi="VIC" w:cs="Arial"/>
          <w:color w:val="auto"/>
          <w:szCs w:val="18"/>
          <w:lang w:val="en-AU"/>
        </w:rPr>
        <w:t>residues in the short term, only to be faced with herbicide</w:t>
      </w:r>
      <w:r w:rsidR="00F03CE4">
        <w:rPr>
          <w:rFonts w:ascii="VIC" w:hAnsi="VIC" w:cs="Arial"/>
          <w:color w:val="auto"/>
          <w:szCs w:val="18"/>
          <w:lang w:val="en-AU"/>
        </w:rPr>
        <w:t xml:space="preserve"> </w:t>
      </w:r>
      <w:r w:rsidRPr="0078723B">
        <w:rPr>
          <w:rFonts w:ascii="VIC" w:hAnsi="VIC" w:cs="Arial"/>
          <w:color w:val="auto"/>
          <w:szCs w:val="18"/>
          <w:lang w:val="en-AU"/>
        </w:rPr>
        <w:t>resistant weeds in the longer term.</w:t>
      </w:r>
    </w:p>
    <w:p w14:paraId="59B6B026" w14:textId="77777777" w:rsidR="00AF10AD" w:rsidRPr="0078723B" w:rsidRDefault="00AF10AD" w:rsidP="00AF10AD">
      <w:pPr>
        <w:pStyle w:val="Agbodytext"/>
        <w:rPr>
          <w:rFonts w:ascii="VIC" w:hAnsi="VIC" w:cs="Arial"/>
          <w:color w:val="auto"/>
          <w:sz w:val="32"/>
          <w:szCs w:val="32"/>
          <w:lang w:val="en-AU"/>
        </w:rPr>
      </w:pPr>
      <w:r w:rsidRPr="0078723B">
        <w:rPr>
          <w:rFonts w:ascii="VIC" w:hAnsi="VIC" w:cs="Arial"/>
          <w:noProof/>
          <w:color w:val="auto"/>
          <w:sz w:val="32"/>
          <w:szCs w:val="32"/>
          <w:lang w:val="en-AU"/>
        </w:rPr>
        <w:drawing>
          <wp:anchor distT="0" distB="0" distL="114300" distR="114300" simplePos="0" relativeHeight="251659264" behindDoc="1" locked="0" layoutInCell="1" allowOverlap="1" wp14:anchorId="78EF60A7" wp14:editId="125BF197">
            <wp:simplePos x="0" y="0"/>
            <wp:positionH relativeFrom="column">
              <wp:posOffset>-59690</wp:posOffset>
            </wp:positionH>
            <wp:positionV relativeFrom="paragraph">
              <wp:posOffset>180975</wp:posOffset>
            </wp:positionV>
            <wp:extent cx="3103245" cy="1943735"/>
            <wp:effectExtent l="0" t="0" r="1905" b="0"/>
            <wp:wrapTight wrapText="bothSides">
              <wp:wrapPolygon edited="0">
                <wp:start x="0" y="0"/>
                <wp:lineTo x="0" y="21381"/>
                <wp:lineTo x="21481" y="21381"/>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245" cy="1943735"/>
                    </a:xfrm>
                    <a:prstGeom prst="rect">
                      <a:avLst/>
                    </a:prstGeom>
                    <a:noFill/>
                    <a:ln>
                      <a:noFill/>
                    </a:ln>
                  </pic:spPr>
                </pic:pic>
              </a:graphicData>
            </a:graphic>
          </wp:anchor>
        </w:drawing>
      </w:r>
    </w:p>
    <w:p w14:paraId="50908575" w14:textId="456D2D24" w:rsidR="00AF10AD" w:rsidRPr="0078723B" w:rsidRDefault="00AF10AD" w:rsidP="00AF10AD">
      <w:pPr>
        <w:pStyle w:val="Heading1"/>
        <w:rPr>
          <w:rFonts w:ascii="VIC" w:hAnsi="VIC"/>
          <w:lang w:val="en-AU"/>
        </w:rPr>
      </w:pPr>
      <w:r w:rsidRPr="0078723B">
        <w:rPr>
          <w:rFonts w:ascii="VIC" w:hAnsi="VIC"/>
          <w:lang w:val="en-AU"/>
        </w:rPr>
        <w:t xml:space="preserve">Group </w:t>
      </w:r>
      <w:r w:rsidR="00D4734E">
        <w:rPr>
          <w:rFonts w:ascii="VIC" w:hAnsi="VIC"/>
          <w:lang w:val="en-AU"/>
        </w:rPr>
        <w:t>2</w:t>
      </w:r>
      <w:r w:rsidRPr="0078723B">
        <w:rPr>
          <w:rFonts w:ascii="VIC" w:hAnsi="VIC"/>
          <w:lang w:val="en-AU"/>
        </w:rPr>
        <w:t>: The sulfonylureas (SU</w:t>
      </w:r>
      <w:r w:rsidR="003772F4">
        <w:rPr>
          <w:rFonts w:ascii="VIC" w:hAnsi="VIC"/>
          <w:caps w:val="0"/>
          <w:lang w:val="en-AU"/>
        </w:rPr>
        <w:t>s</w:t>
      </w:r>
      <w:r w:rsidRPr="0078723B">
        <w:rPr>
          <w:rFonts w:ascii="VIC" w:hAnsi="VIC"/>
          <w:lang w:val="en-AU"/>
        </w:rPr>
        <w:t>)</w:t>
      </w:r>
    </w:p>
    <w:p w14:paraId="535CC9AC"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The sulfonylureas persist longer in alkaline soils (pH &gt; 7)</w:t>
      </w:r>
    </w:p>
    <w:p w14:paraId="1EA49863" w14:textId="067C890C" w:rsidR="00AF10AD" w:rsidRPr="0078723B" w:rsidRDefault="00AF10AD" w:rsidP="00F03CE4">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where they rely on microbial degradation.</w:t>
      </w:r>
    </w:p>
    <w:p w14:paraId="0965D582" w14:textId="2C962F98" w:rsidR="00AF10AD" w:rsidRPr="0078723B" w:rsidRDefault="00AF10AD" w:rsidP="00F03CE4">
      <w:pPr>
        <w:autoSpaceDE w:val="0"/>
        <w:autoSpaceDN w:val="0"/>
        <w:adjustRightInd w:val="0"/>
        <w:spacing w:line="240" w:lineRule="auto"/>
        <w:rPr>
          <w:rFonts w:ascii="VIC" w:hAnsi="VIC" w:cs="Arial"/>
          <w:color w:val="auto"/>
          <w:szCs w:val="18"/>
          <w:lang w:val="en-AU"/>
        </w:rPr>
      </w:pPr>
      <w:r w:rsidRPr="0078723B">
        <w:rPr>
          <w:rFonts w:ascii="VIC" w:hAnsi="VIC" w:cs="Arial"/>
          <w:color w:val="auto"/>
          <w:szCs w:val="18"/>
          <w:lang w:val="en-AU"/>
        </w:rPr>
        <w:t>Residual life within the sulfonylurea family varies widely with</w:t>
      </w:r>
      <w:r w:rsidR="00F03CE4">
        <w:rPr>
          <w:rFonts w:ascii="VIC" w:hAnsi="VIC" w:cs="Arial"/>
          <w:color w:val="auto"/>
          <w:szCs w:val="18"/>
          <w:lang w:val="en-AU"/>
        </w:rPr>
        <w:t xml:space="preserve"> </w:t>
      </w:r>
      <w:r w:rsidRPr="0078723B">
        <w:rPr>
          <w:rFonts w:ascii="VIC" w:hAnsi="VIC" w:cs="Arial"/>
          <w:color w:val="auto"/>
          <w:szCs w:val="18"/>
          <w:lang w:val="en-AU"/>
        </w:rPr>
        <w:t>chlorsulfuron persisting for 2 or more years and not suitable for highly alkaline soils. Triasulfuron persists for 1-2 years and metsulfuron generally persists for less than 1 year.</w:t>
      </w:r>
    </w:p>
    <w:p w14:paraId="22BC7F98"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Legumes and oilseeds are most vulnerable to SU’s, particularly lentil and medic. However, barley can also be sensitive to some SUs - check the label.</w:t>
      </w:r>
    </w:p>
    <w:p w14:paraId="3477B9DE" w14:textId="0FDC3AC1" w:rsidR="00AF10AD" w:rsidRPr="0078723B" w:rsidRDefault="00AF10AD" w:rsidP="00AF10AD">
      <w:pPr>
        <w:pStyle w:val="Heading1"/>
        <w:rPr>
          <w:rFonts w:ascii="VIC" w:hAnsi="VIC"/>
          <w:lang w:val="en-AU"/>
        </w:rPr>
      </w:pPr>
      <w:r w:rsidRPr="0078723B">
        <w:rPr>
          <w:rFonts w:ascii="VIC" w:hAnsi="VIC"/>
          <w:lang w:val="en-AU"/>
        </w:rPr>
        <w:t xml:space="preserve">Group </w:t>
      </w:r>
      <w:r w:rsidR="0058660F">
        <w:rPr>
          <w:rFonts w:ascii="VIC" w:hAnsi="VIC"/>
          <w:lang w:val="en-AU"/>
        </w:rPr>
        <w:t>2</w:t>
      </w:r>
      <w:r w:rsidRPr="0078723B">
        <w:rPr>
          <w:rFonts w:ascii="VIC" w:hAnsi="VIC"/>
          <w:lang w:val="en-AU"/>
        </w:rPr>
        <w:t xml:space="preserve">: The triazolopyrimidines </w:t>
      </w:r>
    </w:p>
    <w:p w14:paraId="702256B5"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There is still some debate about the ideal conditions for</w:t>
      </w:r>
    </w:p>
    <w:p w14:paraId="6D5F3973" w14:textId="772F990D"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degradation of these herbicides. However, research in the</w:t>
      </w:r>
      <w:r w:rsidR="00F03CE4">
        <w:rPr>
          <w:rFonts w:ascii="VIC" w:hAnsi="VIC" w:cs="Arial"/>
          <w:color w:val="auto"/>
          <w:szCs w:val="18"/>
          <w:lang w:val="en-AU"/>
        </w:rPr>
        <w:t xml:space="preserve"> </w:t>
      </w:r>
      <w:r w:rsidRPr="0078723B">
        <w:rPr>
          <w:rFonts w:ascii="VIC" w:hAnsi="VIC" w:cs="Arial"/>
          <w:color w:val="auto"/>
          <w:szCs w:val="18"/>
          <w:lang w:val="en-AU"/>
        </w:rPr>
        <w:t>alkaline soils of the Victorian Wimmera and Mallee, and the</w:t>
      </w:r>
      <w:r w:rsidR="00F03CE4">
        <w:rPr>
          <w:rFonts w:ascii="VIC" w:hAnsi="VIC" w:cs="Arial"/>
          <w:color w:val="auto"/>
          <w:szCs w:val="18"/>
          <w:lang w:val="en-AU"/>
        </w:rPr>
        <w:t xml:space="preserve"> </w:t>
      </w:r>
      <w:r w:rsidRPr="0078723B">
        <w:rPr>
          <w:rFonts w:ascii="VIC" w:hAnsi="VIC" w:cs="Arial"/>
          <w:color w:val="auto"/>
          <w:szCs w:val="18"/>
          <w:lang w:val="en-AU"/>
        </w:rPr>
        <w:t>Eyre Peninsula in South Australia has shown that</w:t>
      </w:r>
      <w:r w:rsidR="00F03CE4">
        <w:rPr>
          <w:rFonts w:ascii="VIC" w:hAnsi="VIC" w:cs="Arial"/>
          <w:color w:val="auto"/>
          <w:szCs w:val="18"/>
          <w:lang w:val="en-AU"/>
        </w:rPr>
        <w:t xml:space="preserve"> </w:t>
      </w:r>
      <w:r w:rsidR="004413BF">
        <w:rPr>
          <w:rFonts w:ascii="VIC" w:hAnsi="VIC" w:cs="Arial"/>
          <w:color w:val="auto"/>
          <w:szCs w:val="18"/>
          <w:lang w:val="en-AU"/>
        </w:rPr>
        <w:t>triazolopyrimidines</w:t>
      </w:r>
      <w:r w:rsidRPr="0078723B">
        <w:rPr>
          <w:rFonts w:ascii="VIC" w:hAnsi="VIC" w:cs="Arial"/>
          <w:color w:val="auto"/>
          <w:szCs w:val="18"/>
          <w:lang w:val="en-AU"/>
        </w:rPr>
        <w:t xml:space="preserve"> are less likely to persist than the SU’s in alkaline soils. Plant back periods should be increased in shallow soils.</w:t>
      </w:r>
    </w:p>
    <w:p w14:paraId="0FC8DE30" w14:textId="77777777" w:rsidR="002B4D9E" w:rsidRDefault="002B4D9E">
      <w:pPr>
        <w:spacing w:after="0" w:line="240" w:lineRule="auto"/>
        <w:rPr>
          <w:rFonts w:ascii="VIC" w:hAnsi="VIC"/>
          <w:b/>
          <w:bCs/>
          <w:caps/>
          <w:color w:val="4C7329"/>
          <w:sz w:val="22"/>
          <w:lang w:val="en-AU"/>
        </w:rPr>
      </w:pPr>
      <w:r>
        <w:rPr>
          <w:rFonts w:ascii="VIC" w:hAnsi="VIC"/>
          <w:lang w:val="en-AU"/>
        </w:rPr>
        <w:br w:type="page"/>
      </w:r>
    </w:p>
    <w:p w14:paraId="23A3978F" w14:textId="0A61EFBA" w:rsidR="00AF10AD" w:rsidRPr="0078723B" w:rsidRDefault="00AF10AD" w:rsidP="00AF10AD">
      <w:pPr>
        <w:pStyle w:val="Heading1"/>
        <w:rPr>
          <w:rFonts w:ascii="VIC" w:hAnsi="VIC"/>
          <w:lang w:val="en-AU"/>
        </w:rPr>
      </w:pPr>
      <w:r w:rsidRPr="0078723B">
        <w:rPr>
          <w:rFonts w:ascii="VIC" w:hAnsi="VIC"/>
          <w:lang w:val="en-AU"/>
        </w:rPr>
        <w:lastRenderedPageBreak/>
        <w:t xml:space="preserve">Group </w:t>
      </w:r>
      <w:r w:rsidR="00AC66FC">
        <w:rPr>
          <w:rFonts w:ascii="VIC" w:hAnsi="VIC"/>
          <w:lang w:val="en-AU"/>
        </w:rPr>
        <w:t>2</w:t>
      </w:r>
      <w:r w:rsidRPr="0078723B">
        <w:rPr>
          <w:rFonts w:ascii="VIC" w:hAnsi="VIC"/>
          <w:lang w:val="en-AU"/>
        </w:rPr>
        <w:t>: The imidazolinones (IMI</w:t>
      </w:r>
      <w:r w:rsidRPr="007F15A1">
        <w:rPr>
          <w:rFonts w:ascii="VIC" w:hAnsi="VIC"/>
          <w:caps w:val="0"/>
          <w:lang w:val="en-AU"/>
        </w:rPr>
        <w:t>’s</w:t>
      </w:r>
      <w:r w:rsidRPr="0078723B">
        <w:rPr>
          <w:rFonts w:ascii="VIC" w:hAnsi="VIC"/>
          <w:lang w:val="en-AU"/>
        </w:rPr>
        <w:t>)</w:t>
      </w:r>
    </w:p>
    <w:p w14:paraId="5C4EC307" w14:textId="3ED2B650"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The imidazolinones are very different from the SU’s as the</w:t>
      </w:r>
      <w:r w:rsidR="002B4D9E">
        <w:rPr>
          <w:rFonts w:ascii="VIC" w:hAnsi="VIC" w:cs="Arial"/>
          <w:color w:val="auto"/>
          <w:szCs w:val="18"/>
          <w:lang w:val="en-AU"/>
        </w:rPr>
        <w:t xml:space="preserve"> </w:t>
      </w:r>
      <w:r w:rsidRPr="0078723B">
        <w:rPr>
          <w:rFonts w:ascii="VIC" w:hAnsi="VIC" w:cs="Arial"/>
          <w:color w:val="auto"/>
          <w:szCs w:val="18"/>
          <w:lang w:val="en-AU"/>
        </w:rPr>
        <w:t xml:space="preserve">main driver of persistence is soil </w:t>
      </w:r>
      <w:r w:rsidRPr="0078723B">
        <w:rPr>
          <w:rFonts w:ascii="VIC" w:hAnsi="VIC" w:cs="Arial"/>
          <w:color w:val="auto"/>
          <w:szCs w:val="18"/>
          <w:u w:val="single"/>
          <w:lang w:val="en-AU"/>
        </w:rPr>
        <w:t>type</w:t>
      </w:r>
      <w:r w:rsidRPr="0078723B">
        <w:rPr>
          <w:rFonts w:ascii="VIC" w:hAnsi="VIC" w:cs="Arial"/>
          <w:color w:val="auto"/>
          <w:szCs w:val="18"/>
          <w:lang w:val="en-AU"/>
        </w:rPr>
        <w:t>, not soil pH. They tend</w:t>
      </w:r>
      <w:r w:rsidR="002B4D9E">
        <w:rPr>
          <w:rFonts w:ascii="VIC" w:hAnsi="VIC" w:cs="Arial"/>
          <w:color w:val="auto"/>
          <w:szCs w:val="18"/>
          <w:lang w:val="en-AU"/>
        </w:rPr>
        <w:t xml:space="preserve"> </w:t>
      </w:r>
      <w:r w:rsidRPr="0078723B">
        <w:rPr>
          <w:rFonts w:ascii="VIC" w:hAnsi="VIC" w:cs="Arial"/>
          <w:color w:val="auto"/>
          <w:szCs w:val="18"/>
          <w:lang w:val="en-AU"/>
        </w:rPr>
        <w:t>to be more of a problem on acid soils, but carryover does occur on alkaline soils. Research has shown that in sandy soils, such as on the Eyre</w:t>
      </w:r>
      <w:r w:rsidR="002B4D9E">
        <w:rPr>
          <w:rFonts w:ascii="VIC" w:hAnsi="VIC" w:cs="Arial"/>
          <w:color w:val="auto"/>
          <w:szCs w:val="18"/>
          <w:lang w:val="en-AU"/>
        </w:rPr>
        <w:t xml:space="preserve"> </w:t>
      </w:r>
      <w:r w:rsidRPr="0078723B">
        <w:rPr>
          <w:rFonts w:ascii="VIC" w:hAnsi="VIC" w:cs="Arial"/>
          <w:color w:val="auto"/>
          <w:szCs w:val="18"/>
          <w:lang w:val="en-AU"/>
        </w:rPr>
        <w:t xml:space="preserve">Peninsula in South Australia, they can break down very rapidly (within 15 months in alkaline soils), but in the heavy clay soils in Victoria they can persist for several years. Breakdown is by soil microbes. Oilseeds are most at risk. Widespread use of </w:t>
      </w:r>
      <w:proofErr w:type="spellStart"/>
      <w:r w:rsidRPr="0078723B">
        <w:rPr>
          <w:rFonts w:ascii="VIC" w:hAnsi="VIC" w:cs="Arial"/>
          <w:color w:val="auto"/>
          <w:szCs w:val="18"/>
          <w:lang w:val="en-AU"/>
        </w:rPr>
        <w:t>imi</w:t>
      </w:r>
      <w:proofErr w:type="spellEnd"/>
      <w:r w:rsidRPr="0078723B">
        <w:rPr>
          <w:rFonts w:ascii="VIC" w:hAnsi="VIC" w:cs="Arial"/>
          <w:color w:val="auto"/>
          <w:szCs w:val="18"/>
          <w:lang w:val="en-AU"/>
        </w:rPr>
        <w:t>-tolerant canola and wheat in recent years has increased the incidence of imidazolinone residues.</w:t>
      </w:r>
    </w:p>
    <w:p w14:paraId="1D78DA80" w14:textId="382F7DD5" w:rsidR="00AF10AD" w:rsidRPr="0078723B" w:rsidRDefault="00AF10AD" w:rsidP="00AF10AD">
      <w:pPr>
        <w:pStyle w:val="Heading1"/>
        <w:rPr>
          <w:rFonts w:ascii="VIC" w:hAnsi="VIC"/>
          <w:lang w:val="en-AU"/>
        </w:rPr>
      </w:pPr>
      <w:r w:rsidRPr="0078723B">
        <w:rPr>
          <w:rFonts w:ascii="VIC" w:hAnsi="VIC"/>
          <w:lang w:val="en-AU"/>
        </w:rPr>
        <w:t xml:space="preserve">Group </w:t>
      </w:r>
      <w:r w:rsidR="005E1BFE">
        <w:rPr>
          <w:rFonts w:ascii="VIC" w:hAnsi="VIC"/>
          <w:lang w:val="en-AU"/>
        </w:rPr>
        <w:t>5</w:t>
      </w:r>
      <w:r w:rsidRPr="0078723B">
        <w:rPr>
          <w:rFonts w:ascii="VIC" w:hAnsi="VIC"/>
          <w:lang w:val="en-AU"/>
        </w:rPr>
        <w:t>: The triazines</w:t>
      </w:r>
    </w:p>
    <w:p w14:paraId="40630F7B"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Usage of triazines has increased to counter Group A</w:t>
      </w:r>
    </w:p>
    <w:p w14:paraId="35C0128B" w14:textId="0797C2C6"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resistance in ryegrass and because of high rates used on</w:t>
      </w:r>
      <w:r w:rsidR="002B4D9E">
        <w:rPr>
          <w:rFonts w:ascii="VIC" w:hAnsi="VIC" w:cs="Arial"/>
          <w:color w:val="auto"/>
          <w:szCs w:val="18"/>
          <w:lang w:val="en-AU"/>
        </w:rPr>
        <w:t xml:space="preserve"> </w:t>
      </w:r>
      <w:r w:rsidRPr="0078723B">
        <w:rPr>
          <w:rFonts w:ascii="VIC" w:hAnsi="VIC" w:cs="Arial"/>
          <w:color w:val="auto"/>
          <w:szCs w:val="18"/>
          <w:lang w:val="en-AU"/>
        </w:rPr>
        <w:t>Triazine Tolerant canola. Atrazine persists longer in soil than</w:t>
      </w:r>
      <w:r w:rsidR="002B4D9E">
        <w:rPr>
          <w:rFonts w:ascii="VIC" w:hAnsi="VIC" w:cs="Arial"/>
          <w:color w:val="auto"/>
          <w:szCs w:val="18"/>
          <w:lang w:val="en-AU"/>
        </w:rPr>
        <w:t xml:space="preserve"> </w:t>
      </w:r>
      <w:r w:rsidRPr="0078723B">
        <w:rPr>
          <w:rFonts w:ascii="VIC" w:hAnsi="VIC" w:cs="Arial"/>
          <w:color w:val="auto"/>
          <w:szCs w:val="18"/>
          <w:lang w:val="en-AU"/>
        </w:rPr>
        <w:t>simazine. Both generally persist longer on high pH soils, and</w:t>
      </w:r>
      <w:r w:rsidR="00513ECB">
        <w:rPr>
          <w:rFonts w:ascii="VIC" w:hAnsi="VIC" w:cs="Arial"/>
          <w:color w:val="auto"/>
          <w:szCs w:val="18"/>
          <w:lang w:val="en-AU"/>
        </w:rPr>
        <w:t xml:space="preserve"> </w:t>
      </w:r>
      <w:r w:rsidRPr="0078723B">
        <w:rPr>
          <w:rFonts w:ascii="VIC" w:hAnsi="VIC" w:cs="Arial"/>
          <w:color w:val="auto"/>
          <w:szCs w:val="18"/>
          <w:lang w:val="en-AU"/>
        </w:rPr>
        <w:t>cereals are particularly susceptible to damage. Recent</w:t>
      </w:r>
      <w:r w:rsidR="00513ECB">
        <w:rPr>
          <w:rFonts w:ascii="VIC" w:hAnsi="VIC" w:cs="Arial"/>
          <w:color w:val="auto"/>
          <w:szCs w:val="18"/>
          <w:lang w:val="en-AU"/>
        </w:rPr>
        <w:t xml:space="preserve"> </w:t>
      </w:r>
      <w:r w:rsidRPr="0078723B">
        <w:rPr>
          <w:rFonts w:ascii="VIC" w:hAnsi="VIC" w:cs="Arial"/>
          <w:color w:val="auto"/>
          <w:szCs w:val="18"/>
          <w:lang w:val="en-AU"/>
        </w:rPr>
        <w:t>research in the US indicates that breakdown rates tend to increase when triazines are used regularly, as the number of</w:t>
      </w:r>
      <w:r w:rsidR="00513ECB">
        <w:rPr>
          <w:rFonts w:ascii="VIC" w:hAnsi="VIC" w:cs="Arial"/>
          <w:color w:val="auto"/>
          <w:szCs w:val="18"/>
          <w:lang w:val="en-AU"/>
        </w:rPr>
        <w:t xml:space="preserve"> </w:t>
      </w:r>
      <w:r w:rsidRPr="0078723B">
        <w:rPr>
          <w:rFonts w:ascii="VIC" w:hAnsi="VIC" w:cs="Arial"/>
          <w:color w:val="auto"/>
          <w:szCs w:val="18"/>
          <w:lang w:val="en-AU"/>
        </w:rPr>
        <w:t>microbes able to degrade the herbicide can increase. This may mean that breakdown can take an unexpectedly long time in soils that have not been exposed to triazines for some years.</w:t>
      </w:r>
    </w:p>
    <w:p w14:paraId="24942F45" w14:textId="7CA3EB0B" w:rsidR="00AF10AD" w:rsidRPr="0078723B" w:rsidRDefault="00AF10AD" w:rsidP="00AF10AD">
      <w:pPr>
        <w:pStyle w:val="Heading1"/>
        <w:rPr>
          <w:rFonts w:ascii="VIC" w:hAnsi="VIC"/>
          <w:lang w:val="en-AU"/>
        </w:rPr>
      </w:pPr>
      <w:r w:rsidRPr="0078723B">
        <w:rPr>
          <w:rFonts w:ascii="VIC" w:hAnsi="VIC"/>
          <w:lang w:val="en-AU"/>
        </w:rPr>
        <w:t xml:space="preserve">Group </w:t>
      </w:r>
      <w:r w:rsidR="003F7E76">
        <w:rPr>
          <w:rFonts w:ascii="VIC" w:hAnsi="VIC"/>
          <w:lang w:val="en-AU"/>
        </w:rPr>
        <w:t>3</w:t>
      </w:r>
      <w:r w:rsidRPr="0078723B">
        <w:rPr>
          <w:rFonts w:ascii="VIC" w:hAnsi="VIC"/>
          <w:lang w:val="en-AU"/>
        </w:rPr>
        <w:t>: Trifluralin</w:t>
      </w:r>
    </w:p>
    <w:p w14:paraId="63E63C90" w14:textId="0301D0B0"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 xml:space="preserve">Trifluralin tends not to leach through the soil, but can be moved into the seed bed during cultivation or ridging. Trifluralin binds strongly to stubble and </w:t>
      </w:r>
      <w:r w:rsidR="00513ECB">
        <w:rPr>
          <w:rFonts w:ascii="VIC" w:hAnsi="VIC" w:cs="Arial"/>
          <w:color w:val="auto"/>
          <w:szCs w:val="18"/>
          <w:lang w:val="en-AU"/>
        </w:rPr>
        <w:t>o</w:t>
      </w:r>
      <w:r w:rsidRPr="0078723B">
        <w:rPr>
          <w:rFonts w:ascii="VIC" w:hAnsi="VIC" w:cs="Arial"/>
          <w:color w:val="auto"/>
          <w:szCs w:val="18"/>
          <w:lang w:val="en-AU"/>
        </w:rPr>
        <w:t>rganic matter and is more likely to be a problem in paddocks with stubble retention. Be particularly careful with wheat, oats and lentils. Barley is more tolerant. Use knife points to throw soil away from seed and sow deep.</w:t>
      </w:r>
    </w:p>
    <w:p w14:paraId="12AE39A1" w14:textId="1826AE59" w:rsidR="00AF10AD" w:rsidRPr="0078723B" w:rsidRDefault="00AF10AD" w:rsidP="00AF10AD">
      <w:pPr>
        <w:pStyle w:val="Heading1"/>
        <w:rPr>
          <w:rFonts w:ascii="VIC" w:hAnsi="VIC"/>
          <w:lang w:val="en-AU"/>
        </w:rPr>
      </w:pPr>
      <w:r w:rsidRPr="0078723B">
        <w:rPr>
          <w:rFonts w:ascii="VIC" w:hAnsi="VIC"/>
          <w:lang w:val="en-AU"/>
        </w:rPr>
        <w:t xml:space="preserve">Group </w:t>
      </w:r>
      <w:r w:rsidR="00E1782D">
        <w:rPr>
          <w:rFonts w:ascii="VIC" w:hAnsi="VIC"/>
          <w:lang w:val="en-AU"/>
        </w:rPr>
        <w:t>27</w:t>
      </w:r>
      <w:r w:rsidRPr="0078723B">
        <w:rPr>
          <w:rFonts w:ascii="VIC" w:hAnsi="VIC"/>
          <w:lang w:val="en-AU"/>
        </w:rPr>
        <w:t>: The isoxazoles</w:t>
      </w:r>
    </w:p>
    <w:p w14:paraId="40E59CBF"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Persistence in acid soils (pH &lt; 7) has not been fully tested, but research has shown that isoxazole persistence is expected to be longer than the label recommendations for legume crops and pastures. Isoxazoles will also persist longer in clay soils and those with low organic matter. Cultivation is recommended prior to recropping.</w:t>
      </w:r>
    </w:p>
    <w:p w14:paraId="29563D16" w14:textId="77777777" w:rsidR="00513ECB" w:rsidRDefault="00513ECB" w:rsidP="00AF10AD">
      <w:pPr>
        <w:pStyle w:val="Heading1"/>
        <w:rPr>
          <w:rFonts w:ascii="VIC" w:hAnsi="VIC"/>
          <w:lang w:val="en-AU"/>
        </w:rPr>
      </w:pPr>
    </w:p>
    <w:p w14:paraId="43BB1B43" w14:textId="71704BB1" w:rsidR="00AF10AD" w:rsidRPr="0078723B" w:rsidRDefault="00AF10AD" w:rsidP="00AF10AD">
      <w:pPr>
        <w:pStyle w:val="Heading1"/>
        <w:rPr>
          <w:rFonts w:ascii="VIC" w:hAnsi="VIC"/>
          <w:lang w:val="en-AU"/>
        </w:rPr>
      </w:pPr>
      <w:r w:rsidRPr="0078723B">
        <w:rPr>
          <w:rFonts w:ascii="VIC" w:hAnsi="VIC"/>
          <w:lang w:val="en-AU"/>
        </w:rPr>
        <w:t xml:space="preserve">Group </w:t>
      </w:r>
      <w:r w:rsidR="005E1BFE">
        <w:rPr>
          <w:rFonts w:ascii="VIC" w:hAnsi="VIC"/>
          <w:lang w:val="en-AU"/>
        </w:rPr>
        <w:t>4</w:t>
      </w:r>
      <w:r w:rsidRPr="0078723B">
        <w:rPr>
          <w:rFonts w:ascii="VIC" w:hAnsi="VIC"/>
          <w:lang w:val="en-AU"/>
        </w:rPr>
        <w:t>: The phenoxys</w:t>
      </w:r>
    </w:p>
    <w:p w14:paraId="7AC824F8" w14:textId="57141BD3"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Clopyralid and aminopyralid can be riskier on heavy soils</w:t>
      </w:r>
      <w:r w:rsidR="00513ECB">
        <w:rPr>
          <w:rFonts w:ascii="VIC" w:hAnsi="VIC" w:cs="Arial"/>
          <w:color w:val="auto"/>
          <w:szCs w:val="18"/>
          <w:lang w:val="en-AU"/>
        </w:rPr>
        <w:t xml:space="preserve"> </w:t>
      </w:r>
      <w:r w:rsidRPr="0078723B">
        <w:rPr>
          <w:rFonts w:ascii="VIC" w:hAnsi="VIC" w:cs="Arial"/>
          <w:color w:val="auto"/>
          <w:szCs w:val="18"/>
          <w:lang w:val="en-AU"/>
        </w:rPr>
        <w:t xml:space="preserve">and in conservation cropping as it can </w:t>
      </w:r>
      <w:r w:rsidR="005E1BFE">
        <w:rPr>
          <w:rFonts w:ascii="VIC" w:hAnsi="VIC" w:cs="Arial"/>
          <w:color w:val="auto"/>
          <w:szCs w:val="18"/>
          <w:lang w:val="en-AU"/>
        </w:rPr>
        <w:t>a</w:t>
      </w:r>
      <w:r w:rsidRPr="0078723B">
        <w:rPr>
          <w:rFonts w:ascii="VIC" w:hAnsi="VIC" w:cs="Arial"/>
          <w:color w:val="auto"/>
          <w:szCs w:val="18"/>
          <w:lang w:val="en-AU"/>
        </w:rPr>
        <w:t xml:space="preserve">ccumulate on stubble. Even low rates can cause crop damage up to two years after application. They cause twisting and cupping, particularly for crops suffering from moisture stress. 2,4-D used for fallow weed control in late </w:t>
      </w:r>
      <w:r w:rsidR="005E1BFE">
        <w:rPr>
          <w:rFonts w:ascii="VIC" w:hAnsi="VIC" w:cs="Arial"/>
          <w:color w:val="auto"/>
          <w:szCs w:val="18"/>
          <w:lang w:val="en-AU"/>
        </w:rPr>
        <w:t>s</w:t>
      </w:r>
      <w:r w:rsidRPr="0078723B">
        <w:rPr>
          <w:rFonts w:ascii="VIC" w:hAnsi="VIC" w:cs="Arial"/>
          <w:color w:val="auto"/>
          <w:szCs w:val="18"/>
          <w:lang w:val="en-AU"/>
        </w:rPr>
        <w:t>ummer may cause a</w:t>
      </w:r>
      <w:r w:rsidR="00513ECB">
        <w:rPr>
          <w:rFonts w:ascii="VIC" w:hAnsi="VIC" w:cs="Arial"/>
          <w:color w:val="auto"/>
          <w:szCs w:val="18"/>
          <w:lang w:val="en-AU"/>
        </w:rPr>
        <w:t xml:space="preserve"> </w:t>
      </w:r>
      <w:r w:rsidRPr="0078723B">
        <w:rPr>
          <w:rFonts w:ascii="VIC" w:hAnsi="VIC" w:cs="Arial"/>
          <w:color w:val="auto"/>
          <w:szCs w:val="18"/>
          <w:lang w:val="en-AU"/>
        </w:rPr>
        <w:t>problem with autumn sown crops. There have been changes</w:t>
      </w:r>
      <w:r w:rsidR="00513ECB">
        <w:rPr>
          <w:rFonts w:ascii="VIC" w:hAnsi="VIC" w:cs="Arial"/>
          <w:color w:val="auto"/>
          <w:szCs w:val="18"/>
          <w:lang w:val="en-AU"/>
        </w:rPr>
        <w:t xml:space="preserve"> </w:t>
      </w:r>
      <w:r w:rsidRPr="0078723B">
        <w:rPr>
          <w:rFonts w:ascii="VIC" w:hAnsi="VIC" w:cs="Arial"/>
          <w:color w:val="auto"/>
          <w:szCs w:val="18"/>
          <w:lang w:val="en-AU"/>
        </w:rPr>
        <w:t>to the 2,4-D label recently and not all products can be used for fallow weed control – check the label. The label recommends you don’t sow sensitive crops, especially canola, until after a significant rainfall event. Oilseeds and legumes are very susceptible to injury from 2,4-D.</w:t>
      </w:r>
    </w:p>
    <w:p w14:paraId="6B3F4124" w14:textId="19FDA1E6" w:rsidR="00AF10AD" w:rsidRPr="0078723B" w:rsidRDefault="00AF10AD" w:rsidP="00AF10AD">
      <w:pPr>
        <w:pStyle w:val="Heading1"/>
        <w:rPr>
          <w:rFonts w:ascii="VIC" w:hAnsi="VIC"/>
          <w:lang w:val="en-AU"/>
        </w:rPr>
      </w:pPr>
      <w:r w:rsidRPr="0078723B">
        <w:rPr>
          <w:rFonts w:ascii="VIC" w:hAnsi="VIC"/>
          <w:lang w:val="en-AU"/>
        </w:rPr>
        <w:t xml:space="preserve">Group </w:t>
      </w:r>
      <w:r w:rsidR="00D86F46">
        <w:rPr>
          <w:rFonts w:ascii="VIC" w:hAnsi="VIC"/>
          <w:lang w:val="en-AU"/>
        </w:rPr>
        <w:t>15</w:t>
      </w:r>
      <w:r w:rsidRPr="0078723B">
        <w:rPr>
          <w:rFonts w:ascii="VIC" w:hAnsi="VIC"/>
          <w:lang w:val="en-AU"/>
        </w:rPr>
        <w:t>: Metolachlor</w:t>
      </w:r>
    </w:p>
    <w:p w14:paraId="73B1F145" w14:textId="0BA1DEF8"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Metolachlor can be safely used for weed control in canola</w:t>
      </w:r>
      <w:r w:rsidR="00513ECB">
        <w:rPr>
          <w:rFonts w:ascii="VIC" w:hAnsi="VIC" w:cs="Arial"/>
          <w:color w:val="auto"/>
          <w:szCs w:val="18"/>
          <w:lang w:val="en-AU"/>
        </w:rPr>
        <w:t xml:space="preserve"> </w:t>
      </w:r>
      <w:r w:rsidRPr="0078723B">
        <w:rPr>
          <w:rFonts w:ascii="VIC" w:hAnsi="VIC" w:cs="Arial"/>
          <w:color w:val="auto"/>
          <w:szCs w:val="18"/>
          <w:lang w:val="en-AU"/>
        </w:rPr>
        <w:t>crops if sowing and herbicide application are carefully</w:t>
      </w:r>
      <w:r w:rsidR="00513ECB">
        <w:rPr>
          <w:rFonts w:ascii="VIC" w:hAnsi="VIC" w:cs="Arial"/>
          <w:color w:val="auto"/>
          <w:szCs w:val="18"/>
          <w:lang w:val="en-AU"/>
        </w:rPr>
        <w:t xml:space="preserve"> </w:t>
      </w:r>
      <w:r w:rsidRPr="0078723B">
        <w:rPr>
          <w:rFonts w:ascii="VIC" w:hAnsi="VIC" w:cs="Arial"/>
          <w:color w:val="auto"/>
          <w:szCs w:val="18"/>
          <w:lang w:val="en-AU"/>
        </w:rPr>
        <w:t>managed. However, the precautions on the label limit sowing</w:t>
      </w:r>
      <w:r w:rsidR="00513ECB">
        <w:rPr>
          <w:rFonts w:ascii="VIC" w:hAnsi="VIC" w:cs="Arial"/>
          <w:color w:val="auto"/>
          <w:szCs w:val="18"/>
          <w:lang w:val="en-AU"/>
        </w:rPr>
        <w:t xml:space="preserve"> </w:t>
      </w:r>
      <w:r w:rsidRPr="0078723B">
        <w:rPr>
          <w:rFonts w:ascii="VIC" w:hAnsi="VIC" w:cs="Arial"/>
          <w:color w:val="auto"/>
          <w:szCs w:val="18"/>
          <w:lang w:val="en-AU"/>
        </w:rPr>
        <w:t>of canola within 6 months of application. This essentially</w:t>
      </w:r>
      <w:r w:rsidR="00513ECB">
        <w:rPr>
          <w:rFonts w:ascii="VIC" w:hAnsi="VIC" w:cs="Arial"/>
          <w:color w:val="auto"/>
          <w:szCs w:val="18"/>
          <w:lang w:val="en-AU"/>
        </w:rPr>
        <w:t xml:space="preserve"> </w:t>
      </w:r>
      <w:r w:rsidRPr="0078723B">
        <w:rPr>
          <w:rFonts w:ascii="VIC" w:hAnsi="VIC" w:cs="Arial"/>
          <w:color w:val="auto"/>
          <w:szCs w:val="18"/>
          <w:lang w:val="en-AU"/>
        </w:rPr>
        <w:t>prevents re-sowing of canola if there is poor germination.</w:t>
      </w:r>
    </w:p>
    <w:p w14:paraId="0C81CE05" w14:textId="734D5254" w:rsidR="00AF10AD" w:rsidRPr="0078723B" w:rsidRDefault="00AF10AD" w:rsidP="00AF10AD">
      <w:pPr>
        <w:pStyle w:val="Heading1"/>
        <w:rPr>
          <w:rFonts w:ascii="VIC" w:hAnsi="VIC"/>
          <w:lang w:val="en-AU"/>
        </w:rPr>
      </w:pPr>
      <w:r w:rsidRPr="0078723B">
        <w:rPr>
          <w:rFonts w:ascii="VIC" w:hAnsi="VIC"/>
          <w:lang w:val="en-AU"/>
        </w:rPr>
        <w:t xml:space="preserve">Group </w:t>
      </w:r>
      <w:r w:rsidR="00E1782D">
        <w:rPr>
          <w:rFonts w:ascii="VIC" w:hAnsi="VIC"/>
          <w:lang w:val="en-AU"/>
        </w:rPr>
        <w:t>15</w:t>
      </w:r>
      <w:r w:rsidRPr="0078723B">
        <w:rPr>
          <w:rFonts w:ascii="VIC" w:hAnsi="VIC"/>
          <w:lang w:val="en-AU"/>
        </w:rPr>
        <w:t>: Pyroxasulfone</w:t>
      </w:r>
    </w:p>
    <w:p w14:paraId="6AC9434C" w14:textId="77777777"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Pyroxasulfone relies on microbial degradation, which is</w:t>
      </w:r>
    </w:p>
    <w:p w14:paraId="46279E44" w14:textId="037D3F61" w:rsidR="00AF10AD" w:rsidRPr="0078723B" w:rsidRDefault="00AF10AD" w:rsidP="00AF10AD">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 xml:space="preserve">favoured by in-season rainfall. Label </w:t>
      </w:r>
      <w:r w:rsidR="00E1782D" w:rsidRPr="0078723B">
        <w:rPr>
          <w:rFonts w:ascii="VIC" w:hAnsi="VIC" w:cs="Arial"/>
          <w:color w:val="auto"/>
          <w:szCs w:val="18"/>
          <w:lang w:val="en-AU"/>
        </w:rPr>
        <w:t>plant backs</w:t>
      </w:r>
      <w:r w:rsidRPr="0078723B">
        <w:rPr>
          <w:rFonts w:ascii="VIC" w:hAnsi="VIC" w:cs="Arial"/>
          <w:color w:val="auto"/>
          <w:szCs w:val="18"/>
          <w:lang w:val="en-AU"/>
        </w:rPr>
        <w:t xml:space="preserve"> are important particularly for oats, durum wheat and canola. Residues will lead to crop stunting.</w:t>
      </w:r>
    </w:p>
    <w:p w14:paraId="7E92567D" w14:textId="77777777" w:rsidR="00F17723" w:rsidRPr="0078723B" w:rsidRDefault="00F17723" w:rsidP="00F17723">
      <w:pPr>
        <w:pStyle w:val="Heading1"/>
        <w:rPr>
          <w:rFonts w:ascii="VIC" w:hAnsi="VIC"/>
          <w:lang w:val="en-AU"/>
        </w:rPr>
      </w:pPr>
      <w:r w:rsidRPr="0078723B">
        <w:rPr>
          <w:rFonts w:ascii="VIC" w:hAnsi="VIC"/>
          <w:lang w:val="en-AU"/>
        </w:rPr>
        <w:t>Acknowledgements</w:t>
      </w:r>
    </w:p>
    <w:p w14:paraId="41073FD1" w14:textId="2967FC65" w:rsidR="00F17723" w:rsidRPr="0078723B" w:rsidRDefault="00F17723" w:rsidP="00F17723">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 xml:space="preserve">This </w:t>
      </w:r>
      <w:proofErr w:type="spellStart"/>
      <w:r w:rsidRPr="0078723B">
        <w:rPr>
          <w:rFonts w:ascii="VIC" w:hAnsi="VIC" w:cs="Arial"/>
          <w:color w:val="auto"/>
          <w:szCs w:val="18"/>
          <w:lang w:val="en-AU"/>
        </w:rPr>
        <w:t>Agnote</w:t>
      </w:r>
      <w:proofErr w:type="spellEnd"/>
      <w:r w:rsidRPr="0078723B">
        <w:rPr>
          <w:rFonts w:ascii="VIC" w:hAnsi="VIC" w:cs="Arial"/>
          <w:color w:val="auto"/>
          <w:szCs w:val="18"/>
          <w:lang w:val="en-AU"/>
        </w:rPr>
        <w:t xml:space="preserve"> was developed by Katherine </w:t>
      </w:r>
      <w:proofErr w:type="spellStart"/>
      <w:r w:rsidRPr="0078723B">
        <w:rPr>
          <w:rFonts w:ascii="VIC" w:hAnsi="VIC" w:cs="Arial"/>
          <w:color w:val="auto"/>
          <w:szCs w:val="18"/>
          <w:lang w:val="en-AU"/>
        </w:rPr>
        <w:t>Hollaway</w:t>
      </w:r>
      <w:proofErr w:type="spellEnd"/>
      <w:r w:rsidRPr="0078723B">
        <w:rPr>
          <w:rFonts w:ascii="VIC" w:hAnsi="VIC" w:cs="Arial"/>
          <w:color w:val="auto"/>
          <w:szCs w:val="18"/>
          <w:lang w:val="en-AU"/>
        </w:rPr>
        <w:t>, Farm</w:t>
      </w:r>
      <w:r w:rsidR="00E1782D">
        <w:rPr>
          <w:rFonts w:ascii="VIC" w:hAnsi="VIC" w:cs="Arial"/>
          <w:color w:val="auto"/>
          <w:szCs w:val="18"/>
          <w:lang w:val="en-AU"/>
        </w:rPr>
        <w:t xml:space="preserve"> </w:t>
      </w:r>
      <w:r w:rsidRPr="0078723B">
        <w:rPr>
          <w:rFonts w:ascii="VIC" w:hAnsi="VIC" w:cs="Arial"/>
          <w:color w:val="auto"/>
          <w:szCs w:val="18"/>
          <w:lang w:val="en-AU"/>
        </w:rPr>
        <w:t>Services Victoria, November 2003.</w:t>
      </w:r>
    </w:p>
    <w:p w14:paraId="4E27FE35" w14:textId="77777777" w:rsidR="00F17723" w:rsidRPr="0078723B" w:rsidRDefault="00F17723" w:rsidP="00F17723">
      <w:pPr>
        <w:autoSpaceDE w:val="0"/>
        <w:autoSpaceDN w:val="0"/>
        <w:adjustRightInd w:val="0"/>
        <w:spacing w:after="0" w:line="240" w:lineRule="auto"/>
        <w:rPr>
          <w:rFonts w:ascii="VIC" w:hAnsi="VIC" w:cs="Arial"/>
          <w:color w:val="auto"/>
          <w:szCs w:val="18"/>
          <w:lang w:val="en-AU"/>
        </w:rPr>
      </w:pPr>
      <w:r w:rsidRPr="0078723B">
        <w:rPr>
          <w:rFonts w:ascii="VIC" w:hAnsi="VIC" w:cs="Arial"/>
          <w:color w:val="auto"/>
          <w:szCs w:val="18"/>
          <w:lang w:val="en-AU"/>
        </w:rPr>
        <w:t xml:space="preserve">It was reviewed by Katherine </w:t>
      </w:r>
      <w:proofErr w:type="spellStart"/>
      <w:r w:rsidRPr="0078723B">
        <w:rPr>
          <w:rFonts w:ascii="VIC" w:hAnsi="VIC" w:cs="Arial"/>
          <w:color w:val="auto"/>
          <w:szCs w:val="18"/>
          <w:lang w:val="en-AU"/>
        </w:rPr>
        <w:t>Hollaway</w:t>
      </w:r>
      <w:proofErr w:type="spellEnd"/>
      <w:r w:rsidRPr="0078723B">
        <w:rPr>
          <w:rFonts w:ascii="VIC" w:hAnsi="VIC" w:cs="Arial"/>
          <w:color w:val="auto"/>
          <w:szCs w:val="18"/>
          <w:lang w:val="en-AU"/>
        </w:rPr>
        <w:t>, Farm Services Victoria, August 2013.</w:t>
      </w:r>
    </w:p>
    <w:p w14:paraId="23A17661" w14:textId="77777777" w:rsidR="0078723B" w:rsidRDefault="0078723B" w:rsidP="00E1253B">
      <w:pPr>
        <w:autoSpaceDE w:val="0"/>
        <w:autoSpaceDN w:val="0"/>
        <w:adjustRightInd w:val="0"/>
        <w:spacing w:after="0" w:line="240" w:lineRule="auto"/>
        <w:rPr>
          <w:rFonts w:ascii="VIC" w:hAnsi="VIC" w:cs="Helvetica-Bold"/>
          <w:b/>
          <w:bCs/>
          <w:color w:val="000000"/>
          <w:szCs w:val="18"/>
          <w:lang w:val="en-AU"/>
        </w:rPr>
      </w:pPr>
    </w:p>
    <w:p w14:paraId="62E2F363" w14:textId="54BE4D1F" w:rsidR="00E1253B" w:rsidRPr="00E1253B" w:rsidRDefault="00E1253B" w:rsidP="00E1253B">
      <w:pPr>
        <w:autoSpaceDE w:val="0"/>
        <w:autoSpaceDN w:val="0"/>
        <w:adjustRightInd w:val="0"/>
        <w:spacing w:after="0" w:line="240" w:lineRule="auto"/>
        <w:rPr>
          <w:rFonts w:ascii="VIC" w:hAnsi="VIC" w:cs="Helvetica-Bold"/>
          <w:b/>
          <w:bCs/>
          <w:color w:val="000000"/>
          <w:szCs w:val="18"/>
          <w:lang w:val="en-AU"/>
        </w:rPr>
      </w:pPr>
      <w:r w:rsidRPr="00E1253B">
        <w:rPr>
          <w:rFonts w:ascii="VIC" w:hAnsi="VIC" w:cs="Helvetica-Bold"/>
          <w:b/>
          <w:bCs/>
          <w:color w:val="000000"/>
          <w:szCs w:val="18"/>
          <w:lang w:val="en-AU"/>
        </w:rPr>
        <w:t>© THE STATE OF VICTORIA DEPARTMENT OF</w:t>
      </w:r>
    </w:p>
    <w:p w14:paraId="10169FA3" w14:textId="55E692C9" w:rsidR="00E1253B" w:rsidRPr="00E1253B" w:rsidRDefault="00E1253B" w:rsidP="00E1782D">
      <w:pPr>
        <w:autoSpaceDE w:val="0"/>
        <w:autoSpaceDN w:val="0"/>
        <w:adjustRightInd w:val="0"/>
        <w:spacing w:after="0" w:line="240" w:lineRule="auto"/>
        <w:rPr>
          <w:rFonts w:ascii="VIC" w:hAnsi="VIC"/>
        </w:rPr>
      </w:pPr>
      <w:r w:rsidRPr="00E1253B">
        <w:rPr>
          <w:rFonts w:ascii="VIC" w:hAnsi="VIC" w:cs="Helvetica-Bold"/>
          <w:b/>
          <w:bCs/>
          <w:color w:val="000000"/>
          <w:szCs w:val="18"/>
          <w:lang w:val="en-AU"/>
        </w:rPr>
        <w:t xml:space="preserve">JOBS, </w:t>
      </w:r>
      <w:r w:rsidR="005A218B">
        <w:rPr>
          <w:rFonts w:ascii="VIC" w:hAnsi="VIC" w:cs="Helvetica-Bold"/>
          <w:b/>
          <w:bCs/>
          <w:color w:val="000000"/>
          <w:szCs w:val="18"/>
          <w:lang w:val="en-AU"/>
        </w:rPr>
        <w:t>PRECINCTS</w:t>
      </w:r>
      <w:r w:rsidRPr="00E1253B">
        <w:rPr>
          <w:rFonts w:ascii="VIC" w:hAnsi="VIC" w:cs="Helvetica-Bold"/>
          <w:b/>
          <w:bCs/>
          <w:color w:val="000000"/>
          <w:szCs w:val="18"/>
          <w:lang w:val="en-AU"/>
        </w:rPr>
        <w:t xml:space="preserve"> &amp;</w:t>
      </w:r>
      <w:r w:rsidR="00E1782D">
        <w:rPr>
          <w:rFonts w:ascii="VIC" w:hAnsi="VIC" w:cs="Helvetica-Bold"/>
          <w:b/>
          <w:bCs/>
          <w:color w:val="000000"/>
          <w:szCs w:val="18"/>
          <w:lang w:val="en-AU"/>
        </w:rPr>
        <w:t xml:space="preserve"> </w:t>
      </w:r>
      <w:r w:rsidRPr="00E1253B">
        <w:rPr>
          <w:rFonts w:ascii="VIC" w:hAnsi="VIC" w:cs="Helvetica-Bold"/>
          <w:b/>
          <w:bCs/>
          <w:color w:val="000000"/>
          <w:szCs w:val="18"/>
          <w:lang w:val="en-AU"/>
        </w:rPr>
        <w:t>RE</w:t>
      </w:r>
      <w:r w:rsidR="005A218B">
        <w:rPr>
          <w:rFonts w:ascii="VIC" w:hAnsi="VIC" w:cs="Helvetica-Bold"/>
          <w:b/>
          <w:bCs/>
          <w:color w:val="000000"/>
          <w:szCs w:val="18"/>
          <w:lang w:val="en-AU"/>
        </w:rPr>
        <w:t>GIONS</w:t>
      </w:r>
      <w:r w:rsidRPr="00E1253B">
        <w:rPr>
          <w:rFonts w:ascii="VIC" w:hAnsi="VIC" w:cs="Helvetica-Bold"/>
          <w:b/>
          <w:bCs/>
          <w:color w:val="000000"/>
          <w:szCs w:val="18"/>
          <w:lang w:val="en-AU"/>
        </w:rPr>
        <w:t xml:space="preserve">, </w:t>
      </w:r>
      <w:r w:rsidRPr="00E1253B">
        <w:rPr>
          <w:rFonts w:ascii="VIC" w:hAnsi="VIC" w:cs="Helvetica-Bold"/>
          <w:b/>
          <w:bCs/>
          <w:color w:val="000000"/>
          <w:szCs w:val="18"/>
          <w:lang w:val="en-AU"/>
        </w:rPr>
        <w:t>AUGUST</w:t>
      </w:r>
      <w:r w:rsidRPr="00E1253B">
        <w:rPr>
          <w:rFonts w:ascii="VIC" w:hAnsi="VIC" w:cs="Helvetica-Bold"/>
          <w:b/>
          <w:bCs/>
          <w:color w:val="000000"/>
          <w:szCs w:val="18"/>
          <w:lang w:val="en-AU"/>
        </w:rPr>
        <w:t xml:space="preserve"> 20</w:t>
      </w:r>
      <w:r w:rsidRPr="00E1253B">
        <w:rPr>
          <w:rFonts w:ascii="VIC" w:hAnsi="VIC" w:cs="Helvetica-Bold"/>
          <w:b/>
          <w:bCs/>
          <w:color w:val="000000"/>
          <w:szCs w:val="18"/>
          <w:lang w:val="en-AU"/>
        </w:rPr>
        <w:t>22</w:t>
      </w:r>
      <w:r w:rsidRPr="00E1253B">
        <w:rPr>
          <w:rFonts w:ascii="VIC" w:hAnsi="VIC" w:cs="Helvetica-Bold"/>
          <w:b/>
          <w:bCs/>
          <w:color w:val="000000"/>
          <w:szCs w:val="18"/>
          <w:lang w:val="en-AU"/>
        </w:rPr>
        <w:t>.</w:t>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77"/>
      </w:tblGrid>
      <w:tr w:rsidR="001528F2" w:rsidRPr="00E1253B" w14:paraId="209D12CC" w14:textId="77777777" w:rsidTr="000F073F">
        <w:tc>
          <w:tcPr>
            <w:tcW w:w="4877" w:type="dxa"/>
            <w:tcBorders>
              <w:bottom w:val="nil"/>
            </w:tcBorders>
          </w:tcPr>
          <w:p w14:paraId="7312503C" w14:textId="77777777" w:rsidR="001528F2" w:rsidRPr="00E1253B" w:rsidRDefault="001528F2" w:rsidP="00DA75E5">
            <w:pPr>
              <w:pStyle w:val="Agbodytext"/>
              <w:rPr>
                <w:rStyle w:val="Heading1Char"/>
                <w:rFonts w:ascii="VIC" w:hAnsi="VIC"/>
              </w:rPr>
            </w:pPr>
            <w:r w:rsidRPr="00E1253B">
              <w:rPr>
                <w:rStyle w:val="Heading1Char"/>
                <w:rFonts w:ascii="VIC" w:hAnsi="VIC"/>
              </w:rPr>
              <w:t>Accessibility</w:t>
            </w:r>
          </w:p>
        </w:tc>
      </w:tr>
      <w:tr w:rsidR="001528F2" w:rsidRPr="00E1253B" w14:paraId="7788F877" w14:textId="77777777" w:rsidTr="000F073F">
        <w:tc>
          <w:tcPr>
            <w:tcW w:w="4877" w:type="dxa"/>
            <w:tcBorders>
              <w:top w:val="nil"/>
              <w:bottom w:val="single" w:sz="4" w:space="0" w:color="auto"/>
            </w:tcBorders>
          </w:tcPr>
          <w:p w14:paraId="44E6DF78" w14:textId="14A84200" w:rsidR="001528F2" w:rsidRPr="00E1253B" w:rsidRDefault="001528F2" w:rsidP="00DA75E5">
            <w:pPr>
              <w:pStyle w:val="Agbodytext"/>
              <w:rPr>
                <w:rFonts w:ascii="VIC" w:hAnsi="VIC"/>
              </w:rPr>
            </w:pPr>
            <w:r w:rsidRPr="00E1253B">
              <w:rPr>
                <w:rFonts w:ascii="VIC" w:hAnsi="VIC"/>
              </w:rPr>
              <w:t>If you would like to receive this publication in an accessible format, please telephone</w:t>
            </w:r>
            <w:r w:rsidR="00E1253B" w:rsidRPr="00E1253B">
              <w:rPr>
                <w:rFonts w:ascii="VIC" w:hAnsi="VIC"/>
              </w:rPr>
              <w:t xml:space="preserve"> Agriculture Victoria on 1300 502 656.</w:t>
            </w:r>
            <w:r w:rsidRPr="00E1253B">
              <w:rPr>
                <w:rFonts w:ascii="VIC" w:hAnsi="VIC"/>
                <w:color w:val="FF0000"/>
              </w:rPr>
              <w:t xml:space="preserve"> </w:t>
            </w:r>
          </w:p>
          <w:p w14:paraId="6817E3BF" w14:textId="7A3FF32F" w:rsidR="001528F2" w:rsidRPr="00E1253B" w:rsidRDefault="001528F2" w:rsidP="00DA75E5">
            <w:pPr>
              <w:pStyle w:val="Agbodytext"/>
              <w:rPr>
                <w:rStyle w:val="Heading1Char"/>
                <w:rFonts w:ascii="VIC" w:hAnsi="VIC"/>
              </w:rPr>
            </w:pPr>
            <w:r w:rsidRPr="00E1253B">
              <w:rPr>
                <w:rFonts w:ascii="VIC" w:hAnsi="VIC"/>
              </w:rPr>
              <w:t>This document is also available in</w:t>
            </w:r>
            <w:r w:rsidR="00E1253B" w:rsidRPr="00E1253B">
              <w:rPr>
                <w:rFonts w:ascii="VIC" w:hAnsi="VIC"/>
              </w:rPr>
              <w:t xml:space="preserve"> PDF and</w:t>
            </w:r>
            <w:r w:rsidRPr="00E1253B">
              <w:rPr>
                <w:rFonts w:ascii="VIC" w:hAnsi="VIC"/>
              </w:rPr>
              <w:t xml:space="preserve"> Word format at </w:t>
            </w:r>
            <w:hyperlink r:id="rId15" w:history="1">
              <w:r w:rsidR="00E1253B" w:rsidRPr="00E1253B">
                <w:rPr>
                  <w:rStyle w:val="Hyperlink"/>
                  <w:rFonts w:ascii="VIC" w:hAnsi="VIC"/>
                </w:rPr>
                <w:t>www.agriculture.vic.gov.au/chemicals</w:t>
              </w:r>
            </w:hyperlink>
            <w:r w:rsidR="00E1253B" w:rsidRPr="00E1253B">
              <w:rPr>
                <w:rFonts w:ascii="VIC" w:hAnsi="VIC"/>
              </w:rPr>
              <w:t xml:space="preserve"> </w:t>
            </w:r>
            <w:r w:rsidRPr="00E1253B">
              <w:rPr>
                <w:rFonts w:ascii="VIC" w:hAnsi="VIC"/>
              </w:rPr>
              <w:t xml:space="preserve"> </w:t>
            </w:r>
          </w:p>
        </w:tc>
      </w:tr>
    </w:tbl>
    <w:p w14:paraId="5CB0E484" w14:textId="77777777" w:rsidR="001528F2" w:rsidRPr="00E1253B" w:rsidRDefault="001528F2" w:rsidP="00DA75E5">
      <w:pPr>
        <w:pStyle w:val="Agbodytext"/>
        <w:rPr>
          <w:rFonts w:ascii="VIC" w:hAnsi="VIC"/>
        </w:rPr>
      </w:pPr>
    </w:p>
    <w:p w14:paraId="093B7C64" w14:textId="77777777" w:rsidR="001528F2" w:rsidRPr="00E1253B" w:rsidRDefault="001528F2" w:rsidP="00DA75E5">
      <w:pPr>
        <w:pStyle w:val="Agbodytext"/>
        <w:rPr>
          <w:rFonts w:ascii="VIC" w:hAnsi="VIC"/>
        </w:rPr>
      </w:pPr>
    </w:p>
    <w:sectPr w:rsidR="001528F2" w:rsidRPr="00E1253B" w:rsidSect="00E9080D">
      <w:type w:val="continuous"/>
      <w:pgSz w:w="11900" w:h="16840"/>
      <w:pgMar w:top="1701"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987A" w14:textId="77777777" w:rsidR="00067716" w:rsidRDefault="00067716" w:rsidP="008954B2">
      <w:r>
        <w:separator/>
      </w:r>
    </w:p>
  </w:endnote>
  <w:endnote w:type="continuationSeparator" w:id="0">
    <w:p w14:paraId="64778FCF" w14:textId="77777777" w:rsidR="00067716" w:rsidRDefault="0006771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auto"/>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Helvetica-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D205" w14:textId="77777777" w:rsidR="005A218B" w:rsidRDefault="005A2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184F" w14:textId="77777777" w:rsidR="005A218B" w:rsidRDefault="005A2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9575" w14:textId="77777777" w:rsidR="005A218B" w:rsidRDefault="005A2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8075F" w14:textId="77777777" w:rsidR="00067716" w:rsidRDefault="00067716" w:rsidP="008954B2">
      <w:r>
        <w:separator/>
      </w:r>
    </w:p>
  </w:footnote>
  <w:footnote w:type="continuationSeparator" w:id="0">
    <w:p w14:paraId="3CAA330E" w14:textId="77777777" w:rsidR="00067716" w:rsidRDefault="00067716"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DC38" w14:textId="77777777" w:rsidR="005A218B" w:rsidRDefault="005A21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71CE" w14:textId="77777777" w:rsidR="00306B4E" w:rsidRDefault="00FF3B94" w:rsidP="00EF3DC4">
    <w:pPr>
      <w:pStyle w:val="Agtitle"/>
    </w:pPr>
    <w:r>
      <w:rPr>
        <w:noProof/>
        <w:lang w:val="en-AU" w:eastAsia="en-AU"/>
      </w:rPr>
      <w:drawing>
        <wp:anchor distT="0" distB="0" distL="114300" distR="114300" simplePos="0" relativeHeight="251661824" behindDoc="1" locked="0" layoutInCell="1" allowOverlap="1" wp14:anchorId="7CFC369D" wp14:editId="72C810C7">
          <wp:simplePos x="0" y="0"/>
          <wp:positionH relativeFrom="page">
            <wp:align>center</wp:align>
          </wp:positionH>
          <wp:positionV relativeFrom="page">
            <wp:align>top</wp:align>
          </wp:positionV>
          <wp:extent cx="7560000" cy="106856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A510" w14:textId="0110DFFA" w:rsidR="00147114" w:rsidRDefault="00E1253B" w:rsidP="00E1253B">
    <w:pPr>
      <w:pStyle w:val="Header"/>
      <w:spacing w:line="240" w:lineRule="auto"/>
    </w:pPr>
    <w:r>
      <w:rPr>
        <w:noProof/>
        <w:lang w:val="en-AU" w:eastAsia="en-AU"/>
      </w:rPr>
      <w:drawing>
        <wp:anchor distT="0" distB="0" distL="114300" distR="114300" simplePos="0" relativeHeight="251650048" behindDoc="1" locked="0" layoutInCell="1" allowOverlap="1" wp14:anchorId="56A2CA17" wp14:editId="68C55BA5">
          <wp:simplePos x="0" y="0"/>
          <wp:positionH relativeFrom="page">
            <wp:posOffset>5438775</wp:posOffset>
          </wp:positionH>
          <wp:positionV relativeFrom="paragraph">
            <wp:posOffset>-221615</wp:posOffset>
          </wp:positionV>
          <wp:extent cx="1945005" cy="243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45005" cy="2438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6432" behindDoc="1" locked="0" layoutInCell="1" allowOverlap="1" wp14:anchorId="0038AA4B" wp14:editId="6BF6D416">
          <wp:simplePos x="0" y="0"/>
          <wp:positionH relativeFrom="page">
            <wp:posOffset>-1270</wp:posOffset>
          </wp:positionH>
          <wp:positionV relativeFrom="page">
            <wp:align>top</wp:align>
          </wp:positionV>
          <wp:extent cx="7559675" cy="10685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10.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77491"/>
    <w:multiLevelType w:val="hybridMultilevel"/>
    <w:tmpl w:val="2278CAFC"/>
    <w:lvl w:ilvl="0" w:tplc="B196685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8"/>
  </w:num>
  <w:num w:numId="14">
    <w:abstractNumId w:val="17"/>
  </w:num>
  <w:num w:numId="15">
    <w:abstractNumId w:val="14"/>
  </w:num>
  <w:num w:numId="16">
    <w:abstractNumId w:val="12"/>
  </w:num>
  <w:num w:numId="17">
    <w:abstractNumId w:val="13"/>
  </w:num>
  <w:num w:numId="18">
    <w:abstractNumId w:val="15"/>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3B"/>
    <w:rsid w:val="000043D9"/>
    <w:rsid w:val="0002784E"/>
    <w:rsid w:val="000356FF"/>
    <w:rsid w:val="00044589"/>
    <w:rsid w:val="00051E50"/>
    <w:rsid w:val="00055C19"/>
    <w:rsid w:val="00064372"/>
    <w:rsid w:val="00067716"/>
    <w:rsid w:val="00081FFD"/>
    <w:rsid w:val="000909F0"/>
    <w:rsid w:val="000C35AB"/>
    <w:rsid w:val="000C4A86"/>
    <w:rsid w:val="00133657"/>
    <w:rsid w:val="00147114"/>
    <w:rsid w:val="001528F2"/>
    <w:rsid w:val="001731CD"/>
    <w:rsid w:val="0018080B"/>
    <w:rsid w:val="00180AE6"/>
    <w:rsid w:val="00206C78"/>
    <w:rsid w:val="00257C7B"/>
    <w:rsid w:val="00262B0D"/>
    <w:rsid w:val="00275313"/>
    <w:rsid w:val="00283833"/>
    <w:rsid w:val="002B0C9A"/>
    <w:rsid w:val="002B4D9E"/>
    <w:rsid w:val="002C32CA"/>
    <w:rsid w:val="002C59A9"/>
    <w:rsid w:val="002D7AB3"/>
    <w:rsid w:val="00302808"/>
    <w:rsid w:val="00306B4E"/>
    <w:rsid w:val="00320B43"/>
    <w:rsid w:val="00321F07"/>
    <w:rsid w:val="003772F4"/>
    <w:rsid w:val="003825E7"/>
    <w:rsid w:val="003959CF"/>
    <w:rsid w:val="00397B9B"/>
    <w:rsid w:val="003A0AFB"/>
    <w:rsid w:val="003A0C46"/>
    <w:rsid w:val="003A2768"/>
    <w:rsid w:val="003A63C5"/>
    <w:rsid w:val="003B4217"/>
    <w:rsid w:val="003B79F8"/>
    <w:rsid w:val="003C2E56"/>
    <w:rsid w:val="003C4A74"/>
    <w:rsid w:val="003D032C"/>
    <w:rsid w:val="003E59F9"/>
    <w:rsid w:val="003E5BE6"/>
    <w:rsid w:val="003F24C6"/>
    <w:rsid w:val="003F7E76"/>
    <w:rsid w:val="00403238"/>
    <w:rsid w:val="00416217"/>
    <w:rsid w:val="004413BF"/>
    <w:rsid w:val="00445648"/>
    <w:rsid w:val="00480133"/>
    <w:rsid w:val="004A2968"/>
    <w:rsid w:val="004C7965"/>
    <w:rsid w:val="00513ECB"/>
    <w:rsid w:val="005465E1"/>
    <w:rsid w:val="00554F44"/>
    <w:rsid w:val="005715B8"/>
    <w:rsid w:val="0058660F"/>
    <w:rsid w:val="00587DC0"/>
    <w:rsid w:val="00590E4A"/>
    <w:rsid w:val="005A0417"/>
    <w:rsid w:val="005A218B"/>
    <w:rsid w:val="005D35C4"/>
    <w:rsid w:val="005D37DA"/>
    <w:rsid w:val="005D47E6"/>
    <w:rsid w:val="005D6D23"/>
    <w:rsid w:val="005D735D"/>
    <w:rsid w:val="005E07E2"/>
    <w:rsid w:val="005E1BFE"/>
    <w:rsid w:val="005F5A62"/>
    <w:rsid w:val="00616EBF"/>
    <w:rsid w:val="00624BBC"/>
    <w:rsid w:val="006351F3"/>
    <w:rsid w:val="00637655"/>
    <w:rsid w:val="006522BA"/>
    <w:rsid w:val="0066292A"/>
    <w:rsid w:val="00694091"/>
    <w:rsid w:val="006A6409"/>
    <w:rsid w:val="006D07C3"/>
    <w:rsid w:val="007219EC"/>
    <w:rsid w:val="0073577E"/>
    <w:rsid w:val="0074385E"/>
    <w:rsid w:val="00763A68"/>
    <w:rsid w:val="00775C11"/>
    <w:rsid w:val="0078723B"/>
    <w:rsid w:val="00792085"/>
    <w:rsid w:val="007B337E"/>
    <w:rsid w:val="007B43D8"/>
    <w:rsid w:val="007F15A1"/>
    <w:rsid w:val="007F610A"/>
    <w:rsid w:val="00833E2D"/>
    <w:rsid w:val="0084769C"/>
    <w:rsid w:val="00854F49"/>
    <w:rsid w:val="0086129D"/>
    <w:rsid w:val="008736D3"/>
    <w:rsid w:val="008839A8"/>
    <w:rsid w:val="00886DB5"/>
    <w:rsid w:val="008954B2"/>
    <w:rsid w:val="008B3D9D"/>
    <w:rsid w:val="008B7B9E"/>
    <w:rsid w:val="008C3756"/>
    <w:rsid w:val="008C5966"/>
    <w:rsid w:val="008D04F6"/>
    <w:rsid w:val="00901EEA"/>
    <w:rsid w:val="0093666F"/>
    <w:rsid w:val="00980445"/>
    <w:rsid w:val="009A3F3E"/>
    <w:rsid w:val="009A6C18"/>
    <w:rsid w:val="009B5914"/>
    <w:rsid w:val="009D2F90"/>
    <w:rsid w:val="009D6336"/>
    <w:rsid w:val="009E093A"/>
    <w:rsid w:val="00A038AC"/>
    <w:rsid w:val="00A1528A"/>
    <w:rsid w:val="00A216B7"/>
    <w:rsid w:val="00A314C5"/>
    <w:rsid w:val="00A47C38"/>
    <w:rsid w:val="00A80AF4"/>
    <w:rsid w:val="00A93FB6"/>
    <w:rsid w:val="00AB7D71"/>
    <w:rsid w:val="00AC66FC"/>
    <w:rsid w:val="00AE116E"/>
    <w:rsid w:val="00AE78E9"/>
    <w:rsid w:val="00AF10AD"/>
    <w:rsid w:val="00B01D4C"/>
    <w:rsid w:val="00B179B3"/>
    <w:rsid w:val="00B347F1"/>
    <w:rsid w:val="00B43DB8"/>
    <w:rsid w:val="00B47936"/>
    <w:rsid w:val="00B47C50"/>
    <w:rsid w:val="00B54184"/>
    <w:rsid w:val="00B67908"/>
    <w:rsid w:val="00B7028A"/>
    <w:rsid w:val="00BA610B"/>
    <w:rsid w:val="00BC7343"/>
    <w:rsid w:val="00BD58AD"/>
    <w:rsid w:val="00BD5E36"/>
    <w:rsid w:val="00C01CFE"/>
    <w:rsid w:val="00C124F1"/>
    <w:rsid w:val="00C14E78"/>
    <w:rsid w:val="00C21C0E"/>
    <w:rsid w:val="00C433B1"/>
    <w:rsid w:val="00C44299"/>
    <w:rsid w:val="00C45B22"/>
    <w:rsid w:val="00C47AB8"/>
    <w:rsid w:val="00C521A4"/>
    <w:rsid w:val="00C73391"/>
    <w:rsid w:val="00CA63CF"/>
    <w:rsid w:val="00CB42CF"/>
    <w:rsid w:val="00CD0EC4"/>
    <w:rsid w:val="00CD566D"/>
    <w:rsid w:val="00CF0624"/>
    <w:rsid w:val="00D1157B"/>
    <w:rsid w:val="00D33A77"/>
    <w:rsid w:val="00D35FD8"/>
    <w:rsid w:val="00D4734E"/>
    <w:rsid w:val="00D55D23"/>
    <w:rsid w:val="00D86F46"/>
    <w:rsid w:val="00DA75E5"/>
    <w:rsid w:val="00DB0A7B"/>
    <w:rsid w:val="00DB0DD1"/>
    <w:rsid w:val="00DC3C90"/>
    <w:rsid w:val="00DD35EE"/>
    <w:rsid w:val="00DE4095"/>
    <w:rsid w:val="00DF01D4"/>
    <w:rsid w:val="00E1253B"/>
    <w:rsid w:val="00E1782D"/>
    <w:rsid w:val="00E21EE4"/>
    <w:rsid w:val="00E55B1A"/>
    <w:rsid w:val="00E565FB"/>
    <w:rsid w:val="00E713AB"/>
    <w:rsid w:val="00E833BA"/>
    <w:rsid w:val="00E9080D"/>
    <w:rsid w:val="00EC56EC"/>
    <w:rsid w:val="00EF3DC4"/>
    <w:rsid w:val="00F03CE4"/>
    <w:rsid w:val="00F069A0"/>
    <w:rsid w:val="00F15010"/>
    <w:rsid w:val="00F17723"/>
    <w:rsid w:val="00F2791C"/>
    <w:rsid w:val="00F3298D"/>
    <w:rsid w:val="00F42C67"/>
    <w:rsid w:val="00F6072B"/>
    <w:rsid w:val="00F60A82"/>
    <w:rsid w:val="00F63690"/>
    <w:rsid w:val="00F71FEF"/>
    <w:rsid w:val="00F7492C"/>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1B8B8"/>
  <w15:docId w15:val="{F11598DA-42BF-435C-97DF-42384D0D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A75E5"/>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152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DA75E5"/>
  </w:style>
  <w:style w:type="paragraph" w:customStyle="1" w:styleId="Agbulletlist">
    <w:name w:val="Ag bullet list"/>
    <w:basedOn w:val="Normal"/>
    <w:qFormat/>
    <w:rsid w:val="00DA75E5"/>
    <w:pPr>
      <w:numPr>
        <w:numId w:val="13"/>
      </w:numPr>
    </w:pPr>
  </w:style>
  <w:style w:type="paragraph" w:customStyle="1" w:styleId="instructions">
    <w:name w:val="instructions"/>
    <w:basedOn w:val="Normal"/>
    <w:link w:val="instructionsChar"/>
    <w:qFormat/>
    <w:rsid w:val="005465E1"/>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5465E1"/>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A216B7"/>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A216B7"/>
    <w:rPr>
      <w:rFonts w:ascii="Arial" w:eastAsia="Times New Roman" w:hAnsi="Arial" w:cs="Times New Roman"/>
      <w:sz w:val="18"/>
      <w:szCs w:val="20"/>
      <w:lang w:val="en-AU"/>
    </w:rPr>
  </w:style>
  <w:style w:type="paragraph" w:customStyle="1" w:styleId="Bodybullet">
    <w:name w:val="Body bullet"/>
    <w:basedOn w:val="Normal"/>
    <w:rsid w:val="00A216B7"/>
    <w:pPr>
      <w:numPr>
        <w:numId w:val="16"/>
      </w:numPr>
      <w:spacing w:after="0" w:line="240" w:lineRule="auto"/>
    </w:pPr>
    <w:rPr>
      <w:rFonts w:cs="ArialMT"/>
      <w:color w:val="53565A"/>
      <w:szCs w:val="18"/>
    </w:rPr>
  </w:style>
  <w:style w:type="paragraph" w:customStyle="1" w:styleId="Default">
    <w:name w:val="Default"/>
    <w:rsid w:val="00E1253B"/>
    <w:pPr>
      <w:autoSpaceDE w:val="0"/>
      <w:autoSpaceDN w:val="0"/>
      <w:adjustRightInd w:val="0"/>
    </w:pPr>
    <w:rPr>
      <w:rFonts w:ascii="Arial" w:hAnsi="Arial" w:cs="Arial"/>
      <w:color w:val="000000"/>
      <w:lang w:val="en-AU"/>
    </w:rPr>
  </w:style>
  <w:style w:type="paragraph" w:styleId="Caption">
    <w:name w:val="caption"/>
    <w:basedOn w:val="Normal"/>
    <w:next w:val="Normal"/>
    <w:uiPriority w:val="35"/>
    <w:unhideWhenUsed/>
    <w:qFormat/>
    <w:rsid w:val="00E1253B"/>
    <w:pPr>
      <w:spacing w:after="200" w:line="240" w:lineRule="auto"/>
    </w:pPr>
    <w:rPr>
      <w:i/>
      <w:iCs/>
      <w:color w:val="44546A" w:themeColor="text2"/>
      <w:szCs w:val="18"/>
    </w:rPr>
  </w:style>
  <w:style w:type="character" w:styleId="Hyperlink">
    <w:name w:val="Hyperlink"/>
    <w:basedOn w:val="DefaultParagraphFont"/>
    <w:uiPriority w:val="99"/>
    <w:unhideWhenUsed/>
    <w:rsid w:val="00E1253B"/>
    <w:rPr>
      <w:color w:val="0563C1" w:themeColor="hyperlink"/>
      <w:u w:val="single"/>
    </w:rPr>
  </w:style>
  <w:style w:type="character" w:styleId="UnresolvedMention">
    <w:name w:val="Unresolved Mention"/>
    <w:basedOn w:val="DefaultParagraphFont"/>
    <w:uiPriority w:val="99"/>
    <w:rsid w:val="00E12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griculture.vic.gov.au/chemicals" TargetMode="Externa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18\OneDrive%20-%20VicGov\AgVic%20Templates\Factsheet%20green%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6112DD87D2F8544A6EFA01EA969694F" ma:contentTypeVersion="28" ma:contentTypeDescription="DEDJTR Document" ma:contentTypeScope="" ma:versionID="614295af22d63860aadf7711052e2b0c">
  <xsd:schema xmlns:xsd="http://www.w3.org/2001/XMLSchema" xmlns:xs="http://www.w3.org/2001/XMLSchema" xmlns:p="http://schemas.microsoft.com/office/2006/metadata/properties" xmlns:ns2="1970f3ff-c7c3-4b73-8f0c-0bc260d159f3" xmlns:ns3="7ced9e6b-4cde-4b18-ab0a-09af9921cd59" xmlns:ns4="186498dc-40ef-4a29-afc2-fee3124c2536" targetNamespace="http://schemas.microsoft.com/office/2006/metadata/properties" ma:root="true" ma:fieldsID="c32045872ce2d47d54fbdc3780adf1a3" ns2:_="" ns3:_="" ns4:_="">
    <xsd:import namespace="1970f3ff-c7c3-4b73-8f0c-0bc260d159f3"/>
    <xsd:import namespace="7ced9e6b-4cde-4b18-ab0a-09af9921cd59"/>
    <xsd:import namespace="186498dc-40ef-4a29-afc2-fee3124c253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ed9e6b-4cde-4b18-ab0a-09af9921cd5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ad0ed86-2f50-4942-8c2a-a6502348d160}" ma:internalName="TaxCatchAll" ma:showField="CatchAllData"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ad0ed86-2f50-4942-8c2a-a6502348d160}" ma:internalName="TaxCatchAllLabel" ma:readOnly="true" ma:showField="CatchAllDataLabel"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6498dc-40ef-4a29-afc2-fee3124c253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_dlc_DocId xmlns="7ced9e6b-4cde-4b18-ab0a-09af9921cd59">BASPCI-1074048661-228115</_dlc_DocId>
    <lf5681727d5b4cc1a5c417fcf66e2a7b xmlns="1970f3ff-c7c3-4b73-8f0c-0bc260d159f3">
      <Terms xmlns="http://schemas.microsoft.com/office/infopath/2007/PartnerControls"/>
    </lf5681727d5b4cc1a5c417fcf66e2a7b>
    <lcf76f155ced4ddcb4097134ff3c332f xmlns="186498dc-40ef-4a29-afc2-fee3124c2536">
      <Terms xmlns="http://schemas.microsoft.com/office/infopath/2007/PartnerControls"/>
    </lcf76f155ced4ddcb4097134ff3c332f>
    <TaxCatchAll xmlns="7ced9e6b-4cde-4b18-ab0a-09af9921cd59">
      <Value>2</Value>
      <Value>1</Value>
    </TaxCatchAll>
    <p31afe295eb448f092f13ab8c2af2c33 xmlns="1970f3ff-c7c3-4b73-8f0c-0bc260d159f3">
      <Terms xmlns="http://schemas.microsoft.com/office/infopath/2007/PartnerControls"/>
    </p31afe295eb448f092f13ab8c2af2c33>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hcae176ec3a54dbeadeeec1b38baec58 xmlns="1970f3ff-c7c3-4b73-8f0c-0bc260d159f3">
      <Terms xmlns="http://schemas.microsoft.com/office/infopath/2007/PartnerControls"/>
    </hcae176ec3a54dbeadeeec1b38baec58>
    <_dlc_DocIdUrl xmlns="7ced9e6b-4cde-4b18-ab0a-09af9921cd59">
      <Url>https://vicgov.sharepoint.com/sites/VG000464/_layouts/15/DocIdRedir.aspx?ID=BASPCI-1074048661-228115</Url>
      <Description>BASPCI-1074048661-228115</Description>
    </_dlc_DocIdUrl>
  </documentManagement>
</p:properties>
</file>

<file path=customXml/itemProps1.xml><?xml version="1.0" encoding="utf-8"?>
<ds:datastoreItem xmlns:ds="http://schemas.openxmlformats.org/officeDocument/2006/customXml" ds:itemID="{0154D212-17F3-9C4D-B2EE-C952F3187A32}">
  <ds:schemaRefs>
    <ds:schemaRef ds:uri="http://schemas.openxmlformats.org/officeDocument/2006/bibliography"/>
  </ds:schemaRefs>
</ds:datastoreItem>
</file>

<file path=customXml/itemProps2.xml><?xml version="1.0" encoding="utf-8"?>
<ds:datastoreItem xmlns:ds="http://schemas.openxmlformats.org/officeDocument/2006/customXml" ds:itemID="{B870EF02-39AF-4AD0-9B2C-21DC3CDCB54C}"/>
</file>

<file path=customXml/itemProps3.xml><?xml version="1.0" encoding="utf-8"?>
<ds:datastoreItem xmlns:ds="http://schemas.openxmlformats.org/officeDocument/2006/customXml" ds:itemID="{59DCAA4D-633C-4735-A932-98F8B1C7E2CF}"/>
</file>

<file path=customXml/itemProps4.xml><?xml version="1.0" encoding="utf-8"?>
<ds:datastoreItem xmlns:ds="http://schemas.openxmlformats.org/officeDocument/2006/customXml" ds:itemID="{3E16438E-7B9C-4E95-B66D-B358CF930D98}"/>
</file>

<file path=customXml/itemProps5.xml><?xml version="1.0" encoding="utf-8"?>
<ds:datastoreItem xmlns:ds="http://schemas.openxmlformats.org/officeDocument/2006/customXml" ds:itemID="{E634F56F-0E95-4761-9F99-60F3EA8F70A1}"/>
</file>

<file path=docProps/app.xml><?xml version="1.0" encoding="utf-8"?>
<Properties xmlns="http://schemas.openxmlformats.org/officeDocument/2006/extended-properties" xmlns:vt="http://schemas.openxmlformats.org/officeDocument/2006/docPropsVTypes">
  <Template>Factsheet green image.dotx</Template>
  <TotalTime>60</TotalTime>
  <Pages>3</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L Collin (DJPR)</dc:creator>
  <cp:lastModifiedBy>Jane L Collin (DJPR)</cp:lastModifiedBy>
  <cp:revision>43</cp:revision>
  <cp:lastPrinted>2022-08-11T02:51:00Z</cp:lastPrinted>
  <dcterms:created xsi:type="dcterms:W3CDTF">2022-08-11T03:01:00Z</dcterms:created>
  <dcterms:modified xsi:type="dcterms:W3CDTF">2022-08-11T04:57:00Z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0x010100611F6414DFB111E7BA88F9DF1743E31700F6112DD87D2F8544A6EFA01EA969694F</vt:lpwstr>
  </property>
  <property fmtid="{D5CDD505-2E9C-101B-9397-08002B2CF9AE}" pid="6" name="_dlc_DocIdItemGuid">
    <vt:lpwstr>26422a56-75e6-4177-879a-cd0a2e65f81d</vt:lpwstr>
  </property>
  <property fmtid="{D5CDD505-2E9C-101B-9397-08002B2CF9AE}" pid="7" name="DEDJTRGroup">
    <vt:lpwstr>1;#Employment Investment and Trade|55ce1999-68b6-4f37-bdce-009ad410cd2a</vt:lpwstr>
  </property>
  <property fmtid="{D5CDD505-2E9C-101B-9397-08002B2CF9AE}" pid="8" name="DEDJTRSecurityClassification">
    <vt:lpwstr/>
  </property>
  <property fmtid="{D5CDD505-2E9C-101B-9397-08002B2CF9AE}" pid="9" name="DEDJTRDivision">
    <vt:lpwstr>2;#Agriculture Victoria|aa595c92-527f-46eb-8130-f23c3634d9e6</vt:lpwstr>
  </property>
</Properties>
</file>