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E8E3" w14:textId="59CE9558" w:rsidR="00776822" w:rsidRPr="00776822" w:rsidRDefault="00066779" w:rsidP="00247A8E">
      <w:pPr>
        <w:spacing w:after="0" w:line="240" w:lineRule="auto"/>
        <w:rPr>
          <w:b/>
          <w:sz w:val="28"/>
          <w:szCs w:val="28"/>
        </w:rPr>
      </w:pPr>
      <w:r>
        <w:rPr>
          <w:b/>
          <w:sz w:val="28"/>
          <w:szCs w:val="28"/>
        </w:rPr>
        <w:t>Exploring options for</w:t>
      </w:r>
      <w:r w:rsidRPr="00776822">
        <w:rPr>
          <w:b/>
          <w:sz w:val="28"/>
          <w:szCs w:val="28"/>
        </w:rPr>
        <w:t xml:space="preserve"> </w:t>
      </w:r>
      <w:r w:rsidR="00776822" w:rsidRPr="00776822">
        <w:rPr>
          <w:b/>
          <w:sz w:val="28"/>
          <w:szCs w:val="28"/>
        </w:rPr>
        <w:t xml:space="preserve">a National Horse Traceability System </w:t>
      </w:r>
    </w:p>
    <w:p w14:paraId="500D9CCB" w14:textId="32C478CF" w:rsidR="00776822" w:rsidRDefault="00776822" w:rsidP="00247A8E">
      <w:pPr>
        <w:spacing w:after="0" w:line="240" w:lineRule="auto"/>
      </w:pPr>
    </w:p>
    <w:p w14:paraId="365B6D86" w14:textId="3EA0B5F7" w:rsidR="00776822" w:rsidRDefault="000F1BDD" w:rsidP="00247A8E">
      <w:pPr>
        <w:spacing w:after="0" w:line="240" w:lineRule="auto"/>
      </w:pPr>
      <w:r>
        <w:t>December</w:t>
      </w:r>
      <w:r w:rsidR="00776822">
        <w:t xml:space="preserve"> 2022</w:t>
      </w:r>
    </w:p>
    <w:p w14:paraId="580EDD9C" w14:textId="3EAF5C3C" w:rsidR="00776822" w:rsidRDefault="00776822" w:rsidP="00247A8E">
      <w:pPr>
        <w:spacing w:after="0" w:line="240" w:lineRule="auto"/>
      </w:pPr>
    </w:p>
    <w:p w14:paraId="3B6D32FA" w14:textId="04B8DD73" w:rsidR="00776822" w:rsidRPr="00776822" w:rsidRDefault="00776822" w:rsidP="00247A8E">
      <w:pPr>
        <w:spacing w:after="0" w:line="240" w:lineRule="auto"/>
        <w:rPr>
          <w:b/>
        </w:rPr>
      </w:pPr>
      <w:r w:rsidRPr="00776822">
        <w:rPr>
          <w:b/>
        </w:rPr>
        <w:t>Background</w:t>
      </w:r>
    </w:p>
    <w:p w14:paraId="0BB1013E" w14:textId="02451D91" w:rsidR="00E40CB5" w:rsidRDefault="00D20A82" w:rsidP="00D20A82">
      <w:pPr>
        <w:spacing w:after="0" w:line="240" w:lineRule="auto"/>
        <w:rPr>
          <w:lang w:eastAsia="en-AU"/>
        </w:rPr>
      </w:pPr>
      <w:r w:rsidRPr="00DA75C3">
        <w:rPr>
          <w:lang w:eastAsia="en-AU"/>
        </w:rPr>
        <w:t xml:space="preserve">Horses can act as vectors </w:t>
      </w:r>
      <w:r w:rsidR="00066779">
        <w:rPr>
          <w:lang w:eastAsia="en-AU"/>
        </w:rPr>
        <w:t>spreading</w:t>
      </w:r>
      <w:r w:rsidRPr="00DA75C3">
        <w:rPr>
          <w:lang w:eastAsia="en-AU"/>
        </w:rPr>
        <w:t xml:space="preserve"> diseases such as </w:t>
      </w:r>
      <w:r w:rsidR="00066779">
        <w:rPr>
          <w:lang w:eastAsia="en-AU"/>
        </w:rPr>
        <w:t>e</w:t>
      </w:r>
      <w:r w:rsidRPr="00DA75C3">
        <w:rPr>
          <w:lang w:eastAsia="en-AU"/>
        </w:rPr>
        <w:t xml:space="preserve">quine </w:t>
      </w:r>
      <w:r w:rsidR="00066779">
        <w:rPr>
          <w:lang w:eastAsia="en-AU"/>
        </w:rPr>
        <w:t>i</w:t>
      </w:r>
      <w:r w:rsidRPr="00DA75C3">
        <w:rPr>
          <w:lang w:eastAsia="en-AU"/>
        </w:rPr>
        <w:t>nfluenza, Hendra</w:t>
      </w:r>
      <w:r w:rsidR="00066779">
        <w:rPr>
          <w:lang w:eastAsia="en-AU"/>
        </w:rPr>
        <w:t xml:space="preserve"> virus</w:t>
      </w:r>
      <w:r w:rsidRPr="00DA75C3">
        <w:rPr>
          <w:lang w:eastAsia="en-AU"/>
        </w:rPr>
        <w:t xml:space="preserve"> and </w:t>
      </w:r>
      <w:r w:rsidR="00066779">
        <w:rPr>
          <w:lang w:eastAsia="en-AU"/>
        </w:rPr>
        <w:t>v</w:t>
      </w:r>
      <w:r w:rsidRPr="00DA75C3">
        <w:rPr>
          <w:lang w:eastAsia="en-AU"/>
        </w:rPr>
        <w:t xml:space="preserve">esicular </w:t>
      </w:r>
      <w:r w:rsidR="00066779">
        <w:rPr>
          <w:lang w:eastAsia="en-AU"/>
        </w:rPr>
        <w:t>s</w:t>
      </w:r>
      <w:r w:rsidRPr="00DA75C3">
        <w:rPr>
          <w:lang w:eastAsia="en-AU"/>
        </w:rPr>
        <w:t>tomatitis that</w:t>
      </w:r>
      <w:r w:rsidR="00E40CB5">
        <w:rPr>
          <w:lang w:eastAsia="en-AU"/>
        </w:rPr>
        <w:t xml:space="preserve"> can</w:t>
      </w:r>
      <w:r w:rsidRPr="00DA75C3">
        <w:rPr>
          <w:lang w:eastAsia="en-AU"/>
        </w:rPr>
        <w:t xml:space="preserve"> have significant </w:t>
      </w:r>
      <w:r w:rsidR="007C5E15">
        <w:rPr>
          <w:lang w:eastAsia="en-AU"/>
        </w:rPr>
        <w:t>economic</w:t>
      </w:r>
      <w:r w:rsidRPr="00DA75C3">
        <w:rPr>
          <w:lang w:eastAsia="en-AU"/>
        </w:rPr>
        <w:t xml:space="preserve"> and human health impacts.</w:t>
      </w:r>
      <w:r>
        <w:rPr>
          <w:lang w:eastAsia="en-AU"/>
        </w:rPr>
        <w:t xml:space="preserve"> In the event of an emergency animal disease outbreak, it is essential </w:t>
      </w:r>
      <w:r w:rsidR="007C5E15">
        <w:rPr>
          <w:lang w:eastAsia="en-AU"/>
        </w:rPr>
        <w:t xml:space="preserve">that horses that may have been exposed are able to be </w:t>
      </w:r>
      <w:r>
        <w:rPr>
          <w:lang w:eastAsia="en-AU"/>
        </w:rPr>
        <w:t>quickly and reliably locate</w:t>
      </w:r>
      <w:r w:rsidR="007C5E15">
        <w:rPr>
          <w:lang w:eastAsia="en-AU"/>
        </w:rPr>
        <w:t>d</w:t>
      </w:r>
      <w:r w:rsidR="004463AE">
        <w:rPr>
          <w:lang w:eastAsia="en-AU"/>
        </w:rPr>
        <w:t xml:space="preserve"> </w:t>
      </w:r>
      <w:r w:rsidR="004463AE">
        <w:t>with the ability to contact the relevant carer/person in charge</w:t>
      </w:r>
      <w:r>
        <w:rPr>
          <w:lang w:eastAsia="en-AU"/>
        </w:rPr>
        <w:t xml:space="preserve">. </w:t>
      </w:r>
    </w:p>
    <w:p w14:paraId="53A25C12" w14:textId="77777777" w:rsidR="00E40CB5" w:rsidRDefault="00E40CB5" w:rsidP="00D20A82">
      <w:pPr>
        <w:spacing w:after="0" w:line="240" w:lineRule="auto"/>
        <w:rPr>
          <w:lang w:eastAsia="en-AU"/>
        </w:rPr>
      </w:pPr>
    </w:p>
    <w:p w14:paraId="5C28A366" w14:textId="4527ECD2" w:rsidR="00066779" w:rsidRDefault="00E40CB5" w:rsidP="00E40CB5">
      <w:pPr>
        <w:spacing w:after="0" w:line="240" w:lineRule="auto"/>
        <w:rPr>
          <w:lang w:eastAsia="en-AU"/>
        </w:rPr>
      </w:pPr>
      <w:r w:rsidRPr="00072E98">
        <w:rPr>
          <w:rFonts w:cstheme="minorHAnsi"/>
        </w:rPr>
        <w:t xml:space="preserve">In </w:t>
      </w:r>
      <w:r w:rsidR="00072E98" w:rsidRPr="00072E98">
        <w:rPr>
          <w:rFonts w:cstheme="minorHAnsi"/>
        </w:rPr>
        <w:t xml:space="preserve">late </w:t>
      </w:r>
      <w:r w:rsidRPr="00072E98">
        <w:rPr>
          <w:rFonts w:cstheme="minorHAnsi"/>
        </w:rPr>
        <w:t>2020</w:t>
      </w:r>
      <w:r w:rsidR="00D20A82" w:rsidRPr="00072E98">
        <w:rPr>
          <w:rFonts w:cstheme="minorHAnsi"/>
        </w:rPr>
        <w:t>,</w:t>
      </w:r>
      <w:r w:rsidR="00D20A82">
        <w:rPr>
          <w:rFonts w:cstheme="minorHAnsi"/>
        </w:rPr>
        <w:t xml:space="preserve"> </w:t>
      </w:r>
      <w:r w:rsidR="001B2205">
        <w:rPr>
          <w:rFonts w:cstheme="minorHAnsi"/>
        </w:rPr>
        <w:t>Australia’s Agriculture Ministers and Racing Ministers established t</w:t>
      </w:r>
      <w:r w:rsidR="00422C1E" w:rsidRPr="00422C1E">
        <w:rPr>
          <w:rFonts w:cstheme="minorHAnsi"/>
        </w:rPr>
        <w:t xml:space="preserve">he National Horse Traceability Working Group (NHTWG) </w:t>
      </w:r>
      <w:r w:rsidR="00066779">
        <w:rPr>
          <w:rFonts w:cstheme="minorHAnsi"/>
        </w:rPr>
        <w:t xml:space="preserve">comprising government and </w:t>
      </w:r>
      <w:r w:rsidR="008D3E06">
        <w:rPr>
          <w:rFonts w:cstheme="minorHAnsi"/>
        </w:rPr>
        <w:t xml:space="preserve">industry </w:t>
      </w:r>
      <w:proofErr w:type="gramStart"/>
      <w:r w:rsidR="007C5E15">
        <w:rPr>
          <w:rFonts w:cstheme="minorHAnsi"/>
        </w:rPr>
        <w:t>representatives</w:t>
      </w:r>
      <w:r w:rsidR="00066779">
        <w:rPr>
          <w:rFonts w:cstheme="minorHAnsi"/>
        </w:rPr>
        <w:t>, and</w:t>
      </w:r>
      <w:proofErr w:type="gramEnd"/>
      <w:r w:rsidR="00066779">
        <w:rPr>
          <w:rFonts w:cstheme="minorHAnsi"/>
        </w:rPr>
        <w:t xml:space="preserve"> gave it the task of</w:t>
      </w:r>
      <w:r w:rsidR="00066779" w:rsidRPr="00422C1E">
        <w:rPr>
          <w:rFonts w:cstheme="minorHAnsi"/>
        </w:rPr>
        <w:t xml:space="preserve"> </w:t>
      </w:r>
      <w:r w:rsidR="00422C1E" w:rsidRPr="00422C1E">
        <w:rPr>
          <w:rFonts w:cstheme="minorHAnsi"/>
        </w:rPr>
        <w:t>provid</w:t>
      </w:r>
      <w:r w:rsidR="00066779">
        <w:rPr>
          <w:rFonts w:cstheme="minorHAnsi"/>
        </w:rPr>
        <w:t>ing</w:t>
      </w:r>
      <w:r w:rsidR="00422C1E" w:rsidRPr="00422C1E">
        <w:rPr>
          <w:rFonts w:cstheme="minorHAnsi"/>
        </w:rPr>
        <w:t xml:space="preserve"> advice </w:t>
      </w:r>
      <w:r w:rsidR="001B2205">
        <w:rPr>
          <w:rFonts w:cstheme="minorHAnsi"/>
        </w:rPr>
        <w:t>on</w:t>
      </w:r>
      <w:r w:rsidR="00066779">
        <w:rPr>
          <w:rFonts w:cstheme="minorHAnsi"/>
        </w:rPr>
        <w:t xml:space="preserve"> the</w:t>
      </w:r>
      <w:r w:rsidR="001B2205">
        <w:rPr>
          <w:rFonts w:cstheme="minorHAnsi"/>
        </w:rPr>
        <w:t xml:space="preserve"> </w:t>
      </w:r>
      <w:r w:rsidR="00422C1E" w:rsidRPr="00422C1E">
        <w:rPr>
          <w:rFonts w:cstheme="minorHAnsi"/>
        </w:rPr>
        <w:t xml:space="preserve">design of a traceability system </w:t>
      </w:r>
      <w:r w:rsidR="00247A8E">
        <w:rPr>
          <w:rFonts w:cstheme="minorHAnsi"/>
        </w:rPr>
        <w:t>with</w:t>
      </w:r>
      <w:r w:rsidR="00EF2D98">
        <w:rPr>
          <w:rFonts w:cstheme="minorHAnsi"/>
        </w:rPr>
        <w:t xml:space="preserve"> </w:t>
      </w:r>
      <w:r w:rsidR="00D95597">
        <w:rPr>
          <w:rFonts w:cstheme="minorHAnsi"/>
        </w:rPr>
        <w:t>a focus on</w:t>
      </w:r>
      <w:r w:rsidR="00247A8E">
        <w:rPr>
          <w:rFonts w:cstheme="minorHAnsi"/>
        </w:rPr>
        <w:t xml:space="preserve"> </w:t>
      </w:r>
      <w:r w:rsidR="00EF2D98">
        <w:rPr>
          <w:rFonts w:cstheme="minorHAnsi"/>
        </w:rPr>
        <w:t>biosecurity, for</w:t>
      </w:r>
      <w:r w:rsidR="00422C1E" w:rsidRPr="00422C1E">
        <w:rPr>
          <w:rFonts w:cstheme="minorHAnsi"/>
        </w:rPr>
        <w:t xml:space="preserve"> horses, donkeys and mules </w:t>
      </w:r>
      <w:r w:rsidR="00422C1E" w:rsidRPr="00422C1E">
        <w:rPr>
          <w:rFonts w:cstheme="minorHAnsi"/>
          <w:lang w:eastAsia="ja-JP"/>
        </w:rPr>
        <w:t>(collectively referred to as horses)</w:t>
      </w:r>
      <w:r w:rsidR="00422C1E" w:rsidRPr="00422C1E">
        <w:rPr>
          <w:rFonts w:cstheme="minorHAnsi"/>
        </w:rPr>
        <w:t>.</w:t>
      </w:r>
      <w:r>
        <w:rPr>
          <w:lang w:eastAsia="en-AU"/>
        </w:rPr>
        <w:t xml:space="preserve"> </w:t>
      </w:r>
    </w:p>
    <w:p w14:paraId="11562B8C" w14:textId="77777777" w:rsidR="00066779" w:rsidRDefault="00066779" w:rsidP="00E40CB5">
      <w:pPr>
        <w:spacing w:after="0" w:line="240" w:lineRule="auto"/>
        <w:rPr>
          <w:rFonts w:cstheme="minorHAnsi"/>
        </w:rPr>
      </w:pPr>
    </w:p>
    <w:p w14:paraId="44397DBA" w14:textId="64478590" w:rsidR="00776822" w:rsidRPr="00D20A82" w:rsidRDefault="00D20A82" w:rsidP="00247A8E">
      <w:pPr>
        <w:spacing w:after="0" w:line="240" w:lineRule="auto"/>
        <w:rPr>
          <w:b/>
        </w:rPr>
      </w:pPr>
      <w:r w:rsidRPr="00D20A82">
        <w:rPr>
          <w:b/>
        </w:rPr>
        <w:t xml:space="preserve">Traceability system </w:t>
      </w:r>
      <w:r w:rsidR="009657BE">
        <w:rPr>
          <w:b/>
        </w:rPr>
        <w:t>analysis</w:t>
      </w:r>
    </w:p>
    <w:p w14:paraId="6AA79A80" w14:textId="5DC3B47F" w:rsidR="00E40CB5" w:rsidRDefault="00F62A6C" w:rsidP="00296E5A">
      <w:pPr>
        <w:spacing w:after="0" w:line="240" w:lineRule="auto"/>
        <w:rPr>
          <w:lang w:val="en-US"/>
        </w:rPr>
      </w:pPr>
      <w:r>
        <w:t xml:space="preserve">In late </w:t>
      </w:r>
      <w:r w:rsidR="00EF2D98">
        <w:t>2021,</w:t>
      </w:r>
      <w:r w:rsidR="00296E5A">
        <w:t xml:space="preserve"> t</w:t>
      </w:r>
      <w:r w:rsidR="00D20A82">
        <w:t xml:space="preserve">he NHTWG </w:t>
      </w:r>
      <w:r w:rsidR="00296E5A">
        <w:rPr>
          <w:lang w:val="en-US"/>
        </w:rPr>
        <w:t xml:space="preserve">sought advice from </w:t>
      </w:r>
      <w:proofErr w:type="gramStart"/>
      <w:r w:rsidR="00296E5A">
        <w:rPr>
          <w:lang w:val="en-US"/>
        </w:rPr>
        <w:t>a number of</w:t>
      </w:r>
      <w:proofErr w:type="gramEnd"/>
      <w:r w:rsidR="00296E5A">
        <w:rPr>
          <w:lang w:val="en-US"/>
        </w:rPr>
        <w:t xml:space="preserve"> </w:t>
      </w:r>
      <w:r w:rsidR="00072E98">
        <w:rPr>
          <w:lang w:val="en-US"/>
        </w:rPr>
        <w:t xml:space="preserve">expert </w:t>
      </w:r>
      <w:r w:rsidR="00296E5A">
        <w:rPr>
          <w:lang w:val="en-US"/>
        </w:rPr>
        <w:t xml:space="preserve">sources and </w:t>
      </w:r>
      <w:r w:rsidR="00296E5A" w:rsidRPr="00296E5A">
        <w:rPr>
          <w:lang w:val="en-US"/>
        </w:rPr>
        <w:t xml:space="preserve">commissioned Marsden Jacobs Associates (MJA) to review </w:t>
      </w:r>
      <w:r>
        <w:rPr>
          <w:lang w:val="en-US"/>
        </w:rPr>
        <w:t xml:space="preserve">and describe </w:t>
      </w:r>
      <w:r w:rsidR="00296E5A">
        <w:rPr>
          <w:lang w:val="en-US"/>
        </w:rPr>
        <w:t>options</w:t>
      </w:r>
      <w:r w:rsidR="007C5E15">
        <w:rPr>
          <w:lang w:val="en-US"/>
        </w:rPr>
        <w:t xml:space="preserve"> for a National Horse Traceability System (NHTS)</w:t>
      </w:r>
      <w:r w:rsidR="00296E5A" w:rsidRPr="00296E5A">
        <w:rPr>
          <w:lang w:val="en-US"/>
        </w:rPr>
        <w:t xml:space="preserve">. </w:t>
      </w:r>
    </w:p>
    <w:p w14:paraId="5EB90A0F" w14:textId="77777777" w:rsidR="00675A45" w:rsidRDefault="00675A45" w:rsidP="00296E5A">
      <w:pPr>
        <w:spacing w:after="0" w:line="240" w:lineRule="auto"/>
        <w:rPr>
          <w:lang w:val="en-US"/>
        </w:rPr>
      </w:pPr>
    </w:p>
    <w:p w14:paraId="328F5420" w14:textId="51E87ABA" w:rsidR="00296E5A" w:rsidRPr="00296E5A" w:rsidRDefault="00296E5A" w:rsidP="00296E5A">
      <w:pPr>
        <w:spacing w:after="0" w:line="240" w:lineRule="auto"/>
        <w:rPr>
          <w:rFonts w:eastAsia="Times New Roman"/>
          <w:color w:val="000000"/>
          <w:lang w:val="en-US"/>
        </w:rPr>
      </w:pPr>
      <w:r w:rsidRPr="00296E5A">
        <w:rPr>
          <w:lang w:val="en-US"/>
        </w:rPr>
        <w:t>After considering the MJA report</w:t>
      </w:r>
      <w:r>
        <w:rPr>
          <w:lang w:val="en-US"/>
        </w:rPr>
        <w:t xml:space="preserve">, </w:t>
      </w:r>
      <w:r w:rsidRPr="00296E5A">
        <w:rPr>
          <w:lang w:val="en-US"/>
        </w:rPr>
        <w:t xml:space="preserve">the NHTWG agreed </w:t>
      </w:r>
      <w:r w:rsidR="00E40CB5">
        <w:rPr>
          <w:lang w:val="en-US"/>
        </w:rPr>
        <w:t xml:space="preserve">on </w:t>
      </w:r>
      <w:r w:rsidRPr="00296E5A">
        <w:rPr>
          <w:lang w:val="en-US"/>
        </w:rPr>
        <w:t xml:space="preserve">two options </w:t>
      </w:r>
      <w:r w:rsidR="00E40CB5">
        <w:rPr>
          <w:lang w:val="en-US"/>
        </w:rPr>
        <w:t>for further in-depth analysis</w:t>
      </w:r>
      <w:r w:rsidRPr="00296E5A">
        <w:rPr>
          <w:color w:val="000000"/>
          <w:lang w:val="en-US"/>
        </w:rPr>
        <w:t>:</w:t>
      </w:r>
    </w:p>
    <w:p w14:paraId="3F9B1BE7" w14:textId="78FBA1C0" w:rsidR="00296E5A" w:rsidRPr="00296E5A" w:rsidRDefault="00296E5A" w:rsidP="00296E5A">
      <w:pPr>
        <w:pStyle w:val="ListParagraph"/>
        <w:numPr>
          <w:ilvl w:val="0"/>
          <w:numId w:val="14"/>
        </w:numPr>
        <w:spacing w:after="0" w:line="240" w:lineRule="auto"/>
        <w:rPr>
          <w:color w:val="000000"/>
          <w:lang w:val="en-US"/>
        </w:rPr>
      </w:pPr>
      <w:r>
        <w:rPr>
          <w:color w:val="000000"/>
          <w:lang w:val="en-US"/>
        </w:rPr>
        <w:t>A</w:t>
      </w:r>
      <w:r w:rsidRPr="00296E5A">
        <w:rPr>
          <w:color w:val="000000"/>
          <w:lang w:val="en-US"/>
        </w:rPr>
        <w:t xml:space="preserve"> system based on mandatory movement recording by industry participants, underpinned by the use of Property Identification Codes (PICs) (Option 2</w:t>
      </w:r>
      <w:r>
        <w:rPr>
          <w:color w:val="000000"/>
          <w:lang w:val="en-US"/>
        </w:rPr>
        <w:t xml:space="preserve"> in the </w:t>
      </w:r>
      <w:hyperlink r:id="rId10" w:history="1">
        <w:r w:rsidRPr="00E40CB5">
          <w:rPr>
            <w:rStyle w:val="Hyperlink"/>
            <w:lang w:val="en-US"/>
          </w:rPr>
          <w:t>MJA report</w:t>
        </w:r>
      </w:hyperlink>
      <w:r w:rsidRPr="00296E5A">
        <w:rPr>
          <w:color w:val="000000"/>
          <w:lang w:val="en-US"/>
        </w:rPr>
        <w:t xml:space="preserve">), </w:t>
      </w:r>
      <w:r>
        <w:rPr>
          <w:color w:val="000000"/>
          <w:lang w:val="en-US"/>
        </w:rPr>
        <w:t>or</w:t>
      </w:r>
    </w:p>
    <w:p w14:paraId="3C8A4350" w14:textId="3504943E" w:rsidR="00296E5A" w:rsidRPr="00296E5A" w:rsidRDefault="00296E5A" w:rsidP="00296E5A">
      <w:pPr>
        <w:pStyle w:val="ListParagraph"/>
        <w:numPr>
          <w:ilvl w:val="0"/>
          <w:numId w:val="14"/>
        </w:numPr>
        <w:spacing w:after="0" w:line="240" w:lineRule="auto"/>
        <w:rPr>
          <w:color w:val="000000"/>
          <w:lang w:val="en-US"/>
        </w:rPr>
      </w:pPr>
      <w:r>
        <w:rPr>
          <w:color w:val="000000"/>
          <w:lang w:val="en-US"/>
        </w:rPr>
        <w:t>A</w:t>
      </w:r>
      <w:r w:rsidRPr="00296E5A">
        <w:rPr>
          <w:color w:val="000000"/>
          <w:lang w:val="en-US"/>
        </w:rPr>
        <w:t xml:space="preserve"> microchip-based system supported by a national ownership and movement database (Option 4</w:t>
      </w:r>
      <w:r>
        <w:rPr>
          <w:color w:val="000000"/>
          <w:lang w:val="en-US"/>
        </w:rPr>
        <w:t xml:space="preserve"> in the </w:t>
      </w:r>
      <w:hyperlink r:id="rId11" w:history="1">
        <w:r w:rsidRPr="00E40CB5">
          <w:rPr>
            <w:rStyle w:val="Hyperlink"/>
            <w:lang w:val="en-US"/>
          </w:rPr>
          <w:t>MJA report</w:t>
        </w:r>
      </w:hyperlink>
      <w:r w:rsidRPr="00296E5A">
        <w:rPr>
          <w:color w:val="000000"/>
          <w:lang w:val="en-US"/>
        </w:rPr>
        <w:t>).</w:t>
      </w:r>
    </w:p>
    <w:p w14:paraId="11606E92" w14:textId="78ACE37D" w:rsidR="00296E5A" w:rsidRDefault="00296E5A" w:rsidP="00247A8E">
      <w:pPr>
        <w:spacing w:after="0" w:line="240" w:lineRule="auto"/>
        <w:rPr>
          <w:lang w:val="en-US"/>
        </w:rPr>
      </w:pPr>
    </w:p>
    <w:p w14:paraId="1BA01E9C" w14:textId="673E8456" w:rsidR="00EE58AA" w:rsidRDefault="00EE58AA" w:rsidP="00247A8E">
      <w:pPr>
        <w:spacing w:after="0" w:line="240" w:lineRule="auto"/>
        <w:rPr>
          <w:color w:val="000000"/>
          <w:lang w:val="en-US"/>
        </w:rPr>
      </w:pPr>
      <w:r>
        <w:rPr>
          <w:lang w:val="en-US"/>
        </w:rPr>
        <w:t xml:space="preserve">With two options identified, the NHTWG engaged KPMG to assess the costs and benefits of each. KPMG’s analysis </w:t>
      </w:r>
      <w:r>
        <w:rPr>
          <w:color w:val="000000"/>
          <w:lang w:val="en-US"/>
        </w:rPr>
        <w:t xml:space="preserve">determined that both options would deliver the desired biosecurity </w:t>
      </w:r>
      <w:proofErr w:type="gramStart"/>
      <w:r>
        <w:rPr>
          <w:color w:val="000000"/>
          <w:lang w:val="en-US"/>
        </w:rPr>
        <w:t>outcomes</w:t>
      </w:r>
      <w:proofErr w:type="gramEnd"/>
      <w:r>
        <w:rPr>
          <w:color w:val="000000"/>
          <w:lang w:val="en-US"/>
        </w:rPr>
        <w:t xml:space="preserve"> but Option 2 would be substantially more cost effective</w:t>
      </w:r>
      <w:r w:rsidR="00E40CB5">
        <w:rPr>
          <w:color w:val="000000"/>
          <w:lang w:val="en-US"/>
        </w:rPr>
        <w:t xml:space="preserve"> in terms of </w:t>
      </w:r>
      <w:r>
        <w:rPr>
          <w:color w:val="000000"/>
          <w:lang w:val="en-US"/>
        </w:rPr>
        <w:t>implementation and ongoing costs.</w:t>
      </w:r>
    </w:p>
    <w:p w14:paraId="3891E80B" w14:textId="77777777" w:rsidR="006A7E53" w:rsidRPr="006A7E53" w:rsidRDefault="006A7E53" w:rsidP="00247A8E">
      <w:pPr>
        <w:spacing w:after="0" w:line="240" w:lineRule="auto"/>
        <w:rPr>
          <w:sz w:val="8"/>
          <w:szCs w:val="8"/>
          <w:lang w:val="en-US"/>
        </w:rPr>
      </w:pPr>
    </w:p>
    <w:p w14:paraId="4DCF2ACA" w14:textId="25EF6675" w:rsidR="00F15D2D" w:rsidRDefault="00675A45" w:rsidP="00247A8E">
      <w:pPr>
        <w:spacing w:after="0" w:line="240" w:lineRule="auto"/>
        <w:rPr>
          <w:b/>
          <w:lang w:val="en-US"/>
        </w:rPr>
      </w:pPr>
      <w:r w:rsidRPr="00EE58AA">
        <w:rPr>
          <w:noProof/>
          <w:lang w:val="en-US"/>
        </w:rPr>
        <mc:AlternateContent>
          <mc:Choice Requires="wps">
            <w:drawing>
              <wp:inline distT="0" distB="0" distL="0" distR="0" wp14:anchorId="6C3A5CEF" wp14:editId="160C3324">
                <wp:extent cx="3533775" cy="4826000"/>
                <wp:effectExtent l="0" t="0" r="28575"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826000"/>
                        </a:xfrm>
                        <a:prstGeom prst="rect">
                          <a:avLst/>
                        </a:prstGeom>
                        <a:solidFill>
                          <a:srgbClr val="FFFFFF"/>
                        </a:solidFill>
                        <a:ln w="9525">
                          <a:solidFill>
                            <a:srgbClr val="000000"/>
                          </a:solidFill>
                          <a:miter lim="800000"/>
                          <a:headEnd/>
                          <a:tailEnd/>
                        </a:ln>
                      </wps:spPr>
                      <wps:txbx>
                        <w:txbxContent>
                          <w:p w14:paraId="48741D88" w14:textId="77777777" w:rsidR="00675A45" w:rsidRPr="00D34CE9" w:rsidRDefault="00675A45" w:rsidP="00675A45">
                            <w:pPr>
                              <w:spacing w:after="0" w:line="240" w:lineRule="auto"/>
                              <w:rPr>
                                <w:b/>
                                <w:sz w:val="20"/>
                                <w:szCs w:val="20"/>
                              </w:rPr>
                            </w:pPr>
                            <w:r w:rsidRPr="00D34CE9">
                              <w:rPr>
                                <w:b/>
                                <w:sz w:val="20"/>
                                <w:szCs w:val="20"/>
                              </w:rPr>
                              <w:t>What is a PIC?</w:t>
                            </w:r>
                          </w:p>
                          <w:p w14:paraId="299DB603" w14:textId="77777777" w:rsidR="00675A45" w:rsidRPr="00D34CE9" w:rsidRDefault="00675A45" w:rsidP="00675A45">
                            <w:pPr>
                              <w:shd w:val="clear" w:color="auto" w:fill="FFFFFF"/>
                              <w:spacing w:before="225"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 xml:space="preserve">A Property Identification Code (PIC) is a unique eight character identifying code allocated by the agency responsible for animal health in each state or territory. </w:t>
                            </w:r>
                            <w:r w:rsidRPr="00D34CE9">
                              <w:rPr>
                                <w:rFonts w:eastAsia="Times New Roman" w:cstheme="minorHAnsi"/>
                                <w:color w:val="000000"/>
                                <w:sz w:val="20"/>
                                <w:szCs w:val="20"/>
                                <w:lang w:eastAsia="en-AU"/>
                              </w:rPr>
                              <w:t xml:space="preserve">It </w:t>
                            </w:r>
                            <w:r w:rsidRPr="00EE58AA">
                              <w:rPr>
                                <w:rFonts w:eastAsia="Times New Roman" w:cstheme="minorHAnsi"/>
                                <w:color w:val="000000"/>
                                <w:sz w:val="20"/>
                                <w:szCs w:val="20"/>
                                <w:lang w:eastAsia="en-AU"/>
                              </w:rPr>
                              <w:t>identifies a parcel or parcels of land on which livestock are or may be held.</w:t>
                            </w:r>
                            <w:r w:rsidRPr="00D34CE9">
                              <w:rPr>
                                <w:rFonts w:eastAsia="Times New Roman" w:cstheme="minorHAnsi"/>
                                <w:color w:val="000000"/>
                                <w:sz w:val="20"/>
                                <w:szCs w:val="20"/>
                                <w:lang w:eastAsia="en-AU"/>
                              </w:rPr>
                              <w:t xml:space="preserve"> </w:t>
                            </w:r>
                          </w:p>
                          <w:p w14:paraId="225C4F22" w14:textId="77777777" w:rsidR="00675A45" w:rsidRPr="00EE58AA" w:rsidRDefault="00675A45" w:rsidP="00675A45">
                            <w:pPr>
                              <w:shd w:val="clear" w:color="auto" w:fill="FFFFFF"/>
                              <w:spacing w:before="225"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Information regarding each PIC is held in registries maintained by the states or territories.</w:t>
                            </w:r>
                            <w:r w:rsidRPr="00D34CE9">
                              <w:rPr>
                                <w:rFonts w:eastAsia="Times New Roman" w:cstheme="minorHAnsi"/>
                                <w:color w:val="000000"/>
                                <w:sz w:val="20"/>
                                <w:szCs w:val="20"/>
                                <w:lang w:eastAsia="en-AU"/>
                              </w:rPr>
                              <w:t xml:space="preserve"> </w:t>
                            </w:r>
                            <w:r w:rsidRPr="00EE58AA">
                              <w:rPr>
                                <w:rFonts w:eastAsia="Times New Roman" w:cstheme="minorHAnsi"/>
                                <w:color w:val="000000"/>
                                <w:sz w:val="20"/>
                                <w:szCs w:val="20"/>
                                <w:lang w:eastAsia="en-AU"/>
                              </w:rPr>
                              <w:t>This generally include</w:t>
                            </w:r>
                            <w:r w:rsidRPr="00D34CE9">
                              <w:rPr>
                                <w:rFonts w:eastAsia="Times New Roman" w:cstheme="minorHAnsi"/>
                                <w:color w:val="000000"/>
                                <w:sz w:val="20"/>
                                <w:szCs w:val="20"/>
                                <w:lang w:eastAsia="en-AU"/>
                              </w:rPr>
                              <w:t>s</w:t>
                            </w:r>
                            <w:r w:rsidRPr="00EE58AA">
                              <w:rPr>
                                <w:rFonts w:eastAsia="Times New Roman" w:cstheme="minorHAnsi"/>
                                <w:color w:val="000000"/>
                                <w:sz w:val="20"/>
                                <w:szCs w:val="20"/>
                                <w:lang w:eastAsia="en-AU"/>
                              </w:rPr>
                              <w:t>:</w:t>
                            </w:r>
                          </w:p>
                          <w:p w14:paraId="4A548E1D" w14:textId="77777777" w:rsidR="00675A45" w:rsidRPr="00EE58AA" w:rsidRDefault="00675A45" w:rsidP="00675A45">
                            <w:pPr>
                              <w:numPr>
                                <w:ilvl w:val="0"/>
                                <w:numId w:val="15"/>
                              </w:numPr>
                              <w:shd w:val="clear" w:color="auto" w:fill="FFFFFF"/>
                              <w:spacing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Name and/or address of the property</w:t>
                            </w:r>
                          </w:p>
                          <w:p w14:paraId="28DCC24F" w14:textId="77777777" w:rsidR="00675A45" w:rsidRPr="00EE58AA" w:rsidRDefault="00675A45" w:rsidP="00675A45">
                            <w:pPr>
                              <w:numPr>
                                <w:ilvl w:val="0"/>
                                <w:numId w:val="15"/>
                              </w:numPr>
                              <w:shd w:val="clear" w:color="auto" w:fill="FFFFFF"/>
                              <w:spacing w:before="100" w:beforeAutospacing="1"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Name of the property owner and their contact details</w:t>
                            </w:r>
                          </w:p>
                          <w:p w14:paraId="38170706" w14:textId="77777777" w:rsidR="00675A45" w:rsidRPr="00EE58AA" w:rsidRDefault="00675A45" w:rsidP="00675A45">
                            <w:pPr>
                              <w:numPr>
                                <w:ilvl w:val="0"/>
                                <w:numId w:val="15"/>
                              </w:numPr>
                              <w:shd w:val="clear" w:color="auto" w:fill="FFFFFF"/>
                              <w:spacing w:before="100" w:beforeAutospacing="1"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Name of the livestock manager/carer and their contact details</w:t>
                            </w:r>
                          </w:p>
                          <w:p w14:paraId="66753F1A" w14:textId="77777777" w:rsidR="00675A45" w:rsidRPr="00EE58AA" w:rsidRDefault="00675A45" w:rsidP="00675A45">
                            <w:pPr>
                              <w:numPr>
                                <w:ilvl w:val="0"/>
                                <w:numId w:val="15"/>
                              </w:numPr>
                              <w:shd w:val="clear" w:color="auto" w:fill="FFFFFF"/>
                              <w:spacing w:before="100" w:beforeAutospacing="1"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Geospatial information about the parcel/s of land associated with the PIC, and</w:t>
                            </w:r>
                          </w:p>
                          <w:p w14:paraId="3B02C50D" w14:textId="77777777" w:rsidR="00675A45" w:rsidRPr="00D34CE9" w:rsidRDefault="00675A45" w:rsidP="00675A45">
                            <w:pPr>
                              <w:numPr>
                                <w:ilvl w:val="0"/>
                                <w:numId w:val="15"/>
                              </w:numPr>
                              <w:shd w:val="clear" w:color="auto" w:fill="FFFFFF"/>
                              <w:spacing w:before="100" w:beforeAutospacing="1"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Species present (including domesticated horses)</w:t>
                            </w:r>
                            <w:r w:rsidRPr="00D34CE9">
                              <w:rPr>
                                <w:rFonts w:eastAsia="Times New Roman" w:cstheme="minorHAnsi"/>
                                <w:color w:val="000000"/>
                                <w:sz w:val="20"/>
                                <w:szCs w:val="20"/>
                                <w:lang w:eastAsia="en-AU"/>
                              </w:rPr>
                              <w:t>.</w:t>
                            </w:r>
                          </w:p>
                          <w:p w14:paraId="744E602E" w14:textId="77777777" w:rsidR="00675A45" w:rsidRPr="00D34CE9" w:rsidRDefault="00675A45" w:rsidP="00675A45">
                            <w:pPr>
                              <w:pStyle w:val="NormalWeb"/>
                              <w:shd w:val="clear" w:color="auto" w:fill="FFFFFF"/>
                              <w:spacing w:before="225" w:beforeAutospacing="0" w:after="0" w:afterAutospacing="0"/>
                              <w:rPr>
                                <w:rFonts w:asciiTheme="minorHAnsi" w:hAnsiTheme="minorHAnsi" w:cstheme="minorHAnsi"/>
                                <w:color w:val="000000"/>
                                <w:sz w:val="20"/>
                                <w:szCs w:val="20"/>
                              </w:rPr>
                            </w:pPr>
                            <w:r w:rsidRPr="00D34CE9">
                              <w:rPr>
                                <w:rFonts w:asciiTheme="minorHAnsi" w:hAnsiTheme="minorHAnsi" w:cstheme="minorHAnsi"/>
                                <w:color w:val="000000"/>
                                <w:sz w:val="20"/>
                                <w:szCs w:val="20"/>
                              </w:rPr>
                              <w:t xml:space="preserve">Owners and managers of horses must ensure that the properties on which their horses are kept have a PIC. Businesses responsible for land where horses will </w:t>
                            </w:r>
                            <w:proofErr w:type="gramStart"/>
                            <w:r w:rsidRPr="00D34CE9">
                              <w:rPr>
                                <w:rFonts w:asciiTheme="minorHAnsi" w:hAnsiTheme="minorHAnsi" w:cstheme="minorHAnsi"/>
                                <w:color w:val="000000"/>
                                <w:sz w:val="20"/>
                                <w:szCs w:val="20"/>
                              </w:rPr>
                              <w:t>visit</w:t>
                            </w:r>
                            <w:proofErr w:type="gramEnd"/>
                            <w:r w:rsidRPr="00D34CE9">
                              <w:rPr>
                                <w:rFonts w:asciiTheme="minorHAnsi" w:hAnsiTheme="minorHAnsi" w:cstheme="minorHAnsi"/>
                                <w:color w:val="000000"/>
                                <w:sz w:val="20"/>
                                <w:szCs w:val="20"/>
                              </w:rPr>
                              <w:t xml:space="preserve"> or attend</w:t>
                            </w:r>
                            <w:r>
                              <w:rPr>
                                <w:rFonts w:asciiTheme="minorHAnsi" w:hAnsiTheme="minorHAnsi" w:cstheme="minorHAnsi"/>
                                <w:color w:val="000000"/>
                                <w:sz w:val="20"/>
                                <w:szCs w:val="20"/>
                              </w:rPr>
                              <w:t xml:space="preserve"> </w:t>
                            </w:r>
                            <w:r w:rsidRPr="00D34CE9">
                              <w:rPr>
                                <w:rFonts w:asciiTheme="minorHAnsi" w:hAnsiTheme="minorHAnsi" w:cstheme="minorHAnsi"/>
                                <w:color w:val="000000"/>
                                <w:sz w:val="20"/>
                                <w:szCs w:val="20"/>
                              </w:rPr>
                              <w:t xml:space="preserve">must ensure </w:t>
                            </w:r>
                            <w:r>
                              <w:rPr>
                                <w:rFonts w:asciiTheme="minorHAnsi" w:hAnsiTheme="minorHAnsi" w:cstheme="minorHAnsi"/>
                                <w:color w:val="000000"/>
                                <w:sz w:val="20"/>
                                <w:szCs w:val="20"/>
                              </w:rPr>
                              <w:t>the land has been assigned a</w:t>
                            </w:r>
                            <w:r w:rsidRPr="00D34CE9">
                              <w:rPr>
                                <w:rFonts w:asciiTheme="minorHAnsi" w:hAnsiTheme="minorHAnsi" w:cstheme="minorHAnsi"/>
                                <w:color w:val="000000"/>
                                <w:sz w:val="20"/>
                                <w:szCs w:val="20"/>
                              </w:rPr>
                              <w:t xml:space="preserve"> PIC. In most states, properties on which livestock are kept must</w:t>
                            </w:r>
                            <w:r>
                              <w:rPr>
                                <w:rFonts w:asciiTheme="minorHAnsi" w:hAnsiTheme="minorHAnsi" w:cstheme="minorHAnsi"/>
                                <w:color w:val="000000"/>
                                <w:sz w:val="20"/>
                                <w:szCs w:val="20"/>
                              </w:rPr>
                              <w:t xml:space="preserve"> already</w:t>
                            </w:r>
                            <w:r w:rsidRPr="00D34CE9">
                              <w:rPr>
                                <w:rFonts w:asciiTheme="minorHAnsi" w:hAnsiTheme="minorHAnsi" w:cstheme="minorHAnsi"/>
                                <w:color w:val="000000"/>
                                <w:sz w:val="20"/>
                                <w:szCs w:val="20"/>
                              </w:rPr>
                              <w:t xml:space="preserve"> have a PIC, such as farms, residential properties where livestock live, racetracks, transit depots</w:t>
                            </w:r>
                            <w:r>
                              <w:rPr>
                                <w:rFonts w:asciiTheme="minorHAnsi" w:hAnsiTheme="minorHAnsi" w:cstheme="minorHAnsi"/>
                                <w:color w:val="000000"/>
                                <w:sz w:val="20"/>
                                <w:szCs w:val="20"/>
                              </w:rPr>
                              <w:t xml:space="preserve">, </w:t>
                            </w:r>
                            <w:r w:rsidRPr="00D34CE9">
                              <w:rPr>
                                <w:rFonts w:asciiTheme="minorHAnsi" w:hAnsiTheme="minorHAnsi" w:cstheme="minorHAnsi"/>
                                <w:color w:val="000000"/>
                                <w:sz w:val="20"/>
                                <w:szCs w:val="20"/>
                              </w:rPr>
                              <w:t xml:space="preserve">studs, veterinary practices, knackeries, abattoirs, public auction houses including saleyards, </w:t>
                            </w:r>
                            <w:r>
                              <w:rPr>
                                <w:rFonts w:asciiTheme="minorHAnsi" w:hAnsiTheme="minorHAnsi" w:cstheme="minorHAnsi"/>
                                <w:color w:val="000000"/>
                                <w:sz w:val="20"/>
                                <w:szCs w:val="20"/>
                              </w:rPr>
                              <w:t xml:space="preserve">and </w:t>
                            </w:r>
                            <w:r w:rsidRPr="00D34CE9">
                              <w:rPr>
                                <w:rFonts w:asciiTheme="minorHAnsi" w:hAnsiTheme="minorHAnsi" w:cstheme="minorHAnsi"/>
                                <w:color w:val="000000"/>
                                <w:sz w:val="20"/>
                                <w:szCs w:val="20"/>
                              </w:rPr>
                              <w:t>rodeo, camp drafting and agricultural show venues.</w:t>
                            </w:r>
                          </w:p>
                          <w:p w14:paraId="7DCCCA74" w14:textId="77777777" w:rsidR="00675A45" w:rsidRPr="00D34CE9" w:rsidRDefault="00675A45" w:rsidP="00675A45">
                            <w:pPr>
                              <w:pStyle w:val="NormalWeb"/>
                              <w:shd w:val="clear" w:color="auto" w:fill="FFFFFF"/>
                              <w:spacing w:before="225" w:beforeAutospacing="0" w:after="0" w:afterAutospacing="0"/>
                              <w:rPr>
                                <w:rFonts w:asciiTheme="minorHAnsi" w:hAnsiTheme="minorHAnsi" w:cstheme="minorHAnsi"/>
                                <w:color w:val="000000"/>
                                <w:sz w:val="20"/>
                                <w:szCs w:val="20"/>
                              </w:rPr>
                            </w:pPr>
                            <w:r w:rsidRPr="00D34CE9">
                              <w:rPr>
                                <w:rFonts w:asciiTheme="minorHAnsi" w:hAnsiTheme="minorHAnsi" w:cstheme="minorHAnsi"/>
                                <w:color w:val="000000"/>
                                <w:sz w:val="20"/>
                                <w:szCs w:val="20"/>
                              </w:rPr>
                              <w:t xml:space="preserve">The PIC system is the cornerstone of Australia’s National Livestock Identification System (NLIS) for cattle, sheep, </w:t>
                            </w:r>
                            <w:proofErr w:type="gramStart"/>
                            <w:r w:rsidRPr="00D34CE9">
                              <w:rPr>
                                <w:rFonts w:asciiTheme="minorHAnsi" w:hAnsiTheme="minorHAnsi" w:cstheme="minorHAnsi"/>
                                <w:color w:val="000000"/>
                                <w:sz w:val="20"/>
                                <w:szCs w:val="20"/>
                              </w:rPr>
                              <w:t>goats</w:t>
                            </w:r>
                            <w:proofErr w:type="gramEnd"/>
                            <w:r w:rsidRPr="00D34CE9">
                              <w:rPr>
                                <w:rFonts w:asciiTheme="minorHAnsi" w:hAnsiTheme="minorHAnsi" w:cstheme="minorHAnsi"/>
                                <w:color w:val="000000"/>
                                <w:sz w:val="20"/>
                                <w:szCs w:val="20"/>
                              </w:rPr>
                              <w:t xml:space="preserve"> and pigs, and will play a central role in the proposed NHTS.</w:t>
                            </w:r>
                          </w:p>
                          <w:p w14:paraId="347FCD2F" w14:textId="77777777" w:rsidR="00675A45" w:rsidRPr="00D34CE9" w:rsidRDefault="00675A45" w:rsidP="00675A45">
                            <w:pPr>
                              <w:spacing w:after="0" w:line="240" w:lineRule="auto"/>
                              <w:rPr>
                                <w:sz w:val="20"/>
                                <w:szCs w:val="20"/>
                              </w:rPr>
                            </w:pPr>
                          </w:p>
                        </w:txbxContent>
                      </wps:txbx>
                      <wps:bodyPr rot="0" vert="horz" wrap="square" lIns="91440" tIns="45720" rIns="91440" bIns="45720" anchor="t" anchorCtr="0">
                        <a:noAutofit/>
                      </wps:bodyPr>
                    </wps:wsp>
                  </a:graphicData>
                </a:graphic>
              </wp:inline>
            </w:drawing>
          </mc:Choice>
          <mc:Fallback>
            <w:pict>
              <v:shapetype w14:anchorId="6C3A5CEF" id="_x0000_t202" coordsize="21600,21600" o:spt="202" path="m,l,21600r21600,l21600,xe">
                <v:stroke joinstyle="miter"/>
                <v:path gradientshapeok="t" o:connecttype="rect"/>
              </v:shapetype>
              <v:shape id="Text Box 2" o:spid="_x0000_s1026" type="#_x0000_t202" style="width:278.25pt;height:3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">
                <v:textbox>
                  <w:txbxContent>
                    <w:p w14:paraId="48741D88" w14:textId="77777777" w:rsidR="00675A45" w:rsidRPr="00D34CE9" w:rsidRDefault="00675A45" w:rsidP="00675A45">
                      <w:pPr>
                        <w:spacing w:after="0" w:line="240" w:lineRule="auto"/>
                        <w:rPr>
                          <w:b/>
                          <w:sz w:val="20"/>
                          <w:szCs w:val="20"/>
                        </w:rPr>
                      </w:pPr>
                      <w:r w:rsidRPr="00D34CE9">
                        <w:rPr>
                          <w:b/>
                          <w:sz w:val="20"/>
                          <w:szCs w:val="20"/>
                        </w:rPr>
                        <w:t>What is a PIC?</w:t>
                      </w:r>
                    </w:p>
                    <w:p w14:paraId="299DB603" w14:textId="77777777" w:rsidR="00675A45" w:rsidRPr="00D34CE9" w:rsidRDefault="00675A45" w:rsidP="00675A45">
                      <w:pPr>
                        <w:shd w:val="clear" w:color="auto" w:fill="FFFFFF"/>
                        <w:spacing w:before="225"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 xml:space="preserve">A Property Identification Code (PIC) is a unique eight character identifying code allocated by the agency responsible for animal health in each state or territory. </w:t>
                      </w:r>
                      <w:r w:rsidRPr="00D34CE9">
                        <w:rPr>
                          <w:rFonts w:eastAsia="Times New Roman" w:cstheme="minorHAnsi"/>
                          <w:color w:val="000000"/>
                          <w:sz w:val="20"/>
                          <w:szCs w:val="20"/>
                          <w:lang w:eastAsia="en-AU"/>
                        </w:rPr>
                        <w:t xml:space="preserve">It </w:t>
                      </w:r>
                      <w:r w:rsidRPr="00EE58AA">
                        <w:rPr>
                          <w:rFonts w:eastAsia="Times New Roman" w:cstheme="minorHAnsi"/>
                          <w:color w:val="000000"/>
                          <w:sz w:val="20"/>
                          <w:szCs w:val="20"/>
                          <w:lang w:eastAsia="en-AU"/>
                        </w:rPr>
                        <w:t>identifies a parcel or parcels of land on which livestock are or may be held.</w:t>
                      </w:r>
                      <w:r w:rsidRPr="00D34CE9">
                        <w:rPr>
                          <w:rFonts w:eastAsia="Times New Roman" w:cstheme="minorHAnsi"/>
                          <w:color w:val="000000"/>
                          <w:sz w:val="20"/>
                          <w:szCs w:val="20"/>
                          <w:lang w:eastAsia="en-AU"/>
                        </w:rPr>
                        <w:t xml:space="preserve"> </w:t>
                      </w:r>
                    </w:p>
                    <w:p w14:paraId="225C4F22" w14:textId="77777777" w:rsidR="00675A45" w:rsidRPr="00EE58AA" w:rsidRDefault="00675A45" w:rsidP="00675A45">
                      <w:pPr>
                        <w:shd w:val="clear" w:color="auto" w:fill="FFFFFF"/>
                        <w:spacing w:before="225"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Information regarding each PIC is held in registries maintained by the states or territories.</w:t>
                      </w:r>
                      <w:r w:rsidRPr="00D34CE9">
                        <w:rPr>
                          <w:rFonts w:eastAsia="Times New Roman" w:cstheme="minorHAnsi"/>
                          <w:color w:val="000000"/>
                          <w:sz w:val="20"/>
                          <w:szCs w:val="20"/>
                          <w:lang w:eastAsia="en-AU"/>
                        </w:rPr>
                        <w:t xml:space="preserve"> </w:t>
                      </w:r>
                      <w:r w:rsidRPr="00EE58AA">
                        <w:rPr>
                          <w:rFonts w:eastAsia="Times New Roman" w:cstheme="minorHAnsi"/>
                          <w:color w:val="000000"/>
                          <w:sz w:val="20"/>
                          <w:szCs w:val="20"/>
                          <w:lang w:eastAsia="en-AU"/>
                        </w:rPr>
                        <w:t>This generally include</w:t>
                      </w:r>
                      <w:r w:rsidRPr="00D34CE9">
                        <w:rPr>
                          <w:rFonts w:eastAsia="Times New Roman" w:cstheme="minorHAnsi"/>
                          <w:color w:val="000000"/>
                          <w:sz w:val="20"/>
                          <w:szCs w:val="20"/>
                          <w:lang w:eastAsia="en-AU"/>
                        </w:rPr>
                        <w:t>s</w:t>
                      </w:r>
                      <w:r w:rsidRPr="00EE58AA">
                        <w:rPr>
                          <w:rFonts w:eastAsia="Times New Roman" w:cstheme="minorHAnsi"/>
                          <w:color w:val="000000"/>
                          <w:sz w:val="20"/>
                          <w:szCs w:val="20"/>
                          <w:lang w:eastAsia="en-AU"/>
                        </w:rPr>
                        <w:t>:</w:t>
                      </w:r>
                    </w:p>
                    <w:p w14:paraId="4A548E1D" w14:textId="77777777" w:rsidR="00675A45" w:rsidRPr="00EE58AA" w:rsidRDefault="00675A45" w:rsidP="00675A45">
                      <w:pPr>
                        <w:numPr>
                          <w:ilvl w:val="0"/>
                          <w:numId w:val="15"/>
                        </w:numPr>
                        <w:shd w:val="clear" w:color="auto" w:fill="FFFFFF"/>
                        <w:spacing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Name and/or address of the property</w:t>
                      </w:r>
                    </w:p>
                    <w:p w14:paraId="28DCC24F" w14:textId="77777777" w:rsidR="00675A45" w:rsidRPr="00EE58AA" w:rsidRDefault="00675A45" w:rsidP="00675A45">
                      <w:pPr>
                        <w:numPr>
                          <w:ilvl w:val="0"/>
                          <w:numId w:val="15"/>
                        </w:numPr>
                        <w:shd w:val="clear" w:color="auto" w:fill="FFFFFF"/>
                        <w:spacing w:before="100" w:beforeAutospacing="1"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Name of the property owner and their contact details</w:t>
                      </w:r>
                    </w:p>
                    <w:p w14:paraId="38170706" w14:textId="77777777" w:rsidR="00675A45" w:rsidRPr="00EE58AA" w:rsidRDefault="00675A45" w:rsidP="00675A45">
                      <w:pPr>
                        <w:numPr>
                          <w:ilvl w:val="0"/>
                          <w:numId w:val="15"/>
                        </w:numPr>
                        <w:shd w:val="clear" w:color="auto" w:fill="FFFFFF"/>
                        <w:spacing w:before="100" w:beforeAutospacing="1"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Name of the livestock manager/carer and their contact details</w:t>
                      </w:r>
                    </w:p>
                    <w:p w14:paraId="66753F1A" w14:textId="77777777" w:rsidR="00675A45" w:rsidRPr="00EE58AA" w:rsidRDefault="00675A45" w:rsidP="00675A45">
                      <w:pPr>
                        <w:numPr>
                          <w:ilvl w:val="0"/>
                          <w:numId w:val="15"/>
                        </w:numPr>
                        <w:shd w:val="clear" w:color="auto" w:fill="FFFFFF"/>
                        <w:spacing w:before="100" w:beforeAutospacing="1"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Geospatial information about the parcel/s of land associated with the PIC, and</w:t>
                      </w:r>
                    </w:p>
                    <w:p w14:paraId="3B02C50D" w14:textId="77777777" w:rsidR="00675A45" w:rsidRPr="00D34CE9" w:rsidRDefault="00675A45" w:rsidP="00675A45">
                      <w:pPr>
                        <w:numPr>
                          <w:ilvl w:val="0"/>
                          <w:numId w:val="15"/>
                        </w:numPr>
                        <w:shd w:val="clear" w:color="auto" w:fill="FFFFFF"/>
                        <w:spacing w:before="100" w:beforeAutospacing="1" w:after="0" w:line="240" w:lineRule="auto"/>
                        <w:rPr>
                          <w:rFonts w:eastAsia="Times New Roman" w:cstheme="minorHAnsi"/>
                          <w:color w:val="000000"/>
                          <w:sz w:val="20"/>
                          <w:szCs w:val="20"/>
                          <w:lang w:eastAsia="en-AU"/>
                        </w:rPr>
                      </w:pPr>
                      <w:r w:rsidRPr="00EE58AA">
                        <w:rPr>
                          <w:rFonts w:eastAsia="Times New Roman" w:cstheme="minorHAnsi"/>
                          <w:color w:val="000000"/>
                          <w:sz w:val="20"/>
                          <w:szCs w:val="20"/>
                          <w:lang w:eastAsia="en-AU"/>
                        </w:rPr>
                        <w:t>Species present (including domesticated horses)</w:t>
                      </w:r>
                      <w:r w:rsidRPr="00D34CE9">
                        <w:rPr>
                          <w:rFonts w:eastAsia="Times New Roman" w:cstheme="minorHAnsi"/>
                          <w:color w:val="000000"/>
                          <w:sz w:val="20"/>
                          <w:szCs w:val="20"/>
                          <w:lang w:eastAsia="en-AU"/>
                        </w:rPr>
                        <w:t>.</w:t>
                      </w:r>
                    </w:p>
                    <w:p w14:paraId="744E602E" w14:textId="77777777" w:rsidR="00675A45" w:rsidRPr="00D34CE9" w:rsidRDefault="00675A45" w:rsidP="00675A45">
                      <w:pPr>
                        <w:pStyle w:val="NormalWeb"/>
                        <w:shd w:val="clear" w:color="auto" w:fill="FFFFFF"/>
                        <w:spacing w:before="225" w:beforeAutospacing="0" w:after="0" w:afterAutospacing="0"/>
                        <w:rPr>
                          <w:rFonts w:asciiTheme="minorHAnsi" w:hAnsiTheme="minorHAnsi" w:cstheme="minorHAnsi"/>
                          <w:color w:val="000000"/>
                          <w:sz w:val="20"/>
                          <w:szCs w:val="20"/>
                        </w:rPr>
                      </w:pPr>
                      <w:r w:rsidRPr="00D34CE9">
                        <w:rPr>
                          <w:rFonts w:asciiTheme="minorHAnsi" w:hAnsiTheme="minorHAnsi" w:cstheme="minorHAnsi"/>
                          <w:color w:val="000000"/>
                          <w:sz w:val="20"/>
                          <w:szCs w:val="20"/>
                        </w:rPr>
                        <w:t xml:space="preserve">Owners and managers of horses must ensure that the properties on which their horses are kept have a PIC. Businesses responsible for land where horses will </w:t>
                      </w:r>
                      <w:proofErr w:type="gramStart"/>
                      <w:r w:rsidRPr="00D34CE9">
                        <w:rPr>
                          <w:rFonts w:asciiTheme="minorHAnsi" w:hAnsiTheme="minorHAnsi" w:cstheme="minorHAnsi"/>
                          <w:color w:val="000000"/>
                          <w:sz w:val="20"/>
                          <w:szCs w:val="20"/>
                        </w:rPr>
                        <w:t>visit</w:t>
                      </w:r>
                      <w:proofErr w:type="gramEnd"/>
                      <w:r w:rsidRPr="00D34CE9">
                        <w:rPr>
                          <w:rFonts w:asciiTheme="minorHAnsi" w:hAnsiTheme="minorHAnsi" w:cstheme="minorHAnsi"/>
                          <w:color w:val="000000"/>
                          <w:sz w:val="20"/>
                          <w:szCs w:val="20"/>
                        </w:rPr>
                        <w:t xml:space="preserve"> or attend</w:t>
                      </w:r>
                      <w:r>
                        <w:rPr>
                          <w:rFonts w:asciiTheme="minorHAnsi" w:hAnsiTheme="minorHAnsi" w:cstheme="minorHAnsi"/>
                          <w:color w:val="000000"/>
                          <w:sz w:val="20"/>
                          <w:szCs w:val="20"/>
                        </w:rPr>
                        <w:t xml:space="preserve"> </w:t>
                      </w:r>
                      <w:r w:rsidRPr="00D34CE9">
                        <w:rPr>
                          <w:rFonts w:asciiTheme="minorHAnsi" w:hAnsiTheme="minorHAnsi" w:cstheme="minorHAnsi"/>
                          <w:color w:val="000000"/>
                          <w:sz w:val="20"/>
                          <w:szCs w:val="20"/>
                        </w:rPr>
                        <w:t xml:space="preserve">must ensure </w:t>
                      </w:r>
                      <w:r>
                        <w:rPr>
                          <w:rFonts w:asciiTheme="minorHAnsi" w:hAnsiTheme="minorHAnsi" w:cstheme="minorHAnsi"/>
                          <w:color w:val="000000"/>
                          <w:sz w:val="20"/>
                          <w:szCs w:val="20"/>
                        </w:rPr>
                        <w:t>the land has been assigned a</w:t>
                      </w:r>
                      <w:r w:rsidRPr="00D34CE9">
                        <w:rPr>
                          <w:rFonts w:asciiTheme="minorHAnsi" w:hAnsiTheme="minorHAnsi" w:cstheme="minorHAnsi"/>
                          <w:color w:val="000000"/>
                          <w:sz w:val="20"/>
                          <w:szCs w:val="20"/>
                        </w:rPr>
                        <w:t xml:space="preserve"> PIC. In most states, properties on which livestock are kept must</w:t>
                      </w:r>
                      <w:r>
                        <w:rPr>
                          <w:rFonts w:asciiTheme="minorHAnsi" w:hAnsiTheme="minorHAnsi" w:cstheme="minorHAnsi"/>
                          <w:color w:val="000000"/>
                          <w:sz w:val="20"/>
                          <w:szCs w:val="20"/>
                        </w:rPr>
                        <w:t xml:space="preserve"> already</w:t>
                      </w:r>
                      <w:r w:rsidRPr="00D34CE9">
                        <w:rPr>
                          <w:rFonts w:asciiTheme="minorHAnsi" w:hAnsiTheme="minorHAnsi" w:cstheme="minorHAnsi"/>
                          <w:color w:val="000000"/>
                          <w:sz w:val="20"/>
                          <w:szCs w:val="20"/>
                        </w:rPr>
                        <w:t xml:space="preserve"> have a PIC, such as farms, residential properties where livestock live, racetracks, transit depots</w:t>
                      </w:r>
                      <w:r>
                        <w:rPr>
                          <w:rFonts w:asciiTheme="minorHAnsi" w:hAnsiTheme="minorHAnsi" w:cstheme="minorHAnsi"/>
                          <w:color w:val="000000"/>
                          <w:sz w:val="20"/>
                          <w:szCs w:val="20"/>
                        </w:rPr>
                        <w:t xml:space="preserve">, </w:t>
                      </w:r>
                      <w:r w:rsidRPr="00D34CE9">
                        <w:rPr>
                          <w:rFonts w:asciiTheme="minorHAnsi" w:hAnsiTheme="minorHAnsi" w:cstheme="minorHAnsi"/>
                          <w:color w:val="000000"/>
                          <w:sz w:val="20"/>
                          <w:szCs w:val="20"/>
                        </w:rPr>
                        <w:t xml:space="preserve">studs, veterinary practices, knackeries, abattoirs, public auction houses including saleyards, </w:t>
                      </w:r>
                      <w:r>
                        <w:rPr>
                          <w:rFonts w:asciiTheme="minorHAnsi" w:hAnsiTheme="minorHAnsi" w:cstheme="minorHAnsi"/>
                          <w:color w:val="000000"/>
                          <w:sz w:val="20"/>
                          <w:szCs w:val="20"/>
                        </w:rPr>
                        <w:t xml:space="preserve">and </w:t>
                      </w:r>
                      <w:r w:rsidRPr="00D34CE9">
                        <w:rPr>
                          <w:rFonts w:asciiTheme="minorHAnsi" w:hAnsiTheme="minorHAnsi" w:cstheme="minorHAnsi"/>
                          <w:color w:val="000000"/>
                          <w:sz w:val="20"/>
                          <w:szCs w:val="20"/>
                        </w:rPr>
                        <w:t>rodeo, camp drafting and agricultural show venues.</w:t>
                      </w:r>
                    </w:p>
                    <w:p w14:paraId="7DCCCA74" w14:textId="77777777" w:rsidR="00675A45" w:rsidRPr="00D34CE9" w:rsidRDefault="00675A45" w:rsidP="00675A45">
                      <w:pPr>
                        <w:pStyle w:val="NormalWeb"/>
                        <w:shd w:val="clear" w:color="auto" w:fill="FFFFFF"/>
                        <w:spacing w:before="225" w:beforeAutospacing="0" w:after="0" w:afterAutospacing="0"/>
                        <w:rPr>
                          <w:rFonts w:asciiTheme="minorHAnsi" w:hAnsiTheme="minorHAnsi" w:cstheme="minorHAnsi"/>
                          <w:color w:val="000000"/>
                          <w:sz w:val="20"/>
                          <w:szCs w:val="20"/>
                        </w:rPr>
                      </w:pPr>
                      <w:r w:rsidRPr="00D34CE9">
                        <w:rPr>
                          <w:rFonts w:asciiTheme="minorHAnsi" w:hAnsiTheme="minorHAnsi" w:cstheme="minorHAnsi"/>
                          <w:color w:val="000000"/>
                          <w:sz w:val="20"/>
                          <w:szCs w:val="20"/>
                        </w:rPr>
                        <w:t xml:space="preserve">The PIC system is the cornerstone of Australia’s National Livestock Identification System (NLIS) for cattle, sheep, </w:t>
                      </w:r>
                      <w:proofErr w:type="gramStart"/>
                      <w:r w:rsidRPr="00D34CE9">
                        <w:rPr>
                          <w:rFonts w:asciiTheme="minorHAnsi" w:hAnsiTheme="minorHAnsi" w:cstheme="minorHAnsi"/>
                          <w:color w:val="000000"/>
                          <w:sz w:val="20"/>
                          <w:szCs w:val="20"/>
                        </w:rPr>
                        <w:t>goats</w:t>
                      </w:r>
                      <w:proofErr w:type="gramEnd"/>
                      <w:r w:rsidRPr="00D34CE9">
                        <w:rPr>
                          <w:rFonts w:asciiTheme="minorHAnsi" w:hAnsiTheme="minorHAnsi" w:cstheme="minorHAnsi"/>
                          <w:color w:val="000000"/>
                          <w:sz w:val="20"/>
                          <w:szCs w:val="20"/>
                        </w:rPr>
                        <w:t xml:space="preserve"> and pigs, and will play a central role in the proposed NHTS.</w:t>
                      </w:r>
                    </w:p>
                    <w:p w14:paraId="347FCD2F" w14:textId="77777777" w:rsidR="00675A45" w:rsidRPr="00D34CE9" w:rsidRDefault="00675A45" w:rsidP="00675A45">
                      <w:pPr>
                        <w:spacing w:after="0" w:line="240" w:lineRule="auto"/>
                        <w:rPr>
                          <w:sz w:val="20"/>
                          <w:szCs w:val="20"/>
                        </w:rPr>
                      </w:pPr>
                    </w:p>
                  </w:txbxContent>
                </v:textbox>
                <w10:anchorlock/>
              </v:shape>
            </w:pict>
          </mc:Fallback>
        </mc:AlternateContent>
      </w:r>
    </w:p>
    <w:p w14:paraId="09E74F42" w14:textId="194DE282" w:rsidR="00EE58AA" w:rsidRPr="00EE58AA" w:rsidRDefault="00EE58AA" w:rsidP="00247A8E">
      <w:pPr>
        <w:spacing w:after="0" w:line="240" w:lineRule="auto"/>
        <w:rPr>
          <w:b/>
          <w:lang w:val="en-US"/>
        </w:rPr>
      </w:pPr>
      <w:r w:rsidRPr="00EE58AA">
        <w:rPr>
          <w:b/>
          <w:lang w:val="en-US"/>
        </w:rPr>
        <w:lastRenderedPageBreak/>
        <w:t>NHTWG recommendations</w:t>
      </w:r>
    </w:p>
    <w:p w14:paraId="39BE4C1D" w14:textId="3BBF3BB5" w:rsidR="00623408" w:rsidRPr="00422C1E" w:rsidRDefault="000A498A" w:rsidP="00623408">
      <w:pPr>
        <w:spacing w:after="0" w:line="240" w:lineRule="auto"/>
        <w:rPr>
          <w:rFonts w:cstheme="minorHAnsi"/>
        </w:rPr>
      </w:pPr>
      <w:r>
        <w:rPr>
          <w:lang w:val="en-US"/>
        </w:rPr>
        <w:t xml:space="preserve">Having taken into consideration the diverse range of purposes for which horses are kept in Australia, current biosecurity threats and cost, the </w:t>
      </w:r>
      <w:r w:rsidR="00623408" w:rsidRPr="00422C1E">
        <w:rPr>
          <w:rFonts w:cstheme="minorHAnsi"/>
        </w:rPr>
        <w:t>NHTWG recommend</w:t>
      </w:r>
      <w:r w:rsidR="00623408">
        <w:rPr>
          <w:rFonts w:cstheme="minorHAnsi"/>
        </w:rPr>
        <w:t>ed to Australia’s Agriculture Ministers that Option 2 be introduced</w:t>
      </w:r>
      <w:r w:rsidR="00623408" w:rsidRPr="00422C1E">
        <w:rPr>
          <w:rFonts w:cstheme="minorHAnsi"/>
        </w:rPr>
        <w:t>, subject to agreement on funding</w:t>
      </w:r>
      <w:r w:rsidR="00623408">
        <w:rPr>
          <w:rFonts w:cstheme="minorHAnsi"/>
        </w:rPr>
        <w:t xml:space="preserve">. The </w:t>
      </w:r>
      <w:r w:rsidR="00623408" w:rsidRPr="00422C1E">
        <w:rPr>
          <w:rFonts w:cstheme="minorHAnsi"/>
        </w:rPr>
        <w:t xml:space="preserve">features </w:t>
      </w:r>
      <w:r w:rsidR="00623408">
        <w:rPr>
          <w:rFonts w:cstheme="minorHAnsi"/>
        </w:rPr>
        <w:t>of this option include</w:t>
      </w:r>
      <w:r w:rsidR="00623408" w:rsidRPr="00422C1E">
        <w:rPr>
          <w:rFonts w:cstheme="minorHAnsi"/>
        </w:rPr>
        <w:t xml:space="preserve">: </w:t>
      </w:r>
    </w:p>
    <w:p w14:paraId="547AD172" w14:textId="48A66B25" w:rsidR="00623408" w:rsidRPr="00A908CD" w:rsidRDefault="00623408" w:rsidP="00623408">
      <w:pPr>
        <w:pStyle w:val="ListBullet"/>
        <w:widowControl w:val="0"/>
        <w:numPr>
          <w:ilvl w:val="0"/>
          <w:numId w:val="16"/>
        </w:numPr>
        <w:spacing w:after="0"/>
        <w:rPr>
          <w:rFonts w:asciiTheme="minorHAnsi" w:hAnsiTheme="minorHAnsi" w:cstheme="minorHAnsi"/>
          <w:sz w:val="22"/>
          <w:lang w:eastAsia="en-AU"/>
        </w:rPr>
      </w:pPr>
      <w:r w:rsidRPr="00A908CD">
        <w:rPr>
          <w:rFonts w:asciiTheme="minorHAnsi" w:hAnsiTheme="minorHAnsi" w:cstheme="minorHAnsi"/>
          <w:sz w:val="22"/>
          <w:lang w:eastAsia="en-AU"/>
        </w:rPr>
        <w:t>The registration and assigning of PICs to all properties throughout Australia on which domesticated</w:t>
      </w:r>
      <w:r>
        <w:rPr>
          <w:rFonts w:asciiTheme="minorHAnsi" w:hAnsiTheme="minorHAnsi" w:cstheme="minorHAnsi"/>
          <w:sz w:val="22"/>
          <w:lang w:eastAsia="en-AU"/>
        </w:rPr>
        <w:t xml:space="preserve"> </w:t>
      </w:r>
      <w:r w:rsidRPr="00A908CD">
        <w:rPr>
          <w:rFonts w:asciiTheme="minorHAnsi" w:hAnsiTheme="minorHAnsi" w:cstheme="minorHAnsi"/>
          <w:sz w:val="22"/>
          <w:lang w:eastAsia="en-AU"/>
        </w:rPr>
        <w:t>horses reside</w:t>
      </w:r>
      <w:r>
        <w:rPr>
          <w:rFonts w:asciiTheme="minorHAnsi" w:hAnsiTheme="minorHAnsi" w:cstheme="minorHAnsi"/>
          <w:sz w:val="22"/>
          <w:lang w:eastAsia="en-AU"/>
        </w:rPr>
        <w:t>.</w:t>
      </w:r>
    </w:p>
    <w:p w14:paraId="06C1E540" w14:textId="33693F09" w:rsidR="00623408" w:rsidRPr="00A908CD" w:rsidRDefault="00623408" w:rsidP="00623408">
      <w:pPr>
        <w:pStyle w:val="ListBullet"/>
        <w:widowControl w:val="0"/>
        <w:numPr>
          <w:ilvl w:val="0"/>
          <w:numId w:val="16"/>
        </w:numPr>
        <w:spacing w:after="0"/>
        <w:rPr>
          <w:rFonts w:asciiTheme="minorHAnsi" w:hAnsiTheme="minorHAnsi" w:cstheme="minorHAnsi"/>
          <w:sz w:val="22"/>
          <w:lang w:eastAsia="en-AU"/>
        </w:rPr>
      </w:pPr>
      <w:r w:rsidRPr="00A908CD">
        <w:rPr>
          <w:rFonts w:asciiTheme="minorHAnsi" w:hAnsiTheme="minorHAnsi" w:cstheme="minorHAnsi"/>
          <w:sz w:val="22"/>
          <w:lang w:eastAsia="en-AU"/>
        </w:rPr>
        <w:t>Uniform national PIC​ business rules for properties on which horses reside</w:t>
      </w:r>
      <w:r>
        <w:rPr>
          <w:rFonts w:asciiTheme="minorHAnsi" w:hAnsiTheme="minorHAnsi" w:cstheme="minorHAnsi"/>
          <w:sz w:val="22"/>
          <w:lang w:eastAsia="en-AU"/>
        </w:rPr>
        <w:t>.</w:t>
      </w:r>
    </w:p>
    <w:p w14:paraId="57846BC4" w14:textId="043C4906" w:rsidR="00623408" w:rsidRPr="00A908CD" w:rsidRDefault="00623408" w:rsidP="00623408">
      <w:pPr>
        <w:pStyle w:val="ListBullet"/>
        <w:widowControl w:val="0"/>
        <w:numPr>
          <w:ilvl w:val="0"/>
          <w:numId w:val="16"/>
        </w:numPr>
        <w:spacing w:after="0"/>
        <w:rPr>
          <w:rFonts w:asciiTheme="minorHAnsi" w:hAnsiTheme="minorHAnsi" w:cstheme="minorHAnsi"/>
          <w:sz w:val="22"/>
          <w:lang w:eastAsia="en-AU"/>
        </w:rPr>
      </w:pPr>
      <w:r w:rsidRPr="00A908CD">
        <w:rPr>
          <w:rFonts w:asciiTheme="minorHAnsi" w:hAnsiTheme="minorHAnsi" w:cstheme="minorHAnsi"/>
          <w:sz w:val="22"/>
          <w:lang w:eastAsia="en-AU"/>
        </w:rPr>
        <w:t xml:space="preserve">Enforcement by the </w:t>
      </w:r>
      <w:r w:rsidR="00072E98">
        <w:rPr>
          <w:rFonts w:asciiTheme="minorHAnsi" w:hAnsiTheme="minorHAnsi" w:cstheme="minorHAnsi"/>
          <w:sz w:val="22"/>
          <w:lang w:eastAsia="en-AU"/>
        </w:rPr>
        <w:t>states and territories</w:t>
      </w:r>
      <w:r w:rsidRPr="00A908CD">
        <w:rPr>
          <w:rFonts w:asciiTheme="minorHAnsi" w:hAnsiTheme="minorHAnsi" w:cstheme="minorHAnsi"/>
          <w:sz w:val="22"/>
          <w:lang w:eastAsia="en-AU"/>
        </w:rPr>
        <w:t xml:space="preserve"> of PIC rules and associated legislation</w:t>
      </w:r>
      <w:r>
        <w:rPr>
          <w:rFonts w:asciiTheme="minorHAnsi" w:hAnsiTheme="minorHAnsi" w:cstheme="minorHAnsi"/>
          <w:sz w:val="22"/>
          <w:lang w:eastAsia="en-AU"/>
        </w:rPr>
        <w:t>.</w:t>
      </w:r>
    </w:p>
    <w:p w14:paraId="0E271BCB" w14:textId="28EEC036" w:rsidR="00623408" w:rsidRPr="00A908CD" w:rsidRDefault="00623408" w:rsidP="00623408">
      <w:pPr>
        <w:pStyle w:val="ListBullet"/>
        <w:widowControl w:val="0"/>
        <w:numPr>
          <w:ilvl w:val="0"/>
          <w:numId w:val="16"/>
        </w:numPr>
        <w:spacing w:after="0"/>
        <w:rPr>
          <w:rFonts w:asciiTheme="minorHAnsi" w:hAnsiTheme="minorHAnsi" w:cstheme="minorHAnsi"/>
          <w:sz w:val="22"/>
          <w:lang w:eastAsia="en-AU"/>
        </w:rPr>
      </w:pPr>
      <w:r w:rsidRPr="00A908CD">
        <w:rPr>
          <w:rFonts w:asciiTheme="minorHAnsi" w:hAnsiTheme="minorHAnsi" w:cstheme="minorHAnsi"/>
          <w:sz w:val="22"/>
          <w:lang w:eastAsia="en-AU"/>
        </w:rPr>
        <w:t>Mandatory recording by industry participants of horse movements between PICs</w:t>
      </w:r>
      <w:r>
        <w:rPr>
          <w:rFonts w:asciiTheme="minorHAnsi" w:hAnsiTheme="minorHAnsi" w:cstheme="minorHAnsi"/>
          <w:sz w:val="22"/>
          <w:lang w:eastAsia="en-AU"/>
        </w:rPr>
        <w:t>.</w:t>
      </w:r>
    </w:p>
    <w:p w14:paraId="0D61E934" w14:textId="6A50A876" w:rsidR="00623408" w:rsidRPr="00A908CD" w:rsidRDefault="00623408" w:rsidP="00623408">
      <w:pPr>
        <w:pStyle w:val="ListBullet"/>
        <w:widowControl w:val="0"/>
        <w:numPr>
          <w:ilvl w:val="0"/>
          <w:numId w:val="16"/>
        </w:numPr>
        <w:spacing w:after="0"/>
        <w:rPr>
          <w:rFonts w:asciiTheme="minorHAnsi" w:hAnsiTheme="minorHAnsi" w:cstheme="minorHAnsi"/>
          <w:sz w:val="22"/>
          <w:lang w:eastAsia="en-AU"/>
        </w:rPr>
      </w:pPr>
      <w:r w:rsidRPr="00A908CD">
        <w:rPr>
          <w:rFonts w:asciiTheme="minorHAnsi" w:hAnsiTheme="minorHAnsi" w:cstheme="minorHAnsi"/>
          <w:sz w:val="22"/>
          <w:lang w:eastAsia="en-AU"/>
        </w:rPr>
        <w:t>Voluntary microchipping in a standardised manner and associated registration of ‘chipped’ horses on existing databases</w:t>
      </w:r>
      <w:r>
        <w:rPr>
          <w:rFonts w:asciiTheme="minorHAnsi" w:hAnsiTheme="minorHAnsi" w:cstheme="minorHAnsi"/>
          <w:sz w:val="22"/>
          <w:lang w:eastAsia="en-AU"/>
        </w:rPr>
        <w:t>.</w:t>
      </w:r>
    </w:p>
    <w:p w14:paraId="003C3B0C" w14:textId="6EF8CD8C" w:rsidR="00623408" w:rsidRPr="00A908CD" w:rsidRDefault="00623408" w:rsidP="00623408">
      <w:pPr>
        <w:pStyle w:val="ListBullet"/>
        <w:widowControl w:val="0"/>
        <w:numPr>
          <w:ilvl w:val="0"/>
          <w:numId w:val="16"/>
        </w:numPr>
        <w:spacing w:after="0"/>
        <w:rPr>
          <w:rFonts w:asciiTheme="minorHAnsi" w:hAnsiTheme="minorHAnsi" w:cstheme="minorHAnsi"/>
          <w:sz w:val="22"/>
          <w:lang w:eastAsia="en-AU"/>
        </w:rPr>
      </w:pPr>
      <w:r w:rsidRPr="00A908CD">
        <w:rPr>
          <w:rFonts w:asciiTheme="minorHAnsi" w:hAnsiTheme="minorHAnsi" w:cstheme="minorHAnsi"/>
          <w:sz w:val="22"/>
          <w:lang w:eastAsia="en-AU"/>
        </w:rPr>
        <w:t>Mandatory microchipping as an option in sectors where there is a particular need, such as to support integrity imperatives within the racing industries</w:t>
      </w:r>
      <w:r>
        <w:rPr>
          <w:rFonts w:asciiTheme="minorHAnsi" w:hAnsiTheme="minorHAnsi" w:cstheme="minorHAnsi"/>
          <w:sz w:val="22"/>
          <w:lang w:eastAsia="en-AU"/>
        </w:rPr>
        <w:t>.</w:t>
      </w:r>
    </w:p>
    <w:p w14:paraId="21B1F5F5" w14:textId="3EB0D418" w:rsidR="00623408" w:rsidRPr="00A908CD" w:rsidRDefault="00623408" w:rsidP="00623408">
      <w:pPr>
        <w:pStyle w:val="ListBullet"/>
        <w:widowControl w:val="0"/>
        <w:numPr>
          <w:ilvl w:val="0"/>
          <w:numId w:val="16"/>
        </w:numPr>
        <w:spacing w:after="0"/>
        <w:rPr>
          <w:rFonts w:asciiTheme="minorHAnsi" w:hAnsiTheme="minorHAnsi" w:cstheme="minorHAnsi"/>
          <w:sz w:val="22"/>
          <w:lang w:eastAsia="en-AU"/>
        </w:rPr>
      </w:pPr>
      <w:r w:rsidRPr="00A908CD">
        <w:rPr>
          <w:rFonts w:asciiTheme="minorHAnsi" w:hAnsiTheme="minorHAnsi" w:cstheme="minorHAnsi"/>
          <w:sz w:val="22"/>
          <w:lang w:eastAsia="en-AU"/>
        </w:rPr>
        <w:t>Use of industry</w:t>
      </w:r>
      <w:r w:rsidR="00072E98">
        <w:rPr>
          <w:rFonts w:asciiTheme="minorHAnsi" w:hAnsiTheme="minorHAnsi" w:cstheme="minorHAnsi"/>
          <w:sz w:val="22"/>
          <w:lang w:eastAsia="en-AU"/>
        </w:rPr>
        <w:t>-</w:t>
      </w:r>
      <w:r w:rsidRPr="00A908CD">
        <w:rPr>
          <w:rFonts w:asciiTheme="minorHAnsi" w:hAnsiTheme="minorHAnsi" w:cstheme="minorHAnsi"/>
          <w:sz w:val="22"/>
          <w:lang w:eastAsia="en-AU"/>
        </w:rPr>
        <w:t>managed microchip or paper-based tracking ​(no national ownership or movement register)​</w:t>
      </w:r>
      <w:r>
        <w:rPr>
          <w:rFonts w:asciiTheme="minorHAnsi" w:hAnsiTheme="minorHAnsi" w:cstheme="minorHAnsi"/>
          <w:sz w:val="22"/>
          <w:lang w:eastAsia="en-AU"/>
        </w:rPr>
        <w:t>.</w:t>
      </w:r>
    </w:p>
    <w:p w14:paraId="43356D21" w14:textId="7A4167E7" w:rsidR="00623408" w:rsidRPr="00A908CD" w:rsidRDefault="001F5327" w:rsidP="00623408">
      <w:pPr>
        <w:pStyle w:val="ListBullet"/>
        <w:widowControl w:val="0"/>
        <w:numPr>
          <w:ilvl w:val="0"/>
          <w:numId w:val="16"/>
        </w:numPr>
        <w:spacing w:after="0"/>
        <w:rPr>
          <w:rFonts w:asciiTheme="minorHAnsi" w:hAnsiTheme="minorHAnsi" w:cstheme="minorHAnsi"/>
          <w:sz w:val="22"/>
          <w:lang w:eastAsia="en-AU"/>
        </w:rPr>
      </w:pPr>
      <w:r>
        <w:rPr>
          <w:rFonts w:asciiTheme="minorHAnsi" w:hAnsiTheme="minorHAnsi" w:cstheme="minorHAnsi"/>
          <w:sz w:val="22"/>
          <w:lang w:eastAsia="en-AU"/>
        </w:rPr>
        <w:t>Embedding of PIC data in industry registers.</w:t>
      </w:r>
    </w:p>
    <w:p w14:paraId="73A86AE5" w14:textId="64E803A5" w:rsidR="00623408" w:rsidRPr="00A908CD" w:rsidRDefault="00623408" w:rsidP="00623408">
      <w:pPr>
        <w:pStyle w:val="ListBullet"/>
        <w:widowControl w:val="0"/>
        <w:numPr>
          <w:ilvl w:val="0"/>
          <w:numId w:val="16"/>
        </w:numPr>
        <w:spacing w:after="0"/>
        <w:rPr>
          <w:rFonts w:asciiTheme="minorHAnsi" w:hAnsiTheme="minorHAnsi" w:cstheme="minorHAnsi"/>
          <w:sz w:val="22"/>
          <w:lang w:eastAsia="en-AU"/>
        </w:rPr>
      </w:pPr>
      <w:r w:rsidRPr="00A908CD">
        <w:rPr>
          <w:rFonts w:asciiTheme="minorHAnsi" w:hAnsiTheme="minorHAnsi" w:cstheme="minorHAnsi"/>
          <w:sz w:val="22"/>
          <w:lang w:eastAsia="en-AU"/>
        </w:rPr>
        <w:t>Industry registers with authority to release data to government agencies specifically and exclusively for biosecurity and emergency response purposes</w:t>
      </w:r>
      <w:r>
        <w:rPr>
          <w:rFonts w:asciiTheme="minorHAnsi" w:hAnsiTheme="minorHAnsi" w:cstheme="minorHAnsi"/>
          <w:sz w:val="22"/>
          <w:lang w:eastAsia="en-AU"/>
        </w:rPr>
        <w:t>.</w:t>
      </w:r>
    </w:p>
    <w:p w14:paraId="286D9896" w14:textId="77777777" w:rsidR="00623408" w:rsidRDefault="00623408" w:rsidP="00623408">
      <w:pPr>
        <w:spacing w:after="0" w:line="240" w:lineRule="auto"/>
        <w:rPr>
          <w:rFonts w:cstheme="minorHAnsi"/>
        </w:rPr>
      </w:pPr>
    </w:p>
    <w:p w14:paraId="1F19C037" w14:textId="48DB35CA" w:rsidR="00623408" w:rsidRPr="00422C1E" w:rsidRDefault="00623408" w:rsidP="00623408">
      <w:pPr>
        <w:spacing w:after="0" w:line="240" w:lineRule="auto"/>
        <w:rPr>
          <w:rFonts w:cstheme="minorHAnsi"/>
        </w:rPr>
      </w:pPr>
      <w:r w:rsidRPr="00422C1E">
        <w:rPr>
          <w:rFonts w:cstheme="minorHAnsi"/>
        </w:rPr>
        <w:t>The NHTWG also recommend</w:t>
      </w:r>
      <w:r>
        <w:rPr>
          <w:rFonts w:cstheme="minorHAnsi"/>
        </w:rPr>
        <w:t>ed</w:t>
      </w:r>
      <w:r w:rsidRPr="00422C1E">
        <w:rPr>
          <w:rFonts w:cstheme="minorHAnsi"/>
        </w:rPr>
        <w:t xml:space="preserve"> that an industry-led National Horse Traceability Implementation Taskforce be formed with responsibilit</w:t>
      </w:r>
      <w:r w:rsidR="007C5E15">
        <w:rPr>
          <w:rFonts w:cstheme="minorHAnsi"/>
        </w:rPr>
        <w:t xml:space="preserve">ies including exploring options for </w:t>
      </w:r>
      <w:r w:rsidRPr="00422C1E">
        <w:rPr>
          <w:rFonts w:cstheme="minorHAnsi"/>
          <w:color w:val="000000" w:themeColor="text1"/>
        </w:rPr>
        <w:t xml:space="preserve">generating the funding needed for system implementation and maintenance, in particular covering costs associated with communications, </w:t>
      </w:r>
      <w:proofErr w:type="gramStart"/>
      <w:r w:rsidRPr="00422C1E">
        <w:rPr>
          <w:rFonts w:cstheme="minorHAnsi"/>
          <w:color w:val="000000" w:themeColor="text1"/>
        </w:rPr>
        <w:t>monitoring</w:t>
      </w:r>
      <w:proofErr w:type="gramEnd"/>
      <w:r w:rsidRPr="00422C1E">
        <w:rPr>
          <w:rFonts w:cstheme="minorHAnsi"/>
          <w:color w:val="000000" w:themeColor="text1"/>
        </w:rPr>
        <w:t xml:space="preserve"> and enforcement.</w:t>
      </w:r>
    </w:p>
    <w:p w14:paraId="3A866EE5" w14:textId="6DFA67C8" w:rsidR="00B371F1" w:rsidRDefault="00B371F1" w:rsidP="00B371F1">
      <w:pPr>
        <w:spacing w:after="0" w:line="240" w:lineRule="auto"/>
        <w:rPr>
          <w:lang w:val="en-US"/>
        </w:rPr>
      </w:pPr>
    </w:p>
    <w:p w14:paraId="3A6C510D" w14:textId="7A86F42E" w:rsidR="00082750" w:rsidRPr="00082750" w:rsidRDefault="00072E98" w:rsidP="00B371F1">
      <w:pPr>
        <w:spacing w:after="0" w:line="240" w:lineRule="auto"/>
        <w:rPr>
          <w:b/>
          <w:lang w:val="en-US"/>
        </w:rPr>
      </w:pPr>
      <w:r>
        <w:rPr>
          <w:b/>
          <w:lang w:val="en-US"/>
        </w:rPr>
        <w:t>Why not microchips?</w:t>
      </w:r>
    </w:p>
    <w:p w14:paraId="21927066" w14:textId="06AD231A" w:rsidR="00DE47E7" w:rsidRPr="00DD7108" w:rsidRDefault="00082750" w:rsidP="00B371F1">
      <w:pPr>
        <w:spacing w:after="0" w:line="240" w:lineRule="auto"/>
        <w:rPr>
          <w:color w:val="000000"/>
          <w:shd w:val="clear" w:color="auto" w:fill="FFFFFF"/>
        </w:rPr>
      </w:pPr>
      <w:r w:rsidRPr="00DD7108">
        <w:t>A</w:t>
      </w:r>
      <w:r w:rsidRPr="00DD7108">
        <w:rPr>
          <w:color w:val="000000"/>
          <w:shd w:val="clear" w:color="auto" w:fill="FFFFFF"/>
        </w:rPr>
        <w:t xml:space="preserve">lthough </w:t>
      </w:r>
      <w:r w:rsidR="007C5E15">
        <w:rPr>
          <w:color w:val="000000"/>
          <w:shd w:val="clear" w:color="auto" w:fill="FFFFFF"/>
        </w:rPr>
        <w:t xml:space="preserve">the </w:t>
      </w:r>
      <w:r w:rsidR="00F62A6C">
        <w:rPr>
          <w:color w:val="000000"/>
          <w:shd w:val="clear" w:color="auto" w:fill="FFFFFF"/>
        </w:rPr>
        <w:t>introduction</w:t>
      </w:r>
      <w:r w:rsidR="00F62A6C" w:rsidRPr="00DD7108">
        <w:rPr>
          <w:color w:val="000000"/>
          <w:shd w:val="clear" w:color="auto" w:fill="FFFFFF"/>
        </w:rPr>
        <w:t xml:space="preserve"> </w:t>
      </w:r>
      <w:r w:rsidRPr="00DD7108">
        <w:rPr>
          <w:color w:val="000000"/>
          <w:shd w:val="clear" w:color="auto" w:fill="FFFFFF"/>
        </w:rPr>
        <w:t xml:space="preserve">of a NHTS </w:t>
      </w:r>
      <w:r w:rsidR="00F62A6C">
        <w:rPr>
          <w:color w:val="000000"/>
          <w:shd w:val="clear" w:color="auto" w:fill="FFFFFF"/>
        </w:rPr>
        <w:t xml:space="preserve">based on the mandatory identification of </w:t>
      </w:r>
      <w:r w:rsidR="00707A77">
        <w:rPr>
          <w:color w:val="000000"/>
          <w:shd w:val="clear" w:color="auto" w:fill="FFFFFF"/>
        </w:rPr>
        <w:t xml:space="preserve">each </w:t>
      </w:r>
      <w:r w:rsidR="00F62A6C">
        <w:rPr>
          <w:color w:val="000000"/>
          <w:shd w:val="clear" w:color="auto" w:fill="FFFFFF"/>
        </w:rPr>
        <w:t>horse with a microchip</w:t>
      </w:r>
      <w:r w:rsidRPr="00DD7108">
        <w:rPr>
          <w:color w:val="000000"/>
          <w:shd w:val="clear" w:color="auto" w:fill="FFFFFF"/>
        </w:rPr>
        <w:t xml:space="preserve"> may be </w:t>
      </w:r>
      <w:r w:rsidR="00F62A6C">
        <w:rPr>
          <w:color w:val="000000"/>
          <w:shd w:val="clear" w:color="auto" w:fill="FFFFFF"/>
        </w:rPr>
        <w:t>advantageous</w:t>
      </w:r>
      <w:r w:rsidR="00F62A6C" w:rsidRPr="00DD7108">
        <w:rPr>
          <w:color w:val="000000"/>
        </w:rPr>
        <w:t xml:space="preserve"> </w:t>
      </w:r>
      <w:r w:rsidRPr="00DD7108">
        <w:rPr>
          <w:color w:val="000000"/>
        </w:rPr>
        <w:t xml:space="preserve">in </w:t>
      </w:r>
      <w:r w:rsidR="007C5E15">
        <w:rPr>
          <w:color w:val="000000"/>
        </w:rPr>
        <w:t xml:space="preserve">the </w:t>
      </w:r>
      <w:r w:rsidRPr="00DD7108">
        <w:rPr>
          <w:color w:val="000000"/>
        </w:rPr>
        <w:t>future</w:t>
      </w:r>
      <w:r w:rsidRPr="00DD7108">
        <w:rPr>
          <w:color w:val="000000"/>
          <w:shd w:val="clear" w:color="auto" w:fill="FFFFFF"/>
        </w:rPr>
        <w:t xml:space="preserve">, </w:t>
      </w:r>
      <w:r w:rsidR="00072E98">
        <w:rPr>
          <w:color w:val="000000"/>
          <w:shd w:val="clear" w:color="auto" w:fill="FFFFFF"/>
        </w:rPr>
        <w:t>t</w:t>
      </w:r>
      <w:r w:rsidRPr="00DD7108">
        <w:rPr>
          <w:color w:val="000000"/>
          <w:shd w:val="clear" w:color="auto" w:fill="FFFFFF"/>
        </w:rPr>
        <w:t xml:space="preserve">he </w:t>
      </w:r>
      <w:r w:rsidRPr="00DD7108">
        <w:rPr>
          <w:lang w:eastAsia="ja-JP"/>
        </w:rPr>
        <w:t>NHTWG</w:t>
      </w:r>
      <w:r w:rsidRPr="00DD7108">
        <w:rPr>
          <w:color w:val="000000"/>
          <w:shd w:val="clear" w:color="auto" w:fill="FFFFFF"/>
        </w:rPr>
        <w:t xml:space="preserve"> agree</w:t>
      </w:r>
      <w:r w:rsidRPr="00DD7108">
        <w:rPr>
          <w:color w:val="000000"/>
        </w:rPr>
        <w:t>d</w:t>
      </w:r>
      <w:r w:rsidRPr="00DD7108">
        <w:rPr>
          <w:color w:val="000000"/>
          <w:shd w:val="clear" w:color="auto" w:fill="FFFFFF"/>
        </w:rPr>
        <w:t xml:space="preserve"> that </w:t>
      </w:r>
      <w:r w:rsidR="00DE47E7" w:rsidRPr="00DD7108">
        <w:rPr>
          <w:color w:val="000000"/>
          <w:shd w:val="clear" w:color="auto" w:fill="FFFFFF"/>
        </w:rPr>
        <w:t xml:space="preserve">Option 2 provides </w:t>
      </w:r>
      <w:r w:rsidRPr="00DD7108">
        <w:rPr>
          <w:color w:val="000000"/>
          <w:shd w:val="clear" w:color="auto" w:fill="FFFFFF"/>
        </w:rPr>
        <w:t>a base level policy and system platform as a starting point</w:t>
      </w:r>
      <w:r w:rsidRPr="00DD7108">
        <w:rPr>
          <w:color w:val="000000"/>
        </w:rPr>
        <w:t xml:space="preserve"> </w:t>
      </w:r>
      <w:r w:rsidR="00DE47E7" w:rsidRPr="00DD7108">
        <w:rPr>
          <w:color w:val="000000"/>
        </w:rPr>
        <w:t xml:space="preserve">to </w:t>
      </w:r>
      <w:r w:rsidRPr="00DD7108">
        <w:rPr>
          <w:color w:val="000000"/>
        </w:rPr>
        <w:t>deliver</w:t>
      </w:r>
      <w:r w:rsidR="00DE47E7" w:rsidRPr="00DD7108">
        <w:rPr>
          <w:color w:val="000000"/>
        </w:rPr>
        <w:t xml:space="preserve"> a</w:t>
      </w:r>
      <w:r w:rsidRPr="00DD7108">
        <w:rPr>
          <w:color w:val="000000"/>
        </w:rPr>
        <w:t xml:space="preserve"> </w:t>
      </w:r>
      <w:r w:rsidR="00196D41">
        <w:rPr>
          <w:color w:val="000000"/>
        </w:rPr>
        <w:t xml:space="preserve">workable </w:t>
      </w:r>
      <w:r w:rsidRPr="00DD7108">
        <w:rPr>
          <w:color w:val="000000"/>
        </w:rPr>
        <w:t xml:space="preserve">traceability </w:t>
      </w:r>
      <w:r w:rsidR="00DE47E7" w:rsidRPr="00DD7108">
        <w:rPr>
          <w:color w:val="000000"/>
        </w:rPr>
        <w:t xml:space="preserve">system </w:t>
      </w:r>
      <w:r w:rsidRPr="00DD7108">
        <w:rPr>
          <w:color w:val="000000"/>
        </w:rPr>
        <w:t>for biosecurity purposes</w:t>
      </w:r>
      <w:r w:rsidR="00DE47E7" w:rsidRPr="00DD7108">
        <w:rPr>
          <w:color w:val="000000"/>
        </w:rPr>
        <w:t xml:space="preserve">. It also allows for a </w:t>
      </w:r>
      <w:r w:rsidRPr="00DD7108">
        <w:rPr>
          <w:color w:val="000000"/>
        </w:rPr>
        <w:t>more comprehensive NHTS</w:t>
      </w:r>
      <w:r w:rsidR="00DE47E7" w:rsidRPr="00DD7108">
        <w:rPr>
          <w:color w:val="000000"/>
        </w:rPr>
        <w:t xml:space="preserve"> to be introduced </w:t>
      </w:r>
      <w:proofErr w:type="gramStart"/>
      <w:r w:rsidR="00DE47E7" w:rsidRPr="00DD7108">
        <w:rPr>
          <w:color w:val="000000"/>
        </w:rPr>
        <w:t>at a later date</w:t>
      </w:r>
      <w:proofErr w:type="gramEnd"/>
      <w:r w:rsidR="00DE47E7" w:rsidRPr="00DD7108">
        <w:rPr>
          <w:color w:val="000000"/>
        </w:rPr>
        <w:t xml:space="preserve"> if </w:t>
      </w:r>
      <w:r w:rsidR="00072E98">
        <w:rPr>
          <w:color w:val="000000"/>
        </w:rPr>
        <w:t xml:space="preserve">required and </w:t>
      </w:r>
      <w:r w:rsidR="00F62A6C">
        <w:rPr>
          <w:color w:val="000000"/>
        </w:rPr>
        <w:t>if funding is available</w:t>
      </w:r>
      <w:r w:rsidRPr="00DD7108">
        <w:rPr>
          <w:color w:val="000000"/>
        </w:rPr>
        <w:t>.</w:t>
      </w:r>
      <w:r w:rsidRPr="00DD7108">
        <w:rPr>
          <w:color w:val="000000"/>
          <w:shd w:val="clear" w:color="auto" w:fill="FFFFFF"/>
        </w:rPr>
        <w:t> </w:t>
      </w:r>
    </w:p>
    <w:p w14:paraId="2876DFE0" w14:textId="4BECF37D" w:rsidR="00DE47E7" w:rsidRPr="00DD7108" w:rsidRDefault="00DE47E7" w:rsidP="00B371F1">
      <w:pPr>
        <w:spacing w:after="0" w:line="240" w:lineRule="auto"/>
        <w:rPr>
          <w:color w:val="000000"/>
          <w:shd w:val="clear" w:color="auto" w:fill="FFFFFF"/>
        </w:rPr>
      </w:pPr>
    </w:p>
    <w:p w14:paraId="5C45D3A2" w14:textId="53450828" w:rsidR="00DE47E7" w:rsidRPr="00DD7108" w:rsidRDefault="00DE47E7" w:rsidP="00B371F1">
      <w:pPr>
        <w:spacing w:after="0" w:line="240" w:lineRule="auto"/>
        <w:rPr>
          <w:color w:val="000000"/>
          <w:shd w:val="clear" w:color="auto" w:fill="FFFFFF"/>
        </w:rPr>
      </w:pPr>
      <w:r w:rsidRPr="00DD7108">
        <w:rPr>
          <w:color w:val="000000"/>
          <w:shd w:val="clear" w:color="auto" w:fill="FFFFFF"/>
        </w:rPr>
        <w:t>The NHTWG recognised that, at this time, m</w:t>
      </w:r>
      <w:r w:rsidRPr="00DD7108">
        <w:t xml:space="preserve">andatory microchipping and movement recording on a national database would add significant additional costs and </w:t>
      </w:r>
      <w:r w:rsidR="00C0158A">
        <w:t xml:space="preserve">could </w:t>
      </w:r>
      <w:r w:rsidRPr="00DD7108">
        <w:t xml:space="preserve">result in compliance and integrity issues for minimal improvement in tracing efficiency for biosecurity purposes. </w:t>
      </w:r>
    </w:p>
    <w:p w14:paraId="7F41A468" w14:textId="144D3108" w:rsidR="00080D15" w:rsidRPr="00DD7108" w:rsidRDefault="00080D15" w:rsidP="00247A8E">
      <w:pPr>
        <w:spacing w:after="0" w:line="240" w:lineRule="auto"/>
        <w:rPr>
          <w:lang w:val="en-US"/>
        </w:rPr>
      </w:pPr>
    </w:p>
    <w:p w14:paraId="0F135E66" w14:textId="1FFA165F" w:rsidR="00080D15" w:rsidRPr="00DD7108" w:rsidRDefault="00DE47E7" w:rsidP="00DD7108">
      <w:pPr>
        <w:tabs>
          <w:tab w:val="left" w:pos="1560"/>
        </w:tabs>
        <w:spacing w:after="0" w:line="240" w:lineRule="auto"/>
        <w:rPr>
          <w:rFonts w:cstheme="minorHAnsi"/>
        </w:rPr>
      </w:pPr>
      <w:r w:rsidRPr="00DD7108">
        <w:rPr>
          <w:rStyle w:val="contentpasted0"/>
          <w:rFonts w:cstheme="minorHAnsi"/>
        </w:rPr>
        <w:t>The NHTWG a</w:t>
      </w:r>
      <w:r w:rsidR="00080D15" w:rsidRPr="00DD7108">
        <w:rPr>
          <w:rStyle w:val="contentpasted0"/>
          <w:rFonts w:cstheme="minorHAnsi"/>
        </w:rPr>
        <w:t>cknowledged that</w:t>
      </w:r>
      <w:r w:rsidRPr="00DD7108">
        <w:rPr>
          <w:rStyle w:val="contentpasted0"/>
          <w:rFonts w:cstheme="minorHAnsi"/>
        </w:rPr>
        <w:t xml:space="preserve"> Option 2</w:t>
      </w:r>
      <w:r w:rsidR="00080D15" w:rsidRPr="00DD7108">
        <w:rPr>
          <w:rStyle w:val="contentpasted0"/>
          <w:rFonts w:cstheme="minorHAnsi"/>
        </w:rPr>
        <w:t xml:space="preserve"> is a significant departure from the current requirements </w:t>
      </w:r>
      <w:r w:rsidR="00C0158A">
        <w:rPr>
          <w:rStyle w:val="contentpasted0"/>
          <w:rFonts w:cstheme="minorHAnsi"/>
        </w:rPr>
        <w:t xml:space="preserve">for people and businesses involved in the </w:t>
      </w:r>
      <w:proofErr w:type="gramStart"/>
      <w:r w:rsidR="00C0158A">
        <w:rPr>
          <w:rStyle w:val="contentpasted0"/>
          <w:rFonts w:cstheme="minorHAnsi"/>
        </w:rPr>
        <w:t>horses</w:t>
      </w:r>
      <w:proofErr w:type="gramEnd"/>
      <w:r w:rsidR="00C0158A">
        <w:rPr>
          <w:rStyle w:val="contentpasted0"/>
          <w:rFonts w:cstheme="minorHAnsi"/>
        </w:rPr>
        <w:t xml:space="preserve"> industry</w:t>
      </w:r>
      <w:r w:rsidR="00072E98">
        <w:rPr>
          <w:rStyle w:val="contentpasted0"/>
          <w:rFonts w:cstheme="minorHAnsi"/>
        </w:rPr>
        <w:t>. At present, t</w:t>
      </w:r>
      <w:r w:rsidR="00080D15" w:rsidRPr="00DD7108">
        <w:rPr>
          <w:rStyle w:val="contentpasted0"/>
          <w:rFonts w:cstheme="minorHAnsi"/>
        </w:rPr>
        <w:t xml:space="preserve">he recreational horse industry is largely unregulated. The recommended changes will </w:t>
      </w:r>
      <w:r w:rsidR="00072E98">
        <w:rPr>
          <w:rStyle w:val="contentpasted0"/>
          <w:rFonts w:cstheme="minorHAnsi"/>
        </w:rPr>
        <w:t xml:space="preserve">increase regulation and </w:t>
      </w:r>
      <w:r w:rsidR="00080D15" w:rsidRPr="00DD7108">
        <w:rPr>
          <w:rStyle w:val="contentpasted0"/>
          <w:rFonts w:cstheme="minorHAnsi"/>
        </w:rPr>
        <w:t xml:space="preserve">require legislative amendments for all sectors of the horse industry and governments. </w:t>
      </w:r>
      <w:r w:rsidR="00072E98">
        <w:rPr>
          <w:rStyle w:val="contentpasted0"/>
          <w:rFonts w:cstheme="minorHAnsi"/>
        </w:rPr>
        <w:t>C</w:t>
      </w:r>
      <w:r w:rsidR="00080D15" w:rsidRPr="00DD7108">
        <w:rPr>
          <w:rStyle w:val="contentpasted0"/>
          <w:rFonts w:cstheme="minorHAnsi"/>
        </w:rPr>
        <w:t xml:space="preserve">onsiderable </w:t>
      </w:r>
      <w:r w:rsidR="007C5E15">
        <w:rPr>
          <w:rStyle w:val="contentpasted0"/>
          <w:rFonts w:cstheme="minorHAnsi"/>
        </w:rPr>
        <w:t xml:space="preserve">stakeholder </w:t>
      </w:r>
      <w:r w:rsidR="00080D15" w:rsidRPr="00DD7108">
        <w:rPr>
          <w:rStyle w:val="contentpasted0"/>
          <w:rFonts w:cstheme="minorHAnsi"/>
        </w:rPr>
        <w:t xml:space="preserve">support will be </w:t>
      </w:r>
      <w:r w:rsidR="007C5E15">
        <w:rPr>
          <w:rStyle w:val="contentpasted0"/>
          <w:rFonts w:cstheme="minorHAnsi"/>
        </w:rPr>
        <w:t>needed to successfully</w:t>
      </w:r>
      <w:r w:rsidR="00080D15" w:rsidRPr="00DD7108">
        <w:rPr>
          <w:rStyle w:val="contentpasted0"/>
          <w:rFonts w:cstheme="minorHAnsi"/>
        </w:rPr>
        <w:t xml:space="preserve"> implement the system, </w:t>
      </w:r>
      <w:r w:rsidR="00072E98">
        <w:rPr>
          <w:rStyle w:val="contentpasted0"/>
          <w:rFonts w:cstheme="minorHAnsi"/>
        </w:rPr>
        <w:t xml:space="preserve">which will form part of the focus of the </w:t>
      </w:r>
      <w:r w:rsidR="007C5E15">
        <w:rPr>
          <w:rStyle w:val="contentpasted0"/>
          <w:rFonts w:cstheme="minorHAnsi"/>
        </w:rPr>
        <w:t xml:space="preserve">work of the </w:t>
      </w:r>
      <w:r w:rsidR="00072E98" w:rsidRPr="00422C1E">
        <w:rPr>
          <w:rFonts w:cstheme="minorHAnsi"/>
        </w:rPr>
        <w:t>National Horse Traceability Implementation Taskforce</w:t>
      </w:r>
      <w:r w:rsidR="00080D15" w:rsidRPr="00DD7108">
        <w:rPr>
          <w:rStyle w:val="contentpasted0"/>
          <w:rFonts w:cstheme="minorHAnsi"/>
        </w:rPr>
        <w:t>.</w:t>
      </w:r>
    </w:p>
    <w:p w14:paraId="61B01D2B" w14:textId="77777777" w:rsidR="00080D15" w:rsidRDefault="00080D15" w:rsidP="00247A8E">
      <w:pPr>
        <w:spacing w:after="0" w:line="240" w:lineRule="auto"/>
        <w:rPr>
          <w:lang w:val="en-US"/>
        </w:rPr>
      </w:pPr>
    </w:p>
    <w:p w14:paraId="110B0B1A" w14:textId="77777777" w:rsidR="00623408" w:rsidRPr="00776822" w:rsidRDefault="00623408" w:rsidP="00623408">
      <w:pPr>
        <w:spacing w:after="0" w:line="240" w:lineRule="auto"/>
        <w:rPr>
          <w:b/>
        </w:rPr>
      </w:pPr>
      <w:r w:rsidRPr="00776822">
        <w:rPr>
          <w:b/>
        </w:rPr>
        <w:t>Next steps</w:t>
      </w:r>
    </w:p>
    <w:p w14:paraId="606E8EA1" w14:textId="33A82D8C" w:rsidR="00072E98" w:rsidRDefault="00E30A3A" w:rsidP="00623408">
      <w:pPr>
        <w:spacing w:after="0" w:line="240" w:lineRule="auto"/>
      </w:pPr>
      <w:r>
        <w:t>Australian Agriculture Ministers endorsed the NHTWG’s recommended approach to development of a horse traceability system at its December 2022 meeting. A National Horse Traceability Implementation Taskforce, led by industry representatives, will be formed to oversee the implementation and operation of the traceability system on behalf of the jurisdictions. Further updates will be provided as work progresses.</w:t>
      </w:r>
    </w:p>
    <w:p w14:paraId="44AFDA69" w14:textId="77777777" w:rsidR="00E30A3A" w:rsidRDefault="00E30A3A" w:rsidP="00247A8E">
      <w:pPr>
        <w:spacing w:after="0" w:line="240" w:lineRule="auto"/>
        <w:rPr>
          <w:b/>
        </w:rPr>
      </w:pPr>
    </w:p>
    <w:p w14:paraId="66B23F80" w14:textId="55E81D10" w:rsidR="00B371F1" w:rsidRDefault="00072E98" w:rsidP="00247A8E">
      <w:pPr>
        <w:spacing w:after="0" w:line="240" w:lineRule="auto"/>
        <w:rPr>
          <w:b/>
        </w:rPr>
      </w:pPr>
      <w:r>
        <w:rPr>
          <w:b/>
        </w:rPr>
        <w:t>More information</w:t>
      </w:r>
    </w:p>
    <w:p w14:paraId="47049085" w14:textId="2748C4F4" w:rsidR="00072E98" w:rsidRPr="00072E98" w:rsidRDefault="00072E98" w:rsidP="00247A8E">
      <w:pPr>
        <w:spacing w:after="0" w:line="240" w:lineRule="auto"/>
      </w:pPr>
      <w:r>
        <w:t>For detail on the NHTWG</w:t>
      </w:r>
      <w:r w:rsidR="00B6067F">
        <w:t xml:space="preserve"> and the final report</w:t>
      </w:r>
      <w:r w:rsidR="00876D4B">
        <w:t xml:space="preserve">, visit the </w:t>
      </w:r>
      <w:hyperlink r:id="rId12" w:history="1">
        <w:proofErr w:type="spellStart"/>
        <w:r w:rsidR="00876D4B" w:rsidRPr="00876D4B">
          <w:rPr>
            <w:rStyle w:val="Hyperlink"/>
          </w:rPr>
          <w:t>AgVic</w:t>
        </w:r>
        <w:proofErr w:type="spellEnd"/>
        <w:r w:rsidR="00876D4B" w:rsidRPr="00876D4B">
          <w:rPr>
            <w:rStyle w:val="Hyperlink"/>
          </w:rPr>
          <w:t xml:space="preserve"> website</w:t>
        </w:r>
      </w:hyperlink>
      <w:r w:rsidR="00876D4B">
        <w:t xml:space="preserve">. </w:t>
      </w:r>
    </w:p>
    <w:sectPr w:rsidR="00072E98" w:rsidRPr="00072E98" w:rsidSect="00675A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98F0" w14:textId="77777777" w:rsidR="00EA79FE" w:rsidRDefault="00EA79FE" w:rsidP="0002433A">
      <w:pPr>
        <w:spacing w:after="0" w:line="240" w:lineRule="auto"/>
      </w:pPr>
      <w:r>
        <w:separator/>
      </w:r>
    </w:p>
  </w:endnote>
  <w:endnote w:type="continuationSeparator" w:id="0">
    <w:p w14:paraId="23C85E5C" w14:textId="77777777" w:rsidR="00EA79FE" w:rsidRDefault="00EA79FE" w:rsidP="0002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6D52" w14:textId="77777777" w:rsidR="00EA79FE" w:rsidRDefault="00EA79FE" w:rsidP="0002433A">
      <w:pPr>
        <w:spacing w:after="0" w:line="240" w:lineRule="auto"/>
      </w:pPr>
      <w:r>
        <w:separator/>
      </w:r>
    </w:p>
  </w:footnote>
  <w:footnote w:type="continuationSeparator" w:id="0">
    <w:p w14:paraId="72B7A5D8" w14:textId="77777777" w:rsidR="00EA79FE" w:rsidRDefault="00EA79FE" w:rsidP="00024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9E25E4A"/>
    <w:multiLevelType w:val="hybridMultilevel"/>
    <w:tmpl w:val="F6F24B1E"/>
    <w:lvl w:ilvl="0" w:tplc="D8C0EB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B196B"/>
    <w:multiLevelType w:val="hybridMultilevel"/>
    <w:tmpl w:val="97C294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745BC2"/>
    <w:multiLevelType w:val="multilevel"/>
    <w:tmpl w:val="E5E89F92"/>
    <w:numStyleLink w:val="BulletList"/>
  </w:abstractNum>
  <w:abstractNum w:abstractNumId="4" w15:restartNumberingAfterBreak="0">
    <w:nsid w:val="22704B36"/>
    <w:multiLevelType w:val="hybridMultilevel"/>
    <w:tmpl w:val="13EA78CA"/>
    <w:lvl w:ilvl="0" w:tplc="D8C0EB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6487C"/>
    <w:multiLevelType w:val="hybridMultilevel"/>
    <w:tmpl w:val="438829E8"/>
    <w:lvl w:ilvl="0" w:tplc="38B626F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1232D2"/>
    <w:multiLevelType w:val="hybridMultilevel"/>
    <w:tmpl w:val="C95A2B6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540FE0"/>
    <w:multiLevelType w:val="hybridMultilevel"/>
    <w:tmpl w:val="92C4F2B4"/>
    <w:lvl w:ilvl="0" w:tplc="0C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5F7CD9"/>
    <w:multiLevelType w:val="hybridMultilevel"/>
    <w:tmpl w:val="D6C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EB422AD"/>
    <w:multiLevelType w:val="hybridMultilevel"/>
    <w:tmpl w:val="79E0EA0A"/>
    <w:lvl w:ilvl="0" w:tplc="01569D12">
      <w:start w:val="1"/>
      <w:numFmt w:val="decimal"/>
      <w:lvlText w:val="%1."/>
      <w:lvlJc w:val="left"/>
      <w:pPr>
        <w:tabs>
          <w:tab w:val="num" w:pos="709"/>
        </w:tabs>
        <w:ind w:left="709" w:hanging="709"/>
      </w:pPr>
      <w:rPr>
        <w:rFonts w:hint="default"/>
      </w:rPr>
    </w:lvl>
    <w:lvl w:ilvl="1" w:tplc="7A2A0CA6">
      <w:start w:val="1"/>
      <w:numFmt w:val="lowerLetter"/>
      <w:lvlText w:val="(%2)"/>
      <w:lvlJc w:val="left"/>
      <w:pPr>
        <w:tabs>
          <w:tab w:val="num" w:pos="720"/>
        </w:tabs>
        <w:ind w:left="720" w:hanging="72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1" w15:restartNumberingAfterBreak="0">
    <w:nsid w:val="552110F3"/>
    <w:multiLevelType w:val="hybridMultilevel"/>
    <w:tmpl w:val="8C1ED5FA"/>
    <w:lvl w:ilvl="0" w:tplc="59660BF4">
      <w:start w:val="1"/>
      <w:numFmt w:val="bullet"/>
      <w:lvlText w:val=""/>
      <w:lvlJc w:val="left"/>
      <w:pPr>
        <w:ind w:left="720" w:hanging="360"/>
      </w:pPr>
      <w:rPr>
        <w:rFonts w:ascii="Symbol" w:hAnsi="Symbol" w:hint="default"/>
        <w:color w:val="0000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5450998"/>
    <w:multiLevelType w:val="hybridMultilevel"/>
    <w:tmpl w:val="5CEC228C"/>
    <w:lvl w:ilvl="0" w:tplc="A91AC678">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3" w15:restartNumberingAfterBreak="0">
    <w:nsid w:val="5FFB6885"/>
    <w:multiLevelType w:val="hybridMultilevel"/>
    <w:tmpl w:val="F5683962"/>
    <w:lvl w:ilvl="0" w:tplc="0C090001">
      <w:start w:val="1"/>
      <w:numFmt w:val="bullet"/>
      <w:lvlText w:val=""/>
      <w:lvlJc w:val="left"/>
      <w:pPr>
        <w:tabs>
          <w:tab w:val="num" w:pos="709"/>
        </w:tabs>
        <w:ind w:left="709" w:hanging="709"/>
      </w:pPr>
      <w:rPr>
        <w:rFonts w:ascii="Symbol" w:hAnsi="Symbol" w:hint="default"/>
      </w:rPr>
    </w:lvl>
    <w:lvl w:ilvl="1" w:tplc="FFFFFFFF">
      <w:start w:val="1"/>
      <w:numFmt w:val="lowerLetter"/>
      <w:lvlText w:val="(%2)"/>
      <w:lvlJc w:val="left"/>
      <w:pPr>
        <w:tabs>
          <w:tab w:val="num" w:pos="720"/>
        </w:tabs>
        <w:ind w:left="720" w:hanging="720"/>
      </w:pPr>
    </w:lvl>
    <w:lvl w:ilvl="2" w:tplc="FFFFFFFF">
      <w:start w:val="1"/>
      <w:numFmt w:val="decimal"/>
      <w:lvlText w:val="%3."/>
      <w:lvlJc w:val="left"/>
      <w:pPr>
        <w:tabs>
          <w:tab w:val="num" w:pos="1080"/>
        </w:tabs>
        <w:ind w:left="1080" w:hanging="360"/>
      </w:pPr>
    </w:lvl>
    <w:lvl w:ilvl="3" w:tplc="FFFFFFFF">
      <w:start w:val="1"/>
      <w:numFmt w:val="decimal"/>
      <w:lvlText w:val="%4."/>
      <w:lvlJc w:val="left"/>
      <w:pPr>
        <w:tabs>
          <w:tab w:val="num" w:pos="1800"/>
        </w:tabs>
        <w:ind w:left="1800" w:hanging="360"/>
      </w:pPr>
    </w:lvl>
    <w:lvl w:ilvl="4" w:tplc="FFFFFFFF">
      <w:start w:val="1"/>
      <w:numFmt w:val="decimal"/>
      <w:lvlText w:val="%5."/>
      <w:lvlJc w:val="left"/>
      <w:pPr>
        <w:tabs>
          <w:tab w:val="num" w:pos="2520"/>
        </w:tabs>
        <w:ind w:left="2520" w:hanging="360"/>
      </w:pPr>
    </w:lvl>
    <w:lvl w:ilvl="5" w:tplc="FFFFFFFF">
      <w:start w:val="1"/>
      <w:numFmt w:val="decimal"/>
      <w:lvlText w:val="%6."/>
      <w:lvlJc w:val="left"/>
      <w:pPr>
        <w:tabs>
          <w:tab w:val="num" w:pos="3240"/>
        </w:tabs>
        <w:ind w:left="3240" w:hanging="360"/>
      </w:pPr>
    </w:lvl>
    <w:lvl w:ilvl="6" w:tplc="FFFFFFFF">
      <w:start w:val="1"/>
      <w:numFmt w:val="decimal"/>
      <w:lvlText w:val="%7."/>
      <w:lvlJc w:val="left"/>
      <w:pPr>
        <w:tabs>
          <w:tab w:val="num" w:pos="3960"/>
        </w:tabs>
        <w:ind w:left="3960" w:hanging="360"/>
      </w:pPr>
    </w:lvl>
    <w:lvl w:ilvl="7" w:tplc="FFFFFFFF">
      <w:start w:val="1"/>
      <w:numFmt w:val="decimal"/>
      <w:lvlText w:val="%8."/>
      <w:lvlJc w:val="left"/>
      <w:pPr>
        <w:tabs>
          <w:tab w:val="num" w:pos="4680"/>
        </w:tabs>
        <w:ind w:left="4680" w:hanging="360"/>
      </w:pPr>
    </w:lvl>
    <w:lvl w:ilvl="8" w:tplc="FFFFFFFF">
      <w:start w:val="1"/>
      <w:numFmt w:val="decimal"/>
      <w:lvlText w:val="%9."/>
      <w:lvlJc w:val="left"/>
      <w:pPr>
        <w:tabs>
          <w:tab w:val="num" w:pos="5400"/>
        </w:tabs>
        <w:ind w:left="5400" w:hanging="360"/>
      </w:pPr>
    </w:lvl>
  </w:abstractNum>
  <w:abstractNum w:abstractNumId="14" w15:restartNumberingAfterBreak="0">
    <w:nsid w:val="6FF016FF"/>
    <w:multiLevelType w:val="hybridMultilevel"/>
    <w:tmpl w:val="ADAE8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7B04F4"/>
    <w:multiLevelType w:val="multilevel"/>
    <w:tmpl w:val="4FE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0"/>
  </w:num>
  <w:num w:numId="4">
    <w:abstractNumId w:val="0"/>
  </w:num>
  <w:num w:numId="5">
    <w:abstractNumId w:val="3"/>
  </w:num>
  <w:num w:numId="6">
    <w:abstractNumId w:val="13"/>
  </w:num>
  <w:num w:numId="7">
    <w:abstractNumId w:val="2"/>
  </w:num>
  <w:num w:numId="8">
    <w:abstractNumId w:val="7"/>
  </w:num>
  <w:num w:numId="9">
    <w:abstractNumId w:val="14"/>
  </w:num>
  <w:num w:numId="10">
    <w:abstractNumId w:val="8"/>
  </w:num>
  <w:num w:numId="11">
    <w:abstractNumId w:val="9"/>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F5"/>
    <w:rsid w:val="0002433A"/>
    <w:rsid w:val="00066779"/>
    <w:rsid w:val="00071DB7"/>
    <w:rsid w:val="00072E98"/>
    <w:rsid w:val="00080D15"/>
    <w:rsid w:val="00082750"/>
    <w:rsid w:val="000A498A"/>
    <w:rsid w:val="000F1BDD"/>
    <w:rsid w:val="0012142D"/>
    <w:rsid w:val="00196D41"/>
    <w:rsid w:val="001B2205"/>
    <w:rsid w:val="001F0954"/>
    <w:rsid w:val="001F5327"/>
    <w:rsid w:val="00215017"/>
    <w:rsid w:val="002341F5"/>
    <w:rsid w:val="00247A8E"/>
    <w:rsid w:val="00296E5A"/>
    <w:rsid w:val="002F421E"/>
    <w:rsid w:val="00365645"/>
    <w:rsid w:val="00374277"/>
    <w:rsid w:val="004201F2"/>
    <w:rsid w:val="00422C1E"/>
    <w:rsid w:val="004463AE"/>
    <w:rsid w:val="00446C3D"/>
    <w:rsid w:val="004B4A80"/>
    <w:rsid w:val="004E5722"/>
    <w:rsid w:val="0050660A"/>
    <w:rsid w:val="00563068"/>
    <w:rsid w:val="00583F8C"/>
    <w:rsid w:val="00595A64"/>
    <w:rsid w:val="00623408"/>
    <w:rsid w:val="00675A45"/>
    <w:rsid w:val="006A7E53"/>
    <w:rsid w:val="007057D7"/>
    <w:rsid w:val="00707A77"/>
    <w:rsid w:val="007729D8"/>
    <w:rsid w:val="00776822"/>
    <w:rsid w:val="007830BB"/>
    <w:rsid w:val="007C5E15"/>
    <w:rsid w:val="007D224B"/>
    <w:rsid w:val="00876D4B"/>
    <w:rsid w:val="008D3E06"/>
    <w:rsid w:val="009168FC"/>
    <w:rsid w:val="009657BE"/>
    <w:rsid w:val="00A26BBC"/>
    <w:rsid w:val="00AB4815"/>
    <w:rsid w:val="00AD7244"/>
    <w:rsid w:val="00B371F1"/>
    <w:rsid w:val="00B6067F"/>
    <w:rsid w:val="00C0158A"/>
    <w:rsid w:val="00C85C5F"/>
    <w:rsid w:val="00CB6E6B"/>
    <w:rsid w:val="00D20A82"/>
    <w:rsid w:val="00D34CE9"/>
    <w:rsid w:val="00D95597"/>
    <w:rsid w:val="00DA75C3"/>
    <w:rsid w:val="00DD7108"/>
    <w:rsid w:val="00DE3A3D"/>
    <w:rsid w:val="00DE47E7"/>
    <w:rsid w:val="00E30A3A"/>
    <w:rsid w:val="00E40CB5"/>
    <w:rsid w:val="00EA79FE"/>
    <w:rsid w:val="00EE58AA"/>
    <w:rsid w:val="00EF2D98"/>
    <w:rsid w:val="00EF61CB"/>
    <w:rsid w:val="00F15D2D"/>
    <w:rsid w:val="00F62A6C"/>
    <w:rsid w:val="00F66877"/>
    <w:rsid w:val="00F73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9A290"/>
  <w15:chartTrackingRefBased/>
  <w15:docId w15:val="{37969681-601A-4C31-A0AB-701F6381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75C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FP GP Bulleted List,Recommendation,List Paragraph1,2. List Bullet 2,List Paragraph11,L,F5 List Paragraph,Dot pt,CV text,List Paragraph111,Medium Grid 1 - Accent 21,Numbered Paragraph,List Paragraph2,Bulleted Para,FooterText,B1"/>
    <w:basedOn w:val="Normal"/>
    <w:link w:val="ListParagraphChar"/>
    <w:uiPriority w:val="34"/>
    <w:qFormat/>
    <w:rsid w:val="00776822"/>
    <w:pPr>
      <w:ind w:left="720"/>
      <w:contextualSpacing/>
    </w:pPr>
  </w:style>
  <w:style w:type="character" w:customStyle="1" w:styleId="Heading2Char">
    <w:name w:val="Heading 2 Char"/>
    <w:basedOn w:val="DefaultParagraphFont"/>
    <w:link w:val="Heading2"/>
    <w:uiPriority w:val="9"/>
    <w:rsid w:val="00DA75C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A75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22C1E"/>
  </w:style>
  <w:style w:type="character" w:customStyle="1" w:styleId="ListParagraphChar">
    <w:name w:val="List Paragraph Char"/>
    <w:aliases w:val="NFP GP Bulleted List Char,Recommendation Char,List Paragraph1 Char,2. List Bullet 2 Char,List Paragraph11 Char,L Char,F5 List Paragraph Char,Dot pt Char,CV text Char,List Paragraph111 Char,Medium Grid 1 - Accent 21 Char,B1 Char"/>
    <w:basedOn w:val="DefaultParagraphFont"/>
    <w:link w:val="ListParagraph"/>
    <w:uiPriority w:val="34"/>
    <w:qFormat/>
    <w:locked/>
    <w:rsid w:val="00422C1E"/>
  </w:style>
  <w:style w:type="paragraph" w:styleId="CommentText">
    <w:name w:val="annotation text"/>
    <w:basedOn w:val="Normal"/>
    <w:link w:val="CommentTextChar"/>
    <w:uiPriority w:val="99"/>
    <w:unhideWhenUsed/>
    <w:rsid w:val="00422C1E"/>
    <w:pPr>
      <w:spacing w:after="200" w:line="276" w:lineRule="auto"/>
    </w:pPr>
    <w:rPr>
      <w:rFonts w:ascii="Cambria" w:hAnsi="Cambria"/>
      <w:sz w:val="20"/>
      <w:szCs w:val="20"/>
    </w:rPr>
  </w:style>
  <w:style w:type="character" w:customStyle="1" w:styleId="CommentTextChar">
    <w:name w:val="Comment Text Char"/>
    <w:basedOn w:val="DefaultParagraphFont"/>
    <w:link w:val="CommentText"/>
    <w:uiPriority w:val="99"/>
    <w:rsid w:val="00422C1E"/>
    <w:rPr>
      <w:rFonts w:ascii="Cambria" w:hAnsi="Cambria"/>
      <w:sz w:val="20"/>
      <w:szCs w:val="20"/>
    </w:rPr>
  </w:style>
  <w:style w:type="numbering" w:customStyle="1" w:styleId="BulletList">
    <w:name w:val="Bullet List"/>
    <w:uiPriority w:val="99"/>
    <w:rsid w:val="00422C1E"/>
    <w:pPr>
      <w:numPr>
        <w:numId w:val="4"/>
      </w:numPr>
    </w:pPr>
  </w:style>
  <w:style w:type="paragraph" w:styleId="ListBullet">
    <w:name w:val="List Bullet"/>
    <w:basedOn w:val="Normal"/>
    <w:autoRedefine/>
    <w:uiPriority w:val="99"/>
    <w:unhideWhenUsed/>
    <w:qFormat/>
    <w:rsid w:val="00422C1E"/>
    <w:pPr>
      <w:numPr>
        <w:numId w:val="5"/>
      </w:numPr>
      <w:spacing w:after="200" w:line="240" w:lineRule="auto"/>
    </w:pPr>
    <w:rPr>
      <w:rFonts w:ascii="Calibri" w:eastAsia="Calibri" w:hAnsi="Calibri" w:cs="Times New Roman"/>
      <w:sz w:val="24"/>
    </w:rPr>
  </w:style>
  <w:style w:type="paragraph" w:styleId="ListBullet2">
    <w:name w:val="List Bullet 2"/>
    <w:basedOn w:val="Normal"/>
    <w:autoRedefine/>
    <w:uiPriority w:val="99"/>
    <w:unhideWhenUsed/>
    <w:rsid w:val="00422C1E"/>
    <w:pPr>
      <w:numPr>
        <w:ilvl w:val="1"/>
        <w:numId w:val="5"/>
      </w:numPr>
      <w:spacing w:after="200" w:line="240" w:lineRule="auto"/>
      <w:ind w:left="738" w:hanging="369"/>
    </w:pPr>
    <w:rPr>
      <w:rFonts w:ascii="Calibri" w:eastAsia="Calibri" w:hAnsi="Calibri" w:cs="Times New Roman"/>
      <w:sz w:val="24"/>
    </w:rPr>
  </w:style>
  <w:style w:type="paragraph" w:styleId="ListBullet3">
    <w:name w:val="List Bullet 3"/>
    <w:basedOn w:val="Normal"/>
    <w:uiPriority w:val="99"/>
    <w:unhideWhenUsed/>
    <w:rsid w:val="00422C1E"/>
    <w:pPr>
      <w:numPr>
        <w:ilvl w:val="2"/>
        <w:numId w:val="5"/>
      </w:numPr>
      <w:spacing w:after="200" w:line="240" w:lineRule="auto"/>
    </w:pPr>
    <w:rPr>
      <w:rFonts w:ascii="Calibri" w:eastAsia="Calibri" w:hAnsi="Calibri" w:cs="Times New Roman"/>
      <w:sz w:val="24"/>
    </w:rPr>
  </w:style>
  <w:style w:type="paragraph" w:styleId="ListBullet4">
    <w:name w:val="List Bullet 4"/>
    <w:basedOn w:val="Normal"/>
    <w:uiPriority w:val="99"/>
    <w:unhideWhenUsed/>
    <w:rsid w:val="00422C1E"/>
    <w:pPr>
      <w:numPr>
        <w:ilvl w:val="3"/>
        <w:numId w:val="5"/>
      </w:numPr>
      <w:spacing w:after="200" w:line="240" w:lineRule="auto"/>
    </w:pPr>
    <w:rPr>
      <w:rFonts w:ascii="Calibri" w:eastAsia="Calibri" w:hAnsi="Calibri" w:cs="Times New Roman"/>
      <w:sz w:val="24"/>
    </w:rPr>
  </w:style>
  <w:style w:type="paragraph" w:styleId="ListBullet5">
    <w:name w:val="List Bullet 5"/>
    <w:basedOn w:val="Normal"/>
    <w:uiPriority w:val="99"/>
    <w:unhideWhenUsed/>
    <w:rsid w:val="00422C1E"/>
    <w:pPr>
      <w:numPr>
        <w:ilvl w:val="4"/>
        <w:numId w:val="5"/>
      </w:numPr>
      <w:spacing w:after="200" w:line="240" w:lineRule="auto"/>
    </w:pPr>
    <w:rPr>
      <w:rFonts w:ascii="Calibri" w:eastAsia="Calibri" w:hAnsi="Calibri" w:cs="Times New Roman"/>
      <w:sz w:val="24"/>
    </w:rPr>
  </w:style>
  <w:style w:type="character" w:customStyle="1" w:styleId="contentpasted0">
    <w:name w:val="contentpasted0"/>
    <w:basedOn w:val="DefaultParagraphFont"/>
    <w:rsid w:val="002F421E"/>
  </w:style>
  <w:style w:type="paragraph" w:customStyle="1" w:styleId="xmsonormal">
    <w:name w:val="x_msonormal"/>
    <w:basedOn w:val="Normal"/>
    <w:rsid w:val="004B4A80"/>
    <w:pPr>
      <w:spacing w:after="0" w:line="240" w:lineRule="auto"/>
    </w:pPr>
    <w:rPr>
      <w:rFonts w:ascii="Calibri" w:hAnsi="Calibri" w:cs="Calibri"/>
      <w:lang w:eastAsia="en-AU"/>
    </w:rPr>
  </w:style>
  <w:style w:type="character" w:styleId="Hyperlink">
    <w:name w:val="Hyperlink"/>
    <w:basedOn w:val="DefaultParagraphFont"/>
    <w:uiPriority w:val="99"/>
    <w:unhideWhenUsed/>
    <w:rsid w:val="00E40CB5"/>
    <w:rPr>
      <w:color w:val="0563C1" w:themeColor="hyperlink"/>
      <w:u w:val="single"/>
    </w:rPr>
  </w:style>
  <w:style w:type="character" w:styleId="UnresolvedMention">
    <w:name w:val="Unresolved Mention"/>
    <w:basedOn w:val="DefaultParagraphFont"/>
    <w:uiPriority w:val="99"/>
    <w:semiHidden/>
    <w:unhideWhenUsed/>
    <w:rsid w:val="00E40CB5"/>
    <w:rPr>
      <w:color w:val="605E5C"/>
      <w:shd w:val="clear" w:color="auto" w:fill="E1DFDD"/>
    </w:rPr>
  </w:style>
  <w:style w:type="character" w:styleId="FollowedHyperlink">
    <w:name w:val="FollowedHyperlink"/>
    <w:basedOn w:val="DefaultParagraphFont"/>
    <w:uiPriority w:val="99"/>
    <w:semiHidden/>
    <w:unhideWhenUsed/>
    <w:rsid w:val="007729D8"/>
    <w:rPr>
      <w:color w:val="954F72" w:themeColor="followedHyperlink"/>
      <w:u w:val="single"/>
    </w:rPr>
  </w:style>
  <w:style w:type="paragraph" w:styleId="Header">
    <w:name w:val="header"/>
    <w:basedOn w:val="Normal"/>
    <w:link w:val="HeaderChar"/>
    <w:uiPriority w:val="99"/>
    <w:unhideWhenUsed/>
    <w:rsid w:val="00024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33A"/>
  </w:style>
  <w:style w:type="paragraph" w:styleId="Footer">
    <w:name w:val="footer"/>
    <w:basedOn w:val="Normal"/>
    <w:link w:val="FooterChar"/>
    <w:uiPriority w:val="99"/>
    <w:unhideWhenUsed/>
    <w:rsid w:val="00024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33A"/>
  </w:style>
  <w:style w:type="character" w:styleId="CommentReference">
    <w:name w:val="annotation reference"/>
    <w:basedOn w:val="DefaultParagraphFont"/>
    <w:uiPriority w:val="99"/>
    <w:semiHidden/>
    <w:unhideWhenUsed/>
    <w:rsid w:val="00595A64"/>
    <w:rPr>
      <w:sz w:val="16"/>
      <w:szCs w:val="16"/>
    </w:rPr>
  </w:style>
  <w:style w:type="paragraph" w:styleId="CommentSubject">
    <w:name w:val="annotation subject"/>
    <w:basedOn w:val="CommentText"/>
    <w:next w:val="CommentText"/>
    <w:link w:val="CommentSubjectChar"/>
    <w:uiPriority w:val="99"/>
    <w:semiHidden/>
    <w:unhideWhenUsed/>
    <w:rsid w:val="00595A64"/>
    <w:pPr>
      <w:spacing w:after="160"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595A64"/>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3160">
      <w:bodyDiv w:val="1"/>
      <w:marLeft w:val="0"/>
      <w:marRight w:val="0"/>
      <w:marTop w:val="0"/>
      <w:marBottom w:val="0"/>
      <w:divBdr>
        <w:top w:val="none" w:sz="0" w:space="0" w:color="auto"/>
        <w:left w:val="none" w:sz="0" w:space="0" w:color="auto"/>
        <w:bottom w:val="none" w:sz="0" w:space="0" w:color="auto"/>
        <w:right w:val="none" w:sz="0" w:space="0" w:color="auto"/>
      </w:divBdr>
    </w:div>
    <w:div w:id="281882287">
      <w:bodyDiv w:val="1"/>
      <w:marLeft w:val="0"/>
      <w:marRight w:val="0"/>
      <w:marTop w:val="0"/>
      <w:marBottom w:val="0"/>
      <w:divBdr>
        <w:top w:val="none" w:sz="0" w:space="0" w:color="auto"/>
        <w:left w:val="none" w:sz="0" w:space="0" w:color="auto"/>
        <w:bottom w:val="none" w:sz="0" w:space="0" w:color="auto"/>
        <w:right w:val="none" w:sz="0" w:space="0" w:color="auto"/>
      </w:divBdr>
    </w:div>
    <w:div w:id="282467506">
      <w:bodyDiv w:val="1"/>
      <w:marLeft w:val="0"/>
      <w:marRight w:val="0"/>
      <w:marTop w:val="0"/>
      <w:marBottom w:val="0"/>
      <w:divBdr>
        <w:top w:val="none" w:sz="0" w:space="0" w:color="auto"/>
        <w:left w:val="none" w:sz="0" w:space="0" w:color="auto"/>
        <w:bottom w:val="none" w:sz="0" w:space="0" w:color="auto"/>
        <w:right w:val="none" w:sz="0" w:space="0" w:color="auto"/>
      </w:divBdr>
    </w:div>
    <w:div w:id="407263726">
      <w:bodyDiv w:val="1"/>
      <w:marLeft w:val="0"/>
      <w:marRight w:val="0"/>
      <w:marTop w:val="0"/>
      <w:marBottom w:val="0"/>
      <w:divBdr>
        <w:top w:val="none" w:sz="0" w:space="0" w:color="auto"/>
        <w:left w:val="none" w:sz="0" w:space="0" w:color="auto"/>
        <w:bottom w:val="none" w:sz="0" w:space="0" w:color="auto"/>
        <w:right w:val="none" w:sz="0" w:space="0" w:color="auto"/>
      </w:divBdr>
    </w:div>
    <w:div w:id="782723693">
      <w:bodyDiv w:val="1"/>
      <w:marLeft w:val="0"/>
      <w:marRight w:val="0"/>
      <w:marTop w:val="0"/>
      <w:marBottom w:val="0"/>
      <w:divBdr>
        <w:top w:val="none" w:sz="0" w:space="0" w:color="auto"/>
        <w:left w:val="none" w:sz="0" w:space="0" w:color="auto"/>
        <w:bottom w:val="none" w:sz="0" w:space="0" w:color="auto"/>
        <w:right w:val="none" w:sz="0" w:space="0" w:color="auto"/>
      </w:divBdr>
    </w:div>
    <w:div w:id="1236937731">
      <w:bodyDiv w:val="1"/>
      <w:marLeft w:val="0"/>
      <w:marRight w:val="0"/>
      <w:marTop w:val="0"/>
      <w:marBottom w:val="0"/>
      <w:divBdr>
        <w:top w:val="none" w:sz="0" w:space="0" w:color="auto"/>
        <w:left w:val="none" w:sz="0" w:space="0" w:color="auto"/>
        <w:bottom w:val="none" w:sz="0" w:space="0" w:color="auto"/>
        <w:right w:val="none" w:sz="0" w:space="0" w:color="auto"/>
      </w:divBdr>
    </w:div>
    <w:div w:id="17618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griculture.vic.gov.au/livestock-and-animals/horses/horse-tracea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riculture.vic.gov.au/__data/assets/pdf_file/0019/834211/Marsden-Jacob-DJPR-Horse-Traceability-Systems-Report.pdf" TargetMode="External"/><Relationship Id="rId5" Type="http://schemas.openxmlformats.org/officeDocument/2006/relationships/styles" Target="styles.xml"/><Relationship Id="rId10" Type="http://schemas.openxmlformats.org/officeDocument/2006/relationships/hyperlink" Target="https://agriculture.vic.gov.au/__data/assets/pdf_file/0019/834211/Marsden-Jacob-DJPR-Horse-Traceability-System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cbb12ebf-4c47-4e22-a860-80e11ea892f5">
      <Terms xmlns="http://schemas.microsoft.com/office/infopath/2007/PartnerControls"/>
    </lcf76f155ced4ddcb4097134ff3c332f>
    <Commentsaboutpresentation xmlns="cbb12ebf-4c47-4e22-a860-80e11ea892f5"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_Flow_SignoffStatus xmlns="cbb12ebf-4c47-4e22-a860-80e11ea892f5" xsi:nil="true"/>
    <TaxCatchAll xmlns="32e98561-183e-4de5-80c3-a793f40b4ede" xsi:nil="true"/>
    <g46a9f61d38540a784cfecbd3da27bca xmlns="1970f3ff-c7c3-4b73-8f0c-0bc260d159f3">
      <Terms xmlns="http://schemas.microsoft.com/office/infopath/2007/PartnerControls"/>
    </g46a9f61d38540a784cfecbd3da27bca>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767C823437976D4FBFD44036E5F11867" ma:contentTypeVersion="30" ma:contentTypeDescription="DEDJTR Document" ma:contentTypeScope="" ma:versionID="3a1fd2e593a9660be4ff6f88a6d2df6a">
  <xsd:schema xmlns:xsd="http://www.w3.org/2001/XMLSchema" xmlns:xs="http://www.w3.org/2001/XMLSchema" xmlns:p="http://schemas.microsoft.com/office/2006/metadata/properties" xmlns:ns2="1970f3ff-c7c3-4b73-8f0c-0bc260d159f3" xmlns:ns3="32e98561-183e-4de5-80c3-a793f40b4ede" xmlns:ns4="cbb12ebf-4c47-4e22-a860-80e11ea892f5" targetNamespace="http://schemas.microsoft.com/office/2006/metadata/properties" ma:root="true" ma:fieldsID="76ad771fdbe4429e95b597899efd5f7b" ns2:_="" ns3:_="" ns4:_="">
    <xsd:import namespace="1970f3ff-c7c3-4b73-8f0c-0bc260d159f3"/>
    <xsd:import namespace="32e98561-183e-4de5-80c3-a793f40b4ede"/>
    <xsd:import namespace="cbb12ebf-4c47-4e22-a860-80e11ea892f5"/>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DateTaken" minOccurs="0"/>
                <xsd:element ref="ns4:Commentsaboutpresentation" minOccurs="0"/>
                <xsd:element ref="ns4:MediaServiceAutoTags" minOccurs="0"/>
                <xsd:element ref="ns4:MediaServiceOCR" minOccurs="0"/>
                <xsd:element ref="ns4:MediaServiceGenerationTime" minOccurs="0"/>
                <xsd:element ref="ns4:MediaServiceEventHashCode" minOccurs="0"/>
                <xsd:element ref="ns4:_Flow_SignoffStatus"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79da438-f021-4093-8fac-64b1462d6bb0}"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79da438-f021-4093-8fac-64b1462d6bb0}" ma:internalName="TaxCatchAllLabel" ma:readOnly="true" ma:showField="CatchAllDataLabel" ma:web="32e98561-183e-4de5-80c3-a793f40b4ed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12ebf-4c47-4e22-a860-80e11ea892f5"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Commentsaboutpresentation" ma:index="25" nillable="true" ma:displayName="Comments about Folders" ma:description="Please tell us more about the use of this folderse.g audience, currency, where your photos came from?" ma:format="Dropdown" ma:internalName="Commentsaboutpresentation">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_Flow_SignoffStatus" ma:index="30" nillable="true" ma:displayName="Sign-off status" ma:internalName="Sign_x002d_off_x0020_status">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00D7F-49A6-4E3A-8035-E497CF7B5D9E}">
  <ds:schemaRefs>
    <ds:schemaRef ds:uri="http://schemas.microsoft.com/sharepoint/v3/contenttype/forms"/>
  </ds:schemaRefs>
</ds:datastoreItem>
</file>

<file path=customXml/itemProps2.xml><?xml version="1.0" encoding="utf-8"?>
<ds:datastoreItem xmlns:ds="http://schemas.openxmlformats.org/officeDocument/2006/customXml" ds:itemID="{B1194F70-3067-4ECD-9FBD-7FF4FDE8C4CE}">
  <ds:schemaRefs>
    <ds:schemaRef ds:uri="http://schemas.microsoft.com/office/2006/metadata/properties"/>
    <ds:schemaRef ds:uri="http://schemas.microsoft.com/office/infopath/2007/PartnerControls"/>
    <ds:schemaRef ds:uri="1970f3ff-c7c3-4b73-8f0c-0bc260d159f3"/>
    <ds:schemaRef ds:uri="cbb12ebf-4c47-4e22-a860-80e11ea892f5"/>
    <ds:schemaRef ds:uri="32e98561-183e-4de5-80c3-a793f40b4ede"/>
  </ds:schemaRefs>
</ds:datastoreItem>
</file>

<file path=customXml/itemProps3.xml><?xml version="1.0" encoding="utf-8"?>
<ds:datastoreItem xmlns:ds="http://schemas.openxmlformats.org/officeDocument/2006/customXml" ds:itemID="{03927EBA-698D-42CD-8C55-726938C14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2e98561-183e-4de5-80c3-a793f40b4ede"/>
    <ds:schemaRef ds:uri="cbb12ebf-4c47-4e22-a860-80e11ea89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Lush</dc:creator>
  <cp:keywords/>
  <dc:description/>
  <cp:lastModifiedBy>Tiffany L Haw (DJPR)</cp:lastModifiedBy>
  <cp:revision>13</cp:revision>
  <dcterms:created xsi:type="dcterms:W3CDTF">2022-11-30T03:12:00Z</dcterms:created>
  <dcterms:modified xsi:type="dcterms:W3CDTF">2022-12-22T23:16:00Z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0x010100611F6414DFB111E7BA88F9DF1743E31700767C823437976D4FBFD44036E5F11867</vt:lpwstr>
  </property>
  <property fmtid="{D5CDD505-2E9C-101B-9397-08002B2CF9AE}" pid="3" name="MSIP_Label_d00a4df9-c942-4b09-b23a-6c1023f6de27_Enabled">
    <vt:lpwstr>true</vt:lpwstr>
  </property>
  <property fmtid="{D5CDD505-2E9C-101B-9397-08002B2CF9AE}" pid="4" name="MSIP_Label_d00a4df9-c942-4b09-b23a-6c1023f6de27_SetDate">
    <vt:lpwstr>2022-11-30T03:11:09Z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7bb31166-275a-4b83-bfcc-e54d369ce42a</vt:lpwstr>
  </property>
  <property fmtid="{D5CDD505-2E9C-101B-9397-08002B2CF9AE}" pid="9" name="MSIP_Label_d00a4df9-c942-4b09-b23a-6c1023f6de27_ContentBits">
    <vt:lpwstr>3</vt:lpwstr>
  </property>
  <property fmtid="{D5CDD505-2E9C-101B-9397-08002B2CF9AE}" pid="10" name="DEDJTRDivision">
    <vt:lpwstr/>
  </property>
  <property fmtid="{D5CDD505-2E9C-101B-9397-08002B2CF9AE}" pid="11" name="DEDJTRGroup">
    <vt:lpwstr/>
  </property>
  <property fmtid="{D5CDD505-2E9C-101B-9397-08002B2CF9AE}" pid="12" name="DEDJTRSecurityClassification">
    <vt:lpwstr/>
  </property>
  <property fmtid="{D5CDD505-2E9C-101B-9397-08002B2CF9AE}" pid="13" name="DEDJTRBranch">
    <vt:lpwstr/>
  </property>
  <property fmtid="{D5CDD505-2E9C-101B-9397-08002B2CF9AE}" pid="14" name="DEDJTRSection">
    <vt:lpwstr/>
  </property>
  <property fmtid="{D5CDD505-2E9C-101B-9397-08002B2CF9AE}" pid="15" name="MediaServiceImageTags">
    <vt:lpwstr/>
  </property>
</Properties>
</file>