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Trompf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Gubbins,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Terinallum,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Trompf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Zealand.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BestWool/BestLamb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Kubeil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exacerbated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South-East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500mls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500mls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axis.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outweighed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hectare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hectare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Christmas,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500mls,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hectare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700mls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hectare.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exacerbated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hectare.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self-replacing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$250,000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$100,000.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Hamilton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25mls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250mls,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thumb.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25mls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250mls,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fertility.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fertility,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benchmarking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enterprises.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benchmarking,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benchmarking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insatiable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self-replacing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month-to-month,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bulletproofing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Gambler";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self-replacing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cropping,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August-September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Benalla,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Wangaratta,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mid-May,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arrangement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fetuses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side-by-side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fodder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Caviar,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wrinkle,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carcass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1,400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South-West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Derrinallum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Mortlake,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580ml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Terinallum.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hectares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agistment.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drive-by,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Phalaris?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hectare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foragers,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Nuffield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amphitheaters,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volcanic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hectares,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amphitheaters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paddock's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self-assessed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fertility.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deep-rooted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perennial,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progeny,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fluctuate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agistment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moisture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moisture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North-East,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pragmatic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moisture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moisture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moisture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forecasting?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Niña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Niña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hectares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hectare,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paddocks,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hectare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paddock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00:46:28]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tactic?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erosion.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implemented....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ravaged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fodder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gauntlet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Kubeils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forecasting,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moisture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domestically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build....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haystack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shave!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dust!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dust!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cost-benefit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cost-benefit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cost-benefit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cost-benefit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cost-benefit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breeding-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salvage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salvage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progeny.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pallets,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Heather 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Gubbins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Trompf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Managing seasonal variability in the Victorian s... (Completed  03/03/21)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sALg2Y8d3QcV7Ty9NPIY8HcUjYMf-171fYgm3N_wsWwuh9r8sIcadPSWVLhclfEx9-rHiUZyEc_5R5WqMr123cxQPBo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