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2CB8D" w14:textId="77777777" w:rsidR="00CC6E7E" w:rsidRPr="00D470FE" w:rsidRDefault="00CC6E7E" w:rsidP="004E6E1C">
      <w:pPr>
        <w:pStyle w:val="Agcovertitle1"/>
      </w:pPr>
      <w:r w:rsidRPr="00D470FE">
        <w:rPr>
          <w:lang w:val="en-AU" w:eastAsia="en-AU"/>
        </w:rPr>
        <w:drawing>
          <wp:anchor distT="0" distB="0" distL="114300" distR="114300" simplePos="0" relativeHeight="251663360" behindDoc="1" locked="0" layoutInCell="1" allowOverlap="1" wp14:anchorId="26ECC884" wp14:editId="64D5406D">
            <wp:simplePos x="0" y="0"/>
            <wp:positionH relativeFrom="page">
              <wp:posOffset>7687945</wp:posOffset>
            </wp:positionH>
            <wp:positionV relativeFrom="page">
              <wp:posOffset>0</wp:posOffset>
            </wp:positionV>
            <wp:extent cx="7609840" cy="10765155"/>
            <wp:effectExtent l="0" t="0" r="0" b="0"/>
            <wp:wrapNone/>
            <wp:docPr id="6" name="Picture 6"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9840" cy="10765155"/>
                    </a:xfrm>
                    <a:prstGeom prst="rect">
                      <a:avLst/>
                    </a:prstGeom>
                  </pic:spPr>
                </pic:pic>
              </a:graphicData>
            </a:graphic>
            <wp14:sizeRelH relativeFrom="margin">
              <wp14:pctWidth>0</wp14:pctWidth>
            </wp14:sizeRelH>
            <wp14:sizeRelV relativeFrom="margin">
              <wp14:pctHeight>0</wp14:pctHeight>
            </wp14:sizeRelV>
          </wp:anchor>
        </w:drawing>
      </w:r>
      <w:r w:rsidRPr="009558E8">
        <w:br/>
      </w:r>
      <w:r w:rsidR="00642CE8">
        <w:t>Farmed Bird Welfare</w:t>
      </w:r>
      <w:r w:rsidRPr="009558E8">
        <w:br/>
      </w:r>
      <w:r w:rsidR="00642CE8">
        <w:t>Science Review</w:t>
      </w:r>
    </w:p>
    <w:p w14:paraId="4EB78E4E" w14:textId="77777777" w:rsidR="00CC6E7E" w:rsidRPr="0001170C" w:rsidRDefault="00C02199" w:rsidP="0001170C">
      <w:pPr>
        <w:pStyle w:val="Agcovertitle2"/>
        <w:sectPr w:rsidR="00CC6E7E" w:rsidRPr="0001170C" w:rsidSect="00397B9B">
          <w:headerReference w:type="even" r:id="rId9"/>
          <w:headerReference w:type="default" r:id="rId10"/>
          <w:footerReference w:type="even" r:id="rId11"/>
          <w:footerReference w:type="default" r:id="rId12"/>
          <w:headerReference w:type="first" r:id="rId13"/>
          <w:footerReference w:type="first" r:id="rId14"/>
          <w:pgSz w:w="11900" w:h="16840"/>
          <w:pgMar w:top="3686" w:right="709" w:bottom="1701" w:left="709" w:header="709" w:footer="709" w:gutter="0"/>
          <w:cols w:space="708"/>
          <w:docGrid w:linePitch="360"/>
        </w:sectPr>
      </w:pPr>
      <w:r>
        <w:t>October</w:t>
      </w:r>
      <w:r w:rsidR="00642CE8">
        <w:t xml:space="preserve"> 2017</w:t>
      </w:r>
    </w:p>
    <w:p w14:paraId="72DB1503" w14:textId="77777777" w:rsidR="002E45A9" w:rsidRPr="002E45A9" w:rsidRDefault="002E45A9" w:rsidP="002E45A9">
      <w:pPr>
        <w:pStyle w:val="NoSpacing"/>
        <w:rPr>
          <w:b/>
          <w:color w:val="4C7329"/>
          <w:sz w:val="52"/>
        </w:rPr>
      </w:pPr>
      <w:r w:rsidRPr="002E45A9">
        <w:rPr>
          <w:b/>
          <w:color w:val="4C7329"/>
          <w:sz w:val="52"/>
        </w:rPr>
        <w:lastRenderedPageBreak/>
        <w:t>Farmed Bird Welfare</w:t>
      </w:r>
    </w:p>
    <w:p w14:paraId="59C1FA4A" w14:textId="77777777" w:rsidR="002E45A9" w:rsidRPr="002E45A9" w:rsidRDefault="002E45A9" w:rsidP="002E45A9">
      <w:pPr>
        <w:pStyle w:val="NoSpacing"/>
        <w:rPr>
          <w:b/>
          <w:color w:val="4C7329"/>
          <w:sz w:val="52"/>
        </w:rPr>
      </w:pPr>
      <w:r w:rsidRPr="002E45A9">
        <w:rPr>
          <w:b/>
          <w:color w:val="4C7329"/>
          <w:sz w:val="52"/>
        </w:rPr>
        <w:t>Science Review</w:t>
      </w:r>
    </w:p>
    <w:p w14:paraId="01ABDFCC" w14:textId="77777777" w:rsidR="00310000" w:rsidRDefault="00310000" w:rsidP="00310000">
      <w:pPr>
        <w:pStyle w:val="NoSpacing"/>
      </w:pPr>
    </w:p>
    <w:p w14:paraId="39B552B3" w14:textId="77777777" w:rsidR="00310000" w:rsidRDefault="00310000" w:rsidP="00310000">
      <w:pPr>
        <w:pStyle w:val="NoSpacing"/>
      </w:pPr>
    </w:p>
    <w:p w14:paraId="7C3282B4" w14:textId="77777777" w:rsidR="00C04A6B" w:rsidRDefault="002E45A9" w:rsidP="00C04A6B">
      <w:pPr>
        <w:spacing w:after="0" w:line="240" w:lineRule="auto"/>
        <w:rPr>
          <w:sz w:val="28"/>
          <w:szCs w:val="28"/>
        </w:rPr>
      </w:pPr>
      <w:r w:rsidRPr="00573A4A">
        <w:rPr>
          <w:sz w:val="28"/>
          <w:szCs w:val="28"/>
        </w:rPr>
        <w:t xml:space="preserve">Nicol, C.J., Bouwsema, J.*, Caplen, G., Davies, A.C., </w:t>
      </w:r>
      <w:r w:rsidR="00C04A6B">
        <w:rPr>
          <w:sz w:val="28"/>
          <w:szCs w:val="28"/>
        </w:rPr>
        <w:t>Hockenhull, J.,</w:t>
      </w:r>
    </w:p>
    <w:p w14:paraId="38CD36E4" w14:textId="77777777" w:rsidR="002E45A9" w:rsidRPr="00573A4A" w:rsidRDefault="002E45A9" w:rsidP="00024569">
      <w:pPr>
        <w:spacing w:line="276" w:lineRule="auto"/>
        <w:rPr>
          <w:sz w:val="28"/>
          <w:szCs w:val="28"/>
        </w:rPr>
      </w:pPr>
      <w:r w:rsidRPr="00573A4A">
        <w:rPr>
          <w:sz w:val="28"/>
          <w:szCs w:val="28"/>
        </w:rPr>
        <w:t>Lambton, S.L., Lines, J.A.*, Mullan, S., Weeks, C.A.</w:t>
      </w:r>
    </w:p>
    <w:p w14:paraId="33BF9A47" w14:textId="77777777" w:rsidR="00310000" w:rsidRPr="00573A4A" w:rsidRDefault="00310000" w:rsidP="00310000">
      <w:pPr>
        <w:pStyle w:val="NoSpacing"/>
        <w:rPr>
          <w:sz w:val="22"/>
          <w:szCs w:val="22"/>
        </w:rPr>
      </w:pPr>
    </w:p>
    <w:p w14:paraId="588E5A47" w14:textId="77777777" w:rsidR="002E45A9" w:rsidRPr="00C30217" w:rsidRDefault="002E45A9" w:rsidP="00310000">
      <w:pPr>
        <w:pStyle w:val="NoSpacing"/>
        <w:rPr>
          <w:szCs w:val="18"/>
        </w:rPr>
      </w:pPr>
      <w:r w:rsidRPr="00C30217">
        <w:rPr>
          <w:szCs w:val="18"/>
        </w:rPr>
        <w:t>School of Veterinary Science, University of Bristol, Langford House, BS40 5DU, UK</w:t>
      </w:r>
    </w:p>
    <w:p w14:paraId="682A3061" w14:textId="77777777" w:rsidR="002E45A9" w:rsidRPr="00C30217" w:rsidRDefault="002E45A9" w:rsidP="00310000">
      <w:pPr>
        <w:pStyle w:val="NoSpacing"/>
        <w:rPr>
          <w:szCs w:val="18"/>
        </w:rPr>
      </w:pPr>
      <w:r w:rsidRPr="00C30217">
        <w:rPr>
          <w:szCs w:val="18"/>
        </w:rPr>
        <w:t>*Silsoe Livestock Systems, Wrest Park, Silsoe, Bedford, MK45 4HR, UK</w:t>
      </w:r>
    </w:p>
    <w:p w14:paraId="358EEA3B" w14:textId="77777777" w:rsidR="00310000" w:rsidRPr="00C30217" w:rsidRDefault="00310000" w:rsidP="00310000">
      <w:pPr>
        <w:pStyle w:val="NoSpacing"/>
        <w:rPr>
          <w:szCs w:val="18"/>
        </w:rPr>
      </w:pPr>
    </w:p>
    <w:p w14:paraId="46BCAFFA" w14:textId="77777777" w:rsidR="002E45A9" w:rsidRPr="00C30217" w:rsidRDefault="002E45A9" w:rsidP="00310000">
      <w:pPr>
        <w:pStyle w:val="NoSpacing"/>
        <w:rPr>
          <w:szCs w:val="18"/>
        </w:rPr>
      </w:pPr>
      <w:r w:rsidRPr="00C30217">
        <w:rPr>
          <w:szCs w:val="18"/>
        </w:rPr>
        <w:t>This review of the peer-reviewed scientific literature on the care, management and slaughter of farmed poultry, gam</w:t>
      </w:r>
      <w:r w:rsidR="000416DF">
        <w:rPr>
          <w:szCs w:val="18"/>
        </w:rPr>
        <w:t>e birds and ratites has been prepared</w:t>
      </w:r>
      <w:r w:rsidRPr="00C30217">
        <w:rPr>
          <w:szCs w:val="18"/>
        </w:rPr>
        <w:t xml:space="preserve"> by the authors for the Department of Economic Development, Jobs, Tr</w:t>
      </w:r>
      <w:r w:rsidR="00024569" w:rsidRPr="00C30217">
        <w:rPr>
          <w:szCs w:val="18"/>
        </w:rPr>
        <w:t>ansport and Resources, Victoria.</w:t>
      </w:r>
    </w:p>
    <w:p w14:paraId="4FB7DBCB" w14:textId="77777777" w:rsidR="00262240" w:rsidRDefault="00262240" w:rsidP="00FD5485">
      <w:pPr>
        <w:pStyle w:val="NoSpacing"/>
        <w:spacing w:after="2640"/>
      </w:pPr>
    </w:p>
    <w:p w14:paraId="5B77C9A5" w14:textId="77777777" w:rsidR="00D92213" w:rsidRDefault="00D92213" w:rsidP="00063EE7">
      <w:pPr>
        <w:pStyle w:val="NoSpacing"/>
      </w:pPr>
      <w:r>
        <w:t>Published by the Dep</w:t>
      </w:r>
      <w:r w:rsidR="006B0792">
        <w:t xml:space="preserve">artment of Economic Development, </w:t>
      </w:r>
      <w:r>
        <w:t>Jobs, Transport and Resources</w:t>
      </w:r>
    </w:p>
    <w:p w14:paraId="1D7FA30C" w14:textId="77777777" w:rsidR="00D92213" w:rsidRDefault="00D92213" w:rsidP="00063EE7">
      <w:pPr>
        <w:pStyle w:val="NoSpacing"/>
      </w:pPr>
      <w:r>
        <w:t>1 Spring Street, Melbourne, Victoria, 3000</w:t>
      </w:r>
    </w:p>
    <w:p w14:paraId="449ED09C" w14:textId="0BD12F54" w:rsidR="00D92213" w:rsidRDefault="00D92213" w:rsidP="00063EE7">
      <w:pPr>
        <w:pStyle w:val="NoSpacing"/>
      </w:pPr>
      <w:r>
        <w:t xml:space="preserve">Telephone </w:t>
      </w:r>
      <w:r w:rsidR="00A812E5">
        <w:t>1300 502 656</w:t>
      </w:r>
    </w:p>
    <w:p w14:paraId="1BB5D4EE" w14:textId="77777777" w:rsidR="00D92213" w:rsidRDefault="00D92213" w:rsidP="00063EE7">
      <w:pPr>
        <w:pStyle w:val="NoSpacing"/>
      </w:pPr>
    </w:p>
    <w:p w14:paraId="29B66349" w14:textId="77777777" w:rsidR="00D92213" w:rsidRDefault="00C02199" w:rsidP="00063EE7">
      <w:pPr>
        <w:pStyle w:val="NoSpacing"/>
      </w:pPr>
      <w:r>
        <w:t>October</w:t>
      </w:r>
      <w:r w:rsidR="00D92213">
        <w:t xml:space="preserve"> 2017</w:t>
      </w:r>
    </w:p>
    <w:p w14:paraId="550BC388" w14:textId="77777777" w:rsidR="00D92213" w:rsidRDefault="00D92213" w:rsidP="00063EE7">
      <w:pPr>
        <w:pStyle w:val="NoSpacing"/>
      </w:pPr>
    </w:p>
    <w:p w14:paraId="3F591458" w14:textId="77777777" w:rsidR="00D92213" w:rsidRDefault="00D92213" w:rsidP="00063EE7">
      <w:pPr>
        <w:pStyle w:val="NoSpacing"/>
      </w:pPr>
      <w:r>
        <w:rPr>
          <w:rFonts w:cs="Arial"/>
        </w:rPr>
        <w:t>©</w:t>
      </w:r>
      <w:r>
        <w:t xml:space="preserve"> Copyright State Government of Victoria 2017</w:t>
      </w:r>
    </w:p>
    <w:p w14:paraId="576E48F0" w14:textId="77777777" w:rsidR="00D92213" w:rsidRDefault="00D92213" w:rsidP="00063EE7">
      <w:pPr>
        <w:pStyle w:val="NoSpacing"/>
      </w:pPr>
      <w:r>
        <w:t xml:space="preserve">This publication is copyright. No part may be reproduced by any process except in accordance with provisions of the </w:t>
      </w:r>
      <w:r>
        <w:rPr>
          <w:i/>
        </w:rPr>
        <w:t>Copyright Act 1968</w:t>
      </w:r>
      <w:r>
        <w:t>.</w:t>
      </w:r>
    </w:p>
    <w:p w14:paraId="3CF0F847" w14:textId="77777777" w:rsidR="00D92213" w:rsidRDefault="00D92213" w:rsidP="00063EE7">
      <w:pPr>
        <w:pStyle w:val="NoSpacing"/>
      </w:pPr>
    </w:p>
    <w:p w14:paraId="03719483" w14:textId="77777777" w:rsidR="00D92213" w:rsidRDefault="00D92213" w:rsidP="00063EE7">
      <w:pPr>
        <w:pStyle w:val="NoSpacing"/>
      </w:pPr>
      <w:r>
        <w:t>Authorised by the Victorian Government, Melbourne</w:t>
      </w:r>
    </w:p>
    <w:p w14:paraId="375B1B77" w14:textId="77777777" w:rsidR="00D92213" w:rsidRDefault="00D92213" w:rsidP="00063EE7">
      <w:pPr>
        <w:pStyle w:val="NoSpacing"/>
      </w:pPr>
    </w:p>
    <w:p w14:paraId="3D396EB6" w14:textId="77777777" w:rsidR="00A60927" w:rsidRPr="00A60927" w:rsidRDefault="00A60927" w:rsidP="00A60927">
      <w:pPr>
        <w:pStyle w:val="NoSpacing"/>
      </w:pPr>
      <w:r w:rsidRPr="00A60927">
        <w:t>ISBN 978-1-925629-84-2 (Print)</w:t>
      </w:r>
    </w:p>
    <w:p w14:paraId="5F5904B9" w14:textId="77777777" w:rsidR="00CC317E" w:rsidRDefault="00A60927" w:rsidP="00A60927">
      <w:pPr>
        <w:pStyle w:val="NoSpacing"/>
      </w:pPr>
      <w:r w:rsidRPr="00A60927">
        <w:t>ISBN 978-1-925629-85-9 (</w:t>
      </w:r>
      <w:r w:rsidR="00C92458">
        <w:t>pdf</w:t>
      </w:r>
      <w:r w:rsidRPr="00A60927">
        <w:t xml:space="preserve">/online/MS </w:t>
      </w:r>
      <w:r>
        <w:t>W</w:t>
      </w:r>
      <w:r w:rsidRPr="00A60927">
        <w:t>ord)</w:t>
      </w:r>
    </w:p>
    <w:p w14:paraId="7517076B" w14:textId="77777777" w:rsidR="00D92213" w:rsidRDefault="00D92213" w:rsidP="00A60927">
      <w:pPr>
        <w:pStyle w:val="NoSpacing"/>
      </w:pPr>
    </w:p>
    <w:p w14:paraId="0F848863" w14:textId="77777777" w:rsidR="00CB7F0C" w:rsidRDefault="00CB7F0C" w:rsidP="00CB7F0C">
      <w:pPr>
        <w:pStyle w:val="NoSpacing"/>
      </w:pPr>
      <w:r>
        <w:t>Front cover:</w:t>
      </w:r>
      <w:r w:rsidRPr="00AA1F67">
        <w:t xml:space="preserve"> </w:t>
      </w:r>
      <w:r>
        <w:t>Chicken photograph from</w:t>
      </w:r>
      <w:r w:rsidR="00021F21">
        <w:t xml:space="preserve"> </w:t>
      </w:r>
      <w:hyperlink r:id="rId15" w:tooltip="This is a link to the website of Pixabay which provides photographs for use under Creative Commons licensing." w:history="1">
        <w:r w:rsidR="00021F21" w:rsidRPr="008D16A0">
          <w:rPr>
            <w:rStyle w:val="Hyperlink"/>
          </w:rPr>
          <w:t>www.pixabay.com</w:t>
        </w:r>
      </w:hyperlink>
      <w:r w:rsidR="00021F21">
        <w:t>,</w:t>
      </w:r>
      <w:r>
        <w:t xml:space="preserve"> licensed under Creative Commons CC0 1.0.</w:t>
      </w:r>
    </w:p>
    <w:p w14:paraId="6A7102D2" w14:textId="77777777" w:rsidR="00CB7F0C" w:rsidRDefault="00CB7F0C" w:rsidP="00A60927">
      <w:pPr>
        <w:pStyle w:val="NoSpacing"/>
      </w:pPr>
    </w:p>
    <w:p w14:paraId="0C862FB9" w14:textId="77777777" w:rsidR="00D92213" w:rsidRPr="00C30217" w:rsidRDefault="00D92213" w:rsidP="00D92213">
      <w:pPr>
        <w:pStyle w:val="NoSpacing"/>
      </w:pPr>
      <w:r w:rsidRPr="00C30217">
        <w:t>Disclaimer</w:t>
      </w:r>
    </w:p>
    <w:p w14:paraId="12E1823C" w14:textId="77777777" w:rsidR="00D92213" w:rsidRDefault="00D92213" w:rsidP="00D92213">
      <w:pPr>
        <w:pStyle w:val="NoSpacing"/>
      </w:pPr>
      <w:r>
        <w:t>This publication may be of assistance to you but the State of Victoria, its employees and the authors of this report do not guarantee that the publication is without flaw of any kind or is wholly appropriate for your particular purposes and therefore disclaim all liability for any error, loss or other consequence which may arise from you relying on information in this publication.</w:t>
      </w:r>
    </w:p>
    <w:p w14:paraId="704DE9D9" w14:textId="77777777" w:rsidR="00063EE7" w:rsidRPr="00CB7F0C" w:rsidRDefault="00063EE7" w:rsidP="00CB7F0C">
      <w:pPr>
        <w:pStyle w:val="Agcontentstitle"/>
        <w:rPr>
          <w:b/>
        </w:rPr>
      </w:pPr>
      <w:r w:rsidRPr="00CB7F0C">
        <w:rPr>
          <w:b/>
        </w:rPr>
        <w:t>Accessibility</w:t>
      </w:r>
    </w:p>
    <w:p w14:paraId="7811108E" w14:textId="77777777" w:rsidR="00063EE7" w:rsidRPr="008C448A" w:rsidRDefault="00063EE7" w:rsidP="008C448A">
      <w:pPr>
        <w:spacing w:line="276" w:lineRule="auto"/>
        <w:rPr>
          <w:sz w:val="28"/>
          <w:szCs w:val="28"/>
        </w:rPr>
      </w:pPr>
      <w:r w:rsidRPr="008C448A">
        <w:rPr>
          <w:sz w:val="28"/>
          <w:szCs w:val="28"/>
        </w:rPr>
        <w:t xml:space="preserve">This document is available in </w:t>
      </w:r>
      <w:r w:rsidR="009C1AB6">
        <w:rPr>
          <w:sz w:val="28"/>
          <w:szCs w:val="28"/>
        </w:rPr>
        <w:t>PDF</w:t>
      </w:r>
      <w:r w:rsidRPr="008C448A">
        <w:rPr>
          <w:sz w:val="28"/>
          <w:szCs w:val="28"/>
        </w:rPr>
        <w:t xml:space="preserve"> and </w:t>
      </w:r>
      <w:r w:rsidR="00A23B73" w:rsidRPr="008C448A">
        <w:rPr>
          <w:sz w:val="28"/>
          <w:szCs w:val="28"/>
        </w:rPr>
        <w:t xml:space="preserve">accessible </w:t>
      </w:r>
      <w:r w:rsidR="001631EC">
        <w:rPr>
          <w:sz w:val="28"/>
          <w:szCs w:val="28"/>
        </w:rPr>
        <w:t xml:space="preserve">Microsoft </w:t>
      </w:r>
      <w:r w:rsidRPr="008C448A">
        <w:rPr>
          <w:sz w:val="28"/>
          <w:szCs w:val="28"/>
        </w:rPr>
        <w:t xml:space="preserve">Word format at </w:t>
      </w:r>
      <w:hyperlink r:id="rId16" w:tooltip="This a link to the website of Agriculture Victoria." w:history="1">
        <w:r w:rsidR="00B66C88" w:rsidRPr="00F33C5E">
          <w:rPr>
            <w:rStyle w:val="Hyperlink"/>
            <w:sz w:val="28"/>
            <w:szCs w:val="28"/>
          </w:rPr>
          <w:t>www.agriculture.vic.gov.au</w:t>
        </w:r>
      </w:hyperlink>
    </w:p>
    <w:p w14:paraId="41B518FD" w14:textId="77777777" w:rsidR="00686544" w:rsidRPr="00900C59" w:rsidRDefault="00686544" w:rsidP="00900C59">
      <w:pPr>
        <w:pStyle w:val="NoSpacing"/>
      </w:pPr>
    </w:p>
    <w:p w14:paraId="5B8C700F" w14:textId="77777777" w:rsidR="00CC6E7E" w:rsidRPr="00CB7F0C" w:rsidRDefault="00CC6E7E" w:rsidP="003D6042">
      <w:pPr>
        <w:pStyle w:val="Agcontentstitle"/>
        <w:rPr>
          <w:b/>
        </w:rPr>
      </w:pPr>
      <w:r w:rsidRPr="00CB7F0C">
        <w:rPr>
          <w:b/>
        </w:rPr>
        <w:lastRenderedPageBreak/>
        <w:t>Contents</w:t>
      </w:r>
    </w:p>
    <w:p w14:paraId="35B3DA99" w14:textId="77777777" w:rsidR="0082578C" w:rsidRDefault="001804A1">
      <w:pPr>
        <w:pStyle w:val="TOC1"/>
        <w:rPr>
          <w:rFonts w:asciiTheme="minorHAnsi" w:eastAsiaTheme="minorEastAsia" w:hAnsiTheme="minorHAnsi"/>
          <w:b w:val="0"/>
          <w:sz w:val="22"/>
          <w:szCs w:val="22"/>
          <w:lang w:val="en-AU" w:eastAsia="en-AU"/>
        </w:rPr>
      </w:pPr>
      <w:r>
        <w:fldChar w:fldCharType="begin"/>
      </w:r>
      <w:r>
        <w:instrText xml:space="preserve"> TOC \o "1-1" \t "Heading 2,2,Heading 3,3" </w:instrText>
      </w:r>
      <w:r>
        <w:fldChar w:fldCharType="separate"/>
      </w:r>
      <w:r w:rsidR="0082578C" w:rsidRPr="00382FE9">
        <w:rPr>
          <w:lang w:val="en-AU" w:eastAsia="en-AU"/>
        </w:rPr>
        <w:t>General Introduction</w:t>
      </w:r>
      <w:r w:rsidR="0082578C">
        <w:tab/>
      </w:r>
      <w:r w:rsidR="0082578C">
        <w:fldChar w:fldCharType="begin"/>
      </w:r>
      <w:r w:rsidR="0082578C">
        <w:instrText xml:space="preserve"> PAGEREF _Toc495310470 \h </w:instrText>
      </w:r>
      <w:r w:rsidR="0082578C">
        <w:fldChar w:fldCharType="separate"/>
      </w:r>
      <w:r w:rsidR="0082578C">
        <w:t>11</w:t>
      </w:r>
      <w:r w:rsidR="0082578C">
        <w:fldChar w:fldCharType="end"/>
      </w:r>
    </w:p>
    <w:p w14:paraId="4FD5EFAE" w14:textId="77777777" w:rsidR="0082578C" w:rsidRDefault="0082578C">
      <w:pPr>
        <w:pStyle w:val="TOC2"/>
        <w:rPr>
          <w:rFonts w:asciiTheme="minorHAnsi" w:eastAsiaTheme="minorEastAsia" w:hAnsiTheme="minorHAnsi"/>
          <w:sz w:val="22"/>
          <w:szCs w:val="22"/>
          <w:lang w:val="en-AU" w:eastAsia="en-AU"/>
        </w:rPr>
      </w:pPr>
      <w:r>
        <w:t>Intro1. Purpose</w:t>
      </w:r>
      <w:r>
        <w:tab/>
      </w:r>
      <w:r>
        <w:fldChar w:fldCharType="begin"/>
      </w:r>
      <w:r>
        <w:instrText xml:space="preserve"> PAGEREF _Toc495310471 \h </w:instrText>
      </w:r>
      <w:r>
        <w:fldChar w:fldCharType="separate"/>
      </w:r>
      <w:r>
        <w:t>11</w:t>
      </w:r>
      <w:r>
        <w:fldChar w:fldCharType="end"/>
      </w:r>
    </w:p>
    <w:p w14:paraId="5D58C6B8"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Intro2. Structure</w:t>
      </w:r>
      <w:r>
        <w:tab/>
      </w:r>
      <w:r>
        <w:fldChar w:fldCharType="begin"/>
      </w:r>
      <w:r>
        <w:instrText xml:space="preserve"> PAGEREF _Toc495310472 \h </w:instrText>
      </w:r>
      <w:r>
        <w:fldChar w:fldCharType="separate"/>
      </w:r>
      <w:r>
        <w:t>11</w:t>
      </w:r>
      <w:r>
        <w:fldChar w:fldCharType="end"/>
      </w:r>
    </w:p>
    <w:p w14:paraId="31CC58E3"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Intro3. Methodology</w:t>
      </w:r>
      <w:r>
        <w:tab/>
      </w:r>
      <w:r>
        <w:fldChar w:fldCharType="begin"/>
      </w:r>
      <w:r>
        <w:instrText xml:space="preserve"> PAGEREF _Toc495310473 \h </w:instrText>
      </w:r>
      <w:r>
        <w:fldChar w:fldCharType="separate"/>
      </w:r>
      <w:r>
        <w:t>12</w:t>
      </w:r>
      <w:r>
        <w:fldChar w:fldCharType="end"/>
      </w:r>
    </w:p>
    <w:p w14:paraId="077AC05B"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Intro3.1 Scoping review</w:t>
      </w:r>
      <w:r>
        <w:tab/>
      </w:r>
      <w:r>
        <w:fldChar w:fldCharType="begin"/>
      </w:r>
      <w:r>
        <w:instrText xml:space="preserve"> PAGEREF _Toc495310474 \h </w:instrText>
      </w:r>
      <w:r>
        <w:fldChar w:fldCharType="separate"/>
      </w:r>
      <w:r>
        <w:t>12</w:t>
      </w:r>
      <w:r>
        <w:fldChar w:fldCharType="end"/>
      </w:r>
    </w:p>
    <w:p w14:paraId="0B3205E7"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Intro3.2 Full review</w:t>
      </w:r>
      <w:r>
        <w:tab/>
      </w:r>
      <w:r>
        <w:fldChar w:fldCharType="begin"/>
      </w:r>
      <w:r>
        <w:instrText xml:space="preserve"> PAGEREF _Toc495310475 \h </w:instrText>
      </w:r>
      <w:r>
        <w:fldChar w:fldCharType="separate"/>
      </w:r>
      <w:r>
        <w:t>13</w:t>
      </w:r>
      <w:r>
        <w:fldChar w:fldCharType="end"/>
      </w:r>
    </w:p>
    <w:p w14:paraId="19193428"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Intro3.3 Peer review</w:t>
      </w:r>
      <w:r>
        <w:tab/>
      </w:r>
      <w:r>
        <w:fldChar w:fldCharType="begin"/>
      </w:r>
      <w:r>
        <w:instrText xml:space="preserve"> PAGEREF _Toc495310476 \h </w:instrText>
      </w:r>
      <w:r>
        <w:fldChar w:fldCharType="separate"/>
      </w:r>
      <w:r>
        <w:t>13</w:t>
      </w:r>
      <w:r>
        <w:fldChar w:fldCharType="end"/>
      </w:r>
    </w:p>
    <w:p w14:paraId="76F28FB6"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Intro4. Literature Included in Review</w:t>
      </w:r>
      <w:r>
        <w:tab/>
      </w:r>
      <w:r>
        <w:fldChar w:fldCharType="begin"/>
      </w:r>
      <w:r>
        <w:instrText xml:space="preserve"> PAGEREF _Toc495310477 \h </w:instrText>
      </w:r>
      <w:r>
        <w:fldChar w:fldCharType="separate"/>
      </w:r>
      <w:r>
        <w:t>14</w:t>
      </w:r>
      <w:r>
        <w:fldChar w:fldCharType="end"/>
      </w:r>
    </w:p>
    <w:p w14:paraId="52802743"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Intro5. Geographical Origin of Literature</w:t>
      </w:r>
      <w:r>
        <w:tab/>
      </w:r>
      <w:r>
        <w:fldChar w:fldCharType="begin"/>
      </w:r>
      <w:r>
        <w:instrText xml:space="preserve"> PAGEREF _Toc495310478 \h </w:instrText>
      </w:r>
      <w:r>
        <w:fldChar w:fldCharType="separate"/>
      </w:r>
      <w:r>
        <w:t>16</w:t>
      </w:r>
      <w:r>
        <w:fldChar w:fldCharType="end"/>
      </w:r>
    </w:p>
    <w:p w14:paraId="196F0FC8"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Intro6. Relationships Between Farmed Bird Types</w:t>
      </w:r>
      <w:r>
        <w:tab/>
      </w:r>
      <w:r>
        <w:fldChar w:fldCharType="begin"/>
      </w:r>
      <w:r>
        <w:instrText xml:space="preserve"> PAGEREF _Toc495310479 \h </w:instrText>
      </w:r>
      <w:r>
        <w:fldChar w:fldCharType="separate"/>
      </w:r>
      <w:r>
        <w:t>17</w:t>
      </w:r>
      <w:r>
        <w:fldChar w:fldCharType="end"/>
      </w:r>
    </w:p>
    <w:p w14:paraId="54BD2859"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Intro7. Stocking Density and Stocking Rate</w:t>
      </w:r>
      <w:r>
        <w:tab/>
      </w:r>
      <w:r>
        <w:fldChar w:fldCharType="begin"/>
      </w:r>
      <w:r>
        <w:instrText xml:space="preserve"> PAGEREF _Toc495310480 \h </w:instrText>
      </w:r>
      <w:r>
        <w:fldChar w:fldCharType="separate"/>
      </w:r>
      <w:r>
        <w:t>17</w:t>
      </w:r>
      <w:r>
        <w:fldChar w:fldCharType="end"/>
      </w:r>
    </w:p>
    <w:p w14:paraId="77C1BD1D"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Intro8. Assessing Welfare</w:t>
      </w:r>
      <w:r>
        <w:tab/>
      </w:r>
      <w:r>
        <w:fldChar w:fldCharType="begin"/>
      </w:r>
      <w:r>
        <w:instrText xml:space="preserve"> PAGEREF _Toc495310481 \h </w:instrText>
      </w:r>
      <w:r>
        <w:fldChar w:fldCharType="separate"/>
      </w:r>
      <w:r>
        <w:t>18</w:t>
      </w:r>
      <w:r>
        <w:fldChar w:fldCharType="end"/>
      </w:r>
    </w:p>
    <w:p w14:paraId="5E80F91F"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Intro8.1 Multiple measures</w:t>
      </w:r>
      <w:r>
        <w:tab/>
      </w:r>
      <w:r>
        <w:fldChar w:fldCharType="begin"/>
      </w:r>
      <w:r>
        <w:instrText xml:space="preserve"> PAGEREF _Toc495310482 \h </w:instrText>
      </w:r>
      <w:r>
        <w:fldChar w:fldCharType="separate"/>
      </w:r>
      <w:r>
        <w:t>18</w:t>
      </w:r>
      <w:r>
        <w:fldChar w:fldCharType="end"/>
      </w:r>
    </w:p>
    <w:p w14:paraId="14E1F035"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Intro8.2 Animal emotion</w:t>
      </w:r>
      <w:r>
        <w:tab/>
      </w:r>
      <w:r>
        <w:fldChar w:fldCharType="begin"/>
      </w:r>
      <w:r>
        <w:instrText xml:space="preserve"> PAGEREF _Toc495310483 \h </w:instrText>
      </w:r>
      <w:r>
        <w:fldChar w:fldCharType="separate"/>
      </w:r>
      <w:r>
        <w:t>18</w:t>
      </w:r>
      <w:r>
        <w:fldChar w:fldCharType="end"/>
      </w:r>
    </w:p>
    <w:p w14:paraId="3AC8E1D8" w14:textId="77777777" w:rsidR="0082578C" w:rsidRDefault="0082578C">
      <w:pPr>
        <w:pStyle w:val="TOC2"/>
        <w:rPr>
          <w:rFonts w:asciiTheme="minorHAnsi" w:eastAsiaTheme="minorEastAsia" w:hAnsiTheme="minorHAnsi"/>
          <w:sz w:val="22"/>
          <w:szCs w:val="22"/>
          <w:lang w:val="en-AU" w:eastAsia="en-AU"/>
        </w:rPr>
      </w:pPr>
      <w:r w:rsidRPr="00382FE9">
        <w:rPr>
          <w:lang w:val="en-AU" w:eastAsia="en-GB"/>
        </w:rPr>
        <w:t>Intro9. References</w:t>
      </w:r>
      <w:r>
        <w:tab/>
      </w:r>
      <w:r>
        <w:fldChar w:fldCharType="begin"/>
      </w:r>
      <w:r>
        <w:instrText xml:space="preserve"> PAGEREF _Toc495310484 \h </w:instrText>
      </w:r>
      <w:r>
        <w:fldChar w:fldCharType="separate"/>
      </w:r>
      <w:r>
        <w:t>20</w:t>
      </w:r>
      <w:r>
        <w:fldChar w:fldCharType="end"/>
      </w:r>
    </w:p>
    <w:p w14:paraId="478CE4F9" w14:textId="77777777" w:rsidR="0082578C" w:rsidRDefault="0082578C">
      <w:pPr>
        <w:pStyle w:val="TOC1"/>
        <w:rPr>
          <w:rFonts w:asciiTheme="minorHAnsi" w:eastAsiaTheme="minorEastAsia" w:hAnsiTheme="minorHAnsi"/>
          <w:b w:val="0"/>
          <w:sz w:val="22"/>
          <w:szCs w:val="22"/>
          <w:lang w:val="en-AU" w:eastAsia="en-AU"/>
        </w:rPr>
      </w:pPr>
      <w:r w:rsidRPr="00382FE9">
        <w:rPr>
          <w:lang w:val="en-AU" w:eastAsia="en-AU"/>
        </w:rPr>
        <w:t>Laying Hens</w:t>
      </w:r>
      <w:r>
        <w:tab/>
      </w:r>
      <w:r>
        <w:fldChar w:fldCharType="begin"/>
      </w:r>
      <w:r>
        <w:instrText xml:space="preserve"> PAGEREF _Toc495310485 \h </w:instrText>
      </w:r>
      <w:r>
        <w:fldChar w:fldCharType="separate"/>
      </w:r>
      <w:r>
        <w:t>21</w:t>
      </w:r>
      <w:r>
        <w:fldChar w:fldCharType="end"/>
      </w:r>
    </w:p>
    <w:p w14:paraId="03390591"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LH1. Introduction</w:t>
      </w:r>
      <w:r>
        <w:tab/>
      </w:r>
      <w:r>
        <w:fldChar w:fldCharType="begin"/>
      </w:r>
      <w:r>
        <w:instrText xml:space="preserve"> PAGEREF _Toc495310486 \h </w:instrText>
      </w:r>
      <w:r>
        <w:fldChar w:fldCharType="separate"/>
      </w:r>
      <w:r>
        <w:t>21</w:t>
      </w:r>
      <w:r>
        <w:fldChar w:fldCharType="end"/>
      </w:r>
    </w:p>
    <w:p w14:paraId="3D974EBD"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LH1.1 Rearing systems</w:t>
      </w:r>
      <w:r>
        <w:tab/>
      </w:r>
      <w:r>
        <w:fldChar w:fldCharType="begin"/>
      </w:r>
      <w:r>
        <w:instrText xml:space="preserve"> PAGEREF _Toc495310487 \h </w:instrText>
      </w:r>
      <w:r>
        <w:fldChar w:fldCharType="separate"/>
      </w:r>
      <w:r>
        <w:t>21</w:t>
      </w:r>
      <w:r>
        <w:fldChar w:fldCharType="end"/>
      </w:r>
    </w:p>
    <w:p w14:paraId="70B471F1" w14:textId="77777777" w:rsidR="0082578C" w:rsidRDefault="0082578C">
      <w:pPr>
        <w:pStyle w:val="TOC3"/>
        <w:rPr>
          <w:rFonts w:asciiTheme="minorHAnsi" w:eastAsiaTheme="minorEastAsia" w:hAnsiTheme="minorHAnsi"/>
          <w:sz w:val="22"/>
          <w:szCs w:val="22"/>
          <w:lang w:val="en-AU" w:eastAsia="en-AU"/>
        </w:rPr>
      </w:pPr>
      <w:r>
        <w:t>LH1.2 Conventional cages</w:t>
      </w:r>
      <w:r>
        <w:tab/>
      </w:r>
      <w:r>
        <w:fldChar w:fldCharType="begin"/>
      </w:r>
      <w:r>
        <w:instrText xml:space="preserve"> PAGEREF _Toc495310488 \h </w:instrText>
      </w:r>
      <w:r>
        <w:fldChar w:fldCharType="separate"/>
      </w:r>
      <w:r>
        <w:t>21</w:t>
      </w:r>
      <w:r>
        <w:fldChar w:fldCharType="end"/>
      </w:r>
    </w:p>
    <w:p w14:paraId="55840DC1" w14:textId="77777777" w:rsidR="0082578C" w:rsidRDefault="0082578C">
      <w:pPr>
        <w:pStyle w:val="TOC3"/>
        <w:rPr>
          <w:rFonts w:asciiTheme="minorHAnsi" w:eastAsiaTheme="minorEastAsia" w:hAnsiTheme="minorHAnsi"/>
          <w:sz w:val="22"/>
          <w:szCs w:val="22"/>
          <w:lang w:val="en-AU" w:eastAsia="en-AU"/>
        </w:rPr>
      </w:pPr>
      <w:r>
        <w:t>LH1.3 Furnished (enriched or colony) cages</w:t>
      </w:r>
      <w:r>
        <w:tab/>
      </w:r>
      <w:r>
        <w:fldChar w:fldCharType="begin"/>
      </w:r>
      <w:r>
        <w:instrText xml:space="preserve"> PAGEREF _Toc495310489 \h </w:instrText>
      </w:r>
      <w:r>
        <w:fldChar w:fldCharType="separate"/>
      </w:r>
      <w:r>
        <w:t>22</w:t>
      </w:r>
      <w:r>
        <w:fldChar w:fldCharType="end"/>
      </w:r>
    </w:p>
    <w:p w14:paraId="461091D6" w14:textId="77777777" w:rsidR="0082578C" w:rsidRDefault="0082578C">
      <w:pPr>
        <w:pStyle w:val="TOC3"/>
        <w:rPr>
          <w:rFonts w:asciiTheme="minorHAnsi" w:eastAsiaTheme="minorEastAsia" w:hAnsiTheme="minorHAnsi"/>
          <w:sz w:val="22"/>
          <w:szCs w:val="22"/>
          <w:lang w:val="en-AU" w:eastAsia="en-AU"/>
        </w:rPr>
      </w:pPr>
      <w:r>
        <w:rPr>
          <w:lang w:val="en-AU" w:eastAsia="en-GB"/>
        </w:rPr>
        <w:t>LH1.4 Non-cage systems</w:t>
      </w:r>
      <w:r>
        <w:tab/>
      </w:r>
      <w:r>
        <w:fldChar w:fldCharType="begin"/>
      </w:r>
      <w:r>
        <w:instrText xml:space="preserve"> PAGEREF _Toc495310490 \h </w:instrText>
      </w:r>
      <w:r>
        <w:fldChar w:fldCharType="separate"/>
      </w:r>
      <w:r>
        <w:t>23</w:t>
      </w:r>
      <w:r>
        <w:fldChar w:fldCharType="end"/>
      </w:r>
    </w:p>
    <w:p w14:paraId="04B787BA" w14:textId="77777777" w:rsidR="0082578C" w:rsidRDefault="0082578C">
      <w:pPr>
        <w:pStyle w:val="TOC3"/>
        <w:rPr>
          <w:rFonts w:asciiTheme="minorHAnsi" w:eastAsiaTheme="minorEastAsia" w:hAnsiTheme="minorHAnsi"/>
          <w:sz w:val="22"/>
          <w:szCs w:val="22"/>
          <w:lang w:val="en-AU" w:eastAsia="en-AU"/>
        </w:rPr>
      </w:pPr>
      <w:r>
        <w:rPr>
          <w:lang w:val="en-AU" w:eastAsia="en-AU"/>
        </w:rPr>
        <w:t xml:space="preserve">LH1.5 Free-range </w:t>
      </w:r>
      <w:r w:rsidRPr="00382FE9">
        <w:rPr>
          <w:lang w:val="en-AU" w:eastAsia="en-AU"/>
        </w:rPr>
        <w:t>and organic systems</w:t>
      </w:r>
      <w:r>
        <w:tab/>
      </w:r>
      <w:r>
        <w:fldChar w:fldCharType="begin"/>
      </w:r>
      <w:r>
        <w:instrText xml:space="preserve"> PAGEREF _Toc495310491 \h </w:instrText>
      </w:r>
      <w:r>
        <w:fldChar w:fldCharType="separate"/>
      </w:r>
      <w:r>
        <w:t>24</w:t>
      </w:r>
      <w:r>
        <w:fldChar w:fldCharType="end"/>
      </w:r>
    </w:p>
    <w:p w14:paraId="0FDE9AE7" w14:textId="77777777" w:rsidR="0082578C" w:rsidRDefault="0082578C">
      <w:pPr>
        <w:pStyle w:val="TOC3"/>
        <w:rPr>
          <w:rFonts w:asciiTheme="minorHAnsi" w:eastAsiaTheme="minorEastAsia" w:hAnsiTheme="minorHAnsi"/>
          <w:sz w:val="22"/>
          <w:szCs w:val="22"/>
          <w:lang w:val="en-AU" w:eastAsia="en-AU"/>
        </w:rPr>
      </w:pPr>
      <w:r w:rsidRPr="00382FE9">
        <w:rPr>
          <w:lang w:val="en-AU" w:eastAsia="en-GB"/>
        </w:rPr>
        <w:t>LH1.6 Backyard poultry</w:t>
      </w:r>
      <w:r>
        <w:tab/>
      </w:r>
      <w:r>
        <w:fldChar w:fldCharType="begin"/>
      </w:r>
      <w:r>
        <w:instrText xml:space="preserve"> PAGEREF _Toc495310492 \h </w:instrText>
      </w:r>
      <w:r>
        <w:fldChar w:fldCharType="separate"/>
      </w:r>
      <w:r>
        <w:t>24</w:t>
      </w:r>
      <w:r>
        <w:fldChar w:fldCharType="end"/>
      </w:r>
    </w:p>
    <w:p w14:paraId="69E94976" w14:textId="77777777" w:rsidR="0082578C" w:rsidRDefault="0082578C">
      <w:pPr>
        <w:pStyle w:val="TOC3"/>
        <w:rPr>
          <w:rFonts w:asciiTheme="minorHAnsi" w:eastAsiaTheme="minorEastAsia" w:hAnsiTheme="minorHAnsi"/>
          <w:sz w:val="22"/>
          <w:szCs w:val="22"/>
          <w:lang w:val="en-AU" w:eastAsia="en-AU"/>
        </w:rPr>
      </w:pPr>
      <w:r w:rsidRPr="00382FE9">
        <w:rPr>
          <w:lang w:val="en-AU" w:eastAsia="en-GB"/>
        </w:rPr>
        <w:t>LH1.7 The Australian laying hen industry</w:t>
      </w:r>
      <w:r>
        <w:tab/>
      </w:r>
      <w:r>
        <w:fldChar w:fldCharType="begin"/>
      </w:r>
      <w:r>
        <w:instrText xml:space="preserve"> PAGEREF _Toc495310493 \h </w:instrText>
      </w:r>
      <w:r>
        <w:fldChar w:fldCharType="separate"/>
      </w:r>
      <w:r>
        <w:t>24</w:t>
      </w:r>
      <w:r>
        <w:fldChar w:fldCharType="end"/>
      </w:r>
    </w:p>
    <w:p w14:paraId="35B420E4"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LH2. Feed and Water</w:t>
      </w:r>
      <w:r>
        <w:tab/>
      </w:r>
      <w:r>
        <w:fldChar w:fldCharType="begin"/>
      </w:r>
      <w:r>
        <w:instrText xml:space="preserve"> PAGEREF _Toc495310494 \h </w:instrText>
      </w:r>
      <w:r>
        <w:fldChar w:fldCharType="separate"/>
      </w:r>
      <w:r>
        <w:t>25</w:t>
      </w:r>
      <w:r>
        <w:fldChar w:fldCharType="end"/>
      </w:r>
    </w:p>
    <w:p w14:paraId="5A5E8951" w14:textId="77777777" w:rsidR="0082578C" w:rsidRDefault="0082578C">
      <w:pPr>
        <w:pStyle w:val="TOC3"/>
        <w:rPr>
          <w:rFonts w:asciiTheme="minorHAnsi" w:eastAsiaTheme="minorEastAsia" w:hAnsiTheme="minorHAnsi"/>
          <w:sz w:val="22"/>
          <w:szCs w:val="22"/>
          <w:lang w:val="en-AU" w:eastAsia="en-AU"/>
        </w:rPr>
      </w:pPr>
      <w:r w:rsidRPr="00382FE9">
        <w:rPr>
          <w:lang w:val="en-AU" w:eastAsia="en-GB"/>
        </w:rPr>
        <w:t>LH2.1 Relationship between diet, bone strength and risk of fracture</w:t>
      </w:r>
      <w:r>
        <w:tab/>
      </w:r>
      <w:r>
        <w:fldChar w:fldCharType="begin"/>
      </w:r>
      <w:r>
        <w:instrText xml:space="preserve"> PAGEREF _Toc495310495 \h </w:instrText>
      </w:r>
      <w:r>
        <w:fldChar w:fldCharType="separate"/>
      </w:r>
      <w:r>
        <w:t>25</w:t>
      </w:r>
      <w:r>
        <w:fldChar w:fldCharType="end"/>
      </w:r>
    </w:p>
    <w:p w14:paraId="77C6D4FE" w14:textId="77777777" w:rsidR="0082578C" w:rsidRDefault="0082578C">
      <w:pPr>
        <w:pStyle w:val="TOC3"/>
        <w:rPr>
          <w:rFonts w:asciiTheme="minorHAnsi" w:eastAsiaTheme="minorEastAsia" w:hAnsiTheme="minorHAnsi"/>
          <w:sz w:val="22"/>
          <w:szCs w:val="22"/>
          <w:lang w:val="en-AU" w:eastAsia="en-AU"/>
        </w:rPr>
      </w:pPr>
      <w:r w:rsidRPr="00382FE9">
        <w:rPr>
          <w:lang w:val="en-AU" w:eastAsia="en-GB"/>
        </w:rPr>
        <w:t>LH2.2 Relationship between diet and injurious pecking</w:t>
      </w:r>
      <w:r>
        <w:tab/>
      </w:r>
      <w:r>
        <w:fldChar w:fldCharType="begin"/>
      </w:r>
      <w:r>
        <w:instrText xml:space="preserve"> PAGEREF _Toc495310496 \h </w:instrText>
      </w:r>
      <w:r>
        <w:fldChar w:fldCharType="separate"/>
      </w:r>
      <w:r>
        <w:t>25</w:t>
      </w:r>
      <w:r>
        <w:fldChar w:fldCharType="end"/>
      </w:r>
    </w:p>
    <w:p w14:paraId="21E61C0C" w14:textId="77777777" w:rsidR="0082578C" w:rsidRDefault="0082578C">
      <w:pPr>
        <w:pStyle w:val="TOC3"/>
        <w:rPr>
          <w:rFonts w:asciiTheme="minorHAnsi" w:eastAsiaTheme="minorEastAsia" w:hAnsiTheme="minorHAnsi"/>
          <w:sz w:val="22"/>
          <w:szCs w:val="22"/>
          <w:lang w:val="en-AU" w:eastAsia="en-AU"/>
        </w:rPr>
      </w:pPr>
      <w:r w:rsidRPr="00382FE9">
        <w:rPr>
          <w:lang w:val="en-AU" w:eastAsia="en-GB"/>
        </w:rPr>
        <w:t>LH2.3 Free-range and organic diets</w:t>
      </w:r>
      <w:r>
        <w:tab/>
      </w:r>
      <w:r>
        <w:fldChar w:fldCharType="begin"/>
      </w:r>
      <w:r>
        <w:instrText xml:space="preserve"> PAGEREF _Toc495310497 \h </w:instrText>
      </w:r>
      <w:r>
        <w:fldChar w:fldCharType="separate"/>
      </w:r>
      <w:r>
        <w:t>26</w:t>
      </w:r>
      <w:r>
        <w:fldChar w:fldCharType="end"/>
      </w:r>
    </w:p>
    <w:p w14:paraId="13CEB0EF"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LH3. Risk Management</w:t>
      </w:r>
      <w:r>
        <w:tab/>
      </w:r>
      <w:r>
        <w:fldChar w:fldCharType="begin"/>
      </w:r>
      <w:r>
        <w:instrText xml:space="preserve"> PAGEREF _Toc495310498 \h </w:instrText>
      </w:r>
      <w:r>
        <w:fldChar w:fldCharType="separate"/>
      </w:r>
      <w:r>
        <w:t>26</w:t>
      </w:r>
      <w:r>
        <w:fldChar w:fldCharType="end"/>
      </w:r>
    </w:p>
    <w:p w14:paraId="7B66799E" w14:textId="77777777" w:rsidR="0082578C" w:rsidRDefault="0082578C">
      <w:pPr>
        <w:pStyle w:val="TOC3"/>
        <w:rPr>
          <w:rFonts w:asciiTheme="minorHAnsi" w:eastAsiaTheme="minorEastAsia" w:hAnsiTheme="minorHAnsi"/>
          <w:sz w:val="22"/>
          <w:szCs w:val="22"/>
          <w:lang w:val="en-AU" w:eastAsia="en-AU"/>
        </w:rPr>
      </w:pPr>
      <w:r w:rsidRPr="00382FE9">
        <w:rPr>
          <w:lang w:val="en-AU" w:eastAsia="en-GB"/>
        </w:rPr>
        <w:t>LH3.1 Mortality</w:t>
      </w:r>
      <w:r>
        <w:tab/>
      </w:r>
      <w:r>
        <w:fldChar w:fldCharType="begin"/>
      </w:r>
      <w:r>
        <w:instrText xml:space="preserve"> PAGEREF _Toc495310499 \h </w:instrText>
      </w:r>
      <w:r>
        <w:fldChar w:fldCharType="separate"/>
      </w:r>
      <w:r>
        <w:t>26</w:t>
      </w:r>
      <w:r>
        <w:fldChar w:fldCharType="end"/>
      </w:r>
    </w:p>
    <w:p w14:paraId="25549677" w14:textId="77777777" w:rsidR="0082578C" w:rsidRDefault="0082578C">
      <w:pPr>
        <w:pStyle w:val="TOC3"/>
        <w:rPr>
          <w:rFonts w:asciiTheme="minorHAnsi" w:eastAsiaTheme="minorEastAsia" w:hAnsiTheme="minorHAnsi"/>
          <w:sz w:val="22"/>
          <w:szCs w:val="22"/>
          <w:lang w:val="en-AU" w:eastAsia="en-AU"/>
        </w:rPr>
      </w:pPr>
      <w:r>
        <w:t>LH3.2 Causes of mortality</w:t>
      </w:r>
      <w:r>
        <w:tab/>
      </w:r>
      <w:r>
        <w:fldChar w:fldCharType="begin"/>
      </w:r>
      <w:r>
        <w:instrText xml:space="preserve"> PAGEREF _Toc495310500 \h </w:instrText>
      </w:r>
      <w:r>
        <w:fldChar w:fldCharType="separate"/>
      </w:r>
      <w:r>
        <w:t>29</w:t>
      </w:r>
      <w:r>
        <w:fldChar w:fldCharType="end"/>
      </w:r>
    </w:p>
    <w:p w14:paraId="391D14A5" w14:textId="77777777" w:rsidR="0082578C" w:rsidRDefault="0082578C">
      <w:pPr>
        <w:pStyle w:val="TOC3"/>
        <w:rPr>
          <w:rFonts w:asciiTheme="minorHAnsi" w:eastAsiaTheme="minorEastAsia" w:hAnsiTheme="minorHAnsi"/>
          <w:sz w:val="22"/>
          <w:szCs w:val="22"/>
          <w:lang w:val="en-AU" w:eastAsia="en-AU"/>
        </w:rPr>
      </w:pPr>
      <w:r w:rsidRPr="00382FE9">
        <w:rPr>
          <w:lang w:val="en-AU" w:eastAsia="en-GB"/>
        </w:rPr>
        <w:t>LH3.3 Bone fractures and damage</w:t>
      </w:r>
      <w:r>
        <w:tab/>
      </w:r>
      <w:r>
        <w:fldChar w:fldCharType="begin"/>
      </w:r>
      <w:r>
        <w:instrText xml:space="preserve"> PAGEREF _Toc495310501 \h </w:instrText>
      </w:r>
      <w:r>
        <w:fldChar w:fldCharType="separate"/>
      </w:r>
      <w:r>
        <w:t>31</w:t>
      </w:r>
      <w:r>
        <w:fldChar w:fldCharType="end"/>
      </w:r>
    </w:p>
    <w:p w14:paraId="2BADC75F" w14:textId="77777777" w:rsidR="0082578C" w:rsidRDefault="0082578C">
      <w:pPr>
        <w:pStyle w:val="TOC3"/>
        <w:rPr>
          <w:rFonts w:asciiTheme="minorHAnsi" w:eastAsiaTheme="minorEastAsia" w:hAnsiTheme="minorHAnsi"/>
          <w:sz w:val="22"/>
          <w:szCs w:val="22"/>
          <w:lang w:val="en-AU" w:eastAsia="en-AU"/>
        </w:rPr>
      </w:pPr>
      <w:r w:rsidRPr="00382FE9">
        <w:rPr>
          <w:lang w:val="en-AU" w:eastAsia="en-GB"/>
        </w:rPr>
        <w:t>LH3.4 Bone strength and disuse osteoporosis</w:t>
      </w:r>
      <w:r>
        <w:tab/>
      </w:r>
      <w:r>
        <w:fldChar w:fldCharType="begin"/>
      </w:r>
      <w:r>
        <w:instrText xml:space="preserve"> PAGEREF _Toc495310502 \h </w:instrText>
      </w:r>
      <w:r>
        <w:fldChar w:fldCharType="separate"/>
      </w:r>
      <w:r>
        <w:t>32</w:t>
      </w:r>
      <w:r>
        <w:fldChar w:fldCharType="end"/>
      </w:r>
    </w:p>
    <w:p w14:paraId="44C661A7" w14:textId="77777777" w:rsidR="0082578C" w:rsidRDefault="0082578C">
      <w:pPr>
        <w:pStyle w:val="TOC3"/>
        <w:rPr>
          <w:rFonts w:asciiTheme="minorHAnsi" w:eastAsiaTheme="minorEastAsia" w:hAnsiTheme="minorHAnsi"/>
          <w:sz w:val="22"/>
          <w:szCs w:val="22"/>
          <w:lang w:val="en-AU" w:eastAsia="en-AU"/>
        </w:rPr>
      </w:pPr>
      <w:r w:rsidRPr="00382FE9">
        <w:rPr>
          <w:lang w:val="en-AU" w:eastAsia="en-GB"/>
        </w:rPr>
        <w:t>LH3.5 Inter-bird pecking</w:t>
      </w:r>
      <w:r>
        <w:tab/>
      </w:r>
      <w:r>
        <w:fldChar w:fldCharType="begin"/>
      </w:r>
      <w:r>
        <w:instrText xml:space="preserve"> PAGEREF _Toc495310503 \h </w:instrText>
      </w:r>
      <w:r>
        <w:fldChar w:fldCharType="separate"/>
      </w:r>
      <w:r>
        <w:t>33</w:t>
      </w:r>
      <w:r>
        <w:fldChar w:fldCharType="end"/>
      </w:r>
    </w:p>
    <w:p w14:paraId="099D0ADA" w14:textId="77777777" w:rsidR="0082578C" w:rsidRDefault="0082578C">
      <w:pPr>
        <w:pStyle w:val="TOC3"/>
        <w:rPr>
          <w:rFonts w:asciiTheme="minorHAnsi" w:eastAsiaTheme="minorEastAsia" w:hAnsiTheme="minorHAnsi"/>
          <w:sz w:val="22"/>
          <w:szCs w:val="22"/>
          <w:lang w:val="en-AU" w:eastAsia="en-AU"/>
        </w:rPr>
      </w:pPr>
      <w:r w:rsidRPr="00382FE9">
        <w:rPr>
          <w:lang w:val="en-AU" w:eastAsia="en-GB"/>
        </w:rPr>
        <w:t>LH3.6 Relationships between feather pecking and other traits</w:t>
      </w:r>
      <w:r>
        <w:tab/>
      </w:r>
      <w:r>
        <w:fldChar w:fldCharType="begin"/>
      </w:r>
      <w:r>
        <w:instrText xml:space="preserve"> PAGEREF _Toc495310504 \h </w:instrText>
      </w:r>
      <w:r>
        <w:fldChar w:fldCharType="separate"/>
      </w:r>
      <w:r>
        <w:t>37</w:t>
      </w:r>
      <w:r>
        <w:fldChar w:fldCharType="end"/>
      </w:r>
    </w:p>
    <w:p w14:paraId="68B61619" w14:textId="77777777" w:rsidR="0082578C" w:rsidRDefault="0082578C">
      <w:pPr>
        <w:pStyle w:val="TOC3"/>
        <w:rPr>
          <w:rFonts w:asciiTheme="minorHAnsi" w:eastAsiaTheme="minorEastAsia" w:hAnsiTheme="minorHAnsi"/>
          <w:sz w:val="22"/>
          <w:szCs w:val="22"/>
          <w:lang w:val="en-AU" w:eastAsia="en-AU"/>
        </w:rPr>
      </w:pPr>
      <w:r w:rsidRPr="00382FE9">
        <w:rPr>
          <w:lang w:val="en-AU" w:eastAsia="en-GB"/>
        </w:rPr>
        <w:t>LH3.7 Feather loss due to abrasion</w:t>
      </w:r>
      <w:r>
        <w:tab/>
      </w:r>
      <w:r>
        <w:fldChar w:fldCharType="begin"/>
      </w:r>
      <w:r>
        <w:instrText xml:space="preserve"> PAGEREF _Toc495310505 \h </w:instrText>
      </w:r>
      <w:r>
        <w:fldChar w:fldCharType="separate"/>
      </w:r>
      <w:r>
        <w:t>37</w:t>
      </w:r>
      <w:r>
        <w:fldChar w:fldCharType="end"/>
      </w:r>
    </w:p>
    <w:p w14:paraId="2C7AB32C" w14:textId="77777777" w:rsidR="0082578C" w:rsidRDefault="0082578C">
      <w:pPr>
        <w:pStyle w:val="TOC3"/>
        <w:rPr>
          <w:rFonts w:asciiTheme="minorHAnsi" w:eastAsiaTheme="minorEastAsia" w:hAnsiTheme="minorHAnsi"/>
          <w:sz w:val="22"/>
          <w:szCs w:val="22"/>
          <w:lang w:val="en-AU" w:eastAsia="en-AU"/>
        </w:rPr>
      </w:pPr>
      <w:r w:rsidRPr="00382FE9">
        <w:rPr>
          <w:lang w:val="en-AU" w:eastAsia="en-GB"/>
        </w:rPr>
        <w:t>LH3.8 Foot health</w:t>
      </w:r>
      <w:r>
        <w:tab/>
      </w:r>
      <w:r>
        <w:fldChar w:fldCharType="begin"/>
      </w:r>
      <w:r>
        <w:instrText xml:space="preserve"> PAGEREF _Toc495310506 \h </w:instrText>
      </w:r>
      <w:r>
        <w:fldChar w:fldCharType="separate"/>
      </w:r>
      <w:r>
        <w:t>37</w:t>
      </w:r>
      <w:r>
        <w:fldChar w:fldCharType="end"/>
      </w:r>
    </w:p>
    <w:p w14:paraId="7A385CA6" w14:textId="77777777" w:rsidR="0082578C" w:rsidRDefault="0082578C">
      <w:pPr>
        <w:pStyle w:val="TOC3"/>
        <w:rPr>
          <w:rFonts w:asciiTheme="minorHAnsi" w:eastAsiaTheme="minorEastAsia" w:hAnsiTheme="minorHAnsi"/>
          <w:sz w:val="22"/>
          <w:szCs w:val="22"/>
          <w:lang w:val="en-AU" w:eastAsia="en-AU"/>
        </w:rPr>
      </w:pPr>
      <w:r w:rsidRPr="00382FE9">
        <w:rPr>
          <w:lang w:val="en-AU" w:eastAsia="en-GB"/>
        </w:rPr>
        <w:t>LH3.9 Eye abnormalities</w:t>
      </w:r>
      <w:r>
        <w:tab/>
      </w:r>
      <w:r>
        <w:fldChar w:fldCharType="begin"/>
      </w:r>
      <w:r>
        <w:instrText xml:space="preserve"> PAGEREF _Toc495310507 \h </w:instrText>
      </w:r>
      <w:r>
        <w:fldChar w:fldCharType="separate"/>
      </w:r>
      <w:r>
        <w:t>38</w:t>
      </w:r>
      <w:r>
        <w:fldChar w:fldCharType="end"/>
      </w:r>
    </w:p>
    <w:p w14:paraId="5F4738F3" w14:textId="77777777" w:rsidR="0082578C" w:rsidRDefault="0082578C">
      <w:pPr>
        <w:pStyle w:val="TOC3"/>
        <w:rPr>
          <w:rFonts w:asciiTheme="minorHAnsi" w:eastAsiaTheme="minorEastAsia" w:hAnsiTheme="minorHAnsi"/>
          <w:sz w:val="22"/>
          <w:szCs w:val="22"/>
          <w:lang w:val="en-AU" w:eastAsia="en-AU"/>
        </w:rPr>
      </w:pPr>
      <w:r w:rsidRPr="00382FE9">
        <w:rPr>
          <w:lang w:val="en-AU" w:eastAsia="en-GB"/>
        </w:rPr>
        <w:t>LH3.10 Haemorrhagic fatty liver syndrome</w:t>
      </w:r>
      <w:r>
        <w:tab/>
      </w:r>
      <w:r>
        <w:fldChar w:fldCharType="begin"/>
      </w:r>
      <w:r>
        <w:instrText xml:space="preserve"> PAGEREF _Toc495310508 \h </w:instrText>
      </w:r>
      <w:r>
        <w:fldChar w:fldCharType="separate"/>
      </w:r>
      <w:r>
        <w:t>38</w:t>
      </w:r>
      <w:r>
        <w:fldChar w:fldCharType="end"/>
      </w:r>
    </w:p>
    <w:p w14:paraId="4A60AACD" w14:textId="77777777" w:rsidR="0082578C" w:rsidRDefault="0082578C">
      <w:pPr>
        <w:pStyle w:val="TOC3"/>
        <w:rPr>
          <w:rFonts w:asciiTheme="minorHAnsi" w:eastAsiaTheme="minorEastAsia" w:hAnsiTheme="minorHAnsi"/>
          <w:sz w:val="22"/>
          <w:szCs w:val="22"/>
          <w:lang w:val="en-AU" w:eastAsia="en-AU"/>
        </w:rPr>
      </w:pPr>
      <w:r w:rsidRPr="00382FE9">
        <w:rPr>
          <w:lang w:val="en-AU" w:eastAsia="en-GB"/>
        </w:rPr>
        <w:t>LH3.11 Parasitic infections</w:t>
      </w:r>
      <w:r>
        <w:tab/>
      </w:r>
      <w:r>
        <w:fldChar w:fldCharType="begin"/>
      </w:r>
      <w:r>
        <w:instrText xml:space="preserve"> PAGEREF _Toc495310509 \h </w:instrText>
      </w:r>
      <w:r>
        <w:fldChar w:fldCharType="separate"/>
      </w:r>
      <w:r>
        <w:t>38</w:t>
      </w:r>
      <w:r>
        <w:fldChar w:fldCharType="end"/>
      </w:r>
    </w:p>
    <w:p w14:paraId="79856338" w14:textId="77777777" w:rsidR="0082578C" w:rsidRDefault="0082578C">
      <w:pPr>
        <w:pStyle w:val="TOC3"/>
        <w:rPr>
          <w:rFonts w:asciiTheme="minorHAnsi" w:eastAsiaTheme="minorEastAsia" w:hAnsiTheme="minorHAnsi"/>
          <w:sz w:val="22"/>
          <w:szCs w:val="22"/>
          <w:lang w:val="en-AU" w:eastAsia="en-AU"/>
        </w:rPr>
      </w:pPr>
      <w:r w:rsidRPr="00382FE9">
        <w:rPr>
          <w:lang w:val="en-AU" w:eastAsia="en-GB"/>
        </w:rPr>
        <w:t>LH3.12 Infectious diseases</w:t>
      </w:r>
      <w:r>
        <w:tab/>
      </w:r>
      <w:r>
        <w:fldChar w:fldCharType="begin"/>
      </w:r>
      <w:r>
        <w:instrText xml:space="preserve"> PAGEREF _Toc495310510 \h </w:instrText>
      </w:r>
      <w:r>
        <w:fldChar w:fldCharType="separate"/>
      </w:r>
      <w:r>
        <w:t>40</w:t>
      </w:r>
      <w:r>
        <w:fldChar w:fldCharType="end"/>
      </w:r>
    </w:p>
    <w:p w14:paraId="0D3C5900" w14:textId="77777777" w:rsidR="0082578C" w:rsidRDefault="0082578C">
      <w:pPr>
        <w:pStyle w:val="TOC3"/>
        <w:rPr>
          <w:rFonts w:asciiTheme="minorHAnsi" w:eastAsiaTheme="minorEastAsia" w:hAnsiTheme="minorHAnsi"/>
          <w:sz w:val="22"/>
          <w:szCs w:val="22"/>
          <w:lang w:val="en-AU" w:eastAsia="en-AU"/>
        </w:rPr>
      </w:pPr>
      <w:r w:rsidRPr="00382FE9">
        <w:rPr>
          <w:lang w:val="en-AU" w:eastAsia="en-GB"/>
        </w:rPr>
        <w:t>LH3.13 Immune function</w:t>
      </w:r>
      <w:r>
        <w:tab/>
      </w:r>
      <w:r>
        <w:fldChar w:fldCharType="begin"/>
      </w:r>
      <w:r>
        <w:instrText xml:space="preserve"> PAGEREF _Toc495310511 \h </w:instrText>
      </w:r>
      <w:r>
        <w:fldChar w:fldCharType="separate"/>
      </w:r>
      <w:r>
        <w:t>41</w:t>
      </w:r>
      <w:r>
        <w:fldChar w:fldCharType="end"/>
      </w:r>
    </w:p>
    <w:p w14:paraId="5F2F2000"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LH4. Facilities and Equipment: Behavioural Needs</w:t>
      </w:r>
      <w:r>
        <w:tab/>
      </w:r>
      <w:r>
        <w:fldChar w:fldCharType="begin"/>
      </w:r>
      <w:r>
        <w:instrText xml:space="preserve"> PAGEREF _Toc495310512 \h </w:instrText>
      </w:r>
      <w:r>
        <w:fldChar w:fldCharType="separate"/>
      </w:r>
      <w:r>
        <w:t>41</w:t>
      </w:r>
      <w:r>
        <w:fldChar w:fldCharType="end"/>
      </w:r>
    </w:p>
    <w:p w14:paraId="2DEB9963" w14:textId="77777777" w:rsidR="0082578C" w:rsidRDefault="0082578C">
      <w:pPr>
        <w:pStyle w:val="TOC3"/>
        <w:rPr>
          <w:rFonts w:asciiTheme="minorHAnsi" w:eastAsiaTheme="minorEastAsia" w:hAnsiTheme="minorHAnsi"/>
          <w:sz w:val="22"/>
          <w:szCs w:val="22"/>
          <w:lang w:val="en-AU" w:eastAsia="en-AU"/>
        </w:rPr>
      </w:pPr>
      <w:r w:rsidRPr="00382FE9">
        <w:rPr>
          <w:lang w:val="en-AU" w:eastAsia="en-GB"/>
        </w:rPr>
        <w:t>LH4.1 Behavioural need for a nest</w:t>
      </w:r>
      <w:r>
        <w:tab/>
      </w:r>
      <w:r>
        <w:fldChar w:fldCharType="begin"/>
      </w:r>
      <w:r>
        <w:instrText xml:space="preserve"> PAGEREF _Toc495310513 \h </w:instrText>
      </w:r>
      <w:r>
        <w:fldChar w:fldCharType="separate"/>
      </w:r>
      <w:r>
        <w:t>42</w:t>
      </w:r>
      <w:r>
        <w:fldChar w:fldCharType="end"/>
      </w:r>
    </w:p>
    <w:p w14:paraId="42682855" w14:textId="77777777" w:rsidR="0082578C" w:rsidRDefault="0082578C">
      <w:pPr>
        <w:pStyle w:val="TOC3"/>
        <w:rPr>
          <w:rFonts w:asciiTheme="minorHAnsi" w:eastAsiaTheme="minorEastAsia" w:hAnsiTheme="minorHAnsi"/>
          <w:sz w:val="22"/>
          <w:szCs w:val="22"/>
          <w:lang w:val="en-AU" w:eastAsia="en-AU"/>
        </w:rPr>
      </w:pPr>
      <w:r w:rsidRPr="00382FE9">
        <w:rPr>
          <w:lang w:val="en-AU" w:eastAsia="en-GB"/>
        </w:rPr>
        <w:t>LH4.2 Behavioural need for a perch</w:t>
      </w:r>
      <w:r>
        <w:tab/>
      </w:r>
      <w:r>
        <w:fldChar w:fldCharType="begin"/>
      </w:r>
      <w:r>
        <w:instrText xml:space="preserve"> PAGEREF _Toc495310514 \h </w:instrText>
      </w:r>
      <w:r>
        <w:fldChar w:fldCharType="separate"/>
      </w:r>
      <w:r>
        <w:t>42</w:t>
      </w:r>
      <w:r>
        <w:fldChar w:fldCharType="end"/>
      </w:r>
    </w:p>
    <w:p w14:paraId="30E015A7" w14:textId="77777777" w:rsidR="0082578C" w:rsidRDefault="0082578C">
      <w:pPr>
        <w:pStyle w:val="TOC3"/>
        <w:rPr>
          <w:rFonts w:asciiTheme="minorHAnsi" w:eastAsiaTheme="minorEastAsia" w:hAnsiTheme="minorHAnsi"/>
          <w:sz w:val="22"/>
          <w:szCs w:val="22"/>
          <w:lang w:val="en-AU" w:eastAsia="en-AU"/>
        </w:rPr>
      </w:pPr>
      <w:r w:rsidRPr="00382FE9">
        <w:rPr>
          <w:lang w:val="en-AU" w:eastAsia="en-GB"/>
        </w:rPr>
        <w:t>LH4.3 Behavioural need to forage</w:t>
      </w:r>
      <w:r>
        <w:tab/>
      </w:r>
      <w:r>
        <w:fldChar w:fldCharType="begin"/>
      </w:r>
      <w:r>
        <w:instrText xml:space="preserve"> PAGEREF _Toc495310515 \h </w:instrText>
      </w:r>
      <w:r>
        <w:fldChar w:fldCharType="separate"/>
      </w:r>
      <w:r>
        <w:t>44</w:t>
      </w:r>
      <w:r>
        <w:fldChar w:fldCharType="end"/>
      </w:r>
    </w:p>
    <w:p w14:paraId="1FAB7A2B" w14:textId="77777777" w:rsidR="0082578C" w:rsidRDefault="0082578C">
      <w:pPr>
        <w:pStyle w:val="TOC3"/>
        <w:rPr>
          <w:rFonts w:asciiTheme="minorHAnsi" w:eastAsiaTheme="minorEastAsia" w:hAnsiTheme="minorHAnsi"/>
          <w:sz w:val="22"/>
          <w:szCs w:val="22"/>
          <w:lang w:val="en-AU" w:eastAsia="en-AU"/>
        </w:rPr>
      </w:pPr>
      <w:r w:rsidRPr="00382FE9">
        <w:rPr>
          <w:lang w:val="en-AU" w:eastAsia="en-GB"/>
        </w:rPr>
        <w:t>LH4.4 Behavioural need for dust-bathing</w:t>
      </w:r>
      <w:r>
        <w:tab/>
      </w:r>
      <w:r>
        <w:fldChar w:fldCharType="begin"/>
      </w:r>
      <w:r>
        <w:instrText xml:space="preserve"> PAGEREF _Toc495310516 \h </w:instrText>
      </w:r>
      <w:r>
        <w:fldChar w:fldCharType="separate"/>
      </w:r>
      <w:r>
        <w:t>44</w:t>
      </w:r>
      <w:r>
        <w:fldChar w:fldCharType="end"/>
      </w:r>
    </w:p>
    <w:p w14:paraId="107A7693" w14:textId="77777777" w:rsidR="0082578C" w:rsidRDefault="0082578C">
      <w:pPr>
        <w:pStyle w:val="TOC3"/>
        <w:rPr>
          <w:rFonts w:asciiTheme="minorHAnsi" w:eastAsiaTheme="minorEastAsia" w:hAnsiTheme="minorHAnsi"/>
          <w:sz w:val="22"/>
          <w:szCs w:val="22"/>
          <w:lang w:val="en-AU" w:eastAsia="en-AU"/>
        </w:rPr>
      </w:pPr>
      <w:r w:rsidRPr="00382FE9">
        <w:rPr>
          <w:lang w:val="en-AU" w:eastAsia="en-GB"/>
        </w:rPr>
        <w:t>LH4.5 Social behaviour</w:t>
      </w:r>
      <w:r>
        <w:tab/>
      </w:r>
      <w:r>
        <w:fldChar w:fldCharType="begin"/>
      </w:r>
      <w:r>
        <w:instrText xml:space="preserve"> PAGEREF _Toc495310517 \h </w:instrText>
      </w:r>
      <w:r>
        <w:fldChar w:fldCharType="separate"/>
      </w:r>
      <w:r>
        <w:t>44</w:t>
      </w:r>
      <w:r>
        <w:fldChar w:fldCharType="end"/>
      </w:r>
    </w:p>
    <w:p w14:paraId="4523ACA9"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LH5. Facilities and Equipment: Behavioural Usage</w:t>
      </w:r>
      <w:r>
        <w:tab/>
      </w:r>
      <w:r>
        <w:fldChar w:fldCharType="begin"/>
      </w:r>
      <w:r>
        <w:instrText xml:space="preserve"> PAGEREF _Toc495310518 \h </w:instrText>
      </w:r>
      <w:r>
        <w:fldChar w:fldCharType="separate"/>
      </w:r>
      <w:r>
        <w:t>45</w:t>
      </w:r>
      <w:r>
        <w:fldChar w:fldCharType="end"/>
      </w:r>
    </w:p>
    <w:p w14:paraId="04A39F46" w14:textId="77777777" w:rsidR="0082578C" w:rsidRDefault="0082578C">
      <w:pPr>
        <w:pStyle w:val="TOC3"/>
        <w:rPr>
          <w:rFonts w:asciiTheme="minorHAnsi" w:eastAsiaTheme="minorEastAsia" w:hAnsiTheme="minorHAnsi"/>
          <w:sz w:val="22"/>
          <w:szCs w:val="22"/>
          <w:lang w:val="en-AU" w:eastAsia="en-AU"/>
        </w:rPr>
      </w:pPr>
      <w:r w:rsidRPr="00382FE9">
        <w:rPr>
          <w:lang w:val="en-AU" w:eastAsia="en-GB"/>
        </w:rPr>
        <w:t>LH5.1 Behaviour in conventional cages</w:t>
      </w:r>
      <w:r>
        <w:tab/>
      </w:r>
      <w:r>
        <w:fldChar w:fldCharType="begin"/>
      </w:r>
      <w:r>
        <w:instrText xml:space="preserve"> PAGEREF _Toc495310519 \h </w:instrText>
      </w:r>
      <w:r>
        <w:fldChar w:fldCharType="separate"/>
      </w:r>
      <w:r>
        <w:t>45</w:t>
      </w:r>
      <w:r>
        <w:fldChar w:fldCharType="end"/>
      </w:r>
    </w:p>
    <w:p w14:paraId="1421E5AC" w14:textId="77777777" w:rsidR="0082578C" w:rsidRDefault="0082578C">
      <w:pPr>
        <w:pStyle w:val="TOC3"/>
        <w:rPr>
          <w:rFonts w:asciiTheme="minorHAnsi" w:eastAsiaTheme="minorEastAsia" w:hAnsiTheme="minorHAnsi"/>
          <w:sz w:val="22"/>
          <w:szCs w:val="22"/>
          <w:lang w:val="en-AU" w:eastAsia="en-AU"/>
        </w:rPr>
      </w:pPr>
      <w:r>
        <w:t>LH5.2 Behaviour in furnished or colony cages</w:t>
      </w:r>
      <w:r>
        <w:tab/>
      </w:r>
      <w:r>
        <w:fldChar w:fldCharType="begin"/>
      </w:r>
      <w:r>
        <w:instrText xml:space="preserve"> PAGEREF _Toc495310520 \h </w:instrText>
      </w:r>
      <w:r>
        <w:fldChar w:fldCharType="separate"/>
      </w:r>
      <w:r>
        <w:t>46</w:t>
      </w:r>
      <w:r>
        <w:fldChar w:fldCharType="end"/>
      </w:r>
    </w:p>
    <w:p w14:paraId="7374B586" w14:textId="77777777" w:rsidR="0082578C" w:rsidRDefault="0082578C">
      <w:pPr>
        <w:pStyle w:val="TOC3"/>
        <w:rPr>
          <w:rFonts w:asciiTheme="minorHAnsi" w:eastAsiaTheme="minorEastAsia" w:hAnsiTheme="minorHAnsi"/>
          <w:sz w:val="22"/>
          <w:szCs w:val="22"/>
          <w:lang w:val="en-AU" w:eastAsia="en-AU"/>
        </w:rPr>
      </w:pPr>
      <w:r w:rsidRPr="00382FE9">
        <w:rPr>
          <w:lang w:val="en-AU" w:eastAsia="en-GB"/>
        </w:rPr>
        <w:t>LH5.3 Behaviour in non-cage systems</w:t>
      </w:r>
      <w:r>
        <w:tab/>
      </w:r>
      <w:r>
        <w:fldChar w:fldCharType="begin"/>
      </w:r>
      <w:r>
        <w:instrText xml:space="preserve"> PAGEREF _Toc495310521 \h </w:instrText>
      </w:r>
      <w:r>
        <w:fldChar w:fldCharType="separate"/>
      </w:r>
      <w:r>
        <w:t>47</w:t>
      </w:r>
      <w:r>
        <w:fldChar w:fldCharType="end"/>
      </w:r>
    </w:p>
    <w:p w14:paraId="5F64BECD" w14:textId="77777777" w:rsidR="0082578C" w:rsidRDefault="0082578C">
      <w:pPr>
        <w:pStyle w:val="TOC3"/>
        <w:rPr>
          <w:rFonts w:asciiTheme="minorHAnsi" w:eastAsiaTheme="minorEastAsia" w:hAnsiTheme="minorHAnsi"/>
          <w:sz w:val="22"/>
          <w:szCs w:val="22"/>
          <w:lang w:val="en-AU" w:eastAsia="en-AU"/>
        </w:rPr>
      </w:pPr>
      <w:r w:rsidRPr="00382FE9">
        <w:rPr>
          <w:lang w:val="en-AU" w:eastAsia="en-GB"/>
        </w:rPr>
        <w:t>LH5.4 Behaviour in free-range systems</w:t>
      </w:r>
      <w:r>
        <w:tab/>
      </w:r>
      <w:r>
        <w:fldChar w:fldCharType="begin"/>
      </w:r>
      <w:r>
        <w:instrText xml:space="preserve"> PAGEREF _Toc495310522 \h </w:instrText>
      </w:r>
      <w:r>
        <w:fldChar w:fldCharType="separate"/>
      </w:r>
      <w:r>
        <w:t>49</w:t>
      </w:r>
      <w:r>
        <w:fldChar w:fldCharType="end"/>
      </w:r>
    </w:p>
    <w:p w14:paraId="36F8B8AE"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LH6. Fear and Distress</w:t>
      </w:r>
      <w:r>
        <w:tab/>
      </w:r>
      <w:r>
        <w:fldChar w:fldCharType="begin"/>
      </w:r>
      <w:r>
        <w:instrText xml:space="preserve"> PAGEREF _Toc495310523 \h </w:instrText>
      </w:r>
      <w:r>
        <w:fldChar w:fldCharType="separate"/>
      </w:r>
      <w:r>
        <w:t>50</w:t>
      </w:r>
      <w:r>
        <w:fldChar w:fldCharType="end"/>
      </w:r>
    </w:p>
    <w:p w14:paraId="7ED1CEDD" w14:textId="77777777" w:rsidR="0082578C" w:rsidRDefault="0082578C">
      <w:pPr>
        <w:pStyle w:val="TOC3"/>
        <w:rPr>
          <w:rFonts w:asciiTheme="minorHAnsi" w:eastAsiaTheme="minorEastAsia" w:hAnsiTheme="minorHAnsi"/>
          <w:sz w:val="22"/>
          <w:szCs w:val="22"/>
          <w:lang w:val="en-AU" w:eastAsia="en-AU"/>
        </w:rPr>
      </w:pPr>
      <w:r w:rsidRPr="00382FE9">
        <w:rPr>
          <w:lang w:val="en-AU" w:eastAsia="en-GB"/>
        </w:rPr>
        <w:t>LH6.1 Stress</w:t>
      </w:r>
      <w:r>
        <w:tab/>
      </w:r>
      <w:r>
        <w:fldChar w:fldCharType="begin"/>
      </w:r>
      <w:r>
        <w:instrText xml:space="preserve"> PAGEREF _Toc495310524 \h </w:instrText>
      </w:r>
      <w:r>
        <w:fldChar w:fldCharType="separate"/>
      </w:r>
      <w:r>
        <w:t>50</w:t>
      </w:r>
      <w:r>
        <w:fldChar w:fldCharType="end"/>
      </w:r>
    </w:p>
    <w:p w14:paraId="51F9E474" w14:textId="77777777" w:rsidR="0082578C" w:rsidRDefault="0082578C">
      <w:pPr>
        <w:pStyle w:val="TOC3"/>
        <w:rPr>
          <w:rFonts w:asciiTheme="minorHAnsi" w:eastAsiaTheme="minorEastAsia" w:hAnsiTheme="minorHAnsi"/>
          <w:sz w:val="22"/>
          <w:szCs w:val="22"/>
          <w:lang w:val="en-AU" w:eastAsia="en-AU"/>
        </w:rPr>
      </w:pPr>
      <w:r w:rsidRPr="00382FE9">
        <w:rPr>
          <w:lang w:val="en-AU" w:eastAsia="en-GB"/>
        </w:rPr>
        <w:t>LH6.2 Fear</w:t>
      </w:r>
      <w:r>
        <w:tab/>
      </w:r>
      <w:r>
        <w:fldChar w:fldCharType="begin"/>
      </w:r>
      <w:r>
        <w:instrText xml:space="preserve"> PAGEREF _Toc495310525 \h </w:instrText>
      </w:r>
      <w:r>
        <w:fldChar w:fldCharType="separate"/>
      </w:r>
      <w:r>
        <w:t>50</w:t>
      </w:r>
      <w:r>
        <w:fldChar w:fldCharType="end"/>
      </w:r>
    </w:p>
    <w:p w14:paraId="7ABE0CD4"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LH7. Sensory Environment</w:t>
      </w:r>
      <w:r>
        <w:tab/>
      </w:r>
      <w:r>
        <w:fldChar w:fldCharType="begin"/>
      </w:r>
      <w:r>
        <w:instrText xml:space="preserve"> PAGEREF _Toc495310526 \h </w:instrText>
      </w:r>
      <w:r>
        <w:fldChar w:fldCharType="separate"/>
      </w:r>
      <w:r>
        <w:t>51</w:t>
      </w:r>
      <w:r>
        <w:fldChar w:fldCharType="end"/>
      </w:r>
    </w:p>
    <w:p w14:paraId="67FF2749" w14:textId="77777777" w:rsidR="0082578C" w:rsidRDefault="0082578C">
      <w:pPr>
        <w:pStyle w:val="TOC3"/>
        <w:rPr>
          <w:rFonts w:asciiTheme="minorHAnsi" w:eastAsiaTheme="minorEastAsia" w:hAnsiTheme="minorHAnsi"/>
          <w:sz w:val="22"/>
          <w:szCs w:val="22"/>
          <w:lang w:val="en-AU" w:eastAsia="en-AU"/>
        </w:rPr>
      </w:pPr>
      <w:r w:rsidRPr="00382FE9">
        <w:rPr>
          <w:lang w:val="en-AU" w:eastAsia="en-GB"/>
        </w:rPr>
        <w:t>LH7.1 Light and vision</w:t>
      </w:r>
      <w:r>
        <w:tab/>
      </w:r>
      <w:r>
        <w:fldChar w:fldCharType="begin"/>
      </w:r>
      <w:r>
        <w:instrText xml:space="preserve"> PAGEREF _Toc495310527 \h </w:instrText>
      </w:r>
      <w:r>
        <w:fldChar w:fldCharType="separate"/>
      </w:r>
      <w:r>
        <w:t>51</w:t>
      </w:r>
      <w:r>
        <w:fldChar w:fldCharType="end"/>
      </w:r>
    </w:p>
    <w:p w14:paraId="4293088A" w14:textId="77777777" w:rsidR="0082578C" w:rsidRDefault="0082578C">
      <w:pPr>
        <w:pStyle w:val="TOC3"/>
        <w:rPr>
          <w:rFonts w:asciiTheme="minorHAnsi" w:eastAsiaTheme="minorEastAsia" w:hAnsiTheme="minorHAnsi"/>
          <w:sz w:val="22"/>
          <w:szCs w:val="22"/>
          <w:lang w:val="en-AU" w:eastAsia="en-AU"/>
        </w:rPr>
      </w:pPr>
      <w:r w:rsidRPr="00382FE9">
        <w:rPr>
          <w:lang w:val="en-AU" w:eastAsia="en-GB"/>
        </w:rPr>
        <w:t>LH7.2 Sound, noise and hearing</w:t>
      </w:r>
      <w:r>
        <w:tab/>
      </w:r>
      <w:r>
        <w:fldChar w:fldCharType="begin"/>
      </w:r>
      <w:r>
        <w:instrText xml:space="preserve"> PAGEREF _Toc495310528 \h </w:instrText>
      </w:r>
      <w:r>
        <w:fldChar w:fldCharType="separate"/>
      </w:r>
      <w:r>
        <w:t>52</w:t>
      </w:r>
      <w:r>
        <w:fldChar w:fldCharType="end"/>
      </w:r>
    </w:p>
    <w:p w14:paraId="1DBB7AFD" w14:textId="77777777" w:rsidR="0082578C" w:rsidRDefault="0082578C">
      <w:pPr>
        <w:pStyle w:val="TOC3"/>
        <w:rPr>
          <w:rFonts w:asciiTheme="minorHAnsi" w:eastAsiaTheme="minorEastAsia" w:hAnsiTheme="minorHAnsi"/>
          <w:sz w:val="22"/>
          <w:szCs w:val="22"/>
          <w:lang w:val="en-AU" w:eastAsia="en-AU"/>
        </w:rPr>
      </w:pPr>
      <w:r w:rsidRPr="00382FE9">
        <w:rPr>
          <w:lang w:val="en-AU" w:eastAsia="en-GB"/>
        </w:rPr>
        <w:t>LH7.3 Olfaction</w:t>
      </w:r>
      <w:r>
        <w:tab/>
      </w:r>
      <w:r>
        <w:fldChar w:fldCharType="begin"/>
      </w:r>
      <w:r>
        <w:instrText xml:space="preserve"> PAGEREF _Toc495310529 \h </w:instrText>
      </w:r>
      <w:r>
        <w:fldChar w:fldCharType="separate"/>
      </w:r>
      <w:r>
        <w:t>52</w:t>
      </w:r>
      <w:r>
        <w:fldChar w:fldCharType="end"/>
      </w:r>
    </w:p>
    <w:p w14:paraId="3C6A021E" w14:textId="77777777" w:rsidR="0082578C" w:rsidRDefault="0082578C">
      <w:pPr>
        <w:pStyle w:val="TOC3"/>
        <w:rPr>
          <w:rFonts w:asciiTheme="minorHAnsi" w:eastAsiaTheme="minorEastAsia" w:hAnsiTheme="minorHAnsi"/>
          <w:sz w:val="22"/>
          <w:szCs w:val="22"/>
          <w:lang w:val="en-AU" w:eastAsia="en-AU"/>
        </w:rPr>
      </w:pPr>
      <w:r w:rsidRPr="00382FE9">
        <w:rPr>
          <w:lang w:val="en-AU" w:eastAsia="en-GB"/>
        </w:rPr>
        <w:t>LH7.4 Magnetic sense</w:t>
      </w:r>
      <w:r>
        <w:tab/>
      </w:r>
      <w:r>
        <w:fldChar w:fldCharType="begin"/>
      </w:r>
      <w:r>
        <w:instrText xml:space="preserve"> PAGEREF _Toc495310530 \h </w:instrText>
      </w:r>
      <w:r>
        <w:fldChar w:fldCharType="separate"/>
      </w:r>
      <w:r>
        <w:t>52</w:t>
      </w:r>
      <w:r>
        <w:fldChar w:fldCharType="end"/>
      </w:r>
    </w:p>
    <w:p w14:paraId="49E01A4E" w14:textId="77777777" w:rsidR="0082578C" w:rsidRDefault="0082578C">
      <w:pPr>
        <w:pStyle w:val="TOC3"/>
        <w:rPr>
          <w:rFonts w:asciiTheme="minorHAnsi" w:eastAsiaTheme="minorEastAsia" w:hAnsiTheme="minorHAnsi"/>
          <w:sz w:val="22"/>
          <w:szCs w:val="22"/>
          <w:lang w:val="en-AU" w:eastAsia="en-AU"/>
        </w:rPr>
      </w:pPr>
      <w:r>
        <w:t>LH7.5 Thermal comfort</w:t>
      </w:r>
      <w:r>
        <w:tab/>
      </w:r>
      <w:r>
        <w:fldChar w:fldCharType="begin"/>
      </w:r>
      <w:r>
        <w:instrText xml:space="preserve"> PAGEREF _Toc495310531 \h </w:instrText>
      </w:r>
      <w:r>
        <w:fldChar w:fldCharType="separate"/>
      </w:r>
      <w:r>
        <w:t>52</w:t>
      </w:r>
      <w:r>
        <w:fldChar w:fldCharType="end"/>
      </w:r>
    </w:p>
    <w:p w14:paraId="355E0145"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LH8. Handling and Management</w:t>
      </w:r>
      <w:r>
        <w:tab/>
      </w:r>
      <w:r>
        <w:fldChar w:fldCharType="begin"/>
      </w:r>
      <w:r>
        <w:instrText xml:space="preserve"> PAGEREF _Toc495310532 \h </w:instrText>
      </w:r>
      <w:r>
        <w:fldChar w:fldCharType="separate"/>
      </w:r>
      <w:r>
        <w:t>53</w:t>
      </w:r>
      <w:r>
        <w:fldChar w:fldCharType="end"/>
      </w:r>
    </w:p>
    <w:p w14:paraId="72639339" w14:textId="77777777" w:rsidR="0082578C" w:rsidRDefault="0082578C">
      <w:pPr>
        <w:pStyle w:val="TOC3"/>
        <w:rPr>
          <w:rFonts w:asciiTheme="minorHAnsi" w:eastAsiaTheme="minorEastAsia" w:hAnsiTheme="minorHAnsi"/>
          <w:sz w:val="22"/>
          <w:szCs w:val="22"/>
          <w:lang w:val="en-AU" w:eastAsia="en-AU"/>
        </w:rPr>
      </w:pPr>
      <w:r w:rsidRPr="00382FE9">
        <w:rPr>
          <w:lang w:val="en-AU" w:eastAsia="en-GB"/>
        </w:rPr>
        <w:t>LH8.1 Stocking density and group size</w:t>
      </w:r>
      <w:r>
        <w:tab/>
      </w:r>
      <w:r>
        <w:fldChar w:fldCharType="begin"/>
      </w:r>
      <w:r>
        <w:instrText xml:space="preserve"> PAGEREF _Toc495310533 \h </w:instrText>
      </w:r>
      <w:r>
        <w:fldChar w:fldCharType="separate"/>
      </w:r>
      <w:r>
        <w:t>53</w:t>
      </w:r>
      <w:r>
        <w:fldChar w:fldCharType="end"/>
      </w:r>
    </w:p>
    <w:p w14:paraId="7113E5C5" w14:textId="77777777" w:rsidR="0082578C" w:rsidRDefault="0082578C">
      <w:pPr>
        <w:pStyle w:val="TOC3"/>
        <w:rPr>
          <w:rFonts w:asciiTheme="minorHAnsi" w:eastAsiaTheme="minorEastAsia" w:hAnsiTheme="minorHAnsi"/>
          <w:sz w:val="22"/>
          <w:szCs w:val="22"/>
          <w:lang w:val="en-AU" w:eastAsia="en-AU"/>
        </w:rPr>
      </w:pPr>
      <w:r w:rsidRPr="00382FE9">
        <w:rPr>
          <w:lang w:val="en-AU" w:eastAsia="en-GB"/>
        </w:rPr>
        <w:t>LH8.2 Air quality and biosecurity</w:t>
      </w:r>
      <w:r>
        <w:tab/>
      </w:r>
      <w:r>
        <w:fldChar w:fldCharType="begin"/>
      </w:r>
      <w:r>
        <w:instrText xml:space="preserve"> PAGEREF _Toc495310534 \h </w:instrText>
      </w:r>
      <w:r>
        <w:fldChar w:fldCharType="separate"/>
      </w:r>
      <w:r>
        <w:t>54</w:t>
      </w:r>
      <w:r>
        <w:fldChar w:fldCharType="end"/>
      </w:r>
    </w:p>
    <w:p w14:paraId="23629E58" w14:textId="77777777" w:rsidR="0082578C" w:rsidRDefault="0082578C">
      <w:pPr>
        <w:pStyle w:val="TOC3"/>
        <w:rPr>
          <w:rFonts w:asciiTheme="minorHAnsi" w:eastAsiaTheme="minorEastAsia" w:hAnsiTheme="minorHAnsi"/>
          <w:sz w:val="22"/>
          <w:szCs w:val="22"/>
          <w:lang w:val="en-AU" w:eastAsia="en-AU"/>
        </w:rPr>
      </w:pPr>
      <w:r w:rsidRPr="00382FE9">
        <w:rPr>
          <w:lang w:val="en-AU" w:eastAsia="en-GB"/>
        </w:rPr>
        <w:t>LH8.3 Procedures</w:t>
      </w:r>
      <w:r>
        <w:tab/>
      </w:r>
      <w:r>
        <w:fldChar w:fldCharType="begin"/>
      </w:r>
      <w:r>
        <w:instrText xml:space="preserve"> PAGEREF _Toc495310535 \h </w:instrText>
      </w:r>
      <w:r>
        <w:fldChar w:fldCharType="separate"/>
      </w:r>
      <w:r>
        <w:t>54</w:t>
      </w:r>
      <w:r>
        <w:fldChar w:fldCharType="end"/>
      </w:r>
    </w:p>
    <w:p w14:paraId="19615F7A"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LH9. Rearing</w:t>
      </w:r>
      <w:r>
        <w:tab/>
      </w:r>
      <w:r>
        <w:fldChar w:fldCharType="begin"/>
      </w:r>
      <w:r>
        <w:instrText xml:space="preserve"> PAGEREF _Toc495310536 \h </w:instrText>
      </w:r>
      <w:r>
        <w:fldChar w:fldCharType="separate"/>
      </w:r>
      <w:r>
        <w:t>58</w:t>
      </w:r>
      <w:r>
        <w:fldChar w:fldCharType="end"/>
      </w:r>
    </w:p>
    <w:p w14:paraId="47988610"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LH10. Breed effects</w:t>
      </w:r>
      <w:r>
        <w:tab/>
      </w:r>
      <w:r>
        <w:fldChar w:fldCharType="begin"/>
      </w:r>
      <w:r>
        <w:instrText xml:space="preserve"> PAGEREF _Toc495310537 \h </w:instrText>
      </w:r>
      <w:r>
        <w:fldChar w:fldCharType="separate"/>
      </w:r>
      <w:r>
        <w:t>59</w:t>
      </w:r>
      <w:r>
        <w:fldChar w:fldCharType="end"/>
      </w:r>
    </w:p>
    <w:p w14:paraId="415BFD3D"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LH11. Welfare Considerations: Overview</w:t>
      </w:r>
      <w:r>
        <w:tab/>
      </w:r>
      <w:r>
        <w:fldChar w:fldCharType="begin"/>
      </w:r>
      <w:r>
        <w:instrText xml:space="preserve"> PAGEREF _Toc495310538 \h </w:instrText>
      </w:r>
      <w:r>
        <w:fldChar w:fldCharType="separate"/>
      </w:r>
      <w:r>
        <w:t>59</w:t>
      </w:r>
      <w:r>
        <w:fldChar w:fldCharType="end"/>
      </w:r>
    </w:p>
    <w:p w14:paraId="010ED672"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LH12. References</w:t>
      </w:r>
      <w:r>
        <w:tab/>
      </w:r>
      <w:r>
        <w:fldChar w:fldCharType="begin"/>
      </w:r>
      <w:r>
        <w:instrText xml:space="preserve"> PAGEREF _Toc495310539 \h </w:instrText>
      </w:r>
      <w:r>
        <w:fldChar w:fldCharType="separate"/>
      </w:r>
      <w:r>
        <w:t>61</w:t>
      </w:r>
      <w:r>
        <w:fldChar w:fldCharType="end"/>
      </w:r>
    </w:p>
    <w:p w14:paraId="31457941" w14:textId="77777777" w:rsidR="0082578C" w:rsidRDefault="0082578C">
      <w:pPr>
        <w:pStyle w:val="TOC1"/>
        <w:rPr>
          <w:rFonts w:asciiTheme="minorHAnsi" w:eastAsiaTheme="minorEastAsia" w:hAnsiTheme="minorHAnsi"/>
          <w:b w:val="0"/>
          <w:sz w:val="22"/>
          <w:szCs w:val="22"/>
          <w:lang w:val="en-AU" w:eastAsia="en-AU"/>
        </w:rPr>
      </w:pPr>
      <w:r w:rsidRPr="00382FE9">
        <w:rPr>
          <w:lang w:val="en-AU" w:eastAsia="en-AU"/>
        </w:rPr>
        <w:t>Laying Hen Breeders</w:t>
      </w:r>
      <w:r>
        <w:tab/>
      </w:r>
      <w:r>
        <w:fldChar w:fldCharType="begin"/>
      </w:r>
      <w:r>
        <w:instrText xml:space="preserve"> PAGEREF _Toc495310540 \h </w:instrText>
      </w:r>
      <w:r>
        <w:fldChar w:fldCharType="separate"/>
      </w:r>
      <w:r>
        <w:t>90</w:t>
      </w:r>
      <w:r>
        <w:fldChar w:fldCharType="end"/>
      </w:r>
    </w:p>
    <w:p w14:paraId="5149820A"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LHB1. Introduction</w:t>
      </w:r>
      <w:r>
        <w:tab/>
      </w:r>
      <w:r>
        <w:fldChar w:fldCharType="begin"/>
      </w:r>
      <w:r>
        <w:instrText xml:space="preserve"> PAGEREF _Toc495310541 \h </w:instrText>
      </w:r>
      <w:r>
        <w:fldChar w:fldCharType="separate"/>
      </w:r>
      <w:r>
        <w:t>90</w:t>
      </w:r>
      <w:r>
        <w:fldChar w:fldCharType="end"/>
      </w:r>
    </w:p>
    <w:p w14:paraId="0C0E8D4B"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LHB2. Risk Management</w:t>
      </w:r>
      <w:r>
        <w:tab/>
      </w:r>
      <w:r>
        <w:fldChar w:fldCharType="begin"/>
      </w:r>
      <w:r>
        <w:instrText xml:space="preserve"> PAGEREF _Toc495310542 \h </w:instrText>
      </w:r>
      <w:r>
        <w:fldChar w:fldCharType="separate"/>
      </w:r>
      <w:r>
        <w:t>90</w:t>
      </w:r>
      <w:r>
        <w:fldChar w:fldCharType="end"/>
      </w:r>
    </w:p>
    <w:p w14:paraId="254F3556" w14:textId="77777777" w:rsidR="0082578C" w:rsidRDefault="0082578C">
      <w:pPr>
        <w:pStyle w:val="TOC3"/>
        <w:rPr>
          <w:rFonts w:asciiTheme="minorHAnsi" w:eastAsiaTheme="minorEastAsia" w:hAnsiTheme="minorHAnsi"/>
          <w:sz w:val="22"/>
          <w:szCs w:val="22"/>
          <w:lang w:val="en-AU" w:eastAsia="en-AU"/>
        </w:rPr>
      </w:pPr>
      <w:r w:rsidRPr="00382FE9">
        <w:rPr>
          <w:lang w:val="en-AU" w:eastAsia="en-GB"/>
        </w:rPr>
        <w:t>LHB2.1 Infectious disease</w:t>
      </w:r>
      <w:r>
        <w:tab/>
      </w:r>
      <w:r>
        <w:fldChar w:fldCharType="begin"/>
      </w:r>
      <w:r>
        <w:instrText xml:space="preserve"> PAGEREF _Toc495310543 \h </w:instrText>
      </w:r>
      <w:r>
        <w:fldChar w:fldCharType="separate"/>
      </w:r>
      <w:r>
        <w:t>90</w:t>
      </w:r>
      <w:r>
        <w:fldChar w:fldCharType="end"/>
      </w:r>
    </w:p>
    <w:p w14:paraId="6ABDFBD5"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LHB3. Fear and Distress</w:t>
      </w:r>
      <w:r>
        <w:tab/>
      </w:r>
      <w:r>
        <w:fldChar w:fldCharType="begin"/>
      </w:r>
      <w:r>
        <w:instrText xml:space="preserve"> PAGEREF _Toc495310544 \h </w:instrText>
      </w:r>
      <w:r>
        <w:fldChar w:fldCharType="separate"/>
      </w:r>
      <w:r>
        <w:t>90</w:t>
      </w:r>
      <w:r>
        <w:fldChar w:fldCharType="end"/>
      </w:r>
    </w:p>
    <w:p w14:paraId="1573012F"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LHB4. Welfare Considerations: Overview</w:t>
      </w:r>
      <w:r>
        <w:tab/>
      </w:r>
      <w:r>
        <w:fldChar w:fldCharType="begin"/>
      </w:r>
      <w:r>
        <w:instrText xml:space="preserve"> PAGEREF _Toc495310545 \h </w:instrText>
      </w:r>
      <w:r>
        <w:fldChar w:fldCharType="separate"/>
      </w:r>
      <w:r>
        <w:t>90</w:t>
      </w:r>
      <w:r>
        <w:fldChar w:fldCharType="end"/>
      </w:r>
    </w:p>
    <w:p w14:paraId="780123A4"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LHB5. References</w:t>
      </w:r>
      <w:r>
        <w:tab/>
      </w:r>
      <w:r>
        <w:fldChar w:fldCharType="begin"/>
      </w:r>
      <w:r>
        <w:instrText xml:space="preserve"> PAGEREF _Toc495310546 \h </w:instrText>
      </w:r>
      <w:r>
        <w:fldChar w:fldCharType="separate"/>
      </w:r>
      <w:r>
        <w:t>90</w:t>
      </w:r>
      <w:r>
        <w:fldChar w:fldCharType="end"/>
      </w:r>
    </w:p>
    <w:p w14:paraId="5EC133ED" w14:textId="77777777" w:rsidR="0082578C" w:rsidRDefault="0082578C">
      <w:pPr>
        <w:pStyle w:val="TOC1"/>
        <w:rPr>
          <w:rFonts w:asciiTheme="minorHAnsi" w:eastAsiaTheme="minorEastAsia" w:hAnsiTheme="minorHAnsi"/>
          <w:b w:val="0"/>
          <w:sz w:val="22"/>
          <w:szCs w:val="22"/>
          <w:lang w:val="en-AU" w:eastAsia="en-AU"/>
        </w:rPr>
      </w:pPr>
      <w:r w:rsidRPr="00382FE9">
        <w:rPr>
          <w:lang w:val="en-AU" w:eastAsia="en-AU"/>
        </w:rPr>
        <w:t>Broilers</w:t>
      </w:r>
      <w:r>
        <w:tab/>
      </w:r>
      <w:r>
        <w:fldChar w:fldCharType="begin"/>
      </w:r>
      <w:r>
        <w:instrText xml:space="preserve"> PAGEREF _Toc495310547 \h </w:instrText>
      </w:r>
      <w:r>
        <w:fldChar w:fldCharType="separate"/>
      </w:r>
      <w:r>
        <w:t>91</w:t>
      </w:r>
      <w:r>
        <w:fldChar w:fldCharType="end"/>
      </w:r>
    </w:p>
    <w:p w14:paraId="34F1F3EC"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B1. Introduction</w:t>
      </w:r>
      <w:r>
        <w:tab/>
      </w:r>
      <w:r>
        <w:fldChar w:fldCharType="begin"/>
      </w:r>
      <w:r>
        <w:instrText xml:space="preserve"> PAGEREF _Toc495310548 \h </w:instrText>
      </w:r>
      <w:r>
        <w:fldChar w:fldCharType="separate"/>
      </w:r>
      <w:r>
        <w:t>91</w:t>
      </w:r>
      <w:r>
        <w:fldChar w:fldCharType="end"/>
      </w:r>
    </w:p>
    <w:p w14:paraId="412782FF" w14:textId="77777777" w:rsidR="0082578C" w:rsidRDefault="0082578C">
      <w:pPr>
        <w:pStyle w:val="TOC3"/>
        <w:rPr>
          <w:rFonts w:asciiTheme="minorHAnsi" w:eastAsiaTheme="minorEastAsia" w:hAnsiTheme="minorHAnsi"/>
          <w:sz w:val="22"/>
          <w:szCs w:val="22"/>
          <w:lang w:val="en-AU" w:eastAsia="en-AU"/>
        </w:rPr>
      </w:pPr>
      <w:r w:rsidRPr="00382FE9">
        <w:rPr>
          <w:lang w:val="en-AU" w:eastAsia="en-GB"/>
        </w:rPr>
        <w:t>B1.1 Commercial systems</w:t>
      </w:r>
      <w:r>
        <w:tab/>
      </w:r>
      <w:r>
        <w:fldChar w:fldCharType="begin"/>
      </w:r>
      <w:r>
        <w:instrText xml:space="preserve"> PAGEREF _Toc495310549 \h </w:instrText>
      </w:r>
      <w:r>
        <w:fldChar w:fldCharType="separate"/>
      </w:r>
      <w:r>
        <w:t>91</w:t>
      </w:r>
      <w:r>
        <w:fldChar w:fldCharType="end"/>
      </w:r>
    </w:p>
    <w:p w14:paraId="23D93772" w14:textId="77777777" w:rsidR="0082578C" w:rsidRDefault="0082578C">
      <w:pPr>
        <w:pStyle w:val="TOC3"/>
        <w:rPr>
          <w:rFonts w:asciiTheme="minorHAnsi" w:eastAsiaTheme="minorEastAsia" w:hAnsiTheme="minorHAnsi"/>
          <w:sz w:val="22"/>
          <w:szCs w:val="22"/>
          <w:lang w:val="en-AU" w:eastAsia="en-AU"/>
        </w:rPr>
      </w:pPr>
      <w:r w:rsidRPr="00382FE9">
        <w:rPr>
          <w:lang w:val="en-AU" w:eastAsia="en-GB"/>
        </w:rPr>
        <w:t>B1.2 Backyard production</w:t>
      </w:r>
      <w:r>
        <w:tab/>
      </w:r>
      <w:r>
        <w:fldChar w:fldCharType="begin"/>
      </w:r>
      <w:r>
        <w:instrText xml:space="preserve"> PAGEREF _Toc495310550 \h </w:instrText>
      </w:r>
      <w:r>
        <w:fldChar w:fldCharType="separate"/>
      </w:r>
      <w:r>
        <w:t>91</w:t>
      </w:r>
      <w:r>
        <w:fldChar w:fldCharType="end"/>
      </w:r>
    </w:p>
    <w:p w14:paraId="5F30DCD7" w14:textId="77777777" w:rsidR="0082578C" w:rsidRDefault="0082578C">
      <w:pPr>
        <w:pStyle w:val="TOC3"/>
        <w:rPr>
          <w:rFonts w:asciiTheme="minorHAnsi" w:eastAsiaTheme="minorEastAsia" w:hAnsiTheme="minorHAnsi"/>
          <w:sz w:val="22"/>
          <w:szCs w:val="22"/>
          <w:lang w:val="en-AU" w:eastAsia="en-AU"/>
        </w:rPr>
      </w:pPr>
      <w:r w:rsidRPr="00382FE9">
        <w:rPr>
          <w:lang w:val="en-AU" w:eastAsia="en-GB"/>
        </w:rPr>
        <w:t>B1.3 Australian broiler production</w:t>
      </w:r>
      <w:r>
        <w:tab/>
      </w:r>
      <w:r>
        <w:fldChar w:fldCharType="begin"/>
      </w:r>
      <w:r>
        <w:instrText xml:space="preserve"> PAGEREF _Toc495310551 \h </w:instrText>
      </w:r>
      <w:r>
        <w:fldChar w:fldCharType="separate"/>
      </w:r>
      <w:r>
        <w:t>91</w:t>
      </w:r>
      <w:r>
        <w:fldChar w:fldCharType="end"/>
      </w:r>
    </w:p>
    <w:p w14:paraId="7095086F"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B2. Feed and Water</w:t>
      </w:r>
      <w:r>
        <w:tab/>
      </w:r>
      <w:r>
        <w:fldChar w:fldCharType="begin"/>
      </w:r>
      <w:r>
        <w:instrText xml:space="preserve"> PAGEREF _Toc495310552 \h </w:instrText>
      </w:r>
      <w:r>
        <w:fldChar w:fldCharType="separate"/>
      </w:r>
      <w:r>
        <w:t>92</w:t>
      </w:r>
      <w:r>
        <w:fldChar w:fldCharType="end"/>
      </w:r>
    </w:p>
    <w:p w14:paraId="20716C7C" w14:textId="77777777" w:rsidR="0082578C" w:rsidRDefault="0082578C">
      <w:pPr>
        <w:pStyle w:val="TOC3"/>
        <w:rPr>
          <w:rFonts w:asciiTheme="minorHAnsi" w:eastAsiaTheme="minorEastAsia" w:hAnsiTheme="minorHAnsi"/>
          <w:sz w:val="22"/>
          <w:szCs w:val="22"/>
          <w:lang w:val="en-AU" w:eastAsia="en-AU"/>
        </w:rPr>
      </w:pPr>
      <w:r>
        <w:t>B2.1 Genotypic differences in feeding behaviour</w:t>
      </w:r>
      <w:r>
        <w:tab/>
      </w:r>
      <w:r>
        <w:fldChar w:fldCharType="begin"/>
      </w:r>
      <w:r>
        <w:instrText xml:space="preserve"> PAGEREF _Toc495310553 \h </w:instrText>
      </w:r>
      <w:r>
        <w:fldChar w:fldCharType="separate"/>
      </w:r>
      <w:r>
        <w:t>92</w:t>
      </w:r>
      <w:r>
        <w:fldChar w:fldCharType="end"/>
      </w:r>
    </w:p>
    <w:p w14:paraId="3A5B82BA" w14:textId="77777777" w:rsidR="0082578C" w:rsidRDefault="0082578C">
      <w:pPr>
        <w:pStyle w:val="TOC3"/>
        <w:rPr>
          <w:rFonts w:asciiTheme="minorHAnsi" w:eastAsiaTheme="minorEastAsia" w:hAnsiTheme="minorHAnsi"/>
          <w:sz w:val="22"/>
          <w:szCs w:val="22"/>
          <w:lang w:val="en-AU" w:eastAsia="en-AU"/>
        </w:rPr>
      </w:pPr>
      <w:r w:rsidRPr="00382FE9">
        <w:rPr>
          <w:lang w:val="en-AU" w:eastAsia="en-GB"/>
        </w:rPr>
        <w:t>B2.2 Nutrition and litter quality</w:t>
      </w:r>
      <w:r>
        <w:tab/>
      </w:r>
      <w:r>
        <w:fldChar w:fldCharType="begin"/>
      </w:r>
      <w:r>
        <w:instrText xml:space="preserve"> PAGEREF _Toc495310554 \h </w:instrText>
      </w:r>
      <w:r>
        <w:fldChar w:fldCharType="separate"/>
      </w:r>
      <w:r>
        <w:t>92</w:t>
      </w:r>
      <w:r>
        <w:fldChar w:fldCharType="end"/>
      </w:r>
    </w:p>
    <w:p w14:paraId="63B2DD74" w14:textId="77777777" w:rsidR="0082578C" w:rsidRDefault="0082578C">
      <w:pPr>
        <w:pStyle w:val="TOC3"/>
        <w:rPr>
          <w:rFonts w:asciiTheme="minorHAnsi" w:eastAsiaTheme="minorEastAsia" w:hAnsiTheme="minorHAnsi"/>
          <w:sz w:val="22"/>
          <w:szCs w:val="22"/>
          <w:lang w:val="en-AU" w:eastAsia="en-AU"/>
        </w:rPr>
      </w:pPr>
      <w:r w:rsidRPr="00382FE9">
        <w:rPr>
          <w:lang w:val="en-AU" w:eastAsia="en-GB"/>
        </w:rPr>
        <w:t>B2.3 Dietary restriction</w:t>
      </w:r>
      <w:r>
        <w:tab/>
      </w:r>
      <w:r>
        <w:fldChar w:fldCharType="begin"/>
      </w:r>
      <w:r>
        <w:instrText xml:space="preserve"> PAGEREF _Toc495310555 \h </w:instrText>
      </w:r>
      <w:r>
        <w:fldChar w:fldCharType="separate"/>
      </w:r>
      <w:r>
        <w:t>92</w:t>
      </w:r>
      <w:r>
        <w:fldChar w:fldCharType="end"/>
      </w:r>
    </w:p>
    <w:p w14:paraId="5FE69AB5" w14:textId="77777777" w:rsidR="0082578C" w:rsidRDefault="0082578C">
      <w:pPr>
        <w:pStyle w:val="TOC3"/>
        <w:rPr>
          <w:rFonts w:asciiTheme="minorHAnsi" w:eastAsiaTheme="minorEastAsia" w:hAnsiTheme="minorHAnsi"/>
          <w:sz w:val="22"/>
          <w:szCs w:val="22"/>
          <w:lang w:val="en-AU" w:eastAsia="en-AU"/>
        </w:rPr>
      </w:pPr>
      <w:r w:rsidRPr="00382FE9">
        <w:rPr>
          <w:lang w:val="en-AU" w:eastAsia="en-GB"/>
        </w:rPr>
        <w:t>B2.4 Mycotoxins and necrotic enteritis</w:t>
      </w:r>
      <w:r>
        <w:tab/>
      </w:r>
      <w:r>
        <w:fldChar w:fldCharType="begin"/>
      </w:r>
      <w:r>
        <w:instrText xml:space="preserve"> PAGEREF _Toc495310556 \h </w:instrText>
      </w:r>
      <w:r>
        <w:fldChar w:fldCharType="separate"/>
      </w:r>
      <w:r>
        <w:t>93</w:t>
      </w:r>
      <w:r>
        <w:fldChar w:fldCharType="end"/>
      </w:r>
    </w:p>
    <w:p w14:paraId="2CC9FD5A" w14:textId="77777777" w:rsidR="0082578C" w:rsidRDefault="0082578C">
      <w:pPr>
        <w:pStyle w:val="TOC3"/>
        <w:rPr>
          <w:rFonts w:asciiTheme="minorHAnsi" w:eastAsiaTheme="minorEastAsia" w:hAnsiTheme="minorHAnsi"/>
          <w:sz w:val="22"/>
          <w:szCs w:val="22"/>
          <w:lang w:val="en-AU" w:eastAsia="en-AU"/>
        </w:rPr>
      </w:pPr>
      <w:r w:rsidRPr="00382FE9">
        <w:rPr>
          <w:lang w:val="en-AU" w:eastAsia="en-GB"/>
        </w:rPr>
        <w:t>B2.5 Dietary modifications for environmental reasons</w:t>
      </w:r>
      <w:r>
        <w:tab/>
      </w:r>
      <w:r>
        <w:fldChar w:fldCharType="begin"/>
      </w:r>
      <w:r>
        <w:instrText xml:space="preserve"> PAGEREF _Toc495310557 \h </w:instrText>
      </w:r>
      <w:r>
        <w:fldChar w:fldCharType="separate"/>
      </w:r>
      <w:r>
        <w:t>93</w:t>
      </w:r>
      <w:r>
        <w:fldChar w:fldCharType="end"/>
      </w:r>
    </w:p>
    <w:p w14:paraId="5C09393D" w14:textId="77777777" w:rsidR="0082578C" w:rsidRDefault="0082578C">
      <w:pPr>
        <w:pStyle w:val="TOC3"/>
        <w:rPr>
          <w:rFonts w:asciiTheme="minorHAnsi" w:eastAsiaTheme="minorEastAsia" w:hAnsiTheme="minorHAnsi"/>
          <w:sz w:val="22"/>
          <w:szCs w:val="22"/>
          <w:lang w:val="en-AU" w:eastAsia="en-AU"/>
        </w:rPr>
      </w:pPr>
      <w:r w:rsidRPr="00382FE9">
        <w:rPr>
          <w:lang w:val="en-AU" w:eastAsia="en-GB"/>
        </w:rPr>
        <w:t>B2.6 Probiotics</w:t>
      </w:r>
      <w:r>
        <w:tab/>
      </w:r>
      <w:r>
        <w:fldChar w:fldCharType="begin"/>
      </w:r>
      <w:r>
        <w:instrText xml:space="preserve"> PAGEREF _Toc495310558 \h </w:instrText>
      </w:r>
      <w:r>
        <w:fldChar w:fldCharType="separate"/>
      </w:r>
      <w:r>
        <w:t>93</w:t>
      </w:r>
      <w:r>
        <w:fldChar w:fldCharType="end"/>
      </w:r>
    </w:p>
    <w:p w14:paraId="68E5C74D" w14:textId="77777777" w:rsidR="0082578C" w:rsidRDefault="0082578C">
      <w:pPr>
        <w:pStyle w:val="TOC3"/>
        <w:rPr>
          <w:rFonts w:asciiTheme="minorHAnsi" w:eastAsiaTheme="minorEastAsia" w:hAnsiTheme="minorHAnsi"/>
          <w:sz w:val="22"/>
          <w:szCs w:val="22"/>
          <w:lang w:val="en-AU" w:eastAsia="en-AU"/>
        </w:rPr>
      </w:pPr>
      <w:r w:rsidRPr="00382FE9">
        <w:rPr>
          <w:lang w:val="en-AU" w:eastAsia="en-GB"/>
        </w:rPr>
        <w:t>B2.7 Water supply and health</w:t>
      </w:r>
      <w:r>
        <w:tab/>
      </w:r>
      <w:r>
        <w:fldChar w:fldCharType="begin"/>
      </w:r>
      <w:r>
        <w:instrText xml:space="preserve"> PAGEREF _Toc495310559 \h </w:instrText>
      </w:r>
      <w:r>
        <w:fldChar w:fldCharType="separate"/>
      </w:r>
      <w:r>
        <w:t>93</w:t>
      </w:r>
      <w:r>
        <w:fldChar w:fldCharType="end"/>
      </w:r>
    </w:p>
    <w:p w14:paraId="521BD5A0" w14:textId="77777777" w:rsidR="0082578C" w:rsidRDefault="0082578C">
      <w:pPr>
        <w:pStyle w:val="TOC3"/>
        <w:rPr>
          <w:rFonts w:asciiTheme="minorHAnsi" w:eastAsiaTheme="minorEastAsia" w:hAnsiTheme="minorHAnsi"/>
          <w:sz w:val="22"/>
          <w:szCs w:val="22"/>
          <w:lang w:val="en-AU" w:eastAsia="en-AU"/>
        </w:rPr>
      </w:pPr>
      <w:r w:rsidRPr="00382FE9">
        <w:rPr>
          <w:lang w:val="en-AU" w:eastAsia="en-GB"/>
        </w:rPr>
        <w:t>B2.8 Drinker design</w:t>
      </w:r>
      <w:r>
        <w:tab/>
      </w:r>
      <w:r>
        <w:fldChar w:fldCharType="begin"/>
      </w:r>
      <w:r>
        <w:instrText xml:space="preserve"> PAGEREF _Toc495310560 \h </w:instrText>
      </w:r>
      <w:r>
        <w:fldChar w:fldCharType="separate"/>
      </w:r>
      <w:r>
        <w:t>94</w:t>
      </w:r>
      <w:r>
        <w:fldChar w:fldCharType="end"/>
      </w:r>
    </w:p>
    <w:p w14:paraId="10DF303F" w14:textId="77777777" w:rsidR="0082578C" w:rsidRDefault="0082578C">
      <w:pPr>
        <w:pStyle w:val="TOC3"/>
        <w:rPr>
          <w:rFonts w:asciiTheme="minorHAnsi" w:eastAsiaTheme="minorEastAsia" w:hAnsiTheme="minorHAnsi"/>
          <w:sz w:val="22"/>
          <w:szCs w:val="22"/>
          <w:lang w:val="en-AU" w:eastAsia="en-AU"/>
        </w:rPr>
      </w:pPr>
      <w:r w:rsidRPr="00382FE9">
        <w:rPr>
          <w:lang w:val="en-AU" w:eastAsia="en-GB"/>
        </w:rPr>
        <w:t>B2.9 Measuring thirst</w:t>
      </w:r>
      <w:r>
        <w:tab/>
      </w:r>
      <w:r>
        <w:fldChar w:fldCharType="begin"/>
      </w:r>
      <w:r>
        <w:instrText xml:space="preserve"> PAGEREF _Toc495310561 \h </w:instrText>
      </w:r>
      <w:r>
        <w:fldChar w:fldCharType="separate"/>
      </w:r>
      <w:r>
        <w:t>94</w:t>
      </w:r>
      <w:r>
        <w:fldChar w:fldCharType="end"/>
      </w:r>
    </w:p>
    <w:p w14:paraId="5D4AA18C" w14:textId="77777777" w:rsidR="0082578C" w:rsidRDefault="0082578C">
      <w:pPr>
        <w:pStyle w:val="TOC3"/>
        <w:rPr>
          <w:rFonts w:asciiTheme="minorHAnsi" w:eastAsiaTheme="minorEastAsia" w:hAnsiTheme="minorHAnsi"/>
          <w:sz w:val="22"/>
          <w:szCs w:val="22"/>
          <w:lang w:val="en-AU" w:eastAsia="en-AU"/>
        </w:rPr>
      </w:pPr>
      <w:r w:rsidRPr="00382FE9">
        <w:rPr>
          <w:lang w:val="en-AU" w:eastAsia="en-GB"/>
        </w:rPr>
        <w:t>B2.10 Measuring water consumption</w:t>
      </w:r>
      <w:r>
        <w:tab/>
      </w:r>
      <w:r>
        <w:fldChar w:fldCharType="begin"/>
      </w:r>
      <w:r>
        <w:instrText xml:space="preserve"> PAGEREF _Toc495310562 \h </w:instrText>
      </w:r>
      <w:r>
        <w:fldChar w:fldCharType="separate"/>
      </w:r>
      <w:r>
        <w:t>94</w:t>
      </w:r>
      <w:r>
        <w:fldChar w:fldCharType="end"/>
      </w:r>
    </w:p>
    <w:p w14:paraId="13246EB3"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B3. Risk Management</w:t>
      </w:r>
      <w:r>
        <w:tab/>
      </w:r>
      <w:r>
        <w:fldChar w:fldCharType="begin"/>
      </w:r>
      <w:r>
        <w:instrText xml:space="preserve"> PAGEREF _Toc495310563 \h </w:instrText>
      </w:r>
      <w:r>
        <w:fldChar w:fldCharType="separate"/>
      </w:r>
      <w:r>
        <w:t>94</w:t>
      </w:r>
      <w:r>
        <w:fldChar w:fldCharType="end"/>
      </w:r>
    </w:p>
    <w:p w14:paraId="77B77FA6" w14:textId="77777777" w:rsidR="0082578C" w:rsidRDefault="0082578C">
      <w:pPr>
        <w:pStyle w:val="TOC3"/>
        <w:rPr>
          <w:rFonts w:asciiTheme="minorHAnsi" w:eastAsiaTheme="minorEastAsia" w:hAnsiTheme="minorHAnsi"/>
          <w:sz w:val="22"/>
          <w:szCs w:val="22"/>
          <w:lang w:val="en-AU" w:eastAsia="en-AU"/>
        </w:rPr>
      </w:pPr>
      <w:r w:rsidRPr="00382FE9">
        <w:rPr>
          <w:lang w:val="en-AU" w:eastAsia="en-GB"/>
        </w:rPr>
        <w:t>B3.1 Mortality</w:t>
      </w:r>
      <w:r>
        <w:tab/>
      </w:r>
      <w:r>
        <w:fldChar w:fldCharType="begin"/>
      </w:r>
      <w:r>
        <w:instrText xml:space="preserve"> PAGEREF _Toc495310564 \h </w:instrText>
      </w:r>
      <w:r>
        <w:fldChar w:fldCharType="separate"/>
      </w:r>
      <w:r>
        <w:t>94</w:t>
      </w:r>
      <w:r>
        <w:fldChar w:fldCharType="end"/>
      </w:r>
    </w:p>
    <w:p w14:paraId="55A8ED1A" w14:textId="77777777" w:rsidR="0082578C" w:rsidRDefault="0082578C">
      <w:pPr>
        <w:pStyle w:val="TOC3"/>
        <w:rPr>
          <w:rFonts w:asciiTheme="minorHAnsi" w:eastAsiaTheme="minorEastAsia" w:hAnsiTheme="minorHAnsi"/>
          <w:sz w:val="22"/>
          <w:szCs w:val="22"/>
          <w:lang w:val="en-AU" w:eastAsia="en-AU"/>
        </w:rPr>
      </w:pPr>
      <w:r w:rsidRPr="00382FE9">
        <w:rPr>
          <w:lang w:val="en-AU" w:eastAsia="en-GB"/>
        </w:rPr>
        <w:t>B3.2 Metabolic disorders</w:t>
      </w:r>
      <w:r>
        <w:tab/>
      </w:r>
      <w:r>
        <w:fldChar w:fldCharType="begin"/>
      </w:r>
      <w:r>
        <w:instrText xml:space="preserve"> PAGEREF _Toc495310565 \h </w:instrText>
      </w:r>
      <w:r>
        <w:fldChar w:fldCharType="separate"/>
      </w:r>
      <w:r>
        <w:t>96</w:t>
      </w:r>
      <w:r>
        <w:fldChar w:fldCharType="end"/>
      </w:r>
    </w:p>
    <w:p w14:paraId="4C9CEA91" w14:textId="77777777" w:rsidR="0082578C" w:rsidRDefault="0082578C">
      <w:pPr>
        <w:pStyle w:val="TOC3"/>
        <w:rPr>
          <w:rFonts w:asciiTheme="minorHAnsi" w:eastAsiaTheme="minorEastAsia" w:hAnsiTheme="minorHAnsi"/>
          <w:sz w:val="22"/>
          <w:szCs w:val="22"/>
          <w:lang w:val="en-AU" w:eastAsia="en-AU"/>
        </w:rPr>
      </w:pPr>
      <w:r w:rsidRPr="00382FE9">
        <w:rPr>
          <w:lang w:val="en-AU" w:eastAsia="en-GB"/>
        </w:rPr>
        <w:t>B3.3 Leg disorders and lameness</w:t>
      </w:r>
      <w:r>
        <w:tab/>
      </w:r>
      <w:r>
        <w:fldChar w:fldCharType="begin"/>
      </w:r>
      <w:r>
        <w:instrText xml:space="preserve"> PAGEREF _Toc495310566 \h </w:instrText>
      </w:r>
      <w:r>
        <w:fldChar w:fldCharType="separate"/>
      </w:r>
      <w:r>
        <w:t>97</w:t>
      </w:r>
      <w:r>
        <w:fldChar w:fldCharType="end"/>
      </w:r>
    </w:p>
    <w:p w14:paraId="3ADF9AA3"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B3.4 Contact dermatitis</w:t>
      </w:r>
      <w:r>
        <w:tab/>
      </w:r>
      <w:r>
        <w:fldChar w:fldCharType="begin"/>
      </w:r>
      <w:r>
        <w:instrText xml:space="preserve"> PAGEREF _Toc495310567 \h </w:instrText>
      </w:r>
      <w:r>
        <w:fldChar w:fldCharType="separate"/>
      </w:r>
      <w:r>
        <w:t>102</w:t>
      </w:r>
      <w:r>
        <w:fldChar w:fldCharType="end"/>
      </w:r>
    </w:p>
    <w:p w14:paraId="2F3C3083"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B3.5 Parasitic infections</w:t>
      </w:r>
      <w:r>
        <w:tab/>
      </w:r>
      <w:r>
        <w:fldChar w:fldCharType="begin"/>
      </w:r>
      <w:r>
        <w:instrText xml:space="preserve"> PAGEREF _Toc495310568 \h </w:instrText>
      </w:r>
      <w:r>
        <w:fldChar w:fldCharType="separate"/>
      </w:r>
      <w:r>
        <w:t>108</w:t>
      </w:r>
      <w:r>
        <w:fldChar w:fldCharType="end"/>
      </w:r>
    </w:p>
    <w:p w14:paraId="331DEE81"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B3.6 Infectious disease</w:t>
      </w:r>
      <w:r>
        <w:tab/>
      </w:r>
      <w:r>
        <w:fldChar w:fldCharType="begin"/>
      </w:r>
      <w:r>
        <w:instrText xml:space="preserve"> PAGEREF _Toc495310569 \h </w:instrText>
      </w:r>
      <w:r>
        <w:fldChar w:fldCharType="separate"/>
      </w:r>
      <w:r>
        <w:t>109</w:t>
      </w:r>
      <w:r>
        <w:fldChar w:fldCharType="end"/>
      </w:r>
    </w:p>
    <w:p w14:paraId="1E538755"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B3.7 Aggression</w:t>
      </w:r>
      <w:r>
        <w:tab/>
      </w:r>
      <w:r>
        <w:fldChar w:fldCharType="begin"/>
      </w:r>
      <w:r>
        <w:instrText xml:space="preserve"> PAGEREF _Toc495310570 \h </w:instrText>
      </w:r>
      <w:r>
        <w:fldChar w:fldCharType="separate"/>
      </w:r>
      <w:r>
        <w:t>109</w:t>
      </w:r>
      <w:r>
        <w:fldChar w:fldCharType="end"/>
      </w:r>
    </w:p>
    <w:p w14:paraId="057B91C3"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B4. Facilities and Equipment: Behavioural Needs</w:t>
      </w:r>
      <w:r>
        <w:tab/>
      </w:r>
      <w:r>
        <w:fldChar w:fldCharType="begin"/>
      </w:r>
      <w:r>
        <w:instrText xml:space="preserve"> PAGEREF _Toc495310571 \h </w:instrText>
      </w:r>
      <w:r>
        <w:fldChar w:fldCharType="separate"/>
      </w:r>
      <w:r>
        <w:t>109</w:t>
      </w:r>
      <w:r>
        <w:fldChar w:fldCharType="end"/>
      </w:r>
    </w:p>
    <w:p w14:paraId="70939D0F"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B4.1 Influence of selection</w:t>
      </w:r>
      <w:r>
        <w:tab/>
      </w:r>
      <w:r>
        <w:fldChar w:fldCharType="begin"/>
      </w:r>
      <w:r>
        <w:instrText xml:space="preserve"> PAGEREF _Toc495310572 \h </w:instrText>
      </w:r>
      <w:r>
        <w:fldChar w:fldCharType="separate"/>
      </w:r>
      <w:r>
        <w:t>109</w:t>
      </w:r>
      <w:r>
        <w:fldChar w:fldCharType="end"/>
      </w:r>
    </w:p>
    <w:p w14:paraId="69FD43A1"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B4.2 Inactivity: morphology or absence of motivation?</w:t>
      </w:r>
      <w:r>
        <w:tab/>
      </w:r>
      <w:r>
        <w:fldChar w:fldCharType="begin"/>
      </w:r>
      <w:r>
        <w:instrText xml:space="preserve"> PAGEREF _Toc495310573 \h </w:instrText>
      </w:r>
      <w:r>
        <w:fldChar w:fldCharType="separate"/>
      </w:r>
      <w:r>
        <w:t>110</w:t>
      </w:r>
      <w:r>
        <w:fldChar w:fldCharType="end"/>
      </w:r>
    </w:p>
    <w:p w14:paraId="34186901"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B4.3 Innate hunger</w:t>
      </w:r>
      <w:r>
        <w:tab/>
      </w:r>
      <w:r>
        <w:fldChar w:fldCharType="begin"/>
      </w:r>
      <w:r>
        <w:instrText xml:space="preserve"> PAGEREF _Toc495310574 \h </w:instrText>
      </w:r>
      <w:r>
        <w:fldChar w:fldCharType="separate"/>
      </w:r>
      <w:r>
        <w:t>110</w:t>
      </w:r>
      <w:r>
        <w:fldChar w:fldCharType="end"/>
      </w:r>
    </w:p>
    <w:p w14:paraId="27812C53"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B4.4 Behavioural need to perch</w:t>
      </w:r>
      <w:r>
        <w:tab/>
      </w:r>
      <w:r>
        <w:fldChar w:fldCharType="begin"/>
      </w:r>
      <w:r>
        <w:instrText xml:space="preserve"> PAGEREF _Toc495310575 \h </w:instrText>
      </w:r>
      <w:r>
        <w:fldChar w:fldCharType="separate"/>
      </w:r>
      <w:r>
        <w:t>110</w:t>
      </w:r>
      <w:r>
        <w:fldChar w:fldCharType="end"/>
      </w:r>
    </w:p>
    <w:p w14:paraId="218E2147"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B5. Facilities and Equipment: Behavioural Usage</w:t>
      </w:r>
      <w:r>
        <w:tab/>
      </w:r>
      <w:r>
        <w:fldChar w:fldCharType="begin"/>
      </w:r>
      <w:r>
        <w:instrText xml:space="preserve"> PAGEREF _Toc495310576 \h </w:instrText>
      </w:r>
      <w:r>
        <w:fldChar w:fldCharType="separate"/>
      </w:r>
      <w:r>
        <w:t>111</w:t>
      </w:r>
      <w:r>
        <w:fldChar w:fldCharType="end"/>
      </w:r>
    </w:p>
    <w:p w14:paraId="649F7250"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B5.1 System type</w:t>
      </w:r>
      <w:r>
        <w:tab/>
      </w:r>
      <w:r>
        <w:fldChar w:fldCharType="begin"/>
      </w:r>
      <w:r>
        <w:instrText xml:space="preserve"> PAGEREF _Toc495310577 \h </w:instrText>
      </w:r>
      <w:r>
        <w:fldChar w:fldCharType="separate"/>
      </w:r>
      <w:r>
        <w:t>111</w:t>
      </w:r>
      <w:r>
        <w:fldChar w:fldCharType="end"/>
      </w:r>
    </w:p>
    <w:p w14:paraId="53F158E1"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B5.2 Litter substrate</w:t>
      </w:r>
      <w:r>
        <w:tab/>
      </w:r>
      <w:r>
        <w:fldChar w:fldCharType="begin"/>
      </w:r>
      <w:r>
        <w:instrText xml:space="preserve"> PAGEREF _Toc495310578 \h </w:instrText>
      </w:r>
      <w:r>
        <w:fldChar w:fldCharType="separate"/>
      </w:r>
      <w:r>
        <w:t>111</w:t>
      </w:r>
      <w:r>
        <w:fldChar w:fldCharType="end"/>
      </w:r>
    </w:p>
    <w:p w14:paraId="6CEB8634" w14:textId="77777777" w:rsidR="0082578C" w:rsidRDefault="0082578C">
      <w:pPr>
        <w:pStyle w:val="TOC3"/>
        <w:rPr>
          <w:rFonts w:asciiTheme="minorHAnsi" w:eastAsiaTheme="minorEastAsia" w:hAnsiTheme="minorHAnsi"/>
          <w:sz w:val="22"/>
          <w:szCs w:val="22"/>
          <w:lang w:val="en-AU" w:eastAsia="en-AU"/>
        </w:rPr>
      </w:pPr>
      <w:r w:rsidRPr="00382FE9">
        <w:rPr>
          <w:lang w:val="en-AU" w:eastAsia="en-GB"/>
        </w:rPr>
        <w:t>B5.3 Use of perches and elevated structures</w:t>
      </w:r>
      <w:r>
        <w:tab/>
      </w:r>
      <w:r>
        <w:fldChar w:fldCharType="begin"/>
      </w:r>
      <w:r>
        <w:instrText xml:space="preserve"> PAGEREF _Toc495310579 \h </w:instrText>
      </w:r>
      <w:r>
        <w:fldChar w:fldCharType="separate"/>
      </w:r>
      <w:r>
        <w:t>111</w:t>
      </w:r>
      <w:r>
        <w:fldChar w:fldCharType="end"/>
      </w:r>
    </w:p>
    <w:p w14:paraId="22886A42"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B5.4 Use of vertical panels</w:t>
      </w:r>
      <w:r>
        <w:tab/>
      </w:r>
      <w:r>
        <w:fldChar w:fldCharType="begin"/>
      </w:r>
      <w:r>
        <w:instrText xml:space="preserve"> PAGEREF _Toc495310580 \h </w:instrText>
      </w:r>
      <w:r>
        <w:fldChar w:fldCharType="separate"/>
      </w:r>
      <w:r>
        <w:t>112</w:t>
      </w:r>
      <w:r>
        <w:fldChar w:fldCharType="end"/>
      </w:r>
    </w:p>
    <w:p w14:paraId="66613912"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B5.5 Use of other enrichment devices</w:t>
      </w:r>
      <w:r>
        <w:tab/>
      </w:r>
      <w:r>
        <w:fldChar w:fldCharType="begin"/>
      </w:r>
      <w:r>
        <w:instrText xml:space="preserve"> PAGEREF _Toc495310581 \h </w:instrText>
      </w:r>
      <w:r>
        <w:fldChar w:fldCharType="separate"/>
      </w:r>
      <w:r>
        <w:t>112</w:t>
      </w:r>
      <w:r>
        <w:fldChar w:fldCharType="end"/>
      </w:r>
    </w:p>
    <w:p w14:paraId="3AD7523D"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B5.6 Health benefits of enrichment</w:t>
      </w:r>
      <w:r>
        <w:tab/>
      </w:r>
      <w:r>
        <w:fldChar w:fldCharType="begin"/>
      </w:r>
      <w:r>
        <w:instrText xml:space="preserve"> PAGEREF _Toc495310582 \h </w:instrText>
      </w:r>
      <w:r>
        <w:fldChar w:fldCharType="separate"/>
      </w:r>
      <w:r>
        <w:t>113</w:t>
      </w:r>
      <w:r>
        <w:fldChar w:fldCharType="end"/>
      </w:r>
    </w:p>
    <w:p w14:paraId="717ABACF"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B6. Facilities and Equipment: Outdoor Range</w:t>
      </w:r>
      <w:r>
        <w:tab/>
      </w:r>
      <w:r>
        <w:fldChar w:fldCharType="begin"/>
      </w:r>
      <w:r>
        <w:instrText xml:space="preserve"> PAGEREF _Toc495310583 \h </w:instrText>
      </w:r>
      <w:r>
        <w:fldChar w:fldCharType="separate"/>
      </w:r>
      <w:r>
        <w:t>114</w:t>
      </w:r>
      <w:r>
        <w:fldChar w:fldCharType="end"/>
      </w:r>
    </w:p>
    <w:p w14:paraId="0C5D9070"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B6.1 Factors influencing range use</w:t>
      </w:r>
      <w:r>
        <w:tab/>
      </w:r>
      <w:r>
        <w:fldChar w:fldCharType="begin"/>
      </w:r>
      <w:r>
        <w:instrText xml:space="preserve"> PAGEREF _Toc495310584 \h </w:instrText>
      </w:r>
      <w:r>
        <w:fldChar w:fldCharType="separate"/>
      </w:r>
      <w:r>
        <w:t>114</w:t>
      </w:r>
      <w:r>
        <w:fldChar w:fldCharType="end"/>
      </w:r>
    </w:p>
    <w:p w14:paraId="7C7AC843"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B6.2 Health and welfare benefits of range use</w:t>
      </w:r>
      <w:r>
        <w:tab/>
      </w:r>
      <w:r>
        <w:fldChar w:fldCharType="begin"/>
      </w:r>
      <w:r>
        <w:instrText xml:space="preserve"> PAGEREF _Toc495310585 \h </w:instrText>
      </w:r>
      <w:r>
        <w:fldChar w:fldCharType="separate"/>
      </w:r>
      <w:r>
        <w:t>114</w:t>
      </w:r>
      <w:r>
        <w:fldChar w:fldCharType="end"/>
      </w:r>
    </w:p>
    <w:p w14:paraId="0D61BFA8"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B7. Fear and Distress</w:t>
      </w:r>
      <w:r>
        <w:tab/>
      </w:r>
      <w:r>
        <w:fldChar w:fldCharType="begin"/>
      </w:r>
      <w:r>
        <w:instrText xml:space="preserve"> PAGEREF _Toc495310586 \h </w:instrText>
      </w:r>
      <w:r>
        <w:fldChar w:fldCharType="separate"/>
      </w:r>
      <w:r>
        <w:t>115</w:t>
      </w:r>
      <w:r>
        <w:fldChar w:fldCharType="end"/>
      </w:r>
    </w:p>
    <w:p w14:paraId="7A0259AF"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B7.1 Fearfulness and sociality</w:t>
      </w:r>
      <w:r>
        <w:tab/>
      </w:r>
      <w:r>
        <w:fldChar w:fldCharType="begin"/>
      </w:r>
      <w:r>
        <w:instrText xml:space="preserve"> PAGEREF _Toc495310587 \h </w:instrText>
      </w:r>
      <w:r>
        <w:fldChar w:fldCharType="separate"/>
      </w:r>
      <w:r>
        <w:t>115</w:t>
      </w:r>
      <w:r>
        <w:fldChar w:fldCharType="end"/>
      </w:r>
    </w:p>
    <w:p w14:paraId="47377D9E" w14:textId="77777777" w:rsidR="0082578C" w:rsidRDefault="0082578C">
      <w:pPr>
        <w:pStyle w:val="TOC3"/>
        <w:rPr>
          <w:rFonts w:asciiTheme="minorHAnsi" w:eastAsiaTheme="minorEastAsia" w:hAnsiTheme="minorHAnsi"/>
          <w:sz w:val="22"/>
          <w:szCs w:val="22"/>
          <w:lang w:val="en-AU" w:eastAsia="en-AU"/>
        </w:rPr>
      </w:pPr>
      <w:r w:rsidRPr="00382FE9">
        <w:rPr>
          <w:lang w:val="en-AU" w:eastAsia="en-GB"/>
        </w:rPr>
        <w:t>B7.2 Effects of parents, incubation</w:t>
      </w:r>
      <w:r>
        <w:tab/>
      </w:r>
      <w:r>
        <w:fldChar w:fldCharType="begin"/>
      </w:r>
      <w:r>
        <w:instrText xml:space="preserve"> PAGEREF _Toc495310588 \h </w:instrText>
      </w:r>
      <w:r>
        <w:fldChar w:fldCharType="separate"/>
      </w:r>
      <w:r>
        <w:t>115</w:t>
      </w:r>
      <w:r>
        <w:fldChar w:fldCharType="end"/>
      </w:r>
    </w:p>
    <w:p w14:paraId="36DAF7BB"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B7.3 Fearfulness and hatchery procedures</w:t>
      </w:r>
      <w:r>
        <w:tab/>
      </w:r>
      <w:r>
        <w:fldChar w:fldCharType="begin"/>
      </w:r>
      <w:r>
        <w:instrText xml:space="preserve"> PAGEREF _Toc495310589 \h </w:instrText>
      </w:r>
      <w:r>
        <w:fldChar w:fldCharType="separate"/>
      </w:r>
      <w:r>
        <w:t>115</w:t>
      </w:r>
      <w:r>
        <w:fldChar w:fldCharType="end"/>
      </w:r>
    </w:p>
    <w:p w14:paraId="095E98E7"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B7.4 Fearfulness and human contact</w:t>
      </w:r>
      <w:r>
        <w:tab/>
      </w:r>
      <w:r>
        <w:fldChar w:fldCharType="begin"/>
      </w:r>
      <w:r>
        <w:instrText xml:space="preserve"> PAGEREF _Toc495310590 \h </w:instrText>
      </w:r>
      <w:r>
        <w:fldChar w:fldCharType="separate"/>
      </w:r>
      <w:r>
        <w:t>115</w:t>
      </w:r>
      <w:r>
        <w:fldChar w:fldCharType="end"/>
      </w:r>
    </w:p>
    <w:p w14:paraId="0D1C92D7"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B8. Sensory Environment</w:t>
      </w:r>
      <w:r>
        <w:tab/>
      </w:r>
      <w:r>
        <w:fldChar w:fldCharType="begin"/>
      </w:r>
      <w:r>
        <w:instrText xml:space="preserve"> PAGEREF _Toc495310591 \h </w:instrText>
      </w:r>
      <w:r>
        <w:fldChar w:fldCharType="separate"/>
      </w:r>
      <w:r>
        <w:t>116</w:t>
      </w:r>
      <w:r>
        <w:fldChar w:fldCharType="end"/>
      </w:r>
    </w:p>
    <w:p w14:paraId="1C39E912" w14:textId="77777777" w:rsidR="0082578C" w:rsidRDefault="0082578C">
      <w:pPr>
        <w:pStyle w:val="TOC3"/>
        <w:rPr>
          <w:rFonts w:asciiTheme="minorHAnsi" w:eastAsiaTheme="minorEastAsia" w:hAnsiTheme="minorHAnsi"/>
          <w:sz w:val="22"/>
          <w:szCs w:val="22"/>
          <w:lang w:val="en-AU" w:eastAsia="en-AU"/>
        </w:rPr>
      </w:pPr>
      <w:r>
        <w:t>B8.1 Light and vision</w:t>
      </w:r>
      <w:r>
        <w:tab/>
      </w:r>
      <w:r>
        <w:fldChar w:fldCharType="begin"/>
      </w:r>
      <w:r>
        <w:instrText xml:space="preserve"> PAGEREF _Toc495310592 \h </w:instrText>
      </w:r>
      <w:r>
        <w:fldChar w:fldCharType="separate"/>
      </w:r>
      <w:r>
        <w:t>116</w:t>
      </w:r>
      <w:r>
        <w:fldChar w:fldCharType="end"/>
      </w:r>
    </w:p>
    <w:p w14:paraId="74AF1C65"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B8.2 Sound, noise and hearing</w:t>
      </w:r>
      <w:r>
        <w:tab/>
      </w:r>
      <w:r>
        <w:fldChar w:fldCharType="begin"/>
      </w:r>
      <w:r>
        <w:instrText xml:space="preserve"> PAGEREF _Toc495310593 \h </w:instrText>
      </w:r>
      <w:r>
        <w:fldChar w:fldCharType="separate"/>
      </w:r>
      <w:r>
        <w:t>119</w:t>
      </w:r>
      <w:r>
        <w:fldChar w:fldCharType="end"/>
      </w:r>
    </w:p>
    <w:p w14:paraId="7CE14C1E"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B8.3 Olfaction</w:t>
      </w:r>
      <w:r>
        <w:tab/>
      </w:r>
      <w:r>
        <w:fldChar w:fldCharType="begin"/>
      </w:r>
      <w:r>
        <w:instrText xml:space="preserve"> PAGEREF _Toc495310594 \h </w:instrText>
      </w:r>
      <w:r>
        <w:fldChar w:fldCharType="separate"/>
      </w:r>
      <w:r>
        <w:t>119</w:t>
      </w:r>
      <w:r>
        <w:fldChar w:fldCharType="end"/>
      </w:r>
    </w:p>
    <w:p w14:paraId="6A321DCC"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B8.4 Thermal comfort</w:t>
      </w:r>
      <w:r>
        <w:tab/>
      </w:r>
      <w:r>
        <w:fldChar w:fldCharType="begin"/>
      </w:r>
      <w:r>
        <w:instrText xml:space="preserve"> PAGEREF _Toc495310595 \h </w:instrText>
      </w:r>
      <w:r>
        <w:fldChar w:fldCharType="separate"/>
      </w:r>
      <w:r>
        <w:t>119</w:t>
      </w:r>
      <w:r>
        <w:fldChar w:fldCharType="end"/>
      </w:r>
    </w:p>
    <w:p w14:paraId="1FAE018A"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B9. Handling and Management</w:t>
      </w:r>
      <w:r>
        <w:tab/>
      </w:r>
      <w:r>
        <w:fldChar w:fldCharType="begin"/>
      </w:r>
      <w:r>
        <w:instrText xml:space="preserve"> PAGEREF _Toc495310596 \h </w:instrText>
      </w:r>
      <w:r>
        <w:fldChar w:fldCharType="separate"/>
      </w:r>
      <w:r>
        <w:t>121</w:t>
      </w:r>
      <w:r>
        <w:fldChar w:fldCharType="end"/>
      </w:r>
    </w:p>
    <w:p w14:paraId="717DCA38"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B9.1 Stocking density and group size</w:t>
      </w:r>
      <w:r>
        <w:tab/>
      </w:r>
      <w:r>
        <w:fldChar w:fldCharType="begin"/>
      </w:r>
      <w:r>
        <w:instrText xml:space="preserve"> PAGEREF _Toc495310597 \h </w:instrText>
      </w:r>
      <w:r>
        <w:fldChar w:fldCharType="separate"/>
      </w:r>
      <w:r>
        <w:t>121</w:t>
      </w:r>
      <w:r>
        <w:fldChar w:fldCharType="end"/>
      </w:r>
    </w:p>
    <w:p w14:paraId="01C3C44D"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B9.2 Air quality and biosecurity</w:t>
      </w:r>
      <w:r>
        <w:tab/>
      </w:r>
      <w:r>
        <w:fldChar w:fldCharType="begin"/>
      </w:r>
      <w:r>
        <w:instrText xml:space="preserve"> PAGEREF _Toc495310598 \h </w:instrText>
      </w:r>
      <w:r>
        <w:fldChar w:fldCharType="separate"/>
      </w:r>
      <w:r>
        <w:t>123</w:t>
      </w:r>
      <w:r>
        <w:fldChar w:fldCharType="end"/>
      </w:r>
    </w:p>
    <w:p w14:paraId="4E4E7E7C"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B9.3 Litter quality</w:t>
      </w:r>
      <w:r>
        <w:tab/>
      </w:r>
      <w:r>
        <w:fldChar w:fldCharType="begin"/>
      </w:r>
      <w:r>
        <w:instrText xml:space="preserve"> PAGEREF _Toc495310599 \h </w:instrText>
      </w:r>
      <w:r>
        <w:fldChar w:fldCharType="separate"/>
      </w:r>
      <w:r>
        <w:t>124</w:t>
      </w:r>
      <w:r>
        <w:fldChar w:fldCharType="end"/>
      </w:r>
    </w:p>
    <w:p w14:paraId="345743F3"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B9.4 Temperature and humidity</w:t>
      </w:r>
      <w:r>
        <w:tab/>
      </w:r>
      <w:r>
        <w:fldChar w:fldCharType="begin"/>
      </w:r>
      <w:r>
        <w:instrText xml:space="preserve"> PAGEREF _Toc495310600 \h </w:instrText>
      </w:r>
      <w:r>
        <w:fldChar w:fldCharType="separate"/>
      </w:r>
      <w:r>
        <w:t>125</w:t>
      </w:r>
      <w:r>
        <w:fldChar w:fldCharType="end"/>
      </w:r>
    </w:p>
    <w:p w14:paraId="12D69726"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B9.5. Broiler catching</w:t>
      </w:r>
      <w:r>
        <w:tab/>
      </w:r>
      <w:r>
        <w:fldChar w:fldCharType="begin"/>
      </w:r>
      <w:r>
        <w:instrText xml:space="preserve"> PAGEREF _Toc495310601 \h </w:instrText>
      </w:r>
      <w:r>
        <w:fldChar w:fldCharType="separate"/>
      </w:r>
      <w:r>
        <w:t>126</w:t>
      </w:r>
      <w:r>
        <w:fldChar w:fldCharType="end"/>
      </w:r>
    </w:p>
    <w:p w14:paraId="4D71466D"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B10. Welfare Considerations: Overview</w:t>
      </w:r>
      <w:r>
        <w:tab/>
      </w:r>
      <w:r>
        <w:fldChar w:fldCharType="begin"/>
      </w:r>
      <w:r>
        <w:instrText xml:space="preserve"> PAGEREF _Toc495310602 \h </w:instrText>
      </w:r>
      <w:r>
        <w:fldChar w:fldCharType="separate"/>
      </w:r>
      <w:r>
        <w:t>126</w:t>
      </w:r>
      <w:r>
        <w:fldChar w:fldCharType="end"/>
      </w:r>
    </w:p>
    <w:p w14:paraId="0DA7913A"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B11. References</w:t>
      </w:r>
      <w:r>
        <w:tab/>
      </w:r>
      <w:r>
        <w:fldChar w:fldCharType="begin"/>
      </w:r>
      <w:r>
        <w:instrText xml:space="preserve"> PAGEREF _Toc495310603 \h </w:instrText>
      </w:r>
      <w:r>
        <w:fldChar w:fldCharType="separate"/>
      </w:r>
      <w:r>
        <w:t>128</w:t>
      </w:r>
      <w:r>
        <w:fldChar w:fldCharType="end"/>
      </w:r>
    </w:p>
    <w:p w14:paraId="707B1870" w14:textId="77777777" w:rsidR="0082578C" w:rsidRDefault="0082578C">
      <w:pPr>
        <w:pStyle w:val="TOC1"/>
        <w:rPr>
          <w:rFonts w:asciiTheme="minorHAnsi" w:eastAsiaTheme="minorEastAsia" w:hAnsiTheme="minorHAnsi"/>
          <w:b w:val="0"/>
          <w:sz w:val="22"/>
          <w:szCs w:val="22"/>
          <w:lang w:val="en-AU" w:eastAsia="en-AU"/>
        </w:rPr>
      </w:pPr>
      <w:r w:rsidRPr="00382FE9">
        <w:rPr>
          <w:lang w:val="en-AU" w:eastAsia="en-AU"/>
        </w:rPr>
        <w:t>Broiler Breeders</w:t>
      </w:r>
      <w:r>
        <w:tab/>
      </w:r>
      <w:r>
        <w:fldChar w:fldCharType="begin"/>
      </w:r>
      <w:r>
        <w:instrText xml:space="preserve"> PAGEREF _Toc495310604 \h </w:instrText>
      </w:r>
      <w:r>
        <w:fldChar w:fldCharType="separate"/>
      </w:r>
      <w:r>
        <w:t>148</w:t>
      </w:r>
      <w:r>
        <w:fldChar w:fldCharType="end"/>
      </w:r>
    </w:p>
    <w:p w14:paraId="3D656DA2"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BB1. Introduction</w:t>
      </w:r>
      <w:r>
        <w:tab/>
      </w:r>
      <w:r>
        <w:fldChar w:fldCharType="begin"/>
      </w:r>
      <w:r>
        <w:instrText xml:space="preserve"> PAGEREF _Toc495310605 \h </w:instrText>
      </w:r>
      <w:r>
        <w:fldChar w:fldCharType="separate"/>
      </w:r>
      <w:r>
        <w:t>148</w:t>
      </w:r>
      <w:r>
        <w:fldChar w:fldCharType="end"/>
      </w:r>
    </w:p>
    <w:p w14:paraId="772BBDE2"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BB2. Feed and Water</w:t>
      </w:r>
      <w:r>
        <w:tab/>
      </w:r>
      <w:r>
        <w:fldChar w:fldCharType="begin"/>
      </w:r>
      <w:r>
        <w:instrText xml:space="preserve"> PAGEREF _Toc495310606 \h </w:instrText>
      </w:r>
      <w:r>
        <w:fldChar w:fldCharType="separate"/>
      </w:r>
      <w:r>
        <w:t>148</w:t>
      </w:r>
      <w:r>
        <w:fldChar w:fldCharType="end"/>
      </w:r>
    </w:p>
    <w:p w14:paraId="642085BA"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BB2.1 Feed restriction</w:t>
      </w:r>
      <w:r>
        <w:tab/>
      </w:r>
      <w:r>
        <w:fldChar w:fldCharType="begin"/>
      </w:r>
      <w:r>
        <w:instrText xml:space="preserve"> PAGEREF _Toc495310607 \h </w:instrText>
      </w:r>
      <w:r>
        <w:fldChar w:fldCharType="separate"/>
      </w:r>
      <w:r>
        <w:t>148</w:t>
      </w:r>
      <w:r>
        <w:fldChar w:fldCharType="end"/>
      </w:r>
    </w:p>
    <w:p w14:paraId="4EB72FDF"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BB2.2 Measuring hunger</w:t>
      </w:r>
      <w:r>
        <w:tab/>
      </w:r>
      <w:r>
        <w:fldChar w:fldCharType="begin"/>
      </w:r>
      <w:r>
        <w:instrText xml:space="preserve"> PAGEREF _Toc495310608 \h </w:instrText>
      </w:r>
      <w:r>
        <w:fldChar w:fldCharType="separate"/>
      </w:r>
      <w:r>
        <w:t>150</w:t>
      </w:r>
      <w:r>
        <w:fldChar w:fldCharType="end"/>
      </w:r>
    </w:p>
    <w:p w14:paraId="64B46F27"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BB2.3 Water</w:t>
      </w:r>
      <w:r>
        <w:tab/>
      </w:r>
      <w:r>
        <w:fldChar w:fldCharType="begin"/>
      </w:r>
      <w:r>
        <w:instrText xml:space="preserve"> PAGEREF _Toc495310609 \h </w:instrText>
      </w:r>
      <w:r>
        <w:fldChar w:fldCharType="separate"/>
      </w:r>
      <w:r>
        <w:t>152</w:t>
      </w:r>
      <w:r>
        <w:fldChar w:fldCharType="end"/>
      </w:r>
    </w:p>
    <w:p w14:paraId="79190FA5"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BB3. Risk Management</w:t>
      </w:r>
      <w:r>
        <w:tab/>
      </w:r>
      <w:r>
        <w:fldChar w:fldCharType="begin"/>
      </w:r>
      <w:r>
        <w:instrText xml:space="preserve"> PAGEREF _Toc495310610 \h </w:instrText>
      </w:r>
      <w:r>
        <w:fldChar w:fldCharType="separate"/>
      </w:r>
      <w:r>
        <w:t>153</w:t>
      </w:r>
      <w:r>
        <w:fldChar w:fldCharType="end"/>
      </w:r>
    </w:p>
    <w:p w14:paraId="517A1D09"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BB3.1 Mortality</w:t>
      </w:r>
      <w:r>
        <w:tab/>
      </w:r>
      <w:r>
        <w:fldChar w:fldCharType="begin"/>
      </w:r>
      <w:r>
        <w:instrText xml:space="preserve"> PAGEREF _Toc495310611 \h </w:instrText>
      </w:r>
      <w:r>
        <w:fldChar w:fldCharType="separate"/>
      </w:r>
      <w:r>
        <w:t>153</w:t>
      </w:r>
      <w:r>
        <w:fldChar w:fldCharType="end"/>
      </w:r>
    </w:p>
    <w:p w14:paraId="54B8B1EB"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BB3.2 Causes of mortality</w:t>
      </w:r>
      <w:r>
        <w:tab/>
      </w:r>
      <w:r>
        <w:fldChar w:fldCharType="begin"/>
      </w:r>
      <w:r>
        <w:instrText xml:space="preserve"> PAGEREF _Toc495310612 \h </w:instrText>
      </w:r>
      <w:r>
        <w:fldChar w:fldCharType="separate"/>
      </w:r>
      <w:r>
        <w:t>153</w:t>
      </w:r>
      <w:r>
        <w:fldChar w:fldCharType="end"/>
      </w:r>
    </w:p>
    <w:p w14:paraId="4C8E616E"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BB3.3 Musculoskeletal disorders (lameness)</w:t>
      </w:r>
      <w:r>
        <w:tab/>
      </w:r>
      <w:r>
        <w:fldChar w:fldCharType="begin"/>
      </w:r>
      <w:r>
        <w:instrText xml:space="preserve"> PAGEREF _Toc495310613 \h </w:instrText>
      </w:r>
      <w:r>
        <w:fldChar w:fldCharType="separate"/>
      </w:r>
      <w:r>
        <w:t>154</w:t>
      </w:r>
      <w:r>
        <w:fldChar w:fldCharType="end"/>
      </w:r>
    </w:p>
    <w:p w14:paraId="0D3CA9BB"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BB3.4 Bone strength and osteoporosis</w:t>
      </w:r>
      <w:r>
        <w:tab/>
      </w:r>
      <w:r>
        <w:fldChar w:fldCharType="begin"/>
      </w:r>
      <w:r>
        <w:instrText xml:space="preserve"> PAGEREF _Toc495310614 \h </w:instrText>
      </w:r>
      <w:r>
        <w:fldChar w:fldCharType="separate"/>
      </w:r>
      <w:r>
        <w:t>154</w:t>
      </w:r>
      <w:r>
        <w:fldChar w:fldCharType="end"/>
      </w:r>
    </w:p>
    <w:p w14:paraId="6B482C92"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BB3.5 Injurious (severe) feather pecking</w:t>
      </w:r>
      <w:r>
        <w:tab/>
      </w:r>
      <w:r>
        <w:fldChar w:fldCharType="begin"/>
      </w:r>
      <w:r>
        <w:instrText xml:space="preserve"> PAGEREF _Toc495310615 \h </w:instrText>
      </w:r>
      <w:r>
        <w:fldChar w:fldCharType="separate"/>
      </w:r>
      <w:r>
        <w:t>154</w:t>
      </w:r>
      <w:r>
        <w:fldChar w:fldCharType="end"/>
      </w:r>
    </w:p>
    <w:p w14:paraId="4AE2BB60"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BB3.6 Sexual aggression</w:t>
      </w:r>
      <w:r>
        <w:tab/>
      </w:r>
      <w:r>
        <w:fldChar w:fldCharType="begin"/>
      </w:r>
      <w:r>
        <w:instrText xml:space="preserve"> PAGEREF _Toc495310616 \h </w:instrText>
      </w:r>
      <w:r>
        <w:fldChar w:fldCharType="separate"/>
      </w:r>
      <w:r>
        <w:t>155</w:t>
      </w:r>
      <w:r>
        <w:fldChar w:fldCharType="end"/>
      </w:r>
    </w:p>
    <w:p w14:paraId="773B1FB9"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BB3.7 Feather loss</w:t>
      </w:r>
      <w:r>
        <w:tab/>
      </w:r>
      <w:r>
        <w:fldChar w:fldCharType="begin"/>
      </w:r>
      <w:r>
        <w:instrText xml:space="preserve"> PAGEREF _Toc495310617 \h </w:instrText>
      </w:r>
      <w:r>
        <w:fldChar w:fldCharType="separate"/>
      </w:r>
      <w:r>
        <w:t>156</w:t>
      </w:r>
      <w:r>
        <w:fldChar w:fldCharType="end"/>
      </w:r>
    </w:p>
    <w:p w14:paraId="323CF1D8" w14:textId="77777777" w:rsidR="0082578C" w:rsidRDefault="0082578C">
      <w:pPr>
        <w:pStyle w:val="TOC3"/>
        <w:rPr>
          <w:rFonts w:asciiTheme="minorHAnsi" w:eastAsiaTheme="minorEastAsia" w:hAnsiTheme="minorHAnsi"/>
          <w:sz w:val="22"/>
          <w:szCs w:val="22"/>
          <w:lang w:val="en-AU" w:eastAsia="en-AU"/>
        </w:rPr>
      </w:pPr>
      <w:r>
        <w:t>BB3.8 Leg and foot health</w:t>
      </w:r>
      <w:r>
        <w:tab/>
      </w:r>
      <w:r>
        <w:fldChar w:fldCharType="begin"/>
      </w:r>
      <w:r>
        <w:instrText xml:space="preserve"> PAGEREF _Toc495310618 \h </w:instrText>
      </w:r>
      <w:r>
        <w:fldChar w:fldCharType="separate"/>
      </w:r>
      <w:r>
        <w:t>156</w:t>
      </w:r>
      <w:r>
        <w:fldChar w:fldCharType="end"/>
      </w:r>
    </w:p>
    <w:p w14:paraId="6716CC33"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BB3.9 Parasitic infections</w:t>
      </w:r>
      <w:r>
        <w:tab/>
      </w:r>
      <w:r>
        <w:fldChar w:fldCharType="begin"/>
      </w:r>
      <w:r>
        <w:instrText xml:space="preserve"> PAGEREF _Toc495310619 \h </w:instrText>
      </w:r>
      <w:r>
        <w:fldChar w:fldCharType="separate"/>
      </w:r>
      <w:r>
        <w:t>157</w:t>
      </w:r>
      <w:r>
        <w:fldChar w:fldCharType="end"/>
      </w:r>
    </w:p>
    <w:p w14:paraId="70A4AD78"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BB3.10 Infectious disease</w:t>
      </w:r>
      <w:r>
        <w:tab/>
      </w:r>
      <w:r>
        <w:fldChar w:fldCharType="begin"/>
      </w:r>
      <w:r>
        <w:instrText xml:space="preserve"> PAGEREF _Toc495310620 \h </w:instrText>
      </w:r>
      <w:r>
        <w:fldChar w:fldCharType="separate"/>
      </w:r>
      <w:r>
        <w:t>157</w:t>
      </w:r>
      <w:r>
        <w:fldChar w:fldCharType="end"/>
      </w:r>
    </w:p>
    <w:p w14:paraId="789FD8D7"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BB3.11 Immune function</w:t>
      </w:r>
      <w:r>
        <w:tab/>
      </w:r>
      <w:r>
        <w:fldChar w:fldCharType="begin"/>
      </w:r>
      <w:r>
        <w:instrText xml:space="preserve"> PAGEREF _Toc495310621 \h </w:instrText>
      </w:r>
      <w:r>
        <w:fldChar w:fldCharType="separate"/>
      </w:r>
      <w:r>
        <w:t>157</w:t>
      </w:r>
      <w:r>
        <w:fldChar w:fldCharType="end"/>
      </w:r>
    </w:p>
    <w:p w14:paraId="274EA0E0"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BB4. Facilities and Equipment: Behavioural Needs</w:t>
      </w:r>
      <w:r>
        <w:tab/>
      </w:r>
      <w:r>
        <w:fldChar w:fldCharType="begin"/>
      </w:r>
      <w:r>
        <w:instrText xml:space="preserve"> PAGEREF _Toc495310622 \h </w:instrText>
      </w:r>
      <w:r>
        <w:fldChar w:fldCharType="separate"/>
      </w:r>
      <w:r>
        <w:t>158</w:t>
      </w:r>
      <w:r>
        <w:fldChar w:fldCharType="end"/>
      </w:r>
    </w:p>
    <w:p w14:paraId="0E7E7317"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BB4.1 Behavioural need for a nest</w:t>
      </w:r>
      <w:r>
        <w:tab/>
      </w:r>
      <w:r>
        <w:fldChar w:fldCharType="begin"/>
      </w:r>
      <w:r>
        <w:instrText xml:space="preserve"> PAGEREF _Toc495310623 \h </w:instrText>
      </w:r>
      <w:r>
        <w:fldChar w:fldCharType="separate"/>
      </w:r>
      <w:r>
        <w:t>158</w:t>
      </w:r>
      <w:r>
        <w:fldChar w:fldCharType="end"/>
      </w:r>
    </w:p>
    <w:p w14:paraId="2411F84C"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BB4.2 Behavioural need to perch</w:t>
      </w:r>
      <w:r>
        <w:tab/>
      </w:r>
      <w:r>
        <w:fldChar w:fldCharType="begin"/>
      </w:r>
      <w:r>
        <w:instrText xml:space="preserve"> PAGEREF _Toc495310624 \h </w:instrText>
      </w:r>
      <w:r>
        <w:fldChar w:fldCharType="separate"/>
      </w:r>
      <w:r>
        <w:t>158</w:t>
      </w:r>
      <w:r>
        <w:fldChar w:fldCharType="end"/>
      </w:r>
    </w:p>
    <w:p w14:paraId="606F4543"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BB4.3 Behavioural need to forage</w:t>
      </w:r>
      <w:r>
        <w:tab/>
      </w:r>
      <w:r>
        <w:fldChar w:fldCharType="begin"/>
      </w:r>
      <w:r>
        <w:instrText xml:space="preserve"> PAGEREF _Toc495310625 \h </w:instrText>
      </w:r>
      <w:r>
        <w:fldChar w:fldCharType="separate"/>
      </w:r>
      <w:r>
        <w:t>159</w:t>
      </w:r>
      <w:r>
        <w:fldChar w:fldCharType="end"/>
      </w:r>
    </w:p>
    <w:p w14:paraId="27C10A63"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BB4.4 Social behaviour</w:t>
      </w:r>
      <w:r>
        <w:tab/>
      </w:r>
      <w:r>
        <w:fldChar w:fldCharType="begin"/>
      </w:r>
      <w:r>
        <w:instrText xml:space="preserve"> PAGEREF _Toc495310626 \h </w:instrText>
      </w:r>
      <w:r>
        <w:fldChar w:fldCharType="separate"/>
      </w:r>
      <w:r>
        <w:t>159</w:t>
      </w:r>
      <w:r>
        <w:fldChar w:fldCharType="end"/>
      </w:r>
    </w:p>
    <w:p w14:paraId="33B832C9"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BB5. Facilities and Equipment: Behavioural Usage</w:t>
      </w:r>
      <w:r>
        <w:tab/>
      </w:r>
      <w:r>
        <w:fldChar w:fldCharType="begin"/>
      </w:r>
      <w:r>
        <w:instrText xml:space="preserve"> PAGEREF _Toc495310627 \h </w:instrText>
      </w:r>
      <w:r>
        <w:fldChar w:fldCharType="separate"/>
      </w:r>
      <w:r>
        <w:t>160</w:t>
      </w:r>
      <w:r>
        <w:fldChar w:fldCharType="end"/>
      </w:r>
    </w:p>
    <w:p w14:paraId="3C81130D"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BB5.1 Conventional cages</w:t>
      </w:r>
      <w:r>
        <w:tab/>
      </w:r>
      <w:r>
        <w:fldChar w:fldCharType="begin"/>
      </w:r>
      <w:r>
        <w:instrText xml:space="preserve"> PAGEREF _Toc495310628 \h </w:instrText>
      </w:r>
      <w:r>
        <w:fldChar w:fldCharType="separate"/>
      </w:r>
      <w:r>
        <w:t>160</w:t>
      </w:r>
      <w:r>
        <w:fldChar w:fldCharType="end"/>
      </w:r>
    </w:p>
    <w:p w14:paraId="3EC49EE2"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BB5.2 Furnished (enriched, colony) cages</w:t>
      </w:r>
      <w:r>
        <w:tab/>
      </w:r>
      <w:r>
        <w:fldChar w:fldCharType="begin"/>
      </w:r>
      <w:r>
        <w:instrText xml:space="preserve"> PAGEREF _Toc495310629 \h </w:instrText>
      </w:r>
      <w:r>
        <w:fldChar w:fldCharType="separate"/>
      </w:r>
      <w:r>
        <w:t>160</w:t>
      </w:r>
      <w:r>
        <w:fldChar w:fldCharType="end"/>
      </w:r>
    </w:p>
    <w:p w14:paraId="181010AE"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BB5.3 Non-cage systems</w:t>
      </w:r>
      <w:r>
        <w:tab/>
      </w:r>
      <w:r>
        <w:fldChar w:fldCharType="begin"/>
      </w:r>
      <w:r>
        <w:instrText xml:space="preserve"> PAGEREF _Toc495310630 \h </w:instrText>
      </w:r>
      <w:r>
        <w:fldChar w:fldCharType="separate"/>
      </w:r>
      <w:r>
        <w:t>160</w:t>
      </w:r>
      <w:r>
        <w:fldChar w:fldCharType="end"/>
      </w:r>
    </w:p>
    <w:p w14:paraId="3B5CAF1D"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BB5.4 Free-range systems</w:t>
      </w:r>
      <w:r>
        <w:tab/>
      </w:r>
      <w:r>
        <w:fldChar w:fldCharType="begin"/>
      </w:r>
      <w:r>
        <w:instrText xml:space="preserve"> PAGEREF _Toc495310631 \h </w:instrText>
      </w:r>
      <w:r>
        <w:fldChar w:fldCharType="separate"/>
      </w:r>
      <w:r>
        <w:t>161</w:t>
      </w:r>
      <w:r>
        <w:fldChar w:fldCharType="end"/>
      </w:r>
    </w:p>
    <w:p w14:paraId="6DB6C572"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BB6. Fear and Distress</w:t>
      </w:r>
      <w:r>
        <w:tab/>
      </w:r>
      <w:r>
        <w:fldChar w:fldCharType="begin"/>
      </w:r>
      <w:r>
        <w:instrText xml:space="preserve"> PAGEREF _Toc495310632 \h </w:instrText>
      </w:r>
      <w:r>
        <w:fldChar w:fldCharType="separate"/>
      </w:r>
      <w:r>
        <w:t>161</w:t>
      </w:r>
      <w:r>
        <w:fldChar w:fldCharType="end"/>
      </w:r>
    </w:p>
    <w:p w14:paraId="17C1A56C"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BB6.1 Stress</w:t>
      </w:r>
      <w:r>
        <w:tab/>
      </w:r>
      <w:r>
        <w:fldChar w:fldCharType="begin"/>
      </w:r>
      <w:r>
        <w:instrText xml:space="preserve"> PAGEREF _Toc495310633 \h </w:instrText>
      </w:r>
      <w:r>
        <w:fldChar w:fldCharType="separate"/>
      </w:r>
      <w:r>
        <w:t>161</w:t>
      </w:r>
      <w:r>
        <w:fldChar w:fldCharType="end"/>
      </w:r>
    </w:p>
    <w:p w14:paraId="7AF3CF36"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BB6.2 Fear</w:t>
      </w:r>
      <w:r>
        <w:tab/>
      </w:r>
      <w:r>
        <w:fldChar w:fldCharType="begin"/>
      </w:r>
      <w:r>
        <w:instrText xml:space="preserve"> PAGEREF _Toc495310634 \h </w:instrText>
      </w:r>
      <w:r>
        <w:fldChar w:fldCharType="separate"/>
      </w:r>
      <w:r>
        <w:t>162</w:t>
      </w:r>
      <w:r>
        <w:fldChar w:fldCharType="end"/>
      </w:r>
    </w:p>
    <w:p w14:paraId="7661468C"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BB6.3 Impact upon production</w:t>
      </w:r>
      <w:r>
        <w:tab/>
      </w:r>
      <w:r>
        <w:fldChar w:fldCharType="begin"/>
      </w:r>
      <w:r>
        <w:instrText xml:space="preserve"> PAGEREF _Toc495310635 \h </w:instrText>
      </w:r>
      <w:r>
        <w:fldChar w:fldCharType="separate"/>
      </w:r>
      <w:r>
        <w:t>162</w:t>
      </w:r>
      <w:r>
        <w:fldChar w:fldCharType="end"/>
      </w:r>
    </w:p>
    <w:p w14:paraId="0CDC537C"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BB7. Sensory Environment</w:t>
      </w:r>
      <w:r>
        <w:tab/>
      </w:r>
      <w:r>
        <w:fldChar w:fldCharType="begin"/>
      </w:r>
      <w:r>
        <w:instrText xml:space="preserve"> PAGEREF _Toc495310636 \h </w:instrText>
      </w:r>
      <w:r>
        <w:fldChar w:fldCharType="separate"/>
      </w:r>
      <w:r>
        <w:t>163</w:t>
      </w:r>
      <w:r>
        <w:fldChar w:fldCharType="end"/>
      </w:r>
    </w:p>
    <w:p w14:paraId="7B7B81CD"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BB7.1 Light and vision</w:t>
      </w:r>
      <w:r>
        <w:tab/>
      </w:r>
      <w:r>
        <w:fldChar w:fldCharType="begin"/>
      </w:r>
      <w:r>
        <w:instrText xml:space="preserve"> PAGEREF _Toc495310637 \h </w:instrText>
      </w:r>
      <w:r>
        <w:fldChar w:fldCharType="separate"/>
      </w:r>
      <w:r>
        <w:t>163</w:t>
      </w:r>
      <w:r>
        <w:fldChar w:fldCharType="end"/>
      </w:r>
    </w:p>
    <w:p w14:paraId="4C2F99CC"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BB7.2 Thermal comfort</w:t>
      </w:r>
      <w:r>
        <w:tab/>
      </w:r>
      <w:r>
        <w:fldChar w:fldCharType="begin"/>
      </w:r>
      <w:r>
        <w:instrText xml:space="preserve"> PAGEREF _Toc495310638 \h </w:instrText>
      </w:r>
      <w:r>
        <w:fldChar w:fldCharType="separate"/>
      </w:r>
      <w:r>
        <w:t>163</w:t>
      </w:r>
      <w:r>
        <w:fldChar w:fldCharType="end"/>
      </w:r>
    </w:p>
    <w:p w14:paraId="592BF88E"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BB8. Handling and Management</w:t>
      </w:r>
      <w:r>
        <w:tab/>
      </w:r>
      <w:r>
        <w:fldChar w:fldCharType="begin"/>
      </w:r>
      <w:r>
        <w:instrText xml:space="preserve"> PAGEREF _Toc495310639 \h </w:instrText>
      </w:r>
      <w:r>
        <w:fldChar w:fldCharType="separate"/>
      </w:r>
      <w:r>
        <w:t>164</w:t>
      </w:r>
      <w:r>
        <w:fldChar w:fldCharType="end"/>
      </w:r>
    </w:p>
    <w:p w14:paraId="06EB4A70"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BB8.1 Stocking density and group size</w:t>
      </w:r>
      <w:r>
        <w:tab/>
      </w:r>
      <w:r>
        <w:fldChar w:fldCharType="begin"/>
      </w:r>
      <w:r>
        <w:instrText xml:space="preserve"> PAGEREF _Toc495310640 \h </w:instrText>
      </w:r>
      <w:r>
        <w:fldChar w:fldCharType="separate"/>
      </w:r>
      <w:r>
        <w:t>164</w:t>
      </w:r>
      <w:r>
        <w:fldChar w:fldCharType="end"/>
      </w:r>
    </w:p>
    <w:p w14:paraId="0B935EEB"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BB8.2 Air quality and biosecurity</w:t>
      </w:r>
      <w:r>
        <w:tab/>
      </w:r>
      <w:r>
        <w:fldChar w:fldCharType="begin"/>
      </w:r>
      <w:r>
        <w:instrText xml:space="preserve"> PAGEREF _Toc495310641 \h </w:instrText>
      </w:r>
      <w:r>
        <w:fldChar w:fldCharType="separate"/>
      </w:r>
      <w:r>
        <w:t>164</w:t>
      </w:r>
      <w:r>
        <w:fldChar w:fldCharType="end"/>
      </w:r>
    </w:p>
    <w:p w14:paraId="2FAD01A3"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BB8.3 Litter quality</w:t>
      </w:r>
      <w:r>
        <w:tab/>
      </w:r>
      <w:r>
        <w:fldChar w:fldCharType="begin"/>
      </w:r>
      <w:r>
        <w:instrText xml:space="preserve"> PAGEREF _Toc495310642 \h </w:instrText>
      </w:r>
      <w:r>
        <w:fldChar w:fldCharType="separate"/>
      </w:r>
      <w:r>
        <w:t>165</w:t>
      </w:r>
      <w:r>
        <w:fldChar w:fldCharType="end"/>
      </w:r>
    </w:p>
    <w:p w14:paraId="1B24A0C2"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BB8.4 Procedures</w:t>
      </w:r>
      <w:r>
        <w:tab/>
      </w:r>
      <w:r>
        <w:fldChar w:fldCharType="begin"/>
      </w:r>
      <w:r>
        <w:instrText xml:space="preserve"> PAGEREF _Toc495310643 \h </w:instrText>
      </w:r>
      <w:r>
        <w:fldChar w:fldCharType="separate"/>
      </w:r>
      <w:r>
        <w:t>165</w:t>
      </w:r>
      <w:r>
        <w:fldChar w:fldCharType="end"/>
      </w:r>
    </w:p>
    <w:p w14:paraId="67380472"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BB9. Welfare Considerations: Overview</w:t>
      </w:r>
      <w:r>
        <w:tab/>
      </w:r>
      <w:r>
        <w:fldChar w:fldCharType="begin"/>
      </w:r>
      <w:r>
        <w:instrText xml:space="preserve"> PAGEREF _Toc495310644 \h </w:instrText>
      </w:r>
      <w:r>
        <w:fldChar w:fldCharType="separate"/>
      </w:r>
      <w:r>
        <w:t>166</w:t>
      </w:r>
      <w:r>
        <w:fldChar w:fldCharType="end"/>
      </w:r>
    </w:p>
    <w:p w14:paraId="6B0F7EAD"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BB10. References</w:t>
      </w:r>
      <w:r>
        <w:tab/>
      </w:r>
      <w:r>
        <w:fldChar w:fldCharType="begin"/>
      </w:r>
      <w:r>
        <w:instrText xml:space="preserve"> PAGEREF _Toc495310645 \h </w:instrText>
      </w:r>
      <w:r>
        <w:fldChar w:fldCharType="separate"/>
      </w:r>
      <w:r>
        <w:t>168</w:t>
      </w:r>
      <w:r>
        <w:fldChar w:fldCharType="end"/>
      </w:r>
    </w:p>
    <w:p w14:paraId="4C7B96F4" w14:textId="77777777" w:rsidR="0082578C" w:rsidRDefault="0082578C">
      <w:pPr>
        <w:pStyle w:val="TOC1"/>
        <w:rPr>
          <w:rFonts w:asciiTheme="minorHAnsi" w:eastAsiaTheme="minorEastAsia" w:hAnsiTheme="minorHAnsi"/>
          <w:b w:val="0"/>
          <w:sz w:val="22"/>
          <w:szCs w:val="22"/>
          <w:lang w:val="en-AU" w:eastAsia="en-AU"/>
        </w:rPr>
      </w:pPr>
      <w:r w:rsidRPr="00382FE9">
        <w:rPr>
          <w:lang w:val="en-AU" w:eastAsia="en-AU"/>
        </w:rPr>
        <w:t>Ducks</w:t>
      </w:r>
      <w:r>
        <w:tab/>
      </w:r>
      <w:r>
        <w:fldChar w:fldCharType="begin"/>
      </w:r>
      <w:r>
        <w:instrText xml:space="preserve"> PAGEREF _Toc495310646 \h </w:instrText>
      </w:r>
      <w:r>
        <w:fldChar w:fldCharType="separate"/>
      </w:r>
      <w:r>
        <w:t>173</w:t>
      </w:r>
      <w:r>
        <w:fldChar w:fldCharType="end"/>
      </w:r>
    </w:p>
    <w:p w14:paraId="3C5ADBE4"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D1. Introduction</w:t>
      </w:r>
      <w:r>
        <w:tab/>
      </w:r>
      <w:r>
        <w:fldChar w:fldCharType="begin"/>
      </w:r>
      <w:r>
        <w:instrText xml:space="preserve"> PAGEREF _Toc495310647 \h </w:instrText>
      </w:r>
      <w:r>
        <w:fldChar w:fldCharType="separate"/>
      </w:r>
      <w:r>
        <w:t>173</w:t>
      </w:r>
      <w:r>
        <w:fldChar w:fldCharType="end"/>
      </w:r>
    </w:p>
    <w:p w14:paraId="04B29E16"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D1.1 Life history</w:t>
      </w:r>
      <w:r>
        <w:tab/>
      </w:r>
      <w:r>
        <w:fldChar w:fldCharType="begin"/>
      </w:r>
      <w:r>
        <w:instrText xml:space="preserve"> PAGEREF _Toc495310648 \h </w:instrText>
      </w:r>
      <w:r>
        <w:fldChar w:fldCharType="separate"/>
      </w:r>
      <w:r>
        <w:t>173</w:t>
      </w:r>
      <w:r>
        <w:fldChar w:fldCharType="end"/>
      </w:r>
    </w:p>
    <w:p w14:paraId="536766D1"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D2. Feed and Water</w:t>
      </w:r>
      <w:r>
        <w:tab/>
      </w:r>
      <w:r>
        <w:fldChar w:fldCharType="begin"/>
      </w:r>
      <w:r>
        <w:instrText xml:space="preserve"> PAGEREF _Toc495310649 \h </w:instrText>
      </w:r>
      <w:r>
        <w:fldChar w:fldCharType="separate"/>
      </w:r>
      <w:r>
        <w:t>173</w:t>
      </w:r>
      <w:r>
        <w:fldChar w:fldCharType="end"/>
      </w:r>
    </w:p>
    <w:p w14:paraId="40E03BF0"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D2.1 Force feeding and foie gras production</w:t>
      </w:r>
      <w:r>
        <w:tab/>
      </w:r>
      <w:r>
        <w:fldChar w:fldCharType="begin"/>
      </w:r>
      <w:r>
        <w:instrText xml:space="preserve"> PAGEREF _Toc495310650 \h </w:instrText>
      </w:r>
      <w:r>
        <w:fldChar w:fldCharType="separate"/>
      </w:r>
      <w:r>
        <w:t>174</w:t>
      </w:r>
      <w:r>
        <w:fldChar w:fldCharType="end"/>
      </w:r>
    </w:p>
    <w:p w14:paraId="7568421F"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D3. Risk Management</w:t>
      </w:r>
      <w:r>
        <w:tab/>
      </w:r>
      <w:r>
        <w:fldChar w:fldCharType="begin"/>
      </w:r>
      <w:r>
        <w:instrText xml:space="preserve"> PAGEREF _Toc495310651 \h </w:instrText>
      </w:r>
      <w:r>
        <w:fldChar w:fldCharType="separate"/>
      </w:r>
      <w:r>
        <w:t>174</w:t>
      </w:r>
      <w:r>
        <w:fldChar w:fldCharType="end"/>
      </w:r>
    </w:p>
    <w:p w14:paraId="3BBD9A98"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D3.1 Mortality</w:t>
      </w:r>
      <w:r>
        <w:tab/>
      </w:r>
      <w:r>
        <w:fldChar w:fldCharType="begin"/>
      </w:r>
      <w:r>
        <w:instrText xml:space="preserve"> PAGEREF _Toc495310652 \h </w:instrText>
      </w:r>
      <w:r>
        <w:fldChar w:fldCharType="separate"/>
      </w:r>
      <w:r>
        <w:t>174</w:t>
      </w:r>
      <w:r>
        <w:fldChar w:fldCharType="end"/>
      </w:r>
    </w:p>
    <w:p w14:paraId="73E09275"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D3.2 Self-directed feather picking, injurious pecking and cannibalism</w:t>
      </w:r>
      <w:r>
        <w:tab/>
      </w:r>
      <w:r>
        <w:fldChar w:fldCharType="begin"/>
      </w:r>
      <w:r>
        <w:instrText xml:space="preserve"> PAGEREF _Toc495310653 \h </w:instrText>
      </w:r>
      <w:r>
        <w:fldChar w:fldCharType="separate"/>
      </w:r>
      <w:r>
        <w:t>175</w:t>
      </w:r>
      <w:r>
        <w:fldChar w:fldCharType="end"/>
      </w:r>
    </w:p>
    <w:p w14:paraId="095F7929" w14:textId="77777777" w:rsidR="0082578C" w:rsidRDefault="0082578C">
      <w:pPr>
        <w:pStyle w:val="TOC3"/>
        <w:rPr>
          <w:rFonts w:asciiTheme="minorHAnsi" w:eastAsiaTheme="minorEastAsia" w:hAnsiTheme="minorHAnsi"/>
          <w:sz w:val="22"/>
          <w:szCs w:val="22"/>
          <w:lang w:val="en-AU" w:eastAsia="en-AU"/>
        </w:rPr>
      </w:pPr>
      <w:r>
        <w:t>D3.3 Foot health</w:t>
      </w:r>
      <w:r>
        <w:tab/>
      </w:r>
      <w:r>
        <w:fldChar w:fldCharType="begin"/>
      </w:r>
      <w:r>
        <w:instrText xml:space="preserve"> PAGEREF _Toc495310654 \h </w:instrText>
      </w:r>
      <w:r>
        <w:fldChar w:fldCharType="separate"/>
      </w:r>
      <w:r>
        <w:t>175</w:t>
      </w:r>
      <w:r>
        <w:fldChar w:fldCharType="end"/>
      </w:r>
    </w:p>
    <w:p w14:paraId="2EB7C7AD"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D3.4 Leg health</w:t>
      </w:r>
      <w:r>
        <w:tab/>
      </w:r>
      <w:r>
        <w:fldChar w:fldCharType="begin"/>
      </w:r>
      <w:r>
        <w:instrText xml:space="preserve"> PAGEREF _Toc495310655 \h </w:instrText>
      </w:r>
      <w:r>
        <w:fldChar w:fldCharType="separate"/>
      </w:r>
      <w:r>
        <w:t>176</w:t>
      </w:r>
      <w:r>
        <w:fldChar w:fldCharType="end"/>
      </w:r>
    </w:p>
    <w:p w14:paraId="5B741103"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D3.5 Infectious disease</w:t>
      </w:r>
      <w:r>
        <w:tab/>
      </w:r>
      <w:r>
        <w:fldChar w:fldCharType="begin"/>
      </w:r>
      <w:r>
        <w:instrText xml:space="preserve"> PAGEREF _Toc495310656 \h </w:instrText>
      </w:r>
      <w:r>
        <w:fldChar w:fldCharType="separate"/>
      </w:r>
      <w:r>
        <w:t>176</w:t>
      </w:r>
      <w:r>
        <w:fldChar w:fldCharType="end"/>
      </w:r>
    </w:p>
    <w:p w14:paraId="0EBD7FC7"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D3.6 Provision of water</w:t>
      </w:r>
      <w:r>
        <w:tab/>
      </w:r>
      <w:r>
        <w:fldChar w:fldCharType="begin"/>
      </w:r>
      <w:r>
        <w:instrText xml:space="preserve"> PAGEREF _Toc495310657 \h </w:instrText>
      </w:r>
      <w:r>
        <w:fldChar w:fldCharType="separate"/>
      </w:r>
      <w:r>
        <w:t>176</w:t>
      </w:r>
      <w:r>
        <w:fldChar w:fldCharType="end"/>
      </w:r>
    </w:p>
    <w:p w14:paraId="16DBA70C"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D4. Facilities and Equipment: Behavioural Needs</w:t>
      </w:r>
      <w:r>
        <w:tab/>
      </w:r>
      <w:r>
        <w:fldChar w:fldCharType="begin"/>
      </w:r>
      <w:r>
        <w:instrText xml:space="preserve"> PAGEREF _Toc495310658 \h </w:instrText>
      </w:r>
      <w:r>
        <w:fldChar w:fldCharType="separate"/>
      </w:r>
      <w:r>
        <w:t>178</w:t>
      </w:r>
      <w:r>
        <w:fldChar w:fldCharType="end"/>
      </w:r>
    </w:p>
    <w:p w14:paraId="03A44237"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D4.1 Behavioural need for a nest</w:t>
      </w:r>
      <w:r>
        <w:tab/>
      </w:r>
      <w:r>
        <w:fldChar w:fldCharType="begin"/>
      </w:r>
      <w:r>
        <w:instrText xml:space="preserve"> PAGEREF _Toc495310659 \h </w:instrText>
      </w:r>
      <w:r>
        <w:fldChar w:fldCharType="separate"/>
      </w:r>
      <w:r>
        <w:t>178</w:t>
      </w:r>
      <w:r>
        <w:fldChar w:fldCharType="end"/>
      </w:r>
    </w:p>
    <w:p w14:paraId="4F8CFD10"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D4.2 Social behaviour</w:t>
      </w:r>
      <w:r>
        <w:tab/>
      </w:r>
      <w:r>
        <w:fldChar w:fldCharType="begin"/>
      </w:r>
      <w:r>
        <w:instrText xml:space="preserve"> PAGEREF _Toc495310660 \h </w:instrText>
      </w:r>
      <w:r>
        <w:fldChar w:fldCharType="separate"/>
      </w:r>
      <w:r>
        <w:t>178</w:t>
      </w:r>
      <w:r>
        <w:fldChar w:fldCharType="end"/>
      </w:r>
    </w:p>
    <w:p w14:paraId="6ED53AC8"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D4.3 Behavioural need for water</w:t>
      </w:r>
      <w:r>
        <w:tab/>
      </w:r>
      <w:r>
        <w:fldChar w:fldCharType="begin"/>
      </w:r>
      <w:r>
        <w:instrText xml:space="preserve"> PAGEREF _Toc495310661 \h </w:instrText>
      </w:r>
      <w:r>
        <w:fldChar w:fldCharType="separate"/>
      </w:r>
      <w:r>
        <w:t>178</w:t>
      </w:r>
      <w:r>
        <w:fldChar w:fldCharType="end"/>
      </w:r>
    </w:p>
    <w:p w14:paraId="053D010C"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D5. Facilities and Equipment: Behavioural Usage</w:t>
      </w:r>
      <w:r>
        <w:tab/>
      </w:r>
      <w:r>
        <w:fldChar w:fldCharType="begin"/>
      </w:r>
      <w:r>
        <w:instrText xml:space="preserve"> PAGEREF _Toc495310662 \h </w:instrText>
      </w:r>
      <w:r>
        <w:fldChar w:fldCharType="separate"/>
      </w:r>
      <w:r>
        <w:t>179</w:t>
      </w:r>
      <w:r>
        <w:fldChar w:fldCharType="end"/>
      </w:r>
    </w:p>
    <w:p w14:paraId="105DDC8A"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D5.1 System type</w:t>
      </w:r>
      <w:r>
        <w:tab/>
      </w:r>
      <w:r>
        <w:fldChar w:fldCharType="begin"/>
      </w:r>
      <w:r>
        <w:instrText xml:space="preserve"> PAGEREF _Toc495310663 \h </w:instrText>
      </w:r>
      <w:r>
        <w:fldChar w:fldCharType="separate"/>
      </w:r>
      <w:r>
        <w:t>179</w:t>
      </w:r>
      <w:r>
        <w:fldChar w:fldCharType="end"/>
      </w:r>
    </w:p>
    <w:p w14:paraId="7BE24FEE"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D6. Fear and Distress</w:t>
      </w:r>
      <w:r>
        <w:tab/>
      </w:r>
      <w:r>
        <w:fldChar w:fldCharType="begin"/>
      </w:r>
      <w:r>
        <w:instrText xml:space="preserve"> PAGEREF _Toc495310664 \h </w:instrText>
      </w:r>
      <w:r>
        <w:fldChar w:fldCharType="separate"/>
      </w:r>
      <w:r>
        <w:t>179</w:t>
      </w:r>
      <w:r>
        <w:fldChar w:fldCharType="end"/>
      </w:r>
    </w:p>
    <w:p w14:paraId="34214756"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D7. Sensory Environment</w:t>
      </w:r>
      <w:r>
        <w:tab/>
      </w:r>
      <w:r>
        <w:fldChar w:fldCharType="begin"/>
      </w:r>
      <w:r>
        <w:instrText xml:space="preserve"> PAGEREF _Toc495310665 \h </w:instrText>
      </w:r>
      <w:r>
        <w:fldChar w:fldCharType="separate"/>
      </w:r>
      <w:r>
        <w:t>180</w:t>
      </w:r>
      <w:r>
        <w:fldChar w:fldCharType="end"/>
      </w:r>
    </w:p>
    <w:p w14:paraId="7BBA7B0A"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D7.1 Light and vision</w:t>
      </w:r>
      <w:r>
        <w:tab/>
      </w:r>
      <w:r>
        <w:fldChar w:fldCharType="begin"/>
      </w:r>
      <w:r>
        <w:instrText xml:space="preserve"> PAGEREF _Toc495310666 \h </w:instrText>
      </w:r>
      <w:r>
        <w:fldChar w:fldCharType="separate"/>
      </w:r>
      <w:r>
        <w:t>180</w:t>
      </w:r>
      <w:r>
        <w:fldChar w:fldCharType="end"/>
      </w:r>
    </w:p>
    <w:p w14:paraId="3C0F35CE"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D7.2 Thermal comfort</w:t>
      </w:r>
      <w:r>
        <w:tab/>
      </w:r>
      <w:r>
        <w:fldChar w:fldCharType="begin"/>
      </w:r>
      <w:r>
        <w:instrText xml:space="preserve"> PAGEREF _Toc495310667 \h </w:instrText>
      </w:r>
      <w:r>
        <w:fldChar w:fldCharType="separate"/>
      </w:r>
      <w:r>
        <w:t>180</w:t>
      </w:r>
      <w:r>
        <w:fldChar w:fldCharType="end"/>
      </w:r>
    </w:p>
    <w:p w14:paraId="2E8FED63"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D8. Management and Handling</w:t>
      </w:r>
      <w:r>
        <w:tab/>
      </w:r>
      <w:r>
        <w:fldChar w:fldCharType="begin"/>
      </w:r>
      <w:r>
        <w:instrText xml:space="preserve"> PAGEREF _Toc495310668 \h </w:instrText>
      </w:r>
      <w:r>
        <w:fldChar w:fldCharType="separate"/>
      </w:r>
      <w:r>
        <w:t>180</w:t>
      </w:r>
      <w:r>
        <w:fldChar w:fldCharType="end"/>
      </w:r>
    </w:p>
    <w:p w14:paraId="6292C8BA"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D8.1 Stocking density</w:t>
      </w:r>
      <w:r>
        <w:tab/>
      </w:r>
      <w:r>
        <w:fldChar w:fldCharType="begin"/>
      </w:r>
      <w:r>
        <w:instrText xml:space="preserve"> PAGEREF _Toc495310669 \h </w:instrText>
      </w:r>
      <w:r>
        <w:fldChar w:fldCharType="separate"/>
      </w:r>
      <w:r>
        <w:t>180</w:t>
      </w:r>
      <w:r>
        <w:fldChar w:fldCharType="end"/>
      </w:r>
    </w:p>
    <w:p w14:paraId="342B78A3"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D8.2 Procedures</w:t>
      </w:r>
      <w:r>
        <w:tab/>
      </w:r>
      <w:r>
        <w:fldChar w:fldCharType="begin"/>
      </w:r>
      <w:r>
        <w:instrText xml:space="preserve"> PAGEREF _Toc495310670 \h </w:instrText>
      </w:r>
      <w:r>
        <w:fldChar w:fldCharType="separate"/>
      </w:r>
      <w:r>
        <w:t>181</w:t>
      </w:r>
      <w:r>
        <w:fldChar w:fldCharType="end"/>
      </w:r>
    </w:p>
    <w:p w14:paraId="02BFE2BB"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D9. Rearing</w:t>
      </w:r>
      <w:r>
        <w:tab/>
      </w:r>
      <w:r>
        <w:fldChar w:fldCharType="begin"/>
      </w:r>
      <w:r>
        <w:instrText xml:space="preserve"> PAGEREF _Toc495310671 \h </w:instrText>
      </w:r>
      <w:r>
        <w:fldChar w:fldCharType="separate"/>
      </w:r>
      <w:r>
        <w:t>181</w:t>
      </w:r>
      <w:r>
        <w:fldChar w:fldCharType="end"/>
      </w:r>
    </w:p>
    <w:p w14:paraId="1669C76C"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D10. Breed Effects</w:t>
      </w:r>
      <w:r>
        <w:tab/>
      </w:r>
      <w:r>
        <w:fldChar w:fldCharType="begin"/>
      </w:r>
      <w:r>
        <w:instrText xml:space="preserve"> PAGEREF _Toc495310672 \h </w:instrText>
      </w:r>
      <w:r>
        <w:fldChar w:fldCharType="separate"/>
      </w:r>
      <w:r>
        <w:t>182</w:t>
      </w:r>
      <w:r>
        <w:fldChar w:fldCharType="end"/>
      </w:r>
    </w:p>
    <w:p w14:paraId="73144982"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D11. Welfare Considerations: Overview</w:t>
      </w:r>
      <w:r>
        <w:tab/>
      </w:r>
      <w:r>
        <w:fldChar w:fldCharType="begin"/>
      </w:r>
      <w:r>
        <w:instrText xml:space="preserve"> PAGEREF _Toc495310673 \h </w:instrText>
      </w:r>
      <w:r>
        <w:fldChar w:fldCharType="separate"/>
      </w:r>
      <w:r>
        <w:t>182</w:t>
      </w:r>
      <w:r>
        <w:fldChar w:fldCharType="end"/>
      </w:r>
    </w:p>
    <w:p w14:paraId="6C54F7CF" w14:textId="77777777" w:rsidR="0082578C" w:rsidRDefault="0082578C">
      <w:pPr>
        <w:pStyle w:val="TOC2"/>
        <w:rPr>
          <w:rFonts w:asciiTheme="minorHAnsi" w:eastAsiaTheme="minorEastAsia" w:hAnsiTheme="minorHAnsi"/>
          <w:sz w:val="22"/>
          <w:szCs w:val="22"/>
          <w:lang w:val="en-AU" w:eastAsia="en-AU"/>
        </w:rPr>
      </w:pPr>
      <w:r w:rsidRPr="00382FE9">
        <w:rPr>
          <w:shd w:val="clear" w:color="auto" w:fill="FFFFFF"/>
          <w:lang w:val="en-AU" w:eastAsia="en-AU"/>
        </w:rPr>
        <w:t>D12. References</w:t>
      </w:r>
      <w:r>
        <w:tab/>
      </w:r>
      <w:r>
        <w:fldChar w:fldCharType="begin"/>
      </w:r>
      <w:r>
        <w:instrText xml:space="preserve"> PAGEREF _Toc495310674 \h </w:instrText>
      </w:r>
      <w:r>
        <w:fldChar w:fldCharType="separate"/>
      </w:r>
      <w:r>
        <w:t>183</w:t>
      </w:r>
      <w:r>
        <w:fldChar w:fldCharType="end"/>
      </w:r>
    </w:p>
    <w:p w14:paraId="12B3BC82" w14:textId="77777777" w:rsidR="0082578C" w:rsidRDefault="0082578C">
      <w:pPr>
        <w:pStyle w:val="TOC1"/>
        <w:rPr>
          <w:rFonts w:asciiTheme="minorHAnsi" w:eastAsiaTheme="minorEastAsia" w:hAnsiTheme="minorHAnsi"/>
          <w:b w:val="0"/>
          <w:sz w:val="22"/>
          <w:szCs w:val="22"/>
          <w:lang w:val="en-AU" w:eastAsia="en-AU"/>
        </w:rPr>
      </w:pPr>
      <w:r w:rsidRPr="00382FE9">
        <w:rPr>
          <w:lang w:val="en-AU" w:eastAsia="en-AU"/>
        </w:rPr>
        <w:t>Geese</w:t>
      </w:r>
      <w:r>
        <w:tab/>
      </w:r>
      <w:r>
        <w:fldChar w:fldCharType="begin"/>
      </w:r>
      <w:r>
        <w:instrText xml:space="preserve"> PAGEREF _Toc495310675 \h </w:instrText>
      </w:r>
      <w:r>
        <w:fldChar w:fldCharType="separate"/>
      </w:r>
      <w:r>
        <w:t>186</w:t>
      </w:r>
      <w:r>
        <w:fldChar w:fldCharType="end"/>
      </w:r>
    </w:p>
    <w:p w14:paraId="145387E5"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G1. Introduction</w:t>
      </w:r>
      <w:r>
        <w:tab/>
      </w:r>
      <w:r>
        <w:fldChar w:fldCharType="begin"/>
      </w:r>
      <w:r>
        <w:instrText xml:space="preserve"> PAGEREF _Toc495310676 \h </w:instrText>
      </w:r>
      <w:r>
        <w:fldChar w:fldCharType="separate"/>
      </w:r>
      <w:r>
        <w:t>186</w:t>
      </w:r>
      <w:r>
        <w:fldChar w:fldCharType="end"/>
      </w:r>
    </w:p>
    <w:p w14:paraId="6391064D"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G1.1 Life history</w:t>
      </w:r>
      <w:r>
        <w:tab/>
      </w:r>
      <w:r>
        <w:fldChar w:fldCharType="begin"/>
      </w:r>
      <w:r>
        <w:instrText xml:space="preserve"> PAGEREF _Toc495310677 \h </w:instrText>
      </w:r>
      <w:r>
        <w:fldChar w:fldCharType="separate"/>
      </w:r>
      <w:r>
        <w:t>186</w:t>
      </w:r>
      <w:r>
        <w:fldChar w:fldCharType="end"/>
      </w:r>
    </w:p>
    <w:p w14:paraId="4DAB94F5"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G2. Feed and Water</w:t>
      </w:r>
      <w:r>
        <w:tab/>
      </w:r>
      <w:r>
        <w:fldChar w:fldCharType="begin"/>
      </w:r>
      <w:r>
        <w:instrText xml:space="preserve"> PAGEREF _Toc495310678 \h </w:instrText>
      </w:r>
      <w:r>
        <w:fldChar w:fldCharType="separate"/>
      </w:r>
      <w:r>
        <w:t>186</w:t>
      </w:r>
      <w:r>
        <w:fldChar w:fldCharType="end"/>
      </w:r>
    </w:p>
    <w:p w14:paraId="4A7E64CD"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G2.1 Force feeding for foie gras production</w:t>
      </w:r>
      <w:r>
        <w:tab/>
      </w:r>
      <w:r>
        <w:fldChar w:fldCharType="begin"/>
      </w:r>
      <w:r>
        <w:instrText xml:space="preserve"> PAGEREF _Toc495310679 \h </w:instrText>
      </w:r>
      <w:r>
        <w:fldChar w:fldCharType="separate"/>
      </w:r>
      <w:r>
        <w:t>186</w:t>
      </w:r>
      <w:r>
        <w:fldChar w:fldCharType="end"/>
      </w:r>
    </w:p>
    <w:p w14:paraId="6DEDF897"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G3. Risk Management</w:t>
      </w:r>
      <w:r>
        <w:tab/>
      </w:r>
      <w:r>
        <w:fldChar w:fldCharType="begin"/>
      </w:r>
      <w:r>
        <w:instrText xml:space="preserve"> PAGEREF _Toc495310680 \h </w:instrText>
      </w:r>
      <w:r>
        <w:fldChar w:fldCharType="separate"/>
      </w:r>
      <w:r>
        <w:t>187</w:t>
      </w:r>
      <w:r>
        <w:fldChar w:fldCharType="end"/>
      </w:r>
    </w:p>
    <w:p w14:paraId="5D66BD2D"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G3.1 Bone fractures and damage</w:t>
      </w:r>
      <w:r>
        <w:tab/>
      </w:r>
      <w:r>
        <w:fldChar w:fldCharType="begin"/>
      </w:r>
      <w:r>
        <w:instrText xml:space="preserve"> PAGEREF _Toc495310681 \h </w:instrText>
      </w:r>
      <w:r>
        <w:fldChar w:fldCharType="separate"/>
      </w:r>
      <w:r>
        <w:t>187</w:t>
      </w:r>
      <w:r>
        <w:fldChar w:fldCharType="end"/>
      </w:r>
    </w:p>
    <w:p w14:paraId="49745F28"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G3.2 Parasitic infections</w:t>
      </w:r>
      <w:r>
        <w:tab/>
      </w:r>
      <w:r>
        <w:fldChar w:fldCharType="begin"/>
      </w:r>
      <w:r>
        <w:instrText xml:space="preserve"> PAGEREF _Toc495310682 \h </w:instrText>
      </w:r>
      <w:r>
        <w:fldChar w:fldCharType="separate"/>
      </w:r>
      <w:r>
        <w:t>187</w:t>
      </w:r>
      <w:r>
        <w:fldChar w:fldCharType="end"/>
      </w:r>
    </w:p>
    <w:p w14:paraId="10736C62"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G3.3 Infectious diseases</w:t>
      </w:r>
      <w:r>
        <w:tab/>
      </w:r>
      <w:r>
        <w:fldChar w:fldCharType="begin"/>
      </w:r>
      <w:r>
        <w:instrText xml:space="preserve"> PAGEREF _Toc495310683 \h </w:instrText>
      </w:r>
      <w:r>
        <w:fldChar w:fldCharType="separate"/>
      </w:r>
      <w:r>
        <w:t>187</w:t>
      </w:r>
      <w:r>
        <w:fldChar w:fldCharType="end"/>
      </w:r>
    </w:p>
    <w:p w14:paraId="37119FD4"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G4. Facilities and Equipment: Behavioural Needs</w:t>
      </w:r>
      <w:r>
        <w:tab/>
      </w:r>
      <w:r>
        <w:fldChar w:fldCharType="begin"/>
      </w:r>
      <w:r>
        <w:instrText xml:space="preserve"> PAGEREF _Toc495310684 \h </w:instrText>
      </w:r>
      <w:r>
        <w:fldChar w:fldCharType="separate"/>
      </w:r>
      <w:r>
        <w:t>187</w:t>
      </w:r>
      <w:r>
        <w:fldChar w:fldCharType="end"/>
      </w:r>
    </w:p>
    <w:p w14:paraId="3A2D52A5"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G4.1 Social behaviour</w:t>
      </w:r>
      <w:r>
        <w:tab/>
      </w:r>
      <w:r>
        <w:fldChar w:fldCharType="begin"/>
      </w:r>
      <w:r>
        <w:instrText xml:space="preserve"> PAGEREF _Toc495310685 \h </w:instrText>
      </w:r>
      <w:r>
        <w:fldChar w:fldCharType="separate"/>
      </w:r>
      <w:r>
        <w:t>187</w:t>
      </w:r>
      <w:r>
        <w:fldChar w:fldCharType="end"/>
      </w:r>
    </w:p>
    <w:p w14:paraId="77C85A7B"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G5. Fear and Distress</w:t>
      </w:r>
      <w:r>
        <w:tab/>
      </w:r>
      <w:r>
        <w:fldChar w:fldCharType="begin"/>
      </w:r>
      <w:r>
        <w:instrText xml:space="preserve"> PAGEREF _Toc495310686 \h </w:instrText>
      </w:r>
      <w:r>
        <w:fldChar w:fldCharType="separate"/>
      </w:r>
      <w:r>
        <w:t>188</w:t>
      </w:r>
      <w:r>
        <w:fldChar w:fldCharType="end"/>
      </w:r>
    </w:p>
    <w:p w14:paraId="5C441904"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G6. Management and Handling</w:t>
      </w:r>
      <w:r>
        <w:tab/>
      </w:r>
      <w:r>
        <w:fldChar w:fldCharType="begin"/>
      </w:r>
      <w:r>
        <w:instrText xml:space="preserve"> PAGEREF _Toc495310687 \h </w:instrText>
      </w:r>
      <w:r>
        <w:fldChar w:fldCharType="separate"/>
      </w:r>
      <w:r>
        <w:t>188</w:t>
      </w:r>
      <w:r>
        <w:fldChar w:fldCharType="end"/>
      </w:r>
    </w:p>
    <w:p w14:paraId="3B80A3DE"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G6.1 Stocking density and group size</w:t>
      </w:r>
      <w:r>
        <w:tab/>
      </w:r>
      <w:r>
        <w:fldChar w:fldCharType="begin"/>
      </w:r>
      <w:r>
        <w:instrText xml:space="preserve"> PAGEREF _Toc495310688 \h </w:instrText>
      </w:r>
      <w:r>
        <w:fldChar w:fldCharType="separate"/>
      </w:r>
      <w:r>
        <w:t>188</w:t>
      </w:r>
      <w:r>
        <w:fldChar w:fldCharType="end"/>
      </w:r>
    </w:p>
    <w:p w14:paraId="511B4753"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G6.2 Procedures</w:t>
      </w:r>
      <w:r>
        <w:tab/>
      </w:r>
      <w:r>
        <w:fldChar w:fldCharType="begin"/>
      </w:r>
      <w:r>
        <w:instrText xml:space="preserve"> PAGEREF _Toc495310689 \h </w:instrText>
      </w:r>
      <w:r>
        <w:fldChar w:fldCharType="separate"/>
      </w:r>
      <w:r>
        <w:t>189</w:t>
      </w:r>
      <w:r>
        <w:fldChar w:fldCharType="end"/>
      </w:r>
    </w:p>
    <w:p w14:paraId="1E8C2687"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G7. Rearing</w:t>
      </w:r>
      <w:r>
        <w:tab/>
      </w:r>
      <w:r>
        <w:fldChar w:fldCharType="begin"/>
      </w:r>
      <w:r>
        <w:instrText xml:space="preserve"> PAGEREF _Toc495310690 \h </w:instrText>
      </w:r>
      <w:r>
        <w:fldChar w:fldCharType="separate"/>
      </w:r>
      <w:r>
        <w:t>189</w:t>
      </w:r>
      <w:r>
        <w:fldChar w:fldCharType="end"/>
      </w:r>
    </w:p>
    <w:p w14:paraId="01AEC7B0"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G8. Breed Effects</w:t>
      </w:r>
      <w:r>
        <w:tab/>
      </w:r>
      <w:r>
        <w:fldChar w:fldCharType="begin"/>
      </w:r>
      <w:r>
        <w:instrText xml:space="preserve"> PAGEREF _Toc495310691 \h </w:instrText>
      </w:r>
      <w:r>
        <w:fldChar w:fldCharType="separate"/>
      </w:r>
      <w:r>
        <w:t>189</w:t>
      </w:r>
      <w:r>
        <w:fldChar w:fldCharType="end"/>
      </w:r>
    </w:p>
    <w:p w14:paraId="292F58B8"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G9. Welfare Considerations: Overview</w:t>
      </w:r>
      <w:r>
        <w:tab/>
      </w:r>
      <w:r>
        <w:fldChar w:fldCharType="begin"/>
      </w:r>
      <w:r>
        <w:instrText xml:space="preserve"> PAGEREF _Toc495310692 \h </w:instrText>
      </w:r>
      <w:r>
        <w:fldChar w:fldCharType="separate"/>
      </w:r>
      <w:r>
        <w:t>189</w:t>
      </w:r>
      <w:r>
        <w:fldChar w:fldCharType="end"/>
      </w:r>
    </w:p>
    <w:p w14:paraId="186B6403" w14:textId="77777777" w:rsidR="0082578C" w:rsidRDefault="0082578C">
      <w:pPr>
        <w:pStyle w:val="TOC2"/>
        <w:rPr>
          <w:rFonts w:asciiTheme="minorHAnsi" w:eastAsiaTheme="minorEastAsia" w:hAnsiTheme="minorHAnsi"/>
          <w:sz w:val="22"/>
          <w:szCs w:val="22"/>
          <w:lang w:val="en-AU" w:eastAsia="en-AU"/>
        </w:rPr>
      </w:pPr>
      <w:r w:rsidRPr="00382FE9">
        <w:rPr>
          <w:shd w:val="clear" w:color="auto" w:fill="FFFFFF"/>
          <w:lang w:val="en-AU" w:eastAsia="en-AU"/>
        </w:rPr>
        <w:t>G10. References</w:t>
      </w:r>
      <w:r>
        <w:tab/>
      </w:r>
      <w:r>
        <w:fldChar w:fldCharType="begin"/>
      </w:r>
      <w:r>
        <w:instrText xml:space="preserve"> PAGEREF _Toc495310693 \h </w:instrText>
      </w:r>
      <w:r>
        <w:fldChar w:fldCharType="separate"/>
      </w:r>
      <w:r>
        <w:t>191</w:t>
      </w:r>
      <w:r>
        <w:fldChar w:fldCharType="end"/>
      </w:r>
    </w:p>
    <w:p w14:paraId="6AE89769" w14:textId="77777777" w:rsidR="0082578C" w:rsidRDefault="0082578C">
      <w:pPr>
        <w:pStyle w:val="TOC1"/>
        <w:rPr>
          <w:rFonts w:asciiTheme="minorHAnsi" w:eastAsiaTheme="minorEastAsia" w:hAnsiTheme="minorHAnsi"/>
          <w:b w:val="0"/>
          <w:sz w:val="22"/>
          <w:szCs w:val="22"/>
          <w:lang w:val="en-AU" w:eastAsia="en-AU"/>
        </w:rPr>
      </w:pPr>
      <w:r w:rsidRPr="00382FE9">
        <w:rPr>
          <w:lang w:val="en-AU" w:eastAsia="en-AU"/>
        </w:rPr>
        <w:t>Turkeys</w:t>
      </w:r>
      <w:r>
        <w:tab/>
      </w:r>
      <w:r>
        <w:fldChar w:fldCharType="begin"/>
      </w:r>
      <w:r>
        <w:instrText xml:space="preserve"> PAGEREF _Toc495310694 \h </w:instrText>
      </w:r>
      <w:r>
        <w:fldChar w:fldCharType="separate"/>
      </w:r>
      <w:r>
        <w:t>193</w:t>
      </w:r>
      <w:r>
        <w:fldChar w:fldCharType="end"/>
      </w:r>
    </w:p>
    <w:p w14:paraId="78058C8E"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T1. Introduction</w:t>
      </w:r>
      <w:r>
        <w:tab/>
      </w:r>
      <w:r>
        <w:fldChar w:fldCharType="begin"/>
      </w:r>
      <w:r>
        <w:instrText xml:space="preserve"> PAGEREF _Toc495310695 \h </w:instrText>
      </w:r>
      <w:r>
        <w:fldChar w:fldCharType="separate"/>
      </w:r>
      <w:r>
        <w:t>193</w:t>
      </w:r>
      <w:r>
        <w:fldChar w:fldCharType="end"/>
      </w:r>
    </w:p>
    <w:p w14:paraId="07EE15B5"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T1.1 Life history</w:t>
      </w:r>
      <w:r>
        <w:tab/>
      </w:r>
      <w:r>
        <w:fldChar w:fldCharType="begin"/>
      </w:r>
      <w:r>
        <w:instrText xml:space="preserve"> PAGEREF _Toc495310696 \h </w:instrText>
      </w:r>
      <w:r>
        <w:fldChar w:fldCharType="separate"/>
      </w:r>
      <w:r>
        <w:t>193</w:t>
      </w:r>
      <w:r>
        <w:fldChar w:fldCharType="end"/>
      </w:r>
    </w:p>
    <w:p w14:paraId="53C36671"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T2. Feed and Water</w:t>
      </w:r>
      <w:r>
        <w:tab/>
      </w:r>
      <w:r>
        <w:fldChar w:fldCharType="begin"/>
      </w:r>
      <w:r>
        <w:instrText xml:space="preserve"> PAGEREF _Toc495310697 \h </w:instrText>
      </w:r>
      <w:r>
        <w:fldChar w:fldCharType="separate"/>
      </w:r>
      <w:r>
        <w:t>194</w:t>
      </w:r>
      <w:r>
        <w:fldChar w:fldCharType="end"/>
      </w:r>
    </w:p>
    <w:p w14:paraId="0A3DE4E8"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T2.1 Relationships with injurious pecking</w:t>
      </w:r>
      <w:r>
        <w:tab/>
      </w:r>
      <w:r>
        <w:fldChar w:fldCharType="begin"/>
      </w:r>
      <w:r>
        <w:instrText xml:space="preserve"> PAGEREF _Toc495310698 \h </w:instrText>
      </w:r>
      <w:r>
        <w:fldChar w:fldCharType="separate"/>
      </w:r>
      <w:r>
        <w:t>195</w:t>
      </w:r>
      <w:r>
        <w:fldChar w:fldCharType="end"/>
      </w:r>
    </w:p>
    <w:p w14:paraId="03834252" w14:textId="77777777" w:rsidR="0082578C" w:rsidRDefault="0082578C">
      <w:pPr>
        <w:pStyle w:val="TOC3"/>
        <w:rPr>
          <w:rFonts w:asciiTheme="minorHAnsi" w:eastAsiaTheme="minorEastAsia" w:hAnsiTheme="minorHAnsi"/>
          <w:sz w:val="22"/>
          <w:szCs w:val="22"/>
          <w:lang w:val="en-AU" w:eastAsia="en-AU"/>
        </w:rPr>
      </w:pPr>
      <w:r>
        <w:t>T2.2 Relationship with skeletal health</w:t>
      </w:r>
      <w:r>
        <w:tab/>
      </w:r>
      <w:r>
        <w:fldChar w:fldCharType="begin"/>
      </w:r>
      <w:r>
        <w:instrText xml:space="preserve"> PAGEREF _Toc495310699 \h </w:instrText>
      </w:r>
      <w:r>
        <w:fldChar w:fldCharType="separate"/>
      </w:r>
      <w:r>
        <w:t>195</w:t>
      </w:r>
      <w:r>
        <w:fldChar w:fldCharType="end"/>
      </w:r>
    </w:p>
    <w:p w14:paraId="5D93F371"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T2.3 Free range and organic diets</w:t>
      </w:r>
      <w:r>
        <w:tab/>
      </w:r>
      <w:r>
        <w:fldChar w:fldCharType="begin"/>
      </w:r>
      <w:r>
        <w:instrText xml:space="preserve"> PAGEREF _Toc495310700 \h </w:instrText>
      </w:r>
      <w:r>
        <w:fldChar w:fldCharType="separate"/>
      </w:r>
      <w:r>
        <w:t>196</w:t>
      </w:r>
      <w:r>
        <w:fldChar w:fldCharType="end"/>
      </w:r>
    </w:p>
    <w:p w14:paraId="0FEF23F9"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T3. Risk Management</w:t>
      </w:r>
      <w:r>
        <w:tab/>
      </w:r>
      <w:r>
        <w:fldChar w:fldCharType="begin"/>
      </w:r>
      <w:r>
        <w:instrText xml:space="preserve"> PAGEREF _Toc495310701 \h </w:instrText>
      </w:r>
      <w:r>
        <w:fldChar w:fldCharType="separate"/>
      </w:r>
      <w:r>
        <w:t>196</w:t>
      </w:r>
      <w:r>
        <w:fldChar w:fldCharType="end"/>
      </w:r>
    </w:p>
    <w:p w14:paraId="6443CCD7"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T3.1 Mortality</w:t>
      </w:r>
      <w:r>
        <w:tab/>
      </w:r>
      <w:r>
        <w:fldChar w:fldCharType="begin"/>
      </w:r>
      <w:r>
        <w:instrText xml:space="preserve"> PAGEREF _Toc495310702 \h </w:instrText>
      </w:r>
      <w:r>
        <w:fldChar w:fldCharType="separate"/>
      </w:r>
      <w:r>
        <w:t>196</w:t>
      </w:r>
      <w:r>
        <w:fldChar w:fldCharType="end"/>
      </w:r>
    </w:p>
    <w:p w14:paraId="18163597"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T3.2 Causes of mortality</w:t>
      </w:r>
      <w:r>
        <w:tab/>
      </w:r>
      <w:r>
        <w:fldChar w:fldCharType="begin"/>
      </w:r>
      <w:r>
        <w:instrText xml:space="preserve"> PAGEREF _Toc495310703 \h </w:instrText>
      </w:r>
      <w:r>
        <w:fldChar w:fldCharType="separate"/>
      </w:r>
      <w:r>
        <w:t>196</w:t>
      </w:r>
      <w:r>
        <w:fldChar w:fldCharType="end"/>
      </w:r>
    </w:p>
    <w:p w14:paraId="2712A166"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T3.3 Musculoskeletal disorders</w:t>
      </w:r>
      <w:r>
        <w:tab/>
      </w:r>
      <w:r>
        <w:fldChar w:fldCharType="begin"/>
      </w:r>
      <w:r>
        <w:instrText xml:space="preserve"> PAGEREF _Toc495310704 \h </w:instrText>
      </w:r>
      <w:r>
        <w:fldChar w:fldCharType="separate"/>
      </w:r>
      <w:r>
        <w:t>196</w:t>
      </w:r>
      <w:r>
        <w:fldChar w:fldCharType="end"/>
      </w:r>
    </w:p>
    <w:p w14:paraId="10C67ABC"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T3.4 Injurious (severe) feather pecking</w:t>
      </w:r>
      <w:r>
        <w:tab/>
      </w:r>
      <w:r>
        <w:fldChar w:fldCharType="begin"/>
      </w:r>
      <w:r>
        <w:instrText xml:space="preserve"> PAGEREF _Toc495310705 \h </w:instrText>
      </w:r>
      <w:r>
        <w:fldChar w:fldCharType="separate"/>
      </w:r>
      <w:r>
        <w:t>197</w:t>
      </w:r>
      <w:r>
        <w:fldChar w:fldCharType="end"/>
      </w:r>
    </w:p>
    <w:p w14:paraId="295F2603"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T3.5 Aggression</w:t>
      </w:r>
      <w:r>
        <w:tab/>
      </w:r>
      <w:r>
        <w:fldChar w:fldCharType="begin"/>
      </w:r>
      <w:r>
        <w:instrText xml:space="preserve"> PAGEREF _Toc495310706 \h </w:instrText>
      </w:r>
      <w:r>
        <w:fldChar w:fldCharType="separate"/>
      </w:r>
      <w:r>
        <w:t>198</w:t>
      </w:r>
      <w:r>
        <w:fldChar w:fldCharType="end"/>
      </w:r>
    </w:p>
    <w:p w14:paraId="4241FEE8"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T3.6 Breast blisters and breast buttons</w:t>
      </w:r>
      <w:r>
        <w:tab/>
      </w:r>
      <w:r>
        <w:fldChar w:fldCharType="begin"/>
      </w:r>
      <w:r>
        <w:instrText xml:space="preserve"> PAGEREF _Toc495310707 \h </w:instrText>
      </w:r>
      <w:r>
        <w:fldChar w:fldCharType="separate"/>
      </w:r>
      <w:r>
        <w:t>198</w:t>
      </w:r>
      <w:r>
        <w:fldChar w:fldCharType="end"/>
      </w:r>
    </w:p>
    <w:p w14:paraId="78DCDE7F" w14:textId="77777777" w:rsidR="0082578C" w:rsidRDefault="0082578C">
      <w:pPr>
        <w:pStyle w:val="TOC3"/>
        <w:rPr>
          <w:rFonts w:asciiTheme="minorHAnsi" w:eastAsiaTheme="minorEastAsia" w:hAnsiTheme="minorHAnsi"/>
          <w:sz w:val="22"/>
          <w:szCs w:val="22"/>
          <w:lang w:val="en-AU" w:eastAsia="en-AU"/>
        </w:rPr>
      </w:pPr>
      <w:r>
        <w:t>T3.7 Foot pad dermatitis</w:t>
      </w:r>
      <w:r>
        <w:tab/>
      </w:r>
      <w:r>
        <w:fldChar w:fldCharType="begin"/>
      </w:r>
      <w:r>
        <w:instrText xml:space="preserve"> PAGEREF _Toc495310708 \h </w:instrText>
      </w:r>
      <w:r>
        <w:fldChar w:fldCharType="separate"/>
      </w:r>
      <w:r>
        <w:t>198</w:t>
      </w:r>
      <w:r>
        <w:fldChar w:fldCharType="end"/>
      </w:r>
    </w:p>
    <w:p w14:paraId="4C50B4A2"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T3.8 Cellulitis/clostridial dermatitis</w:t>
      </w:r>
      <w:r>
        <w:tab/>
      </w:r>
      <w:r>
        <w:fldChar w:fldCharType="begin"/>
      </w:r>
      <w:r>
        <w:instrText xml:space="preserve"> PAGEREF _Toc495310709 \h </w:instrText>
      </w:r>
      <w:r>
        <w:fldChar w:fldCharType="separate"/>
      </w:r>
      <w:r>
        <w:t>200</w:t>
      </w:r>
      <w:r>
        <w:fldChar w:fldCharType="end"/>
      </w:r>
    </w:p>
    <w:p w14:paraId="4F2E867D"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T3.9 Eye abnormalities</w:t>
      </w:r>
      <w:r>
        <w:tab/>
      </w:r>
      <w:r>
        <w:fldChar w:fldCharType="begin"/>
      </w:r>
      <w:r>
        <w:instrText xml:space="preserve"> PAGEREF _Toc495310710 \h </w:instrText>
      </w:r>
      <w:r>
        <w:fldChar w:fldCharType="separate"/>
      </w:r>
      <w:r>
        <w:t>200</w:t>
      </w:r>
      <w:r>
        <w:fldChar w:fldCharType="end"/>
      </w:r>
    </w:p>
    <w:p w14:paraId="46EA48DE"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T3.10 Parasitic infections</w:t>
      </w:r>
      <w:r>
        <w:tab/>
      </w:r>
      <w:r>
        <w:fldChar w:fldCharType="begin"/>
      </w:r>
      <w:r>
        <w:instrText xml:space="preserve"> PAGEREF _Toc495310711 \h </w:instrText>
      </w:r>
      <w:r>
        <w:fldChar w:fldCharType="separate"/>
      </w:r>
      <w:r>
        <w:t>200</w:t>
      </w:r>
      <w:r>
        <w:fldChar w:fldCharType="end"/>
      </w:r>
    </w:p>
    <w:p w14:paraId="24FA5639"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T3.11 Infectious diseases</w:t>
      </w:r>
      <w:r>
        <w:tab/>
      </w:r>
      <w:r>
        <w:fldChar w:fldCharType="begin"/>
      </w:r>
      <w:r>
        <w:instrText xml:space="preserve"> PAGEREF _Toc495310712 \h </w:instrText>
      </w:r>
      <w:r>
        <w:fldChar w:fldCharType="separate"/>
      </w:r>
      <w:r>
        <w:t>201</w:t>
      </w:r>
      <w:r>
        <w:fldChar w:fldCharType="end"/>
      </w:r>
    </w:p>
    <w:p w14:paraId="32CA9FED"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T4. Facilities and Equipment: Behavioural Needs</w:t>
      </w:r>
      <w:r>
        <w:tab/>
      </w:r>
      <w:r>
        <w:fldChar w:fldCharType="begin"/>
      </w:r>
      <w:r>
        <w:instrText xml:space="preserve"> PAGEREF _Toc495310713 \h </w:instrText>
      </w:r>
      <w:r>
        <w:fldChar w:fldCharType="separate"/>
      </w:r>
      <w:r>
        <w:t>201</w:t>
      </w:r>
      <w:r>
        <w:fldChar w:fldCharType="end"/>
      </w:r>
    </w:p>
    <w:p w14:paraId="22660B0F"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T4.1 Behavioural need for a nest</w:t>
      </w:r>
      <w:r>
        <w:tab/>
      </w:r>
      <w:r>
        <w:fldChar w:fldCharType="begin"/>
      </w:r>
      <w:r>
        <w:instrText xml:space="preserve"> PAGEREF _Toc495310714 \h </w:instrText>
      </w:r>
      <w:r>
        <w:fldChar w:fldCharType="separate"/>
      </w:r>
      <w:r>
        <w:t>201</w:t>
      </w:r>
      <w:r>
        <w:fldChar w:fldCharType="end"/>
      </w:r>
    </w:p>
    <w:p w14:paraId="3FC30E9F"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T4.2 Behavioural need to perch</w:t>
      </w:r>
      <w:r>
        <w:tab/>
      </w:r>
      <w:r>
        <w:fldChar w:fldCharType="begin"/>
      </w:r>
      <w:r>
        <w:instrText xml:space="preserve"> PAGEREF _Toc495310715 \h </w:instrText>
      </w:r>
      <w:r>
        <w:fldChar w:fldCharType="separate"/>
      </w:r>
      <w:r>
        <w:t>201</w:t>
      </w:r>
      <w:r>
        <w:fldChar w:fldCharType="end"/>
      </w:r>
    </w:p>
    <w:p w14:paraId="3914D13D"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T4.3 Behavioural need to forage</w:t>
      </w:r>
      <w:r>
        <w:tab/>
      </w:r>
      <w:r>
        <w:fldChar w:fldCharType="begin"/>
      </w:r>
      <w:r>
        <w:instrText xml:space="preserve"> PAGEREF _Toc495310716 \h </w:instrText>
      </w:r>
      <w:r>
        <w:fldChar w:fldCharType="separate"/>
      </w:r>
      <w:r>
        <w:t>202</w:t>
      </w:r>
      <w:r>
        <w:fldChar w:fldCharType="end"/>
      </w:r>
    </w:p>
    <w:p w14:paraId="6EABE514"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T4.4 Behavioural need to dust-bathe</w:t>
      </w:r>
      <w:r>
        <w:tab/>
      </w:r>
      <w:r>
        <w:fldChar w:fldCharType="begin"/>
      </w:r>
      <w:r>
        <w:instrText xml:space="preserve"> PAGEREF _Toc495310717 \h </w:instrText>
      </w:r>
      <w:r>
        <w:fldChar w:fldCharType="separate"/>
      </w:r>
      <w:r>
        <w:t>202</w:t>
      </w:r>
      <w:r>
        <w:fldChar w:fldCharType="end"/>
      </w:r>
    </w:p>
    <w:p w14:paraId="53801AE3"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T4.5 Social behaviour</w:t>
      </w:r>
      <w:r>
        <w:tab/>
      </w:r>
      <w:r>
        <w:fldChar w:fldCharType="begin"/>
      </w:r>
      <w:r>
        <w:instrText xml:space="preserve"> PAGEREF _Toc495310718 \h </w:instrText>
      </w:r>
      <w:r>
        <w:fldChar w:fldCharType="separate"/>
      </w:r>
      <w:r>
        <w:t>202</w:t>
      </w:r>
      <w:r>
        <w:fldChar w:fldCharType="end"/>
      </w:r>
    </w:p>
    <w:p w14:paraId="74946295"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T5. Facilities and Equipment: Behavioural Usage</w:t>
      </w:r>
      <w:r>
        <w:tab/>
      </w:r>
      <w:r>
        <w:fldChar w:fldCharType="begin"/>
      </w:r>
      <w:r>
        <w:instrText xml:space="preserve"> PAGEREF _Toc495310719 \h </w:instrText>
      </w:r>
      <w:r>
        <w:fldChar w:fldCharType="separate"/>
      </w:r>
      <w:r>
        <w:t>202</w:t>
      </w:r>
      <w:r>
        <w:fldChar w:fldCharType="end"/>
      </w:r>
    </w:p>
    <w:p w14:paraId="7B96F273"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T5.1 Indoor systems</w:t>
      </w:r>
      <w:r>
        <w:tab/>
      </w:r>
      <w:r>
        <w:fldChar w:fldCharType="begin"/>
      </w:r>
      <w:r>
        <w:instrText xml:space="preserve"> PAGEREF _Toc495310720 \h </w:instrText>
      </w:r>
      <w:r>
        <w:fldChar w:fldCharType="separate"/>
      </w:r>
      <w:r>
        <w:t>203</w:t>
      </w:r>
      <w:r>
        <w:fldChar w:fldCharType="end"/>
      </w:r>
    </w:p>
    <w:p w14:paraId="68E01D96"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T5.2 Free-range systems</w:t>
      </w:r>
      <w:r>
        <w:tab/>
      </w:r>
      <w:r>
        <w:fldChar w:fldCharType="begin"/>
      </w:r>
      <w:r>
        <w:instrText xml:space="preserve"> PAGEREF _Toc495310721 \h </w:instrText>
      </w:r>
      <w:r>
        <w:fldChar w:fldCharType="separate"/>
      </w:r>
      <w:r>
        <w:t>204</w:t>
      </w:r>
      <w:r>
        <w:fldChar w:fldCharType="end"/>
      </w:r>
    </w:p>
    <w:p w14:paraId="78DBEE69"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T6. Fear and Distress</w:t>
      </w:r>
      <w:r>
        <w:tab/>
      </w:r>
      <w:r>
        <w:fldChar w:fldCharType="begin"/>
      </w:r>
      <w:r>
        <w:instrText xml:space="preserve"> PAGEREF _Toc495310722 \h </w:instrText>
      </w:r>
      <w:r>
        <w:fldChar w:fldCharType="separate"/>
      </w:r>
      <w:r>
        <w:t>204</w:t>
      </w:r>
      <w:r>
        <w:fldChar w:fldCharType="end"/>
      </w:r>
    </w:p>
    <w:p w14:paraId="28563A11"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T6.1 Stress</w:t>
      </w:r>
      <w:r>
        <w:tab/>
      </w:r>
      <w:r>
        <w:fldChar w:fldCharType="begin"/>
      </w:r>
      <w:r>
        <w:instrText xml:space="preserve"> PAGEREF _Toc495310723 \h </w:instrText>
      </w:r>
      <w:r>
        <w:fldChar w:fldCharType="separate"/>
      </w:r>
      <w:r>
        <w:t>204</w:t>
      </w:r>
      <w:r>
        <w:fldChar w:fldCharType="end"/>
      </w:r>
    </w:p>
    <w:p w14:paraId="0EFE64D6"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T6.2 Fear</w:t>
      </w:r>
      <w:r>
        <w:tab/>
      </w:r>
      <w:r>
        <w:fldChar w:fldCharType="begin"/>
      </w:r>
      <w:r>
        <w:instrText xml:space="preserve"> PAGEREF _Toc495310724 \h </w:instrText>
      </w:r>
      <w:r>
        <w:fldChar w:fldCharType="separate"/>
      </w:r>
      <w:r>
        <w:t>204</w:t>
      </w:r>
      <w:r>
        <w:fldChar w:fldCharType="end"/>
      </w:r>
    </w:p>
    <w:p w14:paraId="506F243B"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T7. Sensory Environment</w:t>
      </w:r>
      <w:r>
        <w:tab/>
      </w:r>
      <w:r>
        <w:fldChar w:fldCharType="begin"/>
      </w:r>
      <w:r>
        <w:instrText xml:space="preserve"> PAGEREF _Toc495310725 \h </w:instrText>
      </w:r>
      <w:r>
        <w:fldChar w:fldCharType="separate"/>
      </w:r>
      <w:r>
        <w:t>205</w:t>
      </w:r>
      <w:r>
        <w:fldChar w:fldCharType="end"/>
      </w:r>
    </w:p>
    <w:p w14:paraId="52CDD801"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T7.1 Light and vision</w:t>
      </w:r>
      <w:r>
        <w:tab/>
      </w:r>
      <w:r>
        <w:fldChar w:fldCharType="begin"/>
      </w:r>
      <w:r>
        <w:instrText xml:space="preserve"> PAGEREF _Toc495310726 \h </w:instrText>
      </w:r>
      <w:r>
        <w:fldChar w:fldCharType="separate"/>
      </w:r>
      <w:r>
        <w:t>205</w:t>
      </w:r>
      <w:r>
        <w:fldChar w:fldCharType="end"/>
      </w:r>
    </w:p>
    <w:p w14:paraId="3DE47FC5"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T7.2 Sound, noise and hearing</w:t>
      </w:r>
      <w:r>
        <w:tab/>
      </w:r>
      <w:r>
        <w:fldChar w:fldCharType="begin"/>
      </w:r>
      <w:r>
        <w:instrText xml:space="preserve"> PAGEREF _Toc495310727 \h </w:instrText>
      </w:r>
      <w:r>
        <w:fldChar w:fldCharType="separate"/>
      </w:r>
      <w:r>
        <w:t>205</w:t>
      </w:r>
      <w:r>
        <w:fldChar w:fldCharType="end"/>
      </w:r>
    </w:p>
    <w:p w14:paraId="02068781"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T7.3 Thermal comfort</w:t>
      </w:r>
      <w:r>
        <w:tab/>
      </w:r>
      <w:r>
        <w:fldChar w:fldCharType="begin"/>
      </w:r>
      <w:r>
        <w:instrText xml:space="preserve"> PAGEREF _Toc495310728 \h </w:instrText>
      </w:r>
      <w:r>
        <w:fldChar w:fldCharType="separate"/>
      </w:r>
      <w:r>
        <w:t>205</w:t>
      </w:r>
      <w:r>
        <w:fldChar w:fldCharType="end"/>
      </w:r>
    </w:p>
    <w:p w14:paraId="4F8918A9"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T8. Management and Handling</w:t>
      </w:r>
      <w:r>
        <w:tab/>
      </w:r>
      <w:r>
        <w:fldChar w:fldCharType="begin"/>
      </w:r>
      <w:r>
        <w:instrText xml:space="preserve"> PAGEREF _Toc495310729 \h </w:instrText>
      </w:r>
      <w:r>
        <w:fldChar w:fldCharType="separate"/>
      </w:r>
      <w:r>
        <w:t>206</w:t>
      </w:r>
      <w:r>
        <w:fldChar w:fldCharType="end"/>
      </w:r>
    </w:p>
    <w:p w14:paraId="5983D919"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T8.1 Stocking density and group size</w:t>
      </w:r>
      <w:r>
        <w:tab/>
      </w:r>
      <w:r>
        <w:fldChar w:fldCharType="begin"/>
      </w:r>
      <w:r>
        <w:instrText xml:space="preserve"> PAGEREF _Toc495310730 \h </w:instrText>
      </w:r>
      <w:r>
        <w:fldChar w:fldCharType="separate"/>
      </w:r>
      <w:r>
        <w:t>206</w:t>
      </w:r>
      <w:r>
        <w:fldChar w:fldCharType="end"/>
      </w:r>
    </w:p>
    <w:p w14:paraId="322C6C6C"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T8.2 Procedures</w:t>
      </w:r>
      <w:r>
        <w:tab/>
      </w:r>
      <w:r>
        <w:fldChar w:fldCharType="begin"/>
      </w:r>
      <w:r>
        <w:instrText xml:space="preserve"> PAGEREF _Toc495310731 \h </w:instrText>
      </w:r>
      <w:r>
        <w:fldChar w:fldCharType="separate"/>
      </w:r>
      <w:r>
        <w:t>206</w:t>
      </w:r>
      <w:r>
        <w:fldChar w:fldCharType="end"/>
      </w:r>
    </w:p>
    <w:p w14:paraId="6D484AFE"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T9. Welfare Considerations: Overview</w:t>
      </w:r>
      <w:r>
        <w:tab/>
      </w:r>
      <w:r>
        <w:fldChar w:fldCharType="begin"/>
      </w:r>
      <w:r>
        <w:instrText xml:space="preserve"> PAGEREF _Toc495310732 \h </w:instrText>
      </w:r>
      <w:r>
        <w:fldChar w:fldCharType="separate"/>
      </w:r>
      <w:r>
        <w:t>208</w:t>
      </w:r>
      <w:r>
        <w:fldChar w:fldCharType="end"/>
      </w:r>
    </w:p>
    <w:p w14:paraId="0971D15C" w14:textId="77777777" w:rsidR="0082578C" w:rsidRDefault="0082578C">
      <w:pPr>
        <w:pStyle w:val="TOC2"/>
        <w:rPr>
          <w:rFonts w:asciiTheme="minorHAnsi" w:eastAsiaTheme="minorEastAsia" w:hAnsiTheme="minorHAnsi"/>
          <w:sz w:val="22"/>
          <w:szCs w:val="22"/>
          <w:lang w:val="en-AU" w:eastAsia="en-AU"/>
        </w:rPr>
      </w:pPr>
      <w:r w:rsidRPr="00382FE9">
        <w:rPr>
          <w:shd w:val="clear" w:color="auto" w:fill="FFFFFF"/>
          <w:lang w:val="en-AU" w:eastAsia="en-AU"/>
        </w:rPr>
        <w:t>T10. References</w:t>
      </w:r>
      <w:r>
        <w:tab/>
      </w:r>
      <w:r>
        <w:fldChar w:fldCharType="begin"/>
      </w:r>
      <w:r>
        <w:instrText xml:space="preserve"> PAGEREF _Toc495310733 \h </w:instrText>
      </w:r>
      <w:r>
        <w:fldChar w:fldCharType="separate"/>
      </w:r>
      <w:r>
        <w:t>209</w:t>
      </w:r>
      <w:r>
        <w:fldChar w:fldCharType="end"/>
      </w:r>
    </w:p>
    <w:p w14:paraId="6E797D3A" w14:textId="77777777" w:rsidR="0082578C" w:rsidRDefault="0082578C">
      <w:pPr>
        <w:pStyle w:val="TOC1"/>
        <w:rPr>
          <w:rFonts w:asciiTheme="minorHAnsi" w:eastAsiaTheme="minorEastAsia" w:hAnsiTheme="minorHAnsi"/>
          <w:b w:val="0"/>
          <w:sz w:val="22"/>
          <w:szCs w:val="22"/>
          <w:lang w:val="en-AU" w:eastAsia="en-AU"/>
        </w:rPr>
      </w:pPr>
      <w:r w:rsidRPr="00382FE9">
        <w:rPr>
          <w:lang w:val="en-AU" w:eastAsia="en-AU"/>
        </w:rPr>
        <w:t>Guinea Fowl</w:t>
      </w:r>
      <w:r>
        <w:tab/>
      </w:r>
      <w:r>
        <w:fldChar w:fldCharType="begin"/>
      </w:r>
      <w:r>
        <w:instrText xml:space="preserve"> PAGEREF _Toc495310734 \h </w:instrText>
      </w:r>
      <w:r>
        <w:fldChar w:fldCharType="separate"/>
      </w:r>
      <w:r>
        <w:t>215</w:t>
      </w:r>
      <w:r>
        <w:fldChar w:fldCharType="end"/>
      </w:r>
    </w:p>
    <w:p w14:paraId="45C60CDC"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GF1. Introduction</w:t>
      </w:r>
      <w:r>
        <w:tab/>
      </w:r>
      <w:r>
        <w:fldChar w:fldCharType="begin"/>
      </w:r>
      <w:r>
        <w:instrText xml:space="preserve"> PAGEREF _Toc495310735 \h </w:instrText>
      </w:r>
      <w:r>
        <w:fldChar w:fldCharType="separate"/>
      </w:r>
      <w:r>
        <w:t>215</w:t>
      </w:r>
      <w:r>
        <w:fldChar w:fldCharType="end"/>
      </w:r>
    </w:p>
    <w:p w14:paraId="59E83840"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GF1.1 Life history</w:t>
      </w:r>
      <w:r>
        <w:tab/>
      </w:r>
      <w:r>
        <w:fldChar w:fldCharType="begin"/>
      </w:r>
      <w:r>
        <w:instrText xml:space="preserve"> PAGEREF _Toc495310736 \h </w:instrText>
      </w:r>
      <w:r>
        <w:fldChar w:fldCharType="separate"/>
      </w:r>
      <w:r>
        <w:t>215</w:t>
      </w:r>
      <w:r>
        <w:fldChar w:fldCharType="end"/>
      </w:r>
    </w:p>
    <w:p w14:paraId="3CC2D168"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GF2. Management and Handling</w:t>
      </w:r>
      <w:r>
        <w:tab/>
      </w:r>
      <w:r>
        <w:fldChar w:fldCharType="begin"/>
      </w:r>
      <w:r>
        <w:instrText xml:space="preserve"> PAGEREF _Toc495310737 \h </w:instrText>
      </w:r>
      <w:r>
        <w:fldChar w:fldCharType="separate"/>
      </w:r>
      <w:r>
        <w:t>215</w:t>
      </w:r>
      <w:r>
        <w:fldChar w:fldCharType="end"/>
      </w:r>
    </w:p>
    <w:p w14:paraId="18E85AAD"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GF2.1 Stocking density and group size</w:t>
      </w:r>
      <w:r>
        <w:tab/>
      </w:r>
      <w:r>
        <w:fldChar w:fldCharType="begin"/>
      </w:r>
      <w:r>
        <w:instrText xml:space="preserve"> PAGEREF _Toc495310738 \h </w:instrText>
      </w:r>
      <w:r>
        <w:fldChar w:fldCharType="separate"/>
      </w:r>
      <w:r>
        <w:t>215</w:t>
      </w:r>
      <w:r>
        <w:fldChar w:fldCharType="end"/>
      </w:r>
    </w:p>
    <w:p w14:paraId="24EB54CC"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GF3. Welfare Considerations: Overview</w:t>
      </w:r>
      <w:r>
        <w:tab/>
      </w:r>
      <w:r>
        <w:fldChar w:fldCharType="begin"/>
      </w:r>
      <w:r>
        <w:instrText xml:space="preserve"> PAGEREF _Toc495310739 \h </w:instrText>
      </w:r>
      <w:r>
        <w:fldChar w:fldCharType="separate"/>
      </w:r>
      <w:r>
        <w:t>216</w:t>
      </w:r>
      <w:r>
        <w:fldChar w:fldCharType="end"/>
      </w:r>
    </w:p>
    <w:p w14:paraId="7320E78E"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GF4. References</w:t>
      </w:r>
      <w:r>
        <w:tab/>
      </w:r>
      <w:r>
        <w:fldChar w:fldCharType="begin"/>
      </w:r>
      <w:r>
        <w:instrText xml:space="preserve"> PAGEREF _Toc495310740 \h </w:instrText>
      </w:r>
      <w:r>
        <w:fldChar w:fldCharType="separate"/>
      </w:r>
      <w:r>
        <w:t>216</w:t>
      </w:r>
      <w:r>
        <w:fldChar w:fldCharType="end"/>
      </w:r>
    </w:p>
    <w:p w14:paraId="50601D6F" w14:textId="77777777" w:rsidR="0082578C" w:rsidRDefault="0082578C">
      <w:pPr>
        <w:pStyle w:val="TOC1"/>
        <w:rPr>
          <w:rFonts w:asciiTheme="minorHAnsi" w:eastAsiaTheme="minorEastAsia" w:hAnsiTheme="minorHAnsi"/>
          <w:b w:val="0"/>
          <w:sz w:val="22"/>
          <w:szCs w:val="22"/>
          <w:lang w:val="en-AU" w:eastAsia="en-AU"/>
        </w:rPr>
      </w:pPr>
      <w:r w:rsidRPr="00382FE9">
        <w:rPr>
          <w:lang w:val="en-AU" w:eastAsia="en-AU"/>
        </w:rPr>
        <w:t>Pheasants</w:t>
      </w:r>
      <w:r>
        <w:tab/>
      </w:r>
      <w:r>
        <w:fldChar w:fldCharType="begin"/>
      </w:r>
      <w:r>
        <w:instrText xml:space="preserve"> PAGEREF _Toc495310741 \h </w:instrText>
      </w:r>
      <w:r>
        <w:fldChar w:fldCharType="separate"/>
      </w:r>
      <w:r>
        <w:t>217</w:t>
      </w:r>
      <w:r>
        <w:fldChar w:fldCharType="end"/>
      </w:r>
    </w:p>
    <w:p w14:paraId="12560611"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PHS1. Introduction</w:t>
      </w:r>
      <w:r>
        <w:tab/>
      </w:r>
      <w:r>
        <w:fldChar w:fldCharType="begin"/>
      </w:r>
      <w:r>
        <w:instrText xml:space="preserve"> PAGEREF _Toc495310742 \h </w:instrText>
      </w:r>
      <w:r>
        <w:fldChar w:fldCharType="separate"/>
      </w:r>
      <w:r>
        <w:t>217</w:t>
      </w:r>
      <w:r>
        <w:fldChar w:fldCharType="end"/>
      </w:r>
    </w:p>
    <w:p w14:paraId="09336C62"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PHS1.1 Life history</w:t>
      </w:r>
      <w:r>
        <w:tab/>
      </w:r>
      <w:r>
        <w:fldChar w:fldCharType="begin"/>
      </w:r>
      <w:r>
        <w:instrText xml:space="preserve"> PAGEREF _Toc495310743 \h </w:instrText>
      </w:r>
      <w:r>
        <w:fldChar w:fldCharType="separate"/>
      </w:r>
      <w:r>
        <w:t>217</w:t>
      </w:r>
      <w:r>
        <w:fldChar w:fldCharType="end"/>
      </w:r>
    </w:p>
    <w:p w14:paraId="14D1938B"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PHS1.2 Farming and rearing</w:t>
      </w:r>
      <w:r>
        <w:tab/>
      </w:r>
      <w:r>
        <w:fldChar w:fldCharType="begin"/>
      </w:r>
      <w:r>
        <w:instrText xml:space="preserve"> PAGEREF _Toc495310744 \h </w:instrText>
      </w:r>
      <w:r>
        <w:fldChar w:fldCharType="separate"/>
      </w:r>
      <w:r>
        <w:t>217</w:t>
      </w:r>
      <w:r>
        <w:fldChar w:fldCharType="end"/>
      </w:r>
    </w:p>
    <w:p w14:paraId="4715E7DB"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PHS2. Feed and Water</w:t>
      </w:r>
      <w:r>
        <w:tab/>
      </w:r>
      <w:r>
        <w:fldChar w:fldCharType="begin"/>
      </w:r>
      <w:r>
        <w:instrText xml:space="preserve"> PAGEREF _Toc495310745 \h </w:instrText>
      </w:r>
      <w:r>
        <w:fldChar w:fldCharType="separate"/>
      </w:r>
      <w:r>
        <w:t>217</w:t>
      </w:r>
      <w:r>
        <w:fldChar w:fldCharType="end"/>
      </w:r>
    </w:p>
    <w:p w14:paraId="2E6C846B"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PHS2.1 Feeding and release</w:t>
      </w:r>
      <w:r>
        <w:tab/>
      </w:r>
      <w:r>
        <w:fldChar w:fldCharType="begin"/>
      </w:r>
      <w:r>
        <w:instrText xml:space="preserve"> PAGEREF _Toc495310746 \h </w:instrText>
      </w:r>
      <w:r>
        <w:fldChar w:fldCharType="separate"/>
      </w:r>
      <w:r>
        <w:t>217</w:t>
      </w:r>
      <w:r>
        <w:fldChar w:fldCharType="end"/>
      </w:r>
    </w:p>
    <w:p w14:paraId="1420B7C5"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PHS2.2 Relationships with injurious pecking</w:t>
      </w:r>
      <w:r>
        <w:tab/>
      </w:r>
      <w:r>
        <w:fldChar w:fldCharType="begin"/>
      </w:r>
      <w:r>
        <w:instrText xml:space="preserve"> PAGEREF _Toc495310747 \h </w:instrText>
      </w:r>
      <w:r>
        <w:fldChar w:fldCharType="separate"/>
      </w:r>
      <w:r>
        <w:t>218</w:t>
      </w:r>
      <w:r>
        <w:fldChar w:fldCharType="end"/>
      </w:r>
    </w:p>
    <w:p w14:paraId="4636AB33"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PHS3. Facilities and Equipment: Behavioural Needs</w:t>
      </w:r>
      <w:r>
        <w:tab/>
      </w:r>
      <w:r>
        <w:fldChar w:fldCharType="begin"/>
      </w:r>
      <w:r>
        <w:instrText xml:space="preserve"> PAGEREF _Toc495310748 \h </w:instrText>
      </w:r>
      <w:r>
        <w:fldChar w:fldCharType="separate"/>
      </w:r>
      <w:r>
        <w:t>218</w:t>
      </w:r>
      <w:r>
        <w:fldChar w:fldCharType="end"/>
      </w:r>
    </w:p>
    <w:p w14:paraId="3A52AAEE"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PHS3.1 Perching</w:t>
      </w:r>
      <w:r>
        <w:tab/>
      </w:r>
      <w:r>
        <w:fldChar w:fldCharType="begin"/>
      </w:r>
      <w:r>
        <w:instrText xml:space="preserve"> PAGEREF _Toc495310749 \h </w:instrText>
      </w:r>
      <w:r>
        <w:fldChar w:fldCharType="separate"/>
      </w:r>
      <w:r>
        <w:t>218</w:t>
      </w:r>
      <w:r>
        <w:fldChar w:fldCharType="end"/>
      </w:r>
    </w:p>
    <w:p w14:paraId="1074396A"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PHS4. Facilities and Equipment: Behavioural Usage</w:t>
      </w:r>
      <w:r>
        <w:tab/>
      </w:r>
      <w:r>
        <w:fldChar w:fldCharType="begin"/>
      </w:r>
      <w:r>
        <w:instrText xml:space="preserve"> PAGEREF _Toc495310750 \h </w:instrText>
      </w:r>
      <w:r>
        <w:fldChar w:fldCharType="separate"/>
      </w:r>
      <w:r>
        <w:t>218</w:t>
      </w:r>
      <w:r>
        <w:fldChar w:fldCharType="end"/>
      </w:r>
    </w:p>
    <w:p w14:paraId="55CB5FE3"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PHS4.1 Housing systems</w:t>
      </w:r>
      <w:r>
        <w:tab/>
      </w:r>
      <w:r>
        <w:fldChar w:fldCharType="begin"/>
      </w:r>
      <w:r>
        <w:instrText xml:space="preserve"> PAGEREF _Toc495310751 \h </w:instrText>
      </w:r>
      <w:r>
        <w:fldChar w:fldCharType="separate"/>
      </w:r>
      <w:r>
        <w:t>218</w:t>
      </w:r>
      <w:r>
        <w:fldChar w:fldCharType="end"/>
      </w:r>
    </w:p>
    <w:p w14:paraId="762A7322"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PHS5. Management and Handling</w:t>
      </w:r>
      <w:r>
        <w:tab/>
      </w:r>
      <w:r>
        <w:fldChar w:fldCharType="begin"/>
      </w:r>
      <w:r>
        <w:instrText xml:space="preserve"> PAGEREF _Toc495310752 \h </w:instrText>
      </w:r>
      <w:r>
        <w:fldChar w:fldCharType="separate"/>
      </w:r>
      <w:r>
        <w:t>219</w:t>
      </w:r>
      <w:r>
        <w:fldChar w:fldCharType="end"/>
      </w:r>
    </w:p>
    <w:p w14:paraId="558FE03A"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PHS5.1 Stocking density and group size</w:t>
      </w:r>
      <w:r>
        <w:tab/>
      </w:r>
      <w:r>
        <w:fldChar w:fldCharType="begin"/>
      </w:r>
      <w:r>
        <w:instrText xml:space="preserve"> PAGEREF _Toc495310753 \h </w:instrText>
      </w:r>
      <w:r>
        <w:fldChar w:fldCharType="separate"/>
      </w:r>
      <w:r>
        <w:t>219</w:t>
      </w:r>
      <w:r>
        <w:fldChar w:fldCharType="end"/>
      </w:r>
    </w:p>
    <w:p w14:paraId="0B99FB19"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PHS5.2 Procedures</w:t>
      </w:r>
      <w:r>
        <w:tab/>
      </w:r>
      <w:r>
        <w:fldChar w:fldCharType="begin"/>
      </w:r>
      <w:r>
        <w:instrText xml:space="preserve"> PAGEREF _Toc495310754 \h </w:instrText>
      </w:r>
      <w:r>
        <w:fldChar w:fldCharType="separate"/>
      </w:r>
      <w:r>
        <w:t>219</w:t>
      </w:r>
      <w:r>
        <w:fldChar w:fldCharType="end"/>
      </w:r>
    </w:p>
    <w:p w14:paraId="2D42A262"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PHS6. Welfare Considerations: Overview</w:t>
      </w:r>
      <w:r>
        <w:tab/>
      </w:r>
      <w:r>
        <w:fldChar w:fldCharType="begin"/>
      </w:r>
      <w:r>
        <w:instrText xml:space="preserve"> PAGEREF _Toc495310755 \h </w:instrText>
      </w:r>
      <w:r>
        <w:fldChar w:fldCharType="separate"/>
      </w:r>
      <w:r>
        <w:t>221</w:t>
      </w:r>
      <w:r>
        <w:fldChar w:fldCharType="end"/>
      </w:r>
    </w:p>
    <w:p w14:paraId="705C5B32"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PHS7. References</w:t>
      </w:r>
      <w:r>
        <w:tab/>
      </w:r>
      <w:r>
        <w:fldChar w:fldCharType="begin"/>
      </w:r>
      <w:r>
        <w:instrText xml:space="preserve"> PAGEREF _Toc495310756 \h </w:instrText>
      </w:r>
      <w:r>
        <w:fldChar w:fldCharType="separate"/>
      </w:r>
      <w:r>
        <w:t>222</w:t>
      </w:r>
      <w:r>
        <w:fldChar w:fldCharType="end"/>
      </w:r>
    </w:p>
    <w:p w14:paraId="222385F3" w14:textId="77777777" w:rsidR="0082578C" w:rsidRDefault="0082578C">
      <w:pPr>
        <w:pStyle w:val="TOC1"/>
        <w:rPr>
          <w:rFonts w:asciiTheme="minorHAnsi" w:eastAsiaTheme="minorEastAsia" w:hAnsiTheme="minorHAnsi"/>
          <w:b w:val="0"/>
          <w:sz w:val="22"/>
          <w:szCs w:val="22"/>
          <w:lang w:val="en-AU" w:eastAsia="en-AU"/>
        </w:rPr>
      </w:pPr>
      <w:r w:rsidRPr="00382FE9">
        <w:rPr>
          <w:lang w:val="en-AU" w:eastAsia="en-AU"/>
        </w:rPr>
        <w:t>Partridges</w:t>
      </w:r>
      <w:r>
        <w:tab/>
      </w:r>
      <w:r>
        <w:fldChar w:fldCharType="begin"/>
      </w:r>
      <w:r>
        <w:instrText xml:space="preserve"> PAGEREF _Toc495310757 \h </w:instrText>
      </w:r>
      <w:r>
        <w:fldChar w:fldCharType="separate"/>
      </w:r>
      <w:r>
        <w:t>223</w:t>
      </w:r>
      <w:r>
        <w:fldChar w:fldCharType="end"/>
      </w:r>
    </w:p>
    <w:p w14:paraId="47D68DA0"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PTR 1. Introduction</w:t>
      </w:r>
      <w:r>
        <w:tab/>
      </w:r>
      <w:r>
        <w:fldChar w:fldCharType="begin"/>
      </w:r>
      <w:r>
        <w:instrText xml:space="preserve"> PAGEREF _Toc495310758 \h </w:instrText>
      </w:r>
      <w:r>
        <w:fldChar w:fldCharType="separate"/>
      </w:r>
      <w:r>
        <w:t>223</w:t>
      </w:r>
      <w:r>
        <w:fldChar w:fldCharType="end"/>
      </w:r>
    </w:p>
    <w:p w14:paraId="0D03FE82"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PTR1.1 Life history</w:t>
      </w:r>
      <w:r>
        <w:tab/>
      </w:r>
      <w:r>
        <w:fldChar w:fldCharType="begin"/>
      </w:r>
      <w:r>
        <w:instrText xml:space="preserve"> PAGEREF _Toc495310759 \h </w:instrText>
      </w:r>
      <w:r>
        <w:fldChar w:fldCharType="separate"/>
      </w:r>
      <w:r>
        <w:t>223</w:t>
      </w:r>
      <w:r>
        <w:fldChar w:fldCharType="end"/>
      </w:r>
    </w:p>
    <w:p w14:paraId="6D476A5C"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PTR1.2 Farming and rearing</w:t>
      </w:r>
      <w:r>
        <w:tab/>
      </w:r>
      <w:r>
        <w:fldChar w:fldCharType="begin"/>
      </w:r>
      <w:r>
        <w:instrText xml:space="preserve"> PAGEREF _Toc495310760 \h </w:instrText>
      </w:r>
      <w:r>
        <w:fldChar w:fldCharType="separate"/>
      </w:r>
      <w:r>
        <w:t>223</w:t>
      </w:r>
      <w:r>
        <w:fldChar w:fldCharType="end"/>
      </w:r>
    </w:p>
    <w:p w14:paraId="67C840E8"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PTR2. Feed and Water</w:t>
      </w:r>
      <w:r>
        <w:tab/>
      </w:r>
      <w:r>
        <w:fldChar w:fldCharType="begin"/>
      </w:r>
      <w:r>
        <w:instrText xml:space="preserve"> PAGEREF _Toc495310761 \h </w:instrText>
      </w:r>
      <w:r>
        <w:fldChar w:fldCharType="separate"/>
      </w:r>
      <w:r>
        <w:t>223</w:t>
      </w:r>
      <w:r>
        <w:fldChar w:fldCharType="end"/>
      </w:r>
    </w:p>
    <w:p w14:paraId="086EFD4B"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PTR2.1 Diet composition</w:t>
      </w:r>
      <w:r>
        <w:tab/>
      </w:r>
      <w:r>
        <w:fldChar w:fldCharType="begin"/>
      </w:r>
      <w:r>
        <w:instrText xml:space="preserve"> PAGEREF _Toc495310762 \h </w:instrText>
      </w:r>
      <w:r>
        <w:fldChar w:fldCharType="separate"/>
      </w:r>
      <w:r>
        <w:t>223</w:t>
      </w:r>
      <w:r>
        <w:fldChar w:fldCharType="end"/>
      </w:r>
    </w:p>
    <w:p w14:paraId="24F7E723"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PTR2.2 Food presentation</w:t>
      </w:r>
      <w:r>
        <w:tab/>
      </w:r>
      <w:r>
        <w:fldChar w:fldCharType="begin"/>
      </w:r>
      <w:r>
        <w:instrText xml:space="preserve"> PAGEREF _Toc495310763 \h </w:instrText>
      </w:r>
      <w:r>
        <w:fldChar w:fldCharType="separate"/>
      </w:r>
      <w:r>
        <w:t>224</w:t>
      </w:r>
      <w:r>
        <w:fldChar w:fldCharType="end"/>
      </w:r>
    </w:p>
    <w:p w14:paraId="556AE8BB"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PTR2.3 Relationship with injurious pecking</w:t>
      </w:r>
      <w:r>
        <w:tab/>
      </w:r>
      <w:r>
        <w:fldChar w:fldCharType="begin"/>
      </w:r>
      <w:r>
        <w:instrText xml:space="preserve"> PAGEREF _Toc495310764 \h </w:instrText>
      </w:r>
      <w:r>
        <w:fldChar w:fldCharType="separate"/>
      </w:r>
      <w:r>
        <w:t>224</w:t>
      </w:r>
      <w:r>
        <w:fldChar w:fldCharType="end"/>
      </w:r>
    </w:p>
    <w:p w14:paraId="016F1E90"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PTR3. Facilities and Equipment: Behavioural Usage</w:t>
      </w:r>
      <w:r>
        <w:tab/>
      </w:r>
      <w:r>
        <w:fldChar w:fldCharType="begin"/>
      </w:r>
      <w:r>
        <w:instrText xml:space="preserve"> PAGEREF _Toc495310765 \h </w:instrText>
      </w:r>
      <w:r>
        <w:fldChar w:fldCharType="separate"/>
      </w:r>
      <w:r>
        <w:t>225</w:t>
      </w:r>
      <w:r>
        <w:fldChar w:fldCharType="end"/>
      </w:r>
    </w:p>
    <w:p w14:paraId="1EF41883"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PTR3.1 Cages</w:t>
      </w:r>
      <w:r>
        <w:tab/>
      </w:r>
      <w:r>
        <w:fldChar w:fldCharType="begin"/>
      </w:r>
      <w:r>
        <w:instrText xml:space="preserve"> PAGEREF _Toc495310766 \h </w:instrText>
      </w:r>
      <w:r>
        <w:fldChar w:fldCharType="separate"/>
      </w:r>
      <w:r>
        <w:t>225</w:t>
      </w:r>
      <w:r>
        <w:fldChar w:fldCharType="end"/>
      </w:r>
    </w:p>
    <w:p w14:paraId="155D14CA"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PTR4. Fear and Distress</w:t>
      </w:r>
      <w:r>
        <w:tab/>
      </w:r>
      <w:r>
        <w:fldChar w:fldCharType="begin"/>
      </w:r>
      <w:r>
        <w:instrText xml:space="preserve"> PAGEREF _Toc495310767 \h </w:instrText>
      </w:r>
      <w:r>
        <w:fldChar w:fldCharType="separate"/>
      </w:r>
      <w:r>
        <w:t>225</w:t>
      </w:r>
      <w:r>
        <w:fldChar w:fldCharType="end"/>
      </w:r>
    </w:p>
    <w:p w14:paraId="2EF33508"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PTR5. Sensory Environment</w:t>
      </w:r>
      <w:r>
        <w:tab/>
      </w:r>
      <w:r>
        <w:fldChar w:fldCharType="begin"/>
      </w:r>
      <w:r>
        <w:instrText xml:space="preserve"> PAGEREF _Toc495310768 \h </w:instrText>
      </w:r>
      <w:r>
        <w:fldChar w:fldCharType="separate"/>
      </w:r>
      <w:r>
        <w:t>225</w:t>
      </w:r>
      <w:r>
        <w:fldChar w:fldCharType="end"/>
      </w:r>
    </w:p>
    <w:p w14:paraId="4346331C"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PTR5.1 Lighting</w:t>
      </w:r>
      <w:r>
        <w:tab/>
      </w:r>
      <w:r>
        <w:fldChar w:fldCharType="begin"/>
      </w:r>
      <w:r>
        <w:instrText xml:space="preserve"> PAGEREF _Toc495310769 \h </w:instrText>
      </w:r>
      <w:r>
        <w:fldChar w:fldCharType="separate"/>
      </w:r>
      <w:r>
        <w:t>225</w:t>
      </w:r>
      <w:r>
        <w:fldChar w:fldCharType="end"/>
      </w:r>
    </w:p>
    <w:p w14:paraId="77238808"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PTR6. Management and Handling</w:t>
      </w:r>
      <w:r>
        <w:tab/>
      </w:r>
      <w:r>
        <w:fldChar w:fldCharType="begin"/>
      </w:r>
      <w:r>
        <w:instrText xml:space="preserve"> PAGEREF _Toc495310770 \h </w:instrText>
      </w:r>
      <w:r>
        <w:fldChar w:fldCharType="separate"/>
      </w:r>
      <w:r>
        <w:t>225</w:t>
      </w:r>
      <w:r>
        <w:fldChar w:fldCharType="end"/>
      </w:r>
    </w:p>
    <w:p w14:paraId="29268EBF"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PTR6.1 Pairing and breeding group management</w:t>
      </w:r>
      <w:r>
        <w:tab/>
      </w:r>
      <w:r>
        <w:fldChar w:fldCharType="begin"/>
      </w:r>
      <w:r>
        <w:instrText xml:space="preserve"> PAGEREF _Toc495310771 \h </w:instrText>
      </w:r>
      <w:r>
        <w:fldChar w:fldCharType="separate"/>
      </w:r>
      <w:r>
        <w:t>225</w:t>
      </w:r>
      <w:r>
        <w:fldChar w:fldCharType="end"/>
      </w:r>
    </w:p>
    <w:p w14:paraId="473F0855"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PTR6.2 Natural and artificial rearing</w:t>
      </w:r>
      <w:r>
        <w:tab/>
      </w:r>
      <w:r>
        <w:fldChar w:fldCharType="begin"/>
      </w:r>
      <w:r>
        <w:instrText xml:space="preserve"> PAGEREF _Toc495310772 \h </w:instrText>
      </w:r>
      <w:r>
        <w:fldChar w:fldCharType="separate"/>
      </w:r>
      <w:r>
        <w:t>226</w:t>
      </w:r>
      <w:r>
        <w:fldChar w:fldCharType="end"/>
      </w:r>
    </w:p>
    <w:p w14:paraId="582F81A4"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PTR6.3 Stocking density and group size</w:t>
      </w:r>
      <w:r>
        <w:tab/>
      </w:r>
      <w:r>
        <w:fldChar w:fldCharType="begin"/>
      </w:r>
      <w:r>
        <w:instrText xml:space="preserve"> PAGEREF _Toc495310773 \h </w:instrText>
      </w:r>
      <w:r>
        <w:fldChar w:fldCharType="separate"/>
      </w:r>
      <w:r>
        <w:t>226</w:t>
      </w:r>
      <w:r>
        <w:fldChar w:fldCharType="end"/>
      </w:r>
    </w:p>
    <w:p w14:paraId="318D4579"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PTR6.4 Procedures</w:t>
      </w:r>
      <w:r>
        <w:tab/>
      </w:r>
      <w:r>
        <w:fldChar w:fldCharType="begin"/>
      </w:r>
      <w:r>
        <w:instrText xml:space="preserve"> PAGEREF _Toc495310774 \h </w:instrText>
      </w:r>
      <w:r>
        <w:fldChar w:fldCharType="separate"/>
      </w:r>
      <w:r>
        <w:t>227</w:t>
      </w:r>
      <w:r>
        <w:fldChar w:fldCharType="end"/>
      </w:r>
    </w:p>
    <w:p w14:paraId="13AF0515"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PTR7. Welfare Considerations: Overview</w:t>
      </w:r>
      <w:r>
        <w:tab/>
      </w:r>
      <w:r>
        <w:fldChar w:fldCharType="begin"/>
      </w:r>
      <w:r>
        <w:instrText xml:space="preserve"> PAGEREF _Toc495310775 \h </w:instrText>
      </w:r>
      <w:r>
        <w:fldChar w:fldCharType="separate"/>
      </w:r>
      <w:r>
        <w:t>227</w:t>
      </w:r>
      <w:r>
        <w:fldChar w:fldCharType="end"/>
      </w:r>
    </w:p>
    <w:p w14:paraId="3C62AD1A"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PTR8. References</w:t>
      </w:r>
      <w:r>
        <w:tab/>
      </w:r>
      <w:r>
        <w:fldChar w:fldCharType="begin"/>
      </w:r>
      <w:r>
        <w:instrText xml:space="preserve"> PAGEREF _Toc495310776 \h </w:instrText>
      </w:r>
      <w:r>
        <w:fldChar w:fldCharType="separate"/>
      </w:r>
      <w:r>
        <w:t>228</w:t>
      </w:r>
      <w:r>
        <w:fldChar w:fldCharType="end"/>
      </w:r>
    </w:p>
    <w:p w14:paraId="30979A4F" w14:textId="77777777" w:rsidR="0082578C" w:rsidRDefault="0082578C">
      <w:pPr>
        <w:pStyle w:val="TOC1"/>
        <w:rPr>
          <w:rFonts w:asciiTheme="minorHAnsi" w:eastAsiaTheme="minorEastAsia" w:hAnsiTheme="minorHAnsi"/>
          <w:b w:val="0"/>
          <w:sz w:val="22"/>
          <w:szCs w:val="22"/>
          <w:lang w:val="en-AU" w:eastAsia="en-AU"/>
        </w:rPr>
      </w:pPr>
      <w:r w:rsidRPr="00382FE9">
        <w:rPr>
          <w:lang w:val="en-AU" w:eastAsia="en-AU"/>
        </w:rPr>
        <w:t>Pigeons</w:t>
      </w:r>
      <w:r>
        <w:tab/>
      </w:r>
      <w:r>
        <w:fldChar w:fldCharType="begin"/>
      </w:r>
      <w:r>
        <w:instrText xml:space="preserve"> PAGEREF _Toc495310777 \h </w:instrText>
      </w:r>
      <w:r>
        <w:fldChar w:fldCharType="separate"/>
      </w:r>
      <w:r>
        <w:t>230</w:t>
      </w:r>
      <w:r>
        <w:fldChar w:fldCharType="end"/>
      </w:r>
    </w:p>
    <w:p w14:paraId="430796B3"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PGN1. Introduction</w:t>
      </w:r>
      <w:r>
        <w:tab/>
      </w:r>
      <w:r>
        <w:fldChar w:fldCharType="begin"/>
      </w:r>
      <w:r>
        <w:instrText xml:space="preserve"> PAGEREF _Toc495310778 \h </w:instrText>
      </w:r>
      <w:r>
        <w:fldChar w:fldCharType="separate"/>
      </w:r>
      <w:r>
        <w:t>230</w:t>
      </w:r>
      <w:r>
        <w:fldChar w:fldCharType="end"/>
      </w:r>
    </w:p>
    <w:p w14:paraId="152D2E3E"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PGN1.1 Life history</w:t>
      </w:r>
      <w:r>
        <w:tab/>
      </w:r>
      <w:r>
        <w:fldChar w:fldCharType="begin"/>
      </w:r>
      <w:r>
        <w:instrText xml:space="preserve"> PAGEREF _Toc495310779 \h </w:instrText>
      </w:r>
      <w:r>
        <w:fldChar w:fldCharType="separate"/>
      </w:r>
      <w:r>
        <w:t>230</w:t>
      </w:r>
      <w:r>
        <w:fldChar w:fldCharType="end"/>
      </w:r>
    </w:p>
    <w:p w14:paraId="0153B281"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PGN1.2 Farming and rearing</w:t>
      </w:r>
      <w:r>
        <w:tab/>
      </w:r>
      <w:r>
        <w:fldChar w:fldCharType="begin"/>
      </w:r>
      <w:r>
        <w:instrText xml:space="preserve"> PAGEREF _Toc495310780 \h </w:instrText>
      </w:r>
      <w:r>
        <w:fldChar w:fldCharType="separate"/>
      </w:r>
      <w:r>
        <w:t>230</w:t>
      </w:r>
      <w:r>
        <w:fldChar w:fldCharType="end"/>
      </w:r>
    </w:p>
    <w:p w14:paraId="02F3B843"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PGN2. Facilities and Equipment: Behavioural Usage</w:t>
      </w:r>
      <w:r>
        <w:tab/>
      </w:r>
      <w:r>
        <w:fldChar w:fldCharType="begin"/>
      </w:r>
      <w:r>
        <w:instrText xml:space="preserve"> PAGEREF _Toc495310781 \h </w:instrText>
      </w:r>
      <w:r>
        <w:fldChar w:fldCharType="separate"/>
      </w:r>
      <w:r>
        <w:t>230</w:t>
      </w:r>
      <w:r>
        <w:fldChar w:fldCharType="end"/>
      </w:r>
    </w:p>
    <w:p w14:paraId="5AF09B0F"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PGN2.1 Enrichment</w:t>
      </w:r>
      <w:r>
        <w:tab/>
      </w:r>
      <w:r>
        <w:fldChar w:fldCharType="begin"/>
      </w:r>
      <w:r>
        <w:instrText xml:space="preserve"> PAGEREF _Toc495310782 \h </w:instrText>
      </w:r>
      <w:r>
        <w:fldChar w:fldCharType="separate"/>
      </w:r>
      <w:r>
        <w:t>230</w:t>
      </w:r>
      <w:r>
        <w:fldChar w:fldCharType="end"/>
      </w:r>
    </w:p>
    <w:p w14:paraId="5B79870B"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PGN3. Welfare Considerations: Overview</w:t>
      </w:r>
      <w:r>
        <w:tab/>
      </w:r>
      <w:r>
        <w:fldChar w:fldCharType="begin"/>
      </w:r>
      <w:r>
        <w:instrText xml:space="preserve"> PAGEREF _Toc495310783 \h </w:instrText>
      </w:r>
      <w:r>
        <w:fldChar w:fldCharType="separate"/>
      </w:r>
      <w:r>
        <w:t>230</w:t>
      </w:r>
      <w:r>
        <w:fldChar w:fldCharType="end"/>
      </w:r>
    </w:p>
    <w:p w14:paraId="603E9480"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PGN4. References</w:t>
      </w:r>
      <w:r>
        <w:tab/>
      </w:r>
      <w:r>
        <w:fldChar w:fldCharType="begin"/>
      </w:r>
      <w:r>
        <w:instrText xml:space="preserve"> PAGEREF _Toc495310784 \h </w:instrText>
      </w:r>
      <w:r>
        <w:fldChar w:fldCharType="separate"/>
      </w:r>
      <w:r>
        <w:t>231</w:t>
      </w:r>
      <w:r>
        <w:fldChar w:fldCharType="end"/>
      </w:r>
    </w:p>
    <w:p w14:paraId="5BD3D4BB" w14:textId="77777777" w:rsidR="0082578C" w:rsidRDefault="0082578C">
      <w:pPr>
        <w:pStyle w:val="TOC1"/>
        <w:rPr>
          <w:rFonts w:asciiTheme="minorHAnsi" w:eastAsiaTheme="minorEastAsia" w:hAnsiTheme="minorHAnsi"/>
          <w:b w:val="0"/>
          <w:sz w:val="22"/>
          <w:szCs w:val="22"/>
          <w:lang w:val="en-AU" w:eastAsia="en-AU"/>
        </w:rPr>
      </w:pPr>
      <w:r w:rsidRPr="00382FE9">
        <w:rPr>
          <w:lang w:val="en-AU" w:eastAsia="en-AU"/>
        </w:rPr>
        <w:t>Quail</w:t>
      </w:r>
      <w:r>
        <w:tab/>
      </w:r>
      <w:r>
        <w:fldChar w:fldCharType="begin"/>
      </w:r>
      <w:r>
        <w:instrText xml:space="preserve"> PAGEREF _Toc495310785 \h </w:instrText>
      </w:r>
      <w:r>
        <w:fldChar w:fldCharType="separate"/>
      </w:r>
      <w:r>
        <w:t>232</w:t>
      </w:r>
      <w:r>
        <w:fldChar w:fldCharType="end"/>
      </w:r>
    </w:p>
    <w:p w14:paraId="6894E8CA"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Q1. Introduction</w:t>
      </w:r>
      <w:r>
        <w:tab/>
      </w:r>
      <w:r>
        <w:fldChar w:fldCharType="begin"/>
      </w:r>
      <w:r>
        <w:instrText xml:space="preserve"> PAGEREF _Toc495310786 \h </w:instrText>
      </w:r>
      <w:r>
        <w:fldChar w:fldCharType="separate"/>
      </w:r>
      <w:r>
        <w:t>232</w:t>
      </w:r>
      <w:r>
        <w:fldChar w:fldCharType="end"/>
      </w:r>
    </w:p>
    <w:p w14:paraId="33B38BF0"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Q1.1 Life history</w:t>
      </w:r>
      <w:r>
        <w:tab/>
      </w:r>
      <w:r>
        <w:fldChar w:fldCharType="begin"/>
      </w:r>
      <w:r>
        <w:instrText xml:space="preserve"> PAGEREF _Toc495310787 \h </w:instrText>
      </w:r>
      <w:r>
        <w:fldChar w:fldCharType="separate"/>
      </w:r>
      <w:r>
        <w:t>232</w:t>
      </w:r>
      <w:r>
        <w:fldChar w:fldCharType="end"/>
      </w:r>
    </w:p>
    <w:p w14:paraId="0A0C4803"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Q2. Risk Management</w:t>
      </w:r>
      <w:r>
        <w:tab/>
      </w:r>
      <w:r>
        <w:fldChar w:fldCharType="begin"/>
      </w:r>
      <w:r>
        <w:instrText xml:space="preserve"> PAGEREF _Toc495310788 \h </w:instrText>
      </w:r>
      <w:r>
        <w:fldChar w:fldCharType="separate"/>
      </w:r>
      <w:r>
        <w:t>232</w:t>
      </w:r>
      <w:r>
        <w:fldChar w:fldCharType="end"/>
      </w:r>
    </w:p>
    <w:p w14:paraId="14335C0E"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Q2.1 Injurious pecking</w:t>
      </w:r>
      <w:r>
        <w:tab/>
      </w:r>
      <w:r>
        <w:fldChar w:fldCharType="begin"/>
      </w:r>
      <w:r>
        <w:instrText xml:space="preserve"> PAGEREF _Toc495310789 \h </w:instrText>
      </w:r>
      <w:r>
        <w:fldChar w:fldCharType="separate"/>
      </w:r>
      <w:r>
        <w:t>232</w:t>
      </w:r>
      <w:r>
        <w:fldChar w:fldCharType="end"/>
      </w:r>
    </w:p>
    <w:p w14:paraId="115F4B12"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Q3. Facilities and Equipment: Behavioural Usage</w:t>
      </w:r>
      <w:r>
        <w:tab/>
      </w:r>
      <w:r>
        <w:fldChar w:fldCharType="begin"/>
      </w:r>
      <w:r>
        <w:instrText xml:space="preserve"> PAGEREF _Toc495310790 \h </w:instrText>
      </w:r>
      <w:r>
        <w:fldChar w:fldCharType="separate"/>
      </w:r>
      <w:r>
        <w:t>232</w:t>
      </w:r>
      <w:r>
        <w:fldChar w:fldCharType="end"/>
      </w:r>
    </w:p>
    <w:p w14:paraId="0FCFBE0B"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Q3.1 Enriched vs barren cages</w:t>
      </w:r>
      <w:r>
        <w:tab/>
      </w:r>
      <w:r>
        <w:fldChar w:fldCharType="begin"/>
      </w:r>
      <w:r>
        <w:instrText xml:space="preserve"> PAGEREF _Toc495310791 \h </w:instrText>
      </w:r>
      <w:r>
        <w:fldChar w:fldCharType="separate"/>
      </w:r>
      <w:r>
        <w:t>232</w:t>
      </w:r>
      <w:r>
        <w:fldChar w:fldCharType="end"/>
      </w:r>
    </w:p>
    <w:p w14:paraId="2FBA70EE"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Q3.2 Substrate and enrichments</w:t>
      </w:r>
      <w:r>
        <w:tab/>
      </w:r>
      <w:r>
        <w:fldChar w:fldCharType="begin"/>
      </w:r>
      <w:r>
        <w:instrText xml:space="preserve"> PAGEREF _Toc495310792 \h </w:instrText>
      </w:r>
      <w:r>
        <w:fldChar w:fldCharType="separate"/>
      </w:r>
      <w:r>
        <w:t>233</w:t>
      </w:r>
      <w:r>
        <w:fldChar w:fldCharType="end"/>
      </w:r>
    </w:p>
    <w:p w14:paraId="1E8B3880"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Q4. Fear and Distress</w:t>
      </w:r>
      <w:r>
        <w:tab/>
      </w:r>
      <w:r>
        <w:fldChar w:fldCharType="begin"/>
      </w:r>
      <w:r>
        <w:instrText xml:space="preserve"> PAGEREF _Toc495310793 \h </w:instrText>
      </w:r>
      <w:r>
        <w:fldChar w:fldCharType="separate"/>
      </w:r>
      <w:r>
        <w:t>233</w:t>
      </w:r>
      <w:r>
        <w:fldChar w:fldCharType="end"/>
      </w:r>
    </w:p>
    <w:p w14:paraId="5E033867"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Q5. Sensory Environment</w:t>
      </w:r>
      <w:r>
        <w:tab/>
      </w:r>
      <w:r>
        <w:fldChar w:fldCharType="begin"/>
      </w:r>
      <w:r>
        <w:instrText xml:space="preserve"> PAGEREF _Toc495310794 \h </w:instrText>
      </w:r>
      <w:r>
        <w:fldChar w:fldCharType="separate"/>
      </w:r>
      <w:r>
        <w:t>234</w:t>
      </w:r>
      <w:r>
        <w:fldChar w:fldCharType="end"/>
      </w:r>
    </w:p>
    <w:p w14:paraId="3C97A035" w14:textId="77777777" w:rsidR="0082578C" w:rsidRDefault="0082578C">
      <w:pPr>
        <w:pStyle w:val="TOC3"/>
        <w:rPr>
          <w:rFonts w:asciiTheme="minorHAnsi" w:eastAsiaTheme="minorEastAsia" w:hAnsiTheme="minorHAnsi"/>
          <w:sz w:val="22"/>
          <w:szCs w:val="22"/>
          <w:lang w:val="en-AU" w:eastAsia="en-AU"/>
        </w:rPr>
      </w:pPr>
      <w:r>
        <w:t>Q5.1 Lighting and vision</w:t>
      </w:r>
      <w:r>
        <w:tab/>
      </w:r>
      <w:r>
        <w:fldChar w:fldCharType="begin"/>
      </w:r>
      <w:r>
        <w:instrText xml:space="preserve"> PAGEREF _Toc495310795 \h </w:instrText>
      </w:r>
      <w:r>
        <w:fldChar w:fldCharType="separate"/>
      </w:r>
      <w:r>
        <w:t>234</w:t>
      </w:r>
      <w:r>
        <w:fldChar w:fldCharType="end"/>
      </w:r>
    </w:p>
    <w:p w14:paraId="1FE9F476"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Q5.2 Thermal comfort</w:t>
      </w:r>
      <w:r>
        <w:tab/>
      </w:r>
      <w:r>
        <w:fldChar w:fldCharType="begin"/>
      </w:r>
      <w:r>
        <w:instrText xml:space="preserve"> PAGEREF _Toc495310796 \h </w:instrText>
      </w:r>
      <w:r>
        <w:fldChar w:fldCharType="separate"/>
      </w:r>
      <w:r>
        <w:t>234</w:t>
      </w:r>
      <w:r>
        <w:fldChar w:fldCharType="end"/>
      </w:r>
    </w:p>
    <w:p w14:paraId="6D541939"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Q6. Management and Handling</w:t>
      </w:r>
      <w:r>
        <w:tab/>
      </w:r>
      <w:r>
        <w:fldChar w:fldCharType="begin"/>
      </w:r>
      <w:r>
        <w:instrText xml:space="preserve"> PAGEREF _Toc495310797 \h </w:instrText>
      </w:r>
      <w:r>
        <w:fldChar w:fldCharType="separate"/>
      </w:r>
      <w:r>
        <w:t>234</w:t>
      </w:r>
      <w:r>
        <w:fldChar w:fldCharType="end"/>
      </w:r>
    </w:p>
    <w:p w14:paraId="4E588F0D"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Q6.1 Stocking density</w:t>
      </w:r>
      <w:r>
        <w:tab/>
      </w:r>
      <w:r>
        <w:fldChar w:fldCharType="begin"/>
      </w:r>
      <w:r>
        <w:instrText xml:space="preserve"> PAGEREF _Toc495310798 \h </w:instrText>
      </w:r>
      <w:r>
        <w:fldChar w:fldCharType="separate"/>
      </w:r>
      <w:r>
        <w:t>234</w:t>
      </w:r>
      <w:r>
        <w:fldChar w:fldCharType="end"/>
      </w:r>
    </w:p>
    <w:p w14:paraId="3674BC91"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Q6.2 Procedures</w:t>
      </w:r>
      <w:r>
        <w:tab/>
      </w:r>
      <w:r>
        <w:fldChar w:fldCharType="begin"/>
      </w:r>
      <w:r>
        <w:instrText xml:space="preserve"> PAGEREF _Toc495310799 \h </w:instrText>
      </w:r>
      <w:r>
        <w:fldChar w:fldCharType="separate"/>
      </w:r>
      <w:r>
        <w:t>234</w:t>
      </w:r>
      <w:r>
        <w:fldChar w:fldCharType="end"/>
      </w:r>
    </w:p>
    <w:p w14:paraId="3772CE29"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Q7. Welfare Considerations: Overview</w:t>
      </w:r>
      <w:r>
        <w:tab/>
      </w:r>
      <w:r>
        <w:fldChar w:fldCharType="begin"/>
      </w:r>
      <w:r>
        <w:instrText xml:space="preserve"> PAGEREF _Toc495310800 \h </w:instrText>
      </w:r>
      <w:r>
        <w:fldChar w:fldCharType="separate"/>
      </w:r>
      <w:r>
        <w:t>234</w:t>
      </w:r>
      <w:r>
        <w:fldChar w:fldCharType="end"/>
      </w:r>
    </w:p>
    <w:p w14:paraId="4A5BB94F"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Q8. References</w:t>
      </w:r>
      <w:r>
        <w:tab/>
      </w:r>
      <w:r>
        <w:fldChar w:fldCharType="begin"/>
      </w:r>
      <w:r>
        <w:instrText xml:space="preserve"> PAGEREF _Toc495310801 \h </w:instrText>
      </w:r>
      <w:r>
        <w:fldChar w:fldCharType="separate"/>
      </w:r>
      <w:r>
        <w:t>235</w:t>
      </w:r>
      <w:r>
        <w:fldChar w:fldCharType="end"/>
      </w:r>
    </w:p>
    <w:p w14:paraId="3BE0F14D" w14:textId="77777777" w:rsidR="0082578C" w:rsidRDefault="0082578C">
      <w:pPr>
        <w:pStyle w:val="TOC1"/>
        <w:rPr>
          <w:rFonts w:asciiTheme="minorHAnsi" w:eastAsiaTheme="minorEastAsia" w:hAnsiTheme="minorHAnsi"/>
          <w:b w:val="0"/>
          <w:sz w:val="22"/>
          <w:szCs w:val="22"/>
          <w:lang w:val="en-AU" w:eastAsia="en-AU"/>
        </w:rPr>
      </w:pPr>
      <w:r w:rsidRPr="00382FE9">
        <w:rPr>
          <w:lang w:val="en-AU" w:eastAsia="en-AU"/>
        </w:rPr>
        <w:t>Ostriches</w:t>
      </w:r>
      <w:r>
        <w:tab/>
      </w:r>
      <w:r>
        <w:fldChar w:fldCharType="begin"/>
      </w:r>
      <w:r>
        <w:instrText xml:space="preserve"> PAGEREF _Toc495310802 \h </w:instrText>
      </w:r>
      <w:r>
        <w:fldChar w:fldCharType="separate"/>
      </w:r>
      <w:r>
        <w:t>237</w:t>
      </w:r>
      <w:r>
        <w:fldChar w:fldCharType="end"/>
      </w:r>
    </w:p>
    <w:p w14:paraId="3F95FC80"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OS1. Introduction</w:t>
      </w:r>
      <w:r>
        <w:tab/>
      </w:r>
      <w:r>
        <w:fldChar w:fldCharType="begin"/>
      </w:r>
      <w:r>
        <w:instrText xml:space="preserve"> PAGEREF _Toc495310803 \h </w:instrText>
      </w:r>
      <w:r>
        <w:fldChar w:fldCharType="separate"/>
      </w:r>
      <w:r>
        <w:t>237</w:t>
      </w:r>
      <w:r>
        <w:fldChar w:fldCharType="end"/>
      </w:r>
    </w:p>
    <w:p w14:paraId="7804990E"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OS1.1 Life history</w:t>
      </w:r>
      <w:r>
        <w:tab/>
      </w:r>
      <w:r>
        <w:fldChar w:fldCharType="begin"/>
      </w:r>
      <w:r>
        <w:instrText xml:space="preserve"> PAGEREF _Toc495310804 \h </w:instrText>
      </w:r>
      <w:r>
        <w:fldChar w:fldCharType="separate"/>
      </w:r>
      <w:r>
        <w:t>237</w:t>
      </w:r>
      <w:r>
        <w:fldChar w:fldCharType="end"/>
      </w:r>
    </w:p>
    <w:p w14:paraId="6370B721"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OS1.2 Farming and rearing</w:t>
      </w:r>
      <w:r>
        <w:tab/>
      </w:r>
      <w:r>
        <w:fldChar w:fldCharType="begin"/>
      </w:r>
      <w:r>
        <w:instrText xml:space="preserve"> PAGEREF _Toc495310805 \h </w:instrText>
      </w:r>
      <w:r>
        <w:fldChar w:fldCharType="separate"/>
      </w:r>
      <w:r>
        <w:t>237</w:t>
      </w:r>
      <w:r>
        <w:fldChar w:fldCharType="end"/>
      </w:r>
    </w:p>
    <w:p w14:paraId="762E4F5E"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OS2. Feed and Water</w:t>
      </w:r>
      <w:r>
        <w:tab/>
      </w:r>
      <w:r>
        <w:fldChar w:fldCharType="begin"/>
      </w:r>
      <w:r>
        <w:instrText xml:space="preserve"> PAGEREF _Toc495310806 \h </w:instrText>
      </w:r>
      <w:r>
        <w:fldChar w:fldCharType="separate"/>
      </w:r>
      <w:r>
        <w:t>237</w:t>
      </w:r>
      <w:r>
        <w:fldChar w:fldCharType="end"/>
      </w:r>
    </w:p>
    <w:p w14:paraId="69A7B5F1"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OS3. Risk Management</w:t>
      </w:r>
      <w:r>
        <w:tab/>
      </w:r>
      <w:r>
        <w:fldChar w:fldCharType="begin"/>
      </w:r>
      <w:r>
        <w:instrText xml:space="preserve"> PAGEREF _Toc495310807 \h </w:instrText>
      </w:r>
      <w:r>
        <w:fldChar w:fldCharType="separate"/>
      </w:r>
      <w:r>
        <w:t>238</w:t>
      </w:r>
      <w:r>
        <w:fldChar w:fldCharType="end"/>
      </w:r>
    </w:p>
    <w:p w14:paraId="61FBD4DC"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OS3.1 Mortality</w:t>
      </w:r>
      <w:r>
        <w:tab/>
      </w:r>
      <w:r>
        <w:fldChar w:fldCharType="begin"/>
      </w:r>
      <w:r>
        <w:instrText xml:space="preserve"> PAGEREF _Toc495310808 \h </w:instrText>
      </w:r>
      <w:r>
        <w:fldChar w:fldCharType="separate"/>
      </w:r>
      <w:r>
        <w:t>238</w:t>
      </w:r>
      <w:r>
        <w:fldChar w:fldCharType="end"/>
      </w:r>
    </w:p>
    <w:p w14:paraId="1521F4DC"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OS3.2 Causes of mortality</w:t>
      </w:r>
      <w:r>
        <w:tab/>
      </w:r>
      <w:r>
        <w:fldChar w:fldCharType="begin"/>
      </w:r>
      <w:r>
        <w:instrText xml:space="preserve"> PAGEREF _Toc495310809 \h </w:instrText>
      </w:r>
      <w:r>
        <w:fldChar w:fldCharType="separate"/>
      </w:r>
      <w:r>
        <w:t>238</w:t>
      </w:r>
      <w:r>
        <w:fldChar w:fldCharType="end"/>
      </w:r>
    </w:p>
    <w:p w14:paraId="52BB55D7"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OS3.3 Bone strength, bone damage, deformities and lameness</w:t>
      </w:r>
      <w:r>
        <w:tab/>
      </w:r>
      <w:r>
        <w:fldChar w:fldCharType="begin"/>
      </w:r>
      <w:r>
        <w:instrText xml:space="preserve"> PAGEREF _Toc495310810 \h </w:instrText>
      </w:r>
      <w:r>
        <w:fldChar w:fldCharType="separate"/>
      </w:r>
      <w:r>
        <w:t>239</w:t>
      </w:r>
      <w:r>
        <w:fldChar w:fldCharType="end"/>
      </w:r>
    </w:p>
    <w:p w14:paraId="77D9029A"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OS3.4 Stomach impaction</w:t>
      </w:r>
      <w:r>
        <w:tab/>
      </w:r>
      <w:r>
        <w:fldChar w:fldCharType="begin"/>
      </w:r>
      <w:r>
        <w:instrText xml:space="preserve"> PAGEREF _Toc495310811 \h </w:instrText>
      </w:r>
      <w:r>
        <w:fldChar w:fldCharType="separate"/>
      </w:r>
      <w:r>
        <w:t>239</w:t>
      </w:r>
      <w:r>
        <w:fldChar w:fldCharType="end"/>
      </w:r>
    </w:p>
    <w:p w14:paraId="5B45C48E"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OS3.5 Feather pecking and other abnormal forms of pecking</w:t>
      </w:r>
      <w:r>
        <w:tab/>
      </w:r>
      <w:r>
        <w:fldChar w:fldCharType="begin"/>
      </w:r>
      <w:r>
        <w:instrText xml:space="preserve"> PAGEREF _Toc495310812 \h </w:instrText>
      </w:r>
      <w:r>
        <w:fldChar w:fldCharType="separate"/>
      </w:r>
      <w:r>
        <w:t>240</w:t>
      </w:r>
      <w:r>
        <w:fldChar w:fldCharType="end"/>
      </w:r>
    </w:p>
    <w:p w14:paraId="1E926A1C"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OS3.6 Parasitic infections</w:t>
      </w:r>
      <w:r>
        <w:tab/>
      </w:r>
      <w:r>
        <w:fldChar w:fldCharType="begin"/>
      </w:r>
      <w:r>
        <w:instrText xml:space="preserve"> PAGEREF _Toc495310813 \h </w:instrText>
      </w:r>
      <w:r>
        <w:fldChar w:fldCharType="separate"/>
      </w:r>
      <w:r>
        <w:t>240</w:t>
      </w:r>
      <w:r>
        <w:fldChar w:fldCharType="end"/>
      </w:r>
    </w:p>
    <w:p w14:paraId="71FD6493"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OS4. Facilities and Equipment: Behavioural Needs</w:t>
      </w:r>
      <w:r>
        <w:tab/>
      </w:r>
      <w:r>
        <w:fldChar w:fldCharType="begin"/>
      </w:r>
      <w:r>
        <w:instrText xml:space="preserve"> PAGEREF _Toc495310814 \h </w:instrText>
      </w:r>
      <w:r>
        <w:fldChar w:fldCharType="separate"/>
      </w:r>
      <w:r>
        <w:t>240</w:t>
      </w:r>
      <w:r>
        <w:fldChar w:fldCharType="end"/>
      </w:r>
    </w:p>
    <w:p w14:paraId="21084248"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OS4.1 Behavioural time budget</w:t>
      </w:r>
      <w:r>
        <w:tab/>
      </w:r>
      <w:r>
        <w:fldChar w:fldCharType="begin"/>
      </w:r>
      <w:r>
        <w:instrText xml:space="preserve"> PAGEREF _Toc495310815 \h </w:instrText>
      </w:r>
      <w:r>
        <w:fldChar w:fldCharType="separate"/>
      </w:r>
      <w:r>
        <w:t>240</w:t>
      </w:r>
      <w:r>
        <w:fldChar w:fldCharType="end"/>
      </w:r>
    </w:p>
    <w:p w14:paraId="54E386C4"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OS4.2 Foraging and ingestion</w:t>
      </w:r>
      <w:r>
        <w:tab/>
      </w:r>
      <w:r>
        <w:fldChar w:fldCharType="begin"/>
      </w:r>
      <w:r>
        <w:instrText xml:space="preserve"> PAGEREF _Toc495310816 \h </w:instrText>
      </w:r>
      <w:r>
        <w:fldChar w:fldCharType="separate"/>
      </w:r>
      <w:r>
        <w:t>241</w:t>
      </w:r>
      <w:r>
        <w:fldChar w:fldCharType="end"/>
      </w:r>
    </w:p>
    <w:p w14:paraId="37B5F967"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OS4.3 Sleep</w:t>
      </w:r>
      <w:r>
        <w:tab/>
      </w:r>
      <w:r>
        <w:fldChar w:fldCharType="begin"/>
      </w:r>
      <w:r>
        <w:instrText xml:space="preserve"> PAGEREF _Toc495310817 \h </w:instrText>
      </w:r>
      <w:r>
        <w:fldChar w:fldCharType="separate"/>
      </w:r>
      <w:r>
        <w:t>242</w:t>
      </w:r>
      <w:r>
        <w:fldChar w:fldCharType="end"/>
      </w:r>
    </w:p>
    <w:p w14:paraId="5B2DA2FB"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OS4.4 Reproductive behaviour</w:t>
      </w:r>
      <w:r>
        <w:tab/>
      </w:r>
      <w:r>
        <w:fldChar w:fldCharType="begin"/>
      </w:r>
      <w:r>
        <w:instrText xml:space="preserve"> PAGEREF _Toc495310818 \h </w:instrText>
      </w:r>
      <w:r>
        <w:fldChar w:fldCharType="separate"/>
      </w:r>
      <w:r>
        <w:t>242</w:t>
      </w:r>
      <w:r>
        <w:fldChar w:fldCharType="end"/>
      </w:r>
    </w:p>
    <w:p w14:paraId="00D26ABA"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OS5. Facilities and Equipment: Behavioural Usage</w:t>
      </w:r>
      <w:r>
        <w:tab/>
      </w:r>
      <w:r>
        <w:fldChar w:fldCharType="begin"/>
      </w:r>
      <w:r>
        <w:instrText xml:space="preserve"> PAGEREF _Toc495310819 \h </w:instrText>
      </w:r>
      <w:r>
        <w:fldChar w:fldCharType="separate"/>
      </w:r>
      <w:r>
        <w:t>242</w:t>
      </w:r>
      <w:r>
        <w:fldChar w:fldCharType="end"/>
      </w:r>
    </w:p>
    <w:p w14:paraId="2355187F"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OS6. Fear and Distress</w:t>
      </w:r>
      <w:r>
        <w:tab/>
      </w:r>
      <w:r>
        <w:fldChar w:fldCharType="begin"/>
      </w:r>
      <w:r>
        <w:instrText xml:space="preserve"> PAGEREF _Toc495310820 \h </w:instrText>
      </w:r>
      <w:r>
        <w:fldChar w:fldCharType="separate"/>
      </w:r>
      <w:r>
        <w:t>242</w:t>
      </w:r>
      <w:r>
        <w:fldChar w:fldCharType="end"/>
      </w:r>
    </w:p>
    <w:p w14:paraId="12997916"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OS7. Sensory Environment</w:t>
      </w:r>
      <w:r>
        <w:tab/>
      </w:r>
      <w:r>
        <w:fldChar w:fldCharType="begin"/>
      </w:r>
      <w:r>
        <w:instrText xml:space="preserve"> PAGEREF _Toc495310821 \h </w:instrText>
      </w:r>
      <w:r>
        <w:fldChar w:fldCharType="separate"/>
      </w:r>
      <w:r>
        <w:t>243</w:t>
      </w:r>
      <w:r>
        <w:fldChar w:fldCharType="end"/>
      </w:r>
    </w:p>
    <w:p w14:paraId="24C701C5"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OS7.1 Thermal comfort</w:t>
      </w:r>
      <w:r>
        <w:tab/>
      </w:r>
      <w:r>
        <w:fldChar w:fldCharType="begin"/>
      </w:r>
      <w:r>
        <w:instrText xml:space="preserve"> PAGEREF _Toc495310822 \h </w:instrText>
      </w:r>
      <w:r>
        <w:fldChar w:fldCharType="separate"/>
      </w:r>
      <w:r>
        <w:t>243</w:t>
      </w:r>
      <w:r>
        <w:fldChar w:fldCharType="end"/>
      </w:r>
    </w:p>
    <w:p w14:paraId="019BAA50"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OS8. Management and Handling</w:t>
      </w:r>
      <w:r>
        <w:tab/>
      </w:r>
      <w:r>
        <w:fldChar w:fldCharType="begin"/>
      </w:r>
      <w:r>
        <w:instrText xml:space="preserve"> PAGEREF _Toc495310823 \h </w:instrText>
      </w:r>
      <w:r>
        <w:fldChar w:fldCharType="separate"/>
      </w:r>
      <w:r>
        <w:t>243</w:t>
      </w:r>
      <w:r>
        <w:fldChar w:fldCharType="end"/>
      </w:r>
    </w:p>
    <w:p w14:paraId="4BE182AF"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OS8.1 Stocking density</w:t>
      </w:r>
      <w:r>
        <w:tab/>
      </w:r>
      <w:r>
        <w:fldChar w:fldCharType="begin"/>
      </w:r>
      <w:r>
        <w:instrText xml:space="preserve"> PAGEREF _Toc495310824 \h </w:instrText>
      </w:r>
      <w:r>
        <w:fldChar w:fldCharType="separate"/>
      </w:r>
      <w:r>
        <w:t>243</w:t>
      </w:r>
      <w:r>
        <w:fldChar w:fldCharType="end"/>
      </w:r>
    </w:p>
    <w:p w14:paraId="255F5DF0"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OS8.2 Breeding group size and sex ratio</w:t>
      </w:r>
      <w:r>
        <w:tab/>
      </w:r>
      <w:r>
        <w:fldChar w:fldCharType="begin"/>
      </w:r>
      <w:r>
        <w:instrText xml:space="preserve"> PAGEREF _Toc495310825 \h </w:instrText>
      </w:r>
      <w:r>
        <w:fldChar w:fldCharType="separate"/>
      </w:r>
      <w:r>
        <w:t>243</w:t>
      </w:r>
      <w:r>
        <w:fldChar w:fldCharType="end"/>
      </w:r>
    </w:p>
    <w:p w14:paraId="56A38C2A"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OS8.3 Chick groups</w:t>
      </w:r>
      <w:r>
        <w:tab/>
      </w:r>
      <w:r>
        <w:fldChar w:fldCharType="begin"/>
      </w:r>
      <w:r>
        <w:instrText xml:space="preserve"> PAGEREF _Toc495310826 \h </w:instrText>
      </w:r>
      <w:r>
        <w:fldChar w:fldCharType="separate"/>
      </w:r>
      <w:r>
        <w:t>243</w:t>
      </w:r>
      <w:r>
        <w:fldChar w:fldCharType="end"/>
      </w:r>
    </w:p>
    <w:p w14:paraId="5B450824"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OS8.4 Handling</w:t>
      </w:r>
      <w:r>
        <w:tab/>
      </w:r>
      <w:r>
        <w:fldChar w:fldCharType="begin"/>
      </w:r>
      <w:r>
        <w:instrText xml:space="preserve"> PAGEREF _Toc495310827 \h </w:instrText>
      </w:r>
      <w:r>
        <w:fldChar w:fldCharType="separate"/>
      </w:r>
      <w:r>
        <w:t>244</w:t>
      </w:r>
      <w:r>
        <w:fldChar w:fldCharType="end"/>
      </w:r>
    </w:p>
    <w:p w14:paraId="0256219A" w14:textId="77777777" w:rsidR="0082578C" w:rsidRDefault="0082578C">
      <w:pPr>
        <w:pStyle w:val="TOC3"/>
        <w:rPr>
          <w:rFonts w:asciiTheme="minorHAnsi" w:eastAsiaTheme="minorEastAsia" w:hAnsiTheme="minorHAnsi"/>
          <w:sz w:val="22"/>
          <w:szCs w:val="22"/>
          <w:lang w:val="en-AU" w:eastAsia="en-AU"/>
        </w:rPr>
      </w:pPr>
      <w:r>
        <w:t>OS8.5 Declawing</w:t>
      </w:r>
      <w:r>
        <w:tab/>
      </w:r>
      <w:r>
        <w:fldChar w:fldCharType="begin"/>
      </w:r>
      <w:r>
        <w:instrText xml:space="preserve"> PAGEREF _Toc495310828 \h </w:instrText>
      </w:r>
      <w:r>
        <w:fldChar w:fldCharType="separate"/>
      </w:r>
      <w:r>
        <w:t>244</w:t>
      </w:r>
      <w:r>
        <w:fldChar w:fldCharType="end"/>
      </w:r>
    </w:p>
    <w:p w14:paraId="3D53C03A"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OS8.6 Feather removal</w:t>
      </w:r>
      <w:r>
        <w:tab/>
      </w:r>
      <w:r>
        <w:fldChar w:fldCharType="begin"/>
      </w:r>
      <w:r>
        <w:instrText xml:space="preserve"> PAGEREF _Toc495310829 \h </w:instrText>
      </w:r>
      <w:r>
        <w:fldChar w:fldCharType="separate"/>
      </w:r>
      <w:r>
        <w:t>245</w:t>
      </w:r>
      <w:r>
        <w:fldChar w:fldCharType="end"/>
      </w:r>
    </w:p>
    <w:p w14:paraId="51023C26"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OS9. Welfare Considerations: Overview</w:t>
      </w:r>
      <w:r>
        <w:tab/>
      </w:r>
      <w:r>
        <w:fldChar w:fldCharType="begin"/>
      </w:r>
      <w:r>
        <w:instrText xml:space="preserve"> PAGEREF _Toc495310830 \h </w:instrText>
      </w:r>
      <w:r>
        <w:fldChar w:fldCharType="separate"/>
      </w:r>
      <w:r>
        <w:t>245</w:t>
      </w:r>
      <w:r>
        <w:fldChar w:fldCharType="end"/>
      </w:r>
    </w:p>
    <w:p w14:paraId="5DCA6ECC"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OS10. References</w:t>
      </w:r>
      <w:r>
        <w:tab/>
      </w:r>
      <w:r>
        <w:fldChar w:fldCharType="begin"/>
      </w:r>
      <w:r>
        <w:instrText xml:space="preserve"> PAGEREF _Toc495310831 \h </w:instrText>
      </w:r>
      <w:r>
        <w:fldChar w:fldCharType="separate"/>
      </w:r>
      <w:r>
        <w:t>246</w:t>
      </w:r>
      <w:r>
        <w:fldChar w:fldCharType="end"/>
      </w:r>
    </w:p>
    <w:p w14:paraId="3A095EA7" w14:textId="77777777" w:rsidR="0082578C" w:rsidRDefault="0082578C">
      <w:pPr>
        <w:pStyle w:val="TOC1"/>
        <w:rPr>
          <w:rFonts w:asciiTheme="minorHAnsi" w:eastAsiaTheme="minorEastAsia" w:hAnsiTheme="minorHAnsi"/>
          <w:b w:val="0"/>
          <w:sz w:val="22"/>
          <w:szCs w:val="22"/>
          <w:lang w:val="en-AU" w:eastAsia="en-AU"/>
        </w:rPr>
      </w:pPr>
      <w:r w:rsidRPr="00382FE9">
        <w:rPr>
          <w:lang w:val="en-AU" w:eastAsia="en-AU"/>
        </w:rPr>
        <w:t>Emus</w:t>
      </w:r>
      <w:r>
        <w:tab/>
      </w:r>
      <w:r>
        <w:fldChar w:fldCharType="begin"/>
      </w:r>
      <w:r>
        <w:instrText xml:space="preserve"> PAGEREF _Toc495310832 \h </w:instrText>
      </w:r>
      <w:r>
        <w:fldChar w:fldCharType="separate"/>
      </w:r>
      <w:r>
        <w:t>250</w:t>
      </w:r>
      <w:r>
        <w:fldChar w:fldCharType="end"/>
      </w:r>
    </w:p>
    <w:p w14:paraId="1480FEA4"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EM1. Introduction</w:t>
      </w:r>
      <w:r>
        <w:tab/>
      </w:r>
      <w:r>
        <w:fldChar w:fldCharType="begin"/>
      </w:r>
      <w:r>
        <w:instrText xml:space="preserve"> PAGEREF _Toc495310833 \h </w:instrText>
      </w:r>
      <w:r>
        <w:fldChar w:fldCharType="separate"/>
      </w:r>
      <w:r>
        <w:t>250</w:t>
      </w:r>
      <w:r>
        <w:fldChar w:fldCharType="end"/>
      </w:r>
    </w:p>
    <w:p w14:paraId="33B5A87B"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EM1.1 Life history</w:t>
      </w:r>
      <w:r>
        <w:tab/>
      </w:r>
      <w:r>
        <w:fldChar w:fldCharType="begin"/>
      </w:r>
      <w:r>
        <w:instrText xml:space="preserve"> PAGEREF _Toc495310834 \h </w:instrText>
      </w:r>
      <w:r>
        <w:fldChar w:fldCharType="separate"/>
      </w:r>
      <w:r>
        <w:t>250</w:t>
      </w:r>
      <w:r>
        <w:fldChar w:fldCharType="end"/>
      </w:r>
    </w:p>
    <w:p w14:paraId="5B0D346C"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EM1.2 Farming and rearing</w:t>
      </w:r>
      <w:r>
        <w:tab/>
      </w:r>
      <w:r>
        <w:fldChar w:fldCharType="begin"/>
      </w:r>
      <w:r>
        <w:instrText xml:space="preserve"> PAGEREF _Toc495310835 \h </w:instrText>
      </w:r>
      <w:r>
        <w:fldChar w:fldCharType="separate"/>
      </w:r>
      <w:r>
        <w:t>250</w:t>
      </w:r>
      <w:r>
        <w:fldChar w:fldCharType="end"/>
      </w:r>
    </w:p>
    <w:p w14:paraId="24A106DA"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EM2. Feed and Water</w:t>
      </w:r>
      <w:r>
        <w:tab/>
      </w:r>
      <w:r>
        <w:fldChar w:fldCharType="begin"/>
      </w:r>
      <w:r>
        <w:instrText xml:space="preserve"> PAGEREF _Toc495310836 \h </w:instrText>
      </w:r>
      <w:r>
        <w:fldChar w:fldCharType="separate"/>
      </w:r>
      <w:r>
        <w:t>250</w:t>
      </w:r>
      <w:r>
        <w:fldChar w:fldCharType="end"/>
      </w:r>
    </w:p>
    <w:p w14:paraId="50909716"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EM3. Risk Management</w:t>
      </w:r>
      <w:r>
        <w:tab/>
      </w:r>
      <w:r>
        <w:fldChar w:fldCharType="begin"/>
      </w:r>
      <w:r>
        <w:instrText xml:space="preserve"> PAGEREF _Toc495310837 \h </w:instrText>
      </w:r>
      <w:r>
        <w:fldChar w:fldCharType="separate"/>
      </w:r>
      <w:r>
        <w:t>250</w:t>
      </w:r>
      <w:r>
        <w:fldChar w:fldCharType="end"/>
      </w:r>
    </w:p>
    <w:p w14:paraId="5601022E"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EM3.1 Mortality</w:t>
      </w:r>
      <w:r>
        <w:tab/>
      </w:r>
      <w:r>
        <w:fldChar w:fldCharType="begin"/>
      </w:r>
      <w:r>
        <w:instrText xml:space="preserve"> PAGEREF _Toc495310838 \h </w:instrText>
      </w:r>
      <w:r>
        <w:fldChar w:fldCharType="separate"/>
      </w:r>
      <w:r>
        <w:t>250</w:t>
      </w:r>
      <w:r>
        <w:fldChar w:fldCharType="end"/>
      </w:r>
    </w:p>
    <w:p w14:paraId="7FBD7AB8"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EM3.2 Causes of mortality</w:t>
      </w:r>
      <w:r>
        <w:tab/>
      </w:r>
      <w:r>
        <w:fldChar w:fldCharType="begin"/>
      </w:r>
      <w:r>
        <w:instrText xml:space="preserve"> PAGEREF _Toc495310839 \h </w:instrText>
      </w:r>
      <w:r>
        <w:fldChar w:fldCharType="separate"/>
      </w:r>
      <w:r>
        <w:t>250</w:t>
      </w:r>
      <w:r>
        <w:fldChar w:fldCharType="end"/>
      </w:r>
    </w:p>
    <w:p w14:paraId="2319E725"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EM3.3 Parasitic Infections</w:t>
      </w:r>
      <w:r>
        <w:tab/>
      </w:r>
      <w:r>
        <w:fldChar w:fldCharType="begin"/>
      </w:r>
      <w:r>
        <w:instrText xml:space="preserve"> PAGEREF _Toc495310840 \h </w:instrText>
      </w:r>
      <w:r>
        <w:fldChar w:fldCharType="separate"/>
      </w:r>
      <w:r>
        <w:t>250</w:t>
      </w:r>
      <w:r>
        <w:fldChar w:fldCharType="end"/>
      </w:r>
    </w:p>
    <w:p w14:paraId="33C54B7C"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EM4. Facilities and Equipment: Behavioural Needs</w:t>
      </w:r>
      <w:r>
        <w:tab/>
      </w:r>
      <w:r>
        <w:fldChar w:fldCharType="begin"/>
      </w:r>
      <w:r>
        <w:instrText xml:space="preserve"> PAGEREF _Toc495310841 \h </w:instrText>
      </w:r>
      <w:r>
        <w:fldChar w:fldCharType="separate"/>
      </w:r>
      <w:r>
        <w:t>250</w:t>
      </w:r>
      <w:r>
        <w:fldChar w:fldCharType="end"/>
      </w:r>
    </w:p>
    <w:p w14:paraId="32EDB41B"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EM5. Sensory Environment</w:t>
      </w:r>
      <w:r>
        <w:tab/>
      </w:r>
      <w:r>
        <w:fldChar w:fldCharType="begin"/>
      </w:r>
      <w:r>
        <w:instrText xml:space="preserve"> PAGEREF _Toc495310842 \h </w:instrText>
      </w:r>
      <w:r>
        <w:fldChar w:fldCharType="separate"/>
      </w:r>
      <w:r>
        <w:t>250</w:t>
      </w:r>
      <w:r>
        <w:fldChar w:fldCharType="end"/>
      </w:r>
    </w:p>
    <w:p w14:paraId="64234467"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EM5.1 Thermal comfort</w:t>
      </w:r>
      <w:r>
        <w:tab/>
      </w:r>
      <w:r>
        <w:fldChar w:fldCharType="begin"/>
      </w:r>
      <w:r>
        <w:instrText xml:space="preserve"> PAGEREF _Toc495310843 \h </w:instrText>
      </w:r>
      <w:r>
        <w:fldChar w:fldCharType="separate"/>
      </w:r>
      <w:r>
        <w:t>250</w:t>
      </w:r>
      <w:r>
        <w:fldChar w:fldCharType="end"/>
      </w:r>
    </w:p>
    <w:p w14:paraId="38040008"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EM6. Management and Handling</w:t>
      </w:r>
      <w:r>
        <w:tab/>
      </w:r>
      <w:r>
        <w:fldChar w:fldCharType="begin"/>
      </w:r>
      <w:r>
        <w:instrText xml:space="preserve"> PAGEREF _Toc495310844 \h </w:instrText>
      </w:r>
      <w:r>
        <w:fldChar w:fldCharType="separate"/>
      </w:r>
      <w:r>
        <w:t>251</w:t>
      </w:r>
      <w:r>
        <w:fldChar w:fldCharType="end"/>
      </w:r>
    </w:p>
    <w:p w14:paraId="0C81F9DE"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EM6.1 Declawing</w:t>
      </w:r>
      <w:r>
        <w:tab/>
      </w:r>
      <w:r>
        <w:fldChar w:fldCharType="begin"/>
      </w:r>
      <w:r>
        <w:instrText xml:space="preserve"> PAGEREF _Toc495310845 \h </w:instrText>
      </w:r>
      <w:r>
        <w:fldChar w:fldCharType="separate"/>
      </w:r>
      <w:r>
        <w:t>251</w:t>
      </w:r>
      <w:r>
        <w:fldChar w:fldCharType="end"/>
      </w:r>
    </w:p>
    <w:p w14:paraId="715B6DA5"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EM7. Welfare Considerations: Overview</w:t>
      </w:r>
      <w:r>
        <w:tab/>
      </w:r>
      <w:r>
        <w:fldChar w:fldCharType="begin"/>
      </w:r>
      <w:r>
        <w:instrText xml:space="preserve"> PAGEREF _Toc495310846 \h </w:instrText>
      </w:r>
      <w:r>
        <w:fldChar w:fldCharType="separate"/>
      </w:r>
      <w:r>
        <w:t>251</w:t>
      </w:r>
      <w:r>
        <w:fldChar w:fldCharType="end"/>
      </w:r>
    </w:p>
    <w:p w14:paraId="5B8A5564"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EM8. References</w:t>
      </w:r>
      <w:r>
        <w:tab/>
      </w:r>
      <w:r>
        <w:fldChar w:fldCharType="begin"/>
      </w:r>
      <w:r>
        <w:instrText xml:space="preserve"> PAGEREF _Toc495310847 \h </w:instrText>
      </w:r>
      <w:r>
        <w:fldChar w:fldCharType="separate"/>
      </w:r>
      <w:r>
        <w:t>252</w:t>
      </w:r>
      <w:r>
        <w:fldChar w:fldCharType="end"/>
      </w:r>
    </w:p>
    <w:p w14:paraId="64FAC04E" w14:textId="77777777" w:rsidR="0082578C" w:rsidRDefault="0082578C">
      <w:pPr>
        <w:pStyle w:val="TOC1"/>
        <w:rPr>
          <w:rFonts w:asciiTheme="minorHAnsi" w:eastAsiaTheme="minorEastAsia" w:hAnsiTheme="minorHAnsi"/>
          <w:b w:val="0"/>
          <w:sz w:val="22"/>
          <w:szCs w:val="22"/>
          <w:lang w:val="en-AU" w:eastAsia="en-AU"/>
        </w:rPr>
      </w:pPr>
      <w:r w:rsidRPr="00382FE9">
        <w:rPr>
          <w:lang w:val="en-AU" w:eastAsia="en-AU"/>
        </w:rPr>
        <w:t>Slaughter</w:t>
      </w:r>
      <w:r>
        <w:tab/>
      </w:r>
      <w:r>
        <w:fldChar w:fldCharType="begin"/>
      </w:r>
      <w:r>
        <w:instrText xml:space="preserve"> PAGEREF _Toc495310848 \h </w:instrText>
      </w:r>
      <w:r>
        <w:fldChar w:fldCharType="separate"/>
      </w:r>
      <w:r>
        <w:t>253</w:t>
      </w:r>
      <w:r>
        <w:fldChar w:fldCharType="end"/>
      </w:r>
    </w:p>
    <w:p w14:paraId="02B06E85"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SL1. Introduction</w:t>
      </w:r>
      <w:r>
        <w:tab/>
      </w:r>
      <w:r>
        <w:fldChar w:fldCharType="begin"/>
      </w:r>
      <w:r>
        <w:instrText xml:space="preserve"> PAGEREF _Toc495310849 \h </w:instrText>
      </w:r>
      <w:r>
        <w:fldChar w:fldCharType="separate"/>
      </w:r>
      <w:r>
        <w:t>253</w:t>
      </w:r>
      <w:r>
        <w:fldChar w:fldCharType="end"/>
      </w:r>
    </w:p>
    <w:p w14:paraId="458C934C"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SL2. Overview of Slaughter and Humane Killing Methods</w:t>
      </w:r>
      <w:r>
        <w:tab/>
      </w:r>
      <w:r>
        <w:fldChar w:fldCharType="begin"/>
      </w:r>
      <w:r>
        <w:instrText xml:space="preserve"> PAGEREF _Toc495310850 \h </w:instrText>
      </w:r>
      <w:r>
        <w:fldChar w:fldCharType="separate"/>
      </w:r>
      <w:r>
        <w:t>253</w:t>
      </w:r>
      <w:r>
        <w:fldChar w:fldCharType="end"/>
      </w:r>
    </w:p>
    <w:p w14:paraId="3CFBA02E" w14:textId="77777777" w:rsidR="0082578C" w:rsidRDefault="0082578C">
      <w:pPr>
        <w:pStyle w:val="TOC3"/>
        <w:rPr>
          <w:rFonts w:asciiTheme="minorHAnsi" w:eastAsiaTheme="minorEastAsia" w:hAnsiTheme="minorHAnsi"/>
          <w:sz w:val="22"/>
          <w:szCs w:val="22"/>
          <w:lang w:val="en-AU" w:eastAsia="en-AU"/>
        </w:rPr>
      </w:pPr>
      <w:r w:rsidRPr="00382FE9">
        <w:rPr>
          <w:lang w:val="en-AU" w:eastAsia="en-AU"/>
        </w:rPr>
        <w:t>SL2.1 Stunning and killing</w:t>
      </w:r>
      <w:r>
        <w:tab/>
      </w:r>
      <w:r>
        <w:fldChar w:fldCharType="begin"/>
      </w:r>
      <w:r>
        <w:instrText xml:space="preserve"> PAGEREF _Toc495310851 \h </w:instrText>
      </w:r>
      <w:r>
        <w:fldChar w:fldCharType="separate"/>
      </w:r>
      <w:r>
        <w:t>253</w:t>
      </w:r>
      <w:r>
        <w:fldChar w:fldCharType="end"/>
      </w:r>
    </w:p>
    <w:p w14:paraId="1C3CDFD4" w14:textId="77777777" w:rsidR="0082578C" w:rsidRDefault="0082578C">
      <w:pPr>
        <w:pStyle w:val="TOC3"/>
        <w:rPr>
          <w:rFonts w:asciiTheme="minorHAnsi" w:eastAsiaTheme="minorEastAsia" w:hAnsiTheme="minorHAnsi"/>
          <w:sz w:val="22"/>
          <w:szCs w:val="22"/>
          <w:lang w:val="en-AU" w:eastAsia="en-AU"/>
        </w:rPr>
      </w:pPr>
      <w:r>
        <w:t>SL2.2 Electrical stunning</w:t>
      </w:r>
      <w:r>
        <w:tab/>
      </w:r>
      <w:r>
        <w:fldChar w:fldCharType="begin"/>
      </w:r>
      <w:r>
        <w:instrText xml:space="preserve"> PAGEREF _Toc495310852 \h </w:instrText>
      </w:r>
      <w:r>
        <w:fldChar w:fldCharType="separate"/>
      </w:r>
      <w:r>
        <w:t>254</w:t>
      </w:r>
      <w:r>
        <w:fldChar w:fldCharType="end"/>
      </w:r>
    </w:p>
    <w:p w14:paraId="666376B2" w14:textId="77777777" w:rsidR="0082578C" w:rsidRDefault="0082578C">
      <w:pPr>
        <w:pStyle w:val="TOC3"/>
        <w:rPr>
          <w:rFonts w:asciiTheme="minorHAnsi" w:eastAsiaTheme="minorEastAsia" w:hAnsiTheme="minorHAnsi"/>
          <w:sz w:val="22"/>
          <w:szCs w:val="22"/>
          <w:lang w:val="en-AU" w:eastAsia="en-AU"/>
        </w:rPr>
      </w:pPr>
      <w:r>
        <w:t>SL2.3 Controlled atmosphere stunning and killing</w:t>
      </w:r>
      <w:r>
        <w:tab/>
      </w:r>
      <w:r>
        <w:fldChar w:fldCharType="begin"/>
      </w:r>
      <w:r>
        <w:instrText xml:space="preserve"> PAGEREF _Toc495310853 \h </w:instrText>
      </w:r>
      <w:r>
        <w:fldChar w:fldCharType="separate"/>
      </w:r>
      <w:r>
        <w:t>260</w:t>
      </w:r>
      <w:r>
        <w:fldChar w:fldCharType="end"/>
      </w:r>
    </w:p>
    <w:p w14:paraId="10CD6ABA" w14:textId="77777777" w:rsidR="0082578C" w:rsidRDefault="0082578C">
      <w:pPr>
        <w:pStyle w:val="TOC3"/>
        <w:rPr>
          <w:rFonts w:asciiTheme="minorHAnsi" w:eastAsiaTheme="minorEastAsia" w:hAnsiTheme="minorHAnsi"/>
          <w:sz w:val="22"/>
          <w:szCs w:val="22"/>
          <w:lang w:val="en-AU" w:eastAsia="en-AU"/>
        </w:rPr>
      </w:pPr>
      <w:r>
        <w:t>SL2.4 Whole house killing</w:t>
      </w:r>
      <w:r>
        <w:tab/>
      </w:r>
      <w:r>
        <w:fldChar w:fldCharType="begin"/>
      </w:r>
      <w:r>
        <w:instrText xml:space="preserve"> PAGEREF _Toc495310854 \h </w:instrText>
      </w:r>
      <w:r>
        <w:fldChar w:fldCharType="separate"/>
      </w:r>
      <w:r>
        <w:t>263</w:t>
      </w:r>
      <w:r>
        <w:fldChar w:fldCharType="end"/>
      </w:r>
    </w:p>
    <w:p w14:paraId="33840FCD" w14:textId="77777777" w:rsidR="0082578C" w:rsidRDefault="0082578C">
      <w:pPr>
        <w:pStyle w:val="TOC3"/>
        <w:rPr>
          <w:rFonts w:asciiTheme="minorHAnsi" w:eastAsiaTheme="minorEastAsia" w:hAnsiTheme="minorHAnsi"/>
          <w:sz w:val="22"/>
          <w:szCs w:val="22"/>
          <w:lang w:val="en-AU" w:eastAsia="en-AU"/>
        </w:rPr>
      </w:pPr>
      <w:r>
        <w:t>SL2.5 Low atmospheric pressure stunning</w:t>
      </w:r>
      <w:r>
        <w:tab/>
      </w:r>
      <w:r>
        <w:fldChar w:fldCharType="begin"/>
      </w:r>
      <w:r>
        <w:instrText xml:space="preserve"> PAGEREF _Toc495310855 \h </w:instrText>
      </w:r>
      <w:r>
        <w:fldChar w:fldCharType="separate"/>
      </w:r>
      <w:r>
        <w:t>264</w:t>
      </w:r>
      <w:r>
        <w:fldChar w:fldCharType="end"/>
      </w:r>
    </w:p>
    <w:p w14:paraId="6C5F0815" w14:textId="77777777" w:rsidR="0082578C" w:rsidRDefault="0082578C">
      <w:pPr>
        <w:pStyle w:val="TOC3"/>
        <w:rPr>
          <w:rFonts w:asciiTheme="minorHAnsi" w:eastAsiaTheme="minorEastAsia" w:hAnsiTheme="minorHAnsi"/>
          <w:sz w:val="22"/>
          <w:szCs w:val="22"/>
          <w:lang w:val="en-AU" w:eastAsia="en-AU"/>
        </w:rPr>
      </w:pPr>
      <w:r>
        <w:t>SL2.6 Percussive stunning/blunt trauma/mechanical stunning</w:t>
      </w:r>
      <w:r>
        <w:tab/>
      </w:r>
      <w:r>
        <w:fldChar w:fldCharType="begin"/>
      </w:r>
      <w:r>
        <w:instrText xml:space="preserve"> PAGEREF _Toc495310856 \h </w:instrText>
      </w:r>
      <w:r>
        <w:fldChar w:fldCharType="separate"/>
      </w:r>
      <w:r>
        <w:t>265</w:t>
      </w:r>
      <w:r>
        <w:fldChar w:fldCharType="end"/>
      </w:r>
    </w:p>
    <w:p w14:paraId="14C5FAF4" w14:textId="77777777" w:rsidR="0082578C" w:rsidRDefault="0082578C">
      <w:pPr>
        <w:pStyle w:val="TOC3"/>
        <w:rPr>
          <w:rFonts w:asciiTheme="minorHAnsi" w:eastAsiaTheme="minorEastAsia" w:hAnsiTheme="minorHAnsi"/>
          <w:sz w:val="22"/>
          <w:szCs w:val="22"/>
          <w:lang w:val="en-AU" w:eastAsia="en-AU"/>
        </w:rPr>
      </w:pPr>
      <w:r>
        <w:t>SL2.7 Killing of surplus or unthrifty chicks</w:t>
      </w:r>
      <w:r>
        <w:tab/>
      </w:r>
      <w:r>
        <w:fldChar w:fldCharType="begin"/>
      </w:r>
      <w:r>
        <w:instrText xml:space="preserve"> PAGEREF _Toc495310857 \h </w:instrText>
      </w:r>
      <w:r>
        <w:fldChar w:fldCharType="separate"/>
      </w:r>
      <w:r>
        <w:t>266</w:t>
      </w:r>
      <w:r>
        <w:fldChar w:fldCharType="end"/>
      </w:r>
    </w:p>
    <w:p w14:paraId="0A3916B8"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SL3. Farmed Birds by Type</w:t>
      </w:r>
      <w:r>
        <w:tab/>
      </w:r>
      <w:r>
        <w:fldChar w:fldCharType="begin"/>
      </w:r>
      <w:r>
        <w:instrText xml:space="preserve"> PAGEREF _Toc495310858 \h </w:instrText>
      </w:r>
      <w:r>
        <w:fldChar w:fldCharType="separate"/>
      </w:r>
      <w:r>
        <w:t>267</w:t>
      </w:r>
      <w:r>
        <w:fldChar w:fldCharType="end"/>
      </w:r>
    </w:p>
    <w:p w14:paraId="4B294D89" w14:textId="77777777" w:rsidR="0082578C" w:rsidRDefault="0082578C">
      <w:pPr>
        <w:pStyle w:val="TOC3"/>
        <w:rPr>
          <w:rFonts w:asciiTheme="minorHAnsi" w:eastAsiaTheme="minorEastAsia" w:hAnsiTheme="minorHAnsi"/>
          <w:sz w:val="22"/>
          <w:szCs w:val="22"/>
          <w:lang w:val="en-AU" w:eastAsia="en-AU"/>
        </w:rPr>
      </w:pPr>
      <w:r>
        <w:t>SL3.1 Broilers</w:t>
      </w:r>
      <w:r>
        <w:tab/>
      </w:r>
      <w:r>
        <w:fldChar w:fldCharType="begin"/>
      </w:r>
      <w:r>
        <w:instrText xml:space="preserve"> PAGEREF _Toc495310859 \h </w:instrText>
      </w:r>
      <w:r>
        <w:fldChar w:fldCharType="separate"/>
      </w:r>
      <w:r>
        <w:t>267</w:t>
      </w:r>
      <w:r>
        <w:fldChar w:fldCharType="end"/>
      </w:r>
    </w:p>
    <w:p w14:paraId="0A905F8F" w14:textId="77777777" w:rsidR="0082578C" w:rsidRDefault="0082578C">
      <w:pPr>
        <w:pStyle w:val="TOC3"/>
        <w:rPr>
          <w:rFonts w:asciiTheme="minorHAnsi" w:eastAsiaTheme="minorEastAsia" w:hAnsiTheme="minorHAnsi"/>
          <w:sz w:val="22"/>
          <w:szCs w:val="22"/>
          <w:lang w:val="en-AU" w:eastAsia="en-AU"/>
        </w:rPr>
      </w:pPr>
      <w:r>
        <w:t>SL3.2 Laying hens</w:t>
      </w:r>
      <w:r>
        <w:tab/>
      </w:r>
      <w:r>
        <w:fldChar w:fldCharType="begin"/>
      </w:r>
      <w:r>
        <w:instrText xml:space="preserve"> PAGEREF _Toc495310860 \h </w:instrText>
      </w:r>
      <w:r>
        <w:fldChar w:fldCharType="separate"/>
      </w:r>
      <w:r>
        <w:t>269</w:t>
      </w:r>
      <w:r>
        <w:fldChar w:fldCharType="end"/>
      </w:r>
    </w:p>
    <w:p w14:paraId="5FAE9BCE" w14:textId="77777777" w:rsidR="0082578C" w:rsidRDefault="0082578C">
      <w:pPr>
        <w:pStyle w:val="TOC3"/>
        <w:rPr>
          <w:rFonts w:asciiTheme="minorHAnsi" w:eastAsiaTheme="minorEastAsia" w:hAnsiTheme="minorHAnsi"/>
          <w:sz w:val="22"/>
          <w:szCs w:val="22"/>
          <w:lang w:val="en-AU" w:eastAsia="en-AU"/>
        </w:rPr>
      </w:pPr>
      <w:r>
        <w:t>SL3.3 Turkeys</w:t>
      </w:r>
      <w:r>
        <w:tab/>
      </w:r>
      <w:r>
        <w:fldChar w:fldCharType="begin"/>
      </w:r>
      <w:r>
        <w:instrText xml:space="preserve"> PAGEREF _Toc495310861 \h </w:instrText>
      </w:r>
      <w:r>
        <w:fldChar w:fldCharType="separate"/>
      </w:r>
      <w:r>
        <w:t>270</w:t>
      </w:r>
      <w:r>
        <w:fldChar w:fldCharType="end"/>
      </w:r>
    </w:p>
    <w:p w14:paraId="489C2A24" w14:textId="77777777" w:rsidR="0082578C" w:rsidRDefault="0082578C">
      <w:pPr>
        <w:pStyle w:val="TOC3"/>
        <w:rPr>
          <w:rFonts w:asciiTheme="minorHAnsi" w:eastAsiaTheme="minorEastAsia" w:hAnsiTheme="minorHAnsi"/>
          <w:sz w:val="22"/>
          <w:szCs w:val="22"/>
          <w:lang w:val="en-AU" w:eastAsia="en-AU"/>
        </w:rPr>
      </w:pPr>
      <w:r>
        <w:t>SL3.4 Ducks</w:t>
      </w:r>
      <w:r>
        <w:tab/>
      </w:r>
      <w:r>
        <w:fldChar w:fldCharType="begin"/>
      </w:r>
      <w:r>
        <w:instrText xml:space="preserve"> PAGEREF _Toc495310862 \h </w:instrText>
      </w:r>
      <w:r>
        <w:fldChar w:fldCharType="separate"/>
      </w:r>
      <w:r>
        <w:t>271</w:t>
      </w:r>
      <w:r>
        <w:fldChar w:fldCharType="end"/>
      </w:r>
    </w:p>
    <w:p w14:paraId="2A098E08" w14:textId="77777777" w:rsidR="0082578C" w:rsidRDefault="0082578C">
      <w:pPr>
        <w:pStyle w:val="TOC3"/>
        <w:rPr>
          <w:rFonts w:asciiTheme="minorHAnsi" w:eastAsiaTheme="minorEastAsia" w:hAnsiTheme="minorHAnsi"/>
          <w:sz w:val="22"/>
          <w:szCs w:val="22"/>
          <w:lang w:val="en-AU" w:eastAsia="en-AU"/>
        </w:rPr>
      </w:pPr>
      <w:r>
        <w:t>SL3.5 Geese</w:t>
      </w:r>
      <w:r>
        <w:tab/>
      </w:r>
      <w:r>
        <w:fldChar w:fldCharType="begin"/>
      </w:r>
      <w:r>
        <w:instrText xml:space="preserve"> PAGEREF _Toc495310863 \h </w:instrText>
      </w:r>
      <w:r>
        <w:fldChar w:fldCharType="separate"/>
      </w:r>
      <w:r>
        <w:t>272</w:t>
      </w:r>
      <w:r>
        <w:fldChar w:fldCharType="end"/>
      </w:r>
    </w:p>
    <w:p w14:paraId="4B9A9269" w14:textId="77777777" w:rsidR="0082578C" w:rsidRDefault="0082578C">
      <w:pPr>
        <w:pStyle w:val="TOC3"/>
        <w:rPr>
          <w:rFonts w:asciiTheme="minorHAnsi" w:eastAsiaTheme="minorEastAsia" w:hAnsiTheme="minorHAnsi"/>
          <w:sz w:val="22"/>
          <w:szCs w:val="22"/>
          <w:lang w:val="en-AU" w:eastAsia="en-AU"/>
        </w:rPr>
      </w:pPr>
      <w:r>
        <w:t>SL3.6 Guinea fowl</w:t>
      </w:r>
      <w:r>
        <w:tab/>
      </w:r>
      <w:r>
        <w:fldChar w:fldCharType="begin"/>
      </w:r>
      <w:r>
        <w:instrText xml:space="preserve"> PAGEREF _Toc495310864 \h </w:instrText>
      </w:r>
      <w:r>
        <w:fldChar w:fldCharType="separate"/>
      </w:r>
      <w:r>
        <w:t>272</w:t>
      </w:r>
      <w:r>
        <w:fldChar w:fldCharType="end"/>
      </w:r>
    </w:p>
    <w:p w14:paraId="03EFA741" w14:textId="77777777" w:rsidR="0082578C" w:rsidRDefault="0082578C">
      <w:pPr>
        <w:pStyle w:val="TOC3"/>
        <w:rPr>
          <w:rFonts w:asciiTheme="minorHAnsi" w:eastAsiaTheme="minorEastAsia" w:hAnsiTheme="minorHAnsi"/>
          <w:sz w:val="22"/>
          <w:szCs w:val="22"/>
          <w:lang w:val="en-AU" w:eastAsia="en-AU"/>
        </w:rPr>
      </w:pPr>
      <w:r>
        <w:t>SL3.7 Quail</w:t>
      </w:r>
      <w:r>
        <w:tab/>
      </w:r>
      <w:r>
        <w:fldChar w:fldCharType="begin"/>
      </w:r>
      <w:r>
        <w:instrText xml:space="preserve"> PAGEREF _Toc495310865 \h </w:instrText>
      </w:r>
      <w:r>
        <w:fldChar w:fldCharType="separate"/>
      </w:r>
      <w:r>
        <w:t>273</w:t>
      </w:r>
      <w:r>
        <w:fldChar w:fldCharType="end"/>
      </w:r>
    </w:p>
    <w:p w14:paraId="1BF02BAD" w14:textId="77777777" w:rsidR="0082578C" w:rsidRDefault="0082578C">
      <w:pPr>
        <w:pStyle w:val="TOC3"/>
        <w:rPr>
          <w:rFonts w:asciiTheme="minorHAnsi" w:eastAsiaTheme="minorEastAsia" w:hAnsiTheme="minorHAnsi"/>
          <w:sz w:val="22"/>
          <w:szCs w:val="22"/>
          <w:lang w:val="en-AU" w:eastAsia="en-AU"/>
        </w:rPr>
      </w:pPr>
      <w:r>
        <w:t>SL3.8 Partridges</w:t>
      </w:r>
      <w:r>
        <w:tab/>
      </w:r>
      <w:r>
        <w:fldChar w:fldCharType="begin"/>
      </w:r>
      <w:r>
        <w:instrText xml:space="preserve"> PAGEREF _Toc495310866 \h </w:instrText>
      </w:r>
      <w:r>
        <w:fldChar w:fldCharType="separate"/>
      </w:r>
      <w:r>
        <w:t>273</w:t>
      </w:r>
      <w:r>
        <w:fldChar w:fldCharType="end"/>
      </w:r>
    </w:p>
    <w:p w14:paraId="67C85520" w14:textId="77777777" w:rsidR="0082578C" w:rsidRDefault="0082578C">
      <w:pPr>
        <w:pStyle w:val="TOC3"/>
        <w:rPr>
          <w:rFonts w:asciiTheme="minorHAnsi" w:eastAsiaTheme="minorEastAsia" w:hAnsiTheme="minorHAnsi"/>
          <w:sz w:val="22"/>
          <w:szCs w:val="22"/>
          <w:lang w:val="en-AU" w:eastAsia="en-AU"/>
        </w:rPr>
      </w:pPr>
      <w:r>
        <w:t>SL3.9 Pheasants</w:t>
      </w:r>
      <w:r>
        <w:tab/>
      </w:r>
      <w:r>
        <w:fldChar w:fldCharType="begin"/>
      </w:r>
      <w:r>
        <w:instrText xml:space="preserve"> PAGEREF _Toc495310867 \h </w:instrText>
      </w:r>
      <w:r>
        <w:fldChar w:fldCharType="separate"/>
      </w:r>
      <w:r>
        <w:t>273</w:t>
      </w:r>
      <w:r>
        <w:fldChar w:fldCharType="end"/>
      </w:r>
    </w:p>
    <w:p w14:paraId="0B769F32" w14:textId="77777777" w:rsidR="0082578C" w:rsidRDefault="0082578C">
      <w:pPr>
        <w:pStyle w:val="TOC3"/>
        <w:rPr>
          <w:rFonts w:asciiTheme="minorHAnsi" w:eastAsiaTheme="minorEastAsia" w:hAnsiTheme="minorHAnsi"/>
          <w:sz w:val="22"/>
          <w:szCs w:val="22"/>
          <w:lang w:val="en-AU" w:eastAsia="en-AU"/>
        </w:rPr>
      </w:pPr>
      <w:r>
        <w:t>SL3.10 Pigeons</w:t>
      </w:r>
      <w:r>
        <w:tab/>
      </w:r>
      <w:r>
        <w:fldChar w:fldCharType="begin"/>
      </w:r>
      <w:r>
        <w:instrText xml:space="preserve"> PAGEREF _Toc495310868 \h </w:instrText>
      </w:r>
      <w:r>
        <w:fldChar w:fldCharType="separate"/>
      </w:r>
      <w:r>
        <w:t>273</w:t>
      </w:r>
      <w:r>
        <w:fldChar w:fldCharType="end"/>
      </w:r>
    </w:p>
    <w:p w14:paraId="60C5EA39" w14:textId="77777777" w:rsidR="0082578C" w:rsidRDefault="0082578C">
      <w:pPr>
        <w:pStyle w:val="TOC3"/>
        <w:rPr>
          <w:rFonts w:asciiTheme="minorHAnsi" w:eastAsiaTheme="minorEastAsia" w:hAnsiTheme="minorHAnsi"/>
          <w:sz w:val="22"/>
          <w:szCs w:val="22"/>
          <w:lang w:val="en-AU" w:eastAsia="en-AU"/>
        </w:rPr>
      </w:pPr>
      <w:r>
        <w:t>SL3.11 Ostriches</w:t>
      </w:r>
      <w:r>
        <w:tab/>
      </w:r>
      <w:r>
        <w:fldChar w:fldCharType="begin"/>
      </w:r>
      <w:r>
        <w:instrText xml:space="preserve"> PAGEREF _Toc495310869 \h </w:instrText>
      </w:r>
      <w:r>
        <w:fldChar w:fldCharType="separate"/>
      </w:r>
      <w:r>
        <w:t>273</w:t>
      </w:r>
      <w:r>
        <w:fldChar w:fldCharType="end"/>
      </w:r>
    </w:p>
    <w:p w14:paraId="23B77B3A" w14:textId="77777777" w:rsidR="0082578C" w:rsidRDefault="0082578C">
      <w:pPr>
        <w:pStyle w:val="TOC3"/>
        <w:rPr>
          <w:rFonts w:asciiTheme="minorHAnsi" w:eastAsiaTheme="minorEastAsia" w:hAnsiTheme="minorHAnsi"/>
          <w:sz w:val="22"/>
          <w:szCs w:val="22"/>
          <w:lang w:val="en-AU" w:eastAsia="en-AU"/>
        </w:rPr>
      </w:pPr>
      <w:r>
        <w:t>SL3.12 Emus</w:t>
      </w:r>
      <w:r>
        <w:tab/>
      </w:r>
      <w:r>
        <w:fldChar w:fldCharType="begin"/>
      </w:r>
      <w:r>
        <w:instrText xml:space="preserve"> PAGEREF _Toc495310870 \h </w:instrText>
      </w:r>
      <w:r>
        <w:fldChar w:fldCharType="separate"/>
      </w:r>
      <w:r>
        <w:t>274</w:t>
      </w:r>
      <w:r>
        <w:fldChar w:fldCharType="end"/>
      </w:r>
    </w:p>
    <w:p w14:paraId="50FF36D6"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SL4. Welfare Considerations: Overview</w:t>
      </w:r>
      <w:r>
        <w:tab/>
      </w:r>
      <w:r>
        <w:fldChar w:fldCharType="begin"/>
      </w:r>
      <w:r>
        <w:instrText xml:space="preserve"> PAGEREF _Toc495310871 \h </w:instrText>
      </w:r>
      <w:r>
        <w:fldChar w:fldCharType="separate"/>
      </w:r>
      <w:r>
        <w:t>274</w:t>
      </w:r>
      <w:r>
        <w:fldChar w:fldCharType="end"/>
      </w:r>
    </w:p>
    <w:p w14:paraId="69E7969E" w14:textId="77777777" w:rsidR="0082578C" w:rsidRDefault="0082578C">
      <w:pPr>
        <w:pStyle w:val="TOC2"/>
        <w:rPr>
          <w:rFonts w:asciiTheme="minorHAnsi" w:eastAsiaTheme="minorEastAsia" w:hAnsiTheme="minorHAnsi"/>
          <w:sz w:val="22"/>
          <w:szCs w:val="22"/>
          <w:lang w:val="en-AU" w:eastAsia="en-AU"/>
        </w:rPr>
      </w:pPr>
      <w:r w:rsidRPr="00382FE9">
        <w:rPr>
          <w:lang w:val="en-AU" w:eastAsia="en-AU"/>
        </w:rPr>
        <w:t>SL5. References</w:t>
      </w:r>
      <w:r>
        <w:tab/>
      </w:r>
      <w:r>
        <w:fldChar w:fldCharType="begin"/>
      </w:r>
      <w:r>
        <w:instrText xml:space="preserve"> PAGEREF _Toc495310872 \h </w:instrText>
      </w:r>
      <w:r>
        <w:fldChar w:fldCharType="separate"/>
      </w:r>
      <w:r>
        <w:t>275</w:t>
      </w:r>
      <w:r>
        <w:fldChar w:fldCharType="end"/>
      </w:r>
    </w:p>
    <w:p w14:paraId="748A144C" w14:textId="77777777" w:rsidR="0082578C" w:rsidRDefault="0082578C">
      <w:pPr>
        <w:pStyle w:val="TOC1"/>
        <w:rPr>
          <w:rFonts w:asciiTheme="minorHAnsi" w:eastAsiaTheme="minorEastAsia" w:hAnsiTheme="minorHAnsi"/>
          <w:b w:val="0"/>
          <w:sz w:val="22"/>
          <w:szCs w:val="22"/>
          <w:lang w:val="en-AU" w:eastAsia="en-AU"/>
        </w:rPr>
      </w:pPr>
      <w:r w:rsidRPr="00382FE9">
        <w:rPr>
          <w:lang w:val="en-AU" w:eastAsia="en-AU"/>
        </w:rPr>
        <w:t>Glossary</w:t>
      </w:r>
      <w:r>
        <w:tab/>
      </w:r>
      <w:r>
        <w:fldChar w:fldCharType="begin"/>
      </w:r>
      <w:r>
        <w:instrText xml:space="preserve"> PAGEREF _Toc495310873 \h </w:instrText>
      </w:r>
      <w:r>
        <w:fldChar w:fldCharType="separate"/>
      </w:r>
      <w:r>
        <w:t>281</w:t>
      </w:r>
      <w:r>
        <w:fldChar w:fldCharType="end"/>
      </w:r>
    </w:p>
    <w:p w14:paraId="70398CD6" w14:textId="77777777" w:rsidR="0082578C" w:rsidRDefault="0082578C">
      <w:pPr>
        <w:pStyle w:val="TOC1"/>
        <w:rPr>
          <w:rFonts w:asciiTheme="minorHAnsi" w:eastAsiaTheme="minorEastAsia" w:hAnsiTheme="minorHAnsi"/>
          <w:b w:val="0"/>
          <w:sz w:val="22"/>
          <w:szCs w:val="22"/>
          <w:lang w:val="en-AU" w:eastAsia="en-AU"/>
        </w:rPr>
      </w:pPr>
      <w:r w:rsidRPr="00382FE9">
        <w:rPr>
          <w:lang w:val="en-GB"/>
        </w:rPr>
        <w:t>Appendix A: Literature Searches</w:t>
      </w:r>
      <w:r>
        <w:tab/>
      </w:r>
      <w:r>
        <w:fldChar w:fldCharType="begin"/>
      </w:r>
      <w:r>
        <w:instrText xml:space="preserve"> PAGEREF _Toc495310874 \h </w:instrText>
      </w:r>
      <w:r>
        <w:fldChar w:fldCharType="separate"/>
      </w:r>
      <w:r>
        <w:t>288</w:t>
      </w:r>
      <w:r>
        <w:fldChar w:fldCharType="end"/>
      </w:r>
    </w:p>
    <w:p w14:paraId="6ADCD6DD" w14:textId="77777777" w:rsidR="00CC6E7E" w:rsidRPr="00AD6EB0" w:rsidRDefault="001804A1" w:rsidP="00BD235E">
      <w:pPr>
        <w:pStyle w:val="TOC1"/>
      </w:pPr>
      <w:r>
        <w:fldChar w:fldCharType="end"/>
      </w:r>
    </w:p>
    <w:p w14:paraId="352BD67F" w14:textId="77777777" w:rsidR="0007742F" w:rsidRDefault="0007742F" w:rsidP="004E6E1C">
      <w:pPr>
        <w:pStyle w:val="Agbodytext"/>
        <w:sectPr w:rsidR="0007742F" w:rsidSect="00686544">
          <w:headerReference w:type="default" r:id="rId17"/>
          <w:footerReference w:type="default" r:id="rId18"/>
          <w:pgSz w:w="11900" w:h="16840"/>
          <w:pgMar w:top="1916" w:right="1077" w:bottom="1304" w:left="1077" w:header="709" w:footer="397" w:gutter="0"/>
          <w:cols w:space="708"/>
          <w:docGrid w:linePitch="360"/>
        </w:sectPr>
      </w:pPr>
    </w:p>
    <w:p w14:paraId="6DD08380" w14:textId="77777777" w:rsidR="00FC4E76" w:rsidRDefault="00FC4E76" w:rsidP="004E6E1C">
      <w:pPr>
        <w:pStyle w:val="Agbulletlist"/>
      </w:pPr>
      <w:r>
        <w:br w:type="page"/>
      </w:r>
    </w:p>
    <w:p w14:paraId="7351BCA2" w14:textId="77777777" w:rsidR="005D37DA" w:rsidRPr="004E6E1C" w:rsidRDefault="005D37DA" w:rsidP="004E6E1C">
      <w:pPr>
        <w:pStyle w:val="Agbulletlist"/>
      </w:pPr>
      <w:r w:rsidRPr="004E6E1C">
        <w:br w:type="page"/>
      </w:r>
    </w:p>
    <w:p w14:paraId="21BE8BDD" w14:textId="77777777" w:rsidR="0036138F" w:rsidRDefault="0036138F" w:rsidP="002B0C9A">
      <w:pPr>
        <w:pStyle w:val="Heading1"/>
        <w:sectPr w:rsidR="0036138F" w:rsidSect="00641571">
          <w:headerReference w:type="default" r:id="rId19"/>
          <w:type w:val="continuous"/>
          <w:pgSz w:w="11900" w:h="16840"/>
          <w:pgMar w:top="1701" w:right="709" w:bottom="1701" w:left="709" w:header="709" w:footer="397" w:gutter="0"/>
          <w:cols w:num="2" w:space="708"/>
          <w:docGrid w:linePitch="360"/>
        </w:sectPr>
      </w:pPr>
    </w:p>
    <w:p w14:paraId="26085E40" w14:textId="77777777" w:rsidR="00286A88" w:rsidRPr="00E22870" w:rsidRDefault="006E5F37" w:rsidP="00253F51">
      <w:pPr>
        <w:pStyle w:val="Heading1"/>
        <w:rPr>
          <w:lang w:val="en-AU" w:eastAsia="en-AU"/>
        </w:rPr>
      </w:pPr>
      <w:bookmarkStart w:id="0" w:name="_Toc495310470"/>
      <w:r>
        <w:rPr>
          <w:lang w:val="en-AU" w:eastAsia="en-AU"/>
        </w:rPr>
        <w:t>General Introduction</w:t>
      </w:r>
      <w:bookmarkEnd w:id="0"/>
    </w:p>
    <w:p w14:paraId="2A14833C" w14:textId="77777777" w:rsidR="00286A88" w:rsidRPr="00253F51" w:rsidRDefault="00286A88" w:rsidP="00253F51">
      <w:pPr>
        <w:pStyle w:val="Heading2"/>
      </w:pPr>
      <w:bookmarkStart w:id="1" w:name="_Toc495310471"/>
      <w:r w:rsidRPr="00253F51">
        <w:t>Intro1. Purpose</w:t>
      </w:r>
      <w:bookmarkEnd w:id="1"/>
    </w:p>
    <w:p w14:paraId="6FFB614C" w14:textId="77777777" w:rsidR="00286A88" w:rsidRPr="00B17949" w:rsidRDefault="00286A88" w:rsidP="00C31175">
      <w:pPr>
        <w:rPr>
          <w:lang w:val="en-AU" w:eastAsia="en-AU"/>
        </w:rPr>
      </w:pPr>
      <w:r w:rsidRPr="00B17949">
        <w:rPr>
          <w:lang w:val="en-AU" w:eastAsia="en-AU"/>
        </w:rPr>
        <w:t xml:space="preserve">This review of the peer-reviewed scientific literature on the care, management and slaughter of farmed poultry, game birds and ratites </w:t>
      </w:r>
      <w:r w:rsidR="000416DF">
        <w:rPr>
          <w:lang w:val="en-AU" w:eastAsia="en-AU"/>
        </w:rPr>
        <w:t xml:space="preserve">has been prepared for the </w:t>
      </w:r>
      <w:r w:rsidRPr="00B17949">
        <w:rPr>
          <w:lang w:val="en-AU" w:eastAsia="en-AU"/>
        </w:rPr>
        <w:t xml:space="preserve">Department of Economic Development, Jobs, Transport and Resources, Victoria, Australia. The review aims to highlight </w:t>
      </w:r>
      <w:r w:rsidR="00BB3FAA">
        <w:rPr>
          <w:lang w:val="en-AU" w:eastAsia="en-AU"/>
        </w:rPr>
        <w:t xml:space="preserve">scientific </w:t>
      </w:r>
      <w:r w:rsidRPr="00B17949">
        <w:rPr>
          <w:lang w:val="en-AU" w:eastAsia="en-AU"/>
        </w:rPr>
        <w:t>knowledge, where it exists, on the animal welfare consequences of care, management and slaughter procedures and practices and to identify substantial gaps in scientific knowledge</w:t>
      </w:r>
      <w:r w:rsidR="00BB3FAA">
        <w:rPr>
          <w:lang w:val="en-AU" w:eastAsia="en-AU"/>
        </w:rPr>
        <w:t>.</w:t>
      </w:r>
    </w:p>
    <w:p w14:paraId="19D08BE9" w14:textId="77777777" w:rsidR="00286A88" w:rsidRDefault="00286A88" w:rsidP="00253F51">
      <w:pPr>
        <w:pStyle w:val="Heading2"/>
        <w:rPr>
          <w:lang w:val="en-AU" w:eastAsia="en-AU"/>
        </w:rPr>
      </w:pPr>
      <w:bookmarkStart w:id="2" w:name="_Toc495310472"/>
      <w:r w:rsidRPr="00286A88">
        <w:rPr>
          <w:lang w:val="en-AU" w:eastAsia="en-AU"/>
        </w:rPr>
        <w:t>Intro2. Structure</w:t>
      </w:r>
      <w:bookmarkEnd w:id="2"/>
    </w:p>
    <w:p w14:paraId="70942150" w14:textId="77777777" w:rsidR="00286A88" w:rsidRPr="00B17949" w:rsidRDefault="00286A88" w:rsidP="00C31175">
      <w:pPr>
        <w:rPr>
          <w:lang w:val="en-AU" w:eastAsia="en-AU"/>
        </w:rPr>
      </w:pPr>
      <w:r w:rsidRPr="00B17949">
        <w:rPr>
          <w:lang w:val="en-AU" w:eastAsia="en-AU"/>
        </w:rPr>
        <w:t xml:space="preserve">The review has a structure adapted from Part A General Standards and Guidelines of the proposed </w:t>
      </w:r>
      <w:r w:rsidR="00C04A6B">
        <w:rPr>
          <w:lang w:val="en-AU" w:eastAsia="en-AU"/>
        </w:rPr>
        <w:t xml:space="preserve">draft </w:t>
      </w:r>
      <w:r w:rsidRPr="00B17949">
        <w:rPr>
          <w:lang w:val="en-AU" w:eastAsia="en-AU"/>
        </w:rPr>
        <w:t>Australian Animal Welfare Standards and Guidelines for Poultry. The adaptations that we have made are listed in Table Intro 1.</w:t>
      </w:r>
    </w:p>
    <w:p w14:paraId="7DCEF8B0" w14:textId="77777777" w:rsidR="00286A88" w:rsidRDefault="00286A88" w:rsidP="00C31175">
      <w:pPr>
        <w:rPr>
          <w:b/>
          <w:lang w:val="en-AU" w:eastAsia="en-AU"/>
        </w:rPr>
      </w:pPr>
      <w:r w:rsidRPr="00B17949">
        <w:rPr>
          <w:b/>
          <w:lang w:val="en-AU" w:eastAsia="en-AU"/>
        </w:rPr>
        <w:t>Table Intro 1: Review structure</w:t>
      </w:r>
    </w:p>
    <w:tbl>
      <w:tblPr>
        <w:tblStyle w:val="TableGrid"/>
        <w:tblW w:w="0" w:type="auto"/>
        <w:tblLook w:val="04A0" w:firstRow="1" w:lastRow="0" w:firstColumn="1" w:lastColumn="0" w:noHBand="0" w:noVBand="1"/>
        <w:tblCaption w:val="Table Intro 1: Review structure"/>
        <w:tblDescription w:val="The left hand column of this table shows the headings used to structure Part A of the General Standards and Guidelines in the proposed Australian Animal Welfare Standards and Guidelines for Poultry. The right hand column of the table shows how these subjects have been structured in each of the chapters of the Farmed Bird Welfare Science Review."/>
      </w:tblPr>
      <w:tblGrid>
        <w:gridCol w:w="4978"/>
        <w:gridCol w:w="4978"/>
      </w:tblGrid>
      <w:tr w:rsidR="00E22870" w14:paraId="0C165E53" w14:textId="77777777" w:rsidTr="00C30DC0">
        <w:trPr>
          <w:tblHeader/>
        </w:trPr>
        <w:tc>
          <w:tcPr>
            <w:tcW w:w="4984" w:type="dxa"/>
          </w:tcPr>
          <w:p w14:paraId="0827773F" w14:textId="77777777" w:rsidR="00E22870" w:rsidRPr="00B17949" w:rsidRDefault="00C04A6B" w:rsidP="00C04A6B">
            <w:pPr>
              <w:jc w:val="both"/>
              <w:rPr>
                <w:b/>
                <w:lang w:val="en-AU" w:eastAsia="en-AU"/>
              </w:rPr>
            </w:pPr>
            <w:r>
              <w:rPr>
                <w:b/>
                <w:lang w:val="en-AU" w:eastAsia="en-AU"/>
              </w:rPr>
              <w:t xml:space="preserve">Structure of </w:t>
            </w:r>
            <w:r w:rsidR="00E22870" w:rsidRPr="00B17949">
              <w:rPr>
                <w:b/>
                <w:lang w:val="en-AU" w:eastAsia="en-AU"/>
              </w:rPr>
              <w:t xml:space="preserve">Part A General Standards and Guidelines </w:t>
            </w:r>
            <w:r>
              <w:rPr>
                <w:b/>
                <w:lang w:val="en-AU" w:eastAsia="en-AU"/>
              </w:rPr>
              <w:t xml:space="preserve">of the </w:t>
            </w:r>
            <w:r w:rsidR="00E22870" w:rsidRPr="00B17949">
              <w:rPr>
                <w:b/>
                <w:lang w:val="en-AU" w:eastAsia="en-AU"/>
              </w:rPr>
              <w:t xml:space="preserve">proposed </w:t>
            </w:r>
            <w:r>
              <w:rPr>
                <w:b/>
                <w:lang w:val="en-AU" w:eastAsia="en-AU"/>
              </w:rPr>
              <w:t xml:space="preserve">draft </w:t>
            </w:r>
            <w:r w:rsidR="00E22870" w:rsidRPr="00B17949">
              <w:rPr>
                <w:b/>
                <w:lang w:val="en-AU" w:eastAsia="en-AU"/>
              </w:rPr>
              <w:t>Australian Animal Welfare Standards and Guidelines for Poultry</w:t>
            </w:r>
          </w:p>
        </w:tc>
        <w:tc>
          <w:tcPr>
            <w:tcW w:w="4984" w:type="dxa"/>
          </w:tcPr>
          <w:p w14:paraId="6D165060" w14:textId="77777777" w:rsidR="00E22870" w:rsidRPr="00B17949" w:rsidRDefault="00E22870" w:rsidP="004C4EAC">
            <w:pPr>
              <w:jc w:val="both"/>
              <w:rPr>
                <w:b/>
                <w:lang w:val="en-AU" w:eastAsia="en-AU"/>
              </w:rPr>
            </w:pPr>
            <w:r w:rsidRPr="00B17949">
              <w:rPr>
                <w:b/>
                <w:lang w:val="en-AU" w:eastAsia="en-AU"/>
              </w:rPr>
              <w:t>Structure adopted within this review for each farmed bird type</w:t>
            </w:r>
          </w:p>
        </w:tc>
      </w:tr>
      <w:tr w:rsidR="00E22870" w14:paraId="30FB269B" w14:textId="77777777" w:rsidTr="00E22870">
        <w:tc>
          <w:tcPr>
            <w:tcW w:w="4984" w:type="dxa"/>
          </w:tcPr>
          <w:p w14:paraId="512D5BE9" w14:textId="77777777" w:rsidR="00E22870" w:rsidRPr="00B17949" w:rsidRDefault="00E22870" w:rsidP="00C04A6B">
            <w:pPr>
              <w:rPr>
                <w:lang w:val="en-AU" w:eastAsia="en-AU"/>
              </w:rPr>
            </w:pPr>
            <w:r w:rsidRPr="00B17949">
              <w:rPr>
                <w:lang w:val="en-AU" w:eastAsia="en-AU"/>
              </w:rPr>
              <w:t>Responsibilities</w:t>
            </w:r>
            <w:r w:rsidR="00C04A6B">
              <w:rPr>
                <w:lang w:val="en-AU" w:eastAsia="en-AU"/>
              </w:rPr>
              <w:t xml:space="preserve"> (</w:t>
            </w:r>
            <w:r w:rsidRPr="00B17949">
              <w:rPr>
                <w:lang w:val="en-AU" w:eastAsia="en-AU"/>
              </w:rPr>
              <w:t>human responsibilities and competences</w:t>
            </w:r>
            <w:r w:rsidR="00C04A6B">
              <w:rPr>
                <w:lang w:val="en-AU" w:eastAsia="en-AU"/>
              </w:rPr>
              <w:t>)</w:t>
            </w:r>
          </w:p>
        </w:tc>
        <w:tc>
          <w:tcPr>
            <w:tcW w:w="4984" w:type="dxa"/>
          </w:tcPr>
          <w:p w14:paraId="542BD79B" w14:textId="77777777" w:rsidR="00E22870" w:rsidRPr="00B17949" w:rsidRDefault="00E22870" w:rsidP="003573EB">
            <w:pPr>
              <w:rPr>
                <w:lang w:val="en-AU" w:eastAsia="en-AU"/>
              </w:rPr>
            </w:pPr>
            <w:r w:rsidRPr="00B17949">
              <w:rPr>
                <w:lang w:val="en-AU" w:eastAsia="en-AU"/>
              </w:rPr>
              <w:t xml:space="preserve">Impact of human contact on welfare is briefly mentioned in sections on Fear and Distress, </w:t>
            </w:r>
            <w:r w:rsidR="003573EB">
              <w:rPr>
                <w:lang w:val="en-AU" w:eastAsia="en-AU"/>
              </w:rPr>
              <w:t>and</w:t>
            </w:r>
            <w:r>
              <w:t xml:space="preserve"> Handling and Management.</w:t>
            </w:r>
          </w:p>
        </w:tc>
      </w:tr>
      <w:tr w:rsidR="00E22870" w14:paraId="3441203A" w14:textId="77777777" w:rsidTr="00E22870">
        <w:tc>
          <w:tcPr>
            <w:tcW w:w="4984" w:type="dxa"/>
          </w:tcPr>
          <w:p w14:paraId="2E04E539" w14:textId="77777777" w:rsidR="00E22870" w:rsidRPr="00B17949" w:rsidRDefault="00E22870" w:rsidP="00C44199">
            <w:pPr>
              <w:rPr>
                <w:lang w:val="en-AU" w:eastAsia="en-AU"/>
              </w:rPr>
            </w:pPr>
            <w:r w:rsidRPr="00B17949">
              <w:rPr>
                <w:lang w:val="en-AU" w:eastAsia="en-AU"/>
              </w:rPr>
              <w:t>Feed and Water</w:t>
            </w:r>
          </w:p>
        </w:tc>
        <w:tc>
          <w:tcPr>
            <w:tcW w:w="4984" w:type="dxa"/>
          </w:tcPr>
          <w:p w14:paraId="0CDA782D" w14:textId="77777777" w:rsidR="00E22870" w:rsidRPr="00B17949" w:rsidRDefault="00E22870" w:rsidP="00C44199">
            <w:pPr>
              <w:rPr>
                <w:lang w:val="en-AU" w:eastAsia="en-AU"/>
              </w:rPr>
            </w:pPr>
            <w:r w:rsidRPr="00B17949">
              <w:rPr>
                <w:lang w:val="en-AU" w:eastAsia="en-AU"/>
              </w:rPr>
              <w:t>Yes</w:t>
            </w:r>
          </w:p>
        </w:tc>
      </w:tr>
      <w:tr w:rsidR="00E22870" w14:paraId="0229F15A" w14:textId="77777777" w:rsidTr="00E22870">
        <w:tc>
          <w:tcPr>
            <w:tcW w:w="4984" w:type="dxa"/>
          </w:tcPr>
          <w:p w14:paraId="417E2EA8" w14:textId="77777777" w:rsidR="00E22870" w:rsidRPr="00B17949" w:rsidRDefault="00E22870" w:rsidP="00C44199">
            <w:pPr>
              <w:rPr>
                <w:lang w:val="en-AU" w:eastAsia="en-AU"/>
              </w:rPr>
            </w:pPr>
            <w:r w:rsidRPr="00B17949">
              <w:rPr>
                <w:lang w:val="en-AU" w:eastAsia="en-AU"/>
              </w:rPr>
              <w:t>Risk Management (including weather, fires, floods,</w:t>
            </w:r>
            <w:r>
              <w:t xml:space="preserve"> disease, injury and predation)</w:t>
            </w:r>
          </w:p>
        </w:tc>
        <w:tc>
          <w:tcPr>
            <w:tcW w:w="4984" w:type="dxa"/>
          </w:tcPr>
          <w:p w14:paraId="20D0B7DA" w14:textId="77777777" w:rsidR="00E22870" w:rsidRPr="00B17949" w:rsidRDefault="00E22870" w:rsidP="00C44199">
            <w:pPr>
              <w:rPr>
                <w:lang w:val="en-AU" w:eastAsia="en-AU"/>
              </w:rPr>
            </w:pPr>
            <w:r w:rsidRPr="00B17949">
              <w:rPr>
                <w:lang w:val="en-AU" w:eastAsia="en-AU"/>
              </w:rPr>
              <w:t xml:space="preserve">Yes – the scientific literature mostly concerns disease, injury, predation, </w:t>
            </w:r>
            <w:r w:rsidR="000416DF">
              <w:rPr>
                <w:lang w:val="en-AU" w:eastAsia="en-AU"/>
              </w:rPr>
              <w:t xml:space="preserve">and </w:t>
            </w:r>
            <w:r w:rsidRPr="00B17949">
              <w:rPr>
                <w:lang w:val="en-AU" w:eastAsia="en-AU"/>
              </w:rPr>
              <w:t>injurious behaviour. We found no peer-reviewed literature on steps that should be taken to cope with natural disasters and emergencies.</w:t>
            </w:r>
          </w:p>
        </w:tc>
      </w:tr>
      <w:tr w:rsidR="00E22870" w14:paraId="1E03F30A" w14:textId="77777777" w:rsidTr="00E22870">
        <w:tc>
          <w:tcPr>
            <w:tcW w:w="4984" w:type="dxa"/>
          </w:tcPr>
          <w:p w14:paraId="1E1CC44B" w14:textId="77777777" w:rsidR="00E22870" w:rsidRPr="00B17949" w:rsidRDefault="00E22870" w:rsidP="00C44199">
            <w:pPr>
              <w:rPr>
                <w:lang w:val="en-AU" w:eastAsia="en-AU"/>
              </w:rPr>
            </w:pPr>
            <w:r w:rsidRPr="00B17949">
              <w:rPr>
                <w:lang w:val="en-AU" w:eastAsia="en-AU"/>
              </w:rPr>
              <w:t>Facilities and Equipment (included within this is the statement that facility construction should take account of poultry behaviour)</w:t>
            </w:r>
          </w:p>
        </w:tc>
        <w:tc>
          <w:tcPr>
            <w:tcW w:w="4984" w:type="dxa"/>
          </w:tcPr>
          <w:p w14:paraId="50A3265F" w14:textId="77777777" w:rsidR="00E22870" w:rsidRPr="00B17949" w:rsidRDefault="00E22870" w:rsidP="00C44199">
            <w:pPr>
              <w:rPr>
                <w:lang w:val="en-AU" w:eastAsia="en-AU"/>
              </w:rPr>
            </w:pPr>
            <w:r w:rsidRPr="00B17949">
              <w:rPr>
                <w:lang w:val="en-AU" w:eastAsia="en-AU"/>
              </w:rPr>
              <w:t>Yes – the large literature on the evidence relating to behavioural needs of some of the farmed bird species has been included in the section called Facilities and Equipment: Behavioural Needs.</w:t>
            </w:r>
          </w:p>
        </w:tc>
      </w:tr>
      <w:tr w:rsidR="00E22870" w14:paraId="6B426919" w14:textId="77777777" w:rsidTr="00E22870">
        <w:tc>
          <w:tcPr>
            <w:tcW w:w="4984" w:type="dxa"/>
          </w:tcPr>
          <w:p w14:paraId="188F8906" w14:textId="77777777" w:rsidR="00E22870" w:rsidRPr="00B17949" w:rsidRDefault="00E22870" w:rsidP="00C44199">
            <w:pPr>
              <w:rPr>
                <w:lang w:val="en-AU" w:eastAsia="en-AU"/>
              </w:rPr>
            </w:pPr>
            <w:r w:rsidRPr="00B17949">
              <w:rPr>
                <w:lang w:val="en-AU" w:eastAsia="en-AU"/>
              </w:rPr>
              <w:t>Management of outdoor systems</w:t>
            </w:r>
          </w:p>
        </w:tc>
        <w:tc>
          <w:tcPr>
            <w:tcW w:w="4984" w:type="dxa"/>
          </w:tcPr>
          <w:p w14:paraId="55885C1B" w14:textId="77777777" w:rsidR="00E22870" w:rsidRPr="00B17949" w:rsidRDefault="00E22870" w:rsidP="00C44199">
            <w:pPr>
              <w:rPr>
                <w:lang w:val="en-AU" w:eastAsia="en-AU"/>
              </w:rPr>
            </w:pPr>
            <w:r w:rsidRPr="00B17949">
              <w:rPr>
                <w:lang w:val="en-AU" w:eastAsia="en-AU"/>
              </w:rPr>
              <w:t>We have included a broader section called Facilities and Equipment: Behavioural Usage. This section outlines how housing systems, and design features within housing systems (including the outdoo</w:t>
            </w:r>
            <w:r>
              <w:t>r range), affect bird welfare.</w:t>
            </w:r>
          </w:p>
        </w:tc>
      </w:tr>
      <w:tr w:rsidR="00E22870" w14:paraId="5A657341" w14:textId="77777777" w:rsidTr="00E22870">
        <w:tc>
          <w:tcPr>
            <w:tcW w:w="4984" w:type="dxa"/>
          </w:tcPr>
          <w:p w14:paraId="6DC6D67F" w14:textId="77777777" w:rsidR="00E22870" w:rsidRPr="00B17949" w:rsidRDefault="00E22870" w:rsidP="00C44199">
            <w:pPr>
              <w:rPr>
                <w:lang w:val="en-AU" w:eastAsia="en-AU"/>
              </w:rPr>
            </w:pPr>
            <w:r w:rsidRPr="00B17949">
              <w:rPr>
                <w:lang w:val="en-AU" w:eastAsia="en-AU"/>
              </w:rPr>
              <w:t>Facilities and Equipment (included within this is the statement that facility construction should minimise fear and distre</w:t>
            </w:r>
            <w:r>
              <w:t>ss)</w:t>
            </w:r>
          </w:p>
        </w:tc>
        <w:tc>
          <w:tcPr>
            <w:tcW w:w="4984" w:type="dxa"/>
          </w:tcPr>
          <w:p w14:paraId="001FAE11" w14:textId="77777777" w:rsidR="00E22870" w:rsidRPr="00B17949" w:rsidRDefault="00E22870" w:rsidP="00C44199">
            <w:pPr>
              <w:rPr>
                <w:lang w:val="en-AU" w:eastAsia="en-AU"/>
              </w:rPr>
            </w:pPr>
            <w:r w:rsidRPr="00B17949">
              <w:rPr>
                <w:lang w:val="en-AU" w:eastAsia="en-AU"/>
              </w:rPr>
              <w:t>We have included a section on Fear and Distress.</w:t>
            </w:r>
          </w:p>
        </w:tc>
      </w:tr>
      <w:tr w:rsidR="00E22870" w14:paraId="4355E08B" w14:textId="77777777" w:rsidTr="00E22870">
        <w:tc>
          <w:tcPr>
            <w:tcW w:w="4984" w:type="dxa"/>
          </w:tcPr>
          <w:p w14:paraId="01035D7C" w14:textId="77777777" w:rsidR="00E22870" w:rsidRPr="00B17949" w:rsidRDefault="00E22870" w:rsidP="00C44199">
            <w:pPr>
              <w:rPr>
                <w:lang w:val="en-AU" w:eastAsia="en-AU"/>
              </w:rPr>
            </w:pPr>
            <w:r w:rsidRPr="00B17949">
              <w:rPr>
                <w:lang w:val="en-AU" w:eastAsia="en-AU"/>
              </w:rPr>
              <w:t>Lighting</w:t>
            </w:r>
          </w:p>
        </w:tc>
        <w:tc>
          <w:tcPr>
            <w:tcW w:w="4984" w:type="dxa"/>
          </w:tcPr>
          <w:p w14:paraId="792609E0" w14:textId="77777777" w:rsidR="00E22870" w:rsidRPr="00B17949" w:rsidRDefault="00E22870" w:rsidP="00C44199">
            <w:pPr>
              <w:rPr>
                <w:lang w:val="en-AU" w:eastAsia="en-AU"/>
              </w:rPr>
            </w:pPr>
            <w:r w:rsidRPr="00B17949">
              <w:rPr>
                <w:lang w:val="en-AU" w:eastAsia="en-AU"/>
              </w:rPr>
              <w:t>We have a section on Sensory Environment which covers scientific work on birds’ perceptual abilities and their preferences for aspects of lighting, sound, olfaction and thermal environment.</w:t>
            </w:r>
          </w:p>
        </w:tc>
      </w:tr>
      <w:tr w:rsidR="00E22870" w14:paraId="0F7B6AA0" w14:textId="77777777" w:rsidTr="00E22870">
        <w:tc>
          <w:tcPr>
            <w:tcW w:w="4984" w:type="dxa"/>
          </w:tcPr>
          <w:p w14:paraId="509417C7" w14:textId="77777777" w:rsidR="00E22870" w:rsidRPr="00B17949" w:rsidRDefault="00E22870" w:rsidP="00C44199">
            <w:pPr>
              <w:rPr>
                <w:lang w:val="en-AU" w:eastAsia="en-AU"/>
              </w:rPr>
            </w:pPr>
            <w:r w:rsidRPr="00B17949">
              <w:rPr>
                <w:lang w:val="en-AU" w:eastAsia="en-AU"/>
              </w:rPr>
              <w:t>Temperature and Ventilation</w:t>
            </w:r>
          </w:p>
        </w:tc>
        <w:tc>
          <w:tcPr>
            <w:tcW w:w="4984" w:type="dxa"/>
          </w:tcPr>
          <w:p w14:paraId="5C60FA9E" w14:textId="77777777" w:rsidR="00E22870" w:rsidRPr="00B17949" w:rsidRDefault="00E22870" w:rsidP="00C44199">
            <w:pPr>
              <w:rPr>
                <w:lang w:val="en-AU" w:eastAsia="en-AU"/>
              </w:rPr>
            </w:pPr>
            <w:r w:rsidRPr="00B17949">
              <w:rPr>
                <w:lang w:val="en-AU" w:eastAsia="en-AU"/>
              </w:rPr>
              <w:t>Thermal comfort aspects are included in the section on Sensory Environment. Air quality aspects (as relating to bird health) are included in Managem</w:t>
            </w:r>
            <w:r>
              <w:t>ent and Handling section below.</w:t>
            </w:r>
          </w:p>
        </w:tc>
      </w:tr>
      <w:tr w:rsidR="00E22870" w14:paraId="67BD50D5" w14:textId="77777777" w:rsidTr="00E22870">
        <w:tc>
          <w:tcPr>
            <w:tcW w:w="4984" w:type="dxa"/>
          </w:tcPr>
          <w:p w14:paraId="0CB62CD5" w14:textId="77777777" w:rsidR="00E22870" w:rsidRPr="00B17949" w:rsidRDefault="00E22870" w:rsidP="00C44199">
            <w:pPr>
              <w:rPr>
                <w:lang w:val="en-AU" w:eastAsia="en-AU"/>
              </w:rPr>
            </w:pPr>
            <w:r w:rsidRPr="00B17949">
              <w:rPr>
                <w:lang w:val="en-AU" w:eastAsia="en-AU"/>
              </w:rPr>
              <w:t>Litter Management</w:t>
            </w:r>
          </w:p>
        </w:tc>
        <w:tc>
          <w:tcPr>
            <w:tcW w:w="4984" w:type="dxa"/>
          </w:tcPr>
          <w:p w14:paraId="43E29D67" w14:textId="77777777" w:rsidR="00E22870" w:rsidRPr="00B17949" w:rsidRDefault="00E22870" w:rsidP="00C44199">
            <w:pPr>
              <w:rPr>
                <w:lang w:val="en-AU" w:eastAsia="en-AU"/>
              </w:rPr>
            </w:pPr>
            <w:r w:rsidRPr="00B17949">
              <w:rPr>
                <w:lang w:val="en-AU" w:eastAsia="en-AU"/>
              </w:rPr>
              <w:t>The importance of good litter management in mediating risks for health or injurious behaviour is considered with</w:t>
            </w:r>
            <w:r>
              <w:t>in the Risk Management section.</w:t>
            </w:r>
          </w:p>
        </w:tc>
      </w:tr>
      <w:tr w:rsidR="00E22870" w14:paraId="6ADF7309" w14:textId="77777777" w:rsidTr="00E22870">
        <w:tc>
          <w:tcPr>
            <w:tcW w:w="4984" w:type="dxa"/>
          </w:tcPr>
          <w:p w14:paraId="64D2E21B" w14:textId="77777777" w:rsidR="00E22870" w:rsidRPr="00B17949" w:rsidRDefault="00E22870" w:rsidP="00C44199">
            <w:pPr>
              <w:rPr>
                <w:lang w:val="en-AU" w:eastAsia="en-AU"/>
              </w:rPr>
            </w:pPr>
            <w:r w:rsidRPr="00B17949">
              <w:rPr>
                <w:lang w:val="en-AU" w:eastAsia="en-AU"/>
              </w:rPr>
              <w:t>Handling and husbandry (including stocking density and procedures such as bea</w:t>
            </w:r>
            <w:r>
              <w:t>k trimming and forced moulting)</w:t>
            </w:r>
          </w:p>
        </w:tc>
        <w:tc>
          <w:tcPr>
            <w:tcW w:w="4984" w:type="dxa"/>
          </w:tcPr>
          <w:p w14:paraId="093900C6" w14:textId="77777777" w:rsidR="00E22870" w:rsidRPr="00B17949" w:rsidRDefault="00E22870" w:rsidP="00C44199">
            <w:pPr>
              <w:rPr>
                <w:lang w:val="en-AU" w:eastAsia="en-AU"/>
              </w:rPr>
            </w:pPr>
            <w:r w:rsidRPr="00B17949">
              <w:rPr>
                <w:lang w:val="en-AU" w:eastAsia="en-AU"/>
              </w:rPr>
              <w:t>Our section heading is Handling and Management and includes sub-sections on stocking density, whole-house management (e.</w:t>
            </w:r>
            <w:r>
              <w:t>g. ventilation) and procedures.</w:t>
            </w:r>
          </w:p>
        </w:tc>
      </w:tr>
      <w:tr w:rsidR="00E22870" w14:paraId="51E56DC1" w14:textId="77777777" w:rsidTr="00E22870">
        <w:tc>
          <w:tcPr>
            <w:tcW w:w="4984" w:type="dxa"/>
          </w:tcPr>
          <w:p w14:paraId="194D0893" w14:textId="77777777" w:rsidR="00E22870" w:rsidRPr="00B17949" w:rsidRDefault="00E22870" w:rsidP="00C44199">
            <w:pPr>
              <w:rPr>
                <w:lang w:val="en-AU" w:eastAsia="en-AU"/>
              </w:rPr>
            </w:pPr>
            <w:r w:rsidRPr="00B17949">
              <w:rPr>
                <w:lang w:val="en-AU" w:eastAsia="en-AU"/>
              </w:rPr>
              <w:t>Humane Killing</w:t>
            </w:r>
            <w:r w:rsidR="000416DF">
              <w:rPr>
                <w:lang w:val="en-AU" w:eastAsia="en-AU"/>
              </w:rPr>
              <w:t>, and Poultry at Slaughtering Establishments</w:t>
            </w:r>
          </w:p>
        </w:tc>
        <w:tc>
          <w:tcPr>
            <w:tcW w:w="4984" w:type="dxa"/>
          </w:tcPr>
          <w:p w14:paraId="3B4E9CE2" w14:textId="77777777" w:rsidR="00E22870" w:rsidRPr="00B17949" w:rsidRDefault="00E22870" w:rsidP="000416DF">
            <w:pPr>
              <w:rPr>
                <w:lang w:val="en-AU" w:eastAsia="en-AU"/>
              </w:rPr>
            </w:pPr>
            <w:r w:rsidRPr="00B17949">
              <w:rPr>
                <w:lang w:val="en-AU" w:eastAsia="en-AU"/>
              </w:rPr>
              <w:t>Th</w:t>
            </w:r>
            <w:r w:rsidR="000416DF">
              <w:rPr>
                <w:lang w:val="en-AU" w:eastAsia="en-AU"/>
              </w:rPr>
              <w:t xml:space="preserve">ese are </w:t>
            </w:r>
            <w:r w:rsidRPr="00B17949">
              <w:rPr>
                <w:lang w:val="en-AU" w:eastAsia="en-AU"/>
              </w:rPr>
              <w:t xml:space="preserve">provided in the chapter titled Slaughter. </w:t>
            </w:r>
          </w:p>
        </w:tc>
      </w:tr>
    </w:tbl>
    <w:p w14:paraId="69B07547" w14:textId="77777777" w:rsidR="00286A88" w:rsidRPr="00B17949" w:rsidRDefault="00286A88" w:rsidP="00C31175">
      <w:pPr>
        <w:rPr>
          <w:lang w:val="en-AU" w:eastAsia="en-AU"/>
        </w:rPr>
      </w:pPr>
      <w:r w:rsidRPr="00B17949">
        <w:rPr>
          <w:lang w:val="en-AU" w:eastAsia="en-AU"/>
        </w:rPr>
        <w:t>Scientific studies on bird welfare have been conducted for many different reasons. They do not all fit easily into any one classification system. For example, a study on the effect of perches on foot condition could be included under the section on risk management (foot health) or facilities and equipment (behavioural usage). If the use of the perches was also influenced by the light intensity then the same study might need to be mentioned under Sensory Environment, alongside other studies that examined light intensity effects on other bird welfare parameters. Whilst we have attempted to minimise repetition and cross-referencing, we consider there is no one report structure that could eliminate the need for this.</w:t>
      </w:r>
    </w:p>
    <w:p w14:paraId="319021C6" w14:textId="77777777" w:rsidR="00286A88" w:rsidRPr="00B17949" w:rsidRDefault="00286A88" w:rsidP="00C31175">
      <w:pPr>
        <w:rPr>
          <w:lang w:val="en-AU" w:eastAsia="en-AU"/>
        </w:rPr>
      </w:pPr>
      <w:r w:rsidRPr="00B17949">
        <w:rPr>
          <w:lang w:val="en-AU" w:eastAsia="en-AU"/>
        </w:rPr>
        <w:t>An extensive literature is available for some types of farmed birds (laying hens, broilers, broiler breeders) but there are gaps in the literature available for other types of bird. Where a section is not included (e.g. no section on Facilities and Equipment: Behavioural Needs for pigeons) this means that no welfare-relevant peer-reviewed literature was found, not that this may not be an important aspect of bird welfare.</w:t>
      </w:r>
    </w:p>
    <w:p w14:paraId="016C81E0" w14:textId="77777777" w:rsidR="00286A88" w:rsidRPr="00B17949" w:rsidRDefault="00286A88" w:rsidP="00C31175">
      <w:pPr>
        <w:rPr>
          <w:lang w:val="en-AU" w:eastAsia="en-AU"/>
        </w:rPr>
      </w:pPr>
      <w:r w:rsidRPr="00B17949">
        <w:rPr>
          <w:lang w:val="en-AU" w:eastAsia="en-AU"/>
        </w:rPr>
        <w:t>A review of the literature on the transport of farmed birds was not required for this review. Transport of poultry is covered by the Australian Animal Welfare Standards and Guidelines – Land Transport of Livestock (2012).</w:t>
      </w:r>
    </w:p>
    <w:p w14:paraId="3ABF12CA" w14:textId="77777777" w:rsidR="00286A88" w:rsidRPr="00286A88" w:rsidRDefault="00286A88" w:rsidP="00253F51">
      <w:pPr>
        <w:pStyle w:val="Heading2"/>
        <w:rPr>
          <w:lang w:val="en-AU" w:eastAsia="en-AU"/>
        </w:rPr>
      </w:pPr>
      <w:bookmarkStart w:id="3" w:name="_Toc495310473"/>
      <w:r w:rsidRPr="00286A88">
        <w:rPr>
          <w:lang w:val="en-AU" w:eastAsia="en-AU"/>
        </w:rPr>
        <w:t>Intro3. Methodology</w:t>
      </w:r>
      <w:bookmarkEnd w:id="3"/>
    </w:p>
    <w:p w14:paraId="4F40B3DD" w14:textId="77777777" w:rsidR="00286A88" w:rsidRPr="00C31175" w:rsidRDefault="00286A88" w:rsidP="004C4EAC">
      <w:pPr>
        <w:pStyle w:val="Heading3"/>
        <w:rPr>
          <w:lang w:val="en-AU" w:eastAsia="en-AU"/>
        </w:rPr>
      </w:pPr>
      <w:bookmarkStart w:id="4" w:name="_Toc495310474"/>
      <w:r w:rsidRPr="00C31175">
        <w:rPr>
          <w:lang w:val="en-AU" w:eastAsia="en-AU"/>
        </w:rPr>
        <w:t>Intro3.1 Scoping review</w:t>
      </w:r>
      <w:bookmarkEnd w:id="4"/>
    </w:p>
    <w:p w14:paraId="0040FA7C" w14:textId="77777777" w:rsidR="00286A88" w:rsidRPr="00C31175" w:rsidRDefault="00286A88" w:rsidP="00C31175">
      <w:pPr>
        <w:rPr>
          <w:lang w:val="en-AU" w:eastAsia="en-AU"/>
        </w:rPr>
      </w:pPr>
      <w:r w:rsidRPr="00C31175">
        <w:rPr>
          <w:lang w:val="en-AU" w:eastAsia="en-AU"/>
        </w:rPr>
        <w:t>To ensure a comprehensive review we consulted with librarians and selected Web of Science (WoS) as the primary database to be used. Tests showed that all papers detected in CAB Abstracts were also detected in WoS, but that WoS identified additional relevant papers.</w:t>
      </w:r>
    </w:p>
    <w:p w14:paraId="57D60850" w14:textId="77777777" w:rsidR="00286A88" w:rsidRPr="00C31175" w:rsidRDefault="00286A88" w:rsidP="00C31175">
      <w:pPr>
        <w:rPr>
          <w:lang w:val="en-AU" w:eastAsia="en-AU"/>
        </w:rPr>
      </w:pPr>
      <w:r w:rsidRPr="00C31175">
        <w:rPr>
          <w:lang w:val="en-AU" w:eastAsia="en-AU"/>
        </w:rPr>
        <w:t>Primary searches were then conducted using the species/type name (or variants of) and the term “welfare”. The primary search for each type of farmed bird has been fully documented, including numbers of papers excluded from further consideration and reasons for exclusion (Appendix A). To reduce the frequency of irrelevant hits we used the WoS SCI-Expanded database only, excluding other databases by using the “More Settings” function, and excluding reviews, book reviews, proceedings and editorial material. The primary search was restricted to the years 2000-2017, although the final review contains reference to older papers either if these are seminal works or (for some types of birds) if recent literature was so sparse that older literature had to be consulted.</w:t>
      </w:r>
    </w:p>
    <w:p w14:paraId="4909D7C7" w14:textId="77777777" w:rsidR="00286A88" w:rsidRPr="00C31175" w:rsidRDefault="00286A88" w:rsidP="00C31175">
      <w:pPr>
        <w:rPr>
          <w:lang w:val="en-AU" w:eastAsia="en-AU"/>
        </w:rPr>
      </w:pPr>
      <w:r w:rsidRPr="00C31175">
        <w:rPr>
          <w:lang w:val="en-AU" w:eastAsia="en-AU"/>
        </w:rPr>
        <w:t>We then conducted a series of secondary searches using the species/farmed bird type name that had the greatest utility in the primary search and combining it with key terms in the following order:</w:t>
      </w:r>
    </w:p>
    <w:p w14:paraId="19A7D90B" w14:textId="77777777" w:rsidR="00286A88" w:rsidRPr="00C31175" w:rsidRDefault="00286A88" w:rsidP="00C31175">
      <w:pPr>
        <w:rPr>
          <w:lang w:val="en-AU" w:eastAsia="en-AU"/>
        </w:rPr>
      </w:pPr>
      <w:r w:rsidRPr="00C31175">
        <w:rPr>
          <w:lang w:val="en-AU" w:eastAsia="en-AU"/>
        </w:rPr>
        <w:t>Health</w:t>
      </w:r>
    </w:p>
    <w:p w14:paraId="573E361D" w14:textId="77777777" w:rsidR="00286A88" w:rsidRPr="00C31175" w:rsidRDefault="00286A88" w:rsidP="00C31175">
      <w:pPr>
        <w:rPr>
          <w:lang w:val="en-AU" w:eastAsia="en-AU"/>
        </w:rPr>
      </w:pPr>
      <w:r w:rsidRPr="00C31175">
        <w:rPr>
          <w:lang w:val="en-AU" w:eastAsia="en-AU"/>
        </w:rPr>
        <w:t>Stress* or fear*</w:t>
      </w:r>
    </w:p>
    <w:p w14:paraId="08AEDC71" w14:textId="77777777" w:rsidR="00286A88" w:rsidRPr="00C31175" w:rsidRDefault="00286A88" w:rsidP="00C31175">
      <w:pPr>
        <w:rPr>
          <w:lang w:val="en-AU" w:eastAsia="en-AU"/>
        </w:rPr>
      </w:pPr>
      <w:r w:rsidRPr="00C31175">
        <w:rPr>
          <w:lang w:val="en-AU" w:eastAsia="en-AU"/>
        </w:rPr>
        <w:t>Injur* or Cull* or Mortali*</w:t>
      </w:r>
    </w:p>
    <w:p w14:paraId="374B8FBA" w14:textId="77777777" w:rsidR="00286A88" w:rsidRPr="00C31175" w:rsidRDefault="00286A88" w:rsidP="00C31175">
      <w:pPr>
        <w:rPr>
          <w:lang w:val="en-AU" w:eastAsia="en-AU"/>
        </w:rPr>
      </w:pPr>
      <w:r w:rsidRPr="00C31175">
        <w:rPr>
          <w:lang w:val="en-AU" w:eastAsia="en-AU"/>
        </w:rPr>
        <w:t>Density or space</w:t>
      </w:r>
    </w:p>
    <w:p w14:paraId="68D5A0A5" w14:textId="77777777" w:rsidR="00286A88" w:rsidRPr="00C31175" w:rsidRDefault="00286A88" w:rsidP="00C31175">
      <w:pPr>
        <w:rPr>
          <w:lang w:val="en-AU" w:eastAsia="en-AU"/>
        </w:rPr>
      </w:pPr>
      <w:r w:rsidRPr="00C31175">
        <w:rPr>
          <w:lang w:val="en-AU" w:eastAsia="en-AU"/>
        </w:rPr>
        <w:t>Litter or perch* or nest* or enrich*</w:t>
      </w:r>
    </w:p>
    <w:p w14:paraId="6680BE1E" w14:textId="77777777" w:rsidR="00286A88" w:rsidRPr="00C31175" w:rsidRDefault="00286A88" w:rsidP="00C31175">
      <w:pPr>
        <w:rPr>
          <w:lang w:val="en-AU" w:eastAsia="en-AU"/>
        </w:rPr>
      </w:pPr>
      <w:r w:rsidRPr="00C31175">
        <w:rPr>
          <w:lang w:val="en-AU" w:eastAsia="en-AU"/>
        </w:rPr>
        <w:t>Dust-bath* or dustbath*</w:t>
      </w:r>
    </w:p>
    <w:p w14:paraId="740A7F7A" w14:textId="77777777" w:rsidR="00286A88" w:rsidRPr="00C31175" w:rsidRDefault="00286A88" w:rsidP="00C31175">
      <w:pPr>
        <w:rPr>
          <w:lang w:val="en-AU" w:eastAsia="en-AU"/>
        </w:rPr>
      </w:pPr>
      <w:r w:rsidRPr="00C31175">
        <w:rPr>
          <w:lang w:val="en-AU" w:eastAsia="en-AU"/>
        </w:rPr>
        <w:t>Peck* or beak*</w:t>
      </w:r>
    </w:p>
    <w:p w14:paraId="51C971D1" w14:textId="77777777" w:rsidR="00286A88" w:rsidRPr="00C31175" w:rsidRDefault="00286A88" w:rsidP="00C31175">
      <w:pPr>
        <w:rPr>
          <w:lang w:val="en-AU" w:eastAsia="en-AU"/>
        </w:rPr>
      </w:pPr>
      <w:r w:rsidRPr="00C31175">
        <w:rPr>
          <w:lang w:val="en-AU" w:eastAsia="en-AU"/>
        </w:rPr>
        <w:t>This was followed by searches using the term well-being, and any other terms that were particularly relevant for a given type of farmed bird.</w:t>
      </w:r>
    </w:p>
    <w:p w14:paraId="38203A90" w14:textId="77777777" w:rsidR="00286A88" w:rsidRPr="00C31175" w:rsidRDefault="00286A88" w:rsidP="00C31175">
      <w:pPr>
        <w:rPr>
          <w:lang w:val="en-AU" w:eastAsia="en-AU"/>
        </w:rPr>
      </w:pPr>
      <w:r w:rsidRPr="00C31175">
        <w:rPr>
          <w:lang w:val="en-AU" w:eastAsia="en-AU"/>
        </w:rPr>
        <w:t>For bird slaughter, a similar approach was adopted, but the search terms varied. Species terms were as used above but no distinction was made between the various types of chicken. Chicken was searched between 2000 and 2017 and acceptances restricted to articles. Duck, geese and turkeys, ostrich and emu were searched between 2000 and 2017 and acceptances not restricted to articles. Guinea fowl, partridge, pheasants, pigeons and quail were searched between 1990 and 2017 and acceptances not restricted to articles. Searches (species AND subject AND interest) were conducted using the following terms:</w:t>
      </w:r>
    </w:p>
    <w:p w14:paraId="477385C5" w14:textId="77777777" w:rsidR="00286A88" w:rsidRPr="00C31175" w:rsidRDefault="00286A88" w:rsidP="00C31175">
      <w:pPr>
        <w:rPr>
          <w:lang w:val="en-AU" w:eastAsia="en-AU"/>
        </w:rPr>
      </w:pPr>
      <w:r w:rsidRPr="00C31175">
        <w:rPr>
          <w:lang w:val="en-AU" w:eastAsia="en-AU"/>
        </w:rPr>
        <w:t>Subject: ((Stun* Not stunt) OR kill* OR slaughter* OR cull* OR shackl* OR lairage OR CAS OR CAK OR “carbon dioxide” OR CO2 OR “controlled atmos” OR “Low atmos” OR laps OR waterbath OR “water-bath” OR “water bath” ) NOT campylobacter</w:t>
      </w:r>
    </w:p>
    <w:p w14:paraId="35DFC024" w14:textId="77777777" w:rsidR="00286A88" w:rsidRPr="00C31175" w:rsidRDefault="00286A88" w:rsidP="00C31175">
      <w:pPr>
        <w:rPr>
          <w:lang w:val="en-AU" w:eastAsia="en-AU"/>
        </w:rPr>
      </w:pPr>
      <w:r w:rsidRPr="00C31175">
        <w:rPr>
          <w:lang w:val="en-AU" w:eastAsia="en-AU"/>
        </w:rPr>
        <w:t>Interest: EEG or electroencephalo* or unconscious* or *insensib* or welfare or stress or pain</w:t>
      </w:r>
    </w:p>
    <w:p w14:paraId="63DAFC4B" w14:textId="77777777" w:rsidR="00286A88" w:rsidRPr="00C31175" w:rsidRDefault="00286A88" w:rsidP="00C31175">
      <w:pPr>
        <w:rPr>
          <w:lang w:val="en-AU" w:eastAsia="en-AU"/>
        </w:rPr>
      </w:pPr>
      <w:r w:rsidRPr="00C31175">
        <w:rPr>
          <w:lang w:val="en-AU" w:eastAsia="en-AU"/>
        </w:rPr>
        <w:t>We then consulted every paper and excluded those that were not relevant (Appendix A).</w:t>
      </w:r>
    </w:p>
    <w:p w14:paraId="630DB391" w14:textId="77777777" w:rsidR="00286A88" w:rsidRDefault="00086458" w:rsidP="00C44199">
      <w:pPr>
        <w:spacing w:before="240"/>
        <w:rPr>
          <w:b/>
          <w:lang w:val="en-AU" w:eastAsia="en-AU"/>
        </w:rPr>
      </w:pPr>
      <w:r>
        <w:rPr>
          <w:b/>
          <w:lang w:val="en-AU" w:eastAsia="en-AU"/>
        </w:rPr>
        <w:br w:type="column"/>
      </w:r>
      <w:r w:rsidR="00286A88" w:rsidRPr="00C31175">
        <w:rPr>
          <w:b/>
          <w:lang w:val="en-AU" w:eastAsia="en-AU"/>
        </w:rPr>
        <w:t>Table Intro 2: Summary of articles available for review (excluding slaughter) for each type of farmed bird</w:t>
      </w:r>
    </w:p>
    <w:tbl>
      <w:tblPr>
        <w:tblStyle w:val="TableGrid3"/>
        <w:tblW w:w="0" w:type="auto"/>
        <w:tblLook w:val="04A0" w:firstRow="1" w:lastRow="0" w:firstColumn="1" w:lastColumn="0" w:noHBand="0" w:noVBand="1"/>
        <w:tblCaption w:val="Table Intro 2: Summary of articles available for review (excluding slaughter) for each farmed bird type"/>
        <w:tblDescription w:val="This table shows the number of scientific papers retained and excluded from the primary literature searches, the number of additional scientific papers retained in the secondary literature searches, and the total number of scientific papers retained for review, for each type of farmed bird. This table does not include the scientific papers relating to farmed bird slaughter."/>
      </w:tblPr>
      <w:tblGrid>
        <w:gridCol w:w="1991"/>
        <w:gridCol w:w="1752"/>
        <w:gridCol w:w="1752"/>
        <w:gridCol w:w="2469"/>
        <w:gridCol w:w="1992"/>
      </w:tblGrid>
      <w:tr w:rsidR="000416DF" w:rsidRPr="0078046F" w14:paraId="3B9597CA" w14:textId="77777777" w:rsidTr="000E4183">
        <w:trPr>
          <w:tblHeader/>
        </w:trPr>
        <w:tc>
          <w:tcPr>
            <w:tcW w:w="1991" w:type="dxa"/>
            <w:vMerge w:val="restart"/>
            <w:vAlign w:val="bottom"/>
          </w:tcPr>
          <w:p w14:paraId="1FAEB837" w14:textId="77777777" w:rsidR="000416DF" w:rsidRPr="0078046F" w:rsidRDefault="000416DF" w:rsidP="0077669D">
            <w:pPr>
              <w:rPr>
                <w:rFonts w:eastAsia="Calibri"/>
                <w:color w:val="000000"/>
              </w:rPr>
            </w:pPr>
            <w:r w:rsidRPr="0078046F">
              <w:rPr>
                <w:rFonts w:eastAsia="Calibri"/>
                <w:color w:val="000000"/>
              </w:rPr>
              <w:t>Farmed bird type</w:t>
            </w:r>
          </w:p>
        </w:tc>
        <w:tc>
          <w:tcPr>
            <w:tcW w:w="3504" w:type="dxa"/>
            <w:gridSpan w:val="2"/>
          </w:tcPr>
          <w:p w14:paraId="0CDDD719" w14:textId="77777777" w:rsidR="000416DF" w:rsidRPr="0078046F" w:rsidRDefault="000416DF" w:rsidP="0078046F">
            <w:pPr>
              <w:spacing w:after="0"/>
              <w:jc w:val="center"/>
              <w:rPr>
                <w:rFonts w:eastAsia="Calibri"/>
                <w:color w:val="000000"/>
              </w:rPr>
            </w:pPr>
            <w:r w:rsidRPr="0078046F">
              <w:rPr>
                <w:rFonts w:eastAsia="Calibri"/>
                <w:color w:val="000000"/>
              </w:rPr>
              <w:t>Primary search</w:t>
            </w:r>
          </w:p>
        </w:tc>
        <w:tc>
          <w:tcPr>
            <w:tcW w:w="2469" w:type="dxa"/>
          </w:tcPr>
          <w:p w14:paraId="359187A4" w14:textId="77777777" w:rsidR="000416DF" w:rsidRPr="0078046F" w:rsidRDefault="000416DF" w:rsidP="0078046F">
            <w:pPr>
              <w:jc w:val="center"/>
              <w:rPr>
                <w:rFonts w:eastAsia="Calibri"/>
                <w:color w:val="000000"/>
              </w:rPr>
            </w:pPr>
            <w:r w:rsidRPr="0078046F">
              <w:rPr>
                <w:rFonts w:eastAsia="Calibri"/>
                <w:color w:val="000000"/>
              </w:rPr>
              <w:t>Secondary search</w:t>
            </w:r>
          </w:p>
        </w:tc>
        <w:tc>
          <w:tcPr>
            <w:tcW w:w="1992" w:type="dxa"/>
            <w:vMerge w:val="restart"/>
          </w:tcPr>
          <w:p w14:paraId="2B0D62D7" w14:textId="77777777" w:rsidR="000416DF" w:rsidRPr="0078046F" w:rsidRDefault="000416DF" w:rsidP="0078046F">
            <w:pPr>
              <w:spacing w:after="0"/>
              <w:jc w:val="center"/>
              <w:rPr>
                <w:rFonts w:eastAsia="Calibri"/>
                <w:color w:val="000000"/>
              </w:rPr>
            </w:pPr>
            <w:r>
              <w:rPr>
                <w:rFonts w:eastAsia="Calibri"/>
                <w:b/>
                <w:color w:val="000000"/>
              </w:rPr>
              <w:t>Total number of papers for review</w:t>
            </w:r>
          </w:p>
        </w:tc>
      </w:tr>
      <w:tr w:rsidR="00AD6E72" w:rsidRPr="0078046F" w14:paraId="71118954" w14:textId="77777777" w:rsidTr="000416DF">
        <w:trPr>
          <w:tblHeader/>
        </w:trPr>
        <w:tc>
          <w:tcPr>
            <w:tcW w:w="1991" w:type="dxa"/>
            <w:vMerge/>
          </w:tcPr>
          <w:p w14:paraId="74ECF75F" w14:textId="77777777" w:rsidR="00AD6E72" w:rsidRPr="0078046F" w:rsidRDefault="00AD6E72" w:rsidP="0078046F">
            <w:pPr>
              <w:rPr>
                <w:rFonts w:eastAsia="Calibri"/>
                <w:color w:val="000000"/>
              </w:rPr>
            </w:pPr>
          </w:p>
        </w:tc>
        <w:tc>
          <w:tcPr>
            <w:tcW w:w="1752" w:type="dxa"/>
          </w:tcPr>
          <w:p w14:paraId="41DAF34B" w14:textId="77777777" w:rsidR="00AD6E72" w:rsidRPr="0078046F" w:rsidRDefault="00AD6E72" w:rsidP="0078046F">
            <w:pPr>
              <w:spacing w:after="0"/>
              <w:jc w:val="center"/>
              <w:rPr>
                <w:rFonts w:eastAsia="Calibri"/>
                <w:color w:val="000000"/>
              </w:rPr>
            </w:pPr>
            <w:r>
              <w:rPr>
                <w:rFonts w:eastAsia="Calibri"/>
                <w:color w:val="000000"/>
              </w:rPr>
              <w:t>Papers r</w:t>
            </w:r>
            <w:r w:rsidRPr="0078046F">
              <w:rPr>
                <w:rFonts w:eastAsia="Calibri"/>
                <w:color w:val="000000"/>
              </w:rPr>
              <w:t>etained</w:t>
            </w:r>
          </w:p>
        </w:tc>
        <w:tc>
          <w:tcPr>
            <w:tcW w:w="1752" w:type="dxa"/>
          </w:tcPr>
          <w:p w14:paraId="07B460C9" w14:textId="77777777" w:rsidR="00AD6E72" w:rsidRPr="0078046F" w:rsidRDefault="00AD6E72" w:rsidP="00AD6E72">
            <w:pPr>
              <w:spacing w:after="0"/>
              <w:jc w:val="center"/>
              <w:rPr>
                <w:rFonts w:eastAsia="Calibri"/>
                <w:color w:val="000000"/>
              </w:rPr>
            </w:pPr>
            <w:r>
              <w:rPr>
                <w:rFonts w:eastAsia="Calibri"/>
                <w:color w:val="000000"/>
              </w:rPr>
              <w:t>Papers e</w:t>
            </w:r>
            <w:r w:rsidRPr="0078046F">
              <w:rPr>
                <w:rFonts w:eastAsia="Calibri"/>
                <w:color w:val="000000"/>
              </w:rPr>
              <w:t>xcluded</w:t>
            </w:r>
          </w:p>
        </w:tc>
        <w:tc>
          <w:tcPr>
            <w:tcW w:w="2469" w:type="dxa"/>
          </w:tcPr>
          <w:p w14:paraId="2DF1BF02" w14:textId="77777777" w:rsidR="00AD6E72" w:rsidRPr="0078046F" w:rsidRDefault="00AD6E72" w:rsidP="0078046F">
            <w:pPr>
              <w:jc w:val="center"/>
              <w:rPr>
                <w:rFonts w:eastAsia="Calibri"/>
                <w:color w:val="000000"/>
              </w:rPr>
            </w:pPr>
            <w:r w:rsidRPr="0078046F">
              <w:rPr>
                <w:rFonts w:eastAsia="Calibri"/>
                <w:color w:val="000000"/>
              </w:rPr>
              <w:t>Additional papers retained</w:t>
            </w:r>
          </w:p>
        </w:tc>
        <w:tc>
          <w:tcPr>
            <w:tcW w:w="1992" w:type="dxa"/>
            <w:vMerge/>
          </w:tcPr>
          <w:p w14:paraId="2E398E36" w14:textId="77777777" w:rsidR="00AD6E72" w:rsidRPr="0078046F" w:rsidRDefault="00AD6E72" w:rsidP="0078046F">
            <w:pPr>
              <w:spacing w:after="0"/>
              <w:rPr>
                <w:rFonts w:eastAsia="Calibri"/>
                <w:color w:val="000000"/>
              </w:rPr>
            </w:pPr>
          </w:p>
        </w:tc>
      </w:tr>
      <w:tr w:rsidR="004C4EAC" w:rsidRPr="0078046F" w14:paraId="1C08EDE7" w14:textId="77777777" w:rsidTr="000416DF">
        <w:tc>
          <w:tcPr>
            <w:tcW w:w="1991" w:type="dxa"/>
          </w:tcPr>
          <w:p w14:paraId="48CE41F1" w14:textId="77777777" w:rsidR="004C4EAC" w:rsidRPr="0078046F" w:rsidRDefault="004C4EAC" w:rsidP="0078046F">
            <w:pPr>
              <w:rPr>
                <w:rFonts w:eastAsia="Calibri"/>
                <w:color w:val="000000"/>
              </w:rPr>
            </w:pPr>
            <w:r w:rsidRPr="0078046F">
              <w:rPr>
                <w:rFonts w:eastAsia="Calibri"/>
                <w:color w:val="000000"/>
              </w:rPr>
              <w:t>Laying hens</w:t>
            </w:r>
          </w:p>
        </w:tc>
        <w:tc>
          <w:tcPr>
            <w:tcW w:w="1752" w:type="dxa"/>
          </w:tcPr>
          <w:p w14:paraId="2BC4A015" w14:textId="77777777" w:rsidR="004C4EAC" w:rsidRPr="0078046F" w:rsidRDefault="004C4EAC" w:rsidP="0078046F">
            <w:pPr>
              <w:jc w:val="center"/>
              <w:rPr>
                <w:rFonts w:eastAsia="Calibri"/>
                <w:color w:val="000000"/>
              </w:rPr>
            </w:pPr>
            <w:r w:rsidRPr="0078046F">
              <w:rPr>
                <w:rFonts w:eastAsia="Calibri"/>
                <w:color w:val="000000"/>
              </w:rPr>
              <w:t>350</w:t>
            </w:r>
          </w:p>
        </w:tc>
        <w:tc>
          <w:tcPr>
            <w:tcW w:w="1752" w:type="dxa"/>
          </w:tcPr>
          <w:p w14:paraId="313DFDD4" w14:textId="77777777" w:rsidR="004C4EAC" w:rsidRPr="00060943" w:rsidRDefault="004C4EAC" w:rsidP="004C4EAC">
            <w:pPr>
              <w:jc w:val="center"/>
            </w:pPr>
            <w:r w:rsidRPr="00060943">
              <w:t>545</w:t>
            </w:r>
          </w:p>
        </w:tc>
        <w:tc>
          <w:tcPr>
            <w:tcW w:w="2469" w:type="dxa"/>
          </w:tcPr>
          <w:p w14:paraId="323F6A56" w14:textId="77777777" w:rsidR="004C4EAC" w:rsidRPr="0078046F" w:rsidRDefault="004C4EAC" w:rsidP="0078046F">
            <w:pPr>
              <w:jc w:val="center"/>
              <w:rPr>
                <w:rFonts w:eastAsia="Calibri"/>
                <w:color w:val="000000"/>
              </w:rPr>
            </w:pPr>
            <w:r w:rsidRPr="0078046F">
              <w:rPr>
                <w:rFonts w:eastAsia="Calibri"/>
                <w:color w:val="000000"/>
              </w:rPr>
              <w:t>142</w:t>
            </w:r>
          </w:p>
        </w:tc>
        <w:tc>
          <w:tcPr>
            <w:tcW w:w="1992" w:type="dxa"/>
          </w:tcPr>
          <w:p w14:paraId="45DF212F" w14:textId="77777777" w:rsidR="004C4EAC" w:rsidRPr="0078046F" w:rsidRDefault="004C4EAC" w:rsidP="0078046F">
            <w:pPr>
              <w:jc w:val="center"/>
              <w:rPr>
                <w:rFonts w:eastAsia="Calibri"/>
                <w:b/>
                <w:color w:val="000000"/>
              </w:rPr>
            </w:pPr>
            <w:r w:rsidRPr="0078046F">
              <w:rPr>
                <w:rFonts w:eastAsia="Calibri"/>
                <w:b/>
                <w:color w:val="000000"/>
              </w:rPr>
              <w:t>492</w:t>
            </w:r>
          </w:p>
        </w:tc>
      </w:tr>
      <w:tr w:rsidR="004C4EAC" w:rsidRPr="0078046F" w14:paraId="63C950CF" w14:textId="77777777" w:rsidTr="000416DF">
        <w:tc>
          <w:tcPr>
            <w:tcW w:w="1991" w:type="dxa"/>
          </w:tcPr>
          <w:p w14:paraId="1D9B8AFD" w14:textId="77777777" w:rsidR="004C4EAC" w:rsidRPr="0078046F" w:rsidRDefault="004C4EAC" w:rsidP="0078046F">
            <w:pPr>
              <w:rPr>
                <w:rFonts w:eastAsia="Calibri"/>
                <w:color w:val="000000"/>
              </w:rPr>
            </w:pPr>
            <w:r w:rsidRPr="0078046F">
              <w:rPr>
                <w:rFonts w:eastAsia="Calibri"/>
                <w:color w:val="000000"/>
              </w:rPr>
              <w:t>Laying breeders</w:t>
            </w:r>
          </w:p>
        </w:tc>
        <w:tc>
          <w:tcPr>
            <w:tcW w:w="1752" w:type="dxa"/>
          </w:tcPr>
          <w:p w14:paraId="732FDE1B" w14:textId="77777777" w:rsidR="004C4EAC" w:rsidRPr="0078046F" w:rsidRDefault="004C4EAC" w:rsidP="0078046F">
            <w:pPr>
              <w:jc w:val="center"/>
              <w:rPr>
                <w:rFonts w:eastAsia="Calibri"/>
                <w:color w:val="000000"/>
              </w:rPr>
            </w:pPr>
            <w:r w:rsidRPr="0078046F">
              <w:rPr>
                <w:rFonts w:eastAsia="Calibri"/>
                <w:color w:val="000000"/>
              </w:rPr>
              <w:t>1</w:t>
            </w:r>
          </w:p>
        </w:tc>
        <w:tc>
          <w:tcPr>
            <w:tcW w:w="1752" w:type="dxa"/>
          </w:tcPr>
          <w:p w14:paraId="0E68959E" w14:textId="77777777" w:rsidR="004C4EAC" w:rsidRPr="00060943" w:rsidRDefault="004C4EAC" w:rsidP="004C4EAC">
            <w:pPr>
              <w:jc w:val="center"/>
            </w:pPr>
            <w:r w:rsidRPr="00060943">
              <w:t>13</w:t>
            </w:r>
          </w:p>
        </w:tc>
        <w:tc>
          <w:tcPr>
            <w:tcW w:w="2469" w:type="dxa"/>
          </w:tcPr>
          <w:p w14:paraId="5D407FC6" w14:textId="77777777" w:rsidR="004C4EAC" w:rsidRPr="0078046F" w:rsidRDefault="004C4EAC" w:rsidP="0078046F">
            <w:pPr>
              <w:jc w:val="center"/>
              <w:rPr>
                <w:rFonts w:eastAsia="Calibri"/>
                <w:color w:val="000000"/>
              </w:rPr>
            </w:pPr>
            <w:r w:rsidRPr="0078046F">
              <w:rPr>
                <w:rFonts w:eastAsia="Calibri"/>
                <w:color w:val="000000"/>
              </w:rPr>
              <w:t>3</w:t>
            </w:r>
          </w:p>
        </w:tc>
        <w:tc>
          <w:tcPr>
            <w:tcW w:w="1992" w:type="dxa"/>
          </w:tcPr>
          <w:p w14:paraId="0E72C3AC" w14:textId="77777777" w:rsidR="004C4EAC" w:rsidRPr="0078046F" w:rsidRDefault="004C4EAC" w:rsidP="0078046F">
            <w:pPr>
              <w:jc w:val="center"/>
              <w:rPr>
                <w:rFonts w:eastAsia="Calibri"/>
                <w:b/>
                <w:color w:val="000000"/>
              </w:rPr>
            </w:pPr>
            <w:r w:rsidRPr="0078046F">
              <w:rPr>
                <w:rFonts w:eastAsia="Calibri"/>
                <w:b/>
                <w:color w:val="000000"/>
              </w:rPr>
              <w:t>4</w:t>
            </w:r>
          </w:p>
        </w:tc>
      </w:tr>
      <w:tr w:rsidR="004C4EAC" w:rsidRPr="0078046F" w14:paraId="1DE84FF6" w14:textId="77777777" w:rsidTr="000416DF">
        <w:tc>
          <w:tcPr>
            <w:tcW w:w="1991" w:type="dxa"/>
          </w:tcPr>
          <w:p w14:paraId="3D2DFF4C" w14:textId="77777777" w:rsidR="004C4EAC" w:rsidRPr="0078046F" w:rsidRDefault="004C4EAC" w:rsidP="0078046F">
            <w:pPr>
              <w:rPr>
                <w:rFonts w:eastAsia="Calibri"/>
                <w:color w:val="000000"/>
              </w:rPr>
            </w:pPr>
            <w:r w:rsidRPr="0078046F">
              <w:rPr>
                <w:rFonts w:eastAsia="Calibri"/>
                <w:color w:val="000000"/>
              </w:rPr>
              <w:t>Broilers</w:t>
            </w:r>
          </w:p>
        </w:tc>
        <w:tc>
          <w:tcPr>
            <w:tcW w:w="1752" w:type="dxa"/>
          </w:tcPr>
          <w:p w14:paraId="28A7E83E" w14:textId="77777777" w:rsidR="004C4EAC" w:rsidRPr="0078046F" w:rsidRDefault="004C4EAC" w:rsidP="0078046F">
            <w:pPr>
              <w:jc w:val="center"/>
              <w:rPr>
                <w:rFonts w:eastAsia="Calibri"/>
                <w:color w:val="000000"/>
              </w:rPr>
            </w:pPr>
            <w:r w:rsidRPr="0078046F">
              <w:rPr>
                <w:rFonts w:eastAsia="Calibri"/>
                <w:color w:val="000000"/>
              </w:rPr>
              <w:t>253</w:t>
            </w:r>
          </w:p>
        </w:tc>
        <w:tc>
          <w:tcPr>
            <w:tcW w:w="1752" w:type="dxa"/>
          </w:tcPr>
          <w:p w14:paraId="4C856000" w14:textId="77777777" w:rsidR="004C4EAC" w:rsidRPr="00060943" w:rsidRDefault="004C4EAC" w:rsidP="004C4EAC">
            <w:pPr>
              <w:jc w:val="center"/>
            </w:pPr>
            <w:r w:rsidRPr="00060943">
              <w:t>657</w:t>
            </w:r>
          </w:p>
        </w:tc>
        <w:tc>
          <w:tcPr>
            <w:tcW w:w="2469" w:type="dxa"/>
          </w:tcPr>
          <w:p w14:paraId="33C0B2CC" w14:textId="77777777" w:rsidR="004C4EAC" w:rsidRPr="0078046F" w:rsidRDefault="004C4EAC" w:rsidP="0078046F">
            <w:pPr>
              <w:jc w:val="center"/>
              <w:rPr>
                <w:rFonts w:eastAsia="Calibri"/>
                <w:color w:val="000000"/>
              </w:rPr>
            </w:pPr>
            <w:r w:rsidRPr="0078046F">
              <w:rPr>
                <w:rFonts w:eastAsia="Calibri"/>
                <w:color w:val="000000"/>
              </w:rPr>
              <w:t>184</w:t>
            </w:r>
          </w:p>
        </w:tc>
        <w:tc>
          <w:tcPr>
            <w:tcW w:w="1992" w:type="dxa"/>
          </w:tcPr>
          <w:p w14:paraId="02980AF0" w14:textId="77777777" w:rsidR="004C4EAC" w:rsidRPr="0078046F" w:rsidRDefault="004C4EAC" w:rsidP="0078046F">
            <w:pPr>
              <w:jc w:val="center"/>
              <w:rPr>
                <w:rFonts w:eastAsia="Calibri"/>
                <w:b/>
                <w:color w:val="000000"/>
              </w:rPr>
            </w:pPr>
            <w:r w:rsidRPr="0078046F">
              <w:rPr>
                <w:rFonts w:eastAsia="Calibri"/>
                <w:b/>
                <w:color w:val="000000"/>
              </w:rPr>
              <w:t>437</w:t>
            </w:r>
          </w:p>
        </w:tc>
      </w:tr>
      <w:tr w:rsidR="004C4EAC" w:rsidRPr="0078046F" w14:paraId="3C91F1ED" w14:textId="77777777" w:rsidTr="000416DF">
        <w:tc>
          <w:tcPr>
            <w:tcW w:w="1991" w:type="dxa"/>
          </w:tcPr>
          <w:p w14:paraId="745061BD" w14:textId="77777777" w:rsidR="004C4EAC" w:rsidRPr="0078046F" w:rsidRDefault="004C4EAC" w:rsidP="0078046F">
            <w:pPr>
              <w:rPr>
                <w:rFonts w:eastAsia="Calibri"/>
                <w:color w:val="000000"/>
              </w:rPr>
            </w:pPr>
            <w:r w:rsidRPr="0078046F">
              <w:rPr>
                <w:rFonts w:eastAsia="Calibri"/>
                <w:color w:val="000000"/>
              </w:rPr>
              <w:t>Broiler breeders</w:t>
            </w:r>
          </w:p>
        </w:tc>
        <w:tc>
          <w:tcPr>
            <w:tcW w:w="1752" w:type="dxa"/>
          </w:tcPr>
          <w:p w14:paraId="4AC28A8B" w14:textId="77777777" w:rsidR="004C4EAC" w:rsidRPr="0078046F" w:rsidRDefault="004C4EAC" w:rsidP="0078046F">
            <w:pPr>
              <w:jc w:val="center"/>
              <w:rPr>
                <w:rFonts w:eastAsia="Calibri"/>
                <w:color w:val="000000"/>
              </w:rPr>
            </w:pPr>
            <w:r w:rsidRPr="0078046F">
              <w:rPr>
                <w:rFonts w:eastAsia="Calibri"/>
                <w:color w:val="000000"/>
              </w:rPr>
              <w:t>47</w:t>
            </w:r>
          </w:p>
        </w:tc>
        <w:tc>
          <w:tcPr>
            <w:tcW w:w="1752" w:type="dxa"/>
          </w:tcPr>
          <w:p w14:paraId="2449CC24" w14:textId="77777777" w:rsidR="004C4EAC" w:rsidRPr="00060943" w:rsidRDefault="004C4EAC" w:rsidP="004C4EAC">
            <w:pPr>
              <w:jc w:val="center"/>
            </w:pPr>
            <w:r w:rsidRPr="00060943">
              <w:t>61</w:t>
            </w:r>
          </w:p>
        </w:tc>
        <w:tc>
          <w:tcPr>
            <w:tcW w:w="2469" w:type="dxa"/>
          </w:tcPr>
          <w:p w14:paraId="3E294C28" w14:textId="77777777" w:rsidR="004C4EAC" w:rsidRPr="0078046F" w:rsidRDefault="004C4EAC" w:rsidP="0078046F">
            <w:pPr>
              <w:jc w:val="center"/>
              <w:rPr>
                <w:rFonts w:eastAsia="Calibri"/>
                <w:color w:val="000000"/>
              </w:rPr>
            </w:pPr>
            <w:r w:rsidRPr="0078046F">
              <w:rPr>
                <w:rFonts w:eastAsia="Calibri"/>
                <w:color w:val="000000"/>
              </w:rPr>
              <w:t>32</w:t>
            </w:r>
          </w:p>
        </w:tc>
        <w:tc>
          <w:tcPr>
            <w:tcW w:w="1992" w:type="dxa"/>
          </w:tcPr>
          <w:p w14:paraId="515B7485" w14:textId="77777777" w:rsidR="004C4EAC" w:rsidRPr="0078046F" w:rsidRDefault="004C4EAC" w:rsidP="0078046F">
            <w:pPr>
              <w:jc w:val="center"/>
              <w:rPr>
                <w:rFonts w:eastAsia="Calibri"/>
                <w:b/>
                <w:color w:val="000000"/>
              </w:rPr>
            </w:pPr>
            <w:r w:rsidRPr="0078046F">
              <w:rPr>
                <w:rFonts w:eastAsia="Calibri"/>
                <w:b/>
                <w:color w:val="000000"/>
              </w:rPr>
              <w:t>79</w:t>
            </w:r>
          </w:p>
        </w:tc>
      </w:tr>
      <w:tr w:rsidR="004C4EAC" w:rsidRPr="0078046F" w14:paraId="3BF9640C" w14:textId="77777777" w:rsidTr="000416DF">
        <w:tc>
          <w:tcPr>
            <w:tcW w:w="1991" w:type="dxa"/>
          </w:tcPr>
          <w:p w14:paraId="45FAE23F" w14:textId="77777777" w:rsidR="004C4EAC" w:rsidRPr="0078046F" w:rsidRDefault="004C4EAC" w:rsidP="0078046F">
            <w:pPr>
              <w:rPr>
                <w:rFonts w:eastAsia="Calibri"/>
                <w:color w:val="000000"/>
              </w:rPr>
            </w:pPr>
            <w:r w:rsidRPr="0078046F">
              <w:rPr>
                <w:rFonts w:eastAsia="Calibri"/>
                <w:color w:val="000000"/>
              </w:rPr>
              <w:t>Ducks</w:t>
            </w:r>
          </w:p>
        </w:tc>
        <w:tc>
          <w:tcPr>
            <w:tcW w:w="1752" w:type="dxa"/>
          </w:tcPr>
          <w:p w14:paraId="44C659DC" w14:textId="77777777" w:rsidR="004C4EAC" w:rsidRPr="0078046F" w:rsidRDefault="004C4EAC" w:rsidP="0078046F">
            <w:pPr>
              <w:jc w:val="center"/>
              <w:rPr>
                <w:rFonts w:eastAsia="Calibri"/>
                <w:color w:val="000000"/>
              </w:rPr>
            </w:pPr>
            <w:r w:rsidRPr="0078046F">
              <w:rPr>
                <w:rFonts w:eastAsia="Calibri"/>
                <w:color w:val="000000"/>
              </w:rPr>
              <w:t>32</w:t>
            </w:r>
          </w:p>
        </w:tc>
        <w:tc>
          <w:tcPr>
            <w:tcW w:w="1752" w:type="dxa"/>
          </w:tcPr>
          <w:p w14:paraId="08723800" w14:textId="77777777" w:rsidR="004C4EAC" w:rsidRPr="00060943" w:rsidRDefault="004C4EAC" w:rsidP="004C4EAC">
            <w:pPr>
              <w:jc w:val="center"/>
            </w:pPr>
            <w:r w:rsidRPr="00060943">
              <w:t>28</w:t>
            </w:r>
          </w:p>
        </w:tc>
        <w:tc>
          <w:tcPr>
            <w:tcW w:w="2469" w:type="dxa"/>
          </w:tcPr>
          <w:p w14:paraId="20DAFAC5" w14:textId="77777777" w:rsidR="004C4EAC" w:rsidRPr="0078046F" w:rsidRDefault="004C4EAC" w:rsidP="0078046F">
            <w:pPr>
              <w:jc w:val="center"/>
              <w:rPr>
                <w:rFonts w:eastAsia="Calibri"/>
                <w:color w:val="000000"/>
              </w:rPr>
            </w:pPr>
            <w:r w:rsidRPr="0078046F">
              <w:rPr>
                <w:rFonts w:eastAsia="Calibri"/>
                <w:color w:val="000000"/>
              </w:rPr>
              <w:t>24</w:t>
            </w:r>
          </w:p>
        </w:tc>
        <w:tc>
          <w:tcPr>
            <w:tcW w:w="1992" w:type="dxa"/>
          </w:tcPr>
          <w:p w14:paraId="0BD315D6" w14:textId="77777777" w:rsidR="004C4EAC" w:rsidRPr="0078046F" w:rsidRDefault="004C4EAC" w:rsidP="0078046F">
            <w:pPr>
              <w:jc w:val="center"/>
              <w:rPr>
                <w:rFonts w:eastAsia="Calibri"/>
                <w:b/>
                <w:color w:val="000000"/>
              </w:rPr>
            </w:pPr>
            <w:r w:rsidRPr="0078046F">
              <w:rPr>
                <w:rFonts w:eastAsia="Calibri"/>
                <w:b/>
                <w:color w:val="000000"/>
              </w:rPr>
              <w:t>56</w:t>
            </w:r>
          </w:p>
        </w:tc>
      </w:tr>
      <w:tr w:rsidR="004C4EAC" w:rsidRPr="0078046F" w14:paraId="62402920" w14:textId="77777777" w:rsidTr="000416DF">
        <w:tc>
          <w:tcPr>
            <w:tcW w:w="1991" w:type="dxa"/>
          </w:tcPr>
          <w:p w14:paraId="697FE7C4" w14:textId="77777777" w:rsidR="004C4EAC" w:rsidRPr="0078046F" w:rsidRDefault="004C4EAC" w:rsidP="0078046F">
            <w:pPr>
              <w:rPr>
                <w:rFonts w:eastAsia="Calibri"/>
                <w:color w:val="000000"/>
              </w:rPr>
            </w:pPr>
            <w:r w:rsidRPr="0078046F">
              <w:rPr>
                <w:rFonts w:eastAsia="Calibri"/>
                <w:color w:val="000000"/>
              </w:rPr>
              <w:t>Geese</w:t>
            </w:r>
          </w:p>
        </w:tc>
        <w:tc>
          <w:tcPr>
            <w:tcW w:w="1752" w:type="dxa"/>
          </w:tcPr>
          <w:p w14:paraId="6AEB2803" w14:textId="77777777" w:rsidR="004C4EAC" w:rsidRPr="0078046F" w:rsidRDefault="004C4EAC" w:rsidP="0078046F">
            <w:pPr>
              <w:jc w:val="center"/>
              <w:rPr>
                <w:rFonts w:eastAsia="Calibri"/>
                <w:color w:val="000000"/>
              </w:rPr>
            </w:pPr>
            <w:r w:rsidRPr="0078046F">
              <w:rPr>
                <w:rFonts w:eastAsia="Calibri"/>
                <w:color w:val="000000"/>
              </w:rPr>
              <w:t>2</w:t>
            </w:r>
          </w:p>
        </w:tc>
        <w:tc>
          <w:tcPr>
            <w:tcW w:w="1752" w:type="dxa"/>
          </w:tcPr>
          <w:p w14:paraId="5A6AE4D0" w14:textId="77777777" w:rsidR="004C4EAC" w:rsidRPr="00060943" w:rsidRDefault="004C4EAC" w:rsidP="004C4EAC">
            <w:pPr>
              <w:jc w:val="center"/>
            </w:pPr>
            <w:r w:rsidRPr="00060943">
              <w:t>13</w:t>
            </w:r>
          </w:p>
        </w:tc>
        <w:tc>
          <w:tcPr>
            <w:tcW w:w="2469" w:type="dxa"/>
          </w:tcPr>
          <w:p w14:paraId="51D8E4CA" w14:textId="77777777" w:rsidR="004C4EAC" w:rsidRPr="0078046F" w:rsidRDefault="004C4EAC" w:rsidP="0078046F">
            <w:pPr>
              <w:jc w:val="center"/>
              <w:rPr>
                <w:rFonts w:eastAsia="Calibri"/>
                <w:color w:val="000000"/>
              </w:rPr>
            </w:pPr>
            <w:r w:rsidRPr="0078046F">
              <w:rPr>
                <w:rFonts w:eastAsia="Calibri"/>
                <w:color w:val="000000"/>
              </w:rPr>
              <w:t>7</w:t>
            </w:r>
          </w:p>
        </w:tc>
        <w:tc>
          <w:tcPr>
            <w:tcW w:w="1992" w:type="dxa"/>
          </w:tcPr>
          <w:p w14:paraId="08CE0270" w14:textId="77777777" w:rsidR="004C4EAC" w:rsidRPr="0078046F" w:rsidRDefault="004C4EAC" w:rsidP="0078046F">
            <w:pPr>
              <w:jc w:val="center"/>
              <w:rPr>
                <w:rFonts w:eastAsia="Calibri"/>
                <w:b/>
                <w:color w:val="000000"/>
              </w:rPr>
            </w:pPr>
            <w:r w:rsidRPr="0078046F">
              <w:rPr>
                <w:rFonts w:eastAsia="Calibri"/>
                <w:b/>
                <w:color w:val="000000"/>
              </w:rPr>
              <w:t>9</w:t>
            </w:r>
          </w:p>
        </w:tc>
      </w:tr>
      <w:tr w:rsidR="004C4EAC" w:rsidRPr="0078046F" w14:paraId="63D1D778" w14:textId="77777777" w:rsidTr="000416DF">
        <w:tc>
          <w:tcPr>
            <w:tcW w:w="1991" w:type="dxa"/>
          </w:tcPr>
          <w:p w14:paraId="5276916E" w14:textId="77777777" w:rsidR="004C4EAC" w:rsidRPr="0078046F" w:rsidRDefault="004C4EAC" w:rsidP="0078046F">
            <w:pPr>
              <w:rPr>
                <w:rFonts w:eastAsia="Calibri"/>
                <w:color w:val="000000"/>
              </w:rPr>
            </w:pPr>
            <w:r w:rsidRPr="0078046F">
              <w:rPr>
                <w:rFonts w:eastAsia="Calibri"/>
                <w:color w:val="000000"/>
              </w:rPr>
              <w:t>Turkeys</w:t>
            </w:r>
          </w:p>
        </w:tc>
        <w:tc>
          <w:tcPr>
            <w:tcW w:w="1752" w:type="dxa"/>
          </w:tcPr>
          <w:p w14:paraId="29B61CE0" w14:textId="77777777" w:rsidR="004C4EAC" w:rsidRPr="0078046F" w:rsidRDefault="004C4EAC" w:rsidP="0078046F">
            <w:pPr>
              <w:jc w:val="center"/>
              <w:rPr>
                <w:rFonts w:eastAsia="Calibri"/>
                <w:color w:val="000000"/>
              </w:rPr>
            </w:pPr>
            <w:r w:rsidRPr="0078046F">
              <w:rPr>
                <w:rFonts w:eastAsia="Calibri"/>
                <w:color w:val="000000"/>
              </w:rPr>
              <w:t>24</w:t>
            </w:r>
          </w:p>
        </w:tc>
        <w:tc>
          <w:tcPr>
            <w:tcW w:w="1752" w:type="dxa"/>
          </w:tcPr>
          <w:p w14:paraId="4A7E9724" w14:textId="77777777" w:rsidR="004C4EAC" w:rsidRPr="00060943" w:rsidRDefault="004C4EAC" w:rsidP="004C4EAC">
            <w:pPr>
              <w:jc w:val="center"/>
            </w:pPr>
            <w:r w:rsidRPr="00060943">
              <w:t>169</w:t>
            </w:r>
          </w:p>
        </w:tc>
        <w:tc>
          <w:tcPr>
            <w:tcW w:w="2469" w:type="dxa"/>
          </w:tcPr>
          <w:p w14:paraId="75790AC7" w14:textId="77777777" w:rsidR="004C4EAC" w:rsidRPr="0078046F" w:rsidRDefault="004C4EAC" w:rsidP="0078046F">
            <w:pPr>
              <w:jc w:val="center"/>
              <w:rPr>
                <w:rFonts w:eastAsia="Calibri"/>
                <w:color w:val="000000"/>
              </w:rPr>
            </w:pPr>
            <w:r w:rsidRPr="0078046F">
              <w:rPr>
                <w:rFonts w:eastAsia="Calibri"/>
                <w:color w:val="000000"/>
              </w:rPr>
              <w:t>62</w:t>
            </w:r>
          </w:p>
        </w:tc>
        <w:tc>
          <w:tcPr>
            <w:tcW w:w="1992" w:type="dxa"/>
          </w:tcPr>
          <w:p w14:paraId="3F9F782B" w14:textId="77777777" w:rsidR="004C4EAC" w:rsidRPr="0078046F" w:rsidRDefault="004C4EAC" w:rsidP="0078046F">
            <w:pPr>
              <w:jc w:val="center"/>
              <w:rPr>
                <w:rFonts w:eastAsia="Calibri"/>
                <w:b/>
                <w:color w:val="000000"/>
              </w:rPr>
            </w:pPr>
            <w:r w:rsidRPr="0078046F">
              <w:rPr>
                <w:rFonts w:eastAsia="Calibri"/>
                <w:b/>
                <w:color w:val="000000"/>
              </w:rPr>
              <w:t>86</w:t>
            </w:r>
          </w:p>
        </w:tc>
      </w:tr>
      <w:tr w:rsidR="004C4EAC" w:rsidRPr="0078046F" w14:paraId="3B78060E" w14:textId="77777777" w:rsidTr="000416DF">
        <w:tc>
          <w:tcPr>
            <w:tcW w:w="1991" w:type="dxa"/>
          </w:tcPr>
          <w:p w14:paraId="04440C3C" w14:textId="77777777" w:rsidR="004C4EAC" w:rsidRPr="0078046F" w:rsidRDefault="004C4EAC" w:rsidP="0078046F">
            <w:pPr>
              <w:rPr>
                <w:rFonts w:eastAsia="Calibri"/>
                <w:color w:val="000000"/>
              </w:rPr>
            </w:pPr>
            <w:r w:rsidRPr="0078046F">
              <w:rPr>
                <w:rFonts w:eastAsia="Calibri"/>
                <w:color w:val="000000"/>
              </w:rPr>
              <w:t>Guinea fowl</w:t>
            </w:r>
          </w:p>
        </w:tc>
        <w:tc>
          <w:tcPr>
            <w:tcW w:w="1752" w:type="dxa"/>
          </w:tcPr>
          <w:p w14:paraId="41961404" w14:textId="77777777" w:rsidR="004C4EAC" w:rsidRPr="0078046F" w:rsidRDefault="004C4EAC" w:rsidP="0078046F">
            <w:pPr>
              <w:jc w:val="center"/>
              <w:rPr>
                <w:rFonts w:eastAsia="Calibri"/>
                <w:color w:val="000000"/>
              </w:rPr>
            </w:pPr>
            <w:r w:rsidRPr="0078046F">
              <w:rPr>
                <w:rFonts w:eastAsia="Calibri"/>
                <w:color w:val="000000"/>
              </w:rPr>
              <w:t>0</w:t>
            </w:r>
          </w:p>
        </w:tc>
        <w:tc>
          <w:tcPr>
            <w:tcW w:w="1752" w:type="dxa"/>
          </w:tcPr>
          <w:p w14:paraId="358ABC77" w14:textId="77777777" w:rsidR="004C4EAC" w:rsidRPr="00060943" w:rsidRDefault="00DF39A3" w:rsidP="004C4EAC">
            <w:pPr>
              <w:jc w:val="center"/>
            </w:pPr>
            <w:r>
              <w:t>4</w:t>
            </w:r>
          </w:p>
        </w:tc>
        <w:tc>
          <w:tcPr>
            <w:tcW w:w="2469" w:type="dxa"/>
          </w:tcPr>
          <w:p w14:paraId="266CE0FF" w14:textId="77777777" w:rsidR="004C4EAC" w:rsidRPr="0078046F" w:rsidRDefault="004C4EAC" w:rsidP="0078046F">
            <w:pPr>
              <w:jc w:val="center"/>
              <w:rPr>
                <w:rFonts w:eastAsia="Calibri"/>
                <w:color w:val="000000"/>
              </w:rPr>
            </w:pPr>
            <w:r w:rsidRPr="0078046F">
              <w:rPr>
                <w:rFonts w:eastAsia="Calibri"/>
                <w:color w:val="000000"/>
              </w:rPr>
              <w:t>4</w:t>
            </w:r>
          </w:p>
        </w:tc>
        <w:tc>
          <w:tcPr>
            <w:tcW w:w="1992" w:type="dxa"/>
          </w:tcPr>
          <w:p w14:paraId="3A006038" w14:textId="77777777" w:rsidR="004C4EAC" w:rsidRPr="0078046F" w:rsidRDefault="00DF39A3" w:rsidP="0078046F">
            <w:pPr>
              <w:jc w:val="center"/>
              <w:rPr>
                <w:rFonts w:eastAsia="Calibri"/>
                <w:b/>
                <w:color w:val="000000"/>
              </w:rPr>
            </w:pPr>
            <w:r>
              <w:rPr>
                <w:rFonts w:eastAsia="Calibri"/>
                <w:b/>
                <w:color w:val="000000"/>
              </w:rPr>
              <w:t>4</w:t>
            </w:r>
          </w:p>
        </w:tc>
      </w:tr>
      <w:tr w:rsidR="004C4EAC" w:rsidRPr="0078046F" w14:paraId="41F24D08" w14:textId="77777777" w:rsidTr="000416DF">
        <w:tc>
          <w:tcPr>
            <w:tcW w:w="1991" w:type="dxa"/>
          </w:tcPr>
          <w:p w14:paraId="068D2C65" w14:textId="77777777" w:rsidR="004C4EAC" w:rsidRPr="0078046F" w:rsidRDefault="004C4EAC" w:rsidP="0078046F">
            <w:pPr>
              <w:rPr>
                <w:rFonts w:eastAsia="Calibri"/>
                <w:color w:val="000000"/>
              </w:rPr>
            </w:pPr>
            <w:r w:rsidRPr="0078046F">
              <w:rPr>
                <w:rFonts w:eastAsia="Calibri"/>
                <w:color w:val="000000"/>
              </w:rPr>
              <w:t>Pheasants</w:t>
            </w:r>
          </w:p>
        </w:tc>
        <w:tc>
          <w:tcPr>
            <w:tcW w:w="1752" w:type="dxa"/>
          </w:tcPr>
          <w:p w14:paraId="70ECC1FB" w14:textId="77777777" w:rsidR="004C4EAC" w:rsidRPr="0078046F" w:rsidRDefault="004C4EAC" w:rsidP="0078046F">
            <w:pPr>
              <w:jc w:val="center"/>
              <w:rPr>
                <w:rFonts w:eastAsia="Calibri"/>
                <w:color w:val="000000"/>
              </w:rPr>
            </w:pPr>
            <w:r w:rsidRPr="0078046F">
              <w:rPr>
                <w:rFonts w:eastAsia="Calibri"/>
                <w:color w:val="000000"/>
              </w:rPr>
              <w:t>3</w:t>
            </w:r>
          </w:p>
        </w:tc>
        <w:tc>
          <w:tcPr>
            <w:tcW w:w="1752" w:type="dxa"/>
          </w:tcPr>
          <w:p w14:paraId="45DAA93A" w14:textId="77777777" w:rsidR="004C4EAC" w:rsidRPr="00060943" w:rsidRDefault="004C4EAC" w:rsidP="004C4EAC">
            <w:pPr>
              <w:jc w:val="center"/>
            </w:pPr>
            <w:r w:rsidRPr="00060943">
              <w:t>5</w:t>
            </w:r>
          </w:p>
        </w:tc>
        <w:tc>
          <w:tcPr>
            <w:tcW w:w="2469" w:type="dxa"/>
          </w:tcPr>
          <w:p w14:paraId="709AF766" w14:textId="77777777" w:rsidR="004C4EAC" w:rsidRPr="0078046F" w:rsidRDefault="004C4EAC" w:rsidP="0078046F">
            <w:pPr>
              <w:jc w:val="center"/>
              <w:rPr>
                <w:rFonts w:eastAsia="Calibri"/>
                <w:color w:val="000000"/>
              </w:rPr>
            </w:pPr>
            <w:r w:rsidRPr="0078046F">
              <w:rPr>
                <w:rFonts w:eastAsia="Calibri"/>
                <w:color w:val="000000"/>
              </w:rPr>
              <w:t>7</w:t>
            </w:r>
          </w:p>
        </w:tc>
        <w:tc>
          <w:tcPr>
            <w:tcW w:w="1992" w:type="dxa"/>
          </w:tcPr>
          <w:p w14:paraId="04120263" w14:textId="77777777" w:rsidR="004C4EAC" w:rsidRPr="0078046F" w:rsidRDefault="004C4EAC" w:rsidP="0078046F">
            <w:pPr>
              <w:jc w:val="center"/>
              <w:rPr>
                <w:rFonts w:eastAsia="Calibri"/>
                <w:b/>
                <w:color w:val="000000"/>
              </w:rPr>
            </w:pPr>
            <w:r w:rsidRPr="0078046F">
              <w:rPr>
                <w:rFonts w:eastAsia="Calibri"/>
                <w:b/>
                <w:color w:val="000000"/>
              </w:rPr>
              <w:t>10</w:t>
            </w:r>
          </w:p>
        </w:tc>
      </w:tr>
      <w:tr w:rsidR="004C4EAC" w:rsidRPr="0078046F" w14:paraId="135F6200" w14:textId="77777777" w:rsidTr="000416DF">
        <w:tc>
          <w:tcPr>
            <w:tcW w:w="1991" w:type="dxa"/>
          </w:tcPr>
          <w:p w14:paraId="0782072C" w14:textId="77777777" w:rsidR="004C4EAC" w:rsidRPr="0078046F" w:rsidRDefault="004C4EAC" w:rsidP="0078046F">
            <w:pPr>
              <w:rPr>
                <w:rFonts w:eastAsia="Calibri"/>
                <w:color w:val="000000"/>
              </w:rPr>
            </w:pPr>
            <w:r w:rsidRPr="0078046F">
              <w:rPr>
                <w:rFonts w:eastAsia="Calibri"/>
                <w:color w:val="000000"/>
              </w:rPr>
              <w:t>Partridge</w:t>
            </w:r>
            <w:r w:rsidR="00535854">
              <w:rPr>
                <w:rFonts w:eastAsia="Calibri"/>
                <w:color w:val="000000"/>
              </w:rPr>
              <w:t>s</w:t>
            </w:r>
          </w:p>
        </w:tc>
        <w:tc>
          <w:tcPr>
            <w:tcW w:w="1752" w:type="dxa"/>
          </w:tcPr>
          <w:p w14:paraId="2259DF9A" w14:textId="77777777" w:rsidR="004C4EAC" w:rsidRPr="0078046F" w:rsidRDefault="004C4EAC" w:rsidP="0078046F">
            <w:pPr>
              <w:jc w:val="center"/>
              <w:rPr>
                <w:rFonts w:eastAsia="Calibri"/>
                <w:color w:val="000000"/>
              </w:rPr>
            </w:pPr>
            <w:r w:rsidRPr="0078046F">
              <w:rPr>
                <w:rFonts w:eastAsia="Calibri"/>
                <w:color w:val="000000"/>
              </w:rPr>
              <w:t>5</w:t>
            </w:r>
          </w:p>
        </w:tc>
        <w:tc>
          <w:tcPr>
            <w:tcW w:w="1752" w:type="dxa"/>
          </w:tcPr>
          <w:p w14:paraId="6CE3EEC2" w14:textId="77777777" w:rsidR="004C4EAC" w:rsidRPr="00060943" w:rsidRDefault="004C4EAC" w:rsidP="004C4EAC">
            <w:pPr>
              <w:jc w:val="center"/>
            </w:pPr>
            <w:r w:rsidRPr="00060943">
              <w:t>3</w:t>
            </w:r>
          </w:p>
        </w:tc>
        <w:tc>
          <w:tcPr>
            <w:tcW w:w="2469" w:type="dxa"/>
          </w:tcPr>
          <w:p w14:paraId="7F4B842E" w14:textId="77777777" w:rsidR="004C4EAC" w:rsidRPr="0078046F" w:rsidRDefault="004C4EAC" w:rsidP="0078046F">
            <w:pPr>
              <w:jc w:val="center"/>
              <w:rPr>
                <w:rFonts w:eastAsia="Calibri"/>
                <w:color w:val="000000"/>
              </w:rPr>
            </w:pPr>
            <w:r w:rsidRPr="0078046F">
              <w:rPr>
                <w:rFonts w:eastAsia="Calibri"/>
                <w:color w:val="000000"/>
              </w:rPr>
              <w:t>25</w:t>
            </w:r>
          </w:p>
        </w:tc>
        <w:tc>
          <w:tcPr>
            <w:tcW w:w="1992" w:type="dxa"/>
          </w:tcPr>
          <w:p w14:paraId="0F1AD4B8" w14:textId="77777777" w:rsidR="004C4EAC" w:rsidRPr="0078046F" w:rsidRDefault="004C4EAC" w:rsidP="0078046F">
            <w:pPr>
              <w:jc w:val="center"/>
              <w:rPr>
                <w:rFonts w:eastAsia="Calibri"/>
                <w:b/>
                <w:color w:val="000000"/>
              </w:rPr>
            </w:pPr>
            <w:r w:rsidRPr="0078046F">
              <w:rPr>
                <w:rFonts w:eastAsia="Calibri"/>
                <w:b/>
                <w:color w:val="000000"/>
              </w:rPr>
              <w:t>30</w:t>
            </w:r>
          </w:p>
        </w:tc>
      </w:tr>
      <w:tr w:rsidR="004C4EAC" w:rsidRPr="0078046F" w14:paraId="5EBB1B0F" w14:textId="77777777" w:rsidTr="000416DF">
        <w:tc>
          <w:tcPr>
            <w:tcW w:w="1991" w:type="dxa"/>
          </w:tcPr>
          <w:p w14:paraId="4D3F5498" w14:textId="77777777" w:rsidR="004C4EAC" w:rsidRPr="0078046F" w:rsidRDefault="004C4EAC" w:rsidP="0078046F">
            <w:pPr>
              <w:rPr>
                <w:rFonts w:eastAsia="Calibri"/>
                <w:color w:val="000000"/>
              </w:rPr>
            </w:pPr>
            <w:r w:rsidRPr="0078046F">
              <w:rPr>
                <w:rFonts w:eastAsia="Calibri"/>
                <w:color w:val="000000"/>
              </w:rPr>
              <w:t>Pigeons</w:t>
            </w:r>
          </w:p>
        </w:tc>
        <w:tc>
          <w:tcPr>
            <w:tcW w:w="1752" w:type="dxa"/>
          </w:tcPr>
          <w:p w14:paraId="119D26B6" w14:textId="77777777" w:rsidR="004C4EAC" w:rsidRPr="0078046F" w:rsidRDefault="004C4EAC" w:rsidP="0078046F">
            <w:pPr>
              <w:jc w:val="center"/>
              <w:rPr>
                <w:rFonts w:eastAsia="Calibri"/>
                <w:color w:val="000000"/>
              </w:rPr>
            </w:pPr>
            <w:r w:rsidRPr="0078046F">
              <w:rPr>
                <w:rFonts w:eastAsia="Calibri"/>
                <w:color w:val="000000"/>
              </w:rPr>
              <w:t>0</w:t>
            </w:r>
          </w:p>
        </w:tc>
        <w:tc>
          <w:tcPr>
            <w:tcW w:w="1752" w:type="dxa"/>
          </w:tcPr>
          <w:p w14:paraId="54E2BF46" w14:textId="77777777" w:rsidR="004C4EAC" w:rsidRPr="00060943" w:rsidRDefault="004C4EAC" w:rsidP="004C4EAC">
            <w:pPr>
              <w:jc w:val="center"/>
            </w:pPr>
            <w:r w:rsidRPr="00060943">
              <w:t>23</w:t>
            </w:r>
          </w:p>
        </w:tc>
        <w:tc>
          <w:tcPr>
            <w:tcW w:w="2469" w:type="dxa"/>
          </w:tcPr>
          <w:p w14:paraId="19D0D240" w14:textId="77777777" w:rsidR="004C4EAC" w:rsidRPr="0078046F" w:rsidRDefault="004C4EAC" w:rsidP="0078046F">
            <w:pPr>
              <w:jc w:val="center"/>
              <w:rPr>
                <w:rFonts w:eastAsia="Calibri"/>
                <w:color w:val="000000"/>
              </w:rPr>
            </w:pPr>
            <w:r w:rsidRPr="0078046F">
              <w:rPr>
                <w:rFonts w:eastAsia="Calibri"/>
                <w:color w:val="000000"/>
              </w:rPr>
              <w:t>4</w:t>
            </w:r>
          </w:p>
        </w:tc>
        <w:tc>
          <w:tcPr>
            <w:tcW w:w="1992" w:type="dxa"/>
          </w:tcPr>
          <w:p w14:paraId="7B1E915A" w14:textId="77777777" w:rsidR="004C4EAC" w:rsidRPr="0078046F" w:rsidRDefault="004C4EAC" w:rsidP="0078046F">
            <w:pPr>
              <w:jc w:val="center"/>
              <w:rPr>
                <w:rFonts w:eastAsia="Calibri"/>
                <w:b/>
                <w:color w:val="000000"/>
              </w:rPr>
            </w:pPr>
            <w:r w:rsidRPr="0078046F">
              <w:rPr>
                <w:rFonts w:eastAsia="Calibri"/>
                <w:b/>
                <w:color w:val="000000"/>
              </w:rPr>
              <w:t>4</w:t>
            </w:r>
          </w:p>
        </w:tc>
      </w:tr>
      <w:tr w:rsidR="004C4EAC" w:rsidRPr="0078046F" w14:paraId="20FCA408" w14:textId="77777777" w:rsidTr="000416DF">
        <w:tc>
          <w:tcPr>
            <w:tcW w:w="1991" w:type="dxa"/>
          </w:tcPr>
          <w:p w14:paraId="4B0A07E8" w14:textId="77777777" w:rsidR="004C4EAC" w:rsidRPr="0078046F" w:rsidRDefault="004C4EAC" w:rsidP="0078046F">
            <w:pPr>
              <w:rPr>
                <w:rFonts w:eastAsia="Calibri"/>
                <w:color w:val="000000"/>
              </w:rPr>
            </w:pPr>
            <w:r w:rsidRPr="0078046F">
              <w:rPr>
                <w:rFonts w:eastAsia="Calibri"/>
                <w:color w:val="000000"/>
              </w:rPr>
              <w:t>Quail</w:t>
            </w:r>
          </w:p>
        </w:tc>
        <w:tc>
          <w:tcPr>
            <w:tcW w:w="1752" w:type="dxa"/>
          </w:tcPr>
          <w:p w14:paraId="5ADE39FA" w14:textId="77777777" w:rsidR="004C4EAC" w:rsidRPr="0078046F" w:rsidRDefault="004C4EAC" w:rsidP="0078046F">
            <w:pPr>
              <w:jc w:val="center"/>
              <w:rPr>
                <w:rFonts w:eastAsia="Calibri"/>
                <w:color w:val="000000"/>
              </w:rPr>
            </w:pPr>
            <w:r w:rsidRPr="0078046F">
              <w:rPr>
                <w:rFonts w:eastAsia="Calibri"/>
                <w:color w:val="000000"/>
              </w:rPr>
              <w:t>18</w:t>
            </w:r>
          </w:p>
        </w:tc>
        <w:tc>
          <w:tcPr>
            <w:tcW w:w="1752" w:type="dxa"/>
          </w:tcPr>
          <w:p w14:paraId="1A631ED6" w14:textId="77777777" w:rsidR="004C4EAC" w:rsidRPr="00060943" w:rsidRDefault="004C4EAC" w:rsidP="004C4EAC">
            <w:pPr>
              <w:jc w:val="center"/>
            </w:pPr>
            <w:r w:rsidRPr="00060943">
              <w:t>61</w:t>
            </w:r>
          </w:p>
        </w:tc>
        <w:tc>
          <w:tcPr>
            <w:tcW w:w="2469" w:type="dxa"/>
          </w:tcPr>
          <w:p w14:paraId="67A2CA9C" w14:textId="77777777" w:rsidR="004C4EAC" w:rsidRPr="0078046F" w:rsidRDefault="004C4EAC" w:rsidP="0078046F">
            <w:pPr>
              <w:jc w:val="center"/>
              <w:rPr>
                <w:rFonts w:eastAsia="Calibri"/>
                <w:color w:val="000000"/>
              </w:rPr>
            </w:pPr>
            <w:r w:rsidRPr="0078046F">
              <w:rPr>
                <w:rFonts w:eastAsia="Calibri"/>
                <w:color w:val="000000"/>
              </w:rPr>
              <w:t>3</w:t>
            </w:r>
          </w:p>
        </w:tc>
        <w:tc>
          <w:tcPr>
            <w:tcW w:w="1992" w:type="dxa"/>
          </w:tcPr>
          <w:p w14:paraId="6B43BED3" w14:textId="77777777" w:rsidR="004C4EAC" w:rsidRPr="0078046F" w:rsidRDefault="004C4EAC" w:rsidP="0078046F">
            <w:pPr>
              <w:jc w:val="center"/>
              <w:rPr>
                <w:rFonts w:eastAsia="Calibri"/>
                <w:b/>
                <w:color w:val="000000"/>
              </w:rPr>
            </w:pPr>
            <w:r w:rsidRPr="0078046F">
              <w:rPr>
                <w:rFonts w:eastAsia="Calibri"/>
                <w:b/>
                <w:color w:val="000000"/>
              </w:rPr>
              <w:t>21</w:t>
            </w:r>
          </w:p>
        </w:tc>
      </w:tr>
      <w:tr w:rsidR="004C4EAC" w:rsidRPr="0078046F" w14:paraId="0A53D003" w14:textId="77777777" w:rsidTr="000416DF">
        <w:tc>
          <w:tcPr>
            <w:tcW w:w="1991" w:type="dxa"/>
          </w:tcPr>
          <w:p w14:paraId="172D98A8" w14:textId="77777777" w:rsidR="004C4EAC" w:rsidRPr="0078046F" w:rsidRDefault="004C4EAC" w:rsidP="0078046F">
            <w:pPr>
              <w:rPr>
                <w:rFonts w:eastAsia="Calibri"/>
                <w:color w:val="000000"/>
              </w:rPr>
            </w:pPr>
            <w:r w:rsidRPr="0078046F">
              <w:rPr>
                <w:rFonts w:eastAsia="Calibri"/>
                <w:color w:val="000000"/>
              </w:rPr>
              <w:t>Ostriches</w:t>
            </w:r>
          </w:p>
        </w:tc>
        <w:tc>
          <w:tcPr>
            <w:tcW w:w="1752" w:type="dxa"/>
          </w:tcPr>
          <w:p w14:paraId="4B461F06" w14:textId="77777777" w:rsidR="004C4EAC" w:rsidRPr="0078046F" w:rsidRDefault="004C4EAC" w:rsidP="0078046F">
            <w:pPr>
              <w:jc w:val="center"/>
              <w:rPr>
                <w:rFonts w:eastAsia="Calibri"/>
                <w:color w:val="000000"/>
              </w:rPr>
            </w:pPr>
            <w:r w:rsidRPr="0078046F">
              <w:rPr>
                <w:rFonts w:eastAsia="Calibri"/>
                <w:color w:val="000000"/>
              </w:rPr>
              <w:t>9</w:t>
            </w:r>
          </w:p>
        </w:tc>
        <w:tc>
          <w:tcPr>
            <w:tcW w:w="1752" w:type="dxa"/>
          </w:tcPr>
          <w:p w14:paraId="5C2119A5" w14:textId="77777777" w:rsidR="004C4EAC" w:rsidRPr="00060943" w:rsidRDefault="004C4EAC" w:rsidP="004C4EAC">
            <w:pPr>
              <w:jc w:val="center"/>
            </w:pPr>
            <w:r w:rsidRPr="00060943">
              <w:t>16</w:t>
            </w:r>
          </w:p>
        </w:tc>
        <w:tc>
          <w:tcPr>
            <w:tcW w:w="2469" w:type="dxa"/>
          </w:tcPr>
          <w:p w14:paraId="7CE1C16E" w14:textId="77777777" w:rsidR="004C4EAC" w:rsidRPr="0078046F" w:rsidRDefault="004C4EAC" w:rsidP="0078046F">
            <w:pPr>
              <w:jc w:val="center"/>
              <w:rPr>
                <w:rFonts w:eastAsia="Calibri"/>
                <w:color w:val="000000"/>
              </w:rPr>
            </w:pPr>
            <w:r w:rsidRPr="0078046F">
              <w:rPr>
                <w:rFonts w:eastAsia="Calibri"/>
                <w:color w:val="000000"/>
              </w:rPr>
              <w:t>24</w:t>
            </w:r>
          </w:p>
        </w:tc>
        <w:tc>
          <w:tcPr>
            <w:tcW w:w="1992" w:type="dxa"/>
          </w:tcPr>
          <w:p w14:paraId="7BC687C7" w14:textId="77777777" w:rsidR="004C4EAC" w:rsidRPr="0078046F" w:rsidRDefault="004C4EAC" w:rsidP="0078046F">
            <w:pPr>
              <w:jc w:val="center"/>
              <w:rPr>
                <w:rFonts w:eastAsia="Calibri"/>
                <w:b/>
                <w:color w:val="000000"/>
              </w:rPr>
            </w:pPr>
            <w:r w:rsidRPr="0078046F">
              <w:rPr>
                <w:rFonts w:eastAsia="Calibri"/>
                <w:b/>
                <w:color w:val="000000"/>
              </w:rPr>
              <w:t>33</w:t>
            </w:r>
          </w:p>
        </w:tc>
      </w:tr>
      <w:tr w:rsidR="004C4EAC" w:rsidRPr="0078046F" w14:paraId="56C500D3" w14:textId="77777777" w:rsidTr="000416DF">
        <w:tc>
          <w:tcPr>
            <w:tcW w:w="1991" w:type="dxa"/>
          </w:tcPr>
          <w:p w14:paraId="4C5FBA29" w14:textId="77777777" w:rsidR="004C4EAC" w:rsidRPr="0078046F" w:rsidRDefault="004C4EAC" w:rsidP="0078046F">
            <w:pPr>
              <w:rPr>
                <w:rFonts w:eastAsia="Calibri"/>
                <w:color w:val="000000"/>
              </w:rPr>
            </w:pPr>
            <w:r w:rsidRPr="0078046F">
              <w:rPr>
                <w:rFonts w:eastAsia="Calibri"/>
                <w:color w:val="000000"/>
              </w:rPr>
              <w:t>Emus</w:t>
            </w:r>
          </w:p>
        </w:tc>
        <w:tc>
          <w:tcPr>
            <w:tcW w:w="1752" w:type="dxa"/>
          </w:tcPr>
          <w:p w14:paraId="0F75A425" w14:textId="77777777" w:rsidR="004C4EAC" w:rsidRPr="0078046F" w:rsidRDefault="004C4EAC" w:rsidP="0078046F">
            <w:pPr>
              <w:jc w:val="center"/>
              <w:rPr>
                <w:rFonts w:eastAsia="Calibri"/>
                <w:color w:val="000000"/>
              </w:rPr>
            </w:pPr>
            <w:r w:rsidRPr="0078046F">
              <w:rPr>
                <w:rFonts w:eastAsia="Calibri"/>
                <w:color w:val="000000"/>
              </w:rPr>
              <w:t>1</w:t>
            </w:r>
          </w:p>
        </w:tc>
        <w:tc>
          <w:tcPr>
            <w:tcW w:w="1752" w:type="dxa"/>
          </w:tcPr>
          <w:p w14:paraId="2F26CC7A" w14:textId="77777777" w:rsidR="004C4EAC" w:rsidRDefault="004C4EAC" w:rsidP="004C4EAC">
            <w:pPr>
              <w:jc w:val="center"/>
            </w:pPr>
            <w:r w:rsidRPr="00060943">
              <w:t>6</w:t>
            </w:r>
          </w:p>
        </w:tc>
        <w:tc>
          <w:tcPr>
            <w:tcW w:w="2469" w:type="dxa"/>
          </w:tcPr>
          <w:p w14:paraId="7E7F1E29" w14:textId="77777777" w:rsidR="004C4EAC" w:rsidRPr="0078046F" w:rsidRDefault="004C4EAC" w:rsidP="0078046F">
            <w:pPr>
              <w:jc w:val="center"/>
              <w:rPr>
                <w:rFonts w:eastAsia="Calibri"/>
                <w:color w:val="000000"/>
              </w:rPr>
            </w:pPr>
            <w:r w:rsidRPr="0078046F">
              <w:rPr>
                <w:rFonts w:eastAsia="Calibri"/>
                <w:color w:val="000000"/>
              </w:rPr>
              <w:t>2</w:t>
            </w:r>
          </w:p>
        </w:tc>
        <w:tc>
          <w:tcPr>
            <w:tcW w:w="1992" w:type="dxa"/>
          </w:tcPr>
          <w:p w14:paraId="6DB513C9" w14:textId="77777777" w:rsidR="004C4EAC" w:rsidRPr="0078046F" w:rsidRDefault="004C4EAC" w:rsidP="0078046F">
            <w:pPr>
              <w:jc w:val="center"/>
              <w:rPr>
                <w:rFonts w:eastAsia="Calibri"/>
                <w:b/>
                <w:color w:val="000000"/>
              </w:rPr>
            </w:pPr>
            <w:r w:rsidRPr="0078046F">
              <w:rPr>
                <w:rFonts w:eastAsia="Calibri"/>
                <w:b/>
                <w:color w:val="000000"/>
              </w:rPr>
              <w:t>3</w:t>
            </w:r>
          </w:p>
        </w:tc>
      </w:tr>
    </w:tbl>
    <w:p w14:paraId="5EBD93C4" w14:textId="77777777" w:rsidR="0078046F" w:rsidRPr="00C44199" w:rsidRDefault="0078046F" w:rsidP="0078046F">
      <w:pPr>
        <w:spacing w:before="240"/>
        <w:rPr>
          <w:b/>
          <w:lang w:val="en-AU" w:eastAsia="en-AU"/>
        </w:rPr>
      </w:pPr>
      <w:r w:rsidRPr="00C44199">
        <w:rPr>
          <w:b/>
          <w:lang w:val="en-AU" w:eastAsia="en-AU"/>
        </w:rPr>
        <w:t>Table Intro 3: Summary of articles available for review on the slaughter of each type of farmed bird</w:t>
      </w:r>
    </w:p>
    <w:tbl>
      <w:tblPr>
        <w:tblStyle w:val="TableGrid3"/>
        <w:tblW w:w="0" w:type="auto"/>
        <w:tblLayout w:type="fixed"/>
        <w:tblLook w:val="04A0" w:firstRow="1" w:lastRow="0" w:firstColumn="1" w:lastColumn="0" w:noHBand="0" w:noVBand="1"/>
        <w:tblCaption w:val="Table Intro 3: Summary of articles available for review on the slaughter of each type of farmed bird"/>
        <w:tblDescription w:val="This table shows the number of scientific papers that were found on farmed bird slaughter, the number of scientific papers excluded and the total number review, for each farmed bird type."/>
      </w:tblPr>
      <w:tblGrid>
        <w:gridCol w:w="4644"/>
        <w:gridCol w:w="1701"/>
        <w:gridCol w:w="1701"/>
        <w:gridCol w:w="1910"/>
      </w:tblGrid>
      <w:tr w:rsidR="00AD6E72" w:rsidRPr="0078046F" w14:paraId="3FF099E1" w14:textId="77777777" w:rsidTr="0077669D">
        <w:trPr>
          <w:tblHeader/>
        </w:trPr>
        <w:tc>
          <w:tcPr>
            <w:tcW w:w="4644" w:type="dxa"/>
            <w:vMerge w:val="restart"/>
            <w:vAlign w:val="bottom"/>
          </w:tcPr>
          <w:p w14:paraId="29DA9C5F" w14:textId="77777777" w:rsidR="00AD6E72" w:rsidRPr="0078046F" w:rsidRDefault="00AD6E72" w:rsidP="0077669D">
            <w:pPr>
              <w:rPr>
                <w:rFonts w:eastAsia="Calibri"/>
                <w:color w:val="000000"/>
              </w:rPr>
            </w:pPr>
            <w:r w:rsidRPr="0078046F">
              <w:rPr>
                <w:rFonts w:eastAsia="Calibri"/>
                <w:color w:val="000000"/>
              </w:rPr>
              <w:t>Farmed bird</w:t>
            </w:r>
            <w:r>
              <w:rPr>
                <w:rFonts w:eastAsia="Calibri"/>
                <w:color w:val="000000"/>
              </w:rPr>
              <w:t xml:space="preserve"> type</w:t>
            </w:r>
          </w:p>
        </w:tc>
        <w:tc>
          <w:tcPr>
            <w:tcW w:w="3402" w:type="dxa"/>
            <w:gridSpan w:val="2"/>
          </w:tcPr>
          <w:p w14:paraId="42ADBE01" w14:textId="77777777" w:rsidR="00AD6E72" w:rsidRPr="0078046F" w:rsidRDefault="00AD6E72" w:rsidP="0078046F">
            <w:pPr>
              <w:jc w:val="center"/>
              <w:rPr>
                <w:rFonts w:eastAsia="Calibri"/>
                <w:color w:val="000000"/>
              </w:rPr>
            </w:pPr>
            <w:r w:rsidRPr="0078046F">
              <w:rPr>
                <w:rFonts w:eastAsia="Calibri"/>
                <w:color w:val="000000"/>
              </w:rPr>
              <w:t>Primary search</w:t>
            </w:r>
          </w:p>
        </w:tc>
        <w:tc>
          <w:tcPr>
            <w:tcW w:w="1910" w:type="dxa"/>
            <w:vMerge w:val="restart"/>
          </w:tcPr>
          <w:p w14:paraId="1E5F0FDF" w14:textId="77777777" w:rsidR="00AD6E72" w:rsidRPr="0078046F" w:rsidRDefault="00AD6E72" w:rsidP="0078046F">
            <w:pPr>
              <w:jc w:val="center"/>
              <w:rPr>
                <w:rFonts w:eastAsia="Calibri"/>
                <w:color w:val="000000"/>
              </w:rPr>
            </w:pPr>
            <w:r>
              <w:rPr>
                <w:rFonts w:eastAsia="Calibri"/>
                <w:b/>
                <w:color w:val="000000"/>
              </w:rPr>
              <w:t>Total number of papers for review</w:t>
            </w:r>
          </w:p>
        </w:tc>
      </w:tr>
      <w:tr w:rsidR="00AD6E72" w:rsidRPr="0078046F" w14:paraId="069DB741" w14:textId="77777777" w:rsidTr="00C44199">
        <w:tc>
          <w:tcPr>
            <w:tcW w:w="4644" w:type="dxa"/>
            <w:vMerge/>
          </w:tcPr>
          <w:p w14:paraId="0C4C2B9A" w14:textId="77777777" w:rsidR="00AD6E72" w:rsidRPr="0078046F" w:rsidRDefault="00AD6E72" w:rsidP="0078046F">
            <w:pPr>
              <w:spacing w:after="0"/>
              <w:rPr>
                <w:rFonts w:eastAsia="Calibri"/>
                <w:color w:val="000000"/>
              </w:rPr>
            </w:pPr>
          </w:p>
        </w:tc>
        <w:tc>
          <w:tcPr>
            <w:tcW w:w="1701" w:type="dxa"/>
          </w:tcPr>
          <w:p w14:paraId="613164C5" w14:textId="77777777" w:rsidR="00AD6E72" w:rsidRPr="0078046F" w:rsidRDefault="00AD6E72" w:rsidP="00AD6E72">
            <w:pPr>
              <w:jc w:val="center"/>
              <w:rPr>
                <w:rFonts w:eastAsia="Calibri"/>
                <w:color w:val="000000"/>
              </w:rPr>
            </w:pPr>
            <w:r>
              <w:rPr>
                <w:rFonts w:eastAsia="Calibri"/>
                <w:color w:val="000000"/>
              </w:rPr>
              <w:t>Papers r</w:t>
            </w:r>
            <w:r w:rsidRPr="0078046F">
              <w:rPr>
                <w:rFonts w:eastAsia="Calibri"/>
                <w:color w:val="000000"/>
              </w:rPr>
              <w:t>eturned</w:t>
            </w:r>
          </w:p>
        </w:tc>
        <w:tc>
          <w:tcPr>
            <w:tcW w:w="1701" w:type="dxa"/>
          </w:tcPr>
          <w:p w14:paraId="3EF3D1C0" w14:textId="77777777" w:rsidR="00AD6E72" w:rsidRPr="0078046F" w:rsidRDefault="00AD6E72" w:rsidP="00AD6E72">
            <w:pPr>
              <w:jc w:val="center"/>
              <w:rPr>
                <w:rFonts w:eastAsia="Calibri"/>
                <w:color w:val="000000"/>
              </w:rPr>
            </w:pPr>
            <w:r>
              <w:rPr>
                <w:rFonts w:eastAsia="Calibri"/>
                <w:color w:val="000000"/>
              </w:rPr>
              <w:t>Papers e</w:t>
            </w:r>
            <w:r w:rsidRPr="0078046F">
              <w:rPr>
                <w:rFonts w:eastAsia="Calibri"/>
                <w:color w:val="000000"/>
              </w:rPr>
              <w:t>xcluded</w:t>
            </w:r>
          </w:p>
        </w:tc>
        <w:tc>
          <w:tcPr>
            <w:tcW w:w="1910" w:type="dxa"/>
            <w:vMerge/>
          </w:tcPr>
          <w:p w14:paraId="2AC29A14" w14:textId="77777777" w:rsidR="00AD6E72" w:rsidRPr="0078046F" w:rsidRDefault="00AD6E72" w:rsidP="0078046F">
            <w:pPr>
              <w:spacing w:after="0"/>
              <w:rPr>
                <w:rFonts w:eastAsia="Calibri"/>
                <w:color w:val="000000"/>
              </w:rPr>
            </w:pPr>
          </w:p>
        </w:tc>
      </w:tr>
      <w:tr w:rsidR="0078046F" w:rsidRPr="0078046F" w14:paraId="541A6EBD" w14:textId="77777777" w:rsidTr="00C44199">
        <w:tc>
          <w:tcPr>
            <w:tcW w:w="4644" w:type="dxa"/>
          </w:tcPr>
          <w:p w14:paraId="6B8BDEC0" w14:textId="77777777" w:rsidR="0078046F" w:rsidRPr="0078046F" w:rsidRDefault="0078046F" w:rsidP="0078046F">
            <w:pPr>
              <w:rPr>
                <w:rFonts w:eastAsia="Calibri"/>
                <w:color w:val="000000"/>
              </w:rPr>
            </w:pPr>
            <w:r w:rsidRPr="0078046F">
              <w:rPr>
                <w:rFonts w:eastAsia="Calibri"/>
                <w:color w:val="000000"/>
              </w:rPr>
              <w:t>Chickens (encompassing laying and meat chickens and breeders)</w:t>
            </w:r>
          </w:p>
        </w:tc>
        <w:tc>
          <w:tcPr>
            <w:tcW w:w="1701" w:type="dxa"/>
          </w:tcPr>
          <w:p w14:paraId="6FED570B" w14:textId="77777777" w:rsidR="0078046F" w:rsidRPr="0078046F" w:rsidRDefault="0078046F" w:rsidP="0078046F">
            <w:pPr>
              <w:jc w:val="center"/>
              <w:rPr>
                <w:rFonts w:eastAsia="Calibri"/>
                <w:color w:val="000000"/>
              </w:rPr>
            </w:pPr>
            <w:r w:rsidRPr="0078046F">
              <w:rPr>
                <w:rFonts w:eastAsia="Calibri"/>
                <w:color w:val="000000"/>
              </w:rPr>
              <w:t>623</w:t>
            </w:r>
          </w:p>
        </w:tc>
        <w:tc>
          <w:tcPr>
            <w:tcW w:w="1701" w:type="dxa"/>
          </w:tcPr>
          <w:p w14:paraId="7F314564" w14:textId="77777777" w:rsidR="0078046F" w:rsidRPr="0078046F" w:rsidRDefault="0078046F" w:rsidP="0078046F">
            <w:pPr>
              <w:jc w:val="center"/>
              <w:rPr>
                <w:rFonts w:eastAsia="Calibri"/>
                <w:color w:val="000000"/>
              </w:rPr>
            </w:pPr>
            <w:r w:rsidRPr="0078046F">
              <w:rPr>
                <w:rFonts w:eastAsia="Calibri"/>
                <w:color w:val="000000"/>
              </w:rPr>
              <w:t>543</w:t>
            </w:r>
          </w:p>
        </w:tc>
        <w:tc>
          <w:tcPr>
            <w:tcW w:w="1910" w:type="dxa"/>
          </w:tcPr>
          <w:p w14:paraId="20400C09" w14:textId="77777777" w:rsidR="0078046F" w:rsidRPr="0078046F" w:rsidRDefault="0078046F" w:rsidP="0078046F">
            <w:pPr>
              <w:jc w:val="center"/>
              <w:rPr>
                <w:rFonts w:eastAsia="Calibri"/>
                <w:b/>
                <w:color w:val="000000"/>
              </w:rPr>
            </w:pPr>
            <w:r w:rsidRPr="0078046F">
              <w:rPr>
                <w:rFonts w:eastAsia="Calibri"/>
                <w:b/>
                <w:color w:val="000000"/>
              </w:rPr>
              <w:t>80</w:t>
            </w:r>
          </w:p>
        </w:tc>
      </w:tr>
      <w:tr w:rsidR="0078046F" w:rsidRPr="0078046F" w14:paraId="6F821A6B" w14:textId="77777777" w:rsidTr="00C44199">
        <w:tc>
          <w:tcPr>
            <w:tcW w:w="4644" w:type="dxa"/>
          </w:tcPr>
          <w:p w14:paraId="15172EB7" w14:textId="77777777" w:rsidR="0078046F" w:rsidRPr="0078046F" w:rsidRDefault="0078046F" w:rsidP="0078046F">
            <w:pPr>
              <w:rPr>
                <w:rFonts w:eastAsia="Calibri"/>
                <w:color w:val="000000"/>
              </w:rPr>
            </w:pPr>
            <w:r w:rsidRPr="0078046F">
              <w:rPr>
                <w:rFonts w:eastAsia="Calibri"/>
                <w:color w:val="000000"/>
              </w:rPr>
              <w:t>Ducks</w:t>
            </w:r>
          </w:p>
        </w:tc>
        <w:tc>
          <w:tcPr>
            <w:tcW w:w="1701" w:type="dxa"/>
          </w:tcPr>
          <w:p w14:paraId="3567E518" w14:textId="77777777" w:rsidR="0078046F" w:rsidRPr="0078046F" w:rsidRDefault="0078046F" w:rsidP="0078046F">
            <w:pPr>
              <w:jc w:val="center"/>
              <w:rPr>
                <w:rFonts w:eastAsia="Calibri"/>
                <w:color w:val="000000"/>
              </w:rPr>
            </w:pPr>
            <w:r w:rsidRPr="0078046F">
              <w:rPr>
                <w:rFonts w:eastAsia="Calibri"/>
                <w:color w:val="000000"/>
              </w:rPr>
              <w:t>30</w:t>
            </w:r>
          </w:p>
        </w:tc>
        <w:tc>
          <w:tcPr>
            <w:tcW w:w="1701" w:type="dxa"/>
          </w:tcPr>
          <w:p w14:paraId="6DCC8F8D" w14:textId="77777777" w:rsidR="0078046F" w:rsidRPr="0078046F" w:rsidRDefault="0078046F" w:rsidP="0078046F">
            <w:pPr>
              <w:jc w:val="center"/>
              <w:rPr>
                <w:rFonts w:eastAsia="Calibri"/>
                <w:color w:val="000000"/>
              </w:rPr>
            </w:pPr>
            <w:r w:rsidRPr="0078046F">
              <w:rPr>
                <w:rFonts w:eastAsia="Calibri"/>
                <w:color w:val="000000"/>
              </w:rPr>
              <w:t>20</w:t>
            </w:r>
          </w:p>
        </w:tc>
        <w:tc>
          <w:tcPr>
            <w:tcW w:w="1910" w:type="dxa"/>
          </w:tcPr>
          <w:p w14:paraId="5BABF926" w14:textId="77777777" w:rsidR="0078046F" w:rsidRPr="0078046F" w:rsidRDefault="0078046F" w:rsidP="0078046F">
            <w:pPr>
              <w:jc w:val="center"/>
              <w:rPr>
                <w:rFonts w:eastAsia="Calibri"/>
                <w:b/>
                <w:color w:val="000000"/>
              </w:rPr>
            </w:pPr>
            <w:r w:rsidRPr="0078046F">
              <w:rPr>
                <w:rFonts w:eastAsia="Calibri"/>
                <w:b/>
                <w:color w:val="000000"/>
              </w:rPr>
              <w:t>10</w:t>
            </w:r>
          </w:p>
        </w:tc>
      </w:tr>
      <w:tr w:rsidR="0078046F" w:rsidRPr="0078046F" w14:paraId="249EABDF" w14:textId="77777777" w:rsidTr="00C44199">
        <w:tc>
          <w:tcPr>
            <w:tcW w:w="4644" w:type="dxa"/>
          </w:tcPr>
          <w:p w14:paraId="6D3C5F1F" w14:textId="77777777" w:rsidR="0078046F" w:rsidRPr="0078046F" w:rsidRDefault="0078046F" w:rsidP="0078046F">
            <w:pPr>
              <w:rPr>
                <w:rFonts w:eastAsia="Calibri"/>
                <w:color w:val="000000"/>
              </w:rPr>
            </w:pPr>
            <w:r w:rsidRPr="0078046F">
              <w:rPr>
                <w:rFonts w:eastAsia="Calibri"/>
                <w:color w:val="000000"/>
              </w:rPr>
              <w:t>Geese</w:t>
            </w:r>
          </w:p>
        </w:tc>
        <w:tc>
          <w:tcPr>
            <w:tcW w:w="1701" w:type="dxa"/>
          </w:tcPr>
          <w:p w14:paraId="401A29F7" w14:textId="77777777" w:rsidR="0078046F" w:rsidRPr="0078046F" w:rsidRDefault="0078046F" w:rsidP="0078046F">
            <w:pPr>
              <w:jc w:val="center"/>
              <w:rPr>
                <w:rFonts w:eastAsia="Calibri"/>
                <w:color w:val="000000"/>
              </w:rPr>
            </w:pPr>
            <w:r w:rsidRPr="0078046F">
              <w:rPr>
                <w:rFonts w:eastAsia="Calibri"/>
                <w:color w:val="000000"/>
              </w:rPr>
              <w:t>12</w:t>
            </w:r>
          </w:p>
        </w:tc>
        <w:tc>
          <w:tcPr>
            <w:tcW w:w="1701" w:type="dxa"/>
          </w:tcPr>
          <w:p w14:paraId="46C8AC64" w14:textId="77777777" w:rsidR="0078046F" w:rsidRPr="0078046F" w:rsidRDefault="0078046F" w:rsidP="0078046F">
            <w:pPr>
              <w:jc w:val="center"/>
              <w:rPr>
                <w:rFonts w:eastAsia="Calibri"/>
                <w:color w:val="000000"/>
              </w:rPr>
            </w:pPr>
            <w:r w:rsidRPr="0078046F">
              <w:rPr>
                <w:rFonts w:eastAsia="Calibri"/>
                <w:color w:val="000000"/>
              </w:rPr>
              <w:t>11</w:t>
            </w:r>
          </w:p>
        </w:tc>
        <w:tc>
          <w:tcPr>
            <w:tcW w:w="1910" w:type="dxa"/>
          </w:tcPr>
          <w:p w14:paraId="1B8A52FE" w14:textId="77777777" w:rsidR="0078046F" w:rsidRPr="0078046F" w:rsidRDefault="0078046F" w:rsidP="0078046F">
            <w:pPr>
              <w:jc w:val="center"/>
              <w:rPr>
                <w:rFonts w:eastAsia="Calibri"/>
                <w:b/>
                <w:color w:val="000000"/>
              </w:rPr>
            </w:pPr>
            <w:r w:rsidRPr="0078046F">
              <w:rPr>
                <w:rFonts w:eastAsia="Calibri"/>
                <w:b/>
                <w:color w:val="000000"/>
              </w:rPr>
              <w:t>1</w:t>
            </w:r>
          </w:p>
        </w:tc>
      </w:tr>
      <w:tr w:rsidR="005B0D69" w:rsidRPr="0078046F" w14:paraId="6B99AA2F" w14:textId="77777777" w:rsidTr="00C44199">
        <w:tc>
          <w:tcPr>
            <w:tcW w:w="4644" w:type="dxa"/>
          </w:tcPr>
          <w:p w14:paraId="76345C6E" w14:textId="77777777" w:rsidR="005B0D69" w:rsidRPr="0070641B" w:rsidRDefault="005B0D69" w:rsidP="00315719">
            <w:r w:rsidRPr="0070641B">
              <w:t>Turkeys</w:t>
            </w:r>
          </w:p>
        </w:tc>
        <w:tc>
          <w:tcPr>
            <w:tcW w:w="1701" w:type="dxa"/>
          </w:tcPr>
          <w:p w14:paraId="51CAE0AB" w14:textId="77777777" w:rsidR="005B0D69" w:rsidRPr="0070641B" w:rsidRDefault="005B0D69" w:rsidP="005B0D69">
            <w:pPr>
              <w:jc w:val="center"/>
            </w:pPr>
            <w:r w:rsidRPr="0070641B">
              <w:t>141</w:t>
            </w:r>
          </w:p>
        </w:tc>
        <w:tc>
          <w:tcPr>
            <w:tcW w:w="1701" w:type="dxa"/>
          </w:tcPr>
          <w:p w14:paraId="6F19F1EF" w14:textId="77777777" w:rsidR="005B0D69" w:rsidRPr="0070641B" w:rsidRDefault="005B0D69" w:rsidP="005B0D69">
            <w:pPr>
              <w:jc w:val="center"/>
            </w:pPr>
            <w:r w:rsidRPr="0070641B">
              <w:t>119</w:t>
            </w:r>
          </w:p>
        </w:tc>
        <w:tc>
          <w:tcPr>
            <w:tcW w:w="1910" w:type="dxa"/>
          </w:tcPr>
          <w:p w14:paraId="51635AA7" w14:textId="77777777" w:rsidR="005B0D69" w:rsidRPr="005B0D69" w:rsidRDefault="005B0D69" w:rsidP="005B0D69">
            <w:pPr>
              <w:jc w:val="center"/>
              <w:rPr>
                <w:b/>
              </w:rPr>
            </w:pPr>
            <w:r w:rsidRPr="005B0D69">
              <w:rPr>
                <w:b/>
              </w:rPr>
              <w:t>22</w:t>
            </w:r>
          </w:p>
        </w:tc>
      </w:tr>
      <w:tr w:rsidR="0078046F" w:rsidRPr="0078046F" w14:paraId="3F088262" w14:textId="77777777" w:rsidTr="00C44199">
        <w:tc>
          <w:tcPr>
            <w:tcW w:w="4644" w:type="dxa"/>
          </w:tcPr>
          <w:p w14:paraId="0122AE09" w14:textId="77777777" w:rsidR="0078046F" w:rsidRPr="0078046F" w:rsidRDefault="005B0D69" w:rsidP="0078046F">
            <w:pPr>
              <w:rPr>
                <w:rFonts w:eastAsia="Calibri"/>
                <w:color w:val="000000"/>
              </w:rPr>
            </w:pPr>
            <w:r>
              <w:rPr>
                <w:rFonts w:eastAsia="Calibri"/>
                <w:color w:val="000000"/>
              </w:rPr>
              <w:t>Guinea fowl, pheasants, partridges, pigeons and quail</w:t>
            </w:r>
          </w:p>
        </w:tc>
        <w:tc>
          <w:tcPr>
            <w:tcW w:w="1701" w:type="dxa"/>
          </w:tcPr>
          <w:p w14:paraId="2A7B448C" w14:textId="77777777" w:rsidR="0078046F" w:rsidRPr="0078046F" w:rsidRDefault="0078046F" w:rsidP="0078046F">
            <w:pPr>
              <w:jc w:val="center"/>
              <w:rPr>
                <w:rFonts w:eastAsia="Calibri"/>
                <w:color w:val="000000"/>
              </w:rPr>
            </w:pPr>
            <w:r w:rsidRPr="0078046F">
              <w:rPr>
                <w:rFonts w:eastAsia="Calibri"/>
                <w:color w:val="000000"/>
              </w:rPr>
              <w:t>26</w:t>
            </w:r>
          </w:p>
        </w:tc>
        <w:tc>
          <w:tcPr>
            <w:tcW w:w="1701" w:type="dxa"/>
          </w:tcPr>
          <w:p w14:paraId="560167F4" w14:textId="77777777" w:rsidR="0078046F" w:rsidRPr="0078046F" w:rsidRDefault="0078046F" w:rsidP="0078046F">
            <w:pPr>
              <w:jc w:val="center"/>
              <w:rPr>
                <w:rFonts w:eastAsia="Calibri"/>
                <w:color w:val="000000"/>
              </w:rPr>
            </w:pPr>
            <w:r w:rsidRPr="0078046F">
              <w:rPr>
                <w:rFonts w:eastAsia="Calibri"/>
                <w:color w:val="000000"/>
              </w:rPr>
              <w:t>24</w:t>
            </w:r>
          </w:p>
        </w:tc>
        <w:tc>
          <w:tcPr>
            <w:tcW w:w="1910" w:type="dxa"/>
          </w:tcPr>
          <w:p w14:paraId="0EFDF0B8" w14:textId="77777777" w:rsidR="0078046F" w:rsidRPr="0078046F" w:rsidRDefault="0078046F" w:rsidP="0078046F">
            <w:pPr>
              <w:jc w:val="center"/>
              <w:rPr>
                <w:rFonts w:eastAsia="Calibri"/>
                <w:b/>
                <w:color w:val="000000"/>
              </w:rPr>
            </w:pPr>
            <w:r w:rsidRPr="0078046F">
              <w:rPr>
                <w:rFonts w:eastAsia="Calibri"/>
                <w:b/>
                <w:color w:val="000000"/>
              </w:rPr>
              <w:t>2</w:t>
            </w:r>
          </w:p>
        </w:tc>
      </w:tr>
      <w:tr w:rsidR="0078046F" w:rsidRPr="0078046F" w14:paraId="3521CADB" w14:textId="77777777" w:rsidTr="00C44199">
        <w:tc>
          <w:tcPr>
            <w:tcW w:w="4644" w:type="dxa"/>
          </w:tcPr>
          <w:p w14:paraId="447EC4A4" w14:textId="77777777" w:rsidR="0078046F" w:rsidRPr="0078046F" w:rsidRDefault="0078046F" w:rsidP="005B0D69">
            <w:r w:rsidRPr="0078046F">
              <w:t>Ostriches</w:t>
            </w:r>
            <w:r w:rsidR="005B0D69">
              <w:t xml:space="preserve"> and emus</w:t>
            </w:r>
          </w:p>
        </w:tc>
        <w:tc>
          <w:tcPr>
            <w:tcW w:w="1701" w:type="dxa"/>
          </w:tcPr>
          <w:p w14:paraId="4E4A95A7" w14:textId="77777777" w:rsidR="0078046F" w:rsidRPr="0078046F" w:rsidRDefault="0078046F" w:rsidP="0078046F">
            <w:pPr>
              <w:jc w:val="center"/>
              <w:rPr>
                <w:rFonts w:eastAsia="Calibri"/>
                <w:color w:val="000000"/>
              </w:rPr>
            </w:pPr>
            <w:r w:rsidRPr="0078046F">
              <w:rPr>
                <w:rFonts w:eastAsia="Calibri"/>
                <w:color w:val="000000"/>
              </w:rPr>
              <w:t>19</w:t>
            </w:r>
          </w:p>
        </w:tc>
        <w:tc>
          <w:tcPr>
            <w:tcW w:w="1701" w:type="dxa"/>
          </w:tcPr>
          <w:p w14:paraId="1E5C0BD9" w14:textId="77777777" w:rsidR="0078046F" w:rsidRPr="0078046F" w:rsidRDefault="0078046F" w:rsidP="0078046F">
            <w:pPr>
              <w:jc w:val="center"/>
              <w:rPr>
                <w:rFonts w:eastAsia="Calibri"/>
                <w:color w:val="000000"/>
              </w:rPr>
            </w:pPr>
            <w:r w:rsidRPr="0078046F">
              <w:rPr>
                <w:rFonts w:eastAsia="Calibri"/>
                <w:color w:val="000000"/>
              </w:rPr>
              <w:t>18</w:t>
            </w:r>
          </w:p>
        </w:tc>
        <w:tc>
          <w:tcPr>
            <w:tcW w:w="1910" w:type="dxa"/>
          </w:tcPr>
          <w:p w14:paraId="4C3F580D" w14:textId="77777777" w:rsidR="0078046F" w:rsidRPr="0078046F" w:rsidRDefault="0078046F" w:rsidP="0078046F">
            <w:pPr>
              <w:jc w:val="center"/>
            </w:pPr>
            <w:r w:rsidRPr="0078046F">
              <w:rPr>
                <w:rFonts w:eastAsia="Calibri"/>
                <w:b/>
                <w:color w:val="000000"/>
              </w:rPr>
              <w:t>1</w:t>
            </w:r>
          </w:p>
        </w:tc>
      </w:tr>
    </w:tbl>
    <w:p w14:paraId="6C700F1E" w14:textId="77777777" w:rsidR="00286A88" w:rsidRPr="00C31175" w:rsidRDefault="00286A88" w:rsidP="0078046F">
      <w:pPr>
        <w:spacing w:before="240"/>
        <w:rPr>
          <w:lang w:val="en-AU" w:eastAsia="en-AU"/>
        </w:rPr>
      </w:pPr>
      <w:r w:rsidRPr="00C31175">
        <w:rPr>
          <w:lang w:val="en-AU" w:eastAsia="en-AU"/>
        </w:rPr>
        <w:t>This exercise ensured that we initiated the review in a way that minimised source material selection bias.</w:t>
      </w:r>
    </w:p>
    <w:p w14:paraId="2200F0C1" w14:textId="77777777" w:rsidR="00286A88" w:rsidRPr="00C31175" w:rsidRDefault="00286A88" w:rsidP="004C4EAC">
      <w:pPr>
        <w:pStyle w:val="Heading3"/>
        <w:rPr>
          <w:lang w:val="en-AU" w:eastAsia="en-AU"/>
        </w:rPr>
      </w:pPr>
      <w:bookmarkStart w:id="5" w:name="_Toc495310475"/>
      <w:r w:rsidRPr="00C31175">
        <w:rPr>
          <w:lang w:val="en-AU" w:eastAsia="en-AU"/>
        </w:rPr>
        <w:t>Intro3.2 Full review</w:t>
      </w:r>
      <w:bookmarkEnd w:id="5"/>
    </w:p>
    <w:p w14:paraId="1920E386" w14:textId="77777777" w:rsidR="00286A88" w:rsidRPr="00C31175" w:rsidRDefault="00286A88" w:rsidP="00C31175">
      <w:pPr>
        <w:rPr>
          <w:lang w:val="en-AU" w:eastAsia="en-AU"/>
        </w:rPr>
      </w:pPr>
      <w:r w:rsidRPr="00C31175">
        <w:rPr>
          <w:lang w:val="en-AU" w:eastAsia="en-AU"/>
        </w:rPr>
        <w:t>During the full review, the retained papers were consulted in detail. A small number of further exclusions were made whilst some additional papers were included (detected using citations of papers in our initial scoping review). For species with a small recent peer-reviewed literature some older papers or technical reports have been cited. Occasionally, and only for species with a sparse peer-reviewed literature, we mention information obtained from an abstract where the full text was not available to us (with University of Bristol access rights) within the time available. We have indicated where this was the case.</w:t>
      </w:r>
    </w:p>
    <w:p w14:paraId="1DC54321" w14:textId="77777777" w:rsidR="00286A88" w:rsidRPr="00253F51" w:rsidRDefault="00286A88" w:rsidP="004C4EAC">
      <w:pPr>
        <w:pStyle w:val="Heading3"/>
        <w:rPr>
          <w:lang w:val="en-AU" w:eastAsia="en-AU"/>
        </w:rPr>
      </w:pPr>
      <w:bookmarkStart w:id="6" w:name="_Toc495310476"/>
      <w:r w:rsidRPr="00253F51">
        <w:rPr>
          <w:lang w:val="en-AU" w:eastAsia="en-AU"/>
        </w:rPr>
        <w:t>Intro3.3 Peer review</w:t>
      </w:r>
      <w:bookmarkEnd w:id="6"/>
    </w:p>
    <w:p w14:paraId="33AD0C5A" w14:textId="77777777" w:rsidR="00286A88" w:rsidRPr="00C31175" w:rsidRDefault="00286A88" w:rsidP="004C4EAC">
      <w:pPr>
        <w:rPr>
          <w:lang w:val="en-AU" w:eastAsia="en-AU"/>
        </w:rPr>
      </w:pPr>
      <w:r w:rsidRPr="00C31175">
        <w:rPr>
          <w:lang w:val="en-AU" w:eastAsia="en-AU"/>
        </w:rPr>
        <w:t>The review was subject to a peer review process, in which two independent peer reviewers with relevant expertise were provided with a comprehensive draft of the review for comment. This was a ‘double blind’ peer review process, in which neither we nor the reviewers were aware of each other’s identity. The process was facilitated by the agency that commissioned the review, the Department of Economic Development, Jobs, Transport and Resources, Victoria, Australia. Each peer reviewer provided a report with their comments</w:t>
      </w:r>
      <w:r w:rsidR="00277324">
        <w:rPr>
          <w:lang w:val="en-AU" w:eastAsia="en-AU"/>
        </w:rPr>
        <w:t>,</w:t>
      </w:r>
      <w:r w:rsidRPr="00C31175">
        <w:rPr>
          <w:lang w:val="en-AU" w:eastAsia="en-AU"/>
        </w:rPr>
        <w:t xml:space="preserve"> which assisted in finalising the review.</w:t>
      </w:r>
    </w:p>
    <w:p w14:paraId="10BF977D" w14:textId="77777777" w:rsidR="00286A88" w:rsidRPr="00286A88" w:rsidRDefault="00286A88" w:rsidP="004C4EAC">
      <w:pPr>
        <w:pStyle w:val="Heading2"/>
        <w:rPr>
          <w:lang w:val="en-AU" w:eastAsia="en-AU"/>
        </w:rPr>
      </w:pPr>
      <w:bookmarkStart w:id="7" w:name="_Toc495310477"/>
      <w:r w:rsidRPr="00286A88">
        <w:rPr>
          <w:lang w:val="en-AU" w:eastAsia="en-AU"/>
        </w:rPr>
        <w:t>Intro4. Literature Included in Review</w:t>
      </w:r>
      <w:bookmarkEnd w:id="7"/>
    </w:p>
    <w:p w14:paraId="21235221" w14:textId="77777777" w:rsidR="00286A88" w:rsidRPr="00C8230A" w:rsidRDefault="00386D9F" w:rsidP="00C8230A">
      <w:pPr>
        <w:spacing w:before="180"/>
        <w:rPr>
          <w:b/>
          <w:i/>
        </w:rPr>
      </w:pPr>
      <w:r w:rsidRPr="00C8230A">
        <w:rPr>
          <w:b/>
          <w:i/>
        </w:rPr>
        <w:t>Laying Hens</w:t>
      </w:r>
    </w:p>
    <w:p w14:paraId="63128CE9" w14:textId="77777777" w:rsidR="00286A88" w:rsidRPr="00286A88" w:rsidRDefault="00286A88" w:rsidP="004C4EAC">
      <w:pPr>
        <w:rPr>
          <w:lang w:val="en-AU" w:eastAsia="en-AU"/>
        </w:rPr>
      </w:pPr>
      <w:r w:rsidRPr="00286A88">
        <w:rPr>
          <w:lang w:val="en-AU" w:eastAsia="en-AU"/>
        </w:rPr>
        <w:t>Total references: 582 (600 after review)</w:t>
      </w:r>
    </w:p>
    <w:p w14:paraId="59B4A713" w14:textId="77777777" w:rsidR="00286A88" w:rsidRPr="00286A88" w:rsidRDefault="00286A88" w:rsidP="004C4EAC">
      <w:pPr>
        <w:rPr>
          <w:lang w:val="en-AU" w:eastAsia="en-AU"/>
        </w:rPr>
      </w:pPr>
      <w:r w:rsidRPr="00286A88">
        <w:rPr>
          <w:lang w:val="en-AU" w:eastAsia="en-AU"/>
        </w:rPr>
        <w:t>53 of 492 original references (Table Intro 2) were not used (conference papers, duplicates or substandard). During the writing phase 143 new references were added, including key older works, and papers on the topic of moulting. Overall, we found an extensive peer-reviewed literature available. The length of each section in our review reflects the scientific literature available. Some issues have been well-studied because of their accessibility or because they raise theoretically interesting or complex questions (e.g. the behavioural needs of laying hens), whereas other potentially impactful issues remain relatively unstudied. An additional 18 references were included at post-review revision.</w:t>
      </w:r>
    </w:p>
    <w:p w14:paraId="027A7B58" w14:textId="77777777" w:rsidR="00286A88" w:rsidRPr="00C8230A" w:rsidRDefault="00286A88" w:rsidP="00C8230A">
      <w:pPr>
        <w:spacing w:before="180"/>
        <w:rPr>
          <w:b/>
          <w:i/>
        </w:rPr>
      </w:pPr>
      <w:r w:rsidRPr="00C8230A">
        <w:rPr>
          <w:b/>
          <w:i/>
        </w:rPr>
        <w:t xml:space="preserve">Laying </w:t>
      </w:r>
      <w:r w:rsidR="000416DF">
        <w:rPr>
          <w:b/>
          <w:i/>
        </w:rPr>
        <w:t xml:space="preserve">Hen </w:t>
      </w:r>
      <w:r w:rsidRPr="00C8230A">
        <w:rPr>
          <w:b/>
          <w:i/>
        </w:rPr>
        <w:t>Breeders</w:t>
      </w:r>
    </w:p>
    <w:p w14:paraId="2FDA809D" w14:textId="77777777" w:rsidR="00286A88" w:rsidRPr="00286A88" w:rsidRDefault="00286A88" w:rsidP="004C4EAC">
      <w:pPr>
        <w:rPr>
          <w:lang w:val="en-AU" w:eastAsia="en-AU"/>
        </w:rPr>
      </w:pPr>
      <w:r w:rsidRPr="00286A88">
        <w:rPr>
          <w:lang w:val="en-AU" w:eastAsia="en-AU"/>
        </w:rPr>
        <w:t>Total references: 2</w:t>
      </w:r>
    </w:p>
    <w:p w14:paraId="6C84CFDE" w14:textId="77777777" w:rsidR="00286A88" w:rsidRPr="00286A88" w:rsidRDefault="00286A88" w:rsidP="004C4EAC">
      <w:pPr>
        <w:rPr>
          <w:lang w:val="en-AU" w:eastAsia="en-AU"/>
        </w:rPr>
      </w:pPr>
      <w:r w:rsidRPr="00286A88">
        <w:rPr>
          <w:lang w:val="en-AU" w:eastAsia="en-AU"/>
        </w:rPr>
        <w:t>2 of the 4 original references (Table Intro 2) were not used. No useful new references were detected during the writing phase. The literature on layer breeders is virtually non-existent largely due to the high security facilities within which these birds are kept, making them inaccessible to independent scientific study.</w:t>
      </w:r>
    </w:p>
    <w:p w14:paraId="3E275768" w14:textId="77777777" w:rsidR="00286A88" w:rsidRPr="00C8230A" w:rsidRDefault="00286A88" w:rsidP="00C8230A">
      <w:pPr>
        <w:spacing w:before="180"/>
        <w:rPr>
          <w:b/>
          <w:i/>
        </w:rPr>
      </w:pPr>
      <w:r w:rsidRPr="00C8230A">
        <w:rPr>
          <w:b/>
          <w:i/>
        </w:rPr>
        <w:t>Broilers</w:t>
      </w:r>
    </w:p>
    <w:p w14:paraId="06511005" w14:textId="77777777" w:rsidR="00286A88" w:rsidRPr="00286A88" w:rsidRDefault="00286A88" w:rsidP="004C4EAC">
      <w:pPr>
        <w:rPr>
          <w:rFonts w:cs="Arial"/>
          <w:color w:val="000000"/>
          <w:lang w:val="en-AU" w:eastAsia="en-GB"/>
        </w:rPr>
      </w:pPr>
      <w:r w:rsidRPr="00286A88">
        <w:rPr>
          <w:rFonts w:cs="Arial"/>
          <w:color w:val="000000"/>
          <w:lang w:val="en-AU" w:eastAsia="en-GB"/>
        </w:rPr>
        <w:t>Total references: 386 (401 after review)</w:t>
      </w:r>
    </w:p>
    <w:p w14:paraId="6EE03E1F" w14:textId="77777777" w:rsidR="00286A88" w:rsidRPr="00286A88" w:rsidRDefault="00286A88" w:rsidP="004C4EAC">
      <w:pPr>
        <w:rPr>
          <w:lang w:val="en-AU" w:eastAsia="en-AU"/>
        </w:rPr>
      </w:pPr>
      <w:r w:rsidRPr="00286A88">
        <w:rPr>
          <w:lang w:val="en-AU" w:eastAsia="en-AU"/>
        </w:rPr>
        <w:t>115 original references (Table Intro 2) were not used (34 were conference papers, 8 were duplicates, 73 substandard). 64 new references were added including key older works. An additional 15 references were included at post-review revision.</w:t>
      </w:r>
    </w:p>
    <w:p w14:paraId="2BBC0ED8" w14:textId="77777777" w:rsidR="00286A88" w:rsidRPr="00C8230A" w:rsidRDefault="00286A88" w:rsidP="00C8230A">
      <w:pPr>
        <w:spacing w:before="180"/>
        <w:rPr>
          <w:b/>
          <w:i/>
        </w:rPr>
      </w:pPr>
      <w:r w:rsidRPr="00C8230A">
        <w:rPr>
          <w:b/>
          <w:i/>
        </w:rPr>
        <w:t>Broiler Breeders</w:t>
      </w:r>
    </w:p>
    <w:p w14:paraId="68923761" w14:textId="77777777" w:rsidR="00286A88" w:rsidRPr="00286A88" w:rsidRDefault="00286A88" w:rsidP="004C4EAC">
      <w:pPr>
        <w:rPr>
          <w:rFonts w:cs="Arial"/>
          <w:color w:val="000000"/>
          <w:lang w:val="en-AU" w:eastAsia="en-GB"/>
        </w:rPr>
      </w:pPr>
      <w:r w:rsidRPr="00286A88">
        <w:rPr>
          <w:rFonts w:cs="Arial"/>
          <w:color w:val="000000"/>
          <w:lang w:val="en-AU" w:eastAsia="en-GB"/>
        </w:rPr>
        <w:t>Total references: 84</w:t>
      </w:r>
    </w:p>
    <w:p w14:paraId="4C6365F2" w14:textId="77777777" w:rsidR="00286A88" w:rsidRPr="00286A88" w:rsidRDefault="00286A88" w:rsidP="004C4EAC">
      <w:pPr>
        <w:rPr>
          <w:lang w:val="en-AU" w:eastAsia="en-AU"/>
        </w:rPr>
      </w:pPr>
      <w:r w:rsidRPr="00286A88">
        <w:rPr>
          <w:lang w:val="en-AU" w:eastAsia="en-AU"/>
        </w:rPr>
        <w:t>27 original references (Table Intro 2) were not used (conference papers, or related to egg and embryo quality). 32 new papers were added during the writing phase including key older works.</w:t>
      </w:r>
    </w:p>
    <w:p w14:paraId="1C4AC95C" w14:textId="77777777" w:rsidR="00286A88" w:rsidRPr="00C8230A" w:rsidRDefault="00286A88" w:rsidP="00C8230A">
      <w:pPr>
        <w:spacing w:before="180"/>
        <w:rPr>
          <w:b/>
          <w:i/>
        </w:rPr>
      </w:pPr>
      <w:r w:rsidRPr="00C8230A">
        <w:rPr>
          <w:b/>
          <w:i/>
        </w:rPr>
        <w:t>Ducks</w:t>
      </w:r>
    </w:p>
    <w:p w14:paraId="7C1B9D18" w14:textId="77777777" w:rsidR="00286A88" w:rsidRPr="00286A88" w:rsidRDefault="00286A88" w:rsidP="004C4EAC">
      <w:pPr>
        <w:rPr>
          <w:rFonts w:cs="Arial"/>
          <w:color w:val="000000"/>
          <w:lang w:val="en-AU" w:eastAsia="en-GB"/>
        </w:rPr>
      </w:pPr>
      <w:r w:rsidRPr="00286A88">
        <w:rPr>
          <w:rFonts w:cs="Arial"/>
          <w:color w:val="000000"/>
          <w:lang w:val="en-AU" w:eastAsia="en-GB"/>
        </w:rPr>
        <w:t>Total references: 70</w:t>
      </w:r>
    </w:p>
    <w:p w14:paraId="4A669748" w14:textId="77777777" w:rsidR="00286A88" w:rsidRPr="00286A88" w:rsidRDefault="00286A88" w:rsidP="004C4EAC">
      <w:pPr>
        <w:rPr>
          <w:lang w:val="en-AU" w:eastAsia="en-AU"/>
        </w:rPr>
      </w:pPr>
      <w:r w:rsidRPr="00286A88">
        <w:rPr>
          <w:lang w:val="en-AU" w:eastAsia="en-AU"/>
        </w:rPr>
        <w:t>Of the 56 original references (Table Intro 2), 7 were excluded and an additional 21 references were added during the writing phase (mainly older research papers and two reviews).</w:t>
      </w:r>
    </w:p>
    <w:p w14:paraId="5CC67ED8" w14:textId="77777777" w:rsidR="00286A88" w:rsidRPr="00C8230A" w:rsidRDefault="00286A88" w:rsidP="00C8230A">
      <w:pPr>
        <w:spacing w:before="180"/>
        <w:rPr>
          <w:b/>
          <w:i/>
        </w:rPr>
      </w:pPr>
      <w:r w:rsidRPr="00C8230A">
        <w:rPr>
          <w:b/>
          <w:i/>
        </w:rPr>
        <w:t>Geese</w:t>
      </w:r>
    </w:p>
    <w:p w14:paraId="45FD0E91" w14:textId="77777777" w:rsidR="00286A88" w:rsidRPr="00286A88" w:rsidRDefault="00286A88" w:rsidP="004C4EAC">
      <w:pPr>
        <w:rPr>
          <w:rFonts w:cs="Arial"/>
          <w:color w:val="000000"/>
          <w:lang w:val="en-AU" w:eastAsia="en-GB"/>
        </w:rPr>
      </w:pPr>
      <w:r w:rsidRPr="00286A88">
        <w:rPr>
          <w:rFonts w:cs="Arial"/>
          <w:color w:val="000000"/>
          <w:lang w:val="en-AU" w:eastAsia="en-GB"/>
        </w:rPr>
        <w:t>Total references: 39 (40 after review)</w:t>
      </w:r>
    </w:p>
    <w:p w14:paraId="1824B24F" w14:textId="77777777" w:rsidR="00286A88" w:rsidRPr="00286A88" w:rsidRDefault="00286A88" w:rsidP="004C4EAC">
      <w:pPr>
        <w:rPr>
          <w:lang w:val="en-AU" w:eastAsia="en-AU"/>
        </w:rPr>
      </w:pPr>
      <w:r w:rsidRPr="00286A88">
        <w:rPr>
          <w:lang w:val="en-AU" w:eastAsia="en-AU"/>
        </w:rPr>
        <w:t>2 of the 9 original references were excluded (Table Intro 2) as not relevant to welfare, and an additional 32 references were added during the writing phase (reviews, older articles and articles providing information about the natural behaviour of geese). Reference to a European Food Safety Authority (EFSA) report was added at post-review revision.</w:t>
      </w:r>
    </w:p>
    <w:p w14:paraId="52D94E2D" w14:textId="77777777" w:rsidR="00286A88" w:rsidRPr="00C8230A" w:rsidRDefault="00286A88" w:rsidP="00C8230A">
      <w:pPr>
        <w:spacing w:before="180"/>
        <w:rPr>
          <w:b/>
          <w:i/>
        </w:rPr>
      </w:pPr>
      <w:r w:rsidRPr="00C8230A">
        <w:rPr>
          <w:b/>
          <w:i/>
        </w:rPr>
        <w:t>Turkeys</w:t>
      </w:r>
    </w:p>
    <w:p w14:paraId="7598E724" w14:textId="77777777" w:rsidR="00286A88" w:rsidRPr="00286A88" w:rsidRDefault="00286A88" w:rsidP="004C4EAC">
      <w:pPr>
        <w:rPr>
          <w:rFonts w:cs="Arial"/>
          <w:color w:val="000000"/>
          <w:lang w:val="en-AU" w:eastAsia="en-GB"/>
        </w:rPr>
      </w:pPr>
      <w:r w:rsidRPr="00286A88">
        <w:rPr>
          <w:rFonts w:cs="Arial"/>
          <w:color w:val="000000"/>
          <w:lang w:val="en-AU" w:eastAsia="en-GB"/>
        </w:rPr>
        <w:t>Total references: 101 (108 after review)</w:t>
      </w:r>
    </w:p>
    <w:p w14:paraId="05E84545" w14:textId="77777777" w:rsidR="00286A88" w:rsidRPr="00286A88" w:rsidRDefault="00286A88" w:rsidP="004C4EAC">
      <w:pPr>
        <w:rPr>
          <w:lang w:val="en-AU" w:eastAsia="en-AU"/>
        </w:rPr>
      </w:pPr>
      <w:r w:rsidRPr="00286A88">
        <w:rPr>
          <w:lang w:val="en-AU" w:eastAsia="en-AU"/>
        </w:rPr>
        <w:t xml:space="preserve">7 of the original references (Table Intro 2) were excluded and an additional 22 references were added during the writing phase. The majority of primary research literature on turkey welfare focuses on the growing poults, with very little reference to the breeder birds. An additional 7 references were added at post-review revision. </w:t>
      </w:r>
    </w:p>
    <w:p w14:paraId="3AB61ED7" w14:textId="77777777" w:rsidR="00286A88" w:rsidRPr="00C8230A" w:rsidRDefault="00286A88" w:rsidP="00C8230A">
      <w:pPr>
        <w:spacing w:before="180"/>
        <w:rPr>
          <w:b/>
          <w:i/>
        </w:rPr>
      </w:pPr>
      <w:r w:rsidRPr="00C8230A">
        <w:rPr>
          <w:b/>
          <w:i/>
        </w:rPr>
        <w:t>Guinea Fowl</w:t>
      </w:r>
    </w:p>
    <w:p w14:paraId="77C9EF79" w14:textId="77777777" w:rsidR="00286A88" w:rsidRPr="00286A88" w:rsidRDefault="00286A88" w:rsidP="004C4EAC">
      <w:pPr>
        <w:rPr>
          <w:rFonts w:cs="Arial"/>
          <w:color w:val="000000"/>
          <w:lang w:val="en-AU" w:eastAsia="en-GB"/>
        </w:rPr>
      </w:pPr>
      <w:r w:rsidRPr="00286A88">
        <w:rPr>
          <w:rFonts w:cs="Arial"/>
          <w:color w:val="000000"/>
          <w:lang w:val="en-AU" w:eastAsia="en-GB"/>
        </w:rPr>
        <w:t>Total references: 8</w:t>
      </w:r>
    </w:p>
    <w:p w14:paraId="18F4FF34" w14:textId="77777777" w:rsidR="00286A88" w:rsidRPr="00286A88" w:rsidRDefault="00286A88" w:rsidP="004C4EAC">
      <w:pPr>
        <w:rPr>
          <w:lang w:val="en-AU" w:eastAsia="en-AU"/>
        </w:rPr>
      </w:pPr>
      <w:r w:rsidRPr="00286A88">
        <w:rPr>
          <w:lang w:val="en-AU" w:eastAsia="en-AU"/>
        </w:rPr>
        <w:t>All 4 original references were used (Table Intro 2) and 4 additional references were added during the writing phase.</w:t>
      </w:r>
    </w:p>
    <w:p w14:paraId="09EF2651" w14:textId="77777777" w:rsidR="00286A88" w:rsidRPr="00C8230A" w:rsidRDefault="00286A88" w:rsidP="00C8230A">
      <w:pPr>
        <w:spacing w:before="180"/>
        <w:rPr>
          <w:b/>
          <w:i/>
        </w:rPr>
      </w:pPr>
      <w:r w:rsidRPr="00C8230A">
        <w:rPr>
          <w:b/>
          <w:i/>
        </w:rPr>
        <w:t>Pheasant</w:t>
      </w:r>
      <w:r w:rsidR="00386D9F" w:rsidRPr="00C8230A">
        <w:rPr>
          <w:b/>
          <w:i/>
        </w:rPr>
        <w:t>s</w:t>
      </w:r>
    </w:p>
    <w:p w14:paraId="369D9C49" w14:textId="77777777" w:rsidR="00286A88" w:rsidRPr="00286A88" w:rsidRDefault="004A3DB9" w:rsidP="004C4EAC">
      <w:pPr>
        <w:rPr>
          <w:rFonts w:cs="Arial"/>
          <w:color w:val="000000"/>
          <w:lang w:val="en-AU" w:eastAsia="en-GB"/>
        </w:rPr>
      </w:pPr>
      <w:r>
        <w:rPr>
          <w:rFonts w:cs="Arial"/>
          <w:color w:val="000000"/>
          <w:lang w:val="en-AU" w:eastAsia="en-GB"/>
        </w:rPr>
        <w:t>Total references: 19</w:t>
      </w:r>
    </w:p>
    <w:p w14:paraId="57817276" w14:textId="77777777" w:rsidR="00286A88" w:rsidRDefault="00286A88" w:rsidP="004C4EAC">
      <w:pPr>
        <w:rPr>
          <w:lang w:val="en-AU" w:eastAsia="en-AU"/>
        </w:rPr>
      </w:pPr>
      <w:r w:rsidRPr="00286A88">
        <w:rPr>
          <w:lang w:val="en-AU" w:eastAsia="en-AU"/>
        </w:rPr>
        <w:t xml:space="preserve">2 of the original references (Table Intro 2) were excluded and </w:t>
      </w:r>
      <w:r w:rsidR="004A3DB9">
        <w:rPr>
          <w:lang w:val="en-AU" w:eastAsia="en-AU"/>
        </w:rPr>
        <w:t>11</w:t>
      </w:r>
      <w:r w:rsidRPr="00286A88">
        <w:rPr>
          <w:lang w:val="en-AU" w:eastAsia="en-AU"/>
        </w:rPr>
        <w:t xml:space="preserve"> additional references were added during the writing phase.</w:t>
      </w:r>
    </w:p>
    <w:p w14:paraId="1C10FFD2" w14:textId="77777777" w:rsidR="00C8230A" w:rsidRPr="00286A88" w:rsidRDefault="00C8230A" w:rsidP="004C4EAC">
      <w:pPr>
        <w:rPr>
          <w:lang w:val="en-AU" w:eastAsia="en-AU"/>
        </w:rPr>
      </w:pPr>
    </w:p>
    <w:p w14:paraId="5332E4CB" w14:textId="77777777" w:rsidR="00286A88" w:rsidRPr="00C8230A" w:rsidRDefault="00286A88" w:rsidP="00C8230A">
      <w:pPr>
        <w:spacing w:before="180"/>
        <w:rPr>
          <w:b/>
          <w:i/>
        </w:rPr>
      </w:pPr>
      <w:r w:rsidRPr="00C8230A">
        <w:rPr>
          <w:b/>
          <w:i/>
        </w:rPr>
        <w:t>Partridge</w:t>
      </w:r>
      <w:r w:rsidR="00386D9F" w:rsidRPr="00C8230A">
        <w:rPr>
          <w:b/>
          <w:i/>
        </w:rPr>
        <w:t>s</w:t>
      </w:r>
    </w:p>
    <w:p w14:paraId="628020DA" w14:textId="77777777" w:rsidR="00286A88" w:rsidRPr="00286A88" w:rsidRDefault="00286A88" w:rsidP="004C4EAC">
      <w:pPr>
        <w:rPr>
          <w:rFonts w:cs="Arial"/>
          <w:color w:val="000000"/>
          <w:lang w:val="en-AU" w:eastAsia="en-GB"/>
        </w:rPr>
      </w:pPr>
      <w:r w:rsidRPr="00286A88">
        <w:rPr>
          <w:rFonts w:cs="Arial"/>
          <w:color w:val="000000"/>
          <w:lang w:val="en-AU" w:eastAsia="en-GB"/>
        </w:rPr>
        <w:t>Total references: 28 (29 after review)</w:t>
      </w:r>
    </w:p>
    <w:p w14:paraId="6879349E" w14:textId="77777777" w:rsidR="00286A88" w:rsidRPr="00286A88" w:rsidRDefault="00286A88" w:rsidP="004C4EAC">
      <w:pPr>
        <w:rPr>
          <w:lang w:val="en-AU" w:eastAsia="en-AU"/>
        </w:rPr>
      </w:pPr>
      <w:r w:rsidRPr="00286A88">
        <w:rPr>
          <w:lang w:val="en-AU" w:eastAsia="en-AU"/>
        </w:rPr>
        <w:t>6 of the original references (Table Intro 2) were excluded and 3 additional references were added during the writing phase. One additional reference on post-release survival was added at post-review revision.</w:t>
      </w:r>
    </w:p>
    <w:p w14:paraId="0CE4810C" w14:textId="77777777" w:rsidR="00286A88" w:rsidRPr="00C8230A" w:rsidRDefault="00286A88" w:rsidP="00C8230A">
      <w:pPr>
        <w:spacing w:before="180"/>
        <w:rPr>
          <w:b/>
          <w:i/>
        </w:rPr>
      </w:pPr>
      <w:r w:rsidRPr="00C8230A">
        <w:rPr>
          <w:b/>
          <w:i/>
        </w:rPr>
        <w:t>Pigeon</w:t>
      </w:r>
      <w:r w:rsidR="00386D9F" w:rsidRPr="00C8230A">
        <w:rPr>
          <w:b/>
          <w:i/>
        </w:rPr>
        <w:t>s</w:t>
      </w:r>
    </w:p>
    <w:p w14:paraId="35374F33" w14:textId="77777777" w:rsidR="00286A88" w:rsidRPr="00286A88" w:rsidRDefault="00286A88" w:rsidP="004C4EAC">
      <w:pPr>
        <w:rPr>
          <w:rFonts w:cs="Arial"/>
          <w:color w:val="000000"/>
          <w:lang w:val="en-AU" w:eastAsia="en-GB"/>
        </w:rPr>
      </w:pPr>
      <w:r w:rsidRPr="00286A88">
        <w:rPr>
          <w:rFonts w:cs="Arial"/>
          <w:color w:val="000000"/>
          <w:lang w:val="en-AU" w:eastAsia="en-GB"/>
        </w:rPr>
        <w:t xml:space="preserve">Total references: 10 (12 after review). </w:t>
      </w:r>
    </w:p>
    <w:p w14:paraId="25E626F4" w14:textId="77777777" w:rsidR="00286A88" w:rsidRPr="00286A88" w:rsidRDefault="00286A88" w:rsidP="004C4EAC">
      <w:pPr>
        <w:rPr>
          <w:lang w:val="en-AU" w:eastAsia="en-AU"/>
        </w:rPr>
      </w:pPr>
      <w:r w:rsidRPr="00286A88">
        <w:rPr>
          <w:lang w:val="en-AU" w:eastAsia="en-AU"/>
        </w:rPr>
        <w:t>All 4 original references (Table Intro 2) were used and an additional 6 references relating to pigeon natural biology were added during the writing phase. Scientific literature relating to captive pigeons is mainly focused on their spatial understanding and navigation abilities, memory, learning and cognition. There were no papers found in the search that investigated the welfare of common husbandry practices for pigeons. Therefore, it is suggested that referring to the literature of pigeon natural biology and habitat should be used to inform husbandry guidance. An additional 2 references were added at post-review revision.</w:t>
      </w:r>
    </w:p>
    <w:p w14:paraId="097126CD" w14:textId="77777777" w:rsidR="00286A88" w:rsidRPr="00C8230A" w:rsidRDefault="00286A88" w:rsidP="00C8230A">
      <w:pPr>
        <w:spacing w:before="180"/>
        <w:rPr>
          <w:b/>
          <w:i/>
        </w:rPr>
      </w:pPr>
      <w:r w:rsidRPr="00C8230A">
        <w:rPr>
          <w:b/>
          <w:i/>
        </w:rPr>
        <w:t>Quail</w:t>
      </w:r>
    </w:p>
    <w:p w14:paraId="54EA36E0" w14:textId="77777777" w:rsidR="00286A88" w:rsidRPr="00286A88" w:rsidRDefault="00286A88" w:rsidP="004C4EAC">
      <w:pPr>
        <w:rPr>
          <w:rFonts w:cs="Arial"/>
          <w:color w:val="000000"/>
          <w:lang w:val="en-AU" w:eastAsia="en-GB"/>
        </w:rPr>
      </w:pPr>
      <w:r w:rsidRPr="00286A88">
        <w:rPr>
          <w:rFonts w:cs="Arial"/>
          <w:color w:val="000000"/>
          <w:lang w:val="en-AU" w:eastAsia="en-GB"/>
        </w:rPr>
        <w:t>Total references: 23 (30 after review)</w:t>
      </w:r>
    </w:p>
    <w:p w14:paraId="38481641" w14:textId="77777777" w:rsidR="00286A88" w:rsidRPr="00286A88" w:rsidRDefault="00286A88" w:rsidP="004C4EAC">
      <w:pPr>
        <w:rPr>
          <w:lang w:val="en-AU" w:eastAsia="en-AU"/>
        </w:rPr>
      </w:pPr>
      <w:r w:rsidRPr="00286A88">
        <w:rPr>
          <w:lang w:val="en-AU" w:eastAsia="en-AU"/>
        </w:rPr>
        <w:t>None of the original references (Table Intro 2) was excluded and 2 new references relating to quail natural biology were added during the writing phase. Papers on quail mostly report fundamental experimental studies of stress biology. Some welfare-relevant information about stressors and ways to ameliorate stress in quail can be gained from these papers. Those that related to commercial quail keeping tended to focus on production traits with only a few detailing welfare parameters. These studies were laboratory replicas of commercial conditions. No papers reporting on the welfare of commercial quail farms were retrieved. An additional 7 older references were added at post-review revision.</w:t>
      </w:r>
    </w:p>
    <w:p w14:paraId="408A7E26" w14:textId="77777777" w:rsidR="00286A88" w:rsidRPr="00C8230A" w:rsidRDefault="00286A88" w:rsidP="00C8230A">
      <w:pPr>
        <w:spacing w:before="180"/>
        <w:rPr>
          <w:b/>
          <w:i/>
        </w:rPr>
      </w:pPr>
      <w:r w:rsidRPr="00C8230A">
        <w:rPr>
          <w:b/>
          <w:i/>
        </w:rPr>
        <w:t>Ostrich</w:t>
      </w:r>
      <w:r w:rsidR="00386D9F" w:rsidRPr="00C8230A">
        <w:rPr>
          <w:b/>
          <w:i/>
        </w:rPr>
        <w:t>es</w:t>
      </w:r>
    </w:p>
    <w:p w14:paraId="1C165D09" w14:textId="77777777" w:rsidR="00286A88" w:rsidRPr="00286A88" w:rsidRDefault="00286A88" w:rsidP="004C4EAC">
      <w:pPr>
        <w:rPr>
          <w:rFonts w:cs="Arial"/>
          <w:color w:val="000000"/>
          <w:lang w:val="en-AU" w:eastAsia="en-GB"/>
        </w:rPr>
      </w:pPr>
      <w:r w:rsidRPr="00286A88">
        <w:rPr>
          <w:rFonts w:cs="Arial"/>
          <w:color w:val="000000"/>
          <w:lang w:val="en-AU" w:eastAsia="en-GB"/>
        </w:rPr>
        <w:t>Total references: 68 (69 after review)</w:t>
      </w:r>
    </w:p>
    <w:p w14:paraId="20FBE4F5" w14:textId="77777777" w:rsidR="00286A88" w:rsidRPr="00286A88" w:rsidRDefault="00286A88" w:rsidP="004C4EAC">
      <w:pPr>
        <w:rPr>
          <w:rFonts w:cs="Arial"/>
          <w:color w:val="000000"/>
          <w:lang w:val="en-AU" w:eastAsia="en-GB"/>
        </w:rPr>
      </w:pPr>
      <w:r w:rsidRPr="00286A88">
        <w:rPr>
          <w:rFonts w:cs="Arial"/>
          <w:color w:val="000000"/>
          <w:lang w:val="en-AU" w:eastAsia="en-GB"/>
        </w:rPr>
        <w:t xml:space="preserve">All of the original 33 references (Table Intro 2) were used (although many were of lower standard in terms of replication, control, study power, hypothesis than </w:t>
      </w:r>
      <w:r w:rsidR="000416DF">
        <w:rPr>
          <w:rFonts w:cs="Arial"/>
          <w:color w:val="000000"/>
          <w:lang w:val="en-AU" w:eastAsia="en-GB"/>
        </w:rPr>
        <w:t xml:space="preserve">those </w:t>
      </w:r>
      <w:r w:rsidRPr="00286A88">
        <w:rPr>
          <w:rFonts w:cs="Arial"/>
          <w:color w:val="000000"/>
          <w:lang w:val="en-AU" w:eastAsia="en-GB"/>
        </w:rPr>
        <w:t xml:space="preserve">included for sections on chickens). An additional 35 references were added during the writing phase. This included older papers (there was a phase of increased interest in ostrich farming in the 1990s) and some technical reports for sections where peer-reviewed literature was absent. We are also aware of articles and book chapters that address ostrich </w:t>
      </w:r>
      <w:r w:rsidRPr="00286A88">
        <w:rPr>
          <w:lang w:val="en-AU" w:eastAsia="en-AU"/>
        </w:rPr>
        <w:t xml:space="preserve">welfare e.g. </w:t>
      </w:r>
      <w:r w:rsidRPr="00287F2D">
        <w:rPr>
          <w:i/>
          <w:lang w:val="en-AU" w:eastAsia="en-AU"/>
        </w:rPr>
        <w:t>Brand, T. and Olivier, A., 2011. Ostrich Nutrition and Welfare. In: P.C. G</w:t>
      </w:r>
      <w:r w:rsidR="003F5659">
        <w:rPr>
          <w:i/>
          <w:lang w:val="en-AU" w:eastAsia="en-AU"/>
        </w:rPr>
        <w:t>latz, C. Lunam and I. Malecki (E</w:t>
      </w:r>
      <w:r w:rsidRPr="00287F2D">
        <w:rPr>
          <w:i/>
          <w:lang w:val="en-AU" w:eastAsia="en-AU"/>
        </w:rPr>
        <w:t>ds</w:t>
      </w:r>
      <w:r w:rsidR="003F5659">
        <w:rPr>
          <w:i/>
          <w:lang w:val="en-AU" w:eastAsia="en-AU"/>
        </w:rPr>
        <w:t>.), The Welfare of F</w:t>
      </w:r>
      <w:r w:rsidRPr="00287F2D">
        <w:rPr>
          <w:i/>
          <w:lang w:val="en-AU" w:eastAsia="en-AU"/>
        </w:rPr>
        <w:t xml:space="preserve">armed </w:t>
      </w:r>
      <w:r w:rsidR="003F5659">
        <w:rPr>
          <w:i/>
          <w:lang w:val="en-AU" w:eastAsia="en-AU"/>
        </w:rPr>
        <w:t>R</w:t>
      </w:r>
      <w:r w:rsidRPr="00287F2D">
        <w:rPr>
          <w:i/>
          <w:lang w:val="en-AU" w:eastAsia="en-AU"/>
        </w:rPr>
        <w:t xml:space="preserve">atites, (Berlin, Heidelberg, Germany: Springer-Verlag), </w:t>
      </w:r>
      <w:r w:rsidR="006B4AAF">
        <w:rPr>
          <w:i/>
          <w:lang w:val="en-AU" w:eastAsia="en-AU"/>
        </w:rPr>
        <w:t>pages</w:t>
      </w:r>
      <w:r w:rsidR="000416DF">
        <w:rPr>
          <w:i/>
          <w:lang w:val="en-AU" w:eastAsia="en-AU"/>
        </w:rPr>
        <w:t xml:space="preserve"> </w:t>
      </w:r>
      <w:r w:rsidRPr="00287F2D">
        <w:rPr>
          <w:i/>
          <w:lang w:val="en-AU" w:eastAsia="en-AU"/>
        </w:rPr>
        <w:t>91–109</w:t>
      </w:r>
      <w:r w:rsidRPr="00286A88">
        <w:rPr>
          <w:lang w:val="en-AU" w:eastAsia="en-AU"/>
        </w:rPr>
        <w:t>. We have not consulted these, but there may be much practical knowledge within these texts. Standards for keeping ostriches have also been published (e.g. Council of Europe, 1997). Overall, because of the sparse literature and because practices and breeds may have changed over time, an overview of the welfare considerations for ostriches is less complete than that for chickens. One paper describing husbandry systems was added at post-review revision.</w:t>
      </w:r>
    </w:p>
    <w:p w14:paraId="7A8B57CD" w14:textId="77777777" w:rsidR="00286A88" w:rsidRPr="00C8230A" w:rsidRDefault="00286A88" w:rsidP="00C8230A">
      <w:pPr>
        <w:spacing w:before="180"/>
        <w:rPr>
          <w:b/>
          <w:i/>
        </w:rPr>
      </w:pPr>
      <w:r w:rsidRPr="00C8230A">
        <w:rPr>
          <w:b/>
          <w:i/>
        </w:rPr>
        <w:t>Emu</w:t>
      </w:r>
      <w:r w:rsidR="00386D9F" w:rsidRPr="00C8230A">
        <w:rPr>
          <w:b/>
          <w:i/>
        </w:rPr>
        <w:t>s</w:t>
      </w:r>
    </w:p>
    <w:p w14:paraId="4EB45AA5" w14:textId="77777777" w:rsidR="00286A88" w:rsidRPr="00286A88" w:rsidRDefault="00286A88" w:rsidP="004C4EAC">
      <w:pPr>
        <w:rPr>
          <w:rFonts w:cs="Arial"/>
          <w:color w:val="000000"/>
          <w:lang w:val="en-AU" w:eastAsia="en-GB"/>
        </w:rPr>
      </w:pPr>
      <w:r w:rsidRPr="00286A88">
        <w:rPr>
          <w:rFonts w:cs="Arial"/>
          <w:color w:val="000000"/>
          <w:lang w:val="en-AU" w:eastAsia="en-GB"/>
        </w:rPr>
        <w:t>Total references: 10</w:t>
      </w:r>
    </w:p>
    <w:p w14:paraId="7806397D" w14:textId="77777777" w:rsidR="00286A88" w:rsidRPr="00286A88" w:rsidRDefault="00286A88" w:rsidP="004C4EAC">
      <w:pPr>
        <w:rPr>
          <w:lang w:val="en-AU" w:eastAsia="en-AU"/>
        </w:rPr>
      </w:pPr>
      <w:r w:rsidRPr="00286A88">
        <w:rPr>
          <w:lang w:val="en-AU" w:eastAsia="en-AU"/>
        </w:rPr>
        <w:t>Three original references (Table Intro 2) were used, and 7 were added during the writing phase. Comments for ostriches (above) apply to emus. We found some management guides and technical reports available on various websites but virtually no peer-reviewed scientific papers or controlled trials on emu management, husbandry or welfare.</w:t>
      </w:r>
    </w:p>
    <w:p w14:paraId="21D8708A" w14:textId="77777777" w:rsidR="00286A88" w:rsidRPr="00C8230A" w:rsidRDefault="00286A88" w:rsidP="00C8230A">
      <w:pPr>
        <w:spacing w:before="180"/>
        <w:rPr>
          <w:b/>
          <w:i/>
        </w:rPr>
      </w:pPr>
      <w:r w:rsidRPr="00C8230A">
        <w:rPr>
          <w:b/>
          <w:i/>
        </w:rPr>
        <w:t>Slaughter</w:t>
      </w:r>
    </w:p>
    <w:p w14:paraId="076228FD" w14:textId="77777777" w:rsidR="00286A88" w:rsidRPr="00286A88" w:rsidRDefault="00286A88" w:rsidP="004C4EAC">
      <w:pPr>
        <w:rPr>
          <w:rFonts w:cs="Arial"/>
          <w:color w:val="000000"/>
          <w:lang w:val="en-AU" w:eastAsia="en-GB"/>
        </w:rPr>
      </w:pPr>
      <w:r w:rsidRPr="00286A88">
        <w:rPr>
          <w:rFonts w:cs="Arial"/>
          <w:color w:val="000000"/>
          <w:lang w:val="en-AU" w:eastAsia="en-GB"/>
        </w:rPr>
        <w:t>Total references: 105 (115 after review)</w:t>
      </w:r>
    </w:p>
    <w:p w14:paraId="5BCB36FE" w14:textId="77777777" w:rsidR="00286A88" w:rsidRPr="00286A88" w:rsidRDefault="00286A88" w:rsidP="004C4EAC">
      <w:pPr>
        <w:rPr>
          <w:lang w:val="en-AU" w:eastAsia="en-AU"/>
        </w:rPr>
      </w:pPr>
      <w:r w:rsidRPr="00286A88">
        <w:rPr>
          <w:lang w:val="en-AU" w:eastAsia="en-AU"/>
        </w:rPr>
        <w:t>There is an extensive published and peer reviewed scientific literature covering the welfare aspects of chickens at slaughter (broiler and laying hens). Significantly less work is published on ducks, geese and turkeys, ostrich and emus, and almost none focusing on partridge, pigeon, quail, pheasant or guinea fowl. An additional 10 references were added at post-review revision.</w:t>
      </w:r>
    </w:p>
    <w:p w14:paraId="1E099A3F" w14:textId="77777777" w:rsidR="00286A88" w:rsidRPr="00286A88" w:rsidRDefault="00D22A51" w:rsidP="00C44199">
      <w:pPr>
        <w:pStyle w:val="Heading2"/>
        <w:rPr>
          <w:lang w:val="en-AU" w:eastAsia="en-AU"/>
        </w:rPr>
      </w:pPr>
      <w:r>
        <w:rPr>
          <w:lang w:val="en-AU" w:eastAsia="en-AU"/>
        </w:rPr>
        <w:br w:type="column"/>
      </w:r>
      <w:bookmarkStart w:id="8" w:name="_Toc495310478"/>
      <w:r w:rsidR="00286A88" w:rsidRPr="00286A88">
        <w:rPr>
          <w:lang w:val="en-AU" w:eastAsia="en-AU"/>
        </w:rPr>
        <w:t>Intro5. Geographical Origin of Literature</w:t>
      </w:r>
      <w:bookmarkEnd w:id="8"/>
    </w:p>
    <w:p w14:paraId="716F32E8" w14:textId="77777777" w:rsidR="00286A88" w:rsidRPr="00286A88" w:rsidRDefault="00286A88" w:rsidP="00C44199">
      <w:pPr>
        <w:rPr>
          <w:lang w:val="en-AU" w:eastAsia="en-AU"/>
        </w:rPr>
      </w:pPr>
      <w:r w:rsidRPr="00286A88">
        <w:rPr>
          <w:lang w:val="en-AU" w:eastAsia="en-AU"/>
        </w:rPr>
        <w:t>The scoping review methodology protects against unintentional bias in selection of papers for inclusion in the review. The papers that have been included come primarily from Europe and Northern America (USA and Canada). An example of a distribution of papers by country of origin is presented in Table Intro 4, showing a breakdown for the laying hen primary search. The percentages add to more than 100% reflecting the fact that given papers can have authors from different countries. This shows that 85% of the literature comprised studies that either originated in Europe, or included an input from European authors; 14.6% had an input from the USA, 6.4% an input from Canada and 6.1% an input from Australia. Table Intro 5 shows the breakdown for the ostrich primary and secondary searches showing a predominance of papers from South Africa.</w:t>
      </w:r>
    </w:p>
    <w:p w14:paraId="5200EE2F" w14:textId="77777777" w:rsidR="00286A88" w:rsidRPr="00286A88" w:rsidRDefault="00286A88" w:rsidP="00C44199">
      <w:pPr>
        <w:rPr>
          <w:lang w:val="en-AU" w:eastAsia="en-AU"/>
        </w:rPr>
      </w:pPr>
      <w:r w:rsidRPr="00286A88">
        <w:rPr>
          <w:lang w:val="en-AU" w:eastAsia="en-AU"/>
        </w:rPr>
        <w:t>In reading the review it should be acknowledged that factors relating to the Australian climate, environment and established management practices may not be fully represented in the literature.</w:t>
      </w:r>
    </w:p>
    <w:p w14:paraId="08BE5D51" w14:textId="77777777" w:rsidR="00286A88" w:rsidRPr="00286A88" w:rsidRDefault="00286A88" w:rsidP="00C44199">
      <w:pPr>
        <w:spacing w:before="240"/>
        <w:rPr>
          <w:b/>
          <w:lang w:val="en-AU" w:eastAsia="en-AU"/>
        </w:rPr>
      </w:pPr>
      <w:r w:rsidRPr="00286A88">
        <w:rPr>
          <w:b/>
          <w:lang w:val="en-AU" w:eastAsia="en-AU"/>
        </w:rPr>
        <w:t xml:space="preserve">Table Intro 4: Country of origin of papers resulting from primary </w:t>
      </w:r>
      <w:r w:rsidR="00102BA1">
        <w:rPr>
          <w:b/>
          <w:lang w:val="en-AU" w:eastAsia="en-AU"/>
        </w:rPr>
        <w:t xml:space="preserve">literature </w:t>
      </w:r>
      <w:r w:rsidRPr="00286A88">
        <w:rPr>
          <w:b/>
          <w:lang w:val="en-AU" w:eastAsia="en-AU"/>
        </w:rPr>
        <w:t>search</w:t>
      </w:r>
      <w:r w:rsidR="000E4183">
        <w:rPr>
          <w:b/>
          <w:lang w:val="en-AU" w:eastAsia="en-AU"/>
        </w:rPr>
        <w:t xml:space="preserve"> for laying hens</w:t>
      </w:r>
      <w:r w:rsidRPr="00286A88">
        <w:rPr>
          <w:b/>
          <w:lang w:val="en-AU" w:eastAsia="en-AU"/>
        </w:rPr>
        <w:t xml:space="preserve"> </w:t>
      </w:r>
      <w:r w:rsidRPr="00286A88">
        <w:rPr>
          <w:b/>
          <w:i/>
          <w:lang w:val="en-AU" w:eastAsia="en-AU"/>
        </w:rPr>
        <w:t xml:space="preserve">(hen* NOT </w:t>
      </w:r>
      <w:r w:rsidR="000E4183">
        <w:rPr>
          <w:b/>
          <w:i/>
          <w:lang w:val="en-AU" w:eastAsia="en-AU"/>
        </w:rPr>
        <w:t>hence* OR “domestic fowl”) AND w</w:t>
      </w:r>
      <w:r w:rsidRPr="00286A88">
        <w:rPr>
          <w:b/>
          <w:i/>
          <w:lang w:val="en-AU" w:eastAsia="en-AU"/>
        </w:rPr>
        <w:t>elfare</w:t>
      </w:r>
      <w:r w:rsidRPr="00286A88">
        <w:rPr>
          <w:b/>
          <w:lang w:val="en-AU" w:eastAsia="en-AU"/>
        </w:rPr>
        <w:t>, followed by initial exclusions = 3</w:t>
      </w:r>
      <w:r w:rsidR="000E4183">
        <w:rPr>
          <w:b/>
          <w:lang w:val="en-AU" w:eastAsia="en-AU"/>
        </w:rPr>
        <w:t>50</w:t>
      </w:r>
      <w:r w:rsidRPr="00286A88">
        <w:rPr>
          <w:b/>
          <w:lang w:val="en-AU" w:eastAsia="en-AU"/>
        </w:rPr>
        <w:t xml:space="preserve"> references (Table Intro 2)</w:t>
      </w:r>
    </w:p>
    <w:p w14:paraId="0A0E908B" w14:textId="77777777" w:rsidR="00286A88" w:rsidRPr="000E4183" w:rsidRDefault="00286A88" w:rsidP="00286A88">
      <w:pPr>
        <w:spacing w:after="0" w:line="240" w:lineRule="auto"/>
        <w:jc w:val="both"/>
      </w:pPr>
      <w:r w:rsidRPr="00864384">
        <w:rPr>
          <w:rFonts w:eastAsia="Times New Roman" w:cs="Arial"/>
          <w:noProof/>
          <w:color w:val="auto"/>
          <w:sz w:val="28"/>
          <w:szCs w:val="28"/>
          <w:lang w:val="en-AU" w:eastAsia="en-AU"/>
        </w:rPr>
        <w:drawing>
          <wp:inline distT="0" distB="0" distL="0" distR="0" wp14:anchorId="64157295" wp14:editId="25D9A7EE">
            <wp:extent cx="3115565" cy="3884162"/>
            <wp:effectExtent l="0" t="0" r="8890" b="2540"/>
            <wp:docPr id="1" name="Picture 1" descr="This table gives an example of the geographical origin of the papers found by the authors of the Farmed Bird Welfare Science Review. The example shows the number of scientific papers by country of origin that were found in the primary search for laying hen welfare." title="Table Intro 4: Country of origin papers for primary literature search for laying hens followed by initial exclu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115565" cy="3884162"/>
                    </a:xfrm>
                    <a:prstGeom prst="rect">
                      <a:avLst/>
                    </a:prstGeom>
                    <a:noFill/>
                    <a:ln w="9525">
                      <a:noFill/>
                      <a:miter lim="800000"/>
                      <a:headEnd/>
                      <a:tailEnd/>
                    </a:ln>
                  </pic:spPr>
                </pic:pic>
              </a:graphicData>
            </a:graphic>
          </wp:inline>
        </w:drawing>
      </w:r>
    </w:p>
    <w:p w14:paraId="6BCBED19" w14:textId="77777777" w:rsidR="00286A88" w:rsidRPr="00C44199" w:rsidRDefault="000E4183" w:rsidP="000E4183">
      <w:pPr>
        <w:spacing w:before="360"/>
        <w:rPr>
          <w:b/>
          <w:lang w:val="en-AU" w:eastAsia="en-AU"/>
        </w:rPr>
      </w:pPr>
      <w:r>
        <w:rPr>
          <w:b/>
          <w:lang w:val="en-AU" w:eastAsia="en-AU"/>
        </w:rPr>
        <w:t>Table Intro 5: Results of o</w:t>
      </w:r>
      <w:r w:rsidR="00286A88" w:rsidRPr="00C44199">
        <w:rPr>
          <w:b/>
          <w:lang w:val="en-AU" w:eastAsia="en-AU"/>
        </w:rPr>
        <w:t xml:space="preserve">strich primary and secondary </w:t>
      </w:r>
      <w:r>
        <w:rPr>
          <w:b/>
          <w:lang w:val="en-AU" w:eastAsia="en-AU"/>
        </w:rPr>
        <w:t xml:space="preserve">literature </w:t>
      </w:r>
      <w:r w:rsidR="00286A88" w:rsidRPr="00C44199">
        <w:rPr>
          <w:b/>
          <w:lang w:val="en-AU" w:eastAsia="en-AU"/>
        </w:rPr>
        <w:t>searches</w:t>
      </w:r>
    </w:p>
    <w:p w14:paraId="0953D8AA" w14:textId="77777777" w:rsidR="00286A88" w:rsidRPr="000E4183" w:rsidRDefault="00286A88" w:rsidP="00286A88">
      <w:pPr>
        <w:spacing w:after="0" w:line="240" w:lineRule="auto"/>
        <w:jc w:val="both"/>
      </w:pPr>
      <w:r w:rsidRPr="00864384">
        <w:rPr>
          <w:rFonts w:eastAsia="Times New Roman" w:cs="Arial"/>
          <w:noProof/>
          <w:color w:val="auto"/>
          <w:sz w:val="28"/>
          <w:szCs w:val="28"/>
          <w:lang w:val="en-AU" w:eastAsia="en-AU"/>
        </w:rPr>
        <w:drawing>
          <wp:inline distT="0" distB="0" distL="0" distR="0" wp14:anchorId="2A0C1B39" wp14:editId="2D7D114E">
            <wp:extent cx="3181350" cy="1615364"/>
            <wp:effectExtent l="0" t="0" r="0" b="4445"/>
            <wp:docPr id="2" name="Picture 2" descr="This table gives another example of the geographical origin of the papers found by the authors of the Farmed Bird Welfare Science Review. The example shows the number of scientifc papers by country of origin that were found in the primary and secondary searches for ostrich welfare." title="Table Intro 5: Results of Ostrich primary and secondary sear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srcRect/>
                    <a:stretch>
                      <a:fillRect/>
                    </a:stretch>
                  </pic:blipFill>
                  <pic:spPr bwMode="auto">
                    <a:xfrm>
                      <a:off x="0" y="0"/>
                      <a:ext cx="3181350" cy="1615364"/>
                    </a:xfrm>
                    <a:prstGeom prst="rect">
                      <a:avLst/>
                    </a:prstGeom>
                    <a:noFill/>
                    <a:ln w="9525">
                      <a:noFill/>
                      <a:miter lim="800000"/>
                      <a:headEnd/>
                      <a:tailEnd/>
                    </a:ln>
                  </pic:spPr>
                </pic:pic>
              </a:graphicData>
            </a:graphic>
          </wp:inline>
        </w:drawing>
      </w:r>
    </w:p>
    <w:p w14:paraId="70AB998B" w14:textId="77777777" w:rsidR="00286A88" w:rsidRPr="00286A88" w:rsidRDefault="00286A88" w:rsidP="00C44199">
      <w:pPr>
        <w:pStyle w:val="Heading2"/>
        <w:rPr>
          <w:lang w:val="en-AU" w:eastAsia="en-AU"/>
        </w:rPr>
      </w:pPr>
      <w:bookmarkStart w:id="9" w:name="_Toc495310479"/>
      <w:r w:rsidRPr="00286A88">
        <w:rPr>
          <w:lang w:val="en-AU" w:eastAsia="en-AU"/>
        </w:rPr>
        <w:t>Intro6. Relationships Between Farmed Bird Types</w:t>
      </w:r>
      <w:bookmarkEnd w:id="9"/>
    </w:p>
    <w:p w14:paraId="022E54A6" w14:textId="77777777" w:rsidR="00286A88" w:rsidRPr="00286A88" w:rsidRDefault="00286A88" w:rsidP="00C44199">
      <w:pPr>
        <w:rPr>
          <w:lang w:val="en-AU" w:eastAsia="en-AU"/>
        </w:rPr>
      </w:pPr>
      <w:r w:rsidRPr="00286A88">
        <w:rPr>
          <w:lang w:val="en-AU" w:eastAsia="en-AU"/>
        </w:rPr>
        <w:t>Because of the extensive literature on the domestic chicken and relative scarcity of literature on some of the other farmed bird types, it is important to consider whether any of the results from chickens could be generalised. This will be more likely if the other bird types are closely related (phylogenetically) and share a similar ecological niche and life history.</w:t>
      </w:r>
    </w:p>
    <w:p w14:paraId="46720E31" w14:textId="77777777" w:rsidR="00286A88" w:rsidRPr="00286A88" w:rsidRDefault="00286A88" w:rsidP="00C44199">
      <w:pPr>
        <w:rPr>
          <w:lang w:val="en-AU" w:eastAsia="en-AU"/>
        </w:rPr>
      </w:pPr>
      <w:r w:rsidRPr="00286A88">
        <w:rPr>
          <w:lang w:val="en-AU" w:eastAsia="en-AU"/>
        </w:rPr>
        <w:t>Avian phylogenetics has advanced recently and, although still subject to some revision as new data become available, the prevailing current view (Crowe et al., 2006; Prum et al., 2015) is presented in Figure Intro 1. This suggests many common features between chickens and other game birds and some common features shared more distantly with ducks and geese, all of which are placed in the high taxon Galloanserae. Ostrich</w:t>
      </w:r>
      <w:r w:rsidR="000E4183">
        <w:rPr>
          <w:lang w:val="en-AU" w:eastAsia="en-AU"/>
        </w:rPr>
        <w:t>es</w:t>
      </w:r>
      <w:r w:rsidRPr="00286A88">
        <w:rPr>
          <w:lang w:val="en-AU" w:eastAsia="en-AU"/>
        </w:rPr>
        <w:t xml:space="preserve"> and emus are placed within a different higher taxon, the Paleognathae, as they possess more reptilian features. Of the farmed bird species under consideration in this review, only the pigeon is placed within the higher taxon, the Neoaves.</w:t>
      </w:r>
    </w:p>
    <w:p w14:paraId="209735E3" w14:textId="77777777" w:rsidR="00286A88" w:rsidRPr="00286A88" w:rsidRDefault="00286A88" w:rsidP="00C44199">
      <w:pPr>
        <w:rPr>
          <w:lang w:val="en-AU" w:eastAsia="en-AU"/>
        </w:rPr>
      </w:pPr>
    </w:p>
    <w:p w14:paraId="63FB05E7" w14:textId="77777777" w:rsidR="00286A88" w:rsidRPr="00864384" w:rsidRDefault="00286A88" w:rsidP="00286A88">
      <w:pPr>
        <w:spacing w:after="200" w:line="276" w:lineRule="auto"/>
        <w:rPr>
          <w:rFonts w:eastAsia="Times New Roman" w:cs="Arial"/>
          <w:color w:val="auto"/>
          <w:sz w:val="22"/>
          <w:szCs w:val="22"/>
          <w:lang w:val="en-AU" w:eastAsia="en-AU"/>
        </w:rPr>
      </w:pPr>
      <w:r w:rsidRPr="00864384">
        <w:rPr>
          <w:rFonts w:eastAsia="Times New Roman" w:cs="Arial"/>
          <w:noProof/>
          <w:color w:val="auto"/>
          <w:sz w:val="22"/>
          <w:szCs w:val="22"/>
          <w:lang w:val="en-AU" w:eastAsia="en-AU"/>
        </w:rPr>
        <w:drawing>
          <wp:inline distT="0" distB="0" distL="0" distR="0" wp14:anchorId="320DAEA2" wp14:editId="51F159C3">
            <wp:extent cx="4853563" cy="4248150"/>
            <wp:effectExtent l="0" t="0" r="0" b="19050"/>
            <wp:docPr id="4" name="Diagram 2" descr="This figure shows the phylogenetic relationships between the farmed bird species covered by in the Farmed Bird Welfare Science Review." title="Figure Into 1: Phylogenetic relationships between farmed bird species"/>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301E50DA" w14:textId="77777777" w:rsidR="00286A88" w:rsidRPr="00286A88" w:rsidRDefault="00286A88" w:rsidP="00C44199">
      <w:pPr>
        <w:spacing w:before="240" w:after="240"/>
        <w:rPr>
          <w:rFonts w:cs="Times New Roman"/>
          <w:color w:val="auto"/>
          <w:lang w:val="en-AU" w:eastAsia="en-AU"/>
        </w:rPr>
      </w:pPr>
      <w:r w:rsidRPr="00286A88">
        <w:rPr>
          <w:rFonts w:cs="Times New Roman"/>
          <w:b/>
          <w:color w:val="auto"/>
          <w:lang w:val="en-AU" w:eastAsia="en-AU"/>
        </w:rPr>
        <w:t>Fig</w:t>
      </w:r>
      <w:r w:rsidR="0099037E">
        <w:rPr>
          <w:rFonts w:cs="Times New Roman"/>
          <w:b/>
          <w:color w:val="auto"/>
          <w:lang w:val="en-AU" w:eastAsia="en-AU"/>
        </w:rPr>
        <w:t>ure</w:t>
      </w:r>
      <w:r w:rsidRPr="00286A88">
        <w:rPr>
          <w:rFonts w:cs="Times New Roman"/>
          <w:b/>
          <w:color w:val="auto"/>
          <w:lang w:val="en-AU" w:eastAsia="en-AU"/>
        </w:rPr>
        <w:t xml:space="preserve"> Intro 1: Phylogen</w:t>
      </w:r>
      <w:r w:rsidR="00C44199">
        <w:rPr>
          <w:rFonts w:cs="Times New Roman"/>
          <w:b/>
          <w:color w:val="auto"/>
          <w:lang w:val="en-AU" w:eastAsia="en-AU"/>
        </w:rPr>
        <w:t>e</w:t>
      </w:r>
      <w:r w:rsidRPr="00286A88">
        <w:rPr>
          <w:rFonts w:cs="Times New Roman"/>
          <w:b/>
          <w:color w:val="auto"/>
          <w:lang w:val="en-AU" w:eastAsia="en-AU"/>
        </w:rPr>
        <w:t>tic relationships between farmed bird species</w:t>
      </w:r>
    </w:p>
    <w:p w14:paraId="16107E2F" w14:textId="77777777" w:rsidR="00286A88" w:rsidRPr="00286A88" w:rsidRDefault="00286A88" w:rsidP="00C44199">
      <w:pPr>
        <w:rPr>
          <w:lang w:val="en-AU" w:eastAsia="en-GB"/>
        </w:rPr>
      </w:pPr>
      <w:r w:rsidRPr="00286A88">
        <w:rPr>
          <w:rFonts w:cs="Times New Roman"/>
          <w:color w:val="auto"/>
          <w:lang w:val="en-AU" w:eastAsia="en-AU"/>
        </w:rPr>
        <w:t>Comments on ecological habitat and life histories are provided in the introduction to each farmed bird type to assist in understanding how far work on chickens can be generalised to these other species.</w:t>
      </w:r>
    </w:p>
    <w:p w14:paraId="11C59364" w14:textId="77777777" w:rsidR="00286A88" w:rsidRPr="00286A88" w:rsidRDefault="00286A88" w:rsidP="00C44199">
      <w:pPr>
        <w:pStyle w:val="Heading2"/>
        <w:rPr>
          <w:lang w:val="en-AU" w:eastAsia="en-AU"/>
        </w:rPr>
      </w:pPr>
      <w:bookmarkStart w:id="10" w:name="_Toc495310480"/>
      <w:r w:rsidRPr="00286A88">
        <w:rPr>
          <w:lang w:val="en-AU" w:eastAsia="en-AU"/>
        </w:rPr>
        <w:t>Intro7. Stocking Density and Stocking Rate</w:t>
      </w:r>
      <w:bookmarkEnd w:id="10"/>
    </w:p>
    <w:p w14:paraId="63B40D49" w14:textId="77777777" w:rsidR="00286A88" w:rsidRPr="00286A88" w:rsidRDefault="00286A88" w:rsidP="00C44199">
      <w:pPr>
        <w:rPr>
          <w:lang w:val="en-AU" w:eastAsia="en-AU"/>
        </w:rPr>
      </w:pPr>
      <w:r w:rsidRPr="00286A88">
        <w:rPr>
          <w:lang w:val="en-AU" w:eastAsia="en-AU"/>
        </w:rPr>
        <w:t>The term stocking density is frequently found in the literature on poultry welfare as a ‘catch-all’ term to describe both the number of animals per unit area and the weight of animals per unit area. A distinction is drawn by some authors who use the alternative term ‘stocking rate’ to describe the number of birds per unit area, and reserve the term ‘stocking density’ to describe the weight of birds per unit area. However there is no great consistency in this usage. The number of birds per unit area is the usual unit used for laying and breeding birds which gain weight relatively slowly or which have a stable adult weight. The weight per unit area is more often used for birds that gain weight very rapidly such as broilers and turkeys, and where the size of the birds can become a limiting factor for healthy birds and environmental (air, litter) quality.</w:t>
      </w:r>
    </w:p>
    <w:p w14:paraId="0D6E9EF0" w14:textId="77777777" w:rsidR="00286A88" w:rsidRPr="00286A88" w:rsidRDefault="00286A88" w:rsidP="00C44199">
      <w:pPr>
        <w:rPr>
          <w:lang w:val="en-AU" w:eastAsia="en-AU"/>
        </w:rPr>
      </w:pPr>
      <w:r w:rsidRPr="00286A88">
        <w:rPr>
          <w:lang w:val="en-AU" w:eastAsia="en-AU"/>
        </w:rPr>
        <w:t>The stocking rate of caged birds (e.g. laying hens) is generally described as a space allowance expressed as cm</w:t>
      </w:r>
      <w:r w:rsidRPr="00286A88">
        <w:rPr>
          <w:vertAlign w:val="superscript"/>
          <w:lang w:val="en-AU" w:eastAsia="en-AU"/>
        </w:rPr>
        <w:t>2</w:t>
      </w:r>
      <w:r w:rsidRPr="00286A88">
        <w:rPr>
          <w:lang w:val="en-AU" w:eastAsia="en-AU"/>
        </w:rPr>
        <w:t>/bird. In contrast, the stocking rate for non-cage birds is generally described as the number of birds/m</w:t>
      </w:r>
      <w:r w:rsidRPr="00286A88">
        <w:rPr>
          <w:vertAlign w:val="superscript"/>
          <w:lang w:val="en-AU" w:eastAsia="en-AU"/>
        </w:rPr>
        <w:t>2</w:t>
      </w:r>
      <w:r w:rsidRPr="00286A88">
        <w:rPr>
          <w:lang w:val="en-AU" w:eastAsia="en-AU"/>
        </w:rPr>
        <w:t>. In making rapid comparisons it should be noted that 1 m</w:t>
      </w:r>
      <w:r w:rsidRPr="00286A88">
        <w:rPr>
          <w:vertAlign w:val="superscript"/>
          <w:lang w:val="en-AU" w:eastAsia="en-AU"/>
        </w:rPr>
        <w:t>2</w:t>
      </w:r>
      <w:r w:rsidRPr="00286A88">
        <w:rPr>
          <w:lang w:val="en-AU" w:eastAsia="en-AU"/>
        </w:rPr>
        <w:t xml:space="preserve"> = 10,000 cm</w:t>
      </w:r>
      <w:r w:rsidRPr="00286A88">
        <w:rPr>
          <w:vertAlign w:val="superscript"/>
          <w:lang w:val="en-AU" w:eastAsia="en-AU"/>
        </w:rPr>
        <w:t>2</w:t>
      </w:r>
      <w:r w:rsidRPr="00286A88">
        <w:rPr>
          <w:lang w:val="en-AU" w:eastAsia="en-AU"/>
        </w:rPr>
        <w:t>. Thus caged birds housed at 500 cm</w:t>
      </w:r>
      <w:r w:rsidRPr="00286A88">
        <w:rPr>
          <w:vertAlign w:val="superscript"/>
          <w:lang w:val="en-AU" w:eastAsia="en-AU"/>
        </w:rPr>
        <w:t>2</w:t>
      </w:r>
      <w:r w:rsidRPr="00286A88">
        <w:rPr>
          <w:lang w:val="en-AU" w:eastAsia="en-AU"/>
        </w:rPr>
        <w:t>/bird are stocked at an equivalent rate of 20 birds/m</w:t>
      </w:r>
      <w:r w:rsidRPr="00286A88">
        <w:rPr>
          <w:vertAlign w:val="superscript"/>
          <w:lang w:val="en-AU" w:eastAsia="en-AU"/>
        </w:rPr>
        <w:t>2</w:t>
      </w:r>
      <w:r w:rsidRPr="00286A88">
        <w:rPr>
          <w:lang w:val="en-AU" w:eastAsia="en-AU"/>
        </w:rPr>
        <w:t>, whilst the usual furnished (colony) cage allowance of 750 cm</w:t>
      </w:r>
      <w:r w:rsidRPr="00286A88">
        <w:rPr>
          <w:vertAlign w:val="superscript"/>
          <w:lang w:val="en-AU" w:eastAsia="en-AU"/>
        </w:rPr>
        <w:t>2</w:t>
      </w:r>
      <w:r w:rsidRPr="00286A88">
        <w:rPr>
          <w:lang w:val="en-AU" w:eastAsia="en-AU"/>
        </w:rPr>
        <w:t>/bird equates to 13.3 birds/m</w:t>
      </w:r>
      <w:r w:rsidRPr="00286A88">
        <w:rPr>
          <w:vertAlign w:val="superscript"/>
          <w:lang w:val="en-AU" w:eastAsia="en-AU"/>
        </w:rPr>
        <w:t>2</w:t>
      </w:r>
      <w:r w:rsidRPr="00286A88">
        <w:rPr>
          <w:lang w:val="en-AU" w:eastAsia="en-AU"/>
        </w:rPr>
        <w:t>. The EU stocking rate for non-cage systems is 9 birds/m</w:t>
      </w:r>
      <w:r w:rsidRPr="00286A88">
        <w:rPr>
          <w:vertAlign w:val="superscript"/>
          <w:lang w:val="en-AU" w:eastAsia="en-AU"/>
        </w:rPr>
        <w:t>2</w:t>
      </w:r>
      <w:r w:rsidRPr="00286A88">
        <w:rPr>
          <w:lang w:val="en-AU" w:eastAsia="en-AU"/>
        </w:rPr>
        <w:t>.</w:t>
      </w:r>
    </w:p>
    <w:p w14:paraId="67D40280" w14:textId="77777777" w:rsidR="00286A88" w:rsidRDefault="00286A88" w:rsidP="00C44199">
      <w:pPr>
        <w:rPr>
          <w:lang w:val="en-AU" w:eastAsia="en-AU"/>
        </w:rPr>
      </w:pPr>
      <w:r w:rsidRPr="00286A88">
        <w:rPr>
          <w:lang w:val="en-AU" w:eastAsia="en-AU"/>
        </w:rPr>
        <w:t>Calculating stocking densities for broiler chickens, turkeys or other meat birds requires knowledge of their expected patterns of weight gain. These are generally published openly in breed management guides e.g.:</w:t>
      </w:r>
    </w:p>
    <w:p w14:paraId="4B70D3DF" w14:textId="77777777" w:rsidR="0056421E" w:rsidRDefault="00405B97" w:rsidP="00C44199">
      <w:pPr>
        <w:rPr>
          <w:lang w:val="en-AU" w:eastAsia="en-AU"/>
        </w:rPr>
      </w:pPr>
      <w:hyperlink r:id="rId27" w:tooltip="This is a link to an example of Aviagen's breed management guidelines." w:history="1">
        <w:r w:rsidR="0056421E" w:rsidRPr="008D16A0">
          <w:rPr>
            <w:rStyle w:val="Hyperlink"/>
            <w:lang w:val="en-AU" w:eastAsia="en-AU"/>
          </w:rPr>
          <w:t>http://en.aviagen.com/assets/Tech_Center/Ross_Broiler/Ross-308-Broiler-PO-2014-EN.pdf</w:t>
        </w:r>
      </w:hyperlink>
    </w:p>
    <w:p w14:paraId="427CF704" w14:textId="77777777" w:rsidR="00286A88" w:rsidRPr="00286A88" w:rsidRDefault="00286A88" w:rsidP="00C44199">
      <w:pPr>
        <w:rPr>
          <w:lang w:val="en-AU" w:eastAsia="en-AU"/>
        </w:rPr>
      </w:pPr>
      <w:r w:rsidRPr="00286A88">
        <w:rPr>
          <w:lang w:val="en-AU" w:eastAsia="en-AU"/>
        </w:rPr>
        <w:t xml:space="preserve">This shows that male birds </w:t>
      </w:r>
      <w:r w:rsidR="005B72BE">
        <w:rPr>
          <w:lang w:val="en-AU" w:eastAsia="en-AU"/>
        </w:rPr>
        <w:t xml:space="preserve">of this breed </w:t>
      </w:r>
      <w:r w:rsidRPr="00286A88">
        <w:rPr>
          <w:lang w:val="en-AU" w:eastAsia="en-AU"/>
        </w:rPr>
        <w:t>would be expected to weigh 2.39 kg at 36 days of age, and 3.02 kg at 42 days of age. A stocking density of 33 kg/m</w:t>
      </w:r>
      <w:r w:rsidRPr="00286A88">
        <w:rPr>
          <w:vertAlign w:val="superscript"/>
          <w:lang w:val="en-AU" w:eastAsia="en-AU"/>
        </w:rPr>
        <w:t>2</w:t>
      </w:r>
      <w:r w:rsidRPr="00286A88">
        <w:rPr>
          <w:lang w:val="en-AU" w:eastAsia="en-AU"/>
        </w:rPr>
        <w:t xml:space="preserve"> equates to 13.8 birds/m</w:t>
      </w:r>
      <w:r w:rsidRPr="00286A88">
        <w:rPr>
          <w:vertAlign w:val="superscript"/>
          <w:lang w:val="en-AU" w:eastAsia="en-AU"/>
        </w:rPr>
        <w:t>2</w:t>
      </w:r>
      <w:r w:rsidRPr="00286A88">
        <w:rPr>
          <w:lang w:val="en-AU" w:eastAsia="en-AU"/>
        </w:rPr>
        <w:t xml:space="preserve"> at 36 days, and 10.9 birds/m</w:t>
      </w:r>
      <w:r w:rsidRPr="00286A88">
        <w:rPr>
          <w:vertAlign w:val="superscript"/>
          <w:lang w:val="en-AU" w:eastAsia="en-AU"/>
        </w:rPr>
        <w:t xml:space="preserve">2 </w:t>
      </w:r>
      <w:r w:rsidRPr="00286A88">
        <w:rPr>
          <w:lang w:val="en-AU" w:eastAsia="en-AU"/>
        </w:rPr>
        <w:t>at 42 days. One response to maximum stocking density legislation is to “thin” flocks by removing some birds for early slaughter and leaving the others to grow further.</w:t>
      </w:r>
    </w:p>
    <w:p w14:paraId="4F1D2899" w14:textId="77777777" w:rsidR="00286A88" w:rsidRPr="00286A88" w:rsidRDefault="00286A88" w:rsidP="00C44199">
      <w:pPr>
        <w:rPr>
          <w:lang w:val="en-AU" w:eastAsia="en-AU"/>
        </w:rPr>
      </w:pPr>
      <w:r w:rsidRPr="00286A88">
        <w:rPr>
          <w:lang w:val="en-AU" w:eastAsia="en-AU"/>
        </w:rPr>
        <w:t>In this review, the generic term stocking density is used in headings and subheadings for all types of farmed birds but we then use the term stocking rate for laying hens and breeding birds, and the term stocking density for birds grown for meat.</w:t>
      </w:r>
    </w:p>
    <w:p w14:paraId="2CAB4EC0" w14:textId="77777777" w:rsidR="00286A88" w:rsidRPr="00286A88" w:rsidRDefault="00286A88" w:rsidP="00C44199">
      <w:pPr>
        <w:pStyle w:val="Heading2"/>
        <w:rPr>
          <w:lang w:val="en-AU" w:eastAsia="en-AU"/>
        </w:rPr>
      </w:pPr>
      <w:bookmarkStart w:id="11" w:name="_Toc495310481"/>
      <w:r w:rsidRPr="00286A88">
        <w:rPr>
          <w:lang w:val="en-AU" w:eastAsia="en-AU"/>
        </w:rPr>
        <w:t>Intro8. Assessing Welfare</w:t>
      </w:r>
      <w:bookmarkEnd w:id="11"/>
    </w:p>
    <w:p w14:paraId="42F8D512" w14:textId="77777777" w:rsidR="00286A88" w:rsidRPr="00286A88" w:rsidRDefault="00286A88" w:rsidP="00C44199">
      <w:pPr>
        <w:rPr>
          <w:lang w:val="en-AU" w:eastAsia="en-AU"/>
        </w:rPr>
      </w:pPr>
      <w:r w:rsidRPr="00286A88">
        <w:rPr>
          <w:lang w:val="en-AU" w:eastAsia="en-AU"/>
        </w:rPr>
        <w:t>The animal welfare assessment framework developed by Green and Mellor (2011) mentioned within the Proposed Draft Australian Animal Welfare Standards and Guidelines for Poultry reflects three predominant ideas that have developed over time as animal welfare has matured as a subject area. First, it acknowledges that animal welfare has many components (considered as specific domains by Green and Mellor, 2011), each of which requires consideration in order to enable a holistic picture of overall welfare (see also Mason and Mendl, 1993 who explain why there is no one, simple measure of welfare). Second, it draws attention to the importance of considering the animals’ negative and positive experiences in relation to each domain. Third, it acknowledges that challenges to animal welfare can be brief and transient or chronic and long-lasting, reducing overall quality of life.</w:t>
      </w:r>
    </w:p>
    <w:p w14:paraId="5F12EBA7" w14:textId="77777777" w:rsidR="00286A88" w:rsidRPr="00286A88" w:rsidRDefault="00286A88" w:rsidP="00C44199">
      <w:pPr>
        <w:pStyle w:val="Heading3"/>
        <w:rPr>
          <w:lang w:val="en-AU" w:eastAsia="en-AU"/>
        </w:rPr>
      </w:pPr>
      <w:bookmarkStart w:id="12" w:name="_Toc495310482"/>
      <w:r w:rsidRPr="00286A88">
        <w:rPr>
          <w:lang w:val="en-AU" w:eastAsia="en-AU"/>
        </w:rPr>
        <w:t>Intro8.1 Multiple measures</w:t>
      </w:r>
      <w:bookmarkEnd w:id="12"/>
    </w:p>
    <w:p w14:paraId="73E756E2" w14:textId="77777777" w:rsidR="00286A88" w:rsidRPr="00286A88" w:rsidRDefault="00286A88" w:rsidP="00C44199">
      <w:pPr>
        <w:rPr>
          <w:lang w:val="en-AU" w:eastAsia="en-AU"/>
        </w:rPr>
      </w:pPr>
      <w:r w:rsidRPr="00286A88">
        <w:rPr>
          <w:lang w:val="en-AU" w:eastAsia="en-AU"/>
        </w:rPr>
        <w:t>In interpreting the available literature it is important to be aware that single-measure studies can be useful (e.g. plumage damage is a reasonably good measure of feather pecking) but single measures are not good indicators of overall welfare. For example, in assessing the welfare implications of toe removal, it is relevant to know whether or not neuromas (trauma-induced nerve cell growths) develop, because these can be associated with chronic pain once the original injury has healed. If no neuromas are found this would be evidence that toe amputation has not led to this type of chronic pain. However, it would not be acceptable to conclude from this one line of evidence that there was no overall welfare impact of toe amputation. A full assessment of the effect of toe removal would require studies of the birds’ initial acute responses (fear, stress, pain), other studies of chronic pain (e.g. hyperalgesia) and studies of short- and long-term behavioural consequences and impact. Where available these different strands of evidence must be considered together, and this is most easily done for those conditions that have been extensively studied (e.g. lameness in broiler chickens). Where only isolated studies are available, the extent to which generalisation is possible must be considered.</w:t>
      </w:r>
    </w:p>
    <w:p w14:paraId="0CFD078D" w14:textId="77777777" w:rsidR="00286A88" w:rsidRPr="00286A88" w:rsidRDefault="00286A88" w:rsidP="00C44199">
      <w:pPr>
        <w:rPr>
          <w:rFonts w:eastAsia="TimesNewRomanPSMT" w:cs="Arial"/>
          <w:lang w:val="en-AU" w:eastAsia="en-GB"/>
        </w:rPr>
      </w:pPr>
      <w:r w:rsidRPr="00286A88">
        <w:rPr>
          <w:rFonts w:eastAsia="TimesNewRomanPSMT" w:cs="Arial"/>
          <w:lang w:val="en-AU" w:eastAsia="en-GB"/>
        </w:rPr>
        <w:t>Studies of farmed bird welfare are now far more likely to incorporate multiple measures than in the past but this has not solved all the problems. For example, some measures cluster together (Nicol et al., 2011</w:t>
      </w:r>
      <w:r w:rsidR="005B72BE">
        <w:rPr>
          <w:rFonts w:eastAsia="TimesNewRomanPSMT" w:cs="Arial"/>
          <w:lang w:val="en-AU" w:eastAsia="en-GB"/>
        </w:rPr>
        <w:t xml:space="preserve">; </w:t>
      </w:r>
      <w:r w:rsidR="005B72BE" w:rsidRPr="005B72BE">
        <w:rPr>
          <w:rFonts w:eastAsia="TimesNewRomanPSMT" w:cs="Arial"/>
          <w:lang w:val="en-AU" w:eastAsia="en-GB"/>
        </w:rPr>
        <w:t xml:space="preserve">Daigle </w:t>
      </w:r>
      <w:r w:rsidR="000B0B33">
        <w:rPr>
          <w:rFonts w:eastAsia="TimesNewRomanPSMT" w:cs="Arial"/>
          <w:lang w:val="en-AU" w:eastAsia="en-GB"/>
        </w:rPr>
        <w:t>and Seigford</w:t>
      </w:r>
      <w:r w:rsidR="005B72BE" w:rsidRPr="005B72BE">
        <w:rPr>
          <w:rFonts w:eastAsia="TimesNewRomanPSMT" w:cs="Arial"/>
          <w:lang w:val="en-AU" w:eastAsia="en-GB"/>
        </w:rPr>
        <w:t>, 2014</w:t>
      </w:r>
      <w:r w:rsidRPr="00286A88">
        <w:rPr>
          <w:rFonts w:eastAsia="TimesNewRomanPSMT" w:cs="Arial"/>
          <w:lang w:val="en-AU" w:eastAsia="en-GB"/>
        </w:rPr>
        <w:t>) so there is a risk of over-estimation from redundant information in some studies. A greater problem arises if measures do not covary in a consistent manner across differing housing or husbandry conditions.</w:t>
      </w:r>
    </w:p>
    <w:p w14:paraId="621771FB" w14:textId="77777777" w:rsidR="00286A88" w:rsidRPr="00286A88" w:rsidRDefault="00C44199" w:rsidP="00C44199">
      <w:pPr>
        <w:pStyle w:val="Heading3"/>
        <w:rPr>
          <w:lang w:val="en-AU" w:eastAsia="en-AU"/>
        </w:rPr>
      </w:pPr>
      <w:bookmarkStart w:id="13" w:name="_Toc495310483"/>
      <w:r>
        <w:rPr>
          <w:lang w:val="en-AU" w:eastAsia="en-AU"/>
        </w:rPr>
        <w:t>Intro</w:t>
      </w:r>
      <w:r w:rsidR="00286A88" w:rsidRPr="00286A88">
        <w:rPr>
          <w:lang w:val="en-AU" w:eastAsia="en-AU"/>
        </w:rPr>
        <w:t>8.2 Animal emotion</w:t>
      </w:r>
      <w:bookmarkEnd w:id="13"/>
    </w:p>
    <w:p w14:paraId="387C8825" w14:textId="77777777" w:rsidR="00286A88" w:rsidRPr="00286A88" w:rsidRDefault="00286A88" w:rsidP="00C44199">
      <w:pPr>
        <w:rPr>
          <w:lang w:val="en-AU" w:eastAsia="en-AU"/>
        </w:rPr>
      </w:pPr>
      <w:r w:rsidRPr="00286A88">
        <w:rPr>
          <w:lang w:val="en-AU" w:eastAsia="en-AU"/>
        </w:rPr>
        <w:t>Another recent development in animal welfare science has been to recognise the importance of animal emotion, and specifically the importance of animals’ positive and negative experiences (called valence) (Nicol et al., 2009; Mendl et al., 2010; Hemsworth et al., 2015; Mellor and Beausoleil, 2015; Campbell et al., 2016). Mendl et al. (2010) portray human emotion within a simple two-dimensional model (Figure Intro 2) and discuss how this can be applied to animals.</w:t>
      </w:r>
    </w:p>
    <w:p w14:paraId="1C7FC4BE" w14:textId="77777777" w:rsidR="00286A88" w:rsidRPr="00864384" w:rsidRDefault="00286A88" w:rsidP="00286A88">
      <w:pPr>
        <w:spacing w:after="200" w:line="240" w:lineRule="auto"/>
        <w:jc w:val="both"/>
        <w:rPr>
          <w:rFonts w:eastAsia="Times New Roman" w:cs="Arial"/>
          <w:color w:val="auto"/>
          <w:sz w:val="22"/>
          <w:szCs w:val="22"/>
          <w:lang w:val="en-AU" w:eastAsia="en-AU"/>
        </w:rPr>
      </w:pPr>
      <w:r w:rsidRPr="00864384">
        <w:rPr>
          <w:rFonts w:eastAsia="Times New Roman" w:cs="Arial"/>
          <w:noProof/>
          <w:color w:val="auto"/>
          <w:sz w:val="22"/>
          <w:szCs w:val="22"/>
          <w:lang w:val="en-AU" w:eastAsia="en-AU"/>
        </w:rPr>
        <w:drawing>
          <wp:inline distT="0" distB="0" distL="0" distR="0" wp14:anchorId="330D70AC" wp14:editId="25A8405E">
            <wp:extent cx="3236364" cy="2905125"/>
            <wp:effectExtent l="0" t="0" r="2540" b="0"/>
            <wp:docPr id="5" name="Picture 1" descr="This figure is from a paper by Mendl et al. (2010). It portrays human emotion within a simple two-dimensional model, with valence on one axis and arousal on another. The figure shows that when arousal is high and valence is negative, human emotion tends towards anxiety and fearfulness. When arousal is high and valence is positive, human emotion tends towards excitement and happiness. When arousal is low and valence is negative, human emotion tends towards sadness and depression. When arousal is low and valence is positive, human emotion tends towards calmness and relaxation." title="Fig Intro 2: Two dimensional model of animal e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3236364" cy="2905125"/>
                    </a:xfrm>
                    <a:prstGeom prst="rect">
                      <a:avLst/>
                    </a:prstGeom>
                    <a:noFill/>
                    <a:ln w="9525">
                      <a:noFill/>
                      <a:miter lim="800000"/>
                      <a:headEnd/>
                      <a:tailEnd/>
                    </a:ln>
                  </pic:spPr>
                </pic:pic>
              </a:graphicData>
            </a:graphic>
          </wp:inline>
        </w:drawing>
      </w:r>
    </w:p>
    <w:p w14:paraId="6CAB6392" w14:textId="77777777" w:rsidR="00286A88" w:rsidRPr="00C44199" w:rsidRDefault="00286A88" w:rsidP="00C44199">
      <w:pPr>
        <w:spacing w:before="240" w:after="240"/>
        <w:rPr>
          <w:rFonts w:cs="Times New Roman"/>
          <w:b/>
          <w:color w:val="auto"/>
          <w:lang w:val="en-AU" w:eastAsia="en-AU"/>
        </w:rPr>
      </w:pPr>
      <w:r w:rsidRPr="00C44199">
        <w:rPr>
          <w:rFonts w:cs="Times New Roman"/>
          <w:b/>
          <w:color w:val="auto"/>
          <w:lang w:val="en-AU" w:eastAsia="en-AU"/>
        </w:rPr>
        <w:t>Fig Intro 2</w:t>
      </w:r>
      <w:r w:rsidR="00D91031">
        <w:rPr>
          <w:rFonts w:cs="Times New Roman"/>
          <w:b/>
          <w:color w:val="auto"/>
          <w:lang w:val="en-AU" w:eastAsia="en-AU"/>
        </w:rPr>
        <w:t>:</w:t>
      </w:r>
      <w:r w:rsidRPr="00C44199">
        <w:rPr>
          <w:rFonts w:cs="Times New Roman"/>
          <w:b/>
          <w:color w:val="auto"/>
          <w:lang w:val="en-AU" w:eastAsia="en-AU"/>
        </w:rPr>
        <w:t xml:space="preserve"> Two dimensional model of animal emotion</w:t>
      </w:r>
    </w:p>
    <w:p w14:paraId="0617BAE0" w14:textId="77777777" w:rsidR="00286A88" w:rsidRPr="00286A88" w:rsidRDefault="00286A88" w:rsidP="00C44199">
      <w:pPr>
        <w:rPr>
          <w:lang w:val="en-AU" w:eastAsia="en-AU"/>
        </w:rPr>
      </w:pPr>
      <w:r w:rsidRPr="00286A88">
        <w:rPr>
          <w:lang w:val="en-AU" w:eastAsia="en-AU"/>
        </w:rPr>
        <w:t>Although the words “sad” or “happy” are useful shorthand terms for human emotional experience, they cannot be used to describe animal emotions as the subjective nature of animal experience cannot be known. However, an animal’s experience can be mapped within these quadrants and current work is assessing which physiological and other measures provide the best markers of these experiences (e.g. Nicol et al., 2009).</w:t>
      </w:r>
    </w:p>
    <w:p w14:paraId="5768C6F7" w14:textId="77777777" w:rsidR="00286A88" w:rsidRPr="00286A88" w:rsidRDefault="00286A88" w:rsidP="00C44199">
      <w:pPr>
        <w:rPr>
          <w:lang w:val="en-AU" w:eastAsia="en-AU"/>
        </w:rPr>
      </w:pPr>
      <w:r w:rsidRPr="00286A88">
        <w:rPr>
          <w:lang w:val="en-AU" w:eastAsia="en-AU"/>
        </w:rPr>
        <w:t>Some measures are clearly related to pain or fearfulness and are good markers of negative valence and hence poor welfare. But other measures (particularly those associated with physiological stress) appear now to be better measures of arousal or excitement than of valence (Mendl et al., 2010). In addition, all animals have evolved to experience and respond to stressors; so that some degree of intermittent stress or challenge is likely to be positive and healthy. As with humans, the extent to which an animal can control its environment may well determine the extent of its stress response. Measures of stress are still immensely useful, especially in quantifying the impact of procedures known to be aversive (e.g. stress associated with rough handling) but they are less useful in assessing complex scenarios where information on valence is less clear (e.g. comparing one housing system with another).</w:t>
      </w:r>
    </w:p>
    <w:p w14:paraId="69A5D648" w14:textId="77777777" w:rsidR="00286A88" w:rsidRPr="00286A88" w:rsidRDefault="00286A88" w:rsidP="00C44199">
      <w:pPr>
        <w:rPr>
          <w:lang w:val="en-AU" w:eastAsia="en-AU"/>
        </w:rPr>
      </w:pPr>
      <w:r w:rsidRPr="00286A88">
        <w:rPr>
          <w:lang w:val="en-AU" w:eastAsia="en-AU"/>
        </w:rPr>
        <w:t>In this report we use the terms ‘measures’ or ‘markers’ to describe experimental outcomes recorded in a scientific paper that may have some bearing on animal welfare, and the term ‘welfare indicator’ where there is a stronger evidence base.</w:t>
      </w:r>
    </w:p>
    <w:p w14:paraId="1A1A7F38" w14:textId="77777777" w:rsidR="002C5442" w:rsidRDefault="00286A88" w:rsidP="00C44199">
      <w:pPr>
        <w:rPr>
          <w:rFonts w:eastAsia="TimesNewRomanPSMT" w:cs="Arial"/>
          <w:lang w:val="en-AU" w:eastAsia="en-GB"/>
        </w:rPr>
      </w:pPr>
      <w:r w:rsidRPr="00286A88">
        <w:rPr>
          <w:rFonts w:eastAsia="TimesNewRomanPSMT" w:cs="Arial"/>
          <w:lang w:val="en-AU" w:eastAsia="en-GB"/>
        </w:rPr>
        <w:t>The integration of information from multiple measures, and its interpretation in terms of animal perception and emotion is currently undertaken by seeking expert opinion. We have made our best ‘expert’ judgements in writing brief overviews of the welfare considerations for each of the farmed bird species.</w:t>
      </w:r>
    </w:p>
    <w:p w14:paraId="058F52E0" w14:textId="77777777" w:rsidR="003D1CC3" w:rsidRDefault="003D1CC3" w:rsidP="00C44199">
      <w:pPr>
        <w:rPr>
          <w:rFonts w:eastAsia="TimesNewRomanPSMT" w:cs="Arial"/>
          <w:lang w:val="en-AU" w:eastAsia="en-GB"/>
        </w:rPr>
      </w:pPr>
    </w:p>
    <w:p w14:paraId="666B1272" w14:textId="77777777" w:rsidR="003D1CC3" w:rsidRDefault="003D1CC3" w:rsidP="003D1CC3">
      <w:pPr>
        <w:pStyle w:val="Heading2"/>
        <w:rPr>
          <w:lang w:val="en-AU" w:eastAsia="en-GB"/>
        </w:rPr>
      </w:pPr>
      <w:r>
        <w:rPr>
          <w:lang w:val="en-AU" w:eastAsia="en-GB"/>
        </w:rPr>
        <w:br w:type="column"/>
      </w:r>
      <w:bookmarkStart w:id="14" w:name="_Toc495310484"/>
      <w:r w:rsidR="00342299">
        <w:rPr>
          <w:lang w:val="en-AU" w:eastAsia="en-GB"/>
        </w:rPr>
        <w:t>Intro9</w:t>
      </w:r>
      <w:r w:rsidR="00276571">
        <w:rPr>
          <w:lang w:val="en-AU" w:eastAsia="en-GB"/>
        </w:rPr>
        <w:t xml:space="preserve">. </w:t>
      </w:r>
      <w:r>
        <w:rPr>
          <w:lang w:val="en-AU" w:eastAsia="en-GB"/>
        </w:rPr>
        <w:t>References</w:t>
      </w:r>
      <w:bookmarkEnd w:id="14"/>
    </w:p>
    <w:p w14:paraId="34AF8CA9" w14:textId="77777777" w:rsidR="003D1CC3" w:rsidRPr="003D1CC3" w:rsidRDefault="003D1CC3" w:rsidP="003D1CC3">
      <w:pPr>
        <w:rPr>
          <w:rFonts w:eastAsia="TimesNewRomanPSMT" w:cs="Arial"/>
          <w:lang w:val="en-AU" w:eastAsia="en-GB"/>
        </w:rPr>
      </w:pPr>
      <w:r w:rsidRPr="003D1CC3">
        <w:rPr>
          <w:rFonts w:eastAsia="TimesNewRomanPSMT" w:cs="Arial"/>
          <w:lang w:val="en-AU" w:eastAsia="en-GB"/>
        </w:rPr>
        <w:t>Campbell, D. L. M., G. N. Hinch, J. A. Downing</w:t>
      </w:r>
      <w:r w:rsidR="0077095C">
        <w:rPr>
          <w:rFonts w:eastAsia="TimesNewRomanPSMT" w:cs="Arial"/>
          <w:lang w:val="en-AU" w:eastAsia="en-GB"/>
        </w:rPr>
        <w:t>,</w:t>
      </w:r>
      <w:r w:rsidR="00952039">
        <w:rPr>
          <w:rFonts w:eastAsia="TimesNewRomanPSMT" w:cs="Arial"/>
          <w:lang w:val="en-AU" w:eastAsia="en-GB"/>
        </w:rPr>
        <w:t xml:space="preserve"> and C. Lee. 2016</w:t>
      </w:r>
      <w:r w:rsidRPr="003D1CC3">
        <w:rPr>
          <w:rFonts w:eastAsia="TimesNewRomanPSMT" w:cs="Arial"/>
          <w:lang w:val="en-AU" w:eastAsia="en-GB"/>
        </w:rPr>
        <w:t>. Fear and coping styles of outdoor-preferring, moderate-outdoor and indoor-preferring free-range laying hens. Applied Animal Behaviour Science 185:73-77. doi 10.1016/j.applanim.2016.09.004</w:t>
      </w:r>
    </w:p>
    <w:p w14:paraId="4DB402CA" w14:textId="77777777" w:rsidR="003D1CC3" w:rsidRPr="003D1CC3" w:rsidRDefault="003D1CC3" w:rsidP="003D1CC3">
      <w:pPr>
        <w:rPr>
          <w:rFonts w:eastAsia="TimesNewRomanPSMT" w:cs="Arial"/>
          <w:lang w:val="en-AU" w:eastAsia="en-GB"/>
        </w:rPr>
      </w:pPr>
      <w:r w:rsidRPr="003D1CC3">
        <w:rPr>
          <w:rFonts w:eastAsia="TimesNewRomanPSMT" w:cs="Arial"/>
          <w:lang w:val="en-AU" w:eastAsia="en-GB"/>
        </w:rPr>
        <w:t>Crowe, T.</w:t>
      </w:r>
      <w:r w:rsidR="00BB1742">
        <w:rPr>
          <w:rFonts w:eastAsia="TimesNewRomanPSMT" w:cs="Arial"/>
          <w:lang w:val="en-AU" w:eastAsia="en-GB"/>
        </w:rPr>
        <w:t xml:space="preserve"> </w:t>
      </w:r>
      <w:r w:rsidRPr="003D1CC3">
        <w:rPr>
          <w:rFonts w:eastAsia="TimesNewRomanPSMT" w:cs="Arial"/>
          <w:lang w:val="en-AU" w:eastAsia="en-GB"/>
        </w:rPr>
        <w:t xml:space="preserve">M., </w:t>
      </w:r>
      <w:r w:rsidR="00BB1742">
        <w:rPr>
          <w:rFonts w:eastAsia="TimesNewRomanPSMT" w:cs="Arial"/>
          <w:lang w:val="en-AU" w:eastAsia="en-GB"/>
        </w:rPr>
        <w:t xml:space="preserve">R. C. K. </w:t>
      </w:r>
      <w:r w:rsidRPr="003D1CC3">
        <w:rPr>
          <w:rFonts w:eastAsia="TimesNewRomanPSMT" w:cs="Arial"/>
          <w:lang w:val="en-AU" w:eastAsia="en-GB"/>
        </w:rPr>
        <w:t xml:space="preserve">Bowie, </w:t>
      </w:r>
      <w:r w:rsidR="00BB1742">
        <w:rPr>
          <w:rFonts w:eastAsia="TimesNewRomanPSMT" w:cs="Arial"/>
          <w:lang w:val="en-AU" w:eastAsia="en-GB"/>
        </w:rPr>
        <w:t>P.</w:t>
      </w:r>
      <w:r w:rsidRPr="003D1CC3">
        <w:rPr>
          <w:rFonts w:eastAsia="TimesNewRomanPSMT" w:cs="Arial"/>
          <w:lang w:val="en-AU" w:eastAsia="en-GB"/>
        </w:rPr>
        <w:t xml:space="preserve"> Bloomer, </w:t>
      </w:r>
      <w:r w:rsidR="00BB1742">
        <w:rPr>
          <w:rFonts w:eastAsia="TimesNewRomanPSMT" w:cs="Arial"/>
          <w:lang w:val="en-AU" w:eastAsia="en-GB"/>
        </w:rPr>
        <w:t xml:space="preserve">T. G. </w:t>
      </w:r>
      <w:r w:rsidRPr="003D1CC3">
        <w:rPr>
          <w:rFonts w:eastAsia="TimesNewRomanPSMT" w:cs="Arial"/>
          <w:lang w:val="en-AU" w:eastAsia="en-GB"/>
        </w:rPr>
        <w:t xml:space="preserve">Mandiwana, </w:t>
      </w:r>
      <w:r w:rsidR="00BB1742">
        <w:rPr>
          <w:rFonts w:eastAsia="TimesNewRomanPSMT" w:cs="Arial"/>
          <w:lang w:val="en-AU" w:eastAsia="en-GB"/>
        </w:rPr>
        <w:t xml:space="preserve">T. A. J. </w:t>
      </w:r>
      <w:r w:rsidRPr="003D1CC3">
        <w:rPr>
          <w:rFonts w:eastAsia="TimesNewRomanPSMT" w:cs="Arial"/>
          <w:lang w:val="en-AU" w:eastAsia="en-GB"/>
        </w:rPr>
        <w:t xml:space="preserve">Heddeson, </w:t>
      </w:r>
      <w:r w:rsidR="00BB1742">
        <w:rPr>
          <w:rFonts w:eastAsia="TimesNewRomanPSMT" w:cs="Arial"/>
          <w:lang w:val="en-AU" w:eastAsia="en-GB"/>
        </w:rPr>
        <w:t xml:space="preserve">E. </w:t>
      </w:r>
      <w:r w:rsidRPr="003D1CC3">
        <w:rPr>
          <w:rFonts w:eastAsia="TimesNewRomanPSMT" w:cs="Arial"/>
          <w:lang w:val="en-AU" w:eastAsia="en-GB"/>
        </w:rPr>
        <w:t xml:space="preserve">Randi, </w:t>
      </w:r>
      <w:r w:rsidR="00BB1742">
        <w:rPr>
          <w:rFonts w:eastAsia="TimesNewRomanPSMT" w:cs="Arial"/>
          <w:lang w:val="en-AU" w:eastAsia="en-GB"/>
        </w:rPr>
        <w:t xml:space="preserve">S. L. </w:t>
      </w:r>
      <w:r w:rsidR="00833FAF">
        <w:rPr>
          <w:rFonts w:eastAsia="TimesNewRomanPSMT" w:cs="Arial"/>
          <w:lang w:val="en-AU" w:eastAsia="en-GB"/>
        </w:rPr>
        <w:t>Pereira</w:t>
      </w:r>
      <w:r w:rsidR="0077095C">
        <w:rPr>
          <w:rFonts w:eastAsia="TimesNewRomanPSMT" w:cs="Arial"/>
          <w:lang w:val="en-AU" w:eastAsia="en-GB"/>
        </w:rPr>
        <w:t>,</w:t>
      </w:r>
      <w:r w:rsidR="00833FAF">
        <w:rPr>
          <w:rFonts w:eastAsia="TimesNewRomanPSMT" w:cs="Arial"/>
          <w:lang w:val="en-AU" w:eastAsia="en-GB"/>
        </w:rPr>
        <w:t xml:space="preserve"> and </w:t>
      </w:r>
      <w:r w:rsidR="00BB1742">
        <w:rPr>
          <w:rFonts w:eastAsia="TimesNewRomanPSMT" w:cs="Arial"/>
          <w:lang w:val="en-AU" w:eastAsia="en-GB"/>
        </w:rPr>
        <w:t xml:space="preserve">J. </w:t>
      </w:r>
      <w:r w:rsidR="00833FAF">
        <w:rPr>
          <w:rFonts w:eastAsia="TimesNewRomanPSMT" w:cs="Arial"/>
          <w:lang w:val="en-AU" w:eastAsia="en-GB"/>
        </w:rPr>
        <w:t xml:space="preserve">Wakeling. </w:t>
      </w:r>
      <w:r w:rsidRPr="003D1CC3">
        <w:rPr>
          <w:rFonts w:eastAsia="TimesNewRomanPSMT" w:cs="Arial"/>
          <w:lang w:val="en-AU" w:eastAsia="en-GB"/>
        </w:rPr>
        <w:t>2006</w:t>
      </w:r>
      <w:r w:rsidR="00833FAF">
        <w:rPr>
          <w:rFonts w:eastAsia="TimesNewRomanPSMT" w:cs="Arial"/>
          <w:lang w:val="en-AU" w:eastAsia="en-GB"/>
        </w:rPr>
        <w:t>.</w:t>
      </w:r>
      <w:r w:rsidRPr="003D1CC3">
        <w:rPr>
          <w:rFonts w:eastAsia="TimesNewRomanPSMT" w:cs="Arial"/>
          <w:lang w:val="en-AU" w:eastAsia="en-GB"/>
        </w:rPr>
        <w:t xml:space="preserve"> Phylogenetics, biogeography and classification of, and character evolution in, gamebirds (Aves: Galliformes): effects of character exclusion, data partitioning and missing data. Cladistics 22</w:t>
      </w:r>
      <w:r w:rsidR="00833FAF">
        <w:rPr>
          <w:rFonts w:eastAsia="TimesNewRomanPSMT" w:cs="Arial"/>
          <w:lang w:val="en-AU" w:eastAsia="en-GB"/>
        </w:rPr>
        <w:t>:</w:t>
      </w:r>
      <w:r w:rsidRPr="003D1CC3">
        <w:rPr>
          <w:rFonts w:eastAsia="TimesNewRomanPSMT" w:cs="Arial"/>
          <w:lang w:val="en-AU" w:eastAsia="en-GB"/>
        </w:rPr>
        <w:t>495-532</w:t>
      </w:r>
      <w:r w:rsidR="00B67D24">
        <w:rPr>
          <w:rFonts w:eastAsia="TimesNewRomanPSMT" w:cs="Arial"/>
          <w:lang w:val="en-AU" w:eastAsia="en-GB"/>
        </w:rPr>
        <w:t>.</w:t>
      </w:r>
    </w:p>
    <w:p w14:paraId="0DDBDF98" w14:textId="77777777" w:rsidR="003D1CC3" w:rsidRPr="003D1CC3" w:rsidRDefault="003D1CC3" w:rsidP="003D1CC3">
      <w:pPr>
        <w:rPr>
          <w:rFonts w:eastAsia="TimesNewRomanPSMT" w:cs="Arial"/>
          <w:lang w:val="en-AU" w:eastAsia="en-GB"/>
        </w:rPr>
      </w:pPr>
      <w:r w:rsidRPr="003D1CC3">
        <w:rPr>
          <w:rFonts w:eastAsia="TimesNewRomanPSMT" w:cs="Arial"/>
          <w:lang w:val="en-AU" w:eastAsia="en-GB"/>
        </w:rPr>
        <w:t>Daigle, C.</w:t>
      </w:r>
      <w:r w:rsidR="0077095C">
        <w:rPr>
          <w:rFonts w:eastAsia="TimesNewRomanPSMT" w:cs="Arial"/>
          <w:lang w:val="en-AU" w:eastAsia="en-GB"/>
        </w:rPr>
        <w:t>,</w:t>
      </w:r>
      <w:r w:rsidRPr="003D1CC3">
        <w:rPr>
          <w:rFonts w:eastAsia="TimesNewRomanPSMT" w:cs="Arial"/>
          <w:lang w:val="en-AU" w:eastAsia="en-GB"/>
        </w:rPr>
        <w:t xml:space="preserve"> and J. Siegford. 2014. Welfare Quality</w:t>
      </w:r>
      <w:r w:rsidR="00833FAF">
        <w:rPr>
          <w:rFonts w:eastAsia="TimesNewRomanPSMT" w:cs="Arial"/>
          <w:lang w:val="en-AU" w:eastAsia="en-GB"/>
        </w:rPr>
        <w:t>®</w:t>
      </w:r>
      <w:r w:rsidRPr="003D1CC3">
        <w:rPr>
          <w:rFonts w:eastAsia="TimesNewRomanPSMT" w:cs="Arial"/>
          <w:lang w:val="en-AU" w:eastAsia="en-GB"/>
        </w:rPr>
        <w:t xml:space="preserve"> parameters do not always reflect hen behaviour across the lay cycle in non-cage laying hens. Animal Welfare 23:423-434. doi 10.7120/09627286.23.4.423</w:t>
      </w:r>
    </w:p>
    <w:p w14:paraId="471D8663" w14:textId="77777777" w:rsidR="003D1CC3" w:rsidRPr="003D1CC3" w:rsidRDefault="003D1CC3" w:rsidP="003D1CC3">
      <w:pPr>
        <w:rPr>
          <w:rFonts w:eastAsia="TimesNewRomanPSMT" w:cs="Arial"/>
          <w:lang w:val="en-AU" w:eastAsia="en-GB"/>
        </w:rPr>
      </w:pPr>
      <w:r w:rsidRPr="003D1CC3">
        <w:rPr>
          <w:rFonts w:eastAsia="TimesNewRomanPSMT" w:cs="Arial"/>
          <w:lang w:val="en-AU" w:eastAsia="en-GB"/>
        </w:rPr>
        <w:t>Green, T.C.</w:t>
      </w:r>
      <w:r w:rsidR="0077095C">
        <w:rPr>
          <w:rFonts w:eastAsia="TimesNewRomanPSMT" w:cs="Arial"/>
          <w:lang w:val="en-AU" w:eastAsia="en-GB"/>
        </w:rPr>
        <w:t>,</w:t>
      </w:r>
      <w:r w:rsidRPr="003D1CC3">
        <w:rPr>
          <w:rFonts w:eastAsia="TimesNewRomanPSMT" w:cs="Arial"/>
          <w:lang w:val="en-AU" w:eastAsia="en-GB"/>
        </w:rPr>
        <w:t xml:space="preserve"> and</w:t>
      </w:r>
      <w:r w:rsidR="00833FAF">
        <w:rPr>
          <w:rFonts w:eastAsia="TimesNewRomanPSMT" w:cs="Arial"/>
          <w:lang w:val="en-AU" w:eastAsia="en-GB"/>
        </w:rPr>
        <w:t xml:space="preserve"> </w:t>
      </w:r>
      <w:r w:rsidR="00BB1742">
        <w:rPr>
          <w:rFonts w:eastAsia="TimesNewRomanPSMT" w:cs="Arial"/>
          <w:lang w:val="en-AU" w:eastAsia="en-GB"/>
        </w:rPr>
        <w:t xml:space="preserve">D. J. </w:t>
      </w:r>
      <w:r w:rsidR="00833FAF">
        <w:rPr>
          <w:rFonts w:eastAsia="TimesNewRomanPSMT" w:cs="Arial"/>
          <w:lang w:val="en-AU" w:eastAsia="en-GB"/>
        </w:rPr>
        <w:t xml:space="preserve">Mellor. </w:t>
      </w:r>
      <w:r w:rsidRPr="003D1CC3">
        <w:rPr>
          <w:rFonts w:eastAsia="TimesNewRomanPSMT" w:cs="Arial"/>
          <w:lang w:val="en-AU" w:eastAsia="en-GB"/>
        </w:rPr>
        <w:t>2011</w:t>
      </w:r>
      <w:r w:rsidR="00833FAF">
        <w:rPr>
          <w:rFonts w:eastAsia="TimesNewRomanPSMT" w:cs="Arial"/>
          <w:lang w:val="en-AU" w:eastAsia="en-GB"/>
        </w:rPr>
        <w:t>.</w:t>
      </w:r>
      <w:r w:rsidRPr="003D1CC3">
        <w:rPr>
          <w:rFonts w:eastAsia="TimesNewRomanPSMT" w:cs="Arial"/>
          <w:lang w:val="en-AU" w:eastAsia="en-GB"/>
        </w:rPr>
        <w:t xml:space="preserve"> Extending ideas about animal welfare assessement to include ‘quality of life’ and related concepts. New Zealand Veterinary Journal 59</w:t>
      </w:r>
      <w:r w:rsidR="00833FAF">
        <w:rPr>
          <w:rFonts w:eastAsia="TimesNewRomanPSMT" w:cs="Arial"/>
          <w:lang w:val="en-AU" w:eastAsia="en-GB"/>
        </w:rPr>
        <w:t>:</w:t>
      </w:r>
      <w:r w:rsidRPr="003D1CC3">
        <w:rPr>
          <w:rFonts w:eastAsia="TimesNewRomanPSMT" w:cs="Arial"/>
          <w:lang w:val="en-AU" w:eastAsia="en-GB"/>
        </w:rPr>
        <w:t>263-271</w:t>
      </w:r>
      <w:r w:rsidR="00B67D24">
        <w:rPr>
          <w:rFonts w:eastAsia="TimesNewRomanPSMT" w:cs="Arial"/>
          <w:lang w:val="en-AU" w:eastAsia="en-GB"/>
        </w:rPr>
        <w:t>.</w:t>
      </w:r>
    </w:p>
    <w:p w14:paraId="52B95855" w14:textId="77777777" w:rsidR="003D1CC3" w:rsidRPr="003D1CC3" w:rsidRDefault="003D1CC3" w:rsidP="003D1CC3">
      <w:pPr>
        <w:rPr>
          <w:rFonts w:eastAsia="TimesNewRomanPSMT" w:cs="Arial"/>
          <w:lang w:val="en-AU" w:eastAsia="en-GB"/>
        </w:rPr>
      </w:pPr>
      <w:r w:rsidRPr="003D1CC3">
        <w:rPr>
          <w:rFonts w:eastAsia="TimesNewRomanPSMT" w:cs="Arial"/>
          <w:lang w:val="en-AU" w:eastAsia="en-GB"/>
        </w:rPr>
        <w:t xml:space="preserve">Hemsworth, P.H., </w:t>
      </w:r>
      <w:r w:rsidR="00BB1742">
        <w:rPr>
          <w:rFonts w:eastAsia="TimesNewRomanPSMT" w:cs="Arial"/>
          <w:lang w:val="en-AU" w:eastAsia="en-GB"/>
        </w:rPr>
        <w:t xml:space="preserve">D. J. </w:t>
      </w:r>
      <w:r w:rsidRPr="003D1CC3">
        <w:rPr>
          <w:rFonts w:eastAsia="TimesNewRomanPSMT" w:cs="Arial"/>
          <w:lang w:val="en-AU" w:eastAsia="en-GB"/>
        </w:rPr>
        <w:t xml:space="preserve">Mellor, </w:t>
      </w:r>
      <w:r w:rsidR="00BB1742">
        <w:rPr>
          <w:rFonts w:eastAsia="TimesNewRomanPSMT" w:cs="Arial"/>
          <w:lang w:val="en-AU" w:eastAsia="en-GB"/>
        </w:rPr>
        <w:t xml:space="preserve">G. M. </w:t>
      </w:r>
      <w:r w:rsidRPr="003D1CC3">
        <w:rPr>
          <w:rFonts w:eastAsia="TimesNewRomanPSMT" w:cs="Arial"/>
          <w:lang w:val="en-AU" w:eastAsia="en-GB"/>
        </w:rPr>
        <w:t>Cronin</w:t>
      </w:r>
      <w:r w:rsidR="0077095C">
        <w:rPr>
          <w:rFonts w:eastAsia="TimesNewRomanPSMT" w:cs="Arial"/>
          <w:lang w:val="en-AU" w:eastAsia="en-GB"/>
        </w:rPr>
        <w:t>,</w:t>
      </w:r>
      <w:r w:rsidRPr="003D1CC3">
        <w:rPr>
          <w:rFonts w:eastAsia="TimesNewRomanPSMT" w:cs="Arial"/>
          <w:lang w:val="en-AU" w:eastAsia="en-GB"/>
        </w:rPr>
        <w:t xml:space="preserve"> and </w:t>
      </w:r>
      <w:r w:rsidR="00BB1742">
        <w:rPr>
          <w:rFonts w:eastAsia="TimesNewRomanPSMT" w:cs="Arial"/>
          <w:lang w:val="en-AU" w:eastAsia="en-GB"/>
        </w:rPr>
        <w:t xml:space="preserve">A. J. </w:t>
      </w:r>
      <w:r w:rsidRPr="003D1CC3">
        <w:rPr>
          <w:rFonts w:eastAsia="TimesNewRomanPSMT" w:cs="Arial"/>
          <w:lang w:val="en-AU" w:eastAsia="en-GB"/>
        </w:rPr>
        <w:t>Tilbrook. 2015</w:t>
      </w:r>
      <w:r w:rsidR="00833FAF">
        <w:rPr>
          <w:rFonts w:eastAsia="TimesNewRomanPSMT" w:cs="Arial"/>
          <w:lang w:val="en-AU" w:eastAsia="en-GB"/>
        </w:rPr>
        <w:t>.</w:t>
      </w:r>
      <w:r w:rsidRPr="003D1CC3">
        <w:rPr>
          <w:rFonts w:eastAsia="TimesNewRomanPSMT" w:cs="Arial"/>
          <w:lang w:val="en-AU" w:eastAsia="en-GB"/>
        </w:rPr>
        <w:t xml:space="preserve"> Scientific assessment of animal welfare.</w:t>
      </w:r>
      <w:r w:rsidR="00B67D24">
        <w:rPr>
          <w:rFonts w:eastAsia="TimesNewRomanPSMT" w:cs="Arial"/>
          <w:lang w:val="en-AU" w:eastAsia="en-GB"/>
        </w:rPr>
        <w:t xml:space="preserve"> </w:t>
      </w:r>
      <w:r w:rsidRPr="003D1CC3">
        <w:rPr>
          <w:rFonts w:eastAsia="TimesNewRomanPSMT" w:cs="Arial"/>
          <w:lang w:val="en-AU" w:eastAsia="en-GB"/>
        </w:rPr>
        <w:t>New Zealand Veterinary Journal 63</w:t>
      </w:r>
      <w:r w:rsidR="00833FAF">
        <w:rPr>
          <w:rFonts w:eastAsia="TimesNewRomanPSMT" w:cs="Arial"/>
          <w:lang w:val="en-AU" w:eastAsia="en-GB"/>
        </w:rPr>
        <w:t>:</w:t>
      </w:r>
      <w:r w:rsidRPr="003D1CC3">
        <w:rPr>
          <w:rFonts w:eastAsia="TimesNewRomanPSMT" w:cs="Arial"/>
          <w:lang w:val="en-AU" w:eastAsia="en-GB"/>
        </w:rPr>
        <w:t>24-30</w:t>
      </w:r>
      <w:r w:rsidR="00B67D24">
        <w:rPr>
          <w:rFonts w:eastAsia="TimesNewRomanPSMT" w:cs="Arial"/>
          <w:lang w:val="en-AU" w:eastAsia="en-GB"/>
        </w:rPr>
        <w:t>.</w:t>
      </w:r>
    </w:p>
    <w:p w14:paraId="2B7EA2F3" w14:textId="77777777" w:rsidR="003D1CC3" w:rsidRPr="003D1CC3" w:rsidRDefault="00833FAF" w:rsidP="003D1CC3">
      <w:pPr>
        <w:rPr>
          <w:rFonts w:eastAsia="TimesNewRomanPSMT" w:cs="Arial"/>
          <w:lang w:val="en-AU" w:eastAsia="en-GB"/>
        </w:rPr>
      </w:pPr>
      <w:r>
        <w:rPr>
          <w:rFonts w:eastAsia="TimesNewRomanPSMT" w:cs="Arial"/>
          <w:lang w:val="en-AU" w:eastAsia="en-GB"/>
        </w:rPr>
        <w:t>Mason</w:t>
      </w:r>
      <w:r w:rsidR="00BB1742">
        <w:rPr>
          <w:rFonts w:eastAsia="TimesNewRomanPSMT" w:cs="Arial"/>
          <w:lang w:val="en-AU" w:eastAsia="en-GB"/>
        </w:rPr>
        <w:t>,</w:t>
      </w:r>
      <w:r>
        <w:rPr>
          <w:rFonts w:eastAsia="TimesNewRomanPSMT" w:cs="Arial"/>
          <w:lang w:val="en-AU" w:eastAsia="en-GB"/>
        </w:rPr>
        <w:t xml:space="preserve"> G.</w:t>
      </w:r>
      <w:r w:rsidR="0077095C">
        <w:rPr>
          <w:rFonts w:eastAsia="TimesNewRomanPSMT" w:cs="Arial"/>
          <w:lang w:val="en-AU" w:eastAsia="en-GB"/>
        </w:rPr>
        <w:t>,</w:t>
      </w:r>
      <w:r>
        <w:rPr>
          <w:rFonts w:eastAsia="TimesNewRomanPSMT" w:cs="Arial"/>
          <w:lang w:val="en-AU" w:eastAsia="en-GB"/>
        </w:rPr>
        <w:t xml:space="preserve"> and </w:t>
      </w:r>
      <w:r w:rsidR="00BB1742">
        <w:rPr>
          <w:rFonts w:eastAsia="TimesNewRomanPSMT" w:cs="Arial"/>
          <w:lang w:val="en-AU" w:eastAsia="en-GB"/>
        </w:rPr>
        <w:t xml:space="preserve">M. </w:t>
      </w:r>
      <w:r>
        <w:rPr>
          <w:rFonts w:eastAsia="TimesNewRomanPSMT" w:cs="Arial"/>
          <w:lang w:val="en-AU" w:eastAsia="en-GB"/>
        </w:rPr>
        <w:t>Mendl</w:t>
      </w:r>
      <w:r w:rsidR="00BB1742">
        <w:rPr>
          <w:rFonts w:eastAsia="TimesNewRomanPSMT" w:cs="Arial"/>
          <w:lang w:val="en-AU" w:eastAsia="en-GB"/>
        </w:rPr>
        <w:t>.</w:t>
      </w:r>
      <w:r>
        <w:rPr>
          <w:rFonts w:eastAsia="TimesNewRomanPSMT" w:cs="Arial"/>
          <w:lang w:val="en-AU" w:eastAsia="en-GB"/>
        </w:rPr>
        <w:t xml:space="preserve"> </w:t>
      </w:r>
      <w:r w:rsidR="003D1CC3" w:rsidRPr="003D1CC3">
        <w:rPr>
          <w:rFonts w:eastAsia="TimesNewRomanPSMT" w:cs="Arial"/>
          <w:lang w:val="en-AU" w:eastAsia="en-GB"/>
        </w:rPr>
        <w:t>1993</w:t>
      </w:r>
      <w:r>
        <w:rPr>
          <w:rFonts w:eastAsia="TimesNewRomanPSMT" w:cs="Arial"/>
          <w:lang w:val="en-AU" w:eastAsia="en-GB"/>
        </w:rPr>
        <w:t>.</w:t>
      </w:r>
      <w:r w:rsidR="003D1CC3" w:rsidRPr="003D1CC3">
        <w:rPr>
          <w:rFonts w:eastAsia="TimesNewRomanPSMT" w:cs="Arial"/>
          <w:lang w:val="en-AU" w:eastAsia="en-GB"/>
        </w:rPr>
        <w:t xml:space="preserve"> Why is there no simple way of measuring animal welfare? Animal Welfare 2</w:t>
      </w:r>
      <w:r w:rsidR="00B67D24">
        <w:rPr>
          <w:rFonts w:eastAsia="TimesNewRomanPSMT" w:cs="Arial"/>
          <w:lang w:val="en-AU" w:eastAsia="en-GB"/>
        </w:rPr>
        <w:t>:</w:t>
      </w:r>
      <w:r w:rsidR="003D1CC3" w:rsidRPr="003D1CC3">
        <w:rPr>
          <w:rFonts w:eastAsia="TimesNewRomanPSMT" w:cs="Arial"/>
          <w:lang w:val="en-AU" w:eastAsia="en-GB"/>
        </w:rPr>
        <w:t>301-319</w:t>
      </w:r>
      <w:r w:rsidR="00B67D24">
        <w:rPr>
          <w:rFonts w:eastAsia="TimesNewRomanPSMT" w:cs="Arial"/>
          <w:lang w:val="en-AU" w:eastAsia="en-GB"/>
        </w:rPr>
        <w:t>.</w:t>
      </w:r>
    </w:p>
    <w:p w14:paraId="343E1799" w14:textId="77777777" w:rsidR="003D1CC3" w:rsidRPr="003D1CC3" w:rsidRDefault="003D1CC3" w:rsidP="003D1CC3">
      <w:pPr>
        <w:rPr>
          <w:rFonts w:eastAsia="TimesNewRomanPSMT" w:cs="Arial"/>
          <w:lang w:val="en-AU" w:eastAsia="en-GB"/>
        </w:rPr>
      </w:pPr>
      <w:r w:rsidRPr="003D1CC3">
        <w:rPr>
          <w:rFonts w:eastAsia="TimesNewRomanPSMT" w:cs="Arial"/>
          <w:lang w:val="en-AU" w:eastAsia="en-GB"/>
        </w:rPr>
        <w:t>Me</w:t>
      </w:r>
      <w:r w:rsidR="00833FAF">
        <w:rPr>
          <w:rFonts w:eastAsia="TimesNewRomanPSMT" w:cs="Arial"/>
          <w:lang w:val="en-AU" w:eastAsia="en-GB"/>
        </w:rPr>
        <w:t>llor D.J.</w:t>
      </w:r>
      <w:r w:rsidR="0077095C">
        <w:rPr>
          <w:rFonts w:eastAsia="TimesNewRomanPSMT" w:cs="Arial"/>
          <w:lang w:val="en-AU" w:eastAsia="en-GB"/>
        </w:rPr>
        <w:t>,</w:t>
      </w:r>
      <w:r w:rsidR="00833FAF">
        <w:rPr>
          <w:rFonts w:eastAsia="TimesNewRomanPSMT" w:cs="Arial"/>
          <w:lang w:val="en-AU" w:eastAsia="en-GB"/>
        </w:rPr>
        <w:t xml:space="preserve"> and </w:t>
      </w:r>
      <w:r w:rsidR="009F01F8">
        <w:rPr>
          <w:rFonts w:eastAsia="TimesNewRomanPSMT" w:cs="Arial"/>
          <w:lang w:val="en-AU" w:eastAsia="en-GB"/>
        </w:rPr>
        <w:t xml:space="preserve">N. J. </w:t>
      </w:r>
      <w:r w:rsidR="00833FAF">
        <w:rPr>
          <w:rFonts w:eastAsia="TimesNewRomanPSMT" w:cs="Arial"/>
          <w:lang w:val="en-AU" w:eastAsia="en-GB"/>
        </w:rPr>
        <w:t xml:space="preserve">Beausoleil. </w:t>
      </w:r>
      <w:r w:rsidRPr="003D1CC3">
        <w:rPr>
          <w:rFonts w:eastAsia="TimesNewRomanPSMT" w:cs="Arial"/>
          <w:lang w:val="en-AU" w:eastAsia="en-GB"/>
        </w:rPr>
        <w:t>2015</w:t>
      </w:r>
      <w:r w:rsidR="00833FAF">
        <w:rPr>
          <w:rFonts w:eastAsia="TimesNewRomanPSMT" w:cs="Arial"/>
          <w:lang w:val="en-AU" w:eastAsia="en-GB"/>
        </w:rPr>
        <w:t>.</w:t>
      </w:r>
      <w:r w:rsidRPr="003D1CC3">
        <w:rPr>
          <w:rFonts w:eastAsia="TimesNewRomanPSMT" w:cs="Arial"/>
          <w:lang w:val="en-AU" w:eastAsia="en-GB"/>
        </w:rPr>
        <w:t xml:space="preserve"> Extending the ‘Five Domains’ model for animal welfare assessment to incorporate positive welfare states. Animal Welfare 24</w:t>
      </w:r>
      <w:r w:rsidR="00833FAF">
        <w:rPr>
          <w:rFonts w:eastAsia="TimesNewRomanPSMT" w:cs="Arial"/>
          <w:lang w:val="en-AU" w:eastAsia="en-GB"/>
        </w:rPr>
        <w:t>:</w:t>
      </w:r>
      <w:r w:rsidRPr="003D1CC3">
        <w:rPr>
          <w:rFonts w:eastAsia="TimesNewRomanPSMT" w:cs="Arial"/>
          <w:lang w:val="en-AU" w:eastAsia="en-GB"/>
        </w:rPr>
        <w:t>241-253</w:t>
      </w:r>
      <w:r w:rsidR="00B67D24">
        <w:rPr>
          <w:rFonts w:eastAsia="TimesNewRomanPSMT" w:cs="Arial"/>
          <w:lang w:val="en-AU" w:eastAsia="en-GB"/>
        </w:rPr>
        <w:t>.</w:t>
      </w:r>
    </w:p>
    <w:p w14:paraId="4D1C21D2" w14:textId="77777777" w:rsidR="003D1CC3" w:rsidRPr="003D1CC3" w:rsidRDefault="003D1CC3" w:rsidP="003D1CC3">
      <w:pPr>
        <w:rPr>
          <w:rFonts w:eastAsia="TimesNewRomanPSMT" w:cs="Arial"/>
          <w:lang w:val="en-AU" w:eastAsia="en-GB"/>
        </w:rPr>
      </w:pPr>
      <w:r w:rsidRPr="003D1CC3">
        <w:rPr>
          <w:rFonts w:eastAsia="TimesNewRomanPSMT" w:cs="Arial"/>
          <w:lang w:val="en-AU" w:eastAsia="en-GB"/>
        </w:rPr>
        <w:t xml:space="preserve">Mendl, M., </w:t>
      </w:r>
      <w:r w:rsidR="009F01F8">
        <w:rPr>
          <w:rFonts w:eastAsia="TimesNewRomanPSMT" w:cs="Arial"/>
          <w:lang w:val="en-AU" w:eastAsia="en-GB"/>
        </w:rPr>
        <w:t xml:space="preserve">O. H. P. </w:t>
      </w:r>
      <w:r w:rsidR="00B67D24">
        <w:rPr>
          <w:rFonts w:eastAsia="TimesNewRomanPSMT" w:cs="Arial"/>
          <w:lang w:val="en-AU" w:eastAsia="en-GB"/>
        </w:rPr>
        <w:t>Burman</w:t>
      </w:r>
      <w:r w:rsidR="0077095C">
        <w:rPr>
          <w:rFonts w:eastAsia="TimesNewRomanPSMT" w:cs="Arial"/>
          <w:lang w:val="en-AU" w:eastAsia="en-GB"/>
        </w:rPr>
        <w:t>,</w:t>
      </w:r>
      <w:r w:rsidR="00B67D24">
        <w:rPr>
          <w:rFonts w:eastAsia="TimesNewRomanPSMT" w:cs="Arial"/>
          <w:lang w:val="en-AU" w:eastAsia="en-GB"/>
        </w:rPr>
        <w:t xml:space="preserve"> </w:t>
      </w:r>
      <w:r w:rsidR="00833FAF">
        <w:rPr>
          <w:rFonts w:eastAsia="TimesNewRomanPSMT" w:cs="Arial"/>
          <w:lang w:val="en-AU" w:eastAsia="en-GB"/>
        </w:rPr>
        <w:t xml:space="preserve">and </w:t>
      </w:r>
      <w:r w:rsidR="009F01F8">
        <w:rPr>
          <w:rFonts w:eastAsia="TimesNewRomanPSMT" w:cs="Arial"/>
          <w:lang w:val="en-AU" w:eastAsia="en-GB"/>
        </w:rPr>
        <w:t xml:space="preserve">E. S. </w:t>
      </w:r>
      <w:r w:rsidR="00833FAF">
        <w:rPr>
          <w:rFonts w:eastAsia="TimesNewRomanPSMT" w:cs="Arial"/>
          <w:lang w:val="en-AU" w:eastAsia="en-GB"/>
        </w:rPr>
        <w:t xml:space="preserve">Paul. </w:t>
      </w:r>
      <w:r w:rsidRPr="003D1CC3">
        <w:rPr>
          <w:rFonts w:eastAsia="TimesNewRomanPSMT" w:cs="Arial"/>
          <w:lang w:val="en-AU" w:eastAsia="en-GB"/>
        </w:rPr>
        <w:t>2010</w:t>
      </w:r>
      <w:r w:rsidR="00833FAF">
        <w:rPr>
          <w:rFonts w:eastAsia="TimesNewRomanPSMT" w:cs="Arial"/>
          <w:lang w:val="en-AU" w:eastAsia="en-GB"/>
        </w:rPr>
        <w:t>.</w:t>
      </w:r>
      <w:r w:rsidRPr="003D1CC3">
        <w:rPr>
          <w:rFonts w:eastAsia="TimesNewRomanPSMT" w:cs="Arial"/>
          <w:lang w:val="en-AU" w:eastAsia="en-GB"/>
        </w:rPr>
        <w:t xml:space="preserve"> An integrative and functional framework for the study of animal emotion and mood. Proceedings of the Royal Society B – Biological Sciences 277</w:t>
      </w:r>
      <w:r w:rsidR="00B67D24">
        <w:rPr>
          <w:rFonts w:eastAsia="TimesNewRomanPSMT" w:cs="Arial"/>
          <w:lang w:val="en-AU" w:eastAsia="en-GB"/>
        </w:rPr>
        <w:t>:</w:t>
      </w:r>
      <w:r w:rsidRPr="003D1CC3">
        <w:rPr>
          <w:rFonts w:eastAsia="TimesNewRomanPSMT" w:cs="Arial"/>
          <w:lang w:val="en-AU" w:eastAsia="en-GB"/>
        </w:rPr>
        <w:t>2895-2904</w:t>
      </w:r>
      <w:r w:rsidR="00B67D24">
        <w:rPr>
          <w:rFonts w:eastAsia="TimesNewRomanPSMT" w:cs="Arial"/>
          <w:lang w:val="en-AU" w:eastAsia="en-GB"/>
        </w:rPr>
        <w:t>.</w:t>
      </w:r>
    </w:p>
    <w:p w14:paraId="4B4A5BF1" w14:textId="77777777" w:rsidR="003D1CC3" w:rsidRPr="003D1CC3" w:rsidRDefault="003D1CC3" w:rsidP="003D1CC3">
      <w:pPr>
        <w:rPr>
          <w:rFonts w:eastAsia="TimesNewRomanPSMT" w:cs="Arial"/>
          <w:lang w:val="en-AU" w:eastAsia="en-GB"/>
        </w:rPr>
      </w:pPr>
      <w:r w:rsidRPr="003D1CC3">
        <w:rPr>
          <w:rFonts w:eastAsia="TimesNewRomanPSMT" w:cs="Arial"/>
          <w:lang w:val="en-AU" w:eastAsia="en-GB"/>
        </w:rPr>
        <w:t>Nicol, C.</w:t>
      </w:r>
      <w:r w:rsidR="009F01F8">
        <w:rPr>
          <w:rFonts w:eastAsia="TimesNewRomanPSMT" w:cs="Arial"/>
          <w:lang w:val="en-AU" w:eastAsia="en-GB"/>
        </w:rPr>
        <w:t xml:space="preserve"> </w:t>
      </w:r>
      <w:r w:rsidRPr="003D1CC3">
        <w:rPr>
          <w:rFonts w:eastAsia="TimesNewRomanPSMT" w:cs="Arial"/>
          <w:lang w:val="en-AU" w:eastAsia="en-GB"/>
        </w:rPr>
        <w:t xml:space="preserve">J., </w:t>
      </w:r>
      <w:r w:rsidR="009F01F8">
        <w:rPr>
          <w:rFonts w:eastAsia="TimesNewRomanPSMT" w:cs="Arial"/>
          <w:lang w:val="en-AU" w:eastAsia="en-GB"/>
        </w:rPr>
        <w:t xml:space="preserve">G. </w:t>
      </w:r>
      <w:r w:rsidRPr="003D1CC3">
        <w:rPr>
          <w:rFonts w:eastAsia="TimesNewRomanPSMT" w:cs="Arial"/>
          <w:lang w:val="en-AU" w:eastAsia="en-GB"/>
        </w:rPr>
        <w:t>Caplen,</w:t>
      </w:r>
      <w:r w:rsidR="009F01F8">
        <w:rPr>
          <w:rFonts w:eastAsia="TimesNewRomanPSMT" w:cs="Arial"/>
          <w:lang w:val="en-AU" w:eastAsia="en-GB"/>
        </w:rPr>
        <w:t xml:space="preserve"> J. Edgar</w:t>
      </w:r>
      <w:r w:rsidR="0077095C">
        <w:rPr>
          <w:rFonts w:eastAsia="TimesNewRomanPSMT" w:cs="Arial"/>
          <w:lang w:val="en-AU" w:eastAsia="en-GB"/>
        </w:rPr>
        <w:t>,</w:t>
      </w:r>
      <w:r w:rsidR="009F01F8">
        <w:rPr>
          <w:rFonts w:eastAsia="TimesNewRomanPSMT" w:cs="Arial"/>
          <w:lang w:val="en-AU" w:eastAsia="en-GB"/>
        </w:rPr>
        <w:t xml:space="preserve"> and</w:t>
      </w:r>
      <w:r w:rsidRPr="003D1CC3">
        <w:rPr>
          <w:rFonts w:eastAsia="TimesNewRomanPSMT" w:cs="Arial"/>
          <w:lang w:val="en-AU" w:eastAsia="en-GB"/>
        </w:rPr>
        <w:t xml:space="preserve"> </w:t>
      </w:r>
      <w:r w:rsidR="009F01F8">
        <w:rPr>
          <w:rFonts w:eastAsia="TimesNewRomanPSMT" w:cs="Arial"/>
          <w:lang w:val="en-AU" w:eastAsia="en-GB"/>
        </w:rPr>
        <w:t xml:space="preserve">W. J. </w:t>
      </w:r>
      <w:r w:rsidRPr="003D1CC3">
        <w:rPr>
          <w:rFonts w:eastAsia="TimesNewRomanPSMT" w:cs="Arial"/>
          <w:lang w:val="en-AU" w:eastAsia="en-GB"/>
        </w:rPr>
        <w:t>Browne</w:t>
      </w:r>
      <w:r w:rsidR="009F01F8">
        <w:rPr>
          <w:rFonts w:eastAsia="TimesNewRomanPSMT" w:cs="Arial"/>
          <w:lang w:val="en-AU" w:eastAsia="en-GB"/>
        </w:rPr>
        <w:t>.</w:t>
      </w:r>
      <w:r w:rsidR="00952039">
        <w:rPr>
          <w:rFonts w:eastAsia="TimesNewRomanPSMT" w:cs="Arial"/>
          <w:lang w:val="en-AU" w:eastAsia="en-GB"/>
        </w:rPr>
        <w:t xml:space="preserve"> 2009</w:t>
      </w:r>
      <w:r w:rsidRPr="003D1CC3">
        <w:rPr>
          <w:rFonts w:eastAsia="TimesNewRomanPSMT" w:cs="Arial"/>
          <w:lang w:val="en-AU" w:eastAsia="en-GB"/>
        </w:rPr>
        <w:t>. Associations between welfare indicators and environmental choice in laying hens. Animal Behaviour 78</w:t>
      </w:r>
      <w:r w:rsidR="00833FAF">
        <w:rPr>
          <w:rFonts w:eastAsia="TimesNewRomanPSMT" w:cs="Arial"/>
          <w:lang w:val="en-AU" w:eastAsia="en-GB"/>
        </w:rPr>
        <w:t>:</w:t>
      </w:r>
      <w:r w:rsidRPr="003D1CC3">
        <w:rPr>
          <w:rFonts w:eastAsia="TimesNewRomanPSMT" w:cs="Arial"/>
          <w:lang w:val="en-AU" w:eastAsia="en-GB"/>
        </w:rPr>
        <w:t>413-424.</w:t>
      </w:r>
    </w:p>
    <w:p w14:paraId="7EB6008B" w14:textId="77777777" w:rsidR="003D1CC3" w:rsidRPr="003D1CC3" w:rsidRDefault="003D1CC3" w:rsidP="003D1CC3">
      <w:pPr>
        <w:rPr>
          <w:rFonts w:eastAsia="TimesNewRomanPSMT" w:cs="Arial"/>
          <w:lang w:val="en-AU" w:eastAsia="en-GB"/>
        </w:rPr>
      </w:pPr>
      <w:r w:rsidRPr="003D1CC3">
        <w:rPr>
          <w:rFonts w:eastAsia="TimesNewRomanPSMT" w:cs="Arial"/>
          <w:lang w:val="en-AU" w:eastAsia="en-GB"/>
        </w:rPr>
        <w:t>Nicol, C. J., G. Caplen, J. Edgar, G. Richards</w:t>
      </w:r>
      <w:r w:rsidR="0077095C">
        <w:rPr>
          <w:rFonts w:eastAsia="TimesNewRomanPSMT" w:cs="Arial"/>
          <w:lang w:val="en-AU" w:eastAsia="en-GB"/>
        </w:rPr>
        <w:t>,</w:t>
      </w:r>
      <w:r w:rsidRPr="003D1CC3">
        <w:rPr>
          <w:rFonts w:eastAsia="TimesNewRomanPSMT" w:cs="Arial"/>
          <w:lang w:val="en-AU" w:eastAsia="en-GB"/>
        </w:rPr>
        <w:t xml:space="preserve"> and W. J. Browne. 2011. Relationships between multiple welfare indicators measured in individual chickens across different time periods and environme</w:t>
      </w:r>
      <w:r w:rsidR="002271AF">
        <w:rPr>
          <w:rFonts w:eastAsia="TimesNewRomanPSMT" w:cs="Arial"/>
          <w:lang w:val="en-AU" w:eastAsia="en-GB"/>
        </w:rPr>
        <w:t>nts. Animal Welfare 20:133-143.</w:t>
      </w:r>
    </w:p>
    <w:p w14:paraId="273FC617" w14:textId="77777777" w:rsidR="003D1CC3" w:rsidRDefault="003D1CC3" w:rsidP="003D1CC3">
      <w:pPr>
        <w:rPr>
          <w:rFonts w:eastAsia="TimesNewRomanPSMT" w:cs="Arial"/>
          <w:lang w:val="en-AU" w:eastAsia="en-GB"/>
        </w:rPr>
      </w:pPr>
      <w:r w:rsidRPr="003D1CC3">
        <w:rPr>
          <w:rFonts w:eastAsia="TimesNewRomanPSMT" w:cs="Arial"/>
          <w:lang w:val="en-AU" w:eastAsia="en-GB"/>
        </w:rPr>
        <w:t xml:space="preserve">Prum, R.O., </w:t>
      </w:r>
      <w:r w:rsidR="009F01F8">
        <w:rPr>
          <w:rFonts w:eastAsia="TimesNewRomanPSMT" w:cs="Arial"/>
          <w:lang w:val="en-AU" w:eastAsia="en-GB"/>
        </w:rPr>
        <w:t xml:space="preserve">J. S. </w:t>
      </w:r>
      <w:r w:rsidRPr="003D1CC3">
        <w:rPr>
          <w:rFonts w:eastAsia="TimesNewRomanPSMT" w:cs="Arial"/>
          <w:lang w:val="en-AU" w:eastAsia="en-GB"/>
        </w:rPr>
        <w:t xml:space="preserve">Berv, </w:t>
      </w:r>
      <w:r w:rsidR="009F01F8">
        <w:rPr>
          <w:rFonts w:eastAsia="TimesNewRomanPSMT" w:cs="Arial"/>
          <w:lang w:val="en-AU" w:eastAsia="en-GB"/>
        </w:rPr>
        <w:t xml:space="preserve">A. </w:t>
      </w:r>
      <w:r w:rsidRPr="003D1CC3">
        <w:rPr>
          <w:rFonts w:eastAsia="TimesNewRomanPSMT" w:cs="Arial"/>
          <w:lang w:val="en-AU" w:eastAsia="en-GB"/>
        </w:rPr>
        <w:t xml:space="preserve">Domburg, </w:t>
      </w:r>
      <w:r w:rsidR="009F01F8">
        <w:rPr>
          <w:rFonts w:eastAsia="TimesNewRomanPSMT" w:cs="Arial"/>
          <w:lang w:val="en-AU" w:eastAsia="en-GB"/>
        </w:rPr>
        <w:t xml:space="preserve">D. J. </w:t>
      </w:r>
      <w:r w:rsidRPr="003D1CC3">
        <w:rPr>
          <w:rFonts w:eastAsia="TimesNewRomanPSMT" w:cs="Arial"/>
          <w:lang w:val="en-AU" w:eastAsia="en-GB"/>
        </w:rPr>
        <w:t xml:space="preserve">Field, </w:t>
      </w:r>
      <w:r w:rsidR="009F01F8">
        <w:rPr>
          <w:rFonts w:eastAsia="TimesNewRomanPSMT" w:cs="Arial"/>
          <w:lang w:val="en-AU" w:eastAsia="en-GB"/>
        </w:rPr>
        <w:t xml:space="preserve">J. P. </w:t>
      </w:r>
      <w:r w:rsidRPr="003D1CC3">
        <w:rPr>
          <w:rFonts w:eastAsia="TimesNewRomanPSMT" w:cs="Arial"/>
          <w:lang w:val="en-AU" w:eastAsia="en-GB"/>
        </w:rPr>
        <w:t xml:space="preserve">Townsend, </w:t>
      </w:r>
      <w:r w:rsidR="009F01F8">
        <w:rPr>
          <w:rFonts w:eastAsia="TimesNewRomanPSMT" w:cs="Arial"/>
          <w:lang w:val="en-AU" w:eastAsia="en-GB"/>
        </w:rPr>
        <w:t>E. M.</w:t>
      </w:r>
      <w:r w:rsidRPr="003D1CC3">
        <w:rPr>
          <w:rFonts w:eastAsia="TimesNewRomanPSMT" w:cs="Arial"/>
          <w:lang w:val="en-AU" w:eastAsia="en-GB"/>
        </w:rPr>
        <w:t xml:space="preserve"> Lemmon</w:t>
      </w:r>
      <w:r w:rsidR="0077095C">
        <w:rPr>
          <w:rFonts w:eastAsia="TimesNewRomanPSMT" w:cs="Arial"/>
          <w:lang w:val="en-AU" w:eastAsia="en-GB"/>
        </w:rPr>
        <w:t>,</w:t>
      </w:r>
      <w:r w:rsidR="009F01F8">
        <w:rPr>
          <w:rFonts w:eastAsia="TimesNewRomanPSMT" w:cs="Arial"/>
          <w:lang w:val="en-AU" w:eastAsia="en-GB"/>
        </w:rPr>
        <w:t xml:space="preserve"> and A. R.</w:t>
      </w:r>
      <w:r w:rsidRPr="003D1CC3">
        <w:rPr>
          <w:rFonts w:eastAsia="TimesNewRomanPSMT" w:cs="Arial"/>
          <w:lang w:val="en-AU" w:eastAsia="en-GB"/>
        </w:rPr>
        <w:t xml:space="preserve"> L</w:t>
      </w:r>
      <w:r w:rsidR="00833FAF">
        <w:rPr>
          <w:rFonts w:eastAsia="TimesNewRomanPSMT" w:cs="Arial"/>
          <w:lang w:val="en-AU" w:eastAsia="en-GB"/>
        </w:rPr>
        <w:t>emmon</w:t>
      </w:r>
      <w:r w:rsidR="009F01F8">
        <w:rPr>
          <w:rFonts w:eastAsia="TimesNewRomanPSMT" w:cs="Arial"/>
          <w:lang w:val="en-AU" w:eastAsia="en-GB"/>
        </w:rPr>
        <w:t>.</w:t>
      </w:r>
      <w:r w:rsidR="00833FAF">
        <w:rPr>
          <w:rFonts w:eastAsia="TimesNewRomanPSMT" w:cs="Arial"/>
          <w:lang w:val="en-AU" w:eastAsia="en-GB"/>
        </w:rPr>
        <w:t xml:space="preserve"> </w:t>
      </w:r>
      <w:r w:rsidRPr="003D1CC3">
        <w:rPr>
          <w:rFonts w:eastAsia="TimesNewRomanPSMT" w:cs="Arial"/>
          <w:lang w:val="en-AU" w:eastAsia="en-GB"/>
        </w:rPr>
        <w:t>2015</w:t>
      </w:r>
      <w:r w:rsidR="00833FAF">
        <w:rPr>
          <w:rFonts w:eastAsia="TimesNewRomanPSMT" w:cs="Arial"/>
          <w:lang w:val="en-AU" w:eastAsia="en-GB"/>
        </w:rPr>
        <w:t>.</w:t>
      </w:r>
      <w:r w:rsidRPr="003D1CC3">
        <w:rPr>
          <w:rFonts w:eastAsia="TimesNewRomanPSMT" w:cs="Arial"/>
          <w:lang w:val="en-AU" w:eastAsia="en-GB"/>
        </w:rPr>
        <w:t xml:space="preserve"> A comprehensive phylogeny of birds (Aves) using targeted next-generation DNA sequencing. Nature 526</w:t>
      </w:r>
      <w:r w:rsidR="00833FAF">
        <w:rPr>
          <w:rFonts w:eastAsia="TimesNewRomanPSMT" w:cs="Arial"/>
          <w:lang w:val="en-AU" w:eastAsia="en-GB"/>
        </w:rPr>
        <w:t>:</w:t>
      </w:r>
      <w:r w:rsidRPr="003D1CC3">
        <w:rPr>
          <w:rFonts w:eastAsia="TimesNewRomanPSMT" w:cs="Arial"/>
          <w:lang w:val="en-AU" w:eastAsia="en-GB"/>
        </w:rPr>
        <w:t>569-573</w:t>
      </w:r>
      <w:r w:rsidR="00B67D24">
        <w:rPr>
          <w:rFonts w:eastAsia="TimesNewRomanPSMT" w:cs="Arial"/>
          <w:lang w:val="en-AU" w:eastAsia="en-GB"/>
        </w:rPr>
        <w:t>.</w:t>
      </w:r>
    </w:p>
    <w:p w14:paraId="549F21EB" w14:textId="77777777" w:rsidR="003D1CC3" w:rsidRDefault="003D1CC3" w:rsidP="00C44199">
      <w:pPr>
        <w:rPr>
          <w:rFonts w:eastAsia="TimesNewRomanPSMT" w:cs="Arial"/>
          <w:lang w:val="en-AU" w:eastAsia="en-GB"/>
        </w:rPr>
      </w:pPr>
    </w:p>
    <w:p w14:paraId="77E50BBC" w14:textId="77777777" w:rsidR="00286A88" w:rsidRPr="00286A88" w:rsidRDefault="002C5442" w:rsidP="002C5442">
      <w:pPr>
        <w:pStyle w:val="Heading1"/>
        <w:rPr>
          <w:lang w:val="en-AU" w:eastAsia="en-AU"/>
        </w:rPr>
      </w:pPr>
      <w:r>
        <w:rPr>
          <w:rFonts w:eastAsia="TimesNewRomanPSMT" w:cs="Arial"/>
          <w:lang w:val="en-AU" w:eastAsia="en-GB"/>
        </w:rPr>
        <w:br w:type="column"/>
      </w:r>
      <w:bookmarkStart w:id="15" w:name="_Toc495310485"/>
      <w:r w:rsidR="00286A88" w:rsidRPr="00286A88">
        <w:rPr>
          <w:lang w:val="en-AU" w:eastAsia="en-AU"/>
        </w:rPr>
        <w:t>Laying Hens</w:t>
      </w:r>
      <w:bookmarkEnd w:id="15"/>
    </w:p>
    <w:p w14:paraId="2900238F" w14:textId="77777777" w:rsidR="00286A88" w:rsidRPr="00286A88" w:rsidRDefault="00286A88" w:rsidP="002C5442">
      <w:pPr>
        <w:pStyle w:val="Heading2"/>
        <w:rPr>
          <w:lang w:val="en-AU" w:eastAsia="en-AU"/>
        </w:rPr>
      </w:pPr>
      <w:bookmarkStart w:id="16" w:name="_Toc495310486"/>
      <w:r w:rsidRPr="00286A88">
        <w:rPr>
          <w:lang w:val="en-AU" w:eastAsia="en-AU"/>
        </w:rPr>
        <w:t>LH1. Introduction</w:t>
      </w:r>
      <w:bookmarkEnd w:id="16"/>
    </w:p>
    <w:p w14:paraId="0560ECF6" w14:textId="77777777" w:rsidR="00286A88" w:rsidRPr="00286A88" w:rsidRDefault="00286A88" w:rsidP="002C5442">
      <w:pPr>
        <w:rPr>
          <w:rFonts w:cs="Times New Roman"/>
          <w:color w:val="auto"/>
          <w:lang w:val="en-AU" w:eastAsia="en-AU"/>
        </w:rPr>
      </w:pPr>
      <w:r w:rsidRPr="00286A88">
        <w:rPr>
          <w:lang w:val="en-AU" w:eastAsia="en-AU"/>
        </w:rPr>
        <w:t xml:space="preserve">Laying hens are a specialised group of domesticated chickens. Chickens were first domesticated in Southeast Asia, with multiple origins from different Asian </w:t>
      </w:r>
      <w:r w:rsidR="0001061E">
        <w:rPr>
          <w:lang w:val="en-AU" w:eastAsia="en-AU"/>
        </w:rPr>
        <w:t>Red Junglefowl</w:t>
      </w:r>
      <w:r w:rsidRPr="00286A88">
        <w:rPr>
          <w:lang w:val="en-AU" w:eastAsia="en-AU"/>
        </w:rPr>
        <w:t xml:space="preserve"> subspecies. Chickens were probably not kept at first for their eggs, but in the late 19</w:t>
      </w:r>
      <w:r w:rsidRPr="00286A88">
        <w:rPr>
          <w:vertAlign w:val="superscript"/>
          <w:lang w:val="en-AU" w:eastAsia="en-AU"/>
        </w:rPr>
        <w:t>th</w:t>
      </w:r>
      <w:r w:rsidRPr="00286A88">
        <w:rPr>
          <w:lang w:val="en-AU" w:eastAsia="en-AU"/>
        </w:rPr>
        <w:t xml:space="preserve"> and early 20</w:t>
      </w:r>
      <w:r w:rsidRPr="00286A88">
        <w:rPr>
          <w:vertAlign w:val="superscript"/>
          <w:lang w:val="en-AU" w:eastAsia="en-AU"/>
        </w:rPr>
        <w:t>th</w:t>
      </w:r>
      <w:r w:rsidRPr="00286A88">
        <w:rPr>
          <w:lang w:val="en-AU" w:eastAsia="en-AU"/>
        </w:rPr>
        <w:t xml:space="preserve"> century divergent selection for meat and egg-laying strains heralded the appearance of modern meat (broiler) and layer strains, with bodily resources primarily allocated either to growth or reproduction. Modern strains of </w:t>
      </w:r>
      <w:r w:rsidRPr="00286A88">
        <w:rPr>
          <w:rFonts w:cs="Times New Roman"/>
          <w:color w:val="auto"/>
          <w:lang w:val="en-AU" w:eastAsia="en-AU"/>
        </w:rPr>
        <w:t>laying hens can be housed in a wide variety of systems. These are briefly described here.</w:t>
      </w:r>
    </w:p>
    <w:p w14:paraId="726F3BD5" w14:textId="77777777" w:rsidR="00286A88" w:rsidRPr="00286A88" w:rsidRDefault="00286A88" w:rsidP="002C5442">
      <w:pPr>
        <w:pStyle w:val="Heading3"/>
        <w:rPr>
          <w:lang w:val="en-AU" w:eastAsia="en-AU"/>
        </w:rPr>
      </w:pPr>
      <w:bookmarkStart w:id="17" w:name="_Toc495310487"/>
      <w:r w:rsidRPr="00286A88">
        <w:rPr>
          <w:lang w:val="en-AU" w:eastAsia="en-AU"/>
        </w:rPr>
        <w:t>LH1.1 Rearing systems</w:t>
      </w:r>
      <w:bookmarkEnd w:id="17"/>
    </w:p>
    <w:p w14:paraId="30574980" w14:textId="77777777" w:rsidR="00286A88" w:rsidRPr="00286A88" w:rsidRDefault="00286A88" w:rsidP="002C5442">
      <w:pPr>
        <w:rPr>
          <w:lang w:val="en-AU" w:eastAsia="en-AU"/>
        </w:rPr>
      </w:pPr>
      <w:r w:rsidRPr="00286A88">
        <w:rPr>
          <w:lang w:val="en-AU" w:eastAsia="en-AU"/>
        </w:rPr>
        <w:t>Pullets destined for egg production can be reared in cage or in non-cage systems. Rearing cages generally provide no enrichment, and differ from conventional cages mainly in having a flat rather than a sloping floor. By the end of the growing period, birds are tightly stocked at space allowances of approximately 300 cm</w:t>
      </w:r>
      <w:r w:rsidRPr="00286A88">
        <w:rPr>
          <w:vertAlign w:val="superscript"/>
          <w:lang w:val="en-AU" w:eastAsia="en-AU"/>
        </w:rPr>
        <w:t>2</w:t>
      </w:r>
      <w:r w:rsidRPr="00286A88">
        <w:rPr>
          <w:lang w:val="en-AU" w:eastAsia="en-AU"/>
        </w:rPr>
        <w:t>/bird. Cage systems are the most commonly used rearing method in many countries of the world but problems can arise if cage-reared birds are moved to non-cage systems (Janczak and Riber, 2015). In Europe, many pullets are reared in non-cage systems, most commonly in floor systems (as for broilers). Until recently, floor systems did not provide any tiers or perches. Practice is now changing as it is increasingly appreciated that experience with such furniture can help ease the transition between rearing and laying environments and reduce problems such as smothering, floor laying and injurious pecking (Janczak and Riber, 2015; see also section LH5.3). More recently, fully tiered rearing aviaries have been developed. In these systems, day-old chicks are confined for the first few weeks of life in warm central and lower tiers, then released at approximately 4 weeks of age to move freely within the aviary system and make use of a littered floor area.</w:t>
      </w:r>
    </w:p>
    <w:p w14:paraId="1FAB755D" w14:textId="77777777" w:rsidR="00286A88" w:rsidRPr="002C5442" w:rsidRDefault="00286A88" w:rsidP="002C5442">
      <w:pPr>
        <w:pStyle w:val="Heading3"/>
      </w:pPr>
      <w:bookmarkStart w:id="18" w:name="_Toc495310488"/>
      <w:r w:rsidRPr="002C5442">
        <w:t>LH1.2 Conventional cages (CC)</w:t>
      </w:r>
      <w:bookmarkEnd w:id="18"/>
    </w:p>
    <w:p w14:paraId="0FC23DAA" w14:textId="77777777" w:rsidR="00286A88" w:rsidRPr="00286A88" w:rsidRDefault="00286A88" w:rsidP="002C5442">
      <w:pPr>
        <w:rPr>
          <w:lang w:val="en-AU" w:eastAsia="en-AU"/>
        </w:rPr>
      </w:pPr>
      <w:r w:rsidRPr="00286A88">
        <w:rPr>
          <w:lang w:val="en-AU" w:eastAsia="en-AU"/>
        </w:rPr>
        <w:t xml:space="preserve">This system developed in the middle of the last century to reduce contact of the bird with its faeces and thereby improve hygiene and reduce parasitic diseases and mortality. It largely replaced mobile housing where both birds and stockmen were often exposed to cold, wet, muddy conditions. Initially cages housed birds singly and were often simple wire and wooden structures of the type which may still be found today in China, Africa and Asia in particular. Now, 3-6 birds per cage and vertical or sloping tiers up to 7 or 8 high are usual with tens of thousands of birds per house commonplace. Over time, to reduce costs, cage sizes decreased and number of hens per cage increased. </w:t>
      </w:r>
      <w:r w:rsidRPr="00286A88">
        <w:rPr>
          <w:color w:val="000000"/>
          <w:lang w:val="en-AU" w:eastAsia="en-AU"/>
        </w:rPr>
        <w:t>A minimum legal space allowance of 450 cm</w:t>
      </w:r>
      <w:r w:rsidRPr="00286A88">
        <w:rPr>
          <w:color w:val="000000"/>
          <w:vertAlign w:val="superscript"/>
          <w:lang w:val="en-AU" w:eastAsia="en-AU"/>
        </w:rPr>
        <w:t>2</w:t>
      </w:r>
      <w:r w:rsidRPr="00286A88">
        <w:rPr>
          <w:color w:val="000000"/>
          <w:lang w:val="en-AU" w:eastAsia="en-AU"/>
        </w:rPr>
        <w:t xml:space="preserve"> per bird was prescribed within the European Community (EC) in 1988. </w:t>
      </w:r>
      <w:r w:rsidRPr="00286A88">
        <w:rPr>
          <w:lang w:val="en-AU" w:eastAsia="en-AU"/>
        </w:rPr>
        <w:t>In 1999 the EC specified (1999/74/EC) minimum space allowances in cages of 550 cm</w:t>
      </w:r>
      <w:r w:rsidRPr="00286A88">
        <w:rPr>
          <w:vertAlign w:val="superscript"/>
          <w:lang w:val="en-AU" w:eastAsia="en-AU"/>
        </w:rPr>
        <w:t>2</w:t>
      </w:r>
      <w:r w:rsidRPr="00286A88">
        <w:rPr>
          <w:lang w:val="en-AU" w:eastAsia="en-AU"/>
        </w:rPr>
        <w:t xml:space="preserve"> per hen of unrestricted area from 2003-2012, after which the system was banned. This minimum space allowance currently applies in Victoria and other states in Australia. Conventional cages are now being phased out in New Zealand (by 2022). As of 1 April 2017, no new conventional cages will be constructed in Canada, with a 15 year phase-out period. In the USA a wave of restaurants, supermarkets and other retailers (representing some 70% of US egg production) have committed to go cage-free within 10 years, a move that is taking place alongside individual bans on conventional cages in some states (California, Michigan, Oregon). Countries such as Taiwan have published guidance designed to encourage a voluntary switch from conventional cage production.</w:t>
      </w:r>
    </w:p>
    <w:p w14:paraId="29C4642C" w14:textId="77777777" w:rsidR="00286A88" w:rsidRPr="00286A88" w:rsidRDefault="00286A88" w:rsidP="002C5442">
      <w:pPr>
        <w:rPr>
          <w:lang w:val="en-AU" w:eastAsia="en-AU"/>
        </w:rPr>
      </w:pPr>
      <w:r w:rsidRPr="00286A88">
        <w:rPr>
          <w:lang w:val="en-AU" w:eastAsia="en-AU"/>
        </w:rPr>
        <w:t>In the USA, standard industry practice was to house birds at just 340 cm</w:t>
      </w:r>
      <w:r w:rsidRPr="00286A88">
        <w:rPr>
          <w:vertAlign w:val="superscript"/>
          <w:lang w:val="en-AU" w:eastAsia="en-AU"/>
        </w:rPr>
        <w:t>2</w:t>
      </w:r>
      <w:r w:rsidRPr="00286A88">
        <w:rPr>
          <w:lang w:val="en-AU" w:eastAsia="en-AU"/>
        </w:rPr>
        <w:t xml:space="preserve"> per bird, until a 2001 recommendation by the United Egg Producers led to an increase of space to 67 to 86 in</w:t>
      </w:r>
      <w:r w:rsidRPr="00286A88">
        <w:rPr>
          <w:vertAlign w:val="superscript"/>
          <w:lang w:val="en-AU" w:eastAsia="en-AU"/>
        </w:rPr>
        <w:t>2</w:t>
      </w:r>
      <w:r w:rsidRPr="00286A88">
        <w:rPr>
          <w:lang w:val="en-AU" w:eastAsia="en-AU"/>
        </w:rPr>
        <w:t xml:space="preserve"> (430 to 560 cm</w:t>
      </w:r>
      <w:r w:rsidRPr="00286A88">
        <w:rPr>
          <w:vertAlign w:val="superscript"/>
          <w:lang w:val="en-AU" w:eastAsia="en-AU"/>
        </w:rPr>
        <w:t>2</w:t>
      </w:r>
      <w:r w:rsidRPr="00286A88">
        <w:rPr>
          <w:lang w:val="en-AU" w:eastAsia="en-AU"/>
        </w:rPr>
        <w:t>) per bird. In many other countries, space allowances of less than 400 cm</w:t>
      </w:r>
      <w:r w:rsidRPr="00286A88">
        <w:rPr>
          <w:vertAlign w:val="superscript"/>
          <w:lang w:val="en-AU" w:eastAsia="en-AU"/>
        </w:rPr>
        <w:t>2</w:t>
      </w:r>
      <w:r w:rsidRPr="00286A88">
        <w:rPr>
          <w:lang w:val="en-AU" w:eastAsia="en-AU"/>
        </w:rPr>
        <w:t xml:space="preserve"> per bird are still commonly applied (see Section LH8.1).</w:t>
      </w:r>
    </w:p>
    <w:p w14:paraId="6E43B569" w14:textId="77777777" w:rsidR="00286A88" w:rsidRPr="00286A88" w:rsidRDefault="00286A88" w:rsidP="002C5442">
      <w:pPr>
        <w:rPr>
          <w:lang w:val="en-AU" w:eastAsia="en-AU"/>
        </w:rPr>
      </w:pPr>
      <w:r w:rsidRPr="00286A88">
        <w:rPr>
          <w:lang w:val="en-AU" w:eastAsia="en-AU"/>
        </w:rPr>
        <w:t xml:space="preserve">A typical cage size is 0.45 m from front to back and in front height, reducing to 0.35-0.38 m at the rear. Welded wire mesh flooring 2.5 x 5.0 cm is standard. Intensive conventional cages systems are fully automated, with each tier having: lines of nipple drinkers filled by mains water via a small tank with a ball valve, a continuous feed trough in front of the cages with feed distributed via augers and chain distribution from large external feed silos; belt collection of eggs that roll onto it, to be conveyed for grading and packing which can also be highly automated, </w:t>
      </w:r>
      <w:r w:rsidR="005B72BE">
        <w:rPr>
          <w:lang w:val="en-AU" w:eastAsia="en-AU"/>
        </w:rPr>
        <w:t xml:space="preserve">and </w:t>
      </w:r>
      <w:r w:rsidRPr="00286A88">
        <w:rPr>
          <w:lang w:val="en-AU" w:eastAsia="en-AU"/>
        </w:rPr>
        <w:t>manure removal via belts under the cages to a deep pit under the house or to a separate room. A controlled environment enables optimum feed conversion efficiency. The cages are very seldom uniformly lit, with birds in lower tiers experiencing very dim conditions, whereas those nearer the light sources experience higher light levels. A row of lightbulbs above human head height is the most common form of lighting but both horizontal and vertical fluorescent tube lighting is also seen.</w:t>
      </w:r>
    </w:p>
    <w:p w14:paraId="36937DA6" w14:textId="77777777" w:rsidR="00286A88" w:rsidRPr="00864384" w:rsidRDefault="00286A88" w:rsidP="00286A88">
      <w:pPr>
        <w:spacing w:after="0" w:line="240" w:lineRule="auto"/>
        <w:ind w:right="237"/>
        <w:jc w:val="both"/>
        <w:rPr>
          <w:rFonts w:eastAsia="Times New Roman" w:cs="Arial"/>
          <w:color w:val="auto"/>
          <w:sz w:val="22"/>
          <w:szCs w:val="22"/>
          <w:lang w:val="en-AU" w:eastAsia="en-AU"/>
        </w:rPr>
      </w:pPr>
      <w:r w:rsidRPr="00864384">
        <w:rPr>
          <w:rFonts w:eastAsia="Times New Roman" w:cs="Arial"/>
          <w:noProof/>
          <w:color w:val="auto"/>
          <w:sz w:val="22"/>
          <w:szCs w:val="22"/>
          <w:lang w:val="en-AU" w:eastAsia="en-AU"/>
        </w:rPr>
        <w:drawing>
          <wp:inline distT="0" distB="0" distL="0" distR="0" wp14:anchorId="42BA0D5F" wp14:editId="769FCA54">
            <wp:extent cx="4903200" cy="2152800"/>
            <wp:effectExtent l="0" t="0" r="0" b="0"/>
            <wp:docPr id="7" name="Picture 19" descr="This drawing on the left hand side of this figure shows a cross-section of a typical tiered conventional cage system, which in this case shows a four-tiered system. The drawing on the left of this figure shows a cross-section of the shape of a typical conventional cage and its dimensions. " title="Figure LH1: Conventional cage (from the website of the European LayWel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4903200" cy="2152800"/>
                    </a:xfrm>
                    <a:prstGeom prst="rect">
                      <a:avLst/>
                    </a:prstGeom>
                    <a:noFill/>
                    <a:ln w="9525">
                      <a:noFill/>
                      <a:miter lim="800000"/>
                      <a:headEnd/>
                      <a:tailEnd/>
                    </a:ln>
                  </pic:spPr>
                </pic:pic>
              </a:graphicData>
            </a:graphic>
          </wp:inline>
        </w:drawing>
      </w:r>
    </w:p>
    <w:p w14:paraId="53481090" w14:textId="77777777" w:rsidR="00286A88" w:rsidRPr="00286A88" w:rsidRDefault="00286A88" w:rsidP="003D1BC2">
      <w:pPr>
        <w:spacing w:after="240"/>
        <w:rPr>
          <w:b/>
          <w:lang w:val="en-AU" w:eastAsia="en-AU"/>
        </w:rPr>
      </w:pPr>
      <w:r w:rsidRPr="00286A88">
        <w:rPr>
          <w:b/>
          <w:lang w:val="en-AU" w:eastAsia="en-AU"/>
        </w:rPr>
        <w:t>Fig</w:t>
      </w:r>
      <w:r w:rsidR="0099037E">
        <w:rPr>
          <w:b/>
          <w:lang w:val="en-AU" w:eastAsia="en-AU"/>
        </w:rPr>
        <w:t>ure</w:t>
      </w:r>
      <w:r w:rsidRPr="00286A88">
        <w:rPr>
          <w:b/>
          <w:lang w:val="en-AU" w:eastAsia="en-AU"/>
        </w:rPr>
        <w:t xml:space="preserve"> LH1: </w:t>
      </w:r>
      <w:r w:rsidR="005B72BE">
        <w:rPr>
          <w:b/>
          <w:lang w:val="en-AU" w:eastAsia="en-AU"/>
        </w:rPr>
        <w:t>Example of a C</w:t>
      </w:r>
      <w:r w:rsidRPr="00286A88">
        <w:rPr>
          <w:b/>
          <w:lang w:val="en-AU" w:eastAsia="en-AU"/>
        </w:rPr>
        <w:t xml:space="preserve">onventional </w:t>
      </w:r>
      <w:r w:rsidR="005B72BE">
        <w:rPr>
          <w:b/>
          <w:lang w:val="en-AU" w:eastAsia="en-AU"/>
        </w:rPr>
        <w:t>C</w:t>
      </w:r>
      <w:r w:rsidRPr="00286A88">
        <w:rPr>
          <w:b/>
          <w:lang w:val="en-AU" w:eastAsia="en-AU"/>
        </w:rPr>
        <w:t xml:space="preserve">age </w:t>
      </w:r>
      <w:r w:rsidR="005B72BE">
        <w:rPr>
          <w:b/>
          <w:lang w:val="en-AU" w:eastAsia="en-AU"/>
        </w:rPr>
        <w:t xml:space="preserve">(dimensions vary) </w:t>
      </w:r>
      <w:r w:rsidRPr="00286A88">
        <w:rPr>
          <w:b/>
          <w:lang w:val="en-AU" w:eastAsia="en-AU"/>
        </w:rPr>
        <w:t>(from</w:t>
      </w:r>
      <w:r w:rsidR="00EA464B">
        <w:rPr>
          <w:b/>
          <w:lang w:val="en-AU" w:eastAsia="en-AU"/>
        </w:rPr>
        <w:t xml:space="preserve"> </w:t>
      </w:r>
      <w:hyperlink r:id="rId30" w:tooltip="This is a link to the European LayWel project website." w:history="1">
        <w:r w:rsidR="00EA464B" w:rsidRPr="008D16A0">
          <w:rPr>
            <w:rStyle w:val="Hyperlink"/>
            <w:b/>
            <w:lang w:val="en-AU" w:eastAsia="en-AU"/>
          </w:rPr>
          <w:t>www.laywel.eu</w:t>
        </w:r>
      </w:hyperlink>
      <w:r w:rsidR="00EA464B">
        <w:rPr>
          <w:b/>
          <w:lang w:val="en-AU" w:eastAsia="en-AU"/>
        </w:rPr>
        <w:t>)</w:t>
      </w:r>
    </w:p>
    <w:p w14:paraId="0EB03430" w14:textId="77777777" w:rsidR="00286A88" w:rsidRPr="00E33AF4" w:rsidRDefault="00286A88" w:rsidP="005B72BE">
      <w:pPr>
        <w:pStyle w:val="Heading3"/>
        <w:spacing w:before="300"/>
      </w:pPr>
      <w:bookmarkStart w:id="19" w:name="_Toc495310489"/>
      <w:r w:rsidRPr="00E33AF4">
        <w:t>LH1.3 Furnished (enriched or colony) cages (FC)</w:t>
      </w:r>
      <w:bookmarkEnd w:id="19"/>
    </w:p>
    <w:p w14:paraId="18CEE10B" w14:textId="77777777" w:rsidR="00286A88" w:rsidRPr="00286A88" w:rsidRDefault="00286A88" w:rsidP="00E33AF4">
      <w:pPr>
        <w:rPr>
          <w:lang w:val="en-AU" w:eastAsia="en-AU"/>
        </w:rPr>
      </w:pPr>
      <w:r w:rsidRPr="00286A88">
        <w:rPr>
          <w:lang w:val="en-AU" w:eastAsia="en-AU"/>
        </w:rPr>
        <w:t>Furnished cages were designed with the express purpose of improving hen welfare. The first commercial-scale trials of furnished cages examined the performance and welfare of hens housed in groups of 4 to 8 birds, at spatial allowances of between 470 cm</w:t>
      </w:r>
      <w:r w:rsidRPr="00286A88">
        <w:rPr>
          <w:vertAlign w:val="superscript"/>
          <w:lang w:val="en-AU" w:eastAsia="en-AU"/>
        </w:rPr>
        <w:t>2</w:t>
      </w:r>
      <w:r w:rsidRPr="00286A88">
        <w:rPr>
          <w:lang w:val="en-AU" w:eastAsia="en-AU"/>
        </w:rPr>
        <w:t xml:space="preserve"> to 875 cm</w:t>
      </w:r>
      <w:r w:rsidRPr="00286A88">
        <w:rPr>
          <w:vertAlign w:val="superscript"/>
          <w:lang w:val="en-AU" w:eastAsia="en-AU"/>
        </w:rPr>
        <w:t>2</w:t>
      </w:r>
      <w:r w:rsidRPr="00286A88">
        <w:rPr>
          <w:lang w:val="en-AU" w:eastAsia="en-AU"/>
        </w:rPr>
        <w:t xml:space="preserve">/bird (Appleby et al., 2002). Commercial manufacturers began to produce cage systems compliant with the </w:t>
      </w:r>
      <w:r w:rsidRPr="00286A88">
        <w:rPr>
          <w:color w:val="000000"/>
          <w:lang w:val="en-AU" w:eastAsia="en-AU"/>
        </w:rPr>
        <w:t>European Union (EU) Directive (750 cm</w:t>
      </w:r>
      <w:r w:rsidRPr="00286A88">
        <w:rPr>
          <w:color w:val="000000"/>
          <w:vertAlign w:val="superscript"/>
          <w:lang w:val="en-AU" w:eastAsia="en-AU"/>
        </w:rPr>
        <w:t>2</w:t>
      </w:r>
      <w:r w:rsidRPr="00286A88">
        <w:rPr>
          <w:color w:val="000000"/>
          <w:lang w:val="en-AU" w:eastAsia="en-AU"/>
        </w:rPr>
        <w:t xml:space="preserve">/bird, nest, perch and foraging facilities provided) but </w:t>
      </w:r>
      <w:r w:rsidRPr="00286A88">
        <w:rPr>
          <w:lang w:val="en-AU" w:eastAsia="en-AU"/>
        </w:rPr>
        <w:t>economic pressures led them to produce cages for 20, 40, 60 or 80 birds. A distinction between large (LFC) or colony cages and smaller furnished cages (SFC) is sometimes made. The reduction in capital cost for farmers wanting to invest in a new system prevailed, and furnished cages for larger groups of hens became known as colony cages. These now predominate in the EU.</w:t>
      </w:r>
    </w:p>
    <w:p w14:paraId="539C2109" w14:textId="77777777" w:rsidR="00286A88" w:rsidRPr="00286A88" w:rsidRDefault="00286A88" w:rsidP="003D1BC2">
      <w:pPr>
        <w:spacing w:after="0"/>
        <w:rPr>
          <w:lang w:val="en-AU" w:eastAsia="en-GB"/>
        </w:rPr>
      </w:pPr>
      <w:r w:rsidRPr="00286A88">
        <w:rPr>
          <w:lang w:val="en-AU" w:eastAsia="en-GB"/>
        </w:rPr>
        <w:t>For practical and hygienic purposes, commercial designs provide a plastic artificial turf ‘scratching’ area, where food can optionally be scattered to encourage foraging and dust-bathing. Perch height and orientation (parallel with the feed trough or at right angles and often both in a T configuration) varies considerably, with metal and plastic being common materials. Floors of most furnished cages are wire and sloped, as in conventional cages, to enable easier collection of any floor eggs, but there is no other reason precluding them from being level. All cages provide a nesting area which may have a plastic mesh or an artificial turf floor to enable hens to perform some manipulation behaviour and to have a more comfortable and defined surface than the wire floor on which to lay. These nesting areas are defined by strips of plastic suspended from the roof of the cage and are often coloured and opaque to enable the hens to have a sense of enclosure. As for conventional cages, feed troughs are placed outside the cage at the front.</w:t>
      </w:r>
    </w:p>
    <w:p w14:paraId="27AC3F65" w14:textId="77777777" w:rsidR="00286A88" w:rsidRPr="00864384" w:rsidRDefault="00286A88" w:rsidP="00286A88">
      <w:pPr>
        <w:spacing w:after="0" w:line="240" w:lineRule="auto"/>
        <w:ind w:right="261"/>
        <w:jc w:val="both"/>
        <w:rPr>
          <w:rFonts w:eastAsia="Times New Roman" w:cs="Arial"/>
          <w:color w:val="auto"/>
          <w:sz w:val="22"/>
          <w:szCs w:val="22"/>
          <w:lang w:val="en-AU" w:eastAsia="en-GB"/>
        </w:rPr>
      </w:pPr>
      <w:r w:rsidRPr="00864384">
        <w:rPr>
          <w:rFonts w:eastAsia="Times New Roman" w:cs="Arial"/>
          <w:noProof/>
          <w:color w:val="auto"/>
          <w:sz w:val="22"/>
          <w:szCs w:val="22"/>
          <w:lang w:val="en-AU" w:eastAsia="en-AU"/>
        </w:rPr>
        <w:drawing>
          <wp:inline distT="0" distB="0" distL="0" distR="0" wp14:anchorId="6B21EA08" wp14:editId="0F1C15F1">
            <wp:extent cx="5194800" cy="3214800"/>
            <wp:effectExtent l="0" t="0" r="6350" b="5080"/>
            <wp:docPr id="8" name="Picture 11" descr="This figure is a drawing of two back-to-back furnished cages, separated by wire mesh. The drawing shows that each furnished cage has a nest box with a screen at one end, and a liitter mat with artificial grass on top of the wire cage bottom at the other end of the cage. There is a perch in each cage about half-way between the front of each cage and the wire mesh separating the cages. The drawing also shows that there is a feed trough with an egg belt underneath at the front of each of the cages, a water line located on the wire mesh separation between the two cages, and a manure drying system running underneath the middle of the two cages from one end to another." title="Figure LH@: Furnished cage (from the website of the European LayWel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31" cstate="print"/>
                    <a:stretch>
                      <a:fillRect/>
                    </a:stretch>
                  </pic:blipFill>
                  <pic:spPr>
                    <a:xfrm>
                      <a:off x="0" y="0"/>
                      <a:ext cx="5194800" cy="3214800"/>
                    </a:xfrm>
                    <a:prstGeom prst="rect">
                      <a:avLst/>
                    </a:prstGeom>
                  </pic:spPr>
                </pic:pic>
              </a:graphicData>
            </a:graphic>
          </wp:inline>
        </w:drawing>
      </w:r>
    </w:p>
    <w:p w14:paraId="1608D977" w14:textId="77777777" w:rsidR="00286A88" w:rsidRPr="00286A88" w:rsidRDefault="00286A88" w:rsidP="00E33AF4">
      <w:pPr>
        <w:spacing w:before="240" w:after="240"/>
        <w:rPr>
          <w:lang w:val="en-AU" w:eastAsia="en-GB"/>
        </w:rPr>
      </w:pPr>
      <w:r w:rsidRPr="00286A88">
        <w:rPr>
          <w:b/>
          <w:lang w:val="en-AU" w:eastAsia="en-GB"/>
        </w:rPr>
        <w:t>Fig</w:t>
      </w:r>
      <w:r w:rsidR="0099037E">
        <w:rPr>
          <w:b/>
          <w:lang w:val="en-AU" w:eastAsia="en-GB"/>
        </w:rPr>
        <w:t>ure</w:t>
      </w:r>
      <w:r w:rsidRPr="00286A88">
        <w:rPr>
          <w:b/>
          <w:lang w:val="en-AU" w:eastAsia="en-GB"/>
        </w:rPr>
        <w:t xml:space="preserve"> LH2: </w:t>
      </w:r>
      <w:r w:rsidR="005B72BE">
        <w:rPr>
          <w:b/>
          <w:lang w:val="en-AU" w:eastAsia="en-GB"/>
        </w:rPr>
        <w:t>Example of a F</w:t>
      </w:r>
      <w:r w:rsidRPr="00286A88">
        <w:rPr>
          <w:b/>
          <w:lang w:val="en-AU" w:eastAsia="en-GB"/>
        </w:rPr>
        <w:t xml:space="preserve">urnished </w:t>
      </w:r>
      <w:r w:rsidR="005B72BE">
        <w:rPr>
          <w:b/>
          <w:lang w:val="en-AU" w:eastAsia="en-GB"/>
        </w:rPr>
        <w:t>C</w:t>
      </w:r>
      <w:r w:rsidRPr="00286A88">
        <w:rPr>
          <w:b/>
          <w:lang w:val="en-AU" w:eastAsia="en-GB"/>
        </w:rPr>
        <w:t xml:space="preserve">age </w:t>
      </w:r>
      <w:r w:rsidR="00EA464B" w:rsidRPr="00286A88">
        <w:rPr>
          <w:b/>
          <w:lang w:val="en-AU" w:eastAsia="en-AU"/>
        </w:rPr>
        <w:t>(from</w:t>
      </w:r>
      <w:r w:rsidR="00EA464B">
        <w:rPr>
          <w:b/>
          <w:lang w:val="en-AU" w:eastAsia="en-AU"/>
        </w:rPr>
        <w:t xml:space="preserve"> </w:t>
      </w:r>
      <w:hyperlink r:id="rId32" w:tooltip="This is a link to the European LayWel project website." w:history="1">
        <w:r w:rsidR="00EA464B" w:rsidRPr="008D16A0">
          <w:rPr>
            <w:rStyle w:val="Hyperlink"/>
            <w:b/>
            <w:lang w:val="en-AU" w:eastAsia="en-AU"/>
          </w:rPr>
          <w:t>www.laywel.eu</w:t>
        </w:r>
      </w:hyperlink>
      <w:r w:rsidR="00EA464B">
        <w:rPr>
          <w:b/>
          <w:lang w:val="en-AU" w:eastAsia="en-AU"/>
        </w:rPr>
        <w:t>)</w:t>
      </w:r>
    </w:p>
    <w:p w14:paraId="6C8B608D" w14:textId="77777777" w:rsidR="00286A88" w:rsidRPr="00286A88" w:rsidRDefault="00286A88" w:rsidP="00E33AF4">
      <w:pPr>
        <w:pStyle w:val="Heading3"/>
        <w:rPr>
          <w:color w:val="000000"/>
          <w:lang w:val="en-AU" w:eastAsia="en-GB"/>
        </w:rPr>
      </w:pPr>
      <w:bookmarkStart w:id="20" w:name="_Toc495310490"/>
      <w:r w:rsidRPr="00286A88">
        <w:rPr>
          <w:lang w:val="en-AU" w:eastAsia="en-GB"/>
        </w:rPr>
        <w:t>LH1.4 Non-cage systems (NC)</w:t>
      </w:r>
      <w:bookmarkEnd w:id="20"/>
    </w:p>
    <w:p w14:paraId="3A03F583" w14:textId="77777777" w:rsidR="00286A88" w:rsidRPr="00286A88" w:rsidRDefault="00286A88" w:rsidP="00E33AF4">
      <w:pPr>
        <w:rPr>
          <w:lang w:val="en-AU" w:eastAsia="en-AU"/>
        </w:rPr>
      </w:pPr>
      <w:r w:rsidRPr="00286A88">
        <w:rPr>
          <w:lang w:val="en-AU" w:eastAsia="en-AU"/>
        </w:rPr>
        <w:t>Barns are non-cage systems that contain up to tens of thousands of hens, although these are often subdivided into smaller colonies (e.g. of 4,000 birds) with simple, netting barriers to aid management or to meet the requirements of assurance schemes. The EU Directive 1999/74 requires all barn systems in member states to provide a minimum 250 cm</w:t>
      </w:r>
      <w:r w:rsidRPr="00286A88">
        <w:rPr>
          <w:vertAlign w:val="superscript"/>
          <w:lang w:val="en-AU" w:eastAsia="en-AU"/>
        </w:rPr>
        <w:t>2</w:t>
      </w:r>
      <w:r w:rsidRPr="00286A88">
        <w:rPr>
          <w:lang w:val="en-AU" w:eastAsia="en-AU"/>
        </w:rPr>
        <w:t xml:space="preserve"> littered area per hen, with stocking rate not to exceed 9 hens/m</w:t>
      </w:r>
      <w:r w:rsidRPr="00286A88">
        <w:rPr>
          <w:vertAlign w:val="superscript"/>
          <w:lang w:val="en-AU" w:eastAsia="en-AU"/>
        </w:rPr>
        <w:t>2</w:t>
      </w:r>
      <w:r w:rsidRPr="00286A88">
        <w:rPr>
          <w:lang w:val="en-AU" w:eastAsia="en-AU"/>
        </w:rPr>
        <w:t xml:space="preserve"> useable area. Each hen must also be provided with 15</w:t>
      </w:r>
      <w:r w:rsidR="00926AB6">
        <w:rPr>
          <w:lang w:val="en-AU" w:eastAsia="en-AU"/>
        </w:rPr>
        <w:t> </w:t>
      </w:r>
      <w:r w:rsidRPr="00286A88">
        <w:rPr>
          <w:lang w:val="en-AU" w:eastAsia="en-AU"/>
        </w:rPr>
        <w:t>cm of perch and 10 cm each of feeder and drinker space.</w:t>
      </w:r>
    </w:p>
    <w:p w14:paraId="44EE78D5" w14:textId="77777777" w:rsidR="00286A88" w:rsidRPr="00E33AF4" w:rsidRDefault="00286A88" w:rsidP="00E33AF4">
      <w:pPr>
        <w:pStyle w:val="Heading41"/>
      </w:pPr>
      <w:r w:rsidRPr="00E33AF4">
        <w:t>LH1.4a Single-tier barn (ST)</w:t>
      </w:r>
    </w:p>
    <w:p w14:paraId="0B9E5FD8" w14:textId="77777777" w:rsidR="00286A88" w:rsidRPr="00286A88" w:rsidRDefault="00286A88" w:rsidP="00E33AF4">
      <w:pPr>
        <w:rPr>
          <w:lang w:val="en-AU" w:eastAsia="en-AU"/>
        </w:rPr>
      </w:pPr>
      <w:r w:rsidRPr="00286A88">
        <w:rPr>
          <w:lang w:val="en-AU" w:eastAsia="en-AU"/>
        </w:rPr>
        <w:t>One of the simplest forms of housing, this can range from straightforward roofed barns with open sides that confine the birds with netting or natural materials in tropical climates to large, insulated barns with controlled environment incorporating fans. It can be described as straw-yard or deep litter. Most commonly there is a central, raised area (the single tier) which is slatted and above which the feeder and drinker lines run; nestboxes are usually placed back to back, centrally, with automated collection of eggs via egg-belts running underneath them. Hens may roost directly on the slats or be provided with additional aerial perches. Droppings are usually cleared frequently using scrapers or manure belts but deep pits for manure are also used. The rest of the floor has some form of substrate such as wood shavings, straw or rice hulls in which the droppings accumulate to form a deep litter. It is extremely important for this to be kept friable to enable foraging behaviour and reduce the incidence of injurious pecking. The maximum stocking rate for eggs to be described as barn (deep litter) is 7 birds per m</w:t>
      </w:r>
      <w:r w:rsidRPr="00286A88">
        <w:rPr>
          <w:vertAlign w:val="superscript"/>
          <w:lang w:val="en-AU" w:eastAsia="en-AU"/>
        </w:rPr>
        <w:t>2</w:t>
      </w:r>
      <w:r w:rsidRPr="00286A88">
        <w:rPr>
          <w:lang w:val="en-AU" w:eastAsia="en-AU"/>
        </w:rPr>
        <w:t xml:space="preserve"> under EC trading standards.</w:t>
      </w:r>
    </w:p>
    <w:p w14:paraId="55CF9A7D" w14:textId="77777777" w:rsidR="00286A88" w:rsidRPr="00286A88" w:rsidRDefault="00286A88" w:rsidP="00E33AF4">
      <w:pPr>
        <w:rPr>
          <w:lang w:val="en-AU" w:eastAsia="en-AU"/>
        </w:rPr>
      </w:pPr>
      <w:r w:rsidRPr="00286A88">
        <w:rPr>
          <w:lang w:val="en-AU" w:eastAsia="en-AU"/>
        </w:rPr>
        <w:t>A variant of the single-tier barn system is the slatted or wire floor system, which reduces contact between birds and their faeces. The system is not widely used, largely because multi-tier systems are becoming more common.</w:t>
      </w:r>
    </w:p>
    <w:p w14:paraId="18669005" w14:textId="77777777" w:rsidR="00286A88" w:rsidRPr="00864384" w:rsidRDefault="00286A88" w:rsidP="00286A88">
      <w:pPr>
        <w:spacing w:after="0" w:line="240" w:lineRule="auto"/>
        <w:ind w:right="261"/>
        <w:jc w:val="both"/>
        <w:rPr>
          <w:rFonts w:eastAsia="Times New Roman" w:cs="Arial"/>
          <w:color w:val="auto"/>
          <w:sz w:val="22"/>
          <w:szCs w:val="22"/>
          <w:lang w:val="en-AU" w:eastAsia="en-AU"/>
        </w:rPr>
      </w:pPr>
      <w:r w:rsidRPr="00864384">
        <w:rPr>
          <w:rFonts w:eastAsia="Times New Roman" w:cs="Arial"/>
          <w:noProof/>
          <w:color w:val="auto"/>
          <w:sz w:val="22"/>
          <w:szCs w:val="22"/>
          <w:lang w:val="en-AU" w:eastAsia="en-AU"/>
        </w:rPr>
        <w:drawing>
          <wp:inline distT="0" distB="0" distL="0" distR="0" wp14:anchorId="43827AB8" wp14:editId="7FAAB936">
            <wp:extent cx="5238750" cy="2381250"/>
            <wp:effectExtent l="0" t="0" r="0" b="0"/>
            <wp:docPr id="12" name="Picture 12" descr="This figure is a drawing of a cross-section of a single-tier barn system. It shows a central, raised area (the single tier). There are nestboxes placed back to back, centrally, on the raised area, and feeder and drinker lines also run along this raised area." title="Figure LH3: Single-tier barn cross section (from the website of the European LayWel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JPG"/>
                    <pic:cNvPicPr/>
                  </pic:nvPicPr>
                  <pic:blipFill>
                    <a:blip r:embed="rId33" cstate="print"/>
                    <a:stretch>
                      <a:fillRect/>
                    </a:stretch>
                  </pic:blipFill>
                  <pic:spPr>
                    <a:xfrm>
                      <a:off x="0" y="0"/>
                      <a:ext cx="5238750" cy="2381250"/>
                    </a:xfrm>
                    <a:prstGeom prst="rect">
                      <a:avLst/>
                    </a:prstGeom>
                  </pic:spPr>
                </pic:pic>
              </a:graphicData>
            </a:graphic>
          </wp:inline>
        </w:drawing>
      </w:r>
    </w:p>
    <w:p w14:paraId="31AFC4CB" w14:textId="77777777" w:rsidR="00286A88" w:rsidRPr="00286A88" w:rsidRDefault="00286A88" w:rsidP="001A1E6C">
      <w:pPr>
        <w:spacing w:before="240" w:after="300"/>
        <w:rPr>
          <w:b/>
          <w:lang w:val="en-AU" w:eastAsia="en-AU"/>
        </w:rPr>
      </w:pPr>
      <w:r w:rsidRPr="00286A88">
        <w:rPr>
          <w:b/>
          <w:lang w:val="en-AU" w:eastAsia="en-AU"/>
        </w:rPr>
        <w:t>Fig</w:t>
      </w:r>
      <w:r w:rsidR="0099037E">
        <w:rPr>
          <w:b/>
          <w:lang w:val="en-AU" w:eastAsia="en-AU"/>
        </w:rPr>
        <w:t>ure</w:t>
      </w:r>
      <w:r w:rsidRPr="00286A88">
        <w:rPr>
          <w:b/>
          <w:lang w:val="en-AU" w:eastAsia="en-AU"/>
        </w:rPr>
        <w:t xml:space="preserve"> LH3: </w:t>
      </w:r>
      <w:r w:rsidR="005B72BE">
        <w:rPr>
          <w:b/>
          <w:lang w:val="en-AU" w:eastAsia="en-AU"/>
        </w:rPr>
        <w:t xml:space="preserve">Example of a </w:t>
      </w:r>
      <w:r w:rsidRPr="00286A88">
        <w:rPr>
          <w:b/>
          <w:lang w:val="en-AU" w:eastAsia="en-AU"/>
        </w:rPr>
        <w:t xml:space="preserve">Single-Tier Barn </w:t>
      </w:r>
      <w:r w:rsidR="00EA464B" w:rsidRPr="00286A88">
        <w:rPr>
          <w:b/>
          <w:lang w:val="en-AU" w:eastAsia="en-AU"/>
        </w:rPr>
        <w:t>(from</w:t>
      </w:r>
      <w:r w:rsidR="00EA464B">
        <w:rPr>
          <w:b/>
          <w:lang w:val="en-AU" w:eastAsia="en-AU"/>
        </w:rPr>
        <w:t xml:space="preserve"> </w:t>
      </w:r>
      <w:hyperlink r:id="rId34" w:tooltip="This is a link to the European LayWel project website." w:history="1">
        <w:r w:rsidR="00EA464B" w:rsidRPr="008D16A0">
          <w:rPr>
            <w:rStyle w:val="Hyperlink"/>
            <w:b/>
            <w:lang w:val="en-AU" w:eastAsia="en-AU"/>
          </w:rPr>
          <w:t>www.laywel.eu</w:t>
        </w:r>
      </w:hyperlink>
      <w:r w:rsidR="00EA464B">
        <w:rPr>
          <w:b/>
          <w:lang w:val="en-AU" w:eastAsia="en-AU"/>
        </w:rPr>
        <w:t>)</w:t>
      </w:r>
    </w:p>
    <w:p w14:paraId="3F1D6355" w14:textId="77777777" w:rsidR="00286A88" w:rsidRPr="00286A88" w:rsidRDefault="00286A88" w:rsidP="00E33AF4">
      <w:pPr>
        <w:pStyle w:val="Heading41"/>
      </w:pPr>
      <w:r w:rsidRPr="00286A88">
        <w:t>LH1.4b Multi-tier barn or aviary (MT)</w:t>
      </w:r>
    </w:p>
    <w:p w14:paraId="65788792" w14:textId="77777777" w:rsidR="00286A88" w:rsidRPr="00286A88" w:rsidRDefault="00286A88" w:rsidP="00E33AF4">
      <w:pPr>
        <w:rPr>
          <w:lang w:val="en-AU" w:eastAsia="en-AU"/>
        </w:rPr>
      </w:pPr>
      <w:r w:rsidRPr="00286A88">
        <w:rPr>
          <w:lang w:val="en-AU" w:eastAsia="en-AU"/>
        </w:rPr>
        <w:t>A wide range of designs are now produced by commercial manufacturers for systems that provide multiple tiers for loose-housed hens. These make use of the vertical space within a house and enable a greater number of birds to be kept on the house footprint. In cooler climates the extra heat generated from more birds allows air temperature to be maintained close to the thermoneutral zone. In theory, the birds have a greater choice of resources and the option to escape bullies by moving to another level. An option being considered by some US producers is to provide colony cages with removable fronts.</w:t>
      </w:r>
    </w:p>
    <w:p w14:paraId="5BF5E81E" w14:textId="77777777" w:rsidR="00286A88" w:rsidRPr="00286A88" w:rsidRDefault="00286A88" w:rsidP="00E33AF4">
      <w:pPr>
        <w:rPr>
          <w:lang w:val="en-AU" w:eastAsia="en-AU"/>
        </w:rPr>
      </w:pPr>
      <w:r w:rsidRPr="00286A88">
        <w:rPr>
          <w:lang w:val="en-AU" w:eastAsia="en-AU"/>
        </w:rPr>
        <w:t>EC rules specify at least 0.025 m</w:t>
      </w:r>
      <w:r w:rsidRPr="00286A88">
        <w:rPr>
          <w:vertAlign w:val="superscript"/>
          <w:lang w:val="en-AU" w:eastAsia="en-AU"/>
        </w:rPr>
        <w:t>2</w:t>
      </w:r>
      <w:r w:rsidRPr="00286A88">
        <w:rPr>
          <w:lang w:val="en-AU" w:eastAsia="en-AU"/>
        </w:rPr>
        <w:t xml:space="preserve"> of littered area per hen with at least one third of the floor area being litter (1999/74/EC). In the EU up to 25 birds/m</w:t>
      </w:r>
      <w:r w:rsidRPr="00286A88">
        <w:rPr>
          <w:vertAlign w:val="superscript"/>
          <w:lang w:val="en-AU" w:eastAsia="en-AU"/>
        </w:rPr>
        <w:t>2</w:t>
      </w:r>
      <w:r w:rsidRPr="00286A88">
        <w:rPr>
          <w:lang w:val="en-AU" w:eastAsia="en-AU"/>
        </w:rPr>
        <w:t xml:space="preserve"> are permitted in MT units with a minimum of 15 cm of perch space per bird. A popular aviary system comprises modules of double tiers (2 raised levels) with feed, water, lighting and perches on every level with separate banks of nestboxes offering flexible layout and easy bird inspection. This can also be adapted to incorporate nestboxes within the tiers and to give birds access from both sides of the nests. It is generally simple to manage and depopulate and ideal for low-roofed housing but does not maximise production per unit floor area. The company marketing the Boleg terrace aviary claims its open design is like a tree, facilitating vertical movement by hens. It comprises banks of 4 tiers with nestboxes on the second level up from the floor, and the upper tier devoted to perching. Manure belts remove droppings from levels 1 and 3. Portal aviary systems comprise two multi-tiered stacks containing feed, water and nests with a top tier extending right across the top of both of them and the wide, central littered area or portal. This central area is above head height and often accessible by vehicles such as bobcats thus facilitating litter management during the laying period. The litter extends under the stacks over the whole ground floor. There is variation in design and layout but they are generally suited only for both wide and tall houses (e.g. &gt;12 m and &gt;3 m respectively).</w:t>
      </w:r>
    </w:p>
    <w:p w14:paraId="03D6BF50" w14:textId="77777777" w:rsidR="00286A88" w:rsidRPr="00864384" w:rsidRDefault="00286A88" w:rsidP="00286A88">
      <w:pPr>
        <w:spacing w:after="0" w:line="240" w:lineRule="auto"/>
        <w:ind w:right="261"/>
        <w:jc w:val="both"/>
        <w:rPr>
          <w:rFonts w:eastAsia="Times New Roman" w:cs="Arial"/>
          <w:color w:val="auto"/>
          <w:sz w:val="22"/>
          <w:szCs w:val="22"/>
          <w:lang w:val="en-AU" w:eastAsia="en-AU"/>
        </w:rPr>
      </w:pPr>
      <w:r w:rsidRPr="00864384">
        <w:rPr>
          <w:rFonts w:eastAsia="Times New Roman" w:cs="Arial"/>
          <w:noProof/>
          <w:color w:val="auto"/>
          <w:sz w:val="22"/>
          <w:szCs w:val="22"/>
          <w:lang w:val="en-AU" w:eastAsia="en-AU"/>
        </w:rPr>
        <w:drawing>
          <wp:inline distT="0" distB="0" distL="0" distR="0" wp14:anchorId="53903AB0" wp14:editId="5F284555">
            <wp:extent cx="5124450" cy="1885950"/>
            <wp:effectExtent l="0" t="0" r="0" b="0"/>
            <wp:docPr id="13" name="Picture 13" descr="This figure is a drawing of an example of a multi-tier system, showing a cross-section of a barn with five tiers. The left hand, middle and right hand tiers are shorter than the tiers second from the left and second from the right. All the tiers have nestbxes integrated in the tiers. The next boxes of the three shorter tiers are at a lower height than the next boxes in the two taller tiers. Designs and configurations of multi-tier systems can vary greatly." title="Figure LH4: Example of a multi-tier system showing a cross-section of an aviary with integrated nest-boxes (from the website of the European LayWel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srcRect/>
                    <a:stretch>
                      <a:fillRect/>
                    </a:stretch>
                  </pic:blipFill>
                  <pic:spPr bwMode="auto">
                    <a:xfrm>
                      <a:off x="0" y="0"/>
                      <a:ext cx="5124450" cy="1885950"/>
                    </a:xfrm>
                    <a:prstGeom prst="rect">
                      <a:avLst/>
                    </a:prstGeom>
                    <a:noFill/>
                    <a:ln w="9525">
                      <a:noFill/>
                      <a:miter lim="800000"/>
                      <a:headEnd/>
                      <a:tailEnd/>
                    </a:ln>
                  </pic:spPr>
                </pic:pic>
              </a:graphicData>
            </a:graphic>
          </wp:inline>
        </w:drawing>
      </w:r>
    </w:p>
    <w:p w14:paraId="60760F91" w14:textId="77777777" w:rsidR="00286A88" w:rsidRPr="00286A88" w:rsidRDefault="00286A88" w:rsidP="006542A7">
      <w:pPr>
        <w:spacing w:after="0"/>
        <w:rPr>
          <w:lang w:val="en-AU" w:eastAsia="en-AU"/>
        </w:rPr>
      </w:pPr>
    </w:p>
    <w:p w14:paraId="2C400DA9" w14:textId="77777777" w:rsidR="00286A88" w:rsidRPr="00286A88" w:rsidRDefault="00286A88" w:rsidP="00E33AF4">
      <w:pPr>
        <w:rPr>
          <w:b/>
          <w:lang w:val="en-AU" w:eastAsia="en-AU"/>
        </w:rPr>
      </w:pPr>
      <w:r w:rsidRPr="00286A88">
        <w:rPr>
          <w:b/>
          <w:lang w:val="en-AU" w:eastAsia="en-AU"/>
        </w:rPr>
        <w:t>Fig</w:t>
      </w:r>
      <w:r w:rsidR="0099037E">
        <w:rPr>
          <w:b/>
          <w:lang w:val="en-AU" w:eastAsia="en-AU"/>
        </w:rPr>
        <w:t>ure</w:t>
      </w:r>
      <w:r w:rsidRPr="00286A88">
        <w:rPr>
          <w:b/>
          <w:lang w:val="en-AU" w:eastAsia="en-AU"/>
        </w:rPr>
        <w:t xml:space="preserve"> LH4: Example of a multi-tier system </w:t>
      </w:r>
      <w:r w:rsidR="00EA464B" w:rsidRPr="00286A88">
        <w:rPr>
          <w:b/>
          <w:lang w:val="en-AU" w:eastAsia="en-AU"/>
        </w:rPr>
        <w:t>(from</w:t>
      </w:r>
      <w:r w:rsidR="00EA464B">
        <w:rPr>
          <w:b/>
          <w:lang w:val="en-AU" w:eastAsia="en-AU"/>
        </w:rPr>
        <w:t xml:space="preserve"> </w:t>
      </w:r>
      <w:hyperlink r:id="rId36" w:tooltip="This is a link to the European LayWel project website." w:history="1">
        <w:r w:rsidR="00EA464B" w:rsidRPr="008D16A0">
          <w:rPr>
            <w:rStyle w:val="Hyperlink"/>
            <w:b/>
            <w:lang w:val="en-AU" w:eastAsia="en-AU"/>
          </w:rPr>
          <w:t>www.laywel.eu</w:t>
        </w:r>
      </w:hyperlink>
      <w:r w:rsidR="00EA464B">
        <w:rPr>
          <w:b/>
          <w:lang w:val="en-AU" w:eastAsia="en-AU"/>
        </w:rPr>
        <w:t>)</w:t>
      </w:r>
      <w:r w:rsidRPr="00286A88">
        <w:rPr>
          <w:b/>
          <w:lang w:val="en-AU" w:eastAsia="en-AU"/>
        </w:rPr>
        <w:t xml:space="preserve"> showing cross-section of an aviary with integrated nestboxes. Designs and configurations of multi-tier systems can vary greatly.</w:t>
      </w:r>
    </w:p>
    <w:p w14:paraId="3058DA06" w14:textId="77777777" w:rsidR="00286A88" w:rsidRPr="00286A88" w:rsidRDefault="00286A88" w:rsidP="00E33AF4">
      <w:pPr>
        <w:rPr>
          <w:lang w:val="en-AU" w:eastAsia="en-AU"/>
        </w:rPr>
      </w:pPr>
    </w:p>
    <w:p w14:paraId="5BB0D28C" w14:textId="77777777" w:rsidR="00286A88" w:rsidRPr="00286A88" w:rsidRDefault="00286A88" w:rsidP="008020FE">
      <w:pPr>
        <w:pStyle w:val="Heading41"/>
      </w:pPr>
      <w:r w:rsidRPr="00286A88">
        <w:t>LH1.4c Verandas</w:t>
      </w:r>
    </w:p>
    <w:p w14:paraId="298A31CF" w14:textId="77777777" w:rsidR="00286A88" w:rsidRPr="00286A88" w:rsidRDefault="00286A88" w:rsidP="003A408B">
      <w:pPr>
        <w:rPr>
          <w:lang w:val="en-AU" w:eastAsia="en-AU"/>
        </w:rPr>
      </w:pPr>
      <w:r w:rsidRPr="00286A88">
        <w:rPr>
          <w:lang w:val="en-AU" w:eastAsia="en-AU"/>
        </w:rPr>
        <w:t>Any design of barn (or free-range) housing may also offer veranda or ‘winter-garden’ extensions that typically are roofed in a similar manner to the main house but have simple wire or plastic mesh sides which allow fresh air and natural light to pass through. Most are accessed via popholes from the main house and have a fully littered floor. Often, extra enrichments in the form of discrete dust-baths, tree branches etc. are provided for the hens and additional feed, water and supplements like grit or oyster shell may be offered. There are few scientific studies on verandas but they are thought to be particularly useful in free-range systems if the birds unexpectedly have to be kept indoors because of disease outbreaks or extreme weather. Verandas also often provide a greater level of natural light than the house. Verandas therefore provide a useful intermediate area between the house and range in free-range houses. The change of light level and temperature is more gradual and the veranda protects the house from the adverse effects of bad weather on litter condition.</w:t>
      </w:r>
    </w:p>
    <w:p w14:paraId="35A589B9" w14:textId="77777777" w:rsidR="00286A88" w:rsidRPr="00286A88" w:rsidRDefault="00286A88" w:rsidP="003A408B">
      <w:pPr>
        <w:pStyle w:val="Heading3"/>
        <w:rPr>
          <w:lang w:val="en-AU" w:eastAsia="en-AU"/>
        </w:rPr>
      </w:pPr>
      <w:bookmarkStart w:id="21" w:name="_Toc495310491"/>
      <w:r w:rsidRPr="00286A88">
        <w:rPr>
          <w:lang w:val="en-AU" w:eastAsia="en-AU"/>
        </w:rPr>
        <w:t>LH1.5 Free-range (FR) and organic systems</w:t>
      </w:r>
      <w:bookmarkEnd w:id="21"/>
    </w:p>
    <w:p w14:paraId="2AA1488A" w14:textId="77777777" w:rsidR="00286A88" w:rsidRPr="00286A88" w:rsidRDefault="00286A88" w:rsidP="003A408B">
      <w:pPr>
        <w:rPr>
          <w:lang w:val="en-AU" w:eastAsia="en-AU"/>
        </w:rPr>
      </w:pPr>
      <w:r w:rsidRPr="00286A88">
        <w:rPr>
          <w:lang w:val="en-AU" w:eastAsia="en-AU"/>
        </w:rPr>
        <w:t>Free range systems typically provide an indoor ST or MT barn with additional access to an outdoor pasture area often via popholes. Small-scale free-range systems may use mobile rather than fixed barn housing, with a construction similar to a polytunnel on skids with simple natural ventilation and internal layout similar to more permanent single-tier housing. There is variation between countries in the stocking density allowances for indoor and outdoor areas. Stocking rates are generally lower in organic free-range systems. Organic schemes may also specify other requirements e.g. that hens should not be beak-trimmed.</w:t>
      </w:r>
    </w:p>
    <w:p w14:paraId="086890CE" w14:textId="77777777" w:rsidR="00286A88" w:rsidRPr="00286A88" w:rsidRDefault="00286A88" w:rsidP="003A408B">
      <w:pPr>
        <w:rPr>
          <w:lang w:val="en-AU" w:eastAsia="en-AU"/>
        </w:rPr>
      </w:pPr>
      <w:r w:rsidRPr="00286A88">
        <w:rPr>
          <w:lang w:val="en-AU" w:eastAsia="en-AU"/>
        </w:rPr>
        <w:t>In non-European countries flock sizes can be far larger in both CC and NC systems. Examples of systems used in the USA are provided by Zhao et al. (2015).</w:t>
      </w:r>
    </w:p>
    <w:p w14:paraId="2E87EAEE" w14:textId="77777777" w:rsidR="00286A88" w:rsidRPr="00286A88" w:rsidRDefault="00286A88" w:rsidP="003A408B">
      <w:pPr>
        <w:pStyle w:val="Heading3"/>
        <w:rPr>
          <w:lang w:val="en-AU" w:eastAsia="en-GB"/>
        </w:rPr>
      </w:pPr>
      <w:bookmarkStart w:id="22" w:name="_Toc495310492"/>
      <w:r w:rsidRPr="00286A88">
        <w:rPr>
          <w:lang w:val="en-AU" w:eastAsia="en-GB"/>
        </w:rPr>
        <w:t>LH1.6 Backyard poultry</w:t>
      </w:r>
      <w:bookmarkEnd w:id="22"/>
    </w:p>
    <w:p w14:paraId="2F4C79DD" w14:textId="77777777" w:rsidR="00286A88" w:rsidRPr="00286A88" w:rsidRDefault="00286A88" w:rsidP="003A408B">
      <w:pPr>
        <w:rPr>
          <w:lang w:val="en-AU" w:eastAsia="en-AU"/>
        </w:rPr>
      </w:pPr>
      <w:r w:rsidRPr="00286A88">
        <w:rPr>
          <w:lang w:val="en-AU" w:eastAsia="en-AU"/>
        </w:rPr>
        <w:t>Backyard flocks are generally small, often less than 10 birds, occasionally reaching up to 50 or so birds. In the UK, poultry flocks of more than 50 birds are required to register with the Animal and Plant Health Agency, for disease control purposes; flocks of fewer than 50 birds are encouraged to register but this is not compulsory. In Australia, a flock of over 50 birds is considered to be a commercial flock. In Victoria, a property with over 100 birds must register for a Property Identification Code to facilitate disease control activities. Backyard flocks may be kept very extensively or may be confined to a small area. Sometimes a cockerel will run with the hens. The</w:t>
      </w:r>
      <w:r w:rsidR="001716DB">
        <w:rPr>
          <w:lang w:val="en-AU" w:eastAsia="en-AU"/>
        </w:rPr>
        <w:t xml:space="preserve"> </w:t>
      </w:r>
      <w:r w:rsidRPr="00286A88">
        <w:rPr>
          <w:lang w:val="en-AU" w:eastAsia="en-AU"/>
        </w:rPr>
        <w:t>birds within backyard flocks will often be fed a variety of food and may be able to forage and perform other natural behaviours. In one study of urban poultry keepers in the UK it was found that poultry knowledge was poor, they rarely employed health prevention measures and they mostly disregarded government feed restrictions for poultry (Karabozhilova et al., 2012).</w:t>
      </w:r>
    </w:p>
    <w:p w14:paraId="23EBDF1D" w14:textId="77777777" w:rsidR="00286A88" w:rsidRPr="00286A88" w:rsidRDefault="00286A88" w:rsidP="003A408B">
      <w:pPr>
        <w:pStyle w:val="Heading3"/>
        <w:rPr>
          <w:lang w:val="en-AU" w:eastAsia="en-GB"/>
        </w:rPr>
      </w:pPr>
      <w:bookmarkStart w:id="23" w:name="_Toc495310493"/>
      <w:r w:rsidRPr="00286A88">
        <w:rPr>
          <w:lang w:val="en-AU" w:eastAsia="en-GB"/>
        </w:rPr>
        <w:t>LH1.7 The Australian laying hen industry</w:t>
      </w:r>
      <w:bookmarkEnd w:id="23"/>
    </w:p>
    <w:p w14:paraId="2ADB2E7B" w14:textId="77777777" w:rsidR="00286A88" w:rsidRPr="00286A88" w:rsidRDefault="00286A88" w:rsidP="003A408B">
      <w:pPr>
        <w:rPr>
          <w:lang w:val="en-AU" w:eastAsia="en-AU"/>
        </w:rPr>
      </w:pPr>
      <w:r w:rsidRPr="00286A88">
        <w:rPr>
          <w:lang w:val="en-AU" w:eastAsia="en-AU"/>
        </w:rPr>
        <w:t>Data from the Australian Bureau of Statistics show that at 30 June 2016 there were over 15.6 million layer hens and almost 4 million pullets in Australia (ABS, 2017a), an increase of 2 million layers and pullets (combined) in each of the preceding two years (ABS, 2015; 2016). The gross value of the eggs produced in the financial year 2015-16 was estimated to be 783 million Australian dollars (ABS, 2017b). Eggs produced from caged birds made up 63% of all production, with 30% from free range hens, and 7% from barn flocks (ABS, 2017a). There were 130 caged egg farming businesses, 159 barn egg farming businesses and 1,539 free range egg farming businesses (ABS, 2017a).</w:t>
      </w:r>
    </w:p>
    <w:p w14:paraId="35930172" w14:textId="77777777" w:rsidR="00286A88" w:rsidRPr="00286A88" w:rsidRDefault="00286A88" w:rsidP="003A408B">
      <w:pPr>
        <w:pStyle w:val="Heading2"/>
        <w:rPr>
          <w:lang w:val="en-AU" w:eastAsia="en-AU"/>
        </w:rPr>
      </w:pPr>
      <w:bookmarkStart w:id="24" w:name="_Toc495310494"/>
      <w:r w:rsidRPr="00286A88">
        <w:rPr>
          <w:lang w:val="en-AU" w:eastAsia="en-AU"/>
        </w:rPr>
        <w:t>LH2.</w:t>
      </w:r>
      <w:r w:rsidR="00CB4FAF">
        <w:rPr>
          <w:lang w:val="en-AU" w:eastAsia="en-AU"/>
        </w:rPr>
        <w:t xml:space="preserve"> </w:t>
      </w:r>
      <w:r w:rsidRPr="00286A88">
        <w:rPr>
          <w:lang w:val="en-AU" w:eastAsia="en-AU"/>
        </w:rPr>
        <w:t>Feed and Water</w:t>
      </w:r>
      <w:bookmarkEnd w:id="24"/>
    </w:p>
    <w:p w14:paraId="63AB474E" w14:textId="77777777" w:rsidR="00286A88" w:rsidRPr="003A408B" w:rsidRDefault="00286A88" w:rsidP="003A408B">
      <w:pPr>
        <w:rPr>
          <w:i/>
          <w:lang w:val="en-AU" w:eastAsia="en-AU"/>
        </w:rPr>
      </w:pPr>
      <w:r w:rsidRPr="003A408B">
        <w:rPr>
          <w:i/>
          <w:lang w:val="en-AU" w:eastAsia="en-AU"/>
        </w:rPr>
        <w:t>The nutrient requirements of laying hens are well-established. Here we review only those contexts where feeding practices are a major contributor to welfare problems.</w:t>
      </w:r>
    </w:p>
    <w:p w14:paraId="3CDB73D2" w14:textId="77777777" w:rsidR="00286A88" w:rsidRPr="00286A88" w:rsidRDefault="00286A88" w:rsidP="003A408B">
      <w:pPr>
        <w:rPr>
          <w:lang w:val="en-AU" w:eastAsia="en-AU"/>
        </w:rPr>
      </w:pPr>
      <w:r w:rsidRPr="00286A88">
        <w:rPr>
          <w:lang w:val="en-AU" w:eastAsia="en-AU"/>
        </w:rPr>
        <w:t xml:space="preserve">The nutrient requirements of laying hens have been well-established over many decades. Birds in all housing systems are usually fed </w:t>
      </w:r>
      <w:r w:rsidRPr="008020FE">
        <w:rPr>
          <w:i/>
          <w:lang w:val="en-AU" w:eastAsia="en-AU"/>
        </w:rPr>
        <w:t>ad libitum</w:t>
      </w:r>
      <w:r w:rsidRPr="00286A88">
        <w:rPr>
          <w:lang w:val="en-AU" w:eastAsia="en-AU"/>
        </w:rPr>
        <w:t xml:space="preserve"> with rations that enable high egg production and satisfy hunger. Clean water is also generally available </w:t>
      </w:r>
      <w:r w:rsidRPr="008020FE">
        <w:rPr>
          <w:i/>
          <w:lang w:val="en-AU" w:eastAsia="en-AU"/>
        </w:rPr>
        <w:t>ad libitum</w:t>
      </w:r>
      <w:r w:rsidRPr="00286A88">
        <w:rPr>
          <w:lang w:val="en-AU" w:eastAsia="en-AU"/>
        </w:rPr>
        <w:t xml:space="preserve"> in a manner that satisfies thirst. </w:t>
      </w:r>
      <w:r w:rsidRPr="00286A88">
        <w:rPr>
          <w:rFonts w:cs="Arial"/>
          <w:lang w:val="en-AU" w:eastAsia="en-AU"/>
        </w:rPr>
        <w:t xml:space="preserve">Dietary deficiencies are not specific to any one type of housing system. Food conversion efficiency is similar in conventional and furnished cages (Valkonen et al., 2008; 2009) but tends to be lower in non-cage systems, though some studies have reported no differences (e.g. Singh et al., 2009). </w:t>
      </w:r>
      <w:r w:rsidRPr="00286A88">
        <w:rPr>
          <w:lang w:val="en-AU" w:eastAsia="en-AU"/>
        </w:rPr>
        <w:t>The general nutrient requirements of hens are covered in readily available texts (e.g. Nys, 2017).</w:t>
      </w:r>
    </w:p>
    <w:p w14:paraId="49F71C20" w14:textId="77777777" w:rsidR="00286A88" w:rsidRPr="00286A88" w:rsidRDefault="00286A88" w:rsidP="003A408B">
      <w:pPr>
        <w:rPr>
          <w:rFonts w:cs="Arial"/>
          <w:lang w:val="en-AU" w:eastAsia="en-AU"/>
        </w:rPr>
      </w:pPr>
      <w:r w:rsidRPr="00286A88">
        <w:rPr>
          <w:lang w:val="en-AU" w:eastAsia="en-AU"/>
        </w:rPr>
        <w:t>Here we review briefly the contexts in which feeding practices may contribute to or cause specific welfare problems in laying hens; namely bone strength and injurious pecking. Feed is also a relevant factor in the development of fatty liver disease (LH3.10) and lack of feed (and possibly water) is a significant welfare issue during moulting (LH8.3c).</w:t>
      </w:r>
    </w:p>
    <w:p w14:paraId="27FED37D" w14:textId="77777777" w:rsidR="00286A88" w:rsidRPr="00286A88" w:rsidRDefault="00286A88" w:rsidP="003A408B">
      <w:pPr>
        <w:pStyle w:val="Heading3"/>
        <w:rPr>
          <w:rFonts w:ascii="Times New Roman" w:hAnsi="Times New Roman"/>
          <w:sz w:val="24"/>
          <w:szCs w:val="24"/>
          <w:lang w:val="en-AU" w:eastAsia="en-GB"/>
        </w:rPr>
      </w:pPr>
      <w:bookmarkStart w:id="25" w:name="_Toc495310495"/>
      <w:r w:rsidRPr="00286A88">
        <w:rPr>
          <w:lang w:val="en-AU" w:eastAsia="en-GB"/>
        </w:rPr>
        <w:t>LH2.1 Relationship between diet, bone strength and risk of fracture</w:t>
      </w:r>
      <w:bookmarkEnd w:id="25"/>
    </w:p>
    <w:p w14:paraId="76043068" w14:textId="77777777" w:rsidR="00286A88" w:rsidRPr="003A408B" w:rsidRDefault="00286A88" w:rsidP="003A408B">
      <w:pPr>
        <w:rPr>
          <w:i/>
          <w:lang w:val="en-AU" w:eastAsia="en-AU"/>
        </w:rPr>
      </w:pPr>
      <w:r w:rsidRPr="003A408B">
        <w:rPr>
          <w:i/>
          <w:lang w:val="en-AU" w:eastAsia="en-AU"/>
        </w:rPr>
        <w:t>Dietary deficiencies can contribute to bone weakness and increased risk of fracture (LH3.3 and LH3.4), but effective dietary strategies to address these problems require further research.</w:t>
      </w:r>
    </w:p>
    <w:p w14:paraId="19C2095C" w14:textId="77777777" w:rsidR="00286A88" w:rsidRPr="00286A88" w:rsidRDefault="00286A88" w:rsidP="003A408B">
      <w:pPr>
        <w:rPr>
          <w:rFonts w:cs="Times New Roman"/>
          <w:lang w:val="en-AU" w:eastAsia="en-AU"/>
        </w:rPr>
      </w:pPr>
      <w:r w:rsidRPr="00286A88">
        <w:rPr>
          <w:lang w:val="en-AU" w:eastAsia="en-AU"/>
        </w:rPr>
        <w:t>Calcium is the most important mineral in the structure of bone, and particulate sources of calcium (such as limestone or shell) stay in the gizzard for longer than powdered sources and provide an available source of calcium during the night when egg shell formation takes place. Increasing the amount or particle size of calcium has had a positive effect in some studies (Saunders-Blades et al., 2009) but only affected shear strength in others (e.g. Cufadar et al., 2011), and the magnitude of any effect does not appear sufficient to prevent bone fractures. Strategies to provide additional calcium during the late evening or night when physiological demand is greatest may be a topic for future research (Bain et al., 2016). Supplementation of diets with additional vitamin D (necessary for calcium absorption) had no effect on the prevalence of bone fractures (Kappeli et al., 2011a).</w:t>
      </w:r>
    </w:p>
    <w:p w14:paraId="43EDC066" w14:textId="77777777" w:rsidR="00286A88" w:rsidRPr="00286A88" w:rsidRDefault="00286A88" w:rsidP="003A408B">
      <w:pPr>
        <w:rPr>
          <w:rFonts w:cs="Times New Roman"/>
          <w:lang w:val="en-AU" w:eastAsia="en-AU"/>
        </w:rPr>
      </w:pPr>
      <w:r w:rsidRPr="00286A88">
        <w:rPr>
          <w:lang w:val="en-AU" w:eastAsia="en-AU"/>
        </w:rPr>
        <w:t xml:space="preserve">Tarlton et al. (2013) found that </w:t>
      </w:r>
      <w:r w:rsidRPr="00286A88">
        <w:rPr>
          <w:rFonts w:cs="Times New Roman"/>
          <w:lang w:val="en-AU" w:eastAsia="en-AU"/>
        </w:rPr>
        <w:t>feeding hens short chain omega-3 alpha linolenic acid (ALA) markedly (40-60%) and significantly reduced the risk of keel bone fractures and significantly increased bone strength. However, the eggs from these studies, though high in short-chain omega-3, did not contain the high levels of long-chain omega-3 required by consumers. When hen diets were supplemented with high levels of long-chain omega-3 (mostly eicosapentaenoic acid (EPA) in the form of fish oil the benefits were less clear, with those containing the highest EPA content actually having detrimental effects on health and welfare of hens (Toscano et al., 2015).This may have been due to the hens’ inability to control prostaglandin levels when exposed to high levels of their EPA precursor. Other authors have reported no beneficial effects of feeding different ratios of omega-3 and omega-6 on femur breaking strength. Feeding a diet enriched with 0.75% conjugated linoleic acid to hens also had adverse effects on their liver function, and increased signs of fatty liver disease (Koronowicz et al., 2016). However, feeding a diet enriched with 10% flaxseed (a source of ALA) to older hens, lowered the incidence of ovarian tumours and reduced overall mortality (Ansenberger et al., 2010; Davis et al., 2016).</w:t>
      </w:r>
    </w:p>
    <w:p w14:paraId="12FAE8D1" w14:textId="77777777" w:rsidR="00286A88" w:rsidRPr="00286A88" w:rsidRDefault="00286A88" w:rsidP="003A408B">
      <w:pPr>
        <w:rPr>
          <w:rFonts w:cs="Times New Roman"/>
          <w:lang w:val="en-AU" w:eastAsia="en-AU"/>
        </w:rPr>
      </w:pPr>
      <w:r w:rsidRPr="00286A88">
        <w:rPr>
          <w:rFonts w:cs="Times New Roman"/>
          <w:lang w:val="en-AU" w:eastAsia="en-AU"/>
        </w:rPr>
        <w:t>Fasting hens towards the end of the laying period, or greatly reducing the quality of the diet to reduce feed costs which will not be recouped by egg production can increase hunger and further reduce bone quality prior to catching and transportation (Newberry et al., 1999).</w:t>
      </w:r>
    </w:p>
    <w:p w14:paraId="3EC252A6" w14:textId="77777777" w:rsidR="00286A88" w:rsidRPr="00286A88" w:rsidRDefault="00286A88" w:rsidP="003A408B">
      <w:pPr>
        <w:pStyle w:val="Heading3"/>
        <w:rPr>
          <w:rFonts w:ascii="Times New Roman" w:hAnsi="Times New Roman"/>
          <w:sz w:val="24"/>
          <w:szCs w:val="24"/>
          <w:lang w:val="en-AU" w:eastAsia="en-GB"/>
        </w:rPr>
      </w:pPr>
      <w:bookmarkStart w:id="26" w:name="_Toc495310496"/>
      <w:bookmarkStart w:id="27" w:name="_Hlk482092878"/>
      <w:r w:rsidRPr="00286A88">
        <w:rPr>
          <w:lang w:val="en-AU" w:eastAsia="en-GB"/>
        </w:rPr>
        <w:t>LH2.2 Relationship between diet and injurious pecking</w:t>
      </w:r>
      <w:bookmarkEnd w:id="26"/>
    </w:p>
    <w:p w14:paraId="3FE9710A" w14:textId="77777777" w:rsidR="00286A88" w:rsidRPr="0001194A" w:rsidRDefault="00286A88" w:rsidP="003A408B">
      <w:pPr>
        <w:rPr>
          <w:i/>
          <w:lang w:val="en-AU" w:eastAsia="en-AU"/>
        </w:rPr>
      </w:pPr>
      <w:r w:rsidRPr="0001194A">
        <w:rPr>
          <w:i/>
          <w:lang w:val="en-AU" w:eastAsia="en-AU"/>
        </w:rPr>
        <w:t>Dietary deficiencies can contribute to severe feather pecking, which reduces welfare. Increasing the fibre content of the diet and maintaining adequate protein and amino acid levels throughout rearing and laying periods reduces the risk of severe feather pecking.</w:t>
      </w:r>
    </w:p>
    <w:p w14:paraId="79A25217" w14:textId="77777777" w:rsidR="00286A88" w:rsidRPr="00286A88" w:rsidRDefault="00286A88" w:rsidP="003A408B">
      <w:pPr>
        <w:rPr>
          <w:lang w:val="en-AU" w:eastAsia="en-AU"/>
        </w:rPr>
      </w:pPr>
      <w:r w:rsidRPr="00286A88">
        <w:rPr>
          <w:lang w:val="en-AU" w:eastAsia="en-AU"/>
        </w:rPr>
        <w:t>Injurious Pecking (IP) is described in full in LH3.5.</w:t>
      </w:r>
    </w:p>
    <w:p w14:paraId="633424CE" w14:textId="77777777" w:rsidR="00286A88" w:rsidRPr="00286A88" w:rsidRDefault="00286A88" w:rsidP="003A408B">
      <w:pPr>
        <w:rPr>
          <w:lang w:val="en-AU" w:eastAsia="en-AU"/>
        </w:rPr>
      </w:pPr>
      <w:r w:rsidRPr="00286A88">
        <w:rPr>
          <w:lang w:val="en-AU" w:eastAsia="en-AU"/>
        </w:rPr>
        <w:t>Severe feather pecking (SFP) can be linked to dietary deficiencies especially relating to inadequate fibre content (Hetland et al., 2003; Van Krimpen et al., 2005; 2009; Steenfeldt et al., 2007; Elwinger et al., 2008; Kriegseis et al., 2012; Qaisrani et al., 2013; Rodenburg et al., 2013). Feeding additional fibre (8% vs 5%) to pullets can actually increase their weight gain (Panaite et al., 2016) and improve gut function (Van Krimpen et al., 2009). The onset of feather damage was delayed by 10 weeks in one study by feeding hens a low-energy, coarsely ground, high fibre diet compared with a normal layer ration (van Krimpen et al., 2008). In another study, feeding a high oil and fibre diet to FR hens was associated with reduced vent injuries (Kalmendal and Wall, 2012). Ingesting small amounts of wood-shavings may be one way that birds can obtain additional fibre in their diets; birds that ingested 4 g/day wood shavings had larger gizzards (Hetland and Svihus, 2007). Another potential fibre source is the feathers of other birds. These can be found loose on the floor, or can be removed during SFP (Harlander-Matauschek et al., 2006; Harlander-Matauschek and Hausler, 2009). Hens with a high feather pecking tendency will work at a higher rate in formal demand experiments to obtain feathers than hens with a low feather pecking tendency (Harlander-Matauschek et al., 2006). Feather eating is correlated with the number of feathers found on the floor in commercial non-cage systems, but only some researchers (e.g. Hartcher et al., 2016b) have found a positive correlation between feather eating behaviour and plumage quality. This latter relationship was not observed by Riber and Hinrichsen (2016b). Although the experimental inclusion of 10% shredded feathers to the diet reduced SFP bouts and improved feather condition (Kriegseis et al., 2012), the causal relationship between feather eating and feather pecking is not yet clear (Hartcher et al., 2016b).</w:t>
      </w:r>
    </w:p>
    <w:p w14:paraId="6274D4C4" w14:textId="77777777" w:rsidR="00286A88" w:rsidRPr="00286A88" w:rsidRDefault="00286A88" w:rsidP="0001194A">
      <w:pPr>
        <w:rPr>
          <w:lang w:val="en-AU" w:eastAsia="en-AU"/>
        </w:rPr>
      </w:pPr>
      <w:r w:rsidRPr="00286A88">
        <w:rPr>
          <w:lang w:val="en-AU" w:eastAsia="en-AU"/>
        </w:rPr>
        <w:t xml:space="preserve">Fermented forage sources can provide additional dietary fibre. In a Canadian trial, hens housed in FCs and provided with an </w:t>
      </w:r>
      <w:r w:rsidRPr="00286A88">
        <w:rPr>
          <w:i/>
          <w:lang w:val="en-AU" w:eastAsia="en-AU"/>
        </w:rPr>
        <w:t>ad libitum</w:t>
      </w:r>
      <w:r w:rsidRPr="00286A88">
        <w:rPr>
          <w:lang w:val="en-AU" w:eastAsia="en-AU"/>
        </w:rPr>
        <w:t xml:space="preserve"> laying hen ration consumed approximately 50 g/bird/day of barley silage, voluntarily reducing their consumption of the accompanying concentrate ration by approximately 11%. This had no adverse effects on production, bodyweight or markers of physiological stress but it significantly reduced aggression and SFP (Johannson et al., 2016). In free-range systems hens have an additional opportunity to ingest forage material. This is both a potential benefit (in increasing fibre levels) and a drawback if the overall diet becomes unbalanced (see LH2.3).</w:t>
      </w:r>
    </w:p>
    <w:p w14:paraId="37134C8E" w14:textId="77777777" w:rsidR="00286A88" w:rsidRPr="00286A88" w:rsidRDefault="00286A88" w:rsidP="0001194A">
      <w:pPr>
        <w:rPr>
          <w:lang w:val="en-AU" w:eastAsia="en-AU"/>
        </w:rPr>
      </w:pPr>
      <w:r w:rsidRPr="00286A88">
        <w:rPr>
          <w:lang w:val="en-AU" w:eastAsia="en-AU"/>
        </w:rPr>
        <w:t>Feather pecking has also been related to inadequate amino acid and protein levels. Feeding a purely plant-based diet during rearing resulted in more vigorous feather pecking in pullets aged 13-16 weeks than a diet that included fishmeal, but this was a short-lived effect (McKeegan et al., 2001). Van Krimpen et al. (2011) housed hens for 20 weeks and fed them on either an entirely plant-based diet or on one of 4 diets containing meat or bone meal. The development of feather pecking was delayed in hens fed the meat and bone meal compared with hens fed a bone-meal diet only. In some cases, birds that initiate severe, cannibalistic tissue pecking appear to chase and hunt their companions as if they were prey. Birds selected for high feather pecking appear to have altered feeding motivation, and show an increased number of bouts and a faster rate of eating mealworms than low feather pecking lines (De Haas et al., 2010).</w:t>
      </w:r>
    </w:p>
    <w:p w14:paraId="7A6CA5E5" w14:textId="77777777" w:rsidR="00286A88" w:rsidRPr="00286A88" w:rsidRDefault="00286A88" w:rsidP="0001194A">
      <w:pPr>
        <w:pStyle w:val="Heading3"/>
        <w:rPr>
          <w:rFonts w:ascii="Times New Roman" w:hAnsi="Times New Roman"/>
          <w:sz w:val="24"/>
          <w:szCs w:val="24"/>
          <w:lang w:val="en-AU" w:eastAsia="en-GB"/>
        </w:rPr>
      </w:pPr>
      <w:bookmarkStart w:id="28" w:name="_Toc495310497"/>
      <w:bookmarkEnd w:id="27"/>
      <w:r w:rsidRPr="00286A88">
        <w:rPr>
          <w:lang w:val="en-AU" w:eastAsia="en-GB"/>
        </w:rPr>
        <w:t>LH2.3 Free-range and organic diets</w:t>
      </w:r>
      <w:bookmarkEnd w:id="28"/>
    </w:p>
    <w:p w14:paraId="352538E1" w14:textId="77777777" w:rsidR="00286A88" w:rsidRPr="0001194A" w:rsidRDefault="00286A88" w:rsidP="0001194A">
      <w:pPr>
        <w:rPr>
          <w:i/>
          <w:lang w:val="en-AU" w:eastAsia="en-AU"/>
        </w:rPr>
      </w:pPr>
      <w:r w:rsidRPr="0001194A">
        <w:rPr>
          <w:i/>
          <w:lang w:val="en-AU" w:eastAsia="en-AU"/>
        </w:rPr>
        <w:t>Free-range systems provide a potential opportunity for hens to obtain fresh forage, but at high stocking densities pasture quality can be rapidly depleted. Diets that prohibit animal components may be short of some amino acids.</w:t>
      </w:r>
    </w:p>
    <w:p w14:paraId="7003DEC9" w14:textId="77777777" w:rsidR="00286A88" w:rsidRPr="00286A88" w:rsidRDefault="00286A88" w:rsidP="0001194A">
      <w:pPr>
        <w:rPr>
          <w:lang w:val="en-AU" w:eastAsia="en-AU"/>
        </w:rPr>
      </w:pPr>
      <w:r w:rsidRPr="00286A88">
        <w:rPr>
          <w:lang w:val="en-AU" w:eastAsia="en-AU"/>
        </w:rPr>
        <w:t>Free-range hens have the potential opportunity to obtain a proportion of their nutrient requirements from plants growing on the range (Horsted and Hermansen, 2007). Hens with good and varied plant cover on the range are observed pecking directly at plants (Breitsameter et al., 2014) and are able to maintain condition and rates of lay with only some supplementary wheat feeding (Horsted and Hermansen, 2007). However, it is difficult to maintain pasture quality (Maurer et al., 2013). Hens rapidly deplete the range, and as percentage sward cover falls, hens are observed to do more ground pecking and less scratching, plant pecking and sward-directed pecking (Breitsameter et al., 2014).</w:t>
      </w:r>
    </w:p>
    <w:p w14:paraId="5F86B70F" w14:textId="77777777" w:rsidR="00286A88" w:rsidRPr="00286A88" w:rsidRDefault="00286A88" w:rsidP="0001194A">
      <w:pPr>
        <w:rPr>
          <w:lang w:val="en-AU" w:eastAsia="en-AU"/>
        </w:rPr>
      </w:pPr>
      <w:r w:rsidRPr="00286A88">
        <w:rPr>
          <w:lang w:val="en-AU" w:eastAsia="en-AU"/>
        </w:rPr>
        <w:t>Organic diets (and other diets that prohibit components of animal origin) may be short of essential amino acids. An organic diet will not necessarily reduce bird welfare, but pullets grow better if organic diets are supplemented with certain amino acids, such as methionine (Acam</w:t>
      </w:r>
      <w:r w:rsidR="00062B18">
        <w:rPr>
          <w:lang w:val="en-AU" w:eastAsia="en-AU"/>
        </w:rPr>
        <w:t>ovic</w:t>
      </w:r>
      <w:r w:rsidRPr="00286A88">
        <w:rPr>
          <w:lang w:val="en-AU" w:eastAsia="en-AU"/>
        </w:rPr>
        <w:t xml:space="preserve"> et al., 2008). Organic diets are required to contain a proportion of forage, which is likely to have beneficial effects on hen welfare, and also can improve egg quality (Hammershoj and Steenfeldt, 2012). Diets including insect protein are showing much promise, with no adverse effects on welfare detected in medium-growing free-range female broiler hybrids (Biasato et al., 2016), although we can find no published work yet on laying strains.</w:t>
      </w:r>
    </w:p>
    <w:p w14:paraId="4E29A5F9" w14:textId="77777777" w:rsidR="00286A88" w:rsidRPr="00286A88" w:rsidRDefault="00286A88" w:rsidP="0001194A">
      <w:pPr>
        <w:pStyle w:val="Heading2"/>
        <w:rPr>
          <w:lang w:val="en-AU" w:eastAsia="en-AU"/>
        </w:rPr>
      </w:pPr>
      <w:bookmarkStart w:id="29" w:name="_Toc495310498"/>
      <w:r w:rsidRPr="00286A88">
        <w:rPr>
          <w:lang w:val="en-AU" w:eastAsia="en-AU"/>
        </w:rPr>
        <w:t>LH3. Risk Management</w:t>
      </w:r>
      <w:bookmarkEnd w:id="29"/>
    </w:p>
    <w:p w14:paraId="2ED10E09" w14:textId="77777777" w:rsidR="00286A88" w:rsidRPr="00286A88" w:rsidRDefault="00286A88" w:rsidP="0001194A">
      <w:pPr>
        <w:pStyle w:val="Heading3"/>
        <w:rPr>
          <w:lang w:val="en-AU" w:eastAsia="en-GB"/>
        </w:rPr>
      </w:pPr>
      <w:bookmarkStart w:id="30" w:name="_Toc495310499"/>
      <w:r w:rsidRPr="00286A88">
        <w:rPr>
          <w:lang w:val="en-AU" w:eastAsia="en-GB"/>
        </w:rPr>
        <w:t>LH3.1 Mortality</w:t>
      </w:r>
      <w:bookmarkEnd w:id="30"/>
    </w:p>
    <w:p w14:paraId="25143B2D" w14:textId="77777777" w:rsidR="00286A88" w:rsidRPr="0001194A" w:rsidRDefault="00286A88" w:rsidP="0001194A">
      <w:pPr>
        <w:rPr>
          <w:i/>
          <w:lang w:val="en-AU" w:eastAsia="en-AU"/>
        </w:rPr>
      </w:pPr>
      <w:r w:rsidRPr="0001194A">
        <w:rPr>
          <w:i/>
          <w:lang w:val="en-AU" w:eastAsia="en-AU"/>
        </w:rPr>
        <w:t>Flock mortality rate provides critical information about bird welfare. There is more information on flock mortality rate than any other welfare indicator and large compilations of data show that mortality rates in furnished cages are lower and more consistent than in other housing systems. Mortality rates in non-cage and free-range systems are highly variable.</w:t>
      </w:r>
    </w:p>
    <w:p w14:paraId="142EE0E7" w14:textId="77777777" w:rsidR="00286A88" w:rsidRPr="00286A88" w:rsidRDefault="00286A88" w:rsidP="0001194A">
      <w:pPr>
        <w:rPr>
          <w:lang w:val="en-AU" w:eastAsia="en-AU"/>
        </w:rPr>
      </w:pPr>
      <w:r w:rsidRPr="00286A88">
        <w:rPr>
          <w:lang w:val="en-AU" w:eastAsia="en-AU"/>
        </w:rPr>
        <w:t xml:space="preserve">Generally animal welfare is measured at the level of the individual, but much can be inferred from an assessment of overall flock mortality rates. Indeed flock mortality rate is considered by experts to be one of the most important animal welfare indicators for laying hens (Rodenburg et al., 2008b). An increase </w:t>
      </w:r>
      <w:r w:rsidRPr="00286A88">
        <w:rPr>
          <w:rFonts w:cs="Arial"/>
          <w:lang w:val="en-AU" w:eastAsia="en-AU"/>
        </w:rPr>
        <w:t>in mortality over expected levels (published breed standards) should be a cause for some action. Unlike the focused culling seen in the broiler and broiler breeder sectors (BB3.1a), laying hens are only rarely culled if, for example, they are found to be moribund or severely injured. Many injuries (e.g. to the vent or keel bone fractures) are not easy to identify and it is also more difficult to identify and capture ailing birds in large tiered cage or aviary systems. Where high levels of mortality are recorded there should be an attempt to determine the causes in order to manage and rectify the situation. Dead birds are those which could not ‘cope’ with the challenges of their environment. If overall flock mortality is increased, the welfare of the birds that remain in the flock is also likely to be compromised or threatened.</w:t>
      </w:r>
    </w:p>
    <w:p w14:paraId="6576B031" w14:textId="77777777" w:rsidR="00286A88" w:rsidRPr="00286A88" w:rsidRDefault="00286A88" w:rsidP="0001194A">
      <w:pPr>
        <w:rPr>
          <w:rFonts w:cs="Arial"/>
          <w:lang w:val="en-AU" w:eastAsia="en-AU"/>
        </w:rPr>
      </w:pPr>
      <w:r w:rsidRPr="00286A88">
        <w:rPr>
          <w:rFonts w:cs="Arial"/>
          <w:lang w:val="en-AU" w:eastAsia="en-AU"/>
        </w:rPr>
        <w:t>In making overall assessments about hen welfare it is important to obtain widespread data on mortality in different types of housing systems and assess how these relate to the expected breed standards. Data on mortality from experimental studies and commercial farms often far exceeds the published breed standards, demonstrating the range of environmental challenges facing laying hens. Mortality rates are most often compared at 40 weeks of age and at “end of lay” when birds are sent for slaughter, typically at approximately 72 weeks of age.</w:t>
      </w:r>
    </w:p>
    <w:p w14:paraId="1552436F" w14:textId="77777777" w:rsidR="00286A88" w:rsidRPr="00286A88" w:rsidRDefault="00286A88" w:rsidP="0001194A">
      <w:pPr>
        <w:rPr>
          <w:rFonts w:cs="Arial"/>
          <w:lang w:val="en-AU" w:eastAsia="en-AU"/>
        </w:rPr>
      </w:pPr>
      <w:r w:rsidRPr="00286A88">
        <w:rPr>
          <w:rFonts w:cs="Arial"/>
          <w:lang w:val="en-AU" w:eastAsia="en-AU"/>
        </w:rPr>
        <w:t>One of the first compilations of mortality data across different studies was conducted</w:t>
      </w:r>
      <w:r w:rsidR="005D7C40">
        <w:rPr>
          <w:rFonts w:cs="Arial"/>
          <w:lang w:val="en-AU" w:eastAsia="en-AU"/>
        </w:rPr>
        <w:t xml:space="preserve"> within the LayWel project (LayW</w:t>
      </w:r>
      <w:r w:rsidRPr="00286A88">
        <w:rPr>
          <w:rFonts w:cs="Arial"/>
          <w:lang w:val="en-AU" w:eastAsia="en-AU"/>
        </w:rPr>
        <w:t>el, 2006) which obtained data from 1.2 million laying hens, which had been studied in experimental trials (430 treatments) in 7 European countries. This study was done at time when furnished cages were in initial development (Laywel, 2006), so few data were available on larger group colony cages.</w:t>
      </w:r>
    </w:p>
    <w:p w14:paraId="0FF1C7ED" w14:textId="77777777" w:rsidR="00286A88" w:rsidRPr="00286A88" w:rsidRDefault="00286A88" w:rsidP="0001194A">
      <w:pPr>
        <w:rPr>
          <w:lang w:val="en-AU" w:eastAsia="en-AU"/>
        </w:rPr>
      </w:pPr>
      <w:r w:rsidRPr="00286A88">
        <w:rPr>
          <w:lang w:val="en-AU" w:eastAsia="en-AU"/>
        </w:rPr>
        <w:t>The Lay</w:t>
      </w:r>
      <w:r w:rsidR="005D7C40">
        <w:rPr>
          <w:lang w:val="en-AU" w:eastAsia="en-AU"/>
        </w:rPr>
        <w:t>W</w:t>
      </w:r>
      <w:r w:rsidRPr="00286A88">
        <w:rPr>
          <w:lang w:val="en-AU" w:eastAsia="en-AU"/>
        </w:rPr>
        <w:t>el (2006) project reported significant differences in end of lay mortality according to breed and beak-trimming status (Tables LH1a and LH1b), with seemingly smaller differences attributed to housing system, although there was high confounding amongst some variables (e.g. many early trials on FCs used intact-beak birds; brown hybrids were more likely to be placed in non-cage systems).</w:t>
      </w:r>
    </w:p>
    <w:p w14:paraId="498F9754" w14:textId="77777777" w:rsidR="00286A88" w:rsidRPr="00286A88" w:rsidRDefault="00286A88" w:rsidP="0001194A">
      <w:pPr>
        <w:spacing w:before="240"/>
        <w:rPr>
          <w:b/>
          <w:lang w:val="en-AU" w:eastAsia="en-AU"/>
        </w:rPr>
      </w:pPr>
      <w:r w:rsidRPr="00286A88">
        <w:rPr>
          <w:b/>
          <w:lang w:val="en-AU" w:eastAsia="en-AU"/>
        </w:rPr>
        <w:t>Table LH1a: Mean levels of mortality at end of lay</w:t>
      </w:r>
    </w:p>
    <w:tbl>
      <w:tblPr>
        <w:tblStyle w:val="TableGrid1"/>
        <w:tblW w:w="0" w:type="auto"/>
        <w:tblLook w:val="04A0" w:firstRow="1" w:lastRow="0" w:firstColumn="1" w:lastColumn="0" w:noHBand="0" w:noVBand="1"/>
        <w:tblCaption w:val="Table LH1a: Mean levels of mortality at end of lay"/>
        <w:tblDescription w:val="This table shows the mean percentage mortality levels at end of lay of beak-trimmed laying hens and laying hens with intact beaks, for two breeds of laying hens."/>
      </w:tblPr>
      <w:tblGrid>
        <w:gridCol w:w="1051"/>
        <w:gridCol w:w="1607"/>
        <w:gridCol w:w="1607"/>
        <w:gridCol w:w="1607"/>
        <w:gridCol w:w="1607"/>
      </w:tblGrid>
      <w:tr w:rsidR="00286A88" w:rsidRPr="00137939" w14:paraId="4EE98833" w14:textId="77777777" w:rsidTr="00C30DC0">
        <w:trPr>
          <w:tblHeader/>
        </w:trPr>
        <w:tc>
          <w:tcPr>
            <w:tcW w:w="1051" w:type="dxa"/>
          </w:tcPr>
          <w:p w14:paraId="24AD4F41" w14:textId="77777777" w:rsidR="00286A88" w:rsidRPr="00137939" w:rsidRDefault="00286A88" w:rsidP="0001194A"/>
        </w:tc>
        <w:tc>
          <w:tcPr>
            <w:tcW w:w="1607" w:type="dxa"/>
          </w:tcPr>
          <w:p w14:paraId="27C62D02" w14:textId="77777777" w:rsidR="00286A88" w:rsidRPr="00137939" w:rsidRDefault="00286A88" w:rsidP="003D1BC2">
            <w:pPr>
              <w:pStyle w:val="NoSpacing"/>
              <w:spacing w:before="60"/>
            </w:pPr>
            <w:r w:rsidRPr="00137939">
              <w:t>White</w:t>
            </w:r>
          </w:p>
          <w:p w14:paraId="78B968A2" w14:textId="77777777" w:rsidR="00286A88" w:rsidRPr="00137939" w:rsidRDefault="00286A88" w:rsidP="003D1BC2">
            <w:pPr>
              <w:pStyle w:val="NoSpacing"/>
              <w:spacing w:before="60" w:after="60"/>
            </w:pPr>
            <w:r w:rsidRPr="00137939">
              <w:t>beak-trimmed</w:t>
            </w:r>
          </w:p>
        </w:tc>
        <w:tc>
          <w:tcPr>
            <w:tcW w:w="1607" w:type="dxa"/>
          </w:tcPr>
          <w:p w14:paraId="7BF016EB" w14:textId="77777777" w:rsidR="00286A88" w:rsidRPr="00137939" w:rsidRDefault="00286A88" w:rsidP="003D1BC2">
            <w:pPr>
              <w:pStyle w:val="NoSpacing"/>
              <w:spacing w:before="60"/>
            </w:pPr>
            <w:r w:rsidRPr="00137939">
              <w:t>Brown</w:t>
            </w:r>
          </w:p>
          <w:p w14:paraId="44AC302E" w14:textId="77777777" w:rsidR="00286A88" w:rsidRPr="00137939" w:rsidRDefault="00286A88" w:rsidP="003D1BC2">
            <w:pPr>
              <w:pStyle w:val="NoSpacing"/>
              <w:spacing w:before="60"/>
            </w:pPr>
            <w:r w:rsidRPr="00137939">
              <w:t>beak-trimmed</w:t>
            </w:r>
          </w:p>
        </w:tc>
        <w:tc>
          <w:tcPr>
            <w:tcW w:w="1607" w:type="dxa"/>
          </w:tcPr>
          <w:p w14:paraId="1CC12377" w14:textId="77777777" w:rsidR="00286A88" w:rsidRPr="00137939" w:rsidRDefault="00286A88" w:rsidP="003D1BC2">
            <w:pPr>
              <w:pStyle w:val="NoSpacing"/>
              <w:spacing w:before="60"/>
            </w:pPr>
            <w:r w:rsidRPr="00137939">
              <w:t>White</w:t>
            </w:r>
          </w:p>
          <w:p w14:paraId="387A3C09" w14:textId="77777777" w:rsidR="00286A88" w:rsidRPr="00137939" w:rsidRDefault="00286A88" w:rsidP="003D1BC2">
            <w:pPr>
              <w:pStyle w:val="NoSpacing"/>
              <w:spacing w:before="60"/>
            </w:pPr>
            <w:r w:rsidRPr="00137939">
              <w:t>intact-beak</w:t>
            </w:r>
          </w:p>
        </w:tc>
        <w:tc>
          <w:tcPr>
            <w:tcW w:w="1607" w:type="dxa"/>
          </w:tcPr>
          <w:p w14:paraId="445DFAC3" w14:textId="77777777" w:rsidR="00286A88" w:rsidRPr="00137939" w:rsidRDefault="00286A88" w:rsidP="003D1BC2">
            <w:pPr>
              <w:pStyle w:val="NoSpacing"/>
              <w:spacing w:before="60"/>
            </w:pPr>
            <w:r w:rsidRPr="00137939">
              <w:t>Brown</w:t>
            </w:r>
          </w:p>
          <w:p w14:paraId="6469EE58" w14:textId="77777777" w:rsidR="00286A88" w:rsidRPr="00137939" w:rsidRDefault="00286A88" w:rsidP="003D1BC2">
            <w:pPr>
              <w:pStyle w:val="NoSpacing"/>
              <w:spacing w:before="60"/>
            </w:pPr>
            <w:r w:rsidRPr="00137939">
              <w:t>intact-beak</w:t>
            </w:r>
          </w:p>
        </w:tc>
      </w:tr>
      <w:tr w:rsidR="00286A88" w:rsidRPr="00137939" w14:paraId="4F6414F6" w14:textId="77777777" w:rsidTr="00286A88">
        <w:tc>
          <w:tcPr>
            <w:tcW w:w="1051" w:type="dxa"/>
          </w:tcPr>
          <w:p w14:paraId="701AEB62" w14:textId="77777777" w:rsidR="00286A88" w:rsidRPr="00137939" w:rsidRDefault="00286A88" w:rsidP="003D1BC2">
            <w:pPr>
              <w:pStyle w:val="NoSpacing"/>
              <w:spacing w:before="60"/>
            </w:pPr>
            <w:r w:rsidRPr="00137939">
              <w:t xml:space="preserve">Mortality </w:t>
            </w:r>
          </w:p>
        </w:tc>
        <w:tc>
          <w:tcPr>
            <w:tcW w:w="1607" w:type="dxa"/>
          </w:tcPr>
          <w:p w14:paraId="53C50D28" w14:textId="77777777" w:rsidR="00286A88" w:rsidRPr="00137939" w:rsidRDefault="00286A88" w:rsidP="003D1BC2">
            <w:pPr>
              <w:spacing w:before="60" w:after="60"/>
            </w:pPr>
            <w:r w:rsidRPr="00137939">
              <w:t>3.0%</w:t>
            </w:r>
          </w:p>
        </w:tc>
        <w:tc>
          <w:tcPr>
            <w:tcW w:w="1607" w:type="dxa"/>
          </w:tcPr>
          <w:p w14:paraId="4996896D" w14:textId="77777777" w:rsidR="00286A88" w:rsidRPr="00137939" w:rsidRDefault="00286A88" w:rsidP="003D1BC2">
            <w:pPr>
              <w:spacing w:before="60" w:after="60"/>
            </w:pPr>
            <w:r w:rsidRPr="00137939">
              <w:t>9.3%</w:t>
            </w:r>
          </w:p>
        </w:tc>
        <w:tc>
          <w:tcPr>
            <w:tcW w:w="1607" w:type="dxa"/>
          </w:tcPr>
          <w:p w14:paraId="2F2308E5" w14:textId="77777777" w:rsidR="00286A88" w:rsidRPr="00137939" w:rsidRDefault="00286A88" w:rsidP="003D1BC2">
            <w:pPr>
              <w:spacing w:before="60" w:after="60"/>
            </w:pPr>
            <w:r w:rsidRPr="00137939">
              <w:t>10.5%</w:t>
            </w:r>
          </w:p>
        </w:tc>
        <w:tc>
          <w:tcPr>
            <w:tcW w:w="1607" w:type="dxa"/>
          </w:tcPr>
          <w:p w14:paraId="6E18FB0D" w14:textId="77777777" w:rsidR="00286A88" w:rsidRPr="00137939" w:rsidRDefault="00286A88" w:rsidP="003D1BC2">
            <w:pPr>
              <w:spacing w:before="60" w:after="60"/>
            </w:pPr>
            <w:r w:rsidRPr="00137939">
              <w:t>19.0%</w:t>
            </w:r>
          </w:p>
        </w:tc>
      </w:tr>
    </w:tbl>
    <w:p w14:paraId="4D85094B" w14:textId="77777777" w:rsidR="00286A88" w:rsidRPr="00286A88" w:rsidRDefault="00286A88" w:rsidP="0001194A">
      <w:pPr>
        <w:spacing w:before="240"/>
        <w:rPr>
          <w:b/>
          <w:lang w:val="en-AU" w:eastAsia="en-AU"/>
        </w:rPr>
      </w:pPr>
      <w:r w:rsidRPr="00286A88">
        <w:rPr>
          <w:b/>
          <w:lang w:val="en-AU" w:eastAsia="en-AU"/>
        </w:rPr>
        <w:t>Table LH1b: Mean levels of mortality at end of lay</w:t>
      </w:r>
    </w:p>
    <w:tbl>
      <w:tblPr>
        <w:tblStyle w:val="TableGrid1"/>
        <w:tblW w:w="0" w:type="auto"/>
        <w:tblLook w:val="04A0" w:firstRow="1" w:lastRow="0" w:firstColumn="1" w:lastColumn="0" w:noHBand="0" w:noVBand="1"/>
        <w:tblCaption w:val="Table LH1B: Mean levels of mortality at end of lay"/>
        <w:tblDescription w:val="This table shows the mean percentage mortality levels at end of lay of laying hens in three different types of housing - conventional cages, small group furnished cages, and non-cage systems."/>
      </w:tblPr>
      <w:tblGrid>
        <w:gridCol w:w="1051"/>
        <w:gridCol w:w="1610"/>
        <w:gridCol w:w="1610"/>
        <w:gridCol w:w="1610"/>
      </w:tblGrid>
      <w:tr w:rsidR="00286A88" w:rsidRPr="00137939" w14:paraId="2812937C" w14:textId="77777777" w:rsidTr="00C30DC0">
        <w:trPr>
          <w:tblHeader/>
        </w:trPr>
        <w:tc>
          <w:tcPr>
            <w:tcW w:w="1051" w:type="dxa"/>
          </w:tcPr>
          <w:p w14:paraId="03C2599E" w14:textId="77777777" w:rsidR="00286A88" w:rsidRPr="00137939" w:rsidRDefault="00286A88" w:rsidP="0001194A"/>
        </w:tc>
        <w:tc>
          <w:tcPr>
            <w:tcW w:w="1610" w:type="dxa"/>
          </w:tcPr>
          <w:p w14:paraId="51F4ADEE" w14:textId="77777777" w:rsidR="00286A88" w:rsidRPr="00137939" w:rsidRDefault="00286A88" w:rsidP="003D1BC2">
            <w:pPr>
              <w:pStyle w:val="NoSpacing"/>
              <w:spacing w:before="60"/>
            </w:pPr>
            <w:r w:rsidRPr="00137939">
              <w:t>CC</w:t>
            </w:r>
          </w:p>
        </w:tc>
        <w:tc>
          <w:tcPr>
            <w:tcW w:w="1610" w:type="dxa"/>
          </w:tcPr>
          <w:p w14:paraId="32C171C2" w14:textId="77777777" w:rsidR="00286A88" w:rsidRPr="00137939" w:rsidRDefault="00286A88" w:rsidP="003D1BC2">
            <w:pPr>
              <w:pStyle w:val="NoSpacing"/>
              <w:spacing w:before="60"/>
            </w:pPr>
            <w:r w:rsidRPr="00137939">
              <w:t>Small group FC</w:t>
            </w:r>
          </w:p>
        </w:tc>
        <w:tc>
          <w:tcPr>
            <w:tcW w:w="1610" w:type="dxa"/>
          </w:tcPr>
          <w:p w14:paraId="4235E157" w14:textId="77777777" w:rsidR="00286A88" w:rsidRPr="00137939" w:rsidRDefault="00286A88" w:rsidP="003D1BC2">
            <w:pPr>
              <w:pStyle w:val="NoSpacing"/>
              <w:spacing w:before="60"/>
            </w:pPr>
            <w:r w:rsidRPr="00137939">
              <w:t>Non-cage</w:t>
            </w:r>
          </w:p>
        </w:tc>
      </w:tr>
      <w:tr w:rsidR="00286A88" w:rsidRPr="00137939" w14:paraId="36D1DF9A" w14:textId="77777777" w:rsidTr="00286A88">
        <w:tc>
          <w:tcPr>
            <w:tcW w:w="1051" w:type="dxa"/>
          </w:tcPr>
          <w:p w14:paraId="6BB0BD75" w14:textId="77777777" w:rsidR="00286A88" w:rsidRPr="00137939" w:rsidRDefault="00286A88" w:rsidP="003D1BC2">
            <w:pPr>
              <w:pStyle w:val="NoSpacing"/>
              <w:spacing w:before="60"/>
            </w:pPr>
            <w:r w:rsidRPr="00137939">
              <w:t>Mortality</w:t>
            </w:r>
          </w:p>
        </w:tc>
        <w:tc>
          <w:tcPr>
            <w:tcW w:w="1610" w:type="dxa"/>
          </w:tcPr>
          <w:p w14:paraId="7661214B" w14:textId="77777777" w:rsidR="00286A88" w:rsidRPr="00137939" w:rsidRDefault="00286A88" w:rsidP="003D1BC2">
            <w:pPr>
              <w:spacing w:before="60" w:after="60"/>
            </w:pPr>
            <w:r w:rsidRPr="00137939">
              <w:t>8.3%</w:t>
            </w:r>
          </w:p>
        </w:tc>
        <w:tc>
          <w:tcPr>
            <w:tcW w:w="1610" w:type="dxa"/>
          </w:tcPr>
          <w:p w14:paraId="07473AC0" w14:textId="77777777" w:rsidR="00286A88" w:rsidRPr="00137939" w:rsidRDefault="00286A88" w:rsidP="003D1BC2">
            <w:pPr>
              <w:spacing w:before="60" w:after="60"/>
            </w:pPr>
            <w:r w:rsidRPr="00137939">
              <w:t>7.1%</w:t>
            </w:r>
          </w:p>
        </w:tc>
        <w:tc>
          <w:tcPr>
            <w:tcW w:w="1610" w:type="dxa"/>
          </w:tcPr>
          <w:p w14:paraId="52A59F02" w14:textId="77777777" w:rsidR="00286A88" w:rsidRPr="00137939" w:rsidRDefault="00286A88" w:rsidP="003D1BC2">
            <w:pPr>
              <w:spacing w:before="60" w:after="60"/>
            </w:pPr>
            <w:r w:rsidRPr="00137939">
              <w:t>11.8%</w:t>
            </w:r>
          </w:p>
        </w:tc>
      </w:tr>
    </w:tbl>
    <w:p w14:paraId="2C7BE28D" w14:textId="77777777" w:rsidR="00286A88" w:rsidRPr="00286A88" w:rsidRDefault="00286A88" w:rsidP="001716DB">
      <w:pPr>
        <w:spacing w:before="180"/>
        <w:rPr>
          <w:lang w:val="en-AU" w:eastAsia="en-AU"/>
        </w:rPr>
      </w:pPr>
      <w:r w:rsidRPr="00286A88">
        <w:rPr>
          <w:lang w:val="en-AU" w:eastAsia="en-AU"/>
        </w:rPr>
        <w:t>Subsequently, Freire and Cowling (2013) conducted a simple form of quantitative analysis on 35 studies that had been published between 1974 and 2010. Of these, 19 had reported comparative mortality data for conventional cages vs other systems. 11/18 studies reported higher mortality in non-cage than cage systems, with no difference in mortality outcomes for studies that compared CC and FC systems. Rakonjac et al. (2014) also concluded on the basis of a non-quantitative review of a selection of European studies published between 1995 and 2012 that non-cage systems tend to have higher mortality.</w:t>
      </w:r>
    </w:p>
    <w:p w14:paraId="27AEF944" w14:textId="77777777" w:rsidR="00286A88" w:rsidRPr="00286A88" w:rsidRDefault="00286A88" w:rsidP="0001194A">
      <w:pPr>
        <w:rPr>
          <w:lang w:val="en-AU" w:eastAsia="en-AU"/>
        </w:rPr>
      </w:pPr>
      <w:r w:rsidRPr="00286A88">
        <w:rPr>
          <w:lang w:val="en-AU" w:eastAsia="en-AU"/>
        </w:rPr>
        <w:t>A more recent and very thorough quantitative analysis of levels of mortality in 3,851 commercial flocks, recorded as part of ten different scientific studies across Europe (Weeks et al., 2016), is shown in Figure LH5. Of those 3,851 flocks, 26 had also been included in the analysis conducted by Freire and Cowling (2013) but this was the only overlap. The data from Weeks et al. (2016) clearly illustrate the low mortalities now being achieved in commercial FC systems. Figure LH5 also demonstrates that in a substantial minority of loose-housed flocks the levels of mortality can become extremely high.</w:t>
      </w:r>
    </w:p>
    <w:p w14:paraId="7E9D6876" w14:textId="77777777" w:rsidR="00286A88" w:rsidRPr="001716DB" w:rsidRDefault="00286A88" w:rsidP="00286A88">
      <w:pPr>
        <w:spacing w:after="200" w:line="240" w:lineRule="auto"/>
        <w:jc w:val="both"/>
      </w:pPr>
      <w:r w:rsidRPr="00864384">
        <w:rPr>
          <w:rFonts w:eastAsia="Times New Roman" w:cs="Arial"/>
          <w:noProof/>
          <w:color w:val="auto"/>
          <w:sz w:val="22"/>
          <w:szCs w:val="22"/>
          <w:lang w:val="en-AU" w:eastAsia="en-AU"/>
        </w:rPr>
        <w:drawing>
          <wp:inline distT="0" distB="0" distL="0" distR="0" wp14:anchorId="26F8AE17" wp14:editId="2D3B6486">
            <wp:extent cx="3636000" cy="2660400"/>
            <wp:effectExtent l="0" t="0" r="3175" b="6985"/>
            <wp:docPr id="14" name="Picture 5" descr="This figure graphs the percentage mortality of hens at 60 to 80 weeks of age in the six housing systems analysed in the scientific paper by Weeks et al (2016), which analysed findings from ten scientific studies across Europe. From left to right, the categories are aviary, barn, conventional cage, furnished cage, free range, and free range aviary. The graph shows the percentage mortality, and medians and inter-quartile ranges for each system." title="Figure LH5: Comparative levels of mortality in each housing system recorded at 60-80 weeks of age (medians and inter-quartile range (I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36000" cy="2660400"/>
                    </a:xfrm>
                    <a:prstGeom prst="rect">
                      <a:avLst/>
                    </a:prstGeom>
                    <a:noFill/>
                    <a:ln>
                      <a:noFill/>
                    </a:ln>
                  </pic:spPr>
                </pic:pic>
              </a:graphicData>
            </a:graphic>
          </wp:inline>
        </w:drawing>
      </w:r>
    </w:p>
    <w:p w14:paraId="77BD70FF" w14:textId="77777777" w:rsidR="00286A88" w:rsidRPr="0001194A" w:rsidRDefault="00286A88" w:rsidP="0001194A">
      <w:pPr>
        <w:rPr>
          <w:b/>
          <w:lang w:val="en-AU" w:eastAsia="en-AU"/>
        </w:rPr>
      </w:pPr>
      <w:r w:rsidRPr="0001194A">
        <w:rPr>
          <w:b/>
          <w:lang w:val="en-AU" w:eastAsia="en-AU"/>
        </w:rPr>
        <w:t>Fig</w:t>
      </w:r>
      <w:r w:rsidR="0099037E">
        <w:rPr>
          <w:b/>
          <w:lang w:val="en-AU" w:eastAsia="en-AU"/>
        </w:rPr>
        <w:t>ure</w:t>
      </w:r>
      <w:r w:rsidRPr="0001194A">
        <w:rPr>
          <w:b/>
          <w:lang w:val="en-AU" w:eastAsia="en-AU"/>
        </w:rPr>
        <w:t xml:space="preserve"> LH5: Comparative levels of mortality in each housing system recorded at 60-80 weeks of age (medians and inter-quartile range (IQR)</w:t>
      </w:r>
    </w:p>
    <w:p w14:paraId="39A4E9D6" w14:textId="77777777" w:rsidR="00286A88" w:rsidRPr="00286A88" w:rsidRDefault="00286A88" w:rsidP="0001194A">
      <w:pPr>
        <w:rPr>
          <w:lang w:val="en-AU" w:eastAsia="en-AU"/>
        </w:rPr>
      </w:pPr>
      <w:r w:rsidRPr="00286A88">
        <w:rPr>
          <w:lang w:val="en-AU" w:eastAsia="en-AU"/>
        </w:rPr>
        <w:t xml:space="preserve">For the purposes of this review, we extracted additional mortality data from recent studies that had </w:t>
      </w:r>
      <w:r w:rsidRPr="00286A88">
        <w:rPr>
          <w:i/>
          <w:lang w:val="en-AU" w:eastAsia="en-AU"/>
        </w:rPr>
        <w:t xml:space="preserve">not </w:t>
      </w:r>
      <w:r w:rsidRPr="00286A88">
        <w:rPr>
          <w:lang w:val="en-AU" w:eastAsia="en-AU"/>
        </w:rPr>
        <w:t>been included in either the reviews of Freire and Cowling (2013) or Weeks et al. (2016) (Figure LH6; Table LH2). The unweighted means (taking no account of number of studies or flocks contributing to each paper) present the same overall pattern, with lowest and most consistent mortality from FC systems, and highly variable outcomes from non-cage systems.</w:t>
      </w:r>
    </w:p>
    <w:p w14:paraId="06AB92AF" w14:textId="77777777" w:rsidR="00286A88" w:rsidRPr="00286A88" w:rsidRDefault="00286A88" w:rsidP="0001194A">
      <w:pPr>
        <w:rPr>
          <w:lang w:val="en-AU" w:eastAsia="en-AU"/>
        </w:rPr>
      </w:pPr>
    </w:p>
    <w:p w14:paraId="7F26F22D" w14:textId="77777777" w:rsidR="00286A88" w:rsidRPr="0001194A" w:rsidRDefault="00286A88" w:rsidP="00286A88">
      <w:pPr>
        <w:spacing w:after="200" w:line="240" w:lineRule="auto"/>
        <w:jc w:val="both"/>
      </w:pPr>
      <w:r w:rsidRPr="00864384">
        <w:rPr>
          <w:rFonts w:eastAsia="Times New Roman" w:cs="Arial"/>
          <w:b/>
          <w:i/>
          <w:noProof/>
          <w:color w:val="auto"/>
          <w:sz w:val="22"/>
          <w:szCs w:val="22"/>
          <w:lang w:val="en-AU" w:eastAsia="en-AU"/>
        </w:rPr>
        <w:drawing>
          <wp:inline distT="0" distB="0" distL="0" distR="0" wp14:anchorId="5A8C3D0C" wp14:editId="510EE36E">
            <wp:extent cx="4348267" cy="2619375"/>
            <wp:effectExtent l="0" t="0" r="0" b="0"/>
            <wp:docPr id="15" name="Picture 7" descr="This figure graphs the percentage mortalities (and medians and interquartile ranges) for five laying hen housing systems - aviary barn, conventional cage, furnished cage, free range, and organic. This data is derived from the 24 scientific papers listed in Table LH2. These papers were not included in the data that were analysed by Weeks et al (2016), from which the the graph in Figure LH5 was derived." title="Figure LH6: Comparative levels of mortality in each housing systems (medians and IQR) derived from (unweighted) studies listed in Table L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4354048" cy="2622857"/>
                    </a:xfrm>
                    <a:prstGeom prst="rect">
                      <a:avLst/>
                    </a:prstGeom>
                    <a:noFill/>
                    <a:ln w="9525">
                      <a:noFill/>
                      <a:miter lim="800000"/>
                      <a:headEnd/>
                      <a:tailEnd/>
                    </a:ln>
                  </pic:spPr>
                </pic:pic>
              </a:graphicData>
            </a:graphic>
          </wp:inline>
        </w:drawing>
      </w:r>
    </w:p>
    <w:p w14:paraId="1425A7CE" w14:textId="77777777" w:rsidR="00286A88" w:rsidRPr="00A91252" w:rsidRDefault="00286A88" w:rsidP="00A91252">
      <w:pPr>
        <w:rPr>
          <w:b/>
          <w:lang w:val="en-AU" w:eastAsia="en-AU"/>
        </w:rPr>
      </w:pPr>
      <w:r w:rsidRPr="00A91252">
        <w:rPr>
          <w:b/>
          <w:lang w:val="en-AU" w:eastAsia="en-AU"/>
        </w:rPr>
        <w:t xml:space="preserve">Figure LH6: Comparative levels of mortality </w:t>
      </w:r>
      <w:r w:rsidR="00BD3AF9">
        <w:rPr>
          <w:b/>
          <w:lang w:val="en-AU" w:eastAsia="en-AU"/>
        </w:rPr>
        <w:t xml:space="preserve">(%) </w:t>
      </w:r>
      <w:r w:rsidRPr="00A91252">
        <w:rPr>
          <w:b/>
          <w:lang w:val="en-AU" w:eastAsia="en-AU"/>
        </w:rPr>
        <w:t>in each housing system (medians and IQR) derived from (unweighted) studies listed in Table LH2</w:t>
      </w:r>
    </w:p>
    <w:p w14:paraId="03A33C44" w14:textId="77777777" w:rsidR="006542A7" w:rsidRPr="006542A7" w:rsidRDefault="006542A7" w:rsidP="006542A7">
      <w:pPr>
        <w:rPr>
          <w:szCs w:val="18"/>
          <w:lang w:val="en-AU" w:eastAsia="en-AU"/>
        </w:rPr>
      </w:pPr>
    </w:p>
    <w:p w14:paraId="284BB98C" w14:textId="77777777" w:rsidR="00286A88" w:rsidRPr="00A91252" w:rsidRDefault="00286A88" w:rsidP="00A91252">
      <w:pPr>
        <w:rPr>
          <w:b/>
          <w:lang w:val="en-AU" w:eastAsia="en-AU"/>
        </w:rPr>
      </w:pPr>
      <w:r w:rsidRPr="00A91252">
        <w:rPr>
          <w:b/>
          <w:lang w:val="en-AU" w:eastAsia="en-AU"/>
        </w:rPr>
        <w:t>Table LH2</w:t>
      </w:r>
      <w:r w:rsidR="007D543E" w:rsidRPr="00A91252">
        <w:rPr>
          <w:b/>
          <w:lang w:val="en-AU" w:eastAsia="en-AU"/>
        </w:rPr>
        <w:t>:</w:t>
      </w:r>
      <w:r w:rsidRPr="00A91252">
        <w:rPr>
          <w:b/>
          <w:lang w:val="en-AU" w:eastAsia="en-AU"/>
        </w:rPr>
        <w:t xml:space="preserve"> Average mortality </w:t>
      </w:r>
      <w:r w:rsidR="00BD3AF9">
        <w:rPr>
          <w:b/>
          <w:lang w:val="en-AU" w:eastAsia="en-AU"/>
        </w:rPr>
        <w:t xml:space="preserve">(%) </w:t>
      </w:r>
      <w:r w:rsidRPr="00A91252">
        <w:rPr>
          <w:b/>
          <w:lang w:val="en-AU" w:eastAsia="en-AU"/>
        </w:rPr>
        <w:t>figures reported in studies not included in previous reviews</w:t>
      </w:r>
    </w:p>
    <w:tbl>
      <w:tblPr>
        <w:tblStyle w:val="TableGrid"/>
        <w:tblW w:w="0" w:type="auto"/>
        <w:tblLook w:val="04A0" w:firstRow="1" w:lastRow="0" w:firstColumn="1" w:lastColumn="0" w:noHBand="0" w:noVBand="1"/>
        <w:tblCaption w:val="Table LH2: Average mortality figures reported in studies not included in previous reviews"/>
        <w:tblDescription w:val="Percentage mortality of laying hens from five housing systems - conventional cage, furnished cage, non-cage, free range, and organic, derived from mortality data from 24 recent studies additional to the mortality data that were included in either the reviews of Frieire and Cowling (2013) or Weeks et al (2016)."/>
      </w:tblPr>
      <w:tblGrid>
        <w:gridCol w:w="2796"/>
        <w:gridCol w:w="1432"/>
        <w:gridCol w:w="1432"/>
        <w:gridCol w:w="1432"/>
        <w:gridCol w:w="1432"/>
        <w:gridCol w:w="1432"/>
      </w:tblGrid>
      <w:tr w:rsidR="007D543E" w:rsidRPr="00927483" w14:paraId="2C6CF14F" w14:textId="77777777" w:rsidTr="00315719">
        <w:trPr>
          <w:tblHeader/>
        </w:trPr>
        <w:tc>
          <w:tcPr>
            <w:tcW w:w="2796" w:type="dxa"/>
          </w:tcPr>
          <w:p w14:paraId="7C19F637" w14:textId="77777777" w:rsidR="007D543E" w:rsidRPr="00927483" w:rsidRDefault="007D543E" w:rsidP="00561E98">
            <w:r w:rsidRPr="00927483">
              <w:t>Study</w:t>
            </w:r>
          </w:p>
        </w:tc>
        <w:tc>
          <w:tcPr>
            <w:tcW w:w="1432" w:type="dxa"/>
          </w:tcPr>
          <w:p w14:paraId="0B078B54" w14:textId="77777777" w:rsidR="007D543E" w:rsidRPr="00927483" w:rsidRDefault="007D543E" w:rsidP="007D543E">
            <w:pPr>
              <w:jc w:val="center"/>
            </w:pPr>
            <w:r w:rsidRPr="00927483">
              <w:t>CC</w:t>
            </w:r>
          </w:p>
        </w:tc>
        <w:tc>
          <w:tcPr>
            <w:tcW w:w="1432" w:type="dxa"/>
          </w:tcPr>
          <w:p w14:paraId="3B78C5FF" w14:textId="77777777" w:rsidR="007D543E" w:rsidRPr="00927483" w:rsidRDefault="007D543E" w:rsidP="007D543E">
            <w:pPr>
              <w:jc w:val="center"/>
            </w:pPr>
            <w:r w:rsidRPr="00927483">
              <w:t>FC</w:t>
            </w:r>
          </w:p>
        </w:tc>
        <w:tc>
          <w:tcPr>
            <w:tcW w:w="1432" w:type="dxa"/>
          </w:tcPr>
          <w:p w14:paraId="23508F1F" w14:textId="77777777" w:rsidR="007D543E" w:rsidRPr="00927483" w:rsidRDefault="007D543E" w:rsidP="007D543E">
            <w:pPr>
              <w:jc w:val="center"/>
            </w:pPr>
            <w:r w:rsidRPr="00927483">
              <w:t>Non-cage</w:t>
            </w:r>
          </w:p>
        </w:tc>
        <w:tc>
          <w:tcPr>
            <w:tcW w:w="1432" w:type="dxa"/>
          </w:tcPr>
          <w:p w14:paraId="648F56AD" w14:textId="77777777" w:rsidR="007D543E" w:rsidRPr="00927483" w:rsidRDefault="007D543E" w:rsidP="007D543E">
            <w:pPr>
              <w:jc w:val="center"/>
            </w:pPr>
            <w:r w:rsidRPr="00927483">
              <w:t>Free-range</w:t>
            </w:r>
          </w:p>
        </w:tc>
        <w:tc>
          <w:tcPr>
            <w:tcW w:w="1432" w:type="dxa"/>
          </w:tcPr>
          <w:p w14:paraId="69FD1073" w14:textId="77777777" w:rsidR="007D543E" w:rsidRPr="00927483" w:rsidRDefault="007D543E" w:rsidP="007D543E">
            <w:pPr>
              <w:jc w:val="center"/>
            </w:pPr>
            <w:r w:rsidRPr="00927483">
              <w:t>Organic</w:t>
            </w:r>
          </w:p>
        </w:tc>
      </w:tr>
      <w:tr w:rsidR="007D543E" w14:paraId="628E8F43" w14:textId="77777777" w:rsidTr="00315719">
        <w:tc>
          <w:tcPr>
            <w:tcW w:w="2796" w:type="dxa"/>
          </w:tcPr>
          <w:p w14:paraId="6A721BE5" w14:textId="77777777" w:rsidR="007D543E" w:rsidRPr="000E740A" w:rsidRDefault="007D543E" w:rsidP="00C4385D">
            <w:r w:rsidRPr="000E740A">
              <w:t>Agra C</w:t>
            </w:r>
            <w:r w:rsidR="00C4385D">
              <w:t>EAS</w:t>
            </w:r>
            <w:r>
              <w:t>,</w:t>
            </w:r>
            <w:r w:rsidR="000B0B33">
              <w:t xml:space="preserve"> 200</w:t>
            </w:r>
            <w:r w:rsidRPr="000E740A">
              <w:t>4</w:t>
            </w:r>
          </w:p>
        </w:tc>
        <w:tc>
          <w:tcPr>
            <w:tcW w:w="1432" w:type="dxa"/>
          </w:tcPr>
          <w:p w14:paraId="36A502DF" w14:textId="77777777" w:rsidR="007D543E" w:rsidRPr="000E740A" w:rsidRDefault="007D543E" w:rsidP="00FD5485">
            <w:pPr>
              <w:ind w:left="454"/>
            </w:pPr>
            <w:r w:rsidRPr="000E740A">
              <w:t>6.0</w:t>
            </w:r>
          </w:p>
        </w:tc>
        <w:tc>
          <w:tcPr>
            <w:tcW w:w="1432" w:type="dxa"/>
          </w:tcPr>
          <w:p w14:paraId="736C0751" w14:textId="77777777" w:rsidR="007D543E" w:rsidRPr="000E740A" w:rsidRDefault="007D543E" w:rsidP="007A2EE2">
            <w:pPr>
              <w:ind w:left="454"/>
            </w:pPr>
            <w:r w:rsidRPr="000E740A">
              <w:t>4.47</w:t>
            </w:r>
          </w:p>
        </w:tc>
        <w:tc>
          <w:tcPr>
            <w:tcW w:w="1432" w:type="dxa"/>
          </w:tcPr>
          <w:p w14:paraId="12619442" w14:textId="77777777" w:rsidR="007D543E" w:rsidRPr="000E740A" w:rsidRDefault="007D543E" w:rsidP="00561E98"/>
        </w:tc>
        <w:tc>
          <w:tcPr>
            <w:tcW w:w="1432" w:type="dxa"/>
          </w:tcPr>
          <w:p w14:paraId="448155C2" w14:textId="77777777" w:rsidR="007D543E" w:rsidRPr="000E740A" w:rsidRDefault="007D543E" w:rsidP="00561E98"/>
        </w:tc>
        <w:tc>
          <w:tcPr>
            <w:tcW w:w="1432" w:type="dxa"/>
          </w:tcPr>
          <w:p w14:paraId="30C3CCA4" w14:textId="77777777" w:rsidR="007D543E" w:rsidRPr="000E740A" w:rsidRDefault="007D543E" w:rsidP="00561E98"/>
        </w:tc>
      </w:tr>
      <w:tr w:rsidR="007D543E" w14:paraId="23502830" w14:textId="77777777" w:rsidTr="00315719">
        <w:tc>
          <w:tcPr>
            <w:tcW w:w="2796" w:type="dxa"/>
          </w:tcPr>
          <w:p w14:paraId="121AD575" w14:textId="77777777" w:rsidR="007D543E" w:rsidRPr="000E740A" w:rsidRDefault="007D543E" w:rsidP="00561E98">
            <w:r w:rsidRPr="000E740A">
              <w:t>Anderson &amp; Havenstein, 2007</w:t>
            </w:r>
          </w:p>
        </w:tc>
        <w:tc>
          <w:tcPr>
            <w:tcW w:w="1432" w:type="dxa"/>
          </w:tcPr>
          <w:p w14:paraId="2A7BB45C" w14:textId="77777777" w:rsidR="007D543E" w:rsidRPr="000E740A" w:rsidRDefault="007D543E" w:rsidP="00FD5485">
            <w:pPr>
              <w:ind w:left="454"/>
            </w:pPr>
            <w:r w:rsidRPr="000E740A">
              <w:t>8.7</w:t>
            </w:r>
          </w:p>
        </w:tc>
        <w:tc>
          <w:tcPr>
            <w:tcW w:w="1432" w:type="dxa"/>
          </w:tcPr>
          <w:p w14:paraId="66C2F281" w14:textId="77777777" w:rsidR="007D543E" w:rsidRPr="000E740A" w:rsidRDefault="007D543E" w:rsidP="00561E98"/>
        </w:tc>
        <w:tc>
          <w:tcPr>
            <w:tcW w:w="1432" w:type="dxa"/>
          </w:tcPr>
          <w:p w14:paraId="5FDE2AD5" w14:textId="77777777" w:rsidR="007D543E" w:rsidRPr="000E740A" w:rsidRDefault="007D543E" w:rsidP="00561E98"/>
        </w:tc>
        <w:tc>
          <w:tcPr>
            <w:tcW w:w="1432" w:type="dxa"/>
          </w:tcPr>
          <w:p w14:paraId="691E23C3" w14:textId="77777777" w:rsidR="007D543E" w:rsidRPr="000E740A" w:rsidRDefault="007D543E" w:rsidP="00561E98"/>
        </w:tc>
        <w:tc>
          <w:tcPr>
            <w:tcW w:w="1432" w:type="dxa"/>
          </w:tcPr>
          <w:p w14:paraId="444EEFBE" w14:textId="77777777" w:rsidR="007D543E" w:rsidRPr="000E740A" w:rsidRDefault="007D543E" w:rsidP="00561E98"/>
        </w:tc>
      </w:tr>
      <w:tr w:rsidR="007D543E" w14:paraId="65986C26" w14:textId="77777777" w:rsidTr="00315719">
        <w:tc>
          <w:tcPr>
            <w:tcW w:w="2796" w:type="dxa"/>
          </w:tcPr>
          <w:p w14:paraId="55227CF2" w14:textId="77777777" w:rsidR="007D543E" w:rsidRPr="000E740A" w:rsidRDefault="007D543E" w:rsidP="00561E98">
            <w:r w:rsidRPr="000E740A">
              <w:t>Aral et al., 2017</w:t>
            </w:r>
          </w:p>
        </w:tc>
        <w:tc>
          <w:tcPr>
            <w:tcW w:w="1432" w:type="dxa"/>
          </w:tcPr>
          <w:p w14:paraId="27204301" w14:textId="77777777" w:rsidR="007D543E" w:rsidRPr="000E740A" w:rsidRDefault="007D543E" w:rsidP="00FD5485">
            <w:pPr>
              <w:ind w:left="454"/>
            </w:pPr>
            <w:r w:rsidRPr="000E740A">
              <w:t>3.93</w:t>
            </w:r>
          </w:p>
        </w:tc>
        <w:tc>
          <w:tcPr>
            <w:tcW w:w="1432" w:type="dxa"/>
          </w:tcPr>
          <w:p w14:paraId="1BB75734" w14:textId="77777777" w:rsidR="007D543E" w:rsidRPr="000E740A" w:rsidRDefault="007D543E" w:rsidP="007A2EE2">
            <w:pPr>
              <w:ind w:left="454"/>
            </w:pPr>
            <w:r w:rsidRPr="000E740A">
              <w:t>1.98</w:t>
            </w:r>
          </w:p>
        </w:tc>
        <w:tc>
          <w:tcPr>
            <w:tcW w:w="1432" w:type="dxa"/>
          </w:tcPr>
          <w:p w14:paraId="63993790" w14:textId="77777777" w:rsidR="007D543E" w:rsidRPr="000E740A" w:rsidRDefault="007D543E" w:rsidP="00561E98"/>
        </w:tc>
        <w:tc>
          <w:tcPr>
            <w:tcW w:w="1432" w:type="dxa"/>
          </w:tcPr>
          <w:p w14:paraId="07F568B5" w14:textId="77777777" w:rsidR="007D543E" w:rsidRPr="000E740A" w:rsidRDefault="007D543E" w:rsidP="00561E98"/>
        </w:tc>
        <w:tc>
          <w:tcPr>
            <w:tcW w:w="1432" w:type="dxa"/>
          </w:tcPr>
          <w:p w14:paraId="6CBE8F9D" w14:textId="77777777" w:rsidR="007D543E" w:rsidRPr="000E740A" w:rsidRDefault="007D543E" w:rsidP="00561E98"/>
        </w:tc>
      </w:tr>
      <w:tr w:rsidR="007D543E" w14:paraId="7C3CCA04" w14:textId="77777777" w:rsidTr="00315719">
        <w:tc>
          <w:tcPr>
            <w:tcW w:w="2796" w:type="dxa"/>
          </w:tcPr>
          <w:p w14:paraId="2379E039" w14:textId="77777777" w:rsidR="007D543E" w:rsidRPr="000E740A" w:rsidRDefault="007D543E" w:rsidP="00561E98">
            <w:r w:rsidRPr="000E740A">
              <w:t>Aral et al., 2017</w:t>
            </w:r>
          </w:p>
        </w:tc>
        <w:tc>
          <w:tcPr>
            <w:tcW w:w="1432" w:type="dxa"/>
          </w:tcPr>
          <w:p w14:paraId="159BAC33" w14:textId="77777777" w:rsidR="007D543E" w:rsidRPr="000E740A" w:rsidRDefault="007D543E" w:rsidP="00FD5485">
            <w:pPr>
              <w:ind w:left="454"/>
            </w:pPr>
            <w:r w:rsidRPr="000E740A">
              <w:t>2.86</w:t>
            </w:r>
          </w:p>
        </w:tc>
        <w:tc>
          <w:tcPr>
            <w:tcW w:w="1432" w:type="dxa"/>
          </w:tcPr>
          <w:p w14:paraId="1029CA91" w14:textId="77777777" w:rsidR="007D543E" w:rsidRPr="000E740A" w:rsidRDefault="007D543E" w:rsidP="007A2EE2">
            <w:pPr>
              <w:ind w:left="454"/>
            </w:pPr>
            <w:r w:rsidRPr="000E740A">
              <w:t>2.78</w:t>
            </w:r>
          </w:p>
        </w:tc>
        <w:tc>
          <w:tcPr>
            <w:tcW w:w="1432" w:type="dxa"/>
          </w:tcPr>
          <w:p w14:paraId="2E4CCC55" w14:textId="77777777" w:rsidR="007D543E" w:rsidRPr="000E740A" w:rsidRDefault="007D543E" w:rsidP="00561E98"/>
        </w:tc>
        <w:tc>
          <w:tcPr>
            <w:tcW w:w="1432" w:type="dxa"/>
          </w:tcPr>
          <w:p w14:paraId="5347A06F" w14:textId="77777777" w:rsidR="007D543E" w:rsidRPr="000E740A" w:rsidRDefault="007D543E" w:rsidP="00561E98"/>
        </w:tc>
        <w:tc>
          <w:tcPr>
            <w:tcW w:w="1432" w:type="dxa"/>
          </w:tcPr>
          <w:p w14:paraId="7DE2AE11" w14:textId="77777777" w:rsidR="007D543E" w:rsidRPr="000E740A" w:rsidRDefault="007D543E" w:rsidP="00561E98"/>
        </w:tc>
      </w:tr>
      <w:tr w:rsidR="007D543E" w14:paraId="3021F795" w14:textId="77777777" w:rsidTr="00315719">
        <w:tc>
          <w:tcPr>
            <w:tcW w:w="2796" w:type="dxa"/>
          </w:tcPr>
          <w:p w14:paraId="431F07CB" w14:textId="77777777" w:rsidR="007D543E" w:rsidRPr="000E740A" w:rsidRDefault="007D543E" w:rsidP="00561E98">
            <w:r w:rsidRPr="000E740A">
              <w:t>Dikmen et al., 2016</w:t>
            </w:r>
          </w:p>
        </w:tc>
        <w:tc>
          <w:tcPr>
            <w:tcW w:w="1432" w:type="dxa"/>
          </w:tcPr>
          <w:p w14:paraId="187AD8D4" w14:textId="77777777" w:rsidR="007D543E" w:rsidRPr="000E740A" w:rsidRDefault="007D543E" w:rsidP="00FD5485">
            <w:pPr>
              <w:ind w:left="454"/>
            </w:pPr>
            <w:r w:rsidRPr="000E740A">
              <w:t>1.25</w:t>
            </w:r>
          </w:p>
        </w:tc>
        <w:tc>
          <w:tcPr>
            <w:tcW w:w="1432" w:type="dxa"/>
          </w:tcPr>
          <w:p w14:paraId="3BDD0DF0" w14:textId="77777777" w:rsidR="007D543E" w:rsidRPr="000E740A" w:rsidRDefault="007D543E" w:rsidP="007A2EE2">
            <w:pPr>
              <w:ind w:left="454"/>
            </w:pPr>
            <w:r w:rsidRPr="000E740A">
              <w:t xml:space="preserve">6.25 </w:t>
            </w:r>
          </w:p>
        </w:tc>
        <w:tc>
          <w:tcPr>
            <w:tcW w:w="1432" w:type="dxa"/>
          </w:tcPr>
          <w:p w14:paraId="2A6C909F" w14:textId="77777777" w:rsidR="007D543E" w:rsidRPr="000E740A" w:rsidRDefault="007D543E" w:rsidP="00561E98"/>
        </w:tc>
        <w:tc>
          <w:tcPr>
            <w:tcW w:w="1432" w:type="dxa"/>
          </w:tcPr>
          <w:p w14:paraId="21F4F4D6" w14:textId="77777777" w:rsidR="007D543E" w:rsidRPr="000E740A" w:rsidRDefault="007D543E" w:rsidP="007A2EE2">
            <w:pPr>
              <w:ind w:left="454"/>
            </w:pPr>
            <w:r w:rsidRPr="000E740A">
              <w:t>1.88</w:t>
            </w:r>
          </w:p>
        </w:tc>
        <w:tc>
          <w:tcPr>
            <w:tcW w:w="1432" w:type="dxa"/>
          </w:tcPr>
          <w:p w14:paraId="4D617DBF" w14:textId="77777777" w:rsidR="007D543E" w:rsidRPr="000E740A" w:rsidRDefault="007D543E" w:rsidP="00561E98"/>
        </w:tc>
      </w:tr>
      <w:tr w:rsidR="007D543E" w14:paraId="38FB2540" w14:textId="77777777" w:rsidTr="00315719">
        <w:tc>
          <w:tcPr>
            <w:tcW w:w="2796" w:type="dxa"/>
          </w:tcPr>
          <w:p w14:paraId="2223D7E3" w14:textId="77777777" w:rsidR="007D543E" w:rsidRPr="000E740A" w:rsidRDefault="007D543E" w:rsidP="00561E98">
            <w:r w:rsidRPr="000E740A">
              <w:t>Ferrante et al., 2009</w:t>
            </w:r>
          </w:p>
        </w:tc>
        <w:tc>
          <w:tcPr>
            <w:tcW w:w="1432" w:type="dxa"/>
          </w:tcPr>
          <w:p w14:paraId="541DE140" w14:textId="77777777" w:rsidR="007D543E" w:rsidRPr="000E740A" w:rsidRDefault="007D543E" w:rsidP="00561E98"/>
        </w:tc>
        <w:tc>
          <w:tcPr>
            <w:tcW w:w="1432" w:type="dxa"/>
          </w:tcPr>
          <w:p w14:paraId="19574086" w14:textId="77777777" w:rsidR="007D543E" w:rsidRPr="000E740A" w:rsidRDefault="007D543E" w:rsidP="00561E98"/>
        </w:tc>
        <w:tc>
          <w:tcPr>
            <w:tcW w:w="1432" w:type="dxa"/>
          </w:tcPr>
          <w:p w14:paraId="43531A37" w14:textId="77777777" w:rsidR="007D543E" w:rsidRPr="000E740A" w:rsidRDefault="007D543E" w:rsidP="007A2EE2">
            <w:pPr>
              <w:ind w:left="454"/>
            </w:pPr>
            <w:r w:rsidRPr="000E740A">
              <w:t>4.24</w:t>
            </w:r>
          </w:p>
        </w:tc>
        <w:tc>
          <w:tcPr>
            <w:tcW w:w="1432" w:type="dxa"/>
          </w:tcPr>
          <w:p w14:paraId="66217909" w14:textId="77777777" w:rsidR="007D543E" w:rsidRPr="000E740A" w:rsidRDefault="007D543E" w:rsidP="007A2EE2">
            <w:pPr>
              <w:ind w:left="454"/>
            </w:pPr>
            <w:r w:rsidRPr="000E740A">
              <w:t>2.43</w:t>
            </w:r>
          </w:p>
        </w:tc>
        <w:tc>
          <w:tcPr>
            <w:tcW w:w="1432" w:type="dxa"/>
          </w:tcPr>
          <w:p w14:paraId="2D2D2BEE" w14:textId="77777777" w:rsidR="007D543E" w:rsidRPr="000E740A" w:rsidRDefault="007D543E" w:rsidP="00561E98"/>
        </w:tc>
      </w:tr>
      <w:tr w:rsidR="007D543E" w14:paraId="218665CD" w14:textId="77777777" w:rsidTr="00315719">
        <w:tc>
          <w:tcPr>
            <w:tcW w:w="2796" w:type="dxa"/>
          </w:tcPr>
          <w:p w14:paraId="15D0CF49" w14:textId="77777777" w:rsidR="007D543E" w:rsidRPr="000E740A" w:rsidRDefault="007D543E" w:rsidP="00561E98">
            <w:r w:rsidRPr="000E740A">
              <w:t>Gerzilov et al., 2012</w:t>
            </w:r>
          </w:p>
        </w:tc>
        <w:tc>
          <w:tcPr>
            <w:tcW w:w="1432" w:type="dxa"/>
          </w:tcPr>
          <w:p w14:paraId="06ACDE7E" w14:textId="77777777" w:rsidR="007D543E" w:rsidRPr="000E740A" w:rsidRDefault="007D543E" w:rsidP="00FD5485">
            <w:pPr>
              <w:ind w:left="454"/>
            </w:pPr>
            <w:r w:rsidRPr="000E740A">
              <w:t>5.4</w:t>
            </w:r>
          </w:p>
        </w:tc>
        <w:tc>
          <w:tcPr>
            <w:tcW w:w="1432" w:type="dxa"/>
          </w:tcPr>
          <w:p w14:paraId="30E03961" w14:textId="77777777" w:rsidR="007D543E" w:rsidRPr="000E740A" w:rsidRDefault="007D543E" w:rsidP="007A2EE2">
            <w:pPr>
              <w:ind w:left="454"/>
            </w:pPr>
            <w:r w:rsidRPr="000E740A">
              <w:t>7.9</w:t>
            </w:r>
          </w:p>
        </w:tc>
        <w:tc>
          <w:tcPr>
            <w:tcW w:w="1432" w:type="dxa"/>
          </w:tcPr>
          <w:p w14:paraId="2505FB28" w14:textId="77777777" w:rsidR="007D543E" w:rsidRPr="000E740A" w:rsidRDefault="007D543E" w:rsidP="007A2EE2">
            <w:pPr>
              <w:ind w:left="454"/>
            </w:pPr>
            <w:r w:rsidRPr="000E740A">
              <w:t>9.4</w:t>
            </w:r>
          </w:p>
        </w:tc>
        <w:tc>
          <w:tcPr>
            <w:tcW w:w="1432" w:type="dxa"/>
          </w:tcPr>
          <w:p w14:paraId="7180FADB" w14:textId="77777777" w:rsidR="007D543E" w:rsidRPr="000E740A" w:rsidRDefault="007D543E" w:rsidP="00561E98"/>
        </w:tc>
        <w:tc>
          <w:tcPr>
            <w:tcW w:w="1432" w:type="dxa"/>
          </w:tcPr>
          <w:p w14:paraId="7C248EC7" w14:textId="77777777" w:rsidR="007D543E" w:rsidRDefault="007D543E" w:rsidP="00561E98"/>
        </w:tc>
      </w:tr>
      <w:tr w:rsidR="007D543E" w14:paraId="17965FC0" w14:textId="77777777" w:rsidTr="00315719">
        <w:tc>
          <w:tcPr>
            <w:tcW w:w="2796" w:type="dxa"/>
          </w:tcPr>
          <w:p w14:paraId="3BFC268A" w14:textId="77777777" w:rsidR="007D543E" w:rsidRPr="00D91D38" w:rsidRDefault="007D543E" w:rsidP="00561E98">
            <w:r w:rsidRPr="00D91D38">
              <w:t>Golden et al., 2012</w:t>
            </w:r>
          </w:p>
        </w:tc>
        <w:tc>
          <w:tcPr>
            <w:tcW w:w="1432" w:type="dxa"/>
          </w:tcPr>
          <w:p w14:paraId="535F5765" w14:textId="77777777" w:rsidR="007D543E" w:rsidRPr="00D91D38" w:rsidRDefault="007D543E" w:rsidP="00FD5485">
            <w:pPr>
              <w:ind w:left="454"/>
            </w:pPr>
            <w:r w:rsidRPr="00D91D38">
              <w:t>8.9</w:t>
            </w:r>
          </w:p>
        </w:tc>
        <w:tc>
          <w:tcPr>
            <w:tcW w:w="1432" w:type="dxa"/>
          </w:tcPr>
          <w:p w14:paraId="0BA8A0AD" w14:textId="77777777" w:rsidR="007D543E" w:rsidRPr="00D91D38" w:rsidRDefault="007D543E" w:rsidP="00561E98"/>
        </w:tc>
        <w:tc>
          <w:tcPr>
            <w:tcW w:w="1432" w:type="dxa"/>
          </w:tcPr>
          <w:p w14:paraId="5F28BE4C" w14:textId="77777777" w:rsidR="007D543E" w:rsidRPr="00D91D38" w:rsidRDefault="007D543E" w:rsidP="00561E98"/>
        </w:tc>
        <w:tc>
          <w:tcPr>
            <w:tcW w:w="1432" w:type="dxa"/>
          </w:tcPr>
          <w:p w14:paraId="39196551" w14:textId="77777777" w:rsidR="007D543E" w:rsidRPr="00D91D38" w:rsidRDefault="007D543E" w:rsidP="007A2EE2">
            <w:pPr>
              <w:ind w:left="340"/>
            </w:pPr>
            <w:r w:rsidRPr="00D91D38">
              <w:t>24.88</w:t>
            </w:r>
          </w:p>
        </w:tc>
        <w:tc>
          <w:tcPr>
            <w:tcW w:w="1432" w:type="dxa"/>
          </w:tcPr>
          <w:p w14:paraId="1E50A9FF" w14:textId="77777777" w:rsidR="007D543E" w:rsidRPr="00D91D38" w:rsidRDefault="007D543E" w:rsidP="00561E98"/>
        </w:tc>
      </w:tr>
      <w:tr w:rsidR="007D543E" w14:paraId="7D676A14" w14:textId="77777777" w:rsidTr="00315719">
        <w:tc>
          <w:tcPr>
            <w:tcW w:w="2796" w:type="dxa"/>
          </w:tcPr>
          <w:p w14:paraId="7EE4007E" w14:textId="77777777" w:rsidR="007D543E" w:rsidRPr="00D91D38" w:rsidRDefault="007D543E" w:rsidP="00561E98">
            <w:r w:rsidRPr="00D91D38">
              <w:t>Guinebretiere et al., 2013</w:t>
            </w:r>
          </w:p>
        </w:tc>
        <w:tc>
          <w:tcPr>
            <w:tcW w:w="1432" w:type="dxa"/>
          </w:tcPr>
          <w:p w14:paraId="0BF3E760" w14:textId="77777777" w:rsidR="007D543E" w:rsidRPr="00D91D38" w:rsidRDefault="007D543E" w:rsidP="00561E98"/>
        </w:tc>
        <w:tc>
          <w:tcPr>
            <w:tcW w:w="1432" w:type="dxa"/>
          </w:tcPr>
          <w:p w14:paraId="26FFFC42" w14:textId="77777777" w:rsidR="007D543E" w:rsidRPr="00D91D38" w:rsidRDefault="007D543E" w:rsidP="007A2EE2">
            <w:pPr>
              <w:ind w:left="454"/>
            </w:pPr>
            <w:r w:rsidRPr="00D91D38">
              <w:t xml:space="preserve">2.5 </w:t>
            </w:r>
          </w:p>
        </w:tc>
        <w:tc>
          <w:tcPr>
            <w:tcW w:w="1432" w:type="dxa"/>
          </w:tcPr>
          <w:p w14:paraId="457D3429" w14:textId="77777777" w:rsidR="007D543E" w:rsidRPr="00D91D38" w:rsidRDefault="007D543E" w:rsidP="00561E98"/>
        </w:tc>
        <w:tc>
          <w:tcPr>
            <w:tcW w:w="1432" w:type="dxa"/>
          </w:tcPr>
          <w:p w14:paraId="6F46EDF8" w14:textId="77777777" w:rsidR="007D543E" w:rsidRPr="00D91D38" w:rsidRDefault="007D543E" w:rsidP="00561E98"/>
        </w:tc>
        <w:tc>
          <w:tcPr>
            <w:tcW w:w="1432" w:type="dxa"/>
          </w:tcPr>
          <w:p w14:paraId="0F244493" w14:textId="77777777" w:rsidR="007D543E" w:rsidRPr="00D91D38" w:rsidRDefault="007D543E" w:rsidP="00561E98"/>
        </w:tc>
      </w:tr>
      <w:tr w:rsidR="007D543E" w14:paraId="5504FF99" w14:textId="77777777" w:rsidTr="00315719">
        <w:tc>
          <w:tcPr>
            <w:tcW w:w="2796" w:type="dxa"/>
          </w:tcPr>
          <w:p w14:paraId="035D87B1" w14:textId="77777777" w:rsidR="007D543E" w:rsidRPr="00D91D38" w:rsidRDefault="007D543E" w:rsidP="00561E98">
            <w:r w:rsidRPr="00D91D38">
              <w:t>Huneau-Salaun et al., 2011b</w:t>
            </w:r>
          </w:p>
        </w:tc>
        <w:tc>
          <w:tcPr>
            <w:tcW w:w="1432" w:type="dxa"/>
          </w:tcPr>
          <w:p w14:paraId="362B3FAF" w14:textId="77777777" w:rsidR="007D543E" w:rsidRPr="00D91D38" w:rsidRDefault="007D543E" w:rsidP="00561E98"/>
        </w:tc>
        <w:tc>
          <w:tcPr>
            <w:tcW w:w="1432" w:type="dxa"/>
          </w:tcPr>
          <w:p w14:paraId="3436E0C3" w14:textId="77777777" w:rsidR="007D543E" w:rsidRPr="00D91D38" w:rsidRDefault="007D543E" w:rsidP="007A2EE2">
            <w:pPr>
              <w:ind w:left="454"/>
            </w:pPr>
            <w:r w:rsidRPr="00D91D38">
              <w:t>3.2</w:t>
            </w:r>
          </w:p>
        </w:tc>
        <w:tc>
          <w:tcPr>
            <w:tcW w:w="1432" w:type="dxa"/>
          </w:tcPr>
          <w:p w14:paraId="3859578E" w14:textId="77777777" w:rsidR="007D543E" w:rsidRPr="00D91D38" w:rsidRDefault="007D543E" w:rsidP="00561E98"/>
        </w:tc>
        <w:tc>
          <w:tcPr>
            <w:tcW w:w="1432" w:type="dxa"/>
          </w:tcPr>
          <w:p w14:paraId="5680BDB3" w14:textId="77777777" w:rsidR="007D543E" w:rsidRPr="00D91D38" w:rsidRDefault="007D543E" w:rsidP="00561E98"/>
        </w:tc>
        <w:tc>
          <w:tcPr>
            <w:tcW w:w="1432" w:type="dxa"/>
          </w:tcPr>
          <w:p w14:paraId="23FA5113" w14:textId="77777777" w:rsidR="007D543E" w:rsidRPr="00D91D38" w:rsidRDefault="007D543E" w:rsidP="00561E98"/>
        </w:tc>
      </w:tr>
      <w:tr w:rsidR="007D543E" w14:paraId="6F2EF22E" w14:textId="77777777" w:rsidTr="00315719">
        <w:tc>
          <w:tcPr>
            <w:tcW w:w="2796" w:type="dxa"/>
          </w:tcPr>
          <w:p w14:paraId="3BCE652D" w14:textId="77777777" w:rsidR="007D543E" w:rsidRPr="00D91D38" w:rsidRDefault="007D543E" w:rsidP="00561E98">
            <w:r w:rsidRPr="00D91D38">
              <w:t>Karcher et al., 2015</w:t>
            </w:r>
          </w:p>
        </w:tc>
        <w:tc>
          <w:tcPr>
            <w:tcW w:w="1432" w:type="dxa"/>
          </w:tcPr>
          <w:p w14:paraId="780C4BF5" w14:textId="77777777" w:rsidR="007D543E" w:rsidRPr="00D91D38" w:rsidRDefault="007D543E" w:rsidP="00FD5485">
            <w:pPr>
              <w:ind w:left="454"/>
            </w:pPr>
            <w:r w:rsidRPr="00D91D38">
              <w:t>4.7</w:t>
            </w:r>
          </w:p>
        </w:tc>
        <w:tc>
          <w:tcPr>
            <w:tcW w:w="1432" w:type="dxa"/>
          </w:tcPr>
          <w:p w14:paraId="0ACAE354" w14:textId="77777777" w:rsidR="007D543E" w:rsidRPr="00D91D38" w:rsidRDefault="007D543E" w:rsidP="007A2EE2">
            <w:pPr>
              <w:ind w:left="454"/>
            </w:pPr>
            <w:r w:rsidRPr="00D91D38">
              <w:t>5.1</w:t>
            </w:r>
          </w:p>
        </w:tc>
        <w:tc>
          <w:tcPr>
            <w:tcW w:w="1432" w:type="dxa"/>
          </w:tcPr>
          <w:p w14:paraId="247FC198" w14:textId="77777777" w:rsidR="007D543E" w:rsidRPr="00D91D38" w:rsidRDefault="007D543E" w:rsidP="007A2EE2">
            <w:pPr>
              <w:ind w:left="340"/>
            </w:pPr>
            <w:r w:rsidRPr="00D91D38">
              <w:t>11.5</w:t>
            </w:r>
          </w:p>
        </w:tc>
        <w:tc>
          <w:tcPr>
            <w:tcW w:w="1432" w:type="dxa"/>
          </w:tcPr>
          <w:p w14:paraId="5432A0E9" w14:textId="77777777" w:rsidR="007D543E" w:rsidRPr="00D91D38" w:rsidRDefault="007D543E" w:rsidP="00561E98"/>
        </w:tc>
        <w:tc>
          <w:tcPr>
            <w:tcW w:w="1432" w:type="dxa"/>
          </w:tcPr>
          <w:p w14:paraId="3553E96E" w14:textId="77777777" w:rsidR="007D543E" w:rsidRPr="00D91D38" w:rsidRDefault="007D543E" w:rsidP="00561E98"/>
        </w:tc>
      </w:tr>
      <w:tr w:rsidR="007D543E" w14:paraId="4AAC6F57" w14:textId="77777777" w:rsidTr="00315719">
        <w:tc>
          <w:tcPr>
            <w:tcW w:w="2796" w:type="dxa"/>
          </w:tcPr>
          <w:p w14:paraId="770DCB04" w14:textId="77777777" w:rsidR="007D543E" w:rsidRPr="00D91D38" w:rsidRDefault="007D543E" w:rsidP="00561E98">
            <w:r w:rsidRPr="00D91D38">
              <w:t>Landman and van Eck, 2015</w:t>
            </w:r>
          </w:p>
        </w:tc>
        <w:tc>
          <w:tcPr>
            <w:tcW w:w="1432" w:type="dxa"/>
          </w:tcPr>
          <w:p w14:paraId="67323F7A" w14:textId="77777777" w:rsidR="007D543E" w:rsidRPr="00D91D38" w:rsidRDefault="007D543E" w:rsidP="00561E98"/>
        </w:tc>
        <w:tc>
          <w:tcPr>
            <w:tcW w:w="1432" w:type="dxa"/>
          </w:tcPr>
          <w:p w14:paraId="0DBA223C" w14:textId="77777777" w:rsidR="007D543E" w:rsidRPr="00D91D38" w:rsidRDefault="007D543E" w:rsidP="007A2EE2">
            <w:pPr>
              <w:ind w:left="454"/>
            </w:pPr>
            <w:r w:rsidRPr="00D91D38">
              <w:t>4.3</w:t>
            </w:r>
          </w:p>
        </w:tc>
        <w:tc>
          <w:tcPr>
            <w:tcW w:w="1432" w:type="dxa"/>
          </w:tcPr>
          <w:p w14:paraId="38C01564" w14:textId="77777777" w:rsidR="007D543E" w:rsidRPr="00D91D38" w:rsidRDefault="007D543E" w:rsidP="007A2EE2">
            <w:pPr>
              <w:ind w:left="340"/>
            </w:pPr>
            <w:r w:rsidRPr="00D91D38">
              <w:t>14.1</w:t>
            </w:r>
          </w:p>
        </w:tc>
        <w:tc>
          <w:tcPr>
            <w:tcW w:w="1432" w:type="dxa"/>
          </w:tcPr>
          <w:p w14:paraId="3C015CA5" w14:textId="77777777" w:rsidR="007D543E" w:rsidRPr="00D91D38" w:rsidRDefault="007D543E" w:rsidP="007A2EE2">
            <w:pPr>
              <w:ind w:left="340"/>
            </w:pPr>
            <w:r w:rsidRPr="00D91D38">
              <w:t>18.9</w:t>
            </w:r>
          </w:p>
        </w:tc>
        <w:tc>
          <w:tcPr>
            <w:tcW w:w="1432" w:type="dxa"/>
          </w:tcPr>
          <w:p w14:paraId="1B4BEC14" w14:textId="77777777" w:rsidR="007D543E" w:rsidRPr="00D91D38" w:rsidRDefault="007D543E" w:rsidP="00561E98"/>
        </w:tc>
      </w:tr>
      <w:tr w:rsidR="007D543E" w14:paraId="55BF4C60" w14:textId="77777777" w:rsidTr="00315719">
        <w:tc>
          <w:tcPr>
            <w:tcW w:w="2796" w:type="dxa"/>
          </w:tcPr>
          <w:p w14:paraId="54383FA9" w14:textId="77777777" w:rsidR="007D543E" w:rsidRPr="00D91D38" w:rsidRDefault="007D543E" w:rsidP="00561E98">
            <w:r w:rsidRPr="00D91D38">
              <w:t>Leenstra et al., 2012 (Swiss)</w:t>
            </w:r>
          </w:p>
        </w:tc>
        <w:tc>
          <w:tcPr>
            <w:tcW w:w="1432" w:type="dxa"/>
          </w:tcPr>
          <w:p w14:paraId="0CEF152F" w14:textId="77777777" w:rsidR="007D543E" w:rsidRPr="00D91D38" w:rsidRDefault="007D543E" w:rsidP="00561E98"/>
        </w:tc>
        <w:tc>
          <w:tcPr>
            <w:tcW w:w="1432" w:type="dxa"/>
          </w:tcPr>
          <w:p w14:paraId="4B0C56EF" w14:textId="77777777" w:rsidR="007D543E" w:rsidRPr="00D91D38" w:rsidRDefault="007D543E" w:rsidP="00561E98"/>
        </w:tc>
        <w:tc>
          <w:tcPr>
            <w:tcW w:w="1432" w:type="dxa"/>
          </w:tcPr>
          <w:p w14:paraId="336FE4C5" w14:textId="77777777" w:rsidR="007D543E" w:rsidRPr="00D91D38" w:rsidRDefault="007D543E" w:rsidP="00561E98"/>
        </w:tc>
        <w:tc>
          <w:tcPr>
            <w:tcW w:w="1432" w:type="dxa"/>
          </w:tcPr>
          <w:p w14:paraId="66A81A27" w14:textId="77777777" w:rsidR="007D543E" w:rsidRPr="00D91D38" w:rsidRDefault="007D543E" w:rsidP="007A2EE2">
            <w:pPr>
              <w:ind w:left="454"/>
            </w:pPr>
            <w:r w:rsidRPr="00D91D38">
              <w:t>5.9</w:t>
            </w:r>
          </w:p>
        </w:tc>
        <w:tc>
          <w:tcPr>
            <w:tcW w:w="1432" w:type="dxa"/>
          </w:tcPr>
          <w:p w14:paraId="5A003A09" w14:textId="77777777" w:rsidR="007D543E" w:rsidRPr="00D91D38" w:rsidRDefault="007D543E" w:rsidP="007A2EE2">
            <w:pPr>
              <w:ind w:left="454"/>
            </w:pPr>
            <w:r w:rsidRPr="00D91D38">
              <w:t>6.6</w:t>
            </w:r>
          </w:p>
        </w:tc>
      </w:tr>
      <w:tr w:rsidR="007D543E" w14:paraId="63E5023E" w14:textId="77777777" w:rsidTr="00315719">
        <w:tc>
          <w:tcPr>
            <w:tcW w:w="2796" w:type="dxa"/>
          </w:tcPr>
          <w:p w14:paraId="26E1E84D" w14:textId="77777777" w:rsidR="007D543E" w:rsidRPr="00D91D38" w:rsidRDefault="007D543E" w:rsidP="002242F3">
            <w:r w:rsidRPr="00D91D38">
              <w:t>Leenstra et al., 2012 (French)</w:t>
            </w:r>
          </w:p>
        </w:tc>
        <w:tc>
          <w:tcPr>
            <w:tcW w:w="1432" w:type="dxa"/>
          </w:tcPr>
          <w:p w14:paraId="43999B41" w14:textId="77777777" w:rsidR="007D543E" w:rsidRPr="00D91D38" w:rsidRDefault="007D543E" w:rsidP="00561E98"/>
        </w:tc>
        <w:tc>
          <w:tcPr>
            <w:tcW w:w="1432" w:type="dxa"/>
          </w:tcPr>
          <w:p w14:paraId="76E5D8D0" w14:textId="77777777" w:rsidR="007D543E" w:rsidRPr="00D91D38" w:rsidRDefault="007D543E" w:rsidP="00561E98"/>
        </w:tc>
        <w:tc>
          <w:tcPr>
            <w:tcW w:w="1432" w:type="dxa"/>
          </w:tcPr>
          <w:p w14:paraId="6ABB9959" w14:textId="77777777" w:rsidR="007D543E" w:rsidRPr="00D91D38" w:rsidRDefault="007D543E" w:rsidP="00561E98"/>
        </w:tc>
        <w:tc>
          <w:tcPr>
            <w:tcW w:w="1432" w:type="dxa"/>
          </w:tcPr>
          <w:p w14:paraId="39F6D9DA" w14:textId="77777777" w:rsidR="007D543E" w:rsidRPr="00D91D38" w:rsidRDefault="007D543E" w:rsidP="007A2EE2">
            <w:pPr>
              <w:ind w:left="454"/>
            </w:pPr>
            <w:r w:rsidRPr="00D91D38">
              <w:t>4.9</w:t>
            </w:r>
          </w:p>
        </w:tc>
        <w:tc>
          <w:tcPr>
            <w:tcW w:w="1432" w:type="dxa"/>
          </w:tcPr>
          <w:p w14:paraId="4E1056F6" w14:textId="77777777" w:rsidR="007D543E" w:rsidRPr="00D91D38" w:rsidRDefault="007D543E" w:rsidP="007A2EE2">
            <w:pPr>
              <w:ind w:left="454"/>
            </w:pPr>
            <w:r w:rsidRPr="00D91D38">
              <w:t>4.7</w:t>
            </w:r>
          </w:p>
        </w:tc>
      </w:tr>
      <w:tr w:rsidR="007D543E" w14:paraId="3DD19844" w14:textId="77777777" w:rsidTr="00315719">
        <w:tc>
          <w:tcPr>
            <w:tcW w:w="2796" w:type="dxa"/>
          </w:tcPr>
          <w:p w14:paraId="6393ED6C" w14:textId="77777777" w:rsidR="007D543E" w:rsidRPr="00D91D38" w:rsidRDefault="007D543E" w:rsidP="00561E98">
            <w:r w:rsidRPr="00D91D38">
              <w:t>Leenstra et al.</w:t>
            </w:r>
            <w:r w:rsidR="002242F3">
              <w:t>,</w:t>
            </w:r>
            <w:r w:rsidRPr="00D91D38">
              <w:t xml:space="preserve"> 2012 (NL flocks)</w:t>
            </w:r>
          </w:p>
        </w:tc>
        <w:tc>
          <w:tcPr>
            <w:tcW w:w="1432" w:type="dxa"/>
          </w:tcPr>
          <w:p w14:paraId="3D082D77" w14:textId="77777777" w:rsidR="007D543E" w:rsidRPr="00D91D38" w:rsidRDefault="007D543E" w:rsidP="00561E98"/>
        </w:tc>
        <w:tc>
          <w:tcPr>
            <w:tcW w:w="1432" w:type="dxa"/>
          </w:tcPr>
          <w:p w14:paraId="7DC4F0EA" w14:textId="77777777" w:rsidR="007D543E" w:rsidRPr="00D91D38" w:rsidRDefault="007D543E" w:rsidP="00561E98"/>
        </w:tc>
        <w:tc>
          <w:tcPr>
            <w:tcW w:w="1432" w:type="dxa"/>
          </w:tcPr>
          <w:p w14:paraId="075B342D" w14:textId="77777777" w:rsidR="007D543E" w:rsidRPr="00D91D38" w:rsidRDefault="007D543E" w:rsidP="00561E98"/>
        </w:tc>
        <w:tc>
          <w:tcPr>
            <w:tcW w:w="1432" w:type="dxa"/>
          </w:tcPr>
          <w:p w14:paraId="50ED5CDE" w14:textId="77777777" w:rsidR="007D543E" w:rsidRPr="00D91D38" w:rsidRDefault="007D543E" w:rsidP="007A2EE2">
            <w:pPr>
              <w:ind w:left="454"/>
            </w:pPr>
            <w:r w:rsidRPr="00D91D38">
              <w:t>6.6</w:t>
            </w:r>
          </w:p>
        </w:tc>
        <w:tc>
          <w:tcPr>
            <w:tcW w:w="1432" w:type="dxa"/>
          </w:tcPr>
          <w:p w14:paraId="3D10852B" w14:textId="77777777" w:rsidR="007D543E" w:rsidRPr="00D91D38" w:rsidRDefault="007D543E" w:rsidP="007A2EE2">
            <w:pPr>
              <w:ind w:left="340"/>
            </w:pPr>
            <w:r w:rsidRPr="00D91D38">
              <w:t>12.0</w:t>
            </w:r>
          </w:p>
        </w:tc>
      </w:tr>
      <w:tr w:rsidR="007D543E" w14:paraId="50FC9977" w14:textId="77777777" w:rsidTr="00315719">
        <w:tc>
          <w:tcPr>
            <w:tcW w:w="2796" w:type="dxa"/>
          </w:tcPr>
          <w:p w14:paraId="2CCB33C8" w14:textId="77777777" w:rsidR="007D543E" w:rsidRPr="00B12424" w:rsidRDefault="007D543E" w:rsidP="00561E98">
            <w:r w:rsidRPr="00B12424">
              <w:t>Mielenz et al., 2005</w:t>
            </w:r>
          </w:p>
        </w:tc>
        <w:tc>
          <w:tcPr>
            <w:tcW w:w="1432" w:type="dxa"/>
          </w:tcPr>
          <w:p w14:paraId="0A8E59A6" w14:textId="77777777" w:rsidR="007D543E" w:rsidRPr="00B12424" w:rsidRDefault="007D543E" w:rsidP="00FD5485">
            <w:pPr>
              <w:ind w:left="454"/>
            </w:pPr>
            <w:r w:rsidRPr="00B12424">
              <w:t xml:space="preserve">6.3 </w:t>
            </w:r>
          </w:p>
        </w:tc>
        <w:tc>
          <w:tcPr>
            <w:tcW w:w="1432" w:type="dxa"/>
          </w:tcPr>
          <w:p w14:paraId="1211EE8E" w14:textId="77777777" w:rsidR="007D543E" w:rsidRPr="00B12424" w:rsidRDefault="007D543E" w:rsidP="00561E98"/>
        </w:tc>
        <w:tc>
          <w:tcPr>
            <w:tcW w:w="1432" w:type="dxa"/>
          </w:tcPr>
          <w:p w14:paraId="54F9685E" w14:textId="77777777" w:rsidR="007D543E" w:rsidRPr="00B12424" w:rsidRDefault="007D543E" w:rsidP="00561E98"/>
        </w:tc>
        <w:tc>
          <w:tcPr>
            <w:tcW w:w="1432" w:type="dxa"/>
          </w:tcPr>
          <w:p w14:paraId="7F25D37C" w14:textId="77777777" w:rsidR="007D543E" w:rsidRPr="00B12424" w:rsidRDefault="007D543E" w:rsidP="00561E98"/>
        </w:tc>
        <w:tc>
          <w:tcPr>
            <w:tcW w:w="1432" w:type="dxa"/>
          </w:tcPr>
          <w:p w14:paraId="692F271E" w14:textId="77777777" w:rsidR="007D543E" w:rsidRPr="00B12424" w:rsidRDefault="007D543E" w:rsidP="00561E98"/>
        </w:tc>
      </w:tr>
      <w:tr w:rsidR="007D543E" w14:paraId="1690329D" w14:textId="77777777" w:rsidTr="00315719">
        <w:tc>
          <w:tcPr>
            <w:tcW w:w="2796" w:type="dxa"/>
          </w:tcPr>
          <w:p w14:paraId="059855D5" w14:textId="77777777" w:rsidR="007D543E" w:rsidRPr="00B12424" w:rsidRDefault="007D543E" w:rsidP="00561E98">
            <w:r w:rsidRPr="00B12424">
              <w:t>Petrik et al., 2015</w:t>
            </w:r>
          </w:p>
        </w:tc>
        <w:tc>
          <w:tcPr>
            <w:tcW w:w="1432" w:type="dxa"/>
          </w:tcPr>
          <w:p w14:paraId="40217990" w14:textId="77777777" w:rsidR="007D543E" w:rsidRPr="00B12424" w:rsidRDefault="007D543E" w:rsidP="00FD5485">
            <w:pPr>
              <w:ind w:left="454"/>
            </w:pPr>
            <w:r w:rsidRPr="00B12424">
              <w:t>1.29</w:t>
            </w:r>
          </w:p>
        </w:tc>
        <w:tc>
          <w:tcPr>
            <w:tcW w:w="1432" w:type="dxa"/>
          </w:tcPr>
          <w:p w14:paraId="5F415118" w14:textId="77777777" w:rsidR="007D543E" w:rsidRPr="00B12424" w:rsidRDefault="007D543E" w:rsidP="00561E98"/>
        </w:tc>
        <w:tc>
          <w:tcPr>
            <w:tcW w:w="1432" w:type="dxa"/>
          </w:tcPr>
          <w:p w14:paraId="67D0E001" w14:textId="77777777" w:rsidR="007D543E" w:rsidRPr="00B12424" w:rsidRDefault="007D543E" w:rsidP="007A2EE2">
            <w:pPr>
              <w:ind w:left="454"/>
            </w:pPr>
            <w:r w:rsidRPr="00B12424">
              <w:t>2.13</w:t>
            </w:r>
          </w:p>
        </w:tc>
        <w:tc>
          <w:tcPr>
            <w:tcW w:w="1432" w:type="dxa"/>
          </w:tcPr>
          <w:p w14:paraId="532E81D8" w14:textId="77777777" w:rsidR="007D543E" w:rsidRPr="00B12424" w:rsidRDefault="007D543E" w:rsidP="00561E98"/>
        </w:tc>
        <w:tc>
          <w:tcPr>
            <w:tcW w:w="1432" w:type="dxa"/>
          </w:tcPr>
          <w:p w14:paraId="3A38227F" w14:textId="77777777" w:rsidR="007D543E" w:rsidRPr="00B12424" w:rsidRDefault="007D543E" w:rsidP="00561E98"/>
        </w:tc>
      </w:tr>
      <w:tr w:rsidR="007D543E" w14:paraId="18579BBE" w14:textId="77777777" w:rsidTr="00315719">
        <w:tc>
          <w:tcPr>
            <w:tcW w:w="2796" w:type="dxa"/>
          </w:tcPr>
          <w:p w14:paraId="34F267A9" w14:textId="77777777" w:rsidR="007D543E" w:rsidRPr="00B12424" w:rsidRDefault="007D543E" w:rsidP="00561E98">
            <w:r w:rsidRPr="00B12424">
              <w:t>Rodenburg et al., 2008</w:t>
            </w:r>
            <w:r w:rsidR="000B0B33">
              <w:t>a</w:t>
            </w:r>
          </w:p>
        </w:tc>
        <w:tc>
          <w:tcPr>
            <w:tcW w:w="1432" w:type="dxa"/>
          </w:tcPr>
          <w:p w14:paraId="527F81D4" w14:textId="77777777" w:rsidR="007D543E" w:rsidRPr="00B12424" w:rsidRDefault="007D543E" w:rsidP="00561E98"/>
        </w:tc>
        <w:tc>
          <w:tcPr>
            <w:tcW w:w="1432" w:type="dxa"/>
          </w:tcPr>
          <w:p w14:paraId="00A48E24" w14:textId="77777777" w:rsidR="007D543E" w:rsidRPr="00B12424" w:rsidRDefault="007D543E" w:rsidP="007A2EE2">
            <w:pPr>
              <w:ind w:left="454"/>
            </w:pPr>
            <w:r w:rsidRPr="00B12424">
              <w:t>2.3</w:t>
            </w:r>
          </w:p>
        </w:tc>
        <w:tc>
          <w:tcPr>
            <w:tcW w:w="1432" w:type="dxa"/>
          </w:tcPr>
          <w:p w14:paraId="43EDB2AD" w14:textId="77777777" w:rsidR="007D543E" w:rsidRPr="00B12424" w:rsidRDefault="007D543E" w:rsidP="007A2EE2">
            <w:pPr>
              <w:ind w:left="454"/>
            </w:pPr>
            <w:r w:rsidRPr="00B12424">
              <w:t>8.0</w:t>
            </w:r>
          </w:p>
        </w:tc>
        <w:tc>
          <w:tcPr>
            <w:tcW w:w="1432" w:type="dxa"/>
          </w:tcPr>
          <w:p w14:paraId="10EC6826" w14:textId="77777777" w:rsidR="007D543E" w:rsidRPr="00B12424" w:rsidRDefault="007D543E" w:rsidP="00561E98"/>
        </w:tc>
        <w:tc>
          <w:tcPr>
            <w:tcW w:w="1432" w:type="dxa"/>
          </w:tcPr>
          <w:p w14:paraId="58643BD1" w14:textId="77777777" w:rsidR="007D543E" w:rsidRPr="00B12424" w:rsidRDefault="007D543E" w:rsidP="00561E98"/>
        </w:tc>
      </w:tr>
      <w:tr w:rsidR="007D543E" w14:paraId="04EFD23A" w14:textId="77777777" w:rsidTr="00315719">
        <w:tc>
          <w:tcPr>
            <w:tcW w:w="2796" w:type="dxa"/>
          </w:tcPr>
          <w:p w14:paraId="73FE8131" w14:textId="77777777" w:rsidR="007D543E" w:rsidRPr="00B12424" w:rsidRDefault="007D543E" w:rsidP="00561E98">
            <w:r w:rsidRPr="00B12424">
              <w:t>Sterling et al., 2003</w:t>
            </w:r>
          </w:p>
        </w:tc>
        <w:tc>
          <w:tcPr>
            <w:tcW w:w="1432" w:type="dxa"/>
          </w:tcPr>
          <w:p w14:paraId="05AF2559" w14:textId="77777777" w:rsidR="007D543E" w:rsidRPr="00B12424" w:rsidRDefault="00FD5485" w:rsidP="00FD5485">
            <w:pPr>
              <w:ind w:left="454"/>
            </w:pPr>
            <w:r>
              <w:t>8.52</w:t>
            </w:r>
          </w:p>
        </w:tc>
        <w:tc>
          <w:tcPr>
            <w:tcW w:w="1432" w:type="dxa"/>
          </w:tcPr>
          <w:p w14:paraId="2B387437" w14:textId="77777777" w:rsidR="007D543E" w:rsidRPr="00B12424" w:rsidRDefault="007D543E" w:rsidP="00561E98"/>
        </w:tc>
        <w:tc>
          <w:tcPr>
            <w:tcW w:w="1432" w:type="dxa"/>
          </w:tcPr>
          <w:p w14:paraId="2FCF3441" w14:textId="77777777" w:rsidR="007D543E" w:rsidRPr="00B12424" w:rsidRDefault="007D543E" w:rsidP="00561E98"/>
        </w:tc>
        <w:tc>
          <w:tcPr>
            <w:tcW w:w="1432" w:type="dxa"/>
          </w:tcPr>
          <w:p w14:paraId="3B146606" w14:textId="77777777" w:rsidR="007D543E" w:rsidRPr="00B12424" w:rsidRDefault="007D543E" w:rsidP="00561E98"/>
        </w:tc>
        <w:tc>
          <w:tcPr>
            <w:tcW w:w="1432" w:type="dxa"/>
          </w:tcPr>
          <w:p w14:paraId="189AC7CD" w14:textId="77777777" w:rsidR="007D543E" w:rsidRPr="00B12424" w:rsidRDefault="007D543E" w:rsidP="00561E98"/>
        </w:tc>
      </w:tr>
      <w:tr w:rsidR="007D543E" w14:paraId="6079E3B7" w14:textId="77777777" w:rsidTr="00315719">
        <w:tc>
          <w:tcPr>
            <w:tcW w:w="2796" w:type="dxa"/>
          </w:tcPr>
          <w:p w14:paraId="7F60AADF" w14:textId="77777777" w:rsidR="007D543E" w:rsidRPr="00B12424" w:rsidRDefault="006D003D" w:rsidP="00561E98">
            <w:r>
              <w:t>Van der M</w:t>
            </w:r>
            <w:r w:rsidR="007D543E" w:rsidRPr="00B12424">
              <w:t>eulen et al., 2007</w:t>
            </w:r>
          </w:p>
        </w:tc>
        <w:tc>
          <w:tcPr>
            <w:tcW w:w="1432" w:type="dxa"/>
          </w:tcPr>
          <w:p w14:paraId="3A8828DE" w14:textId="77777777" w:rsidR="007D543E" w:rsidRPr="00B12424" w:rsidRDefault="007D543E" w:rsidP="00561E98"/>
        </w:tc>
        <w:tc>
          <w:tcPr>
            <w:tcW w:w="1432" w:type="dxa"/>
          </w:tcPr>
          <w:p w14:paraId="1494B03B" w14:textId="77777777" w:rsidR="007D543E" w:rsidRPr="00B12424" w:rsidRDefault="007D543E" w:rsidP="00561E98"/>
        </w:tc>
        <w:tc>
          <w:tcPr>
            <w:tcW w:w="1432" w:type="dxa"/>
          </w:tcPr>
          <w:p w14:paraId="27398A45" w14:textId="77777777" w:rsidR="007D543E" w:rsidRPr="00B12424" w:rsidRDefault="007D543E" w:rsidP="00561E98"/>
        </w:tc>
        <w:tc>
          <w:tcPr>
            <w:tcW w:w="1432" w:type="dxa"/>
          </w:tcPr>
          <w:p w14:paraId="657A53CD" w14:textId="77777777" w:rsidR="007D543E" w:rsidRPr="00B12424" w:rsidRDefault="007D543E" w:rsidP="00561E98"/>
        </w:tc>
        <w:tc>
          <w:tcPr>
            <w:tcW w:w="1432" w:type="dxa"/>
          </w:tcPr>
          <w:p w14:paraId="20EDDE67" w14:textId="77777777" w:rsidR="007D543E" w:rsidRPr="00B12424" w:rsidRDefault="007D543E" w:rsidP="007A2EE2">
            <w:pPr>
              <w:ind w:left="454"/>
            </w:pPr>
            <w:r w:rsidRPr="00B12424">
              <w:t>9</w:t>
            </w:r>
          </w:p>
        </w:tc>
      </w:tr>
      <w:tr w:rsidR="007D543E" w14:paraId="705825A9" w14:textId="77777777" w:rsidTr="00315719">
        <w:tc>
          <w:tcPr>
            <w:tcW w:w="2796" w:type="dxa"/>
          </w:tcPr>
          <w:p w14:paraId="3F21DC91" w14:textId="77777777" w:rsidR="007D543E" w:rsidRPr="00B12424" w:rsidRDefault="007D543E" w:rsidP="00561E98">
            <w:r w:rsidRPr="00B12424">
              <w:t>Weber et al., 2003</w:t>
            </w:r>
          </w:p>
        </w:tc>
        <w:tc>
          <w:tcPr>
            <w:tcW w:w="1432" w:type="dxa"/>
          </w:tcPr>
          <w:p w14:paraId="11176E89" w14:textId="77777777" w:rsidR="007D543E" w:rsidRPr="00B12424" w:rsidRDefault="007D543E" w:rsidP="00FD5485">
            <w:pPr>
              <w:ind w:left="340"/>
            </w:pPr>
            <w:r w:rsidRPr="00B12424">
              <w:t>11</w:t>
            </w:r>
          </w:p>
        </w:tc>
        <w:tc>
          <w:tcPr>
            <w:tcW w:w="1432" w:type="dxa"/>
          </w:tcPr>
          <w:p w14:paraId="4AF838AA" w14:textId="77777777" w:rsidR="007D543E" w:rsidRPr="00B12424" w:rsidRDefault="007D543E" w:rsidP="007A2EE2">
            <w:pPr>
              <w:ind w:left="454"/>
            </w:pPr>
            <w:r w:rsidRPr="00B12424">
              <w:t>8.7</w:t>
            </w:r>
          </w:p>
        </w:tc>
        <w:tc>
          <w:tcPr>
            <w:tcW w:w="1432" w:type="dxa"/>
          </w:tcPr>
          <w:p w14:paraId="2FA2A2C2" w14:textId="77777777" w:rsidR="007D543E" w:rsidRPr="00B12424" w:rsidRDefault="007D543E" w:rsidP="007A2EE2">
            <w:pPr>
              <w:ind w:left="340"/>
            </w:pPr>
            <w:r w:rsidRPr="00B12424">
              <w:t>11.7</w:t>
            </w:r>
          </w:p>
        </w:tc>
        <w:tc>
          <w:tcPr>
            <w:tcW w:w="1432" w:type="dxa"/>
          </w:tcPr>
          <w:p w14:paraId="0D4AAD85" w14:textId="77777777" w:rsidR="007D543E" w:rsidRPr="00B12424" w:rsidRDefault="007D543E" w:rsidP="00561E98"/>
        </w:tc>
        <w:tc>
          <w:tcPr>
            <w:tcW w:w="1432" w:type="dxa"/>
          </w:tcPr>
          <w:p w14:paraId="04EF6DE9" w14:textId="77777777" w:rsidR="007D543E" w:rsidRPr="00B12424" w:rsidRDefault="007D543E" w:rsidP="00561E98"/>
        </w:tc>
      </w:tr>
      <w:tr w:rsidR="007D543E" w14:paraId="39366FD8" w14:textId="77777777" w:rsidTr="00315719">
        <w:tc>
          <w:tcPr>
            <w:tcW w:w="2796" w:type="dxa"/>
          </w:tcPr>
          <w:p w14:paraId="00A9B012" w14:textId="77777777" w:rsidR="007D543E" w:rsidRPr="00B12424" w:rsidRDefault="007D543E" w:rsidP="00561E98">
            <w:r w:rsidRPr="00B12424">
              <w:t>Weitzenburger et al., 2005b</w:t>
            </w:r>
          </w:p>
        </w:tc>
        <w:tc>
          <w:tcPr>
            <w:tcW w:w="1432" w:type="dxa"/>
          </w:tcPr>
          <w:p w14:paraId="08D456C5" w14:textId="77777777" w:rsidR="007D543E" w:rsidRPr="00B12424" w:rsidRDefault="007D543E" w:rsidP="00561E98"/>
        </w:tc>
        <w:tc>
          <w:tcPr>
            <w:tcW w:w="1432" w:type="dxa"/>
          </w:tcPr>
          <w:p w14:paraId="551167D5" w14:textId="77777777" w:rsidR="007D543E" w:rsidRPr="00B12424" w:rsidRDefault="007A2EE2" w:rsidP="00315719">
            <w:pPr>
              <w:ind w:left="198"/>
            </w:pPr>
            <w:r>
              <w:t xml:space="preserve">av </w:t>
            </w:r>
            <w:r w:rsidR="007D543E" w:rsidRPr="00B12424">
              <w:t>4.5</w:t>
            </w:r>
          </w:p>
        </w:tc>
        <w:tc>
          <w:tcPr>
            <w:tcW w:w="1432" w:type="dxa"/>
          </w:tcPr>
          <w:p w14:paraId="17C9386D" w14:textId="77777777" w:rsidR="007D543E" w:rsidRPr="00B12424" w:rsidRDefault="007D543E" w:rsidP="00561E98"/>
        </w:tc>
        <w:tc>
          <w:tcPr>
            <w:tcW w:w="1432" w:type="dxa"/>
          </w:tcPr>
          <w:p w14:paraId="1D8667E5" w14:textId="77777777" w:rsidR="007D543E" w:rsidRPr="00B12424" w:rsidRDefault="007D543E" w:rsidP="00561E98"/>
        </w:tc>
        <w:tc>
          <w:tcPr>
            <w:tcW w:w="1432" w:type="dxa"/>
          </w:tcPr>
          <w:p w14:paraId="484C7BCE" w14:textId="77777777" w:rsidR="007D543E" w:rsidRPr="00B12424" w:rsidRDefault="007D543E" w:rsidP="00561E98"/>
        </w:tc>
      </w:tr>
      <w:tr w:rsidR="007D543E" w14:paraId="406034BC" w14:textId="77777777" w:rsidTr="00315719">
        <w:tc>
          <w:tcPr>
            <w:tcW w:w="2796" w:type="dxa"/>
          </w:tcPr>
          <w:p w14:paraId="786D7B6B" w14:textId="77777777" w:rsidR="007D543E" w:rsidRPr="007D543E" w:rsidRDefault="007D543E" w:rsidP="00561E98">
            <w:pPr>
              <w:rPr>
                <w:b/>
              </w:rPr>
            </w:pPr>
            <w:r w:rsidRPr="007D543E">
              <w:rPr>
                <w:b/>
              </w:rPr>
              <w:t>Unweighted mean</w:t>
            </w:r>
          </w:p>
        </w:tc>
        <w:tc>
          <w:tcPr>
            <w:tcW w:w="1432" w:type="dxa"/>
          </w:tcPr>
          <w:p w14:paraId="1B24C2CA" w14:textId="77777777" w:rsidR="007D543E" w:rsidRPr="00315719" w:rsidRDefault="007D543E" w:rsidP="007A2EE2">
            <w:pPr>
              <w:ind w:left="454"/>
            </w:pPr>
            <w:r w:rsidRPr="00315719">
              <w:t>5.7</w:t>
            </w:r>
          </w:p>
        </w:tc>
        <w:tc>
          <w:tcPr>
            <w:tcW w:w="1432" w:type="dxa"/>
          </w:tcPr>
          <w:p w14:paraId="6C51903A" w14:textId="77777777" w:rsidR="007D543E" w:rsidRPr="00315719" w:rsidRDefault="007D543E" w:rsidP="007A2EE2">
            <w:pPr>
              <w:ind w:left="454"/>
            </w:pPr>
            <w:r w:rsidRPr="00315719">
              <w:t>4.5</w:t>
            </w:r>
          </w:p>
        </w:tc>
        <w:tc>
          <w:tcPr>
            <w:tcW w:w="1432" w:type="dxa"/>
          </w:tcPr>
          <w:p w14:paraId="101700E7" w14:textId="77777777" w:rsidR="007D543E" w:rsidRPr="00315719" w:rsidRDefault="007D543E" w:rsidP="007A2EE2">
            <w:pPr>
              <w:ind w:left="454"/>
            </w:pPr>
            <w:r w:rsidRPr="00315719">
              <w:t>8.7</w:t>
            </w:r>
          </w:p>
        </w:tc>
        <w:tc>
          <w:tcPr>
            <w:tcW w:w="1432" w:type="dxa"/>
          </w:tcPr>
          <w:p w14:paraId="5D8A4CE6" w14:textId="77777777" w:rsidR="007D543E" w:rsidRPr="00315719" w:rsidRDefault="007D543E" w:rsidP="007A2EE2">
            <w:pPr>
              <w:ind w:left="454"/>
            </w:pPr>
            <w:r w:rsidRPr="00315719">
              <w:t>9.4</w:t>
            </w:r>
          </w:p>
        </w:tc>
        <w:tc>
          <w:tcPr>
            <w:tcW w:w="1432" w:type="dxa"/>
          </w:tcPr>
          <w:p w14:paraId="1DB4E920" w14:textId="77777777" w:rsidR="007D543E" w:rsidRPr="00315719" w:rsidRDefault="007D543E" w:rsidP="007A2EE2">
            <w:pPr>
              <w:ind w:left="454"/>
            </w:pPr>
            <w:r w:rsidRPr="00315719">
              <w:t>8.1</w:t>
            </w:r>
          </w:p>
        </w:tc>
      </w:tr>
    </w:tbl>
    <w:p w14:paraId="45D3EE68" w14:textId="77777777" w:rsidR="00286A88" w:rsidRPr="00286A88" w:rsidRDefault="00286A88" w:rsidP="00780605">
      <w:pPr>
        <w:rPr>
          <w:lang w:val="en-AU" w:eastAsia="en-AU"/>
        </w:rPr>
      </w:pPr>
    </w:p>
    <w:p w14:paraId="6E6DEB03" w14:textId="77777777" w:rsidR="00286A88" w:rsidRPr="00941FF0" w:rsidRDefault="00286A88" w:rsidP="00941FF0">
      <w:pPr>
        <w:pStyle w:val="Heading3"/>
      </w:pPr>
      <w:bookmarkStart w:id="31" w:name="_Toc495310500"/>
      <w:r w:rsidRPr="00941FF0">
        <w:t>LH3.2 Causes of mortality</w:t>
      </w:r>
      <w:bookmarkEnd w:id="31"/>
    </w:p>
    <w:p w14:paraId="09DDCD20" w14:textId="77777777" w:rsidR="00286A88" w:rsidRPr="00780605" w:rsidRDefault="00286A88" w:rsidP="00780605">
      <w:pPr>
        <w:rPr>
          <w:i/>
          <w:lang w:val="en-AU" w:eastAsia="en-AU"/>
        </w:rPr>
      </w:pPr>
      <w:r w:rsidRPr="00780605">
        <w:rPr>
          <w:i/>
          <w:lang w:val="en-AU" w:eastAsia="en-AU"/>
        </w:rPr>
        <w:t>Hens are proportionately more likely to die from infectious or parasitic diseases in non-cage systems with access to litter. In conventional cage systems where hens receive little exercise, osteoporosis and fatty liver disease are proportionately more common causes of mortality. Injurious pecking is a major cause of death in all systems. Predation is a cause of death in free-range systems.</w:t>
      </w:r>
    </w:p>
    <w:p w14:paraId="1D1301FE" w14:textId="77777777" w:rsidR="00286A88" w:rsidRPr="00286A88" w:rsidRDefault="00286A88" w:rsidP="00780605">
      <w:pPr>
        <w:rPr>
          <w:lang w:val="en-AU" w:eastAsia="en-AU"/>
        </w:rPr>
      </w:pPr>
      <w:r w:rsidRPr="00286A88">
        <w:rPr>
          <w:lang w:val="en-AU" w:eastAsia="en-AU"/>
        </w:rPr>
        <w:t>Although overall mortality in cage systems is generally low, one of the principal causes is osteoporosis, which accounts for the deaths of 20-35% of caged white hybrids (Enneking et al., 2012). Injurious pecking is another cause of death in caged birds, with over 65% of FC mortality ascribed to this cause (Weitzenburger et al., 2005b). Not all deaths are submitted for post-mortem examination and so assessments of cause of death from this source reflect non-random samples. However, they can still be informative. Swedish post-mortem results revealed proportionately more deaths associated with bacterial diseases such as erysipelas, viral diseases such as lymphoid leukosis and Marek’s disease, parasitic infections such as coccidiosis, and cannibalism in non-cage and free-range flocks compared with birds in cages (Fossum et al., 2009) (Table LH3). Sossidou (2011) also found increased mortality in free-range systems due to disease and parasitic infections. Environmental microbiology assessments confirm a relatively high presence of aerobic and coliform bacteria in litter areas in non-cage systems and on the scratch pad mats provided in FCs (Jones et al., 2015).</w:t>
      </w:r>
    </w:p>
    <w:p w14:paraId="7D403E0B" w14:textId="77777777" w:rsidR="00286A88" w:rsidRPr="00286A88" w:rsidRDefault="00286A88" w:rsidP="00780605">
      <w:pPr>
        <w:rPr>
          <w:lang w:val="en-AU" w:eastAsia="en-AU"/>
        </w:rPr>
      </w:pPr>
      <w:r w:rsidRPr="00286A88">
        <w:rPr>
          <w:lang w:val="en-AU" w:eastAsia="en-AU"/>
        </w:rPr>
        <w:t xml:space="preserve">Fossum et al. (2009) also noted an association between vent-injuries or cannibalism and </w:t>
      </w:r>
      <w:r w:rsidRPr="008020FE">
        <w:rPr>
          <w:i/>
          <w:lang w:val="en-AU" w:eastAsia="en-AU"/>
        </w:rPr>
        <w:t>E</w:t>
      </w:r>
      <w:r w:rsidR="001716DB">
        <w:rPr>
          <w:i/>
          <w:lang w:val="en-AU" w:eastAsia="en-AU"/>
        </w:rPr>
        <w:t>scherichia</w:t>
      </w:r>
      <w:r w:rsidRPr="008020FE">
        <w:rPr>
          <w:i/>
          <w:lang w:val="en-AU" w:eastAsia="en-AU"/>
        </w:rPr>
        <w:t xml:space="preserve"> coli</w:t>
      </w:r>
      <w:r w:rsidRPr="00286A88">
        <w:rPr>
          <w:lang w:val="en-AU" w:eastAsia="en-AU"/>
        </w:rPr>
        <w:t xml:space="preserve"> infections such as colibacillosis. High levels of infectious disease have also been reported in other studies of non-cage flocks (Weber et al., 2003; Van der Meulen et al., 2007).</w:t>
      </w:r>
    </w:p>
    <w:p w14:paraId="249924DC" w14:textId="77777777" w:rsidR="00286A88" w:rsidRPr="00780605" w:rsidRDefault="00286A88" w:rsidP="001B0823">
      <w:pPr>
        <w:spacing w:before="240"/>
        <w:rPr>
          <w:b/>
          <w:lang w:val="en-AU" w:eastAsia="en-AU"/>
        </w:rPr>
      </w:pPr>
      <w:r w:rsidRPr="00780605">
        <w:rPr>
          <w:b/>
          <w:lang w:val="en-AU" w:eastAsia="en-AU"/>
        </w:rPr>
        <w:t>Table LH3: Causes of mortality in hens submitted for routine necropsy in Sweden (2001-2004) (Fossum et al., 2009)</w:t>
      </w:r>
    </w:p>
    <w:tbl>
      <w:tblPr>
        <w:tblStyle w:val="TableGrid1"/>
        <w:tblW w:w="0" w:type="auto"/>
        <w:tblLook w:val="04A0" w:firstRow="1" w:lastRow="0" w:firstColumn="1" w:lastColumn="0" w:noHBand="0" w:noVBand="1"/>
        <w:tblCaption w:val="Table LH3: Causes of mortality in hens submitted for routine necropsy in Sweden between 2001 and 2004"/>
        <w:tblDescription w:val="This table shows the percentage mortality of laying hens in three types of housing systems - cages (conventional cages and furnished cages were not distinguished), non-cage systems, and free-range systems. The four causes of mortality shown in the table are bacterial diseases, viral diseases, parasitic diseases, and cannibalism. This data is derived from a scientific paper by Fossum et al. (2009)."/>
      </w:tblPr>
      <w:tblGrid>
        <w:gridCol w:w="2235"/>
        <w:gridCol w:w="1665"/>
        <w:gridCol w:w="1666"/>
        <w:gridCol w:w="1665"/>
        <w:gridCol w:w="1666"/>
      </w:tblGrid>
      <w:tr w:rsidR="00286A88" w:rsidRPr="00927483" w14:paraId="77A57CFE" w14:textId="77777777" w:rsidTr="00C30DC0">
        <w:trPr>
          <w:tblHeader/>
        </w:trPr>
        <w:tc>
          <w:tcPr>
            <w:tcW w:w="2235" w:type="dxa"/>
          </w:tcPr>
          <w:p w14:paraId="2227BEF3" w14:textId="77777777" w:rsidR="00286A88" w:rsidRPr="00927483" w:rsidRDefault="00286A88" w:rsidP="00780605">
            <w:r w:rsidRPr="00927483">
              <w:t>Housing system</w:t>
            </w:r>
          </w:p>
        </w:tc>
        <w:tc>
          <w:tcPr>
            <w:tcW w:w="1665" w:type="dxa"/>
          </w:tcPr>
          <w:p w14:paraId="69D53E80" w14:textId="77777777" w:rsidR="00286A88" w:rsidRPr="00927483" w:rsidRDefault="00286A88" w:rsidP="00315719">
            <w:pPr>
              <w:jc w:val="center"/>
            </w:pPr>
            <w:r w:rsidRPr="00927483">
              <w:t>Bacterial diseases %</w:t>
            </w:r>
          </w:p>
        </w:tc>
        <w:tc>
          <w:tcPr>
            <w:tcW w:w="1666" w:type="dxa"/>
          </w:tcPr>
          <w:p w14:paraId="34CBA69E" w14:textId="77777777" w:rsidR="00286A88" w:rsidRPr="00927483" w:rsidRDefault="00286A88" w:rsidP="00315719">
            <w:pPr>
              <w:jc w:val="center"/>
            </w:pPr>
            <w:r w:rsidRPr="00927483">
              <w:t>Viral diseases %</w:t>
            </w:r>
          </w:p>
        </w:tc>
        <w:tc>
          <w:tcPr>
            <w:tcW w:w="1665" w:type="dxa"/>
          </w:tcPr>
          <w:p w14:paraId="03C3C761" w14:textId="77777777" w:rsidR="00286A88" w:rsidRPr="00927483" w:rsidRDefault="00286A88" w:rsidP="00315719">
            <w:pPr>
              <w:jc w:val="center"/>
            </w:pPr>
            <w:r w:rsidRPr="00927483">
              <w:t>Parasitic %</w:t>
            </w:r>
          </w:p>
        </w:tc>
        <w:tc>
          <w:tcPr>
            <w:tcW w:w="1666" w:type="dxa"/>
          </w:tcPr>
          <w:p w14:paraId="08C48EC3" w14:textId="77777777" w:rsidR="00286A88" w:rsidRPr="00927483" w:rsidRDefault="00286A88" w:rsidP="00315719">
            <w:pPr>
              <w:jc w:val="center"/>
            </w:pPr>
            <w:r w:rsidRPr="00927483">
              <w:t>Cannibalism %</w:t>
            </w:r>
          </w:p>
        </w:tc>
      </w:tr>
      <w:tr w:rsidR="00286A88" w:rsidRPr="00286A88" w14:paraId="78D31E8E" w14:textId="77777777" w:rsidTr="00286A88">
        <w:tc>
          <w:tcPr>
            <w:tcW w:w="2235" w:type="dxa"/>
          </w:tcPr>
          <w:p w14:paraId="22B91848" w14:textId="77777777" w:rsidR="00286A88" w:rsidRPr="00286A88" w:rsidRDefault="00286A88" w:rsidP="00780605">
            <w:r w:rsidRPr="00286A88">
              <w:t>Cages (conventional and furnished not distinguished)</w:t>
            </w:r>
          </w:p>
        </w:tc>
        <w:tc>
          <w:tcPr>
            <w:tcW w:w="1665" w:type="dxa"/>
          </w:tcPr>
          <w:p w14:paraId="31E54D4F" w14:textId="77777777" w:rsidR="00286A88" w:rsidRPr="00286A88" w:rsidRDefault="00286A88" w:rsidP="00315719">
            <w:pPr>
              <w:jc w:val="center"/>
            </w:pPr>
            <w:r w:rsidRPr="00286A88">
              <w:t>65</w:t>
            </w:r>
          </w:p>
        </w:tc>
        <w:tc>
          <w:tcPr>
            <w:tcW w:w="1666" w:type="dxa"/>
          </w:tcPr>
          <w:p w14:paraId="44D3B0A8" w14:textId="77777777" w:rsidR="00286A88" w:rsidRPr="00286A88" w:rsidRDefault="00286A88" w:rsidP="00315719">
            <w:pPr>
              <w:jc w:val="center"/>
            </w:pPr>
            <w:r w:rsidRPr="00286A88">
              <w:t>30</w:t>
            </w:r>
          </w:p>
        </w:tc>
        <w:tc>
          <w:tcPr>
            <w:tcW w:w="1665" w:type="dxa"/>
          </w:tcPr>
          <w:p w14:paraId="082CF886" w14:textId="77777777" w:rsidR="00286A88" w:rsidRPr="00286A88" w:rsidRDefault="00286A88" w:rsidP="00315719">
            <w:pPr>
              <w:jc w:val="center"/>
            </w:pPr>
            <w:r w:rsidRPr="00286A88">
              <w:t>10</w:t>
            </w:r>
          </w:p>
        </w:tc>
        <w:tc>
          <w:tcPr>
            <w:tcW w:w="1666" w:type="dxa"/>
          </w:tcPr>
          <w:p w14:paraId="4046D7D7" w14:textId="77777777" w:rsidR="00286A88" w:rsidRPr="00286A88" w:rsidRDefault="00286A88" w:rsidP="00315719">
            <w:pPr>
              <w:ind w:left="113"/>
              <w:jc w:val="center"/>
            </w:pPr>
            <w:r w:rsidRPr="00286A88">
              <w:t>5</w:t>
            </w:r>
          </w:p>
        </w:tc>
      </w:tr>
      <w:tr w:rsidR="00286A88" w:rsidRPr="00286A88" w14:paraId="7C629CF5" w14:textId="77777777" w:rsidTr="00286A88">
        <w:tc>
          <w:tcPr>
            <w:tcW w:w="2235" w:type="dxa"/>
          </w:tcPr>
          <w:p w14:paraId="56482A6A" w14:textId="77777777" w:rsidR="00286A88" w:rsidRPr="00286A88" w:rsidRDefault="00286A88" w:rsidP="00780605">
            <w:r w:rsidRPr="00286A88">
              <w:t>Non-cage</w:t>
            </w:r>
          </w:p>
        </w:tc>
        <w:tc>
          <w:tcPr>
            <w:tcW w:w="1665" w:type="dxa"/>
          </w:tcPr>
          <w:p w14:paraId="29901607" w14:textId="77777777" w:rsidR="00286A88" w:rsidRPr="00286A88" w:rsidRDefault="00286A88" w:rsidP="00315719">
            <w:pPr>
              <w:jc w:val="center"/>
            </w:pPr>
            <w:r w:rsidRPr="00286A88">
              <w:t>73</w:t>
            </w:r>
          </w:p>
        </w:tc>
        <w:tc>
          <w:tcPr>
            <w:tcW w:w="1666" w:type="dxa"/>
          </w:tcPr>
          <w:p w14:paraId="17A9C524" w14:textId="77777777" w:rsidR="00286A88" w:rsidRPr="00286A88" w:rsidRDefault="00286A88" w:rsidP="00315719">
            <w:pPr>
              <w:jc w:val="center"/>
            </w:pPr>
            <w:r w:rsidRPr="00286A88">
              <w:t>11.6</w:t>
            </w:r>
          </w:p>
        </w:tc>
        <w:tc>
          <w:tcPr>
            <w:tcW w:w="1665" w:type="dxa"/>
          </w:tcPr>
          <w:p w14:paraId="66FCAB33" w14:textId="77777777" w:rsidR="00286A88" w:rsidRPr="00286A88" w:rsidRDefault="00286A88" w:rsidP="00315719">
            <w:pPr>
              <w:jc w:val="center"/>
            </w:pPr>
            <w:r w:rsidRPr="00286A88">
              <w:t>18</w:t>
            </w:r>
          </w:p>
        </w:tc>
        <w:tc>
          <w:tcPr>
            <w:tcW w:w="1666" w:type="dxa"/>
          </w:tcPr>
          <w:p w14:paraId="0640BB6B" w14:textId="77777777" w:rsidR="00286A88" w:rsidRPr="00286A88" w:rsidRDefault="00286A88" w:rsidP="00315719">
            <w:pPr>
              <w:jc w:val="center"/>
            </w:pPr>
            <w:r w:rsidRPr="00286A88">
              <w:t>19</w:t>
            </w:r>
          </w:p>
        </w:tc>
      </w:tr>
      <w:tr w:rsidR="00286A88" w:rsidRPr="00286A88" w14:paraId="2EE8F539" w14:textId="77777777" w:rsidTr="00286A88">
        <w:tc>
          <w:tcPr>
            <w:tcW w:w="2235" w:type="dxa"/>
          </w:tcPr>
          <w:p w14:paraId="6E2C5FD5" w14:textId="77777777" w:rsidR="00286A88" w:rsidRPr="00286A88" w:rsidRDefault="00286A88" w:rsidP="00780605">
            <w:r w:rsidRPr="00286A88">
              <w:t>Free-range</w:t>
            </w:r>
          </w:p>
        </w:tc>
        <w:tc>
          <w:tcPr>
            <w:tcW w:w="1665" w:type="dxa"/>
          </w:tcPr>
          <w:p w14:paraId="37655FE5" w14:textId="77777777" w:rsidR="00286A88" w:rsidRPr="00286A88" w:rsidRDefault="00286A88" w:rsidP="00315719">
            <w:pPr>
              <w:jc w:val="center"/>
            </w:pPr>
            <w:r w:rsidRPr="00286A88">
              <w:t>74</w:t>
            </w:r>
          </w:p>
        </w:tc>
        <w:tc>
          <w:tcPr>
            <w:tcW w:w="1666" w:type="dxa"/>
          </w:tcPr>
          <w:p w14:paraId="471CB539" w14:textId="77777777" w:rsidR="00286A88" w:rsidRPr="00286A88" w:rsidRDefault="00286A88" w:rsidP="00315719">
            <w:pPr>
              <w:ind w:left="113"/>
              <w:jc w:val="center"/>
            </w:pPr>
            <w:r w:rsidRPr="00286A88">
              <w:t>4.4</w:t>
            </w:r>
          </w:p>
        </w:tc>
        <w:tc>
          <w:tcPr>
            <w:tcW w:w="1665" w:type="dxa"/>
          </w:tcPr>
          <w:p w14:paraId="33612E2A" w14:textId="77777777" w:rsidR="00286A88" w:rsidRPr="00286A88" w:rsidRDefault="00286A88" w:rsidP="00315719">
            <w:pPr>
              <w:jc w:val="center"/>
            </w:pPr>
            <w:r w:rsidRPr="00286A88">
              <w:t>22</w:t>
            </w:r>
          </w:p>
        </w:tc>
        <w:tc>
          <w:tcPr>
            <w:tcW w:w="1666" w:type="dxa"/>
          </w:tcPr>
          <w:p w14:paraId="3234CEA9" w14:textId="77777777" w:rsidR="00286A88" w:rsidRPr="00286A88" w:rsidRDefault="00286A88" w:rsidP="00315719">
            <w:pPr>
              <w:jc w:val="center"/>
            </w:pPr>
            <w:r w:rsidRPr="00286A88">
              <w:t>26</w:t>
            </w:r>
          </w:p>
        </w:tc>
      </w:tr>
    </w:tbl>
    <w:p w14:paraId="3A145EA7" w14:textId="77777777" w:rsidR="003110BF" w:rsidRPr="003110BF" w:rsidRDefault="003110BF" w:rsidP="006542A7">
      <w:pPr>
        <w:spacing w:before="240" w:after="0"/>
        <w:rPr>
          <w:lang w:val="en-AU" w:eastAsia="en-AU"/>
        </w:rPr>
      </w:pPr>
      <w:r w:rsidRPr="003110BF">
        <w:rPr>
          <w:lang w:val="en-AU" w:eastAsia="en-AU"/>
        </w:rPr>
        <w:t>A recent survey of post-mortem results from 308 birds submitted from 15 non-cage houses on 3 farms in the USA (Kajlich et al., 2016) found the following lesions (Table LH4):</w:t>
      </w:r>
    </w:p>
    <w:p w14:paraId="3A80096E" w14:textId="77777777" w:rsidR="00286A88" w:rsidRPr="003110BF" w:rsidRDefault="003110BF" w:rsidP="006542A7">
      <w:pPr>
        <w:spacing w:before="120"/>
        <w:rPr>
          <w:b/>
          <w:lang w:val="en-AU" w:eastAsia="en-AU"/>
        </w:rPr>
      </w:pPr>
      <w:r w:rsidRPr="003110BF">
        <w:rPr>
          <w:b/>
          <w:lang w:val="en-AU" w:eastAsia="en-AU"/>
        </w:rPr>
        <w:t>Table LH4</w:t>
      </w:r>
    </w:p>
    <w:tbl>
      <w:tblPr>
        <w:tblStyle w:val="TableGrid1"/>
        <w:tblW w:w="0" w:type="auto"/>
        <w:tblLook w:val="04A0" w:firstRow="1" w:lastRow="0" w:firstColumn="1" w:lastColumn="0" w:noHBand="0" w:noVBand="1"/>
        <w:tblCaption w:val="Table LH4 shows lesions found in a recent survey of post-mortem results from 308 birds submitted from 15 non-cage houses on 3 farms in the USA."/>
        <w:tblDescription w:val="This left hand column of this table shows the types of lesions found in the post-mortems of these 308 laying hens. The left hand column of this table shows the number of laying hens (out of 308) which had the type of lesion. This data is derived from a scientific paper by Kajlich et al (2016)."/>
      </w:tblPr>
      <w:tblGrid>
        <w:gridCol w:w="2458"/>
        <w:gridCol w:w="987"/>
      </w:tblGrid>
      <w:tr w:rsidR="00286A88" w:rsidRPr="00927483" w14:paraId="7589240B" w14:textId="77777777" w:rsidTr="007400B1">
        <w:trPr>
          <w:tblHeader/>
        </w:trPr>
        <w:tc>
          <w:tcPr>
            <w:tcW w:w="0" w:type="auto"/>
          </w:tcPr>
          <w:p w14:paraId="5CF695DA" w14:textId="77777777" w:rsidR="00286A88" w:rsidRPr="00927483" w:rsidRDefault="00286A88" w:rsidP="001B0823">
            <w:r w:rsidRPr="00927483">
              <w:t>Lesion</w:t>
            </w:r>
          </w:p>
        </w:tc>
        <w:tc>
          <w:tcPr>
            <w:tcW w:w="0" w:type="auto"/>
          </w:tcPr>
          <w:p w14:paraId="7ADFC4AD" w14:textId="77777777" w:rsidR="00286A88" w:rsidRPr="00927483" w:rsidRDefault="00286A88" w:rsidP="00D36CF1">
            <w:pPr>
              <w:jc w:val="center"/>
            </w:pPr>
            <w:r w:rsidRPr="00927483">
              <w:t>Hens/308</w:t>
            </w:r>
          </w:p>
        </w:tc>
      </w:tr>
      <w:tr w:rsidR="00286A88" w:rsidRPr="00286A88" w14:paraId="0F99DABB" w14:textId="77777777" w:rsidTr="007400B1">
        <w:tc>
          <w:tcPr>
            <w:tcW w:w="0" w:type="auto"/>
          </w:tcPr>
          <w:p w14:paraId="2938BC4C" w14:textId="77777777" w:rsidR="00286A88" w:rsidRPr="00286A88" w:rsidRDefault="00286A88" w:rsidP="001B0823">
            <w:r w:rsidRPr="00286A88">
              <w:t>Cloacal cannibalism</w:t>
            </w:r>
          </w:p>
        </w:tc>
        <w:tc>
          <w:tcPr>
            <w:tcW w:w="0" w:type="auto"/>
          </w:tcPr>
          <w:p w14:paraId="009C84A8" w14:textId="77777777" w:rsidR="00286A88" w:rsidRPr="00286A88" w:rsidRDefault="00286A88" w:rsidP="00D36CF1">
            <w:pPr>
              <w:jc w:val="center"/>
            </w:pPr>
            <w:r w:rsidRPr="00286A88">
              <w:t>152</w:t>
            </w:r>
          </w:p>
        </w:tc>
      </w:tr>
      <w:tr w:rsidR="00286A88" w:rsidRPr="00286A88" w14:paraId="24D12F1F" w14:textId="77777777" w:rsidTr="007400B1">
        <w:tc>
          <w:tcPr>
            <w:tcW w:w="0" w:type="auto"/>
          </w:tcPr>
          <w:p w14:paraId="1C68E62B" w14:textId="77777777" w:rsidR="00286A88" w:rsidRPr="00286A88" w:rsidRDefault="00286A88" w:rsidP="001B0823">
            <w:r w:rsidRPr="00286A88">
              <w:t>Keel bone deformation</w:t>
            </w:r>
          </w:p>
        </w:tc>
        <w:tc>
          <w:tcPr>
            <w:tcW w:w="0" w:type="auto"/>
          </w:tcPr>
          <w:p w14:paraId="7F52C15E" w14:textId="77777777" w:rsidR="00286A88" w:rsidRPr="00286A88" w:rsidRDefault="00286A88" w:rsidP="00D36CF1">
            <w:pPr>
              <w:jc w:val="center"/>
            </w:pPr>
            <w:r w:rsidRPr="00286A88">
              <w:t>150</w:t>
            </w:r>
          </w:p>
        </w:tc>
      </w:tr>
      <w:tr w:rsidR="00286A88" w:rsidRPr="00286A88" w14:paraId="34A177BD" w14:textId="77777777" w:rsidTr="007400B1">
        <w:tc>
          <w:tcPr>
            <w:tcW w:w="0" w:type="auto"/>
          </w:tcPr>
          <w:p w14:paraId="08096CCA" w14:textId="77777777" w:rsidR="00286A88" w:rsidRPr="00286A88" w:rsidRDefault="00286A88" w:rsidP="001B0823">
            <w:r w:rsidRPr="00286A88">
              <w:t>Beak length abnormalities</w:t>
            </w:r>
          </w:p>
        </w:tc>
        <w:tc>
          <w:tcPr>
            <w:tcW w:w="0" w:type="auto"/>
          </w:tcPr>
          <w:p w14:paraId="6C9F4185" w14:textId="77777777" w:rsidR="00286A88" w:rsidRPr="00286A88" w:rsidRDefault="00286A88" w:rsidP="00D36CF1">
            <w:pPr>
              <w:jc w:val="center"/>
            </w:pPr>
            <w:r w:rsidRPr="00286A88">
              <w:t>124</w:t>
            </w:r>
          </w:p>
        </w:tc>
      </w:tr>
      <w:tr w:rsidR="00286A88" w:rsidRPr="00286A88" w14:paraId="5487918F" w14:textId="77777777" w:rsidTr="007400B1">
        <w:tc>
          <w:tcPr>
            <w:tcW w:w="0" w:type="auto"/>
          </w:tcPr>
          <w:p w14:paraId="317B6135" w14:textId="77777777" w:rsidR="00286A88" w:rsidRPr="00286A88" w:rsidRDefault="00286A88" w:rsidP="001B0823">
            <w:r w:rsidRPr="00286A88">
              <w:t>Severe loss of feather cover</w:t>
            </w:r>
          </w:p>
        </w:tc>
        <w:tc>
          <w:tcPr>
            <w:tcW w:w="0" w:type="auto"/>
          </w:tcPr>
          <w:p w14:paraId="654CF609" w14:textId="77777777" w:rsidR="00286A88" w:rsidRPr="00286A88" w:rsidRDefault="00286A88" w:rsidP="00D36CF1">
            <w:pPr>
              <w:jc w:val="center"/>
            </w:pPr>
            <w:r w:rsidRPr="00286A88">
              <w:t>123</w:t>
            </w:r>
          </w:p>
        </w:tc>
      </w:tr>
      <w:tr w:rsidR="00286A88" w:rsidRPr="00286A88" w14:paraId="640ED270" w14:textId="77777777" w:rsidTr="007400B1">
        <w:tc>
          <w:tcPr>
            <w:tcW w:w="0" w:type="auto"/>
          </w:tcPr>
          <w:p w14:paraId="6FE7F011" w14:textId="77777777" w:rsidR="00286A88" w:rsidRPr="00286A88" w:rsidRDefault="00286A88" w:rsidP="001B0823">
            <w:r w:rsidRPr="00286A88">
              <w:t>Cloacal prolapse</w:t>
            </w:r>
          </w:p>
        </w:tc>
        <w:tc>
          <w:tcPr>
            <w:tcW w:w="0" w:type="auto"/>
          </w:tcPr>
          <w:p w14:paraId="2FF1A334" w14:textId="77777777" w:rsidR="00286A88" w:rsidRPr="00286A88" w:rsidRDefault="00286A88" w:rsidP="00D36CF1">
            <w:pPr>
              <w:jc w:val="center"/>
            </w:pPr>
            <w:r w:rsidRPr="00286A88">
              <w:t>94</w:t>
            </w:r>
          </w:p>
        </w:tc>
      </w:tr>
      <w:tr w:rsidR="00286A88" w:rsidRPr="00286A88" w14:paraId="2C4BC51C" w14:textId="77777777" w:rsidTr="007400B1">
        <w:tc>
          <w:tcPr>
            <w:tcW w:w="0" w:type="auto"/>
          </w:tcPr>
          <w:p w14:paraId="27ABF6A5" w14:textId="77777777" w:rsidR="00286A88" w:rsidRPr="00286A88" w:rsidRDefault="00286A88" w:rsidP="001B0823">
            <w:r w:rsidRPr="00286A88">
              <w:t>Foot pad dermatitis</w:t>
            </w:r>
          </w:p>
        </w:tc>
        <w:tc>
          <w:tcPr>
            <w:tcW w:w="0" w:type="auto"/>
          </w:tcPr>
          <w:p w14:paraId="0B21D742" w14:textId="77777777" w:rsidR="00286A88" w:rsidRPr="00286A88" w:rsidRDefault="00286A88" w:rsidP="00D36CF1">
            <w:pPr>
              <w:jc w:val="center"/>
            </w:pPr>
            <w:r w:rsidRPr="00286A88">
              <w:t>75</w:t>
            </w:r>
          </w:p>
        </w:tc>
      </w:tr>
      <w:tr w:rsidR="00286A88" w:rsidRPr="00286A88" w14:paraId="11E85A82" w14:textId="77777777" w:rsidTr="007400B1">
        <w:tc>
          <w:tcPr>
            <w:tcW w:w="0" w:type="auto"/>
          </w:tcPr>
          <w:p w14:paraId="71D59D9C" w14:textId="77777777" w:rsidR="00286A88" w:rsidRPr="00286A88" w:rsidRDefault="00286A88" w:rsidP="001B0823">
            <w:r w:rsidRPr="00286A88">
              <w:t>Septicaemia</w:t>
            </w:r>
          </w:p>
        </w:tc>
        <w:tc>
          <w:tcPr>
            <w:tcW w:w="0" w:type="auto"/>
          </w:tcPr>
          <w:p w14:paraId="2B0C4CBB" w14:textId="77777777" w:rsidR="00286A88" w:rsidRPr="00286A88" w:rsidRDefault="00286A88" w:rsidP="00D36CF1">
            <w:pPr>
              <w:jc w:val="center"/>
            </w:pPr>
            <w:r w:rsidRPr="00286A88">
              <w:t>71</w:t>
            </w:r>
          </w:p>
        </w:tc>
      </w:tr>
      <w:tr w:rsidR="00286A88" w:rsidRPr="00286A88" w14:paraId="64413C70" w14:textId="77777777" w:rsidTr="007400B1">
        <w:tc>
          <w:tcPr>
            <w:tcW w:w="0" w:type="auto"/>
          </w:tcPr>
          <w:p w14:paraId="19E4E606" w14:textId="77777777" w:rsidR="00286A88" w:rsidRPr="00286A88" w:rsidRDefault="00286A88" w:rsidP="001B0823">
            <w:r w:rsidRPr="00286A88">
              <w:t>Comb paleness</w:t>
            </w:r>
          </w:p>
        </w:tc>
        <w:tc>
          <w:tcPr>
            <w:tcW w:w="0" w:type="auto"/>
          </w:tcPr>
          <w:p w14:paraId="7D5941E0" w14:textId="77777777" w:rsidR="00286A88" w:rsidRPr="00286A88" w:rsidRDefault="00286A88" w:rsidP="00D36CF1">
            <w:pPr>
              <w:jc w:val="center"/>
            </w:pPr>
            <w:r w:rsidRPr="00286A88">
              <w:t>67</w:t>
            </w:r>
          </w:p>
        </w:tc>
      </w:tr>
      <w:tr w:rsidR="00286A88" w:rsidRPr="00286A88" w14:paraId="6DF8BA00" w14:textId="77777777" w:rsidTr="007400B1">
        <w:tc>
          <w:tcPr>
            <w:tcW w:w="0" w:type="auto"/>
          </w:tcPr>
          <w:p w14:paraId="35B87D83" w14:textId="77777777" w:rsidR="00286A88" w:rsidRPr="00286A88" w:rsidRDefault="00286A88" w:rsidP="001B0823">
            <w:r w:rsidRPr="00286A88">
              <w:t>Toe damage</w:t>
            </w:r>
          </w:p>
        </w:tc>
        <w:tc>
          <w:tcPr>
            <w:tcW w:w="0" w:type="auto"/>
          </w:tcPr>
          <w:p w14:paraId="01B3E8DB" w14:textId="77777777" w:rsidR="00286A88" w:rsidRPr="00286A88" w:rsidRDefault="00286A88" w:rsidP="00D36CF1">
            <w:pPr>
              <w:jc w:val="center"/>
            </w:pPr>
            <w:r w:rsidRPr="00286A88">
              <w:t>65</w:t>
            </w:r>
          </w:p>
        </w:tc>
      </w:tr>
      <w:tr w:rsidR="00286A88" w:rsidRPr="00286A88" w14:paraId="04610985" w14:textId="77777777" w:rsidTr="007400B1">
        <w:tc>
          <w:tcPr>
            <w:tcW w:w="0" w:type="auto"/>
          </w:tcPr>
          <w:p w14:paraId="7A0484CA" w14:textId="77777777" w:rsidR="00286A88" w:rsidRPr="00286A88" w:rsidRDefault="00286A88" w:rsidP="001B0823">
            <w:r w:rsidRPr="00286A88">
              <w:t>Enteric disease</w:t>
            </w:r>
          </w:p>
        </w:tc>
        <w:tc>
          <w:tcPr>
            <w:tcW w:w="0" w:type="auto"/>
          </w:tcPr>
          <w:p w14:paraId="1A6734CB" w14:textId="77777777" w:rsidR="00286A88" w:rsidRPr="00286A88" w:rsidRDefault="00286A88" w:rsidP="00D36CF1">
            <w:pPr>
              <w:jc w:val="center"/>
            </w:pPr>
            <w:r w:rsidRPr="00286A88">
              <w:t>35</w:t>
            </w:r>
          </w:p>
        </w:tc>
      </w:tr>
      <w:tr w:rsidR="00286A88" w:rsidRPr="00286A88" w14:paraId="1F9C24C0" w14:textId="77777777" w:rsidTr="007400B1">
        <w:tc>
          <w:tcPr>
            <w:tcW w:w="0" w:type="auto"/>
          </w:tcPr>
          <w:p w14:paraId="19B6E885" w14:textId="77777777" w:rsidR="00286A88" w:rsidRPr="00286A88" w:rsidRDefault="00286A88" w:rsidP="001B0823">
            <w:r w:rsidRPr="00286A88">
              <w:t>Respiratory disease</w:t>
            </w:r>
          </w:p>
        </w:tc>
        <w:tc>
          <w:tcPr>
            <w:tcW w:w="0" w:type="auto"/>
          </w:tcPr>
          <w:p w14:paraId="1902E872" w14:textId="77777777" w:rsidR="00286A88" w:rsidRPr="00286A88" w:rsidRDefault="00286A88" w:rsidP="00D36CF1">
            <w:pPr>
              <w:jc w:val="center"/>
            </w:pPr>
            <w:r w:rsidRPr="00286A88">
              <w:t>34</w:t>
            </w:r>
          </w:p>
        </w:tc>
      </w:tr>
      <w:tr w:rsidR="00286A88" w:rsidRPr="00286A88" w14:paraId="6756B5C9" w14:textId="77777777" w:rsidTr="007400B1">
        <w:tc>
          <w:tcPr>
            <w:tcW w:w="0" w:type="auto"/>
          </w:tcPr>
          <w:p w14:paraId="443A8A3B" w14:textId="77777777" w:rsidR="00286A88" w:rsidRPr="00286A88" w:rsidRDefault="00286A88" w:rsidP="001B0823">
            <w:r w:rsidRPr="00286A88">
              <w:t>Roundworms</w:t>
            </w:r>
          </w:p>
        </w:tc>
        <w:tc>
          <w:tcPr>
            <w:tcW w:w="0" w:type="auto"/>
          </w:tcPr>
          <w:p w14:paraId="14D5C0EB" w14:textId="77777777" w:rsidR="00286A88" w:rsidRPr="00286A88" w:rsidRDefault="00286A88" w:rsidP="00D36CF1">
            <w:pPr>
              <w:jc w:val="center"/>
            </w:pPr>
            <w:r w:rsidRPr="00286A88">
              <w:t>33</w:t>
            </w:r>
          </w:p>
        </w:tc>
      </w:tr>
      <w:tr w:rsidR="00286A88" w:rsidRPr="00286A88" w14:paraId="6EB8D771" w14:textId="77777777" w:rsidTr="007400B1">
        <w:tc>
          <w:tcPr>
            <w:tcW w:w="0" w:type="auto"/>
          </w:tcPr>
          <w:p w14:paraId="0488C5A0" w14:textId="77777777" w:rsidR="00286A88" w:rsidRPr="00286A88" w:rsidRDefault="00286A88" w:rsidP="001B0823">
            <w:r w:rsidRPr="00286A88">
              <w:t>Cage layer fatigue*</w:t>
            </w:r>
          </w:p>
        </w:tc>
        <w:tc>
          <w:tcPr>
            <w:tcW w:w="0" w:type="auto"/>
          </w:tcPr>
          <w:p w14:paraId="0E124A4B" w14:textId="77777777" w:rsidR="00286A88" w:rsidRPr="00286A88" w:rsidRDefault="00286A88" w:rsidP="00D36CF1">
            <w:pPr>
              <w:jc w:val="center"/>
            </w:pPr>
            <w:r w:rsidRPr="00286A88">
              <w:t>28</w:t>
            </w:r>
          </w:p>
        </w:tc>
      </w:tr>
      <w:tr w:rsidR="00286A88" w:rsidRPr="00286A88" w14:paraId="0EAF7DDD" w14:textId="77777777" w:rsidTr="007400B1">
        <w:tc>
          <w:tcPr>
            <w:tcW w:w="0" w:type="auto"/>
          </w:tcPr>
          <w:p w14:paraId="442DECBB" w14:textId="77777777" w:rsidR="00286A88" w:rsidRPr="00286A88" w:rsidRDefault="00286A88" w:rsidP="001B0823">
            <w:r w:rsidRPr="00286A88">
              <w:t>Enlarged crop</w:t>
            </w:r>
          </w:p>
        </w:tc>
        <w:tc>
          <w:tcPr>
            <w:tcW w:w="0" w:type="auto"/>
          </w:tcPr>
          <w:p w14:paraId="30DFA451" w14:textId="77777777" w:rsidR="00286A88" w:rsidRPr="00286A88" w:rsidRDefault="00286A88" w:rsidP="00D36CF1">
            <w:pPr>
              <w:jc w:val="center"/>
            </w:pPr>
            <w:r w:rsidRPr="00286A88">
              <w:t>24</w:t>
            </w:r>
          </w:p>
        </w:tc>
      </w:tr>
      <w:tr w:rsidR="00286A88" w:rsidRPr="00286A88" w14:paraId="5DEF0D8F" w14:textId="77777777" w:rsidTr="007400B1">
        <w:tc>
          <w:tcPr>
            <w:tcW w:w="0" w:type="auto"/>
          </w:tcPr>
          <w:p w14:paraId="7D7C30DE" w14:textId="77777777" w:rsidR="00286A88" w:rsidRPr="00286A88" w:rsidRDefault="00286A88" w:rsidP="001B0823">
            <w:r w:rsidRPr="00286A88">
              <w:t>Feather pecking</w:t>
            </w:r>
          </w:p>
        </w:tc>
        <w:tc>
          <w:tcPr>
            <w:tcW w:w="0" w:type="auto"/>
          </w:tcPr>
          <w:p w14:paraId="206BAD96" w14:textId="77777777" w:rsidR="00286A88" w:rsidRPr="00286A88" w:rsidRDefault="00286A88" w:rsidP="00D36CF1">
            <w:pPr>
              <w:jc w:val="center"/>
            </w:pPr>
            <w:r w:rsidRPr="00286A88">
              <w:t>23</w:t>
            </w:r>
          </w:p>
        </w:tc>
      </w:tr>
      <w:tr w:rsidR="00286A88" w:rsidRPr="00286A88" w14:paraId="69EDB049" w14:textId="77777777" w:rsidTr="007400B1">
        <w:tc>
          <w:tcPr>
            <w:tcW w:w="0" w:type="auto"/>
          </w:tcPr>
          <w:p w14:paraId="36E81E63" w14:textId="77777777" w:rsidR="00286A88" w:rsidRPr="00286A88" w:rsidRDefault="00286A88" w:rsidP="001B0823">
            <w:r w:rsidRPr="00286A88">
              <w:t>Neoplasm</w:t>
            </w:r>
          </w:p>
        </w:tc>
        <w:tc>
          <w:tcPr>
            <w:tcW w:w="0" w:type="auto"/>
          </w:tcPr>
          <w:p w14:paraId="01E283FA" w14:textId="77777777" w:rsidR="00286A88" w:rsidRPr="00286A88" w:rsidRDefault="00286A88" w:rsidP="00D36CF1">
            <w:pPr>
              <w:jc w:val="center"/>
            </w:pPr>
            <w:r w:rsidRPr="00286A88">
              <w:t>7</w:t>
            </w:r>
          </w:p>
        </w:tc>
      </w:tr>
      <w:tr w:rsidR="00286A88" w:rsidRPr="00286A88" w14:paraId="1F40BC5B" w14:textId="77777777" w:rsidTr="007400B1">
        <w:tc>
          <w:tcPr>
            <w:tcW w:w="0" w:type="auto"/>
          </w:tcPr>
          <w:p w14:paraId="5E90CFA4" w14:textId="77777777" w:rsidR="00286A88" w:rsidRPr="00286A88" w:rsidRDefault="00286A88" w:rsidP="001B0823">
            <w:r w:rsidRPr="00286A88">
              <w:t>Northern fowl mites</w:t>
            </w:r>
          </w:p>
        </w:tc>
        <w:tc>
          <w:tcPr>
            <w:tcW w:w="0" w:type="auto"/>
          </w:tcPr>
          <w:p w14:paraId="747A9F5E" w14:textId="77777777" w:rsidR="00286A88" w:rsidRPr="00286A88" w:rsidRDefault="00286A88" w:rsidP="00D36CF1">
            <w:pPr>
              <w:jc w:val="center"/>
            </w:pPr>
            <w:r w:rsidRPr="00286A88">
              <w:t>5</w:t>
            </w:r>
          </w:p>
        </w:tc>
      </w:tr>
      <w:tr w:rsidR="00286A88" w:rsidRPr="00286A88" w14:paraId="7D108BE2" w14:textId="77777777" w:rsidTr="007400B1">
        <w:tc>
          <w:tcPr>
            <w:tcW w:w="0" w:type="auto"/>
          </w:tcPr>
          <w:p w14:paraId="1186B56B" w14:textId="77777777" w:rsidR="00286A88" w:rsidRPr="00286A88" w:rsidRDefault="00286A88" w:rsidP="001B0823">
            <w:r w:rsidRPr="00286A88">
              <w:t>Eye abnormalities</w:t>
            </w:r>
          </w:p>
        </w:tc>
        <w:tc>
          <w:tcPr>
            <w:tcW w:w="0" w:type="auto"/>
          </w:tcPr>
          <w:p w14:paraId="77EA92D9" w14:textId="77777777" w:rsidR="00286A88" w:rsidRPr="00286A88" w:rsidRDefault="00286A88" w:rsidP="00D36CF1">
            <w:pPr>
              <w:jc w:val="center"/>
            </w:pPr>
            <w:r w:rsidRPr="00286A88">
              <w:t>5</w:t>
            </w:r>
          </w:p>
        </w:tc>
      </w:tr>
      <w:tr w:rsidR="00286A88" w:rsidRPr="00286A88" w14:paraId="6B6E3018" w14:textId="77777777" w:rsidTr="007400B1">
        <w:tc>
          <w:tcPr>
            <w:tcW w:w="0" w:type="auto"/>
          </w:tcPr>
          <w:p w14:paraId="7ED36372" w14:textId="77777777" w:rsidR="00286A88" w:rsidRPr="00286A88" w:rsidRDefault="00286A88" w:rsidP="001B0823">
            <w:r w:rsidRPr="00286A88">
              <w:t>Skin lesions</w:t>
            </w:r>
          </w:p>
        </w:tc>
        <w:tc>
          <w:tcPr>
            <w:tcW w:w="0" w:type="auto"/>
          </w:tcPr>
          <w:p w14:paraId="0E9B007B" w14:textId="77777777" w:rsidR="00286A88" w:rsidRPr="00286A88" w:rsidRDefault="00286A88" w:rsidP="00D36CF1">
            <w:pPr>
              <w:jc w:val="center"/>
            </w:pPr>
            <w:r w:rsidRPr="00286A88">
              <w:t>4</w:t>
            </w:r>
          </w:p>
        </w:tc>
      </w:tr>
      <w:tr w:rsidR="00286A88" w:rsidRPr="00286A88" w14:paraId="73413430" w14:textId="77777777" w:rsidTr="007400B1">
        <w:tc>
          <w:tcPr>
            <w:tcW w:w="0" w:type="auto"/>
          </w:tcPr>
          <w:p w14:paraId="7D37F882" w14:textId="77777777" w:rsidR="00286A88" w:rsidRPr="00286A88" w:rsidRDefault="00286A88" w:rsidP="001B0823">
            <w:r w:rsidRPr="00286A88">
              <w:t>Bumblefoot</w:t>
            </w:r>
          </w:p>
        </w:tc>
        <w:tc>
          <w:tcPr>
            <w:tcW w:w="0" w:type="auto"/>
          </w:tcPr>
          <w:p w14:paraId="674593BA" w14:textId="77777777" w:rsidR="00286A88" w:rsidRPr="00286A88" w:rsidRDefault="00286A88" w:rsidP="00D36CF1">
            <w:pPr>
              <w:jc w:val="center"/>
            </w:pPr>
            <w:r w:rsidRPr="00286A88">
              <w:t>2</w:t>
            </w:r>
          </w:p>
        </w:tc>
      </w:tr>
      <w:tr w:rsidR="00286A88" w:rsidRPr="00286A88" w14:paraId="01085AED" w14:textId="77777777" w:rsidTr="007400B1">
        <w:tc>
          <w:tcPr>
            <w:tcW w:w="0" w:type="auto"/>
          </w:tcPr>
          <w:p w14:paraId="277C0BAD" w14:textId="77777777" w:rsidR="00286A88" w:rsidRPr="00286A88" w:rsidRDefault="00286A88" w:rsidP="001B0823">
            <w:r w:rsidRPr="00286A88">
              <w:t>Tapeworms</w:t>
            </w:r>
          </w:p>
        </w:tc>
        <w:tc>
          <w:tcPr>
            <w:tcW w:w="0" w:type="auto"/>
          </w:tcPr>
          <w:p w14:paraId="5CD8B799" w14:textId="77777777" w:rsidR="00286A88" w:rsidRPr="00286A88" w:rsidRDefault="00286A88" w:rsidP="00D36CF1">
            <w:pPr>
              <w:jc w:val="center"/>
            </w:pPr>
            <w:r w:rsidRPr="00286A88">
              <w:t>1</w:t>
            </w:r>
          </w:p>
        </w:tc>
      </w:tr>
      <w:tr w:rsidR="00286A88" w:rsidRPr="00286A88" w14:paraId="54B9657A" w14:textId="77777777" w:rsidTr="007400B1">
        <w:tc>
          <w:tcPr>
            <w:tcW w:w="0" w:type="auto"/>
          </w:tcPr>
          <w:p w14:paraId="3894F09E" w14:textId="77777777" w:rsidR="00286A88" w:rsidRPr="00286A88" w:rsidRDefault="00286A88" w:rsidP="001B0823">
            <w:r w:rsidRPr="00286A88">
              <w:t>Lice</w:t>
            </w:r>
          </w:p>
        </w:tc>
        <w:tc>
          <w:tcPr>
            <w:tcW w:w="0" w:type="auto"/>
          </w:tcPr>
          <w:p w14:paraId="44DFB1EB" w14:textId="77777777" w:rsidR="00286A88" w:rsidRPr="00286A88" w:rsidRDefault="00286A88" w:rsidP="00D36CF1">
            <w:pPr>
              <w:jc w:val="center"/>
            </w:pPr>
            <w:r w:rsidRPr="00286A88">
              <w:t>1</w:t>
            </w:r>
          </w:p>
        </w:tc>
      </w:tr>
    </w:tbl>
    <w:p w14:paraId="6776E2BE" w14:textId="77777777" w:rsidR="00286A88" w:rsidRPr="006542A7" w:rsidRDefault="00286A88" w:rsidP="006542A7">
      <w:pPr>
        <w:spacing w:before="120" w:after="240"/>
        <w:rPr>
          <w:i/>
          <w:lang w:val="en-AU" w:eastAsia="en-AU"/>
        </w:rPr>
      </w:pPr>
      <w:r w:rsidRPr="006542A7">
        <w:rPr>
          <w:i/>
          <w:lang w:val="en-AU" w:eastAsia="en-AU"/>
        </w:rPr>
        <w:t>*The term cage layer fatigue is often used without a clear definition to refer to a variety of forms of bone disorder and osteoporosis affecting (primarily) caged birds that have little opportunity to exercise, often resulting in total lameness, paralysis and collapse. The term can also be used to describe a form of developmental bone disorder where characteristic beading (knobs) are observed at the junction between ribs and vertebrae. This is the sense in which it is used by Kajlich et al. (2016).</w:t>
      </w:r>
    </w:p>
    <w:p w14:paraId="56E582AA" w14:textId="77777777" w:rsidR="00286A88" w:rsidRPr="00286A88" w:rsidRDefault="00286A88" w:rsidP="001B0823">
      <w:pPr>
        <w:rPr>
          <w:lang w:val="en-AU" w:eastAsia="en-AU"/>
        </w:rPr>
      </w:pPr>
      <w:r w:rsidRPr="00286A88">
        <w:rPr>
          <w:lang w:val="en-AU" w:eastAsia="en-AU"/>
        </w:rPr>
        <w:t>Smothering occurs when birds aggregate and pile on top of each other. A survey of UK free-range flocks found the average number of birds killed during a smothering episode was 25, and that overall cumulative mortality due to smothering was 1.6% (Barrett et al., 2014). Smothering can also be a significant cause of mortality in pullets during the rearing period, where overall mortality is usually low (Sparks et al., 2008). Smothering accounted for 16% of all mortality in intact-beak flocks, where overall mortality was high (Defra, 2015). Some smothering is linked to episodes of panic (Richards et al., 2012a), which may be mitigated by improved rearing practices that accustom young birds to a wider range of stimuli. However, panic is not the only cause of smothering. Hens can smother inside nest-boxes, or can engage in a form of “creeping” smothering which can occur in any part of the house or even on the outdoor range (Bright and Johnson, 2011). Some hens have been observed crowding into the same small areas, possibly associated with synchronous dust-bathing behaviour, and then piling on top of each other (Campbell et al., 2016c), or circling slowly and pushing underneath each other as if seeking shelter or cover. These behaviours may not always lead to smothering (Campbell et al., 2016c) but they can do so. This type of smothering generally involves fewer birds than when a whole flock panics, but nonetheless can lead to high overall mortality if episodes are frequent. Rearing birds with access to perches may reduce smothering (Lay et al., 2011) and nest box design has also recently been found to affect smothering risk, with nest boxes manufactured by some companies (unspecified) reducing the risk compared with those manufactured by other companies (Rayner et al., 2016).</w:t>
      </w:r>
    </w:p>
    <w:p w14:paraId="3DD2A653" w14:textId="77777777" w:rsidR="00286A88" w:rsidRPr="00286A88" w:rsidRDefault="00286A88" w:rsidP="001B0823">
      <w:pPr>
        <w:rPr>
          <w:lang w:val="en-AU" w:eastAsia="en-AU"/>
        </w:rPr>
      </w:pPr>
      <w:r w:rsidRPr="00286A88">
        <w:rPr>
          <w:lang w:val="en-AU" w:eastAsia="en-AU"/>
        </w:rPr>
        <w:t>Trauma (Fossum et al., 2009) and other accidents (e.g. access to some types of string causing impaction and tongue necrosis (Schlegel and Brash, 2015) can also lead to high mortality.</w:t>
      </w:r>
    </w:p>
    <w:p w14:paraId="55438D93" w14:textId="77777777" w:rsidR="00286A88" w:rsidRPr="00286A88" w:rsidRDefault="00286A88" w:rsidP="001B0823">
      <w:pPr>
        <w:rPr>
          <w:lang w:val="en-AU" w:eastAsia="en-AU"/>
        </w:rPr>
      </w:pPr>
      <w:r w:rsidRPr="00286A88">
        <w:rPr>
          <w:lang w:val="en-AU" w:eastAsia="en-AU"/>
        </w:rPr>
        <w:t>Predation in free-range flocks is an additional cause of losses. In intact-beak free-range flocks, predation accounted for between 5 and 6% of overall mortality, depending on bird age at assessment (Defra, 2015).</w:t>
      </w:r>
    </w:p>
    <w:p w14:paraId="1B9B2EED" w14:textId="77777777" w:rsidR="00286A88" w:rsidRPr="00286A88" w:rsidRDefault="00286A88" w:rsidP="001B0823">
      <w:pPr>
        <w:rPr>
          <w:lang w:val="en-AU" w:eastAsia="en-AU"/>
        </w:rPr>
      </w:pPr>
      <w:r w:rsidRPr="00286A88">
        <w:rPr>
          <w:lang w:val="en-AU" w:eastAsia="en-AU"/>
        </w:rPr>
        <w:t>Despite these average figures, well-managed and designed free-range systems can produce low-mortality outcomes. Ferrante et al. (2009) reported much lower mortality in free-range than in barn systems (2.43% vs 4.24%). There is some evidence (see LH3.13) that well-managed systems can produce birds with high immune function (e.g. Shimmura et al., 2010b), able to deal with the additional disease challenges in their environment.</w:t>
      </w:r>
    </w:p>
    <w:p w14:paraId="2B63EA81" w14:textId="77777777" w:rsidR="00286A88" w:rsidRPr="00286A88" w:rsidRDefault="00286A88" w:rsidP="001B0823">
      <w:pPr>
        <w:rPr>
          <w:lang w:val="en-AU" w:eastAsia="en-AU"/>
        </w:rPr>
      </w:pPr>
      <w:r w:rsidRPr="00286A88">
        <w:rPr>
          <w:lang w:val="en-AU" w:eastAsia="en-AU"/>
        </w:rPr>
        <w:t>The high ovulation rate of laying hens makes them increasingly susceptible to ovarian cancer with age. Ovarian cancer can often be detected in hens of 2 years of age, and by 3.5 years, over 30% of hens will have this condition (Johnson and Giles, 2013). This makes the laying hen the best current animal model for human ovarian cancer studies (Johnson and Giles, 2013; Hawkridge, 2014). For commercial flocks depopulated at 70 to 80 weeks this condition has little welfare impact. However, it is a relevant welfare concern for flocks that are moulted and expected to produce eggs in their second year. It remains to be seen whether new strains that produce at commercial rates for longer (with predicted depopulation age approaching 100 weeks) are also susceptible to ovarian cancer.</w:t>
      </w:r>
    </w:p>
    <w:p w14:paraId="33281761" w14:textId="77777777" w:rsidR="00286A88" w:rsidRPr="00286A88" w:rsidRDefault="00286A88" w:rsidP="001B0823">
      <w:pPr>
        <w:pStyle w:val="Heading3"/>
        <w:rPr>
          <w:sz w:val="24"/>
          <w:szCs w:val="24"/>
          <w:lang w:val="en-AU" w:eastAsia="en-GB"/>
        </w:rPr>
      </w:pPr>
      <w:bookmarkStart w:id="32" w:name="_Toc495310501"/>
      <w:r w:rsidRPr="00286A88">
        <w:rPr>
          <w:lang w:val="en-AU" w:eastAsia="en-GB"/>
        </w:rPr>
        <w:t>LH3.3 Bone fractures and damage</w:t>
      </w:r>
      <w:bookmarkEnd w:id="32"/>
    </w:p>
    <w:p w14:paraId="2415A6C7" w14:textId="77777777" w:rsidR="00286A88" w:rsidRPr="001B0823" w:rsidRDefault="00286A88" w:rsidP="001B0823">
      <w:pPr>
        <w:rPr>
          <w:i/>
          <w:lang w:val="en-AU" w:eastAsia="en-AU"/>
        </w:rPr>
      </w:pPr>
      <w:r w:rsidRPr="001B0823">
        <w:rPr>
          <w:i/>
          <w:lang w:val="en-AU" w:eastAsia="en-AU"/>
        </w:rPr>
        <w:t>Laying hens are highly susceptible to fractures of the keel bone which can occur during the laying period (once healed these are termed ‘old’ fractures) or at depopulation (see LH3.4). Fractures sustained during the laying period appear to be painful, even after the healing has taken place, and they restrict bird movement to some degree. As such, fractures are a welfare concern. Fractures sustained during the laying period are observed in all housing systems but are most common in systems which present a high risk of collision.</w:t>
      </w:r>
    </w:p>
    <w:p w14:paraId="6DABDF28" w14:textId="77777777" w:rsidR="00286A88" w:rsidRPr="00286A88" w:rsidRDefault="00286A88" w:rsidP="001B0823">
      <w:pPr>
        <w:rPr>
          <w:lang w:val="en-AU" w:eastAsia="en-AU"/>
        </w:rPr>
      </w:pPr>
      <w:r w:rsidRPr="00286A88">
        <w:rPr>
          <w:lang w:val="en-AU" w:eastAsia="en-AU"/>
        </w:rPr>
        <w:t>The prevalence of all bone fractures was assessed using radiography, for hens of diverse strains housed in conventional cages. On average, 15.7% of birds had sustained a fracture by 65 weeks, with high variation between strains in fracture incidence (which was greatest in Rhode Island Red lines) (Clark et al., 2008). Indentations of the keel bone were also noted in between 36 and 88% of hens from these same lines (Clark et al., 2008). This fits well with the considerable body of evidence emerging to indicate that many highly productive commercial laying hens in all housing systems have some degree of abnormality of their keel bone. The extent of damage ranges from deviations (bends and twists) to multiple severe fractures. The prevalence and severity tends to increase with the complexity of the housed environment. Keel bone deviations appear to arise from contact of the keel with a perch during rest (Vits et al., 2005).</w:t>
      </w:r>
    </w:p>
    <w:p w14:paraId="759CEA94" w14:textId="77777777" w:rsidR="00286A88" w:rsidRPr="00286A88" w:rsidRDefault="00286A88" w:rsidP="001B0823">
      <w:pPr>
        <w:rPr>
          <w:lang w:val="en-AU" w:eastAsia="en-AU"/>
        </w:rPr>
      </w:pPr>
      <w:r w:rsidRPr="00286A88">
        <w:rPr>
          <w:lang w:val="en-AU" w:eastAsia="en-AU"/>
        </w:rPr>
        <w:t>Keel bone fractures occur very rarely or not at all (Kappeli et al., 2011a; Richards et al., 2012b) during the rearing period. The incidence of fractures increases with age in both cage and non-cage facilities (Richards et al., 2012b: Petrik et al., 2015) (Table LH5).</w:t>
      </w:r>
    </w:p>
    <w:p w14:paraId="1FE02315" w14:textId="77777777" w:rsidR="00286A88" w:rsidRPr="001B0823" w:rsidRDefault="00286A88" w:rsidP="001B0823">
      <w:pPr>
        <w:spacing w:before="240"/>
        <w:rPr>
          <w:b/>
          <w:lang w:val="en-AU" w:eastAsia="en-AU"/>
        </w:rPr>
      </w:pPr>
      <w:r w:rsidRPr="001B0823">
        <w:rPr>
          <w:b/>
          <w:lang w:val="en-AU" w:eastAsia="en-AU"/>
        </w:rPr>
        <w:t>Table LH5: Prevalence of keel fractures at different hen ages</w:t>
      </w:r>
    </w:p>
    <w:tbl>
      <w:tblPr>
        <w:tblStyle w:val="TableGrid1"/>
        <w:tblW w:w="0" w:type="auto"/>
        <w:tblLook w:val="04A0" w:firstRow="1" w:lastRow="0" w:firstColumn="1" w:lastColumn="0" w:noHBand="0" w:noVBand="1"/>
        <w:tblCaption w:val="Table LH5: Prevalence of keel fractures at different hen ages"/>
        <w:tblDescription w:val="This table shows the percentage of laying hens with keel fractures, in six age categories, in cage and non-cage systems. The left hand column shows the age in weeks, the middle column shows the percentage of hens with keel fractures in different age categories in cage systems, and the right hand column shows the percentage of hens with keel fractures in the different age categories in non-cage systems. The caged hen data are derived from a scientific paper by Richards et al. (2012b) and the non-caged hen data are derived from a scientific paper by Petrik et al. (2015)."/>
      </w:tblPr>
      <w:tblGrid>
        <w:gridCol w:w="1384"/>
        <w:gridCol w:w="2154"/>
        <w:gridCol w:w="2154"/>
      </w:tblGrid>
      <w:tr w:rsidR="00286A88" w:rsidRPr="00927483" w14:paraId="23E99CB8" w14:textId="77777777" w:rsidTr="001A1E6C">
        <w:trPr>
          <w:tblHeader/>
        </w:trPr>
        <w:tc>
          <w:tcPr>
            <w:tcW w:w="1384" w:type="dxa"/>
          </w:tcPr>
          <w:p w14:paraId="74AEA515" w14:textId="77777777" w:rsidR="00286A88" w:rsidRPr="00927483" w:rsidRDefault="00286A88" w:rsidP="003966A7">
            <w:pPr>
              <w:pStyle w:val="NoSpacing"/>
              <w:spacing w:before="20" w:after="20"/>
            </w:pPr>
            <w:r w:rsidRPr="00927483">
              <w:t>Age (weeks)</w:t>
            </w:r>
          </w:p>
        </w:tc>
        <w:tc>
          <w:tcPr>
            <w:tcW w:w="2154" w:type="dxa"/>
          </w:tcPr>
          <w:p w14:paraId="6B000944" w14:textId="77777777" w:rsidR="00286A88" w:rsidRPr="00927483" w:rsidRDefault="00286A88" w:rsidP="001A1E6C">
            <w:pPr>
              <w:pStyle w:val="NoSpacing"/>
              <w:spacing w:before="20" w:after="20"/>
              <w:jc w:val="center"/>
            </w:pPr>
            <w:r w:rsidRPr="00927483">
              <w:t>Richards et al., 2012b</w:t>
            </w:r>
          </w:p>
        </w:tc>
        <w:tc>
          <w:tcPr>
            <w:tcW w:w="2154" w:type="dxa"/>
          </w:tcPr>
          <w:p w14:paraId="7B70729B" w14:textId="77777777" w:rsidR="00286A88" w:rsidRPr="00927483" w:rsidRDefault="00286A88" w:rsidP="001A1E6C">
            <w:pPr>
              <w:pStyle w:val="NoSpacing"/>
              <w:spacing w:before="20" w:after="20"/>
              <w:jc w:val="center"/>
            </w:pPr>
            <w:r w:rsidRPr="00927483">
              <w:t>Petrik et al., 2015</w:t>
            </w:r>
          </w:p>
        </w:tc>
      </w:tr>
      <w:tr w:rsidR="00286A88" w:rsidRPr="00286A88" w14:paraId="5F192479" w14:textId="77777777" w:rsidTr="001A1E6C">
        <w:tc>
          <w:tcPr>
            <w:tcW w:w="1384" w:type="dxa"/>
          </w:tcPr>
          <w:p w14:paraId="542E14C9" w14:textId="77777777" w:rsidR="00286A88" w:rsidRPr="00286A88" w:rsidRDefault="00286A88" w:rsidP="003966A7">
            <w:pPr>
              <w:pStyle w:val="NoSpacing"/>
              <w:spacing w:before="20" w:after="20"/>
            </w:pPr>
            <w:r w:rsidRPr="00286A88">
              <w:t>20-25</w:t>
            </w:r>
          </w:p>
        </w:tc>
        <w:tc>
          <w:tcPr>
            <w:tcW w:w="2154" w:type="dxa"/>
          </w:tcPr>
          <w:p w14:paraId="06E049FA" w14:textId="77777777" w:rsidR="00286A88" w:rsidRPr="00286A88" w:rsidRDefault="00286A88" w:rsidP="001A1E6C">
            <w:pPr>
              <w:pStyle w:val="NoSpacing"/>
              <w:spacing w:before="20" w:after="20"/>
              <w:ind w:left="284"/>
              <w:jc w:val="center"/>
            </w:pPr>
            <w:r w:rsidRPr="00286A88">
              <w:t>5.5</w:t>
            </w:r>
          </w:p>
        </w:tc>
        <w:tc>
          <w:tcPr>
            <w:tcW w:w="2154" w:type="dxa"/>
          </w:tcPr>
          <w:p w14:paraId="65829EF6" w14:textId="77777777" w:rsidR="00286A88" w:rsidRPr="00286A88" w:rsidRDefault="00286A88" w:rsidP="001A1E6C">
            <w:pPr>
              <w:pStyle w:val="NoSpacing"/>
              <w:spacing w:before="20" w:after="20"/>
              <w:ind w:left="284"/>
              <w:jc w:val="center"/>
            </w:pPr>
            <w:r w:rsidRPr="00286A88">
              <w:t>8.2</w:t>
            </w:r>
          </w:p>
        </w:tc>
      </w:tr>
      <w:tr w:rsidR="00286A88" w:rsidRPr="00286A88" w14:paraId="1AA714C3" w14:textId="77777777" w:rsidTr="001A1E6C">
        <w:tc>
          <w:tcPr>
            <w:tcW w:w="1384" w:type="dxa"/>
          </w:tcPr>
          <w:p w14:paraId="62991F61" w14:textId="77777777" w:rsidR="00286A88" w:rsidRPr="00286A88" w:rsidRDefault="00286A88" w:rsidP="003966A7">
            <w:pPr>
              <w:pStyle w:val="NoSpacing"/>
              <w:spacing w:before="20" w:after="20"/>
            </w:pPr>
            <w:r w:rsidRPr="00286A88">
              <w:t>30-35</w:t>
            </w:r>
          </w:p>
        </w:tc>
        <w:tc>
          <w:tcPr>
            <w:tcW w:w="2154" w:type="dxa"/>
          </w:tcPr>
          <w:p w14:paraId="2755BBE2" w14:textId="77777777" w:rsidR="00286A88" w:rsidRPr="00286A88" w:rsidRDefault="00286A88" w:rsidP="001A1E6C">
            <w:pPr>
              <w:pStyle w:val="NoSpacing"/>
              <w:spacing w:before="20" w:after="20"/>
              <w:ind w:left="170"/>
              <w:jc w:val="center"/>
            </w:pPr>
            <w:r w:rsidRPr="00286A88">
              <w:t>25.5</w:t>
            </w:r>
          </w:p>
        </w:tc>
        <w:tc>
          <w:tcPr>
            <w:tcW w:w="2154" w:type="dxa"/>
          </w:tcPr>
          <w:p w14:paraId="1F15994E" w14:textId="77777777" w:rsidR="00286A88" w:rsidRPr="00286A88" w:rsidRDefault="00286A88" w:rsidP="001A1E6C">
            <w:pPr>
              <w:pStyle w:val="NoSpacing"/>
              <w:spacing w:before="20" w:after="20"/>
              <w:ind w:left="170"/>
              <w:jc w:val="center"/>
            </w:pPr>
            <w:r w:rsidRPr="00286A88">
              <w:t>36.0</w:t>
            </w:r>
          </w:p>
        </w:tc>
      </w:tr>
      <w:tr w:rsidR="00286A88" w:rsidRPr="00286A88" w14:paraId="3B1AED25" w14:textId="77777777" w:rsidTr="001A1E6C">
        <w:tc>
          <w:tcPr>
            <w:tcW w:w="1384" w:type="dxa"/>
          </w:tcPr>
          <w:p w14:paraId="16D44500" w14:textId="77777777" w:rsidR="00286A88" w:rsidRPr="00286A88" w:rsidRDefault="00286A88" w:rsidP="003966A7">
            <w:pPr>
              <w:pStyle w:val="NoSpacing"/>
              <w:spacing w:before="20" w:after="20"/>
            </w:pPr>
            <w:r w:rsidRPr="00286A88">
              <w:t>45-50</w:t>
            </w:r>
          </w:p>
        </w:tc>
        <w:tc>
          <w:tcPr>
            <w:tcW w:w="2154" w:type="dxa"/>
          </w:tcPr>
          <w:p w14:paraId="6867C167" w14:textId="77777777" w:rsidR="00286A88" w:rsidRPr="00286A88" w:rsidRDefault="00286A88" w:rsidP="001A1E6C">
            <w:pPr>
              <w:pStyle w:val="NoSpacing"/>
              <w:spacing w:before="20" w:after="20"/>
              <w:jc w:val="center"/>
            </w:pPr>
            <w:r w:rsidRPr="00286A88">
              <w:t>49</w:t>
            </w:r>
          </w:p>
        </w:tc>
        <w:tc>
          <w:tcPr>
            <w:tcW w:w="2154" w:type="dxa"/>
          </w:tcPr>
          <w:p w14:paraId="6F73734B" w14:textId="77777777" w:rsidR="00286A88" w:rsidRPr="00286A88" w:rsidRDefault="00286A88" w:rsidP="001A1E6C">
            <w:pPr>
              <w:pStyle w:val="NoSpacing"/>
              <w:spacing w:before="20" w:after="20"/>
              <w:ind w:left="170"/>
              <w:jc w:val="center"/>
            </w:pPr>
            <w:r w:rsidRPr="00286A88">
              <w:t>46.3</w:t>
            </w:r>
          </w:p>
        </w:tc>
      </w:tr>
      <w:tr w:rsidR="00286A88" w:rsidRPr="00286A88" w14:paraId="42A791D4" w14:textId="77777777" w:rsidTr="001A1E6C">
        <w:tc>
          <w:tcPr>
            <w:tcW w:w="1384" w:type="dxa"/>
          </w:tcPr>
          <w:p w14:paraId="130889AC" w14:textId="77777777" w:rsidR="00286A88" w:rsidRPr="00286A88" w:rsidRDefault="00286A88" w:rsidP="003966A7">
            <w:pPr>
              <w:pStyle w:val="NoSpacing"/>
              <w:spacing w:before="20" w:after="20"/>
            </w:pPr>
            <w:r w:rsidRPr="00286A88">
              <w:t>55</w:t>
            </w:r>
          </w:p>
        </w:tc>
        <w:tc>
          <w:tcPr>
            <w:tcW w:w="2154" w:type="dxa"/>
          </w:tcPr>
          <w:p w14:paraId="49964E2C" w14:textId="77777777" w:rsidR="00286A88" w:rsidRPr="00286A88" w:rsidRDefault="00286A88" w:rsidP="001A1E6C">
            <w:pPr>
              <w:pStyle w:val="NoSpacing"/>
              <w:spacing w:before="20" w:after="20"/>
              <w:jc w:val="center"/>
            </w:pPr>
            <w:r w:rsidRPr="00286A88">
              <w:t>63</w:t>
            </w:r>
          </w:p>
        </w:tc>
        <w:tc>
          <w:tcPr>
            <w:tcW w:w="2154" w:type="dxa"/>
          </w:tcPr>
          <w:p w14:paraId="2641BACA" w14:textId="77777777" w:rsidR="00286A88" w:rsidRPr="00286A88" w:rsidRDefault="00286A88" w:rsidP="001A1E6C">
            <w:pPr>
              <w:pStyle w:val="NoSpacing"/>
              <w:spacing w:before="20" w:after="20"/>
              <w:jc w:val="center"/>
            </w:pPr>
          </w:p>
        </w:tc>
      </w:tr>
      <w:tr w:rsidR="00286A88" w:rsidRPr="00286A88" w14:paraId="45E96DA0" w14:textId="77777777" w:rsidTr="001A1E6C">
        <w:tc>
          <w:tcPr>
            <w:tcW w:w="1384" w:type="dxa"/>
          </w:tcPr>
          <w:p w14:paraId="31923F91" w14:textId="77777777" w:rsidR="00286A88" w:rsidRPr="00286A88" w:rsidRDefault="00286A88" w:rsidP="003966A7">
            <w:pPr>
              <w:pStyle w:val="NoSpacing"/>
              <w:spacing w:before="20" w:after="20"/>
            </w:pPr>
            <w:r w:rsidRPr="00286A88">
              <w:t>65</w:t>
            </w:r>
          </w:p>
        </w:tc>
        <w:tc>
          <w:tcPr>
            <w:tcW w:w="2154" w:type="dxa"/>
          </w:tcPr>
          <w:p w14:paraId="529D7770" w14:textId="77777777" w:rsidR="00286A88" w:rsidRPr="00286A88" w:rsidRDefault="00286A88" w:rsidP="001A1E6C">
            <w:pPr>
              <w:pStyle w:val="NoSpacing"/>
              <w:spacing w:before="20" w:after="20"/>
              <w:jc w:val="center"/>
            </w:pPr>
            <w:r w:rsidRPr="00286A88">
              <w:t>66</w:t>
            </w:r>
          </w:p>
        </w:tc>
        <w:tc>
          <w:tcPr>
            <w:tcW w:w="2154" w:type="dxa"/>
          </w:tcPr>
          <w:p w14:paraId="7DFBF4C0" w14:textId="77777777" w:rsidR="00286A88" w:rsidRPr="00286A88" w:rsidRDefault="00286A88" w:rsidP="001A1E6C">
            <w:pPr>
              <w:pStyle w:val="NoSpacing"/>
              <w:spacing w:before="20" w:after="20"/>
              <w:ind w:left="170"/>
              <w:jc w:val="center"/>
            </w:pPr>
            <w:r w:rsidRPr="00286A88">
              <w:t>48.2</w:t>
            </w:r>
          </w:p>
        </w:tc>
      </w:tr>
      <w:tr w:rsidR="00286A88" w:rsidRPr="00286A88" w14:paraId="7ACE340E" w14:textId="77777777" w:rsidTr="001A1E6C">
        <w:tc>
          <w:tcPr>
            <w:tcW w:w="1384" w:type="dxa"/>
          </w:tcPr>
          <w:p w14:paraId="271F60FA" w14:textId="77777777" w:rsidR="00286A88" w:rsidRPr="00286A88" w:rsidRDefault="00286A88" w:rsidP="003966A7">
            <w:pPr>
              <w:pStyle w:val="NoSpacing"/>
              <w:spacing w:before="20" w:after="20"/>
            </w:pPr>
            <w:r w:rsidRPr="00286A88">
              <w:t>&gt;68</w:t>
            </w:r>
          </w:p>
        </w:tc>
        <w:tc>
          <w:tcPr>
            <w:tcW w:w="2154" w:type="dxa"/>
          </w:tcPr>
          <w:p w14:paraId="79D82617" w14:textId="77777777" w:rsidR="00286A88" w:rsidRPr="00286A88" w:rsidRDefault="00286A88" w:rsidP="001A1E6C">
            <w:pPr>
              <w:pStyle w:val="NoSpacing"/>
              <w:spacing w:before="20" w:after="20"/>
              <w:ind w:left="170"/>
              <w:jc w:val="center"/>
            </w:pPr>
            <w:r w:rsidRPr="00286A88">
              <w:t>78.5</w:t>
            </w:r>
          </w:p>
        </w:tc>
        <w:tc>
          <w:tcPr>
            <w:tcW w:w="2154" w:type="dxa"/>
          </w:tcPr>
          <w:p w14:paraId="743A474C" w14:textId="77777777" w:rsidR="00286A88" w:rsidRPr="00286A88" w:rsidRDefault="00286A88" w:rsidP="001A1E6C">
            <w:pPr>
              <w:pStyle w:val="NoSpacing"/>
              <w:spacing w:before="20" w:after="20"/>
              <w:jc w:val="center"/>
            </w:pPr>
          </w:p>
        </w:tc>
      </w:tr>
    </w:tbl>
    <w:p w14:paraId="53AFEA41" w14:textId="77777777" w:rsidR="00286A88" w:rsidRPr="00286A88" w:rsidRDefault="00286A88" w:rsidP="001B0823">
      <w:pPr>
        <w:rPr>
          <w:lang w:val="en-AU" w:eastAsia="en-AU"/>
        </w:rPr>
      </w:pPr>
    </w:p>
    <w:p w14:paraId="1EBAB27B" w14:textId="77777777" w:rsidR="00286A88" w:rsidRPr="00286A88" w:rsidRDefault="00286A88" w:rsidP="001B0823">
      <w:pPr>
        <w:rPr>
          <w:lang w:val="en-AU" w:eastAsia="en-AU"/>
        </w:rPr>
      </w:pPr>
      <w:r w:rsidRPr="00286A88">
        <w:rPr>
          <w:lang w:val="en-AU" w:eastAsia="en-AU"/>
        </w:rPr>
        <w:t>Several approaches have shown that keel fractures affect bird mobility (though this is not always apparent to the naked eye). Hens with fractures are less likely to use pop-holes to access an outdoor range area (Richards et al., 2012b). Nasr et al. (2012a; 2012b) found that hens with keel fractures were reluctant to move down from a perch but their latency to leave the perch was reduced when they were given analgesic (pain killer) drugs. In addition hens with keel fractures showed a preference for a place associated with analgesia (Nasr et al., 2013) whilst uninjured birds did not. These strands of evidence strongly suggest that hens experience pain associated with keel fractures.</w:t>
      </w:r>
    </w:p>
    <w:p w14:paraId="7B5DDD9D" w14:textId="77777777" w:rsidR="00286A88" w:rsidRPr="00286A88" w:rsidRDefault="00286A88" w:rsidP="001B0823">
      <w:pPr>
        <w:rPr>
          <w:lang w:val="en-AU" w:eastAsia="en-AU"/>
        </w:rPr>
      </w:pPr>
      <w:r w:rsidRPr="00286A88">
        <w:rPr>
          <w:lang w:val="en-AU" w:eastAsia="en-AU"/>
        </w:rPr>
        <w:t xml:space="preserve">When comparing cage systems, </w:t>
      </w:r>
      <w:r w:rsidRPr="00286A88">
        <w:rPr>
          <w:rFonts w:cs="Times New Roman"/>
          <w:lang w:val="en-AU" w:eastAsia="en-AU"/>
        </w:rPr>
        <w:t>the lowest prevalence of keel damage is reported in conventional cages (17.7% (Sherwin et al., 2010); 24.8% (Petrik et al., 2015) with intermediate levels of keel damage reported in furnished cages (62%, Rodenburg et al., 2008</w:t>
      </w:r>
      <w:r w:rsidR="000B0B33">
        <w:rPr>
          <w:rFonts w:cs="Times New Roman"/>
          <w:lang w:val="en-AU" w:eastAsia="en-AU"/>
        </w:rPr>
        <w:t>a</w:t>
      </w:r>
      <w:r w:rsidRPr="00286A88">
        <w:rPr>
          <w:rFonts w:cs="Times New Roman"/>
          <w:lang w:val="en-AU" w:eastAsia="en-AU"/>
        </w:rPr>
        <w:t xml:space="preserve">; 31.7%, Sherwin et al., 2010; 36%, Wilkins et al., 2011). </w:t>
      </w:r>
      <w:r w:rsidRPr="00286A88">
        <w:rPr>
          <w:lang w:val="en-AU" w:eastAsia="en-AU"/>
        </w:rPr>
        <w:t xml:space="preserve">In small experimental floor pens, keel fracture prevalences of 35% and 44% have been reported by 65 weeks of age (Kappeli et al., 2011a). However, birds in FCs have greater bone-strength (LH3.4) and a far lower prevalence of fracture at depopulation (Sherwin et al., 2010). However, it must be noted that the prevalence of </w:t>
      </w:r>
      <w:r w:rsidRPr="00286A88">
        <w:rPr>
          <w:i/>
          <w:lang w:val="en-AU" w:eastAsia="en-AU"/>
        </w:rPr>
        <w:t xml:space="preserve">new </w:t>
      </w:r>
      <w:r w:rsidRPr="00286A88">
        <w:rPr>
          <w:lang w:val="en-AU" w:eastAsia="en-AU"/>
        </w:rPr>
        <w:t>fractures, sustained during depopulation is higher for hens housed in conventional cages than any other system (Sherwin et al., 2010). During depopulation, birds are caught manually by their legs and, in cage systems, pulled through cage fronts, before being carried by the legs in groups and placed rapidly into transport crates or modules situated at the one end of the house. The weaker bone strength of hens from CC means that they are highly susceptible to any impact during this process.</w:t>
      </w:r>
    </w:p>
    <w:p w14:paraId="5B0BD46F" w14:textId="77777777" w:rsidR="00286A88" w:rsidRPr="00286A88" w:rsidRDefault="00286A88" w:rsidP="001B0823">
      <w:pPr>
        <w:rPr>
          <w:rFonts w:cs="Times New Roman"/>
          <w:lang w:val="en-AU" w:eastAsia="en-AU"/>
        </w:rPr>
      </w:pPr>
      <w:r w:rsidRPr="00286A88">
        <w:rPr>
          <w:lang w:val="en-AU" w:eastAsia="en-AU"/>
        </w:rPr>
        <w:t xml:space="preserve">Far greater levels of keel damage and fractures are observed in non-cage systems and there is a consensus that collisions are the cause of most severe fractures of the keel (e.g. Fleming et al., 2004, who ruled out developmental factors). </w:t>
      </w:r>
      <w:r w:rsidRPr="00286A88">
        <w:rPr>
          <w:rFonts w:cs="Times New Roman"/>
          <w:lang w:val="en-AU" w:eastAsia="en-AU"/>
        </w:rPr>
        <w:t>In single-tier non-cage systems fracture rates of 50–78% (Wilkins et al., 2004), 60% (Nicol et al., 2006)</w:t>
      </w:r>
      <w:r w:rsidR="00926AB6">
        <w:rPr>
          <w:rFonts w:cs="Times New Roman"/>
          <w:lang w:val="en-AU" w:eastAsia="en-AU"/>
        </w:rPr>
        <w:t>,</w:t>
      </w:r>
      <w:r w:rsidRPr="00286A88">
        <w:rPr>
          <w:rFonts w:cs="Times New Roman"/>
          <w:lang w:val="en-AU" w:eastAsia="en-AU"/>
        </w:rPr>
        <w:t xml:space="preserve"> 82% (Rodenburg et al., 2008</w:t>
      </w:r>
      <w:r w:rsidR="000B0B33">
        <w:rPr>
          <w:rFonts w:cs="Times New Roman"/>
          <w:lang w:val="en-AU" w:eastAsia="en-AU"/>
        </w:rPr>
        <w:t>a</w:t>
      </w:r>
      <w:r w:rsidRPr="00286A88">
        <w:rPr>
          <w:rFonts w:cs="Times New Roman"/>
          <w:lang w:val="en-AU" w:eastAsia="en-AU"/>
        </w:rPr>
        <w:t>)</w:t>
      </w:r>
      <w:r w:rsidR="00926AB6">
        <w:rPr>
          <w:rFonts w:cs="Times New Roman"/>
          <w:lang w:val="en-AU" w:eastAsia="en-AU"/>
        </w:rPr>
        <w:t>,</w:t>
      </w:r>
      <w:r w:rsidRPr="00286A88">
        <w:rPr>
          <w:rFonts w:cs="Times New Roman"/>
          <w:lang w:val="en-AU" w:eastAsia="en-AU"/>
        </w:rPr>
        <w:t xml:space="preserve"> 59–67% (Wilkins et al., 2011) and 48.3% (Petrik et al., 2015) have been recorded. The highest level of fractures occur in systems with the greatest combined available heights suitable for perching (97%, Rodenburg et al., 2008</w:t>
      </w:r>
      <w:r w:rsidR="000B0B33">
        <w:rPr>
          <w:rFonts w:cs="Times New Roman"/>
          <w:lang w:val="en-AU" w:eastAsia="en-AU"/>
        </w:rPr>
        <w:t>a</w:t>
      </w:r>
      <w:r w:rsidRPr="00286A88">
        <w:rPr>
          <w:rFonts w:cs="Times New Roman"/>
          <w:lang w:val="en-AU" w:eastAsia="en-AU"/>
        </w:rPr>
        <w:t>; 86%, Wilkins et al., 2011; 82.5%</w:t>
      </w:r>
      <w:r w:rsidR="00926AB6">
        <w:rPr>
          <w:rFonts w:cs="Times New Roman"/>
          <w:lang w:val="en-AU" w:eastAsia="en-AU"/>
        </w:rPr>
        <w:t>,</w:t>
      </w:r>
      <w:r w:rsidRPr="00286A88">
        <w:rPr>
          <w:rFonts w:cs="Times New Roman"/>
          <w:lang w:val="en-AU" w:eastAsia="en-AU"/>
        </w:rPr>
        <w:t xml:space="preserve"> Heerkens et al., 2016a). Such systems also result in fractures with much higher severity scores (Wilkins et al., 2011), although the adverse effect of aerial perches itself depends on other farm level factors and is apparent on some farms but not others (Donaldson et al., 2012). A study of two consecutive flocks housed in an aviary system noted that 9.1% (flock 1) and 21% (flock 2) of all flights failed, with birds colliding with other hens, slipping on the ground or colliding with aviary structures (Campbell et al., 2016a). Landings on perches failed more often than landings on litter. Designs of non-cage systems are changing accordingly, although there is still a need for more information. A recent survey of Danish flocks aged 62 weeks (</w:t>
      </w:r>
      <w:r w:rsidRPr="00286A88">
        <w:rPr>
          <w:lang w:val="en-AU" w:eastAsia="en-AU"/>
        </w:rPr>
        <w:t>Riber and Hinrichsen, 2016a), confirmed that greater bone damage occurred in multi-tier than single-tier systems (11.6  vs 4.9%) but the overall levels of damage were far lower than have been reported earlier or elsewhere. A relatively low prevalence of 18.7% keel bone fractures in Danish organic flocks (approx. 3,000 birds/flock) has also been recently reported (Hinrichsen et al., 2016), although levels were again higher in flocks with MT indoor structures. Changing genotypes (or simply differences between white and brown hybrids), improved design features within non-cage systems or differences in access to limestone (which could potentially influence bone density) may all be explanatory factors for these lower levels of damage.</w:t>
      </w:r>
    </w:p>
    <w:p w14:paraId="6FE17EA9" w14:textId="77777777" w:rsidR="00286A88" w:rsidRPr="00286A88" w:rsidRDefault="00286A88" w:rsidP="001B0823">
      <w:pPr>
        <w:rPr>
          <w:lang w:val="en-AU" w:eastAsia="en-AU"/>
        </w:rPr>
      </w:pPr>
      <w:r w:rsidRPr="00286A88">
        <w:rPr>
          <w:lang w:val="en-AU" w:eastAsia="en-AU"/>
        </w:rPr>
        <w:t>The height from which birds need to fly or jump down appears to be strongly associated with risk of damage and inaccurate landings. This may partly be due to an increased force of landing with increased height. Banerjee et al. (2014) found an average landing force for a hen jumping from a height of 41 cm to be 81 N, which increased to 107 N for hens jumping from heights of 61 cm.</w:t>
      </w:r>
    </w:p>
    <w:p w14:paraId="38C51F84" w14:textId="77777777" w:rsidR="00286A88" w:rsidRPr="00286A88" w:rsidRDefault="00286A88" w:rsidP="001B0823">
      <w:pPr>
        <w:rPr>
          <w:lang w:val="en-AU" w:eastAsia="en-AU"/>
        </w:rPr>
      </w:pPr>
      <w:r w:rsidRPr="00286A88">
        <w:rPr>
          <w:lang w:val="en-AU" w:eastAsia="en-AU"/>
        </w:rPr>
        <w:t>The risk of keel fractures increases when hens have to jump a distance of more than 80 cm vertically, horizontally or diagonally to reach or leave a perch, or jump an angle between 45 and 90° (measured at the horizontal plane) (EFSA, 2015). MT systems are associated with an increased risk of bird collisions and falls and subsequent keel bone injuries (Kappeli et al., 2011b). Good MT systems also provide a way for the birds to move down the tiers (and down to the litter) without large jumps. Systems that incorporate soft-perches i.e. metal or wooden perches covered with approximately 3</w:t>
      </w:r>
      <w:r w:rsidR="00926AB6">
        <w:rPr>
          <w:lang w:val="en-AU" w:eastAsia="en-AU"/>
        </w:rPr>
        <w:t> </w:t>
      </w:r>
      <w:r w:rsidRPr="00286A88">
        <w:rPr>
          <w:lang w:val="en-AU" w:eastAsia="en-AU"/>
        </w:rPr>
        <w:t>mm thickness of soft polyurethane (Pickel et al., 2010; Stratmann et al., 2015b) and/or ramps or ‘stepped’ slats are therefore preferable, and this is an active research area (Stratmann et al., 2015a; Heerkens et al., 2016b; Pettersson et al., 2017).</w:t>
      </w:r>
    </w:p>
    <w:p w14:paraId="7D56EA2F" w14:textId="77777777" w:rsidR="00286A88" w:rsidRPr="00286A88" w:rsidRDefault="00286A88" w:rsidP="001B0823">
      <w:pPr>
        <w:pStyle w:val="Heading3"/>
        <w:rPr>
          <w:rFonts w:ascii="Times New Roman" w:hAnsi="Times New Roman"/>
          <w:sz w:val="24"/>
          <w:szCs w:val="24"/>
          <w:lang w:val="en-AU" w:eastAsia="en-GB"/>
        </w:rPr>
      </w:pPr>
      <w:bookmarkStart w:id="33" w:name="_Toc495310502"/>
      <w:r w:rsidRPr="00286A88">
        <w:rPr>
          <w:lang w:val="en-AU" w:eastAsia="en-GB"/>
        </w:rPr>
        <w:t>LH3.4 Bone strength and disuse osteoporosis</w:t>
      </w:r>
      <w:bookmarkEnd w:id="33"/>
    </w:p>
    <w:p w14:paraId="0A63081C" w14:textId="77777777" w:rsidR="00286A88" w:rsidRPr="001B0823" w:rsidRDefault="00286A88" w:rsidP="001B0823">
      <w:pPr>
        <w:rPr>
          <w:i/>
          <w:lang w:val="en-AU" w:eastAsia="en-GB"/>
        </w:rPr>
      </w:pPr>
      <w:r w:rsidRPr="001B0823">
        <w:rPr>
          <w:i/>
          <w:lang w:val="en-AU" w:eastAsia="en-GB"/>
        </w:rPr>
        <w:t>Stronger and more flexible bones are less likely to sustain fractures. The provision of exercise, particularly during adult life, increases bone strength.</w:t>
      </w:r>
    </w:p>
    <w:p w14:paraId="143AD78B" w14:textId="77777777" w:rsidR="00286A88" w:rsidRPr="00286A88" w:rsidRDefault="00286A88" w:rsidP="001B0823">
      <w:pPr>
        <w:rPr>
          <w:lang w:val="en-AU" w:eastAsia="en-GB"/>
        </w:rPr>
      </w:pPr>
      <w:r w:rsidRPr="00286A88">
        <w:rPr>
          <w:lang w:val="en-AU" w:eastAsia="en-GB"/>
        </w:rPr>
        <w:t xml:space="preserve">Bones need to experience weight-bearing in order to maintain their structural strength. In conventional cages, the restriction of movement is particularly severe, leading to considerably reduced bone strength that in turn makes the birds susceptible to sustaining fractures of the leg and wings, during depopulation in particular (Sherwin et al., 2010). Indeed these authors found that fractures at depopulation were nearly five times more common in hens from conventional cages than from other systems. The bone weakness of confined hens has been termed disuse osteoporosis and cage layer fatigue. Neither term fully describes the syndrome. </w:t>
      </w:r>
      <w:r w:rsidRPr="00286A88">
        <w:rPr>
          <w:color w:val="000000"/>
          <w:lang w:val="en-AU" w:eastAsia="en-GB"/>
        </w:rPr>
        <w:t xml:space="preserve">Compared with conventional cages, the strength of tibia (leg) and humerus (wing) bones (in particular) is </w:t>
      </w:r>
      <w:r w:rsidRPr="00286A88">
        <w:rPr>
          <w:lang w:val="en-AU" w:eastAsia="en-GB"/>
        </w:rPr>
        <w:t>improved in furnished or colony cages where birds exercise by moving on and off perches</w:t>
      </w:r>
      <w:r w:rsidRPr="00286A88">
        <w:rPr>
          <w:color w:val="000000"/>
          <w:shd w:val="clear" w:color="auto" w:fill="FFFFFF"/>
          <w:lang w:val="en-AU" w:eastAsia="en-GB"/>
        </w:rPr>
        <w:t xml:space="preserve"> (Wilson et al., 1993; </w:t>
      </w:r>
      <w:r w:rsidRPr="00286A88">
        <w:rPr>
          <w:lang w:val="en-AU" w:eastAsia="en-GB"/>
        </w:rPr>
        <w:t xml:space="preserve">Guesdon et al., 2004; Leyendecker et al., 2005; Vits et al., 2005; Jendral et al., 2008; </w:t>
      </w:r>
      <w:r w:rsidRPr="00286A88">
        <w:rPr>
          <w:color w:val="000000"/>
          <w:shd w:val="clear" w:color="auto" w:fill="FFFFFF"/>
          <w:lang w:val="en-AU" w:eastAsia="en-GB"/>
        </w:rPr>
        <w:t xml:space="preserve">Barnett et al., 2009; </w:t>
      </w:r>
      <w:r w:rsidRPr="00286A88">
        <w:rPr>
          <w:lang w:val="en-AU" w:eastAsia="en-GB"/>
        </w:rPr>
        <w:t>Tactacan et al., 2009; Hester et al., 2013; Dikmen et al., 2016; Regmi et al., 2016b; Meng et al., 2017), although one study found no significant difference (Onbaşılar et al., 2016) and another found a difference only in tibia ash content (Valkonen et al., 2010). Improved calcium and phosphorus utilisation in birds housed in FCs is also observed (Neijat et al., 2011). As the complexity of furnished cages increases (e.g. German small group housing system) bone strength again increases (Scholz et al., 2008b; 2009). Bone strength is generally further improved in non-cage systems (Leyendecker et al., 2005; Lichovnikova and Zeman, 2008; Scholz et al., 2008b; Sherwin et al., 2010; Freire and Cowling, 2013; Dikmen et al., 2016; Regmi et al., 2016a; 2016b; Tumova et al., 2016). Although the rearing system has some effect on adult bone strength, with early access to perches improving the bone mineral content of tibia, sternum and humerus bones (Enneking et al., 2012), the opportunity to move and exercise in adult life has perhaps the major effect on adult bone quality (Regmi et al., 2016b).</w:t>
      </w:r>
    </w:p>
    <w:p w14:paraId="306B99E8" w14:textId="77777777" w:rsidR="00286A88" w:rsidRDefault="00286A88" w:rsidP="001B0823">
      <w:pPr>
        <w:rPr>
          <w:lang w:val="en-AU" w:eastAsia="en-AU"/>
        </w:rPr>
      </w:pPr>
      <w:r w:rsidRPr="00286A88">
        <w:rPr>
          <w:lang w:val="en-AU" w:eastAsia="en-AU"/>
        </w:rPr>
        <w:t>Most studies have found the greatest bone strength in both wing and leg bones in free range systems, which offer the greatest freedom of movement in all directions and access to sunlight and dietary supplementation, as indicated in Table LH6</w:t>
      </w:r>
      <w:r w:rsidR="003C74BD">
        <w:rPr>
          <w:lang w:val="en-AU" w:eastAsia="en-AU"/>
        </w:rPr>
        <w:t xml:space="preserve">. This table, </w:t>
      </w:r>
      <w:r w:rsidRPr="00286A88">
        <w:rPr>
          <w:lang w:val="en-AU" w:eastAsia="en-AU"/>
        </w:rPr>
        <w:t>which is reproduced from Wilkins et al. (2011)</w:t>
      </w:r>
      <w:r w:rsidR="003C74BD">
        <w:rPr>
          <w:lang w:val="en-AU" w:eastAsia="en-AU"/>
        </w:rPr>
        <w:t>,</w:t>
      </w:r>
      <w:r w:rsidRPr="00286A88">
        <w:rPr>
          <w:lang w:val="en-AU" w:eastAsia="en-AU"/>
        </w:rPr>
        <w:t xml:space="preserve"> compares bone strength in different housing systems, highlighting the influence of design details such as the type of and placement of perches. The keel strength was measured at two different points (A &amp; B).</w:t>
      </w:r>
    </w:p>
    <w:p w14:paraId="2AFC2BC7" w14:textId="77777777" w:rsidR="00286A88" w:rsidRDefault="00137939" w:rsidP="00137939">
      <w:pPr>
        <w:rPr>
          <w:b/>
          <w:lang w:val="en-AU" w:eastAsia="en-AU"/>
        </w:rPr>
      </w:pPr>
      <w:r>
        <w:rPr>
          <w:lang w:val="en-AU" w:eastAsia="en-AU"/>
        </w:rPr>
        <w:br w:type="column"/>
      </w:r>
      <w:r w:rsidR="00286A88" w:rsidRPr="001B0823">
        <w:rPr>
          <w:b/>
          <w:lang w:val="en-AU" w:eastAsia="en-AU"/>
        </w:rPr>
        <w:t>Table LH6: Peak bone br</w:t>
      </w:r>
      <w:r w:rsidR="00157B07">
        <w:rPr>
          <w:b/>
          <w:lang w:val="en-AU" w:eastAsia="en-AU"/>
        </w:rPr>
        <w:t>e</w:t>
      </w:r>
      <w:r w:rsidR="00A8584C">
        <w:rPr>
          <w:b/>
          <w:lang w:val="en-AU" w:eastAsia="en-AU"/>
        </w:rPr>
        <w:t>aking strength (kg)</w:t>
      </w:r>
    </w:p>
    <w:tbl>
      <w:tblPr>
        <w:tblStyle w:val="TableGrid"/>
        <w:tblW w:w="0" w:type="auto"/>
        <w:tblLook w:val="04A0" w:firstRow="1" w:lastRow="0" w:firstColumn="1" w:lastColumn="0" w:noHBand="0" w:noVBand="1"/>
        <w:tblCaption w:val="Table LH6: Peak bone breaking strength"/>
        <w:tblDescription w:val="This table compares bone breaking strength in different housing systems. The left hand column lists the housing systems - the descriptions of which are provided in the text under this table. The four other columns show the peak bone breaking strength in these housing systems for the tibia, the humerus, and two points on the keel (keel A and keel B). As noted in the text below the table, &quot;low&quot;' and &quot;high&quot; indicate the most significant differences between the housing systems. This data is reproduced from a scientific paper by Wilkins et al. (2011)."/>
      </w:tblPr>
      <w:tblGrid>
        <w:gridCol w:w="1992"/>
        <w:gridCol w:w="1990"/>
        <w:gridCol w:w="1992"/>
        <w:gridCol w:w="1991"/>
        <w:gridCol w:w="1991"/>
      </w:tblGrid>
      <w:tr w:rsidR="001B0823" w:rsidRPr="00927483" w14:paraId="6D26A723" w14:textId="77777777" w:rsidTr="00C30DC0">
        <w:trPr>
          <w:tblHeader/>
        </w:trPr>
        <w:tc>
          <w:tcPr>
            <w:tcW w:w="1993" w:type="dxa"/>
          </w:tcPr>
          <w:p w14:paraId="27284A9C" w14:textId="77777777" w:rsidR="001B0823" w:rsidRPr="00927483" w:rsidRDefault="00927483" w:rsidP="00561E98">
            <w:r>
              <w:t>System</w:t>
            </w:r>
          </w:p>
        </w:tc>
        <w:tc>
          <w:tcPr>
            <w:tcW w:w="1993" w:type="dxa"/>
          </w:tcPr>
          <w:p w14:paraId="4FC309EE" w14:textId="77777777" w:rsidR="001B0823" w:rsidRPr="00927483" w:rsidRDefault="00927483" w:rsidP="00561E98">
            <w:r>
              <w:t>Tibia</w:t>
            </w:r>
          </w:p>
        </w:tc>
        <w:tc>
          <w:tcPr>
            <w:tcW w:w="1994" w:type="dxa"/>
          </w:tcPr>
          <w:p w14:paraId="0860BF57" w14:textId="77777777" w:rsidR="001B0823" w:rsidRPr="00927483" w:rsidRDefault="00927483" w:rsidP="00561E98">
            <w:r>
              <w:t>Humerus</w:t>
            </w:r>
          </w:p>
        </w:tc>
        <w:tc>
          <w:tcPr>
            <w:tcW w:w="1994" w:type="dxa"/>
          </w:tcPr>
          <w:p w14:paraId="029911D9" w14:textId="77777777" w:rsidR="001B0823" w:rsidRPr="00927483" w:rsidRDefault="00927483" w:rsidP="00561E98">
            <w:r>
              <w:t>Keel A</w:t>
            </w:r>
          </w:p>
        </w:tc>
        <w:tc>
          <w:tcPr>
            <w:tcW w:w="1994" w:type="dxa"/>
          </w:tcPr>
          <w:p w14:paraId="454E6FDF" w14:textId="77777777" w:rsidR="001B0823" w:rsidRPr="00927483" w:rsidRDefault="001B0823" w:rsidP="00561E98">
            <w:r w:rsidRPr="00927483">
              <w:t>Keel B</w:t>
            </w:r>
          </w:p>
        </w:tc>
      </w:tr>
      <w:tr w:rsidR="001B0823" w14:paraId="2B99E9C9" w14:textId="77777777" w:rsidTr="001B0823">
        <w:tc>
          <w:tcPr>
            <w:tcW w:w="1993" w:type="dxa"/>
          </w:tcPr>
          <w:p w14:paraId="7EE6D47C" w14:textId="77777777" w:rsidR="001B0823" w:rsidRPr="00927483" w:rsidRDefault="00927483" w:rsidP="00561E98">
            <w:r>
              <w:t>FR</w:t>
            </w:r>
          </w:p>
        </w:tc>
        <w:tc>
          <w:tcPr>
            <w:tcW w:w="1993" w:type="dxa"/>
          </w:tcPr>
          <w:p w14:paraId="7872931A" w14:textId="77777777" w:rsidR="001B0823" w:rsidRPr="003960C1" w:rsidRDefault="007400B1" w:rsidP="00561E98">
            <w:r>
              <w:t>22.9</w:t>
            </w:r>
          </w:p>
        </w:tc>
        <w:tc>
          <w:tcPr>
            <w:tcW w:w="1994" w:type="dxa"/>
          </w:tcPr>
          <w:p w14:paraId="5E82489A" w14:textId="77777777" w:rsidR="001B0823" w:rsidRPr="003960C1" w:rsidRDefault="007400B1" w:rsidP="00561E98">
            <w:r>
              <w:t>18.7</w:t>
            </w:r>
          </w:p>
        </w:tc>
        <w:tc>
          <w:tcPr>
            <w:tcW w:w="1994" w:type="dxa"/>
          </w:tcPr>
          <w:p w14:paraId="47281509" w14:textId="77777777" w:rsidR="001B0823" w:rsidRPr="003960C1" w:rsidRDefault="001B0823" w:rsidP="00561E98">
            <w:r w:rsidRPr="003960C1">
              <w:t>31.4 high</w:t>
            </w:r>
          </w:p>
        </w:tc>
        <w:tc>
          <w:tcPr>
            <w:tcW w:w="1994" w:type="dxa"/>
          </w:tcPr>
          <w:p w14:paraId="67BBD2FC" w14:textId="77777777" w:rsidR="001B0823" w:rsidRPr="003960C1" w:rsidRDefault="001B0823" w:rsidP="00561E98">
            <w:r w:rsidRPr="003960C1">
              <w:t>13.9 high</w:t>
            </w:r>
          </w:p>
        </w:tc>
      </w:tr>
      <w:tr w:rsidR="001B0823" w14:paraId="76E215DA" w14:textId="77777777" w:rsidTr="001B0823">
        <w:tc>
          <w:tcPr>
            <w:tcW w:w="1993" w:type="dxa"/>
          </w:tcPr>
          <w:p w14:paraId="4AAA8E7F" w14:textId="77777777" w:rsidR="001B0823" w:rsidRPr="00927483" w:rsidRDefault="00927483" w:rsidP="00561E98">
            <w:r>
              <w:t>FRAA</w:t>
            </w:r>
          </w:p>
        </w:tc>
        <w:tc>
          <w:tcPr>
            <w:tcW w:w="1993" w:type="dxa"/>
          </w:tcPr>
          <w:p w14:paraId="0C298D1C" w14:textId="77777777" w:rsidR="001B0823" w:rsidRPr="003960C1" w:rsidRDefault="001B0823" w:rsidP="00561E98">
            <w:r w:rsidRPr="003960C1">
              <w:t>20.8 low</w:t>
            </w:r>
          </w:p>
        </w:tc>
        <w:tc>
          <w:tcPr>
            <w:tcW w:w="1994" w:type="dxa"/>
          </w:tcPr>
          <w:p w14:paraId="31171F06" w14:textId="77777777" w:rsidR="001B0823" w:rsidRPr="003960C1" w:rsidRDefault="001B0823" w:rsidP="007400B1">
            <w:r w:rsidRPr="003960C1">
              <w:t>19.1</w:t>
            </w:r>
          </w:p>
        </w:tc>
        <w:tc>
          <w:tcPr>
            <w:tcW w:w="1994" w:type="dxa"/>
          </w:tcPr>
          <w:p w14:paraId="5F0DF754" w14:textId="77777777" w:rsidR="001B0823" w:rsidRPr="003960C1" w:rsidRDefault="007400B1" w:rsidP="00561E98">
            <w:r>
              <w:t>25.1 low</w:t>
            </w:r>
          </w:p>
        </w:tc>
        <w:tc>
          <w:tcPr>
            <w:tcW w:w="1994" w:type="dxa"/>
          </w:tcPr>
          <w:p w14:paraId="35D63CAA" w14:textId="77777777" w:rsidR="001B0823" w:rsidRPr="003960C1" w:rsidRDefault="007400B1" w:rsidP="00561E98">
            <w:r>
              <w:t>10.9</w:t>
            </w:r>
          </w:p>
        </w:tc>
      </w:tr>
      <w:tr w:rsidR="001B0823" w14:paraId="5787DA1B" w14:textId="77777777" w:rsidTr="001B0823">
        <w:tc>
          <w:tcPr>
            <w:tcW w:w="1993" w:type="dxa"/>
          </w:tcPr>
          <w:p w14:paraId="5A6D5311" w14:textId="77777777" w:rsidR="001B0823" w:rsidRPr="00927483" w:rsidRDefault="001B0823" w:rsidP="00927483">
            <w:r w:rsidRPr="00927483">
              <w:t>FRAS</w:t>
            </w:r>
          </w:p>
        </w:tc>
        <w:tc>
          <w:tcPr>
            <w:tcW w:w="1993" w:type="dxa"/>
          </w:tcPr>
          <w:p w14:paraId="2F188B38" w14:textId="77777777" w:rsidR="001B0823" w:rsidRPr="003960C1" w:rsidRDefault="001B0823" w:rsidP="007400B1">
            <w:r w:rsidRPr="003960C1">
              <w:t>23.6</w:t>
            </w:r>
          </w:p>
        </w:tc>
        <w:tc>
          <w:tcPr>
            <w:tcW w:w="1994" w:type="dxa"/>
          </w:tcPr>
          <w:p w14:paraId="5BA1A73A" w14:textId="77777777" w:rsidR="001B0823" w:rsidRPr="003960C1" w:rsidRDefault="001B0823" w:rsidP="007400B1">
            <w:r w:rsidRPr="003960C1">
              <w:t>21.9 high</w:t>
            </w:r>
          </w:p>
        </w:tc>
        <w:tc>
          <w:tcPr>
            <w:tcW w:w="1994" w:type="dxa"/>
          </w:tcPr>
          <w:p w14:paraId="63994BA3" w14:textId="77777777" w:rsidR="001B0823" w:rsidRPr="003960C1" w:rsidRDefault="007400B1" w:rsidP="00561E98">
            <w:r>
              <w:t>27.6</w:t>
            </w:r>
          </w:p>
        </w:tc>
        <w:tc>
          <w:tcPr>
            <w:tcW w:w="1994" w:type="dxa"/>
          </w:tcPr>
          <w:p w14:paraId="0AF797D1" w14:textId="77777777" w:rsidR="001B0823" w:rsidRPr="003960C1" w:rsidRDefault="001B0823" w:rsidP="007400B1">
            <w:r w:rsidRPr="003960C1">
              <w:t>11.5</w:t>
            </w:r>
          </w:p>
        </w:tc>
      </w:tr>
      <w:tr w:rsidR="001B0823" w14:paraId="651F957A" w14:textId="77777777" w:rsidTr="001B0823">
        <w:tc>
          <w:tcPr>
            <w:tcW w:w="1993" w:type="dxa"/>
          </w:tcPr>
          <w:p w14:paraId="11C72BF5" w14:textId="77777777" w:rsidR="001B0823" w:rsidRPr="00927483" w:rsidRDefault="00927483" w:rsidP="00561E98">
            <w:r>
              <w:t>OM</w:t>
            </w:r>
          </w:p>
        </w:tc>
        <w:tc>
          <w:tcPr>
            <w:tcW w:w="1993" w:type="dxa"/>
          </w:tcPr>
          <w:p w14:paraId="20EE09EE" w14:textId="77777777" w:rsidR="001B0823" w:rsidRPr="003960C1" w:rsidRDefault="001B0823" w:rsidP="007400B1">
            <w:r w:rsidRPr="003960C1">
              <w:t>28.8 high</w:t>
            </w:r>
          </w:p>
        </w:tc>
        <w:tc>
          <w:tcPr>
            <w:tcW w:w="1994" w:type="dxa"/>
          </w:tcPr>
          <w:p w14:paraId="66FFC494" w14:textId="77777777" w:rsidR="001B0823" w:rsidRPr="003960C1" w:rsidRDefault="001B0823" w:rsidP="007400B1">
            <w:r w:rsidRPr="003960C1">
              <w:t>21.3 high</w:t>
            </w:r>
          </w:p>
        </w:tc>
        <w:tc>
          <w:tcPr>
            <w:tcW w:w="1994" w:type="dxa"/>
          </w:tcPr>
          <w:p w14:paraId="7D2548CA" w14:textId="77777777" w:rsidR="001B0823" w:rsidRPr="003960C1" w:rsidRDefault="007400B1" w:rsidP="00561E98">
            <w:r>
              <w:t>33.2 high</w:t>
            </w:r>
          </w:p>
        </w:tc>
        <w:tc>
          <w:tcPr>
            <w:tcW w:w="1994" w:type="dxa"/>
          </w:tcPr>
          <w:p w14:paraId="1A666439" w14:textId="77777777" w:rsidR="001B0823" w:rsidRPr="003960C1" w:rsidRDefault="001B0823" w:rsidP="00561E98">
            <w:r w:rsidRPr="003960C1">
              <w:t>13.3 high</w:t>
            </w:r>
          </w:p>
        </w:tc>
      </w:tr>
      <w:tr w:rsidR="001B0823" w14:paraId="40AA85A2" w14:textId="77777777" w:rsidTr="001B0823">
        <w:tc>
          <w:tcPr>
            <w:tcW w:w="1993" w:type="dxa"/>
          </w:tcPr>
          <w:p w14:paraId="07B6610F" w14:textId="77777777" w:rsidR="001B0823" w:rsidRPr="00927483" w:rsidRDefault="00927483" w:rsidP="00561E98">
            <w:r>
              <w:t>OMAF</w:t>
            </w:r>
          </w:p>
        </w:tc>
        <w:tc>
          <w:tcPr>
            <w:tcW w:w="1993" w:type="dxa"/>
          </w:tcPr>
          <w:p w14:paraId="7AB639F6" w14:textId="77777777" w:rsidR="001B0823" w:rsidRPr="003960C1" w:rsidRDefault="001B0823" w:rsidP="007400B1">
            <w:r w:rsidRPr="003960C1">
              <w:t>24.3</w:t>
            </w:r>
          </w:p>
        </w:tc>
        <w:tc>
          <w:tcPr>
            <w:tcW w:w="1994" w:type="dxa"/>
          </w:tcPr>
          <w:p w14:paraId="3BDA9771" w14:textId="77777777" w:rsidR="001B0823" w:rsidRPr="003960C1" w:rsidRDefault="001B0823" w:rsidP="007400B1">
            <w:r w:rsidRPr="003960C1">
              <w:t>23.4 high</w:t>
            </w:r>
          </w:p>
        </w:tc>
        <w:tc>
          <w:tcPr>
            <w:tcW w:w="1994" w:type="dxa"/>
          </w:tcPr>
          <w:p w14:paraId="4BF0944E" w14:textId="77777777" w:rsidR="001B0823" w:rsidRPr="003960C1" w:rsidRDefault="001B0823" w:rsidP="00561E98">
            <w:r w:rsidRPr="003960C1">
              <w:t>29</w:t>
            </w:r>
            <w:r w:rsidR="007400B1">
              <w:t>.4</w:t>
            </w:r>
          </w:p>
        </w:tc>
        <w:tc>
          <w:tcPr>
            <w:tcW w:w="1994" w:type="dxa"/>
          </w:tcPr>
          <w:p w14:paraId="67764E66" w14:textId="77777777" w:rsidR="001B0823" w:rsidRPr="003960C1" w:rsidRDefault="001B0823" w:rsidP="007400B1">
            <w:r w:rsidRPr="003960C1">
              <w:t>12.7</w:t>
            </w:r>
          </w:p>
        </w:tc>
      </w:tr>
      <w:tr w:rsidR="001B0823" w14:paraId="057380DF" w14:textId="77777777" w:rsidTr="001B0823">
        <w:tc>
          <w:tcPr>
            <w:tcW w:w="1993" w:type="dxa"/>
          </w:tcPr>
          <w:p w14:paraId="68D564E0" w14:textId="77777777" w:rsidR="001B0823" w:rsidRPr="00927483" w:rsidRDefault="00927483" w:rsidP="00561E98">
            <w:r>
              <w:t>OS</w:t>
            </w:r>
          </w:p>
        </w:tc>
        <w:tc>
          <w:tcPr>
            <w:tcW w:w="1993" w:type="dxa"/>
          </w:tcPr>
          <w:p w14:paraId="5D8BDB16" w14:textId="77777777" w:rsidR="001B0823" w:rsidRPr="003960C1" w:rsidRDefault="001B0823" w:rsidP="007400B1">
            <w:r w:rsidRPr="003960C1">
              <w:t>24.9 high</w:t>
            </w:r>
          </w:p>
        </w:tc>
        <w:tc>
          <w:tcPr>
            <w:tcW w:w="1994" w:type="dxa"/>
          </w:tcPr>
          <w:p w14:paraId="5960C28B" w14:textId="77777777" w:rsidR="001B0823" w:rsidRPr="003960C1" w:rsidRDefault="007400B1" w:rsidP="00561E98">
            <w:r>
              <w:t>19.5</w:t>
            </w:r>
          </w:p>
        </w:tc>
        <w:tc>
          <w:tcPr>
            <w:tcW w:w="1994" w:type="dxa"/>
          </w:tcPr>
          <w:p w14:paraId="70142962" w14:textId="77777777" w:rsidR="001B0823" w:rsidRPr="003960C1" w:rsidRDefault="001B0823" w:rsidP="007400B1">
            <w:r w:rsidRPr="003960C1">
              <w:t>31.0</w:t>
            </w:r>
          </w:p>
        </w:tc>
        <w:tc>
          <w:tcPr>
            <w:tcW w:w="1994" w:type="dxa"/>
          </w:tcPr>
          <w:p w14:paraId="50847B1A" w14:textId="77777777" w:rsidR="001B0823" w:rsidRPr="003960C1" w:rsidRDefault="001B0823" w:rsidP="007400B1">
            <w:r w:rsidRPr="003960C1">
              <w:t>12.2</w:t>
            </w:r>
          </w:p>
        </w:tc>
      </w:tr>
      <w:tr w:rsidR="001B0823" w14:paraId="31BB43AE" w14:textId="77777777" w:rsidTr="001B0823">
        <w:tc>
          <w:tcPr>
            <w:tcW w:w="1993" w:type="dxa"/>
          </w:tcPr>
          <w:p w14:paraId="3B23981F" w14:textId="77777777" w:rsidR="001B0823" w:rsidRPr="00927483" w:rsidRDefault="001B0823" w:rsidP="00927483">
            <w:r w:rsidRPr="00927483">
              <w:t>Barn</w:t>
            </w:r>
          </w:p>
        </w:tc>
        <w:tc>
          <w:tcPr>
            <w:tcW w:w="1993" w:type="dxa"/>
          </w:tcPr>
          <w:p w14:paraId="5F8F9E13" w14:textId="77777777" w:rsidR="001B0823" w:rsidRPr="003960C1" w:rsidRDefault="007400B1" w:rsidP="00561E98">
            <w:r>
              <w:t>21.9</w:t>
            </w:r>
          </w:p>
        </w:tc>
        <w:tc>
          <w:tcPr>
            <w:tcW w:w="1994" w:type="dxa"/>
          </w:tcPr>
          <w:p w14:paraId="23B01D50" w14:textId="77777777" w:rsidR="001B0823" w:rsidRPr="003960C1" w:rsidRDefault="001B0823" w:rsidP="007400B1">
            <w:r w:rsidRPr="003960C1">
              <w:t>18.6</w:t>
            </w:r>
          </w:p>
        </w:tc>
        <w:tc>
          <w:tcPr>
            <w:tcW w:w="1994" w:type="dxa"/>
          </w:tcPr>
          <w:p w14:paraId="36615ACF" w14:textId="77777777" w:rsidR="001B0823" w:rsidRPr="003960C1" w:rsidRDefault="001B0823" w:rsidP="007400B1">
            <w:r w:rsidRPr="003960C1">
              <w:t>30.6</w:t>
            </w:r>
          </w:p>
        </w:tc>
        <w:tc>
          <w:tcPr>
            <w:tcW w:w="1994" w:type="dxa"/>
          </w:tcPr>
          <w:p w14:paraId="4FE57B62" w14:textId="77777777" w:rsidR="001B0823" w:rsidRPr="003960C1" w:rsidRDefault="001B0823" w:rsidP="00561E98">
            <w:r w:rsidRPr="003960C1">
              <w:t>13.7 high</w:t>
            </w:r>
          </w:p>
        </w:tc>
      </w:tr>
      <w:tr w:rsidR="001B0823" w14:paraId="252142A7" w14:textId="77777777" w:rsidTr="001B0823">
        <w:tc>
          <w:tcPr>
            <w:tcW w:w="1993" w:type="dxa"/>
          </w:tcPr>
          <w:p w14:paraId="78204552" w14:textId="77777777" w:rsidR="001B0823" w:rsidRPr="00927483" w:rsidRDefault="00927483" w:rsidP="00561E98">
            <w:r>
              <w:t>FC</w:t>
            </w:r>
          </w:p>
        </w:tc>
        <w:tc>
          <w:tcPr>
            <w:tcW w:w="1993" w:type="dxa"/>
          </w:tcPr>
          <w:p w14:paraId="09105633" w14:textId="77777777" w:rsidR="001B0823" w:rsidRPr="003960C1" w:rsidRDefault="007400B1" w:rsidP="00561E98">
            <w:r>
              <w:t>19.1 low</w:t>
            </w:r>
          </w:p>
        </w:tc>
        <w:tc>
          <w:tcPr>
            <w:tcW w:w="1994" w:type="dxa"/>
          </w:tcPr>
          <w:p w14:paraId="52C79C4C" w14:textId="77777777" w:rsidR="001B0823" w:rsidRPr="003960C1" w:rsidRDefault="001B0823" w:rsidP="007400B1">
            <w:r w:rsidRPr="003960C1">
              <w:t>14.3 low</w:t>
            </w:r>
          </w:p>
        </w:tc>
        <w:tc>
          <w:tcPr>
            <w:tcW w:w="1994" w:type="dxa"/>
          </w:tcPr>
          <w:p w14:paraId="4EC3EB2C" w14:textId="77777777" w:rsidR="001B0823" w:rsidRPr="003960C1" w:rsidRDefault="001B0823" w:rsidP="00561E98">
            <w:r w:rsidRPr="003960C1">
              <w:t>23.6 low</w:t>
            </w:r>
          </w:p>
        </w:tc>
        <w:tc>
          <w:tcPr>
            <w:tcW w:w="1994" w:type="dxa"/>
          </w:tcPr>
          <w:p w14:paraId="4D21CF79" w14:textId="77777777" w:rsidR="001B0823" w:rsidRDefault="001B0823" w:rsidP="007400B1">
            <w:pPr>
              <w:ind w:left="113"/>
            </w:pPr>
            <w:r w:rsidRPr="003960C1">
              <w:t>9.7 low</w:t>
            </w:r>
          </w:p>
        </w:tc>
      </w:tr>
    </w:tbl>
    <w:p w14:paraId="0806D783" w14:textId="77777777" w:rsidR="00286A88" w:rsidRPr="006542A7" w:rsidRDefault="00286A88" w:rsidP="006542A7">
      <w:pPr>
        <w:spacing w:before="120"/>
        <w:rPr>
          <w:i/>
          <w:lang w:val="en-AU" w:eastAsia="en-AU"/>
        </w:rPr>
      </w:pPr>
      <w:r w:rsidRPr="006542A7">
        <w:rPr>
          <w:i/>
          <w:lang w:val="en-AU" w:eastAsia="en-AU"/>
        </w:rPr>
        <w:t>The terms low and high indicate the most significant differences.</w:t>
      </w:r>
    </w:p>
    <w:p w14:paraId="09868413" w14:textId="77777777" w:rsidR="00286A88" w:rsidRPr="006542A7" w:rsidRDefault="00286A88" w:rsidP="006542A7">
      <w:pPr>
        <w:spacing w:after="240"/>
        <w:rPr>
          <w:i/>
          <w:lang w:val="en-AU" w:eastAsia="en-AU"/>
        </w:rPr>
      </w:pPr>
      <w:r w:rsidRPr="006542A7">
        <w:rPr>
          <w:i/>
          <w:lang w:val="en-AU" w:eastAsia="en-AU"/>
        </w:rPr>
        <w:t>Barn = House with a single tier of slats raised above a litter area, FC = Furnished cage containing multiple raised perches, FR = Free-range, FRAA = A-frame perches with additional horizontal bars above the apex of the frame, FRAS = Indoor house equipped with aerial suspended perches, OM =  Organic mobile, OMAF = Organic mobile equipped with two rows of three fixed aerial perches, OS = House with a single tier of slats raised above a litter area.</w:t>
      </w:r>
    </w:p>
    <w:p w14:paraId="08858B52" w14:textId="77777777" w:rsidR="00286A88" w:rsidRPr="00286A88" w:rsidRDefault="00286A88" w:rsidP="001B0823">
      <w:pPr>
        <w:rPr>
          <w:lang w:val="en-AU" w:eastAsia="en-AU"/>
        </w:rPr>
      </w:pPr>
      <w:r w:rsidRPr="00286A88">
        <w:rPr>
          <w:lang w:val="en-AU" w:eastAsia="en-AU"/>
        </w:rPr>
        <w:t>Bone strength may be altered by genetic selection but there appear to be trade-offs between improving bone strength and reducing egg quality (Stratmann et al., 2016). In this study, birds selected for higher bone strength also had significantly higher mortality.</w:t>
      </w:r>
    </w:p>
    <w:p w14:paraId="063E8808" w14:textId="77777777" w:rsidR="00286A88" w:rsidRPr="00286A88" w:rsidRDefault="00286A88" w:rsidP="001B0823">
      <w:pPr>
        <w:rPr>
          <w:lang w:val="en-AU" w:eastAsia="en-AU"/>
        </w:rPr>
      </w:pPr>
      <w:r w:rsidRPr="00286A88">
        <w:rPr>
          <w:lang w:val="en-AU" w:eastAsia="en-AU"/>
        </w:rPr>
        <w:t>Delaying the onset of lay by approximately 2 weeks can increase bone density (Silversides et al., 2006). In a study that manipulated lighting period, hence delaying the closure of bone growth plates, young hens were produced with longer bones, but this treatment did not improve bone mineralisation or density in older adult birds at 66 weeks (Hester et al., 2011). Bone strength can also be improved by the injection of bone anabolic compounds into fertile eggs (Saki and Mahmoudi, 2015) but the commercial feasibility of such a strategy has not been evaluated.</w:t>
      </w:r>
    </w:p>
    <w:p w14:paraId="27F55A13" w14:textId="77777777" w:rsidR="00286A88" w:rsidRPr="00286A88" w:rsidRDefault="00286A88" w:rsidP="001B0823">
      <w:pPr>
        <w:rPr>
          <w:lang w:val="en-AU" w:eastAsia="en-AU"/>
        </w:rPr>
      </w:pPr>
      <w:r w:rsidRPr="00286A88">
        <w:rPr>
          <w:lang w:val="en-AU" w:eastAsia="en-AU"/>
        </w:rPr>
        <w:t>The practice of forced moulting has a substantial negative impact on bone mineral density and content (LH8.3c).</w:t>
      </w:r>
    </w:p>
    <w:p w14:paraId="0A8D431A" w14:textId="77777777" w:rsidR="00286A88" w:rsidRPr="00286A88" w:rsidRDefault="00286A88" w:rsidP="00987862">
      <w:pPr>
        <w:pStyle w:val="Heading3"/>
        <w:rPr>
          <w:rFonts w:ascii="Times New Roman" w:hAnsi="Times New Roman"/>
          <w:sz w:val="24"/>
          <w:szCs w:val="24"/>
          <w:lang w:val="en-AU" w:eastAsia="en-GB"/>
        </w:rPr>
      </w:pPr>
      <w:bookmarkStart w:id="34" w:name="_Toc495310503"/>
      <w:r w:rsidRPr="00286A88">
        <w:rPr>
          <w:lang w:val="en-AU" w:eastAsia="en-GB"/>
        </w:rPr>
        <w:t>LH3.5 Inter-bird pecking</w:t>
      </w:r>
      <w:bookmarkEnd w:id="34"/>
    </w:p>
    <w:p w14:paraId="6853F8C3" w14:textId="77777777" w:rsidR="00286A88" w:rsidRPr="00286A88" w:rsidRDefault="00286A88" w:rsidP="00987862">
      <w:pPr>
        <w:pStyle w:val="Heading41"/>
      </w:pPr>
      <w:r w:rsidRPr="00286A88">
        <w:t>LH3.5a Gentle feather pecking</w:t>
      </w:r>
    </w:p>
    <w:p w14:paraId="787B3325" w14:textId="77777777" w:rsidR="00286A88" w:rsidRPr="00286A88" w:rsidRDefault="00286A88" w:rsidP="00987862">
      <w:pPr>
        <w:rPr>
          <w:lang w:val="en-AU" w:eastAsia="en-AU"/>
        </w:rPr>
      </w:pPr>
      <w:r w:rsidRPr="00286A88">
        <w:rPr>
          <w:lang w:val="en-AU" w:eastAsia="en-AU"/>
        </w:rPr>
        <w:t xml:space="preserve">Gentle feather pecking (GFP) of feather tips occurs commonly during both the rearing and laying periods (Lambton et al., 2010; Gilani et al., 2013; Nicol et al., 2013). GFP is sometimes directly towards unfamiliar chicks as a form of social exploration (Riedstra and Groothuis, 2002) or it can take a more stereotyped form. GFP results in minor plumage damage so it is a welfare concern mostly because of its possible relationship with more serious types of injurious pecking. A handful of studies have suggested that GFP may precede or develop into SFP in older birds, possibly because feathers with minor damage and fraying become more attractive targets for more serious pecks in later life. However, the majority of studies, especially those on commercial flocks, have shown no clear causal or temporal link between early GFP and adult SFP (Rodenburg et </w:t>
      </w:r>
      <w:r w:rsidR="001131C3">
        <w:rPr>
          <w:lang w:val="en-AU" w:eastAsia="en-AU"/>
        </w:rPr>
        <w:t>al., 2013; Hartcher et al., 2015</w:t>
      </w:r>
      <w:r w:rsidR="00E83E9C">
        <w:rPr>
          <w:lang w:val="en-AU" w:eastAsia="en-AU"/>
        </w:rPr>
        <w:t>a</w:t>
      </w:r>
      <w:r w:rsidRPr="00286A88">
        <w:rPr>
          <w:lang w:val="en-AU" w:eastAsia="en-AU"/>
        </w:rPr>
        <w:t>). However, further work is needed to clarify relationships between different types of inter-bird pecking.</w:t>
      </w:r>
    </w:p>
    <w:p w14:paraId="2965F845" w14:textId="77777777" w:rsidR="00286A88" w:rsidRPr="00286A88" w:rsidRDefault="00286A88" w:rsidP="00987862">
      <w:pPr>
        <w:pStyle w:val="Heading41"/>
      </w:pPr>
      <w:r w:rsidRPr="00286A88">
        <w:t>LH3.5b Injurious (severe) feather pecking</w:t>
      </w:r>
    </w:p>
    <w:p w14:paraId="47F24336" w14:textId="77777777" w:rsidR="00286A88" w:rsidRPr="00987862" w:rsidRDefault="00286A88" w:rsidP="00987862">
      <w:pPr>
        <w:rPr>
          <w:i/>
          <w:lang w:val="en-AU" w:eastAsia="en-AU"/>
        </w:rPr>
      </w:pPr>
      <w:r w:rsidRPr="00987862">
        <w:rPr>
          <w:i/>
          <w:lang w:val="en-AU" w:eastAsia="en-AU"/>
        </w:rPr>
        <w:t>Injurious severe feather pecking is a highly prevalent problem that results when normal exploratory or foraging pecking is directed towards other birds. There is a strong genetic component to the behaviour but breeds have not yet been developed with both a low tendency to peck and high productivity. The importance of preventing the development of feather pecking during the rearing period is recognised. The use of a comprehensive package of management strategies during both rearing and laying periods has been shown to significantly reduce (but not eliminate) injurious pecking on commercial farms.</w:t>
      </w:r>
    </w:p>
    <w:p w14:paraId="340947C8" w14:textId="77777777" w:rsidR="00286A88" w:rsidRPr="00286A88" w:rsidRDefault="00286A88" w:rsidP="00987862">
      <w:pPr>
        <w:rPr>
          <w:color w:val="auto"/>
          <w:lang w:val="en-AU" w:eastAsia="en-AU"/>
        </w:rPr>
      </w:pPr>
      <w:r w:rsidRPr="00286A88">
        <w:rPr>
          <w:color w:val="auto"/>
          <w:lang w:val="en-AU" w:eastAsia="en-AU"/>
        </w:rPr>
        <w:t xml:space="preserve">Severe feather pecking (SFP) is painful for the recipient, results in substantial plumage loss (Gunnarsson et al., 1999; Bestman and Wagenaar, 2003; Drake et al., 2010; Lambton et al., 2010), skin damage, increased susceptibility to infection (Green et al., 2000), loss of production, increased demand for food, and higher mortality (Bright et al., 2011; </w:t>
      </w:r>
      <w:r w:rsidR="003C74BD">
        <w:rPr>
          <w:color w:val="auto"/>
          <w:lang w:val="en-AU" w:eastAsia="en-AU"/>
        </w:rPr>
        <w:t xml:space="preserve">Nicol </w:t>
      </w:r>
      <w:r w:rsidRPr="00286A88">
        <w:rPr>
          <w:color w:val="auto"/>
          <w:lang w:val="en-AU" w:eastAsia="en-AU"/>
        </w:rPr>
        <w:t xml:space="preserve">et al., 2013; </w:t>
      </w:r>
      <w:r w:rsidR="003C74BD">
        <w:rPr>
          <w:color w:val="auto"/>
          <w:lang w:val="en-AU" w:eastAsia="en-AU"/>
        </w:rPr>
        <w:t>Rodenburg</w:t>
      </w:r>
      <w:r w:rsidRPr="00286A88">
        <w:rPr>
          <w:color w:val="auto"/>
          <w:lang w:val="en-AU" w:eastAsia="en-AU"/>
        </w:rPr>
        <w:t xml:space="preserve"> et al., 2013). The exposure of bare patches of skin can trigger subsequent tissue pecking which can result in rapid mortality and cannibalism of living birds or of carcases. There is no clear relationship between gentle feather pecking and severe feather pecking (Newberry et al., 2007; Lambton et al., 2010). However, there is a relationship between feather pecking and cannibalism (Cloutier et al., 2000; McAdie and Keeling, 2000; Pötszch et al., 2001), and specifically between SFP and vent pecking (LH3.5c) (Lambton et al., 2015). Severe injurious pecking directed to the vent area or near the preen gland can also arise spontaneously in the absence of prior feather pecking, so the risk factors for each type of injurious pecking should be considered both separately and together.</w:t>
      </w:r>
    </w:p>
    <w:p w14:paraId="6313A356" w14:textId="77777777" w:rsidR="00286A88" w:rsidRPr="00286A88" w:rsidRDefault="00286A88" w:rsidP="00987862">
      <w:pPr>
        <w:rPr>
          <w:lang w:val="en-AU" w:eastAsia="en-AU"/>
        </w:rPr>
      </w:pPr>
      <w:r w:rsidRPr="00286A88">
        <w:rPr>
          <w:lang w:val="en-AU" w:eastAsia="en-AU"/>
        </w:rPr>
        <w:t xml:space="preserve">All types of injurious pecking appear to be a form of normal pecking redirected inappropriately to another bird. If other pecking substrates are less attractive than the feathers of a neighbour then pecks, normally directed towards litter particles, may be directed at feathers instead. Birds with a strong foraging tendency when young may be those most likely to show SFP when older (Newberry et al., 2007) and there are other strong breed relationships between foraging tendency and tendency to feather peck (Klein et al., 2000). Absent or poor-quality litter is thus a major risk factor for </w:t>
      </w:r>
      <w:r w:rsidR="003C74BD">
        <w:rPr>
          <w:lang w:val="en-AU" w:eastAsia="en-AU"/>
        </w:rPr>
        <w:t>injurious pecking (</w:t>
      </w:r>
      <w:r w:rsidRPr="00286A88">
        <w:rPr>
          <w:lang w:val="en-AU" w:eastAsia="en-AU"/>
        </w:rPr>
        <w:t>IP</w:t>
      </w:r>
      <w:r w:rsidR="003C74BD">
        <w:rPr>
          <w:lang w:val="en-AU" w:eastAsia="en-AU"/>
        </w:rPr>
        <w:t>)</w:t>
      </w:r>
      <w:r w:rsidRPr="00286A88">
        <w:rPr>
          <w:lang w:val="en-AU" w:eastAsia="en-AU"/>
        </w:rPr>
        <w:t xml:space="preserve"> (Huber-Eicher and Wechsler, 1998; Nicol et al., 2001), with an inverse relationship seen between time spent foraging on harmless substrates and time spent feather pecking (Klein et al., 2000). Reduced foraging opportunities appear to interact with high levels of bird fearfulness or stress to increase the overall risk of feather pecking. This interactive effect was</w:t>
      </w:r>
      <w:r w:rsidR="000E257E">
        <w:rPr>
          <w:lang w:val="en-AU" w:eastAsia="en-AU"/>
        </w:rPr>
        <w:t xml:space="preserve"> demonstrated in a study by El-l</w:t>
      </w:r>
      <w:r w:rsidRPr="00286A88">
        <w:rPr>
          <w:lang w:val="en-AU" w:eastAsia="en-AU"/>
        </w:rPr>
        <w:t>ethey et al. (2001) where birds housed on litter performed, as expected, less feather pecking than birds housed on slats. But if the litter-housed birds were directly fed corticosterone, increasing their plasma concentrations to levels seen under physiological stress, feather pecking rates increased significantly. The important link with foraging has implications for considering feeding practices to reduce the risk of injurious pecking. In epidemiological studies of hens housed on commercial farms, feeding mash rather than pellets has been strongly associated with reducing the risk of SFP (Green et al., 2000; Lambton et al., 2010) and of vent pecking (Lambton et al., 2015). Experimental trials have not always replicated this effect (Wahlstrom et al., 2001) but generally, hens spend far more time foraging in diets presented in mash form, this in itself reducing the opportunity for feather pecking. Protein source and other dietary factors also play a significant role in the development of SFP (see LH2.1). Changes in diet, particularly if the new diet is of lower nutritional quality or contains less preferred ingredients than the previous diet, are a strong risk factor for the development of injurious pecking (Green et al., 2000; Dixon and Nicol, 2008). Gilani et al. (2013) reported a 64-fold reduction in risk of IP if the number of diet changes during the rearing period was reduced by one.</w:t>
      </w:r>
    </w:p>
    <w:p w14:paraId="036E18BA" w14:textId="77777777" w:rsidR="00286A88" w:rsidRPr="00286A88" w:rsidRDefault="00286A88" w:rsidP="00987862">
      <w:pPr>
        <w:rPr>
          <w:rFonts w:cs="Garamond"/>
          <w:color w:val="000000"/>
          <w:lang w:val="en-AU" w:eastAsia="en-AU"/>
        </w:rPr>
      </w:pPr>
      <w:r w:rsidRPr="00286A88">
        <w:rPr>
          <w:lang w:val="en-AU" w:eastAsia="en-AU"/>
        </w:rPr>
        <w:t>There is a genetic component to injurious pecking evidenced by differential breed tendencies (Kjaer and Sorensen, 2002; Hocking et al., 2004), by divergent experimental selection programmes (Kjaer, 2009) and by more formal genetic analysis (</w:t>
      </w:r>
      <w:r w:rsidR="003C74BD" w:rsidRPr="003C74BD">
        <w:rPr>
          <w:lang w:val="en-AU" w:eastAsia="en-AU"/>
        </w:rPr>
        <w:t>Ellen et al., 2008</w:t>
      </w:r>
      <w:r w:rsidR="003C74BD">
        <w:rPr>
          <w:lang w:val="en-AU" w:eastAsia="en-AU"/>
        </w:rPr>
        <w:t xml:space="preserve">; </w:t>
      </w:r>
      <w:r w:rsidRPr="00286A88">
        <w:rPr>
          <w:lang w:val="en-AU" w:eastAsia="en-AU"/>
        </w:rPr>
        <w:t xml:space="preserve">Alemu et al., 2016). In experimental studies it has proved </w:t>
      </w:r>
      <w:r w:rsidRPr="00286A88">
        <w:rPr>
          <w:rFonts w:cs="Garamond"/>
          <w:color w:val="000000"/>
          <w:lang w:val="en-AU" w:eastAsia="en-AU"/>
        </w:rPr>
        <w:t xml:space="preserve">easier to produce birds with very high or even extreme levels of feather pecking (HFP lines), than to reduce feather pecking to consistently low levels (LFP lines) (Labouriau et al., 2009). </w:t>
      </w:r>
      <w:r w:rsidRPr="00286A88">
        <w:rPr>
          <w:rFonts w:cs="Garamond"/>
          <w:lang w:val="en-AU" w:eastAsia="en-AU"/>
        </w:rPr>
        <w:t xml:space="preserve">Further work is needed to establish the genetic x environmental interactions that affect indirect or social traits, and the extent to which results obtained from birds kept in relatively small experimental groups can be applied to situations where birds are kept commercially in groups of many thousands is not yet clear (Ellen et al., 2014; Alemu et al., 2016). </w:t>
      </w:r>
      <w:r w:rsidRPr="00286A88">
        <w:rPr>
          <w:rFonts w:cs="Garamond"/>
          <w:color w:val="000000"/>
          <w:lang w:val="en-AU" w:eastAsia="en-AU"/>
        </w:rPr>
        <w:t xml:space="preserve">In addition, application to the commercial situation has been limited by the existence of positive correlations between feather pecking and useful production traits, such as early onset of lay and the ability to use calcium to produce good quality egg shells (Väisänen et al., 2005; Su et al., 2006; Buitenhuis and Kjaer, 2008). In addition, behavioural feather pecking traits are controlled by many genes with small effects, with Lutz et al. (2017) concluding that no one single nucleotide polymorphism (SNP) had effects sufficient to justify its use in marker-assisted selection. In addition, obtaining sufficient phenotypic data on long-term parameters such as later life plumage score is challenging (Sun et al., 2014). All of these factors mean that it may prove more difficult than hoped for breeding companies to develop strains with phenotypes that are both highly productive and unlikely to exhibit feather pecking. An alternative approach to selecting directly for the feather pecking trait is to select birds on the basis of their ability to survive when housed in groups (Cheng et al., 2001a). Birds selected for increased survivability in this way also show reduced cannibalism, fearfulness, markers of stress (such as heterophil:lymphocyte (H:L) ratio) and measures of improved immune function such as higher ratios of CD4+ and CD8+ T cells. In addition, when mixed with unfamiliar individuals, birds selected for high group survival have lower blood corticosterone levels (Cheng et al., 2001a; 2002). The high survival lines also showed lower circulating levels of dopamine and serotonin (Cheng et al., 2001b; 2002). The question </w:t>
      </w:r>
      <w:r w:rsidRPr="00286A88">
        <w:rPr>
          <w:rFonts w:cs="Garamond"/>
          <w:lang w:val="en-AU" w:eastAsia="en-AU"/>
        </w:rPr>
        <w:t>is to what extent the (few) breeding companies that produce commercial strain birds will utilise this basic research to prioritise a reduction in feather pecking as a trait for selection in their breeding models, given that they produce birds for a global market.</w:t>
      </w:r>
    </w:p>
    <w:p w14:paraId="31B73C10" w14:textId="77777777" w:rsidR="00286A88" w:rsidRPr="00286A88" w:rsidRDefault="00286A88" w:rsidP="00987862">
      <w:pPr>
        <w:rPr>
          <w:lang w:val="en-AU" w:eastAsia="en-AU"/>
        </w:rPr>
      </w:pPr>
      <w:r w:rsidRPr="00286A88">
        <w:rPr>
          <w:lang w:val="en-AU" w:eastAsia="en-AU"/>
        </w:rPr>
        <w:t>Feather pecking, or feather damage ascribed to feather pecking, has been reported in 40% of rearing flocks by 5 weeks, and 77% of flocks by week 14 (Huber-Eicher and Sebo, 2001a), in 54% of rearing flocks by week 16 (Bestman et al., 2009), and in 60% of rearing flocks between 5 and 15 weeks (de Haas et al., 2014a), whilst severe feather pecking (SFP) has been observed in 27% of rearing flocks by 16 weeks (Gilani et al., 2013). Feather pecking in young pullets can be socially transmitted (Zeltner et al., 2000) either directly, or because slightly damaged plumage becomes a yet more attractive pecking stimulus (McAdie and Keeling, 2000). Feather pecking may not result in injuries at this age, but is a predisposing factor and strong risk factor for the later development of severe pecking in adult birds (Nicol et al., 2001; Dixon and Nicol, 2008; Bestman et al., 2009; Drake et al., 2010; Gilani et al., 2013; Nicol et al., 2013; de Haas et al., 2014a; Tahamtani et al., 2016). Bestman et al. (2009), for example, found that 90% of rearing flocks with feather damage due to pecking continued to experience pecking in the laying period.</w:t>
      </w:r>
    </w:p>
    <w:p w14:paraId="5D87F6E5" w14:textId="77777777" w:rsidR="00286A88" w:rsidRPr="00286A88" w:rsidRDefault="00286A88" w:rsidP="00987862">
      <w:pPr>
        <w:rPr>
          <w:lang w:val="en-AU" w:eastAsia="en-AU"/>
        </w:rPr>
      </w:pPr>
      <w:r w:rsidRPr="00286A88">
        <w:rPr>
          <w:lang w:val="en-AU" w:eastAsia="en-AU"/>
        </w:rPr>
        <w:t>Studies on birds during the rearing period are more recent than work on adult birds and it is not yet known how best to prevent the development of feather pecking in young pullets. Ideally good quality litter should be present during rear, with many studies showing that early feather pecking in chicks or young pullets is prevented or reduced by the provision of good quality litter substrates (Huber-Eicher and Sebö, 2001b; Chow and Hogan, 2005; Bestman et al., 2009). However, litter provision during the very early rearing period (1 to 21 days) does not always provide later adult protection. De Jong et al. (2013a; 2013b) found that although young chicks used good quality substrates when they were available, this had only marginal effects on their adult behaviour, with slight reductions in gentle feather pecking but no effect on feather quality in older birds. Thus, although providing good quality pecking substrates during very early rear can reduce the risk of adult feather pecking, it does not prevent it. The provision of suitable substrates during the later rearing and laying period appears to have a greater effect (Nicol et al., 2001; de Jong et al., 2013a; 2013b). Adult birds are not constrained by their early experience in terms of foraging substrate preferences and can readily accept novel, but suitable, materials (Nicol et al., 2001).</w:t>
      </w:r>
    </w:p>
    <w:p w14:paraId="44179B2A" w14:textId="77777777" w:rsidR="00286A88" w:rsidRPr="00286A88" w:rsidRDefault="00286A88" w:rsidP="00987862">
      <w:pPr>
        <w:rPr>
          <w:lang w:val="en-AU" w:eastAsia="en-AU"/>
        </w:rPr>
      </w:pPr>
      <w:r w:rsidRPr="00286A88">
        <w:rPr>
          <w:lang w:val="en-AU" w:eastAsia="en-AU"/>
        </w:rPr>
        <w:t xml:space="preserve">In addition to providing a good, friable litter substrate, other ways of encouraging harmless pecking have been explored in both young and adult birds. These include the provision of hay bales (Daigle et al., 2014), pecking strings (Jones et al., 2000; McAdie et al., 2005), pecking objects (Moroki and Tanaka, 2016a) and pecking blocks (Holcman et al., 2008). Dixon and Duncan (2010) found no effect of providing a peat moss substrate compared with wire on the pecking behaviour of young chicks but the provision of foraging materials for older pullets significantly reduced feather pecking behaviour compared to non-enriched treatments. Foraging materials were significantly more effective in reducing feather pecking </w:t>
      </w:r>
      <w:r w:rsidRPr="00BF2A93">
        <w:rPr>
          <w:lang w:val="en-AU" w:eastAsia="en-AU"/>
        </w:rPr>
        <w:t>than other enrichments such as dust-bathing substrates, or novel objects (Dixon et al., 2010). Another study found a positive effect of environmental enrichment (pecking strings, whole oats and increased litter depth provided from 12 days of age) during the rearing period, but the effect did not persist or was not sufficiently strong enough to  improve plumage</w:t>
      </w:r>
      <w:r w:rsidRPr="00286A88">
        <w:rPr>
          <w:lang w:val="en-AU" w:eastAsia="en-AU"/>
        </w:rPr>
        <w:t xml:space="preserve"> condition when the birds were 43 weeks of age (Hartcher et al., 2015a). Allowing free-range hens early access to the range (18 weeks rather than 22 weeks) significantly improved plumage quality in later life (Petek et al., 2015).</w:t>
      </w:r>
    </w:p>
    <w:p w14:paraId="58A86A48" w14:textId="77777777" w:rsidR="00286A88" w:rsidRPr="00286A88" w:rsidRDefault="00286A88" w:rsidP="00987862">
      <w:pPr>
        <w:rPr>
          <w:lang w:val="en-AU" w:eastAsia="en-AU"/>
        </w:rPr>
      </w:pPr>
      <w:r w:rsidRPr="00286A88">
        <w:rPr>
          <w:lang w:val="en-AU" w:eastAsia="en-AU"/>
        </w:rPr>
        <w:t>The risk of more serious types of injurious pecking is greatly increased as birds come into lay (Newberry et al., 2007; Nicol et al., 2013). SFP has been reported in 68.5% of free-range flocks at 25 weeks of age, and 85.6% of flocks at 40 weeks. Levels of feather damage tend to worsen over the laying period (LaBrash and Scheideler, 2005), including in free-range systems in Australia (Moyle et al., 2016).</w:t>
      </w:r>
    </w:p>
    <w:p w14:paraId="500225B2" w14:textId="77777777" w:rsidR="00286A88" w:rsidRPr="00286A88" w:rsidRDefault="00286A88" w:rsidP="00987862">
      <w:pPr>
        <w:rPr>
          <w:lang w:val="en-AU" w:eastAsia="en-AU"/>
        </w:rPr>
      </w:pPr>
      <w:r w:rsidRPr="00286A88">
        <w:rPr>
          <w:lang w:val="en-AU" w:eastAsia="en-AU"/>
        </w:rPr>
        <w:t xml:space="preserve">Within cage systems, plumage condition is improved by increased space allowances (Elson, 2004, cited by Widowski et al., 2016) and, in some studies (e.g. Meng et al., 2015; </w:t>
      </w:r>
      <w:r w:rsidRPr="00286A88">
        <w:rPr>
          <w:rFonts w:cs="TimesNewRomanPS-BoldMT"/>
          <w:bCs/>
          <w:color w:val="000000"/>
          <w:lang w:val="en-AU" w:eastAsia="en-AU"/>
        </w:rPr>
        <w:t>Onbaşılar</w:t>
      </w:r>
      <w:r w:rsidRPr="00286A88">
        <w:rPr>
          <w:lang w:val="en-AU" w:eastAsia="en-AU"/>
        </w:rPr>
        <w:t xml:space="preserve"> et al., 2015) plumage condition is better in furnished cages than conventional cages.</w:t>
      </w:r>
    </w:p>
    <w:p w14:paraId="7D6CF9D3" w14:textId="77777777" w:rsidR="00286A88" w:rsidRPr="00286A88" w:rsidRDefault="00286A88" w:rsidP="00987862">
      <w:pPr>
        <w:rPr>
          <w:lang w:val="en-AU" w:eastAsia="en-AU"/>
        </w:rPr>
      </w:pPr>
      <w:r w:rsidRPr="00286A88">
        <w:rPr>
          <w:lang w:val="en-AU" w:eastAsia="en-AU"/>
        </w:rPr>
        <w:t>It is hard to compare the prevalence of severe pecking in cage and non-cage systems because feather loss (the most common proxy measure of severe pecking) can also occur due to abrasion in cage systems. This may explain why in a meta-analysis, Freire and Cowling (2013) found no overall difference between birds housed in conventional cages and birds in other systems. Blatchford et al. (2016) also found better plumage cover in birds from aviaries than birds from furnished or conventional cages, probably because of more abrasion in the latter.</w:t>
      </w:r>
    </w:p>
    <w:p w14:paraId="58B8FD86" w14:textId="77777777" w:rsidR="00286A88" w:rsidRPr="00286A88" w:rsidRDefault="00286A88" w:rsidP="00987862">
      <w:pPr>
        <w:rPr>
          <w:lang w:val="en-AU" w:eastAsia="en-AU"/>
        </w:rPr>
      </w:pPr>
      <w:r w:rsidRPr="00286A88">
        <w:rPr>
          <w:lang w:val="en-AU" w:eastAsia="en-AU"/>
        </w:rPr>
        <w:t>In a systematic comparison of different housing systems comparing 26 flocks, Sherwin et al. (2010) found a lower proportion of birds in free-range systems had substantial feather damage, but that these birds were more likely to show (relatively mild) pecking wounds to the vent (see Table LH7).</w:t>
      </w:r>
    </w:p>
    <w:p w14:paraId="4BE2F0D8" w14:textId="77777777" w:rsidR="00286A88" w:rsidRPr="00987862" w:rsidRDefault="00286A88" w:rsidP="00987862">
      <w:pPr>
        <w:spacing w:before="240"/>
        <w:rPr>
          <w:b/>
          <w:lang w:val="en-AU" w:eastAsia="en-AU"/>
        </w:rPr>
      </w:pPr>
      <w:r w:rsidRPr="00987862">
        <w:rPr>
          <w:b/>
          <w:lang w:val="en-AU" w:eastAsia="en-AU"/>
        </w:rPr>
        <w:t>Table LH7: A comparison between housing systems of feather damage and vent wounds</w:t>
      </w:r>
    </w:p>
    <w:tbl>
      <w:tblPr>
        <w:tblStyle w:val="TableGrid1"/>
        <w:tblW w:w="0" w:type="auto"/>
        <w:tblLayout w:type="fixed"/>
        <w:tblLook w:val="04A0" w:firstRow="1" w:lastRow="0" w:firstColumn="1" w:lastColumn="0" w:noHBand="0" w:noVBand="1"/>
        <w:tblCaption w:val="Table LH7: A comparison between housing systems of feather damage and vent wounds"/>
        <w:tblDescription w:val="This table shows the percentage of hens with substantial feather damage and the percentage of hens with signs of vent wounds in four types of housing systems.The left hand column shows the type of housing system - conventional cage, furnished cage, non-cage (single-tier and multi-tier), and free range. The middle column shows the percentage of hens with substantial feather damage in each of the four types of housing systems. The right hand column shows the percentage of hens with signs of vent wounds in each of the four types of housing systems."/>
      </w:tblPr>
      <w:tblGrid>
        <w:gridCol w:w="2376"/>
        <w:gridCol w:w="2694"/>
        <w:gridCol w:w="2693"/>
      </w:tblGrid>
      <w:tr w:rsidR="00286A88" w:rsidRPr="00927483" w14:paraId="44B92000" w14:textId="77777777" w:rsidTr="00C30DC0">
        <w:trPr>
          <w:trHeight w:val="507"/>
          <w:tblHeader/>
        </w:trPr>
        <w:tc>
          <w:tcPr>
            <w:tcW w:w="2376" w:type="dxa"/>
          </w:tcPr>
          <w:p w14:paraId="5C3E6F46" w14:textId="77777777" w:rsidR="00286A88" w:rsidRPr="00927483" w:rsidRDefault="00286A88" w:rsidP="00AF725E">
            <w:r w:rsidRPr="00927483">
              <w:t>Housing system</w:t>
            </w:r>
          </w:p>
        </w:tc>
        <w:tc>
          <w:tcPr>
            <w:tcW w:w="2694" w:type="dxa"/>
          </w:tcPr>
          <w:p w14:paraId="623FC458" w14:textId="77777777" w:rsidR="00286A88" w:rsidRPr="00927483" w:rsidRDefault="00286A88" w:rsidP="00AF725E">
            <w:pPr>
              <w:jc w:val="center"/>
            </w:pPr>
            <w:r w:rsidRPr="00927483">
              <w:t>% hens with substantial feather damage</w:t>
            </w:r>
          </w:p>
        </w:tc>
        <w:tc>
          <w:tcPr>
            <w:tcW w:w="2693" w:type="dxa"/>
          </w:tcPr>
          <w:p w14:paraId="435C3DBC" w14:textId="77777777" w:rsidR="00286A88" w:rsidRPr="00927483" w:rsidRDefault="00286A88" w:rsidP="00AF725E">
            <w:pPr>
              <w:jc w:val="center"/>
            </w:pPr>
            <w:r w:rsidRPr="00927483">
              <w:t>% hens with signs of vent wounds</w:t>
            </w:r>
          </w:p>
        </w:tc>
      </w:tr>
      <w:tr w:rsidR="00286A88" w:rsidRPr="00286A88" w14:paraId="4070EEBC" w14:textId="77777777" w:rsidTr="00AF725E">
        <w:trPr>
          <w:trHeight w:val="242"/>
        </w:trPr>
        <w:tc>
          <w:tcPr>
            <w:tcW w:w="2376" w:type="dxa"/>
          </w:tcPr>
          <w:p w14:paraId="0D0D7D84" w14:textId="77777777" w:rsidR="00286A88" w:rsidRPr="00927483" w:rsidRDefault="00286A88" w:rsidP="00AF725E">
            <w:r w:rsidRPr="00927483">
              <w:t>Conventional cage</w:t>
            </w:r>
          </w:p>
        </w:tc>
        <w:tc>
          <w:tcPr>
            <w:tcW w:w="2694" w:type="dxa"/>
          </w:tcPr>
          <w:p w14:paraId="5994D870" w14:textId="77777777" w:rsidR="00286A88" w:rsidRPr="00286A88" w:rsidRDefault="00286A88" w:rsidP="00AF725E">
            <w:pPr>
              <w:jc w:val="center"/>
            </w:pPr>
            <w:r w:rsidRPr="00286A88">
              <w:t>24.7</w:t>
            </w:r>
          </w:p>
        </w:tc>
        <w:tc>
          <w:tcPr>
            <w:tcW w:w="2693" w:type="dxa"/>
          </w:tcPr>
          <w:p w14:paraId="3E403653" w14:textId="77777777" w:rsidR="00286A88" w:rsidRPr="00286A88" w:rsidRDefault="00286A88" w:rsidP="00927483">
            <w:pPr>
              <w:ind w:left="113"/>
              <w:jc w:val="center"/>
            </w:pPr>
            <w:r w:rsidRPr="00286A88">
              <w:t>6.2</w:t>
            </w:r>
          </w:p>
        </w:tc>
      </w:tr>
      <w:tr w:rsidR="00286A88" w:rsidRPr="00286A88" w14:paraId="4D249E46" w14:textId="77777777" w:rsidTr="00AF725E">
        <w:trPr>
          <w:trHeight w:val="236"/>
        </w:trPr>
        <w:tc>
          <w:tcPr>
            <w:tcW w:w="2376" w:type="dxa"/>
          </w:tcPr>
          <w:p w14:paraId="4783814E" w14:textId="77777777" w:rsidR="00286A88" w:rsidRPr="00927483" w:rsidRDefault="00286A88" w:rsidP="00AF725E">
            <w:r w:rsidRPr="00927483">
              <w:t xml:space="preserve">Furnished cage </w:t>
            </w:r>
          </w:p>
        </w:tc>
        <w:tc>
          <w:tcPr>
            <w:tcW w:w="2694" w:type="dxa"/>
          </w:tcPr>
          <w:p w14:paraId="1B047377" w14:textId="77777777" w:rsidR="00286A88" w:rsidRPr="00286A88" w:rsidRDefault="00286A88" w:rsidP="00AF725E">
            <w:pPr>
              <w:jc w:val="center"/>
            </w:pPr>
            <w:r w:rsidRPr="00286A88">
              <w:t>24.9</w:t>
            </w:r>
          </w:p>
        </w:tc>
        <w:tc>
          <w:tcPr>
            <w:tcW w:w="2693" w:type="dxa"/>
          </w:tcPr>
          <w:p w14:paraId="14CE65D0" w14:textId="77777777" w:rsidR="00286A88" w:rsidRPr="00286A88" w:rsidRDefault="00286A88" w:rsidP="00927483">
            <w:pPr>
              <w:ind w:left="113"/>
              <w:jc w:val="center"/>
            </w:pPr>
            <w:r w:rsidRPr="00286A88">
              <w:t>1.6</w:t>
            </w:r>
          </w:p>
        </w:tc>
      </w:tr>
      <w:tr w:rsidR="00286A88" w:rsidRPr="00286A88" w14:paraId="32C1C4F9" w14:textId="77777777" w:rsidTr="00AF725E">
        <w:trPr>
          <w:trHeight w:val="236"/>
        </w:trPr>
        <w:tc>
          <w:tcPr>
            <w:tcW w:w="2376" w:type="dxa"/>
          </w:tcPr>
          <w:p w14:paraId="10D8C8BC" w14:textId="77777777" w:rsidR="00286A88" w:rsidRPr="00927483" w:rsidRDefault="00286A88" w:rsidP="00AF725E">
            <w:r w:rsidRPr="00927483">
              <w:t>Non-cage (ST, MT)</w:t>
            </w:r>
          </w:p>
        </w:tc>
        <w:tc>
          <w:tcPr>
            <w:tcW w:w="2694" w:type="dxa"/>
          </w:tcPr>
          <w:p w14:paraId="67999DF3" w14:textId="77777777" w:rsidR="00286A88" w:rsidRPr="00286A88" w:rsidRDefault="00286A88" w:rsidP="00AF725E">
            <w:pPr>
              <w:jc w:val="center"/>
            </w:pPr>
            <w:r w:rsidRPr="00286A88">
              <w:t>26.9</w:t>
            </w:r>
          </w:p>
        </w:tc>
        <w:tc>
          <w:tcPr>
            <w:tcW w:w="2693" w:type="dxa"/>
          </w:tcPr>
          <w:p w14:paraId="0B4D6253" w14:textId="77777777" w:rsidR="00286A88" w:rsidRPr="00286A88" w:rsidRDefault="00286A88" w:rsidP="00AF725E">
            <w:pPr>
              <w:jc w:val="center"/>
            </w:pPr>
            <w:r w:rsidRPr="00286A88">
              <w:t>10.0</w:t>
            </w:r>
          </w:p>
        </w:tc>
      </w:tr>
      <w:tr w:rsidR="00286A88" w:rsidRPr="00286A88" w14:paraId="29FE584D" w14:textId="77777777" w:rsidTr="00AF725E">
        <w:trPr>
          <w:trHeight w:val="256"/>
        </w:trPr>
        <w:tc>
          <w:tcPr>
            <w:tcW w:w="2376" w:type="dxa"/>
          </w:tcPr>
          <w:p w14:paraId="4EAE4E7C" w14:textId="77777777" w:rsidR="00286A88" w:rsidRPr="00927483" w:rsidRDefault="00286A88" w:rsidP="00AF725E">
            <w:r w:rsidRPr="00927483">
              <w:t xml:space="preserve">Free-range </w:t>
            </w:r>
          </w:p>
        </w:tc>
        <w:tc>
          <w:tcPr>
            <w:tcW w:w="2694" w:type="dxa"/>
          </w:tcPr>
          <w:p w14:paraId="1005D692" w14:textId="77777777" w:rsidR="00286A88" w:rsidRPr="00286A88" w:rsidRDefault="00286A88" w:rsidP="00AF725E">
            <w:pPr>
              <w:jc w:val="center"/>
            </w:pPr>
            <w:r w:rsidRPr="00286A88">
              <w:t>15.5</w:t>
            </w:r>
          </w:p>
        </w:tc>
        <w:tc>
          <w:tcPr>
            <w:tcW w:w="2693" w:type="dxa"/>
          </w:tcPr>
          <w:p w14:paraId="4B056B9E" w14:textId="77777777" w:rsidR="00286A88" w:rsidRPr="00286A88" w:rsidRDefault="00286A88" w:rsidP="00AF725E">
            <w:pPr>
              <w:jc w:val="center"/>
            </w:pPr>
            <w:r w:rsidRPr="00286A88">
              <w:t>22.5</w:t>
            </w:r>
          </w:p>
        </w:tc>
      </w:tr>
    </w:tbl>
    <w:p w14:paraId="1D8E5BE4" w14:textId="77777777" w:rsidR="00AF725E" w:rsidRDefault="00AF725E" w:rsidP="00AF725E">
      <w:pPr>
        <w:rPr>
          <w:lang w:val="en-AU" w:eastAsia="en-AU"/>
        </w:rPr>
      </w:pPr>
    </w:p>
    <w:p w14:paraId="7967EC1A" w14:textId="77777777" w:rsidR="00286A88" w:rsidRPr="00286A88" w:rsidRDefault="00286A88" w:rsidP="00AF725E">
      <w:pPr>
        <w:rPr>
          <w:color w:val="333333"/>
          <w:shd w:val="clear" w:color="auto" w:fill="F8F8F8"/>
          <w:lang w:val="en-AU" w:eastAsia="en-AU"/>
        </w:rPr>
      </w:pPr>
      <w:r w:rsidRPr="00286A88">
        <w:rPr>
          <w:lang w:val="en-AU" w:eastAsia="en-AU"/>
        </w:rPr>
        <w:t>In a study of 47 non-cage flocks, Heerkens et al. (2015) found better plumage condition in flocks with access to the range than in indoor aviary flocks. Shimmura et al. (2008c) directly compared hens housed in ST aviaries and FR systems. Although the proportion of time devoted to pecking behaviours was similar, the FR hens directed their pecking towards foraging substrates on the range, whilst the aviary hens had a higher proportion of pecks directed to feeding, preening, object and litter pecking, aggressive pecking and feather pecking. Within free-range systems, increased range use is strongly associated with a reduced risk of injurious pecking (Green et al., 2000; Nicol et al., 2003; Lambton et al., 2010).</w:t>
      </w:r>
    </w:p>
    <w:p w14:paraId="22D99D14" w14:textId="77777777" w:rsidR="00286A88" w:rsidRPr="00286A88" w:rsidRDefault="00286A88" w:rsidP="00AF725E">
      <w:pPr>
        <w:rPr>
          <w:lang w:val="en-AU" w:eastAsia="en-AU"/>
        </w:rPr>
      </w:pPr>
      <w:r w:rsidRPr="00286A88">
        <w:rPr>
          <w:lang w:val="en-AU" w:eastAsia="en-AU"/>
        </w:rPr>
        <w:t>Early identification of the onset of injurious pecking is critical to manage this problem. Early warning signs which may precede signs of feather damage include increases in hen vocalisations (with more squawks) (Bright, 2008) and automated detection of overall flock movement patterns (Lee et al., 2011).</w:t>
      </w:r>
    </w:p>
    <w:p w14:paraId="116BD705" w14:textId="77777777" w:rsidR="00286A88" w:rsidRPr="00286A88" w:rsidRDefault="00286A88" w:rsidP="00AF725E">
      <w:pPr>
        <w:rPr>
          <w:rFonts w:cs="Garamond"/>
          <w:lang w:val="en-AU" w:eastAsia="en-AU"/>
        </w:rPr>
      </w:pPr>
      <w:r w:rsidRPr="00286A88">
        <w:rPr>
          <w:lang w:val="en-AU" w:eastAsia="en-AU"/>
        </w:rPr>
        <w:t>Apart from beak-trimming, the most commonly used management strategy to reduce IP is to reduce light intensity because SFP is increased under high indoor light intensity</w:t>
      </w:r>
      <w:r w:rsidRPr="00286A88">
        <w:rPr>
          <w:rFonts w:cs="Times New Roman"/>
          <w:lang w:val="en-AU" w:eastAsia="en-AU"/>
        </w:rPr>
        <w:t xml:space="preserve"> (Drake et al., 2010; Mohammed et al., 2010) (although paradoxically reduced by increased range use in far higher natural light conditions). Long-term housing under low light conditions can provoke other welfare problems including eye problems, difficulties in judging flight distances and disruption of social recognition (reviewed in Nicol et al., 2013). </w:t>
      </w:r>
      <w:r w:rsidRPr="00286A88">
        <w:rPr>
          <w:lang w:val="en-AU" w:eastAsia="en-AU"/>
        </w:rPr>
        <w:t>Another potential strategy might be to spray the feathers of birds with an aversive-tasting substance such as quinine salt, clove or garlic oil (Harlander-Matauschek et al., 2008;</w:t>
      </w:r>
      <w:r w:rsidR="000B0B33">
        <w:rPr>
          <w:lang w:val="en-AU" w:eastAsia="en-AU"/>
        </w:rPr>
        <w:t xml:space="preserve"> Harlander and Rodenburg,</w:t>
      </w:r>
      <w:r w:rsidRPr="00286A88">
        <w:rPr>
          <w:lang w:val="en-AU" w:eastAsia="en-AU"/>
        </w:rPr>
        <w:t xml:space="preserve"> 2011). Laboratory tests showed that this was highly effective in reducing the tendency of hens to peck at isolated feathers but it might be difficult to implement commercially and it might have adverse effects on normal self-preening behaviour. It might also taint the eggs.</w:t>
      </w:r>
    </w:p>
    <w:p w14:paraId="71248A9E" w14:textId="77777777" w:rsidR="00286A88" w:rsidRPr="00286A88" w:rsidRDefault="00286A88" w:rsidP="00AF725E">
      <w:pPr>
        <w:rPr>
          <w:rFonts w:cs="Times New Roman"/>
          <w:lang w:val="en-AU" w:eastAsia="en-AU"/>
        </w:rPr>
      </w:pPr>
      <w:r w:rsidRPr="00286A88">
        <w:rPr>
          <w:lang w:val="en-AU" w:eastAsia="en-AU"/>
        </w:rPr>
        <w:t>It is clear from the studies reported above that the risk factors for IP are multi-factorial. Prevention and reduction of this problem therefore requires a multi-factorial response and there is good and growing evidence that “packages” of preventive measures can significantly reduce all types of IP on commercial farms. For example, Zimmerman et al. (2006) and Nicol et al. (2006) in a study of 36 ST non-cage flocks found a significant reduction in IP and improved plumage condition in flocks that implemented a policy of lights-off in nest boxes, change from bell drinkers to nipple drinkers; de Haas et al. (2014a) found that an adjusted policy providing radios, pecking blocks and a choice of both nipple drinkers and round drinkers significantly reduced SFP on 35 commercial farms. Lambton et al. (2013)</w:t>
      </w:r>
      <w:r w:rsidRPr="00286A88">
        <w:rPr>
          <w:rFonts w:cs="Times New Roman"/>
          <w:lang w:val="en-AU" w:eastAsia="en-AU"/>
        </w:rPr>
        <w:t xml:space="preserve"> identified 46 management strategies that were expected to reduce feather-pecking and supported the implementation of these on farms through facilitated discussions with the farmers. The 53 intervention flocks employed more of the management strategies than the 47 control flocks and as a result had significantly improved plumage condition. Irrespective of whether flocks were intervention or control flocks, the more management strategies employed by the farmer the greater the benefit (Lambton et al., 2013). The management strategies described in Lambton et al. (2013) are now available as booklets for farmers and can be found at </w:t>
      </w:r>
      <w:hyperlink r:id="rId39" w:tooltip="This is a link to the website of the European FeatherWel project." w:history="1">
        <w:r w:rsidR="00D96C72" w:rsidRPr="00F33C5E">
          <w:rPr>
            <w:rStyle w:val="Hyperlink"/>
            <w:rFonts w:cs="Times New Roman"/>
            <w:lang w:val="en-AU" w:eastAsia="en-AU"/>
          </w:rPr>
          <w:t>www.featherwel.org</w:t>
        </w:r>
      </w:hyperlink>
      <w:r w:rsidR="00D96C72">
        <w:rPr>
          <w:rFonts w:cs="Times New Roman"/>
          <w:lang w:val="en-AU" w:eastAsia="en-AU"/>
        </w:rPr>
        <w:t xml:space="preserve">. </w:t>
      </w:r>
      <w:r w:rsidRPr="00286A88">
        <w:rPr>
          <w:rFonts w:cs="Times New Roman"/>
          <w:lang w:val="en-AU" w:eastAsia="en-AU"/>
        </w:rPr>
        <w:t>The wider UK egg industry has supported these efforts to reduce feather loss in hens (</w:t>
      </w:r>
      <w:r w:rsidR="00B7331C">
        <w:rPr>
          <w:rFonts w:cs="Times New Roman"/>
          <w:lang w:val="en-AU" w:eastAsia="en-AU"/>
        </w:rPr>
        <w:t xml:space="preserve">‘Code of Practice for Lion eggs’, section </w:t>
      </w:r>
      <w:r w:rsidRPr="00286A88">
        <w:rPr>
          <w:rFonts w:cs="Times New Roman"/>
          <w:lang w:val="en-AU" w:eastAsia="en-AU"/>
        </w:rPr>
        <w:t>I5</w:t>
      </w:r>
      <w:r w:rsidR="00B7331C">
        <w:rPr>
          <w:rFonts w:cs="Times New Roman"/>
          <w:lang w:val="en-AU" w:eastAsia="en-AU"/>
        </w:rPr>
        <w:t>:</w:t>
      </w:r>
      <w:r w:rsidRPr="00286A88">
        <w:rPr>
          <w:rFonts w:cs="Times New Roman"/>
          <w:lang w:val="en-AU" w:eastAsia="en-AU"/>
        </w:rPr>
        <w:t xml:space="preserve"> </w:t>
      </w:r>
      <w:hyperlink r:id="rId40" w:tooltip="This is a link to the British Egg Industy's code of practice." w:history="1">
        <w:r w:rsidR="0056421E" w:rsidRPr="008D16A0">
          <w:rPr>
            <w:rStyle w:val="Hyperlink"/>
            <w:rFonts w:cs="Times New Roman"/>
            <w:lang w:val="en-AU" w:eastAsia="en-AU"/>
          </w:rPr>
          <w:t>www.britisheggindustrycouncil.co.uk/download/LCoPV7.pdf</w:t>
        </w:r>
      </w:hyperlink>
      <w:r w:rsidR="00D7192E">
        <w:rPr>
          <w:rFonts w:cs="Times New Roman"/>
          <w:lang w:val="en-AU" w:eastAsia="en-AU"/>
        </w:rPr>
        <w:t>).</w:t>
      </w:r>
    </w:p>
    <w:p w14:paraId="21E6CB42" w14:textId="77777777" w:rsidR="00286A88" w:rsidRPr="00286A88" w:rsidRDefault="00286A88" w:rsidP="00AF725E">
      <w:pPr>
        <w:rPr>
          <w:lang w:val="en-AU" w:eastAsia="en-AU"/>
        </w:rPr>
      </w:pPr>
      <w:r w:rsidRPr="00286A88">
        <w:rPr>
          <w:lang w:val="en-AU" w:eastAsia="en-AU"/>
        </w:rPr>
        <w:t xml:space="preserve">Mullan et al. (2016) were able to assess the impact of a package of industry initiatives designed to improve plumage condition in UK free-range flocks in a study that included 830 farms in </w:t>
      </w:r>
      <w:r w:rsidR="00067AC5">
        <w:rPr>
          <w:lang w:val="en-AU" w:eastAsia="en-AU"/>
        </w:rPr>
        <w:t>Y</w:t>
      </w:r>
      <w:r w:rsidRPr="00286A88">
        <w:rPr>
          <w:lang w:val="en-AU" w:eastAsia="en-AU"/>
        </w:rPr>
        <w:t xml:space="preserve">ear 1 and 743 farms in Year 2. A majority of farmers reported that they had implemented new management strategies on their farms in Year 1, and rates of feather loss correspondingly improved by Year 2, with, for example, severe feather loss on the back and vent regions decreasing from 12.6% to 8.3%. The strength of evidence that such packages of measures can be effective has led to industry adoption of management strategies specifically designed to reduce IP in non-cage flocks (Lion Code, </w:t>
      </w:r>
      <w:hyperlink r:id="rId41" w:tooltip="This is a link to the website of the European FeatherWel project." w:history="1">
        <w:r w:rsidRPr="00D96C72">
          <w:rPr>
            <w:rStyle w:val="Hyperlink"/>
            <w:lang w:val="en-AU" w:eastAsia="en-AU"/>
          </w:rPr>
          <w:t>www.featherwel.org)</w:t>
        </w:r>
      </w:hyperlink>
      <w:r w:rsidRPr="00286A88">
        <w:rPr>
          <w:lang w:val="en-AU" w:eastAsia="en-AU"/>
        </w:rPr>
        <w:t>.</w:t>
      </w:r>
    </w:p>
    <w:p w14:paraId="2E106032" w14:textId="77777777" w:rsidR="00286A88" w:rsidRPr="00286A88" w:rsidRDefault="00286A88" w:rsidP="00AF725E">
      <w:pPr>
        <w:pStyle w:val="Heading41"/>
      </w:pPr>
      <w:r w:rsidRPr="00286A88">
        <w:t>LH3.5c Injurious cloacal (vent) pecking and cannibalism</w:t>
      </w:r>
    </w:p>
    <w:p w14:paraId="45472100" w14:textId="77777777" w:rsidR="00286A88" w:rsidRPr="00286A88" w:rsidRDefault="00286A88" w:rsidP="00AF725E">
      <w:pPr>
        <w:rPr>
          <w:i/>
          <w:color w:val="000000"/>
          <w:lang w:val="en-AU" w:eastAsia="en-AU"/>
        </w:rPr>
      </w:pPr>
      <w:r w:rsidRPr="00286A88">
        <w:rPr>
          <w:i/>
          <w:color w:val="000000"/>
          <w:lang w:val="en-AU" w:eastAsia="en-AU"/>
        </w:rPr>
        <w:t>Vent pecking is an extremely serious form of injurious pecking with very high levels of associated mortality. It occurs sporadically and unpredictably and there is only limited research on this topic.</w:t>
      </w:r>
    </w:p>
    <w:p w14:paraId="54C9D7BD" w14:textId="77777777" w:rsidR="00286A88" w:rsidRPr="00286A88" w:rsidRDefault="00286A88" w:rsidP="00AF725E">
      <w:pPr>
        <w:rPr>
          <w:lang w:val="en-AU" w:eastAsia="en-AU"/>
        </w:rPr>
      </w:pPr>
      <w:r w:rsidRPr="00286A88">
        <w:rPr>
          <w:lang w:val="en-AU" w:eastAsia="en-AU"/>
        </w:rPr>
        <w:t>Vent pecking is directed to the tissue surrounding the cloaca of another bird, whilst cannibalistic behaviour is the term used for pecks directed to other areas of skin and tissue (Savory, 1995). Vent pecking is an extremely serious form of injurious pecking because it is can lead to rapid victim death and because outbreaks of vent pecking are unpredictable (Yngvesson et al., 2004; Lambton et al., 2015). It is not clear why some birds initiate cannibalism and why others become victims. Yngvesson et al. (2004) found no evidence that, during oviposition, victims of cloacal cannibalism exposed their cloacal mucosa any more than control birds. There is some evidence that, as for feather pecking, cannibalism can spread via social learning (Cloutier et al., 2002).</w:t>
      </w:r>
    </w:p>
    <w:p w14:paraId="5E664639" w14:textId="77777777" w:rsidR="00286A88" w:rsidRPr="00286A88" w:rsidRDefault="00286A88" w:rsidP="00AF725E">
      <w:pPr>
        <w:rPr>
          <w:lang w:val="en-AU" w:eastAsia="en-AU"/>
        </w:rPr>
      </w:pPr>
      <w:r w:rsidRPr="00286A88">
        <w:rPr>
          <w:lang w:val="en-AU" w:eastAsia="en-AU"/>
        </w:rPr>
        <w:t xml:space="preserve">Overall, relatively few studies have attempted to disentangle specific risk factors for vent pecking and cannibalism separately from risk factors for SFP. The best information available suggests that low protein and low fibre diets have a strong influence on the occurrence of vent pecking-related mortality (Hartini et al., 2002) and other risk factors are illuminated nest-boxes, which may increase the visibility or attractiveness of the vent as a pecking target, </w:t>
      </w:r>
      <w:r w:rsidRPr="00286A88">
        <w:rPr>
          <w:rFonts w:cs="Times New Roman"/>
          <w:lang w:val="en-AU" w:eastAsia="en-AU"/>
        </w:rPr>
        <w:t>the use of bell drinkers, early onset of lay, a higher number of diet changes during the laying period (P</w:t>
      </w:r>
      <w:r w:rsidRPr="00286A88">
        <w:rPr>
          <w:lang w:val="en-AU" w:eastAsia="en-AU"/>
        </w:rPr>
        <w:t>ö</w:t>
      </w:r>
      <w:r w:rsidRPr="00286A88">
        <w:rPr>
          <w:rFonts w:cs="Times New Roman"/>
          <w:lang w:val="en-AU" w:eastAsia="en-AU"/>
        </w:rPr>
        <w:t>tzsch et al., 2001), the provision of pelleted feed and certain configurations of perch provision (Lambton et al., 2015).</w:t>
      </w:r>
    </w:p>
    <w:p w14:paraId="14A0ED60" w14:textId="77777777" w:rsidR="00286A88" w:rsidRPr="00286A88" w:rsidRDefault="00286A88" w:rsidP="00AF725E">
      <w:pPr>
        <w:pStyle w:val="Heading41"/>
      </w:pPr>
      <w:r w:rsidRPr="00286A88">
        <w:t>LH3.5d Aggressive pecking</w:t>
      </w:r>
    </w:p>
    <w:p w14:paraId="7CBF283B" w14:textId="77777777" w:rsidR="00286A88" w:rsidRPr="00286A88" w:rsidRDefault="00286A88" w:rsidP="00AF725E">
      <w:pPr>
        <w:rPr>
          <w:rFonts w:cs="Arial"/>
          <w:lang w:val="en-AU" w:eastAsia="en-AU"/>
        </w:rPr>
      </w:pPr>
      <w:r w:rsidRPr="00286A88">
        <w:rPr>
          <w:lang w:val="en-AU" w:eastAsia="en-GB"/>
        </w:rPr>
        <w:t>Aggressive pecks occur during competition for resources, when unfamiliar birds meet, or when dominance relations are being established. Although feather pecking is often described colloquially as aggression, the two forms of pecking have different appearances and different underlying motivations. Aggressive pecks are usually directed towards the head region of another bird whilst feather pecking is directed primarily to the back and tail regions. Low correlations have been reported between feather pecking and aggressive pecking (Bessei et al., 2013). Birds that are able to avoid aggressive encounters are not always able to avoid receiving feather pecks.</w:t>
      </w:r>
    </w:p>
    <w:p w14:paraId="4C774DA7" w14:textId="77777777" w:rsidR="00286A88" w:rsidRPr="00286A88" w:rsidRDefault="00286A88" w:rsidP="00AF725E">
      <w:pPr>
        <w:rPr>
          <w:lang w:val="en-AU" w:eastAsia="en-AU"/>
        </w:rPr>
      </w:pPr>
      <w:r w:rsidRPr="00286A88">
        <w:rPr>
          <w:lang w:val="en-AU" w:eastAsia="en-AU"/>
        </w:rPr>
        <w:t>Aggressive behaviour is not a substantial welfare concern, occurring infrequently in non-cage and cage systems, with actual fights uncommon (Freire and Cowling, 2013). Aggressive threats and pecks occur at rates of less than one per bird per hour in commercial flocks (</w:t>
      </w:r>
      <w:r w:rsidR="00067AC5" w:rsidRPr="00286A88">
        <w:rPr>
          <w:lang w:val="en-AU" w:eastAsia="en-AU"/>
        </w:rPr>
        <w:t>Hughes et al., 1997</w:t>
      </w:r>
      <w:r w:rsidR="00067AC5">
        <w:rPr>
          <w:lang w:val="en-AU" w:eastAsia="en-AU"/>
        </w:rPr>
        <w:t xml:space="preserve">; </w:t>
      </w:r>
      <w:r w:rsidRPr="00286A88">
        <w:rPr>
          <w:lang w:val="en-AU" w:eastAsia="en-AU"/>
        </w:rPr>
        <w:t>Carmichael et al., 1999; Nicol et al., 1999; Oden et al., 2000) but can be higher during the process of hierarchy formation in smaller flocks of birds (Nicol et al., 1999). Aggression can also be localised at points of resource competition (e.g. just outside nest boxes (Lentfer et al., 2013) and so house designs that minimise local crowding will be generally beneficial.</w:t>
      </w:r>
    </w:p>
    <w:p w14:paraId="17EAE101" w14:textId="77777777" w:rsidR="00286A88" w:rsidRPr="00286A88" w:rsidRDefault="00286A88" w:rsidP="00AF725E">
      <w:pPr>
        <w:pStyle w:val="Heading3"/>
        <w:rPr>
          <w:rFonts w:ascii="Times New Roman" w:hAnsi="Times New Roman"/>
          <w:sz w:val="24"/>
          <w:szCs w:val="24"/>
          <w:lang w:val="en-AU" w:eastAsia="en-GB"/>
        </w:rPr>
      </w:pPr>
      <w:bookmarkStart w:id="35" w:name="_Toc495310504"/>
      <w:r w:rsidRPr="00286A88">
        <w:rPr>
          <w:lang w:val="en-AU" w:eastAsia="en-GB"/>
        </w:rPr>
        <w:t>LH3.6 Relationships between feather pecking (FP) and other traits</w:t>
      </w:r>
      <w:bookmarkEnd w:id="35"/>
    </w:p>
    <w:p w14:paraId="28C694F8" w14:textId="77777777" w:rsidR="00286A88" w:rsidRPr="00AF725E" w:rsidRDefault="00286A88" w:rsidP="00AF725E">
      <w:pPr>
        <w:rPr>
          <w:i/>
          <w:lang w:val="en-AU" w:eastAsia="en-AU"/>
        </w:rPr>
      </w:pPr>
      <w:r w:rsidRPr="00AF725E">
        <w:rPr>
          <w:i/>
          <w:lang w:val="en-AU" w:eastAsia="en-AU"/>
        </w:rPr>
        <w:t>Feather pecking is often associated with higher levels of stress, fearfulness and activity but causal relationships are not always clear.</w:t>
      </w:r>
    </w:p>
    <w:p w14:paraId="654DAB02" w14:textId="77777777" w:rsidR="00286A88" w:rsidRPr="00286A88" w:rsidRDefault="00286A88" w:rsidP="00AF725E">
      <w:pPr>
        <w:rPr>
          <w:lang w:val="en-AU" w:eastAsia="en-AU"/>
        </w:rPr>
      </w:pPr>
      <w:r w:rsidRPr="00286A88">
        <w:rPr>
          <w:lang w:val="en-AU" w:eastAsia="en-AU"/>
        </w:rPr>
        <w:t>If strong relationships between FP in young chicks and later adult FP were confirmed in commercial strains, then early screening programmes could be developed. Currently, however, predictive correlations between chick and adult behaviour are either too weak or too uncertain to support such investment. Prospective studies have produced mixed results. Some have reported poor correlations between relatively-easily measured traits (such as fearfulness and exploratory tendency) and later FP behaviour or plumage condition (Albentosa et al., 2003; Hartcher et al., 2015b), whereas others have described significant relationships with these traits (Uitdehaag et al., 2008; de Haas et al., 2014a; 2014b).</w:t>
      </w:r>
    </w:p>
    <w:p w14:paraId="6FA65F6A" w14:textId="77777777" w:rsidR="00286A88" w:rsidRPr="00286A88" w:rsidRDefault="00286A88" w:rsidP="00AF725E">
      <w:pPr>
        <w:rPr>
          <w:rFonts w:cs="Times New Roman"/>
          <w:lang w:val="en-AU" w:eastAsia="en-GB"/>
        </w:rPr>
      </w:pPr>
      <w:r w:rsidRPr="00286A88">
        <w:rPr>
          <w:lang w:val="en-AU" w:eastAsia="en-AU"/>
        </w:rPr>
        <w:t>Prospective studies are time-consuming to conduct and so there is more research examining general characteristics associated with feather pecking. This work could potentially identity traits or mechanisms that could be targets for genetic selection. Most studies have been conducted on experimental lines, particularly lines of birds that were originally divergently selected in Denmark for high or low FP behaviour (Kjaer, 2009). Birds from these lines, selected for</w:t>
      </w:r>
      <w:r w:rsidRPr="00286A88">
        <w:rPr>
          <w:rFonts w:cs="Times New Roman"/>
          <w:lang w:val="en-AU" w:eastAsia="en-AU"/>
        </w:rPr>
        <w:t xml:space="preserve"> </w:t>
      </w:r>
      <w:r w:rsidRPr="008020FE">
        <w:rPr>
          <w:rFonts w:cs="Times New Roman"/>
          <w:i/>
          <w:lang w:val="en-AU" w:eastAsia="en-AU"/>
        </w:rPr>
        <w:t>increased</w:t>
      </w:r>
      <w:r w:rsidRPr="00286A88">
        <w:rPr>
          <w:rFonts w:cs="Times New Roman"/>
          <w:lang w:val="en-AU" w:eastAsia="en-AU"/>
        </w:rPr>
        <w:t xml:space="preserve"> FP also show greater </w:t>
      </w:r>
      <w:r w:rsidRPr="00286A88">
        <w:rPr>
          <w:color w:val="000000"/>
          <w:lang w:val="en-AU" w:eastAsia="en-AU"/>
        </w:rPr>
        <w:t xml:space="preserve">stress responses to physical restraint (Kjaer and Guémené, 2009; Kjaer and Jorgensen, 2011), fearfulness (Rodenburg et al., 2004; 2010); locomotor activity (Kjaer, 2009; de Haas et al., 2010); foraging behaviour (de Haas et al., 2010), altered patterns of serotonin release and dopamine receptor type (Flisikowski et al., 2009; Kops et al., 2014) and improved egg weight, shell thickness and feed efficiency (Su et al., 2006) compared with LFP birds. </w:t>
      </w:r>
      <w:r w:rsidRPr="00286A88">
        <w:rPr>
          <w:rFonts w:cs="Times New Roman"/>
          <w:lang w:val="en-AU" w:eastAsia="en-GB"/>
        </w:rPr>
        <w:t>The HFP birds are also more likely to eat feathers that have been removed than are LFP birds (</w:t>
      </w:r>
      <w:r w:rsidR="00067AC5" w:rsidRPr="00286A88">
        <w:rPr>
          <w:rFonts w:cs="Times New Roman"/>
          <w:lang w:val="en-AU" w:eastAsia="en-GB"/>
        </w:rPr>
        <w:t>Meyer et al., 2013</w:t>
      </w:r>
      <w:r w:rsidR="00067AC5">
        <w:rPr>
          <w:rFonts w:cs="Times New Roman"/>
          <w:lang w:val="en-AU" w:eastAsia="en-GB"/>
        </w:rPr>
        <w:t xml:space="preserve">; </w:t>
      </w:r>
      <w:r w:rsidRPr="00286A88">
        <w:rPr>
          <w:rFonts w:cs="Times New Roman"/>
          <w:lang w:val="en-AU" w:eastAsia="en-GB"/>
        </w:rPr>
        <w:t>B</w:t>
      </w:r>
      <w:r w:rsidRPr="00286A88">
        <w:rPr>
          <w:rFonts w:cs="Arial"/>
          <w:lang w:val="en-AU" w:eastAsia="en-GB"/>
        </w:rPr>
        <w:t>ő</w:t>
      </w:r>
      <w:r w:rsidR="00ED6980">
        <w:rPr>
          <w:rFonts w:cs="Times New Roman"/>
          <w:lang w:val="en-AU" w:eastAsia="en-GB"/>
        </w:rPr>
        <w:t>gelein et al., 2014</w:t>
      </w:r>
      <w:r w:rsidRPr="00286A88">
        <w:rPr>
          <w:rFonts w:cs="Times New Roman"/>
          <w:lang w:val="en-AU" w:eastAsia="en-GB"/>
        </w:rPr>
        <w:t>), but are less likely to persevere in certain operant tasks (Kjaer et al., 2015). Individual birds from these selected lines show low correlations between their tendencies to either feather peck or perform aggressive pecks (Grams et al., 2015), although some genetic correlations between these traits have been reported (Bennewitz et al., 2014).</w:t>
      </w:r>
    </w:p>
    <w:p w14:paraId="5CA750BB" w14:textId="77777777" w:rsidR="00286A88" w:rsidRPr="00286A88" w:rsidRDefault="00286A88" w:rsidP="00AF725E">
      <w:pPr>
        <w:rPr>
          <w:rFonts w:cs="Times New Roman"/>
          <w:lang w:val="en-AU" w:eastAsia="en-GB"/>
        </w:rPr>
      </w:pPr>
      <w:r w:rsidRPr="00286A88">
        <w:rPr>
          <w:rFonts w:cs="Times New Roman"/>
          <w:lang w:val="en-AU" w:eastAsia="en-GB"/>
        </w:rPr>
        <w:t>Traits linked with FP have also been studied in a separate population of birds which were incidentally found to differ in FP tendency (</w:t>
      </w:r>
      <w:r w:rsidRPr="00286A88">
        <w:rPr>
          <w:rFonts w:cs="Times New Roman"/>
          <w:lang w:val="en-AU" w:eastAsia="en-AU"/>
        </w:rPr>
        <w:t xml:space="preserve">Riedstra and Groothuis, 2002; </w:t>
      </w:r>
      <w:r w:rsidR="00297D4C">
        <w:rPr>
          <w:rFonts w:cs="Times New Roman"/>
          <w:lang w:val="en-AU" w:eastAsia="en-AU"/>
        </w:rPr>
        <w:t>v</w:t>
      </w:r>
      <w:r w:rsidR="00067AC5" w:rsidRPr="00286A88">
        <w:rPr>
          <w:rFonts w:cs="Times New Roman"/>
          <w:lang w:val="en-AU" w:eastAsia="en-AU"/>
        </w:rPr>
        <w:t>an Hierden et al., 2002</w:t>
      </w:r>
      <w:r w:rsidR="00067AC5">
        <w:rPr>
          <w:rFonts w:cs="Times New Roman"/>
          <w:lang w:val="en-AU" w:eastAsia="en-AU"/>
        </w:rPr>
        <w:t xml:space="preserve">; </w:t>
      </w:r>
      <w:r w:rsidRPr="00286A88">
        <w:rPr>
          <w:rFonts w:cs="Times New Roman"/>
          <w:lang w:val="en-AU" w:eastAsia="en-AU"/>
        </w:rPr>
        <w:t>Rodenburg and Koene, 2003). These birds also show positive associations between FP and locomotor activity (Rodenburg et al., 2004) and altered serotonin turnover in the severe peckers (</w:t>
      </w:r>
      <w:r w:rsidR="00297D4C">
        <w:rPr>
          <w:rFonts w:cs="Times New Roman"/>
          <w:lang w:val="en-AU" w:eastAsia="en-AU"/>
        </w:rPr>
        <w:t>v</w:t>
      </w:r>
      <w:r w:rsidRPr="00286A88">
        <w:rPr>
          <w:rFonts w:cs="Times New Roman"/>
          <w:lang w:val="en-AU" w:eastAsia="en-AU"/>
        </w:rPr>
        <w:t xml:space="preserve">an Hierden et al., 2002; </w:t>
      </w:r>
      <w:r w:rsidRPr="00286A88">
        <w:rPr>
          <w:color w:val="000000"/>
          <w:lang w:val="en-AU" w:eastAsia="en-AU"/>
        </w:rPr>
        <w:t>Kops et al., 2013). Birds selected for low group mortality due to cannibalism showed lower fear levels towards humans (Nordquist et al., 2011).</w:t>
      </w:r>
    </w:p>
    <w:p w14:paraId="19D0ED14" w14:textId="77777777" w:rsidR="00286A88" w:rsidRPr="00286A88" w:rsidRDefault="00286A88" w:rsidP="00AF725E">
      <w:pPr>
        <w:pStyle w:val="Heading3"/>
        <w:rPr>
          <w:rFonts w:ascii="Times New Roman" w:hAnsi="Times New Roman"/>
          <w:sz w:val="24"/>
          <w:szCs w:val="24"/>
          <w:lang w:val="en-AU" w:eastAsia="en-GB"/>
        </w:rPr>
      </w:pPr>
      <w:bookmarkStart w:id="36" w:name="_Toc495310505"/>
      <w:r w:rsidRPr="00286A88">
        <w:rPr>
          <w:lang w:val="en-AU" w:eastAsia="en-GB"/>
        </w:rPr>
        <w:t>LH3.7 Feather loss due to abrasion</w:t>
      </w:r>
      <w:bookmarkEnd w:id="36"/>
    </w:p>
    <w:p w14:paraId="7F23D541" w14:textId="77777777" w:rsidR="00286A88" w:rsidRPr="00286A88" w:rsidRDefault="00286A88" w:rsidP="00AF725E">
      <w:pPr>
        <w:rPr>
          <w:lang w:val="en-AU" w:eastAsia="en-AU"/>
        </w:rPr>
      </w:pPr>
      <w:r w:rsidRPr="00286A88">
        <w:rPr>
          <w:lang w:val="en-AU" w:eastAsia="en-AU"/>
        </w:rPr>
        <w:t xml:space="preserve">Injurious pecking is not the only cause of feather loss and damage. Abrasion against the sides of cages can also lead to feather loss, such that overall feather cover on the wings or the belly is worse in hens from conventional and furnished cages than in birds from non-cage systems (Blatchford et al., 2016). </w:t>
      </w:r>
      <w:r w:rsidRPr="00286A88">
        <w:rPr>
          <w:rFonts w:cs="Times New Roman"/>
          <w:lang w:val="en-AU" w:eastAsia="en-AU"/>
        </w:rPr>
        <w:t>Abrasion can be a significant economic and welfare problem, with loss of plumage resulting in higher feed intake to maintain body temperature, particularly in cool climates. Plumage damage that occurs as a result of abrasion is usually found on the underside of the neck, the primary wing feathers and the tail (</w:t>
      </w:r>
      <w:r w:rsidR="00A63C13">
        <w:rPr>
          <w:rFonts w:cs="Times New Roman"/>
          <w:lang w:val="en-AU" w:eastAsia="en-AU"/>
        </w:rPr>
        <w:t>Rodenburg and Koene, 2004</w:t>
      </w:r>
      <w:r w:rsidRPr="00286A88">
        <w:rPr>
          <w:rFonts w:cs="Times New Roman"/>
          <w:lang w:val="en-AU" w:eastAsia="en-AU"/>
        </w:rPr>
        <w:t>).</w:t>
      </w:r>
      <w:r w:rsidRPr="00286A88" w:rsidDel="00617F9C">
        <w:rPr>
          <w:rFonts w:cs="Times New Roman"/>
          <w:lang w:val="en-AU" w:eastAsia="en-AU"/>
        </w:rPr>
        <w:t xml:space="preserve"> </w:t>
      </w:r>
      <w:r w:rsidRPr="00286A88">
        <w:rPr>
          <w:rFonts w:cs="Times New Roman"/>
          <w:lang w:val="en-AU" w:eastAsia="en-AU"/>
        </w:rPr>
        <w:t>Some studies have reported similar abrasion in furnished and conventional cages (Appleby et al., 2002). Feather cover may be better when group sizes are small (less than 10) in furnished cages (Guémené et al., 2004). The design of the furnished cage, in particular perch and feeder height, may be involved in improving plumage by reducing the amount of stepping on other hen’s backs (</w:t>
      </w:r>
      <w:r w:rsidR="00067AC5" w:rsidRPr="00286A88">
        <w:rPr>
          <w:rFonts w:cs="Times New Roman"/>
          <w:lang w:val="en-AU" w:eastAsia="en-AU"/>
        </w:rPr>
        <w:t>Freire et al., 1999</w:t>
      </w:r>
      <w:r w:rsidR="00067AC5">
        <w:rPr>
          <w:rFonts w:cs="Times New Roman"/>
          <w:lang w:val="en-AU" w:eastAsia="en-AU"/>
        </w:rPr>
        <w:t xml:space="preserve">; </w:t>
      </w:r>
      <w:r w:rsidRPr="00286A88">
        <w:rPr>
          <w:rFonts w:cs="Times New Roman"/>
          <w:lang w:val="en-AU" w:eastAsia="en-AU"/>
        </w:rPr>
        <w:t>Appleby et al., 2002).</w:t>
      </w:r>
    </w:p>
    <w:p w14:paraId="1CB91946" w14:textId="77777777" w:rsidR="00286A88" w:rsidRPr="00286A88" w:rsidRDefault="00286A88" w:rsidP="00AF725E">
      <w:pPr>
        <w:pStyle w:val="Heading3"/>
        <w:rPr>
          <w:sz w:val="24"/>
          <w:szCs w:val="24"/>
          <w:lang w:val="en-AU" w:eastAsia="en-GB"/>
        </w:rPr>
      </w:pPr>
      <w:bookmarkStart w:id="37" w:name="_Toc495310506"/>
      <w:r w:rsidRPr="00286A88">
        <w:rPr>
          <w:lang w:val="en-AU" w:eastAsia="en-GB"/>
        </w:rPr>
        <w:t>LH3.8 Foot health</w:t>
      </w:r>
      <w:bookmarkEnd w:id="37"/>
    </w:p>
    <w:p w14:paraId="040B533F" w14:textId="77777777" w:rsidR="00286A88" w:rsidRPr="00AF725E" w:rsidRDefault="00286A88" w:rsidP="00AF725E">
      <w:pPr>
        <w:rPr>
          <w:i/>
          <w:lang w:val="en-AU" w:eastAsia="en-AU"/>
        </w:rPr>
      </w:pPr>
      <w:r w:rsidRPr="00AF725E">
        <w:rPr>
          <w:i/>
          <w:lang w:val="en-AU" w:eastAsia="en-AU"/>
        </w:rPr>
        <w:t xml:space="preserve">Foot disorders are relatively common occurrence in laying hens housed in all systems. Skin thickening and infection of the foot causes discomfort and may be painful. </w:t>
      </w:r>
    </w:p>
    <w:p w14:paraId="41854FEF" w14:textId="77777777" w:rsidR="00286A88" w:rsidRPr="00286A88" w:rsidRDefault="00286A88" w:rsidP="00AF725E">
      <w:pPr>
        <w:rPr>
          <w:lang w:val="en-AU" w:eastAsia="en-AU"/>
        </w:rPr>
      </w:pPr>
      <w:r w:rsidRPr="00286A88">
        <w:rPr>
          <w:lang w:val="en-AU" w:eastAsia="en-AU"/>
        </w:rPr>
        <w:t xml:space="preserve">The physical environment should provide hens with a comfortable floor to walk on, perches to rest on and a safe environment to move around in that does not cause them injury. The floor substrate should enable foot health to be maintained by not damaging the </w:t>
      </w:r>
      <w:r w:rsidR="00FC573C">
        <w:rPr>
          <w:lang w:val="en-AU" w:eastAsia="en-AU"/>
        </w:rPr>
        <w:t>foot pad</w:t>
      </w:r>
      <w:r w:rsidRPr="00286A88">
        <w:rPr>
          <w:lang w:val="en-AU" w:eastAsia="en-AU"/>
        </w:rPr>
        <w:t xml:space="preserve"> or allowing dirt/manure build-up (which leads to diseases like bumble foot). Furthermore the hens should be able to scratch on a suitable hard surface to maintain a short claw length. Long claws can become trapped leading to injury, and can cause scratches, wounds and an increased risk of infection to other birds. Conventionally caged hens are more susceptible to elongated and damaged claws than hens in FCs (e.g. </w:t>
      </w:r>
      <w:r w:rsidRPr="00286A88">
        <w:rPr>
          <w:rFonts w:cs="TimesNewRomanPS-BoldMT"/>
          <w:bCs/>
          <w:color w:val="000000"/>
          <w:lang w:val="en-AU" w:eastAsia="en-AU"/>
        </w:rPr>
        <w:t>Onbaşılar</w:t>
      </w:r>
      <w:r w:rsidRPr="00286A88">
        <w:rPr>
          <w:lang w:val="en-AU" w:eastAsia="en-AU"/>
        </w:rPr>
        <w:t xml:space="preserve"> et al., 2015) as they are unable to scratch and forage – abrasive materials may be fixed to the front of the cage to reduce the risk but are often not effective or fitted. However, Vits et al. (2005) concluded that claw shortening devices worked effectively to produce short claws in a range of different FC and small group housing systems.</w:t>
      </w:r>
    </w:p>
    <w:p w14:paraId="32585892" w14:textId="77777777" w:rsidR="00286A88" w:rsidRPr="00286A88" w:rsidRDefault="00286A88" w:rsidP="00AF725E">
      <w:pPr>
        <w:rPr>
          <w:lang w:val="en-AU" w:eastAsia="en-AU"/>
        </w:rPr>
      </w:pPr>
      <w:r w:rsidRPr="00286A88">
        <w:rPr>
          <w:lang w:val="en-AU" w:eastAsia="en-AU"/>
        </w:rPr>
        <w:t xml:space="preserve">Hyperkeratosis (thickening of the skin on the foot pad) is a common condition in commercial laying hens and it can precede or be accompanied by bacterial infections leading to swellings and abscess formation (known as bumblefoot). In one small-scale study, hens with foot pad dermatitis were faster to jump or fall from an elevated perch than healthy birds, suggesting discomfort associated with this condition (LeBlanc et al., 2016). Weitzenburger et al. (2006b) found moderate hyperkeratosis and/or superficial epithelial lesions in 21% of hens, severe hyperkeratosis with deeper lesions and swelling in 6% and very severe hyperkeratosis, deep and large lesions and substantially swollen foot pads in 2% of hens from FC systems. </w:t>
      </w:r>
      <w:r w:rsidR="005357A1">
        <w:rPr>
          <w:lang w:val="en-AU" w:eastAsia="en-AU"/>
        </w:rPr>
        <w:t>R</w:t>
      </w:r>
      <w:r w:rsidR="001702E8">
        <w:rPr>
          <w:rStyle w:val="authors"/>
        </w:rPr>
        <w:t>ö</w:t>
      </w:r>
      <w:r w:rsidRPr="00286A88">
        <w:rPr>
          <w:lang w:val="en-AU" w:eastAsia="en-AU"/>
        </w:rPr>
        <w:t xml:space="preserve">nchen et al. (2007) found moderate hyperkeratosis in between 4.2 and 9% of birds in FC and aviary systems. Hyperkeratosis was more common between the toe and claw for birds housed in a FC whilst hyperkeratosis of the sole occurred more in an aviary system. More foot damage (Appleby et al., 2002) and compromised gait scores (Li et al., 2016; Meng et al., 2017) are found in birds from conventional cages compared with birds from FCs. Blatchford et al. (2016) noted more foot damage in birds from conventional cages than aviaries but, as also noted by Dikmen et al. (2016), a greater lesion severity in the non-cage birds. Generally, the wire floors of cages are a risk factor for hyperkeratosis but exposure to dirty perches or litter increases the risk of bacterial infection. Heerkens et al. (2016b) found prevalences of 42% hyperkeratosis, 27.6% dermatitis and 1.2% bumblefoot in hens from 47 non-cage MT flocks. </w:t>
      </w:r>
      <w:r w:rsidRPr="00286A88">
        <w:rPr>
          <w:rFonts w:cs="Times New Roman"/>
          <w:lang w:val="en-AU" w:eastAsia="en-AU"/>
        </w:rPr>
        <w:t xml:space="preserve">However, in a promising development, the </w:t>
      </w:r>
      <w:r w:rsidRPr="00286A88">
        <w:rPr>
          <w:lang w:val="en-AU" w:eastAsia="en-AU"/>
        </w:rPr>
        <w:t>provision of ramps between perches has been shown to have a strongly significant beneficial effect in reducing foot lesions in non-cage MT systems (Heerkens et al., 2016a).</w:t>
      </w:r>
    </w:p>
    <w:p w14:paraId="024A9D3A" w14:textId="77777777" w:rsidR="00286A88" w:rsidRPr="00286A88" w:rsidRDefault="00286A88" w:rsidP="00AF725E">
      <w:pPr>
        <w:rPr>
          <w:lang w:val="en-AU" w:eastAsia="en-AU"/>
        </w:rPr>
      </w:pPr>
      <w:r w:rsidRPr="00286A88">
        <w:rPr>
          <w:lang w:val="en-AU" w:eastAsia="en-AU"/>
        </w:rPr>
        <w:t>Wire or slatted floors enable droppings to pass through and hence are more hygienic than litter floors: they are commonly used in cages and in raised areas of group housing. Plastic flooring appears to have negative effects in comparison with wire mesh flooring, being associated with reduced plumage quality (Whay et al., 2007; Heerkens et al., 2015) and higher mortality and prevalence of wounds (Heerkens et al., 2015).</w:t>
      </w:r>
    </w:p>
    <w:p w14:paraId="037E78CA" w14:textId="77777777" w:rsidR="00286A88" w:rsidRPr="00286A88" w:rsidRDefault="00286A88" w:rsidP="00AF725E">
      <w:pPr>
        <w:rPr>
          <w:lang w:val="en-AU" w:eastAsia="en-AU"/>
        </w:rPr>
      </w:pPr>
      <w:r w:rsidRPr="00286A88">
        <w:rPr>
          <w:lang w:val="en-AU" w:eastAsia="en-AU"/>
        </w:rPr>
        <w:t>Toe pecking is an occasional and sporadic problem in laying hens, with a far lower prevalence than other forms of injurious pecking, but with negative consequences for foot health (Krause et al., 2011). Birds that receive toe pecks also show signs of elevated fearfulness (Krause et al., 2011).</w:t>
      </w:r>
    </w:p>
    <w:p w14:paraId="25EC9223" w14:textId="77777777" w:rsidR="00286A88" w:rsidRPr="00286A88" w:rsidRDefault="00286A88" w:rsidP="00AF725E">
      <w:pPr>
        <w:pStyle w:val="Heading3"/>
        <w:rPr>
          <w:rFonts w:ascii="Times New Roman" w:hAnsi="Times New Roman"/>
          <w:sz w:val="24"/>
          <w:szCs w:val="24"/>
          <w:lang w:val="en-AU" w:eastAsia="en-GB"/>
        </w:rPr>
      </w:pPr>
      <w:bookmarkStart w:id="38" w:name="_Toc495310507"/>
      <w:r w:rsidRPr="00286A88">
        <w:rPr>
          <w:lang w:val="en-AU" w:eastAsia="en-GB"/>
        </w:rPr>
        <w:t>LH3.9 Eye abnormalities</w:t>
      </w:r>
      <w:bookmarkEnd w:id="38"/>
    </w:p>
    <w:p w14:paraId="7FAF0E63" w14:textId="77777777" w:rsidR="00286A88" w:rsidRPr="00286A88" w:rsidRDefault="00286A88" w:rsidP="00AF725E">
      <w:pPr>
        <w:rPr>
          <w:lang w:val="en-AU" w:eastAsia="en-AU"/>
        </w:rPr>
      </w:pPr>
      <w:r w:rsidRPr="00286A88">
        <w:rPr>
          <w:lang w:val="en-AU" w:eastAsia="en-AU"/>
        </w:rPr>
        <w:t>Eye abnormalities were lower in birds from non-cage systems than either furnished or conventional cages at 52 weeks of age (Blatchford et al., 2016) although this effect was not apparent when birds were re-assessed at 72 weeks.</w:t>
      </w:r>
    </w:p>
    <w:p w14:paraId="79C7DA12" w14:textId="77777777" w:rsidR="00286A88" w:rsidRPr="00286A88" w:rsidRDefault="00286A88" w:rsidP="00AF725E">
      <w:pPr>
        <w:pStyle w:val="Heading3"/>
        <w:rPr>
          <w:sz w:val="24"/>
          <w:szCs w:val="24"/>
          <w:lang w:val="en-AU" w:eastAsia="en-GB"/>
        </w:rPr>
      </w:pPr>
      <w:bookmarkStart w:id="39" w:name="_Toc495310508"/>
      <w:r w:rsidRPr="00286A88">
        <w:rPr>
          <w:lang w:val="en-AU" w:eastAsia="en-GB"/>
        </w:rPr>
        <w:t>LH3.10 Haemorrhagic fatty liver syndrome (HFLS)</w:t>
      </w:r>
      <w:bookmarkEnd w:id="39"/>
    </w:p>
    <w:p w14:paraId="0305CE91" w14:textId="77777777" w:rsidR="00286A88" w:rsidRPr="00AF725E" w:rsidRDefault="00286A88" w:rsidP="00AF725E">
      <w:pPr>
        <w:rPr>
          <w:i/>
          <w:lang w:val="en-AU" w:eastAsia="en-AU"/>
        </w:rPr>
      </w:pPr>
      <w:r w:rsidRPr="00AF725E">
        <w:rPr>
          <w:i/>
          <w:lang w:val="en-AU" w:eastAsia="en-AU"/>
        </w:rPr>
        <w:t>HFLS is predominantly a condition seen in caged hens with little opportunity to exercise. It is associated with morbidity and reduced welfare.</w:t>
      </w:r>
    </w:p>
    <w:p w14:paraId="10D2450E" w14:textId="77777777" w:rsidR="00286A88" w:rsidRPr="00286A88" w:rsidRDefault="00286A88" w:rsidP="00AF725E">
      <w:pPr>
        <w:rPr>
          <w:lang w:val="en-AU" w:eastAsia="en-AU"/>
        </w:rPr>
      </w:pPr>
      <w:r w:rsidRPr="00286A88">
        <w:rPr>
          <w:lang w:val="en-AU" w:eastAsia="en-AU"/>
        </w:rPr>
        <w:t xml:space="preserve">This condition, abnormal accumulation of lipid in the liver, is due partly to inappropriate diet and partly to lack of exercise. The </w:t>
      </w:r>
      <w:r w:rsidRPr="008020FE">
        <w:rPr>
          <w:i/>
          <w:lang w:val="en-AU" w:eastAsia="en-AU"/>
        </w:rPr>
        <w:t>ad libitum</w:t>
      </w:r>
      <w:r w:rsidRPr="00286A88">
        <w:rPr>
          <w:lang w:val="en-AU" w:eastAsia="en-AU"/>
        </w:rPr>
        <w:t xml:space="preserve"> provision of low protein, high fat diets (Rozenboim et al., 2016) can lead to excess storage of fats in the liver. The livers of laying hens become putty coloured owing to contents of up to 70% lipid (mostly triglyceride) and they also haemorrhage. Excessive abdominal fat is seen, and the kidneys are often pale and swollen. Mortality is generally low, but morbidity is high and egg production may fall. It is more common in conventionally caged layers which cannot exercise to use up the excess energy (Kaufmann-Bart and Hoop, 2009). Hens in conventional cages are often heavier than hens in non-cage systems (Sherwin et al., 2010), even when matched for breed and age (van Loon et al., 2004; Yang et al., 2014; Regmi et al., 2016a). In furnished cages, between 46% and 54% of hens show signs of fatty liver disease (Weitzenbürger et al., 2005b</w:t>
      </w:r>
      <w:r w:rsidRPr="00286A88">
        <w:rPr>
          <w:color w:val="2A2A2A"/>
          <w:shd w:val="clear" w:color="auto" w:fill="FFFFFF"/>
          <w:lang w:val="en-AU" w:eastAsia="en-AU"/>
        </w:rPr>
        <w:t>)</w:t>
      </w:r>
      <w:r w:rsidRPr="00286A88">
        <w:rPr>
          <w:lang w:val="en-AU" w:eastAsia="en-AU"/>
        </w:rPr>
        <w:t>. The importance of exercise as a protective factor against harmful fat deposition patterns is shown by studies that report lower triglyceride levels in free-range hens than in caged hens (Yang et al., 2014), lower abdominal fat deposits in caged hens provided with perches (Jiang et al., 2014) and lower abdominal and liver fat deposits in hens from aviary systems than hens from fu</w:t>
      </w:r>
      <w:r w:rsidRPr="001702E8">
        <w:rPr>
          <w:lang w:val="en-AU" w:eastAsia="en-AU"/>
        </w:rPr>
        <w:t>rnished cages (R</w:t>
      </w:r>
      <w:r w:rsidR="001702E8" w:rsidRPr="001702E8">
        <w:rPr>
          <w:rStyle w:val="authors"/>
        </w:rPr>
        <w:t>ö</w:t>
      </w:r>
      <w:r w:rsidRPr="001702E8">
        <w:rPr>
          <w:lang w:val="en-AU" w:eastAsia="en-AU"/>
        </w:rPr>
        <w:t>nchen et al., 2008). Simply providing perches in conventional cages was insufficient to alter liver fat deposition and improve liver function (Jiang et al., 2014).</w:t>
      </w:r>
    </w:p>
    <w:p w14:paraId="6DAFDC4A" w14:textId="77777777" w:rsidR="00286A88" w:rsidRPr="00286A88" w:rsidRDefault="00ED5188" w:rsidP="00AF725E">
      <w:pPr>
        <w:pStyle w:val="Heading3"/>
        <w:rPr>
          <w:sz w:val="24"/>
          <w:szCs w:val="24"/>
          <w:lang w:val="en-AU" w:eastAsia="en-GB"/>
        </w:rPr>
      </w:pPr>
      <w:bookmarkStart w:id="40" w:name="_Toc495310509"/>
      <w:r>
        <w:rPr>
          <w:lang w:val="en-AU" w:eastAsia="en-GB"/>
        </w:rPr>
        <w:t>LH3.11 Parasitic infections</w:t>
      </w:r>
      <w:bookmarkEnd w:id="40"/>
    </w:p>
    <w:p w14:paraId="0EA2E830" w14:textId="77777777" w:rsidR="00286A88" w:rsidRPr="00AF725E" w:rsidRDefault="00286A88" w:rsidP="00AF725E">
      <w:pPr>
        <w:rPr>
          <w:i/>
          <w:lang w:val="en-AU" w:eastAsia="en-AU"/>
        </w:rPr>
      </w:pPr>
      <w:r w:rsidRPr="00AF725E">
        <w:rPr>
          <w:i/>
          <w:lang w:val="en-AU" w:eastAsia="en-AU"/>
        </w:rPr>
        <w:t>Most parasitic infections in hens can be prevented or controlled with appropriate veterinary medication. The control of mite infestations is, however, a substantial challenge and threat to the welfare of laying hens.</w:t>
      </w:r>
    </w:p>
    <w:p w14:paraId="1AB24318" w14:textId="77777777" w:rsidR="00286A88" w:rsidRPr="00286A88" w:rsidRDefault="00286A88" w:rsidP="00AF725E">
      <w:pPr>
        <w:pStyle w:val="Heading41"/>
      </w:pPr>
      <w:r w:rsidRPr="00286A88">
        <w:t>LH3.11a Mites</w:t>
      </w:r>
    </w:p>
    <w:p w14:paraId="43C4B866" w14:textId="77777777" w:rsidR="00286A88" w:rsidRPr="00AF725E" w:rsidRDefault="00286A88" w:rsidP="00AF725E">
      <w:pPr>
        <w:rPr>
          <w:rFonts w:cs="Arial"/>
          <w:b/>
          <w:i/>
          <w:lang w:val="en-AU" w:eastAsia="en-AU"/>
        </w:rPr>
      </w:pPr>
      <w:r w:rsidRPr="00AF725E">
        <w:rPr>
          <w:i/>
          <w:lang w:val="en-AU" w:eastAsia="en-AU"/>
        </w:rPr>
        <w:t>Mite infestation can result in serious welfare problems for hens, causing discomfort, disturbed sleep, anaemia and death. The prevention and control of mite infestation is difficult and further research on control methods is needed. Hens with intact beaks are better able to remove mites from their own plumage.</w:t>
      </w:r>
    </w:p>
    <w:p w14:paraId="6CE3023C" w14:textId="77777777" w:rsidR="00286A88" w:rsidRPr="00286A88" w:rsidRDefault="00286A88" w:rsidP="00AF725E">
      <w:pPr>
        <w:rPr>
          <w:color w:val="000000"/>
          <w:lang w:val="en-AU" w:eastAsia="en-AU"/>
        </w:rPr>
      </w:pPr>
      <w:r w:rsidRPr="00286A88">
        <w:rPr>
          <w:rFonts w:cs="Arial"/>
          <w:lang w:val="en-AU" w:eastAsia="en-AU"/>
        </w:rPr>
        <w:t xml:space="preserve">The red mite, </w:t>
      </w:r>
      <w:r w:rsidRPr="008020FE">
        <w:rPr>
          <w:rFonts w:cs="Arial"/>
          <w:i/>
          <w:lang w:val="en-AU" w:eastAsia="en-AU"/>
        </w:rPr>
        <w:t>Dermanyssus gallinae</w:t>
      </w:r>
      <w:r w:rsidRPr="00286A88">
        <w:rPr>
          <w:rFonts w:cs="Arial"/>
          <w:lang w:val="en-AU" w:eastAsia="en-AU"/>
        </w:rPr>
        <w:t xml:space="preserve">, (with a worldwide distribution but rare in North America) and the Northern fowl mite, </w:t>
      </w:r>
      <w:r w:rsidRPr="008020FE">
        <w:rPr>
          <w:rFonts w:cs="Arial"/>
          <w:i/>
          <w:lang w:val="en-AU" w:eastAsia="en-AU"/>
        </w:rPr>
        <w:t>Ornithonyssus sylviarum</w:t>
      </w:r>
      <w:r w:rsidRPr="00286A88">
        <w:rPr>
          <w:rFonts w:cs="Arial"/>
          <w:lang w:val="en-AU" w:eastAsia="en-AU"/>
        </w:rPr>
        <w:t xml:space="preserve"> (in North America) pose significant welfare problems for laying hens. Red mite infestation can result in hens becoming restless, with higher preening and head scratching rates during the day and at night (Kilpinen et al., 2005). Infested birds are also more likely to feather peck, they are physiologically stressed with levels of adrenalin (Kowal</w:t>
      </w:r>
      <w:r w:rsidR="00B6433B">
        <w:rPr>
          <w:rFonts w:cs="Arial"/>
          <w:lang w:val="en-AU" w:eastAsia="en-AU"/>
        </w:rPr>
        <w:t>ski and Sokal, 2009</w:t>
      </w:r>
      <w:r w:rsidRPr="00286A88">
        <w:rPr>
          <w:rFonts w:cs="Arial"/>
          <w:lang w:val="en-AU" w:eastAsia="en-AU"/>
        </w:rPr>
        <w:t xml:space="preserve">) and plumage quality deteriorates (e.g. Heerkens et al., 2015). Eventually birds will become anaemic and less productive and can die if left untreated (Kilpinen et al., 2005). Red mite is therefore a serious welfare problem and can also be a vector for the transmission of other diseases. The effect of the Northern fowl mite on bird welfare is less clear, with experimental infections having </w:t>
      </w:r>
      <w:r w:rsidRPr="00286A88">
        <w:rPr>
          <w:color w:val="000000"/>
          <w:lang w:val="en-AU" w:eastAsia="en-AU"/>
        </w:rPr>
        <w:t>no effects of infestation on comb colour, comb temperature, feather cover, or bodyweight but some negative effects on the birds’ skin (Vezzoli et al., 2016).</w:t>
      </w:r>
    </w:p>
    <w:p w14:paraId="5BD9A830" w14:textId="77777777" w:rsidR="00286A88" w:rsidRPr="00286A88" w:rsidRDefault="00286A88" w:rsidP="00AF725E">
      <w:pPr>
        <w:rPr>
          <w:rFonts w:cs="Arial"/>
          <w:lang w:val="en-AU" w:eastAsia="en-AU"/>
        </w:rPr>
      </w:pPr>
      <w:r w:rsidRPr="00286A88">
        <w:rPr>
          <w:rFonts w:cs="Arial"/>
          <w:lang w:val="en-AU" w:eastAsia="en-AU"/>
        </w:rPr>
        <w:t xml:space="preserve">Red mites spend most of their lives in refuges within a poultry house. They aggregate in clusters and locate the host birds using a variety of cues, feeding on the hens’ blood for short periods (usually at night) before returning to the refuge. The prevalence of red mite is lower in cage systems. As the complexity and amount of ‘furniture’ in the house increases, so does the risk of red mite infestation, as the mites have more places to live undetected. However, a counter influence is that the provision of good, fine-particulate substrate that enables birds to express full dust-bathing behaviour can aid mite control (Vezzoli et al., 2015a). In organic production systems, diatomaceous earth can be mixed with other dust-bathing substrates to suppress mite infestations (Murillo and Mullens, 2016). In non-organic systems, control remains dominated by the use of synthetic acaricides, although resistance and treatment failure are widely reported, particularly as it is hard to treat every part of a complex housing system with birds </w:t>
      </w:r>
      <w:r w:rsidRPr="008020FE">
        <w:rPr>
          <w:rFonts w:cs="Arial"/>
          <w:i/>
          <w:lang w:val="en-AU" w:eastAsia="en-AU"/>
        </w:rPr>
        <w:t>in situ</w:t>
      </w:r>
      <w:r w:rsidRPr="00286A88">
        <w:rPr>
          <w:rFonts w:cs="Arial"/>
          <w:lang w:val="en-AU" w:eastAsia="en-AU"/>
        </w:rPr>
        <w:t>. New approaches to control are an area of urgent current research, including biological control, barrier methods, vaccination, and the use of essential oils (e.g. George et al., 2010), although the efficacy of these methods is variable and some have potential side-effects for birds. Given these challenges, it should also be noted that birds with intact-beaks are far better able to reduce both lice and mite infestations by preening (Mullens et al., 2010; Chen et al., 2011). Hot blade trimming compromises effective preening action to a far greater extent than infra-red trimming (Murillo and Mullens, 2016).</w:t>
      </w:r>
    </w:p>
    <w:p w14:paraId="481624F6" w14:textId="77777777" w:rsidR="00286A88" w:rsidRPr="00286A88" w:rsidRDefault="00286A88" w:rsidP="00AF725E">
      <w:pPr>
        <w:pStyle w:val="Heading41"/>
      </w:pPr>
      <w:r w:rsidRPr="00286A88">
        <w:t>LH3.11b Coccidiosis</w:t>
      </w:r>
    </w:p>
    <w:p w14:paraId="1494BDF2" w14:textId="77777777" w:rsidR="00286A88" w:rsidRPr="00AF725E" w:rsidRDefault="00286A88" w:rsidP="00AF725E">
      <w:pPr>
        <w:rPr>
          <w:i/>
          <w:lang w:val="en-AU" w:eastAsia="en-AU"/>
        </w:rPr>
      </w:pPr>
      <w:r w:rsidRPr="00AF725E">
        <w:rPr>
          <w:i/>
          <w:lang w:val="en-AU" w:eastAsia="en-AU"/>
        </w:rPr>
        <w:t>Coccidiosis is a welfare problem that causes intestinal inflammation and severe morbidity and mortality. It has historically been controlled by the use of anti-coccidial drugs. However, most pullets are now vaccinated rather than medicated, and there is renewed interest in developing fully effective (and cost-effective) vaccines.</w:t>
      </w:r>
    </w:p>
    <w:p w14:paraId="2947B8D1" w14:textId="77777777" w:rsidR="00286A88" w:rsidRPr="00286A88" w:rsidRDefault="00286A88" w:rsidP="00AF725E">
      <w:pPr>
        <w:rPr>
          <w:rFonts w:cs="Arial"/>
          <w:lang w:val="en-AU" w:eastAsia="en-AU"/>
        </w:rPr>
      </w:pPr>
      <w:r w:rsidRPr="00286A88">
        <w:rPr>
          <w:rFonts w:cs="Arial"/>
          <w:lang w:val="en-AU" w:eastAsia="en-AU"/>
        </w:rPr>
        <w:t xml:space="preserve">The welfare impact of coccidiosis on poultry is substantial because the potential for enteric disease or poor thrift is universal. Control of the species of the protozoan parasites </w:t>
      </w:r>
      <w:r w:rsidRPr="008020FE">
        <w:rPr>
          <w:rFonts w:cs="Arial"/>
          <w:i/>
          <w:lang w:val="en-AU" w:eastAsia="en-AU"/>
        </w:rPr>
        <w:t>Eimeria</w:t>
      </w:r>
      <w:r w:rsidRPr="00286A88">
        <w:rPr>
          <w:rFonts w:cs="Arial"/>
          <w:lang w:val="en-AU" w:eastAsia="en-AU"/>
        </w:rPr>
        <w:t xml:space="preserve"> and </w:t>
      </w:r>
      <w:r w:rsidRPr="008020FE">
        <w:rPr>
          <w:rFonts w:cs="Arial"/>
          <w:i/>
          <w:lang w:val="en-AU" w:eastAsia="en-AU"/>
        </w:rPr>
        <w:t>Tyzzeri</w:t>
      </w:r>
      <w:r w:rsidRPr="00286A88">
        <w:rPr>
          <w:rFonts w:cs="Arial"/>
          <w:lang w:val="en-AU" w:eastAsia="en-AU"/>
        </w:rPr>
        <w:t>, which cause coccidiosis, relies on vaccination, or use of scrolling generations of antiparasitic drugs (coccidiostats or coccidicidal drugs) which become ineffective as the parasite develops resistance. Because coccidia produce resistant oocysts, which can persist in the environment for long periods, coccidiosis is very difficult to eliminate from intensively farmed poultry and particularly from outdoor areas which cannot be effectively disinfected. Lunden et al. (2000) found a prevalence of coccidiosis of 19% from 57 flocks and 31% of 26 farms and also found that the risk of coccidiosis was not decreased by the practice of raising pullets without coccidiostats, ostensibly to increase their immunity. Contrary to belief, coccidiosis is an emerging issue in caged flocks, and not only a problem for birds with litter or outdoor access (Price et al., 2014). A particular challenge for caged flocks is that chicks ingest highly variable doses of the live vaccine when administered by spray. Effective flock vaccination depends on subsequent oral-faecal transmission between birds and this is harder to achieve in wire-floor systems (Price et al., 2016). Indeed, this provides another line of argument in favour of the provision of foraging materials for caged birds. Most pullets are now vaccinated rather than medicated, but the development of new vaccination strategies is an important ongoing goal in a global climate which seeks to reduce the use of medication in agriculture, and where bans on the use of many anti-coccidial drugs have been imposed in many countries.</w:t>
      </w:r>
    </w:p>
    <w:p w14:paraId="3F8A03D7" w14:textId="77777777" w:rsidR="00286A88" w:rsidRPr="00286A88" w:rsidRDefault="00286A88" w:rsidP="00AF725E">
      <w:pPr>
        <w:pStyle w:val="Heading41"/>
      </w:pPr>
      <w:r w:rsidRPr="00286A88">
        <w:t>LH3.11c Worms</w:t>
      </w:r>
    </w:p>
    <w:p w14:paraId="2CC227BF" w14:textId="77777777" w:rsidR="00286A88" w:rsidRPr="00AF725E" w:rsidRDefault="00286A88" w:rsidP="00AF725E">
      <w:pPr>
        <w:rPr>
          <w:i/>
          <w:lang w:val="en-AU" w:eastAsia="en-AU"/>
        </w:rPr>
      </w:pPr>
      <w:r w:rsidRPr="00AF725E">
        <w:rPr>
          <w:i/>
          <w:lang w:val="en-AU" w:eastAsia="en-AU"/>
        </w:rPr>
        <w:t>Hens with access to litter or outdoor areas are more likely to become infected with worms. Heavy infestations may cause welfare problems but hens appear to harbour minor worm burdens without adverse effects on welfare.</w:t>
      </w:r>
    </w:p>
    <w:p w14:paraId="2F7B9FA8" w14:textId="77777777" w:rsidR="00286A88" w:rsidRDefault="00286A88" w:rsidP="00AF725E">
      <w:pPr>
        <w:rPr>
          <w:rFonts w:cs="Arial"/>
          <w:shd w:val="clear" w:color="auto" w:fill="FFFFFF"/>
          <w:lang w:val="en-AU" w:eastAsia="en-AU"/>
        </w:rPr>
      </w:pPr>
      <w:r w:rsidRPr="00286A88">
        <w:rPr>
          <w:rFonts w:cs="Arial"/>
          <w:lang w:val="en-AU" w:eastAsia="en-AU"/>
        </w:rPr>
        <w:t xml:space="preserve">Hens in any husbandry system with access to the droppings of other birds may potentially become infected with a variety of parasitic worms with similar impacts of suppressed welfare and productivity. The most common infestations are with roundworm </w:t>
      </w:r>
      <w:r w:rsidRPr="00286A88">
        <w:rPr>
          <w:rFonts w:cs="Arial"/>
          <w:shd w:val="clear" w:color="auto" w:fill="FFFFFF"/>
          <w:lang w:val="en-AU" w:eastAsia="en-AU"/>
        </w:rPr>
        <w:t>(</w:t>
      </w:r>
      <w:r w:rsidRPr="008020FE">
        <w:rPr>
          <w:rFonts w:cs="Arial"/>
          <w:i/>
          <w:shd w:val="clear" w:color="auto" w:fill="FFFFFF"/>
          <w:lang w:val="en-AU" w:eastAsia="en-AU"/>
        </w:rPr>
        <w:t>Ascaridia galli</w:t>
      </w:r>
      <w:r w:rsidRPr="00286A88">
        <w:rPr>
          <w:rFonts w:cs="Arial"/>
          <w:shd w:val="clear" w:color="auto" w:fill="FFFFFF"/>
          <w:lang w:val="en-AU" w:eastAsia="en-AU"/>
        </w:rPr>
        <w:t>) and caecal worms (</w:t>
      </w:r>
      <w:r w:rsidRPr="008020FE">
        <w:rPr>
          <w:rFonts w:cs="Arial"/>
          <w:i/>
          <w:shd w:val="clear" w:color="auto" w:fill="FFFFFF"/>
          <w:lang w:val="en-AU" w:eastAsia="en-AU"/>
        </w:rPr>
        <w:t>Heterakis</w:t>
      </w:r>
      <w:r w:rsidRPr="00286A88">
        <w:rPr>
          <w:rFonts w:cs="Arial"/>
          <w:shd w:val="clear" w:color="auto" w:fill="FFFFFF"/>
          <w:lang w:val="en-AU" w:eastAsia="en-AU"/>
        </w:rPr>
        <w:t xml:space="preserve"> sp</w:t>
      </w:r>
      <w:r w:rsidR="00ED5188">
        <w:rPr>
          <w:rFonts w:cs="Arial"/>
          <w:shd w:val="clear" w:color="auto" w:fill="FFFFFF"/>
          <w:lang w:val="en-AU" w:eastAsia="en-AU"/>
        </w:rPr>
        <w:t>.</w:t>
      </w:r>
      <w:r w:rsidRPr="00286A88">
        <w:rPr>
          <w:rFonts w:cs="Arial"/>
          <w:shd w:val="clear" w:color="auto" w:fill="FFFFFF"/>
          <w:lang w:val="en-AU" w:eastAsia="en-AU"/>
        </w:rPr>
        <w:t>). A survey of Swedish flocks, for example, found roundworm infection rates strongly related to housing system (Jansson et al., 2010) (Table LH8).</w:t>
      </w:r>
    </w:p>
    <w:p w14:paraId="34A8BEA2" w14:textId="77777777" w:rsidR="00286A88" w:rsidRDefault="00286A88" w:rsidP="00363E7D">
      <w:pPr>
        <w:spacing w:before="240"/>
        <w:rPr>
          <w:b/>
          <w:lang w:val="en-AU" w:eastAsia="en-AU"/>
        </w:rPr>
      </w:pPr>
      <w:r w:rsidRPr="00AF725E">
        <w:rPr>
          <w:b/>
          <w:lang w:val="en-AU" w:eastAsia="en-AU"/>
        </w:rPr>
        <w:t>Table LH8: Roundworm infection rates over two years</w:t>
      </w:r>
    </w:p>
    <w:tbl>
      <w:tblPr>
        <w:tblStyle w:val="TableGrid"/>
        <w:tblW w:w="0" w:type="auto"/>
        <w:tblLook w:val="04A0" w:firstRow="1" w:lastRow="0" w:firstColumn="1" w:lastColumn="0" w:noHBand="0" w:noVBand="1"/>
        <w:tblCaption w:val="Table LH8: Roundworm infection rates over two years"/>
        <w:tblDescription w:val="This table shows roundworm infection rates in laying hens from Swedish surveys in 2004 and 2008, in four housing systems. The left hand column shows the four types of housing systems - cages (most furnished cages, some  conventional cages in the 2004 survey). The column second from left shows the number of flocks in each type of housing system in the 2004 survey. The middle column shows the percentage of flocks infected with roundworm in each type of housing system in the 2004 survey. The fourth column shows the number of flocks in each type of housing system in the 2008 survey. The right hand column shows the percentage of flocks infected with roundworm in each type of housing system in the 2008 survey."/>
      </w:tblPr>
      <w:tblGrid>
        <w:gridCol w:w="2656"/>
        <w:gridCol w:w="1825"/>
        <w:gridCol w:w="1825"/>
        <w:gridCol w:w="1825"/>
        <w:gridCol w:w="1825"/>
      </w:tblGrid>
      <w:tr w:rsidR="00CA1E01" w14:paraId="6B0657DA" w14:textId="77777777" w:rsidTr="00CA1E01">
        <w:trPr>
          <w:tblHeader/>
        </w:trPr>
        <w:tc>
          <w:tcPr>
            <w:tcW w:w="2656" w:type="dxa"/>
            <w:vMerge w:val="restart"/>
            <w:vAlign w:val="bottom"/>
          </w:tcPr>
          <w:p w14:paraId="48A61515" w14:textId="77777777" w:rsidR="00CA1E01" w:rsidRPr="00B04A03" w:rsidRDefault="00CA1E01" w:rsidP="00CA1E01">
            <w:r w:rsidRPr="00B04A03">
              <w:t>Housing System</w:t>
            </w:r>
          </w:p>
        </w:tc>
        <w:tc>
          <w:tcPr>
            <w:tcW w:w="1825" w:type="dxa"/>
          </w:tcPr>
          <w:p w14:paraId="2683A45E" w14:textId="77777777" w:rsidR="00CA1E01" w:rsidRPr="00B04A03" w:rsidRDefault="00CA1E01" w:rsidP="00B12461">
            <w:pPr>
              <w:jc w:val="center"/>
            </w:pPr>
            <w:r w:rsidRPr="00B04A03">
              <w:t>2004</w:t>
            </w:r>
          </w:p>
        </w:tc>
        <w:tc>
          <w:tcPr>
            <w:tcW w:w="1825" w:type="dxa"/>
          </w:tcPr>
          <w:p w14:paraId="2345668B" w14:textId="77777777" w:rsidR="00CA1E01" w:rsidRPr="00B04A03" w:rsidRDefault="00CA1E01" w:rsidP="00B12461">
            <w:pPr>
              <w:jc w:val="center"/>
            </w:pPr>
            <w:r w:rsidRPr="00B04A03">
              <w:t>2004</w:t>
            </w:r>
          </w:p>
        </w:tc>
        <w:tc>
          <w:tcPr>
            <w:tcW w:w="1825" w:type="dxa"/>
          </w:tcPr>
          <w:p w14:paraId="387BA568" w14:textId="77777777" w:rsidR="00CA1E01" w:rsidRPr="00B04A03" w:rsidRDefault="00CA1E01" w:rsidP="00B12461">
            <w:pPr>
              <w:jc w:val="center"/>
            </w:pPr>
            <w:r w:rsidRPr="00B04A03">
              <w:t>2008</w:t>
            </w:r>
          </w:p>
        </w:tc>
        <w:tc>
          <w:tcPr>
            <w:tcW w:w="1825" w:type="dxa"/>
          </w:tcPr>
          <w:p w14:paraId="7A85687C" w14:textId="77777777" w:rsidR="00CA1E01" w:rsidRPr="00B04A03" w:rsidRDefault="00CA1E01" w:rsidP="00B12461">
            <w:pPr>
              <w:jc w:val="center"/>
            </w:pPr>
            <w:r w:rsidRPr="00B04A03">
              <w:t>2008</w:t>
            </w:r>
          </w:p>
        </w:tc>
      </w:tr>
      <w:tr w:rsidR="00CA1E01" w14:paraId="71F382ED" w14:textId="77777777" w:rsidTr="00CA1E01">
        <w:tc>
          <w:tcPr>
            <w:tcW w:w="2656" w:type="dxa"/>
            <w:vMerge/>
          </w:tcPr>
          <w:p w14:paraId="6D653B4E" w14:textId="77777777" w:rsidR="00CA1E01" w:rsidRPr="00B04A03" w:rsidRDefault="00CA1E01" w:rsidP="00561E98"/>
        </w:tc>
        <w:tc>
          <w:tcPr>
            <w:tcW w:w="1825" w:type="dxa"/>
          </w:tcPr>
          <w:p w14:paraId="5FA11BF1" w14:textId="77777777" w:rsidR="00CA1E01" w:rsidRPr="00B04A03" w:rsidRDefault="00CA1E01" w:rsidP="00B12461">
            <w:pPr>
              <w:jc w:val="center"/>
            </w:pPr>
            <w:r w:rsidRPr="00B04A03">
              <w:t>Flocks (n)</w:t>
            </w:r>
          </w:p>
        </w:tc>
        <w:tc>
          <w:tcPr>
            <w:tcW w:w="1825" w:type="dxa"/>
          </w:tcPr>
          <w:p w14:paraId="42B9C916" w14:textId="77777777" w:rsidR="00CA1E01" w:rsidRPr="00B04A03" w:rsidRDefault="00CA1E01" w:rsidP="00B12461">
            <w:pPr>
              <w:jc w:val="center"/>
            </w:pPr>
            <w:r w:rsidRPr="00B04A03">
              <w:t>Infection %</w:t>
            </w:r>
          </w:p>
        </w:tc>
        <w:tc>
          <w:tcPr>
            <w:tcW w:w="1825" w:type="dxa"/>
          </w:tcPr>
          <w:p w14:paraId="6C643758" w14:textId="77777777" w:rsidR="00CA1E01" w:rsidRPr="00B04A03" w:rsidRDefault="00CA1E01" w:rsidP="00B12461">
            <w:pPr>
              <w:jc w:val="center"/>
            </w:pPr>
            <w:r w:rsidRPr="00B04A03">
              <w:t>Flocks (n)</w:t>
            </w:r>
          </w:p>
        </w:tc>
        <w:tc>
          <w:tcPr>
            <w:tcW w:w="1825" w:type="dxa"/>
          </w:tcPr>
          <w:p w14:paraId="5BAC0974" w14:textId="77777777" w:rsidR="00CA1E01" w:rsidRPr="00B04A03" w:rsidRDefault="00CA1E01" w:rsidP="00B12461">
            <w:pPr>
              <w:jc w:val="center"/>
            </w:pPr>
            <w:r w:rsidRPr="00B04A03">
              <w:t>Infection %</w:t>
            </w:r>
          </w:p>
        </w:tc>
      </w:tr>
      <w:tr w:rsidR="00AF725E" w14:paraId="27CEC713" w14:textId="77777777" w:rsidTr="00CA1E01">
        <w:tc>
          <w:tcPr>
            <w:tcW w:w="2656" w:type="dxa"/>
          </w:tcPr>
          <w:p w14:paraId="25F2AB7F" w14:textId="77777777" w:rsidR="00AF725E" w:rsidRDefault="00AF725E" w:rsidP="00AF725E">
            <w:pPr>
              <w:pStyle w:val="NoSpacing"/>
            </w:pPr>
            <w:r>
              <w:t>Cages</w:t>
            </w:r>
          </w:p>
          <w:p w14:paraId="69A9E21A" w14:textId="77777777" w:rsidR="00AF725E" w:rsidRPr="00B04A03" w:rsidRDefault="00AF725E" w:rsidP="00AF725E">
            <w:r w:rsidRPr="00B04A03">
              <w:t>(mostly FC, some CC in 2004)</w:t>
            </w:r>
          </w:p>
        </w:tc>
        <w:tc>
          <w:tcPr>
            <w:tcW w:w="1825" w:type="dxa"/>
          </w:tcPr>
          <w:p w14:paraId="3553FDC6" w14:textId="77777777" w:rsidR="00AF725E" w:rsidRPr="00B04A03" w:rsidRDefault="00AF725E" w:rsidP="00B12461">
            <w:pPr>
              <w:jc w:val="center"/>
            </w:pPr>
            <w:r w:rsidRPr="00B04A03">
              <w:t>42</w:t>
            </w:r>
          </w:p>
        </w:tc>
        <w:tc>
          <w:tcPr>
            <w:tcW w:w="1825" w:type="dxa"/>
          </w:tcPr>
          <w:p w14:paraId="723B7835" w14:textId="77777777" w:rsidR="00AF725E" w:rsidRPr="00B04A03" w:rsidRDefault="00AF725E" w:rsidP="001A1E6C">
            <w:pPr>
              <w:ind w:left="113"/>
              <w:jc w:val="center"/>
            </w:pPr>
            <w:r w:rsidRPr="00B04A03">
              <w:t>2.4</w:t>
            </w:r>
          </w:p>
        </w:tc>
        <w:tc>
          <w:tcPr>
            <w:tcW w:w="1825" w:type="dxa"/>
          </w:tcPr>
          <w:p w14:paraId="6E7F7CF1" w14:textId="77777777" w:rsidR="00AF725E" w:rsidRPr="00B04A03" w:rsidRDefault="00AF725E" w:rsidP="00B12461">
            <w:pPr>
              <w:jc w:val="center"/>
            </w:pPr>
            <w:r w:rsidRPr="00B04A03">
              <w:t>46</w:t>
            </w:r>
          </w:p>
        </w:tc>
        <w:tc>
          <w:tcPr>
            <w:tcW w:w="1825" w:type="dxa"/>
          </w:tcPr>
          <w:p w14:paraId="2BE914C6" w14:textId="77777777" w:rsidR="00AF725E" w:rsidRPr="00B04A03" w:rsidRDefault="00AF725E" w:rsidP="001A1E6C">
            <w:pPr>
              <w:ind w:left="113"/>
              <w:jc w:val="center"/>
            </w:pPr>
            <w:r w:rsidRPr="00B04A03">
              <w:t>4.3</w:t>
            </w:r>
          </w:p>
        </w:tc>
      </w:tr>
      <w:tr w:rsidR="00AF725E" w14:paraId="1362C714" w14:textId="77777777" w:rsidTr="00CA1E01">
        <w:tc>
          <w:tcPr>
            <w:tcW w:w="2656" w:type="dxa"/>
          </w:tcPr>
          <w:p w14:paraId="42B7E0E5" w14:textId="77777777" w:rsidR="00AF725E" w:rsidRPr="00B04A03" w:rsidRDefault="00AF725E" w:rsidP="00561E98">
            <w:r w:rsidRPr="00B04A03">
              <w:t>ST barn</w:t>
            </w:r>
          </w:p>
        </w:tc>
        <w:tc>
          <w:tcPr>
            <w:tcW w:w="1825" w:type="dxa"/>
          </w:tcPr>
          <w:p w14:paraId="233B857D" w14:textId="77777777" w:rsidR="00AF725E" w:rsidRPr="00B04A03" w:rsidRDefault="00AF725E" w:rsidP="00B12461">
            <w:pPr>
              <w:jc w:val="center"/>
            </w:pPr>
            <w:r w:rsidRPr="00B04A03">
              <w:t>72</w:t>
            </w:r>
          </w:p>
        </w:tc>
        <w:tc>
          <w:tcPr>
            <w:tcW w:w="1825" w:type="dxa"/>
          </w:tcPr>
          <w:p w14:paraId="3D7CCD26" w14:textId="77777777" w:rsidR="00AF725E" w:rsidRPr="00B04A03" w:rsidRDefault="00AF725E" w:rsidP="00B12461">
            <w:pPr>
              <w:jc w:val="center"/>
            </w:pPr>
            <w:r w:rsidRPr="00B04A03">
              <w:t>27.8</w:t>
            </w:r>
          </w:p>
        </w:tc>
        <w:tc>
          <w:tcPr>
            <w:tcW w:w="1825" w:type="dxa"/>
          </w:tcPr>
          <w:p w14:paraId="77D7023E" w14:textId="77777777" w:rsidR="00AF725E" w:rsidRPr="00B04A03" w:rsidRDefault="00AF725E" w:rsidP="00B12461">
            <w:pPr>
              <w:jc w:val="center"/>
            </w:pPr>
            <w:r w:rsidRPr="00B04A03">
              <w:t>42</w:t>
            </w:r>
          </w:p>
        </w:tc>
        <w:tc>
          <w:tcPr>
            <w:tcW w:w="1825" w:type="dxa"/>
          </w:tcPr>
          <w:p w14:paraId="0E7E03C1" w14:textId="77777777" w:rsidR="00AF725E" w:rsidRPr="00B04A03" w:rsidRDefault="00AF725E" w:rsidP="00B12461">
            <w:pPr>
              <w:jc w:val="center"/>
            </w:pPr>
            <w:r w:rsidRPr="00B04A03">
              <w:t>28.6</w:t>
            </w:r>
          </w:p>
        </w:tc>
      </w:tr>
      <w:tr w:rsidR="00AF725E" w14:paraId="3B19AEF9" w14:textId="77777777" w:rsidTr="00CA1E01">
        <w:tc>
          <w:tcPr>
            <w:tcW w:w="2656" w:type="dxa"/>
          </w:tcPr>
          <w:p w14:paraId="4F7BF413" w14:textId="77777777" w:rsidR="00AF725E" w:rsidRPr="00B04A03" w:rsidRDefault="00AF725E" w:rsidP="00561E98">
            <w:r w:rsidRPr="00B04A03">
              <w:t>MT aviary</w:t>
            </w:r>
          </w:p>
        </w:tc>
        <w:tc>
          <w:tcPr>
            <w:tcW w:w="1825" w:type="dxa"/>
          </w:tcPr>
          <w:p w14:paraId="614F6460" w14:textId="77777777" w:rsidR="00AF725E" w:rsidRPr="00B04A03" w:rsidRDefault="00AF725E" w:rsidP="00B12461">
            <w:pPr>
              <w:jc w:val="center"/>
            </w:pPr>
            <w:r w:rsidRPr="00B04A03">
              <w:t>36</w:t>
            </w:r>
          </w:p>
        </w:tc>
        <w:tc>
          <w:tcPr>
            <w:tcW w:w="1825" w:type="dxa"/>
          </w:tcPr>
          <w:p w14:paraId="3DCAB129" w14:textId="77777777" w:rsidR="00AF725E" w:rsidRPr="00B04A03" w:rsidRDefault="00AF725E" w:rsidP="00B12461">
            <w:pPr>
              <w:jc w:val="center"/>
            </w:pPr>
            <w:r w:rsidRPr="00B04A03">
              <w:t>16.7</w:t>
            </w:r>
          </w:p>
        </w:tc>
        <w:tc>
          <w:tcPr>
            <w:tcW w:w="1825" w:type="dxa"/>
          </w:tcPr>
          <w:p w14:paraId="23FB3628" w14:textId="77777777" w:rsidR="00AF725E" w:rsidRPr="00B04A03" w:rsidRDefault="00AF725E" w:rsidP="00B12461">
            <w:pPr>
              <w:jc w:val="center"/>
            </w:pPr>
            <w:r w:rsidRPr="00B04A03">
              <w:t>46</w:t>
            </w:r>
          </w:p>
        </w:tc>
        <w:tc>
          <w:tcPr>
            <w:tcW w:w="1825" w:type="dxa"/>
          </w:tcPr>
          <w:p w14:paraId="77596236" w14:textId="77777777" w:rsidR="00AF725E" w:rsidRPr="00B04A03" w:rsidRDefault="00AF725E" w:rsidP="00B12461">
            <w:pPr>
              <w:jc w:val="center"/>
            </w:pPr>
            <w:r w:rsidRPr="00B04A03">
              <w:t>52.2</w:t>
            </w:r>
          </w:p>
        </w:tc>
      </w:tr>
      <w:tr w:rsidR="00AF725E" w14:paraId="0F3BC2CB" w14:textId="77777777" w:rsidTr="00CA1E01">
        <w:tc>
          <w:tcPr>
            <w:tcW w:w="2656" w:type="dxa"/>
          </w:tcPr>
          <w:p w14:paraId="635A5BF3" w14:textId="77777777" w:rsidR="00AF725E" w:rsidRPr="00B04A03" w:rsidRDefault="00AF725E" w:rsidP="00561E98">
            <w:r w:rsidRPr="00B04A03">
              <w:t>Free range/organic</w:t>
            </w:r>
          </w:p>
        </w:tc>
        <w:tc>
          <w:tcPr>
            <w:tcW w:w="1825" w:type="dxa"/>
          </w:tcPr>
          <w:p w14:paraId="1C865CC9" w14:textId="77777777" w:rsidR="00AF725E" w:rsidRPr="00B04A03" w:rsidRDefault="00AF725E" w:rsidP="00B12461">
            <w:pPr>
              <w:jc w:val="center"/>
            </w:pPr>
            <w:r w:rsidRPr="00B04A03">
              <w:t>35</w:t>
            </w:r>
          </w:p>
        </w:tc>
        <w:tc>
          <w:tcPr>
            <w:tcW w:w="1825" w:type="dxa"/>
          </w:tcPr>
          <w:p w14:paraId="69A246E3" w14:textId="77777777" w:rsidR="00AF725E" w:rsidRPr="00B04A03" w:rsidRDefault="00AF725E" w:rsidP="00B12461">
            <w:pPr>
              <w:jc w:val="center"/>
            </w:pPr>
            <w:r w:rsidRPr="00B04A03">
              <w:t>48.6</w:t>
            </w:r>
          </w:p>
        </w:tc>
        <w:tc>
          <w:tcPr>
            <w:tcW w:w="1825" w:type="dxa"/>
          </w:tcPr>
          <w:p w14:paraId="11865154" w14:textId="77777777" w:rsidR="00AF725E" w:rsidRPr="00B04A03" w:rsidRDefault="00AF725E" w:rsidP="00B12461">
            <w:pPr>
              <w:jc w:val="center"/>
            </w:pPr>
            <w:r w:rsidRPr="00B04A03">
              <w:t>35</w:t>
            </w:r>
          </w:p>
        </w:tc>
        <w:tc>
          <w:tcPr>
            <w:tcW w:w="1825" w:type="dxa"/>
          </w:tcPr>
          <w:p w14:paraId="68EAB557" w14:textId="77777777" w:rsidR="00AF725E" w:rsidRDefault="00AF725E" w:rsidP="00B12461">
            <w:pPr>
              <w:jc w:val="center"/>
            </w:pPr>
            <w:r w:rsidRPr="00B04A03">
              <w:t>77.1</w:t>
            </w:r>
          </w:p>
        </w:tc>
      </w:tr>
    </w:tbl>
    <w:p w14:paraId="02ACA6B7" w14:textId="77777777" w:rsidR="006542A7" w:rsidRDefault="006542A7" w:rsidP="00B12461">
      <w:pPr>
        <w:rPr>
          <w:lang w:val="en-AU" w:eastAsia="en-AU"/>
        </w:rPr>
      </w:pPr>
    </w:p>
    <w:p w14:paraId="34845A1A" w14:textId="77777777" w:rsidR="00286A88" w:rsidRPr="00286A88" w:rsidRDefault="00286A88" w:rsidP="00B12461">
      <w:pPr>
        <w:rPr>
          <w:shd w:val="clear" w:color="auto" w:fill="FFFFFF"/>
          <w:lang w:val="en-AU" w:eastAsia="en-AU"/>
        </w:rPr>
      </w:pPr>
      <w:r w:rsidRPr="00286A88">
        <w:rPr>
          <w:lang w:val="en-AU" w:eastAsia="en-AU"/>
        </w:rPr>
        <w:t xml:space="preserve">In agreement with this, Weitzenburger et al. (2005b) found no endoparasites in hens from FCs. Within non-cage systems, access to the outdoors appears to be a bigger risk factor than access to litter </w:t>
      </w:r>
      <w:r w:rsidRPr="00286A88">
        <w:rPr>
          <w:i/>
          <w:lang w:val="en-AU" w:eastAsia="en-AU"/>
        </w:rPr>
        <w:t>per se</w:t>
      </w:r>
      <w:r w:rsidRPr="00286A88">
        <w:rPr>
          <w:lang w:val="en-AU" w:eastAsia="en-AU"/>
        </w:rPr>
        <w:t xml:space="preserve"> (Heckendorn et al., 2009; Maurer et al., 2009), although </w:t>
      </w:r>
      <w:r w:rsidRPr="00286A88">
        <w:rPr>
          <w:shd w:val="clear" w:color="auto" w:fill="FFFFFF"/>
          <w:lang w:val="en-AU" w:eastAsia="en-AU"/>
        </w:rPr>
        <w:t xml:space="preserve">Papini and Cacciuttolo (2008) detected evidence of Heterakis infection in 50% of faecal samples from a litter-based system in Italy. In some countries it is quite possible that all free-range birds are infected by the end of lay. Infection rates can be reduced but rarely eliminated by good pasture management practices (Maurer et al., 2013). One survey found </w:t>
      </w:r>
      <w:r w:rsidRPr="00286A88">
        <w:rPr>
          <w:lang w:val="en-AU" w:eastAsia="en-AU"/>
        </w:rPr>
        <w:t>eggs of at least one genus of nematode present in the faeces of all 19</w:t>
      </w:r>
      <w:r w:rsidRPr="00286A88">
        <w:rPr>
          <w:shd w:val="clear" w:color="auto" w:fill="FFFFFF"/>
          <w:lang w:val="en-AU" w:eastAsia="en-AU"/>
        </w:rPr>
        <w:t xml:space="preserve"> UK flocks surveyed (Sherwin et al., 2013). Thapa et al. (2015) assessed the overall mean European prevalence of </w:t>
      </w:r>
      <w:r w:rsidRPr="00286A88">
        <w:rPr>
          <w:i/>
          <w:shd w:val="clear" w:color="auto" w:fill="FFFFFF"/>
          <w:lang w:val="en-AU" w:eastAsia="en-AU"/>
        </w:rPr>
        <w:t xml:space="preserve">A. galli </w:t>
      </w:r>
      <w:r w:rsidRPr="00286A88">
        <w:rPr>
          <w:shd w:val="clear" w:color="auto" w:fill="FFFFFF"/>
          <w:lang w:val="en-AU" w:eastAsia="en-AU"/>
        </w:rPr>
        <w:t>to be 69.5%, with a mean burden of 10 worms per hen. Surprisingly in this study, the overall time on pasture was negatively associated with infection. Similar infection rates for 12 organic flocks in Denmark were reported by Hinrichsen et al. (2016) who detected roundworm (</w:t>
      </w:r>
      <w:r w:rsidRPr="00286A88">
        <w:rPr>
          <w:i/>
          <w:shd w:val="clear" w:color="auto" w:fill="FFFFFF"/>
          <w:lang w:val="en-AU" w:eastAsia="en-AU"/>
        </w:rPr>
        <w:t>A.</w:t>
      </w:r>
      <w:r w:rsidR="00F654ED">
        <w:rPr>
          <w:i/>
          <w:shd w:val="clear" w:color="auto" w:fill="FFFFFF"/>
          <w:lang w:val="en-AU" w:eastAsia="en-AU"/>
        </w:rPr>
        <w:t> </w:t>
      </w:r>
      <w:r w:rsidRPr="00286A88">
        <w:rPr>
          <w:i/>
          <w:shd w:val="clear" w:color="auto" w:fill="FFFFFF"/>
          <w:lang w:val="en-AU" w:eastAsia="en-AU"/>
        </w:rPr>
        <w:t>galli</w:t>
      </w:r>
      <w:r w:rsidRPr="00286A88">
        <w:rPr>
          <w:shd w:val="clear" w:color="auto" w:fill="FFFFFF"/>
          <w:lang w:val="en-AU" w:eastAsia="en-AU"/>
        </w:rPr>
        <w:t xml:space="preserve">) in 56.1% of birds sampled. The overall mean European prevalence of </w:t>
      </w:r>
      <w:r w:rsidRPr="00286A88">
        <w:rPr>
          <w:i/>
          <w:shd w:val="clear" w:color="auto" w:fill="FFFFFF"/>
          <w:lang w:val="en-AU" w:eastAsia="en-AU"/>
        </w:rPr>
        <w:t>Heterakis</w:t>
      </w:r>
      <w:r w:rsidRPr="00286A88">
        <w:rPr>
          <w:shd w:val="clear" w:color="auto" w:fill="FFFFFF"/>
          <w:lang w:val="en-AU" w:eastAsia="en-AU"/>
        </w:rPr>
        <w:t xml:space="preserve"> </w:t>
      </w:r>
      <w:r w:rsidRPr="001C205B">
        <w:rPr>
          <w:shd w:val="clear" w:color="auto" w:fill="FFFFFF"/>
          <w:lang w:val="en-AU" w:eastAsia="en-AU"/>
        </w:rPr>
        <w:t>spp.</w:t>
      </w:r>
      <w:r w:rsidRPr="00286A88">
        <w:rPr>
          <w:shd w:val="clear" w:color="auto" w:fill="FFFFFF"/>
          <w:lang w:val="en-AU" w:eastAsia="en-AU"/>
        </w:rPr>
        <w:t xml:space="preserve"> was 29%, with a mean burden of 16 worms/hen, and large variation between countries (Thapa et al., 2015).</w:t>
      </w:r>
    </w:p>
    <w:p w14:paraId="548163F3" w14:textId="77777777" w:rsidR="00286A88" w:rsidRPr="00286A88" w:rsidRDefault="00286A88" w:rsidP="00B12461">
      <w:pPr>
        <w:rPr>
          <w:shd w:val="clear" w:color="auto" w:fill="FFFFFF"/>
          <w:lang w:val="en-AU" w:eastAsia="en-AU"/>
        </w:rPr>
      </w:pPr>
      <w:r w:rsidRPr="00286A88">
        <w:rPr>
          <w:shd w:val="clear" w:color="auto" w:fill="FFFFFF"/>
          <w:lang w:val="en-AU" w:eastAsia="en-AU"/>
        </w:rPr>
        <w:t xml:space="preserve">The clinical welfare implications of helminth infection may depend on the age and condition of the hens. Sherwin et al. (2013) found no associations between worm burden and other welfare indicators. Papini and Cacciuttolo (2008) noted no adverse clinical signs of Heterakis infection, and Kilpinen et al. (2005) noted only lower weight gain in hens infected with </w:t>
      </w:r>
      <w:r w:rsidRPr="00286A88">
        <w:rPr>
          <w:i/>
          <w:shd w:val="clear" w:color="auto" w:fill="FFFFFF"/>
          <w:lang w:val="en-AU" w:eastAsia="en-AU"/>
        </w:rPr>
        <w:t>A. galli,</w:t>
      </w:r>
      <w:r w:rsidRPr="00286A88">
        <w:rPr>
          <w:shd w:val="clear" w:color="auto" w:fill="FFFFFF"/>
          <w:lang w:val="en-AU" w:eastAsia="en-AU"/>
        </w:rPr>
        <w:t xml:space="preserve"> with no changes in blood parameters or bird behaviour.</w:t>
      </w:r>
    </w:p>
    <w:p w14:paraId="02E43D38" w14:textId="77777777" w:rsidR="00286A88" w:rsidRPr="00286A88" w:rsidRDefault="00286A88" w:rsidP="00B12461">
      <w:pPr>
        <w:rPr>
          <w:shd w:val="clear" w:color="auto" w:fill="FFFFFF"/>
          <w:lang w:val="en-AU" w:eastAsia="en-AU"/>
        </w:rPr>
      </w:pPr>
      <w:r w:rsidRPr="00286A88">
        <w:rPr>
          <w:lang w:val="en-AU" w:eastAsia="en-AU"/>
        </w:rPr>
        <w:t>Parasites are developing resistance to anthelmintics, so traditional methods like pasture rotation and even regular replacement of litter indoors may be needed with consequential increased labour requirement. Hygiene barriers at house entrances were associated with a reduced risk of infection (Jansson et al., 2010). In Switzerland, rates of helminth infection have consistently dropped as management practices have improved (Kaufmann-Bart and Hoop, 2009</w:t>
      </w:r>
      <w:r w:rsidRPr="00286A88">
        <w:rPr>
          <w:shd w:val="clear" w:color="auto" w:fill="FFFFFF"/>
          <w:lang w:val="en-AU" w:eastAsia="en-AU"/>
        </w:rPr>
        <w:t>).</w:t>
      </w:r>
    </w:p>
    <w:p w14:paraId="090D3BF4" w14:textId="77777777" w:rsidR="00286A88" w:rsidRPr="00286A88" w:rsidRDefault="00286A88" w:rsidP="00B12461">
      <w:pPr>
        <w:pStyle w:val="Heading3"/>
        <w:rPr>
          <w:lang w:val="en-AU" w:eastAsia="en-GB"/>
        </w:rPr>
      </w:pPr>
      <w:bookmarkStart w:id="41" w:name="_Toc495310510"/>
      <w:r w:rsidRPr="00286A88">
        <w:rPr>
          <w:lang w:val="en-AU" w:eastAsia="en-GB"/>
        </w:rPr>
        <w:t>LH3.12 Infectious diseases</w:t>
      </w:r>
      <w:bookmarkEnd w:id="41"/>
    </w:p>
    <w:p w14:paraId="5BC1B25E" w14:textId="77777777" w:rsidR="00286A88" w:rsidRPr="00B12461" w:rsidRDefault="00286A88" w:rsidP="00B12461">
      <w:pPr>
        <w:rPr>
          <w:i/>
          <w:lang w:val="en-AU" w:eastAsia="en-AU"/>
        </w:rPr>
      </w:pPr>
      <w:r w:rsidRPr="00B12461">
        <w:rPr>
          <w:i/>
          <w:lang w:val="en-AU" w:eastAsia="en-AU"/>
        </w:rPr>
        <w:t>Intensively housed poultry are susceptible to many infections, most of which can be prevented by intensive vaccination programmes. Birds with access to free-range systems are exposed to a greater risk of some infectious diseases.</w:t>
      </w:r>
    </w:p>
    <w:p w14:paraId="30E4AFDC" w14:textId="77777777" w:rsidR="00286A88" w:rsidRPr="00286A88" w:rsidRDefault="00286A88" w:rsidP="00B12461">
      <w:pPr>
        <w:rPr>
          <w:lang w:val="en-AU" w:eastAsia="en-AU"/>
        </w:rPr>
      </w:pPr>
      <w:r w:rsidRPr="00286A88">
        <w:rPr>
          <w:lang w:val="en-AU" w:eastAsia="en-AU"/>
        </w:rPr>
        <w:t xml:space="preserve">The infectious disease challenge faced by laying hens may vary by country. Many infectious diseases are controlled by vaccination, with vaccines available for Marek’s disease, infectious bronchitis, bronchitis variants, Newcastle disease, infectious bursal disease, avian encephalomyelitis, avian rhinotracheitis, infectious laryngotracheitis, egg drop syndrome, erysipelas, and infections caused by </w:t>
      </w:r>
      <w:r w:rsidRPr="00286A88">
        <w:rPr>
          <w:i/>
          <w:lang w:val="en-AU" w:eastAsia="en-AU"/>
        </w:rPr>
        <w:t>Salmonella enteritidis</w:t>
      </w:r>
      <w:r w:rsidRPr="00286A88">
        <w:rPr>
          <w:lang w:val="en-AU" w:eastAsia="en-AU"/>
        </w:rPr>
        <w:t xml:space="preserve"> and </w:t>
      </w:r>
      <w:r w:rsidRPr="00286A88">
        <w:rPr>
          <w:i/>
          <w:lang w:val="en-AU" w:eastAsia="en-AU"/>
        </w:rPr>
        <w:t>typhimurium</w:t>
      </w:r>
      <w:r w:rsidRPr="00286A88">
        <w:rPr>
          <w:lang w:val="en-AU" w:eastAsia="en-AU"/>
        </w:rPr>
        <w:t xml:space="preserve">, coccidiosis (see LH3.11b), </w:t>
      </w:r>
      <w:r w:rsidRPr="00286A88">
        <w:rPr>
          <w:i/>
          <w:lang w:val="en-AU" w:eastAsia="en-AU"/>
        </w:rPr>
        <w:t>Mycoplasma gallisepticum</w:t>
      </w:r>
      <w:r w:rsidRPr="00286A88">
        <w:rPr>
          <w:lang w:val="en-AU" w:eastAsia="en-AU"/>
        </w:rPr>
        <w:t xml:space="preserve">, </w:t>
      </w:r>
      <w:r w:rsidRPr="00286A88">
        <w:rPr>
          <w:i/>
          <w:lang w:val="en-AU" w:eastAsia="en-AU"/>
        </w:rPr>
        <w:t>E. coli,</w:t>
      </w:r>
      <w:r w:rsidRPr="00286A88">
        <w:rPr>
          <w:lang w:val="en-AU" w:eastAsia="en-AU"/>
        </w:rPr>
        <w:t xml:space="preserve"> and </w:t>
      </w:r>
      <w:r w:rsidRPr="00286A88">
        <w:rPr>
          <w:i/>
          <w:lang w:val="en-AU" w:eastAsia="en-AU"/>
        </w:rPr>
        <w:t>Pasteurella multocida</w:t>
      </w:r>
      <w:r w:rsidRPr="00286A88">
        <w:rPr>
          <w:lang w:val="en-AU" w:eastAsia="en-AU"/>
        </w:rPr>
        <w:t>. Not all flocks will receive all of these vaccinations, but in Europe pullets will receive most of these vaccinations during a short period of time during the rearing phase. Vaccinations can be given in drinking water, as a flock spray or by bird injection. The sheer number of vaccinations to be scheduled, the stress associated with handling and injection, and the side effects of some of the vaccinations (e.g. reduced immune function, Prandini et al., 2016) means that (although protective of long-term health) the vaccination programme itself can become a welfare challenge.</w:t>
      </w:r>
    </w:p>
    <w:p w14:paraId="503B4ECE" w14:textId="77777777" w:rsidR="00286A88" w:rsidRDefault="00286A88" w:rsidP="00B12461">
      <w:pPr>
        <w:rPr>
          <w:lang w:val="en-AU" w:eastAsia="en-AU"/>
        </w:rPr>
      </w:pPr>
      <w:r w:rsidRPr="00286A88">
        <w:rPr>
          <w:lang w:val="en-AU" w:eastAsia="en-AU"/>
        </w:rPr>
        <w:t xml:space="preserve">Birds in free range housing systems are the most susceptible to infectious disease because they have the greatest exposure to potential vectors of disease (wild birds, rodents, wild animals) and biosecurity is more difficult to maintain. For example, antibodies to </w:t>
      </w:r>
      <w:r w:rsidRPr="00286A88">
        <w:rPr>
          <w:i/>
          <w:lang w:val="en-AU" w:eastAsia="en-AU"/>
        </w:rPr>
        <w:t>Erysipelothrix rhusiopathiae</w:t>
      </w:r>
      <w:r w:rsidRPr="00286A88">
        <w:rPr>
          <w:lang w:val="en-AU" w:eastAsia="en-AU"/>
        </w:rPr>
        <w:t xml:space="preserve"> (the infectious agent causing erysipelas) were significantly higher in free-range flocks than from all other housing systems. In agreement with this, the number of erysipelas outbreaks in Swedish flocks, recorded between 1998 and 2011, was highest in free-range, followed by other non-cage systems. No outbreaks were diagnosed in conventional cage or furnished cage systems (Eriksson et al., 2013). High prevalences of infectious diseases (e.g. erysipelas, fowl cholera (</w:t>
      </w:r>
      <w:r w:rsidRPr="00286A88">
        <w:rPr>
          <w:i/>
          <w:lang w:val="en-AU" w:eastAsia="en-AU"/>
        </w:rPr>
        <w:t>Pasteurella multocida</w:t>
      </w:r>
      <w:r w:rsidRPr="00286A88">
        <w:rPr>
          <w:lang w:val="en-AU" w:eastAsia="en-AU"/>
        </w:rPr>
        <w:t xml:space="preserve">), blackhead (caused by the protozoan </w:t>
      </w:r>
      <w:r w:rsidRPr="00286A88">
        <w:rPr>
          <w:i/>
          <w:lang w:val="en-AU" w:eastAsia="en-AU"/>
        </w:rPr>
        <w:t>Histomonas</w:t>
      </w:r>
      <w:r w:rsidRPr="00286A88">
        <w:rPr>
          <w:lang w:val="en-AU" w:eastAsia="en-AU"/>
        </w:rPr>
        <w:t xml:space="preserve">) and septicemic </w:t>
      </w:r>
      <w:r w:rsidRPr="00286A88">
        <w:rPr>
          <w:i/>
          <w:lang w:val="en-AU" w:eastAsia="en-AU"/>
        </w:rPr>
        <w:t>E. coli</w:t>
      </w:r>
      <w:r w:rsidRPr="00286A88">
        <w:rPr>
          <w:lang w:val="en-AU" w:eastAsia="en-AU"/>
        </w:rPr>
        <w:t xml:space="preserve">) are also reported in organic systems (van der Meulen et al., 2007; Stokholm et al., 2010). However, improvements in vaccination availability and attention to biosecurity and control strategies have resulted in decreasing levels of viral disease in Swiss flocks in the years following the ban on conventional cages (Kaufmann-Bart and Hoop, 2009). Zoonotic diseases caused by </w:t>
      </w:r>
      <w:r w:rsidRPr="00286A88">
        <w:rPr>
          <w:i/>
          <w:lang w:val="en-AU" w:eastAsia="en-AU"/>
        </w:rPr>
        <w:t>Salmonella</w:t>
      </w:r>
      <w:r w:rsidRPr="00286A88">
        <w:rPr>
          <w:lang w:val="en-AU" w:eastAsia="en-AU"/>
        </w:rPr>
        <w:t xml:space="preserve"> and </w:t>
      </w:r>
      <w:r w:rsidRPr="00286A88">
        <w:rPr>
          <w:i/>
          <w:lang w:val="en-AU" w:eastAsia="en-AU"/>
        </w:rPr>
        <w:t>Campylobacter</w:t>
      </w:r>
      <w:r w:rsidRPr="00286A88">
        <w:rPr>
          <w:lang w:val="en-AU" w:eastAsia="en-AU"/>
        </w:rPr>
        <w:t xml:space="preserve"> </w:t>
      </w:r>
      <w:r w:rsidRPr="001C205B">
        <w:rPr>
          <w:lang w:val="en-AU" w:eastAsia="en-AU"/>
        </w:rPr>
        <w:t>spp.</w:t>
      </w:r>
      <w:r w:rsidRPr="00286A88">
        <w:rPr>
          <w:lang w:val="en-AU" w:eastAsia="en-AU"/>
        </w:rPr>
        <w:t xml:space="preserve"> are mostly a concern for human health, although subtle changes in competitive behaviour and flock movement patterns have been observed in experimentally infected birds (hens, Toscano et al., 2010; broilers, Colles et al., 2016) and so there may be bird welfare implications of these diseases that have not been fully evaluated. Studies that have orally inoculated hens with </w:t>
      </w:r>
      <w:r w:rsidRPr="00286A88">
        <w:rPr>
          <w:i/>
          <w:lang w:val="en-AU" w:eastAsia="en-AU"/>
        </w:rPr>
        <w:t>Salmonella enteritidis</w:t>
      </w:r>
      <w:r w:rsidRPr="00286A88">
        <w:rPr>
          <w:lang w:val="en-AU" w:eastAsia="en-AU"/>
        </w:rPr>
        <w:t xml:space="preserve"> have not detected any increased pathogen shedding or col</w:t>
      </w:r>
      <w:r w:rsidR="00093F9A">
        <w:rPr>
          <w:lang w:val="en-AU" w:eastAsia="en-AU"/>
        </w:rPr>
        <w:t>onisation in non-cage systems (D</w:t>
      </w:r>
      <w:r w:rsidRPr="00286A88">
        <w:rPr>
          <w:lang w:val="en-AU" w:eastAsia="en-AU"/>
        </w:rPr>
        <w:t>e Vylder et al., 2009). Indeed one experiment found that hens in conventional cages continued to exude pathogen for a longer period than hens in FCs or non-cage systems (</w:t>
      </w:r>
      <w:r w:rsidR="00093F9A">
        <w:rPr>
          <w:lang w:val="en-AU" w:eastAsia="en-AU"/>
        </w:rPr>
        <w:t>D</w:t>
      </w:r>
      <w:r w:rsidRPr="00286A88">
        <w:rPr>
          <w:lang w:val="en-AU" w:eastAsia="en-AU"/>
        </w:rPr>
        <w:t xml:space="preserve">e Vylder et al., 2009), another study identified conventional cage housing as a specific risk factor for </w:t>
      </w:r>
      <w:r w:rsidRPr="00286A88">
        <w:rPr>
          <w:i/>
          <w:lang w:val="en-AU" w:eastAsia="en-AU"/>
        </w:rPr>
        <w:t>Salmonella</w:t>
      </w:r>
      <w:r w:rsidRPr="00286A88">
        <w:rPr>
          <w:lang w:val="en-AU" w:eastAsia="en-AU"/>
        </w:rPr>
        <w:t xml:space="preserve"> shedding (Van Hoorebeke et al., 2010) whilst Wierup et al. (2017) found no evidence of increased </w:t>
      </w:r>
      <w:r w:rsidRPr="00286A88">
        <w:rPr>
          <w:i/>
          <w:lang w:val="en-AU" w:eastAsia="en-AU"/>
        </w:rPr>
        <w:t>Salmonella</w:t>
      </w:r>
      <w:r w:rsidRPr="00286A88">
        <w:rPr>
          <w:lang w:val="en-AU" w:eastAsia="en-AU"/>
        </w:rPr>
        <w:t xml:space="preserve"> occurrence in indoor outdoor laying flocks. In a study of 4 free-range farms there was no apparent relationship between faecal corticosterone metabolite concentrations and the extent of </w:t>
      </w:r>
      <w:r w:rsidRPr="00286A88">
        <w:rPr>
          <w:i/>
          <w:lang w:val="en-AU" w:eastAsia="en-AU"/>
        </w:rPr>
        <w:t>Salmonella</w:t>
      </w:r>
      <w:r w:rsidRPr="00286A88">
        <w:rPr>
          <w:lang w:val="en-AU" w:eastAsia="en-AU"/>
        </w:rPr>
        <w:t xml:space="preserve"> prevalence in the environment or faecal shedding by the hens (Gole et al., 2017). Jones et al. (2016) detected significantly higher proportion (95%) of CC hens testing positive for </w:t>
      </w:r>
      <w:r w:rsidRPr="00286A88">
        <w:rPr>
          <w:i/>
          <w:lang w:val="en-AU" w:eastAsia="en-AU"/>
        </w:rPr>
        <w:t>Campylobacter</w:t>
      </w:r>
      <w:r w:rsidRPr="00286A88">
        <w:rPr>
          <w:lang w:val="en-AU" w:eastAsia="en-AU"/>
        </w:rPr>
        <w:t xml:space="preserve"> compared with FCs (91%) and non-cage (85%) birds housed on the same research farm.</w:t>
      </w:r>
    </w:p>
    <w:p w14:paraId="0E4B2468" w14:textId="77777777" w:rsidR="00286A88" w:rsidRPr="00286A88" w:rsidRDefault="00363E7D" w:rsidP="00363E7D">
      <w:pPr>
        <w:pStyle w:val="Heading3"/>
        <w:rPr>
          <w:sz w:val="24"/>
          <w:szCs w:val="24"/>
          <w:lang w:val="en-AU" w:eastAsia="en-GB"/>
        </w:rPr>
      </w:pPr>
      <w:r>
        <w:rPr>
          <w:lang w:val="en-AU" w:eastAsia="en-AU"/>
        </w:rPr>
        <w:br w:type="column"/>
      </w:r>
      <w:bookmarkStart w:id="42" w:name="_Toc495310511"/>
      <w:r w:rsidR="00286A88" w:rsidRPr="00286A88">
        <w:rPr>
          <w:lang w:val="en-AU" w:eastAsia="en-GB"/>
        </w:rPr>
        <w:t>LH3.13 Immune function</w:t>
      </w:r>
      <w:bookmarkEnd w:id="42"/>
    </w:p>
    <w:p w14:paraId="73C06F03" w14:textId="77777777" w:rsidR="00286A88" w:rsidRPr="00B12461" w:rsidRDefault="00286A88" w:rsidP="00B12461">
      <w:pPr>
        <w:rPr>
          <w:i/>
          <w:lang w:val="en-AU" w:eastAsia="en-AU"/>
        </w:rPr>
      </w:pPr>
      <w:r w:rsidRPr="00B12461">
        <w:rPr>
          <w:i/>
          <w:lang w:val="en-AU" w:eastAsia="en-AU"/>
        </w:rPr>
        <w:t>Immune function is compromised by stress. A newly emerging research area concerns the optimization of the chicken gut microbiota to enhance immune function.</w:t>
      </w:r>
    </w:p>
    <w:p w14:paraId="386FC000" w14:textId="77777777" w:rsidR="00286A88" w:rsidRPr="00286A88" w:rsidRDefault="00286A88" w:rsidP="00B12461">
      <w:pPr>
        <w:rPr>
          <w:lang w:val="en-AU" w:eastAsia="en-AU"/>
        </w:rPr>
      </w:pPr>
      <w:r w:rsidRPr="00286A88">
        <w:rPr>
          <w:lang w:val="en-AU" w:eastAsia="en-AU"/>
        </w:rPr>
        <w:t>Assessing immune function is difficult as measures of function will necessarily be affected by the antigens and pathogens that hens are exposed to. A study comparing the immune function of hens housed in CC, non-cage or FR systems found no clear differences in innate immune responses, but did note specific immune responses affected by housing conditions (Van Loon et al., 2004).</w:t>
      </w:r>
    </w:p>
    <w:p w14:paraId="322587DB" w14:textId="77777777" w:rsidR="00286A88" w:rsidRPr="00286A88" w:rsidRDefault="00286A88" w:rsidP="00B12461">
      <w:pPr>
        <w:rPr>
          <w:lang w:val="en-AU" w:eastAsia="en-AU"/>
        </w:rPr>
      </w:pPr>
      <w:r w:rsidRPr="00286A88">
        <w:rPr>
          <w:lang w:val="en-AU" w:eastAsia="en-AU"/>
        </w:rPr>
        <w:t>S</w:t>
      </w:r>
      <w:r w:rsidRPr="00286A88" w:rsidDel="00DE5A2C">
        <w:rPr>
          <w:lang w:val="en-AU" w:eastAsia="en-AU"/>
        </w:rPr>
        <w:t xml:space="preserve">tress can impact negatively on immune function. </w:t>
      </w:r>
      <w:r w:rsidRPr="00286A88">
        <w:rPr>
          <w:lang w:val="en-AU" w:eastAsia="en-AU"/>
        </w:rPr>
        <w:t>Indeed some researchers have suggested that certain immune measures (pro-inflammatory gene expression) provide a more robust measure of stress than more traditional measures such as corticosterone, as the immune measures are less sensitive to factors such as bird handling (Wein et al., 2017).</w:t>
      </w:r>
    </w:p>
    <w:p w14:paraId="64D9BDD0" w14:textId="77777777" w:rsidR="00286A88" w:rsidRPr="00286A88" w:rsidRDefault="00286A88" w:rsidP="00B12461">
      <w:pPr>
        <w:rPr>
          <w:lang w:val="en-AU" w:eastAsia="en-AU"/>
        </w:rPr>
      </w:pPr>
      <w:r w:rsidRPr="00286A88">
        <w:rPr>
          <w:lang w:val="en-AU" w:eastAsia="en-AU"/>
        </w:rPr>
        <w:t>Specific studies have reported that</w:t>
      </w:r>
      <w:r w:rsidRPr="00286A88" w:rsidDel="00DE5A2C">
        <w:rPr>
          <w:lang w:val="en-AU" w:eastAsia="en-AU"/>
        </w:rPr>
        <w:t xml:space="preserve"> hens in conventional cages (with generally high stress responses) are less resistant to experimental infection with </w:t>
      </w:r>
      <w:r w:rsidRPr="004643BC" w:rsidDel="00DE5A2C">
        <w:rPr>
          <w:i/>
          <w:lang w:val="en-AU" w:eastAsia="en-AU"/>
        </w:rPr>
        <w:t>Salmonella</w:t>
      </w:r>
      <w:r w:rsidRPr="00286A88" w:rsidDel="00DE5A2C">
        <w:rPr>
          <w:lang w:val="en-AU" w:eastAsia="en-AU"/>
        </w:rPr>
        <w:t xml:space="preserve"> than hens from colony cages (</w:t>
      </w:r>
      <w:r w:rsidRPr="00286A88">
        <w:rPr>
          <w:lang w:val="en-AU" w:eastAsia="en-AU"/>
        </w:rPr>
        <w:t xml:space="preserve">de Vylder et al., 2009; </w:t>
      </w:r>
      <w:r w:rsidRPr="00286A88" w:rsidDel="00DE5A2C">
        <w:rPr>
          <w:lang w:val="en-AU" w:eastAsia="en-AU"/>
        </w:rPr>
        <w:t xml:space="preserve">Gast et al., 2013). A recent study also found many other </w:t>
      </w:r>
      <w:r w:rsidRPr="00286A88">
        <w:rPr>
          <w:lang w:val="en-AU" w:eastAsia="en-AU"/>
        </w:rPr>
        <w:t xml:space="preserve">measures </w:t>
      </w:r>
      <w:r w:rsidRPr="00286A88" w:rsidDel="00DE5A2C">
        <w:rPr>
          <w:lang w:val="en-AU" w:eastAsia="en-AU"/>
        </w:rPr>
        <w:t>of immune function (heterophil function, CD4</w:t>
      </w:r>
      <w:r w:rsidR="00F654ED">
        <w:rPr>
          <w:lang w:val="en-AU" w:eastAsia="en-AU"/>
        </w:rPr>
        <w:t>+</w:t>
      </w:r>
      <w:r w:rsidRPr="00286A88" w:rsidDel="00DE5A2C">
        <w:rPr>
          <w:lang w:val="en-AU" w:eastAsia="en-AU"/>
        </w:rPr>
        <w:t xml:space="preserve"> and CD8</w:t>
      </w:r>
      <w:r w:rsidR="00F654ED">
        <w:rPr>
          <w:lang w:val="en-AU" w:eastAsia="en-AU"/>
        </w:rPr>
        <w:t>+ T</w:t>
      </w:r>
      <w:r w:rsidRPr="00286A88" w:rsidDel="00DE5A2C">
        <w:rPr>
          <w:lang w:val="en-AU" w:eastAsia="en-AU"/>
        </w:rPr>
        <w:t xml:space="preserve"> cell proportions and antibody production) were all improved in hens from furnished cages compared with hens from conventional cages (Matur et al., 2015)</w:t>
      </w:r>
      <w:r w:rsidRPr="00286A88">
        <w:rPr>
          <w:lang w:val="en-AU" w:eastAsia="en-AU"/>
        </w:rPr>
        <w:t>. Pullets raised in FCs are also more resilient than pullets raised in CCs when faced with the stress of transportation, showing increased heterophil function, CD8</w:t>
      </w:r>
      <w:r w:rsidR="00F654ED">
        <w:rPr>
          <w:lang w:val="en-AU" w:eastAsia="en-AU"/>
        </w:rPr>
        <w:t>+ T</w:t>
      </w:r>
      <w:r w:rsidRPr="00286A88">
        <w:rPr>
          <w:lang w:val="en-AU" w:eastAsia="en-AU"/>
        </w:rPr>
        <w:t xml:space="preserve"> cell and antibody production (Matur et al., 2016). There is a genetic component to immune function too, with hens from lines selected for low mortality in group-environments demonstrating greater cell-mediated immunity (Fahey and Cheng, 2008b).</w:t>
      </w:r>
    </w:p>
    <w:p w14:paraId="1053CBED" w14:textId="77777777" w:rsidR="00286A88" w:rsidRPr="00286A88" w:rsidRDefault="00286A88" w:rsidP="00B12461">
      <w:pPr>
        <w:rPr>
          <w:lang w:val="en-AU" w:eastAsia="en-AU"/>
        </w:rPr>
      </w:pPr>
      <w:r w:rsidRPr="00286A88">
        <w:rPr>
          <w:lang w:val="en-AU" w:eastAsia="en-AU"/>
        </w:rPr>
        <w:t>In non-cage systems, despite or because of the increased challenge from pathogens, immune function can be high (Shimmura et al., 2010b). For example, mRNA levels of IL-2 gene expression in the spleen was greater in free range than in caged hens (Yang et al., 2014), and antibody titres after vaccination were higher against infectious bronchitis virus and campylobacter in birds from aviaries than in birds from FCs, although birds from FCs showed a higher antibody response to Newcastle disease virus (Auerbach et al., 2014).</w:t>
      </w:r>
    </w:p>
    <w:p w14:paraId="79C30422" w14:textId="77777777" w:rsidR="00286A88" w:rsidRPr="00286A88" w:rsidRDefault="00286A88" w:rsidP="00B12461">
      <w:pPr>
        <w:rPr>
          <w:rFonts w:cs="Times New Roman"/>
          <w:lang w:val="en-AU" w:eastAsia="en-AU"/>
        </w:rPr>
      </w:pPr>
      <w:r w:rsidRPr="00286A88">
        <w:rPr>
          <w:lang w:val="en-AU" w:eastAsia="en-AU"/>
        </w:rPr>
        <w:t xml:space="preserve">There is an emerging evidence base that feeding probiotics to laying hens may reduce reproductive pathologies (Shini et al., 2013), facilitate a better gut microflora (Forte et al., 2016a) and enhance some aspects of immune function. For example, dietary supplementation with </w:t>
      </w:r>
      <w:r w:rsidRPr="00286A88">
        <w:rPr>
          <w:rFonts w:cs="Times New Roman"/>
          <w:i/>
          <w:lang w:val="en-AU" w:eastAsia="en-AU"/>
        </w:rPr>
        <w:t>Lactobacillus acidophilus</w:t>
      </w:r>
      <w:r w:rsidRPr="00286A88">
        <w:rPr>
          <w:rFonts w:cs="Times New Roman"/>
          <w:lang w:val="en-AU" w:eastAsia="en-AU"/>
        </w:rPr>
        <w:t xml:space="preserve"> was reported to enhance the production of antibodies against Newcastle disease virus (Forte et al., 2016b).</w:t>
      </w:r>
    </w:p>
    <w:p w14:paraId="49827FAA" w14:textId="77777777" w:rsidR="00286A88" w:rsidRPr="00286A88" w:rsidRDefault="00286A88" w:rsidP="00B12461">
      <w:pPr>
        <w:pStyle w:val="Heading2"/>
        <w:rPr>
          <w:lang w:val="en-AU" w:eastAsia="en-AU"/>
        </w:rPr>
      </w:pPr>
      <w:bookmarkStart w:id="43" w:name="_Toc495310512"/>
      <w:r w:rsidRPr="00286A88">
        <w:rPr>
          <w:lang w:val="en-AU" w:eastAsia="en-AU"/>
        </w:rPr>
        <w:t>LH4. Facilities and Equipment: Behavioural Needs</w:t>
      </w:r>
      <w:bookmarkEnd w:id="43"/>
    </w:p>
    <w:p w14:paraId="2E688B94" w14:textId="77777777" w:rsidR="00286A88" w:rsidRPr="00B12461" w:rsidRDefault="00286A88" w:rsidP="00B12461">
      <w:pPr>
        <w:rPr>
          <w:i/>
          <w:lang w:val="en-AU" w:eastAsia="en-AU"/>
        </w:rPr>
      </w:pPr>
      <w:r w:rsidRPr="00B12461">
        <w:rPr>
          <w:i/>
          <w:lang w:val="en-AU" w:eastAsia="en-AU"/>
        </w:rPr>
        <w:t>Hens have behavioural needs to perform comfort movements, foraging and nesting behaviour, and there are negative welfare impacts if these behaviours cannot be performed. Hens also appear to have a need to perch at night, but further research is needed to establish whether this need is satisfied by providing elevated resting areas rather than graspable perches. Evidence of a behavioural need to dust-bathe is less clear.</w:t>
      </w:r>
    </w:p>
    <w:p w14:paraId="7BBF790A" w14:textId="77777777" w:rsidR="00286A88" w:rsidRDefault="00286A88" w:rsidP="00B12461">
      <w:pPr>
        <w:rPr>
          <w:lang w:val="en-AU" w:eastAsia="en-AU"/>
        </w:rPr>
      </w:pPr>
      <w:r w:rsidRPr="00286A88">
        <w:rPr>
          <w:lang w:val="en-AU" w:eastAsia="en-AU"/>
        </w:rPr>
        <w:t>Facility construction should account for poultry behaviour. In unconstrained and enriched pens, hens allocate their daylight time budget to many different activities, as shown in Table LH9. Different authors categorise standing, perching and resting in slightly different ways, but these activities combined tend to account for approximately half of the birds’ time, with feeding and foraging activities.</w:t>
      </w:r>
    </w:p>
    <w:p w14:paraId="7B937163" w14:textId="77777777" w:rsidR="00286A88" w:rsidRDefault="00286A88" w:rsidP="00137939">
      <w:pPr>
        <w:rPr>
          <w:b/>
          <w:lang w:val="en-AU" w:eastAsia="en-AU"/>
        </w:rPr>
      </w:pPr>
      <w:r w:rsidRPr="00B12461">
        <w:rPr>
          <w:b/>
          <w:lang w:val="en-AU" w:eastAsia="en-AU"/>
        </w:rPr>
        <w:t>Table LH9: Laying hen time budgets</w:t>
      </w:r>
    </w:p>
    <w:tbl>
      <w:tblPr>
        <w:tblStyle w:val="TableGrid"/>
        <w:tblW w:w="0" w:type="auto"/>
        <w:tblLook w:val="04A0" w:firstRow="1" w:lastRow="0" w:firstColumn="1" w:lastColumn="0" w:noHBand="0" w:noVBand="1"/>
        <w:tblCaption w:val="Laying hen time budgets"/>
        <w:tblDescription w:val="This table shows the amount percentage of daylight hours that laying hens spend on different behaviours, in unconstrained and enriched pens. The left hand column shows the different types of behaviours. The second column shows the percentage of time the hens spent on the different behaviours in a study by Mishra et al. (2005). The third column shows the percentage of time the hens spent on the different behaviours in a study by Channing et al. (2001). The right column shows the percentage of time the hens spent on different behaviours in a study by Shimmura et al. (2010). Note that Shimmura et al. (2010) did not report on all of the behaviours reported on in the other two studies."/>
      </w:tblPr>
      <w:tblGrid>
        <w:gridCol w:w="2490"/>
        <w:gridCol w:w="2291"/>
        <w:gridCol w:w="2831"/>
        <w:gridCol w:w="2344"/>
      </w:tblGrid>
      <w:tr w:rsidR="00561E98" w14:paraId="78A1E450" w14:textId="77777777" w:rsidTr="00C30DC0">
        <w:trPr>
          <w:tblHeader/>
        </w:trPr>
        <w:tc>
          <w:tcPr>
            <w:tcW w:w="2492" w:type="dxa"/>
          </w:tcPr>
          <w:p w14:paraId="6271CD70" w14:textId="77777777" w:rsidR="00561E98" w:rsidRPr="00AB283C" w:rsidRDefault="00561E98" w:rsidP="00561E98">
            <w:r w:rsidRPr="00AB283C">
              <w:t>Behaviour</w:t>
            </w:r>
          </w:p>
        </w:tc>
        <w:tc>
          <w:tcPr>
            <w:tcW w:w="2294" w:type="dxa"/>
          </w:tcPr>
          <w:p w14:paraId="42E31FDF" w14:textId="77777777" w:rsidR="00561E98" w:rsidRPr="00AB283C" w:rsidRDefault="00561E98" w:rsidP="00561E98">
            <w:pPr>
              <w:jc w:val="center"/>
            </w:pPr>
            <w:r w:rsidRPr="00AB283C">
              <w:t>Mishra et al., 2005</w:t>
            </w:r>
          </w:p>
        </w:tc>
        <w:tc>
          <w:tcPr>
            <w:tcW w:w="2835" w:type="dxa"/>
          </w:tcPr>
          <w:p w14:paraId="1E4A9437" w14:textId="77777777" w:rsidR="00561E98" w:rsidRPr="00AB283C" w:rsidRDefault="00561E98" w:rsidP="00561E98">
            <w:pPr>
              <w:jc w:val="center"/>
            </w:pPr>
            <w:r w:rsidRPr="00AB283C">
              <w:t>Channing et al., 2001</w:t>
            </w:r>
          </w:p>
        </w:tc>
        <w:tc>
          <w:tcPr>
            <w:tcW w:w="2347" w:type="dxa"/>
          </w:tcPr>
          <w:p w14:paraId="2E24D288" w14:textId="77777777" w:rsidR="00561E98" w:rsidRDefault="00561E98" w:rsidP="00561E98">
            <w:pPr>
              <w:pStyle w:val="NoSpacing"/>
              <w:jc w:val="center"/>
            </w:pPr>
            <w:r>
              <w:t>Shimmura et al., 2010</w:t>
            </w:r>
            <w:r w:rsidR="00EE6A94">
              <w:t>a</w:t>
            </w:r>
          </w:p>
          <w:p w14:paraId="55AD68FF" w14:textId="77777777" w:rsidR="00561E98" w:rsidRPr="00AB283C" w:rsidRDefault="00561E98" w:rsidP="00561E98">
            <w:pPr>
              <w:jc w:val="center"/>
            </w:pPr>
            <w:r w:rsidRPr="00AB283C">
              <w:t>(FR birds)</w:t>
            </w:r>
          </w:p>
        </w:tc>
      </w:tr>
      <w:tr w:rsidR="00561E98" w14:paraId="501D4618" w14:textId="77777777" w:rsidTr="00561E98">
        <w:tc>
          <w:tcPr>
            <w:tcW w:w="2492" w:type="dxa"/>
          </w:tcPr>
          <w:p w14:paraId="75C0BD8E" w14:textId="77777777" w:rsidR="00561E98" w:rsidRPr="00AB283C" w:rsidRDefault="00561E98" w:rsidP="00561E98"/>
        </w:tc>
        <w:tc>
          <w:tcPr>
            <w:tcW w:w="7476" w:type="dxa"/>
            <w:gridSpan w:val="3"/>
          </w:tcPr>
          <w:p w14:paraId="7E34F162" w14:textId="77777777" w:rsidR="00561E98" w:rsidRPr="00AB283C" w:rsidRDefault="00561E98" w:rsidP="00561E98">
            <w:pPr>
              <w:jc w:val="center"/>
            </w:pPr>
            <w:r w:rsidRPr="00AB283C">
              <w:t>% Time</w:t>
            </w:r>
          </w:p>
        </w:tc>
      </w:tr>
      <w:tr w:rsidR="00561E98" w14:paraId="3B41C77C" w14:textId="77777777" w:rsidTr="00DC2EAC">
        <w:tc>
          <w:tcPr>
            <w:tcW w:w="2492" w:type="dxa"/>
          </w:tcPr>
          <w:p w14:paraId="0E16EC8D" w14:textId="77777777" w:rsidR="00561E98" w:rsidRPr="00AB283C" w:rsidRDefault="00561E98" w:rsidP="00561E98">
            <w:r w:rsidRPr="00AB283C">
              <w:t>Feeding/foraging</w:t>
            </w:r>
          </w:p>
        </w:tc>
        <w:tc>
          <w:tcPr>
            <w:tcW w:w="2294" w:type="dxa"/>
          </w:tcPr>
          <w:p w14:paraId="207D8AEE" w14:textId="77777777" w:rsidR="00561E98" w:rsidRPr="00AB283C" w:rsidRDefault="00561E98" w:rsidP="00561E98">
            <w:pPr>
              <w:jc w:val="center"/>
            </w:pPr>
            <w:r w:rsidRPr="00AB283C">
              <w:t>11.57</w:t>
            </w:r>
          </w:p>
        </w:tc>
        <w:tc>
          <w:tcPr>
            <w:tcW w:w="2835" w:type="dxa"/>
          </w:tcPr>
          <w:p w14:paraId="0B479EA9" w14:textId="77777777" w:rsidR="00561E98" w:rsidRPr="00AB283C" w:rsidRDefault="00561E98" w:rsidP="00561E98">
            <w:pPr>
              <w:jc w:val="center"/>
            </w:pPr>
            <w:r w:rsidRPr="00AB283C">
              <w:t>21.8</w:t>
            </w:r>
          </w:p>
        </w:tc>
        <w:tc>
          <w:tcPr>
            <w:tcW w:w="2347" w:type="dxa"/>
          </w:tcPr>
          <w:p w14:paraId="559E76D6" w14:textId="77777777" w:rsidR="00561E98" w:rsidRPr="00AB283C" w:rsidRDefault="00561E98" w:rsidP="00561E98">
            <w:pPr>
              <w:jc w:val="center"/>
            </w:pPr>
            <w:r w:rsidRPr="00AB283C">
              <w:t>Not reported</w:t>
            </w:r>
          </w:p>
        </w:tc>
      </w:tr>
      <w:tr w:rsidR="00561E98" w14:paraId="7663AE90" w14:textId="77777777" w:rsidTr="00DC2EAC">
        <w:tc>
          <w:tcPr>
            <w:tcW w:w="2492" w:type="dxa"/>
          </w:tcPr>
          <w:p w14:paraId="658EAE6B" w14:textId="77777777" w:rsidR="00561E98" w:rsidRPr="00AB283C" w:rsidRDefault="00561E98" w:rsidP="00561E98">
            <w:r w:rsidRPr="00AB283C">
              <w:t>Walking</w:t>
            </w:r>
          </w:p>
        </w:tc>
        <w:tc>
          <w:tcPr>
            <w:tcW w:w="2294" w:type="dxa"/>
          </w:tcPr>
          <w:p w14:paraId="2DC63EED" w14:textId="77777777" w:rsidR="00561E98" w:rsidRPr="00AB283C" w:rsidRDefault="00561E98" w:rsidP="00561E98">
            <w:pPr>
              <w:jc w:val="center"/>
            </w:pPr>
            <w:r w:rsidRPr="00AB283C">
              <w:t>10.86</w:t>
            </w:r>
          </w:p>
        </w:tc>
        <w:tc>
          <w:tcPr>
            <w:tcW w:w="2835" w:type="dxa"/>
          </w:tcPr>
          <w:p w14:paraId="2968CDD6" w14:textId="77777777" w:rsidR="00561E98" w:rsidRPr="00AB283C" w:rsidRDefault="00561E98" w:rsidP="007400B1">
            <w:pPr>
              <w:ind w:left="113"/>
              <w:jc w:val="center"/>
            </w:pPr>
            <w:r w:rsidRPr="00AB283C">
              <w:t>8.7</w:t>
            </w:r>
          </w:p>
        </w:tc>
        <w:tc>
          <w:tcPr>
            <w:tcW w:w="2347" w:type="dxa"/>
          </w:tcPr>
          <w:p w14:paraId="34AD4603" w14:textId="77777777" w:rsidR="00561E98" w:rsidRPr="00AB283C" w:rsidRDefault="00561E98" w:rsidP="00561E98">
            <w:pPr>
              <w:jc w:val="center"/>
            </w:pPr>
            <w:r w:rsidRPr="00AB283C">
              <w:t>11.8</w:t>
            </w:r>
          </w:p>
        </w:tc>
      </w:tr>
      <w:tr w:rsidR="00561E98" w14:paraId="0A1DFBFC" w14:textId="77777777" w:rsidTr="00DC2EAC">
        <w:tc>
          <w:tcPr>
            <w:tcW w:w="2492" w:type="dxa"/>
          </w:tcPr>
          <w:p w14:paraId="692CC378" w14:textId="77777777" w:rsidR="00561E98" w:rsidRPr="00AB283C" w:rsidRDefault="00561E98" w:rsidP="00561E98">
            <w:r w:rsidRPr="00AB283C">
              <w:t>Preening</w:t>
            </w:r>
          </w:p>
        </w:tc>
        <w:tc>
          <w:tcPr>
            <w:tcW w:w="2294" w:type="dxa"/>
          </w:tcPr>
          <w:p w14:paraId="7553C7DB" w14:textId="77777777" w:rsidR="00561E98" w:rsidRPr="00AB283C" w:rsidRDefault="00561E98" w:rsidP="007400B1">
            <w:pPr>
              <w:ind w:left="113"/>
              <w:jc w:val="center"/>
            </w:pPr>
            <w:r w:rsidRPr="00AB283C">
              <w:t>4.18</w:t>
            </w:r>
          </w:p>
        </w:tc>
        <w:tc>
          <w:tcPr>
            <w:tcW w:w="2835" w:type="dxa"/>
          </w:tcPr>
          <w:p w14:paraId="2A2700AA" w14:textId="77777777" w:rsidR="00561E98" w:rsidRPr="00AB283C" w:rsidRDefault="00561E98" w:rsidP="007400B1">
            <w:pPr>
              <w:ind w:left="113"/>
              <w:jc w:val="center"/>
            </w:pPr>
            <w:r w:rsidRPr="00AB283C">
              <w:t>6.9</w:t>
            </w:r>
          </w:p>
        </w:tc>
        <w:tc>
          <w:tcPr>
            <w:tcW w:w="2347" w:type="dxa"/>
          </w:tcPr>
          <w:p w14:paraId="35514703" w14:textId="77777777" w:rsidR="00561E98" w:rsidRPr="00AB283C" w:rsidRDefault="00561E98" w:rsidP="00561E98">
            <w:pPr>
              <w:jc w:val="center"/>
            </w:pPr>
            <w:r w:rsidRPr="00AB283C">
              <w:t>Not reported</w:t>
            </w:r>
          </w:p>
        </w:tc>
      </w:tr>
      <w:tr w:rsidR="00561E98" w14:paraId="098F683E" w14:textId="77777777" w:rsidTr="00DC2EAC">
        <w:tc>
          <w:tcPr>
            <w:tcW w:w="2492" w:type="dxa"/>
          </w:tcPr>
          <w:p w14:paraId="3B58A75F" w14:textId="77777777" w:rsidR="00561E98" w:rsidRPr="00AB283C" w:rsidRDefault="00561E98" w:rsidP="00561E98">
            <w:r w:rsidRPr="00AB283C">
              <w:t>Dust-bathing</w:t>
            </w:r>
          </w:p>
        </w:tc>
        <w:tc>
          <w:tcPr>
            <w:tcW w:w="2294" w:type="dxa"/>
          </w:tcPr>
          <w:p w14:paraId="5319C386" w14:textId="77777777" w:rsidR="00561E98" w:rsidRPr="00AB283C" w:rsidRDefault="00561E98" w:rsidP="007400B1">
            <w:pPr>
              <w:ind w:left="113"/>
              <w:jc w:val="center"/>
            </w:pPr>
            <w:r w:rsidRPr="00AB283C">
              <w:t>0.67</w:t>
            </w:r>
          </w:p>
        </w:tc>
        <w:tc>
          <w:tcPr>
            <w:tcW w:w="2835" w:type="dxa"/>
          </w:tcPr>
          <w:p w14:paraId="1E6EC79E" w14:textId="77777777" w:rsidR="00561E98" w:rsidRPr="00AB283C" w:rsidRDefault="00561E98" w:rsidP="007400B1">
            <w:pPr>
              <w:ind w:left="113"/>
              <w:jc w:val="center"/>
            </w:pPr>
            <w:r w:rsidRPr="00AB283C">
              <w:t>1.6</w:t>
            </w:r>
          </w:p>
        </w:tc>
        <w:tc>
          <w:tcPr>
            <w:tcW w:w="2347" w:type="dxa"/>
          </w:tcPr>
          <w:p w14:paraId="1AECCD5F" w14:textId="77777777" w:rsidR="00561E98" w:rsidRPr="00AB283C" w:rsidRDefault="00561E98" w:rsidP="007400B1">
            <w:pPr>
              <w:ind w:left="113"/>
              <w:jc w:val="center"/>
            </w:pPr>
            <w:r w:rsidRPr="00AB283C">
              <w:t>2.4</w:t>
            </w:r>
          </w:p>
        </w:tc>
      </w:tr>
      <w:tr w:rsidR="00561E98" w14:paraId="4D31562A" w14:textId="77777777" w:rsidTr="00DC2EAC">
        <w:tc>
          <w:tcPr>
            <w:tcW w:w="2492" w:type="dxa"/>
          </w:tcPr>
          <w:p w14:paraId="5D9EC4E0" w14:textId="77777777" w:rsidR="00561E98" w:rsidRPr="00AB283C" w:rsidRDefault="00561E98" w:rsidP="00561E98">
            <w:r w:rsidRPr="00AB283C">
              <w:t>Scratching</w:t>
            </w:r>
          </w:p>
        </w:tc>
        <w:tc>
          <w:tcPr>
            <w:tcW w:w="2294" w:type="dxa"/>
          </w:tcPr>
          <w:p w14:paraId="2EF3A19D" w14:textId="77777777" w:rsidR="00561E98" w:rsidRPr="00AB283C" w:rsidRDefault="00561E98" w:rsidP="007400B1">
            <w:pPr>
              <w:ind w:left="113"/>
              <w:jc w:val="center"/>
            </w:pPr>
            <w:r w:rsidRPr="00AB283C">
              <w:t>0.98</w:t>
            </w:r>
          </w:p>
        </w:tc>
        <w:tc>
          <w:tcPr>
            <w:tcW w:w="2835" w:type="dxa"/>
          </w:tcPr>
          <w:p w14:paraId="538BCE83" w14:textId="77777777" w:rsidR="00561E98" w:rsidRPr="00AB283C" w:rsidRDefault="00561E98" w:rsidP="007400B1">
            <w:pPr>
              <w:ind w:left="113"/>
              <w:jc w:val="center"/>
            </w:pPr>
            <w:r w:rsidRPr="00AB283C">
              <w:t>5.9</w:t>
            </w:r>
          </w:p>
        </w:tc>
        <w:tc>
          <w:tcPr>
            <w:tcW w:w="2347" w:type="dxa"/>
          </w:tcPr>
          <w:p w14:paraId="357E668F" w14:textId="77777777" w:rsidR="00561E98" w:rsidRPr="00AB283C" w:rsidRDefault="00561E98" w:rsidP="007400B1">
            <w:pPr>
              <w:ind w:left="113"/>
              <w:jc w:val="center"/>
            </w:pPr>
            <w:r w:rsidRPr="00AB283C">
              <w:t>2.3</w:t>
            </w:r>
          </w:p>
        </w:tc>
      </w:tr>
      <w:tr w:rsidR="00561E98" w14:paraId="6EE3BB32" w14:textId="77777777" w:rsidTr="00DC2EAC">
        <w:tc>
          <w:tcPr>
            <w:tcW w:w="2492" w:type="dxa"/>
          </w:tcPr>
          <w:p w14:paraId="78C35768" w14:textId="77777777" w:rsidR="00561E98" w:rsidRPr="00AB283C" w:rsidRDefault="00561E98" w:rsidP="00561E98">
            <w:r w:rsidRPr="00AB283C">
              <w:t>Drinking</w:t>
            </w:r>
          </w:p>
        </w:tc>
        <w:tc>
          <w:tcPr>
            <w:tcW w:w="2294" w:type="dxa"/>
          </w:tcPr>
          <w:p w14:paraId="78FD1BED" w14:textId="77777777" w:rsidR="00561E98" w:rsidRPr="00AB283C" w:rsidRDefault="00561E98" w:rsidP="007400B1">
            <w:pPr>
              <w:ind w:left="113"/>
              <w:jc w:val="center"/>
            </w:pPr>
            <w:r w:rsidRPr="00AB283C">
              <w:t>1.36</w:t>
            </w:r>
          </w:p>
        </w:tc>
        <w:tc>
          <w:tcPr>
            <w:tcW w:w="2835" w:type="dxa"/>
          </w:tcPr>
          <w:p w14:paraId="212549B6" w14:textId="77777777" w:rsidR="00561E98" w:rsidRPr="00AB283C" w:rsidRDefault="00561E98" w:rsidP="007400B1">
            <w:pPr>
              <w:ind w:left="113"/>
              <w:jc w:val="center"/>
            </w:pPr>
            <w:r w:rsidRPr="00AB283C">
              <w:t>3.1</w:t>
            </w:r>
          </w:p>
        </w:tc>
        <w:tc>
          <w:tcPr>
            <w:tcW w:w="2347" w:type="dxa"/>
          </w:tcPr>
          <w:p w14:paraId="2E899346" w14:textId="77777777" w:rsidR="00561E98" w:rsidRPr="00AB283C" w:rsidRDefault="00561E98" w:rsidP="00561E98">
            <w:pPr>
              <w:jc w:val="center"/>
            </w:pPr>
            <w:r w:rsidRPr="00AB283C">
              <w:t>Not reported</w:t>
            </w:r>
          </w:p>
        </w:tc>
      </w:tr>
      <w:tr w:rsidR="00561E98" w14:paraId="08BF6000" w14:textId="77777777" w:rsidTr="00DC2EAC">
        <w:tc>
          <w:tcPr>
            <w:tcW w:w="2492" w:type="dxa"/>
          </w:tcPr>
          <w:p w14:paraId="3191540B" w14:textId="77777777" w:rsidR="00561E98" w:rsidRPr="00AB283C" w:rsidRDefault="00561E98" w:rsidP="00561E98">
            <w:r w:rsidRPr="00AB283C">
              <w:t>Nesting</w:t>
            </w:r>
          </w:p>
        </w:tc>
        <w:tc>
          <w:tcPr>
            <w:tcW w:w="2294" w:type="dxa"/>
          </w:tcPr>
          <w:p w14:paraId="2F51EC9C" w14:textId="77777777" w:rsidR="00561E98" w:rsidRPr="00AB283C" w:rsidRDefault="00561E98" w:rsidP="00561E98">
            <w:pPr>
              <w:jc w:val="center"/>
            </w:pPr>
            <w:r w:rsidRPr="00AB283C">
              <w:t>14.75</w:t>
            </w:r>
          </w:p>
        </w:tc>
        <w:tc>
          <w:tcPr>
            <w:tcW w:w="2835" w:type="dxa"/>
          </w:tcPr>
          <w:p w14:paraId="74EEE281" w14:textId="77777777" w:rsidR="00561E98" w:rsidRPr="00AB283C" w:rsidRDefault="00561E98" w:rsidP="007400B1">
            <w:pPr>
              <w:ind w:left="113"/>
              <w:jc w:val="center"/>
            </w:pPr>
            <w:r w:rsidRPr="00AB283C">
              <w:t>0.8</w:t>
            </w:r>
          </w:p>
        </w:tc>
        <w:tc>
          <w:tcPr>
            <w:tcW w:w="2347" w:type="dxa"/>
          </w:tcPr>
          <w:p w14:paraId="0B7453CC" w14:textId="77777777" w:rsidR="00561E98" w:rsidRPr="00AB283C" w:rsidRDefault="00561E98" w:rsidP="007400B1">
            <w:pPr>
              <w:ind w:left="113"/>
              <w:jc w:val="center"/>
            </w:pPr>
            <w:r w:rsidRPr="00AB283C">
              <w:t>6.0</w:t>
            </w:r>
          </w:p>
        </w:tc>
      </w:tr>
      <w:tr w:rsidR="00561E98" w14:paraId="3B1148D1" w14:textId="77777777" w:rsidTr="00DC2EAC">
        <w:tc>
          <w:tcPr>
            <w:tcW w:w="2492" w:type="dxa"/>
          </w:tcPr>
          <w:p w14:paraId="30D29DE4" w14:textId="77777777" w:rsidR="00561E98" w:rsidRPr="00AB283C" w:rsidRDefault="00561E98" w:rsidP="00561E98">
            <w:r w:rsidRPr="00AB283C">
              <w:t xml:space="preserve">Standing  </w:t>
            </w:r>
          </w:p>
        </w:tc>
        <w:tc>
          <w:tcPr>
            <w:tcW w:w="2294" w:type="dxa"/>
          </w:tcPr>
          <w:p w14:paraId="1B000F05" w14:textId="77777777" w:rsidR="00561E98" w:rsidRPr="00AB283C" w:rsidRDefault="00561E98" w:rsidP="00561E98">
            <w:pPr>
              <w:jc w:val="center"/>
            </w:pPr>
            <w:r w:rsidRPr="00AB283C">
              <w:t>12.89</w:t>
            </w:r>
          </w:p>
        </w:tc>
        <w:tc>
          <w:tcPr>
            <w:tcW w:w="2835" w:type="dxa"/>
          </w:tcPr>
          <w:p w14:paraId="6C4CE876" w14:textId="77777777" w:rsidR="00561E98" w:rsidRDefault="00561E98" w:rsidP="00561E98">
            <w:pPr>
              <w:jc w:val="center"/>
            </w:pPr>
            <w:r>
              <w:t>44.7</w:t>
            </w:r>
          </w:p>
          <w:p w14:paraId="5D7EF92B" w14:textId="77777777" w:rsidR="00561E98" w:rsidRPr="00AB283C" w:rsidRDefault="00561E98" w:rsidP="00561E98">
            <w:pPr>
              <w:jc w:val="center"/>
            </w:pPr>
            <w:r>
              <w:t>*</w:t>
            </w:r>
            <w:r w:rsidRPr="00AB283C">
              <w:t>approx. half of this on perches</w:t>
            </w:r>
          </w:p>
        </w:tc>
        <w:tc>
          <w:tcPr>
            <w:tcW w:w="2347" w:type="dxa"/>
          </w:tcPr>
          <w:p w14:paraId="6B29BBAA" w14:textId="77777777" w:rsidR="00561E98" w:rsidRPr="00AB283C" w:rsidRDefault="00561E98" w:rsidP="00561E98">
            <w:pPr>
              <w:jc w:val="center"/>
            </w:pPr>
            <w:r w:rsidRPr="00AB283C">
              <w:t>Not reported</w:t>
            </w:r>
          </w:p>
        </w:tc>
      </w:tr>
      <w:tr w:rsidR="00561E98" w14:paraId="5CA6589F" w14:textId="77777777" w:rsidTr="00DC2EAC">
        <w:tc>
          <w:tcPr>
            <w:tcW w:w="2492" w:type="dxa"/>
          </w:tcPr>
          <w:p w14:paraId="21234EAC" w14:textId="77777777" w:rsidR="00561E98" w:rsidRPr="00AB283C" w:rsidRDefault="00561E98" w:rsidP="00561E98">
            <w:r w:rsidRPr="00AB283C">
              <w:t>Perching</w:t>
            </w:r>
          </w:p>
        </w:tc>
        <w:tc>
          <w:tcPr>
            <w:tcW w:w="2294" w:type="dxa"/>
          </w:tcPr>
          <w:p w14:paraId="628DE0AB" w14:textId="77777777" w:rsidR="00561E98" w:rsidRPr="00AB283C" w:rsidRDefault="00561E98" w:rsidP="00561E98">
            <w:pPr>
              <w:jc w:val="center"/>
            </w:pPr>
            <w:r w:rsidRPr="00AB283C">
              <w:t>13.56</w:t>
            </w:r>
          </w:p>
        </w:tc>
        <w:tc>
          <w:tcPr>
            <w:tcW w:w="2835" w:type="dxa"/>
          </w:tcPr>
          <w:p w14:paraId="77F0E532" w14:textId="77777777" w:rsidR="00561E98" w:rsidRPr="00AB283C" w:rsidRDefault="00561E98" w:rsidP="00561E98">
            <w:pPr>
              <w:jc w:val="center"/>
            </w:pPr>
            <w:r w:rsidRPr="00AB283C">
              <w:t>See above</w:t>
            </w:r>
          </w:p>
        </w:tc>
        <w:tc>
          <w:tcPr>
            <w:tcW w:w="2347" w:type="dxa"/>
          </w:tcPr>
          <w:p w14:paraId="6F95B0A3" w14:textId="77777777" w:rsidR="00561E98" w:rsidRPr="00AB283C" w:rsidRDefault="00561E98" w:rsidP="00561E98">
            <w:pPr>
              <w:jc w:val="center"/>
            </w:pPr>
            <w:r w:rsidRPr="00AB283C">
              <w:t>Not reported</w:t>
            </w:r>
          </w:p>
        </w:tc>
      </w:tr>
      <w:tr w:rsidR="00561E98" w14:paraId="4351F634" w14:textId="77777777" w:rsidTr="00DC2EAC">
        <w:tc>
          <w:tcPr>
            <w:tcW w:w="2492" w:type="dxa"/>
          </w:tcPr>
          <w:p w14:paraId="74A2ABE4" w14:textId="77777777" w:rsidR="00561E98" w:rsidRPr="00AB283C" w:rsidRDefault="00561E98" w:rsidP="00561E98">
            <w:r w:rsidRPr="00AB283C">
              <w:t>Resting</w:t>
            </w:r>
          </w:p>
        </w:tc>
        <w:tc>
          <w:tcPr>
            <w:tcW w:w="2294" w:type="dxa"/>
          </w:tcPr>
          <w:p w14:paraId="1FA94BC2" w14:textId="77777777" w:rsidR="00561E98" w:rsidRPr="00AB283C" w:rsidRDefault="00561E98" w:rsidP="00561E98">
            <w:pPr>
              <w:jc w:val="center"/>
            </w:pPr>
            <w:r w:rsidRPr="00AB283C">
              <w:t>27.72</w:t>
            </w:r>
          </w:p>
        </w:tc>
        <w:tc>
          <w:tcPr>
            <w:tcW w:w="2835" w:type="dxa"/>
          </w:tcPr>
          <w:p w14:paraId="3CCC03C1" w14:textId="77777777" w:rsidR="00561E98" w:rsidRPr="00AB283C" w:rsidRDefault="00561E98" w:rsidP="007400B1">
            <w:pPr>
              <w:ind w:left="113"/>
              <w:jc w:val="center"/>
            </w:pPr>
            <w:r w:rsidRPr="00AB283C">
              <w:t>5.4</w:t>
            </w:r>
          </w:p>
        </w:tc>
        <w:tc>
          <w:tcPr>
            <w:tcW w:w="2347" w:type="dxa"/>
          </w:tcPr>
          <w:p w14:paraId="79B8D861" w14:textId="77777777" w:rsidR="00561E98" w:rsidRPr="00AB283C" w:rsidRDefault="00561E98" w:rsidP="00561E98">
            <w:pPr>
              <w:jc w:val="center"/>
            </w:pPr>
            <w:r w:rsidRPr="00AB283C">
              <w:t>Not reported</w:t>
            </w:r>
          </w:p>
        </w:tc>
      </w:tr>
      <w:tr w:rsidR="00561E98" w14:paraId="2FD9EA06" w14:textId="77777777" w:rsidTr="00DC2EAC">
        <w:tc>
          <w:tcPr>
            <w:tcW w:w="2492" w:type="dxa"/>
          </w:tcPr>
          <w:p w14:paraId="3A5EF132" w14:textId="77777777" w:rsidR="00561E98" w:rsidRPr="00AB283C" w:rsidRDefault="00561E98" w:rsidP="00561E98">
            <w:r w:rsidRPr="00AB283C">
              <w:t>Other (e.g. wing flapping, flying</w:t>
            </w:r>
            <w:r w:rsidR="00DC2EAC">
              <w:t>,</w:t>
            </w:r>
            <w:r w:rsidRPr="00AB283C">
              <w:t xml:space="preserve"> feather pecking, aggression)</w:t>
            </w:r>
          </w:p>
        </w:tc>
        <w:tc>
          <w:tcPr>
            <w:tcW w:w="2294" w:type="dxa"/>
          </w:tcPr>
          <w:p w14:paraId="6757EFDE" w14:textId="77777777" w:rsidR="00561E98" w:rsidRPr="00AB283C" w:rsidRDefault="00561E98" w:rsidP="007400B1">
            <w:pPr>
              <w:ind w:left="113"/>
              <w:jc w:val="center"/>
            </w:pPr>
            <w:r w:rsidRPr="00AB283C">
              <w:t>1.46</w:t>
            </w:r>
          </w:p>
        </w:tc>
        <w:tc>
          <w:tcPr>
            <w:tcW w:w="2835" w:type="dxa"/>
          </w:tcPr>
          <w:p w14:paraId="3399F649" w14:textId="77777777" w:rsidR="00561E98" w:rsidRPr="00AB283C" w:rsidRDefault="00561E98" w:rsidP="007400B1">
            <w:pPr>
              <w:ind w:left="113"/>
              <w:jc w:val="center"/>
            </w:pPr>
            <w:r w:rsidRPr="00AB283C">
              <w:t>1.1</w:t>
            </w:r>
          </w:p>
        </w:tc>
        <w:tc>
          <w:tcPr>
            <w:tcW w:w="2347" w:type="dxa"/>
          </w:tcPr>
          <w:p w14:paraId="348A11CE" w14:textId="77777777" w:rsidR="00561E98" w:rsidRDefault="00561E98" w:rsidP="00561E98">
            <w:pPr>
              <w:jc w:val="center"/>
            </w:pPr>
          </w:p>
        </w:tc>
      </w:tr>
    </w:tbl>
    <w:p w14:paraId="55F3A805" w14:textId="77777777" w:rsidR="00561E98" w:rsidRPr="00B12461" w:rsidRDefault="00561E98" w:rsidP="00C90DAD">
      <w:pPr>
        <w:rPr>
          <w:lang w:val="en-AU" w:eastAsia="en-AU"/>
        </w:rPr>
      </w:pPr>
    </w:p>
    <w:p w14:paraId="7F81985C" w14:textId="77777777" w:rsidR="00286A88" w:rsidRPr="00286A88" w:rsidRDefault="00286A88" w:rsidP="00C90DAD">
      <w:pPr>
        <w:rPr>
          <w:lang w:val="en-AU" w:eastAsia="en-AU"/>
        </w:rPr>
      </w:pPr>
      <w:r w:rsidRPr="00286A88">
        <w:rPr>
          <w:lang w:val="en-AU" w:eastAsia="en-AU"/>
        </w:rPr>
        <w:t>Information about the unconstrained time budget of hens is a first step towards establishing their behavioural needs, but additional information is required on their strength of motivation to perform different activities when kept under managed conditions. Hens are highly motivated to perform comfort behaviours such as wing stretching, and the motivation to perform these behaviours increases during periods of restriction e.g. due to spatial confinement (Nicol, 1987).</w:t>
      </w:r>
    </w:p>
    <w:p w14:paraId="29BF0BBE" w14:textId="77777777" w:rsidR="00286A88" w:rsidRPr="00286A88" w:rsidRDefault="00286A88" w:rsidP="00C90DAD">
      <w:pPr>
        <w:pStyle w:val="Heading3"/>
        <w:rPr>
          <w:rFonts w:ascii="Times New Roman" w:hAnsi="Times New Roman"/>
          <w:sz w:val="24"/>
          <w:szCs w:val="24"/>
          <w:lang w:val="en-AU" w:eastAsia="en-GB"/>
        </w:rPr>
      </w:pPr>
      <w:bookmarkStart w:id="44" w:name="_Toc495310513"/>
      <w:r w:rsidRPr="00286A88">
        <w:rPr>
          <w:lang w:val="en-AU" w:eastAsia="en-GB"/>
        </w:rPr>
        <w:t>LH4.1 Behavioural need for a nest</w:t>
      </w:r>
      <w:bookmarkEnd w:id="44"/>
    </w:p>
    <w:p w14:paraId="2132377D" w14:textId="77777777" w:rsidR="00286A88" w:rsidRPr="00C90DAD" w:rsidRDefault="00286A88" w:rsidP="00C90DAD">
      <w:pPr>
        <w:rPr>
          <w:i/>
          <w:lang w:val="en-AU" w:eastAsia="en-AU"/>
        </w:rPr>
      </w:pPr>
      <w:r w:rsidRPr="00C90DAD">
        <w:rPr>
          <w:i/>
          <w:lang w:val="en-AU" w:eastAsia="en-AU"/>
        </w:rPr>
        <w:t>Internal motivation to seek a suitable nest site increases prior to oviposition. If a suitable nest site is located hens are highly motivated to sit and to show rudimentary nesting behaviours for up to one hour before they lay their egg. If a suitable nest site is not located, hens show signs of frustration and elevated measures of stress are observed.</w:t>
      </w:r>
    </w:p>
    <w:p w14:paraId="1E878A7B" w14:textId="77777777" w:rsidR="00286A88" w:rsidRDefault="00286A88" w:rsidP="00C90DAD">
      <w:pPr>
        <w:rPr>
          <w:lang w:val="en-AU" w:eastAsia="en-AU"/>
        </w:rPr>
      </w:pPr>
      <w:r w:rsidRPr="00286A88">
        <w:rPr>
          <w:lang w:val="en-AU" w:eastAsia="en-AU"/>
        </w:rPr>
        <w:t>There is an internal component to nesting motivation such that, approximately 1-2 h before oviposition, hens become increasingly active and restless and start to search for a suitable nest site. Potential nest sites are inspected closely before one is chosen for nesting and egg laying. Whilst nesting, hens alternate between sitting and (vestigial) nest building activities such as turning, floor scratching, and manipulating potential nesting materials such as pieces of straw. If such highly preferred substrates are absent, then almost any material will be pecked at and placed around the body. Hens have preferences for nests that can be moulded by their own bodies, but they will accept pre-formed nests, provided these permit some of the nest building activities mentioned above (Duncan and Kite, 1989). The majority of hens sit in the nest for between 17 and 25 min before oviposition (Cronin et al., 2005; Hunniford and Widowski, 2016), with total time spent in nests ranging from 23 to 65 min (Heinrich et al., 2015). Many studies have shown that hens have a high motivation to access a preferred nest, particularly as the sitting phase approaches, and this motivation has been measured by observing hens squeezing through narrow gaps (Cooper and Appleby, 1996) or pushing through weighted doors (Cooper and Appleby, 2003). In this latter study, at approximately 20 minutes prior to oviposition, hens worked at a higher rate for nest access than is seen for access to feed (after a 4 hour deprivation period). There have been mixed reports about the extent to which nest deprivation increases physiological stress. Yue and Duncan (2003) observed rapid pacing when access to an habitual nest was blocked, but no changes in egg shell calcium deposits. Cronin et al. (2012) found no increase in egg albumen corticosterone level when access to a nest box was prevented but Alm et al. (2016) found that exclusion from nests in furnished cages was associated with a marked increase in faecal corticosterone metabolites (from approximately 550 ng/g dry matter, to approximately 750 ng/g dry matter) and in heterophil:lymphocyte ratio (from 0.11 to 0.15). Corticosterone measured in egg yolk showed a more variable response, with a rise for a few days followed by a fall, whereas corticosterone measured in plasma showed the greatest increase after the period of exclusion had ended (Alm et al., 2016). If stress associated with nestbox exclusion is linked to the timing of nesting motivation prior to oviposition, then measures that integrate stress over a prolonged period of time may not be very sensitive in this context.</w:t>
      </w:r>
    </w:p>
    <w:p w14:paraId="50D862E1" w14:textId="77777777" w:rsidR="00286A88" w:rsidRPr="00286A88" w:rsidRDefault="00286A88" w:rsidP="00C90DAD">
      <w:pPr>
        <w:pStyle w:val="Heading3"/>
        <w:rPr>
          <w:rFonts w:ascii="Times New Roman" w:hAnsi="Times New Roman"/>
          <w:sz w:val="24"/>
          <w:szCs w:val="24"/>
          <w:lang w:val="en-AU" w:eastAsia="en-GB"/>
        </w:rPr>
      </w:pPr>
      <w:bookmarkStart w:id="45" w:name="_Toc495310514"/>
      <w:r w:rsidRPr="00286A88">
        <w:rPr>
          <w:lang w:val="en-AU" w:eastAsia="en-GB"/>
        </w:rPr>
        <w:t>LH4.2 Behavioural need for a perch</w:t>
      </w:r>
      <w:bookmarkEnd w:id="45"/>
    </w:p>
    <w:p w14:paraId="1856358C" w14:textId="77777777" w:rsidR="00286A88" w:rsidRPr="00C90DAD" w:rsidRDefault="00286A88" w:rsidP="00C90DAD">
      <w:pPr>
        <w:rPr>
          <w:i/>
          <w:lang w:val="en-AU" w:eastAsia="en-AU"/>
        </w:rPr>
      </w:pPr>
      <w:r w:rsidRPr="00C90DAD">
        <w:rPr>
          <w:i/>
          <w:lang w:val="en-AU" w:eastAsia="en-AU"/>
        </w:rPr>
        <w:t>Evidence for a behavioural need to perch is complex and the different components of perching have not been fully considered until recently. It seems that hens are highly motivated to seek elevated areas at night for roosting, but further research is needed to establish whether birds need to grasp a rounded pole with their feet, or whether roosting motivation is satisfied by elevated platforms or grids that may pose less of a risk of bone damage.</w:t>
      </w:r>
    </w:p>
    <w:p w14:paraId="3E50ED3D" w14:textId="77777777" w:rsidR="00286A88" w:rsidRPr="00286A88" w:rsidRDefault="00286A88" w:rsidP="00C90DAD">
      <w:pPr>
        <w:rPr>
          <w:lang w:val="en-AU" w:eastAsia="en-AU"/>
        </w:rPr>
      </w:pPr>
      <w:r w:rsidRPr="00286A88">
        <w:rPr>
          <w:lang w:val="en-AU" w:eastAsia="en-AU"/>
        </w:rPr>
        <w:t>The evidence reviewed above suggests that perches have some benefits for bird health, encouraging stronger bones and reducing the risk of some types of foot condition. However, they also present an increased collision risk and so the costs and benefits of providing perches must be carefully weighed. A key factor is the strength of the birds’ perceived need to perch. This is complicated by the fact that the concept of perching has at least 3 different potential meanings (EFSA, 2015). A bird may have a need to grasp a rod-like structure with its feet, to seek an elevated viewpoint, or to reach an elevated point with or without a view. In deciding what might count as a “perch” ideally these needs would be considered separately but until very recently, the scientific literature has not distinguished these possibilities.</w:t>
      </w:r>
    </w:p>
    <w:p w14:paraId="41AA0B89" w14:textId="77777777" w:rsidR="00286A88" w:rsidRPr="00286A88" w:rsidRDefault="00286A88" w:rsidP="00C90DAD">
      <w:pPr>
        <w:pStyle w:val="Heading41"/>
      </w:pPr>
      <w:r w:rsidRPr="00286A88">
        <w:t>LH4.2a Seeking elevation (at night): roosting</w:t>
      </w:r>
    </w:p>
    <w:p w14:paraId="33896076" w14:textId="77777777" w:rsidR="00286A88" w:rsidRPr="00286A88" w:rsidRDefault="00286A88" w:rsidP="00C90DAD">
      <w:pPr>
        <w:rPr>
          <w:lang w:val="en-AU" w:eastAsia="en-AU"/>
        </w:rPr>
      </w:pPr>
      <w:r w:rsidRPr="00286A88">
        <w:rPr>
          <w:lang w:val="en-AU" w:eastAsia="en-AU"/>
        </w:rPr>
        <w:t>If perches are provided they are highly utilised at night for roosting (Olsson and Keeling, 2000). Brendler et al. (2014) found virtually 100% utilisation at perch heights of 90 cm or above in small experimental studies. On farm studies also demonstrate high night-time perch use in commercial flocks (Oden et al., 2002) with hens showing a preference to roost at the higher positions in aviaries and multi-tier systems (Campbell et al., 2016b), both on higher tiers and on more elevated perches within those tiers (Brendler and Schrader, 2016). More formal evidence of a high motivation for night-time roosting comes from studies showing frustration if access to perches is denied (Olsson and Keeling, 2000) or assessing the effort expended by hens. Olsson and Keeling (2002a) found that hens would work at 75% of their maximum capacity to reach an elevated perch. The motivation to seek an elevated area is reduced in caged hens by a competing motivation to avoid contact with the cage roof. Provided there is a minimum distance of approximately 20 cm between the top perch and the cage roof, hens prefer to roost at night on the highest perches available over a range of 6 to 36 cm but cage heights of less than 55 cm restrict hens’ capacity to perch (Struelens et al., 2008c); Once hens have roosted there is no evidence that those in higher positions are any less vigilant than those on lower perches (Brendler et al., 2014).</w:t>
      </w:r>
    </w:p>
    <w:p w14:paraId="3846529A" w14:textId="77777777" w:rsidR="00286A88" w:rsidRPr="00286A88" w:rsidRDefault="00286A88" w:rsidP="00C90DAD">
      <w:pPr>
        <w:pStyle w:val="Heading41"/>
      </w:pPr>
      <w:r w:rsidRPr="00286A88">
        <w:t>LH4.2b Seeking elevation (daytime)</w:t>
      </w:r>
    </w:p>
    <w:p w14:paraId="7CDBBF93" w14:textId="77777777" w:rsidR="00286A88" w:rsidRPr="00286A88" w:rsidRDefault="00286A88" w:rsidP="00C90DAD">
      <w:pPr>
        <w:rPr>
          <w:lang w:val="en-AU" w:eastAsia="en-AU"/>
        </w:rPr>
      </w:pPr>
      <w:r w:rsidRPr="00286A88">
        <w:rPr>
          <w:lang w:val="en-AU" w:eastAsia="en-AU"/>
        </w:rPr>
        <w:t>Daytime perch utilisation is far more variable than night-time roosting and formal motivational demand experiments have not been conducted. Daytime perching is thought to enhance hens’ sense of security, with reduced vigilance and fearfulness observed at a flock level in flocks with perches compared to flocks without (Donaldson and O’Connell, 2012). The need to perch during the day can be influenced by the presence and behaviour of other birds. Being part of a larger group may reduce fearfulness in some individuals and reduce the perceived need to perch as an anti-predator response (Newberry et al., 2001). Competition for perch space in larger groups may also reduce individual perching duration so, in FCs, group size can reduce utilisation (Chen et al., 2014). However, social facilitation may play a counter-role in larger groups, and in other studies perching behaviour has been shown to increase with group size in FCs (Guo et al., 2012). Restricted cage height means that hens will often select lower perches than they would otherwise prefer (Rönchen et al., 2010; Chen et al., 2014).</w:t>
      </w:r>
    </w:p>
    <w:p w14:paraId="15515E3F" w14:textId="77777777" w:rsidR="00286A88" w:rsidRPr="00286A88" w:rsidRDefault="00286A88" w:rsidP="00C90DAD">
      <w:pPr>
        <w:pStyle w:val="Heading41"/>
      </w:pPr>
      <w:r w:rsidRPr="00286A88">
        <w:t>LH4.2c Grasping</w:t>
      </w:r>
    </w:p>
    <w:p w14:paraId="6D994377" w14:textId="77777777" w:rsidR="00286A88" w:rsidRPr="00286A88" w:rsidRDefault="00286A88" w:rsidP="00C90DAD">
      <w:pPr>
        <w:rPr>
          <w:lang w:val="en-AU" w:eastAsia="en-AU"/>
        </w:rPr>
      </w:pPr>
      <w:r w:rsidRPr="00286A88">
        <w:rPr>
          <w:lang w:val="en-AU" w:eastAsia="en-AU"/>
        </w:rPr>
        <w:t>Grasping is the act of wrapping the toes around a (rod or stick) perch, via active or passive flexion of the toes. Chickens have feet that are capable of grasping. However, in comparison with many other species, the feet of chickens are less specialised for grasping, as chickens make greater use of their feet for locomotion and for scratching for food (Sustaita et al., 2013). Schrader and Muller (2009) offered hens different combinations of high (60 cm) or low (15 cm) “graspable” perches, or high or low “non-graspable” flat plastic grids, for night-time roosting. Hens showed a strong preference for high structures over low, and a weaker preference for perches over grids presented at the same height. When forced to make a choice between high grids or low perches, birds selected on the basis of a preference for height. Further support for the predominance of the height preference comes from studies within commercial MT houses, that show hens’ preference to roost on a high “non-graspable” tier is stronger than their preference to perch within a lower tier (Brendler and Schrader, 2016). Whether there is any separate “grasping” motivation has yet to be investigated.</w:t>
      </w:r>
    </w:p>
    <w:p w14:paraId="2BBE2F5B" w14:textId="77777777" w:rsidR="00286A88" w:rsidRPr="00286A88" w:rsidRDefault="00286A88" w:rsidP="00C90DAD">
      <w:pPr>
        <w:pStyle w:val="Heading41"/>
      </w:pPr>
      <w:r w:rsidRPr="00286A88">
        <w:t>LH4.2d The need for a perch</w:t>
      </w:r>
    </w:p>
    <w:p w14:paraId="3A2B8B1A" w14:textId="77777777" w:rsidR="00286A88" w:rsidRPr="00286A88" w:rsidRDefault="00286A88" w:rsidP="00C90DAD">
      <w:pPr>
        <w:rPr>
          <w:lang w:val="en-AU" w:eastAsia="en-AU"/>
        </w:rPr>
      </w:pPr>
      <w:r w:rsidRPr="00286A88">
        <w:rPr>
          <w:lang w:val="en-AU" w:eastAsia="en-AU"/>
        </w:rPr>
        <w:t>Although there is evidence that laying hens are frustrated if they are unable to access perches that they have previously used at night, evidence that hens “miss” perches if they have never been experienced is equivocal. When pullets or laying hens are housed in conventional or furnished cages either with or without the provision of a perch, no differences in stress response (plasma catecholamines, corticosterone, 5-HT and adrenal weight) have been observed in commercial breeds (Barnett et al., 2009; Yan et al., 2013; 2014). Similarly controlled studies to examine stress responses have not been conducted with non-cage flocks.</w:t>
      </w:r>
    </w:p>
    <w:p w14:paraId="33844481" w14:textId="77777777" w:rsidR="00286A88" w:rsidRPr="00286A88" w:rsidRDefault="00286A88" w:rsidP="00C90DAD">
      <w:pPr>
        <w:rPr>
          <w:lang w:val="en-AU" w:eastAsia="en-AU"/>
        </w:rPr>
      </w:pPr>
      <w:r w:rsidRPr="00286A88">
        <w:rPr>
          <w:lang w:val="en-AU" w:eastAsia="en-AU"/>
        </w:rPr>
        <w:t>The provision of perches can reduce aggression in small groups of hens (Cordiner et al., 2001). In non-cage flocks it would seem beneficial to allow highly-motivated night-time roosting on elevated structures, but these may be achievable by providing appropriately-designed grids, ramps and platforms that do not necessarily fit the common image of a “perch” but that do minimise risks of injury and fracture (</w:t>
      </w:r>
      <w:r w:rsidRPr="00286A88">
        <w:rPr>
          <w:rFonts w:cs="Arial"/>
          <w:lang w:val="en-AU" w:eastAsia="en-AU"/>
        </w:rPr>
        <w:t xml:space="preserve">Stratmann et al., 2015a; Heerkens et al., 2016a; Pettersson et al., 2017). Such provision may also be beneficial during the rearing period (see LH9). Within non-cage systems further research, to consider how hens use all of the structural elements provided, is still needed (Campbell et al., 2016b). </w:t>
      </w:r>
      <w:r w:rsidRPr="00286A88">
        <w:rPr>
          <w:lang w:val="en-AU" w:eastAsia="en-AU"/>
        </w:rPr>
        <w:t>It is also possible that the fear-reducing properties of perches could be met in other ways e.g. by providing ground-level covered areas or refuges (Freire et al., 2003).</w:t>
      </w:r>
    </w:p>
    <w:p w14:paraId="7444DD74" w14:textId="77777777" w:rsidR="00286A88" w:rsidRPr="00286A88" w:rsidRDefault="00286A88" w:rsidP="00C90DAD">
      <w:pPr>
        <w:rPr>
          <w:lang w:val="en-AU" w:eastAsia="en-AU"/>
        </w:rPr>
      </w:pPr>
      <w:r w:rsidRPr="00286A88">
        <w:rPr>
          <w:lang w:val="en-AU" w:eastAsia="en-AU"/>
        </w:rPr>
        <w:t>If perches are provided they should be non-slip (Scott and MacAngus, 2004) (but of a material that minimises risk of red mite), and sufficiently wide (4-6 cm) to minimise pressure (Pickel et al., 2010; 2011a) and meet hen preferences (Struelens et al., 2009). Hens do not appear to have strong preferences based on perch colour (Chen and Bao, 2012) but they do prefer perches of rectangular or square shape (Chen et al., 2014). Square perches result in less pressure on the keel area (Pickel et al., 2011b) but experts recruited for an E</w:t>
      </w:r>
      <w:r w:rsidR="00F654ED">
        <w:rPr>
          <w:lang w:val="en-AU" w:eastAsia="en-AU"/>
        </w:rPr>
        <w:t xml:space="preserve">uropean </w:t>
      </w:r>
      <w:r w:rsidRPr="00286A88">
        <w:rPr>
          <w:lang w:val="en-AU" w:eastAsia="en-AU"/>
        </w:rPr>
        <w:t>F</w:t>
      </w:r>
      <w:r w:rsidR="00F654ED">
        <w:rPr>
          <w:lang w:val="en-AU" w:eastAsia="en-AU"/>
        </w:rPr>
        <w:t>ood Safety Authority (EF</w:t>
      </w:r>
      <w:r w:rsidRPr="00286A88">
        <w:rPr>
          <w:lang w:val="en-AU" w:eastAsia="en-AU"/>
        </w:rPr>
        <w:t>SA</w:t>
      </w:r>
      <w:r w:rsidR="00F654ED">
        <w:rPr>
          <w:lang w:val="en-AU" w:eastAsia="en-AU"/>
        </w:rPr>
        <w:t>)</w:t>
      </w:r>
      <w:r w:rsidRPr="00286A88">
        <w:rPr>
          <w:lang w:val="en-AU" w:eastAsia="en-AU"/>
        </w:rPr>
        <w:t xml:space="preserve"> workshop suggested that such perches should at least have rounded edges to avoid injury (EFSA, 2015). In FCs a minimum length per bird of </w:t>
      </w:r>
      <w:r w:rsidRPr="00BB7171">
        <w:rPr>
          <w:lang w:val="en-AU" w:eastAsia="en-AU"/>
        </w:rPr>
        <w:t>15 cm (not including cross-points) is required to enable most birds to perch at the same time. The length of perch space required in non-cage systems is not clear and will depend on the provision of other elevated structures, especially within</w:t>
      </w:r>
      <w:r w:rsidRPr="00286A88">
        <w:rPr>
          <w:lang w:val="en-AU" w:eastAsia="en-AU"/>
        </w:rPr>
        <w:t xml:space="preserve"> MT systems. Scientific studies have not yet been conducted on the benefits of providing perches of </w:t>
      </w:r>
      <w:r w:rsidRPr="00286A88">
        <w:rPr>
          <w:i/>
          <w:lang w:val="en-AU" w:eastAsia="en-AU"/>
        </w:rPr>
        <w:t>varying</w:t>
      </w:r>
      <w:r w:rsidRPr="00286A88">
        <w:rPr>
          <w:lang w:val="en-AU" w:eastAsia="en-AU"/>
        </w:rPr>
        <w:t xml:space="preserve"> widths and shapes to allow birds choice and to vary pressure points.</w:t>
      </w:r>
    </w:p>
    <w:p w14:paraId="10F0AE1E" w14:textId="77777777" w:rsidR="00286A88" w:rsidRPr="00286A88" w:rsidRDefault="00286A88" w:rsidP="00C90DAD">
      <w:pPr>
        <w:pStyle w:val="Heading3"/>
        <w:rPr>
          <w:rFonts w:ascii="Times New Roman" w:hAnsi="Times New Roman"/>
          <w:sz w:val="24"/>
          <w:szCs w:val="24"/>
          <w:lang w:val="en-AU" w:eastAsia="en-GB"/>
        </w:rPr>
      </w:pPr>
      <w:bookmarkStart w:id="46" w:name="_Toc495310515"/>
      <w:r w:rsidRPr="00286A88">
        <w:rPr>
          <w:lang w:val="en-AU" w:eastAsia="en-GB"/>
        </w:rPr>
        <w:t>LH4.3 Behavioural need to forage</w:t>
      </w:r>
      <w:bookmarkEnd w:id="46"/>
    </w:p>
    <w:p w14:paraId="7C547BDA" w14:textId="77777777" w:rsidR="00286A88" w:rsidRPr="00C90DAD" w:rsidRDefault="00286A88" w:rsidP="00C90DAD">
      <w:pPr>
        <w:rPr>
          <w:i/>
          <w:lang w:val="en-AU" w:eastAsia="en-AU"/>
        </w:rPr>
      </w:pPr>
      <w:r w:rsidRPr="00C90DAD">
        <w:rPr>
          <w:i/>
          <w:lang w:val="en-AU" w:eastAsia="en-AU"/>
        </w:rPr>
        <w:t>Foraging dominates the laying hen time budget and hens show a strong motivation for this behaviour in formal demand experiments. Restrictions on foraging increase the risk of birds directing their foraging behaviour towards other birds (resulting in injurious pecking LH3.5).</w:t>
      </w:r>
    </w:p>
    <w:p w14:paraId="50205AEC" w14:textId="77777777" w:rsidR="00286A88" w:rsidRPr="00286A88" w:rsidRDefault="00286A88" w:rsidP="00C90DAD">
      <w:pPr>
        <w:rPr>
          <w:lang w:val="en-AU" w:eastAsia="en-AU"/>
        </w:rPr>
      </w:pPr>
      <w:r w:rsidRPr="00286A88">
        <w:rPr>
          <w:lang w:val="en-AU" w:eastAsia="en-AU"/>
        </w:rPr>
        <w:t xml:space="preserve">The provision of </w:t>
      </w:r>
      <w:r w:rsidRPr="00AC720E">
        <w:rPr>
          <w:i/>
          <w:lang w:val="en-AU" w:eastAsia="en-AU"/>
        </w:rPr>
        <w:t>ad libitum</w:t>
      </w:r>
      <w:r w:rsidRPr="00286A88">
        <w:rPr>
          <w:lang w:val="en-AU" w:eastAsia="en-AU"/>
        </w:rPr>
        <w:t xml:space="preserve"> feed does not remove the hens’ need to engage in foraging behaviour. Indeed, in the presence of free food, hens may still choose to expend energy in a range of foraging behaviours, a phenomenon sometimes called contra-freeloading (Lindqvist and Jensen, 2008; 2009). The additional energy expenditure would, under natural conditions, be balanced by increased information about patterns of food availability in the environment. Domestication has reduced, but not eliminated, the hens’ strong motivation to forage (Lindqvist and Jensen, 2008; 2009). One way of quantifying the importance of foraging </w:t>
      </w:r>
      <w:r w:rsidRPr="00BB7171">
        <w:rPr>
          <w:lang w:val="en-AU" w:eastAsia="en-AU"/>
        </w:rPr>
        <w:t>resources is to employ consumer demand theory to quantify the hens’ motivation relative to other, known, yardsticks such as demand for food. Gunnarsson et al. (2000b) investigated the demand</w:t>
      </w:r>
      <w:r w:rsidRPr="00286A88">
        <w:rPr>
          <w:lang w:val="en-AU" w:eastAsia="en-AU"/>
        </w:rPr>
        <w:t xml:space="preserve"> of caged hens for a litter substrate and found that all subjects would work (by pecking a key on schedules that varied from 5 pecks to 200 pecks for each resource access) to obtain straw.</w:t>
      </w:r>
    </w:p>
    <w:p w14:paraId="044CEBFA" w14:textId="77777777" w:rsidR="00286A88" w:rsidRPr="00286A88" w:rsidRDefault="00286A88" w:rsidP="00C90DAD">
      <w:pPr>
        <w:pStyle w:val="Heading3"/>
        <w:rPr>
          <w:rFonts w:ascii="Times New Roman" w:hAnsi="Times New Roman"/>
          <w:sz w:val="24"/>
          <w:szCs w:val="24"/>
          <w:lang w:val="en-AU" w:eastAsia="en-GB"/>
        </w:rPr>
      </w:pPr>
      <w:bookmarkStart w:id="47" w:name="_Toc495310516"/>
      <w:r w:rsidRPr="00286A88">
        <w:rPr>
          <w:lang w:val="en-AU" w:eastAsia="en-GB"/>
        </w:rPr>
        <w:t>LH4.4 Behavioural need for dust-bathing</w:t>
      </w:r>
      <w:bookmarkEnd w:id="47"/>
    </w:p>
    <w:p w14:paraId="160579F0" w14:textId="77777777" w:rsidR="00286A88" w:rsidRPr="00C90DAD" w:rsidRDefault="00286A88" w:rsidP="00C90DAD">
      <w:pPr>
        <w:rPr>
          <w:i/>
          <w:lang w:val="en-AU" w:eastAsia="en-AU"/>
        </w:rPr>
      </w:pPr>
      <w:r w:rsidRPr="00C90DAD">
        <w:rPr>
          <w:i/>
          <w:lang w:val="en-AU" w:eastAsia="en-AU"/>
        </w:rPr>
        <w:t>Dust-bathing is a behaviour that occurs in healthy hens under good environmental conditions and is therefore a good marker of high welfare. It plays an important role in plumage maintenance and ectoparasite control. Dust-bathing motivation is intermittent and dependent on environmental cues. The role of consistent internal motivation is less clear than for foraging, stretching, nesting and night-time roosting.</w:t>
      </w:r>
    </w:p>
    <w:p w14:paraId="6B23B4CA" w14:textId="77777777" w:rsidR="00286A88" w:rsidRPr="00286A88" w:rsidRDefault="00286A88" w:rsidP="00C90DAD">
      <w:pPr>
        <w:rPr>
          <w:lang w:val="en-AU" w:eastAsia="en-AU"/>
        </w:rPr>
      </w:pPr>
      <w:r w:rsidRPr="00286A88">
        <w:rPr>
          <w:lang w:val="en-AU" w:eastAsia="en-AU"/>
        </w:rPr>
        <w:t xml:space="preserve">Dust-bathing shows a clear diurnal rhythm and under unrestricted conditions, hens dust-bathe about every 2 days (Olsson and Keeling, 2005). </w:t>
      </w:r>
      <w:r w:rsidRPr="00286A88">
        <w:rPr>
          <w:color w:val="auto"/>
          <w:lang w:val="en-AU" w:eastAsia="en-AU"/>
        </w:rPr>
        <w:t xml:space="preserve">Dust-bathing functions both to remove feather lipids thus improving plumage insulation (Olsson and Keeling, 2005), and to remove ectoparasites (Martin and Mullens, 2012; Murillo and Mullens, 2016). </w:t>
      </w:r>
      <w:r w:rsidRPr="00286A88">
        <w:rPr>
          <w:lang w:val="en-AU" w:eastAsia="en-AU"/>
        </w:rPr>
        <w:t xml:space="preserve">The presence of a suitable substrate is an important stimulus for eliciting dust-bathing, and hens seem to prefer substrates with a fine structure and low lipid content, such as sand and peat which are better at penetrating and cleaning the plumage (de Jong et al., 2007; Scholz et al., 2010; 2011). Preferences depend partly on early experience (Olsson et al., 2002; Orsag et al., 2012) but can be revised </w:t>
      </w:r>
      <w:r w:rsidRPr="00286A88">
        <w:rPr>
          <w:rFonts w:cs="Arial"/>
          <w:szCs w:val="24"/>
          <w:shd w:val="clear" w:color="auto" w:fill="FFFFFF"/>
          <w:lang w:val="en-AU" w:eastAsia="en-AU"/>
        </w:rPr>
        <w:t xml:space="preserve">by exposure to new substrates in adult birds (Nicol et al., 2001; Wichman and Keeling, 2009), and fine-grained substrates are readily accepted by inexperienced adults (Wichman and Keeling, 2008). </w:t>
      </w:r>
      <w:r w:rsidRPr="00286A88">
        <w:rPr>
          <w:lang w:val="en-AU" w:eastAsia="en-AU"/>
        </w:rPr>
        <w:t>Dust-bathing is further increased if the substrate is combined with light and heat.</w:t>
      </w:r>
    </w:p>
    <w:p w14:paraId="53DBA9F5" w14:textId="77777777" w:rsidR="00286A88" w:rsidRPr="00286A88" w:rsidRDefault="00286A88" w:rsidP="00C90DAD">
      <w:pPr>
        <w:rPr>
          <w:color w:val="auto"/>
          <w:lang w:val="en-AU" w:eastAsia="en-AU"/>
        </w:rPr>
      </w:pPr>
      <w:r w:rsidRPr="00286A88">
        <w:rPr>
          <w:color w:val="auto"/>
          <w:lang w:val="en-AU" w:eastAsia="en-AU"/>
        </w:rPr>
        <w:t>Full sequences of dust-bathing comprise many elements, including beak raking, turning, wing shaking and scratching, followed by stationary lying interspersed with further rubbing and scratching movements before the hen stands and shakes (Olsson and Keeling, 2005). The performance of a full sequence of dust-bathing returns motivation to baseline and is a good indicator of positive welfare. In many commercial settings, particularly in FC environments, incomplete sequences of dust-bathing are observed (LH5.2).</w:t>
      </w:r>
    </w:p>
    <w:p w14:paraId="2D141085" w14:textId="77777777" w:rsidR="00286A88" w:rsidRPr="00286A88" w:rsidRDefault="00286A88" w:rsidP="00C90DAD">
      <w:pPr>
        <w:rPr>
          <w:rFonts w:cs="Arial"/>
          <w:szCs w:val="24"/>
          <w:shd w:val="clear" w:color="auto" w:fill="FFFFFF"/>
          <w:lang w:val="en-AU" w:eastAsia="en-AU"/>
        </w:rPr>
      </w:pPr>
      <w:r w:rsidRPr="00286A88">
        <w:rPr>
          <w:color w:val="auto"/>
          <w:lang w:val="en-AU" w:eastAsia="en-AU"/>
        </w:rPr>
        <w:t xml:space="preserve">The extent to which dust-bathing in a managed environment (with assumed control of ectoparasite levels) can be considered to be a behavioural need is still a matter for debate. </w:t>
      </w:r>
      <w:r w:rsidRPr="00286A88">
        <w:rPr>
          <w:rFonts w:cs="Arial"/>
          <w:szCs w:val="24"/>
          <w:shd w:val="clear" w:color="auto" w:fill="FFFFFF"/>
          <w:lang w:val="en-AU" w:eastAsia="en-AU"/>
        </w:rPr>
        <w:t xml:space="preserve">Dust-bathing appears to be a low-resilience behaviour that is forfeited when other needs are more pressing. It has been suggested that chickens allocate time to this behaviour as and when the opportunity arises (Widowski and Duncan, 2000). Experimental studies show it to be a lesser priority than other behaviours (e.g. </w:t>
      </w:r>
      <w:r w:rsidR="00F654ED" w:rsidRPr="00286A88">
        <w:rPr>
          <w:rFonts w:cs="Arial"/>
          <w:szCs w:val="24"/>
          <w:shd w:val="clear" w:color="auto" w:fill="FFFFFF"/>
          <w:lang w:val="en-AU" w:eastAsia="en-AU"/>
        </w:rPr>
        <w:t>Petherick et al., 1993</w:t>
      </w:r>
      <w:r w:rsidR="00F654ED">
        <w:rPr>
          <w:rFonts w:cs="Arial"/>
          <w:szCs w:val="24"/>
          <w:shd w:val="clear" w:color="auto" w:fill="FFFFFF"/>
          <w:lang w:val="en-AU" w:eastAsia="en-AU"/>
        </w:rPr>
        <w:t xml:space="preserve">; </w:t>
      </w:r>
      <w:r w:rsidRPr="00286A88">
        <w:rPr>
          <w:rFonts w:cs="Arial"/>
          <w:szCs w:val="24"/>
          <w:shd w:val="clear" w:color="auto" w:fill="FFFFFF"/>
          <w:lang w:val="en-AU" w:eastAsia="en-AU"/>
        </w:rPr>
        <w:t>Keeling, 1994) and compensatory rebound in this behaviour is</w:t>
      </w:r>
      <w:r w:rsidR="00BB7171">
        <w:rPr>
          <w:rFonts w:cs="Arial"/>
          <w:szCs w:val="24"/>
          <w:shd w:val="clear" w:color="auto" w:fill="FFFFFF"/>
          <w:lang w:val="en-AU" w:eastAsia="en-AU"/>
        </w:rPr>
        <w:t xml:space="preserve"> not seen in all studies (e.g. </w:t>
      </w:r>
      <w:r w:rsidRPr="00286A88">
        <w:rPr>
          <w:rFonts w:cs="Arial"/>
          <w:szCs w:val="24"/>
          <w:shd w:val="clear" w:color="auto" w:fill="FFFFFF"/>
          <w:lang w:val="en-AU" w:eastAsia="en-AU"/>
        </w:rPr>
        <w:t xml:space="preserve">Guesdon and Faure, 2008). However, hens are </w:t>
      </w:r>
      <w:r w:rsidRPr="00286A88">
        <w:rPr>
          <w:color w:val="auto"/>
          <w:lang w:val="en-AU" w:eastAsia="en-AU"/>
        </w:rPr>
        <w:t xml:space="preserve">more likely to choose dust-bathing substrates after a period of restriction (Arnold and Hemsworth, 2013). </w:t>
      </w:r>
      <w:r w:rsidRPr="00286A88">
        <w:rPr>
          <w:rFonts w:cs="Arial"/>
          <w:szCs w:val="24"/>
          <w:shd w:val="clear" w:color="auto" w:fill="FFFFFF"/>
          <w:lang w:val="en-AU" w:eastAsia="en-AU"/>
        </w:rPr>
        <w:t>The opportunistic timing of dust-bathing may also explain why many birds are often seen to dust-bathe simultaneously in groups.</w:t>
      </w:r>
    </w:p>
    <w:p w14:paraId="75CA8319" w14:textId="77777777" w:rsidR="00286A88" w:rsidRPr="00286A88" w:rsidRDefault="00286A88" w:rsidP="00C90DAD">
      <w:pPr>
        <w:pStyle w:val="Heading3"/>
        <w:rPr>
          <w:rFonts w:ascii="Times New Roman" w:hAnsi="Times New Roman"/>
          <w:sz w:val="24"/>
          <w:szCs w:val="24"/>
          <w:lang w:val="en-AU" w:eastAsia="en-GB"/>
        </w:rPr>
      </w:pPr>
      <w:bookmarkStart w:id="48" w:name="_Toc495310517"/>
      <w:r w:rsidRPr="00286A88">
        <w:rPr>
          <w:lang w:val="en-AU" w:eastAsia="en-GB"/>
        </w:rPr>
        <w:t>LH4.5 Social behaviour</w:t>
      </w:r>
      <w:bookmarkEnd w:id="48"/>
    </w:p>
    <w:p w14:paraId="75144C8A" w14:textId="77777777" w:rsidR="00286A88" w:rsidRPr="00C90DAD" w:rsidRDefault="00286A88" w:rsidP="00C90DAD">
      <w:pPr>
        <w:rPr>
          <w:i/>
          <w:lang w:val="en-AU" w:eastAsia="en-AU"/>
        </w:rPr>
      </w:pPr>
      <w:r w:rsidRPr="00C90DAD">
        <w:rPr>
          <w:i/>
          <w:lang w:val="en-AU" w:eastAsia="en-AU"/>
        </w:rPr>
        <w:t>Hens are social birds and their behaviour is strongly influenced by others. Aggression and fearfulness are reduced when hens are kept with other familiar birds. Hens in small groups distinguish between individuals and form social hierarchies, but do not appear to form particular attachments. Hens in large flocks adopt different social strategies to avoid aggression.</w:t>
      </w:r>
    </w:p>
    <w:p w14:paraId="26C95115" w14:textId="77777777" w:rsidR="00286A88" w:rsidRPr="00286A88" w:rsidRDefault="00286A88" w:rsidP="00C90DAD">
      <w:pPr>
        <w:rPr>
          <w:rFonts w:eastAsia="Times"/>
          <w:color w:val="000000"/>
          <w:lang w:val="en-AU" w:eastAsia="en-AU"/>
        </w:rPr>
      </w:pPr>
      <w:r w:rsidRPr="00286A88">
        <w:rPr>
          <w:rFonts w:eastAsia="Times"/>
          <w:color w:val="000000"/>
          <w:lang w:val="en-AU" w:eastAsia="en-AU"/>
        </w:rPr>
        <w:t>Under natural conditions, chickens live in social groups where they recognise and respond differentially to other individuals. The exact nature of the group alters as chicks are hatched, reared and disperse, or as food reserves and seasons change. A typical chicken group size cannot be specified too closely, but unconstrained chickens are often seen associating in groups of between 3 and 30 individuals. Once group size exceeds around 100 individuals, chickens cannot distinguish between familiar and unfamiliar birds (D’Eath and Keeling, 2003).</w:t>
      </w:r>
    </w:p>
    <w:p w14:paraId="14384B5A" w14:textId="77777777" w:rsidR="00286A88" w:rsidRPr="00286A88" w:rsidRDefault="00286A88" w:rsidP="00C90DAD">
      <w:pPr>
        <w:rPr>
          <w:rFonts w:cs="Arial"/>
          <w:color w:val="000000"/>
          <w:lang w:val="en-AU" w:eastAsia="en-AU"/>
        </w:rPr>
      </w:pPr>
      <w:r w:rsidRPr="00286A88">
        <w:rPr>
          <w:rFonts w:cs="Arial"/>
          <w:color w:val="000000"/>
          <w:lang w:val="en-AU" w:eastAsia="en-AU"/>
        </w:rPr>
        <w:t>Adult birds housed in small groups (of less than about 100) prefer familiar breeds, and familiar birds over unfamiliar birds and tend to direct aggression towards unfamiliar individuals (D’Eath and Keeling, 2003; Vaisanen and Jensen, 2004). The individual identity of familiar companions is also distinguished (Abeyesinghe et al., 2009) but there is no evidence that adult hens form specific preferences for other individuals (“friends”) (Abeyesinghe et al., 2013). Young birds are stressed by social isolation (Weldon et al., 2016) but there is no evidence that adult hens (at least under non-threatening conditions) have a preference to be with other birds at all (Arnold and Hemsworth, 2013).</w:t>
      </w:r>
    </w:p>
    <w:p w14:paraId="4EAF826D" w14:textId="77777777" w:rsidR="00286A88" w:rsidRPr="00286A88" w:rsidRDefault="00286A88" w:rsidP="00C90DAD">
      <w:pPr>
        <w:rPr>
          <w:rFonts w:cs="Arial"/>
          <w:color w:val="000000"/>
          <w:lang w:val="en-AU" w:eastAsia="en-AU"/>
        </w:rPr>
      </w:pPr>
      <w:r w:rsidRPr="00286A88">
        <w:rPr>
          <w:rFonts w:cs="Arial"/>
          <w:color w:val="000000"/>
          <w:lang w:val="en-AU" w:eastAsia="en-AU"/>
        </w:rPr>
        <w:t>Familiarity, and also the individual identity of familiar conspecifics, is primarily assessed using visual cues (Abeyesinghe et al., 2009). Familiar chickens in small groups establish dominance hierarchies, initially using threats and aggression. Aggression decreases more rapidly when pullets are placed in CC or FC systems at the start of lay than in non-cage systems (Shinmura et al., 2006a). Once the hierarchy is established, subordinate birds are able to move within close proximity of more dominant individuals and exhibit normal behaviours such as dust-bathing (Shimmura et al., 2010a). Aggression was higher in groups of 10 pullets than in groups of 40, where birds had more space to avoid others (Liste et al., 2015). If aggression does occur in small groups it can also be reduced by providing elevated structures such as perches that enable subordinate birds to move away from dominant birds (Cordiner et al., 2001), and aggression (as indicated by comb wounds) is reported to be lower in FCs than CCs (Hetland et al., 2003), likely for this reason.</w:t>
      </w:r>
    </w:p>
    <w:p w14:paraId="3E2B7B6B" w14:textId="77777777" w:rsidR="00286A88" w:rsidRPr="00286A88" w:rsidRDefault="00286A88" w:rsidP="00C90DAD">
      <w:pPr>
        <w:rPr>
          <w:rFonts w:cs="Garamond"/>
          <w:lang w:val="en-AU" w:eastAsia="en-AU"/>
        </w:rPr>
      </w:pPr>
      <w:r w:rsidRPr="00286A88">
        <w:rPr>
          <w:rFonts w:cs="Garamond"/>
          <w:lang w:val="en-AU" w:eastAsia="en-AU"/>
        </w:rPr>
        <w:t>Increasing group size makes it more difficult for hens to distinguish familiar and unfamiliar birds (D’Eath and Keeling, 2003) and behavioural strategies are altered. In larger groups fights are avoided by attending to simple cues (e.g. avoiding heavier birds) rather than by remembering established relationships (Pagel and Dawkins, 1997) but hens may avoid performing certain behaviours such as dust-bathing in the close proximity of unfamiliar birds (Shimmura et al., 2010</w:t>
      </w:r>
      <w:r w:rsidR="00EE6A94">
        <w:rPr>
          <w:rFonts w:cs="Garamond"/>
          <w:lang w:val="en-AU" w:eastAsia="en-AU"/>
        </w:rPr>
        <w:t>b</w:t>
      </w:r>
      <w:r w:rsidRPr="00286A88">
        <w:rPr>
          <w:rFonts w:cs="Garamond"/>
          <w:lang w:val="en-AU" w:eastAsia="en-AU"/>
        </w:rPr>
        <w:t>).</w:t>
      </w:r>
    </w:p>
    <w:p w14:paraId="252AA053" w14:textId="77777777" w:rsidR="00286A88" w:rsidRPr="00286A88" w:rsidRDefault="00286A88" w:rsidP="00C90DAD">
      <w:pPr>
        <w:rPr>
          <w:rFonts w:cs="Garamond"/>
          <w:lang w:val="en-AU" w:eastAsia="en-AU"/>
        </w:rPr>
      </w:pPr>
      <w:r w:rsidRPr="00286A88">
        <w:rPr>
          <w:rFonts w:cs="Garamond"/>
          <w:lang w:val="en-AU" w:eastAsia="en-AU"/>
        </w:rPr>
        <w:t>Aggression in hens (not to be confused with injurious pecking) is often triggered when an energetic behaviour is directed towards another bird, and interpreted as a threat (</w:t>
      </w:r>
      <w:r w:rsidRPr="00286A88">
        <w:rPr>
          <w:rFonts w:cs="Garamond"/>
          <w:lang w:val="en-AU" w:eastAsia="en-GB"/>
        </w:rPr>
        <w:t xml:space="preserve">Rodriguez-Aurrekoetxea and Estevez, 2014) and is more likely to occur in medium-sized groups of birds (approx. 100 to approx. 500) when social hierarchies </w:t>
      </w:r>
      <w:r w:rsidRPr="00286A88">
        <w:rPr>
          <w:rFonts w:cs="Garamond"/>
          <w:lang w:val="en-AU" w:eastAsia="en-AU"/>
        </w:rPr>
        <w:t>are not fully established. In larger commercial non-cage flocks of hens aggression generally occurs at low levels (</w:t>
      </w:r>
      <w:r w:rsidR="00C756D2">
        <w:rPr>
          <w:rFonts w:cs="Garamond"/>
          <w:lang w:val="en-AU" w:eastAsia="en-AU"/>
        </w:rPr>
        <w:t xml:space="preserve">see </w:t>
      </w:r>
      <w:r w:rsidR="00F654ED">
        <w:rPr>
          <w:rFonts w:cs="Garamond"/>
          <w:lang w:val="en-AU" w:eastAsia="en-AU"/>
        </w:rPr>
        <w:t>LH5.3)</w:t>
      </w:r>
      <w:r w:rsidRPr="00286A88">
        <w:rPr>
          <w:rFonts w:cs="Garamond"/>
          <w:lang w:val="en-AU" w:eastAsia="en-AU"/>
        </w:rPr>
        <w:t>.</w:t>
      </w:r>
    </w:p>
    <w:p w14:paraId="6F554B91" w14:textId="77777777" w:rsidR="00286A88" w:rsidRPr="00286A88" w:rsidRDefault="00286A88" w:rsidP="00C90DAD">
      <w:pPr>
        <w:rPr>
          <w:lang w:val="en-AU" w:eastAsia="en-AU"/>
        </w:rPr>
      </w:pPr>
      <w:r w:rsidRPr="00286A88">
        <w:rPr>
          <w:lang w:val="en-AU" w:eastAsia="en-AU"/>
        </w:rPr>
        <w:t xml:space="preserve">A degree of synchrony in the performance of behaviours such as feeding, dust-bathing and resting is a common occurrence in small and large flocks of chickens (Collins et al., 2011). Synchrony can arise because each individual responds independently but in the same manner to the current environment. Thus, the majority of birds feed together at every run of the chain feeder, </w:t>
      </w:r>
      <w:r w:rsidR="00F654ED">
        <w:rPr>
          <w:lang w:val="en-AU" w:eastAsia="en-AU"/>
        </w:rPr>
        <w:t>and</w:t>
      </w:r>
      <w:r w:rsidRPr="00286A88">
        <w:rPr>
          <w:lang w:val="en-AU" w:eastAsia="en-AU"/>
        </w:rPr>
        <w:t xml:space="preserve"> most laying hens fly up to the perches in an aviary system at lights out. In these various studies, synchronous behaviour of the chickens occurs largely because the environment provides circadian or other cues that influence individuals in the same way. Chickens can also attend to and match the actions of their companions. Hoppitt et al. (2007) for example, found more synchrony in behaviour within groups than between groups housed in the same environment. Both of these effects can lead to spatial clustering (Collins et al., 2011) unless space is constrained to a point where hens try to maximise their distance to other birds (Albentosa and Cooper, 2005).</w:t>
      </w:r>
    </w:p>
    <w:p w14:paraId="3640FB74" w14:textId="77777777" w:rsidR="00286A88" w:rsidRDefault="00286A88" w:rsidP="00C90DAD">
      <w:pPr>
        <w:rPr>
          <w:lang w:val="en-AU" w:eastAsia="en-AU"/>
        </w:rPr>
      </w:pPr>
      <w:r w:rsidRPr="00286A88">
        <w:rPr>
          <w:lang w:val="en-AU" w:eastAsia="en-AU"/>
        </w:rPr>
        <w:t>Facilities should account for the tendencies of hens to synchrony or cluster. For example, the length of feed troughs should ideally be sufficient to enable all birds to feed at once (Knierim, 2000). Mathematical modelling based on the average bird widths suggested that this could only be achieved by a 10% reduction in stocking rate for white hybrids and a 20% reduction in stocking rate for brown hybrids (Briese and Spindler, 2013). At normal FC spatial allowances of 750</w:t>
      </w:r>
      <w:r w:rsidR="007F71FE">
        <w:rPr>
          <w:lang w:val="en-AU" w:eastAsia="en-AU"/>
        </w:rPr>
        <w:t> </w:t>
      </w:r>
      <w:r w:rsidRPr="00286A88">
        <w:rPr>
          <w:lang w:val="en-AU" w:eastAsia="en-AU"/>
        </w:rPr>
        <w:t>cm</w:t>
      </w:r>
      <w:r w:rsidRPr="00286A88">
        <w:rPr>
          <w:vertAlign w:val="superscript"/>
          <w:lang w:val="en-AU" w:eastAsia="en-AU"/>
        </w:rPr>
        <w:t>2</w:t>
      </w:r>
      <w:r w:rsidRPr="00286A88">
        <w:rPr>
          <w:lang w:val="en-AU" w:eastAsia="en-AU"/>
        </w:rPr>
        <w:t>/bird, birds will have, at times, to share feeder space. This may be possible and will not necessarily result in aggression (Thogerson et al., 2009a; 2009b). At equivalent stocking rates, sharing of space is facilitated by keeping birds in larger cages and larger group sizes (Appleby, 2004).</w:t>
      </w:r>
    </w:p>
    <w:p w14:paraId="75FB5BB1" w14:textId="77777777" w:rsidR="00286A88" w:rsidRPr="00286A88" w:rsidRDefault="00286A88" w:rsidP="00137939">
      <w:pPr>
        <w:pStyle w:val="Heading2"/>
        <w:rPr>
          <w:lang w:val="en-AU" w:eastAsia="en-AU"/>
        </w:rPr>
      </w:pPr>
      <w:bookmarkStart w:id="49" w:name="_Toc495310518"/>
      <w:r w:rsidRPr="00286A88">
        <w:rPr>
          <w:lang w:val="en-AU" w:eastAsia="en-AU"/>
        </w:rPr>
        <w:t>LH5. Facilities and Equipment: Behavioural Usage</w:t>
      </w:r>
      <w:bookmarkEnd w:id="49"/>
    </w:p>
    <w:p w14:paraId="46F98B3D" w14:textId="77777777" w:rsidR="00286A88" w:rsidRPr="00C90DAD" w:rsidRDefault="00286A88" w:rsidP="00C90DAD">
      <w:pPr>
        <w:rPr>
          <w:i/>
          <w:lang w:val="en-AU" w:eastAsia="en-AU"/>
        </w:rPr>
      </w:pPr>
      <w:r w:rsidRPr="00C90DAD">
        <w:rPr>
          <w:i/>
          <w:lang w:val="en-AU" w:eastAsia="en-AU"/>
        </w:rPr>
        <w:t>Behaviour in conventional cages is severely constrained with evidence of negative effects on welfare. Behaviour in furnished cages is also constrained but to a lesser degree. There can be problems with resource use and competition within the furnished cage environment. Behaviour in non-cage systems is not directly constrained but levels of problematic behaviours such as injurious pecking, collisions and smothering are often greater.</w:t>
      </w:r>
    </w:p>
    <w:p w14:paraId="6E5F7966" w14:textId="77777777" w:rsidR="00286A88" w:rsidRPr="00286A88" w:rsidRDefault="00286A88" w:rsidP="00C90DAD">
      <w:pPr>
        <w:pStyle w:val="Heading3"/>
        <w:rPr>
          <w:rFonts w:ascii="Times New Roman" w:hAnsi="Times New Roman"/>
          <w:sz w:val="24"/>
          <w:szCs w:val="24"/>
          <w:lang w:val="en-AU" w:eastAsia="en-GB"/>
        </w:rPr>
      </w:pPr>
      <w:bookmarkStart w:id="50" w:name="_Toc495310519"/>
      <w:r w:rsidRPr="00286A88">
        <w:rPr>
          <w:lang w:val="en-AU" w:eastAsia="en-GB"/>
        </w:rPr>
        <w:t>LH5.1 Behaviour in conventional cages</w:t>
      </w:r>
      <w:bookmarkEnd w:id="50"/>
    </w:p>
    <w:p w14:paraId="5FC140E1" w14:textId="77777777" w:rsidR="00286A88" w:rsidRPr="00C90DAD" w:rsidRDefault="00286A88" w:rsidP="00C90DAD">
      <w:pPr>
        <w:rPr>
          <w:i/>
          <w:lang w:val="en-AU" w:eastAsia="en-AU"/>
        </w:rPr>
      </w:pPr>
      <w:r w:rsidRPr="00C90DAD">
        <w:rPr>
          <w:i/>
          <w:lang w:val="en-AU" w:eastAsia="en-AU"/>
        </w:rPr>
        <w:t>The spatial restriction of the conventional cage prevents or constrains the performance of most comfort movements, and there are no resources to meet the birds’ roosting and nesting needs. A limited amount of foraging can take place in the feed trough.</w:t>
      </w:r>
    </w:p>
    <w:p w14:paraId="13E2D746" w14:textId="77777777" w:rsidR="00286A88" w:rsidRPr="00286A88" w:rsidRDefault="00286A88" w:rsidP="00C90DAD">
      <w:pPr>
        <w:rPr>
          <w:lang w:val="en-AU" w:eastAsia="en-AU"/>
        </w:rPr>
      </w:pPr>
      <w:r w:rsidRPr="00286A88">
        <w:rPr>
          <w:lang w:val="en-AU" w:eastAsia="en-AU"/>
        </w:rPr>
        <w:t>At the high stocking rates and small cage sizes typical of a conventional cage, hens are effectively prevented from performing even simple locomotor and comfort movements. In a classic paper, Dawkins and Hardie (1989) recorded the unrestricted behaviour of brown hybrids. They presented the following ranges of spa</w:t>
      </w:r>
      <w:r w:rsidR="002646F8">
        <w:rPr>
          <w:lang w:val="en-AU" w:eastAsia="en-AU"/>
        </w:rPr>
        <w:t xml:space="preserve">ce occupied to turn around (540 to </w:t>
      </w:r>
      <w:r w:rsidRPr="00286A88">
        <w:rPr>
          <w:lang w:val="en-AU" w:eastAsia="en-AU"/>
        </w:rPr>
        <w:t>1,006 cm</w:t>
      </w:r>
      <w:r w:rsidRPr="00286A88">
        <w:rPr>
          <w:vertAlign w:val="superscript"/>
          <w:lang w:val="en-AU" w:eastAsia="en-AU"/>
        </w:rPr>
        <w:t>2</w:t>
      </w:r>
      <w:r w:rsidRPr="00286A88">
        <w:rPr>
          <w:lang w:val="en-AU" w:eastAsia="en-AU"/>
        </w:rPr>
        <w:t>), stretch wings (653 to 1,118 cm</w:t>
      </w:r>
      <w:r w:rsidRPr="00286A88">
        <w:rPr>
          <w:vertAlign w:val="superscript"/>
          <w:lang w:val="en-AU" w:eastAsia="en-AU"/>
        </w:rPr>
        <w:t>2</w:t>
      </w:r>
      <w:r w:rsidRPr="00286A88">
        <w:rPr>
          <w:lang w:val="en-AU" w:eastAsia="en-AU"/>
        </w:rPr>
        <w:t>), wing flap (860 to 1,980 cm</w:t>
      </w:r>
      <w:r w:rsidRPr="00286A88">
        <w:rPr>
          <w:vertAlign w:val="superscript"/>
          <w:lang w:val="en-AU" w:eastAsia="en-AU"/>
        </w:rPr>
        <w:t>2</w:t>
      </w:r>
      <w:r w:rsidRPr="00286A88">
        <w:rPr>
          <w:lang w:val="en-AU" w:eastAsia="en-AU"/>
        </w:rPr>
        <w:t>), preen (814 to 1,270 cm</w:t>
      </w:r>
      <w:r w:rsidRPr="00286A88">
        <w:rPr>
          <w:vertAlign w:val="superscript"/>
          <w:lang w:val="en-AU" w:eastAsia="en-AU"/>
        </w:rPr>
        <w:t>2</w:t>
      </w:r>
      <w:r w:rsidRPr="00286A88">
        <w:rPr>
          <w:lang w:val="en-AU" w:eastAsia="en-AU"/>
        </w:rPr>
        <w:t>), and ground scratch (540 to 1,005 cm</w:t>
      </w:r>
      <w:r w:rsidRPr="00286A88">
        <w:rPr>
          <w:vertAlign w:val="superscript"/>
          <w:lang w:val="en-AU" w:eastAsia="en-AU"/>
        </w:rPr>
        <w:t>2</w:t>
      </w:r>
      <w:r w:rsidRPr="00286A88">
        <w:rPr>
          <w:lang w:val="en-AU" w:eastAsia="en-AU"/>
        </w:rPr>
        <w:t>). More recently, in a video kinematic study of white hybrid layers, Mench and Blatchford (2014) determined the space required by hens to stand (563 cm</w:t>
      </w:r>
      <w:r w:rsidRPr="00286A88">
        <w:rPr>
          <w:vertAlign w:val="superscript"/>
          <w:lang w:val="en-AU" w:eastAsia="en-AU"/>
        </w:rPr>
        <w:t>2</w:t>
      </w:r>
      <w:r w:rsidRPr="00286A88">
        <w:rPr>
          <w:lang w:val="en-AU" w:eastAsia="en-AU"/>
        </w:rPr>
        <w:t>), turn around (1,315 cm</w:t>
      </w:r>
      <w:r w:rsidRPr="00286A88">
        <w:rPr>
          <w:vertAlign w:val="superscript"/>
          <w:lang w:val="en-AU" w:eastAsia="en-AU"/>
        </w:rPr>
        <w:t>2</w:t>
      </w:r>
      <w:r w:rsidRPr="00286A88">
        <w:rPr>
          <w:lang w:val="en-AU" w:eastAsia="en-AU"/>
        </w:rPr>
        <w:t>), lie down (318 cm</w:t>
      </w:r>
      <w:r w:rsidRPr="00286A88">
        <w:rPr>
          <w:vertAlign w:val="superscript"/>
          <w:lang w:val="en-AU" w:eastAsia="en-AU"/>
        </w:rPr>
        <w:t>2</w:t>
      </w:r>
      <w:r w:rsidRPr="00286A88">
        <w:rPr>
          <w:lang w:val="en-AU" w:eastAsia="en-AU"/>
        </w:rPr>
        <w:t>), and wing flap (1,693 cm</w:t>
      </w:r>
      <w:r w:rsidRPr="00286A88">
        <w:rPr>
          <w:vertAlign w:val="superscript"/>
          <w:lang w:val="en-AU" w:eastAsia="en-AU"/>
        </w:rPr>
        <w:t>2</w:t>
      </w:r>
      <w:r w:rsidRPr="00286A88">
        <w:rPr>
          <w:lang w:val="en-AU" w:eastAsia="en-AU"/>
        </w:rPr>
        <w:t>). The mean heights utilised were, for standing (34.8 cm), turning (38.6 cm) and wing flapping (49.5 cm). Lohmann Silver hens occupy 545 cm</w:t>
      </w:r>
      <w:r w:rsidRPr="00286A88">
        <w:rPr>
          <w:vertAlign w:val="superscript"/>
          <w:lang w:val="en-AU" w:eastAsia="en-AU"/>
        </w:rPr>
        <w:t xml:space="preserve">2 </w:t>
      </w:r>
      <w:r w:rsidRPr="00286A88">
        <w:rPr>
          <w:lang w:val="en-AU" w:eastAsia="en-AU"/>
        </w:rPr>
        <w:t>when standing (Briese and Hartung, 2009).</w:t>
      </w:r>
    </w:p>
    <w:p w14:paraId="0069629D" w14:textId="77777777" w:rsidR="00286A88" w:rsidRPr="00286A88" w:rsidRDefault="00286A88" w:rsidP="00C90DAD">
      <w:pPr>
        <w:rPr>
          <w:lang w:val="en-AU" w:eastAsia="en-AU"/>
        </w:rPr>
      </w:pPr>
      <w:r w:rsidRPr="00286A88">
        <w:rPr>
          <w:lang w:val="en-AU" w:eastAsia="en-AU"/>
        </w:rPr>
        <w:t>These basic figures do not take into account the capacity of hens to share space (a factor that increases with increasing cage and group size at the same stocking rate, Appleby (2004) which could reduce spatial requirement. But neither do these figures take into account the tendency of hens to cluster and perform behaviours in synchrony (LH4.5), attributes which could increase spatial requirements. Savory et al. (2006) observed hens in groups of 5 or 6 in adjust</w:t>
      </w:r>
      <w:r w:rsidR="002646F8">
        <w:rPr>
          <w:lang w:val="en-AU" w:eastAsia="en-AU"/>
        </w:rPr>
        <w:t>able test pens at 600, 2,400, 4,</w:t>
      </w:r>
      <w:r w:rsidRPr="00286A88">
        <w:rPr>
          <w:lang w:val="en-AU" w:eastAsia="en-AU"/>
        </w:rPr>
        <w:t>800, 7</w:t>
      </w:r>
      <w:r w:rsidR="002646F8">
        <w:rPr>
          <w:lang w:val="en-AU" w:eastAsia="en-AU"/>
        </w:rPr>
        <w:t>,</w:t>
      </w:r>
      <w:r w:rsidRPr="00286A88">
        <w:rPr>
          <w:lang w:val="en-AU" w:eastAsia="en-AU"/>
        </w:rPr>
        <w:t>200, 9,600 and 12,000 cm</w:t>
      </w:r>
      <w:r w:rsidRPr="00286A88">
        <w:rPr>
          <w:vertAlign w:val="superscript"/>
          <w:lang w:val="en-AU" w:eastAsia="en-AU"/>
        </w:rPr>
        <w:t>2</w:t>
      </w:r>
      <w:r w:rsidRPr="00286A88">
        <w:rPr>
          <w:lang w:val="en-AU" w:eastAsia="en-AU"/>
        </w:rPr>
        <w:t>/bird. The greatest constraints were observed at 600 cm</w:t>
      </w:r>
      <w:r w:rsidRPr="00286A88">
        <w:rPr>
          <w:vertAlign w:val="superscript"/>
          <w:lang w:val="en-AU" w:eastAsia="en-AU"/>
        </w:rPr>
        <w:t>2</w:t>
      </w:r>
      <w:r w:rsidRPr="00286A88">
        <w:rPr>
          <w:lang w:val="en-AU" w:eastAsia="en-AU"/>
        </w:rPr>
        <w:t>/bird compared with 2,400 cm</w:t>
      </w:r>
      <w:r w:rsidRPr="00286A88">
        <w:rPr>
          <w:vertAlign w:val="superscript"/>
          <w:lang w:val="en-AU" w:eastAsia="en-AU"/>
        </w:rPr>
        <w:t>2</w:t>
      </w:r>
      <w:r w:rsidRPr="00286A88">
        <w:rPr>
          <w:lang w:val="en-AU" w:eastAsia="en-AU"/>
        </w:rPr>
        <w:t>/bird, but the authors concluded that any space allowance of less than 4,800 cm</w:t>
      </w:r>
      <w:r w:rsidRPr="00286A88">
        <w:rPr>
          <w:vertAlign w:val="superscript"/>
          <w:lang w:val="en-AU" w:eastAsia="en-AU"/>
        </w:rPr>
        <w:t>2</w:t>
      </w:r>
      <w:r w:rsidRPr="00286A88">
        <w:rPr>
          <w:lang w:val="en-AU" w:eastAsia="en-AU"/>
        </w:rPr>
        <w:t>/bird imposed some constraint on behaviour.</w:t>
      </w:r>
    </w:p>
    <w:p w14:paraId="65F8CDC4" w14:textId="77777777" w:rsidR="00286A88" w:rsidRPr="00286A88" w:rsidRDefault="00286A88" w:rsidP="00C90DAD">
      <w:pPr>
        <w:rPr>
          <w:lang w:val="en-AU" w:eastAsia="en-AU"/>
        </w:rPr>
      </w:pPr>
      <w:r w:rsidRPr="00286A88">
        <w:rPr>
          <w:lang w:val="en-AU" w:eastAsia="en-AU"/>
        </w:rPr>
        <w:t>Observations taken of the behaviour of birds in commercial conventional cages confirms that many behavioural activities are constrained. Rhim (2014) compared birds housed at 420, 660 and 940 cm</w:t>
      </w:r>
      <w:r w:rsidRPr="00286A88">
        <w:rPr>
          <w:vertAlign w:val="superscript"/>
          <w:lang w:val="en-AU" w:eastAsia="en-AU"/>
        </w:rPr>
        <w:t>2</w:t>
      </w:r>
      <w:r w:rsidRPr="00286A88">
        <w:rPr>
          <w:lang w:val="en-AU" w:eastAsia="en-AU"/>
        </w:rPr>
        <w:t>/bird (group size 5 in all treatments) and found that comfort movements such as preening, walking and stretching were increased at higher spatial allowances, whilst sleeping and inter-bird pecking were reduced. Appleby et al. (2002) noted more comfort behaviour by hens in small furnished cages than hens in conventional cages. A meta-analysis of 35 separate scientific studies showed that comfort behaviour is performed at a far lower level in conventional cages than other systems (Freire and Cowling, 2013), a finding confirmed in other reviews (Lay et al., 2011) and in more recent papers from China (Li et al., 2016; Meng et al., 2017). Li et al. (2016) reported more walking in all types of FC compared with CC, and more preening, nesting, scratching, perching and social behaviour in some designs of FC compared with CC. Hens do not adapt to spatial restriction, their motivation to do the restricted behaviours shows a compensatory rebound which increases with duration of confinement (Nicol, 1987).</w:t>
      </w:r>
    </w:p>
    <w:p w14:paraId="14FAC2E8" w14:textId="77777777" w:rsidR="00286A88" w:rsidRPr="00286A88" w:rsidRDefault="00286A88" w:rsidP="00C90DAD">
      <w:pPr>
        <w:rPr>
          <w:lang w:val="en-AU" w:eastAsia="en-AU"/>
        </w:rPr>
      </w:pPr>
      <w:r w:rsidRPr="00286A88">
        <w:rPr>
          <w:lang w:val="en-AU" w:eastAsia="en-AU"/>
        </w:rPr>
        <w:t>The lack of resources such as any litter material means that hens cannot show dust-bathing behaviour in conventional cages, although their motivation to do increases with time as indicated by rebound levels of dust-bathing if litter is provided after a period of restriction in a conventional cage (Colson et al., 2007).</w:t>
      </w:r>
    </w:p>
    <w:p w14:paraId="7313F2F4" w14:textId="77777777" w:rsidR="00286A88" w:rsidRPr="00286A88" w:rsidRDefault="00286A88" w:rsidP="00C90DAD">
      <w:pPr>
        <w:rPr>
          <w:lang w:val="en-AU" w:eastAsia="en-AU"/>
        </w:rPr>
      </w:pPr>
      <w:r w:rsidRPr="00286A88">
        <w:rPr>
          <w:lang w:val="en-AU" w:eastAsia="en-AU"/>
        </w:rPr>
        <w:t>Fear responses to novel objects (Colson et al., 2006) and fear responses indicated by tonic immobility (Li et al., 2016) are greater for hens in conventional cages than hens in aviaries (Colson et al., 2006).</w:t>
      </w:r>
    </w:p>
    <w:p w14:paraId="5F5C6F14" w14:textId="77777777" w:rsidR="00286A88" w:rsidRPr="00286A88" w:rsidRDefault="00286A88" w:rsidP="00C90DAD">
      <w:pPr>
        <w:rPr>
          <w:lang w:val="en-AU" w:eastAsia="en-AU"/>
        </w:rPr>
      </w:pPr>
      <w:r w:rsidRPr="00286A88">
        <w:rPr>
          <w:lang w:val="en-AU" w:eastAsia="en-AU"/>
        </w:rPr>
        <w:t>The production of hens kept at a space allowance of 361 cm</w:t>
      </w:r>
      <w:r w:rsidRPr="00286A88">
        <w:rPr>
          <w:vertAlign w:val="superscript"/>
          <w:lang w:val="en-AU" w:eastAsia="en-AU"/>
        </w:rPr>
        <w:t>2</w:t>
      </w:r>
      <w:r w:rsidRPr="00286A88">
        <w:rPr>
          <w:lang w:val="en-AU" w:eastAsia="en-AU"/>
        </w:rPr>
        <w:t>/bird is lower than that of birds kept at 482 cm</w:t>
      </w:r>
      <w:r w:rsidRPr="00286A88">
        <w:rPr>
          <w:vertAlign w:val="superscript"/>
          <w:lang w:val="en-AU" w:eastAsia="en-AU"/>
        </w:rPr>
        <w:t>2</w:t>
      </w:r>
      <w:r w:rsidRPr="00286A88">
        <w:rPr>
          <w:lang w:val="en-AU" w:eastAsia="en-AU"/>
        </w:rPr>
        <w:t>/bird (Anderson et al., 2004) but no differences in feeding behaviour were noted for hens kept at space allowances between 458 and 465 cm</w:t>
      </w:r>
      <w:r w:rsidRPr="00286A88">
        <w:rPr>
          <w:vertAlign w:val="superscript"/>
          <w:lang w:val="en-AU" w:eastAsia="en-AU"/>
        </w:rPr>
        <w:t>2</w:t>
      </w:r>
      <w:r w:rsidRPr="00286A88">
        <w:rPr>
          <w:lang w:val="en-AU" w:eastAsia="en-AU"/>
        </w:rPr>
        <w:t>/bird (Cook et al., 2006).</w:t>
      </w:r>
    </w:p>
    <w:p w14:paraId="781E3697" w14:textId="77777777" w:rsidR="00286A88" w:rsidRPr="00C90DAD" w:rsidRDefault="00286A88" w:rsidP="00C90DAD">
      <w:pPr>
        <w:pStyle w:val="Heading3"/>
      </w:pPr>
      <w:bookmarkStart w:id="51" w:name="_Toc495310520"/>
      <w:r w:rsidRPr="00C90DAD">
        <w:t>LH5.2 Behaviour in furnished or colony cages</w:t>
      </w:r>
      <w:bookmarkEnd w:id="51"/>
    </w:p>
    <w:p w14:paraId="3A214760" w14:textId="77777777" w:rsidR="00286A88" w:rsidRPr="00C90DAD" w:rsidRDefault="00286A88" w:rsidP="00C90DAD">
      <w:pPr>
        <w:rPr>
          <w:i/>
          <w:lang w:val="en-AU" w:eastAsia="en-AU"/>
        </w:rPr>
      </w:pPr>
      <w:r w:rsidRPr="00C90DAD">
        <w:rPr>
          <w:i/>
          <w:lang w:val="en-AU" w:eastAsia="en-AU"/>
        </w:rPr>
        <w:t>Colony cages provide sufficient space to enable hens to show comfort behaviours such as stretching and preening, although other behaviours such as wing flapping are still spatially constrained. Nests and perches go some way to satisfying nesting and roosting motivation but designs could be further improved and layout needs to be considered to avoid competition. The scratching area appears to be insufficient for full expression of foraging and dust-bathing behaviour.</w:t>
      </w:r>
    </w:p>
    <w:p w14:paraId="29BC05EB" w14:textId="77777777" w:rsidR="00286A88" w:rsidRPr="00286A88" w:rsidRDefault="00286A88" w:rsidP="00C90DAD">
      <w:pPr>
        <w:rPr>
          <w:lang w:val="en-AU" w:eastAsia="en-AU"/>
        </w:rPr>
      </w:pPr>
      <w:r w:rsidRPr="00286A88">
        <w:rPr>
          <w:lang w:val="en-AU" w:eastAsia="en-AU"/>
        </w:rPr>
        <w:t>Compared with conventional cages, hens in furnished or colony cages show lower levels of aggression (Hetland et al., 2003; Shimmura et al., 2006), and more comfort behaviour (Shimmura et al., 2006; Shimmura et al., 2007a; Pohle and Cheng, 2009a). They are also more able to dissipate heat during hot weather by adopting appropriate postures (Guo et al., 2012), an effect that halved mortality in one study (Guesdon and Faure, 2004).</w:t>
      </w:r>
    </w:p>
    <w:p w14:paraId="2D3BCC42" w14:textId="77777777" w:rsidR="00286A88" w:rsidRPr="00286A88" w:rsidRDefault="00286A88" w:rsidP="00C90DAD">
      <w:pPr>
        <w:rPr>
          <w:lang w:val="en-AU" w:eastAsia="en-AU"/>
        </w:rPr>
      </w:pPr>
      <w:r w:rsidRPr="00286A88">
        <w:rPr>
          <w:lang w:val="en-AU" w:eastAsia="en-AU"/>
        </w:rPr>
        <w:t>Colony cages provide some of the resources needed to satisfy hens’ behavioural needs, but in a rather minimal form. Although, as noted in section LH5.1, behaviour is far less constrained in a furnished cage than a conventional cage, competition (Shimmura et al., 2007c) and constraints on space can affect full behavioural expressions. Albentosa and Cooper (2004) observed no wing flapping at all in small furnished cages designed to house 8 hens (at 762 cm</w:t>
      </w:r>
      <w:r w:rsidRPr="00286A88">
        <w:rPr>
          <w:vertAlign w:val="superscript"/>
          <w:lang w:val="en-AU" w:eastAsia="en-AU"/>
        </w:rPr>
        <w:t>2</w:t>
      </w:r>
      <w:r w:rsidRPr="00286A88">
        <w:rPr>
          <w:lang w:val="en-AU" w:eastAsia="en-AU"/>
        </w:rPr>
        <w:t>/bird), even when stocking rate was reduced to 2 birds/cage (3,048 cm</w:t>
      </w:r>
      <w:r w:rsidRPr="00286A88">
        <w:rPr>
          <w:vertAlign w:val="superscript"/>
          <w:lang w:val="en-AU" w:eastAsia="en-AU"/>
        </w:rPr>
        <w:t>2</w:t>
      </w:r>
      <w:r w:rsidRPr="00286A88">
        <w:rPr>
          <w:lang w:val="en-AU" w:eastAsia="en-AU"/>
        </w:rPr>
        <w:t>/bird). The rate of performance of other comfort behaviours such as wing stretching and tail wagging decreased with higher stocking rate.</w:t>
      </w:r>
    </w:p>
    <w:p w14:paraId="6A17C92E" w14:textId="77777777" w:rsidR="00286A88" w:rsidRPr="00286A88" w:rsidRDefault="00286A88" w:rsidP="00C90DAD">
      <w:pPr>
        <w:rPr>
          <w:lang w:val="en-AU" w:eastAsia="en-AU"/>
        </w:rPr>
      </w:pPr>
      <w:r w:rsidRPr="00286A88">
        <w:rPr>
          <w:lang w:val="en-AU" w:eastAsia="en-AU"/>
        </w:rPr>
        <w:t xml:space="preserve">Most hens will use the enclosed nest area of a colony cage for egg laying (Abrahamsson and Tauson, 1997; Appleby et al., 2002; Cooper and Appleby, 2003), although a minority prefer to lay eggs in more open locations (Zupan et al., 2008) and occasionally birds end up using nests as a refuge area (Shimmura et al., 2008a). Nest usage has improved since early studies (e.g. 43-68%, Guesdon and Faure, 2004) and now nest usage rates of over 85% are the norm in published studies from Europe, Turkey and Canada (e.g. Wall, 2011; Guinebretiere et al., 2013; </w:t>
      </w:r>
      <w:r w:rsidRPr="00286A88">
        <w:rPr>
          <w:rFonts w:cs="TimesNewRomanPS-BoldMT"/>
          <w:bCs/>
          <w:color w:val="000000"/>
          <w:lang w:val="en-AU" w:eastAsia="en-AU"/>
        </w:rPr>
        <w:t>Onbaşılar</w:t>
      </w:r>
      <w:r w:rsidRPr="00286A88">
        <w:rPr>
          <w:lang w:val="en-AU" w:eastAsia="en-AU"/>
        </w:rPr>
        <w:t xml:space="preserve"> et al., 2015; Alm et al., 2016; Hunniford and Widowski, 2016 (for cage-reared birds). As furnished cages designs have continued to improve, nest usage levels of over 95% have been reported (Platz et al., 2009; Huneau-Salaun et al., 2011b; Bovera et al., 2014). However, detailed attention to design is important and nest use could be further encouraged by the use of artificial turf and other small modifications (Wall et al., 2002; Struelens et al., 2005; Guinebretiere et al., 2013). Plastic nest floors are linked with higher mortality in furnished cages (Guinebretiere et al., 2013). Not all types of nest floor or curtain design have yet been compared although some UK funded studies are ongoing. </w:t>
      </w:r>
      <w:r w:rsidRPr="00286A88">
        <w:rPr>
          <w:rFonts w:cs="Times New Roman"/>
          <w:lang w:val="en-AU" w:eastAsia="en-AU"/>
        </w:rPr>
        <w:t>Hens in FCs may need more than one nest area to show fully settled nesting behaviour (Hunniford and Widowski, 2017).</w:t>
      </w:r>
    </w:p>
    <w:p w14:paraId="2D8DD54F" w14:textId="77777777" w:rsidR="00286A88" w:rsidRPr="00286A88" w:rsidRDefault="00286A88" w:rsidP="00C90DAD">
      <w:pPr>
        <w:rPr>
          <w:rFonts w:eastAsia="Times"/>
          <w:color w:val="000000"/>
          <w:shd w:val="clear" w:color="auto" w:fill="FFFFFF"/>
          <w:lang w:val="en-AU" w:eastAsia="en-AU"/>
        </w:rPr>
      </w:pPr>
      <w:r w:rsidRPr="00286A88">
        <w:rPr>
          <w:rFonts w:eastAsia="Times"/>
          <w:color w:val="000000"/>
          <w:shd w:val="clear" w:color="auto" w:fill="FFFFFF"/>
          <w:lang w:val="en-AU" w:eastAsia="en-AU"/>
        </w:rPr>
        <w:t>Perches are widely used for night-time roosting but have mixed effects on plumage condition, with improvements to feather cover on the back, but reduced condition of the breast and tail areas (Hester et al., 2013). A small number of hens lay whilst perching, which can result in dirty and broken eggs. This problem may be reduced if low (7 cm vs 24 cm) perches are used (Tuyttens et al., 2013) as the resultant increased disturbance of daytime perching leads to a greater utilisation of the nest (Tuyttens et al., 2013). However, this solution is something of a trade-off and it might be better to try to improve the attractiveness of nests for the perch layers. That said, the optimum height of a perch within a cage environment is not known. Low perches are used for night-time roosting and may even be preferred by birds in cages where the distance from the perch to the cage ceiling is a constraint (Chen et al., 2014). The provision of perches within FCs reduces the number of birds that sleep in the nest and improves food conversion efficiency (Valkonen et al., 2009). In calculating the perch length required within a FC, it should be recognised that cross-points cannot be fully used (Struelens et al., 2008a).</w:t>
      </w:r>
    </w:p>
    <w:p w14:paraId="353D0B3F" w14:textId="77777777" w:rsidR="00286A88" w:rsidRPr="00286A88" w:rsidRDefault="00286A88" w:rsidP="00C90DAD">
      <w:pPr>
        <w:rPr>
          <w:lang w:val="en-AU" w:eastAsia="en-AU"/>
        </w:rPr>
      </w:pPr>
      <w:r w:rsidRPr="00286A88">
        <w:rPr>
          <w:lang w:val="en-AU" w:eastAsia="en-AU"/>
        </w:rPr>
        <w:t xml:space="preserve">Providing an area for scratching and foraging activities is also problematic. </w:t>
      </w:r>
      <w:r w:rsidRPr="00286A88">
        <w:rPr>
          <w:color w:val="000000"/>
          <w:lang w:val="en-AU" w:eastAsia="en-AU"/>
        </w:rPr>
        <w:t xml:space="preserve">Most designs of colony cage include a mat placed over an area of wire floor where small amounts of feed are distributed </w:t>
      </w:r>
      <w:r w:rsidRPr="00286A88">
        <w:rPr>
          <w:lang w:val="en-AU" w:eastAsia="en-AU"/>
        </w:rPr>
        <w:t>but these behaviours are rarely expressed in their full form. In addition, Guinebretiere et al. (2012) found that rubber mats were readily destroyed and adding litter only increased wear and tear on the mat. Some cages deliver small amounts of feed as litter material onto an artificial-turf mat in the main area of the cage but this can be rapidly depleted and birds can be excluded from the scratching area by dominant hens (Shimmura et al., 2008a; 2008d).</w:t>
      </w:r>
    </w:p>
    <w:p w14:paraId="01E537AC" w14:textId="77777777" w:rsidR="00286A88" w:rsidRPr="00286A88" w:rsidRDefault="00286A88" w:rsidP="00C90DAD">
      <w:pPr>
        <w:rPr>
          <w:lang w:val="en-AU" w:eastAsia="en-AU"/>
        </w:rPr>
      </w:pPr>
      <w:r w:rsidRPr="00286A88">
        <w:rPr>
          <w:lang w:val="en-AU" w:eastAsia="en-AU"/>
        </w:rPr>
        <w:t xml:space="preserve">Separate dust-bathing facilities are not generally available for hens in colony cages, and the provision of loose materials such as peat or sand is technically difficult and/or has adverse effects on air quality. In addition, individual birds have specific substrate preferences and their dust-bathing behaviour </w:t>
      </w:r>
      <w:r w:rsidRPr="00BE7A1E">
        <w:rPr>
          <w:lang w:val="en-AU" w:eastAsia="en-AU"/>
        </w:rPr>
        <w:t>is influenced by previous experience (Olsson et al., 2002), so finding a solution that suits all birds is not straightforward. Floor-reared birds tend to show more dust-bathing in FCs</w:t>
      </w:r>
      <w:r w:rsidRPr="00286A88">
        <w:rPr>
          <w:lang w:val="en-AU" w:eastAsia="en-AU"/>
        </w:rPr>
        <w:t xml:space="preserve"> than cage reared birds (Roll et al., 2008). Studies that have provided a separate dust-bath within a furnished cage have noted a binomial distribution in usage, with half of tagged birds using the facility very frequently or nearly every day, but the other half rarely if ever using it (Wall et al., 2008). In commercial designs of FC where no separate dust-bath is provided, hens are expected to dust-bathe within the matted area provided for scratching and foraging. This area is normally covered with an artificial turf mat, but these are not always well used for dust-bathing (Alvino et al., 2013; Lee et al., 2016; Louton et al., 2016). Average bout lengths of dust-bathing are approximately one third of the duration of bouts seen in non-cage litter systems (Platz et al., 2009). This lack of use is not due to social exclusion (Olsson and Keeling, 2002b) but rather to inadequate space and substrate provision. Hens in FCs with artificial-turf mats are more likely to perform sham dust-bathing on wire, and more likely to show more frequent but incomplete bouts of dust-bathing (Alvino et al., 2013; Louton et al., 2016) than hens in less constrained conditions provided with fine particulate substrates. Dust-bathing behaviour can be encouraged within a FC environment by, for example, increasing the size of the mats (Louton et al., 2016) or sprinkling quantities of feed, or powdered feed with smaller particulate size (Moroki and Tanaka, 2016b) on the mat. The frequency with which this is done produces a linear increase in dust-bathing behaviour (Lee et al., 2016) but still does not result in ‘normal’ dust-bathing behaviour, and this practice may not be considered a feasible management strategy by some producers. The relatively high lipid content of feed makes it a rather unsuitable substrate for dust-bathing (Scholz et al., 2014b). Rubber mats in the pecking and scratching area of the cage appear to be more accepted by hens for dust-bathing behaviour (Guinebretiere et al., 2015). Another promising approach may be to consider the use of modified floor types (Merrill and Nicol, 2005) or slightly friable (sand, or wood and oyster shell) blocks which stimulate dust-bathing (Guinebretiere et al., 2014) and would seem to have few negative effects on the overall house environment.</w:t>
      </w:r>
    </w:p>
    <w:p w14:paraId="51957569" w14:textId="77777777" w:rsidR="00286A88" w:rsidRPr="00286A88" w:rsidRDefault="00286A88" w:rsidP="00C90DAD">
      <w:pPr>
        <w:rPr>
          <w:lang w:val="en-AU" w:eastAsia="en-AU"/>
        </w:rPr>
      </w:pPr>
      <w:r w:rsidRPr="00286A88">
        <w:rPr>
          <w:lang w:val="en-AU" w:eastAsia="en-AU"/>
        </w:rPr>
        <w:t>As group size increases within a colony-cage environment, indices of stress have been reported to increase (Scholtz et al., 2008a) but not to levels seen in small group furnished cages (Scholz et al., 2008a). In addition, birds within larger colonies (and larger cages) have more room for locomotion and movement</w:t>
      </w:r>
      <w:r w:rsidRPr="00286A88">
        <w:rPr>
          <w:rFonts w:cs="Times New Roman"/>
          <w:color w:val="000000"/>
          <w:lang w:val="en-AU" w:eastAsia="en-AU"/>
        </w:rPr>
        <w:t xml:space="preserve"> (Weitzenburger et al., 2006a; Shimmura et al., 2009). Bovera et al. (2014) compared hens housed in groups of 25 or 40 (at the same 750 cm</w:t>
      </w:r>
      <w:r w:rsidRPr="00286A88">
        <w:rPr>
          <w:rFonts w:cs="Times New Roman"/>
          <w:color w:val="000000"/>
          <w:vertAlign w:val="superscript"/>
          <w:lang w:val="en-AU" w:eastAsia="en-AU"/>
        </w:rPr>
        <w:t>2</w:t>
      </w:r>
      <w:r w:rsidRPr="00286A88">
        <w:rPr>
          <w:rFonts w:cs="Times New Roman"/>
          <w:color w:val="000000"/>
          <w:lang w:val="en-AU" w:eastAsia="en-AU"/>
        </w:rPr>
        <w:t>/bird spatial allowance) and found no differences in mortality. They did not assess indices of stress but they did note that a slightly lower proportion of eggs laid outside the nests in the groups of 40 (1.9% vs 2.6%).</w:t>
      </w:r>
    </w:p>
    <w:p w14:paraId="6DC61243" w14:textId="77777777" w:rsidR="00286A88" w:rsidRPr="00286A88" w:rsidRDefault="00286A88" w:rsidP="00C90DAD">
      <w:pPr>
        <w:pStyle w:val="Heading3"/>
        <w:rPr>
          <w:rFonts w:ascii="Times New Roman" w:hAnsi="Times New Roman"/>
          <w:sz w:val="24"/>
          <w:szCs w:val="24"/>
          <w:lang w:val="en-AU" w:eastAsia="en-GB"/>
        </w:rPr>
      </w:pPr>
      <w:bookmarkStart w:id="52" w:name="_Toc495310521"/>
      <w:r w:rsidRPr="00286A88">
        <w:rPr>
          <w:lang w:val="en-AU" w:eastAsia="en-GB"/>
        </w:rPr>
        <w:t>LH5.3 Behaviour in non-cage systems</w:t>
      </w:r>
      <w:bookmarkEnd w:id="52"/>
    </w:p>
    <w:p w14:paraId="62B7925E" w14:textId="77777777" w:rsidR="00286A88" w:rsidRPr="00615953" w:rsidRDefault="00286A88" w:rsidP="00615953">
      <w:pPr>
        <w:rPr>
          <w:i/>
          <w:lang w:val="en-AU" w:eastAsia="en-AU"/>
        </w:rPr>
      </w:pPr>
      <w:r w:rsidRPr="00615953">
        <w:rPr>
          <w:i/>
          <w:lang w:val="en-AU" w:eastAsia="en-AU"/>
        </w:rPr>
        <w:t>Behaviour in non-cage systems is relatively unconstrained although individual birds may not access all areas of the house. Welfare problems of injurious pecking and smothering, and production losses due to floor eggs can arise. Good management of non-cage systems is challenging.</w:t>
      </w:r>
    </w:p>
    <w:p w14:paraId="37770E12" w14:textId="77777777" w:rsidR="00286A88" w:rsidRPr="00286A88" w:rsidRDefault="00286A88" w:rsidP="00615953">
      <w:pPr>
        <w:rPr>
          <w:lang w:val="en-AU" w:eastAsia="en-AU"/>
        </w:rPr>
      </w:pPr>
      <w:r w:rsidRPr="00286A88">
        <w:rPr>
          <w:lang w:val="en-AU" w:eastAsia="en-AU"/>
        </w:rPr>
        <w:t>Non-cage systems provide sufficient space for all locomotor and comfort activities, and provide birds with access to the resources required for their priority behaviours – foraging, perching, nesting and dust-bathing. MT systems also provide birds with options for refuge if they are being attacked (Freire et al., 2003). The provision of a litter area for foraging may be one of the most significant benefits of a non-cage system. However, litter areas are not always easy to manage and can become compacted and damp, a risk that increases with stocking rate (Kang et al., 2016). The fear levels of birds with damp litter are higher than those of birds kept with dry, friable litter floors (Campo et al., 2009).</w:t>
      </w:r>
    </w:p>
    <w:p w14:paraId="6D638DEC" w14:textId="77777777" w:rsidR="00286A88" w:rsidRPr="00286A88" w:rsidRDefault="00286A88" w:rsidP="00615953">
      <w:pPr>
        <w:rPr>
          <w:lang w:val="en-AU" w:eastAsia="en-AU"/>
        </w:rPr>
      </w:pPr>
      <w:r w:rsidRPr="00286A88">
        <w:rPr>
          <w:lang w:val="en-AU" w:eastAsia="en-AU"/>
        </w:rPr>
        <w:t xml:space="preserve">Aggressive behaviour is generally infrequent in non-cage systems. Actual fights are rare and one quantitative assessment of previous studies found the risk of aggressive pecking to be no greater than in caged systems (Freire and Cowling, 2013). However, a more recent paper reported greater feather damage on the head (likely caused by aggressive pecking) in aviary systems than in furnished or conventional cages (Blatchford et al., 2016). Aggressive threats and pecks occur at rates of less than one interaction per bird per hour in many large or commercial flocks (Carmichael et al., 1999; Hughes et al., 1997; Nicol et al., 1999; Oden et al., 2000; Zimmerman et al., 2006; Rodenburg and Koene, 2007). If aggression does occur it is most likely to do so at points of resource competition (Lentfer et al., 2013) and can be targeted at a </w:t>
      </w:r>
      <w:r w:rsidRPr="00286A88">
        <w:rPr>
          <w:rFonts w:cs="Garamond"/>
          <w:lang w:val="en-AU" w:eastAsia="en-AU"/>
        </w:rPr>
        <w:t>minority of birds who receive a disproportionate amount of aggression (Estevez et al., 2003; Freire et al., 2003; Appleby et al., 2004). Their welfare is a cause of considerable concern. These victimised birds often scurry rapidly from one hiding place to another, their abnormal behaviour seemingly attracting further aggression as they attempt to find shelter under fittings or in nestboxes. They may rarely venture out for food and water due to the extreme risk of attack.</w:t>
      </w:r>
    </w:p>
    <w:p w14:paraId="1F487838" w14:textId="77777777" w:rsidR="00286A88" w:rsidRPr="00286A88" w:rsidRDefault="00286A88" w:rsidP="00615953">
      <w:pPr>
        <w:rPr>
          <w:lang w:val="en-AU" w:eastAsia="en-AU"/>
        </w:rPr>
      </w:pPr>
      <w:r w:rsidRPr="00286A88">
        <w:rPr>
          <w:lang w:val="en-AU" w:eastAsia="en-AU"/>
        </w:rPr>
        <w:t>Bird distribution is not always even within a non-cage system (Channing et al., 2001; Lentfer et al., 2013) and individual birds may restrict themselves to certain locations within the house (Oden et al., 2000; Freire et al., 2003) though birds do not tend to stay in social subgroups. The risk of injurious pecking and cannibalism is higher in non-cage systems, particularly if hens have intact beaks, because a bird that engages in this harmful behaviour has access to many more potential “victims” than a bird in a cage.</w:t>
      </w:r>
    </w:p>
    <w:p w14:paraId="3A38BBF5" w14:textId="77777777" w:rsidR="00286A88" w:rsidRPr="00286A88" w:rsidRDefault="00286A88" w:rsidP="00615953">
      <w:pPr>
        <w:rPr>
          <w:lang w:val="en-AU" w:eastAsia="en-AU"/>
        </w:rPr>
      </w:pPr>
      <w:r w:rsidRPr="00286A88">
        <w:rPr>
          <w:lang w:val="en-AU" w:eastAsia="en-AU"/>
        </w:rPr>
        <w:t>Non-cage systems are associated with a higher occurrence of smothering problems (LH3.2).</w:t>
      </w:r>
    </w:p>
    <w:p w14:paraId="2D8F8803" w14:textId="77777777" w:rsidR="00286A88" w:rsidRPr="00286A88" w:rsidRDefault="00286A88" w:rsidP="00615953">
      <w:pPr>
        <w:rPr>
          <w:rFonts w:eastAsia="Times"/>
          <w:lang w:val="en-AU" w:eastAsia="en-AU"/>
        </w:rPr>
      </w:pPr>
      <w:r w:rsidRPr="00286A88">
        <w:rPr>
          <w:rFonts w:eastAsia="Times"/>
          <w:lang w:val="en-AU" w:eastAsia="en-AU"/>
        </w:rPr>
        <w:t>If some hens do not use the nest boxes within a non-cage system then the resultant floor eggs are difficult to collect and likely to be dirty or broken. A small minority of birds appear to find enclosed nest boxes unsuitable for laying, such birds also appear to be more restless (Zupan et al., 2008) but just as motivated to reach an open nesting site as the majority of birds are to reach an enclosed nest (</w:t>
      </w:r>
      <w:r w:rsidRPr="00286A88">
        <w:rPr>
          <w:rFonts w:eastAsia="Times"/>
          <w:color w:val="000000"/>
          <w:shd w:val="clear" w:color="auto" w:fill="FFFFFF"/>
          <w:lang w:val="en-AU" w:eastAsia="en-AU"/>
        </w:rPr>
        <w:t>Kruschwitz et al., 2008)</w:t>
      </w:r>
      <w:r w:rsidRPr="00286A88">
        <w:rPr>
          <w:rFonts w:eastAsia="Times"/>
          <w:lang w:val="en-AU" w:eastAsia="en-AU"/>
        </w:rPr>
        <w:t>. Increased pre-lay restlessness is not associated with elevated stress (Cronin et al., 2012) and may simply reflect a different nesting strategy adopted by a minority of hens. If some types or positions of commercially-provided nests are not accepted by hens, this can lead to crowding and gregarious nesting in the more preferred locations, particularly locations at the ends of rows or on the boundaries of outdoor pens (Clausen and Riber, 2012</w:t>
      </w:r>
      <w:r w:rsidR="002646F8">
        <w:rPr>
          <w:rFonts w:eastAsia="Times"/>
          <w:lang w:val="en-AU" w:eastAsia="en-AU"/>
        </w:rPr>
        <w:t>; Riber, 2012</w:t>
      </w:r>
      <w:r w:rsidR="000B0B33">
        <w:rPr>
          <w:rFonts w:eastAsia="Times"/>
          <w:lang w:val="en-AU" w:eastAsia="en-AU"/>
        </w:rPr>
        <w:t>a; 2012b</w:t>
      </w:r>
      <w:r w:rsidRPr="00286A88">
        <w:rPr>
          <w:rFonts w:eastAsia="Times"/>
          <w:lang w:val="en-AU" w:eastAsia="en-AU"/>
        </w:rPr>
        <w:t>), with a likely concomitant increase in the risk of smothering. In the immediate period after the onset of lay, young birds are attracted to nests which are already occupied by other birds though, with time, this tendency towards gregarious nesting declines as individuals develop their own nest-box preferences (Riber, 2010). In commercial non-cage systems large group nests are the norm, despite the preference of many individual hens for smaller or partitioned nests, particularly during early lay</w:t>
      </w:r>
      <w:r w:rsidRPr="00286A88">
        <w:rPr>
          <w:rFonts w:eastAsia="Times"/>
          <w:color w:val="000000"/>
          <w:shd w:val="clear" w:color="auto" w:fill="FFFFFF"/>
          <w:lang w:val="en-AU" w:eastAsia="en-AU"/>
        </w:rPr>
        <w:t xml:space="preserve"> (Ringgenberg et al., 2014; 2015b).</w:t>
      </w:r>
    </w:p>
    <w:p w14:paraId="7661A50B" w14:textId="77777777" w:rsidR="00286A88" w:rsidRPr="00286A88" w:rsidRDefault="00286A88" w:rsidP="00615953">
      <w:pPr>
        <w:rPr>
          <w:rFonts w:eastAsia="Times"/>
          <w:lang w:val="en-AU" w:eastAsia="en-AU"/>
        </w:rPr>
      </w:pPr>
      <w:r w:rsidRPr="00286A88">
        <w:rPr>
          <w:rFonts w:eastAsia="Times"/>
          <w:lang w:val="en-AU" w:eastAsia="en-AU"/>
        </w:rPr>
        <w:t>Improving nest box design e.g. with provision of preferred design features e.g. yellow nest walls (Huber-Eicher, 2004; Zupan et al., 2007), rubber or artificial grass rather than plastic nest floors (Buchwalder and Frohlich, 2011) and a relatively shallow slope of the floor (St</w:t>
      </w:r>
      <w:r w:rsidR="00DE4720" w:rsidRPr="00DE4720">
        <w:rPr>
          <w:rFonts w:eastAsia="Times"/>
          <w:lang w:val="en-AU" w:eastAsia="en-AU"/>
        </w:rPr>
        <w:t>äm</w:t>
      </w:r>
      <w:r w:rsidRPr="00286A88">
        <w:rPr>
          <w:rFonts w:eastAsia="Times"/>
          <w:lang w:val="en-AU" w:eastAsia="en-AU"/>
        </w:rPr>
        <w:t xml:space="preserve">pfli et al., 2011) are all features that hens prefer. The most important influence on nest selection, however, appears to be the provision of some form of nesting material (Freire et al., 1996; Struelens et al., 2008b). The sight alone of nesting material can trigger nesting behaviour in some birds (Hughes et al., 1995). Straw is preferred over peat or wood-shavings as a nesting material (Clausen and Riber, 2012). When hens nest in preferred locations their nesting behaviour is more settled and, contrary to the lack of association seen between restlessness and physiological stress during the pre-lay period, interrupted and restless nesting behaviour is associated with an increase in measures of physiological stress (Cronin et al., 2012). Accommodating hens’ nesting preferences also has the potential to increase nest usage and reduce the proportion of eggs laid elsewhere. </w:t>
      </w:r>
      <w:r w:rsidRPr="00286A88">
        <w:rPr>
          <w:rFonts w:eastAsia="Times"/>
          <w:color w:val="000000"/>
          <w:shd w:val="clear" w:color="auto" w:fill="FFFFFF"/>
          <w:lang w:val="en-AU" w:eastAsia="en-AU"/>
        </w:rPr>
        <w:t xml:space="preserve">In many commercial systems nests have thick and opaque plastic strips (curtains) hanging over the nest entrance, providing an even greater degree of seclusion. The presence of such strips neither encourages nor discourages egg laying (Struelens et al., 2005) but does seem to result in more settled nesting behaviour (Struelens et al., 2008b). A closed front curtain provides the greatest degree of seclusion but limits important nest inspections that are made </w:t>
      </w:r>
      <w:r w:rsidRPr="00E716AB">
        <w:rPr>
          <w:rFonts w:eastAsia="Times"/>
          <w:color w:val="000000"/>
          <w:shd w:val="clear" w:color="auto" w:fill="FFFFFF"/>
          <w:lang w:val="en-AU" w:eastAsia="en-AU"/>
        </w:rPr>
        <w:t>possible by curtain strips (St</w:t>
      </w:r>
      <w:r w:rsidR="00E67EB6" w:rsidRPr="00E716AB">
        <w:rPr>
          <w:rFonts w:eastAsia="Times"/>
          <w:color w:val="000000"/>
          <w:shd w:val="clear" w:color="auto" w:fill="FFFFFF"/>
          <w:lang w:val="en-AU" w:eastAsia="en-AU"/>
        </w:rPr>
        <w:t>äm</w:t>
      </w:r>
      <w:r w:rsidRPr="00E716AB">
        <w:rPr>
          <w:rFonts w:eastAsia="Times"/>
          <w:color w:val="000000"/>
          <w:shd w:val="clear" w:color="auto" w:fill="FFFFFF"/>
          <w:lang w:val="en-AU" w:eastAsia="en-AU"/>
        </w:rPr>
        <w:t xml:space="preserve">pfli et al., 2012). </w:t>
      </w:r>
      <w:r w:rsidRPr="00E716AB">
        <w:rPr>
          <w:rFonts w:eastAsia="Times"/>
          <w:lang w:val="en-AU" w:eastAsia="en-AU"/>
        </w:rPr>
        <w:t>It should also be</w:t>
      </w:r>
      <w:r w:rsidRPr="00286A88">
        <w:rPr>
          <w:rFonts w:eastAsia="Times"/>
          <w:lang w:val="en-AU" w:eastAsia="en-AU"/>
        </w:rPr>
        <w:t xml:space="preserve"> recognised that hens in non-cage systems have strong preferences for the nest boxes positioned at the ends of the row, independent of other features (Clausen and Riber, 2012). </w:t>
      </w:r>
      <w:r w:rsidRPr="00286A88">
        <w:rPr>
          <w:rFonts w:eastAsia="Times"/>
          <w:color w:val="000000"/>
          <w:shd w:val="clear" w:color="auto" w:fill="FFFFFF"/>
          <w:lang w:val="en-AU" w:eastAsia="en-AU"/>
        </w:rPr>
        <w:t>It may be that these are the most memorable positions and that hens use location cues to ensure they return to the same nest on subsequent days. However, attempts to assist hens use the same nest by providing more subtle visual cues were not successful (Ringgenberg et al., 2015a). Location or position cues may take precedence as a memory aid. Alternatively, this preference for corner boxes might derive from a perception that they offer a reduced risk of predation or disturbance (Riber and Nielsen, 2013).</w:t>
      </w:r>
    </w:p>
    <w:p w14:paraId="1B057B8D" w14:textId="77777777" w:rsidR="00286A88" w:rsidRPr="00286A88" w:rsidRDefault="00286A88" w:rsidP="00615953">
      <w:pPr>
        <w:rPr>
          <w:lang w:val="en-AU" w:eastAsia="en-AU"/>
        </w:rPr>
      </w:pPr>
      <w:r w:rsidRPr="00286A88">
        <w:rPr>
          <w:lang w:val="en-AU" w:eastAsia="en-AU"/>
        </w:rPr>
        <w:t>Acceptance of nest boxes can be encouraged by providing perches or raised tiers during the rearing period to allow birds to practice the stepping and hopping movements that may be needed to access nest boxes (Gunnarsson et al., 1999; Colson et al., 2008) and by making nest access as easy as possible in the commercial house e.g. by placing platforms rather than perches just outside the nests (Lentfer et al., 2011; St</w:t>
      </w:r>
      <w:r w:rsidR="00DE4720" w:rsidRPr="00DE4720">
        <w:rPr>
          <w:lang w:val="en-AU" w:eastAsia="en-AU"/>
        </w:rPr>
        <w:t>äm</w:t>
      </w:r>
      <w:r w:rsidRPr="00286A88">
        <w:rPr>
          <w:lang w:val="en-AU" w:eastAsia="en-AU"/>
        </w:rPr>
        <w:t>pfli et al., 2013). Strategies for managing birds on first arrival in the house are also essential. Allowing birds to inspect nests before the onset of sexual maturity is also beneficial (Sherwin and Nicol, 1993). When new birds arrive in the house, practices such as confining birds to the slatted areas near the nest boxes, not allowing access to litter substrates, not allowing access to the outdoor range, placing electrified wires on parts of the litter floor where eggs might be laid can inadvertently increase the risk of injurious pecking. Modifying these practices (e.g. to allow newly housed birds access to litter during afternoon periods when most egg laying has finished) can help solve both problems (Lambton et al., 2013).</w:t>
      </w:r>
    </w:p>
    <w:p w14:paraId="3C61A112" w14:textId="77777777" w:rsidR="00286A88" w:rsidRPr="00286A88" w:rsidRDefault="00286A88" w:rsidP="00615953">
      <w:pPr>
        <w:rPr>
          <w:lang w:val="en-AU" w:eastAsia="en-AU"/>
        </w:rPr>
      </w:pPr>
      <w:r w:rsidRPr="00286A88">
        <w:rPr>
          <w:lang w:val="en-AU" w:eastAsia="en-AU"/>
        </w:rPr>
        <w:t>There have been few studies directly comparing the behaviour of birds in single tier (ST) and multi-tier (MT) systems. One study found lower levels of SFP in MT than ST systems (de Haas et al., 2014a). MT systems provide more perching space but bird movement can also be constrained by the structural features of the system and birds may not access all areas of the house. In free-range units, birds from MT systems may not see or be able easily to access, the popholes, for example.</w:t>
      </w:r>
    </w:p>
    <w:p w14:paraId="086D0902" w14:textId="77777777" w:rsidR="00286A88" w:rsidRPr="00A4483E" w:rsidRDefault="00286A88" w:rsidP="00615953">
      <w:pPr>
        <w:pStyle w:val="Heading3"/>
        <w:rPr>
          <w:rFonts w:ascii="Times New Roman" w:hAnsi="Times New Roman"/>
          <w:sz w:val="24"/>
          <w:szCs w:val="24"/>
          <w:lang w:val="en-AU" w:eastAsia="en-GB"/>
        </w:rPr>
      </w:pPr>
      <w:bookmarkStart w:id="53" w:name="_Toc495310522"/>
      <w:r w:rsidRPr="00A4483E">
        <w:rPr>
          <w:lang w:val="en-AU" w:eastAsia="en-GB"/>
        </w:rPr>
        <w:t>LH5.4 Behaviour in free-range systems</w:t>
      </w:r>
      <w:bookmarkEnd w:id="53"/>
    </w:p>
    <w:p w14:paraId="59FF408E" w14:textId="77777777" w:rsidR="00286A88" w:rsidRPr="00AA6E07" w:rsidRDefault="00286A88" w:rsidP="00AA6E07">
      <w:pPr>
        <w:rPr>
          <w:i/>
          <w:lang w:val="en-AU" w:eastAsia="en-GB"/>
        </w:rPr>
      </w:pPr>
      <w:r w:rsidRPr="00A4483E">
        <w:rPr>
          <w:i/>
          <w:lang w:val="en-AU" w:eastAsia="en-GB"/>
        </w:rPr>
        <w:t xml:space="preserve">Range access has benefits in reducing overall stocking density and greatly increased opportunities </w:t>
      </w:r>
      <w:r w:rsidR="002646F8" w:rsidRPr="00A4483E">
        <w:rPr>
          <w:i/>
          <w:lang w:val="en-AU" w:eastAsia="en-GB"/>
        </w:rPr>
        <w:t xml:space="preserve">for </w:t>
      </w:r>
      <w:r w:rsidRPr="00A4483E">
        <w:rPr>
          <w:i/>
          <w:lang w:val="en-AU" w:eastAsia="en-GB"/>
        </w:rPr>
        <w:t>birds to perform foraging, exploratory and dust-bathing behaviours. This reduces the risks of injurious pecking. The benefits of outdoor access have to be weighed against risks o</w:t>
      </w:r>
      <w:r w:rsidR="00AC720E" w:rsidRPr="00A4483E">
        <w:rPr>
          <w:i/>
          <w:lang w:val="en-AU" w:eastAsia="en-GB"/>
        </w:rPr>
        <w:t>f disease and predation. Veranda</w:t>
      </w:r>
      <w:r w:rsidRPr="00A4483E">
        <w:rPr>
          <w:i/>
          <w:lang w:val="en-AU" w:eastAsia="en-GB"/>
        </w:rPr>
        <w:t xml:space="preserve"> systems may provide better overall welfare than free-range in some environments.</w:t>
      </w:r>
    </w:p>
    <w:p w14:paraId="305C7595" w14:textId="77777777" w:rsidR="00286A88" w:rsidRPr="00286A88" w:rsidRDefault="00286A88" w:rsidP="00AA6E07">
      <w:pPr>
        <w:rPr>
          <w:lang w:val="en-AU" w:eastAsia="en-GB"/>
        </w:rPr>
      </w:pPr>
      <w:r w:rsidRPr="00286A88">
        <w:rPr>
          <w:lang w:val="en-AU" w:eastAsia="en-GB"/>
        </w:rPr>
        <w:t>Access to the outdoors allows hens to spread out to preferred distances when foraging, typically greater than 5,000 cm</w:t>
      </w:r>
      <w:r w:rsidRPr="00286A88">
        <w:rPr>
          <w:bdr w:val="none" w:sz="0" w:space="0" w:color="auto" w:frame="1"/>
          <w:vertAlign w:val="superscript"/>
          <w:lang w:val="en-AU" w:eastAsia="en-GB"/>
        </w:rPr>
        <w:t>2</w:t>
      </w:r>
      <w:r w:rsidRPr="00286A88">
        <w:rPr>
          <w:lang w:val="en-AU" w:eastAsia="en-GB"/>
        </w:rPr>
        <w:t>/hen (Savory et al., 2006), and greatly expands behavioural options, especially if the range offers a variety of plant types (Breitsameter et al., 2014). On good quality range, hens may spend much of their active day engaged in foraging behaviour, searching for, investigating, selecting, extracting, and ingesting preferred food items (e.g., grass seeds, earthworms, and flying insects). They also ingest grit, engage in sun bathing and dust-bathing outdoors and fear levels have been reported to be lower than in barn systems (Ferrante et al., 2009). However, mortality due to predation has been recorded as ranging from 2% (Moberly et al., 2004) to 6% (Defra, 2015; see LH3.2). Many of the benefits of free-range may also accrue in veranda or ‘winter garden’ systems  with potentially lower predation mortality (verandas are often better utilised than the range area (Steenfeldt and Nielsen, 2015a) but there has been little published research on systems (such as the Rondeel</w:t>
      </w:r>
      <w:r w:rsidRPr="00286A88">
        <w:rPr>
          <w:vertAlign w:val="superscript"/>
          <w:lang w:val="en-AU" w:eastAsia="en-GB"/>
        </w:rPr>
        <w:t>TM</w:t>
      </w:r>
      <w:r w:rsidRPr="00286A88">
        <w:rPr>
          <w:lang w:val="en-AU" w:eastAsia="en-GB"/>
        </w:rPr>
        <w:t>) that provide a veranda instead of a full range area. There is also little information on mortality due to predation under Australian conditions.</w:t>
      </w:r>
    </w:p>
    <w:p w14:paraId="6617A17B" w14:textId="77777777" w:rsidR="00286A88" w:rsidRPr="00286A88" w:rsidRDefault="00286A88" w:rsidP="00AA6E07">
      <w:pPr>
        <w:rPr>
          <w:lang w:val="en-AU" w:eastAsia="en-GB"/>
        </w:rPr>
      </w:pPr>
      <w:r w:rsidRPr="00286A88">
        <w:rPr>
          <w:lang w:val="en-AU" w:eastAsia="en-GB"/>
        </w:rPr>
        <w:t>Good use of the range significantly reduces the risk of injurious pecking and cannibalism in adult laying hens (Green et al., 2000; Bestman and Wagenaar, 2003; Nicol et al., 2003; Pettersson et al., 2016) and birds that use the range more have improved plumage cover (Rodriguez-Aurrekoetxea and Estevez, 2016). One strategy to increase range use is to limit flock size, as individuals in smaller flocks tend to spend longer on the range (Bestman and Wagenaar, 2003; Gebhardt-Henrich et al., 2014). They may also visit the range more frequently so that an overall higher proportion of the flock is observed on the range area at any one time (Gilani et al., 2014; Steenfeldt and Nielsen 2015a). Range use is also enhanced by lower interior stocking rate (</w:t>
      </w:r>
      <w:r w:rsidR="002646F8" w:rsidRPr="00286A88">
        <w:rPr>
          <w:lang w:val="en-AU" w:eastAsia="en-GB"/>
        </w:rPr>
        <w:t>Gilani et al., 2014</w:t>
      </w:r>
      <w:r w:rsidR="002646F8">
        <w:rPr>
          <w:lang w:val="en-AU" w:eastAsia="en-GB"/>
        </w:rPr>
        <w:t>; Steenfeldt and Nielsen 2015a</w:t>
      </w:r>
      <w:r w:rsidRPr="00286A88">
        <w:rPr>
          <w:lang w:val="en-AU" w:eastAsia="en-GB"/>
        </w:rPr>
        <w:t>) and the provision of more (easily accessible) pop-holes (Gilani et al., 2014). In small experimental trials with individually tagged birds, range use was also increased if outdoor stocking rates were lower. Longer periods of time, and a greater overall time spent outdoors, was achieved at an equivalent stocking rate of 2,000 hens/ha than at equivalent stocking rates of 10,000 or 20,000 hens/ha (Campbell et al., 2017). However, an alternative study found greater range use in birds housed with maximum outdoor stocking rates of &gt;1,000 hens/ha than with &lt;1,000/ha (Sherwin et al., 2013). At very low outdoor stocking rates, birds may be deterred from ranging by a lack of companions. From April 2018, eggs labelled as free-range in Australia must have maximum outdoor stocking rates of no more than 10,000 hens/ha but the effects of outdoor stocking rates on bird welfare would benefit from further study.</w:t>
      </w:r>
    </w:p>
    <w:p w14:paraId="339AC90C" w14:textId="77777777" w:rsidR="00286A88" w:rsidRPr="00286A88" w:rsidRDefault="00286A88" w:rsidP="00AA6E07">
      <w:pPr>
        <w:rPr>
          <w:lang w:val="en-AU" w:eastAsia="en-GB"/>
        </w:rPr>
      </w:pPr>
      <w:r w:rsidRPr="00286A88">
        <w:rPr>
          <w:lang w:val="en-AU" w:eastAsia="en-GB"/>
        </w:rPr>
        <w:t>Range use in adult birds is enhanced by early exposure to the range during the rearing period (Gilani et al., 2013). Range use is also enhanced by trees, bushes, and artificial cover structures (Nicol et al., 2003; Zeltner and Hirt, 2008</w:t>
      </w:r>
      <w:r w:rsidR="000B0B33">
        <w:rPr>
          <w:lang w:val="en-AU" w:eastAsia="en-GB"/>
        </w:rPr>
        <w:t>b</w:t>
      </w:r>
      <w:r w:rsidRPr="00286A88">
        <w:rPr>
          <w:lang w:val="en-AU" w:eastAsia="en-GB"/>
        </w:rPr>
        <w:t>; Gilani et al., 2014) that provide shade and some protection from aerial predators. The perceived threat of aerial predators will lead birds to run back towards the house (Zeltner and Hirt, 2008</w:t>
      </w:r>
      <w:r w:rsidR="000B0B33">
        <w:rPr>
          <w:lang w:val="en-AU" w:eastAsia="en-GB"/>
        </w:rPr>
        <w:t>b</w:t>
      </w:r>
      <w:r w:rsidRPr="00286A88">
        <w:rPr>
          <w:lang w:val="en-AU" w:eastAsia="en-GB"/>
        </w:rPr>
        <w:t>). Bright et al. (2011) found a positive correlation between plumage quality and the percent of canopy provided by young trees in planted areas on the range. In a follow-up study of over 1</w:t>
      </w:r>
      <w:r w:rsidR="002646F8">
        <w:rPr>
          <w:lang w:val="en-AU" w:eastAsia="en-GB"/>
        </w:rPr>
        <w:t>,</w:t>
      </w:r>
      <w:r w:rsidRPr="00286A88">
        <w:rPr>
          <w:lang w:val="en-AU" w:eastAsia="en-GB"/>
        </w:rPr>
        <w:t>000 flocks (Bright et al., 2016) the development of the tree canopy was followed as the trees matured. A positive correlation was again noted between plumage quality and the percent of canopy in the planted areas of the range, though there was no relation between plumage quality and the overall area of the range that had been planted with trees, suggesting that the effect was due to improved quality of available cover. In Australian conditions, vertical structures placed on the range were highly attractive to hens and could be used to alter patterns of bird distribution (Rault et al., 2013).</w:t>
      </w:r>
    </w:p>
    <w:p w14:paraId="541F9146" w14:textId="77777777" w:rsidR="00286A88" w:rsidRDefault="00286A88" w:rsidP="00AA6E07">
      <w:pPr>
        <w:rPr>
          <w:lang w:val="en-AU" w:eastAsia="en-GB"/>
        </w:rPr>
      </w:pPr>
      <w:r w:rsidRPr="00286A88">
        <w:rPr>
          <w:lang w:val="en-AU" w:eastAsia="en-GB"/>
        </w:rPr>
        <w:t>It remains the case that the use of the range by individual birds is highly variable. Gebhardt-Henrich et al. (2014) reported that between 47% and 90% of hens from a sample of 12 flocks (flock size 2,000 – 18,000) visited the range at least once during a 3 week monitoring period. In trials of small experimental flocks Campbell et al. (2017) reported that 2% of birds (from flocks of 150) never used the range, whilst 80% of birds used the range daily when outdoor stocking rate was low, whilst Hartcher et al. (2016a) found that 95% of hens (from groups of 50) accessed the range more than once a day. Rodriguez-Aurrekoetxea and Estevez (2016) found that half of birds in commercial free-range flocks did not use the range at all. Birds with higher fear levels were less likely to spend time on the range (Hartcher et al., 2016a).</w:t>
      </w:r>
    </w:p>
    <w:p w14:paraId="5A1501F2" w14:textId="77777777" w:rsidR="00286A88" w:rsidRPr="00286A88" w:rsidRDefault="00363E7D" w:rsidP="00363E7D">
      <w:pPr>
        <w:pStyle w:val="Heading2"/>
        <w:rPr>
          <w:lang w:val="en-AU" w:eastAsia="en-AU"/>
        </w:rPr>
      </w:pPr>
      <w:r>
        <w:rPr>
          <w:lang w:val="en-AU" w:eastAsia="en-GB"/>
        </w:rPr>
        <w:br w:type="column"/>
      </w:r>
      <w:bookmarkStart w:id="54" w:name="_Toc495310523"/>
      <w:r w:rsidR="00286A88" w:rsidRPr="00286A88">
        <w:rPr>
          <w:lang w:val="en-AU" w:eastAsia="en-AU"/>
        </w:rPr>
        <w:t>LH6. Fear and Distress</w:t>
      </w:r>
      <w:bookmarkEnd w:id="54"/>
    </w:p>
    <w:p w14:paraId="72F880BF" w14:textId="77777777" w:rsidR="00286A88" w:rsidRPr="00AA6E07" w:rsidRDefault="00286A88" w:rsidP="00AA6E07">
      <w:pPr>
        <w:rPr>
          <w:i/>
          <w:lang w:val="en-AU" w:eastAsia="en-AU"/>
        </w:rPr>
      </w:pPr>
      <w:r w:rsidRPr="00AA6E07">
        <w:rPr>
          <w:i/>
          <w:lang w:val="en-AU" w:eastAsia="en-AU"/>
        </w:rPr>
        <w:t>Measures of stress can often reflect arousal more than the valence dimension of animal welfare and this may explain the many contradictory findings surrounding the stress responses of hens within different housing systems. The nature of the human contact received can greatly affect stress and fear responses in hens.</w:t>
      </w:r>
    </w:p>
    <w:p w14:paraId="42700570" w14:textId="77777777" w:rsidR="00286A88" w:rsidRPr="00286A88" w:rsidRDefault="00286A88" w:rsidP="00AA6E07">
      <w:pPr>
        <w:pStyle w:val="Heading3"/>
        <w:rPr>
          <w:rFonts w:ascii="Times New Roman" w:hAnsi="Times New Roman"/>
          <w:sz w:val="24"/>
          <w:szCs w:val="24"/>
          <w:lang w:val="en-AU" w:eastAsia="en-GB"/>
        </w:rPr>
      </w:pPr>
      <w:bookmarkStart w:id="55" w:name="_Toc495310524"/>
      <w:r w:rsidRPr="00286A88">
        <w:rPr>
          <w:lang w:val="en-AU" w:eastAsia="en-GB"/>
        </w:rPr>
        <w:t>LH6.1 Stress</w:t>
      </w:r>
      <w:bookmarkEnd w:id="55"/>
    </w:p>
    <w:p w14:paraId="5E8D82CF" w14:textId="77777777" w:rsidR="00286A88" w:rsidRPr="00286A88" w:rsidRDefault="00286A88" w:rsidP="00AA6E07">
      <w:pPr>
        <w:rPr>
          <w:lang w:val="en-AU" w:eastAsia="en-AU"/>
        </w:rPr>
      </w:pPr>
      <w:r w:rsidRPr="00286A88">
        <w:rPr>
          <w:lang w:val="en-AU" w:eastAsia="en-AU"/>
        </w:rPr>
        <w:t>It is often thought that early-life stress has particularly profound effects on later life outcomes. In support, a study found that short-term effects of stress (frustrated access to food, physical restraint or a period of social isolation) were more profound if experienced at 2 or 8 weeks than at 17 weeks. But when longer-term outcomes were examined, stress at any of these ages had a significant effect on the birds and it was not possible, overall to identify a specific “sensitive period” when chickens are most stress-susceptible (Ericsson et al., 2016).</w:t>
      </w:r>
    </w:p>
    <w:p w14:paraId="75E03954" w14:textId="77777777" w:rsidR="00286A88" w:rsidRPr="00286A88" w:rsidRDefault="00286A88" w:rsidP="00AA6E07">
      <w:pPr>
        <w:rPr>
          <w:lang w:val="en-AU" w:eastAsia="en-AU"/>
        </w:rPr>
      </w:pPr>
      <w:r w:rsidRPr="00286A88">
        <w:rPr>
          <w:lang w:val="en-AU" w:eastAsia="en-AU"/>
        </w:rPr>
        <w:t>A common method used to assess laying hen welfare is to take measures of physiological stress, such as catecholamines, response to ACTH challenge, corticosterone or heterophil:lymphocyte (H:L) ratio. Apart from technical challenges (plasma levels of corticosterone do not necessarily reflect tissue levels (</w:t>
      </w:r>
      <w:r w:rsidRPr="00286A88">
        <w:rPr>
          <w:rFonts w:cs="Times New Roman"/>
          <w:lang w:val="en-AU" w:eastAsia="en-AU"/>
        </w:rPr>
        <w:t>Ralph et al., 2015); handling itself can raise stress levels (Wein et al., 2017), faecal corticosterone metabolite concentrations are affected by genotype and bird diet (Alm et al., 2014), and blood measures such as</w:t>
      </w:r>
      <w:r w:rsidRPr="00286A88">
        <w:rPr>
          <w:lang w:val="en-AU" w:eastAsia="en-AU"/>
        </w:rPr>
        <w:t xml:space="preserve"> H:L ratio are not a useful measure if birds are infected with blood-sucking mites (Vezzoli et al., 2016). I</w:t>
      </w:r>
      <w:r w:rsidRPr="00286A88">
        <w:rPr>
          <w:rFonts w:cs="Times New Roman"/>
          <w:lang w:val="en-AU" w:eastAsia="en-AU"/>
        </w:rPr>
        <w:t>t should also be recognised that stress responses usually reflect arousal more than they reflect valence. More than one study has found that allowing hens access to highly preferred enriched or outdoor pasture areas is associated with an increase in physiological measures of stress such as H:L ratio (Campo et al., 2013) faecal corticosterone metabolites (Dawkins et al., 2004) or egg corticosterone (Sas et al., 2006). Plasma corticosterone levels can be higher in birds housed in indoor non-cage systems than in caged systems (Pavlik et al., 2008), and faecal corticosterone metabolite levels can also be very high in indoor non-cage systems (Nicol et al., 2006).</w:t>
      </w:r>
    </w:p>
    <w:p w14:paraId="36044E91" w14:textId="77777777" w:rsidR="00286A88" w:rsidRPr="00286A88" w:rsidRDefault="00286A88" w:rsidP="00AA6E07">
      <w:pPr>
        <w:rPr>
          <w:color w:val="000000"/>
          <w:lang w:val="en-AU" w:eastAsia="en-AU"/>
        </w:rPr>
      </w:pPr>
      <w:r w:rsidRPr="00286A88">
        <w:rPr>
          <w:color w:val="000000"/>
          <w:lang w:val="en-AU" w:eastAsia="en-AU"/>
        </w:rPr>
        <w:t xml:space="preserve">Some studies have shown </w:t>
      </w:r>
      <w:r w:rsidRPr="00286A88">
        <w:rPr>
          <w:color w:val="000000"/>
          <w:shd w:val="clear" w:color="auto" w:fill="FFFFFF"/>
          <w:lang w:val="en-AU" w:eastAsia="en-AU"/>
        </w:rPr>
        <w:t xml:space="preserve">few or no differences between housing systems when physiological markers of stress are considered. </w:t>
      </w:r>
      <w:r w:rsidR="002646F8" w:rsidRPr="00286A88">
        <w:rPr>
          <w:color w:val="000000"/>
          <w:lang w:val="en-AU" w:eastAsia="en-AU"/>
        </w:rPr>
        <w:t>Guesdon et al. (2004)</w:t>
      </w:r>
      <w:r w:rsidRPr="00286A88">
        <w:rPr>
          <w:color w:val="000000"/>
          <w:shd w:val="clear" w:color="auto" w:fill="FFFFFF"/>
          <w:lang w:val="en-AU" w:eastAsia="en-AU"/>
        </w:rPr>
        <w:t xml:space="preserve"> and </w:t>
      </w:r>
      <w:r w:rsidRPr="00286A88">
        <w:rPr>
          <w:color w:val="000000"/>
          <w:lang w:val="en-AU" w:eastAsia="en-AU"/>
        </w:rPr>
        <w:t>Hetland et al. (2004)</w:t>
      </w:r>
      <w:r w:rsidRPr="00286A88">
        <w:rPr>
          <w:color w:val="000000"/>
          <w:shd w:val="clear" w:color="auto" w:fill="FFFFFF"/>
          <w:lang w:val="en-AU" w:eastAsia="en-AU"/>
        </w:rPr>
        <w:t xml:space="preserve"> found few differences when comparing conventional cages with furnished cages. Barnett et al. (2009) found no differences between hens housed in cages with or without a perch. In this study, even though the perch, and other facilities such as a nest and dust-bath were also used extensively, differences in physiological profile of the birds in each treatment were minimal. </w:t>
      </w:r>
      <w:r w:rsidRPr="00286A88">
        <w:rPr>
          <w:color w:val="000000"/>
          <w:lang w:val="en-AU" w:eastAsia="en-AU"/>
        </w:rPr>
        <w:t>Similarly variable or inconclusive results from older studies were reported in Lay et al. (2011).</w:t>
      </w:r>
    </w:p>
    <w:p w14:paraId="5E46DEAD" w14:textId="77777777" w:rsidR="00286A88" w:rsidRPr="00286A88" w:rsidRDefault="00286A88" w:rsidP="00AA6E07">
      <w:pPr>
        <w:rPr>
          <w:lang w:val="en-AU" w:eastAsia="en-AU"/>
        </w:rPr>
      </w:pPr>
      <w:r w:rsidRPr="00286A88">
        <w:rPr>
          <w:lang w:val="en-AU" w:eastAsia="en-AU"/>
        </w:rPr>
        <w:t>Many studies have found significantly lower corticosterone levels from hens in furnished cages than hens in conventional cages (Pohle and Cheng, 2009b; Sherwin et al., 2010). Other longer-term markers of reduced stress response, such as lower H:L ratio (</w:t>
      </w:r>
      <w:r w:rsidR="007F71FE" w:rsidRPr="00286A88">
        <w:rPr>
          <w:lang w:val="en-AU" w:eastAsia="en-AU"/>
        </w:rPr>
        <w:t xml:space="preserve">Scholz et al., 2008a; </w:t>
      </w:r>
      <w:r w:rsidRPr="00286A88">
        <w:rPr>
          <w:lang w:val="en-AU" w:eastAsia="en-AU"/>
        </w:rPr>
        <w:t>Shini et al., 2008; Matur et al., 2015; Dikmen et al., 2016), and higher serotonin levels (Pohle and Cheng, 2009</w:t>
      </w:r>
      <w:r w:rsidR="000B0B33">
        <w:rPr>
          <w:lang w:val="en-AU" w:eastAsia="en-AU"/>
        </w:rPr>
        <w:t>a</w:t>
      </w:r>
      <w:r w:rsidRPr="00286A88">
        <w:rPr>
          <w:lang w:val="en-AU" w:eastAsia="en-AU"/>
        </w:rPr>
        <w:t>) are also found in hens from colony cages compared with hens from conventional cages. However, Moe et al. (2010) found higher H:L ratios in hens in FCs compared with CCs.</w:t>
      </w:r>
    </w:p>
    <w:p w14:paraId="5FD9700F" w14:textId="77777777" w:rsidR="00286A88" w:rsidRPr="00286A88" w:rsidRDefault="00286A88" w:rsidP="00AA6E07">
      <w:pPr>
        <w:rPr>
          <w:lang w:val="en-AU" w:eastAsia="en-AU"/>
        </w:rPr>
      </w:pPr>
      <w:r w:rsidRPr="00286A88">
        <w:rPr>
          <w:lang w:val="en-AU" w:eastAsia="en-AU"/>
        </w:rPr>
        <w:t>Experimental studies of brown hybrids kept in floor pens have found lower corticosterone (approx. 31 vs approx. 35</w:t>
      </w:r>
      <w:r w:rsidR="007F71FE">
        <w:rPr>
          <w:lang w:val="en-AU" w:eastAsia="en-AU"/>
        </w:rPr>
        <w:t> </w:t>
      </w:r>
      <w:r w:rsidRPr="00286A88">
        <w:rPr>
          <w:lang w:val="en-AU" w:eastAsia="en-AU"/>
        </w:rPr>
        <w:t>pg/mL) and H:L ratios (0.36 vs 0.52) at stocking rates of 5, 6 and 7 birds/m</w:t>
      </w:r>
      <w:r w:rsidRPr="00286A88">
        <w:rPr>
          <w:vertAlign w:val="superscript"/>
          <w:lang w:val="en-AU" w:eastAsia="en-AU"/>
        </w:rPr>
        <w:t>2</w:t>
      </w:r>
      <w:r w:rsidRPr="00286A88">
        <w:rPr>
          <w:lang w:val="en-AU" w:eastAsia="en-AU"/>
        </w:rPr>
        <w:t xml:space="preserve"> than at 10 birds/m</w:t>
      </w:r>
      <w:r w:rsidRPr="00286A88">
        <w:rPr>
          <w:vertAlign w:val="superscript"/>
          <w:lang w:val="en-AU" w:eastAsia="en-AU"/>
        </w:rPr>
        <w:t xml:space="preserve">2 </w:t>
      </w:r>
      <w:r w:rsidRPr="00286A88">
        <w:rPr>
          <w:lang w:val="en-AU" w:eastAsia="en-AU"/>
        </w:rPr>
        <w:t>(Kang et al., 2016).</w:t>
      </w:r>
    </w:p>
    <w:p w14:paraId="33ACC7CA" w14:textId="77777777" w:rsidR="00286A88" w:rsidRDefault="00286A88" w:rsidP="00AA6E07">
      <w:pPr>
        <w:rPr>
          <w:rFonts w:cs="Times New Roman"/>
          <w:lang w:val="en-AU" w:eastAsia="en-AU"/>
        </w:rPr>
      </w:pPr>
      <w:r w:rsidRPr="00286A88">
        <w:rPr>
          <w:rFonts w:cs="Times New Roman"/>
          <w:lang w:val="en-AU" w:eastAsia="en-AU"/>
        </w:rPr>
        <w:t>Threshold effects must also be considered. In a study of 36 non-cage ST flocks, Nicol et al.</w:t>
      </w:r>
      <w:r w:rsidR="00823007">
        <w:rPr>
          <w:rFonts w:cs="Times New Roman"/>
          <w:lang w:val="en-AU" w:eastAsia="en-AU"/>
        </w:rPr>
        <w:t xml:space="preserve"> </w:t>
      </w:r>
      <w:r w:rsidRPr="00286A88">
        <w:rPr>
          <w:rFonts w:cs="Times New Roman"/>
          <w:lang w:val="en-AU" w:eastAsia="en-AU"/>
        </w:rPr>
        <w:t>(2006) reported greatly elevated indices of physiological stress towards the end of lay in all stocking rate and management treatments in comparison with levels recorded at the end of the rearing period. For example, H:L ratios had increased from an average of 0.55 to an extremely high value of 1.67; whilst faecal corticosterone metabolite concentrations had doubled from 28.2</w:t>
      </w:r>
      <w:r w:rsidR="007F71FE">
        <w:rPr>
          <w:rFonts w:cs="Times New Roman"/>
          <w:lang w:val="en-AU" w:eastAsia="en-AU"/>
        </w:rPr>
        <w:t> </w:t>
      </w:r>
      <w:r w:rsidRPr="00286A88">
        <w:rPr>
          <w:rFonts w:cs="Times New Roman"/>
          <w:lang w:val="en-AU" w:eastAsia="en-AU"/>
        </w:rPr>
        <w:t>ng/g dry matter to 55.2 ng/g dry matter.</w:t>
      </w:r>
    </w:p>
    <w:p w14:paraId="06797025" w14:textId="77777777" w:rsidR="00286A88" w:rsidRPr="00286A88" w:rsidRDefault="00286A88" w:rsidP="00AA6E07">
      <w:pPr>
        <w:pStyle w:val="Heading3"/>
        <w:rPr>
          <w:rFonts w:ascii="Times New Roman" w:hAnsi="Times New Roman"/>
          <w:sz w:val="24"/>
          <w:szCs w:val="24"/>
          <w:lang w:val="en-AU" w:eastAsia="en-GB"/>
        </w:rPr>
      </w:pPr>
      <w:bookmarkStart w:id="56" w:name="_Toc495310525"/>
      <w:r w:rsidRPr="00286A88">
        <w:rPr>
          <w:lang w:val="en-AU" w:eastAsia="en-GB"/>
        </w:rPr>
        <w:t>LH6.2 Fear</w:t>
      </w:r>
      <w:bookmarkEnd w:id="56"/>
    </w:p>
    <w:p w14:paraId="7BCFF429" w14:textId="77777777" w:rsidR="00286A88" w:rsidRPr="00286A88" w:rsidRDefault="00286A88" w:rsidP="00AA6E07">
      <w:pPr>
        <w:rPr>
          <w:lang w:val="en-AU" w:eastAsia="en-AU"/>
        </w:rPr>
      </w:pPr>
      <w:r w:rsidRPr="00286A88">
        <w:rPr>
          <w:lang w:val="en-AU" w:eastAsia="en-AU"/>
        </w:rPr>
        <w:t xml:space="preserve">Fear levels assessed by tonic immobility duration were greater in birds housed under a 23L:1D (23 hours light:1 hour dark) photoperiod than in birds allowed longer dark periods for resting (Campo and Davila, 2002) and when birds were housed on damp rather than dry litter (Campo et al., 2009). Fearfulness is reduced in laying hens if they </w:t>
      </w:r>
      <w:r w:rsidR="007F71FE">
        <w:rPr>
          <w:lang w:val="en-AU" w:eastAsia="en-AU"/>
        </w:rPr>
        <w:t xml:space="preserve">are </w:t>
      </w:r>
      <w:r w:rsidRPr="00286A88">
        <w:rPr>
          <w:lang w:val="en-AU" w:eastAsia="en-AU"/>
        </w:rPr>
        <w:t>housed with a proportion (1 per 100) of males (Oden et al., 2005).</w:t>
      </w:r>
    </w:p>
    <w:p w14:paraId="73D6B5FD" w14:textId="77777777" w:rsidR="00286A88" w:rsidRPr="00286A88" w:rsidRDefault="00286A88" w:rsidP="00AA6E07">
      <w:pPr>
        <w:rPr>
          <w:lang w:val="en-AU" w:eastAsia="en-AU"/>
        </w:rPr>
      </w:pPr>
      <w:r w:rsidRPr="00286A88">
        <w:rPr>
          <w:lang w:val="en-AU" w:eastAsia="en-AU"/>
        </w:rPr>
        <w:t>Hens housed in conventional cages showed elevated signs of fear in novel object and novel environment tests in comparison with hens housed in aviaries (Colson et al., 2006). As reviewed above, fearfulness is strongly correlated with, and may be a causal factor for, IP. It reduces the time that birds spend on the range (Hartcher et al., 2016a).</w:t>
      </w:r>
    </w:p>
    <w:p w14:paraId="0F1096BC" w14:textId="77777777" w:rsidR="00286A88" w:rsidRPr="00286A88" w:rsidRDefault="00286A88" w:rsidP="00AA6E07">
      <w:pPr>
        <w:rPr>
          <w:lang w:val="en-AU" w:eastAsia="en-AU"/>
        </w:rPr>
      </w:pPr>
      <w:r w:rsidRPr="00286A88">
        <w:rPr>
          <w:lang w:val="en-AU" w:eastAsia="en-AU"/>
        </w:rPr>
        <w:t xml:space="preserve">Hens in large commercial facilities tend to be fearful of human contact (Graml et al., 2008), although fearfulness can potentially be reduced through appropriate habituation (e.g. regular, close visual contact with a non-threatening human in cage facilities (Edwards et al., 2013). Habituation to humans has also been shown to have productivity as well as welfare benefits (Barnett et al., 1994; </w:t>
      </w:r>
      <w:r w:rsidRPr="00286A88">
        <w:rPr>
          <w:rFonts w:cs="Times New Roman"/>
          <w:lang w:val="en-AU" w:eastAsia="en-AU"/>
        </w:rPr>
        <w:t>Edwards et al., 2010).</w:t>
      </w:r>
      <w:r w:rsidRPr="00286A88">
        <w:rPr>
          <w:lang w:val="en-AU" w:eastAsia="en-AU"/>
        </w:rPr>
        <w:t xml:space="preserve"> There is no clear relationship between housing system and fearfulness. Researchers have reported diverse results (e.g. Shimmura et al., 2010b) suggesting that factors within systems, such as the nature and type of human contact received, have a greater effect than housing type itself. Given that each human has the potential to induce fear in the large numbers of birds that they are responsible for, and that currently humans must interact with birds in a range of ways that is not always predictable to the birds</w:t>
      </w:r>
      <w:r w:rsidR="007F71FE">
        <w:rPr>
          <w:lang w:val="en-AU" w:eastAsia="en-AU"/>
        </w:rPr>
        <w:t>,</w:t>
      </w:r>
      <w:r w:rsidRPr="00286A88">
        <w:rPr>
          <w:lang w:val="en-AU" w:eastAsia="en-AU"/>
        </w:rPr>
        <w:t xml:space="preserve"> there is relatively little research in this area. In particular the impact of fear of humans and stockmanship on birds during different life stages has been little studied.</w:t>
      </w:r>
    </w:p>
    <w:p w14:paraId="0A736C76" w14:textId="77777777" w:rsidR="00286A88" w:rsidRPr="00286A88" w:rsidRDefault="00286A88" w:rsidP="00AA6E07">
      <w:pPr>
        <w:pStyle w:val="Heading2"/>
        <w:rPr>
          <w:lang w:val="en-AU" w:eastAsia="en-AU"/>
        </w:rPr>
      </w:pPr>
      <w:bookmarkStart w:id="57" w:name="_Toc495310526"/>
      <w:r w:rsidRPr="00286A88">
        <w:rPr>
          <w:lang w:val="en-AU" w:eastAsia="en-AU"/>
        </w:rPr>
        <w:t>LH7. Sensory Environment</w:t>
      </w:r>
      <w:bookmarkEnd w:id="57"/>
    </w:p>
    <w:p w14:paraId="0914AD42" w14:textId="77777777" w:rsidR="00286A88" w:rsidRPr="00AA6E07" w:rsidRDefault="00286A88" w:rsidP="00AA6E07">
      <w:pPr>
        <w:rPr>
          <w:i/>
          <w:lang w:val="en-AU" w:eastAsia="en-AU"/>
        </w:rPr>
      </w:pPr>
      <w:r w:rsidRPr="00AA6E07">
        <w:rPr>
          <w:i/>
          <w:lang w:val="en-AU" w:eastAsia="en-AU"/>
        </w:rPr>
        <w:t>Hens have sensitive visual, auditory and olfactory senses and a thermoneutral (comfort) zone at an ambient temperature of around 20-25 °C. Extremes (e.g. of photoperiod, light intensity, noise levels, ammonia concentrations and temperature) should be avoided to protect hen welfare. New energy efficient light sources are being used in laying hen housing with limited research so far on their costs or benefits compared with more traditional sources.</w:t>
      </w:r>
    </w:p>
    <w:p w14:paraId="79476DE7" w14:textId="77777777" w:rsidR="00286A88" w:rsidRPr="00286A88" w:rsidRDefault="00286A88" w:rsidP="00AA6E07">
      <w:pPr>
        <w:pStyle w:val="Heading3"/>
        <w:rPr>
          <w:rFonts w:ascii="Times New Roman" w:hAnsi="Times New Roman"/>
          <w:sz w:val="24"/>
          <w:szCs w:val="24"/>
          <w:lang w:val="en-AU" w:eastAsia="en-GB"/>
        </w:rPr>
      </w:pPr>
      <w:bookmarkStart w:id="58" w:name="_Toc495310527"/>
      <w:r w:rsidRPr="00286A88">
        <w:rPr>
          <w:lang w:val="en-AU" w:eastAsia="en-GB"/>
        </w:rPr>
        <w:t>LH7.1 Light and vision</w:t>
      </w:r>
      <w:bookmarkEnd w:id="58"/>
    </w:p>
    <w:p w14:paraId="44502836" w14:textId="77777777" w:rsidR="007F71FE" w:rsidRPr="00286A88" w:rsidRDefault="00286A88" w:rsidP="00AA6E07">
      <w:pPr>
        <w:rPr>
          <w:lang w:val="en-AU" w:eastAsia="en-AU"/>
        </w:rPr>
      </w:pPr>
      <w:r w:rsidRPr="00286A88">
        <w:rPr>
          <w:lang w:val="en-AU" w:eastAsia="en-AU"/>
        </w:rPr>
        <w:t>The extent to which birds will experience discomfort depends upon their sensory systems. Hens have a highly developed sense of vision. Their spectral sensitivity is slightly greater than humans in both red and blue wavelengths and there is some evidence that UV light may be important for social recognition of individuals. Their spatial acuity – i.e. their ability to detect image detail</w:t>
      </w:r>
      <w:r w:rsidR="007F71FE">
        <w:rPr>
          <w:lang w:val="en-AU" w:eastAsia="en-AU"/>
        </w:rPr>
        <w:t xml:space="preserve"> – is </w:t>
      </w:r>
      <w:r w:rsidRPr="00286A88">
        <w:rPr>
          <w:lang w:val="en-AU" w:eastAsia="en-AU"/>
        </w:rPr>
        <w:t>worse than humans and this falls off more rapidly in low levels of light.</w:t>
      </w:r>
    </w:p>
    <w:p w14:paraId="52236BAB" w14:textId="77777777" w:rsidR="00286A88" w:rsidRPr="00286A88" w:rsidRDefault="00286A88" w:rsidP="00AA6E07">
      <w:pPr>
        <w:rPr>
          <w:rFonts w:cs="Garamond"/>
          <w:lang w:val="en-AU" w:eastAsia="en-AU"/>
        </w:rPr>
      </w:pPr>
      <w:r w:rsidRPr="00286A88">
        <w:rPr>
          <w:lang w:val="en-AU" w:eastAsia="en-AU"/>
        </w:rPr>
        <w:t xml:space="preserve">Hens may perceive the flicker of some forms of artificial light, which could be detrimental to their welfare (Lisney et al., 2012). Perception depends on the spectrum and brightness of the light source as well as its frequency. The critical flicker fusion frequency (CFF) is the lowest </w:t>
      </w:r>
      <w:r w:rsidRPr="00286A88">
        <w:rPr>
          <w:rFonts w:cs="Garamond"/>
          <w:lang w:val="en-AU" w:eastAsia="en-AU"/>
        </w:rPr>
        <w:t>frequency at which a flickering light source is seen as continuous, and it can be estimated for hens using electroretinograms (100-118 Hz: Lisney et al., 2012), discrimination tasks (71.5 Hz: Jarvis et al., 2002; 87-100 Hz: Lisney et al., 2011), conditional reward response (70-105 Hz: Nuboer et al., 1992) and both simultaneous and conditional presentation methods (68-95 Hz: Railton et al., 2009). Behavioural methods estimate slightly lower CFF thresholds than physiological methods, suggesting that central brain processing mediates the signal produced by the eye. Since detection of flicker depends on the spectrum and brightness of the light source used, as well as individual characteristics of different birds, there is no one absolute value for chicken CFF. However, under most conditions, most chickens do not perceive flicker above 95 Hz. This suggests that, contrary to earlier worries, chickens are probably not aware of the flicker of artificial lighting in commercial housing. However, the potential for chickens to discern flicker should be considered where novel light sources are employed.</w:t>
      </w:r>
    </w:p>
    <w:p w14:paraId="33E666F9" w14:textId="77777777" w:rsidR="00286A88" w:rsidRPr="00286A88" w:rsidRDefault="00286A88" w:rsidP="00AA6E07">
      <w:pPr>
        <w:rPr>
          <w:lang w:val="en-AU" w:eastAsia="en-AU"/>
        </w:rPr>
      </w:pPr>
      <w:r w:rsidRPr="00286A88">
        <w:rPr>
          <w:rFonts w:cs="Garamond"/>
          <w:lang w:val="en-AU" w:eastAsia="en-AU"/>
        </w:rPr>
        <w:t xml:space="preserve">Light source can influence hen behaviour with, for example, incandescent lights increasing the occurrence of nesting and active behaviours compared with fluorescent lights (Tavares et al., 2015). </w:t>
      </w:r>
      <w:r w:rsidRPr="00286A88">
        <w:rPr>
          <w:lang w:val="en-AU" w:eastAsia="en-AU"/>
        </w:rPr>
        <w:t>Coloured LEDs (light-emitting diodes) are increasingly being used to illuminate laying hen facilities due to their energy efficiency and low maintenance requirements (Min et al., 2012). A long-term 15 month study on white hybrids found no significant differences in the mortality of aviary hens housed under LED compared with fluorescent lights. However, some potentially negative effects were noted including poorer plumage quality, reduced food conversion and slightly elevated avoidance responses at 36 weeks but not at 60 weeks of age (Long et al., 2016). Huber-Eicher et al. (2013) compared the behaviour of 16-week pullets kept in pens illuminated (to equal perceived intensities) with white, red (640 nm) or green (520 nm) light. The red light accelerated sexual development, enhanced early laying performance, and reduced aggressive pecking. Birds under green light spent less time directly feeding but more time foraging, pecking at objects and pecking at companions than birds housed under red light. In contrast, Sultana et al. (2013) found that hens were more active under red LED light, showing more FP, ground pecking and scratching and comfort activities and less perching than hens under blue light.</w:t>
      </w:r>
    </w:p>
    <w:p w14:paraId="29092EDB" w14:textId="77777777" w:rsidR="00286A88" w:rsidRPr="00286A88" w:rsidRDefault="00286A88" w:rsidP="00AA6E07">
      <w:pPr>
        <w:rPr>
          <w:lang w:val="en-AU" w:eastAsia="en-AU"/>
        </w:rPr>
      </w:pPr>
      <w:r w:rsidRPr="00286A88">
        <w:rPr>
          <w:rFonts w:cs="Garamond"/>
          <w:lang w:val="en-AU" w:eastAsia="en-AU"/>
        </w:rPr>
        <w:t xml:space="preserve">Young pullets prefer high light intensities (200 lux) but older birds prefer lower intensities (6 lux rather than 20, 60 or 200 lux) (Davis et al., 1999). </w:t>
      </w:r>
      <w:r w:rsidRPr="00286A88">
        <w:rPr>
          <w:lang w:val="en-AU" w:eastAsia="en-AU"/>
        </w:rPr>
        <w:t>In a continuous-access preference test where hens were able to select compartments illuminated with fluorescent light at &lt;1, 5, 15, 30 or 100 lux, they spent on average 45% of each 24 h period at 5 lux, 22% at 15 lux, 22% at 30 lux, and only 10% at 100 lux. They also spent 10 h in darkness, in intermittent bouts distributed throughout the day, a pattern very different from the continuous dark period that would be experienced under natural or commercial conditions (Ma, H. et al., 2016). Young chicks are also able to rest more when reared under a lighting pattern that simulates natural brooding, with short (approx. 40 min) periods of dark interspersed throughout a long light period compared with an uninterrupted long light period (Malleau et al., 2007). Hens tend to do more pecking under high intensity light</w:t>
      </w:r>
      <w:r w:rsidRPr="00286A88">
        <w:rPr>
          <w:rFonts w:cs="Garamond"/>
          <w:lang w:val="en-AU" w:eastAsia="en-AU"/>
        </w:rPr>
        <w:t xml:space="preserve"> (Vandenberg and Widowski, 2000; O’Connor et al., 2011). The diminishing preference of older birds for bright light may cause problems in free-range systems. </w:t>
      </w:r>
      <w:r w:rsidRPr="00286A88">
        <w:rPr>
          <w:lang w:val="en-AU" w:eastAsia="en-AU"/>
        </w:rPr>
        <w:t>Where hens are to be exposed to natural light as layers it is important that they experience it during rear. Rearing birds with natural daylight stimulates the earlier development of perching behaviour in young pullets, and results in a stronger diurnal rhythm with more night-time perching and less daytime perching than for birds reared with artificial light of the same photoperiod (Gunnarsson et al., 2008).</w:t>
      </w:r>
    </w:p>
    <w:p w14:paraId="60575D93" w14:textId="77777777" w:rsidR="00286A88" w:rsidRPr="00286A88" w:rsidRDefault="00286A88" w:rsidP="00AA6E07">
      <w:pPr>
        <w:rPr>
          <w:rFonts w:cs="Garamond"/>
          <w:lang w:val="en-AU" w:eastAsia="en-AU"/>
        </w:rPr>
      </w:pPr>
      <w:r w:rsidRPr="00286A88">
        <w:rPr>
          <w:rFonts w:cs="Times New Roman"/>
          <w:lang w:val="en-AU" w:eastAsia="en-AU"/>
        </w:rPr>
        <w:t xml:space="preserve">Commercial housing systems for laying hens are often kept at low light intensity with the intention of reducing the incidence of feather pecking. However, this method of control can have adverse effects on eye anatomy and function and can be counterproductive in making other foraging substrates appear less attractive than feathers (Bright, 2007). Light intensities as low as 5 lux do not appear to affect the ability of hens to judge distances and jump from perch to perch (Moinard et al., 2004a) and do not affect stress levels in hens during the early laying period (O’Connor et al., 2011) but at light intensities of just 0.8 lux hen movement is impaired and restricted (Taylor et al., 2003). In addition, social evaluations are partially disrupted at 1 lux but not at 5 lux or above (Kristensen et al., 2009). </w:t>
      </w:r>
      <w:r w:rsidRPr="00286A88">
        <w:rPr>
          <w:rFonts w:cs="Garamond"/>
          <w:lang w:val="en-AU" w:eastAsia="en-AU"/>
        </w:rPr>
        <w:t>Dim light, very short or long photoperiods, and continuous illumination, all adversely affect the development of the eye, and its ability to focus (Lewis and Gous, 2009).</w:t>
      </w:r>
    </w:p>
    <w:p w14:paraId="12ADBE53" w14:textId="77777777" w:rsidR="00286A88" w:rsidRPr="00286A88" w:rsidRDefault="00286A88" w:rsidP="00AA6E07">
      <w:pPr>
        <w:pStyle w:val="Heading3"/>
        <w:rPr>
          <w:rFonts w:ascii="Times New Roman" w:hAnsi="Times New Roman"/>
          <w:sz w:val="24"/>
          <w:szCs w:val="24"/>
          <w:lang w:val="en-AU" w:eastAsia="en-GB"/>
        </w:rPr>
      </w:pPr>
      <w:bookmarkStart w:id="59" w:name="_Toc495310528"/>
      <w:r w:rsidRPr="00286A88">
        <w:rPr>
          <w:lang w:val="en-AU" w:eastAsia="en-GB"/>
        </w:rPr>
        <w:t>LH7.2 Sound, noise and hearing</w:t>
      </w:r>
      <w:bookmarkEnd w:id="59"/>
    </w:p>
    <w:p w14:paraId="2E6B3B8A" w14:textId="77777777" w:rsidR="00286A88" w:rsidRPr="00286A88" w:rsidRDefault="00286A88" w:rsidP="00AA6E07">
      <w:pPr>
        <w:rPr>
          <w:lang w:val="en-AU" w:eastAsia="en-AU"/>
        </w:rPr>
      </w:pPr>
      <w:r w:rsidRPr="00286A88">
        <w:rPr>
          <w:lang w:val="en-AU" w:eastAsia="en-AU"/>
        </w:rPr>
        <w:t xml:space="preserve">Research on hearing in chickens is limited but has established their sensitivity to sound; responses varying according to frequency and pressure level but their threshold of detecting sound is at approximately 20-30 </w:t>
      </w:r>
      <w:r w:rsidR="007F71FE">
        <w:rPr>
          <w:lang w:val="en-AU" w:eastAsia="en-AU"/>
        </w:rPr>
        <w:t>dB</w:t>
      </w:r>
      <w:r w:rsidRPr="00286A88">
        <w:rPr>
          <w:lang w:val="en-AU" w:eastAsia="en-AU"/>
        </w:rPr>
        <w:t>. Chickens can hear lower frequency sounds than humans and may use them in communications between a hen and her chicks, which are usually below 800 Hz. The important aspect of hearing to note regarding housing design is the growing evidence of not only dislike of but also reduced productivity at loud sounds at levels which are commonly found in fan-ventilated houses. Chronic exposure to 80 dB(A) compared with 60 dB(A) (A-weighted decibels are weighted for loudness as perceived by the human ear) in young laying hens led to more resting behaviour,</w:t>
      </w:r>
      <w:r w:rsidR="007F71FE">
        <w:rPr>
          <w:lang w:val="en-AU" w:eastAsia="en-AU"/>
        </w:rPr>
        <w:t xml:space="preserve"> and reduced egg production (O’</w:t>
      </w:r>
      <w:r w:rsidRPr="00286A88">
        <w:rPr>
          <w:lang w:val="en-AU" w:eastAsia="en-AU"/>
        </w:rPr>
        <w:t>Connor et al., 2011). Higher sound levels of 80 dB or 90 dB increase stress (Campo et al., 2005)</w:t>
      </w:r>
      <w:r w:rsidR="007F71FE">
        <w:rPr>
          <w:lang w:val="en-AU" w:eastAsia="en-AU"/>
        </w:rPr>
        <w:t>,</w:t>
      </w:r>
      <w:r w:rsidRPr="00286A88">
        <w:rPr>
          <w:lang w:val="en-AU" w:eastAsia="en-AU"/>
        </w:rPr>
        <w:t xml:space="preserve"> are a risk factor for the early onset of feather pecking (Drake et al., 2010) and chronic exposure can damage birds’ ears. A potential advantage of free-range systems is that birds can avoid excessive noise levels for part of the day.</w:t>
      </w:r>
    </w:p>
    <w:p w14:paraId="62D7D840" w14:textId="77777777" w:rsidR="00286A88" w:rsidRPr="00286A88" w:rsidRDefault="00286A88" w:rsidP="00AA6E07">
      <w:pPr>
        <w:pStyle w:val="Heading3"/>
        <w:rPr>
          <w:rFonts w:ascii="Times New Roman" w:hAnsi="Times New Roman"/>
          <w:sz w:val="24"/>
          <w:szCs w:val="24"/>
          <w:lang w:val="en-AU" w:eastAsia="en-GB"/>
        </w:rPr>
      </w:pPr>
      <w:bookmarkStart w:id="60" w:name="_Toc495310529"/>
      <w:r w:rsidRPr="00286A88">
        <w:rPr>
          <w:lang w:val="en-AU" w:eastAsia="en-GB"/>
        </w:rPr>
        <w:t>LH7.3 Olfaction</w:t>
      </w:r>
      <w:bookmarkEnd w:id="60"/>
    </w:p>
    <w:p w14:paraId="0D8FF528" w14:textId="77777777" w:rsidR="00286A88" w:rsidRPr="00286A88" w:rsidRDefault="00286A88" w:rsidP="00AA6E07">
      <w:pPr>
        <w:rPr>
          <w:lang w:val="en-AU" w:eastAsia="en-AU"/>
        </w:rPr>
      </w:pPr>
      <w:r w:rsidRPr="00286A88">
        <w:rPr>
          <w:rFonts w:eastAsia="Times New Roman" w:cs="Arial"/>
          <w:color w:val="auto"/>
          <w:lang w:val="en-AU" w:eastAsia="en-AU"/>
        </w:rPr>
        <w:t xml:space="preserve">Chickens </w:t>
      </w:r>
      <w:r w:rsidRPr="00286A88">
        <w:rPr>
          <w:lang w:val="en-AU" w:eastAsia="en-AU"/>
        </w:rPr>
        <w:t>have well-developed senses of smell and of taste (gustation) and a trigeminal-nerve induced rapid protective responses to harmful or irritating chemical stimuli. The chicken genome contains at least 229 genes coding for olfactory receptors, but far fewer coding for genes related to human bitter or sweet taste receptors (Lagerstrom et al., 2006).</w:t>
      </w:r>
    </w:p>
    <w:p w14:paraId="66BCB434" w14:textId="77777777" w:rsidR="00286A88" w:rsidRPr="00286A88" w:rsidRDefault="00286A88" w:rsidP="00AA6E07">
      <w:pPr>
        <w:rPr>
          <w:lang w:val="en-AU" w:eastAsia="en-AU"/>
        </w:rPr>
      </w:pPr>
      <w:r w:rsidRPr="00286A88">
        <w:rPr>
          <w:lang w:val="en-AU" w:eastAsia="en-AU"/>
        </w:rPr>
        <w:t>Chicks develop attachments to familiar odours when placed in an otherwise novel environment (Jones et al., 2002). Domestic fowl of a traditional breed increased their vigilance behaviour after exposure to the odour of a predator than after exposure to odour cues from herbivorous mammals (Zidar and Lovlie, 2012).</w:t>
      </w:r>
    </w:p>
    <w:p w14:paraId="705A2354" w14:textId="77777777" w:rsidR="00286A88" w:rsidRPr="00286A88" w:rsidRDefault="00286A88" w:rsidP="00AA6E07">
      <w:pPr>
        <w:rPr>
          <w:rFonts w:eastAsia="Times New Roman" w:cs="Arial"/>
          <w:color w:val="auto"/>
          <w:lang w:val="en-AU" w:eastAsia="en-AU"/>
        </w:rPr>
      </w:pPr>
      <w:r w:rsidRPr="00286A88">
        <w:rPr>
          <w:rFonts w:eastAsia="Times New Roman" w:cs="Arial"/>
          <w:color w:val="auto"/>
          <w:lang w:val="en-AU" w:eastAsia="en-AU"/>
        </w:rPr>
        <w:t>Exposure to ammonia may reduce poultry welfare by causing irritation to mucous membranes in the eyes and respiratory system, increasing susceptibility to respiratory disease and reducing productivity (Kristensen and Wathes, 2000). Preference tests with broiler chickens show that exposure to ammonia concentrations above approximately 10 ppm is aversive, regardless of previous experience (Jones et al., 2005), whilst laying hens show signs of avoiding concentrations of 25 ppm (with lower concentrations not tested) (Kristensen et al., 2000). On free-range farms with an average ammonia concentration of 22 ppm, an earlier onset of feather damage due to injurious pecking occurred on those farms with the higher ammonia levels (Drake et al., 2010). An ammonia concentration of less than 25 ppm is a realistic target (and a threshold set for human exposure in many countries), but as described above this may be difficult to achieve in highly stocked indoor houses. Many viral, bacterial, fungal and parasitic diseases organisms rely on aerial transmission to other birds and humans. Reducing this disease risk can be achieved by regular short periods of high ventilation rates and possibly by also offering birds a choice of an outdoor/veranda environment with fresher air.</w:t>
      </w:r>
    </w:p>
    <w:p w14:paraId="4D0A31B2" w14:textId="77777777" w:rsidR="00286A88" w:rsidRPr="00286A88" w:rsidRDefault="00286A88" w:rsidP="00BF3610">
      <w:pPr>
        <w:pStyle w:val="Heading3"/>
        <w:rPr>
          <w:rFonts w:ascii="Times New Roman" w:hAnsi="Times New Roman"/>
          <w:sz w:val="24"/>
          <w:szCs w:val="24"/>
          <w:lang w:val="en-AU" w:eastAsia="en-GB"/>
        </w:rPr>
      </w:pPr>
      <w:bookmarkStart w:id="61" w:name="_Toc495310530"/>
      <w:r w:rsidRPr="00286A88">
        <w:rPr>
          <w:lang w:val="en-AU" w:eastAsia="en-GB"/>
        </w:rPr>
        <w:t>LH7.4 Magnetic sense</w:t>
      </w:r>
      <w:bookmarkEnd w:id="61"/>
    </w:p>
    <w:p w14:paraId="1B214DF6" w14:textId="77777777" w:rsidR="00286A88" w:rsidRDefault="00286A88" w:rsidP="00BF3610">
      <w:pPr>
        <w:rPr>
          <w:lang w:val="en-AU" w:eastAsia="en-AU"/>
        </w:rPr>
      </w:pPr>
      <w:r w:rsidRPr="00286A88">
        <w:rPr>
          <w:lang w:val="en-AU" w:eastAsia="en-AU"/>
        </w:rPr>
        <w:t>Laying hens are able to use the Earth’s magnetic field orientation (Freire et al., 200</w:t>
      </w:r>
      <w:r w:rsidR="000B0B33">
        <w:rPr>
          <w:lang w:val="en-AU" w:eastAsia="en-AU"/>
        </w:rPr>
        <w:t>5</w:t>
      </w:r>
      <w:r w:rsidRPr="00286A88">
        <w:rPr>
          <w:lang w:val="en-AU" w:eastAsia="en-AU"/>
        </w:rPr>
        <w:t>; Zimmerman et al., 2009), which may have implications for their ability to orient and navigate in non-cage systems. The presence of magnetoreceptors in the beak suggests that their magnetic sense may be disrupted by beak-trimming (see LH8.3b).</w:t>
      </w:r>
    </w:p>
    <w:p w14:paraId="67B8971A" w14:textId="77777777" w:rsidR="00286A88" w:rsidRPr="00BF3610" w:rsidRDefault="00286A88" w:rsidP="00137939">
      <w:pPr>
        <w:pStyle w:val="Heading3"/>
      </w:pPr>
      <w:bookmarkStart w:id="62" w:name="_Toc495310531"/>
      <w:r w:rsidRPr="00BF3610">
        <w:t>LH7.5 Thermal comfort</w:t>
      </w:r>
      <w:bookmarkEnd w:id="62"/>
    </w:p>
    <w:p w14:paraId="2F89BE40" w14:textId="77777777" w:rsidR="00286A88" w:rsidRPr="00286A88" w:rsidRDefault="00286A88" w:rsidP="00BF3610">
      <w:pPr>
        <w:rPr>
          <w:lang w:val="en-AU" w:eastAsia="en-AU"/>
        </w:rPr>
      </w:pPr>
      <w:r w:rsidRPr="00286A88">
        <w:rPr>
          <w:lang w:val="en-AU" w:eastAsia="en-AU"/>
        </w:rPr>
        <w:t>The thermal requirements of hens and their housing are long established. Essentially their heat output follows a cup-shaped curve with increasing temperature. This has a so-called thermoneutral zone, usually around 20-25 °C, where the bird is very comfortable and does not need to expend any effort in keeping comfortably warm. Below this zone the feed requirement and metabolic effort required to keep warm increases with decreasing temperature until the bird experiences cold stress and has to shiver. It will eat more to keep warm, may produce fewer eggs and signs of physiological stress such as increased H:L ratio are seen if temperatures drop below 10</w:t>
      </w:r>
      <w:r w:rsidRPr="00286A88">
        <w:rPr>
          <w:vertAlign w:val="superscript"/>
          <w:lang w:val="en-AU" w:eastAsia="en-AU"/>
        </w:rPr>
        <w:t xml:space="preserve"> </w:t>
      </w:r>
      <w:r w:rsidRPr="00286A88">
        <w:rPr>
          <w:lang w:val="en-AU" w:eastAsia="en-AU"/>
        </w:rPr>
        <w:t>°C (Campo et al., 2008). Above the thermoneutral zone the bird needs to work to keep cool, eventually panting, which requires extra water consumption; additionally the bird will eat less and produce smaller eggs in very hot conditions. In both cases a wet or humid environment increases cold or heat stress. Such variations in temperature and humidity are a disadvantage of free-range systems, where the requirement for continuous daytime access means that pop-holes are open to the elements. Thermal stress is influenced by bird weight, fat cover, feather cover and by air movement (i.e. draughts and wind), radiation (e.g. sunlight) and conduction (in practical terms dictated by floor type/insulation and whether birds are touching each other). Birds may adjust their own body temperature by behavioural thermoregulation – i.e. by altering their posture, in particular spreading out their wings and standing when hot and huddling together when cold – and by seeking out a warmer or cooler place in their environment, which should provide the choice and freedom to move. Mortality can be increased in conventional cages which prevent birds adopting these postures (Guesdon and Faure, 2004; Guo et al., 2012). A study of the effects of increasing space allowance per bird from 348 cm</w:t>
      </w:r>
      <w:r w:rsidRPr="00286A88">
        <w:rPr>
          <w:vertAlign w:val="superscript"/>
          <w:lang w:val="en-AU" w:eastAsia="en-AU"/>
        </w:rPr>
        <w:t>2</w:t>
      </w:r>
      <w:r w:rsidRPr="00286A88">
        <w:rPr>
          <w:lang w:val="en-AU" w:eastAsia="en-AU"/>
        </w:rPr>
        <w:t>/hen to 581 cm</w:t>
      </w:r>
      <w:r w:rsidRPr="00286A88">
        <w:rPr>
          <w:vertAlign w:val="superscript"/>
          <w:lang w:val="en-AU" w:eastAsia="en-AU"/>
        </w:rPr>
        <w:t>2</w:t>
      </w:r>
      <w:r w:rsidRPr="00286A88">
        <w:rPr>
          <w:lang w:val="en-AU" w:eastAsia="en-AU"/>
        </w:rPr>
        <w:t>/hen in an existing conventional cage facility concluded that the reduced flock size would result in a reduction in overall heat and moisture generated within houses. In cold weather this could have some disadvantages in maintaining a suitable temperature for the birds without compromising air quality, but it was considered to be advantageous to avoid heat stress during hot weather (Green and Xin, 2009a). However, under conditions of intense heat (above 32 °C), increased space allowances of 581 cm</w:t>
      </w:r>
      <w:r w:rsidRPr="00286A88">
        <w:rPr>
          <w:vertAlign w:val="superscript"/>
          <w:lang w:val="en-AU" w:eastAsia="en-AU"/>
        </w:rPr>
        <w:t>2</w:t>
      </w:r>
      <w:r w:rsidRPr="00286A88">
        <w:rPr>
          <w:lang w:val="en-AU" w:eastAsia="en-AU"/>
        </w:rPr>
        <w:t>/bird assist but do not fully enable birds to cope with heat stress (Green and Xin 2009b). The provision of cooled perches can enable birds in CCs to cope better with temperatures between 32 to 35 °C (Hu et al., 2016). There is no simple relation between cage type (CC vs FC) and the ability of birds to cope with heat stress as the benefits of increased space per bird can be counteracted by increased activity in cages with larger numbers of birds (Shimmura et al., 2007b). Within FC systems, hens in smaller group sizes of 25 appear to cope better with high temperatures, and maintain higher production, because they are less active than birds in larger groups (40) (Bovera et al., 2014).</w:t>
      </w:r>
    </w:p>
    <w:p w14:paraId="5254761D" w14:textId="77777777" w:rsidR="00286A88" w:rsidRPr="00286A88" w:rsidRDefault="00286A88" w:rsidP="00BF3610">
      <w:pPr>
        <w:pStyle w:val="Heading2"/>
        <w:rPr>
          <w:lang w:val="en-AU" w:eastAsia="en-AU"/>
        </w:rPr>
      </w:pPr>
      <w:bookmarkStart w:id="63" w:name="_Toc495310532"/>
      <w:r w:rsidRPr="00286A88">
        <w:rPr>
          <w:lang w:val="en-AU" w:eastAsia="en-AU"/>
        </w:rPr>
        <w:t>LH8. Handling and Management</w:t>
      </w:r>
      <w:bookmarkEnd w:id="63"/>
    </w:p>
    <w:p w14:paraId="0D4420B6" w14:textId="77777777" w:rsidR="00286A88" w:rsidRPr="00286A88" w:rsidRDefault="00286A88" w:rsidP="00BF3610">
      <w:pPr>
        <w:pStyle w:val="Heading3"/>
        <w:rPr>
          <w:rFonts w:ascii="Times New Roman" w:hAnsi="Times New Roman"/>
          <w:sz w:val="24"/>
          <w:szCs w:val="24"/>
          <w:lang w:val="en-AU" w:eastAsia="en-GB"/>
        </w:rPr>
      </w:pPr>
      <w:bookmarkStart w:id="64" w:name="_Toc495310533"/>
      <w:r w:rsidRPr="00286A88">
        <w:rPr>
          <w:lang w:val="en-AU" w:eastAsia="en-GB"/>
        </w:rPr>
        <w:t>LH8.1 Stocking density and group size</w:t>
      </w:r>
      <w:bookmarkEnd w:id="64"/>
    </w:p>
    <w:p w14:paraId="09A7A85C" w14:textId="77777777" w:rsidR="00286A88" w:rsidRPr="00BF3610" w:rsidRDefault="00286A88" w:rsidP="00BF3610">
      <w:pPr>
        <w:rPr>
          <w:i/>
          <w:lang w:val="en-AU" w:eastAsia="en-AU"/>
        </w:rPr>
      </w:pPr>
      <w:r w:rsidRPr="00BF3610">
        <w:rPr>
          <w:i/>
          <w:lang w:val="en-AU" w:eastAsia="en-AU"/>
        </w:rPr>
        <w:t>In caged environments space allowances of less than approx. 600 cm</w:t>
      </w:r>
      <w:r w:rsidRPr="00BF3610">
        <w:rPr>
          <w:i/>
          <w:vertAlign w:val="superscript"/>
          <w:lang w:val="en-AU" w:eastAsia="en-AU"/>
        </w:rPr>
        <w:t>2</w:t>
      </w:r>
      <w:r w:rsidRPr="00BF3610">
        <w:rPr>
          <w:i/>
          <w:lang w:val="en-AU" w:eastAsia="en-AU"/>
        </w:rPr>
        <w:t>/bird are associated with increased mortality, an increase in physiological stress and compromised immune function. In non-cage systems the effects of stocking rates between 7 and 12 birds/m</w:t>
      </w:r>
      <w:r w:rsidRPr="00BF3610">
        <w:rPr>
          <w:i/>
          <w:vertAlign w:val="superscript"/>
          <w:lang w:val="en-AU" w:eastAsia="en-AU"/>
        </w:rPr>
        <w:t>2</w:t>
      </w:r>
      <w:r w:rsidRPr="00BF3610">
        <w:rPr>
          <w:i/>
          <w:lang w:val="en-AU" w:eastAsia="en-AU"/>
        </w:rPr>
        <w:t xml:space="preserve"> are inconsistent, possibly because uneven bird distribution can be a confounding factor.</w:t>
      </w:r>
    </w:p>
    <w:p w14:paraId="7FF27469" w14:textId="77777777" w:rsidR="00286A88" w:rsidRPr="00286A88" w:rsidRDefault="00286A88" w:rsidP="00BF3610">
      <w:pPr>
        <w:rPr>
          <w:rFonts w:cs="Times New Roman"/>
          <w:color w:val="000000"/>
          <w:shd w:val="clear" w:color="auto" w:fill="FFFFFF"/>
          <w:lang w:val="en-AU" w:eastAsia="en-GB"/>
        </w:rPr>
      </w:pPr>
      <w:r w:rsidRPr="00286A88">
        <w:rPr>
          <w:rFonts w:cs="Times New Roman"/>
          <w:color w:val="000000"/>
          <w:shd w:val="clear" w:color="auto" w:fill="FFFFFF"/>
          <w:lang w:val="en-AU" w:eastAsia="en-GB"/>
        </w:rPr>
        <w:t>Some of the effects of stocking rate on bird behaviour in CCs were reviewed above in LH5.1. For hens kept in CCs, mortality increased if hens were housed at 375 cm</w:t>
      </w:r>
      <w:r w:rsidRPr="00286A88">
        <w:rPr>
          <w:rFonts w:cs="Times New Roman"/>
          <w:color w:val="000000"/>
          <w:shd w:val="clear" w:color="auto" w:fill="FFFFFF"/>
          <w:vertAlign w:val="superscript"/>
          <w:lang w:val="en-AU" w:eastAsia="en-GB"/>
        </w:rPr>
        <w:t>2</w:t>
      </w:r>
      <w:r w:rsidRPr="00286A88">
        <w:rPr>
          <w:rFonts w:cs="Times New Roman"/>
          <w:color w:val="000000"/>
          <w:shd w:val="clear" w:color="auto" w:fill="FFFFFF"/>
          <w:lang w:val="en-AU" w:eastAsia="en-GB"/>
        </w:rPr>
        <w:t>/bird or 450 cm</w:t>
      </w:r>
      <w:r w:rsidRPr="00286A88">
        <w:rPr>
          <w:rFonts w:cs="Times New Roman"/>
          <w:color w:val="000000"/>
          <w:shd w:val="clear" w:color="auto" w:fill="FFFFFF"/>
          <w:vertAlign w:val="superscript"/>
          <w:lang w:val="en-AU" w:eastAsia="en-GB"/>
        </w:rPr>
        <w:t>2</w:t>
      </w:r>
      <w:r w:rsidRPr="00286A88">
        <w:rPr>
          <w:rFonts w:cs="Times New Roman"/>
          <w:color w:val="000000"/>
          <w:shd w:val="clear" w:color="auto" w:fill="FFFFFF"/>
          <w:lang w:val="en-AU" w:eastAsia="en-GB"/>
        </w:rPr>
        <w:t>/bird compared with 563 cm</w:t>
      </w:r>
      <w:r w:rsidRPr="00286A88">
        <w:rPr>
          <w:rFonts w:cs="Times New Roman"/>
          <w:color w:val="000000"/>
          <w:shd w:val="clear" w:color="auto" w:fill="FFFFFF"/>
          <w:vertAlign w:val="superscript"/>
          <w:lang w:val="en-AU" w:eastAsia="en-GB"/>
        </w:rPr>
        <w:t>2</w:t>
      </w:r>
      <w:r w:rsidRPr="00286A88">
        <w:rPr>
          <w:rFonts w:cs="Times New Roman"/>
          <w:color w:val="000000"/>
          <w:shd w:val="clear" w:color="auto" w:fill="FFFFFF"/>
          <w:lang w:val="en-AU" w:eastAsia="en-GB"/>
        </w:rPr>
        <w:t>/bird (Rech et al., 2010).</w:t>
      </w:r>
    </w:p>
    <w:p w14:paraId="1368D9AE" w14:textId="77777777" w:rsidR="00286A88" w:rsidRPr="00286A88" w:rsidRDefault="00286A88" w:rsidP="00BF3610">
      <w:pPr>
        <w:rPr>
          <w:rFonts w:cs="Times New Roman"/>
          <w:color w:val="000000"/>
          <w:shd w:val="clear" w:color="auto" w:fill="FFFFFF"/>
          <w:lang w:val="en-AU" w:eastAsia="en-GB"/>
        </w:rPr>
      </w:pPr>
      <w:r w:rsidRPr="00286A88">
        <w:rPr>
          <w:rFonts w:cs="Times New Roman"/>
          <w:color w:val="000000"/>
          <w:shd w:val="clear" w:color="auto" w:fill="FFFFFF"/>
          <w:lang w:val="en-AU" w:eastAsia="en-GB"/>
        </w:rPr>
        <w:t>Increased liver pathophysiology and renal damage has been reported for birds housed in CCs at 351 cm</w:t>
      </w:r>
      <w:r w:rsidRPr="00286A88">
        <w:rPr>
          <w:rFonts w:cs="Times New Roman"/>
          <w:color w:val="000000"/>
          <w:shd w:val="clear" w:color="auto" w:fill="FFFFFF"/>
          <w:vertAlign w:val="superscript"/>
          <w:lang w:val="en-AU" w:eastAsia="en-GB"/>
        </w:rPr>
        <w:t>2</w:t>
      </w:r>
      <w:r w:rsidRPr="00286A88">
        <w:rPr>
          <w:rFonts w:cs="Times New Roman"/>
          <w:color w:val="000000"/>
          <w:shd w:val="clear" w:color="auto" w:fill="FFFFFF"/>
          <w:lang w:val="en-AU" w:eastAsia="en-GB"/>
        </w:rPr>
        <w:t>/bird compared with 526 cm</w:t>
      </w:r>
      <w:r w:rsidRPr="00286A88">
        <w:rPr>
          <w:rFonts w:cs="Times New Roman"/>
          <w:color w:val="000000"/>
          <w:shd w:val="clear" w:color="auto" w:fill="FFFFFF"/>
          <w:vertAlign w:val="superscript"/>
          <w:lang w:val="en-AU" w:eastAsia="en-GB"/>
        </w:rPr>
        <w:t>2</w:t>
      </w:r>
      <w:r w:rsidRPr="00286A88">
        <w:rPr>
          <w:rFonts w:cs="Times New Roman"/>
          <w:color w:val="000000"/>
          <w:shd w:val="clear" w:color="auto" w:fill="FFFFFF"/>
          <w:lang w:val="en-AU" w:eastAsia="en-GB"/>
        </w:rPr>
        <w:t>/bird (Ma Z. et al., 2014; Ma Z. et al., 2016</w:t>
      </w:r>
      <w:r w:rsidR="002D3990">
        <w:rPr>
          <w:rFonts w:cs="Times New Roman"/>
          <w:color w:val="000000"/>
          <w:shd w:val="clear" w:color="auto" w:fill="FFFFFF"/>
          <w:lang w:val="en-AU" w:eastAsia="en-GB"/>
        </w:rPr>
        <w:t>b</w:t>
      </w:r>
      <w:r w:rsidRPr="00286A88">
        <w:rPr>
          <w:rFonts w:cs="Times New Roman"/>
          <w:color w:val="000000"/>
          <w:shd w:val="clear" w:color="auto" w:fill="FFFFFF"/>
          <w:lang w:val="en-AU" w:eastAsia="en-GB"/>
        </w:rPr>
        <w:t>) and lower individual bird production is seen if birds are housed at 362 cm</w:t>
      </w:r>
      <w:r w:rsidRPr="00286A88">
        <w:rPr>
          <w:rFonts w:cs="Times New Roman"/>
          <w:color w:val="000000"/>
          <w:shd w:val="clear" w:color="auto" w:fill="FFFFFF"/>
          <w:vertAlign w:val="superscript"/>
          <w:lang w:val="en-AU" w:eastAsia="en-GB"/>
        </w:rPr>
        <w:t>2</w:t>
      </w:r>
      <w:r w:rsidRPr="00286A88">
        <w:rPr>
          <w:rFonts w:cs="Times New Roman"/>
          <w:color w:val="000000"/>
          <w:shd w:val="clear" w:color="auto" w:fill="FFFFFF"/>
          <w:lang w:val="en-AU" w:eastAsia="en-GB"/>
        </w:rPr>
        <w:t>/bird compared with 482 cm</w:t>
      </w:r>
      <w:r w:rsidRPr="00286A88">
        <w:rPr>
          <w:rFonts w:cs="Times New Roman"/>
          <w:color w:val="000000"/>
          <w:shd w:val="clear" w:color="auto" w:fill="FFFFFF"/>
          <w:vertAlign w:val="superscript"/>
          <w:lang w:val="en-AU" w:eastAsia="en-GB"/>
        </w:rPr>
        <w:t>2</w:t>
      </w:r>
      <w:r w:rsidRPr="00286A88">
        <w:rPr>
          <w:rFonts w:cs="Times New Roman"/>
          <w:color w:val="000000"/>
          <w:shd w:val="clear" w:color="auto" w:fill="FFFFFF"/>
          <w:lang w:val="en-AU" w:eastAsia="en-GB"/>
        </w:rPr>
        <w:t>/bird (Anderson et al., 2004), or at 342 or 413 cm</w:t>
      </w:r>
      <w:r w:rsidRPr="00286A88">
        <w:rPr>
          <w:rFonts w:cs="Times New Roman"/>
          <w:color w:val="000000"/>
          <w:shd w:val="clear" w:color="auto" w:fill="FFFFFF"/>
          <w:vertAlign w:val="superscript"/>
          <w:lang w:val="en-AU" w:eastAsia="en-GB"/>
        </w:rPr>
        <w:t>2</w:t>
      </w:r>
      <w:r w:rsidRPr="00286A88">
        <w:rPr>
          <w:rFonts w:cs="Times New Roman"/>
          <w:color w:val="000000"/>
          <w:shd w:val="clear" w:color="auto" w:fill="FFFFFF"/>
          <w:lang w:val="en-AU" w:eastAsia="en-GB"/>
        </w:rPr>
        <w:t>/bird compared with 516 cm</w:t>
      </w:r>
      <w:r w:rsidRPr="00286A88">
        <w:rPr>
          <w:rFonts w:cs="Times New Roman"/>
          <w:color w:val="000000"/>
          <w:shd w:val="clear" w:color="auto" w:fill="FFFFFF"/>
          <w:vertAlign w:val="superscript"/>
          <w:lang w:val="en-AU" w:eastAsia="en-GB"/>
        </w:rPr>
        <w:t>2</w:t>
      </w:r>
      <w:r w:rsidRPr="00286A88">
        <w:rPr>
          <w:rFonts w:cs="Times New Roman"/>
          <w:color w:val="000000"/>
          <w:shd w:val="clear" w:color="auto" w:fill="FFFFFF"/>
          <w:lang w:val="en-AU" w:eastAsia="en-GB"/>
        </w:rPr>
        <w:t>/bird (Jalal et al., 2006), with further enhanced individual production by birds housed at 690 cm</w:t>
      </w:r>
      <w:r w:rsidRPr="00286A88">
        <w:rPr>
          <w:rFonts w:cs="Times New Roman"/>
          <w:color w:val="000000"/>
          <w:shd w:val="clear" w:color="auto" w:fill="FFFFFF"/>
          <w:vertAlign w:val="superscript"/>
          <w:lang w:val="en-AU" w:eastAsia="en-GB"/>
        </w:rPr>
        <w:t>2</w:t>
      </w:r>
      <w:r w:rsidRPr="00286A88">
        <w:rPr>
          <w:rFonts w:cs="Times New Roman"/>
          <w:color w:val="000000"/>
          <w:shd w:val="clear" w:color="auto" w:fill="FFFFFF"/>
          <w:lang w:val="en-AU" w:eastAsia="en-GB"/>
        </w:rPr>
        <w:t>/bird (Jalal et al.,</w:t>
      </w:r>
      <w:r w:rsidR="007F71FE">
        <w:rPr>
          <w:rFonts w:cs="Times New Roman"/>
          <w:color w:val="000000"/>
          <w:shd w:val="clear" w:color="auto" w:fill="FFFFFF"/>
          <w:lang w:val="en-AU" w:eastAsia="en-GB"/>
        </w:rPr>
        <w:t xml:space="preserve"> </w:t>
      </w:r>
      <w:r w:rsidRPr="00286A88">
        <w:rPr>
          <w:rFonts w:cs="Times New Roman"/>
          <w:color w:val="000000"/>
          <w:shd w:val="clear" w:color="auto" w:fill="FFFFFF"/>
          <w:lang w:val="en-AU" w:eastAsia="en-GB"/>
        </w:rPr>
        <w:t>2006). In hens kept on for a second laying period, feed efficiency was improved with space allowance increased from 309 cm</w:t>
      </w:r>
      <w:r w:rsidRPr="00286A88">
        <w:rPr>
          <w:rFonts w:cs="Times New Roman"/>
          <w:color w:val="000000"/>
          <w:shd w:val="clear" w:color="auto" w:fill="FFFFFF"/>
          <w:vertAlign w:val="superscript"/>
          <w:lang w:val="en-AU" w:eastAsia="en-GB"/>
        </w:rPr>
        <w:t>2</w:t>
      </w:r>
      <w:r w:rsidRPr="00286A88">
        <w:rPr>
          <w:rFonts w:cs="Times New Roman"/>
          <w:color w:val="000000"/>
          <w:shd w:val="clear" w:color="auto" w:fill="FFFFFF"/>
          <w:lang w:val="en-AU" w:eastAsia="en-GB"/>
        </w:rPr>
        <w:t>/bird to 412</w:t>
      </w:r>
      <w:r w:rsidR="007F71FE">
        <w:rPr>
          <w:rFonts w:cs="Times New Roman"/>
          <w:color w:val="000000"/>
          <w:shd w:val="clear" w:color="auto" w:fill="FFFFFF"/>
          <w:lang w:val="en-AU" w:eastAsia="en-GB"/>
        </w:rPr>
        <w:t> </w:t>
      </w:r>
      <w:r w:rsidRPr="00286A88">
        <w:rPr>
          <w:rFonts w:cs="Times New Roman"/>
          <w:color w:val="000000"/>
          <w:shd w:val="clear" w:color="auto" w:fill="FFFFFF"/>
          <w:lang w:val="en-AU" w:eastAsia="en-GB"/>
        </w:rPr>
        <w:t>cm</w:t>
      </w:r>
      <w:r w:rsidRPr="00286A88">
        <w:rPr>
          <w:rFonts w:cs="Times New Roman"/>
          <w:color w:val="000000"/>
          <w:shd w:val="clear" w:color="auto" w:fill="FFFFFF"/>
          <w:vertAlign w:val="superscript"/>
          <w:lang w:val="en-AU" w:eastAsia="en-GB"/>
        </w:rPr>
        <w:t>2</w:t>
      </w:r>
      <w:r w:rsidRPr="00286A88">
        <w:rPr>
          <w:rFonts w:cs="Times New Roman"/>
          <w:color w:val="000000"/>
          <w:shd w:val="clear" w:color="auto" w:fill="FFFFFF"/>
          <w:lang w:val="en-AU" w:eastAsia="en-GB"/>
        </w:rPr>
        <w:t>/bird (Sohail et al., 2004). Higher H:L ratios were reported for birds housed at extremely low spatial allowances, 288 cm</w:t>
      </w:r>
      <w:r w:rsidRPr="00286A88">
        <w:rPr>
          <w:rFonts w:cs="Times New Roman"/>
          <w:color w:val="000000"/>
          <w:shd w:val="clear" w:color="auto" w:fill="FFFFFF"/>
          <w:vertAlign w:val="superscript"/>
          <w:lang w:val="en-AU" w:eastAsia="en-GB"/>
        </w:rPr>
        <w:t>2</w:t>
      </w:r>
      <w:r w:rsidRPr="00286A88">
        <w:rPr>
          <w:rFonts w:cs="Times New Roman"/>
          <w:color w:val="000000"/>
          <w:shd w:val="clear" w:color="auto" w:fill="FFFFFF"/>
          <w:lang w:val="en-AU" w:eastAsia="en-GB"/>
        </w:rPr>
        <w:t>/bird, compared with 500 cm</w:t>
      </w:r>
      <w:r w:rsidRPr="00286A88">
        <w:rPr>
          <w:rFonts w:cs="Times New Roman"/>
          <w:color w:val="000000"/>
          <w:shd w:val="clear" w:color="auto" w:fill="FFFFFF"/>
          <w:vertAlign w:val="superscript"/>
          <w:lang w:val="en-AU" w:eastAsia="en-GB"/>
        </w:rPr>
        <w:t>2</w:t>
      </w:r>
      <w:r w:rsidRPr="00286A88">
        <w:rPr>
          <w:rFonts w:cs="Times New Roman"/>
          <w:color w:val="000000"/>
          <w:shd w:val="clear" w:color="auto" w:fill="FFFFFF"/>
          <w:lang w:val="en-AU" w:eastAsia="en-GB"/>
        </w:rPr>
        <w:t>/bird (Cetin et al., 2011) but no differences in H:L ratio or adrenal gland weight were reported for birds housed in conventional cages at 542 cm</w:t>
      </w:r>
      <w:r w:rsidRPr="00286A88">
        <w:rPr>
          <w:rFonts w:cs="Times New Roman"/>
          <w:color w:val="000000"/>
          <w:shd w:val="clear" w:color="auto" w:fill="FFFFFF"/>
          <w:vertAlign w:val="superscript"/>
          <w:lang w:val="en-AU" w:eastAsia="en-GB"/>
        </w:rPr>
        <w:t>2</w:t>
      </w:r>
      <w:r w:rsidRPr="00286A88">
        <w:rPr>
          <w:rFonts w:cs="Times New Roman"/>
          <w:color w:val="000000"/>
          <w:shd w:val="clear" w:color="auto" w:fill="FFFFFF"/>
          <w:lang w:val="en-AU" w:eastAsia="en-GB"/>
        </w:rPr>
        <w:t>/bird (4 birds/cage) or 434 cm</w:t>
      </w:r>
      <w:r w:rsidRPr="00286A88">
        <w:rPr>
          <w:rFonts w:cs="Times New Roman"/>
          <w:color w:val="000000"/>
          <w:shd w:val="clear" w:color="auto" w:fill="FFFFFF"/>
          <w:vertAlign w:val="superscript"/>
          <w:lang w:val="en-AU" w:eastAsia="en-GB"/>
        </w:rPr>
        <w:t>2</w:t>
      </w:r>
      <w:r w:rsidRPr="00286A88">
        <w:rPr>
          <w:rFonts w:cs="Times New Roman"/>
          <w:color w:val="000000"/>
          <w:shd w:val="clear" w:color="auto" w:fill="FFFFFF"/>
          <w:lang w:val="en-AU" w:eastAsia="en-GB"/>
        </w:rPr>
        <w:t>/bird (10 birds/cage) (Fahey and Cheng, 2008a) or for plasma corticosterone or H:L ratio for hens housed at 320 cm</w:t>
      </w:r>
      <w:r w:rsidRPr="00286A88">
        <w:rPr>
          <w:rFonts w:cs="Times New Roman"/>
          <w:color w:val="000000"/>
          <w:shd w:val="clear" w:color="auto" w:fill="FFFFFF"/>
          <w:vertAlign w:val="superscript"/>
          <w:lang w:val="en-AU" w:eastAsia="en-GB"/>
        </w:rPr>
        <w:t>2</w:t>
      </w:r>
      <w:r w:rsidRPr="00286A88">
        <w:rPr>
          <w:rFonts w:cs="Times New Roman"/>
          <w:color w:val="000000"/>
          <w:shd w:val="clear" w:color="auto" w:fill="FFFFFF"/>
          <w:lang w:val="en-AU" w:eastAsia="en-GB"/>
        </w:rPr>
        <w:t>/bird (5 birds/cage), 400 cm</w:t>
      </w:r>
      <w:r w:rsidRPr="00286A88">
        <w:rPr>
          <w:rFonts w:cs="Times New Roman"/>
          <w:color w:val="000000"/>
          <w:shd w:val="clear" w:color="auto" w:fill="FFFFFF"/>
          <w:vertAlign w:val="superscript"/>
          <w:lang w:val="en-AU" w:eastAsia="en-GB"/>
        </w:rPr>
        <w:t>2</w:t>
      </w:r>
      <w:r w:rsidRPr="00286A88">
        <w:rPr>
          <w:rFonts w:cs="Times New Roman"/>
          <w:color w:val="000000"/>
          <w:shd w:val="clear" w:color="auto" w:fill="FFFFFF"/>
          <w:lang w:val="en-AU" w:eastAsia="en-GB"/>
        </w:rPr>
        <w:t>/bird (4</w:t>
      </w:r>
      <w:r w:rsidR="007F71FE">
        <w:rPr>
          <w:rFonts w:cs="Times New Roman"/>
          <w:color w:val="000000"/>
          <w:shd w:val="clear" w:color="auto" w:fill="FFFFFF"/>
          <w:lang w:val="en-AU" w:eastAsia="en-GB"/>
        </w:rPr>
        <w:t> </w:t>
      </w:r>
      <w:r w:rsidRPr="00286A88">
        <w:rPr>
          <w:rFonts w:cs="Times New Roman"/>
          <w:color w:val="000000"/>
          <w:shd w:val="clear" w:color="auto" w:fill="FFFFFF"/>
          <w:lang w:val="en-AU" w:eastAsia="en-GB"/>
        </w:rPr>
        <w:t>birds/cage) or 533 cm</w:t>
      </w:r>
      <w:r w:rsidRPr="00286A88">
        <w:rPr>
          <w:rFonts w:cs="Times New Roman"/>
          <w:color w:val="000000"/>
          <w:shd w:val="clear" w:color="auto" w:fill="FFFFFF"/>
          <w:vertAlign w:val="superscript"/>
          <w:lang w:val="en-AU" w:eastAsia="en-GB"/>
        </w:rPr>
        <w:t>2</w:t>
      </w:r>
      <w:r w:rsidRPr="00286A88">
        <w:rPr>
          <w:rFonts w:cs="Times New Roman"/>
          <w:color w:val="000000"/>
          <w:shd w:val="clear" w:color="auto" w:fill="FFFFFF"/>
          <w:lang w:val="en-AU" w:eastAsia="en-GB"/>
        </w:rPr>
        <w:t>/bird (3 birds/cage) (Mousavi et al., 2016). This may be because the differences in spatial allowance in these studies are marginal. In experiments that have compared a wider range of space allowances within CC systems, clearer differences have been found. Hens were housed at 1,968 cm</w:t>
      </w:r>
      <w:r w:rsidRPr="00286A88">
        <w:rPr>
          <w:rFonts w:cs="Times New Roman"/>
          <w:color w:val="000000"/>
          <w:shd w:val="clear" w:color="auto" w:fill="FFFFFF"/>
          <w:vertAlign w:val="superscript"/>
          <w:lang w:val="en-AU" w:eastAsia="en-GB"/>
        </w:rPr>
        <w:t>2</w:t>
      </w:r>
      <w:r w:rsidRPr="00286A88">
        <w:rPr>
          <w:rFonts w:cs="Times New Roman"/>
          <w:color w:val="000000"/>
          <w:shd w:val="clear" w:color="auto" w:fill="FFFFFF"/>
          <w:lang w:val="en-AU" w:eastAsia="en-GB"/>
        </w:rPr>
        <w:t>/bird (1 bird/cage), 656 cm</w:t>
      </w:r>
      <w:r w:rsidRPr="00286A88">
        <w:rPr>
          <w:rFonts w:cs="Times New Roman"/>
          <w:color w:val="000000"/>
          <w:shd w:val="clear" w:color="auto" w:fill="FFFFFF"/>
          <w:vertAlign w:val="superscript"/>
          <w:lang w:val="en-AU" w:eastAsia="en-GB"/>
        </w:rPr>
        <w:t>2</w:t>
      </w:r>
      <w:r w:rsidRPr="00286A88">
        <w:rPr>
          <w:rFonts w:cs="Times New Roman"/>
          <w:color w:val="000000"/>
          <w:shd w:val="clear" w:color="auto" w:fill="FFFFFF"/>
          <w:lang w:val="en-AU" w:eastAsia="en-GB"/>
        </w:rPr>
        <w:t>/bird (3</w:t>
      </w:r>
      <w:r w:rsidR="007F71FE">
        <w:rPr>
          <w:rFonts w:cs="Times New Roman"/>
          <w:color w:val="000000"/>
          <w:shd w:val="clear" w:color="auto" w:fill="FFFFFF"/>
          <w:lang w:val="en-AU" w:eastAsia="en-GB"/>
        </w:rPr>
        <w:t> </w:t>
      </w:r>
      <w:r w:rsidRPr="00286A88">
        <w:rPr>
          <w:rFonts w:cs="Times New Roman"/>
          <w:color w:val="000000"/>
          <w:shd w:val="clear" w:color="auto" w:fill="FFFFFF"/>
          <w:lang w:val="en-AU" w:eastAsia="en-GB"/>
        </w:rPr>
        <w:t>birds/cage) or 384 cm</w:t>
      </w:r>
      <w:r w:rsidRPr="00286A88">
        <w:rPr>
          <w:rFonts w:cs="Times New Roman"/>
          <w:color w:val="000000"/>
          <w:shd w:val="clear" w:color="auto" w:fill="FFFFFF"/>
          <w:vertAlign w:val="superscript"/>
          <w:lang w:val="en-AU" w:eastAsia="en-GB"/>
        </w:rPr>
        <w:t>2</w:t>
      </w:r>
      <w:r w:rsidRPr="00286A88">
        <w:rPr>
          <w:rFonts w:cs="Times New Roman"/>
          <w:color w:val="000000"/>
          <w:shd w:val="clear" w:color="auto" w:fill="FFFFFF"/>
          <w:lang w:val="en-AU" w:eastAsia="en-GB"/>
        </w:rPr>
        <w:t>/bird (5 birds/cage). Groups housed at the highest stocking rate had lower body weight, production, plumage score and higher H:L ratios, whilst the individually-housed birds with the largest space allowance had lower plasma corticosterone levels (</w:t>
      </w:r>
      <w:r w:rsidRPr="00286A88">
        <w:rPr>
          <w:rFonts w:cs="TimesNewRomanPS-BoldMT"/>
          <w:bCs/>
          <w:color w:val="000000"/>
          <w:lang w:val="en-AU" w:eastAsia="en-AU"/>
        </w:rPr>
        <w:t>Onbaşılar</w:t>
      </w:r>
      <w:r w:rsidRPr="00286A88">
        <w:rPr>
          <w:rFonts w:cs="Times New Roman"/>
          <w:color w:val="000000"/>
          <w:shd w:val="clear" w:color="auto" w:fill="FFFFFF"/>
          <w:lang w:val="en-AU" w:eastAsia="en-GB"/>
        </w:rPr>
        <w:t xml:space="preserve"> and Aksoy, 2005). Similarly, when hens were housed at 2</w:t>
      </w:r>
      <w:r w:rsidR="002646F8">
        <w:rPr>
          <w:rFonts w:cs="Times New Roman"/>
          <w:color w:val="000000"/>
          <w:shd w:val="clear" w:color="auto" w:fill="FFFFFF"/>
          <w:lang w:val="en-AU" w:eastAsia="en-GB"/>
        </w:rPr>
        <w:t>,</w:t>
      </w:r>
      <w:r w:rsidRPr="00286A88">
        <w:rPr>
          <w:rFonts w:cs="Times New Roman"/>
          <w:color w:val="000000"/>
          <w:shd w:val="clear" w:color="auto" w:fill="FFFFFF"/>
          <w:lang w:val="en-AU" w:eastAsia="en-GB"/>
        </w:rPr>
        <w:t>000 (1 bird/cage), 1</w:t>
      </w:r>
      <w:r w:rsidR="002646F8">
        <w:rPr>
          <w:rFonts w:cs="Times New Roman"/>
          <w:color w:val="000000"/>
          <w:shd w:val="clear" w:color="auto" w:fill="FFFFFF"/>
          <w:lang w:val="en-AU" w:eastAsia="en-GB"/>
        </w:rPr>
        <w:t>,</w:t>
      </w:r>
      <w:r w:rsidRPr="00286A88">
        <w:rPr>
          <w:rFonts w:cs="Times New Roman"/>
          <w:color w:val="000000"/>
          <w:shd w:val="clear" w:color="auto" w:fill="FFFFFF"/>
          <w:lang w:val="en-AU" w:eastAsia="en-GB"/>
        </w:rPr>
        <w:t>000 (2 birds/cage), 667 (3 birds/cage) or 500 cm</w:t>
      </w:r>
      <w:r w:rsidRPr="00286A88">
        <w:rPr>
          <w:rFonts w:cs="Times New Roman"/>
          <w:color w:val="000000"/>
          <w:shd w:val="clear" w:color="auto" w:fill="FFFFFF"/>
          <w:vertAlign w:val="superscript"/>
          <w:lang w:val="en-AU" w:eastAsia="en-GB"/>
        </w:rPr>
        <w:t>2</w:t>
      </w:r>
      <w:r w:rsidRPr="00286A88">
        <w:rPr>
          <w:rFonts w:cs="Times New Roman"/>
          <w:color w:val="000000"/>
          <w:shd w:val="clear" w:color="auto" w:fill="FFFFFF"/>
          <w:lang w:val="en-AU" w:eastAsia="en-GB"/>
        </w:rPr>
        <w:t>/bird (4 birds/cage) mortality due to IP was lower and plumage condition was better at the two higher spatial allowances (Sarica et al., 2008). Individual bird production was also improved at this higher spatial allowance (Saki et al., 2012).</w:t>
      </w:r>
    </w:p>
    <w:p w14:paraId="3873B3AA" w14:textId="77777777" w:rsidR="00286A88" w:rsidRPr="00286A88" w:rsidRDefault="00286A88" w:rsidP="00BF3610">
      <w:pPr>
        <w:rPr>
          <w:rFonts w:cs="Times New Roman"/>
          <w:color w:val="000000"/>
          <w:shd w:val="clear" w:color="auto" w:fill="FFFFFF"/>
          <w:lang w:val="en-AU" w:eastAsia="en-GB"/>
        </w:rPr>
      </w:pPr>
      <w:r w:rsidRPr="00286A88">
        <w:rPr>
          <w:rFonts w:cs="Times New Roman"/>
          <w:color w:val="000000"/>
          <w:shd w:val="clear" w:color="auto" w:fill="FFFFFF"/>
          <w:lang w:val="en-AU" w:eastAsia="en-GB"/>
        </w:rPr>
        <w:t>Increased stocking rate was associated with increased H:L ratio, but not in markers of cell mediated immune function in laying strain chicks reared in cages at 212, 275 and 371 cm</w:t>
      </w:r>
      <w:r w:rsidRPr="00286A88">
        <w:rPr>
          <w:rFonts w:cs="Times New Roman"/>
          <w:color w:val="000000"/>
          <w:shd w:val="clear" w:color="auto" w:fill="FFFFFF"/>
          <w:vertAlign w:val="superscript"/>
          <w:lang w:val="en-AU" w:eastAsia="en-GB"/>
        </w:rPr>
        <w:t>2</w:t>
      </w:r>
      <w:r w:rsidRPr="00286A88">
        <w:rPr>
          <w:rFonts w:cs="Times New Roman"/>
          <w:color w:val="000000"/>
          <w:shd w:val="clear" w:color="auto" w:fill="FFFFFF"/>
          <w:lang w:val="en-AU" w:eastAsia="en-GB"/>
        </w:rPr>
        <w:t>/bird (Bozkurt et al., 2008).</w:t>
      </w:r>
    </w:p>
    <w:p w14:paraId="49C0573A" w14:textId="77777777" w:rsidR="00286A88" w:rsidRPr="00286A88" w:rsidRDefault="00286A88" w:rsidP="00BF3610">
      <w:pPr>
        <w:rPr>
          <w:lang w:val="en-AU" w:eastAsia="en-AU"/>
        </w:rPr>
      </w:pPr>
      <w:r w:rsidRPr="00286A88">
        <w:rPr>
          <w:lang w:val="en-AU" w:eastAsia="en-AU"/>
        </w:rPr>
        <w:t xml:space="preserve">A possible effect of increasing group size within FC systems is on bird mortality, with higher mortality in systems with 20 to 60 birds, than FCs for 10 birds (Weitzenburger et al., 2005a). There was more locomotion in large furnished cages with greater group size than in small furnished cages with smaller groups (Weitzenburger et al., 2006a; Meng et al., 2017) and more wounds and reduced plumage condition in FCs with 16 birds than those with 8 birds (Hetland et al., 2004). Appleby et al. (2002) reported increased mortality in furnished cages with 8 birds than those with 4 birds. In contrast, no significant differences in mortality </w:t>
      </w:r>
      <w:r w:rsidRPr="00286A88">
        <w:rPr>
          <w:rFonts w:cs="Times New Roman"/>
          <w:color w:val="000000"/>
          <w:lang w:val="en-AU" w:eastAsia="en-AU"/>
        </w:rPr>
        <w:t>were reported for increases in group size from 8 to 40 by Wall (2011) or from 20 to 60 by Huneau-Salaun et al. (2011b).</w:t>
      </w:r>
    </w:p>
    <w:p w14:paraId="72DF1712" w14:textId="77777777" w:rsidR="00286A88" w:rsidRPr="00286A88" w:rsidRDefault="00286A88" w:rsidP="00BF3610">
      <w:pPr>
        <w:rPr>
          <w:lang w:val="en-AU" w:eastAsia="en-AU"/>
        </w:rPr>
      </w:pPr>
      <w:r w:rsidRPr="00286A88">
        <w:rPr>
          <w:lang w:val="en-AU" w:eastAsia="en-AU"/>
        </w:rPr>
        <w:t>In a small study that controlled for group size, Barnett et al. (2009) found decreased plasma corticosterone in hens housed in furnished cages at a space allowance (including cage furniture) of approx. 1,800 cm</w:t>
      </w:r>
      <w:r w:rsidRPr="00286A88">
        <w:rPr>
          <w:vertAlign w:val="superscript"/>
          <w:lang w:val="en-AU" w:eastAsia="en-AU"/>
        </w:rPr>
        <w:t>2</w:t>
      </w:r>
      <w:r w:rsidRPr="00286A88">
        <w:rPr>
          <w:lang w:val="en-AU" w:eastAsia="en-AU"/>
        </w:rPr>
        <w:t>/bird compared with a space allowance of approximately 900 cm</w:t>
      </w:r>
      <w:r w:rsidRPr="00286A88">
        <w:rPr>
          <w:vertAlign w:val="superscript"/>
          <w:lang w:val="en-AU" w:eastAsia="en-AU"/>
        </w:rPr>
        <w:t>2</w:t>
      </w:r>
      <w:r w:rsidRPr="00286A88">
        <w:rPr>
          <w:lang w:val="en-AU" w:eastAsia="en-AU"/>
        </w:rPr>
        <w:t>/bird. In another study that controlled for group size, Kang et al. (2016) found improved production performance and reduced stress response (see Section LH6.1 above) in hens housed in floor pens at less than 10 birds/m</w:t>
      </w:r>
      <w:r w:rsidRPr="00286A88">
        <w:rPr>
          <w:vertAlign w:val="superscript"/>
          <w:lang w:val="en-AU" w:eastAsia="en-AU"/>
        </w:rPr>
        <w:t>2</w:t>
      </w:r>
      <w:r w:rsidRPr="00286A88">
        <w:rPr>
          <w:lang w:val="en-AU" w:eastAsia="en-AU"/>
        </w:rPr>
        <w:t xml:space="preserve"> compared with birds housed at 10 birds/m</w:t>
      </w:r>
      <w:r w:rsidRPr="00286A88">
        <w:rPr>
          <w:vertAlign w:val="superscript"/>
          <w:lang w:val="en-AU" w:eastAsia="en-AU"/>
        </w:rPr>
        <w:t>2</w:t>
      </w:r>
      <w:r w:rsidRPr="00286A88">
        <w:rPr>
          <w:lang w:val="en-AU" w:eastAsia="en-AU"/>
        </w:rPr>
        <w:t>.</w:t>
      </w:r>
    </w:p>
    <w:p w14:paraId="738506EC" w14:textId="77777777" w:rsidR="00286A88" w:rsidRPr="00286A88" w:rsidRDefault="00286A88" w:rsidP="008F6BEF">
      <w:pPr>
        <w:rPr>
          <w:lang w:val="en-AU" w:eastAsia="en-AU"/>
        </w:rPr>
      </w:pPr>
      <w:r w:rsidRPr="00286A88">
        <w:rPr>
          <w:lang w:val="en-AU" w:eastAsia="en-AU"/>
        </w:rPr>
        <w:t>Higher stocking rate for pullets during the rearing period is associated with increased feather damage due to pecking (Bestman et al., 2009). Rearing flocks where feather pecking was identified had been stocked at between 18 and 53</w:t>
      </w:r>
      <w:r w:rsidR="007F71FE">
        <w:rPr>
          <w:lang w:val="en-AU" w:eastAsia="en-AU"/>
        </w:rPr>
        <w:t> </w:t>
      </w:r>
      <w:r w:rsidRPr="00286A88">
        <w:rPr>
          <w:lang w:val="en-AU" w:eastAsia="en-AU"/>
        </w:rPr>
        <w:t>chicks/m</w:t>
      </w:r>
      <w:r w:rsidRPr="00286A88">
        <w:rPr>
          <w:vertAlign w:val="superscript"/>
          <w:lang w:val="en-AU" w:eastAsia="en-AU"/>
        </w:rPr>
        <w:t xml:space="preserve">2 </w:t>
      </w:r>
      <w:r w:rsidRPr="00286A88">
        <w:rPr>
          <w:lang w:val="en-AU" w:eastAsia="en-AU"/>
        </w:rPr>
        <w:t xml:space="preserve"> between weeks 1 and 4, whilst rearing flocks with no feather pecking had been stocked at between 15 and 37 chicks/m</w:t>
      </w:r>
      <w:r w:rsidRPr="00286A88">
        <w:rPr>
          <w:vertAlign w:val="superscript"/>
          <w:lang w:val="en-AU" w:eastAsia="en-AU"/>
        </w:rPr>
        <w:t xml:space="preserve">2 </w:t>
      </w:r>
      <w:r w:rsidRPr="00286A88">
        <w:rPr>
          <w:lang w:val="en-AU" w:eastAsia="en-AU"/>
        </w:rPr>
        <w:t>(Bestman et al., 2009).</w:t>
      </w:r>
    </w:p>
    <w:p w14:paraId="51676F77" w14:textId="77777777" w:rsidR="00286A88" w:rsidRPr="00286A88" w:rsidRDefault="00286A88" w:rsidP="008F6BEF">
      <w:pPr>
        <w:rPr>
          <w:rFonts w:cs="Times New Roman"/>
          <w:lang w:val="en-AU" w:eastAsia="en-AU"/>
        </w:rPr>
      </w:pPr>
      <w:r w:rsidRPr="00286A88">
        <w:rPr>
          <w:lang w:val="en-AU" w:eastAsia="en-AU"/>
        </w:rPr>
        <w:t>The effects of stocking rate on the physical condition and pecking behaviour of non-cage flocks are complex. In a</w:t>
      </w:r>
      <w:r w:rsidRPr="00286A88">
        <w:rPr>
          <w:rFonts w:cs="Times New Roman"/>
          <w:lang w:val="en-AU" w:eastAsia="en-AU"/>
        </w:rPr>
        <w:t xml:space="preserve"> relatively small scale experimental study, FP was found to increase with stocking rate from 6 to 30 birds/m</w:t>
      </w:r>
      <w:r w:rsidRPr="00286A88">
        <w:rPr>
          <w:rFonts w:cs="Times New Roman"/>
          <w:vertAlign w:val="superscript"/>
          <w:lang w:val="en-AU" w:eastAsia="en-AU"/>
        </w:rPr>
        <w:t>2</w:t>
      </w:r>
      <w:r w:rsidRPr="00286A88">
        <w:rPr>
          <w:rFonts w:cs="Times New Roman"/>
          <w:lang w:val="en-AU" w:eastAsia="en-AU"/>
        </w:rPr>
        <w:t xml:space="preserve"> (Nicol et al., 1999) but subsequent work with large commercial flocks found an opposite effect with stocking rates from 7 to 12 birds/m</w:t>
      </w:r>
      <w:r w:rsidRPr="00286A88">
        <w:rPr>
          <w:rFonts w:cs="Times New Roman"/>
          <w:vertAlign w:val="superscript"/>
          <w:lang w:val="en-AU" w:eastAsia="en-AU"/>
        </w:rPr>
        <w:t xml:space="preserve">2 </w:t>
      </w:r>
      <w:r w:rsidRPr="00286A88">
        <w:rPr>
          <w:rFonts w:cs="Times New Roman"/>
          <w:lang w:val="en-AU" w:eastAsia="en-AU"/>
        </w:rPr>
        <w:t>(Zimmerman et al., 2006). An analysis of the physical condition of birds from these same flocks found lower mortality at 12</w:t>
      </w:r>
      <w:r w:rsidR="00BA1829">
        <w:rPr>
          <w:rFonts w:cs="Times New Roman"/>
          <w:lang w:val="en-AU" w:eastAsia="en-AU"/>
        </w:rPr>
        <w:t> </w:t>
      </w:r>
      <w:r w:rsidRPr="00286A88">
        <w:rPr>
          <w:rFonts w:cs="Times New Roman"/>
          <w:lang w:val="en-AU" w:eastAsia="en-AU"/>
        </w:rPr>
        <w:t>birds/m</w:t>
      </w:r>
      <w:r w:rsidRPr="00286A88">
        <w:rPr>
          <w:rFonts w:cs="Times New Roman"/>
          <w:vertAlign w:val="superscript"/>
          <w:lang w:val="en-AU" w:eastAsia="en-AU"/>
        </w:rPr>
        <w:t>2</w:t>
      </w:r>
      <w:r w:rsidRPr="00286A88">
        <w:rPr>
          <w:rFonts w:cs="Times New Roman"/>
          <w:lang w:val="en-AU" w:eastAsia="en-AU"/>
        </w:rPr>
        <w:t xml:space="preserve"> than at 7 or 9 birds/m</w:t>
      </w:r>
      <w:r w:rsidRPr="00286A88">
        <w:rPr>
          <w:rFonts w:cs="Times New Roman"/>
          <w:vertAlign w:val="superscript"/>
          <w:lang w:val="en-AU" w:eastAsia="en-AU"/>
        </w:rPr>
        <w:t>2</w:t>
      </w:r>
      <w:r w:rsidRPr="00286A88">
        <w:rPr>
          <w:rFonts w:cs="Times New Roman"/>
          <w:lang w:val="en-AU" w:eastAsia="en-AU"/>
        </w:rPr>
        <w:t xml:space="preserve"> (Nicol et al., 2006). The reason for this difference is not clear but Nicol et al. (2006) noted that there can be paradoxical effects in large commercial flocks if birds at lower average stocking rates cluster rather than disperse evenly.</w:t>
      </w:r>
    </w:p>
    <w:p w14:paraId="082BF915" w14:textId="77777777" w:rsidR="00286A88" w:rsidRPr="00286A88" w:rsidRDefault="00286A88" w:rsidP="008F6BEF">
      <w:pPr>
        <w:rPr>
          <w:lang w:val="en-AU" w:eastAsia="en-AU"/>
        </w:rPr>
      </w:pPr>
      <w:r w:rsidRPr="00286A88">
        <w:rPr>
          <w:rFonts w:cs="Times New Roman"/>
          <w:lang w:val="en-AU" w:eastAsia="en-AU"/>
        </w:rPr>
        <w:t>In a study of organic flocks it was this increased resource competition that was thought to be responsible for greater plumage damage in birds kept in aviary systems at higher stocking rates within the range of 6 to 12 birds/m</w:t>
      </w:r>
      <w:r w:rsidRPr="00286A88">
        <w:rPr>
          <w:rFonts w:cs="Times New Roman"/>
          <w:vertAlign w:val="superscript"/>
          <w:lang w:val="en-AU" w:eastAsia="en-AU"/>
        </w:rPr>
        <w:t>2</w:t>
      </w:r>
      <w:r w:rsidRPr="00286A88">
        <w:rPr>
          <w:rFonts w:cs="Times New Roman"/>
          <w:lang w:val="en-AU" w:eastAsia="en-AU"/>
        </w:rPr>
        <w:t xml:space="preserve"> (Steenfeldt and Nielsen, 2015b). Other effects of increasing stocking rate in these flocks were felt to be minor (Steenfeldt and Nielsen, 2015a).</w:t>
      </w:r>
    </w:p>
    <w:p w14:paraId="19FF4DBC" w14:textId="77777777" w:rsidR="00286A88" w:rsidRPr="00286A88" w:rsidRDefault="00286A88" w:rsidP="008F6BEF">
      <w:pPr>
        <w:rPr>
          <w:lang w:val="en-AU" w:eastAsia="en-AU"/>
        </w:rPr>
      </w:pPr>
      <w:r w:rsidRPr="00286A88">
        <w:rPr>
          <w:lang w:val="en-AU" w:eastAsia="en-AU"/>
        </w:rPr>
        <w:t>It should be recognised that birds do not distribute themselves evenly (LH4.5), either in FCs or in non-cage systems (LH5.3). Tendencies to cluster can arise for many reasons including social facilitation, shared resource preferences, and anti-predator responses (LH4.5). In experimental pens housing groups of between 323 and 912 birds, each at a notional stocking rate of 18.5 birds/m</w:t>
      </w:r>
      <w:r w:rsidRPr="00286A88">
        <w:rPr>
          <w:vertAlign w:val="superscript"/>
          <w:lang w:val="en-AU" w:eastAsia="en-AU"/>
        </w:rPr>
        <w:t>2</w:t>
      </w:r>
      <w:r w:rsidRPr="00286A88">
        <w:rPr>
          <w:lang w:val="en-AU" w:eastAsia="en-AU"/>
        </w:rPr>
        <w:t>, the local densities recorded in different pen areas varied between 9 and 41 birds/m</w:t>
      </w:r>
      <w:r w:rsidRPr="00286A88">
        <w:rPr>
          <w:vertAlign w:val="superscript"/>
          <w:lang w:val="en-AU" w:eastAsia="en-AU"/>
        </w:rPr>
        <w:t>2</w:t>
      </w:r>
      <w:r w:rsidRPr="00286A88">
        <w:rPr>
          <w:lang w:val="en-AU" w:eastAsia="en-AU"/>
        </w:rPr>
        <w:t xml:space="preserve"> (Channing et al., 2001).</w:t>
      </w:r>
    </w:p>
    <w:p w14:paraId="7255D420" w14:textId="77777777" w:rsidR="00286A88" w:rsidRPr="00286A88" w:rsidRDefault="00286A88" w:rsidP="008F6BEF">
      <w:pPr>
        <w:pStyle w:val="Heading3"/>
        <w:rPr>
          <w:sz w:val="24"/>
          <w:szCs w:val="24"/>
          <w:lang w:val="en-AU" w:eastAsia="en-GB"/>
        </w:rPr>
      </w:pPr>
      <w:bookmarkStart w:id="65" w:name="_Toc495310534"/>
      <w:r w:rsidRPr="00286A88">
        <w:rPr>
          <w:lang w:val="en-AU" w:eastAsia="en-GB"/>
        </w:rPr>
        <w:t>LH8.2 Air quality and biosecurity</w:t>
      </w:r>
      <w:bookmarkEnd w:id="65"/>
    </w:p>
    <w:p w14:paraId="61B7BD9E" w14:textId="77777777" w:rsidR="00286A88" w:rsidRPr="00AC720E" w:rsidRDefault="00286A88" w:rsidP="008F6BEF">
      <w:pPr>
        <w:rPr>
          <w:rFonts w:cs="Times New Roman"/>
          <w:i/>
          <w:lang w:val="en-AU" w:eastAsia="en-AU"/>
        </w:rPr>
      </w:pPr>
      <w:r w:rsidRPr="00AC720E">
        <w:rPr>
          <w:i/>
          <w:lang w:val="en-AU" w:eastAsia="en-AU"/>
        </w:rPr>
        <w:t>Air quality (dust, bacteria and ammonia levels) is lower for non-cage systems containing litter than for cage systems or multi-tier systems with belt removal of manure.</w:t>
      </w:r>
    </w:p>
    <w:p w14:paraId="60F2491D" w14:textId="77777777" w:rsidR="00286A88" w:rsidRPr="00286A88" w:rsidRDefault="00286A88" w:rsidP="008F6BEF">
      <w:pPr>
        <w:rPr>
          <w:lang w:val="en-AU" w:eastAsia="en-AU"/>
        </w:rPr>
      </w:pPr>
      <w:r w:rsidRPr="00286A88">
        <w:rPr>
          <w:lang w:val="en-AU" w:eastAsia="en-AU"/>
        </w:rPr>
        <w:t>Reduced air quality for non-cage systems containing litter compared with colony cages or multi-tier systems with belt removal of manure has been noted in many studies, with more inhalable and respirable dust particles, bacteria and associated endotoxins present in the air (Rodenburg et al., 2008a; Nimmermark et al., 2009; Huneau</w:t>
      </w:r>
      <w:r w:rsidR="00D15FA6">
        <w:rPr>
          <w:lang w:val="en-AU" w:eastAsia="en-AU"/>
        </w:rPr>
        <w:t>-Salaun</w:t>
      </w:r>
      <w:r w:rsidRPr="00286A88">
        <w:rPr>
          <w:lang w:val="en-AU" w:eastAsia="en-AU"/>
        </w:rPr>
        <w:t xml:space="preserve"> et al., 2011a; Le Bouquin et al., 2013). Nimmermark et al. (2009) reported total dust concentrations of up to 2.5 mg/m</w:t>
      </w:r>
      <w:r w:rsidRPr="00286A88">
        <w:rPr>
          <w:vertAlign w:val="superscript"/>
          <w:lang w:val="en-AU" w:eastAsia="en-AU"/>
        </w:rPr>
        <w:t>3</w:t>
      </w:r>
      <w:r w:rsidRPr="00286A88">
        <w:rPr>
          <w:lang w:val="en-AU" w:eastAsia="en-AU"/>
        </w:rPr>
        <w:t xml:space="preserve"> in FC and non-cage MT systems, but up to 18 mg/m</w:t>
      </w:r>
      <w:r w:rsidRPr="00286A88">
        <w:rPr>
          <w:vertAlign w:val="superscript"/>
          <w:lang w:val="en-AU" w:eastAsia="en-AU"/>
        </w:rPr>
        <w:t>3</w:t>
      </w:r>
      <w:r w:rsidRPr="00286A88">
        <w:rPr>
          <w:lang w:val="en-AU" w:eastAsia="en-AU"/>
        </w:rPr>
        <w:t xml:space="preserve"> in a litter floor ST house. Ammonia concentrations varied from 3-12 ppm in FC, 21-42</w:t>
      </w:r>
      <w:r w:rsidR="00BA1829">
        <w:rPr>
          <w:lang w:val="en-AU" w:eastAsia="en-AU"/>
        </w:rPr>
        <w:t> </w:t>
      </w:r>
      <w:r w:rsidRPr="00286A88">
        <w:rPr>
          <w:lang w:val="en-AU" w:eastAsia="en-AU"/>
        </w:rPr>
        <w:t>ppm in the MT system and 66-120 ppm in the ST house. Under winter conditions in Iowa, USA, ammonia concentrations were adequately maintained below 25 ppm in two cage facilities, but not in a non-cage facility where ammonia rose to a maximum of 89 ppm (Green et al., 2009). However, under summer conditions, the ammonia concentrations were equally low for all three systems. In practice there is often a trade-off between keeping rates of ventilation low in winter in order to maintain warmer air temperatures for efficient feed conversion and production as well as bird comfort; and in maintaining good air quality. Maintaining air quality throughout the year can also be a challenge in very large conventional cage facilities with high house stocking density. Ch</w:t>
      </w:r>
      <w:r w:rsidR="000B0B33">
        <w:rPr>
          <w:lang w:val="en-AU" w:eastAsia="en-AU"/>
        </w:rPr>
        <w:t>ai et al. (2010</w:t>
      </w:r>
      <w:r w:rsidRPr="00286A88">
        <w:rPr>
          <w:lang w:val="en-AU" w:eastAsia="en-AU"/>
        </w:rPr>
        <w:t>) reported mean ammonia concentrations varying across a large commercial cage facility from 7.1 to 47.7 ppm, whilst carbon dioxide varied from 2,302 to 3,452 ppm. Ventilation rates of just over 2.0 m</w:t>
      </w:r>
      <w:r w:rsidRPr="00286A88">
        <w:rPr>
          <w:vertAlign w:val="superscript"/>
          <w:lang w:val="en-AU" w:eastAsia="en-AU"/>
        </w:rPr>
        <w:t>3</w:t>
      </w:r>
      <w:r w:rsidRPr="00286A88">
        <w:rPr>
          <w:lang w:val="en-AU" w:eastAsia="en-AU"/>
        </w:rPr>
        <w:t>/h/hen have been reported in large commercial facilities housing 250,000 birds, though fan performance was highly variable and subject to degradation with time (Chai et al., 2012).</w:t>
      </w:r>
    </w:p>
    <w:p w14:paraId="49EBBAE5" w14:textId="77777777" w:rsidR="00286A88" w:rsidRDefault="00286A88" w:rsidP="008F6BEF">
      <w:pPr>
        <w:rPr>
          <w:lang w:val="en-AU" w:eastAsia="en-AU"/>
        </w:rPr>
      </w:pPr>
      <w:r w:rsidRPr="00286A88">
        <w:rPr>
          <w:lang w:val="en-AU" w:eastAsia="en-AU"/>
        </w:rPr>
        <w:t>Each system varies with respect to the risk of infectious disease outbreaks. Good biosecurity is essential in all cases. Systems with outdoor access will be more vulnerable to infection from free-ranging birds and all systems are likely to be at risk from fomites transferred on people, equipment or food. The nature and persistence in the environment of the infectious agent will influence the risk to birds in different systems. Avian Influenza may be passed directly between birds and can survive in the environment for at least 50 days in cool conditions (Defra</w:t>
      </w:r>
      <w:r w:rsidR="00D23FD8">
        <w:rPr>
          <w:lang w:val="en-AU" w:eastAsia="en-AU"/>
        </w:rPr>
        <w:t>,</w:t>
      </w:r>
      <w:r w:rsidRPr="00286A88">
        <w:rPr>
          <w:lang w:val="en-AU" w:eastAsia="en-AU"/>
        </w:rPr>
        <w:t xml:space="preserve"> 2016).</w:t>
      </w:r>
    </w:p>
    <w:p w14:paraId="736DC977" w14:textId="77777777" w:rsidR="00286A88" w:rsidRPr="00286A88" w:rsidRDefault="00286A88" w:rsidP="008F6BEF">
      <w:pPr>
        <w:pStyle w:val="Heading3"/>
        <w:rPr>
          <w:rFonts w:ascii="Times New Roman" w:hAnsi="Times New Roman"/>
          <w:sz w:val="24"/>
          <w:szCs w:val="24"/>
          <w:lang w:val="en-AU" w:eastAsia="en-GB"/>
        </w:rPr>
      </w:pPr>
      <w:bookmarkStart w:id="66" w:name="_Toc495310535"/>
      <w:r w:rsidRPr="00286A88">
        <w:rPr>
          <w:lang w:val="en-AU" w:eastAsia="en-GB"/>
        </w:rPr>
        <w:t>LH8.3 Procedures</w:t>
      </w:r>
      <w:bookmarkEnd w:id="66"/>
    </w:p>
    <w:p w14:paraId="55D6D81C" w14:textId="77777777" w:rsidR="00286A88" w:rsidRPr="00286A88" w:rsidRDefault="00286A88" w:rsidP="008F6BEF">
      <w:pPr>
        <w:pStyle w:val="Heading41"/>
      </w:pPr>
      <w:r w:rsidRPr="00286A88">
        <w:t>LH8.3a Culling Male Chicks</w:t>
      </w:r>
    </w:p>
    <w:p w14:paraId="2E2D8A02" w14:textId="77777777" w:rsidR="00286A88" w:rsidRPr="00AC720E" w:rsidRDefault="00286A88" w:rsidP="008F6BEF">
      <w:pPr>
        <w:rPr>
          <w:i/>
          <w:lang w:val="en-AU" w:eastAsia="en-AU"/>
        </w:rPr>
      </w:pPr>
      <w:r w:rsidRPr="00AC720E">
        <w:rPr>
          <w:i/>
          <w:lang w:val="en-AU" w:eastAsia="en-AU"/>
        </w:rPr>
        <w:t>Research work is ongoing to find a cost-effective methodology to screen and remov</w:t>
      </w:r>
      <w:r w:rsidR="00AC720E">
        <w:rPr>
          <w:i/>
          <w:lang w:val="en-AU" w:eastAsia="en-AU"/>
        </w:rPr>
        <w:t>e male embryos before hatching.</w:t>
      </w:r>
    </w:p>
    <w:p w14:paraId="24142E6B" w14:textId="77777777" w:rsidR="00286A88" w:rsidRPr="00286A88" w:rsidRDefault="00286A88" w:rsidP="008F6BEF">
      <w:pPr>
        <w:rPr>
          <w:lang w:val="en-AU" w:eastAsia="en-AU"/>
        </w:rPr>
      </w:pPr>
      <w:r w:rsidRPr="00286A88">
        <w:rPr>
          <w:lang w:val="en-AU" w:eastAsia="en-AU"/>
        </w:rPr>
        <w:t>Since only female chicks are reared for egg production, billions of unwanted male chicks are culled each year globally, a practice that raises ethical and practical concerns. Currently male chicks are commonly culled using carbon dioxide gas or by instantaneous mechanical destruction (maceration) (welfare implications reviewed in SL2.7a and SL2.7b).</w:t>
      </w:r>
    </w:p>
    <w:p w14:paraId="3545817C" w14:textId="77777777" w:rsidR="0056421E" w:rsidRDefault="00286A88" w:rsidP="008F6BEF">
      <w:pPr>
        <w:rPr>
          <w:lang w:val="en-AU" w:eastAsia="en-AU"/>
        </w:rPr>
      </w:pPr>
      <w:r w:rsidRPr="00286A88">
        <w:rPr>
          <w:lang w:val="en-AU" w:eastAsia="en-AU"/>
        </w:rPr>
        <w:t xml:space="preserve">Accurate methods of </w:t>
      </w:r>
      <w:r w:rsidRPr="00AC720E">
        <w:rPr>
          <w:i/>
          <w:lang w:val="en-AU" w:eastAsia="en-AU"/>
        </w:rPr>
        <w:t>in ovo</w:t>
      </w:r>
      <w:r w:rsidRPr="00286A88">
        <w:rPr>
          <w:lang w:val="en-AU" w:eastAsia="en-AU"/>
        </w:rPr>
        <w:t xml:space="preserve"> sexing are now available and would avoid the need for culling. For example, the cellular DNA in male and female chicks differs and can be detected within seconds </w:t>
      </w:r>
      <w:r w:rsidRPr="00AC720E">
        <w:rPr>
          <w:i/>
          <w:lang w:val="en-AU" w:eastAsia="en-AU"/>
        </w:rPr>
        <w:t>in ovo</w:t>
      </w:r>
      <w:r w:rsidRPr="00286A88">
        <w:rPr>
          <w:lang w:val="en-AU" w:eastAsia="en-AU"/>
        </w:rPr>
        <w:t xml:space="preserve"> by Fourier transform infra-red spectroscopy (Steiner et al., 2011). Alternatively, endocrine </w:t>
      </w:r>
      <w:r w:rsidRPr="00AC720E">
        <w:rPr>
          <w:i/>
          <w:lang w:val="en-AU" w:eastAsia="en-AU"/>
        </w:rPr>
        <w:t>in ovo</w:t>
      </w:r>
      <w:r w:rsidRPr="00286A88">
        <w:rPr>
          <w:lang w:val="en-AU" w:eastAsia="en-AU"/>
        </w:rPr>
        <w:t xml:space="preserve"> sexing can be achieved by sampling allantoic fluid. Such methods do not appear to have any adverse effects on later development and welfare of the female birds (Weissman et al., 2014). Gene editing is another approach that is being explored whereby male embryos could be engineered to carry a gene making them identifiable before hatch (Doran et al., 2016). These techniques, still realistically in a development phase, have not been implemented commercially but, in a high-profile announcement in 2016, USA United Egg Producers stated their intention to eliminate the culling of male chicks by 2020</w:t>
      </w:r>
      <w:r w:rsidR="0056421E">
        <w:rPr>
          <w:lang w:val="en-AU" w:eastAsia="en-AU"/>
        </w:rPr>
        <w:t xml:space="preserve"> (</w:t>
      </w:r>
      <w:hyperlink r:id="rId42" w:tooltip="This is a link to the USA's United Egg Producers' statement of its intention to eliminate the culling of male chicks by 2020." w:history="1">
        <w:r w:rsidR="0056421E" w:rsidRPr="008D16A0">
          <w:rPr>
            <w:rStyle w:val="Hyperlink"/>
            <w:lang w:val="en-AU" w:eastAsia="en-AU"/>
          </w:rPr>
          <w:t>http://uepcertified.com/united-egg-producers-statement-eliminating-male-chick-culling/</w:t>
        </w:r>
      </w:hyperlink>
      <w:r w:rsidR="00165823">
        <w:rPr>
          <w:lang w:val="en-AU" w:eastAsia="en-AU"/>
        </w:rPr>
        <w:t>).</w:t>
      </w:r>
    </w:p>
    <w:p w14:paraId="468537E1" w14:textId="77777777" w:rsidR="00286A88" w:rsidRPr="00286A88" w:rsidRDefault="00286A88" w:rsidP="008F6BEF">
      <w:pPr>
        <w:pStyle w:val="Heading41"/>
      </w:pPr>
      <w:r w:rsidRPr="00286A88">
        <w:t>LH8.3b Beak Trimming</w:t>
      </w:r>
    </w:p>
    <w:p w14:paraId="7FBD97AA" w14:textId="77777777" w:rsidR="00286A88" w:rsidRPr="00AC720E" w:rsidRDefault="00286A88" w:rsidP="008F6BEF">
      <w:pPr>
        <w:rPr>
          <w:i/>
          <w:lang w:val="en-AU" w:eastAsia="en-AU"/>
        </w:rPr>
      </w:pPr>
      <w:r w:rsidRPr="00AC720E">
        <w:rPr>
          <w:i/>
          <w:lang w:val="en-AU" w:eastAsia="en-AU"/>
        </w:rPr>
        <w:t>Beak trimming is an effective method of reducing the damage caused by injurious pecking. The procedure causes pain and reduces beak function. Beak trimming day-old chicks at the hatchery using an infra-red method appears to be less painful and cause fewer long-term negative effects than hot-blade trimming. However, research on pain associated with infra-red trimming is still limited. An alternative approach is to provide birds with pecking blocks whereby the beak is gradually blunted over a prolonged period of time. Further research on beak blunting is needed.</w:t>
      </w:r>
    </w:p>
    <w:p w14:paraId="2770484D" w14:textId="77777777" w:rsidR="00286A88" w:rsidRPr="00286A88" w:rsidRDefault="00286A88" w:rsidP="008F6BEF">
      <w:pPr>
        <w:rPr>
          <w:lang w:val="en-AU" w:eastAsia="en-AU"/>
        </w:rPr>
      </w:pPr>
      <w:r w:rsidRPr="00286A88">
        <w:rPr>
          <w:lang w:val="en-AU" w:eastAsia="en-AU"/>
        </w:rPr>
        <w:t>Beak trimming conducted either by infra-red (IR) or hot blade (HB) (Dennis et al., 2009) is a management practice adopted to reduce the damage caused if birds peck each other. The practice can significantly reduce mortality in conventional and furnished cages (Guesdon et al., 2006) and in non-cage flocks (Mertens et al., 2009; Defra, 2015; Weeks et al., 2016). Weeks et al. (2016) conducted a quantitative analysis of mortality data from 801 beak-trimmed and 228 intact-beak flocks housed between 2006 and 2012 and found significantly (but not dramatically) lower mortality in the beak-trimmed flocks at 40 weeks</w:t>
      </w:r>
      <w:r w:rsidRPr="00286A88">
        <w:rPr>
          <w:rFonts w:cs="Arial"/>
          <w:lang w:val="en-AU" w:eastAsia="en-AU"/>
        </w:rPr>
        <w:t xml:space="preserve"> and at 70 weeks (7.2% vs 8.3%), using a model that accounted for many other bird and management variables. </w:t>
      </w:r>
      <w:r w:rsidRPr="00286A88">
        <w:rPr>
          <w:lang w:val="en-AU" w:eastAsia="en-AU"/>
        </w:rPr>
        <w:t>Flocks of adult beak-trimmed birds have improved plumage condition compared with intact-beak flocks (Staack et al., 2007; Lambton et al., 2010; 2013; Sepeur et al., 2015). The effects can sometimes be substantial, with Hartcher et al. (2015a) in a study of free-range flocks, recording just 5.2% of beak trimmed, but 72.9% of birds with intact beaks, with feather damage or wounds. This is largely because beak-trimmed birds perform less severe feather pecking (though more gentle feather pecking) (Gilani et al., 2013; Lambton et al., 2013; Hartcher et al., 2015a).</w:t>
      </w:r>
    </w:p>
    <w:p w14:paraId="1992690C" w14:textId="77777777" w:rsidR="00286A88" w:rsidRPr="00286A88" w:rsidRDefault="00286A88" w:rsidP="008F6BEF">
      <w:pPr>
        <w:rPr>
          <w:lang w:val="en-AU" w:eastAsia="en-AU"/>
        </w:rPr>
      </w:pPr>
      <w:r w:rsidRPr="00286A88">
        <w:rPr>
          <w:lang w:val="en-AU" w:eastAsia="en-AU"/>
        </w:rPr>
        <w:t>The effects of beak-trimming on younger birds are less clear and can sometimes lead to increased plumage damage (Staack et al., 2007). Re-trimming the beaks of older birds is sometimes applied as an emergency measure if outbreaks of injurious pecking have become severe. It can be effective (Shinmura et al. 2006b) but trimming at an older age is thought to cause more stress and pain than early beak trimming (Janczak and Riber, 2015).</w:t>
      </w:r>
    </w:p>
    <w:p w14:paraId="20D4B83E" w14:textId="77777777" w:rsidR="00286A88" w:rsidRPr="00286A88" w:rsidRDefault="00286A88" w:rsidP="008F6BEF">
      <w:pPr>
        <w:rPr>
          <w:lang w:val="en-AU" w:eastAsia="en-AU"/>
        </w:rPr>
      </w:pPr>
      <w:r w:rsidRPr="00286A88">
        <w:rPr>
          <w:lang w:val="en-AU" w:eastAsia="en-AU"/>
        </w:rPr>
        <w:t xml:space="preserve">Beak trimming is a welfare concern because it can cause pain and changes in function (Freire et al., 2008; Freire et al., 2011). HB trimming is accompanied by reduced growth rate, feed intake (Prescott and Bonser, 2004), pecking force and activity (Janczak and Riber, 2015). It also increases </w:t>
      </w:r>
      <w:r w:rsidRPr="00286A88">
        <w:rPr>
          <w:rFonts w:cs="Arial"/>
          <w:lang w:val="en-AU" w:eastAsia="en-AU"/>
        </w:rPr>
        <w:t xml:space="preserve">adrenocorticotropic hormone levels in the blood and altered immune function (Xie et al., 2013). The fact that the administration of analgesic drugs partially ameliorates these responses is suggestive that the procedure is perceived as painful (Freire et al., 2008). No signs of chronic pain are observed if HB trimming is conducted on very young birds and where only a small portion of beak tissue is removed (Freire et al., 2011). But the accuracy of the method is not high and it is difficult to standardise. There is, for example, no clear relationship between chick weight and beak characteristics that could be used as a guide (Fahey et al., 2007). If a large portion of the beak is removed nerve swellings (neuromas) can form and these may continue to send pain signals to the brain even in adult birds (Janczak and Riber, 2015). </w:t>
      </w:r>
      <w:r w:rsidRPr="00286A88">
        <w:rPr>
          <w:lang w:val="en-AU" w:eastAsia="en-AU"/>
        </w:rPr>
        <w:t>Recent work shows that healing is faster if HB trimming is conducted at 0 or 10 days than at 35 days of age (Schwean-Lardner et al., 2016).</w:t>
      </w:r>
    </w:p>
    <w:p w14:paraId="1BACF5EC" w14:textId="77777777" w:rsidR="00286A88" w:rsidRPr="00286A88" w:rsidRDefault="00286A88" w:rsidP="008F6BEF">
      <w:pPr>
        <w:rPr>
          <w:lang w:val="en-AU" w:eastAsia="en-AU"/>
        </w:rPr>
      </w:pPr>
      <w:r w:rsidRPr="00286A88">
        <w:rPr>
          <w:lang w:val="en-AU" w:eastAsia="en-AU"/>
        </w:rPr>
        <w:t xml:space="preserve">Beak trimmed birds, for example, show compromised preening activity and can have higher ectoparasite loads as a result (Mullens et al., 2010; Vezzoli et al., 2015b). Chen et al. (2011) documented changes in populations of the northern fowl mite and the chicken body louse in both intact-beak and (hot blade) beak-trimmed birds. At peak periods of infestation, beak-trimmed birds harboured between 4.6 and 7.8 times more lice, and between 5 and 40 times more mites, than intact-beak birds. Increased beak sensitivity (to heat and pressure) is also observed in birds that have been HB beak-trimmed at hatch or at 14 weeks, although in this experiment the overall number of pecks made at feed and the environment did not differ from untrimmed controls (Jongman et al., 2008). In addition, </w:t>
      </w:r>
      <w:r w:rsidRPr="00286A88">
        <w:rPr>
          <w:rFonts w:cs="Arial"/>
          <w:lang w:val="en-AU" w:eastAsia="en-AU"/>
        </w:rPr>
        <w:t>significant changes in navigational ability and functional activity are detected due to damage to mechanoreceptors and magnetoreceptors in the beak (Freire et al., 2011).</w:t>
      </w:r>
    </w:p>
    <w:p w14:paraId="55631894" w14:textId="77777777" w:rsidR="00286A88" w:rsidRPr="00286A88" w:rsidRDefault="00286A88" w:rsidP="008F6BEF">
      <w:pPr>
        <w:rPr>
          <w:rFonts w:cs="Arial"/>
          <w:lang w:val="en-AU" w:eastAsia="en-AU"/>
        </w:rPr>
      </w:pPr>
      <w:r w:rsidRPr="00286A88">
        <w:rPr>
          <w:lang w:val="en-AU" w:eastAsia="en-AU"/>
        </w:rPr>
        <w:t xml:space="preserve">IR trimming has been proposed as a more precise (Carruthers et al., 2012), less harmful and less chronically painful method than HB (Dennis et al., 2009; McKeegan and Philbey, 2012). Chronic effects on bird welfare are more likely in birds that are HB trimmed at the age of one week or older. One of the advantages of IR trimming is that it is now a highly automated process that is routinely conducted at hatcheries on birds that are less than 2 days of age, and possibly less likely to develop long-term effects at this age (Janczak and Riber, 2015). During the hatchery procedure, chicks </w:t>
      </w:r>
      <w:r w:rsidRPr="00286A88">
        <w:rPr>
          <w:rFonts w:cs="Arial"/>
          <w:lang w:val="en-AU" w:eastAsia="en-AU"/>
        </w:rPr>
        <w:t>are restrained by their heads, whilst calibrated machinery is used to expose a specified area of beak tissue to infra-red energy. The exposed outer corneum remains intact but the treated beak tip is shed some days after treatment, and regrowth is inhibited due to the extensive penetration of heat to the germ layers.</w:t>
      </w:r>
    </w:p>
    <w:p w14:paraId="55B2C84C" w14:textId="77777777" w:rsidR="00286A88" w:rsidRPr="00286A88" w:rsidRDefault="00286A88" w:rsidP="008F6BEF">
      <w:pPr>
        <w:rPr>
          <w:lang w:val="en-AU" w:eastAsia="en-AU"/>
        </w:rPr>
      </w:pPr>
      <w:r w:rsidRPr="00286A88">
        <w:rPr>
          <w:lang w:val="en-AU" w:eastAsia="en-AU"/>
        </w:rPr>
        <w:t>Hens that had received IR trimming at hatch had shorter, less variable beaks, with fewer abnormalities as adults than hens that had been HB trimmed (Carruthers et al., 2012). McKeegan and Philbey (2012) found no evidence of nerve sensitisation (using single sensory nerve recording), no radiographic evidence of adverse pathology, and, in older birds, no signs of neuroma formation. Birds that have been IR trimmed are also more able than HB trimmed birds to control mite infestations through preening behaviour (Murillo and Mullens, 2016). However, IR trimming does have some adverse effects on birds’ behaviour and development. Normal ground pecking was suppressed alongside feather pecking in birds subjected to an early IR treatment followed by a later HB treatment (Hartcher et al., 2015a). Dennis and Cheng (2012) found walking, drinking and pecking behaviour less disturbed in young birds subjected to IR than birds trimmed using the HB method. But birds trimmed using either method show drops in normal feeding behaviour in the first weeks of life (Marchant-Forde et al., 2008) and reduced weight gain (Angevaare et al., 2012).</w:t>
      </w:r>
    </w:p>
    <w:p w14:paraId="46BADFFB" w14:textId="77777777" w:rsidR="00286A88" w:rsidRPr="00286A88" w:rsidRDefault="00286A88" w:rsidP="008F6BEF">
      <w:pPr>
        <w:rPr>
          <w:lang w:val="en-AU" w:eastAsia="en-AU"/>
        </w:rPr>
      </w:pPr>
      <w:r w:rsidRPr="00286A88">
        <w:rPr>
          <w:lang w:val="en-AU" w:eastAsia="en-AU"/>
        </w:rPr>
        <w:t xml:space="preserve">An alternative approach is to provide birds with hard materials that are attractive pecking substrates. Pecking blocks of a variety of designs and materials are now available (e.g. Vencomatic pecking pans). As the birds engage in normal exploratory pecking, the tips of their beaks are blunted, thereby reducing the damage that birds may inflict if they feather peck. There have been a few small-scale studies of the effectiveness of beak blunting but evidence from peer-reviewed replicated studies is currently lacking. Another potential future approach would be the genetic selection of birds with naturally blunter beaks. </w:t>
      </w:r>
    </w:p>
    <w:p w14:paraId="0A2F67E5" w14:textId="77777777" w:rsidR="00286A88" w:rsidRPr="00286A88" w:rsidRDefault="00286A88" w:rsidP="008F6BEF">
      <w:pPr>
        <w:rPr>
          <w:lang w:val="en-AU" w:eastAsia="en-AU"/>
        </w:rPr>
      </w:pPr>
      <w:r w:rsidRPr="00286A88">
        <w:rPr>
          <w:lang w:val="en-AU" w:eastAsia="en-AU"/>
        </w:rPr>
        <w:t xml:space="preserve">Organic certification bodies prohibit the use of routine beak trimming, and a number of </w:t>
      </w:r>
      <w:r w:rsidR="007F71FE">
        <w:rPr>
          <w:lang w:val="en-AU" w:eastAsia="en-AU"/>
        </w:rPr>
        <w:t xml:space="preserve">EU </w:t>
      </w:r>
      <w:r w:rsidRPr="00286A88">
        <w:rPr>
          <w:lang w:val="en-AU" w:eastAsia="en-AU"/>
        </w:rPr>
        <w:t>member states are currently considering whether the practice of beak-trimming should be banned completely. Furthermore, in some EU countries such as Austria, there is an increasing demand for eggs from hens with intact beaks.</w:t>
      </w:r>
    </w:p>
    <w:p w14:paraId="57B16926" w14:textId="77777777" w:rsidR="00286A88" w:rsidRPr="00286A88" w:rsidRDefault="00286A88" w:rsidP="008F6BEF">
      <w:pPr>
        <w:pStyle w:val="Heading41"/>
      </w:pPr>
      <w:r w:rsidRPr="00286A88">
        <w:t>LH8.3c Moulting</w:t>
      </w:r>
    </w:p>
    <w:p w14:paraId="4C1BB00B" w14:textId="77777777" w:rsidR="00286A88" w:rsidRPr="00E007B9" w:rsidRDefault="00286A88" w:rsidP="008F6BEF">
      <w:pPr>
        <w:rPr>
          <w:i/>
          <w:lang w:val="en-AU" w:eastAsia="en-AU"/>
        </w:rPr>
      </w:pPr>
      <w:r w:rsidRPr="00E007B9">
        <w:rPr>
          <w:i/>
          <w:lang w:val="en-AU" w:eastAsia="en-AU"/>
        </w:rPr>
        <w:t>Laying hens have a tendency to become less productive with time, particularly when housed in cages with limited opportunities for exercise. Productivity can be restored to some extent by an extended period of total or partial withdrawal of food which induces a forced moult. This practice is associated with greatly increased mortality during the feed withdrawal period. There is strong evidence that the procedure causes stress and that the birds are highly motivated to eat. The provision of low nutrient diets during the moulting procedure does not appear to reduce hunger. This practice has strongly negative welfare consequences. The emergence of strains of birds selected for longer laying cycles reduces the need to engage in this practice.</w:t>
      </w:r>
    </w:p>
    <w:p w14:paraId="5D3D7CA5" w14:textId="77777777" w:rsidR="00286A88" w:rsidRPr="00286A88" w:rsidRDefault="00286A88" w:rsidP="00E007B9">
      <w:pPr>
        <w:rPr>
          <w:lang w:val="en-AU" w:eastAsia="en-AU"/>
        </w:rPr>
      </w:pPr>
      <w:r w:rsidRPr="00286A88">
        <w:rPr>
          <w:lang w:val="en-AU" w:eastAsia="en-AU"/>
        </w:rPr>
        <w:t>The practice of moulting laying hens has traditionally involved a period of total food withdrawal from hens for a period of approximately 10 to 14 days, followed by a similar duration of time where a low nutrient diet is fed so that an overall moulting period has a duration of approximately 28 days. In some countries water is also withdrawn for a period of up to 3 days (Shimmura et al., 2008b). Withdrawal of water would have severe negative consequences for hens, which show behavioural changes indicative of thirst after periods of 12-18 h (Rault et al., 2016).</w:t>
      </w:r>
    </w:p>
    <w:p w14:paraId="1AE3C04D" w14:textId="77777777" w:rsidR="00286A88" w:rsidRPr="00286A88" w:rsidRDefault="00286A88" w:rsidP="00E007B9">
      <w:pPr>
        <w:rPr>
          <w:lang w:val="en-AU" w:eastAsia="en-AU"/>
        </w:rPr>
      </w:pPr>
      <w:r w:rsidRPr="00286A88">
        <w:rPr>
          <w:lang w:val="en-AU" w:eastAsia="en-AU"/>
        </w:rPr>
        <w:t xml:space="preserve">The practice is sometimes justified on the basis that many birds undergo an annual moult, with bodyweight loss and a pause in oviposition </w:t>
      </w:r>
      <w:r w:rsidRPr="00286A88">
        <w:rPr>
          <w:rFonts w:cs="Times New Roman"/>
          <w:lang w:val="en-AU" w:eastAsia="en-AU"/>
        </w:rPr>
        <w:t>(Mrosovsky and Sherry, 1980). However, the many factors that bring about a natural moult (including changes in environmental temperature and photoperiod) do not operate in commercial conditions where birds are abruptly deprived of food at a time when they are still motivated to eat.</w:t>
      </w:r>
    </w:p>
    <w:p w14:paraId="2E551534" w14:textId="77777777" w:rsidR="00286A88" w:rsidRPr="00286A88" w:rsidRDefault="00286A88" w:rsidP="00E007B9">
      <w:pPr>
        <w:rPr>
          <w:lang w:val="en-AU" w:eastAsia="en-AU"/>
        </w:rPr>
      </w:pPr>
      <w:r w:rsidRPr="00286A88">
        <w:rPr>
          <w:lang w:val="en-AU" w:eastAsia="en-AU"/>
        </w:rPr>
        <w:t xml:space="preserve">The practice of moulting is banned in the EU under </w:t>
      </w:r>
      <w:r w:rsidRPr="00286A88">
        <w:rPr>
          <w:rFonts w:cs="Times New Roman"/>
          <w:lang w:val="en-AU" w:eastAsia="en-AU"/>
        </w:rPr>
        <w:t>Council Directive 98/58/EC which stipulates in paragraphs 14 and 15 of the Annex that “animals must be fed a wholesome diet which is appropriate to their age and species and which is fed to them in sufficient quantity to maintain them in good health and satisfy their nutritional needs” and that “all animals must have access to feed at intervals appropriate to their physiological needs”. For this reason there are no recent European studies available on this practice.</w:t>
      </w:r>
    </w:p>
    <w:p w14:paraId="111B2D75" w14:textId="77777777" w:rsidR="00286A88" w:rsidRPr="00286A88" w:rsidRDefault="00286A88" w:rsidP="00E007B9">
      <w:pPr>
        <w:rPr>
          <w:lang w:val="en-AU" w:eastAsia="en-AU"/>
        </w:rPr>
      </w:pPr>
      <w:r w:rsidRPr="00286A88">
        <w:rPr>
          <w:rFonts w:cs="Times New Roman"/>
          <w:lang w:val="en-AU" w:eastAsia="en-AU"/>
        </w:rPr>
        <w:t>In the USA, following a decision by some retailers not to accept eggs from hens that had been moulted, United Egg Producers initiated a research programme on alternative methods of achieving a moult without total feed withdrawal. Thus, in the USA, there have been a number of research programmes evaluating the effects of feeding low nutrient diets. More sporadic research has also been conducted in other countries including Japan, Turkey, Iran, Colombia, Thailand and Brazil. Low nutrient diets are diverse and can be formulated from a variety of ingredients such as</w:t>
      </w:r>
      <w:r w:rsidRPr="00286A88">
        <w:rPr>
          <w:lang w:val="en-AU" w:eastAsia="en-AU"/>
        </w:rPr>
        <w:t xml:space="preserve"> wheat “middlings” (Biggs et al., 2003), low nutrient corn diets or fruit pomace (skins of fruit after pressing) (Keshavarz and Quimby, 2002), soybean hulls (Koelkebeck and Anderson, 2007), alfalfa (Donalson et al., 2005; Sgavioli et al., 2011; 2013), distillers’ grains (Mejia et al., 2010), other low-nutrient diets with low levels of calcium, sodium and protein (Bell and Kuney, 2004), high zinc diets (Park et al., 2004; Silva-Mendonca et al., 2015) or diets containing plant extracts that suppress appetite or contain anti-nutrient factors (Mohammadi and Sadeghi, 2009; Sariozkan et al., 2013). The total moulting period is again usually around 28 days.</w:t>
      </w:r>
    </w:p>
    <w:p w14:paraId="5AAB9281" w14:textId="77777777" w:rsidR="00286A88" w:rsidRPr="00286A88" w:rsidRDefault="00286A88" w:rsidP="00E007B9">
      <w:pPr>
        <w:rPr>
          <w:lang w:val="en-AU" w:eastAsia="en-AU"/>
        </w:rPr>
      </w:pPr>
      <w:r w:rsidRPr="00286A88">
        <w:rPr>
          <w:lang w:val="en-AU" w:eastAsia="en-AU"/>
        </w:rPr>
        <w:t>Alternative strategies are to feed very low quantities of feed rather than total withdrawal (Molino et al., 2009), to mimic changes in daylength and in physiological levels of the hormone thyroxine, which is implicated in the natural moulting process of some birds (Kuenzel et al., 2005; Bass et al., 2007), or to feed an orally active progestin, melengestrol acetate (MGA) to induce moult without feed deprivation (Koch et al., 2007).</w:t>
      </w:r>
    </w:p>
    <w:p w14:paraId="03205721" w14:textId="77777777" w:rsidR="00286A88" w:rsidRPr="00286A88" w:rsidRDefault="00286A88" w:rsidP="00E007B9">
      <w:pPr>
        <w:rPr>
          <w:lang w:val="en-AU" w:eastAsia="en-AU"/>
        </w:rPr>
      </w:pPr>
      <w:r w:rsidRPr="00286A88">
        <w:rPr>
          <w:lang w:val="en-AU" w:eastAsia="en-AU"/>
        </w:rPr>
        <w:t xml:space="preserve">Mortality can be high during the moulting period, whether the birds are deprived of feed or whether feed substitution methods are used (average 2.1% in 4 weeks (Keshavarz and Quimby, 2002); 2.7% in 4 weeks (Biggs et al., 2003); average approx. 2.5% in 4 weeks, up to 6.1% on some farms (Bell and Kuney, 2004); 1.9 </w:t>
      </w:r>
      <w:r w:rsidR="00BA1829">
        <w:rPr>
          <w:lang w:val="en-AU" w:eastAsia="en-AU"/>
        </w:rPr>
        <w:t>to</w:t>
      </w:r>
      <w:r w:rsidRPr="00286A88">
        <w:rPr>
          <w:lang w:val="en-AU" w:eastAsia="en-AU"/>
        </w:rPr>
        <w:t xml:space="preserve"> 2.3% </w:t>
      </w:r>
      <w:r w:rsidR="00BA1829">
        <w:rPr>
          <w:lang w:val="en-AU" w:eastAsia="en-AU"/>
        </w:rPr>
        <w:t>(</w:t>
      </w:r>
      <w:r w:rsidRPr="00286A88">
        <w:rPr>
          <w:lang w:val="en-AU" w:eastAsia="en-AU"/>
        </w:rPr>
        <w:t>Anderson and Havenstein</w:t>
      </w:r>
      <w:r w:rsidR="00BA1829">
        <w:rPr>
          <w:lang w:val="en-AU" w:eastAsia="en-AU"/>
        </w:rPr>
        <w:t>,</w:t>
      </w:r>
      <w:r w:rsidRPr="00286A88">
        <w:rPr>
          <w:lang w:val="en-AU" w:eastAsia="en-AU"/>
        </w:rPr>
        <w:t xml:space="preserve"> 2007); average 3.9% in 6 weeks (Yardimci and Bayram, 2008); 10.4% in food or food and water withdrawal treatments (Shimmura et al., 2008b); 0% for some dietary treatments but up to 5.5% in 4 weeks for hens fed distillers’ grains (Mejia et al., 2010); 4.4% in 1 week (Rafeeq et al., 2013). Actual mortality levels are not presented in some studies which instead simply indicate no significant differences in mortality between treatments (Park et al., 2004; Donalson et al., 2005; Willis et al., 2008; Mazzuco et al., 2011; Mejia et al., 2010; 2011; Bland et al., 2014).</w:t>
      </w:r>
    </w:p>
    <w:p w14:paraId="0ABB2E8F" w14:textId="77777777" w:rsidR="00286A88" w:rsidRPr="00286A88" w:rsidRDefault="00286A88" w:rsidP="00E007B9">
      <w:pPr>
        <w:rPr>
          <w:lang w:val="en-AU" w:eastAsia="en-AU"/>
        </w:rPr>
      </w:pPr>
      <w:r w:rsidRPr="00286A88">
        <w:rPr>
          <w:lang w:val="en-AU" w:eastAsia="en-AU"/>
        </w:rPr>
        <w:t xml:space="preserve">Birds that do not die experience substantial weight loss. For hens deprived of feed for 10-14 days figures of 19.7% (Biggs et al., 2003), 20.1 to 25.1% (Bell and Kuney, 2004), 30% (Shimmura et al., 2008b), 30.2% (Keshavarz and Quimby, 2002), 37% (Rafeeq et al., 2013), or 30 to 42.3% (Willis et al., 2008) have been recorded. Weight loss occurs due to </w:t>
      </w:r>
      <w:r w:rsidRPr="00286A88">
        <w:rPr>
          <w:rFonts w:cs="Times New Roman"/>
          <w:lang w:val="en-AU" w:eastAsia="en-AU"/>
        </w:rPr>
        <w:t>decreased muscle, liver and adipose tissue as well as regression of reproductive tissue (Park et al., 2004). In addition, in caged birds already subject to challenges of disuse osteoporosis (see Section LH3.4), bone mineral density and content are significantly reduced (by up to 39%) (Mazzuco and Hester, 2005; Kim et al., 2006; Mazzuco et al., 2011; Ayasi et al., 2016), though levels may eventually recover by 126 days post-moult (Mazzuco and Hester, 2005).</w:t>
      </w:r>
    </w:p>
    <w:p w14:paraId="49F5E5D0" w14:textId="77777777" w:rsidR="00286A88" w:rsidRPr="00286A88" w:rsidRDefault="00286A88" w:rsidP="00E007B9">
      <w:pPr>
        <w:rPr>
          <w:lang w:val="en-AU" w:eastAsia="en-AU"/>
        </w:rPr>
      </w:pPr>
      <w:r w:rsidRPr="00286A88">
        <w:rPr>
          <w:lang w:val="en-AU" w:eastAsia="en-AU"/>
        </w:rPr>
        <w:t>Hens fed alternative moulting diets still lose weight (16.2 to 30.3% over 28 days (Keshavarz and Quimby, 2002); 15% over 28 days, (Biggs et al., 2003); 11.8-23.4% over 14 days (Bell and Kuney 2004); 21-29% over 10 days (Sariozkan et al., 2013), 26-27% over 7-8 days (dos Santos et al., 2014). If alternative moulting diets (for example those containing distillers’ grain formulations) do not produce such substantial weight loss then the entire procedure can be ineffective in causing regression of ovarian and oviduct tissue, cessation of egg-laying and a return to higher post-moult productivity (Mejia et al., 2011; 2014; Bland et al., 2014). The same tension is seen if periods of total food deprivation are reduced to around 6 days: bodyweight loss is reduced (Bell and Kuney, 2004), but the effectiveness of the moult in terms of future production gains is also reduced. However, by feeding dietary thyroxine, egg production can be halted but with reduced mortality (0.8%) and bodyweight loss (14-16%) (Bass et al., 2007).</w:t>
      </w:r>
    </w:p>
    <w:p w14:paraId="797E406E" w14:textId="77777777" w:rsidR="00286A88" w:rsidRPr="00286A88" w:rsidRDefault="00286A88" w:rsidP="00E007B9">
      <w:pPr>
        <w:rPr>
          <w:lang w:val="en-AU" w:eastAsia="en-AU"/>
        </w:rPr>
      </w:pPr>
      <w:r w:rsidRPr="00286A88">
        <w:rPr>
          <w:lang w:val="en-AU" w:eastAsia="en-AU"/>
        </w:rPr>
        <w:t xml:space="preserve">During food withdrawal, indices of fearfulness increase (Altan et al., 2005) with increases in plasma corticosterone during the initial 48 h of feed deprivation (Webster, 2003). Antioxidant status is compromised (Mert and Yildirim, 2016). Increases in H:L ratio (Altan et al., 2005; Dunkley et al., 2007) and acute phase protein markers of inflammation are sometimes observed between days 9 and 12 (Dunkley et al., 2007). However, whether or not an increase in H:L ratio is observed appears to be highly variable between studies. For example Soe et al. (2009) recorded a baseline H:L ratio of 8.4 in control birds, which was elevated to between 25.3 to 35.0 by day 10 in hens fed a low nutrient diet. By day 25, H:L ratios had recovered for most groups but remained elevated for hens that had been fed the low nutrient diet for 4 weeks. Aygun and Yetisir (2009) reported baseline H:L ratios of 0.34 which had increased to between 0.60 and 0.67 by the end of a 42 day moulting period. Ayasi et al. (2016) reported a significantly elevated H:L ratio on day 6 (0.13 controls, 0.27 food withdrawal) and day 9 (0.10 controls, 0.20 food withdrawal) but non-significant changes in birds on non-nutritive alternatives to food withdrawal. Dickey et al. (2010) and Gongruttananun et al. (2013) reported no increases in H:L ratio. From a public health viewpoint it has become a matter of concern that food deprived birds become more susceptible to infection e.g. from </w:t>
      </w:r>
      <w:r w:rsidRPr="00286A88">
        <w:rPr>
          <w:i/>
          <w:lang w:val="en-AU" w:eastAsia="en-AU"/>
        </w:rPr>
        <w:t xml:space="preserve">Salmonella </w:t>
      </w:r>
      <w:r w:rsidRPr="00286A88">
        <w:rPr>
          <w:rFonts w:cs="Times New Roman"/>
          <w:i/>
          <w:lang w:val="en-AU" w:eastAsia="en-AU"/>
        </w:rPr>
        <w:t xml:space="preserve">enteritidis </w:t>
      </w:r>
      <w:r w:rsidRPr="00286A88">
        <w:rPr>
          <w:rFonts w:cs="Times New Roman"/>
          <w:lang w:val="en-AU" w:eastAsia="en-AU"/>
        </w:rPr>
        <w:t>(Woodward et al., 2005). Some studies have evaluated feedstuffs with anti-microbial properties to try to mitigate this effect (Willis et al., 2008).</w:t>
      </w:r>
    </w:p>
    <w:p w14:paraId="7B7AB1BF" w14:textId="77777777" w:rsidR="00286A88" w:rsidRPr="00286A88" w:rsidRDefault="00286A88" w:rsidP="00E007B9">
      <w:pPr>
        <w:rPr>
          <w:lang w:val="en-AU" w:eastAsia="en-AU"/>
        </w:rPr>
      </w:pPr>
      <w:r w:rsidRPr="00286A88">
        <w:rPr>
          <w:lang w:val="en-AU" w:eastAsia="en-AU"/>
        </w:rPr>
        <w:t>Large increases in activity (Webster, 200</w:t>
      </w:r>
      <w:r w:rsidR="00A4612A">
        <w:rPr>
          <w:lang w:val="en-AU" w:eastAsia="en-AU"/>
        </w:rPr>
        <w:t>3; Dickey et al., 2010</w:t>
      </w:r>
      <w:r w:rsidRPr="00286A88">
        <w:rPr>
          <w:lang w:val="en-AU" w:eastAsia="en-AU"/>
        </w:rPr>
        <w:t>) and non-nutritive pecking (Dunkley et al., 2008a; 2008b; Mazzuco et al., 2011; but not Dickey et al., 20</w:t>
      </w:r>
      <w:r w:rsidR="00A4612A">
        <w:rPr>
          <w:lang w:val="en-AU" w:eastAsia="en-AU"/>
        </w:rPr>
        <w:t>10</w:t>
      </w:r>
      <w:r w:rsidRPr="00286A88">
        <w:rPr>
          <w:lang w:val="en-AU" w:eastAsia="en-AU"/>
        </w:rPr>
        <w:t>) are observed before birds become relatively inactive to conserve energy, primarily using their lipid reserves. Increases in aggression (Webster, 2003) and injurious pecking have also been noted (Anderson et al., 2004). A study into the question of how hunger is experienced by birds during moult was conducted by Koch et al. (2007). These authors directly evaluated the birds’ feeding motivation using a progressive ratio pecking task, where number of pecks to obtain a 3 s access to a feed reward increased by 1 after each previous reward. Birds were fasted for a period of 8 days, and by day 8, the fasted birds pecked more than 250 times in a 15 min session to obtain 3 s rewards. Importantly, birds in a nutrient substitution treatment, fed wheat middlings for a period of 20 days showed levels of hunger that approached that of the food deprived birds on day 8, and exceeded those of the food deprived birds by day 20. By day 20 the wheat middling group made an average of approximately 300 pecks in 15 minutes to obtain 3 s rewards of normal food. The conclusion was that feeding low-nutrient diets during moulting does not reduce hunger or improve animal welfare. In contrast, birds induced to moult by feeding the progestin MGA, and provided with normal rations, showed no evidence of increased hunger (Koch et al., 2007).</w:t>
      </w:r>
    </w:p>
    <w:p w14:paraId="2D01DAE8" w14:textId="77777777" w:rsidR="00286A88" w:rsidRPr="00286A88" w:rsidRDefault="00286A88" w:rsidP="00E007B9">
      <w:pPr>
        <w:rPr>
          <w:lang w:val="en-AU" w:eastAsia="en-AU"/>
        </w:rPr>
      </w:pPr>
      <w:r w:rsidRPr="00286A88">
        <w:rPr>
          <w:lang w:val="en-AU" w:eastAsia="en-AU"/>
        </w:rPr>
        <w:t>It should also be noted that post-moult mortality during a second laying phase is substantially higher than during the first laying phase. The moulting procedure actually reduces post-moult mortality in comparison with non-moulted birds kept for a second laying phase but post-moult mortality is high: &gt;10% in a 43 week period (Anderson and Havenstein, 2007), between 15 and 27.5% in a period comprising 4 week moult and 18 week post-moult monitoring (</w:t>
      </w:r>
      <w:r w:rsidRPr="00286A88">
        <w:rPr>
          <w:rFonts w:cs="TimesNewRomanPS-BoldMT"/>
          <w:bCs/>
          <w:color w:val="000000"/>
          <w:lang w:val="en-AU" w:eastAsia="en-AU"/>
        </w:rPr>
        <w:t>Onbaşılar</w:t>
      </w:r>
      <w:r w:rsidRPr="00286A88">
        <w:rPr>
          <w:lang w:val="en-AU" w:eastAsia="en-AU"/>
        </w:rPr>
        <w:t xml:space="preserve"> and Erol, 2007), and up to 25% in a 25-35 week post-moult period (Galeano et al., 2012). Plumage condition does not return to that seen during first early-lay period (LaBrash and Scheideler, 2005).</w:t>
      </w:r>
    </w:p>
    <w:p w14:paraId="3B37CD20" w14:textId="77777777" w:rsidR="00286A88" w:rsidRPr="00286A88" w:rsidRDefault="00286A88" w:rsidP="00E007B9">
      <w:pPr>
        <w:rPr>
          <w:rFonts w:cs="Times New Roman"/>
          <w:lang w:val="en-AU" w:eastAsia="en-AU"/>
        </w:rPr>
      </w:pPr>
      <w:r w:rsidRPr="00286A88">
        <w:rPr>
          <w:rFonts w:cs="Times New Roman"/>
          <w:lang w:val="en-AU" w:eastAsia="en-AU"/>
        </w:rPr>
        <w:t>A water supply is usually readily available to laying hens, except in circumstances such as transportation or (exceptionally) during the forced moulting procedure. After a 12 h period of water deprivation, frequency of drinking was increased, whilst deprivation of more than 12 h resulted in behavioural changes, including spending more time in the vicinity of a drinker. Total duration of drinking increased after deprivation periods of over 18 h (Rault et al., 2016). Despite these signs of thirst, hens did not increase the effort they were willing to expend (by squeezing through a narrow gap) to reach a drinker as water deprivation time increased (Rault et al., 2016) The thermal environment of the bird will obviously affect its water requirements.</w:t>
      </w:r>
    </w:p>
    <w:p w14:paraId="66C50C1B" w14:textId="77777777" w:rsidR="00286A88" w:rsidRPr="00286A88" w:rsidRDefault="00286A88" w:rsidP="00E007B9">
      <w:pPr>
        <w:rPr>
          <w:lang w:val="en-AU" w:eastAsia="en-AU"/>
        </w:rPr>
      </w:pPr>
      <w:r w:rsidRPr="00286A88">
        <w:rPr>
          <w:lang w:val="en-AU" w:eastAsia="en-AU"/>
        </w:rPr>
        <w:t>Some researchers have argued that low nutrient diets provide a feasible alternative to total fasting. However, it is not clear that these strategies (with their rather variable results) are actually implemented on farms, and the broader scientific evidence suggests they may not improve bird welfare. There is no evidence that alternative methods that induce moult by hormonal manipulation (e.g. MGA) are actually being used in practice. The very problem is partly a consequence of keeping birds in conventional cages where they cannot exercise and become over-fat. A combination of moving towards FCs or non-cage systems that allow birds to exercise, and the emergence of new strains of laying hens with longer productive first laying cycles (Bain et al., 2016) should see forced moulting become a redundant practice. In the UK many farmers are now depopulating flocks at 80 to 90 weeks, rather than 65-72 weeks as in the recent past.</w:t>
      </w:r>
    </w:p>
    <w:p w14:paraId="306E4C97" w14:textId="77777777" w:rsidR="00286A88" w:rsidRPr="00366BF5" w:rsidRDefault="00286A88" w:rsidP="00366BF5">
      <w:pPr>
        <w:pStyle w:val="Heading41"/>
      </w:pPr>
      <w:r w:rsidRPr="00366BF5">
        <w:t>LH8.3d Comb and wattle trimming</w:t>
      </w:r>
    </w:p>
    <w:p w14:paraId="127CFC19" w14:textId="77777777" w:rsidR="00286A88" w:rsidRPr="00286A88" w:rsidRDefault="00286A88" w:rsidP="00366BF5">
      <w:pPr>
        <w:rPr>
          <w:lang w:val="en-AU" w:eastAsia="en-AU"/>
        </w:rPr>
      </w:pPr>
      <w:r w:rsidRPr="00286A88">
        <w:rPr>
          <w:lang w:val="en-AU" w:eastAsia="en-AU"/>
        </w:rPr>
        <w:t>In Europe pullets are not subjected to comb or wattle trimming (“dubbing”). However, in the USA, up to 19 million pullets have their combs trimmed to improve production efficiency, as trimmed birds consume marginally less food. Apart from the likely pain caused by cutting an enervated tissue, comb trimming reduces the ability of hens to thermoregulate during hot weather. During and after a 50 h period at 34.6 °C, comb-trimmed birds showed greater signs of heat stress (panting and wing spreading) and highly significantly increased mortality in comparison with controls (Al Ramamneh et al., 2016).</w:t>
      </w:r>
    </w:p>
    <w:p w14:paraId="5FE00A3F" w14:textId="77777777" w:rsidR="00286A88" w:rsidRPr="00286A88" w:rsidRDefault="00286A88" w:rsidP="00366BF5">
      <w:pPr>
        <w:pStyle w:val="Heading41"/>
      </w:pPr>
      <w:r w:rsidRPr="00286A88">
        <w:t>LH8.3e Cage cleaning</w:t>
      </w:r>
    </w:p>
    <w:p w14:paraId="30F5F173" w14:textId="77777777" w:rsidR="00286A88" w:rsidRPr="00286A88" w:rsidRDefault="00286A88" w:rsidP="00366BF5">
      <w:pPr>
        <w:rPr>
          <w:lang w:val="en-AU" w:eastAsia="en-AU"/>
        </w:rPr>
      </w:pPr>
      <w:r w:rsidRPr="00286A88">
        <w:rPr>
          <w:lang w:val="en-AU" w:eastAsia="en-AU"/>
        </w:rPr>
        <w:t>In smaller facilities (e.g. backyard) removing hens from cages for cage cleaning purposes can increase mortality (Anderson et al., 2010).</w:t>
      </w:r>
    </w:p>
    <w:p w14:paraId="663C8518" w14:textId="77777777" w:rsidR="00286A88" w:rsidRPr="00286A88" w:rsidRDefault="00286A88" w:rsidP="00366BF5">
      <w:pPr>
        <w:pStyle w:val="Heading2"/>
        <w:rPr>
          <w:lang w:val="en-AU" w:eastAsia="en-AU"/>
        </w:rPr>
      </w:pPr>
      <w:bookmarkStart w:id="67" w:name="_Toc495310536"/>
      <w:r w:rsidRPr="00286A88">
        <w:rPr>
          <w:lang w:val="en-AU" w:eastAsia="en-AU"/>
        </w:rPr>
        <w:t>LH9. Rearing</w:t>
      </w:r>
      <w:bookmarkEnd w:id="67"/>
    </w:p>
    <w:p w14:paraId="3ACACC06" w14:textId="77777777" w:rsidR="00286A88" w:rsidRPr="00366BF5" w:rsidRDefault="00286A88" w:rsidP="00366BF5">
      <w:pPr>
        <w:rPr>
          <w:i/>
          <w:lang w:val="en-AU" w:eastAsia="en-AU"/>
        </w:rPr>
      </w:pPr>
      <w:r w:rsidRPr="00366BF5">
        <w:rPr>
          <w:i/>
          <w:lang w:val="en-AU" w:eastAsia="en-AU"/>
        </w:rPr>
        <w:t>There is growing evidence of the important influence of rearing conditions on the behaviour and welfare of birds in the laying period. Pullets reared with litter and with perches have improved welfare as adults, but more studies are needed particularly in the commercial environment.</w:t>
      </w:r>
    </w:p>
    <w:p w14:paraId="1101E803" w14:textId="77777777" w:rsidR="00286A88" w:rsidRPr="00286A88" w:rsidRDefault="00286A88" w:rsidP="00366BF5">
      <w:pPr>
        <w:rPr>
          <w:rFonts w:cs="Arial"/>
          <w:lang w:val="en-AU" w:eastAsia="en-AU"/>
        </w:rPr>
      </w:pPr>
      <w:r w:rsidRPr="00286A88">
        <w:rPr>
          <w:lang w:val="en-AU" w:eastAsia="en-AU"/>
        </w:rPr>
        <w:t xml:space="preserve">Chicks arrive at rearing facilities at “day-old” and will already have experienced many stressors related to handling (for sorting and sexing), vaccination, beak-trimming, transportation and unloading. It is therefore essential that they are provided with a safe, warm and comfortable environment on arrival, with food readily available to avoid problems of “starve-out” (the failure of chicks to find, or accept, food or water, resulting in starvation). There is little scientific information on the welfare of very young chicks, but there is growing evidence that simulating aspects of natural maternal care can have strongly beneficial effects in encouraging chicks to learn about food, in reducing fear, </w:t>
      </w:r>
      <w:r w:rsidRPr="00286A88">
        <w:rPr>
          <w:rFonts w:cs="Arial"/>
          <w:lang w:val="en-AU" w:eastAsia="en-AU"/>
        </w:rPr>
        <w:t>increasing behavioural synchrony, and buffering chick stress response compared with artificially-reared chicks (Riber et al., 2007; Edgar et al., 2013; 2015). Despite this, only a narrow range of outcomes have so far been assessed and the mechanisms underpinning the documented benefits are poorly understood.</w:t>
      </w:r>
    </w:p>
    <w:p w14:paraId="112E68CD" w14:textId="77777777" w:rsidR="00286A88" w:rsidRPr="00286A88" w:rsidRDefault="00286A88" w:rsidP="00366BF5">
      <w:pPr>
        <w:rPr>
          <w:rFonts w:cs="Arial"/>
          <w:lang w:val="en-AU" w:eastAsia="en-AU"/>
        </w:rPr>
      </w:pPr>
      <w:r w:rsidRPr="00286A88">
        <w:rPr>
          <w:rFonts w:cs="Arial"/>
          <w:lang w:val="en-AU" w:eastAsia="en-AU"/>
        </w:rPr>
        <w:t>Pullets reared in cages have a reported mortality of approximately 7% by 16 weeks of age, though with no differences attributed to stocking rates varying from 212 to 370 cm</w:t>
      </w:r>
      <w:r w:rsidRPr="00286A88">
        <w:rPr>
          <w:rFonts w:cs="Arial"/>
          <w:vertAlign w:val="superscript"/>
          <w:lang w:val="en-AU" w:eastAsia="en-AU"/>
        </w:rPr>
        <w:t>2</w:t>
      </w:r>
      <w:r w:rsidRPr="00286A88">
        <w:rPr>
          <w:rFonts w:cs="Arial"/>
          <w:lang w:val="en-AU" w:eastAsia="en-AU"/>
        </w:rPr>
        <w:t>/bird (Bozkurt et al., 2006). Pullets reared in FCs have improved immune function compared with pullets reared in CCs (Matur et al., 2016).</w:t>
      </w:r>
    </w:p>
    <w:p w14:paraId="3C772C4E" w14:textId="77777777" w:rsidR="00286A88" w:rsidRPr="00286A88" w:rsidRDefault="00286A88" w:rsidP="00366BF5">
      <w:pPr>
        <w:rPr>
          <w:rFonts w:cs="Arial"/>
          <w:lang w:val="en-AU" w:eastAsia="en-AU"/>
        </w:rPr>
      </w:pPr>
      <w:r w:rsidRPr="00286A88">
        <w:rPr>
          <w:rFonts w:cs="Arial"/>
          <w:lang w:val="en-AU" w:eastAsia="en-AU"/>
        </w:rPr>
        <w:t>Current understanding is that the rearing environment should match the laying environment and provide the pullets with prior experience of conditions they will encounter during lay (Janczak and Riber, 2015). European studies have found that birds reared on the floor or in aviaries had subsequently higher mortality in FCs or similar group-housing systems, than cage-reared birds (Weitzenburger et al., 2005a; Vits et al., 2006; Tahamtani et al., 2014) Hunniford and Widowski (2016) also found that cage-reared hens were more likely to lay within the nestbox area in furnished cages than those reared on litter. It is rare for cage-reared pullets to be reared in furnished cages, and is not a requirement within the EU despite the prohibition of barren cages for layers, yet it would appear important for them to experience perches and scratch areas at the least.</w:t>
      </w:r>
    </w:p>
    <w:p w14:paraId="42EB9024" w14:textId="77777777" w:rsidR="00286A88" w:rsidRPr="00286A88" w:rsidRDefault="00286A88" w:rsidP="00366BF5">
      <w:pPr>
        <w:rPr>
          <w:rFonts w:cs="Arial"/>
          <w:lang w:val="en-AU" w:eastAsia="en-AU"/>
        </w:rPr>
      </w:pPr>
      <w:r w:rsidRPr="00286A88">
        <w:rPr>
          <w:rFonts w:cs="Arial"/>
          <w:lang w:val="en-AU" w:eastAsia="en-AU"/>
        </w:rPr>
        <w:t>However, results on the value of consistent rearing and laying environments are not universally consistent. One Mexican study (Itza-Ortiz et al., 2016) found that floor-reared white birds moved to conventional cages had lower mortality than cage-reared birds.</w:t>
      </w:r>
    </w:p>
    <w:p w14:paraId="62058CD1" w14:textId="77777777" w:rsidR="00286A88" w:rsidRPr="00286A88" w:rsidRDefault="00286A88" w:rsidP="00366BF5">
      <w:pPr>
        <w:rPr>
          <w:rFonts w:cs="Arial"/>
          <w:lang w:val="en-AU" w:eastAsia="en-AU"/>
        </w:rPr>
      </w:pPr>
      <w:r w:rsidRPr="00286A88">
        <w:rPr>
          <w:rFonts w:cs="Arial"/>
          <w:lang w:val="en-AU" w:eastAsia="en-AU"/>
        </w:rPr>
        <w:t xml:space="preserve">The importance of providing litter during the rearing phase was reviewed in section LH3.5. Many studies have reported beneficial effects of providing early access to perches on later behaviour and other outcomes for laying hens, particularly those housed in non-cage systems. Early perch access facilitates the development of muscle strength (Hester et al., 2013), motor skills, and spatial navigational abilities (Gunnarsson et al., 2000a), although in cage systems early access to perches does not increase adult perch usage (Hester et al., 2014). In contrast, in non-cage systems, early perch access increases the ability of hens to reach elevated structures as adults (Gunarsson et al., 2000; </w:t>
      </w:r>
      <w:r w:rsidRPr="00286A88">
        <w:rPr>
          <w:lang w:val="en-AU" w:eastAsia="en-AU"/>
        </w:rPr>
        <w:t>Heikkilä et al., 2006</w:t>
      </w:r>
      <w:r w:rsidRPr="00286A88">
        <w:rPr>
          <w:rFonts w:cs="Arial"/>
          <w:lang w:val="en-AU" w:eastAsia="en-AU"/>
        </w:rPr>
        <w:t xml:space="preserve">). Studies on birds fitted with accelerometers show that young pullets are most likely to display high-intensity physical activity, whilst in older birds physical activity declines (Kozak et al., 2016a). This demonstrates the importance of providing environments that encourage the development of motor skills and strength in young birds, who will use ramps and other elevated structures from as young as 2 weeks of age (Kozak et al., 2016b). </w:t>
      </w:r>
      <w:r w:rsidRPr="00286A88">
        <w:rPr>
          <w:rFonts w:cs="Arial"/>
          <w:shd w:val="clear" w:color="auto" w:fill="FFFFFF"/>
          <w:lang w:val="en-AU" w:eastAsia="en-AU"/>
        </w:rPr>
        <w:t xml:space="preserve">A more complex rearing environment with elevated structures, produces birds that demonstrate greater use of elevated aviary levels, higher accuracy of long flights and jumps, lower pullet mortality, and a higher proportion of eggs laid in nest boxes during adulthood (Colson et al., </w:t>
      </w:r>
      <w:r w:rsidRPr="00286A88">
        <w:rPr>
          <w:rFonts w:cs="Arial"/>
          <w:lang w:val="en-AU" w:eastAsia="en-AU"/>
        </w:rPr>
        <w:t>2008</w:t>
      </w:r>
      <w:r w:rsidRPr="00286A88">
        <w:rPr>
          <w:rFonts w:cs="Arial"/>
          <w:shd w:val="clear" w:color="auto" w:fill="FFFFFF"/>
          <w:lang w:val="en-AU" w:eastAsia="en-AU"/>
        </w:rPr>
        <w:t xml:space="preserve">). Provision of perches also reduces later problems with feather pecking </w:t>
      </w:r>
      <w:r w:rsidRPr="00286A88">
        <w:rPr>
          <w:rFonts w:cs="Arial"/>
          <w:lang w:val="en-AU" w:eastAsia="en-AU"/>
        </w:rPr>
        <w:t>(Gunnarsson et al., 1999; Huber-Eicher and Audigé, 1999) possibly because birds learn how to avoid trouble-makers by moving in three dimensions.</w:t>
      </w:r>
    </w:p>
    <w:p w14:paraId="09F822AB" w14:textId="77777777" w:rsidR="00286A88" w:rsidRPr="00286A88" w:rsidRDefault="00286A88" w:rsidP="00366BF5">
      <w:pPr>
        <w:rPr>
          <w:rFonts w:cs="Arial"/>
          <w:lang w:val="en-AU" w:eastAsia="en-AU"/>
        </w:rPr>
      </w:pPr>
      <w:r w:rsidRPr="00286A88">
        <w:rPr>
          <w:rFonts w:cs="Arial"/>
          <w:lang w:val="en-AU" w:eastAsia="en-AU"/>
        </w:rPr>
        <w:t>Dark brooders are a</w:t>
      </w:r>
      <w:r w:rsidRPr="00286A88">
        <w:rPr>
          <w:color w:val="000000"/>
          <w:lang w:val="en-AU" w:eastAsia="en-AU"/>
        </w:rPr>
        <w:t xml:space="preserve"> comparatively new technique of providing chicks and pullets with heat during rear. These generally comprise a platform with heating elements underneath it and dark curtain sides enabling young birds the choice of moving into the warm, dark, environment or out to the lit and cooler whole house environment. </w:t>
      </w:r>
      <w:r w:rsidRPr="00286A88">
        <w:rPr>
          <w:rFonts w:cs="Arial"/>
          <w:lang w:val="en-AU" w:eastAsia="en-AU"/>
        </w:rPr>
        <w:t>They are gradually being adopted for use in commercial rearing since a large on-farm study found a reduced prevalence of severe feather-pecking and improved plumage condition in intact birds over the period from brooder placement to 35 weeks of age, with no adverse effect on growth, body-weight uniformity, or mortality to the end of rearing (Gilani et al., 2012). Dark brooders may also improve behavioural synchrony between birds, reduce disturbances during resting, and result in calmer birds (Riber et al., 2007; Gilani et al., 2012).</w:t>
      </w:r>
    </w:p>
    <w:p w14:paraId="0F56AD73" w14:textId="77777777" w:rsidR="00286A88" w:rsidRPr="00286A88" w:rsidRDefault="00286A88" w:rsidP="00366BF5">
      <w:pPr>
        <w:rPr>
          <w:rFonts w:cs="Arial"/>
          <w:lang w:val="en-AU" w:eastAsia="en-AU"/>
        </w:rPr>
      </w:pPr>
      <w:r w:rsidRPr="00286A88">
        <w:rPr>
          <w:rFonts w:cs="Arial"/>
          <w:lang w:val="en-AU" w:eastAsia="en-AU"/>
        </w:rPr>
        <w:t>Two surveys of commercial flocks in the UK have shown that higher levels of background noise during rear increases the risk of feather pecking both in terms of early onset and the extent of damage during rear (Drake et al., 2010; Gilani et al., 2013) thus designing quieter environments during rear should prove beneficial.</w:t>
      </w:r>
    </w:p>
    <w:p w14:paraId="0B48D884" w14:textId="77777777" w:rsidR="00286A88" w:rsidRPr="00286A88" w:rsidRDefault="00286A88" w:rsidP="00366BF5">
      <w:pPr>
        <w:rPr>
          <w:rFonts w:cs="Arial"/>
          <w:lang w:val="en-AU" w:eastAsia="en-AU"/>
        </w:rPr>
      </w:pPr>
      <w:r w:rsidRPr="00286A88">
        <w:rPr>
          <w:rFonts w:cs="Arial"/>
          <w:lang w:val="en-AU" w:eastAsia="en-AU"/>
        </w:rPr>
        <w:t>When pullets are transferred to non-cage laying facilities they are sometimes excluded from key resources, including the range and the litter area, for a variable period until egg laying in nests is fully established. The impact of such nest box “training” on hen welfare is not clear. Alm et al. (2015) found improved indicators of plumage condition and fearfulness in flocks that were excluded from the litter resource for 2 weeks whereas Lambton et al. (2010) found that this practice led to significantly worse plumage condition at 25 weeks of age.</w:t>
      </w:r>
    </w:p>
    <w:p w14:paraId="04A6FB3A" w14:textId="77777777" w:rsidR="00286A88" w:rsidRPr="00286A88" w:rsidRDefault="00286A88" w:rsidP="00366BF5">
      <w:pPr>
        <w:pStyle w:val="Heading2"/>
        <w:rPr>
          <w:lang w:val="en-AU" w:eastAsia="en-AU"/>
        </w:rPr>
      </w:pPr>
      <w:bookmarkStart w:id="68" w:name="_Toc495310537"/>
      <w:r w:rsidRPr="00286A88">
        <w:rPr>
          <w:lang w:val="en-AU" w:eastAsia="en-AU"/>
        </w:rPr>
        <w:t>LH10. Breed effects</w:t>
      </w:r>
      <w:bookmarkEnd w:id="68"/>
    </w:p>
    <w:p w14:paraId="15008730" w14:textId="77777777" w:rsidR="00286A88" w:rsidRPr="00286A88" w:rsidRDefault="00286A88" w:rsidP="00366BF5">
      <w:pPr>
        <w:rPr>
          <w:lang w:val="en-AU" w:eastAsia="en-AU"/>
        </w:rPr>
      </w:pPr>
      <w:r w:rsidRPr="00286A88">
        <w:rPr>
          <w:lang w:val="en-AU" w:eastAsia="en-AU"/>
        </w:rPr>
        <w:t xml:space="preserve">Red </w:t>
      </w:r>
      <w:r w:rsidR="0001061E">
        <w:rPr>
          <w:lang w:val="en-AU" w:eastAsia="en-AU"/>
        </w:rPr>
        <w:t>Junglefowl</w:t>
      </w:r>
      <w:r w:rsidRPr="00286A88">
        <w:rPr>
          <w:lang w:val="en-AU" w:eastAsia="en-AU"/>
        </w:rPr>
        <w:t xml:space="preserve"> perch more than domestic hens, and show a greater degree of social facilitation and synchrony (Eklund and Jensen, 2011).</w:t>
      </w:r>
    </w:p>
    <w:p w14:paraId="504EE8DF" w14:textId="77777777" w:rsidR="00286A88" w:rsidRPr="00286A88" w:rsidRDefault="00286A88" w:rsidP="00366BF5">
      <w:pPr>
        <w:rPr>
          <w:lang w:val="en-AU" w:eastAsia="en-AU"/>
        </w:rPr>
      </w:pPr>
      <w:r w:rsidRPr="00286A88">
        <w:rPr>
          <w:lang w:val="en-AU" w:eastAsia="en-AU"/>
        </w:rPr>
        <w:t>Hocking et al. (2004) compared behavioural traits in 25 breeds of laying hen (13 traditional and 12 commercial strains). Strong strain differences were found in tendency for IP (and resultant wounds and mortality) but not for fearfulness or for other measures of overall behavioural time budget.</w:t>
      </w:r>
    </w:p>
    <w:p w14:paraId="7E4881D5" w14:textId="77777777" w:rsidR="00286A88" w:rsidRPr="00286A88" w:rsidRDefault="00286A88" w:rsidP="00366BF5">
      <w:pPr>
        <w:rPr>
          <w:lang w:val="en-AU" w:eastAsia="en-AU"/>
        </w:rPr>
      </w:pPr>
      <w:r w:rsidRPr="00286A88">
        <w:rPr>
          <w:lang w:val="en-AU" w:eastAsia="en-AU"/>
        </w:rPr>
        <w:t>In FCs some studies have found strain differences in perch use (Wall and Tauson, 2007) but these are not consistent between studies. A more comprehensive study directly compared the spatial distribution of 4 strains of laying hen in a multi-tier aviary. Brown strain birds were found on the upper tiers more often during the morning, with white strain birds more likely to roost on the upper tiers at night. Once litter access was made available at 26 weeks, white strain birds were quicker to utilise this resource (Ali et al., 2016). Brown strain birds are also more likely to show dust-bathing behaviour in FCs (Roll et al., 2008; Wall et al., 2008).</w:t>
      </w:r>
    </w:p>
    <w:p w14:paraId="3EA9CBE1" w14:textId="77777777" w:rsidR="00286A88" w:rsidRPr="00286A88" w:rsidRDefault="00286A88" w:rsidP="00366BF5">
      <w:pPr>
        <w:rPr>
          <w:lang w:val="en-AU" w:eastAsia="en-AU"/>
        </w:rPr>
      </w:pPr>
      <w:r w:rsidRPr="00286A88">
        <w:rPr>
          <w:lang w:val="en-AU" w:eastAsia="en-AU"/>
        </w:rPr>
        <w:t>Traditional breeds such as unselected Brown leghorns, the Barred Plymouth Rock or crosses between such breeds, have significantly stronger bones than modern brown hybrids (Silversides et al., 2006; 2012; Regmi et al., 2016a). Brown laying hybrid strains have stronger bones than white hybrids (Riczu et al., 2004; Vits et al., 2005) but appear to suffer more from keel damage than white strains, or than brown parent stock (Kappeli et al., 2011a). This may be related to differences in body weight and wing load, leading to less controlled jumping and flying in heavier, brown birds (Moinard et al., 2004b; Scholz et al., 2014a) and hence collisions with greater impact. However, within Hyline Brown hybrids Donaldson et al. (2012) found no relationship between keel damage and individual bird parameters such as bodyweight, or wing-to-girth ratio.</w:t>
      </w:r>
    </w:p>
    <w:p w14:paraId="12FF4830" w14:textId="77777777" w:rsidR="00286A88" w:rsidRPr="00286A88" w:rsidRDefault="00286A88" w:rsidP="00366BF5">
      <w:pPr>
        <w:pStyle w:val="Heading2"/>
        <w:rPr>
          <w:lang w:val="en-AU" w:eastAsia="en-AU"/>
        </w:rPr>
      </w:pPr>
      <w:bookmarkStart w:id="69" w:name="_Toc495310538"/>
      <w:r w:rsidRPr="00286A88">
        <w:rPr>
          <w:lang w:val="en-AU" w:eastAsia="en-AU"/>
        </w:rPr>
        <w:t>LH11. Welfare Considerations: Overview</w:t>
      </w:r>
      <w:bookmarkEnd w:id="69"/>
    </w:p>
    <w:p w14:paraId="66811DEC" w14:textId="77777777" w:rsidR="00286A88" w:rsidRPr="00286A88" w:rsidRDefault="00286A88" w:rsidP="00366BF5">
      <w:pPr>
        <w:rPr>
          <w:lang w:val="en-AU" w:eastAsia="en-AU"/>
        </w:rPr>
      </w:pPr>
      <w:r w:rsidRPr="00286A88">
        <w:rPr>
          <w:lang w:val="en-AU" w:eastAsia="en-AU"/>
        </w:rPr>
        <w:t>Laying hens are housed in a wider range of housing systems than other species of farmed poultry and, for this reason, housing system itself is a major influence on bird welfare.</w:t>
      </w:r>
    </w:p>
    <w:p w14:paraId="0265C154" w14:textId="77777777" w:rsidR="00286A88" w:rsidRPr="00286A88" w:rsidRDefault="00286A88" w:rsidP="00366BF5">
      <w:pPr>
        <w:rPr>
          <w:lang w:val="en-AU" w:eastAsia="en-AU"/>
        </w:rPr>
      </w:pPr>
      <w:r w:rsidRPr="00286A88">
        <w:rPr>
          <w:lang w:val="en-AU" w:eastAsia="en-AU"/>
        </w:rPr>
        <w:t xml:space="preserve">The conventional cage (CC) system prevents birds from performing basic movements essential for good health (walking, wing stretching), and denies birds the possibility of expressing their behavioural needs to roost, nest and forage, or their motivation to dust-bathe, due to an inherent lack of resources. Lack of exercise weakens bones which are likely to fracture during depopulation, and leads to metabolic conditions such as </w:t>
      </w:r>
      <w:r w:rsidR="00BA1829">
        <w:rPr>
          <w:lang w:val="en-AU" w:eastAsia="en-AU"/>
        </w:rPr>
        <w:t xml:space="preserve">haemorragic </w:t>
      </w:r>
      <w:r w:rsidRPr="00286A88">
        <w:rPr>
          <w:lang w:val="en-AU" w:eastAsia="en-AU"/>
        </w:rPr>
        <w:t xml:space="preserve">fatty </w:t>
      </w:r>
      <w:r w:rsidR="00BA1829">
        <w:rPr>
          <w:lang w:val="en-AU" w:eastAsia="en-AU"/>
        </w:rPr>
        <w:t>liver</w:t>
      </w:r>
      <w:r w:rsidRPr="00286A88">
        <w:rPr>
          <w:lang w:val="en-AU" w:eastAsia="en-AU"/>
        </w:rPr>
        <w:t xml:space="preserve"> syndrome. Claw breakage, plumage abrasion and poor foot health are also features of CC systems. The general benefits of cage systems (such as reduced contact with faecal material, parasite load, infectious disease and relatively low mortality) are largely equalled or surpassed in furnished (enriched or colony) systems (FC). Immune function appears to be suppressed in hens housed in conventional cages compared with hens in FC systems, and levels of aggression are higher in CC systems. The welfare problems associated with CCs are substantial and their benefits can be achieved in other cage systems.</w:t>
      </w:r>
    </w:p>
    <w:p w14:paraId="14B657C9" w14:textId="77777777" w:rsidR="00286A88" w:rsidRPr="00286A88" w:rsidRDefault="00286A88" w:rsidP="00366BF5">
      <w:pPr>
        <w:rPr>
          <w:lang w:val="en-AU" w:eastAsia="en-AU"/>
        </w:rPr>
      </w:pPr>
      <w:r w:rsidRPr="00286A88">
        <w:rPr>
          <w:lang w:val="en-AU" w:eastAsia="en-AU"/>
        </w:rPr>
        <w:t>The FC system permits laying hens to perform a broader range of behaviours than the CC. Comfort movements, nesting and roosting can all take place at a rudimentary level although it is likely that behavioural needs are not fully satisfied in this system. Hens in FCs are not able to fly and foraging and dust-bathing opportunities are limited. Mortality in modern furnished cages is lower than in any other system. Birds in FCs have stronger bones than birds in conventional cages, a lower prevalence of injury during depopulation than hens from CCs, and a lower incidence of keel bone fractures during the laying period than hens from non-cage (NC) systems. The welfare problems associated with FCs are significant but these could potentially be reduced by lower stocking rates and improved provision of foraging and dust-bathing areas. A spatial allowance of at least 750 cm</w:t>
      </w:r>
      <w:r w:rsidRPr="00286A88">
        <w:rPr>
          <w:vertAlign w:val="superscript"/>
          <w:lang w:val="en-AU" w:eastAsia="en-AU"/>
        </w:rPr>
        <w:t>2</w:t>
      </w:r>
      <w:r w:rsidRPr="00286A88">
        <w:rPr>
          <w:lang w:val="en-AU" w:eastAsia="en-AU"/>
        </w:rPr>
        <w:t>/bird is required to ensure bird welfare. The health of birds in FCs is, on average, higher than that of hens from NC systems where far greater variation occurs.</w:t>
      </w:r>
    </w:p>
    <w:p w14:paraId="32526A34" w14:textId="77777777" w:rsidR="00286A88" w:rsidRPr="00286A88" w:rsidRDefault="00286A88" w:rsidP="00366BF5">
      <w:pPr>
        <w:rPr>
          <w:lang w:val="en-AU" w:eastAsia="en-AU"/>
        </w:rPr>
      </w:pPr>
      <w:r w:rsidRPr="00286A88">
        <w:rPr>
          <w:lang w:val="en-AU" w:eastAsia="en-AU"/>
        </w:rPr>
        <w:t>NC systems tend to have highly variable outcomes for flock mortality, health, prevalence of keel fractures and injurious pecking. These systems are difficult to manage well and require attentive and experienced staff and managers. Monitoring levels of mortality, keel fractures and plumage scores in NC systems would enable targets to be set for progressive improvement. Recording broad causes of mortality (e.g. culls, predation, smothering) would facilitate progress. Attention to biosecurity, the use of ramps to access different levels within a house, careful positioning of house furniture, and the use of published management strategies to reduce feather pecking would be expected to lead to gradual reductions in these welfare problems. In NC systems, wire mesh floors have health advantages compared with plastic floors. These same considerations apply to free-range (FR) systems, although good use of the range can mitigate some of the problems encountered in indoor NC systems. Range use should be encouraged by the use of shrubs, trees and shelters.</w:t>
      </w:r>
    </w:p>
    <w:p w14:paraId="1EC10F81" w14:textId="77777777" w:rsidR="00286A88" w:rsidRPr="00286A88" w:rsidRDefault="00286A88" w:rsidP="00366BF5">
      <w:pPr>
        <w:rPr>
          <w:lang w:val="en-AU" w:eastAsia="en-AU"/>
        </w:rPr>
      </w:pPr>
      <w:r w:rsidRPr="00286A88">
        <w:rPr>
          <w:lang w:val="en-AU" w:eastAsia="en-AU"/>
        </w:rPr>
        <w:t>The effects of stocking density for hens in NC systems have not been fully researched. Ensuring that resources are sufficient and are evenly distributed is important to avoid locally high stocking densities.</w:t>
      </w:r>
    </w:p>
    <w:p w14:paraId="6F7C8DB2" w14:textId="77777777" w:rsidR="00286A88" w:rsidRPr="00286A88" w:rsidRDefault="00286A88" w:rsidP="00366BF5">
      <w:pPr>
        <w:rPr>
          <w:lang w:val="en-AU" w:eastAsia="en-AU"/>
        </w:rPr>
      </w:pPr>
      <w:r w:rsidRPr="00286A88">
        <w:rPr>
          <w:lang w:val="en-AU" w:eastAsia="en-AU"/>
        </w:rPr>
        <w:t>Low light intensity is sometimes used in an attempt to control inter-bird pecking but this can have adverse effects on eye function. It can be counter-productive if other foraging substrates appear less attractive than feathers.</w:t>
      </w:r>
    </w:p>
    <w:p w14:paraId="1854CA98" w14:textId="77777777" w:rsidR="00286A88" w:rsidRPr="00286A88" w:rsidRDefault="00286A88" w:rsidP="00366BF5">
      <w:pPr>
        <w:rPr>
          <w:lang w:val="en-AU" w:eastAsia="en-AU"/>
        </w:rPr>
      </w:pPr>
      <w:r w:rsidRPr="00286A88">
        <w:rPr>
          <w:lang w:val="en-AU" w:eastAsia="en-AU"/>
        </w:rPr>
        <w:t>Rearing pullets with appropriate enrichment discourages the development of feather pecking and helps to ensure that birds will be able to make full use of all facilities in the laying house as adults.</w:t>
      </w:r>
    </w:p>
    <w:p w14:paraId="07ECF679" w14:textId="77777777" w:rsidR="00286A88" w:rsidRPr="00286A88" w:rsidRDefault="00286A88" w:rsidP="00366BF5">
      <w:pPr>
        <w:rPr>
          <w:lang w:val="en-AU" w:eastAsia="en-AU"/>
        </w:rPr>
      </w:pPr>
      <w:r w:rsidRPr="00286A88">
        <w:rPr>
          <w:lang w:val="en-AU" w:eastAsia="en-AU"/>
        </w:rPr>
        <w:t>Infra-red beak trimming may be a necessary interim method of reducing the damage associated with inter-bird pecking, particularly during any industry transition towards NC systems. However, beak trimming has associated welfare problems. With advances in genetic selection and improved management, the prevalence of feather pecking would be expected to reduce. It may be possible to phase out the practice of beak trimming under these conditions.</w:t>
      </w:r>
    </w:p>
    <w:p w14:paraId="28B83DD9" w14:textId="77777777" w:rsidR="00286A88" w:rsidRPr="00286A88" w:rsidRDefault="00286A88" w:rsidP="00366BF5">
      <w:pPr>
        <w:rPr>
          <w:lang w:val="en-AU" w:eastAsia="en-AU"/>
        </w:rPr>
      </w:pPr>
      <w:r w:rsidRPr="00286A88">
        <w:rPr>
          <w:lang w:val="en-AU" w:eastAsia="en-AU"/>
        </w:rPr>
        <w:t>Steps must be taken in all housing systems to control populations of red mite which can cause serious welfare problems for laying hens. Further research on methods of mite control is urgently required given growing resistance to current acaricides.</w:t>
      </w:r>
    </w:p>
    <w:p w14:paraId="3F298905" w14:textId="77777777" w:rsidR="00286A88" w:rsidRDefault="00286A88" w:rsidP="00366BF5">
      <w:pPr>
        <w:rPr>
          <w:lang w:val="en-AU" w:eastAsia="en-AU"/>
        </w:rPr>
      </w:pPr>
      <w:r w:rsidRPr="00286A88">
        <w:rPr>
          <w:lang w:val="en-AU" w:eastAsia="en-AU"/>
        </w:rPr>
        <w:t>The practice of moulting hens by removal or restriction of feed causes severe welfare problems of bird hunger, stress and unacceptable levels of mortality. These problems are not reduced or mitigated by feeding low-nutrient diets. Modern strains of laying hen are now available with increased durations of the first laying cycle (90 weeks or more) greatly reducing any perceived need to moult. Reduced egg production towards the end of the first laying cycle can occur due to fat deposition and lack of exercise, but this is primarily a problem associated with CC systems. There are no welfare benefits that could outweigh the welfare costs of this practice.</w:t>
      </w:r>
    </w:p>
    <w:p w14:paraId="377A60D4" w14:textId="77777777" w:rsidR="005064B7" w:rsidRDefault="005064B7" w:rsidP="00366BF5">
      <w:pPr>
        <w:rPr>
          <w:lang w:val="en-AU" w:eastAsia="en-AU"/>
        </w:rPr>
      </w:pPr>
    </w:p>
    <w:p w14:paraId="6CE180F3" w14:textId="77777777" w:rsidR="003D1CC3" w:rsidRDefault="003D1CC3" w:rsidP="003D1CC3">
      <w:pPr>
        <w:pStyle w:val="Heading2"/>
        <w:rPr>
          <w:lang w:val="en-AU" w:eastAsia="en-AU"/>
        </w:rPr>
      </w:pPr>
      <w:r>
        <w:rPr>
          <w:lang w:val="en-AU" w:eastAsia="en-AU"/>
        </w:rPr>
        <w:br w:type="column"/>
      </w:r>
      <w:bookmarkStart w:id="70" w:name="_Toc495310539"/>
      <w:r w:rsidR="00276571">
        <w:rPr>
          <w:lang w:val="en-AU" w:eastAsia="en-AU"/>
        </w:rPr>
        <w:t xml:space="preserve">LH12. </w:t>
      </w:r>
      <w:r>
        <w:rPr>
          <w:lang w:val="en-AU" w:eastAsia="en-AU"/>
        </w:rPr>
        <w:t>References</w:t>
      </w:r>
      <w:bookmarkEnd w:id="70"/>
    </w:p>
    <w:p w14:paraId="221CE59D" w14:textId="77777777" w:rsidR="00EB1BF9" w:rsidRPr="00EB1BF9" w:rsidRDefault="00EB1BF9" w:rsidP="00EB1BF9">
      <w:pPr>
        <w:rPr>
          <w:lang w:eastAsia="en-AU"/>
        </w:rPr>
      </w:pPr>
      <w:r w:rsidRPr="00EB1BF9">
        <w:rPr>
          <w:lang w:eastAsia="en-AU"/>
        </w:rPr>
        <w:t>Abeyesinghe, S. M., J. A. Drewe, L. Asher, C. M. Wathes</w:t>
      </w:r>
      <w:r w:rsidR="0077095C">
        <w:rPr>
          <w:lang w:eastAsia="en-AU"/>
        </w:rPr>
        <w:t>, and</w:t>
      </w:r>
      <w:r w:rsidRPr="00EB1BF9">
        <w:rPr>
          <w:lang w:eastAsia="en-AU"/>
        </w:rPr>
        <w:t xml:space="preserve"> L. M. Collins. 2013. Do hens have friends? Applied Animal Behaviour Science 143:61-66. doi 10.1016/j.applanim.2012.12.003</w:t>
      </w:r>
    </w:p>
    <w:p w14:paraId="49A16AE9" w14:textId="77777777" w:rsidR="00EB1BF9" w:rsidRPr="00EB1BF9" w:rsidRDefault="00EB1BF9" w:rsidP="00EB1BF9">
      <w:pPr>
        <w:rPr>
          <w:lang w:eastAsia="en-AU"/>
        </w:rPr>
      </w:pPr>
      <w:r w:rsidRPr="00EB1BF9">
        <w:rPr>
          <w:lang w:eastAsia="en-AU"/>
        </w:rPr>
        <w:t>Abeyesinghe, S. M., M. A. McLeman, R. C. Owen, C. E. McMahon</w:t>
      </w:r>
      <w:r w:rsidR="0077095C">
        <w:rPr>
          <w:lang w:eastAsia="en-AU"/>
        </w:rPr>
        <w:t>, and</w:t>
      </w:r>
      <w:r w:rsidRPr="00EB1BF9">
        <w:rPr>
          <w:lang w:eastAsia="en-AU"/>
        </w:rPr>
        <w:t xml:space="preserve"> C. M. Wathes. 2009. Investigating social discrimination of group members by laying hens. Behavioural Processes 81:1-13. doi 10.1016/j.beproc.2008.11.017</w:t>
      </w:r>
    </w:p>
    <w:p w14:paraId="508F534C" w14:textId="77777777" w:rsidR="00EB1BF9" w:rsidRPr="00EB1BF9" w:rsidRDefault="00EB1BF9" w:rsidP="00EB1BF9">
      <w:pPr>
        <w:rPr>
          <w:lang w:eastAsia="en-AU"/>
        </w:rPr>
      </w:pPr>
      <w:r w:rsidRPr="00EB1BF9">
        <w:rPr>
          <w:lang w:eastAsia="en-AU"/>
        </w:rPr>
        <w:t>Abrahamsson, P.</w:t>
      </w:r>
      <w:r w:rsidR="0077095C">
        <w:rPr>
          <w:lang w:eastAsia="en-AU"/>
        </w:rPr>
        <w:t>, and</w:t>
      </w:r>
      <w:r w:rsidRPr="00EB1BF9">
        <w:rPr>
          <w:lang w:eastAsia="en-AU"/>
        </w:rPr>
        <w:t xml:space="preserve"> R. Tauson. 1997. Effects of group size on performance health and birds' use of facilities in furnished cages for laying hens. Acta Agriculturae Scandinavica Section a-Animal Science 47:254-260. doi 10.1080/09064709709362394</w:t>
      </w:r>
    </w:p>
    <w:p w14:paraId="257B5E9B" w14:textId="77777777" w:rsidR="00EB1BF9" w:rsidRPr="00EB1BF9" w:rsidRDefault="00EB1BF9" w:rsidP="00EB1BF9">
      <w:pPr>
        <w:rPr>
          <w:lang w:eastAsia="en-AU"/>
        </w:rPr>
      </w:pPr>
      <w:r w:rsidRPr="00EB1BF9">
        <w:rPr>
          <w:lang w:eastAsia="en-AU"/>
        </w:rPr>
        <w:t xml:space="preserve">ABS. 2015. </w:t>
      </w:r>
      <w:r w:rsidRPr="00EB1BF9">
        <w:rPr>
          <w:lang w:val="en-AU" w:eastAsia="en-AU"/>
        </w:rPr>
        <w:t xml:space="preserve">Agricultural Commodities, Australia, 2013-14. Australian Bureau of Statistics. </w:t>
      </w:r>
      <w:hyperlink r:id="rId43" w:tooltip="This is a link to the Australian Bureau of Statistics' agricultural commodities statistics for 2013-14, including livestock numbers." w:history="1">
        <w:r w:rsidR="00363E7D" w:rsidRPr="003A6506">
          <w:rPr>
            <w:rStyle w:val="Hyperlink"/>
            <w:lang w:eastAsia="en-AU"/>
          </w:rPr>
          <w:t>www.abs.gov.au/AUSSTATS/abs@.nsf/DetailsPage/7121.02013-14?OpenDocument</w:t>
        </w:r>
      </w:hyperlink>
      <w:r w:rsidR="00363E7D">
        <w:rPr>
          <w:lang w:eastAsia="en-AU"/>
        </w:rPr>
        <w:t>.</w:t>
      </w:r>
      <w:r w:rsidRPr="00EB1BF9">
        <w:rPr>
          <w:lang w:eastAsia="en-AU"/>
        </w:rPr>
        <w:t xml:space="preserve"> Accessed 26/07/2017</w:t>
      </w:r>
      <w:r w:rsidR="002371DC">
        <w:rPr>
          <w:lang w:eastAsia="en-AU"/>
        </w:rPr>
        <w:t>.</w:t>
      </w:r>
    </w:p>
    <w:p w14:paraId="08E92B8A" w14:textId="77777777" w:rsidR="00EB1BF9" w:rsidRPr="00EB1BF9" w:rsidRDefault="00EB1BF9" w:rsidP="00EB1BF9">
      <w:pPr>
        <w:rPr>
          <w:lang w:eastAsia="en-AU"/>
        </w:rPr>
      </w:pPr>
      <w:r w:rsidRPr="00EB1BF9">
        <w:rPr>
          <w:lang w:val="en-AU" w:eastAsia="en-AU"/>
        </w:rPr>
        <w:t xml:space="preserve">ABS. 2016. Agricultural Commodities, Australia, 2014-15. Australian Bureau of Statistics. </w:t>
      </w:r>
      <w:hyperlink r:id="rId44" w:tooltip="This is a link to the Australian Bureau of Statistics' agricultural commodities statistics for 2014-15, including livestock numbers." w:history="1">
        <w:r w:rsidR="00363E7D" w:rsidRPr="003A6506">
          <w:rPr>
            <w:rStyle w:val="Hyperlink"/>
            <w:lang w:eastAsia="en-AU"/>
          </w:rPr>
          <w:t>www.abs.gov.au/AUSSTATS/abs@.nsf/DetailsPage/7121.02014-15?OpenDocument</w:t>
        </w:r>
      </w:hyperlink>
      <w:r w:rsidR="00363E7D">
        <w:rPr>
          <w:lang w:eastAsia="en-AU"/>
        </w:rPr>
        <w:t xml:space="preserve">. </w:t>
      </w:r>
      <w:r w:rsidRPr="00EB1BF9">
        <w:rPr>
          <w:lang w:eastAsia="en-AU"/>
        </w:rPr>
        <w:t>Accessed 26/07/2017</w:t>
      </w:r>
      <w:r w:rsidR="002371DC">
        <w:rPr>
          <w:lang w:eastAsia="en-AU"/>
        </w:rPr>
        <w:t>.</w:t>
      </w:r>
    </w:p>
    <w:p w14:paraId="74380EB1" w14:textId="77777777" w:rsidR="00EB1BF9" w:rsidRPr="00EB1BF9" w:rsidRDefault="00EB1BF9" w:rsidP="00EB1BF9">
      <w:pPr>
        <w:rPr>
          <w:lang w:eastAsia="en-AU"/>
        </w:rPr>
      </w:pPr>
      <w:r w:rsidRPr="00EB1BF9">
        <w:rPr>
          <w:lang w:eastAsia="en-AU"/>
        </w:rPr>
        <w:t xml:space="preserve">ABS. 2017a. Agricultural Commodities, Australia, 2015-16. Australian Bureau of Statistics. </w:t>
      </w:r>
      <w:hyperlink r:id="rId45" w:tooltip="This is a link to the Australian Bureau of Statistics' agricultural commodities statistics for 2015-16, including livestock numbers." w:history="1">
        <w:r w:rsidR="00363E7D" w:rsidRPr="003A6506">
          <w:rPr>
            <w:rStyle w:val="Hyperlink"/>
            <w:lang w:eastAsia="en-AU"/>
          </w:rPr>
          <w:t>www.abs.gov.au/AUSSTATS/abs@.nsf/DetailsPage/7121.02015-16?OpenDocument</w:t>
        </w:r>
      </w:hyperlink>
      <w:r w:rsidR="00363E7D">
        <w:rPr>
          <w:lang w:eastAsia="en-AU"/>
        </w:rPr>
        <w:t>.</w:t>
      </w:r>
      <w:r w:rsidRPr="00EB1BF9">
        <w:rPr>
          <w:lang w:eastAsia="en-AU"/>
        </w:rPr>
        <w:t xml:space="preserve"> Accessed 26/07/2017</w:t>
      </w:r>
      <w:r w:rsidR="002371DC">
        <w:rPr>
          <w:lang w:eastAsia="en-AU"/>
        </w:rPr>
        <w:t>.</w:t>
      </w:r>
    </w:p>
    <w:p w14:paraId="25989A08" w14:textId="77777777" w:rsidR="00EB1BF9" w:rsidRPr="00EB1BF9" w:rsidRDefault="00EB1BF9" w:rsidP="00EB1BF9">
      <w:pPr>
        <w:rPr>
          <w:lang w:eastAsia="en-AU"/>
        </w:rPr>
      </w:pPr>
      <w:r w:rsidRPr="00EB1BF9">
        <w:rPr>
          <w:lang w:eastAsia="en-AU"/>
        </w:rPr>
        <w:t xml:space="preserve">ABS. 2017b. Value of Agricultural Commodities Produced, Australia, 2015-16. Australian Bureau of Statistics. </w:t>
      </w:r>
      <w:hyperlink r:id="rId46" w:tooltip="This is a link to the Australian Bureau of Statistics' information on the value of agricultural commodities produced in 2015-16." w:history="1">
        <w:r w:rsidR="00363E7D" w:rsidRPr="003A6506">
          <w:rPr>
            <w:rStyle w:val="Hyperlink"/>
            <w:lang w:eastAsia="en-AU"/>
          </w:rPr>
          <w:t>www.abs.gov.au/AUSSTATS/abs@.nsf/Lookup/7503.0Main+Features12015-16?OpenDocument</w:t>
        </w:r>
      </w:hyperlink>
      <w:r w:rsidR="00363E7D">
        <w:rPr>
          <w:lang w:eastAsia="en-AU"/>
        </w:rPr>
        <w:t>.</w:t>
      </w:r>
      <w:r w:rsidRPr="00EB1BF9">
        <w:rPr>
          <w:lang w:eastAsia="en-AU"/>
        </w:rPr>
        <w:t xml:space="preserve"> Accessed 26/07/2017</w:t>
      </w:r>
      <w:r w:rsidR="000E44E6">
        <w:rPr>
          <w:lang w:eastAsia="en-AU"/>
        </w:rPr>
        <w:t>.</w:t>
      </w:r>
    </w:p>
    <w:p w14:paraId="6A59F6F3" w14:textId="77777777" w:rsidR="00EB1BF9" w:rsidRPr="00EB1BF9" w:rsidRDefault="00EB1BF9" w:rsidP="00EB1BF9">
      <w:pPr>
        <w:rPr>
          <w:lang w:eastAsia="en-AU"/>
        </w:rPr>
      </w:pPr>
      <w:r w:rsidRPr="00EB1BF9">
        <w:rPr>
          <w:lang w:eastAsia="en-AU"/>
        </w:rPr>
        <w:t>Acamovic, T., V. Sandilands, I. Kyriazakis</w:t>
      </w:r>
      <w:r w:rsidR="0077095C">
        <w:rPr>
          <w:lang w:eastAsia="en-AU"/>
        </w:rPr>
        <w:t>, and</w:t>
      </w:r>
      <w:r w:rsidRPr="00EB1BF9">
        <w:rPr>
          <w:lang w:eastAsia="en-AU"/>
        </w:rPr>
        <w:t xml:space="preserve"> N. Sparks. 2008. The effect of organic diets on the performance of pullets maintained under semi-organic conditions. Animal 2:117-124. doi 10.1017/s1751731107000894</w:t>
      </w:r>
    </w:p>
    <w:p w14:paraId="1863C483" w14:textId="77777777" w:rsidR="00C4385D" w:rsidRDefault="00C4385D" w:rsidP="00EB1BF9">
      <w:pPr>
        <w:rPr>
          <w:lang w:eastAsia="en-AU"/>
        </w:rPr>
      </w:pPr>
      <w:r>
        <w:rPr>
          <w:lang w:eastAsia="en-AU"/>
        </w:rPr>
        <w:t xml:space="preserve">Agra CEAS. 2004. Study on the socio-economic implications of the various systems to keep laying hens. Final Report for the European Commission, submitted by Agra CEAS Consulting Ltd, December 2004. </w:t>
      </w:r>
      <w:hyperlink r:id="rId47" w:tooltip="This is a link to a study on the socio-economic implications of the various systems to keep laying hens, which is a report for the European Commission." w:history="1">
        <w:r w:rsidRPr="001E383A">
          <w:rPr>
            <w:rStyle w:val="Hyperlink"/>
            <w:lang w:eastAsia="en-AU"/>
          </w:rPr>
          <w:t>https://ec.europa.eu/food/sites/food/files/animals/aw_arch/2008_laying_hens_specific _study-en.pdf</w:t>
        </w:r>
      </w:hyperlink>
      <w:r>
        <w:rPr>
          <w:lang w:eastAsia="en-AU"/>
        </w:rPr>
        <w:t>. Accessed 28/04/2017</w:t>
      </w:r>
      <w:r w:rsidR="000E44E6">
        <w:rPr>
          <w:lang w:eastAsia="en-AU"/>
        </w:rPr>
        <w:t>.</w:t>
      </w:r>
    </w:p>
    <w:p w14:paraId="46768F36" w14:textId="77777777" w:rsidR="00EB1BF9" w:rsidRPr="00EB1BF9" w:rsidRDefault="00EB1BF9" w:rsidP="00EB1BF9">
      <w:pPr>
        <w:rPr>
          <w:lang w:eastAsia="en-AU"/>
        </w:rPr>
      </w:pPr>
      <w:r w:rsidRPr="00EB1BF9">
        <w:rPr>
          <w:lang w:eastAsia="en-AU"/>
        </w:rPr>
        <w:t>Al-Ramamneh, D. S., M. M. Makagon</w:t>
      </w:r>
      <w:r w:rsidR="0077095C">
        <w:rPr>
          <w:lang w:eastAsia="en-AU"/>
        </w:rPr>
        <w:t>, and</w:t>
      </w:r>
      <w:r w:rsidRPr="00EB1BF9">
        <w:rPr>
          <w:lang w:eastAsia="en-AU"/>
        </w:rPr>
        <w:t xml:space="preserve"> P. Y. Hester. 2016. The ability of White Leghorn hens with trimmed comb and wattles to thermoregulate. Poultry Science 95:1726-1735. doi 10.3382/ps/pew110</w:t>
      </w:r>
    </w:p>
    <w:p w14:paraId="4D60D83E" w14:textId="77777777" w:rsidR="00EB1BF9" w:rsidRPr="00EB1BF9" w:rsidRDefault="005C226A" w:rsidP="00EB1BF9">
      <w:pPr>
        <w:rPr>
          <w:lang w:eastAsia="en-AU"/>
        </w:rPr>
      </w:pPr>
      <w:r>
        <w:rPr>
          <w:lang w:eastAsia="en-AU"/>
        </w:rPr>
        <w:t>Albentosa, M. J.</w:t>
      </w:r>
      <w:r w:rsidR="0077095C">
        <w:rPr>
          <w:lang w:eastAsia="en-AU"/>
        </w:rPr>
        <w:t>, and</w:t>
      </w:r>
      <w:r w:rsidR="00EB1BF9" w:rsidRPr="00EB1BF9">
        <w:rPr>
          <w:lang w:eastAsia="en-AU"/>
        </w:rPr>
        <w:t xml:space="preserve"> J. J. Cooper. 2004. Effects of cage height and stocking density on the frequency of comfort behaviours performed by laying hens housed in furnished ca</w:t>
      </w:r>
      <w:r>
        <w:rPr>
          <w:lang w:eastAsia="en-AU"/>
        </w:rPr>
        <w:t>ges. Animal Welfare 13:419-424.</w:t>
      </w:r>
    </w:p>
    <w:p w14:paraId="1754A342" w14:textId="77777777" w:rsidR="00EB1BF9" w:rsidRPr="00EB1BF9" w:rsidRDefault="00EB1BF9" w:rsidP="00EB1BF9">
      <w:pPr>
        <w:rPr>
          <w:lang w:eastAsia="en-AU"/>
        </w:rPr>
      </w:pPr>
      <w:r w:rsidRPr="00EB1BF9">
        <w:rPr>
          <w:lang w:eastAsia="en-AU"/>
        </w:rPr>
        <w:t>Albentosa, M. J.</w:t>
      </w:r>
      <w:r w:rsidR="0077095C">
        <w:rPr>
          <w:lang w:eastAsia="en-AU"/>
        </w:rPr>
        <w:t>, and</w:t>
      </w:r>
      <w:r w:rsidRPr="00EB1BF9">
        <w:rPr>
          <w:lang w:eastAsia="en-AU"/>
        </w:rPr>
        <w:t xml:space="preserve"> J. J. Cooper. 2005. Testing resource value in group-housed animals: An investigation of cage height preference in laying hens. Behavioural Processes 70:113-121. doi 10.1016/j.beproc.2005.05.002</w:t>
      </w:r>
    </w:p>
    <w:p w14:paraId="2507E190" w14:textId="77777777" w:rsidR="00EB1BF9" w:rsidRPr="00EB1BF9" w:rsidRDefault="00EB1BF9" w:rsidP="00EB1BF9">
      <w:pPr>
        <w:rPr>
          <w:lang w:eastAsia="en-AU"/>
        </w:rPr>
      </w:pPr>
      <w:r w:rsidRPr="00EB1BF9">
        <w:rPr>
          <w:lang w:eastAsia="en-AU"/>
        </w:rPr>
        <w:t>Albentosa, M. J., E. Glen, C. Leeb, X. Whittaker</w:t>
      </w:r>
      <w:r w:rsidR="0077095C">
        <w:rPr>
          <w:lang w:eastAsia="en-AU"/>
        </w:rPr>
        <w:t>, and</w:t>
      </w:r>
      <w:r w:rsidRPr="00EB1BF9">
        <w:rPr>
          <w:lang w:eastAsia="en-AU"/>
        </w:rPr>
        <w:t xml:space="preserve"> C. J. Nicol. 2003. An evaluation of response to novelty as a predictor of pecking tendency in laying hens. Applied Animal Behaviour Science 82:313-328. doi 10.1016/s0168-1591(03)00085-6</w:t>
      </w:r>
    </w:p>
    <w:p w14:paraId="3A6508D6" w14:textId="77777777" w:rsidR="00EB1BF9" w:rsidRPr="00EB1BF9" w:rsidRDefault="00EB1BF9" w:rsidP="00EB1BF9">
      <w:pPr>
        <w:rPr>
          <w:lang w:eastAsia="en-AU"/>
        </w:rPr>
      </w:pPr>
      <w:r w:rsidRPr="00EB1BF9">
        <w:rPr>
          <w:lang w:eastAsia="en-AU"/>
        </w:rPr>
        <w:t>Alemu, S. W., M. P. L. Calus, W. M. Muir, K. Peeters, A. Vereijken</w:t>
      </w:r>
      <w:r w:rsidR="0077095C">
        <w:rPr>
          <w:lang w:eastAsia="en-AU"/>
        </w:rPr>
        <w:t>, and</w:t>
      </w:r>
      <w:r w:rsidRPr="00EB1BF9">
        <w:rPr>
          <w:lang w:eastAsia="en-AU"/>
        </w:rPr>
        <w:t xml:space="preserve"> P. Bijma. 2016. Genomic prediction of survival time in a population of brown laying hens showing cannibalistic behavior. Genetics Selection Evolution 48. doi 10.1186/s12711-016-0247-4</w:t>
      </w:r>
    </w:p>
    <w:p w14:paraId="5110C412" w14:textId="77777777" w:rsidR="00EB1BF9" w:rsidRPr="00EB1BF9" w:rsidRDefault="00EB1BF9" w:rsidP="00EB1BF9">
      <w:pPr>
        <w:rPr>
          <w:lang w:eastAsia="en-AU"/>
        </w:rPr>
      </w:pPr>
      <w:r w:rsidRPr="00EB1BF9">
        <w:rPr>
          <w:lang w:eastAsia="en-AU"/>
        </w:rPr>
        <w:t>Ali, A. B. A., D. L. M. Campbell, D. M. Karcher</w:t>
      </w:r>
      <w:r w:rsidR="0077095C">
        <w:rPr>
          <w:lang w:eastAsia="en-AU"/>
        </w:rPr>
        <w:t>, and</w:t>
      </w:r>
      <w:r w:rsidRPr="00EB1BF9">
        <w:rPr>
          <w:lang w:eastAsia="en-AU"/>
        </w:rPr>
        <w:t xml:space="preserve"> J. M. Siegford. 2016. Influence of genetic strain and access to litter on spatial distribution of 4 strains of laying hens in an aviary system. Poultry Science 95:2489-2502. doi 10.3382/ps/pew236</w:t>
      </w:r>
    </w:p>
    <w:p w14:paraId="0B3EC793" w14:textId="77777777" w:rsidR="00EB1BF9" w:rsidRPr="00EB1BF9" w:rsidRDefault="00EB1BF9" w:rsidP="00EB1BF9">
      <w:pPr>
        <w:rPr>
          <w:lang w:eastAsia="en-AU"/>
        </w:rPr>
      </w:pPr>
      <w:r w:rsidRPr="00EB1BF9">
        <w:rPr>
          <w:lang w:eastAsia="en-AU"/>
        </w:rPr>
        <w:t>Alm, M., L. Holm, R. Tauson</w:t>
      </w:r>
      <w:r w:rsidR="0077095C">
        <w:rPr>
          <w:lang w:eastAsia="en-AU"/>
        </w:rPr>
        <w:t>, and</w:t>
      </w:r>
      <w:r w:rsidRPr="00EB1BF9">
        <w:rPr>
          <w:lang w:eastAsia="en-AU"/>
        </w:rPr>
        <w:t xml:space="preserve"> H. Wall. 2014. Corticosterone metabolites in laying hen droppings-Effects of fiber enrichment, genotype, and daily variations. Poultry Science 93:2615-2621. doi 10.3382/ps.2014-04193</w:t>
      </w:r>
    </w:p>
    <w:p w14:paraId="027B0E80" w14:textId="77777777" w:rsidR="00EB1BF9" w:rsidRPr="00EB1BF9" w:rsidRDefault="00EB1BF9" w:rsidP="00EB1BF9">
      <w:pPr>
        <w:rPr>
          <w:lang w:eastAsia="en-AU"/>
        </w:rPr>
      </w:pPr>
      <w:r w:rsidRPr="00EB1BF9">
        <w:rPr>
          <w:lang w:eastAsia="en-AU"/>
        </w:rPr>
        <w:t>Alm, M., R. Tauson, L. Holm, A. Wichman, O. Kalliokoski</w:t>
      </w:r>
      <w:r w:rsidR="0077095C">
        <w:rPr>
          <w:lang w:eastAsia="en-AU"/>
        </w:rPr>
        <w:t>, and</w:t>
      </w:r>
      <w:r w:rsidRPr="00EB1BF9">
        <w:rPr>
          <w:lang w:eastAsia="en-AU"/>
        </w:rPr>
        <w:t xml:space="preserve"> H. Wall. 2016. Welfare indicators in laying hens in relation to nest exclusion. Poultry Science 95:1238-1247. doi 10.3382/ps/pew100</w:t>
      </w:r>
    </w:p>
    <w:p w14:paraId="45E7EB8A" w14:textId="77777777" w:rsidR="00EB1BF9" w:rsidRPr="00EB1BF9" w:rsidRDefault="00EB1BF9" w:rsidP="00EB1BF9">
      <w:pPr>
        <w:rPr>
          <w:lang w:eastAsia="en-AU"/>
        </w:rPr>
      </w:pPr>
      <w:r w:rsidRPr="00EB1BF9">
        <w:rPr>
          <w:lang w:eastAsia="en-AU"/>
        </w:rPr>
        <w:t>Alm, M., H. Wall, L. Holm, A. Wichman, R. Palme</w:t>
      </w:r>
      <w:r w:rsidR="0077095C">
        <w:rPr>
          <w:lang w:eastAsia="en-AU"/>
        </w:rPr>
        <w:t>, and</w:t>
      </w:r>
      <w:r w:rsidRPr="00EB1BF9">
        <w:rPr>
          <w:lang w:eastAsia="en-AU"/>
        </w:rPr>
        <w:t xml:space="preserve"> R. Tauson. 2015. Welfare and performance in layers following temporary exclusion from the litter area on introduction to the layer facility. Poultry Science 94:565-573. doi 10.3382/ps/pev021</w:t>
      </w:r>
    </w:p>
    <w:p w14:paraId="6D43D8F6" w14:textId="77777777" w:rsidR="00EB1BF9" w:rsidRPr="00EB1BF9" w:rsidRDefault="00EB1BF9" w:rsidP="00EB1BF9">
      <w:pPr>
        <w:rPr>
          <w:lang w:eastAsia="en-AU"/>
        </w:rPr>
      </w:pPr>
      <w:r w:rsidRPr="00EB1BF9">
        <w:rPr>
          <w:lang w:eastAsia="en-AU"/>
        </w:rPr>
        <w:t>Altan, O., I. Oguz, Z. Erbayraktar, O. Yimaz, H. Bayraktarl</w:t>
      </w:r>
      <w:r w:rsidR="0077095C">
        <w:rPr>
          <w:lang w:eastAsia="en-AU"/>
        </w:rPr>
        <w:t>, and</w:t>
      </w:r>
      <w:r w:rsidRPr="00EB1BF9">
        <w:rPr>
          <w:lang w:eastAsia="en-AU"/>
        </w:rPr>
        <w:t xml:space="preserve"> B. Sis. 2005. The effect of prolonged fasting and refeeding on GSH-Px activity, plasma glucose and cholesterol levels and welfare of older hens from different genotypes. Archiv Fur Geflugelkunde</w:t>
      </w:r>
      <w:r w:rsidR="005C226A">
        <w:rPr>
          <w:lang w:eastAsia="en-AU"/>
        </w:rPr>
        <w:t xml:space="preserve"> 69:185-191.</w:t>
      </w:r>
    </w:p>
    <w:p w14:paraId="5EE73F50" w14:textId="77777777" w:rsidR="00EB1BF9" w:rsidRPr="00EB1BF9" w:rsidRDefault="00EB1BF9" w:rsidP="00EB1BF9">
      <w:pPr>
        <w:rPr>
          <w:lang w:eastAsia="en-AU"/>
        </w:rPr>
      </w:pPr>
      <w:r w:rsidRPr="00EB1BF9">
        <w:rPr>
          <w:lang w:eastAsia="en-AU"/>
        </w:rPr>
        <w:t>Alvino, G. M., C. B. Tucker, G. S. Archer</w:t>
      </w:r>
      <w:r w:rsidR="0077095C">
        <w:rPr>
          <w:lang w:eastAsia="en-AU"/>
        </w:rPr>
        <w:t>, and</w:t>
      </w:r>
      <w:r w:rsidRPr="00EB1BF9">
        <w:rPr>
          <w:lang w:eastAsia="en-AU"/>
        </w:rPr>
        <w:t xml:space="preserve"> J. A. Mench. 2013. Astroturf as a dustbathing substrate for laying hens. Applied Animal Behaviour Science 146:88-95. doi 10.1016/j.applanim.2013.03.006</w:t>
      </w:r>
    </w:p>
    <w:p w14:paraId="6874DA45" w14:textId="77777777" w:rsidR="00EB1BF9" w:rsidRPr="00EB1BF9" w:rsidRDefault="00EB1BF9" w:rsidP="00EB1BF9">
      <w:pPr>
        <w:rPr>
          <w:lang w:eastAsia="en-AU"/>
        </w:rPr>
      </w:pPr>
      <w:r w:rsidRPr="00EB1BF9">
        <w:rPr>
          <w:lang w:eastAsia="en-AU"/>
        </w:rPr>
        <w:t>Anderson, K. E., G. S. Davis, P. K. Jenkins</w:t>
      </w:r>
      <w:r w:rsidR="0077095C">
        <w:rPr>
          <w:lang w:eastAsia="en-AU"/>
        </w:rPr>
        <w:t>, and</w:t>
      </w:r>
      <w:r w:rsidRPr="00EB1BF9">
        <w:rPr>
          <w:lang w:eastAsia="en-AU"/>
        </w:rPr>
        <w:t xml:space="preserve"> A. S. Carroll. 2004. Effects of bird age, density, and molt on behavioral profiles of two commercial layer strains in c</w:t>
      </w:r>
      <w:r w:rsidR="005C226A">
        <w:rPr>
          <w:lang w:eastAsia="en-AU"/>
        </w:rPr>
        <w:t>ages. Poultry Science 83:15-23.</w:t>
      </w:r>
    </w:p>
    <w:p w14:paraId="65E66CB8" w14:textId="77777777" w:rsidR="00EB1BF9" w:rsidRPr="00EB1BF9" w:rsidRDefault="00EB1BF9" w:rsidP="00EB1BF9">
      <w:pPr>
        <w:rPr>
          <w:lang w:eastAsia="en-AU"/>
        </w:rPr>
      </w:pPr>
      <w:r w:rsidRPr="00EB1BF9">
        <w:rPr>
          <w:lang w:eastAsia="en-AU"/>
        </w:rPr>
        <w:t>Anderson, K. E.</w:t>
      </w:r>
      <w:r w:rsidR="0077095C">
        <w:rPr>
          <w:lang w:eastAsia="en-AU"/>
        </w:rPr>
        <w:t>, and</w:t>
      </w:r>
      <w:r w:rsidRPr="00EB1BF9">
        <w:rPr>
          <w:lang w:eastAsia="en-AU"/>
        </w:rPr>
        <w:t xml:space="preserve"> G. B. Havenstein. 2007. Effects of alternative molting programs and population on layer performance: Results of the thirty-fifth North Carolina layer performance and management test. Journal of Appli</w:t>
      </w:r>
      <w:r w:rsidR="005C226A">
        <w:rPr>
          <w:lang w:eastAsia="en-AU"/>
        </w:rPr>
        <w:t>ed Poultry Research 16:365-380.</w:t>
      </w:r>
    </w:p>
    <w:p w14:paraId="53E5BF03" w14:textId="77777777" w:rsidR="00EB1BF9" w:rsidRPr="00EB1BF9" w:rsidRDefault="00EB1BF9" w:rsidP="00EB1BF9">
      <w:pPr>
        <w:rPr>
          <w:lang w:eastAsia="en-AU"/>
        </w:rPr>
      </w:pPr>
      <w:r w:rsidRPr="00EB1BF9">
        <w:rPr>
          <w:lang w:eastAsia="en-AU"/>
        </w:rPr>
        <w:t>Anderson, K. E., P. E. Mozdziak</w:t>
      </w:r>
      <w:r w:rsidR="0077095C">
        <w:rPr>
          <w:lang w:eastAsia="en-AU"/>
        </w:rPr>
        <w:t>, and</w:t>
      </w:r>
      <w:r w:rsidRPr="00EB1BF9">
        <w:rPr>
          <w:lang w:eastAsia="en-AU"/>
        </w:rPr>
        <w:t xml:space="preserve"> J. N. Petitte. 2010. The impact of scheduled cage cleaning on older hens (</w:t>
      </w:r>
      <w:r w:rsidRPr="005C226A">
        <w:rPr>
          <w:i/>
          <w:lang w:eastAsia="en-AU"/>
        </w:rPr>
        <w:t>Gallus gallus</w:t>
      </w:r>
      <w:r w:rsidR="005C226A">
        <w:rPr>
          <w:lang w:eastAsia="en-AU"/>
        </w:rPr>
        <w:t>). Lab Animal 39:210-215.</w:t>
      </w:r>
    </w:p>
    <w:p w14:paraId="2FDDACB5" w14:textId="77777777" w:rsidR="00EB1BF9" w:rsidRDefault="00EB1BF9" w:rsidP="00EB1BF9">
      <w:pPr>
        <w:rPr>
          <w:lang w:eastAsia="en-AU"/>
        </w:rPr>
      </w:pPr>
      <w:r w:rsidRPr="00EB1BF9">
        <w:rPr>
          <w:lang w:eastAsia="en-AU"/>
        </w:rPr>
        <w:t>Angevaare, M. J., S. Prins, F. J. van der Staay</w:t>
      </w:r>
      <w:r w:rsidR="0077095C">
        <w:rPr>
          <w:lang w:eastAsia="en-AU"/>
        </w:rPr>
        <w:t>, and</w:t>
      </w:r>
      <w:r w:rsidRPr="00EB1BF9">
        <w:rPr>
          <w:lang w:eastAsia="en-AU"/>
        </w:rPr>
        <w:t xml:space="preserve"> R. E. Nordquist. 2012. The effect of maternal care and infrared beak trimming on development, performance and behavior of Silver Nick hens. Applied Animal Behaviour Science 140:70-84. doi 10.1016/j.applanim.2012.05.004</w:t>
      </w:r>
    </w:p>
    <w:p w14:paraId="663774B1" w14:textId="77777777" w:rsidR="00571499" w:rsidRPr="00EB1BF9" w:rsidRDefault="00571499" w:rsidP="00EB1BF9">
      <w:pPr>
        <w:rPr>
          <w:lang w:eastAsia="en-AU"/>
        </w:rPr>
      </w:pPr>
      <w:r>
        <w:rPr>
          <w:lang w:eastAsia="en-AU"/>
        </w:rPr>
        <w:t>Ansenberger, K.</w:t>
      </w:r>
      <w:r w:rsidRPr="00571499">
        <w:rPr>
          <w:lang w:eastAsia="en-AU"/>
        </w:rPr>
        <w:t xml:space="preserve">, </w:t>
      </w:r>
      <w:r>
        <w:rPr>
          <w:lang w:eastAsia="en-AU"/>
        </w:rPr>
        <w:t xml:space="preserve">C. </w:t>
      </w:r>
      <w:r w:rsidRPr="00571499">
        <w:rPr>
          <w:lang w:eastAsia="en-AU"/>
        </w:rPr>
        <w:t xml:space="preserve">Richards, </w:t>
      </w:r>
      <w:r>
        <w:rPr>
          <w:lang w:eastAsia="en-AU"/>
        </w:rPr>
        <w:t>Z. G.</w:t>
      </w:r>
      <w:r w:rsidRPr="00571499">
        <w:rPr>
          <w:lang w:eastAsia="en-AU"/>
        </w:rPr>
        <w:t xml:space="preserve"> Yan, </w:t>
      </w:r>
      <w:r>
        <w:rPr>
          <w:lang w:eastAsia="en-AU"/>
        </w:rPr>
        <w:t>A.</w:t>
      </w:r>
      <w:r w:rsidRPr="00571499">
        <w:rPr>
          <w:lang w:eastAsia="en-AU"/>
        </w:rPr>
        <w:t xml:space="preserve"> Barua, </w:t>
      </w:r>
      <w:r>
        <w:rPr>
          <w:lang w:eastAsia="en-AU"/>
        </w:rPr>
        <w:t>J. M.</w:t>
      </w:r>
      <w:r w:rsidRPr="00571499">
        <w:rPr>
          <w:lang w:eastAsia="en-AU"/>
        </w:rPr>
        <w:t xml:space="preserve"> Bahr, </w:t>
      </w:r>
      <w:r>
        <w:rPr>
          <w:lang w:eastAsia="en-AU"/>
        </w:rPr>
        <w:t>L. L.</w:t>
      </w:r>
      <w:r w:rsidRPr="00571499">
        <w:rPr>
          <w:lang w:eastAsia="en-AU"/>
        </w:rPr>
        <w:t xml:space="preserve"> Luborsky, </w:t>
      </w:r>
      <w:r>
        <w:rPr>
          <w:lang w:eastAsia="en-AU"/>
        </w:rPr>
        <w:t>and D. B.</w:t>
      </w:r>
      <w:r w:rsidRPr="00571499">
        <w:rPr>
          <w:lang w:eastAsia="en-AU"/>
        </w:rPr>
        <w:t xml:space="preserve"> Hales. 2010. Decreased severity of ovarian cancer and increased survival in hens fed a flaxseed-enriched diet for 1 year. Gynecologic Oncology 117</w:t>
      </w:r>
      <w:r>
        <w:rPr>
          <w:lang w:eastAsia="en-AU"/>
        </w:rPr>
        <w:t>:</w:t>
      </w:r>
      <w:r w:rsidRPr="00571499">
        <w:rPr>
          <w:lang w:eastAsia="en-AU"/>
        </w:rPr>
        <w:t xml:space="preserve"> 341-347</w:t>
      </w:r>
      <w:r>
        <w:rPr>
          <w:lang w:eastAsia="en-AU"/>
        </w:rPr>
        <w:t>.</w:t>
      </w:r>
    </w:p>
    <w:p w14:paraId="78849B70" w14:textId="77777777" w:rsidR="00EB1BF9" w:rsidRPr="00EB1BF9" w:rsidRDefault="00EB1BF9" w:rsidP="00EB1BF9">
      <w:pPr>
        <w:rPr>
          <w:lang w:eastAsia="en-AU"/>
        </w:rPr>
      </w:pPr>
      <w:r w:rsidRPr="00EB1BF9">
        <w:rPr>
          <w:lang w:eastAsia="en-AU"/>
        </w:rPr>
        <w:t>Appleby, M. C. 2004. What causes crowding? Effects of space, facilities and group size on behaviour, with particular reference to furnished cages for h</w:t>
      </w:r>
      <w:r w:rsidR="005C226A">
        <w:rPr>
          <w:lang w:eastAsia="en-AU"/>
        </w:rPr>
        <w:t>ens. Animal Welfare 13:313-320.</w:t>
      </w:r>
    </w:p>
    <w:p w14:paraId="124C2288" w14:textId="77777777" w:rsidR="00EB1BF9" w:rsidRPr="00EB1BF9" w:rsidRDefault="00EB1BF9" w:rsidP="00EB1BF9">
      <w:pPr>
        <w:rPr>
          <w:lang w:eastAsia="en-AU"/>
        </w:rPr>
      </w:pPr>
      <w:r w:rsidRPr="00EB1BF9">
        <w:rPr>
          <w:lang w:eastAsia="en-AU"/>
        </w:rPr>
        <w:t>Appleby, M. C., A. W. Walker, C. J. Nicol, A. C. Lindberg, R. Freire, B. O. Hughes</w:t>
      </w:r>
      <w:r w:rsidR="0077095C">
        <w:rPr>
          <w:lang w:eastAsia="en-AU"/>
        </w:rPr>
        <w:t>, and</w:t>
      </w:r>
      <w:r w:rsidRPr="00EB1BF9">
        <w:rPr>
          <w:lang w:eastAsia="en-AU"/>
        </w:rPr>
        <w:t xml:space="preserve"> H. A. Elson. 2002. Development of furnished cages for laying hens. British Poultry Science 43:489-500. doi 10.1080/0007166022000004390</w:t>
      </w:r>
    </w:p>
    <w:p w14:paraId="0DD58537" w14:textId="77777777" w:rsidR="00EB1BF9" w:rsidRPr="00EB1BF9" w:rsidRDefault="00EB1BF9" w:rsidP="00EB1BF9">
      <w:pPr>
        <w:rPr>
          <w:lang w:eastAsia="en-AU"/>
        </w:rPr>
      </w:pPr>
      <w:r w:rsidRPr="00EB1BF9">
        <w:rPr>
          <w:lang w:eastAsia="en-AU"/>
        </w:rPr>
        <w:t xml:space="preserve">Aral, Y., M. S. Arikan, E. E. </w:t>
      </w:r>
      <w:r w:rsidRPr="00EB1BF9">
        <w:rPr>
          <w:bCs/>
          <w:lang w:val="en-AU" w:eastAsia="en-AU"/>
        </w:rPr>
        <w:t>Onbaşılar</w:t>
      </w:r>
      <w:r w:rsidRPr="00EB1BF9">
        <w:rPr>
          <w:lang w:eastAsia="en-AU"/>
        </w:rPr>
        <w:t>, N. Unal, A. Gokdai</w:t>
      </w:r>
      <w:r w:rsidR="0077095C">
        <w:rPr>
          <w:lang w:eastAsia="en-AU"/>
        </w:rPr>
        <w:t>, and</w:t>
      </w:r>
      <w:r w:rsidRPr="00EB1BF9">
        <w:rPr>
          <w:lang w:eastAsia="en-AU"/>
        </w:rPr>
        <w:t xml:space="preserve"> E. Erdem. 2017. Economic comparison of unenriched and alternative cage systems used in laying hen husbandry - recent experience under Turkish commercial conditions. </w:t>
      </w:r>
      <w:r w:rsidR="00E12232">
        <w:rPr>
          <w:lang w:eastAsia="en-AU"/>
        </w:rPr>
        <w:t>World’s</w:t>
      </w:r>
      <w:r w:rsidRPr="00EB1BF9">
        <w:rPr>
          <w:lang w:eastAsia="en-AU"/>
        </w:rPr>
        <w:t xml:space="preserve"> Poultry Science Journal 73:69-76. doi 10.1017/s0043933916000799</w:t>
      </w:r>
    </w:p>
    <w:p w14:paraId="53643F3C" w14:textId="77777777" w:rsidR="00EB1BF9" w:rsidRPr="00EB1BF9" w:rsidRDefault="005C226A" w:rsidP="00EB1BF9">
      <w:pPr>
        <w:rPr>
          <w:lang w:eastAsia="en-AU"/>
        </w:rPr>
      </w:pPr>
      <w:r>
        <w:rPr>
          <w:lang w:eastAsia="en-AU"/>
        </w:rPr>
        <w:t>Arnold, N. A.</w:t>
      </w:r>
      <w:r w:rsidR="0077095C">
        <w:rPr>
          <w:lang w:eastAsia="en-AU"/>
        </w:rPr>
        <w:t>, and</w:t>
      </w:r>
      <w:r w:rsidR="00EB1BF9" w:rsidRPr="00EB1BF9">
        <w:rPr>
          <w:lang w:eastAsia="en-AU"/>
        </w:rPr>
        <w:t xml:space="preserve"> P. H. Hemsworth. 2013. Examining the usefulness of a Y-maze choice method to measure the preferences of laying hens. Animal Production Science 53:1283-1290. doi 10.1071/an12390</w:t>
      </w:r>
    </w:p>
    <w:p w14:paraId="47DAB9BD" w14:textId="77777777" w:rsidR="00EB1BF9" w:rsidRPr="00EB1BF9" w:rsidRDefault="00EB1BF9" w:rsidP="00EB1BF9">
      <w:pPr>
        <w:rPr>
          <w:lang w:eastAsia="en-AU"/>
        </w:rPr>
      </w:pPr>
      <w:r w:rsidRPr="00EB1BF9">
        <w:rPr>
          <w:lang w:eastAsia="en-AU"/>
        </w:rPr>
        <w:t>Auerbach, M. I., G. Glunder, M. Beyerbach</w:t>
      </w:r>
      <w:r w:rsidR="0077095C">
        <w:rPr>
          <w:lang w:eastAsia="en-AU"/>
        </w:rPr>
        <w:t>, and</w:t>
      </w:r>
      <w:r w:rsidRPr="00EB1BF9">
        <w:rPr>
          <w:lang w:eastAsia="en-AU"/>
        </w:rPr>
        <w:t xml:space="preserve"> R. M. Weber. 2014. Varying antibody responses of laying hens housed in an aviary system and in furnished cages. Berliner Und Munchener Tierarztliche Wochenschrift 127:267-273. doi 10.2376/0005-9366-127-267</w:t>
      </w:r>
    </w:p>
    <w:p w14:paraId="2D145271" w14:textId="77777777" w:rsidR="00EB1BF9" w:rsidRPr="00EB1BF9" w:rsidRDefault="00EB1BF9" w:rsidP="00EB1BF9">
      <w:pPr>
        <w:rPr>
          <w:lang w:eastAsia="en-AU"/>
        </w:rPr>
      </w:pPr>
      <w:r w:rsidRPr="00EB1BF9">
        <w:rPr>
          <w:lang w:eastAsia="en-AU"/>
        </w:rPr>
        <w:t>Ayasi, H., B. Dastar, T. Ghoorch, S. R. Hashemi</w:t>
      </w:r>
      <w:r w:rsidR="0077095C">
        <w:rPr>
          <w:lang w:eastAsia="en-AU"/>
        </w:rPr>
        <w:t>, and</w:t>
      </w:r>
      <w:r w:rsidRPr="00EB1BF9">
        <w:rPr>
          <w:lang w:eastAsia="en-AU"/>
        </w:rPr>
        <w:t xml:space="preserve"> A. Tabaraei. 2016. Effect of utilization of maize silage in moult inducing diets on performance, immune response and bone quality in laying hens. Journal of Ani</w:t>
      </w:r>
      <w:r w:rsidR="005C226A">
        <w:rPr>
          <w:lang w:eastAsia="en-AU"/>
        </w:rPr>
        <w:t>mal and Feed Sciences 25:52-57.</w:t>
      </w:r>
    </w:p>
    <w:p w14:paraId="7FAB772A" w14:textId="77777777" w:rsidR="00EB1BF9" w:rsidRPr="00EB1BF9" w:rsidRDefault="005C226A" w:rsidP="00EB1BF9">
      <w:pPr>
        <w:rPr>
          <w:lang w:eastAsia="en-AU"/>
        </w:rPr>
      </w:pPr>
      <w:r>
        <w:rPr>
          <w:lang w:eastAsia="en-AU"/>
        </w:rPr>
        <w:t>Aygun, A.</w:t>
      </w:r>
      <w:r w:rsidR="0077095C">
        <w:rPr>
          <w:lang w:eastAsia="en-AU"/>
        </w:rPr>
        <w:t>, and</w:t>
      </w:r>
      <w:r w:rsidR="00EB1BF9" w:rsidRPr="00EB1BF9">
        <w:rPr>
          <w:lang w:eastAsia="en-AU"/>
        </w:rPr>
        <w:t xml:space="preserve"> R. Yetisir. 2009. Researches on the Responses of Different Hybrid Layers with Respect to Egg Production Performances to Forced Molting Programs with and Without Feed Withdrawal. Journal of Animal and V</w:t>
      </w:r>
      <w:r>
        <w:rPr>
          <w:lang w:eastAsia="en-AU"/>
        </w:rPr>
        <w:t>eterinary Advances 8:2680-2686.</w:t>
      </w:r>
    </w:p>
    <w:p w14:paraId="70077659" w14:textId="77777777" w:rsidR="00EB1BF9" w:rsidRPr="00EB1BF9" w:rsidRDefault="00EB1BF9" w:rsidP="00EB1BF9">
      <w:pPr>
        <w:rPr>
          <w:lang w:eastAsia="en-AU"/>
        </w:rPr>
      </w:pPr>
      <w:r w:rsidRPr="00EB1BF9">
        <w:rPr>
          <w:lang w:eastAsia="en-AU"/>
        </w:rPr>
        <w:t>Bain, M. M., Y. Nys</w:t>
      </w:r>
      <w:r w:rsidR="0077095C">
        <w:rPr>
          <w:lang w:eastAsia="en-AU"/>
        </w:rPr>
        <w:t>, and</w:t>
      </w:r>
      <w:r w:rsidRPr="00EB1BF9">
        <w:rPr>
          <w:lang w:eastAsia="en-AU"/>
        </w:rPr>
        <w:t xml:space="preserve"> I. C. Dunn. 2016. Increasing persistency in lay and stabilising egg quality in longer laying cycles. What are the challenges? British Poultry Science 57:330-338. doi 10.1080/00071668.2016.1161727</w:t>
      </w:r>
    </w:p>
    <w:p w14:paraId="69542A58" w14:textId="77777777" w:rsidR="00EB1BF9" w:rsidRPr="00EB1BF9" w:rsidRDefault="00EB1BF9" w:rsidP="00EB1BF9">
      <w:pPr>
        <w:rPr>
          <w:lang w:eastAsia="en-AU"/>
        </w:rPr>
      </w:pPr>
      <w:r w:rsidRPr="00EB1BF9">
        <w:rPr>
          <w:lang w:eastAsia="en-AU"/>
        </w:rPr>
        <w:t>Banerjee, D., C. L. Daigle, B. Dong, K. Wurtz, R. C. Newberry, J. M. Siegford</w:t>
      </w:r>
      <w:r w:rsidR="0077095C">
        <w:rPr>
          <w:lang w:eastAsia="en-AU"/>
        </w:rPr>
        <w:t>, and</w:t>
      </w:r>
      <w:r w:rsidRPr="00EB1BF9">
        <w:rPr>
          <w:lang w:eastAsia="en-AU"/>
        </w:rPr>
        <w:t xml:space="preserve"> S. Biswas. 2014. Detection of jumping and landing force in laying hens using wireless wearable sensors. Poultry Science 93:2724-2733. doi 10.3382/ps.2014-04006</w:t>
      </w:r>
    </w:p>
    <w:p w14:paraId="5CE94F1A" w14:textId="77777777" w:rsidR="00EB1BF9" w:rsidRPr="00EB1BF9" w:rsidRDefault="00EB1BF9" w:rsidP="00EB1BF9">
      <w:pPr>
        <w:rPr>
          <w:lang w:val="en-AU" w:eastAsia="en-AU"/>
        </w:rPr>
      </w:pPr>
      <w:r w:rsidRPr="00EB1BF9">
        <w:rPr>
          <w:lang w:val="en-AU" w:eastAsia="en-AU"/>
        </w:rPr>
        <w:t>Barnett J</w:t>
      </w:r>
      <w:r w:rsidR="005C226A">
        <w:rPr>
          <w:lang w:val="en-AU" w:eastAsia="en-AU"/>
        </w:rPr>
        <w:t xml:space="preserve">. </w:t>
      </w:r>
      <w:r w:rsidRPr="00EB1BF9">
        <w:rPr>
          <w:lang w:val="en-AU" w:eastAsia="en-AU"/>
        </w:rPr>
        <w:t>L</w:t>
      </w:r>
      <w:r w:rsidR="005C226A">
        <w:rPr>
          <w:lang w:val="en-AU" w:eastAsia="en-AU"/>
        </w:rPr>
        <w:t>.</w:t>
      </w:r>
      <w:r w:rsidRPr="00EB1BF9">
        <w:rPr>
          <w:lang w:val="en-AU" w:eastAsia="en-AU"/>
        </w:rPr>
        <w:t xml:space="preserve">, </w:t>
      </w:r>
      <w:r w:rsidR="005C226A">
        <w:rPr>
          <w:lang w:val="en-AU" w:eastAsia="en-AU"/>
        </w:rPr>
        <w:t xml:space="preserve">P. H. </w:t>
      </w:r>
      <w:r w:rsidRPr="00EB1BF9">
        <w:rPr>
          <w:lang w:val="en-AU" w:eastAsia="en-AU"/>
        </w:rPr>
        <w:t>Hemsworth</w:t>
      </w:r>
      <w:r w:rsidR="005C226A">
        <w:rPr>
          <w:lang w:val="en-AU" w:eastAsia="en-AU"/>
        </w:rPr>
        <w:t>,</w:t>
      </w:r>
      <w:r w:rsidRPr="00EB1BF9">
        <w:rPr>
          <w:lang w:val="en-AU" w:eastAsia="en-AU"/>
        </w:rPr>
        <w:t xml:space="preserve"> </w:t>
      </w:r>
      <w:r w:rsidR="005C226A">
        <w:rPr>
          <w:lang w:val="en-AU" w:eastAsia="en-AU"/>
        </w:rPr>
        <w:t xml:space="preserve">D. P. </w:t>
      </w:r>
      <w:r w:rsidRPr="00EB1BF9">
        <w:rPr>
          <w:lang w:val="en-AU" w:eastAsia="en-AU"/>
        </w:rPr>
        <w:t xml:space="preserve">Hennessy, </w:t>
      </w:r>
      <w:r w:rsidR="005C226A">
        <w:rPr>
          <w:lang w:val="en-AU" w:eastAsia="en-AU"/>
        </w:rPr>
        <w:t xml:space="preserve">T. H. </w:t>
      </w:r>
      <w:r w:rsidRPr="00EB1BF9">
        <w:rPr>
          <w:lang w:val="en-AU" w:eastAsia="en-AU"/>
        </w:rPr>
        <w:t>McCallum</w:t>
      </w:r>
      <w:r w:rsidR="0077095C">
        <w:rPr>
          <w:lang w:val="en-AU" w:eastAsia="en-AU"/>
        </w:rPr>
        <w:t>, and</w:t>
      </w:r>
      <w:r w:rsidR="005C226A">
        <w:rPr>
          <w:lang w:val="en-AU" w:eastAsia="en-AU"/>
        </w:rPr>
        <w:t xml:space="preserve"> E. A.</w:t>
      </w:r>
      <w:r w:rsidRPr="00EB1BF9">
        <w:rPr>
          <w:lang w:val="en-AU" w:eastAsia="en-AU"/>
        </w:rPr>
        <w:t xml:space="preserve"> Newman</w:t>
      </w:r>
      <w:r w:rsidR="005C226A">
        <w:rPr>
          <w:lang w:val="en-AU" w:eastAsia="en-AU"/>
        </w:rPr>
        <w:t>.</w:t>
      </w:r>
      <w:r w:rsidRPr="00EB1BF9">
        <w:rPr>
          <w:lang w:val="en-AU" w:eastAsia="en-AU"/>
        </w:rPr>
        <w:t xml:space="preserve"> 1994</w:t>
      </w:r>
      <w:r w:rsidR="005C226A">
        <w:rPr>
          <w:lang w:val="en-AU" w:eastAsia="en-AU"/>
        </w:rPr>
        <w:t>.</w:t>
      </w:r>
      <w:r w:rsidRPr="00EB1BF9">
        <w:rPr>
          <w:lang w:val="en-AU" w:eastAsia="en-AU"/>
        </w:rPr>
        <w:t xml:space="preserve"> The effects of modifying the amount of human contact on behavioural, physiological and produc</w:t>
      </w:r>
      <w:r w:rsidR="005C226A">
        <w:rPr>
          <w:lang w:val="en-AU" w:eastAsia="en-AU"/>
        </w:rPr>
        <w:t xml:space="preserve">tion responses of laying hens. </w:t>
      </w:r>
      <w:r w:rsidRPr="00EB1BF9">
        <w:rPr>
          <w:lang w:val="en-AU" w:eastAsia="en-AU"/>
        </w:rPr>
        <w:t>Applied Animal Be</w:t>
      </w:r>
      <w:r w:rsidR="0091352D">
        <w:rPr>
          <w:lang w:val="en-AU" w:eastAsia="en-AU"/>
        </w:rPr>
        <w:t xml:space="preserve">haviour Science 41:87–100. doi </w:t>
      </w:r>
      <w:r w:rsidRPr="00EB1BF9">
        <w:rPr>
          <w:lang w:val="en-AU" w:eastAsia="en-AU"/>
        </w:rPr>
        <w:t>10.1016/0168- 1591(94)90054-X</w:t>
      </w:r>
    </w:p>
    <w:p w14:paraId="7D8C902D" w14:textId="77777777" w:rsidR="00EB1BF9" w:rsidRPr="00EB1BF9" w:rsidRDefault="00EB1BF9" w:rsidP="00EB1BF9">
      <w:pPr>
        <w:rPr>
          <w:lang w:eastAsia="en-AU"/>
        </w:rPr>
      </w:pPr>
      <w:r w:rsidRPr="00EB1BF9">
        <w:rPr>
          <w:lang w:eastAsia="en-AU"/>
        </w:rPr>
        <w:t>Barnett, J. L., R. Tauson, J. A. Downing, V. Janardhana, J. W. Lowenthal, K. L. Butler</w:t>
      </w:r>
      <w:r w:rsidR="0077095C">
        <w:rPr>
          <w:lang w:eastAsia="en-AU"/>
        </w:rPr>
        <w:t>, and</w:t>
      </w:r>
      <w:r w:rsidRPr="00EB1BF9">
        <w:rPr>
          <w:lang w:eastAsia="en-AU"/>
        </w:rPr>
        <w:t xml:space="preserve"> G. M. Cronin. 2009. The effects of a perch, dust bath, and nest box, either alone or in combination as used in furnished cages, on the welfare of laying hens. Poultry Science 88:456-470. doi 10.3382/ps.2008-00168</w:t>
      </w:r>
    </w:p>
    <w:p w14:paraId="14841898" w14:textId="77777777" w:rsidR="00EB1BF9" w:rsidRPr="00EB1BF9" w:rsidRDefault="00EB1BF9" w:rsidP="00EB1BF9">
      <w:pPr>
        <w:rPr>
          <w:lang w:eastAsia="en-AU"/>
        </w:rPr>
      </w:pPr>
      <w:r w:rsidRPr="00EB1BF9">
        <w:rPr>
          <w:lang w:eastAsia="en-AU"/>
        </w:rPr>
        <w:t>Barrett, J., A. C. Rayner, R. Gill, T. H. Willings</w:t>
      </w:r>
      <w:r w:rsidR="0077095C">
        <w:rPr>
          <w:lang w:eastAsia="en-AU"/>
        </w:rPr>
        <w:t>, and</w:t>
      </w:r>
      <w:r w:rsidRPr="00EB1BF9">
        <w:rPr>
          <w:lang w:eastAsia="en-AU"/>
        </w:rPr>
        <w:t xml:space="preserve"> A. Bright. 2014. Smothering in UK free-range flocks. Part 1: incidence, location, timing and management. Veterinary Record 175:19. doi 10.1136/vr.102327</w:t>
      </w:r>
    </w:p>
    <w:p w14:paraId="2AB037A4" w14:textId="77777777" w:rsidR="00EB1BF9" w:rsidRPr="00EB1BF9" w:rsidRDefault="00DF635B" w:rsidP="00EB1BF9">
      <w:pPr>
        <w:rPr>
          <w:lang w:eastAsia="en-AU"/>
        </w:rPr>
      </w:pPr>
      <w:r>
        <w:rPr>
          <w:lang w:eastAsia="en-AU"/>
        </w:rPr>
        <w:t>Bass, P. D., D. M. Hooge</w:t>
      </w:r>
      <w:r w:rsidR="0077095C">
        <w:rPr>
          <w:lang w:eastAsia="en-AU"/>
        </w:rPr>
        <w:t>, and</w:t>
      </w:r>
      <w:r w:rsidR="00EB1BF9" w:rsidRPr="00EB1BF9">
        <w:rPr>
          <w:lang w:eastAsia="en-AU"/>
        </w:rPr>
        <w:t xml:space="preserve"> E. A. Koutsos. 2007. Dietary thyroxine induces molt in chickens (</w:t>
      </w:r>
      <w:r w:rsidR="00EB1BF9" w:rsidRPr="00DF635B">
        <w:rPr>
          <w:i/>
          <w:lang w:eastAsia="en-AU"/>
        </w:rPr>
        <w:t>Gallus gallus domesticus</w:t>
      </w:r>
      <w:r w:rsidR="00EB1BF9" w:rsidRPr="00EB1BF9">
        <w:rPr>
          <w:lang w:eastAsia="en-AU"/>
        </w:rPr>
        <w:t>). Comparative Biochemistry and Physiology a-Molecular &amp; Integrative Physiology 146:335-341. doi 10.1016/j.cbpa.2006.11.015</w:t>
      </w:r>
    </w:p>
    <w:p w14:paraId="45535FCD" w14:textId="77777777" w:rsidR="00EB1BF9" w:rsidRPr="00EB1BF9" w:rsidRDefault="00EB1BF9" w:rsidP="00EB1BF9">
      <w:pPr>
        <w:rPr>
          <w:lang w:eastAsia="en-AU"/>
        </w:rPr>
      </w:pPr>
      <w:r w:rsidRPr="00EB1BF9">
        <w:rPr>
          <w:lang w:eastAsia="en-AU"/>
        </w:rPr>
        <w:t>Bell, D. D.</w:t>
      </w:r>
      <w:r w:rsidR="0077095C">
        <w:rPr>
          <w:lang w:eastAsia="en-AU"/>
        </w:rPr>
        <w:t>, and</w:t>
      </w:r>
      <w:r w:rsidRPr="00EB1BF9">
        <w:rPr>
          <w:lang w:eastAsia="en-AU"/>
        </w:rPr>
        <w:t xml:space="preserve"> D. R. Kuney. 2004. Farm evaluation of alternative molting procedures. Journal of Applied Poultry Research 13:673-679.</w:t>
      </w:r>
    </w:p>
    <w:p w14:paraId="2A8F116B" w14:textId="77777777" w:rsidR="00EB1BF9" w:rsidRPr="00EB1BF9" w:rsidRDefault="00EB1BF9" w:rsidP="00EB1BF9">
      <w:pPr>
        <w:rPr>
          <w:lang w:eastAsia="en-AU"/>
        </w:rPr>
      </w:pPr>
      <w:r w:rsidRPr="00EB1BF9">
        <w:rPr>
          <w:lang w:eastAsia="en-AU"/>
        </w:rPr>
        <w:t>Bennewitz, J., S. B</w:t>
      </w:r>
      <w:r w:rsidR="00ED6980" w:rsidRPr="00286A88">
        <w:rPr>
          <w:rFonts w:cs="Arial"/>
          <w:lang w:val="en-AU" w:eastAsia="en-GB"/>
        </w:rPr>
        <w:t>ő</w:t>
      </w:r>
      <w:r w:rsidRPr="00EB1BF9">
        <w:rPr>
          <w:lang w:eastAsia="en-AU"/>
        </w:rPr>
        <w:t>gelein, P. Stratz, M. Rodehutscord, H. P. Piepho, J. B. Kjaer</w:t>
      </w:r>
      <w:r w:rsidR="0077095C">
        <w:rPr>
          <w:lang w:eastAsia="en-AU"/>
        </w:rPr>
        <w:t>, and</w:t>
      </w:r>
      <w:r w:rsidRPr="00EB1BF9">
        <w:rPr>
          <w:lang w:eastAsia="en-AU"/>
        </w:rPr>
        <w:t xml:space="preserve"> W. Bessei. 2014. Genetic parameters for feather pecking and aggressive behavior in a large F-2-cross of laying hens using generalized linear mixed models. Poultry Science 93:810-817. doi 10.3382/ps.2013-03638</w:t>
      </w:r>
    </w:p>
    <w:p w14:paraId="4D9BF675" w14:textId="77777777" w:rsidR="00EB1BF9" w:rsidRPr="00EB1BF9" w:rsidRDefault="00EB1BF9" w:rsidP="00EB1BF9">
      <w:pPr>
        <w:rPr>
          <w:lang w:val="en-AU" w:eastAsia="en-AU"/>
        </w:rPr>
      </w:pPr>
      <w:r w:rsidRPr="00EB1BF9">
        <w:rPr>
          <w:lang w:val="en-AU" w:eastAsia="en-AU"/>
        </w:rPr>
        <w:t xml:space="preserve">Bessei, W., </w:t>
      </w:r>
      <w:r w:rsidR="00DF635B">
        <w:rPr>
          <w:lang w:val="en-AU" w:eastAsia="en-AU"/>
        </w:rPr>
        <w:t>H. Bauhaus</w:t>
      </w:r>
      <w:r w:rsidR="0077095C">
        <w:rPr>
          <w:lang w:val="en-AU" w:eastAsia="en-AU"/>
        </w:rPr>
        <w:t>, and</w:t>
      </w:r>
      <w:r w:rsidRPr="00EB1BF9">
        <w:rPr>
          <w:lang w:val="en-AU" w:eastAsia="en-AU"/>
        </w:rPr>
        <w:t xml:space="preserve"> </w:t>
      </w:r>
      <w:r w:rsidR="00DF635B">
        <w:rPr>
          <w:lang w:val="en-AU" w:eastAsia="en-AU"/>
        </w:rPr>
        <w:t xml:space="preserve">S. </w:t>
      </w:r>
      <w:r w:rsidRPr="00EB1BF9">
        <w:rPr>
          <w:lang w:val="en-AU" w:eastAsia="en-AU"/>
        </w:rPr>
        <w:t>B</w:t>
      </w:r>
      <w:r w:rsidR="00ED6980" w:rsidRPr="00286A88">
        <w:rPr>
          <w:rFonts w:cs="Arial"/>
          <w:lang w:val="en-AU" w:eastAsia="en-GB"/>
        </w:rPr>
        <w:t>ő</w:t>
      </w:r>
      <w:r w:rsidRPr="00EB1BF9">
        <w:rPr>
          <w:lang w:val="en-AU" w:eastAsia="en-AU"/>
        </w:rPr>
        <w:t>egelein. 2013</w:t>
      </w:r>
      <w:r w:rsidR="00DF635B">
        <w:rPr>
          <w:lang w:val="en-AU" w:eastAsia="en-AU"/>
        </w:rPr>
        <w:t>.</w:t>
      </w:r>
      <w:r w:rsidRPr="00EB1BF9">
        <w:rPr>
          <w:lang w:val="en-AU" w:eastAsia="en-AU"/>
        </w:rPr>
        <w:t xml:space="preserve"> The effect of selection for high and low feather pecking on aggression-related behaviours of laying hens. Archiv fur Geflugelkunde 77</w:t>
      </w:r>
      <w:r w:rsidR="00DF635B">
        <w:rPr>
          <w:lang w:val="en-AU" w:eastAsia="en-AU"/>
        </w:rPr>
        <w:t>:</w:t>
      </w:r>
      <w:r w:rsidRPr="00EB1BF9">
        <w:rPr>
          <w:lang w:val="en-AU" w:eastAsia="en-AU"/>
        </w:rPr>
        <w:t>10-14</w:t>
      </w:r>
      <w:r w:rsidR="000928BE">
        <w:rPr>
          <w:lang w:val="en-AU" w:eastAsia="en-AU"/>
        </w:rPr>
        <w:t>.</w:t>
      </w:r>
    </w:p>
    <w:p w14:paraId="734AD65E" w14:textId="77777777" w:rsidR="00EB1BF9" w:rsidRPr="00EB1BF9" w:rsidRDefault="00DF635B" w:rsidP="00EB1BF9">
      <w:pPr>
        <w:rPr>
          <w:lang w:eastAsia="en-AU"/>
        </w:rPr>
      </w:pPr>
      <w:r>
        <w:rPr>
          <w:lang w:eastAsia="en-AU"/>
        </w:rPr>
        <w:t>Bestman, M., P. Koene</w:t>
      </w:r>
      <w:r w:rsidR="0077095C">
        <w:rPr>
          <w:lang w:eastAsia="en-AU"/>
        </w:rPr>
        <w:t>, and</w:t>
      </w:r>
      <w:r w:rsidR="00EB1BF9" w:rsidRPr="00EB1BF9">
        <w:rPr>
          <w:lang w:eastAsia="en-AU"/>
        </w:rPr>
        <w:t xml:space="preserve"> J. P. Wagenaar. 2009. Influence of farm factors on the occurrence of feather pecking in organic reared hens and their predictability for feather pecking in the laying period. Applied Animal Behaviour Science 121:120-125. doi 10.1016/j.applanim.2009.09.007</w:t>
      </w:r>
    </w:p>
    <w:p w14:paraId="190EDB9F" w14:textId="77777777" w:rsidR="00EB1BF9" w:rsidRPr="00EB1BF9" w:rsidRDefault="00EB1BF9" w:rsidP="00EB1BF9">
      <w:pPr>
        <w:rPr>
          <w:lang w:eastAsia="en-AU"/>
        </w:rPr>
      </w:pPr>
      <w:r w:rsidRPr="00EB1BF9">
        <w:rPr>
          <w:lang w:eastAsia="en-AU"/>
        </w:rPr>
        <w:t>Bestman, M. W. P.</w:t>
      </w:r>
      <w:r w:rsidR="0077095C">
        <w:rPr>
          <w:lang w:eastAsia="en-AU"/>
        </w:rPr>
        <w:t>, and</w:t>
      </w:r>
      <w:r w:rsidRPr="00EB1BF9">
        <w:rPr>
          <w:lang w:eastAsia="en-AU"/>
        </w:rPr>
        <w:t xml:space="preserve"> J. P. Wagenaar. 2003. Farm level factors associated with feather pecking in organic laying hens. Livestock Production Science 80:133-140. doi 10.1016/s0301-6226(02)00314-7</w:t>
      </w:r>
    </w:p>
    <w:p w14:paraId="6A0C25D2" w14:textId="77777777" w:rsidR="00EB1BF9" w:rsidRPr="00EB1BF9" w:rsidRDefault="00EB1BF9" w:rsidP="00EB1BF9">
      <w:pPr>
        <w:rPr>
          <w:lang w:eastAsia="en-AU"/>
        </w:rPr>
      </w:pPr>
      <w:r w:rsidRPr="00EB1BF9">
        <w:rPr>
          <w:lang w:eastAsia="en-AU"/>
        </w:rPr>
        <w:t>Biasato, I., M. De Marco, L. Rotolo, M. Renna, C. Lussiana, S. Dabbou, M. T. Capucchio, E. Biasibetti, P. Costa, F. Gai, L. Pozzo, D. Dezzutto, S. Bergagna, S. Martinez, M. Tarantola, L. Gasco</w:t>
      </w:r>
      <w:r w:rsidR="0077095C">
        <w:rPr>
          <w:lang w:eastAsia="en-AU"/>
        </w:rPr>
        <w:t>, and</w:t>
      </w:r>
      <w:r w:rsidRPr="00EB1BF9">
        <w:rPr>
          <w:lang w:eastAsia="en-AU"/>
        </w:rPr>
        <w:t xml:space="preserve"> A. Schiavone. 2016. Effects of dietary </w:t>
      </w:r>
      <w:r w:rsidRPr="00C4034A">
        <w:rPr>
          <w:i/>
          <w:lang w:eastAsia="en-AU"/>
        </w:rPr>
        <w:t>Tenebrio molitor</w:t>
      </w:r>
      <w:r w:rsidRPr="00EB1BF9">
        <w:rPr>
          <w:lang w:eastAsia="en-AU"/>
        </w:rPr>
        <w:t xml:space="preserve"> meal inclusion in free-range chickens. Journal of Animal Physiology and Animal Nutrition 100:1104-1112. doi 10.1111/jpn.12487</w:t>
      </w:r>
    </w:p>
    <w:p w14:paraId="6F13D8EE" w14:textId="77777777" w:rsidR="00EB1BF9" w:rsidRPr="00EB1BF9" w:rsidRDefault="00EB1BF9" w:rsidP="00EB1BF9">
      <w:pPr>
        <w:rPr>
          <w:lang w:eastAsia="en-AU"/>
        </w:rPr>
      </w:pPr>
      <w:r w:rsidRPr="00EB1BF9">
        <w:rPr>
          <w:lang w:eastAsia="en-AU"/>
        </w:rPr>
        <w:t>Biggs, P. E., M. W. Douglas, K. W. Koelkebeck</w:t>
      </w:r>
      <w:r w:rsidR="0077095C">
        <w:rPr>
          <w:lang w:eastAsia="en-AU"/>
        </w:rPr>
        <w:t>, and</w:t>
      </w:r>
      <w:r w:rsidRPr="00EB1BF9">
        <w:rPr>
          <w:lang w:eastAsia="en-AU"/>
        </w:rPr>
        <w:t xml:space="preserve"> C. M. Parsons. 2003. Evaluation of nonfeed removal methods for molting progra</w:t>
      </w:r>
      <w:r w:rsidR="00DF635B">
        <w:rPr>
          <w:lang w:eastAsia="en-AU"/>
        </w:rPr>
        <w:t>ms. Poultry Science 82:749-753.</w:t>
      </w:r>
    </w:p>
    <w:p w14:paraId="67761506" w14:textId="77777777" w:rsidR="00EB1BF9" w:rsidRPr="00EB1BF9" w:rsidRDefault="00EB1BF9" w:rsidP="00EB1BF9">
      <w:pPr>
        <w:rPr>
          <w:lang w:eastAsia="en-AU"/>
        </w:rPr>
      </w:pPr>
      <w:r w:rsidRPr="00EB1BF9">
        <w:rPr>
          <w:lang w:eastAsia="en-AU"/>
        </w:rPr>
        <w:t>Bland, K., P. Utterback, K. Koelkebeck</w:t>
      </w:r>
      <w:r w:rsidR="0077095C">
        <w:rPr>
          <w:lang w:eastAsia="en-AU"/>
        </w:rPr>
        <w:t>, and</w:t>
      </w:r>
      <w:r w:rsidRPr="00EB1BF9">
        <w:rPr>
          <w:lang w:eastAsia="en-AU"/>
        </w:rPr>
        <w:t xml:space="preserve"> C. Parsons. 2014. Evaluation of feeding various sources of distillers dried grains with solubles in non-feed-withdrawal molt programs for laying hens. Poultry Science 93:1421-1427. doi 10.3382/ps.2013-03678</w:t>
      </w:r>
    </w:p>
    <w:p w14:paraId="38117D0B" w14:textId="77777777" w:rsidR="00EB1BF9" w:rsidRPr="00EB1BF9" w:rsidRDefault="00DF635B" w:rsidP="00EB1BF9">
      <w:pPr>
        <w:rPr>
          <w:lang w:eastAsia="en-AU"/>
        </w:rPr>
      </w:pPr>
      <w:r>
        <w:rPr>
          <w:lang w:eastAsia="en-AU"/>
        </w:rPr>
        <w:t>Blatchford, R. A., R. M. Fulton</w:t>
      </w:r>
      <w:r w:rsidR="0077095C">
        <w:rPr>
          <w:lang w:eastAsia="en-AU"/>
        </w:rPr>
        <w:t>, and</w:t>
      </w:r>
      <w:r w:rsidR="00EB1BF9" w:rsidRPr="00EB1BF9">
        <w:rPr>
          <w:lang w:eastAsia="en-AU"/>
        </w:rPr>
        <w:t xml:space="preserve"> J. A. Mench. 2016. The utilization of the Welfare Quality</w:t>
      </w:r>
      <w:r>
        <w:rPr>
          <w:rFonts w:cs="Arial"/>
          <w:lang w:eastAsia="en-AU"/>
        </w:rPr>
        <w:t>®</w:t>
      </w:r>
      <w:r w:rsidR="00EB1BF9" w:rsidRPr="00EB1BF9">
        <w:rPr>
          <w:lang w:eastAsia="en-AU"/>
        </w:rPr>
        <w:t xml:space="preserve"> assessment for determining laying hen condition across three housing systems. Poultry Science 95:154-163. doi 10.3382/ps/pev227</w:t>
      </w:r>
    </w:p>
    <w:p w14:paraId="11F6DE20" w14:textId="77777777" w:rsidR="00EB1BF9" w:rsidRPr="00EB1BF9" w:rsidRDefault="00EB1BF9" w:rsidP="00EB1BF9">
      <w:pPr>
        <w:rPr>
          <w:lang w:eastAsia="en-AU"/>
        </w:rPr>
      </w:pPr>
      <w:r w:rsidRPr="00EB1BF9">
        <w:rPr>
          <w:lang w:eastAsia="en-AU"/>
        </w:rPr>
        <w:t>B</w:t>
      </w:r>
      <w:r w:rsidR="00ED6980" w:rsidRPr="00286A88">
        <w:rPr>
          <w:rFonts w:cs="Arial"/>
          <w:lang w:val="en-AU" w:eastAsia="en-GB"/>
        </w:rPr>
        <w:t>ő</w:t>
      </w:r>
      <w:r w:rsidRPr="00EB1BF9">
        <w:rPr>
          <w:lang w:eastAsia="en-AU"/>
        </w:rPr>
        <w:t>gelein, S., D. M. Hurtado, J. B. Kjaer, M. A. Grashorn, J. Bennewitz</w:t>
      </w:r>
      <w:r w:rsidR="0077095C">
        <w:rPr>
          <w:lang w:eastAsia="en-AU"/>
        </w:rPr>
        <w:t>, and</w:t>
      </w:r>
      <w:r w:rsidRPr="00EB1BF9">
        <w:rPr>
          <w:lang w:eastAsia="en-AU"/>
        </w:rPr>
        <w:t xml:space="preserve"> W. Bessei. 2014. The phenotypic interrelationships between feather pecking, being feather pecked and fear criteria in White Leghorn lines selected for high and low severe feather pecking and their F2-crosses. European Poultry Science 78. doi 10.1399/eps.2014.50</w:t>
      </w:r>
    </w:p>
    <w:p w14:paraId="46B41DE8" w14:textId="77777777" w:rsidR="00EB1BF9" w:rsidRPr="00EB1BF9" w:rsidRDefault="00EB1BF9" w:rsidP="00EB1BF9">
      <w:pPr>
        <w:rPr>
          <w:lang w:eastAsia="en-AU"/>
        </w:rPr>
      </w:pPr>
      <w:r w:rsidRPr="00EB1BF9">
        <w:rPr>
          <w:lang w:eastAsia="en-AU"/>
        </w:rPr>
        <w:t>Bovera, F., F. Iannaccone, G. Piccolo, C. Di Meo, F. Russo, D. Piscitelli, Y. A. Attia, S. S. A. Hassan</w:t>
      </w:r>
      <w:r w:rsidR="0077095C">
        <w:rPr>
          <w:lang w:eastAsia="en-AU"/>
        </w:rPr>
        <w:t>, and</w:t>
      </w:r>
      <w:r w:rsidRPr="00EB1BF9">
        <w:rPr>
          <w:lang w:eastAsia="en-AU"/>
        </w:rPr>
        <w:t xml:space="preserve"> A. Nizza. 2014. Effect of group size on performance and egg quality of laying hens during 20 to 36 weeks of age. Italian Journal of Animal Science 13. doi 10.4081/ijas.2014.3148</w:t>
      </w:r>
    </w:p>
    <w:p w14:paraId="06EC3489" w14:textId="77777777" w:rsidR="00EB1BF9" w:rsidRPr="00EB1BF9" w:rsidRDefault="00EB1BF9" w:rsidP="00EB1BF9">
      <w:pPr>
        <w:rPr>
          <w:lang w:eastAsia="en-AU"/>
        </w:rPr>
      </w:pPr>
      <w:r w:rsidRPr="00EB1BF9">
        <w:rPr>
          <w:lang w:eastAsia="en-AU"/>
        </w:rPr>
        <w:t>Bozkurt, Z., I. Bayram, A. Bulbul</w:t>
      </w:r>
      <w:r w:rsidR="0077095C">
        <w:rPr>
          <w:lang w:eastAsia="en-AU"/>
        </w:rPr>
        <w:t>, and</w:t>
      </w:r>
      <w:r w:rsidRPr="00EB1BF9">
        <w:rPr>
          <w:lang w:eastAsia="en-AU"/>
        </w:rPr>
        <w:t xml:space="preserve"> O. C. Aktepe. 2008. Effects of Strain, Cage Density and Position on Immune Response to Vaccines and Blood Parameters in Layer Pullets. Kafkas Universitesi Veteriner Fakultesi Dergisi 14:191-204.</w:t>
      </w:r>
    </w:p>
    <w:p w14:paraId="2EA82AC9" w14:textId="77777777" w:rsidR="00EB1BF9" w:rsidRPr="00EB1BF9" w:rsidRDefault="00EB1BF9" w:rsidP="00EB1BF9">
      <w:pPr>
        <w:rPr>
          <w:lang w:eastAsia="en-AU"/>
        </w:rPr>
      </w:pPr>
      <w:r w:rsidRPr="00EB1BF9">
        <w:rPr>
          <w:lang w:eastAsia="en-AU"/>
        </w:rPr>
        <w:t>Bozkurt, Z., I. Bayram, I. Turkmenoglu</w:t>
      </w:r>
      <w:r w:rsidR="0077095C">
        <w:rPr>
          <w:lang w:eastAsia="en-AU"/>
        </w:rPr>
        <w:t>, and</w:t>
      </w:r>
      <w:r w:rsidRPr="00EB1BF9">
        <w:rPr>
          <w:lang w:eastAsia="en-AU"/>
        </w:rPr>
        <w:t xml:space="preserve"> O. C. Aktepe. 2006. Effects of cage density and cage position on performance of commercial layer pullets from four genotypes. Turkish Journal of Veterin</w:t>
      </w:r>
      <w:r w:rsidR="00DF635B">
        <w:rPr>
          <w:lang w:eastAsia="en-AU"/>
        </w:rPr>
        <w:t>ary &amp; Animal Sciences 30:17-28.</w:t>
      </w:r>
    </w:p>
    <w:p w14:paraId="047E31A5" w14:textId="77777777" w:rsidR="00EB1BF9" w:rsidRPr="00EB1BF9" w:rsidRDefault="00EB1BF9" w:rsidP="00EB1BF9">
      <w:pPr>
        <w:rPr>
          <w:lang w:eastAsia="en-AU"/>
        </w:rPr>
      </w:pPr>
      <w:r w:rsidRPr="00EB1BF9">
        <w:rPr>
          <w:lang w:eastAsia="en-AU"/>
        </w:rPr>
        <w:t>Breitsameter, L., M. Gauly</w:t>
      </w:r>
      <w:r w:rsidR="0077095C">
        <w:rPr>
          <w:lang w:eastAsia="en-AU"/>
        </w:rPr>
        <w:t>, and</w:t>
      </w:r>
      <w:r w:rsidRPr="00EB1BF9">
        <w:rPr>
          <w:lang w:eastAsia="en-AU"/>
        </w:rPr>
        <w:t xml:space="preserve"> J. Isselstein. 2014. Sward botanical composition and sward quality affect the foraging behaviour of free-range laying hens. Applied Animal Behaviour Science 150:27-36. doi 10.1016/j.applanim.2013.10.009</w:t>
      </w:r>
    </w:p>
    <w:p w14:paraId="78434B7F" w14:textId="77777777" w:rsidR="00EB1BF9" w:rsidRPr="00EB1BF9" w:rsidRDefault="00EB1BF9" w:rsidP="00EB1BF9">
      <w:pPr>
        <w:rPr>
          <w:lang w:eastAsia="en-AU"/>
        </w:rPr>
      </w:pPr>
      <w:r w:rsidRPr="00EB1BF9">
        <w:rPr>
          <w:lang w:eastAsia="en-AU"/>
        </w:rPr>
        <w:t>Brendler, C., S. Kipper</w:t>
      </w:r>
      <w:r w:rsidR="0077095C">
        <w:rPr>
          <w:lang w:eastAsia="en-AU"/>
        </w:rPr>
        <w:t>, and</w:t>
      </w:r>
      <w:r w:rsidRPr="00EB1BF9">
        <w:rPr>
          <w:lang w:eastAsia="en-AU"/>
        </w:rPr>
        <w:t xml:space="preserve"> L. Schrader. 2014. Vigilance and roosting behaviour of laying hens on different perch heights. Applied Animal Behaviour Science 157:93-99. doi 10.1016/j.applanim.2014.06.004</w:t>
      </w:r>
    </w:p>
    <w:p w14:paraId="48B44F0E" w14:textId="77777777" w:rsidR="00EB1BF9" w:rsidRPr="00EB1BF9" w:rsidRDefault="00DF635B" w:rsidP="00EB1BF9">
      <w:pPr>
        <w:rPr>
          <w:lang w:eastAsia="en-AU"/>
        </w:rPr>
      </w:pPr>
      <w:r>
        <w:rPr>
          <w:lang w:eastAsia="en-AU"/>
        </w:rPr>
        <w:t>Brendler, C.</w:t>
      </w:r>
      <w:r w:rsidR="0077095C">
        <w:rPr>
          <w:lang w:eastAsia="en-AU"/>
        </w:rPr>
        <w:t>, and</w:t>
      </w:r>
      <w:r w:rsidR="00EB1BF9" w:rsidRPr="00EB1BF9">
        <w:rPr>
          <w:lang w:eastAsia="en-AU"/>
        </w:rPr>
        <w:t xml:space="preserve"> L. Schrader. 2016. Perch use by laying hens in aviary systems. Applied Animal Behaviour Science 182:9-14. doi 10.1016/j.applanim.2016.06.002</w:t>
      </w:r>
    </w:p>
    <w:p w14:paraId="4849B91B" w14:textId="77777777" w:rsidR="00EB1BF9" w:rsidRPr="00EB1BF9" w:rsidRDefault="00EB1BF9" w:rsidP="00EB1BF9">
      <w:pPr>
        <w:rPr>
          <w:lang w:eastAsia="en-AU"/>
        </w:rPr>
      </w:pPr>
      <w:r w:rsidRPr="00EB1BF9">
        <w:rPr>
          <w:lang w:eastAsia="en-AU"/>
        </w:rPr>
        <w:t>Briese, A.</w:t>
      </w:r>
      <w:r w:rsidR="0077095C">
        <w:rPr>
          <w:lang w:eastAsia="en-AU"/>
        </w:rPr>
        <w:t>, and</w:t>
      </w:r>
      <w:r w:rsidRPr="00EB1BF9">
        <w:rPr>
          <w:lang w:eastAsia="en-AU"/>
        </w:rPr>
        <w:t xml:space="preserve"> J. Hartung. 2009. Measurement of floor space allowance of Lohmann Silver hens using biometric data. Berliner Und Munchener Tierarztliche Wochenschrift 122:241-248. doi 10.2376/0005-9366-122-241</w:t>
      </w:r>
    </w:p>
    <w:p w14:paraId="4F4F25A9" w14:textId="77777777" w:rsidR="00EB1BF9" w:rsidRPr="00EB1BF9" w:rsidRDefault="00EB1BF9" w:rsidP="00EB1BF9">
      <w:pPr>
        <w:rPr>
          <w:lang w:eastAsia="en-AU"/>
        </w:rPr>
      </w:pPr>
      <w:r w:rsidRPr="00EB1BF9">
        <w:rPr>
          <w:lang w:eastAsia="en-AU"/>
        </w:rPr>
        <w:t>Briese, A.</w:t>
      </w:r>
      <w:r w:rsidR="0077095C">
        <w:rPr>
          <w:lang w:eastAsia="en-AU"/>
        </w:rPr>
        <w:t>, and</w:t>
      </w:r>
      <w:r w:rsidRPr="00EB1BF9">
        <w:rPr>
          <w:lang w:eastAsia="en-AU"/>
        </w:rPr>
        <w:t xml:space="preserve"> B. Spindler. 2013. Discussion of actual legal minimum requirements for feeder space and perch length in laying hen husbandry in the light of the body widths measured in Lohmann Selected Leghorn and Lohmann Brown laying hens. Berliner Und Munchener Tierarztliche Wochenschrift 126:163-168. doi 10.2376/0005-9366-126-163</w:t>
      </w:r>
    </w:p>
    <w:p w14:paraId="2A64B0F8" w14:textId="77777777" w:rsidR="00EB1BF9" w:rsidRPr="00EB1BF9" w:rsidRDefault="00DF635B" w:rsidP="00EB1BF9">
      <w:pPr>
        <w:rPr>
          <w:lang w:val="en-AU" w:eastAsia="en-AU"/>
        </w:rPr>
      </w:pPr>
      <w:r>
        <w:rPr>
          <w:lang w:val="en-AU" w:eastAsia="en-AU"/>
        </w:rPr>
        <w:t xml:space="preserve">Bright, A. </w:t>
      </w:r>
      <w:r w:rsidR="00EB1BF9" w:rsidRPr="00EB1BF9">
        <w:rPr>
          <w:lang w:val="en-AU" w:eastAsia="en-AU"/>
        </w:rPr>
        <w:t>2007</w:t>
      </w:r>
      <w:r>
        <w:rPr>
          <w:lang w:val="en-AU" w:eastAsia="en-AU"/>
        </w:rPr>
        <w:t>.</w:t>
      </w:r>
      <w:r w:rsidR="00EB1BF9" w:rsidRPr="00EB1BF9">
        <w:rPr>
          <w:lang w:val="en-AU" w:eastAsia="en-AU"/>
        </w:rPr>
        <w:t xml:space="preserve"> Plumage colour and feather pecking in laying hens. British Poultry Science 48</w:t>
      </w:r>
      <w:r>
        <w:rPr>
          <w:lang w:val="en-AU" w:eastAsia="en-AU"/>
        </w:rPr>
        <w:t>:</w:t>
      </w:r>
      <w:r w:rsidR="00EB1BF9" w:rsidRPr="00EB1BF9">
        <w:rPr>
          <w:lang w:val="en-AU" w:eastAsia="en-AU"/>
        </w:rPr>
        <w:t>253-263</w:t>
      </w:r>
      <w:r>
        <w:rPr>
          <w:lang w:val="en-AU" w:eastAsia="en-AU"/>
        </w:rPr>
        <w:t>.</w:t>
      </w:r>
    </w:p>
    <w:p w14:paraId="73E5D522" w14:textId="77777777" w:rsidR="00EB1BF9" w:rsidRPr="00EB1BF9" w:rsidRDefault="00EB1BF9" w:rsidP="00EB1BF9">
      <w:pPr>
        <w:rPr>
          <w:lang w:eastAsia="en-AU"/>
        </w:rPr>
      </w:pPr>
      <w:r w:rsidRPr="00EB1BF9">
        <w:rPr>
          <w:lang w:eastAsia="en-AU"/>
        </w:rPr>
        <w:t>Bright, A. 2008. Vocalisations and acoustic parameters of flock noise from feather pecking and non-feather pecking laying flocks. British Poultry Science 49:241-249. doi 10.1080/00071660802094172</w:t>
      </w:r>
    </w:p>
    <w:p w14:paraId="532E7EA6" w14:textId="77777777" w:rsidR="00EB1BF9" w:rsidRPr="00EB1BF9" w:rsidRDefault="00EB1BF9" w:rsidP="00EB1BF9">
      <w:pPr>
        <w:rPr>
          <w:lang w:eastAsia="en-AU"/>
        </w:rPr>
      </w:pPr>
      <w:r w:rsidRPr="00EB1BF9">
        <w:rPr>
          <w:lang w:eastAsia="en-AU"/>
        </w:rPr>
        <w:t>Bright, A., D. Brass, J. Clachan, K. A. Drake</w:t>
      </w:r>
      <w:r w:rsidR="0077095C">
        <w:rPr>
          <w:lang w:eastAsia="en-AU"/>
        </w:rPr>
        <w:t>, and</w:t>
      </w:r>
      <w:r w:rsidRPr="00EB1BF9">
        <w:rPr>
          <w:lang w:eastAsia="en-AU"/>
        </w:rPr>
        <w:t xml:space="preserve"> A. D. Joret. 2011. Canopy cover is correlated with reduced injurious feather pecking in commercial flocks of free-range laying h</w:t>
      </w:r>
      <w:r w:rsidR="00DF635B">
        <w:rPr>
          <w:lang w:eastAsia="en-AU"/>
        </w:rPr>
        <w:t>ens. Animal Welfare 20:329-338.</w:t>
      </w:r>
    </w:p>
    <w:p w14:paraId="39BD858A" w14:textId="77777777" w:rsidR="00EB1BF9" w:rsidRPr="00EB1BF9" w:rsidRDefault="00EB1BF9" w:rsidP="00EB1BF9">
      <w:pPr>
        <w:rPr>
          <w:lang w:eastAsia="en-AU"/>
        </w:rPr>
      </w:pPr>
      <w:r w:rsidRPr="00EB1BF9">
        <w:rPr>
          <w:lang w:eastAsia="en-AU"/>
        </w:rPr>
        <w:t>Bright, A., R. Gill</w:t>
      </w:r>
      <w:r w:rsidR="0077095C">
        <w:rPr>
          <w:lang w:eastAsia="en-AU"/>
        </w:rPr>
        <w:t>, and</w:t>
      </w:r>
      <w:r w:rsidRPr="00EB1BF9">
        <w:rPr>
          <w:lang w:eastAsia="en-AU"/>
        </w:rPr>
        <w:t xml:space="preserve"> T. H. Willings. 2016. Tree cover and injurious feather-pecking in commercial flocks of free-range laying hens: a follow up. Animal Welfare 25:1-5. doi 10.7120/09627286.25.1.001</w:t>
      </w:r>
    </w:p>
    <w:p w14:paraId="36B8D3CD" w14:textId="77777777" w:rsidR="00EB1BF9" w:rsidRPr="00EB1BF9" w:rsidRDefault="00EB1BF9" w:rsidP="00EB1BF9">
      <w:pPr>
        <w:rPr>
          <w:lang w:eastAsia="en-AU"/>
        </w:rPr>
      </w:pPr>
      <w:r w:rsidRPr="00EB1BF9">
        <w:rPr>
          <w:lang w:eastAsia="en-AU"/>
        </w:rPr>
        <w:t>Bright, A.</w:t>
      </w:r>
      <w:r w:rsidR="0077095C">
        <w:rPr>
          <w:lang w:eastAsia="en-AU"/>
        </w:rPr>
        <w:t>, and</w:t>
      </w:r>
      <w:r w:rsidRPr="00EB1BF9">
        <w:rPr>
          <w:lang w:eastAsia="en-AU"/>
        </w:rPr>
        <w:t xml:space="preserve"> E. A. Johnson. 2011. Smothering in commercial free-range laying hens: a preliminary investigation. Veterinary Record 168. doi 10.1136/vr.c7462</w:t>
      </w:r>
    </w:p>
    <w:p w14:paraId="6BA2430D" w14:textId="77777777" w:rsidR="00EB1BF9" w:rsidRPr="00EB1BF9" w:rsidRDefault="00EB1BF9" w:rsidP="00EB1BF9">
      <w:pPr>
        <w:rPr>
          <w:lang w:eastAsia="en-AU"/>
        </w:rPr>
      </w:pPr>
      <w:r w:rsidRPr="00EB1BF9">
        <w:rPr>
          <w:lang w:eastAsia="en-AU"/>
        </w:rPr>
        <w:t>Buchwalder, T.</w:t>
      </w:r>
      <w:r w:rsidR="0077095C">
        <w:rPr>
          <w:lang w:eastAsia="en-AU"/>
        </w:rPr>
        <w:t>, and</w:t>
      </w:r>
      <w:r w:rsidRPr="00EB1BF9">
        <w:rPr>
          <w:lang w:eastAsia="en-AU"/>
        </w:rPr>
        <w:t xml:space="preserve"> E. K. Froehlich. 2011. Assessment of colony nests for laying hens in conjunction with the authorization procedure. Applied Animal Behaviour Science 134:64-71. doi 10.1016/j.applanim.2011.06.005</w:t>
      </w:r>
    </w:p>
    <w:p w14:paraId="4AF332EC" w14:textId="77777777" w:rsidR="00EB1BF9" w:rsidRPr="00EB1BF9" w:rsidRDefault="00EB1BF9" w:rsidP="00EB1BF9">
      <w:pPr>
        <w:rPr>
          <w:lang w:eastAsia="en-AU"/>
        </w:rPr>
      </w:pPr>
      <w:r w:rsidRPr="00EB1BF9">
        <w:rPr>
          <w:lang w:eastAsia="en-AU"/>
        </w:rPr>
        <w:t>Buitenhuis, A. J.</w:t>
      </w:r>
      <w:r w:rsidR="0077095C">
        <w:rPr>
          <w:lang w:eastAsia="en-AU"/>
        </w:rPr>
        <w:t>, and</w:t>
      </w:r>
      <w:r w:rsidRPr="00EB1BF9">
        <w:rPr>
          <w:lang w:eastAsia="en-AU"/>
        </w:rPr>
        <w:t xml:space="preserve"> J. B. Kjaer. 2008. Long term selection for reduced or increased pecking behaviour in laying hens. </w:t>
      </w:r>
      <w:r w:rsidR="00E12232">
        <w:rPr>
          <w:lang w:eastAsia="en-AU"/>
        </w:rPr>
        <w:t>World’s</w:t>
      </w:r>
      <w:r w:rsidRPr="00EB1BF9">
        <w:rPr>
          <w:lang w:eastAsia="en-AU"/>
        </w:rPr>
        <w:t xml:space="preserve"> Poultry Science Journal 64:477-487. doi 10.1017/s0043933908000159</w:t>
      </w:r>
    </w:p>
    <w:p w14:paraId="6EF56278" w14:textId="77777777" w:rsidR="00EB1BF9" w:rsidRDefault="00EB1BF9" w:rsidP="00EB1BF9">
      <w:pPr>
        <w:rPr>
          <w:lang w:eastAsia="en-AU"/>
        </w:rPr>
      </w:pPr>
      <w:r w:rsidRPr="00EB1BF9">
        <w:rPr>
          <w:lang w:eastAsia="en-AU"/>
        </w:rPr>
        <w:t>Campbell, D. L. M., S. L. Goodwin, M. M. Makagon, J. C. Swanson</w:t>
      </w:r>
      <w:r w:rsidR="0077095C">
        <w:rPr>
          <w:lang w:eastAsia="en-AU"/>
        </w:rPr>
        <w:t>, and</w:t>
      </w:r>
      <w:r w:rsidRPr="00EB1BF9">
        <w:rPr>
          <w:lang w:eastAsia="en-AU"/>
        </w:rPr>
        <w:t xml:space="preserve"> J. M. Siegford. 2016a. Failed landings after laying hen flight in a commercial aviary over two flock cycles. Poultry Science 95:188-197. doi 10.3382/ps/pev270</w:t>
      </w:r>
    </w:p>
    <w:p w14:paraId="56CF9485" w14:textId="77777777" w:rsidR="00E03C6C" w:rsidRDefault="00E03C6C" w:rsidP="00EB1BF9">
      <w:pPr>
        <w:rPr>
          <w:lang w:eastAsia="en-AU"/>
        </w:rPr>
      </w:pPr>
      <w:r w:rsidRPr="00E03C6C">
        <w:rPr>
          <w:lang w:eastAsia="en-AU"/>
        </w:rPr>
        <w:t>Campbell, D. L. M., M. M. Makagon, J. C. Swanson, and J. M. Siegford. 2016</w:t>
      </w:r>
      <w:r>
        <w:rPr>
          <w:lang w:eastAsia="en-AU"/>
        </w:rPr>
        <w:t>b</w:t>
      </w:r>
      <w:r w:rsidRPr="00E03C6C">
        <w:rPr>
          <w:lang w:eastAsia="en-AU"/>
        </w:rPr>
        <w:t>. Perch use by laying hens in a commercial aviary. Poultry Science 95:1736-1742. doi 10.3382/ps/pew111</w:t>
      </w:r>
    </w:p>
    <w:p w14:paraId="7481A720" w14:textId="77777777" w:rsidR="00E03C6C" w:rsidRPr="00EB1BF9" w:rsidRDefault="00E03C6C" w:rsidP="00EB1BF9">
      <w:pPr>
        <w:rPr>
          <w:lang w:eastAsia="en-AU"/>
        </w:rPr>
      </w:pPr>
      <w:r w:rsidRPr="00E03C6C">
        <w:rPr>
          <w:lang w:eastAsia="en-AU"/>
        </w:rPr>
        <w:t>Campbell, D. L. M., M. M. Makagon, J. C. Swanson, and J. M. Siegford. 2016</w:t>
      </w:r>
      <w:r>
        <w:rPr>
          <w:lang w:eastAsia="en-AU"/>
        </w:rPr>
        <w:t>c</w:t>
      </w:r>
      <w:r w:rsidRPr="00E03C6C">
        <w:rPr>
          <w:lang w:eastAsia="en-AU"/>
        </w:rPr>
        <w:t>. Litter use by laying hens in a commercial aviary: dust bathing and piling. Poultry Science 95:164-175. doi 10.3382/ps/pev183</w:t>
      </w:r>
    </w:p>
    <w:p w14:paraId="2CF57DA6" w14:textId="77777777" w:rsidR="00EB1BF9" w:rsidRPr="00EB1BF9" w:rsidRDefault="00EB1BF9" w:rsidP="00EB1BF9">
      <w:pPr>
        <w:rPr>
          <w:lang w:eastAsia="en-AU"/>
        </w:rPr>
      </w:pPr>
      <w:r w:rsidRPr="00EB1BF9">
        <w:rPr>
          <w:lang w:eastAsia="en-AU"/>
        </w:rPr>
        <w:t>Campbell, D. L. M., G. N. Hinch, T. R. Dyall, L. Warin, B. A. Little</w:t>
      </w:r>
      <w:r w:rsidR="0077095C">
        <w:rPr>
          <w:lang w:eastAsia="en-AU"/>
        </w:rPr>
        <w:t>, and</w:t>
      </w:r>
      <w:r w:rsidRPr="00EB1BF9">
        <w:rPr>
          <w:lang w:eastAsia="en-AU"/>
        </w:rPr>
        <w:t xml:space="preserve"> C. Lee. 2017. Outdoor stocking densit</w:t>
      </w:r>
      <w:r w:rsidR="00DF635B">
        <w:rPr>
          <w:lang w:eastAsia="en-AU"/>
        </w:rPr>
        <w:t>y</w:t>
      </w:r>
      <w:r w:rsidRPr="00EB1BF9">
        <w:rPr>
          <w:lang w:eastAsia="en-AU"/>
        </w:rPr>
        <w:t xml:space="preserve"> in free-range laying hens: radio-frequency identification of impacts on range use. Animal 11:121-130. doi 10.1017/s1751731116001154</w:t>
      </w:r>
    </w:p>
    <w:p w14:paraId="60E20911" w14:textId="77777777" w:rsidR="00EB1BF9" w:rsidRPr="00EB1BF9" w:rsidRDefault="00EB1BF9" w:rsidP="00EB1BF9">
      <w:pPr>
        <w:rPr>
          <w:lang w:eastAsia="en-AU"/>
        </w:rPr>
      </w:pPr>
      <w:r w:rsidRPr="00EB1BF9">
        <w:rPr>
          <w:lang w:eastAsia="en-AU"/>
        </w:rPr>
        <w:t>Campo, J. L., R. Cabezas, O. Torres, I. G. Briones</w:t>
      </w:r>
      <w:r w:rsidR="0077095C">
        <w:rPr>
          <w:lang w:eastAsia="en-AU"/>
        </w:rPr>
        <w:t>, and</w:t>
      </w:r>
      <w:r w:rsidRPr="00EB1BF9">
        <w:rPr>
          <w:lang w:eastAsia="en-AU"/>
        </w:rPr>
        <w:t xml:space="preserve"> C. Alonso. 2013. Egg quality and welfare of white-, tinted-, and brown-shell egg layers in three different non-cage housing systems. Archi</w:t>
      </w:r>
      <w:r w:rsidR="009E2FAE">
        <w:rPr>
          <w:lang w:eastAsia="en-AU"/>
        </w:rPr>
        <w:t>v Fur Geflugelkunde 77:179-188.</w:t>
      </w:r>
    </w:p>
    <w:p w14:paraId="5A82C11E" w14:textId="77777777" w:rsidR="00EB1BF9" w:rsidRPr="00EB1BF9" w:rsidRDefault="00EB1BF9" w:rsidP="00EB1BF9">
      <w:pPr>
        <w:rPr>
          <w:lang w:eastAsia="en-AU"/>
        </w:rPr>
      </w:pPr>
      <w:r w:rsidRPr="00EB1BF9">
        <w:rPr>
          <w:lang w:eastAsia="en-AU"/>
        </w:rPr>
        <w:t>Campo, J. L.</w:t>
      </w:r>
      <w:r w:rsidR="0077095C">
        <w:rPr>
          <w:lang w:eastAsia="en-AU"/>
        </w:rPr>
        <w:t>, and</w:t>
      </w:r>
      <w:r w:rsidRPr="00EB1BF9">
        <w:rPr>
          <w:lang w:eastAsia="en-AU"/>
        </w:rPr>
        <w:t xml:space="preserve"> S. G. Davila. 2002. Effect of photoperiod on heterophil to lymphocyte ratio and tonic immobility duration of chickens</w:t>
      </w:r>
      <w:r w:rsidR="009E2FAE">
        <w:rPr>
          <w:lang w:eastAsia="en-AU"/>
        </w:rPr>
        <w:t>. Poultry Science 81:1637-1639.</w:t>
      </w:r>
    </w:p>
    <w:p w14:paraId="653783F9" w14:textId="77777777" w:rsidR="00EB1BF9" w:rsidRPr="00EB1BF9" w:rsidRDefault="00EB1BF9" w:rsidP="00EB1BF9">
      <w:pPr>
        <w:rPr>
          <w:lang w:eastAsia="en-AU"/>
        </w:rPr>
      </w:pPr>
      <w:r w:rsidRPr="00EB1BF9">
        <w:rPr>
          <w:lang w:eastAsia="en-AU"/>
        </w:rPr>
        <w:t>Campo, J. L., M. G. Gil</w:t>
      </w:r>
      <w:r w:rsidR="0077095C">
        <w:rPr>
          <w:lang w:eastAsia="en-AU"/>
        </w:rPr>
        <w:t>, and</w:t>
      </w:r>
      <w:r w:rsidRPr="00EB1BF9">
        <w:rPr>
          <w:lang w:eastAsia="en-AU"/>
        </w:rPr>
        <w:t xml:space="preserve"> S. G. Davila. 2005. Effects of specific noise and music stimuli on stress and fear levels of laying hens of several breeds. Applied Animal Behaviour Science 91:75-84. doi 10.1016/j.applanim.2004.08.028</w:t>
      </w:r>
    </w:p>
    <w:p w14:paraId="1DCECCC3" w14:textId="77777777" w:rsidR="00EB1BF9" w:rsidRPr="00EB1BF9" w:rsidRDefault="00EB1BF9" w:rsidP="00EB1BF9">
      <w:pPr>
        <w:rPr>
          <w:lang w:eastAsia="en-AU"/>
        </w:rPr>
      </w:pPr>
      <w:r w:rsidRPr="00EB1BF9">
        <w:rPr>
          <w:lang w:eastAsia="en-AU"/>
        </w:rPr>
        <w:t>Campo, J. L.</w:t>
      </w:r>
      <w:r w:rsidR="0077095C">
        <w:rPr>
          <w:lang w:eastAsia="en-AU"/>
        </w:rPr>
        <w:t>, and</w:t>
      </w:r>
      <w:r w:rsidRPr="00EB1BF9">
        <w:rPr>
          <w:lang w:eastAsia="en-AU"/>
        </w:rPr>
        <w:t xml:space="preserve"> M. T. Prieto. 2009. Effects of moist litter, perches, and droppings pit on fluctuating asymmetry, tonic immobility duration, and heterophil-to-lymphocyte ratio of laying hens. Poultry Science 88:708-713. doi 10.3382/ps.2008-00435</w:t>
      </w:r>
    </w:p>
    <w:p w14:paraId="21921E7F" w14:textId="77777777" w:rsidR="00EB1BF9" w:rsidRPr="00EB1BF9" w:rsidRDefault="00EB1BF9" w:rsidP="00EB1BF9">
      <w:pPr>
        <w:rPr>
          <w:lang w:eastAsia="en-AU"/>
        </w:rPr>
      </w:pPr>
      <w:r w:rsidRPr="00EB1BF9">
        <w:rPr>
          <w:lang w:eastAsia="en-AU"/>
        </w:rPr>
        <w:t>Campo, J. L., M. T. Prieto</w:t>
      </w:r>
      <w:r w:rsidR="0077095C">
        <w:rPr>
          <w:lang w:eastAsia="en-AU"/>
        </w:rPr>
        <w:t>, and</w:t>
      </w:r>
      <w:r w:rsidRPr="00EB1BF9">
        <w:rPr>
          <w:lang w:eastAsia="en-AU"/>
        </w:rPr>
        <w:t xml:space="preserve"> S. G. Davila. 2008. Effects of housing system and cold stress on heterophil-to-lymphocyte ratio, fluctuating asymmetry, and tonic immobility duration of chickens. Poultry Science 87:621-626. doi 10.3382/ps.2007-00466</w:t>
      </w:r>
    </w:p>
    <w:p w14:paraId="7DA8B6D0" w14:textId="77777777" w:rsidR="00EB1BF9" w:rsidRPr="00EB1BF9" w:rsidRDefault="00EB1BF9" w:rsidP="00EB1BF9">
      <w:pPr>
        <w:rPr>
          <w:lang w:eastAsia="en-AU"/>
        </w:rPr>
      </w:pPr>
      <w:r w:rsidRPr="00EB1BF9">
        <w:rPr>
          <w:lang w:eastAsia="en-AU"/>
        </w:rPr>
        <w:t>Carmichael, N. L., A. W. Walker</w:t>
      </w:r>
      <w:r w:rsidR="0077095C">
        <w:rPr>
          <w:lang w:eastAsia="en-AU"/>
        </w:rPr>
        <w:t>, and</w:t>
      </w:r>
      <w:r w:rsidRPr="00EB1BF9">
        <w:rPr>
          <w:lang w:eastAsia="en-AU"/>
        </w:rPr>
        <w:t xml:space="preserve"> B. O. Hughes. 1999. Laying hens in large </w:t>
      </w:r>
      <w:r w:rsidR="009E2FAE">
        <w:rPr>
          <w:lang w:eastAsia="en-AU"/>
        </w:rPr>
        <w:t>flocks</w:t>
      </w:r>
      <w:r w:rsidRPr="00EB1BF9">
        <w:rPr>
          <w:lang w:eastAsia="en-AU"/>
        </w:rPr>
        <w:t xml:space="preserve"> in a perchery system: influence of stocking density on location, use of resources and behaviour. Brit</w:t>
      </w:r>
      <w:r w:rsidR="009E2FAE">
        <w:rPr>
          <w:lang w:eastAsia="en-AU"/>
        </w:rPr>
        <w:t>ish Poultry Science 40:165-176.</w:t>
      </w:r>
    </w:p>
    <w:p w14:paraId="4C7A511B" w14:textId="77777777" w:rsidR="00EB1BF9" w:rsidRPr="00EB1BF9" w:rsidRDefault="00EB1BF9" w:rsidP="00EB1BF9">
      <w:pPr>
        <w:rPr>
          <w:lang w:eastAsia="en-AU"/>
        </w:rPr>
      </w:pPr>
      <w:r w:rsidRPr="00EB1BF9">
        <w:rPr>
          <w:lang w:eastAsia="en-AU"/>
        </w:rPr>
        <w:t>Carruthers, C., T. Gabrush, K. Schwean-Lardner, T. D. Knezacek, H. L. Classen</w:t>
      </w:r>
      <w:r w:rsidR="0077095C">
        <w:rPr>
          <w:lang w:eastAsia="en-AU"/>
        </w:rPr>
        <w:t>, and</w:t>
      </w:r>
      <w:r w:rsidRPr="00EB1BF9">
        <w:rPr>
          <w:lang w:eastAsia="en-AU"/>
        </w:rPr>
        <w:t xml:space="preserve"> C. Bennett. 2012. On-farm survey of beak characteristics in White Leghorns as a result of hot blade trimming or infrared beak treatment. Journal of Applied Poultry Research 21:645-650. doi 10.3382/japr.2011-00433</w:t>
      </w:r>
    </w:p>
    <w:p w14:paraId="0B866948" w14:textId="77777777" w:rsidR="00EB1BF9" w:rsidRPr="00EB1BF9" w:rsidRDefault="00EB1BF9" w:rsidP="00EB1BF9">
      <w:pPr>
        <w:rPr>
          <w:lang w:eastAsia="en-AU"/>
        </w:rPr>
      </w:pPr>
      <w:r w:rsidRPr="00EB1BF9">
        <w:rPr>
          <w:lang w:eastAsia="en-AU"/>
        </w:rPr>
        <w:t>Cetin, E., B. K. Guclu</w:t>
      </w:r>
      <w:r w:rsidR="0077095C">
        <w:rPr>
          <w:lang w:eastAsia="en-AU"/>
        </w:rPr>
        <w:t>, and</w:t>
      </w:r>
      <w:r w:rsidRPr="00EB1BF9">
        <w:rPr>
          <w:lang w:eastAsia="en-AU"/>
        </w:rPr>
        <w:t xml:space="preserve"> N. Cetin. 2011. Effect of Dietary Humate and Organic Acid Supplementation on Social Stress Induced by High Stocking Density in Laying Hens. Journal of Animal and Veterinary Advances 10:2402-2407.</w:t>
      </w:r>
    </w:p>
    <w:p w14:paraId="3E8194EC" w14:textId="77777777" w:rsidR="00062B18" w:rsidRPr="00EB1BF9" w:rsidRDefault="00062B18" w:rsidP="00062B18">
      <w:pPr>
        <w:rPr>
          <w:lang w:eastAsia="en-AU"/>
        </w:rPr>
      </w:pPr>
      <w:r w:rsidRPr="00EB1BF9">
        <w:rPr>
          <w:lang w:eastAsia="en-AU"/>
        </w:rPr>
        <w:t>Chai, L. L., J. Q. Ni, Y. Chen, C. A. Diehl, A. J. Heber</w:t>
      </w:r>
      <w:r>
        <w:rPr>
          <w:lang w:eastAsia="en-AU"/>
        </w:rPr>
        <w:t>, and</w:t>
      </w:r>
      <w:r w:rsidRPr="00EB1BF9">
        <w:rPr>
          <w:lang w:eastAsia="en-AU"/>
        </w:rPr>
        <w:t xml:space="preserve"> T. T. Lim. 2010. Assessment of Long-Term Gas Sampling Design at Two Commercial Manure-Belt Layer Barns. Journal of the Air &amp; Waste Management Association 60:702-710. doi 10.3155/1047-3289.60.6.702</w:t>
      </w:r>
    </w:p>
    <w:p w14:paraId="0C3AEA32" w14:textId="77777777" w:rsidR="00EB1BF9" w:rsidRPr="00EB1BF9" w:rsidRDefault="00EB1BF9" w:rsidP="00EB1BF9">
      <w:pPr>
        <w:rPr>
          <w:lang w:eastAsia="en-AU"/>
        </w:rPr>
      </w:pPr>
      <w:r w:rsidRPr="00EB1BF9">
        <w:rPr>
          <w:lang w:eastAsia="en-AU"/>
        </w:rPr>
        <w:t>Chai, L., J. Q. Ni, C. A. Diehl, I. Kilic, A. J. Heber, Y. Chen, E. L. Cortus, B. W. Bogan, T. T. Lim, J. C. Ramirez-Dorronsoro</w:t>
      </w:r>
      <w:r w:rsidR="0077095C">
        <w:rPr>
          <w:lang w:eastAsia="en-AU"/>
        </w:rPr>
        <w:t>, and</w:t>
      </w:r>
      <w:r w:rsidRPr="00EB1BF9">
        <w:rPr>
          <w:lang w:eastAsia="en-AU"/>
        </w:rPr>
        <w:t xml:space="preserve"> L. Chen. 2012. Ventilation rates in large commercial layer hen houses with two-year continuous monitoring. British Poultry Science 53:19-31. doi 10.1080/00071668.2011.643766</w:t>
      </w:r>
    </w:p>
    <w:p w14:paraId="4B372614" w14:textId="77777777" w:rsidR="00EB1BF9" w:rsidRPr="00EB1BF9" w:rsidRDefault="00EB1BF9" w:rsidP="00EB1BF9">
      <w:pPr>
        <w:rPr>
          <w:lang w:eastAsia="en-AU"/>
        </w:rPr>
      </w:pPr>
      <w:r w:rsidRPr="00EB1BF9">
        <w:rPr>
          <w:lang w:eastAsia="en-AU"/>
        </w:rPr>
        <w:t>Channing, C. E., B. O. Hughes</w:t>
      </w:r>
      <w:r w:rsidR="0077095C">
        <w:rPr>
          <w:lang w:eastAsia="en-AU"/>
        </w:rPr>
        <w:t>, and</w:t>
      </w:r>
      <w:r w:rsidRPr="00EB1BF9">
        <w:rPr>
          <w:lang w:eastAsia="en-AU"/>
        </w:rPr>
        <w:t xml:space="preserve"> A. W. Walker. 2001. Spatial distribution and behaviour of laying hens housed in an alternative system. Applied Animal Behaviour Science 72:335-345. doi 10.1016/s0168-1591(00)00206-9</w:t>
      </w:r>
    </w:p>
    <w:p w14:paraId="1DBCA3A9" w14:textId="77777777" w:rsidR="00EB1BF9" w:rsidRPr="00EB1BF9" w:rsidRDefault="00EB1BF9" w:rsidP="00EB1BF9">
      <w:pPr>
        <w:rPr>
          <w:lang w:eastAsia="en-AU"/>
        </w:rPr>
      </w:pPr>
      <w:r w:rsidRPr="00EB1BF9">
        <w:rPr>
          <w:lang w:eastAsia="en-AU"/>
        </w:rPr>
        <w:t>Chen, B. L., K. L. Haith</w:t>
      </w:r>
      <w:r w:rsidR="0077095C">
        <w:rPr>
          <w:lang w:eastAsia="en-AU"/>
        </w:rPr>
        <w:t>, and</w:t>
      </w:r>
      <w:r w:rsidRPr="00EB1BF9">
        <w:rPr>
          <w:lang w:eastAsia="en-AU"/>
        </w:rPr>
        <w:t xml:space="preserve"> B. A. Mullens. 2011. Beak condition drives abundance and grooming-mediated competitive asymmetry in a poultry ectoparasite community. Parasitology 138:748-757. doi 10.1017/s0031182011000229</w:t>
      </w:r>
    </w:p>
    <w:p w14:paraId="68DF4E6D" w14:textId="77777777" w:rsidR="00EB1BF9" w:rsidRPr="00EB1BF9" w:rsidRDefault="00EB1BF9" w:rsidP="00EB1BF9">
      <w:pPr>
        <w:rPr>
          <w:lang w:eastAsia="en-AU"/>
        </w:rPr>
      </w:pPr>
      <w:r w:rsidRPr="00EB1BF9">
        <w:rPr>
          <w:lang w:eastAsia="en-AU"/>
        </w:rPr>
        <w:t>Chen, D. H.</w:t>
      </w:r>
      <w:r w:rsidR="0077095C">
        <w:rPr>
          <w:lang w:eastAsia="en-AU"/>
        </w:rPr>
        <w:t>, and</w:t>
      </w:r>
      <w:r w:rsidRPr="00EB1BF9">
        <w:rPr>
          <w:lang w:eastAsia="en-AU"/>
        </w:rPr>
        <w:t xml:space="preserve"> J. Bao. 2012. General Behaviors and Perching Behaviors of Laying Hens in Cages with Different Colored Perches. Asian-Australasian Journal of Animal Sciences 25:717-724. doi 10.5713/ajas.2011.11366</w:t>
      </w:r>
    </w:p>
    <w:p w14:paraId="59D0A91A" w14:textId="77777777" w:rsidR="00EB1BF9" w:rsidRPr="00EB1BF9" w:rsidRDefault="00EB1BF9" w:rsidP="00EB1BF9">
      <w:pPr>
        <w:rPr>
          <w:lang w:eastAsia="en-AU"/>
        </w:rPr>
      </w:pPr>
      <w:r w:rsidRPr="00EB1BF9">
        <w:rPr>
          <w:lang w:eastAsia="en-AU"/>
        </w:rPr>
        <w:t>Chen, D. H., J. Bao, F. Y. Meng</w:t>
      </w:r>
      <w:r w:rsidR="0077095C">
        <w:rPr>
          <w:lang w:eastAsia="en-AU"/>
        </w:rPr>
        <w:t>, and</w:t>
      </w:r>
      <w:r w:rsidRPr="00EB1BF9">
        <w:rPr>
          <w:lang w:eastAsia="en-AU"/>
        </w:rPr>
        <w:t xml:space="preserve"> C. B. Wei. 2014. Choice of perch characteristics by laying hens in cages with different group size and perching behaviours. Applied Animal Behaviour Science 150:37-43. doi 10.1016/j.applanim.2013.10.007</w:t>
      </w:r>
    </w:p>
    <w:p w14:paraId="34F42DCD" w14:textId="77777777" w:rsidR="00EB1BF9" w:rsidRPr="00EB1BF9" w:rsidRDefault="00EB1BF9" w:rsidP="00EB1BF9">
      <w:pPr>
        <w:rPr>
          <w:lang w:eastAsia="en-AU"/>
        </w:rPr>
      </w:pPr>
      <w:r w:rsidRPr="00EB1BF9">
        <w:rPr>
          <w:lang w:eastAsia="en-AU"/>
        </w:rPr>
        <w:t>Cheng, H. W., G. Dillworth, P. Singleton, Y. Chen</w:t>
      </w:r>
      <w:r w:rsidR="0077095C">
        <w:rPr>
          <w:lang w:eastAsia="en-AU"/>
        </w:rPr>
        <w:t>, and</w:t>
      </w:r>
      <w:r w:rsidRPr="00EB1BF9">
        <w:rPr>
          <w:lang w:eastAsia="en-AU"/>
        </w:rPr>
        <w:t xml:space="preserve"> W. M. Muir. 2001a. Effects of group selection for productivity and longevity on blood concentrations of serotonin, catecholamines, and corticosterone of laying hens</w:t>
      </w:r>
      <w:r w:rsidR="00CB5D30">
        <w:rPr>
          <w:lang w:eastAsia="en-AU"/>
        </w:rPr>
        <w:t>. Poultry Science 80:1278-1285.</w:t>
      </w:r>
    </w:p>
    <w:p w14:paraId="168DE5C5" w14:textId="77777777" w:rsidR="00EB1BF9" w:rsidRPr="00EB1BF9" w:rsidRDefault="00EB1BF9" w:rsidP="00EB1BF9">
      <w:pPr>
        <w:rPr>
          <w:lang w:eastAsia="en-AU"/>
        </w:rPr>
      </w:pPr>
      <w:r w:rsidRPr="00EB1BF9">
        <w:rPr>
          <w:lang w:eastAsia="en-AU"/>
        </w:rPr>
        <w:t>Cheng, H. W., S. D. Eicher, Y. Chen, P. Singleton</w:t>
      </w:r>
      <w:r w:rsidR="0077095C">
        <w:rPr>
          <w:lang w:eastAsia="en-AU"/>
        </w:rPr>
        <w:t>, and</w:t>
      </w:r>
      <w:r w:rsidRPr="00EB1BF9">
        <w:rPr>
          <w:lang w:eastAsia="en-AU"/>
        </w:rPr>
        <w:t xml:space="preserve"> W. M. Muir. 2001b. Effect of genetic selection for group productivity and longevity on immunological and hematological parameters of chickens</w:t>
      </w:r>
      <w:r w:rsidR="00CB5D30">
        <w:rPr>
          <w:lang w:eastAsia="en-AU"/>
        </w:rPr>
        <w:t>. Poultry Science 80:1079-1086.</w:t>
      </w:r>
    </w:p>
    <w:p w14:paraId="5CB4774E" w14:textId="77777777" w:rsidR="00EB1BF9" w:rsidRPr="00EB1BF9" w:rsidRDefault="00CB5D30" w:rsidP="00EB1BF9">
      <w:pPr>
        <w:rPr>
          <w:lang w:eastAsia="en-AU"/>
        </w:rPr>
      </w:pPr>
      <w:r>
        <w:rPr>
          <w:lang w:eastAsia="en-AU"/>
        </w:rPr>
        <w:t>Cheng, H. W., P. Singleton</w:t>
      </w:r>
      <w:r w:rsidR="0077095C">
        <w:rPr>
          <w:lang w:eastAsia="en-AU"/>
        </w:rPr>
        <w:t>, and</w:t>
      </w:r>
      <w:r w:rsidR="00EB1BF9" w:rsidRPr="00EB1BF9">
        <w:rPr>
          <w:lang w:eastAsia="en-AU"/>
        </w:rPr>
        <w:t xml:space="preserve"> W. M. Muir. 2002. Social stress in laying hens: Differential dopamine and corticosterone responses after intermingling different genetic strains of chickens</w:t>
      </w:r>
      <w:r>
        <w:rPr>
          <w:lang w:eastAsia="en-AU"/>
        </w:rPr>
        <w:t>. Poultry Science 81:1265-1272.</w:t>
      </w:r>
    </w:p>
    <w:p w14:paraId="1251C2C8" w14:textId="77777777" w:rsidR="00EB1BF9" w:rsidRPr="00EB1BF9" w:rsidRDefault="00EB1BF9" w:rsidP="00EB1BF9">
      <w:pPr>
        <w:rPr>
          <w:lang w:eastAsia="en-AU"/>
        </w:rPr>
      </w:pPr>
      <w:r w:rsidRPr="00EB1BF9">
        <w:rPr>
          <w:lang w:eastAsia="en-AU"/>
        </w:rPr>
        <w:t>Chow, A.</w:t>
      </w:r>
      <w:r w:rsidR="0077095C">
        <w:rPr>
          <w:lang w:eastAsia="en-AU"/>
        </w:rPr>
        <w:t>, and</w:t>
      </w:r>
      <w:r w:rsidRPr="00EB1BF9">
        <w:rPr>
          <w:lang w:eastAsia="en-AU"/>
        </w:rPr>
        <w:t xml:space="preserve"> J. A. Hogan. 2005. The development of feather pecking in Burmese red junglefowl: the influence of early experience with exploratory-rich environments. Applied Animal Behaviour Science 93:283-294. doi 10.1016/j.applanim.2005.01.004</w:t>
      </w:r>
    </w:p>
    <w:p w14:paraId="65AA2528" w14:textId="77777777" w:rsidR="00EB1BF9" w:rsidRPr="00EB1BF9" w:rsidRDefault="00CB5D30" w:rsidP="00EB1BF9">
      <w:pPr>
        <w:rPr>
          <w:lang w:eastAsia="en-AU"/>
        </w:rPr>
      </w:pPr>
      <w:r>
        <w:rPr>
          <w:lang w:eastAsia="en-AU"/>
        </w:rPr>
        <w:t>Clark, W. D., W. R. Cox</w:t>
      </w:r>
      <w:r w:rsidR="0077095C">
        <w:rPr>
          <w:lang w:eastAsia="en-AU"/>
        </w:rPr>
        <w:t>, and</w:t>
      </w:r>
      <w:r w:rsidR="00EB1BF9" w:rsidRPr="00EB1BF9">
        <w:rPr>
          <w:lang w:eastAsia="en-AU"/>
        </w:rPr>
        <w:t xml:space="preserve"> F. G. Silversides. 2008. Bone fracture incidence in end-of-lay high-producing, noncommercial laying hens identified using radiographs. Poultry Science 87:1964-1970. doi 10.3382/ps.2008-00115</w:t>
      </w:r>
    </w:p>
    <w:p w14:paraId="4B6059B4" w14:textId="77777777" w:rsidR="00EB1BF9" w:rsidRPr="00EB1BF9" w:rsidRDefault="00EB1BF9" w:rsidP="00EB1BF9">
      <w:pPr>
        <w:rPr>
          <w:lang w:eastAsia="en-AU"/>
        </w:rPr>
      </w:pPr>
      <w:r w:rsidRPr="00EB1BF9">
        <w:rPr>
          <w:lang w:eastAsia="en-AU"/>
        </w:rPr>
        <w:t>Clausen, T.</w:t>
      </w:r>
      <w:r w:rsidR="0077095C">
        <w:rPr>
          <w:lang w:eastAsia="en-AU"/>
        </w:rPr>
        <w:t>, and</w:t>
      </w:r>
      <w:r w:rsidRPr="00EB1BF9">
        <w:rPr>
          <w:lang w:eastAsia="en-AU"/>
        </w:rPr>
        <w:t xml:space="preserve"> A. B. Riber. 2012. Effect of heterogeneity of nest boxes on occurrence of gregarious nesting in laying hens. Applied Animal Behaviour Science 142:168-175. doi 10.1016/j.applanim.2012.10.005</w:t>
      </w:r>
    </w:p>
    <w:p w14:paraId="4A5E36FD" w14:textId="77777777" w:rsidR="00EB1BF9" w:rsidRPr="00EB1BF9" w:rsidRDefault="00EB1BF9" w:rsidP="00EB1BF9">
      <w:pPr>
        <w:rPr>
          <w:lang w:eastAsia="en-AU"/>
        </w:rPr>
      </w:pPr>
      <w:r w:rsidRPr="00EB1BF9">
        <w:rPr>
          <w:lang w:eastAsia="en-AU"/>
        </w:rPr>
        <w:t>Cloutier, S., R. C. Newberry, C. T. Forster</w:t>
      </w:r>
      <w:r w:rsidR="0077095C">
        <w:rPr>
          <w:lang w:eastAsia="en-AU"/>
        </w:rPr>
        <w:t>, and</w:t>
      </w:r>
      <w:r w:rsidRPr="00EB1BF9">
        <w:rPr>
          <w:lang w:eastAsia="en-AU"/>
        </w:rPr>
        <w:t xml:space="preserve"> K. M. Girsberger. 2000. Does pecking at inanimate stimuli predict cannibalistic behaviour in domestic fowl? Applied Animal Behaviour Science 66:119-133. doi 10.1016/s0168-1591(99)00068-4</w:t>
      </w:r>
    </w:p>
    <w:p w14:paraId="1B7077A1" w14:textId="77777777" w:rsidR="00EB1BF9" w:rsidRPr="00EB1BF9" w:rsidRDefault="00EB1BF9" w:rsidP="00EB1BF9">
      <w:pPr>
        <w:rPr>
          <w:lang w:eastAsia="en-AU"/>
        </w:rPr>
      </w:pPr>
      <w:r w:rsidRPr="00EB1BF9">
        <w:rPr>
          <w:lang w:eastAsia="en-AU"/>
        </w:rPr>
        <w:t>Cloutier, S., R. C. Newberry, K. Honda</w:t>
      </w:r>
      <w:r w:rsidR="0077095C">
        <w:rPr>
          <w:lang w:eastAsia="en-AU"/>
        </w:rPr>
        <w:t>, and</w:t>
      </w:r>
      <w:r w:rsidRPr="00EB1BF9">
        <w:rPr>
          <w:lang w:eastAsia="en-AU"/>
        </w:rPr>
        <w:t xml:space="preserve"> J. R. Alldredge. 2002. Cannibalistic behaviour spread by social learning. Animal Behaviour 63:1153-1162. doi 10.1006/anbe.2002.3017</w:t>
      </w:r>
    </w:p>
    <w:p w14:paraId="44AA2EA9" w14:textId="77777777" w:rsidR="00EB1BF9" w:rsidRDefault="00EB1BF9" w:rsidP="00EB1BF9">
      <w:pPr>
        <w:rPr>
          <w:lang w:eastAsia="en-AU"/>
        </w:rPr>
      </w:pPr>
      <w:r w:rsidRPr="00EB1BF9">
        <w:rPr>
          <w:lang w:eastAsia="en-AU"/>
        </w:rPr>
        <w:t>Colles, F. M., R. J. Cain, T. Nickson, A. L. Smith, S. J. Roberts, M. C. J. Maiden, D. Lunn</w:t>
      </w:r>
      <w:r w:rsidR="0077095C">
        <w:rPr>
          <w:lang w:eastAsia="en-AU"/>
        </w:rPr>
        <w:t>, and</w:t>
      </w:r>
      <w:r w:rsidRPr="00EB1BF9">
        <w:rPr>
          <w:lang w:eastAsia="en-AU"/>
        </w:rPr>
        <w:t xml:space="preserve"> M. S. Dawkins. 2016. Monitoring chicken flock behaviour provides early warning of infection by human pathogen </w:t>
      </w:r>
      <w:r w:rsidRPr="00CB5D30">
        <w:rPr>
          <w:i/>
          <w:lang w:eastAsia="en-AU"/>
        </w:rPr>
        <w:t>Campylobacter</w:t>
      </w:r>
      <w:r w:rsidRPr="00EB1BF9">
        <w:rPr>
          <w:lang w:eastAsia="en-AU"/>
        </w:rPr>
        <w:t>. Proceedings of the Royal Society B-Biological Sciences 283. doi 10.1098/rspb.2015.2323</w:t>
      </w:r>
    </w:p>
    <w:p w14:paraId="4FCCD4B2" w14:textId="77777777" w:rsidR="00564C2F" w:rsidRPr="00EB1BF9" w:rsidRDefault="00564C2F" w:rsidP="00EB1BF9">
      <w:pPr>
        <w:rPr>
          <w:lang w:eastAsia="en-AU"/>
        </w:rPr>
      </w:pPr>
      <w:r w:rsidRPr="00564C2F">
        <w:rPr>
          <w:lang w:eastAsia="en-AU"/>
        </w:rPr>
        <w:t xml:space="preserve">Collins, L.M., </w:t>
      </w:r>
      <w:r>
        <w:rPr>
          <w:lang w:eastAsia="en-AU"/>
        </w:rPr>
        <w:t xml:space="preserve">L. </w:t>
      </w:r>
      <w:r w:rsidRPr="00564C2F">
        <w:rPr>
          <w:lang w:eastAsia="en-AU"/>
        </w:rPr>
        <w:t xml:space="preserve">Asher, </w:t>
      </w:r>
      <w:r>
        <w:rPr>
          <w:lang w:eastAsia="en-AU"/>
        </w:rPr>
        <w:t xml:space="preserve">D. U. </w:t>
      </w:r>
      <w:r w:rsidRPr="00564C2F">
        <w:rPr>
          <w:lang w:eastAsia="en-AU"/>
        </w:rPr>
        <w:t xml:space="preserve">Pfeiffer, </w:t>
      </w:r>
      <w:r>
        <w:rPr>
          <w:lang w:eastAsia="en-AU"/>
        </w:rPr>
        <w:t xml:space="preserve">W. J. </w:t>
      </w:r>
      <w:r w:rsidRPr="00564C2F">
        <w:rPr>
          <w:lang w:eastAsia="en-AU"/>
        </w:rPr>
        <w:t>Browne, and Nicol, C.J. 2011. Clustering and synchrony in laying hens: the effect of environmental resources on social dynamics. Applie</w:t>
      </w:r>
      <w:r>
        <w:rPr>
          <w:lang w:eastAsia="en-AU"/>
        </w:rPr>
        <w:t>d Animal Behaviour Science 129:</w:t>
      </w:r>
      <w:r w:rsidRPr="00564C2F">
        <w:rPr>
          <w:lang w:eastAsia="en-AU"/>
        </w:rPr>
        <w:t>43-53</w:t>
      </w:r>
      <w:r>
        <w:rPr>
          <w:lang w:eastAsia="en-AU"/>
        </w:rPr>
        <w:t>.</w:t>
      </w:r>
    </w:p>
    <w:p w14:paraId="00089F90" w14:textId="77777777" w:rsidR="00EB1BF9" w:rsidRPr="00EB1BF9" w:rsidRDefault="00EB1BF9" w:rsidP="00EB1BF9">
      <w:pPr>
        <w:rPr>
          <w:lang w:eastAsia="en-AU"/>
        </w:rPr>
      </w:pPr>
      <w:r w:rsidRPr="00EB1BF9">
        <w:rPr>
          <w:lang w:eastAsia="en-AU"/>
        </w:rPr>
        <w:t>Colson, S., C. Arnould</w:t>
      </w:r>
      <w:r w:rsidR="0077095C">
        <w:rPr>
          <w:lang w:eastAsia="en-AU"/>
        </w:rPr>
        <w:t>, and</w:t>
      </w:r>
      <w:r w:rsidRPr="00EB1BF9">
        <w:rPr>
          <w:lang w:eastAsia="en-AU"/>
        </w:rPr>
        <w:t xml:space="preserve"> V. Michel. 2007. Motivation to dust-bathe of laying hens housed in cages and in aviaries. Animal 1:433-437. doi 10.1017/s1751731107705323</w:t>
      </w:r>
    </w:p>
    <w:p w14:paraId="65DE0431" w14:textId="77777777" w:rsidR="00EB1BF9" w:rsidRPr="00EB1BF9" w:rsidRDefault="00EB1BF9" w:rsidP="00EB1BF9">
      <w:pPr>
        <w:rPr>
          <w:lang w:eastAsia="en-AU"/>
        </w:rPr>
      </w:pPr>
      <w:r w:rsidRPr="00EB1BF9">
        <w:rPr>
          <w:lang w:eastAsia="en-AU"/>
        </w:rPr>
        <w:t>Colson, S., C. Arnould</w:t>
      </w:r>
      <w:r w:rsidR="0077095C">
        <w:rPr>
          <w:lang w:eastAsia="en-AU"/>
        </w:rPr>
        <w:t>, and</w:t>
      </w:r>
      <w:r w:rsidRPr="00EB1BF9">
        <w:rPr>
          <w:lang w:eastAsia="en-AU"/>
        </w:rPr>
        <w:t xml:space="preserve"> V. Michel. 2008. Influence of rearing conditions of pullets on space use and performance of hens placed in aviaries at the beginning of the laying period. Applied Animal Behaviour Science 111:286-300. doi 10.1016/j.applanim.2007.06.012</w:t>
      </w:r>
    </w:p>
    <w:p w14:paraId="1153C471" w14:textId="77777777" w:rsidR="00EB1BF9" w:rsidRPr="00EB1BF9" w:rsidRDefault="00EB1BF9" w:rsidP="00EB1BF9">
      <w:pPr>
        <w:rPr>
          <w:lang w:eastAsia="en-AU"/>
        </w:rPr>
      </w:pPr>
      <w:r w:rsidRPr="00EB1BF9">
        <w:rPr>
          <w:lang w:eastAsia="en-AU"/>
        </w:rPr>
        <w:t>Colson, S., V. Michel</w:t>
      </w:r>
      <w:r w:rsidR="0077095C">
        <w:rPr>
          <w:lang w:eastAsia="en-AU"/>
        </w:rPr>
        <w:t>, and</w:t>
      </w:r>
      <w:r w:rsidRPr="00EB1BF9">
        <w:rPr>
          <w:lang w:eastAsia="en-AU"/>
        </w:rPr>
        <w:t xml:space="preserve"> C. Arnould. 2006. Welfare of laying hens housed in cages and in aviaries: what about fearfulness? Archi</w:t>
      </w:r>
      <w:r w:rsidR="00CB5D30">
        <w:rPr>
          <w:lang w:eastAsia="en-AU"/>
        </w:rPr>
        <w:t>v Fur Geflugelkunde 70:261-269.</w:t>
      </w:r>
    </w:p>
    <w:p w14:paraId="55A3CEBC" w14:textId="77777777" w:rsidR="00EB1BF9" w:rsidRPr="00EB1BF9" w:rsidRDefault="00EB1BF9" w:rsidP="00EB1BF9">
      <w:pPr>
        <w:rPr>
          <w:lang w:eastAsia="en-AU"/>
        </w:rPr>
      </w:pPr>
      <w:r w:rsidRPr="00EB1BF9">
        <w:rPr>
          <w:lang w:eastAsia="en-AU"/>
        </w:rPr>
        <w:t>Cook, R. N., H. Xin</w:t>
      </w:r>
      <w:r w:rsidR="0077095C">
        <w:rPr>
          <w:lang w:eastAsia="en-AU"/>
        </w:rPr>
        <w:t>, and</w:t>
      </w:r>
      <w:r w:rsidRPr="00EB1BF9">
        <w:rPr>
          <w:lang w:eastAsia="en-AU"/>
        </w:rPr>
        <w:t xml:space="preserve"> D. Nettleton. 2006. Effects of cage stocking density on feeding behaviors of group-housed laying hens. Transa</w:t>
      </w:r>
      <w:r w:rsidR="00CB5D30">
        <w:rPr>
          <w:lang w:eastAsia="en-AU"/>
        </w:rPr>
        <w:t>ctions of the A</w:t>
      </w:r>
      <w:r w:rsidR="0077095C">
        <w:rPr>
          <w:lang w:eastAsia="en-AU"/>
        </w:rPr>
        <w:t>SABE</w:t>
      </w:r>
      <w:r w:rsidR="00CB5D30">
        <w:rPr>
          <w:lang w:eastAsia="en-AU"/>
        </w:rPr>
        <w:t xml:space="preserve"> 49:187-192.</w:t>
      </w:r>
    </w:p>
    <w:p w14:paraId="083ED82B" w14:textId="77777777" w:rsidR="00EB1BF9" w:rsidRPr="00EB1BF9" w:rsidRDefault="00CB5D30" w:rsidP="00EB1BF9">
      <w:pPr>
        <w:rPr>
          <w:lang w:eastAsia="en-AU"/>
        </w:rPr>
      </w:pPr>
      <w:r>
        <w:rPr>
          <w:lang w:eastAsia="en-AU"/>
        </w:rPr>
        <w:t>Cooper, J. J.</w:t>
      </w:r>
      <w:r w:rsidR="0077095C">
        <w:rPr>
          <w:lang w:eastAsia="en-AU"/>
        </w:rPr>
        <w:t>, and</w:t>
      </w:r>
      <w:r w:rsidR="00EB1BF9" w:rsidRPr="00EB1BF9">
        <w:rPr>
          <w:lang w:eastAsia="en-AU"/>
        </w:rPr>
        <w:t xml:space="preserve"> M. C. Appleby. 1996. Demand for nest boxes in laying hens. Behavioural Processes 36:171-182. doi 10.1016/0376-6357(95)00027-5</w:t>
      </w:r>
    </w:p>
    <w:p w14:paraId="6DF7A33D" w14:textId="77777777" w:rsidR="00EB1BF9" w:rsidRPr="00EB1BF9" w:rsidRDefault="00CB5D30" w:rsidP="00EB1BF9">
      <w:pPr>
        <w:rPr>
          <w:lang w:eastAsia="en-AU"/>
        </w:rPr>
      </w:pPr>
      <w:r>
        <w:rPr>
          <w:lang w:eastAsia="en-AU"/>
        </w:rPr>
        <w:t>Cooper, J. J.</w:t>
      </w:r>
      <w:r w:rsidR="0077095C">
        <w:rPr>
          <w:lang w:eastAsia="en-AU"/>
        </w:rPr>
        <w:t>, and</w:t>
      </w:r>
      <w:r w:rsidR="00EB1BF9" w:rsidRPr="00EB1BF9">
        <w:rPr>
          <w:lang w:eastAsia="en-AU"/>
        </w:rPr>
        <w:t xml:space="preserve"> M. C. Appleby. 2003. The value of environmental resources to domestic hens: A comparison of the work-rate for food and for nests as a function of</w:t>
      </w:r>
      <w:r>
        <w:rPr>
          <w:lang w:eastAsia="en-AU"/>
        </w:rPr>
        <w:t xml:space="preserve"> time. Animal Welfare 12:39-52.</w:t>
      </w:r>
    </w:p>
    <w:p w14:paraId="503E4F26" w14:textId="77777777" w:rsidR="00EB1BF9" w:rsidRPr="00EB1BF9" w:rsidRDefault="00EB1BF9" w:rsidP="00EB1BF9">
      <w:pPr>
        <w:rPr>
          <w:lang w:eastAsia="en-AU"/>
        </w:rPr>
      </w:pPr>
      <w:r w:rsidRPr="00EB1BF9">
        <w:rPr>
          <w:lang w:eastAsia="en-AU"/>
        </w:rPr>
        <w:t>Cordiner, L. S.</w:t>
      </w:r>
      <w:r w:rsidR="0077095C">
        <w:rPr>
          <w:lang w:eastAsia="en-AU"/>
        </w:rPr>
        <w:t>, and</w:t>
      </w:r>
      <w:r w:rsidRPr="00EB1BF9">
        <w:rPr>
          <w:lang w:eastAsia="en-AU"/>
        </w:rPr>
        <w:t xml:space="preserve"> C. J. Savory. 2001. Use of perches and nestboxes by laying hens in relation to social status, based on examination of consistency of ranking orders and frequency of interaction. Applied Animal Behaviour Science 71:305-317. doi 10.1016/s0168-1591(00)00186-6</w:t>
      </w:r>
    </w:p>
    <w:p w14:paraId="016F458B" w14:textId="77777777" w:rsidR="00EB1BF9" w:rsidRPr="00EB1BF9" w:rsidRDefault="00EB1BF9" w:rsidP="00EB1BF9">
      <w:pPr>
        <w:rPr>
          <w:lang w:eastAsia="en-AU"/>
        </w:rPr>
      </w:pPr>
      <w:r w:rsidRPr="00EB1BF9">
        <w:rPr>
          <w:lang w:eastAsia="en-AU"/>
        </w:rPr>
        <w:t>Cronin, G. M., J. L. Barnett</w:t>
      </w:r>
      <w:r w:rsidR="0077095C">
        <w:rPr>
          <w:lang w:eastAsia="en-AU"/>
        </w:rPr>
        <w:t>, and</w:t>
      </w:r>
      <w:r w:rsidRPr="00EB1BF9">
        <w:rPr>
          <w:lang w:eastAsia="en-AU"/>
        </w:rPr>
        <w:t xml:space="preserve"> P. H. Hemsworth. 2012. The importance of pre-laying behaviour and nest boxes for laying hen welfare: a review. Animal Production Science 52:398-405. doi 10.1071/an11258</w:t>
      </w:r>
    </w:p>
    <w:p w14:paraId="24CB85B8" w14:textId="77777777" w:rsidR="00EB1BF9" w:rsidRPr="00EB1BF9" w:rsidRDefault="00EB1BF9" w:rsidP="00EB1BF9">
      <w:pPr>
        <w:rPr>
          <w:lang w:eastAsia="en-AU"/>
        </w:rPr>
      </w:pPr>
      <w:r w:rsidRPr="00EB1BF9">
        <w:rPr>
          <w:lang w:eastAsia="en-AU"/>
        </w:rPr>
        <w:t>Cronin, G. M., K. L. Butler, M. A. Desnoyers</w:t>
      </w:r>
      <w:r w:rsidR="0077095C">
        <w:rPr>
          <w:lang w:eastAsia="en-AU"/>
        </w:rPr>
        <w:t>, and</w:t>
      </w:r>
      <w:r w:rsidRPr="00EB1BF9">
        <w:rPr>
          <w:lang w:eastAsia="en-AU"/>
        </w:rPr>
        <w:t xml:space="preserve"> J. L. Barnett. 2005. The use of nest boxes by hens in cages: what does it mean for welfare? Animal Science Papers and Reports 23:121-128. </w:t>
      </w:r>
    </w:p>
    <w:p w14:paraId="2ED59B5E" w14:textId="77777777" w:rsidR="00EB1BF9" w:rsidRPr="00EB1BF9" w:rsidRDefault="00EB1BF9" w:rsidP="00EB1BF9">
      <w:pPr>
        <w:rPr>
          <w:lang w:eastAsia="en-AU"/>
        </w:rPr>
      </w:pPr>
      <w:r w:rsidRPr="00EB1BF9">
        <w:rPr>
          <w:lang w:eastAsia="en-AU"/>
        </w:rPr>
        <w:t>Cufadar, Y., O. Olgun</w:t>
      </w:r>
      <w:r w:rsidR="0077095C">
        <w:rPr>
          <w:lang w:eastAsia="en-AU"/>
        </w:rPr>
        <w:t>, and</w:t>
      </w:r>
      <w:r w:rsidRPr="00EB1BF9">
        <w:rPr>
          <w:lang w:eastAsia="en-AU"/>
        </w:rPr>
        <w:t xml:space="preserve"> A. O. Yildiz. 2011. The effect of dietary calcium concentration and particle size on performance, eggshell quality, bone mechanical properties and tibia mineral contents in moulted laying hens. British Poultry Science 52:761-768. doi 10.1080/00071668.2011.641502</w:t>
      </w:r>
    </w:p>
    <w:p w14:paraId="53B63AFA" w14:textId="77777777" w:rsidR="00EB1BF9" w:rsidRPr="00EB1BF9" w:rsidRDefault="00EB1BF9" w:rsidP="00EB1BF9">
      <w:pPr>
        <w:rPr>
          <w:lang w:eastAsia="en-AU"/>
        </w:rPr>
      </w:pPr>
      <w:r w:rsidRPr="00EB1BF9">
        <w:rPr>
          <w:lang w:eastAsia="en-AU"/>
        </w:rPr>
        <w:t>Daigle, C. L., T. B. Rodenburg, J. E. Bolhuis, J. C. Swanson</w:t>
      </w:r>
      <w:r w:rsidR="0077095C">
        <w:rPr>
          <w:lang w:eastAsia="en-AU"/>
        </w:rPr>
        <w:t>, and</w:t>
      </w:r>
      <w:r w:rsidRPr="00EB1BF9">
        <w:rPr>
          <w:lang w:eastAsia="en-AU"/>
        </w:rPr>
        <w:t xml:space="preserve"> J. M. Siegford. 2014. Use of dynamic and rewarding environmental enrichment to alleviate feather pecking in non-cage laying hens. Applied Animal Behaviour Science 161:75-85. doi 10.1016/j.applanim.2014.10.001</w:t>
      </w:r>
    </w:p>
    <w:p w14:paraId="11017881" w14:textId="77777777" w:rsidR="00EB1BF9" w:rsidRPr="00EB1BF9" w:rsidRDefault="00EB1BF9" w:rsidP="00EB1BF9">
      <w:pPr>
        <w:rPr>
          <w:lang w:eastAsia="en-AU"/>
        </w:rPr>
      </w:pPr>
      <w:r w:rsidRPr="00EB1BF9">
        <w:rPr>
          <w:lang w:eastAsia="en-AU"/>
        </w:rPr>
        <w:t>Davis, J. E., J. Cain, C. Small</w:t>
      </w:r>
      <w:r w:rsidR="0077095C">
        <w:rPr>
          <w:lang w:eastAsia="en-AU"/>
        </w:rPr>
        <w:t>, and</w:t>
      </w:r>
      <w:r w:rsidRPr="00EB1BF9">
        <w:rPr>
          <w:lang w:eastAsia="en-AU"/>
        </w:rPr>
        <w:t xml:space="preserve"> D. B. Hales. 2016. Therapeutic effect of flax-based diets on fatty liver in aged laying hens. Poultry Science 95:2624-2632. doi 10.3382/ps/pew160</w:t>
      </w:r>
    </w:p>
    <w:p w14:paraId="0078A969" w14:textId="77777777" w:rsidR="00EB1BF9" w:rsidRPr="00EB1BF9" w:rsidRDefault="00EB1BF9" w:rsidP="00EB1BF9">
      <w:pPr>
        <w:rPr>
          <w:lang w:eastAsia="en-AU"/>
        </w:rPr>
      </w:pPr>
      <w:r w:rsidRPr="00EB1BF9">
        <w:rPr>
          <w:lang w:eastAsia="en-AU"/>
        </w:rPr>
        <w:t>Davis, N. J., N. B. Prescott, C. J. Savory</w:t>
      </w:r>
      <w:r w:rsidR="0077095C">
        <w:rPr>
          <w:lang w:eastAsia="en-AU"/>
        </w:rPr>
        <w:t>, and</w:t>
      </w:r>
      <w:r w:rsidRPr="00EB1BF9">
        <w:rPr>
          <w:lang w:eastAsia="en-AU"/>
        </w:rPr>
        <w:t xml:space="preserve"> C. M. Wathes. 1999. Preferences of growing fowls for different light intensities in relation to age, strain and behav</w:t>
      </w:r>
      <w:r w:rsidR="00CB5D30">
        <w:rPr>
          <w:lang w:eastAsia="en-AU"/>
        </w:rPr>
        <w:t>iour. Animal Welfare 8:193-203.</w:t>
      </w:r>
    </w:p>
    <w:p w14:paraId="3007CBA1" w14:textId="77777777" w:rsidR="00EB1BF9" w:rsidRPr="00EB1BF9" w:rsidRDefault="00EB1BF9" w:rsidP="00EB1BF9">
      <w:pPr>
        <w:rPr>
          <w:lang w:eastAsia="en-AU"/>
        </w:rPr>
      </w:pPr>
      <w:r w:rsidRPr="00EB1BF9">
        <w:rPr>
          <w:lang w:eastAsia="en-AU"/>
        </w:rPr>
        <w:t>Dawkins, M. S.,</w:t>
      </w:r>
      <w:r w:rsidR="00CB5D30">
        <w:rPr>
          <w:lang w:eastAsia="en-AU"/>
        </w:rPr>
        <w:t xml:space="preserve"> A. Edmond, A. Lord, S. Solomon</w:t>
      </w:r>
      <w:r w:rsidR="0077095C">
        <w:rPr>
          <w:lang w:eastAsia="en-AU"/>
        </w:rPr>
        <w:t>, and</w:t>
      </w:r>
      <w:r w:rsidRPr="00EB1BF9">
        <w:rPr>
          <w:lang w:eastAsia="en-AU"/>
        </w:rPr>
        <w:t xml:space="preserve"> M. Bain. 2004. Time course of changes in egg-shell quality, faecal corticosteroids and behaviour as welfare measures in laying h</w:t>
      </w:r>
      <w:r w:rsidR="00CB5D30">
        <w:rPr>
          <w:lang w:eastAsia="en-AU"/>
        </w:rPr>
        <w:t>ens. Animal Welfare 13:321-327.</w:t>
      </w:r>
    </w:p>
    <w:p w14:paraId="361BB8F4" w14:textId="77777777" w:rsidR="00EB1BF9" w:rsidRDefault="00EB1BF9" w:rsidP="00EB1BF9">
      <w:pPr>
        <w:rPr>
          <w:lang w:eastAsia="en-AU"/>
        </w:rPr>
      </w:pPr>
      <w:r w:rsidRPr="00EB1BF9">
        <w:rPr>
          <w:lang w:eastAsia="en-AU"/>
        </w:rPr>
        <w:t>Dawkins, M. S.</w:t>
      </w:r>
      <w:r w:rsidR="0077095C">
        <w:rPr>
          <w:lang w:eastAsia="en-AU"/>
        </w:rPr>
        <w:t>, and</w:t>
      </w:r>
      <w:r w:rsidRPr="00EB1BF9">
        <w:rPr>
          <w:lang w:eastAsia="en-AU"/>
        </w:rPr>
        <w:t xml:space="preserve"> S. Hardie. 1989. Space needs of laying hens. British Poultry Science 30:413-416. doi 10.1080/00071668908417163</w:t>
      </w:r>
    </w:p>
    <w:p w14:paraId="60934955" w14:textId="77777777" w:rsidR="0015689F" w:rsidRDefault="0015689F" w:rsidP="0015689F">
      <w:pPr>
        <w:rPr>
          <w:lang w:eastAsia="en-AU"/>
        </w:rPr>
      </w:pPr>
      <w:r>
        <w:rPr>
          <w:lang w:eastAsia="en-AU"/>
        </w:rPr>
        <w:t>D'Eath, R. B., and</w:t>
      </w:r>
      <w:r w:rsidRPr="00EB1BF9">
        <w:rPr>
          <w:lang w:eastAsia="en-AU"/>
        </w:rPr>
        <w:t xml:space="preserve"> L. J. Keeling. 2003. Social discrimination and aggression by laying hens in large groups: from peck orders to social tolerance. Applied Animal Behaviour Science 84:197-212. doi 10.1016/j.applanim.2003.08.010</w:t>
      </w:r>
    </w:p>
    <w:p w14:paraId="0D713E90" w14:textId="77777777" w:rsidR="00FB5760" w:rsidRPr="00EB1BF9" w:rsidRDefault="00FB5760" w:rsidP="00405174">
      <w:pPr>
        <w:rPr>
          <w:lang w:eastAsia="en-AU"/>
        </w:rPr>
      </w:pPr>
      <w:r>
        <w:rPr>
          <w:lang w:eastAsia="en-AU"/>
        </w:rPr>
        <w:t xml:space="preserve">Defra. 2015. </w:t>
      </w:r>
      <w:r w:rsidR="00405174">
        <w:rPr>
          <w:lang w:eastAsia="en-AU"/>
        </w:rPr>
        <w:t>A study to test the effectiveness of management strategies in reducing injurious pecking of laying hens with intact beaks in non cage systems. Scientific Report on Project AW1145. Department of Environment, Food and Rural Affairs</w:t>
      </w:r>
      <w:r w:rsidR="00B7331C">
        <w:rPr>
          <w:lang w:eastAsia="en-AU"/>
        </w:rPr>
        <w:t>, UK.</w:t>
      </w:r>
      <w:r w:rsidR="00405174">
        <w:rPr>
          <w:lang w:eastAsia="en-AU"/>
        </w:rPr>
        <w:t xml:space="preserve"> </w:t>
      </w:r>
      <w:hyperlink r:id="rId48" w:tooltip="This is a link to the 2015 Defra report on reducing injurious pecking of laying hens with intact beaks in non-cage systems." w:history="1">
        <w:r w:rsidR="00405174" w:rsidRPr="00852AF9">
          <w:rPr>
            <w:rStyle w:val="Hyperlink"/>
            <w:lang w:eastAsia="en-AU"/>
          </w:rPr>
          <w:t>http://randd.defra.gov.uk/Default.aspx?Menu=Menu&amp;Module=More&amp;Location=None&amp;Completed=0&amp;ProjectID=18160</w:t>
        </w:r>
      </w:hyperlink>
      <w:r w:rsidR="00405174">
        <w:rPr>
          <w:lang w:eastAsia="en-AU"/>
        </w:rPr>
        <w:t>. Accessed 27/</w:t>
      </w:r>
      <w:r w:rsidR="000E44E6">
        <w:rPr>
          <w:lang w:eastAsia="en-AU"/>
        </w:rPr>
        <w:t>0</w:t>
      </w:r>
      <w:r w:rsidR="00405174">
        <w:rPr>
          <w:lang w:eastAsia="en-AU"/>
        </w:rPr>
        <w:t>4/</w:t>
      </w:r>
      <w:r w:rsidR="00CF022F">
        <w:rPr>
          <w:lang w:eastAsia="en-AU"/>
        </w:rPr>
        <w:t>20</w:t>
      </w:r>
      <w:r w:rsidR="00405174">
        <w:rPr>
          <w:lang w:eastAsia="en-AU"/>
        </w:rPr>
        <w:t>17.</w:t>
      </w:r>
    </w:p>
    <w:p w14:paraId="4C79D761" w14:textId="77777777" w:rsidR="0015689F" w:rsidRDefault="0015689F" w:rsidP="0015689F">
      <w:pPr>
        <w:rPr>
          <w:lang w:eastAsia="en-AU"/>
        </w:rPr>
      </w:pPr>
      <w:r w:rsidRPr="00EB1BF9">
        <w:rPr>
          <w:lang w:val="en-AU" w:eastAsia="en-AU"/>
        </w:rPr>
        <w:t>Defra. 2016. How to keep your birds safe from Avian Influenza (bird flu) – advice for keepers in England. Department for E</w:t>
      </w:r>
      <w:r>
        <w:rPr>
          <w:lang w:val="en-AU" w:eastAsia="en-AU"/>
        </w:rPr>
        <w:t>nvironment, F</w:t>
      </w:r>
      <w:r w:rsidRPr="00EB1BF9">
        <w:rPr>
          <w:lang w:val="en-AU" w:eastAsia="en-AU"/>
        </w:rPr>
        <w:t>ood and Rural Affairs</w:t>
      </w:r>
      <w:r w:rsidR="00B37B18">
        <w:rPr>
          <w:lang w:val="en-AU" w:eastAsia="en-AU"/>
        </w:rPr>
        <w:t>,</w:t>
      </w:r>
      <w:r w:rsidRPr="00EB1BF9">
        <w:rPr>
          <w:lang w:val="en-AU" w:eastAsia="en-AU"/>
        </w:rPr>
        <w:t xml:space="preserve"> UK. </w:t>
      </w:r>
      <w:hyperlink r:id="rId49" w:tooltip="This is a link to a UK Government poster on bird flu." w:history="1">
        <w:r w:rsidRPr="007A6B2A">
          <w:rPr>
            <w:rStyle w:val="Hyperlink"/>
            <w:lang w:val="en-AU" w:eastAsia="en-AU"/>
          </w:rPr>
          <w:t>www.gov.uk/government/uploads/system/uploads/attachment_data/file/618920/ai-birdflu-factsheet-170614.pdf</w:t>
        </w:r>
      </w:hyperlink>
      <w:r w:rsidRPr="00DF2484">
        <w:rPr>
          <w:lang w:eastAsia="en-AU"/>
        </w:rPr>
        <w:t xml:space="preserve">. </w:t>
      </w:r>
      <w:r>
        <w:rPr>
          <w:lang w:eastAsia="en-AU"/>
        </w:rPr>
        <w:t>Accessed 05/07/</w:t>
      </w:r>
      <w:r w:rsidR="00CF022F">
        <w:rPr>
          <w:lang w:eastAsia="en-AU"/>
        </w:rPr>
        <w:t>20</w:t>
      </w:r>
      <w:r>
        <w:rPr>
          <w:lang w:eastAsia="en-AU"/>
        </w:rPr>
        <w:t>17.</w:t>
      </w:r>
    </w:p>
    <w:p w14:paraId="79487F7F" w14:textId="77777777" w:rsidR="00EB1BF9" w:rsidRPr="00EB1BF9" w:rsidRDefault="00EB1BF9" w:rsidP="00EB1BF9">
      <w:pPr>
        <w:rPr>
          <w:lang w:eastAsia="en-AU"/>
        </w:rPr>
      </w:pPr>
      <w:r w:rsidRPr="00EB1BF9">
        <w:rPr>
          <w:lang w:eastAsia="en-AU"/>
        </w:rPr>
        <w:t>de Haas, E. N., E. Bolhuis, I. C. de Jong, B. Kemp, A. M. Janczak</w:t>
      </w:r>
      <w:r w:rsidR="0077095C">
        <w:rPr>
          <w:lang w:eastAsia="en-AU"/>
        </w:rPr>
        <w:t>, and</w:t>
      </w:r>
      <w:r w:rsidRPr="00EB1BF9">
        <w:rPr>
          <w:lang w:eastAsia="en-AU"/>
        </w:rPr>
        <w:t xml:space="preserve"> T. B. Rodenburg. 2014a. Predicting feather damage in laying hens during the laying period. Is it the past or is it the present? Applied Animal Behaviour Science 160:75-85. doi 10.1016/j.applanim.2014.08.009</w:t>
      </w:r>
    </w:p>
    <w:p w14:paraId="6D50347A" w14:textId="77777777" w:rsidR="00EB1BF9" w:rsidRPr="00EB1BF9" w:rsidRDefault="00EB1BF9" w:rsidP="00EB1BF9">
      <w:pPr>
        <w:rPr>
          <w:lang w:eastAsia="en-AU"/>
        </w:rPr>
      </w:pPr>
      <w:r w:rsidRPr="00EB1BF9">
        <w:rPr>
          <w:lang w:eastAsia="en-AU"/>
        </w:rPr>
        <w:t>de Haas, E. N., J. E. Bolhuis, B. Kemp, T. G. G. Groothuis</w:t>
      </w:r>
      <w:r w:rsidR="0077095C">
        <w:rPr>
          <w:lang w:eastAsia="en-AU"/>
        </w:rPr>
        <w:t>, and</w:t>
      </w:r>
      <w:r w:rsidRPr="00EB1BF9">
        <w:rPr>
          <w:lang w:eastAsia="en-AU"/>
        </w:rPr>
        <w:t xml:space="preserve"> T. B. Rodenburg. 2014b. Parents and Early Life Environment Affect Behavioral Development of Laying Hen Chickens. </w:t>
      </w:r>
      <w:r w:rsidR="00601DC5">
        <w:rPr>
          <w:lang w:eastAsia="en-AU"/>
        </w:rPr>
        <w:t>PLoS</w:t>
      </w:r>
      <w:r w:rsidR="00997550">
        <w:rPr>
          <w:lang w:eastAsia="en-AU"/>
        </w:rPr>
        <w:t xml:space="preserve"> ONE</w:t>
      </w:r>
      <w:r w:rsidRPr="00EB1BF9">
        <w:rPr>
          <w:lang w:eastAsia="en-AU"/>
        </w:rPr>
        <w:t xml:space="preserve"> 9. doi 10.1371/journal.pone.0090577</w:t>
      </w:r>
    </w:p>
    <w:p w14:paraId="38FA2A93" w14:textId="77777777" w:rsidR="00EB1BF9" w:rsidRPr="00EB1BF9" w:rsidRDefault="00EB1BF9" w:rsidP="00EB1BF9">
      <w:pPr>
        <w:rPr>
          <w:lang w:eastAsia="en-AU"/>
        </w:rPr>
      </w:pPr>
      <w:r w:rsidRPr="00EB1BF9">
        <w:rPr>
          <w:lang w:eastAsia="en-AU"/>
        </w:rPr>
        <w:t>de Haas, E. N., B. L. Nielsen, A. J. Buitenhuis</w:t>
      </w:r>
      <w:r w:rsidR="0077095C">
        <w:rPr>
          <w:lang w:eastAsia="en-AU"/>
        </w:rPr>
        <w:t>, and</w:t>
      </w:r>
      <w:r w:rsidRPr="00EB1BF9">
        <w:rPr>
          <w:lang w:eastAsia="en-AU"/>
        </w:rPr>
        <w:t xml:space="preserve"> T. B. Rodenburg. 2010. Selection on feather pecking affects response to novelty and foraging behaviour in laying hens. Applied Animal Behaviour Science 124:90-96. doi 10.1016/j.applanim.2010.02.009</w:t>
      </w:r>
    </w:p>
    <w:p w14:paraId="704025C9" w14:textId="77777777" w:rsidR="00EB1BF9" w:rsidRPr="00EB1BF9" w:rsidRDefault="00EB1BF9" w:rsidP="00EB1BF9">
      <w:pPr>
        <w:rPr>
          <w:lang w:eastAsia="en-AU"/>
        </w:rPr>
      </w:pPr>
      <w:r w:rsidRPr="00EB1BF9">
        <w:rPr>
          <w:lang w:eastAsia="en-AU"/>
        </w:rPr>
        <w:t>de Jong, I. C., H. Gunnink, J. M. Rommers</w:t>
      </w:r>
      <w:r w:rsidR="0077095C">
        <w:rPr>
          <w:lang w:eastAsia="en-AU"/>
        </w:rPr>
        <w:t>, and</w:t>
      </w:r>
      <w:r w:rsidRPr="00EB1BF9">
        <w:rPr>
          <w:lang w:eastAsia="en-AU"/>
        </w:rPr>
        <w:t xml:space="preserve"> M. B. M. Bracke. 2013a. Effect of substrate during early rearing on floor- and feather pecking behaviour in young and adult laying hens. Arc</w:t>
      </w:r>
      <w:r w:rsidR="00CB5D30">
        <w:rPr>
          <w:lang w:eastAsia="en-AU"/>
        </w:rPr>
        <w:t>hiv Fur Geflugelkunde 77:15-22.</w:t>
      </w:r>
    </w:p>
    <w:p w14:paraId="67F68ECC" w14:textId="77777777" w:rsidR="00EB1BF9" w:rsidRPr="00EB1BF9" w:rsidRDefault="00EB1BF9" w:rsidP="00EB1BF9">
      <w:pPr>
        <w:rPr>
          <w:lang w:eastAsia="en-AU"/>
        </w:rPr>
      </w:pPr>
      <w:r w:rsidRPr="00EB1BF9">
        <w:rPr>
          <w:lang w:eastAsia="en-AU"/>
        </w:rPr>
        <w:t>de Jong, I. C., B. F. J. Reuvekamp</w:t>
      </w:r>
      <w:r w:rsidR="0077095C">
        <w:rPr>
          <w:lang w:eastAsia="en-AU"/>
        </w:rPr>
        <w:t>, and</w:t>
      </w:r>
      <w:r w:rsidRPr="00EB1BF9">
        <w:rPr>
          <w:lang w:eastAsia="en-AU"/>
        </w:rPr>
        <w:t xml:space="preserve"> H. Gunnink. 2013b. Can substrate in early rearing prevent feather pecking in adult laying hens? Animal Welfare 22:305-314. doi 10.7120/09627286.22.3.305</w:t>
      </w:r>
    </w:p>
    <w:p w14:paraId="78D10ED5" w14:textId="77777777" w:rsidR="00EB1BF9" w:rsidRPr="00EB1BF9" w:rsidRDefault="00EB1BF9" w:rsidP="00EB1BF9">
      <w:pPr>
        <w:rPr>
          <w:lang w:eastAsia="en-AU"/>
        </w:rPr>
      </w:pPr>
      <w:r w:rsidRPr="00EB1BF9">
        <w:rPr>
          <w:lang w:eastAsia="en-AU"/>
        </w:rPr>
        <w:t>de Jong, I. C., M. Wolthuis-Fillerup</w:t>
      </w:r>
      <w:r w:rsidR="0077095C">
        <w:rPr>
          <w:lang w:eastAsia="en-AU"/>
        </w:rPr>
        <w:t>, and</w:t>
      </w:r>
      <w:r w:rsidRPr="00EB1BF9">
        <w:rPr>
          <w:lang w:eastAsia="en-AU"/>
        </w:rPr>
        <w:t xml:space="preserve"> C. G. van Reenen. 2007. Strength of preference for dustbathing and foraging substrates in laying hens. Applied Animal Behaviour Science 104:24-36. doi 10.1016/j.applanim.2006.04.027</w:t>
      </w:r>
    </w:p>
    <w:p w14:paraId="073302B5" w14:textId="77777777" w:rsidR="00EB1BF9" w:rsidRPr="00EB1BF9" w:rsidRDefault="00EB1BF9" w:rsidP="00EB1BF9">
      <w:pPr>
        <w:rPr>
          <w:lang w:eastAsia="en-AU"/>
        </w:rPr>
      </w:pPr>
      <w:r w:rsidRPr="00EB1BF9">
        <w:rPr>
          <w:lang w:eastAsia="en-AU"/>
        </w:rPr>
        <w:t>De Vylder, J., S. Van Hoorebeke, R. Ducatelle, F. Pasmans, F. Haesebrouck, J. Dewulf</w:t>
      </w:r>
      <w:r w:rsidR="0077095C">
        <w:rPr>
          <w:lang w:eastAsia="en-AU"/>
        </w:rPr>
        <w:t>, and</w:t>
      </w:r>
      <w:r w:rsidRPr="00EB1BF9">
        <w:rPr>
          <w:lang w:eastAsia="en-AU"/>
        </w:rPr>
        <w:t xml:space="preserve"> F. Van Immerseel. 2009. Effect of the housing system on shedding and colonization of gut and internal organs of laying hens with </w:t>
      </w:r>
      <w:r w:rsidRPr="00681E66">
        <w:rPr>
          <w:i/>
          <w:lang w:eastAsia="en-AU"/>
        </w:rPr>
        <w:t>Salmonella</w:t>
      </w:r>
      <w:r w:rsidRPr="00EB1BF9">
        <w:rPr>
          <w:lang w:eastAsia="en-AU"/>
        </w:rPr>
        <w:t xml:space="preserve"> Enteritidis. Poultry Science 88:2491-2495. doi 10.3382/ps.2009-00203</w:t>
      </w:r>
    </w:p>
    <w:p w14:paraId="4AFBA103" w14:textId="77777777" w:rsidR="00EB1BF9" w:rsidRPr="00EB1BF9" w:rsidRDefault="00EB1BF9" w:rsidP="00EB1BF9">
      <w:pPr>
        <w:rPr>
          <w:lang w:eastAsia="en-AU"/>
        </w:rPr>
      </w:pPr>
      <w:r w:rsidRPr="00EB1BF9">
        <w:rPr>
          <w:lang w:eastAsia="en-AU"/>
        </w:rPr>
        <w:t>Dennis, R. L.</w:t>
      </w:r>
      <w:r w:rsidR="0077095C">
        <w:rPr>
          <w:lang w:eastAsia="en-AU"/>
        </w:rPr>
        <w:t>, and</w:t>
      </w:r>
      <w:r w:rsidRPr="00EB1BF9">
        <w:rPr>
          <w:lang w:eastAsia="en-AU"/>
        </w:rPr>
        <w:t xml:space="preserve"> H. W. Cheng. 2012. Effects of different infrared beak treatment protocols on chicken welfare and physiology. Poultry Science 91:1499-1505. doi 10.3382/ps.2011-01651</w:t>
      </w:r>
    </w:p>
    <w:p w14:paraId="325CBFF7" w14:textId="77777777" w:rsidR="00EB1BF9" w:rsidRPr="00EB1BF9" w:rsidRDefault="00EB1BF9" w:rsidP="00EB1BF9">
      <w:pPr>
        <w:rPr>
          <w:lang w:eastAsia="en-AU"/>
        </w:rPr>
      </w:pPr>
      <w:r w:rsidRPr="00EB1BF9">
        <w:rPr>
          <w:lang w:eastAsia="en-AU"/>
        </w:rPr>
        <w:t>Dennis, R. L., A. G. Fahey</w:t>
      </w:r>
      <w:r w:rsidR="0077095C">
        <w:rPr>
          <w:lang w:eastAsia="en-AU"/>
        </w:rPr>
        <w:t>, and</w:t>
      </w:r>
      <w:r w:rsidRPr="00EB1BF9">
        <w:rPr>
          <w:lang w:eastAsia="en-AU"/>
        </w:rPr>
        <w:t xml:space="preserve"> H. W. Cheng. 2009. Infrared beak treatment method compared with conventional hot-blade trimming in laying hens. Poultry Science 88:38-43. doi 10.3382/ps.2008-00227</w:t>
      </w:r>
    </w:p>
    <w:p w14:paraId="2B3D3256" w14:textId="77777777" w:rsidR="00EB1BF9" w:rsidRPr="00EB1BF9" w:rsidRDefault="00EB1BF9" w:rsidP="00EB1BF9">
      <w:pPr>
        <w:rPr>
          <w:lang w:eastAsia="en-AU"/>
        </w:rPr>
      </w:pPr>
      <w:r w:rsidRPr="00EB1BF9">
        <w:rPr>
          <w:lang w:eastAsia="en-AU"/>
        </w:rPr>
        <w:t>Dickey, E. R., K. Bregendahl, K. Stalder, R. Fitzgerald</w:t>
      </w:r>
      <w:r w:rsidR="0077095C">
        <w:rPr>
          <w:lang w:eastAsia="en-AU"/>
        </w:rPr>
        <w:t>, and</w:t>
      </w:r>
      <w:r w:rsidRPr="00EB1BF9">
        <w:rPr>
          <w:lang w:eastAsia="en-AU"/>
        </w:rPr>
        <w:t xml:space="preserve"> A. K. Johnson. 2010. Effects of a premolt calcium and low-energy molt program on laying hen behavior and heterophil-to-lymphocyte ratios. Poultry Science 89:2317-2325. doi 10.3382/ps.2010-00769</w:t>
      </w:r>
    </w:p>
    <w:p w14:paraId="65C0CB48" w14:textId="77777777" w:rsidR="00EB1BF9" w:rsidRPr="00EB1BF9" w:rsidRDefault="00EB1BF9" w:rsidP="00EB1BF9">
      <w:pPr>
        <w:rPr>
          <w:lang w:eastAsia="en-AU"/>
        </w:rPr>
      </w:pPr>
      <w:r w:rsidRPr="00EB1BF9">
        <w:rPr>
          <w:lang w:eastAsia="en-AU"/>
        </w:rPr>
        <w:t>Dikmen, B. Y., A. Ipek, U. Sahan, M. Petek</w:t>
      </w:r>
      <w:r w:rsidR="0077095C">
        <w:rPr>
          <w:lang w:eastAsia="en-AU"/>
        </w:rPr>
        <w:t>, and</w:t>
      </w:r>
      <w:r w:rsidRPr="00EB1BF9">
        <w:rPr>
          <w:lang w:eastAsia="en-AU"/>
        </w:rPr>
        <w:t xml:space="preserve"> A. Sozcu. 2016. Egg production and welfare of laying hens kept in different housing systems (conventional, enriched cage, and free range). Poultry Science 95:1564-1572. doi 10.3382/ps/pew082</w:t>
      </w:r>
    </w:p>
    <w:p w14:paraId="30437248" w14:textId="77777777" w:rsidR="00EB1BF9" w:rsidRPr="00EB1BF9" w:rsidRDefault="00EB1BF9" w:rsidP="00EB1BF9">
      <w:pPr>
        <w:rPr>
          <w:lang w:eastAsia="en-AU"/>
        </w:rPr>
      </w:pPr>
      <w:r w:rsidRPr="00EB1BF9">
        <w:rPr>
          <w:lang w:val="en-AU" w:eastAsia="en-AU"/>
        </w:rPr>
        <w:t>Dixon, G.</w:t>
      </w:r>
      <w:r w:rsidR="0077095C">
        <w:rPr>
          <w:lang w:val="en-AU" w:eastAsia="en-AU"/>
        </w:rPr>
        <w:t>, and</w:t>
      </w:r>
      <w:r w:rsidR="00CB5D30">
        <w:rPr>
          <w:lang w:val="en-AU" w:eastAsia="en-AU"/>
        </w:rPr>
        <w:t xml:space="preserve"> C. J.</w:t>
      </w:r>
      <w:r w:rsidRPr="00EB1BF9">
        <w:rPr>
          <w:lang w:val="en-AU" w:eastAsia="en-AU"/>
        </w:rPr>
        <w:t xml:space="preserve"> Nicol. 2008. The effect of diet change on the behaviour of layer pullets. Animal Welfare 17</w:t>
      </w:r>
      <w:r w:rsidR="00CB5D30">
        <w:rPr>
          <w:lang w:val="en-AU" w:eastAsia="en-AU"/>
        </w:rPr>
        <w:t>:</w:t>
      </w:r>
      <w:r w:rsidRPr="00EB1BF9">
        <w:rPr>
          <w:lang w:val="en-AU" w:eastAsia="en-AU"/>
        </w:rPr>
        <w:t>101-109.</w:t>
      </w:r>
    </w:p>
    <w:p w14:paraId="268407EE" w14:textId="77777777" w:rsidR="00EB1BF9" w:rsidRPr="00EB1BF9" w:rsidRDefault="00EB1BF9" w:rsidP="00EB1BF9">
      <w:pPr>
        <w:rPr>
          <w:lang w:eastAsia="en-AU"/>
        </w:rPr>
      </w:pPr>
      <w:r w:rsidRPr="00EB1BF9">
        <w:rPr>
          <w:lang w:eastAsia="en-AU"/>
        </w:rPr>
        <w:t>Dixon, L. M.</w:t>
      </w:r>
      <w:r w:rsidR="0077095C">
        <w:rPr>
          <w:lang w:eastAsia="en-AU"/>
        </w:rPr>
        <w:t>, and</w:t>
      </w:r>
      <w:r w:rsidRPr="00EB1BF9">
        <w:rPr>
          <w:lang w:eastAsia="en-AU"/>
        </w:rPr>
        <w:t xml:space="preserve"> I. J. H. Duncan. 2010. Changes in Substrate Access Did Not Affect Early Feather-Pecking Behavior in Two Strains of Laying Hen Chicks. Journal of Applied Animal Welfare Science 13:1-14. doi 10.1080/10888700903369248</w:t>
      </w:r>
    </w:p>
    <w:p w14:paraId="3230EBC9" w14:textId="77777777" w:rsidR="00EB1BF9" w:rsidRPr="00EB1BF9" w:rsidRDefault="00EB1BF9" w:rsidP="00EB1BF9">
      <w:pPr>
        <w:rPr>
          <w:lang w:eastAsia="en-AU"/>
        </w:rPr>
      </w:pPr>
      <w:r w:rsidRPr="00EB1BF9">
        <w:rPr>
          <w:lang w:eastAsia="en-AU"/>
        </w:rPr>
        <w:t>Dixon, L. M., I. J. H. Duncan</w:t>
      </w:r>
      <w:r w:rsidR="0077095C">
        <w:rPr>
          <w:lang w:eastAsia="en-AU"/>
        </w:rPr>
        <w:t>, and</w:t>
      </w:r>
      <w:r w:rsidRPr="00EB1BF9">
        <w:rPr>
          <w:lang w:eastAsia="en-AU"/>
        </w:rPr>
        <w:t xml:space="preserve"> G. J. Mason. 2010. The effects of four types of enrichment on feather-pecking behaviour in laying hens housed in barren environme</w:t>
      </w:r>
      <w:r w:rsidR="00CB5D30">
        <w:rPr>
          <w:lang w:eastAsia="en-AU"/>
        </w:rPr>
        <w:t>nts. Animal Welfare 19:429-435.</w:t>
      </w:r>
    </w:p>
    <w:p w14:paraId="19D24BF3" w14:textId="77777777" w:rsidR="00EB1BF9" w:rsidRPr="00EB1BF9" w:rsidRDefault="00EB1BF9" w:rsidP="00EB1BF9">
      <w:pPr>
        <w:rPr>
          <w:lang w:eastAsia="en-AU"/>
        </w:rPr>
      </w:pPr>
      <w:r w:rsidRPr="00EB1BF9">
        <w:rPr>
          <w:lang w:eastAsia="en-AU"/>
        </w:rPr>
        <w:t>Donaldson, C. J., M. E. E. Ball</w:t>
      </w:r>
      <w:r w:rsidR="0077095C">
        <w:rPr>
          <w:lang w:eastAsia="en-AU"/>
        </w:rPr>
        <w:t>, and</w:t>
      </w:r>
      <w:r w:rsidRPr="00EB1BF9">
        <w:rPr>
          <w:lang w:eastAsia="en-AU"/>
        </w:rPr>
        <w:t xml:space="preserve"> N. E. O'Connell. 2012. Aerial perches and free-range laying hens: The effect of access to aerial perches and of individual bird parameters on keel bone injuries in commercial free-range laying hens. Poultry Science 91:304-315. doi 10.3382/ps.2011-01774</w:t>
      </w:r>
    </w:p>
    <w:p w14:paraId="33B85928" w14:textId="77777777" w:rsidR="00EB1BF9" w:rsidRPr="00EB1BF9" w:rsidRDefault="00EB1BF9" w:rsidP="00EB1BF9">
      <w:pPr>
        <w:rPr>
          <w:lang w:eastAsia="en-AU"/>
        </w:rPr>
      </w:pPr>
      <w:r w:rsidRPr="00EB1BF9">
        <w:rPr>
          <w:lang w:eastAsia="en-AU"/>
        </w:rPr>
        <w:t>Donaldson, C. J.</w:t>
      </w:r>
      <w:r w:rsidR="0077095C">
        <w:rPr>
          <w:lang w:eastAsia="en-AU"/>
        </w:rPr>
        <w:t>, and</w:t>
      </w:r>
      <w:r w:rsidRPr="00EB1BF9">
        <w:rPr>
          <w:lang w:eastAsia="en-AU"/>
        </w:rPr>
        <w:t xml:space="preserve"> N. E. O'Connell. 2012. The influence of access to aerial perches on fearfulness, social behaviour and production parameters in free-range laying hens. Applied Animal Behaviour Science 142:51-60. doi 10.1016/j.applanim.2012.08.003</w:t>
      </w:r>
    </w:p>
    <w:p w14:paraId="42412FFE" w14:textId="77777777" w:rsidR="00EB1BF9" w:rsidRPr="00EB1BF9" w:rsidRDefault="00EB1BF9" w:rsidP="00EB1BF9">
      <w:pPr>
        <w:rPr>
          <w:lang w:eastAsia="en-AU"/>
        </w:rPr>
      </w:pPr>
      <w:r w:rsidRPr="00EB1BF9">
        <w:rPr>
          <w:lang w:eastAsia="en-AU"/>
        </w:rPr>
        <w:t>Donalson, L. M., W. K. Kim, C. L. Woodward, P. Herrera, L. F. Kubena, D. J. Nisbet</w:t>
      </w:r>
      <w:r w:rsidR="0077095C">
        <w:rPr>
          <w:lang w:eastAsia="en-AU"/>
        </w:rPr>
        <w:t>, and</w:t>
      </w:r>
      <w:r w:rsidRPr="00EB1BF9">
        <w:rPr>
          <w:lang w:eastAsia="en-AU"/>
        </w:rPr>
        <w:t xml:space="preserve"> S. C. Ricke. 2005. Utilizing different ratios of alfalfa and layer ration for molt induction and performance in commercial laying he</w:t>
      </w:r>
      <w:r w:rsidR="00F74248">
        <w:rPr>
          <w:lang w:eastAsia="en-AU"/>
        </w:rPr>
        <w:t>ns. Poultry Science 84:362-369.</w:t>
      </w:r>
    </w:p>
    <w:p w14:paraId="59DB02A8" w14:textId="77777777" w:rsidR="00EB1BF9" w:rsidRPr="00EB1BF9" w:rsidRDefault="00EB1BF9" w:rsidP="00EB1BF9">
      <w:pPr>
        <w:rPr>
          <w:lang w:eastAsia="en-AU"/>
        </w:rPr>
      </w:pPr>
      <w:r w:rsidRPr="00EB1BF9">
        <w:rPr>
          <w:lang w:eastAsia="en-AU"/>
        </w:rPr>
        <w:t>Doran, T., A. Challagulla, C. Cooper, M. Tizard</w:t>
      </w:r>
      <w:r w:rsidR="0077095C">
        <w:rPr>
          <w:lang w:eastAsia="en-AU"/>
        </w:rPr>
        <w:t>, and</w:t>
      </w:r>
      <w:r w:rsidRPr="00EB1BF9">
        <w:rPr>
          <w:lang w:eastAsia="en-AU"/>
        </w:rPr>
        <w:t xml:space="preserve"> K. Jenkins. </w:t>
      </w:r>
      <w:r w:rsidR="00F74248">
        <w:rPr>
          <w:lang w:eastAsia="en-AU"/>
        </w:rPr>
        <w:t>2016</w:t>
      </w:r>
      <w:r w:rsidRPr="00EB1BF9">
        <w:rPr>
          <w:lang w:eastAsia="en-AU"/>
        </w:rPr>
        <w:t xml:space="preserve">. Genome editing in poultry - opportunities and impacts. Proc. Genome </w:t>
      </w:r>
      <w:r w:rsidR="00F74248">
        <w:rPr>
          <w:lang w:eastAsia="en-AU"/>
        </w:rPr>
        <w:t>E</w:t>
      </w:r>
      <w:r w:rsidRPr="00EB1BF9">
        <w:rPr>
          <w:lang w:eastAsia="en-AU"/>
        </w:rPr>
        <w:t xml:space="preserve">diting and the </w:t>
      </w:r>
      <w:r w:rsidR="00F74248">
        <w:rPr>
          <w:lang w:eastAsia="en-AU"/>
        </w:rPr>
        <w:t>F</w:t>
      </w:r>
      <w:r w:rsidRPr="00EB1BF9">
        <w:rPr>
          <w:lang w:eastAsia="en-AU"/>
        </w:rPr>
        <w:t xml:space="preserve">uture of </w:t>
      </w:r>
      <w:r w:rsidR="00F74248">
        <w:rPr>
          <w:lang w:eastAsia="en-AU"/>
        </w:rPr>
        <w:t>F</w:t>
      </w:r>
      <w:r w:rsidRPr="00EB1BF9">
        <w:rPr>
          <w:lang w:eastAsia="en-AU"/>
        </w:rPr>
        <w:t>arming, Rosli</w:t>
      </w:r>
      <w:r w:rsidR="00F74248">
        <w:rPr>
          <w:lang w:eastAsia="en-AU"/>
        </w:rPr>
        <w:t>n</w:t>
      </w:r>
      <w:r w:rsidRPr="00EB1BF9">
        <w:rPr>
          <w:lang w:eastAsia="en-AU"/>
        </w:rPr>
        <w:t>, Edinburgh.</w:t>
      </w:r>
    </w:p>
    <w:p w14:paraId="4201C9A3" w14:textId="77777777" w:rsidR="00EB1BF9" w:rsidRPr="00EB1BF9" w:rsidRDefault="00EB1BF9" w:rsidP="00EB1BF9">
      <w:pPr>
        <w:rPr>
          <w:lang w:eastAsia="en-AU"/>
        </w:rPr>
      </w:pPr>
      <w:r w:rsidRPr="00EB1BF9">
        <w:rPr>
          <w:lang w:eastAsia="en-AU"/>
        </w:rPr>
        <w:t>dos Santos, G. C., E. A. Garcia, J. A. Vieira, A. D. Molino, K. Pelicia, D. A. Berto, E. S. F. Murakami</w:t>
      </w:r>
      <w:r w:rsidR="0077095C">
        <w:rPr>
          <w:lang w:eastAsia="en-AU"/>
        </w:rPr>
        <w:t>, and</w:t>
      </w:r>
      <w:r w:rsidRPr="00EB1BF9">
        <w:rPr>
          <w:lang w:eastAsia="en-AU"/>
        </w:rPr>
        <w:t xml:space="preserve"> A. T. Montenegro. 2014. Feed type for induced molting of commercial layer hens. Revista Brasileira De Zootecnia-Brazilian Journal of A</w:t>
      </w:r>
      <w:r w:rsidR="00F74248">
        <w:rPr>
          <w:lang w:eastAsia="en-AU"/>
        </w:rPr>
        <w:t>nimal Science 43:146-150.</w:t>
      </w:r>
    </w:p>
    <w:p w14:paraId="59A14D8D" w14:textId="77777777" w:rsidR="00EB1BF9" w:rsidRPr="00EB1BF9" w:rsidRDefault="00EB1BF9" w:rsidP="00EB1BF9">
      <w:pPr>
        <w:rPr>
          <w:lang w:eastAsia="en-AU"/>
        </w:rPr>
      </w:pPr>
      <w:r w:rsidRPr="00EB1BF9">
        <w:rPr>
          <w:lang w:eastAsia="en-AU"/>
        </w:rPr>
        <w:t>Drake, K. A., C. A. Donnelly</w:t>
      </w:r>
      <w:r w:rsidR="0077095C">
        <w:rPr>
          <w:lang w:eastAsia="en-AU"/>
        </w:rPr>
        <w:t>, and</w:t>
      </w:r>
      <w:r w:rsidRPr="00EB1BF9">
        <w:rPr>
          <w:lang w:eastAsia="en-AU"/>
        </w:rPr>
        <w:t xml:space="preserve"> M. S. Dawkins. 2010. Influence of rearing and lay risk factors on propensity for feather damage in laying hens. British Poultry Science 51:725-733. doi 10.1080/00071668.2010.528751</w:t>
      </w:r>
    </w:p>
    <w:p w14:paraId="1C29042C" w14:textId="77777777" w:rsidR="00EB1BF9" w:rsidRPr="00EB1BF9" w:rsidRDefault="00EB1BF9" w:rsidP="00EB1BF9">
      <w:pPr>
        <w:rPr>
          <w:lang w:eastAsia="en-AU"/>
        </w:rPr>
      </w:pPr>
      <w:r w:rsidRPr="00EB1BF9">
        <w:rPr>
          <w:lang w:eastAsia="en-AU"/>
        </w:rPr>
        <w:t>Duncan, I. J. H.</w:t>
      </w:r>
      <w:r w:rsidR="0077095C">
        <w:rPr>
          <w:lang w:eastAsia="en-AU"/>
        </w:rPr>
        <w:t>, and</w:t>
      </w:r>
      <w:r w:rsidRPr="00EB1BF9">
        <w:rPr>
          <w:lang w:eastAsia="en-AU"/>
        </w:rPr>
        <w:t xml:space="preserve"> V. G. Kite. 1989. Nest site selection and nes</w:t>
      </w:r>
      <w:r w:rsidR="000928BE">
        <w:rPr>
          <w:lang w:eastAsia="en-AU"/>
        </w:rPr>
        <w:t xml:space="preserve">t-building behavior in domestic </w:t>
      </w:r>
      <w:r w:rsidRPr="00EB1BF9">
        <w:rPr>
          <w:lang w:eastAsia="en-AU"/>
        </w:rPr>
        <w:t>fowl. Animal Behaviour 37:215-231. doi 10.1016/0003-3472(89)90112-7</w:t>
      </w:r>
    </w:p>
    <w:p w14:paraId="6C91DFAD" w14:textId="77777777" w:rsidR="00EB1BF9" w:rsidRPr="00EB1BF9" w:rsidRDefault="00EB1BF9" w:rsidP="00EB1BF9">
      <w:pPr>
        <w:rPr>
          <w:lang w:eastAsia="en-AU"/>
        </w:rPr>
      </w:pPr>
      <w:r w:rsidRPr="00EB1BF9">
        <w:rPr>
          <w:lang w:eastAsia="en-AU"/>
        </w:rPr>
        <w:t>Dunkley, C. S., T. H. Friend, J. L. McReynolds, W. K. Kim, K. D. Dunkley, L. F. Kubena, D. J. Nisbet</w:t>
      </w:r>
      <w:r w:rsidR="0077095C">
        <w:rPr>
          <w:lang w:eastAsia="en-AU"/>
        </w:rPr>
        <w:t>, and</w:t>
      </w:r>
      <w:r w:rsidRPr="00EB1BF9">
        <w:rPr>
          <w:lang w:eastAsia="en-AU"/>
        </w:rPr>
        <w:t xml:space="preserve"> S. C. Ricke. 2008a. Behavior of laying hens on alfalfa crumble molt diets. Poultry Science 87:815-822. doi 10.3382/ps.2006-00385</w:t>
      </w:r>
    </w:p>
    <w:p w14:paraId="333EEBEE" w14:textId="77777777" w:rsidR="00EB1BF9" w:rsidRPr="00EB1BF9" w:rsidRDefault="00EB1BF9" w:rsidP="00EB1BF9">
      <w:pPr>
        <w:rPr>
          <w:lang w:eastAsia="en-AU"/>
        </w:rPr>
      </w:pPr>
      <w:r w:rsidRPr="00EB1BF9">
        <w:rPr>
          <w:lang w:eastAsia="en-AU"/>
        </w:rPr>
        <w:t>Dunkley, C. S., T. H. Friend, J. L. McReynolds, C. L. Woodward, W. K. Kim, K. D. Dunkley, L. F. Kubena, D. J. Nisbet</w:t>
      </w:r>
      <w:r w:rsidR="0077095C">
        <w:rPr>
          <w:lang w:eastAsia="en-AU"/>
        </w:rPr>
        <w:t>, and</w:t>
      </w:r>
      <w:r w:rsidRPr="00EB1BF9">
        <w:rPr>
          <w:lang w:eastAsia="en-AU"/>
        </w:rPr>
        <w:t xml:space="preserve"> S. C. Ricke. 2008b. Behavioral responses of laying hens to different alfalfa-layer ration combinations fed during molting. Poultry Science 87:1005-1011. doi 10.3382/ps.2006-00386</w:t>
      </w:r>
    </w:p>
    <w:p w14:paraId="0FEDDB83" w14:textId="77777777" w:rsidR="00EB1BF9" w:rsidRPr="00EB1BF9" w:rsidRDefault="00EB1BF9" w:rsidP="00EB1BF9">
      <w:pPr>
        <w:rPr>
          <w:lang w:eastAsia="en-AU"/>
        </w:rPr>
      </w:pPr>
      <w:r w:rsidRPr="00EB1BF9">
        <w:rPr>
          <w:lang w:eastAsia="en-AU"/>
        </w:rPr>
        <w:t>Dunkley, C. S., J. L. McReynolds, K. D. Dunkley, L. N. Njongmeta, L. R. Berghman, L. F. Kubena, D. J. Nisbet</w:t>
      </w:r>
      <w:r w:rsidR="0077095C">
        <w:rPr>
          <w:lang w:eastAsia="en-AU"/>
        </w:rPr>
        <w:t>, and</w:t>
      </w:r>
      <w:r w:rsidRPr="00EB1BF9">
        <w:rPr>
          <w:lang w:eastAsia="en-AU"/>
        </w:rPr>
        <w:t xml:space="preserve"> S. C. Ricke. 2007. Molting in </w:t>
      </w:r>
      <w:r w:rsidRPr="004643BC">
        <w:rPr>
          <w:i/>
          <w:lang w:eastAsia="en-AU"/>
        </w:rPr>
        <w:t>Salmonella</w:t>
      </w:r>
      <w:r w:rsidRPr="00EB1BF9">
        <w:rPr>
          <w:lang w:eastAsia="en-AU"/>
        </w:rPr>
        <w:t xml:space="preserve"> enteritidis-challenged laying hens fed alfalfa crumbles. IV. immune and stress protein resnonse. Poultry Science 86:2502-2508. doi 10.3382/ps.2006-00401</w:t>
      </w:r>
    </w:p>
    <w:p w14:paraId="330AE018" w14:textId="77777777" w:rsidR="00EB1BF9" w:rsidRPr="00EB1BF9" w:rsidRDefault="00EB1BF9" w:rsidP="00EB1BF9">
      <w:pPr>
        <w:rPr>
          <w:lang w:val="en-AU" w:eastAsia="en-AU"/>
        </w:rPr>
      </w:pPr>
      <w:r w:rsidRPr="00EB1BF9">
        <w:rPr>
          <w:lang w:val="en-AU" w:eastAsia="en-AU"/>
        </w:rPr>
        <w:t>Edgar, J.</w:t>
      </w:r>
      <w:r w:rsidR="00F74248">
        <w:rPr>
          <w:lang w:val="en-AU" w:eastAsia="en-AU"/>
        </w:rPr>
        <w:t xml:space="preserve"> </w:t>
      </w:r>
      <w:r w:rsidRPr="00EB1BF9">
        <w:rPr>
          <w:lang w:val="en-AU" w:eastAsia="en-AU"/>
        </w:rPr>
        <w:t xml:space="preserve">L., </w:t>
      </w:r>
      <w:r w:rsidR="00F74248">
        <w:rPr>
          <w:lang w:val="en-AU" w:eastAsia="en-AU"/>
        </w:rPr>
        <w:t xml:space="preserve">E. S. </w:t>
      </w:r>
      <w:r w:rsidRPr="00EB1BF9">
        <w:rPr>
          <w:lang w:val="en-AU" w:eastAsia="en-AU"/>
        </w:rPr>
        <w:t>Paul</w:t>
      </w:r>
      <w:r w:rsidR="0077095C">
        <w:rPr>
          <w:lang w:val="en-AU" w:eastAsia="en-AU"/>
        </w:rPr>
        <w:t>, and</w:t>
      </w:r>
      <w:r w:rsidRPr="00EB1BF9">
        <w:rPr>
          <w:lang w:val="en-AU" w:eastAsia="en-AU"/>
        </w:rPr>
        <w:t xml:space="preserve"> </w:t>
      </w:r>
      <w:r w:rsidR="00F74248">
        <w:rPr>
          <w:lang w:val="en-AU" w:eastAsia="en-AU"/>
        </w:rPr>
        <w:t xml:space="preserve">C. J. Nicol. </w:t>
      </w:r>
      <w:r w:rsidRPr="00EB1BF9">
        <w:rPr>
          <w:lang w:val="en-AU" w:eastAsia="en-AU"/>
        </w:rPr>
        <w:t>2013</w:t>
      </w:r>
      <w:r w:rsidR="00F74248">
        <w:rPr>
          <w:lang w:val="en-AU" w:eastAsia="en-AU"/>
        </w:rPr>
        <w:t>.</w:t>
      </w:r>
      <w:r w:rsidRPr="00EB1BF9">
        <w:rPr>
          <w:lang w:val="en-AU" w:eastAsia="en-AU"/>
        </w:rPr>
        <w:t xml:space="preserve"> Protective mother hens: cognitive influences on the avian maternal response. Animal Behaviour 86</w:t>
      </w:r>
      <w:r w:rsidR="00F74248">
        <w:rPr>
          <w:lang w:val="en-AU" w:eastAsia="en-AU"/>
        </w:rPr>
        <w:t>:</w:t>
      </w:r>
      <w:r w:rsidRPr="00EB1BF9">
        <w:rPr>
          <w:lang w:val="en-AU" w:eastAsia="en-AU"/>
        </w:rPr>
        <w:t>223-229</w:t>
      </w:r>
      <w:r w:rsidR="00F74248">
        <w:rPr>
          <w:lang w:val="en-AU" w:eastAsia="en-AU"/>
        </w:rPr>
        <w:t>.</w:t>
      </w:r>
    </w:p>
    <w:p w14:paraId="4343D8B4" w14:textId="77777777" w:rsidR="00EB1BF9" w:rsidRPr="00EB1BF9" w:rsidRDefault="00EB1BF9" w:rsidP="00EB1BF9">
      <w:pPr>
        <w:rPr>
          <w:lang w:val="en-AU" w:eastAsia="en-AU"/>
        </w:rPr>
      </w:pPr>
      <w:r w:rsidRPr="00EB1BF9">
        <w:rPr>
          <w:lang w:val="en-AU" w:eastAsia="en-AU"/>
        </w:rPr>
        <w:t xml:space="preserve">Edgar, J., </w:t>
      </w:r>
      <w:r w:rsidR="00F74248">
        <w:rPr>
          <w:lang w:val="en-AU" w:eastAsia="en-AU"/>
        </w:rPr>
        <w:t xml:space="preserve">S. </w:t>
      </w:r>
      <w:r w:rsidRPr="00EB1BF9">
        <w:rPr>
          <w:lang w:val="en-AU" w:eastAsia="en-AU"/>
        </w:rPr>
        <w:t>Held,</w:t>
      </w:r>
      <w:r w:rsidR="00F74248">
        <w:rPr>
          <w:lang w:val="en-AU" w:eastAsia="en-AU"/>
        </w:rPr>
        <w:t xml:space="preserve"> E. </w:t>
      </w:r>
      <w:r w:rsidRPr="00EB1BF9">
        <w:rPr>
          <w:lang w:val="en-AU" w:eastAsia="en-AU"/>
        </w:rPr>
        <w:t>Paul,</w:t>
      </w:r>
      <w:r w:rsidR="00F74248">
        <w:rPr>
          <w:lang w:val="en-AU" w:eastAsia="en-AU"/>
        </w:rPr>
        <w:t xml:space="preserve"> I.</w:t>
      </w:r>
      <w:r w:rsidRPr="00EB1BF9">
        <w:rPr>
          <w:lang w:val="en-AU" w:eastAsia="en-AU"/>
        </w:rPr>
        <w:t xml:space="preserve"> Pettersson, </w:t>
      </w:r>
      <w:r w:rsidR="00F74248">
        <w:rPr>
          <w:lang w:val="en-AU" w:eastAsia="en-AU"/>
        </w:rPr>
        <w:t>R. I. A.</w:t>
      </w:r>
      <w:r w:rsidRPr="00EB1BF9">
        <w:rPr>
          <w:lang w:val="en-AU" w:eastAsia="en-AU"/>
        </w:rPr>
        <w:t xml:space="preserve"> Price</w:t>
      </w:r>
      <w:r w:rsidR="0077095C">
        <w:rPr>
          <w:lang w:val="en-AU" w:eastAsia="en-AU"/>
        </w:rPr>
        <w:t>, and</w:t>
      </w:r>
      <w:r w:rsidRPr="00EB1BF9">
        <w:rPr>
          <w:lang w:val="en-AU" w:eastAsia="en-AU"/>
        </w:rPr>
        <w:t xml:space="preserve"> </w:t>
      </w:r>
      <w:r w:rsidR="00F74248">
        <w:rPr>
          <w:lang w:val="en-AU" w:eastAsia="en-AU"/>
        </w:rPr>
        <w:t xml:space="preserve">C. </w:t>
      </w:r>
      <w:r w:rsidRPr="00EB1BF9">
        <w:rPr>
          <w:lang w:val="en-AU" w:eastAsia="en-AU"/>
        </w:rPr>
        <w:t>Nicol</w:t>
      </w:r>
      <w:r w:rsidR="00F74248">
        <w:rPr>
          <w:lang w:val="en-AU" w:eastAsia="en-AU"/>
        </w:rPr>
        <w:t>.</w:t>
      </w:r>
      <w:r w:rsidR="002C6C62">
        <w:rPr>
          <w:lang w:val="en-AU" w:eastAsia="en-AU"/>
        </w:rPr>
        <w:t xml:space="preserve"> 2015</w:t>
      </w:r>
      <w:r w:rsidRPr="00EB1BF9">
        <w:rPr>
          <w:lang w:val="en-AU" w:eastAsia="en-AU"/>
        </w:rPr>
        <w:t xml:space="preserve">. Social buffering in a bird. </w:t>
      </w:r>
      <w:r w:rsidRPr="00EB1BF9">
        <w:rPr>
          <w:iCs/>
          <w:lang w:val="en-AU" w:eastAsia="en-AU"/>
        </w:rPr>
        <w:t>Animal Behaviour</w:t>
      </w:r>
      <w:r w:rsidRPr="00EB1BF9">
        <w:rPr>
          <w:lang w:val="en-AU" w:eastAsia="en-AU"/>
        </w:rPr>
        <w:t xml:space="preserve"> </w:t>
      </w:r>
      <w:r w:rsidRPr="00EB1BF9">
        <w:rPr>
          <w:iCs/>
          <w:lang w:val="en-AU" w:eastAsia="en-AU"/>
        </w:rPr>
        <w:t>105</w:t>
      </w:r>
      <w:r w:rsidR="00F74248">
        <w:rPr>
          <w:iCs/>
          <w:lang w:val="en-AU" w:eastAsia="en-AU"/>
        </w:rPr>
        <w:t>:</w:t>
      </w:r>
      <w:r w:rsidRPr="00EB1BF9">
        <w:rPr>
          <w:lang w:val="en-AU" w:eastAsia="en-AU"/>
        </w:rPr>
        <w:t>11-19.</w:t>
      </w:r>
    </w:p>
    <w:p w14:paraId="1CDD3F05" w14:textId="77777777" w:rsidR="00EB1BF9" w:rsidRPr="00EB1BF9" w:rsidRDefault="00EB1BF9" w:rsidP="00EB1BF9">
      <w:pPr>
        <w:rPr>
          <w:lang w:val="en-AU" w:eastAsia="en-AU"/>
        </w:rPr>
      </w:pPr>
      <w:r w:rsidRPr="00EB1BF9">
        <w:rPr>
          <w:lang w:val="en-AU" w:eastAsia="en-AU"/>
        </w:rPr>
        <w:t>Edwards L</w:t>
      </w:r>
      <w:r w:rsidR="002C6C62">
        <w:rPr>
          <w:lang w:val="en-AU" w:eastAsia="en-AU"/>
        </w:rPr>
        <w:t xml:space="preserve">. </w:t>
      </w:r>
      <w:r w:rsidRPr="00EB1BF9">
        <w:rPr>
          <w:lang w:val="en-AU" w:eastAsia="en-AU"/>
        </w:rPr>
        <w:t>E</w:t>
      </w:r>
      <w:r w:rsidR="002C6C62">
        <w:rPr>
          <w:lang w:val="en-AU" w:eastAsia="en-AU"/>
        </w:rPr>
        <w:t>.</w:t>
      </w:r>
      <w:r w:rsidRPr="00EB1BF9">
        <w:rPr>
          <w:lang w:val="en-AU" w:eastAsia="en-AU"/>
        </w:rPr>
        <w:t xml:space="preserve">, </w:t>
      </w:r>
      <w:r w:rsidR="002C6C62">
        <w:rPr>
          <w:lang w:val="en-AU" w:eastAsia="en-AU"/>
        </w:rPr>
        <w:t xml:space="preserve">N. A. </w:t>
      </w:r>
      <w:r w:rsidRPr="00EB1BF9">
        <w:rPr>
          <w:lang w:val="en-AU" w:eastAsia="en-AU"/>
        </w:rPr>
        <w:t xml:space="preserve">Botheras, </w:t>
      </w:r>
      <w:r w:rsidR="002C6C62">
        <w:rPr>
          <w:lang w:val="en-AU" w:eastAsia="en-AU"/>
        </w:rPr>
        <w:t xml:space="preserve">G. J. </w:t>
      </w:r>
      <w:r w:rsidRPr="00EB1BF9">
        <w:rPr>
          <w:lang w:val="en-AU" w:eastAsia="en-AU"/>
        </w:rPr>
        <w:t>Coleman</w:t>
      </w:r>
      <w:r w:rsidR="0077095C">
        <w:rPr>
          <w:lang w:val="en-AU" w:eastAsia="en-AU"/>
        </w:rPr>
        <w:t>, and</w:t>
      </w:r>
      <w:r w:rsidRPr="00EB1BF9">
        <w:rPr>
          <w:lang w:val="en-AU" w:eastAsia="en-AU"/>
        </w:rPr>
        <w:t xml:space="preserve"> </w:t>
      </w:r>
      <w:r w:rsidR="002C6C62">
        <w:rPr>
          <w:lang w:val="en-AU" w:eastAsia="en-AU"/>
        </w:rPr>
        <w:t xml:space="preserve">P. H. </w:t>
      </w:r>
      <w:r w:rsidRPr="00EB1BF9">
        <w:rPr>
          <w:lang w:val="en-AU" w:eastAsia="en-AU"/>
        </w:rPr>
        <w:t>Hemsworth</w:t>
      </w:r>
      <w:r w:rsidR="002C6C62">
        <w:rPr>
          <w:lang w:val="en-AU" w:eastAsia="en-AU"/>
        </w:rPr>
        <w:t>.</w:t>
      </w:r>
      <w:r w:rsidRPr="00EB1BF9">
        <w:rPr>
          <w:lang w:val="en-AU" w:eastAsia="en-AU"/>
        </w:rPr>
        <w:t xml:space="preserve"> 2010</w:t>
      </w:r>
      <w:r w:rsidR="002C6C62">
        <w:rPr>
          <w:lang w:val="en-AU" w:eastAsia="en-AU"/>
        </w:rPr>
        <w:t>.</w:t>
      </w:r>
      <w:r w:rsidRPr="00EB1BF9">
        <w:rPr>
          <w:lang w:val="en-AU" w:eastAsia="en-AU"/>
        </w:rPr>
        <w:t xml:space="preserve"> Behavioural and physiological responses of laying hens to humans. Animal Production Science 50</w:t>
      </w:r>
      <w:r w:rsidR="002C6C62">
        <w:rPr>
          <w:lang w:val="en-AU" w:eastAsia="en-AU"/>
        </w:rPr>
        <w:t>:</w:t>
      </w:r>
      <w:r w:rsidR="0091352D">
        <w:rPr>
          <w:lang w:val="en-AU" w:eastAsia="en-AU"/>
        </w:rPr>
        <w:t xml:space="preserve">557–559. doi </w:t>
      </w:r>
      <w:r w:rsidRPr="00EB1BF9">
        <w:rPr>
          <w:lang w:val="en-AU" w:eastAsia="en-AU"/>
        </w:rPr>
        <w:t>10.1071/AN09227</w:t>
      </w:r>
    </w:p>
    <w:p w14:paraId="6EC75D2F" w14:textId="77777777" w:rsidR="00EB1BF9" w:rsidRPr="00EB1BF9" w:rsidRDefault="00EB1BF9" w:rsidP="00EB1BF9">
      <w:pPr>
        <w:rPr>
          <w:lang w:eastAsia="en-AU"/>
        </w:rPr>
      </w:pPr>
      <w:r w:rsidRPr="00EB1BF9">
        <w:rPr>
          <w:lang w:eastAsia="en-AU"/>
        </w:rPr>
        <w:t>Edwards, L. E., G. J. Coleman</w:t>
      </w:r>
      <w:r w:rsidR="0077095C">
        <w:rPr>
          <w:lang w:eastAsia="en-AU"/>
        </w:rPr>
        <w:t>, and</w:t>
      </w:r>
      <w:r w:rsidRPr="00EB1BF9">
        <w:rPr>
          <w:lang w:eastAsia="en-AU"/>
        </w:rPr>
        <w:t xml:space="preserve"> P. H. Hemsworth. 2013. Close human presence reduces avoidance behaviour in commercial caged laying hens to an approaching human. Animal Production Science 53:1276-1282. doi 10.1071/an12342</w:t>
      </w:r>
    </w:p>
    <w:p w14:paraId="714EC104" w14:textId="77777777" w:rsidR="003018CB" w:rsidRDefault="003018CB" w:rsidP="00EB1BF9">
      <w:pPr>
        <w:rPr>
          <w:lang w:eastAsia="en-AU"/>
        </w:rPr>
      </w:pPr>
      <w:r>
        <w:rPr>
          <w:lang w:eastAsia="en-AU"/>
        </w:rPr>
        <w:t>EFSA. 2015. Scientific Opinion on welfare aspects of the use of perches for laying hens. EFSA Journal 13: 4131.</w:t>
      </w:r>
    </w:p>
    <w:p w14:paraId="754FBAD9" w14:textId="77777777" w:rsidR="00EB1BF9" w:rsidRPr="00EB1BF9" w:rsidRDefault="00EB1BF9" w:rsidP="00EB1BF9">
      <w:pPr>
        <w:rPr>
          <w:lang w:eastAsia="en-AU"/>
        </w:rPr>
      </w:pPr>
      <w:r w:rsidRPr="00EB1BF9">
        <w:rPr>
          <w:lang w:eastAsia="en-AU"/>
        </w:rPr>
        <w:t>Eklund, B.</w:t>
      </w:r>
      <w:r w:rsidR="0077095C">
        <w:rPr>
          <w:lang w:eastAsia="en-AU"/>
        </w:rPr>
        <w:t>, and</w:t>
      </w:r>
      <w:r w:rsidRPr="00EB1BF9">
        <w:rPr>
          <w:lang w:eastAsia="en-AU"/>
        </w:rPr>
        <w:t xml:space="preserve"> P. Jensen. 2011. Domestication effects on behavioural synchronization and individual distances in chickens (</w:t>
      </w:r>
      <w:r w:rsidRPr="002C6C62">
        <w:rPr>
          <w:i/>
          <w:lang w:eastAsia="en-AU"/>
        </w:rPr>
        <w:t>Gallus gallus</w:t>
      </w:r>
      <w:r w:rsidRPr="00EB1BF9">
        <w:rPr>
          <w:lang w:eastAsia="en-AU"/>
        </w:rPr>
        <w:t>). Behavioural Processes 86:250-256. doi 10.1016/j.beproc.2010.12.010</w:t>
      </w:r>
    </w:p>
    <w:p w14:paraId="0EC0158A" w14:textId="77777777" w:rsidR="00EB1BF9" w:rsidRPr="00EB1BF9" w:rsidRDefault="00EB1BF9" w:rsidP="00EB1BF9">
      <w:pPr>
        <w:rPr>
          <w:lang w:eastAsia="en-AU"/>
        </w:rPr>
      </w:pPr>
      <w:r w:rsidRPr="00EB1BF9">
        <w:rPr>
          <w:lang w:eastAsia="en-AU"/>
        </w:rPr>
        <w:t>El-lethey, H., T. W. Jungi</w:t>
      </w:r>
      <w:r w:rsidR="0077095C">
        <w:rPr>
          <w:lang w:eastAsia="en-AU"/>
        </w:rPr>
        <w:t>, and</w:t>
      </w:r>
      <w:r w:rsidRPr="00EB1BF9">
        <w:rPr>
          <w:lang w:eastAsia="en-AU"/>
        </w:rPr>
        <w:t xml:space="preserve"> B. Huber-Eicher. 2001. Effects of feeding corticosterone and housing conditions on feather pecking in laying hens (</w:t>
      </w:r>
      <w:r w:rsidRPr="002C6C62">
        <w:rPr>
          <w:i/>
          <w:lang w:eastAsia="en-AU"/>
        </w:rPr>
        <w:t>Gallus gallus domesticus</w:t>
      </w:r>
      <w:r w:rsidRPr="00EB1BF9">
        <w:rPr>
          <w:lang w:eastAsia="en-AU"/>
        </w:rPr>
        <w:t>). Physiology &amp; Behavior 73:243-251. doi 10.1016/s0031-9384(01)00475-9</w:t>
      </w:r>
    </w:p>
    <w:p w14:paraId="7A070899" w14:textId="77777777" w:rsidR="00EB1BF9" w:rsidRPr="00EB1BF9" w:rsidRDefault="00EB1BF9" w:rsidP="00EB1BF9">
      <w:pPr>
        <w:rPr>
          <w:lang w:eastAsia="en-AU"/>
        </w:rPr>
      </w:pPr>
      <w:r w:rsidRPr="00EB1BF9">
        <w:rPr>
          <w:lang w:eastAsia="en-AU"/>
        </w:rPr>
        <w:t>Ellen, E. D., T. B. Rodenburg, G. A. A. Albers, J. E. Bolhuis, I. Camerlink, N. Duijvesteijn, E. F. Knol, W. M. Muir, K. Peeters, I. Reimert, E. Sell-Kubiak, J. A. M. van Arendonk, J. Visscher</w:t>
      </w:r>
      <w:r w:rsidR="0077095C">
        <w:rPr>
          <w:lang w:eastAsia="en-AU"/>
        </w:rPr>
        <w:t>, and</w:t>
      </w:r>
      <w:r w:rsidRPr="00EB1BF9">
        <w:rPr>
          <w:lang w:eastAsia="en-AU"/>
        </w:rPr>
        <w:t xml:space="preserve"> P. Bijma. 2014. The prospects of selection for social genetic effects to improve welfare and productivity in livestock. Frontiers in Genetics 5. doi 10.3389/fgene.2014.00377</w:t>
      </w:r>
    </w:p>
    <w:p w14:paraId="7AE1E1FF" w14:textId="77777777" w:rsidR="00EB1BF9" w:rsidRDefault="00EB1BF9" w:rsidP="00EB1BF9">
      <w:pPr>
        <w:rPr>
          <w:lang w:eastAsia="en-AU"/>
        </w:rPr>
      </w:pPr>
      <w:r w:rsidRPr="00EB1BF9">
        <w:rPr>
          <w:lang w:eastAsia="en-AU"/>
        </w:rPr>
        <w:t>Ellen, E. D., J. Visscher, J. A. M. van Arendonk</w:t>
      </w:r>
      <w:r w:rsidR="0077095C">
        <w:rPr>
          <w:lang w:eastAsia="en-AU"/>
        </w:rPr>
        <w:t>, and</w:t>
      </w:r>
      <w:r w:rsidRPr="00EB1BF9">
        <w:rPr>
          <w:lang w:eastAsia="en-AU"/>
        </w:rPr>
        <w:t xml:space="preserve"> P. Bijma. 2008. Survival of laying hens: Genetic parameters for direct and associative effects in three purebred layer lines. Poultry Science 87:233-239. doi 10.3382/ps.2007-00374</w:t>
      </w:r>
    </w:p>
    <w:p w14:paraId="46A7DCC3" w14:textId="77777777" w:rsidR="00B129E3" w:rsidRPr="00EB1BF9" w:rsidRDefault="00B129E3" w:rsidP="00EB1BF9">
      <w:pPr>
        <w:rPr>
          <w:lang w:eastAsia="en-AU"/>
        </w:rPr>
      </w:pPr>
      <w:r w:rsidRPr="00B129E3">
        <w:rPr>
          <w:lang w:eastAsia="en-AU"/>
        </w:rPr>
        <w:t xml:space="preserve">Elwinger, K., </w:t>
      </w:r>
      <w:r>
        <w:rPr>
          <w:lang w:eastAsia="en-AU"/>
        </w:rPr>
        <w:t xml:space="preserve">M. </w:t>
      </w:r>
      <w:r w:rsidRPr="00B129E3">
        <w:rPr>
          <w:lang w:eastAsia="en-AU"/>
        </w:rPr>
        <w:t xml:space="preserve">Tufvesson, </w:t>
      </w:r>
      <w:r>
        <w:rPr>
          <w:lang w:eastAsia="en-AU"/>
        </w:rPr>
        <w:t>G.</w:t>
      </w:r>
      <w:r w:rsidRPr="00B129E3">
        <w:rPr>
          <w:lang w:eastAsia="en-AU"/>
        </w:rPr>
        <w:t xml:space="preserve"> Lagerkvist, </w:t>
      </w:r>
      <w:r>
        <w:rPr>
          <w:lang w:eastAsia="en-AU"/>
        </w:rPr>
        <w:t>and R.</w:t>
      </w:r>
      <w:r w:rsidRPr="00B129E3">
        <w:rPr>
          <w:lang w:eastAsia="en-AU"/>
        </w:rPr>
        <w:t xml:space="preserve"> Tauson, R. 2008. Feeding layers of</w:t>
      </w:r>
      <w:r>
        <w:rPr>
          <w:lang w:eastAsia="en-AU"/>
        </w:rPr>
        <w:t xml:space="preserve"> different genotypes in organic</w:t>
      </w:r>
      <w:r w:rsidRPr="00B129E3">
        <w:rPr>
          <w:lang w:eastAsia="en-AU"/>
        </w:rPr>
        <w:t xml:space="preserve"> feed environmen</w:t>
      </w:r>
      <w:r>
        <w:rPr>
          <w:lang w:eastAsia="en-AU"/>
        </w:rPr>
        <w:t>ts. British Poultry Science 49:</w:t>
      </w:r>
      <w:r w:rsidRPr="00B129E3">
        <w:rPr>
          <w:lang w:eastAsia="en-AU"/>
        </w:rPr>
        <w:t>654-665</w:t>
      </w:r>
      <w:r>
        <w:rPr>
          <w:lang w:eastAsia="en-AU"/>
        </w:rPr>
        <w:t>.</w:t>
      </w:r>
    </w:p>
    <w:p w14:paraId="30CCF8B0" w14:textId="77777777" w:rsidR="00EB1BF9" w:rsidRPr="00EB1BF9" w:rsidRDefault="00EB1BF9" w:rsidP="00EB1BF9">
      <w:pPr>
        <w:rPr>
          <w:lang w:eastAsia="en-AU"/>
        </w:rPr>
      </w:pPr>
      <w:r w:rsidRPr="00EB1BF9">
        <w:rPr>
          <w:lang w:eastAsia="en-AU"/>
        </w:rPr>
        <w:t>Enneking, S. A., H. W. Cheng, K. Y. Jefferson-Moore, M. E. Einstein, D. A. Rubin</w:t>
      </w:r>
      <w:r w:rsidR="0077095C">
        <w:rPr>
          <w:lang w:eastAsia="en-AU"/>
        </w:rPr>
        <w:t>, and</w:t>
      </w:r>
      <w:r w:rsidRPr="00EB1BF9">
        <w:rPr>
          <w:lang w:eastAsia="en-AU"/>
        </w:rPr>
        <w:t xml:space="preserve"> P. Y. Hester. 2012. Early access to perches in caged White Leghorn pullets. Poultry Science 91:2114-2120. doi 10.3382/ps.2012-02328</w:t>
      </w:r>
    </w:p>
    <w:p w14:paraId="426D353B" w14:textId="77777777" w:rsidR="00EB1BF9" w:rsidRPr="00EB1BF9" w:rsidRDefault="00EB1BF9" w:rsidP="00EB1BF9">
      <w:pPr>
        <w:rPr>
          <w:lang w:eastAsia="en-AU"/>
        </w:rPr>
      </w:pPr>
      <w:r w:rsidRPr="00EB1BF9">
        <w:rPr>
          <w:lang w:eastAsia="en-AU"/>
        </w:rPr>
        <w:t>Ericsson, M., R. Henriksen, J. Belteky, A. S. Sundman, K. Shionoya</w:t>
      </w:r>
      <w:r w:rsidR="0077095C">
        <w:rPr>
          <w:lang w:eastAsia="en-AU"/>
        </w:rPr>
        <w:t>, and</w:t>
      </w:r>
      <w:r w:rsidRPr="00EB1BF9">
        <w:rPr>
          <w:lang w:eastAsia="en-AU"/>
        </w:rPr>
        <w:t xml:space="preserve"> P. Jensen. 2016. Long-Term and Transgenerational Effects of Stress Experienced during Different Life Phases in Chickens (</w:t>
      </w:r>
      <w:r w:rsidRPr="002C6C62">
        <w:rPr>
          <w:i/>
          <w:lang w:eastAsia="en-AU"/>
        </w:rPr>
        <w:t>Gallus gallus</w:t>
      </w:r>
      <w:r w:rsidRPr="00EB1BF9">
        <w:rPr>
          <w:lang w:eastAsia="en-AU"/>
        </w:rPr>
        <w:t xml:space="preserve">). </w:t>
      </w:r>
      <w:r w:rsidR="00601DC5">
        <w:rPr>
          <w:lang w:eastAsia="en-AU"/>
        </w:rPr>
        <w:t>PLoS</w:t>
      </w:r>
      <w:r w:rsidR="00997550">
        <w:rPr>
          <w:lang w:eastAsia="en-AU"/>
        </w:rPr>
        <w:t xml:space="preserve"> ONE</w:t>
      </w:r>
      <w:r w:rsidRPr="00EB1BF9">
        <w:rPr>
          <w:lang w:eastAsia="en-AU"/>
        </w:rPr>
        <w:t xml:space="preserve"> 11. doi 10.1371/journal.pone.0153879</w:t>
      </w:r>
    </w:p>
    <w:p w14:paraId="729FE23C" w14:textId="77777777" w:rsidR="00EB1BF9" w:rsidRPr="00EB1BF9" w:rsidRDefault="00EB1BF9" w:rsidP="00EB1BF9">
      <w:pPr>
        <w:rPr>
          <w:lang w:eastAsia="en-AU"/>
        </w:rPr>
      </w:pPr>
      <w:r w:rsidRPr="00EB1BF9">
        <w:rPr>
          <w:lang w:eastAsia="en-AU"/>
        </w:rPr>
        <w:t>Eriksson, H., A. K. Nyman, C. Fellstrom</w:t>
      </w:r>
      <w:r w:rsidR="0077095C">
        <w:rPr>
          <w:lang w:eastAsia="en-AU"/>
        </w:rPr>
        <w:t>, and</w:t>
      </w:r>
      <w:r w:rsidRPr="00EB1BF9">
        <w:rPr>
          <w:lang w:eastAsia="en-AU"/>
        </w:rPr>
        <w:t xml:space="preserve"> P. Wallgren. 2013. Erysipelas in laying hens is associated with housing system. Veterinary Record 173:18. doi 10.1136/vr.101388</w:t>
      </w:r>
    </w:p>
    <w:p w14:paraId="7AB714C6" w14:textId="77777777" w:rsidR="00EB1BF9" w:rsidRPr="00EB1BF9" w:rsidRDefault="00EB1BF9" w:rsidP="00EB1BF9">
      <w:pPr>
        <w:rPr>
          <w:lang w:eastAsia="en-AU"/>
        </w:rPr>
      </w:pPr>
      <w:r w:rsidRPr="00EB1BF9">
        <w:rPr>
          <w:lang w:eastAsia="en-AU"/>
        </w:rPr>
        <w:t>Estevez, I., L. J. Keeling</w:t>
      </w:r>
      <w:r w:rsidR="0077095C">
        <w:rPr>
          <w:lang w:eastAsia="en-AU"/>
        </w:rPr>
        <w:t>, and</w:t>
      </w:r>
      <w:r w:rsidRPr="00EB1BF9">
        <w:rPr>
          <w:lang w:eastAsia="en-AU"/>
        </w:rPr>
        <w:t xml:space="preserve"> R. C. Newberry. 2003. Decreasing aggressions with increasing group size in young domestic fowl. Applied Animal Behaviour Science 84:213-218. doi 10.1016/j.applanim.2003.08.006</w:t>
      </w:r>
    </w:p>
    <w:p w14:paraId="5CA4EF3B" w14:textId="77777777" w:rsidR="00EB1BF9" w:rsidRPr="00EB1BF9" w:rsidRDefault="00EB1BF9" w:rsidP="00EB1BF9">
      <w:pPr>
        <w:rPr>
          <w:lang w:eastAsia="en-AU"/>
        </w:rPr>
      </w:pPr>
      <w:r w:rsidRPr="00EB1BF9">
        <w:rPr>
          <w:lang w:eastAsia="en-AU"/>
        </w:rPr>
        <w:t>Fahey, A. G.</w:t>
      </w:r>
      <w:r w:rsidR="0077095C">
        <w:rPr>
          <w:lang w:eastAsia="en-AU"/>
        </w:rPr>
        <w:t>, and</w:t>
      </w:r>
      <w:r w:rsidRPr="00EB1BF9">
        <w:rPr>
          <w:lang w:eastAsia="en-AU"/>
        </w:rPr>
        <w:t xml:space="preserve"> H. W. Cheng. 2008a. Effects of social disruption on physical parameters, corticosterone concentrations, and immune system in two genetic lines of white leghorn layers. Poultry Science 87:1947-1954. doi 10.3382/ps.2007-00477</w:t>
      </w:r>
    </w:p>
    <w:p w14:paraId="3E7A9BA7" w14:textId="77777777" w:rsidR="00EB1BF9" w:rsidRPr="00EB1BF9" w:rsidRDefault="00EB1BF9" w:rsidP="00EB1BF9">
      <w:pPr>
        <w:rPr>
          <w:lang w:eastAsia="en-AU"/>
        </w:rPr>
      </w:pPr>
      <w:r w:rsidRPr="00EB1BF9">
        <w:rPr>
          <w:lang w:eastAsia="en-AU"/>
        </w:rPr>
        <w:t>Fahey, A. G.</w:t>
      </w:r>
      <w:r w:rsidR="0077095C">
        <w:rPr>
          <w:lang w:eastAsia="en-AU"/>
        </w:rPr>
        <w:t>, and</w:t>
      </w:r>
      <w:r w:rsidRPr="00EB1BF9">
        <w:rPr>
          <w:lang w:eastAsia="en-AU"/>
        </w:rPr>
        <w:t xml:space="preserve"> H. W. Cheng. 2008b. Group Size and Density Effects on Physical Indices and Cell-Mediated Immunity in Two Genetic Lines of White Leghorn Layers. Poultry Science 87:2500-2504. doi 10.3382/ps.2007-00407</w:t>
      </w:r>
    </w:p>
    <w:p w14:paraId="00B21AC2" w14:textId="77777777" w:rsidR="00EB1BF9" w:rsidRPr="00EB1BF9" w:rsidRDefault="00EB1BF9" w:rsidP="00EB1BF9">
      <w:pPr>
        <w:rPr>
          <w:lang w:eastAsia="en-AU"/>
        </w:rPr>
      </w:pPr>
      <w:r w:rsidRPr="00EB1BF9">
        <w:rPr>
          <w:lang w:eastAsia="en-AU"/>
        </w:rPr>
        <w:t>Fahey, A. G., R. M. Marchant-Forde</w:t>
      </w:r>
      <w:r w:rsidR="0077095C">
        <w:rPr>
          <w:lang w:eastAsia="en-AU"/>
        </w:rPr>
        <w:t>, and</w:t>
      </w:r>
      <w:r w:rsidRPr="00EB1BF9">
        <w:rPr>
          <w:lang w:eastAsia="en-AU"/>
        </w:rPr>
        <w:t xml:space="preserve"> H. W. Cheng. 2007. Relationship between body weight and beak characteristics in one-day-old white leghorn chicks: Its implications for beak trimming</w:t>
      </w:r>
      <w:r w:rsidR="002C6C62">
        <w:rPr>
          <w:lang w:eastAsia="en-AU"/>
        </w:rPr>
        <w:t>. Poultry Science 86:1312-1315.</w:t>
      </w:r>
    </w:p>
    <w:p w14:paraId="4BB923B9" w14:textId="77777777" w:rsidR="00EB1BF9" w:rsidRPr="00EB1BF9" w:rsidRDefault="00EB1BF9" w:rsidP="00EB1BF9">
      <w:pPr>
        <w:rPr>
          <w:lang w:eastAsia="en-AU"/>
        </w:rPr>
      </w:pPr>
      <w:r w:rsidRPr="00EB1BF9">
        <w:rPr>
          <w:lang w:eastAsia="en-AU"/>
        </w:rPr>
        <w:t>Ferrante, V., S. Lolli, G. Vezzoli</w:t>
      </w:r>
      <w:r w:rsidR="0077095C">
        <w:rPr>
          <w:lang w:eastAsia="en-AU"/>
        </w:rPr>
        <w:t>, and</w:t>
      </w:r>
      <w:r w:rsidRPr="00EB1BF9">
        <w:rPr>
          <w:lang w:eastAsia="en-AU"/>
        </w:rPr>
        <w:t xml:space="preserve"> L. G. Cavalchini. 2009. Effects of two different rearing systems (organic and barn) on production performance, animal welfare traits and egg quality characteristics in laying hens. Italian Journ</w:t>
      </w:r>
      <w:r w:rsidR="002C6C62">
        <w:rPr>
          <w:lang w:eastAsia="en-AU"/>
        </w:rPr>
        <w:t>al of Animal Science 8:165-174.</w:t>
      </w:r>
    </w:p>
    <w:p w14:paraId="189C403C" w14:textId="77777777" w:rsidR="00EB1BF9" w:rsidRPr="00EB1BF9" w:rsidRDefault="00EB1BF9" w:rsidP="00EB1BF9">
      <w:pPr>
        <w:rPr>
          <w:lang w:eastAsia="en-AU"/>
        </w:rPr>
      </w:pPr>
      <w:r w:rsidRPr="00EB1BF9">
        <w:rPr>
          <w:lang w:eastAsia="en-AU"/>
        </w:rPr>
        <w:t>Fleming, R. H., H. A. McCormack, L. McTeir</w:t>
      </w:r>
      <w:r w:rsidR="0077095C">
        <w:rPr>
          <w:lang w:eastAsia="en-AU"/>
        </w:rPr>
        <w:t>, and</w:t>
      </w:r>
      <w:r w:rsidRPr="00EB1BF9">
        <w:rPr>
          <w:lang w:eastAsia="en-AU"/>
        </w:rPr>
        <w:t xml:space="preserve"> C. C. Whitehead. 2004. Incidence, pathology and prevention of keel bone deformities in the laying hen. British Poultry Science 45:320-330. doi 10.1080/00071660410001730815</w:t>
      </w:r>
    </w:p>
    <w:p w14:paraId="3D58FC70" w14:textId="77777777" w:rsidR="00EB1BF9" w:rsidRPr="00EB1BF9" w:rsidRDefault="00EB1BF9" w:rsidP="00EB1BF9">
      <w:pPr>
        <w:rPr>
          <w:lang w:eastAsia="en-AU"/>
        </w:rPr>
      </w:pPr>
      <w:r w:rsidRPr="00EB1BF9">
        <w:rPr>
          <w:lang w:eastAsia="en-AU"/>
        </w:rPr>
        <w:t>Flisikowski, K., H. Schwarzenbacher, M. Wysocki, S. Weigend, R. Preisinger, J. B. Kjaer</w:t>
      </w:r>
      <w:r w:rsidR="0077095C">
        <w:rPr>
          <w:lang w:eastAsia="en-AU"/>
        </w:rPr>
        <w:t>, and</w:t>
      </w:r>
      <w:r w:rsidRPr="00EB1BF9">
        <w:rPr>
          <w:lang w:eastAsia="en-AU"/>
        </w:rPr>
        <w:t xml:space="preserve"> R. Fries. 2009. Variation in neighbouring genes of the dopaminergic and serotonergic systems affects feather pecking behaviour of laying hens. Animal Genetics 40:192-199. doi 10.1111/j.1365-2052.2008.01821.x</w:t>
      </w:r>
    </w:p>
    <w:p w14:paraId="19D928D6" w14:textId="77777777" w:rsidR="00EB1BF9" w:rsidRPr="00EB1BF9" w:rsidRDefault="00EB1BF9" w:rsidP="00EB1BF9">
      <w:pPr>
        <w:rPr>
          <w:lang w:eastAsia="en-AU"/>
        </w:rPr>
      </w:pPr>
      <w:r w:rsidRPr="00EB1BF9">
        <w:rPr>
          <w:lang w:eastAsia="en-AU"/>
        </w:rPr>
        <w:t>Forte, C., G. Acuti, E. Manuali, P. C. Proietti, S. Pavone, M. Trabalza-Marinucci, L. Moscati, A. Onofri, C. Lorenzetti</w:t>
      </w:r>
      <w:r w:rsidR="0077095C">
        <w:rPr>
          <w:lang w:eastAsia="en-AU"/>
        </w:rPr>
        <w:t>, and</w:t>
      </w:r>
      <w:r w:rsidRPr="00EB1BF9">
        <w:rPr>
          <w:lang w:eastAsia="en-AU"/>
        </w:rPr>
        <w:t xml:space="preserve"> M. P. Franciosini. 2016a. Effects of two different probiotics on microflora, morphology, and morphometry of gut in organic laying hens. Poultry Science 95:2528-2535. doi 10.3382/ps/pew164</w:t>
      </w:r>
    </w:p>
    <w:p w14:paraId="3B004C8B" w14:textId="77777777" w:rsidR="00EB1BF9" w:rsidRPr="00EB1BF9" w:rsidRDefault="00EB1BF9" w:rsidP="00EB1BF9">
      <w:pPr>
        <w:rPr>
          <w:lang w:eastAsia="en-AU"/>
        </w:rPr>
      </w:pPr>
      <w:r w:rsidRPr="00EB1BF9">
        <w:rPr>
          <w:lang w:eastAsia="en-AU"/>
        </w:rPr>
        <w:t>Forte, C., L. Moscati, G. Acuti, C. Mugnai, M. P. Franciosini, S. Costarelli, G. Cobellis</w:t>
      </w:r>
      <w:r w:rsidR="0077095C">
        <w:rPr>
          <w:lang w:eastAsia="en-AU"/>
        </w:rPr>
        <w:t>, and</w:t>
      </w:r>
      <w:r w:rsidRPr="00EB1BF9">
        <w:rPr>
          <w:lang w:eastAsia="en-AU"/>
        </w:rPr>
        <w:t xml:space="preserve"> M. Trabalza-Marinucci. 2016b. Effects of dietary </w:t>
      </w:r>
      <w:r w:rsidRPr="002C6C62">
        <w:rPr>
          <w:i/>
          <w:lang w:eastAsia="en-AU"/>
        </w:rPr>
        <w:t>Lactobacillus acidophilus</w:t>
      </w:r>
      <w:r w:rsidRPr="00EB1BF9">
        <w:rPr>
          <w:lang w:eastAsia="en-AU"/>
        </w:rPr>
        <w:t xml:space="preserve"> and </w:t>
      </w:r>
      <w:r w:rsidRPr="002C6C62">
        <w:rPr>
          <w:i/>
          <w:lang w:eastAsia="en-AU"/>
        </w:rPr>
        <w:t>Bacillus subtilis</w:t>
      </w:r>
      <w:r w:rsidRPr="00EB1BF9">
        <w:rPr>
          <w:lang w:eastAsia="en-AU"/>
        </w:rPr>
        <w:t xml:space="preserve"> on laying performance, egg quality, blood biochemistry and immune response of organic laying hens. Journal of Animal Physiology and Animal Nutrition 100:977-987. doi 10.1111/jpn.12408</w:t>
      </w:r>
    </w:p>
    <w:p w14:paraId="1585502F" w14:textId="77777777" w:rsidR="00C3730D" w:rsidRPr="00EB1BF9" w:rsidRDefault="00EB1BF9" w:rsidP="00EB1BF9">
      <w:pPr>
        <w:rPr>
          <w:lang w:eastAsia="en-AU"/>
        </w:rPr>
      </w:pPr>
      <w:r w:rsidRPr="00EB1BF9">
        <w:rPr>
          <w:lang w:eastAsia="en-AU"/>
        </w:rPr>
        <w:t>Fossum, O., D. S. Jansson, P. E. Etterlin</w:t>
      </w:r>
      <w:r w:rsidR="0077095C">
        <w:rPr>
          <w:lang w:eastAsia="en-AU"/>
        </w:rPr>
        <w:t>, and</w:t>
      </w:r>
      <w:r w:rsidRPr="00EB1BF9">
        <w:rPr>
          <w:lang w:eastAsia="en-AU"/>
        </w:rPr>
        <w:t xml:space="preserve"> I. Vagsholm. 2009. Causes of mortality in laying hens in different housing systems in 2001 to 2004. Acta Veterinaria Scandinavica 51. doi 10.1186/1751-0147-51-3</w:t>
      </w:r>
    </w:p>
    <w:p w14:paraId="3661CCD4" w14:textId="77777777" w:rsidR="00EB1BF9" w:rsidRPr="00EB1BF9" w:rsidRDefault="00EB1BF9" w:rsidP="00EB1BF9">
      <w:pPr>
        <w:rPr>
          <w:lang w:eastAsia="en-AU"/>
        </w:rPr>
      </w:pPr>
      <w:r w:rsidRPr="00EB1BF9">
        <w:rPr>
          <w:lang w:eastAsia="en-AU"/>
        </w:rPr>
        <w:t>Freire, R., M. C. Appleby</w:t>
      </w:r>
      <w:r w:rsidR="0077095C">
        <w:rPr>
          <w:lang w:eastAsia="en-AU"/>
        </w:rPr>
        <w:t>, and</w:t>
      </w:r>
      <w:r w:rsidRPr="00EB1BF9">
        <w:rPr>
          <w:lang w:eastAsia="en-AU"/>
        </w:rPr>
        <w:t xml:space="preserve"> B. O. Hughes. 1996. Effects of nest quality and other cues for exploration on pre-laying behaviour. Applied Animal Behaviour Science 48:37-46. doi 10.1016/0168-1591(95)01023-8</w:t>
      </w:r>
    </w:p>
    <w:p w14:paraId="60FBABDE" w14:textId="77777777" w:rsidR="00B603C0" w:rsidRDefault="00B603C0" w:rsidP="00EB1BF9">
      <w:pPr>
        <w:rPr>
          <w:lang w:eastAsia="en-AU"/>
        </w:rPr>
      </w:pPr>
      <w:r w:rsidRPr="00B603C0">
        <w:rPr>
          <w:lang w:eastAsia="en-AU"/>
        </w:rPr>
        <w:t>Freire, R., and A. Cowling. 2013. The welfare of laying hens in conventional cages and alternative systems: first steps towards a quantitative comparison. Animal Welfare 22:57-65. doi 10.7120/09627286.22.1.057</w:t>
      </w:r>
    </w:p>
    <w:p w14:paraId="31FD4F19" w14:textId="77777777" w:rsidR="00B603C0" w:rsidRDefault="00B603C0" w:rsidP="00EB1BF9">
      <w:pPr>
        <w:rPr>
          <w:lang w:eastAsia="en-AU"/>
        </w:rPr>
      </w:pPr>
      <w:r w:rsidRPr="00B603C0">
        <w:rPr>
          <w:lang w:eastAsia="en-AU"/>
        </w:rPr>
        <w:t>Freire, R., M. A. Eastwood, and M. Joyce. 2011. Minor beak trimming in chickens leads to loss of mechanoreception and magnetoreception. Journal of Animal Science 89:1201-1206. doi 10.2527/jas.2010-3129</w:t>
      </w:r>
    </w:p>
    <w:p w14:paraId="5DD037B0" w14:textId="77777777" w:rsidR="00B603C0" w:rsidRDefault="00B603C0" w:rsidP="00EB1BF9">
      <w:pPr>
        <w:rPr>
          <w:lang w:eastAsia="en-AU"/>
        </w:rPr>
      </w:pPr>
      <w:r w:rsidRPr="00B603C0">
        <w:rPr>
          <w:lang w:eastAsia="en-AU"/>
        </w:rPr>
        <w:t>Freire, R., P. C. Glatz, and G. Hinch. 2008. Self-administration of an analgesic does not alleviate pain in beak trimmed chickens. Asian-Australasian Journal of Animal Sciences 21:443-448.</w:t>
      </w:r>
    </w:p>
    <w:p w14:paraId="17F55154" w14:textId="77777777" w:rsidR="00B603C0" w:rsidRDefault="00B603C0" w:rsidP="00EB1BF9">
      <w:pPr>
        <w:rPr>
          <w:lang w:eastAsia="en-AU"/>
        </w:rPr>
      </w:pPr>
      <w:r w:rsidRPr="00B603C0">
        <w:rPr>
          <w:lang w:eastAsia="en-AU"/>
        </w:rPr>
        <w:t>Freire, R., U. H. Munro, L. J. Rogers, R. Wiltschko, and W. Wiltschko. 2005. Chickens orient using a magnetic compass. Current Biology 15:R620.</w:t>
      </w:r>
    </w:p>
    <w:p w14:paraId="393DB6B1" w14:textId="77777777" w:rsidR="00EB1BF9" w:rsidRPr="00EB1BF9" w:rsidRDefault="00EB1BF9" w:rsidP="00EB1BF9">
      <w:pPr>
        <w:rPr>
          <w:lang w:eastAsia="en-AU"/>
        </w:rPr>
      </w:pPr>
      <w:r w:rsidRPr="00EB1BF9">
        <w:rPr>
          <w:lang w:eastAsia="en-AU"/>
        </w:rPr>
        <w:t xml:space="preserve">Freire, R., </w:t>
      </w:r>
      <w:r w:rsidR="002C6C62">
        <w:rPr>
          <w:lang w:eastAsia="en-AU"/>
        </w:rPr>
        <w:t xml:space="preserve">A. </w:t>
      </w:r>
      <w:r w:rsidRPr="00EB1BF9">
        <w:rPr>
          <w:lang w:eastAsia="en-AU"/>
        </w:rPr>
        <w:t>Walker</w:t>
      </w:r>
      <w:r w:rsidR="0077095C">
        <w:rPr>
          <w:lang w:eastAsia="en-AU"/>
        </w:rPr>
        <w:t>, and</w:t>
      </w:r>
      <w:r w:rsidRPr="00EB1BF9">
        <w:rPr>
          <w:lang w:eastAsia="en-AU"/>
        </w:rPr>
        <w:t xml:space="preserve"> </w:t>
      </w:r>
      <w:r w:rsidR="002C6C62">
        <w:rPr>
          <w:lang w:eastAsia="en-AU"/>
        </w:rPr>
        <w:t xml:space="preserve">C. J. </w:t>
      </w:r>
      <w:r w:rsidRPr="00EB1BF9">
        <w:rPr>
          <w:lang w:eastAsia="en-AU"/>
        </w:rPr>
        <w:t xml:space="preserve">Nicol. 1999. The relationship between trough height, feather cover and behaviour of laying hens in modified cages. </w:t>
      </w:r>
      <w:r w:rsidRPr="00EB1BF9">
        <w:rPr>
          <w:lang w:val="en-AU" w:eastAsia="en-AU"/>
        </w:rPr>
        <w:t xml:space="preserve">Applied Animal Behaviour Science </w:t>
      </w:r>
      <w:r w:rsidRPr="00EB1BF9">
        <w:rPr>
          <w:lang w:eastAsia="en-AU"/>
        </w:rPr>
        <w:t>63</w:t>
      </w:r>
      <w:r w:rsidR="002C6C62">
        <w:rPr>
          <w:lang w:eastAsia="en-AU"/>
        </w:rPr>
        <w:t>:</w:t>
      </w:r>
      <w:r w:rsidRPr="00EB1BF9">
        <w:rPr>
          <w:lang w:eastAsia="en-AU"/>
        </w:rPr>
        <w:t>55–64.</w:t>
      </w:r>
    </w:p>
    <w:p w14:paraId="0F968077" w14:textId="77777777" w:rsidR="00C3730D" w:rsidRPr="00EB1BF9" w:rsidRDefault="00C3730D" w:rsidP="00EB1BF9">
      <w:pPr>
        <w:rPr>
          <w:lang w:eastAsia="en-AU"/>
        </w:rPr>
      </w:pPr>
      <w:r>
        <w:rPr>
          <w:lang w:eastAsia="en-AU"/>
        </w:rPr>
        <w:t>Freire, R.</w:t>
      </w:r>
      <w:r w:rsidR="00C4034A">
        <w:rPr>
          <w:lang w:eastAsia="en-AU"/>
        </w:rPr>
        <w:t>,</w:t>
      </w:r>
      <w:r>
        <w:rPr>
          <w:lang w:eastAsia="en-AU"/>
        </w:rPr>
        <w:t xml:space="preserve"> L. J. Wilkins, F. Short, and C. J. Nicol. 2003. Behaviour and welfare of individual laying hens in a non-cage system. British Poultry Science 44:22-29.</w:t>
      </w:r>
    </w:p>
    <w:p w14:paraId="1BCB18BE" w14:textId="77777777" w:rsidR="00EB1BF9" w:rsidRPr="00EB1BF9" w:rsidRDefault="00EB1BF9" w:rsidP="00EB1BF9">
      <w:pPr>
        <w:rPr>
          <w:lang w:eastAsia="en-AU"/>
        </w:rPr>
      </w:pPr>
      <w:r w:rsidRPr="00EB1BF9">
        <w:rPr>
          <w:lang w:eastAsia="en-AU"/>
        </w:rPr>
        <w:t>Galeano, V. L., P. M. Estrada, B. L. Restrepo</w:t>
      </w:r>
      <w:r w:rsidR="0077095C">
        <w:rPr>
          <w:lang w:eastAsia="en-AU"/>
        </w:rPr>
        <w:t>, and</w:t>
      </w:r>
      <w:r w:rsidRPr="00EB1BF9">
        <w:rPr>
          <w:lang w:eastAsia="en-AU"/>
        </w:rPr>
        <w:t xml:space="preserve"> Z. J. Sorza. 2012. The productive performance of brown egg-laying hens induced to molt at different ages. Re</w:t>
      </w:r>
      <w:r w:rsidR="00A55A6E">
        <w:rPr>
          <w:lang w:eastAsia="en-AU"/>
        </w:rPr>
        <w:t>vista Mvz Cordoba 17:3200-3208.</w:t>
      </w:r>
    </w:p>
    <w:p w14:paraId="5980FDC0" w14:textId="77777777" w:rsidR="00EB1BF9" w:rsidRPr="00EB1BF9" w:rsidRDefault="00EB1BF9" w:rsidP="00EB1BF9">
      <w:pPr>
        <w:rPr>
          <w:lang w:eastAsia="en-AU"/>
        </w:rPr>
      </w:pPr>
      <w:r w:rsidRPr="00EB1BF9">
        <w:rPr>
          <w:lang w:eastAsia="en-AU"/>
        </w:rPr>
        <w:t>Gast, R. K., R. Guraya, D. R. Jones</w:t>
      </w:r>
      <w:r w:rsidR="0077095C">
        <w:rPr>
          <w:lang w:eastAsia="en-AU"/>
        </w:rPr>
        <w:t>, and</w:t>
      </w:r>
      <w:r w:rsidRPr="00EB1BF9">
        <w:rPr>
          <w:lang w:eastAsia="en-AU"/>
        </w:rPr>
        <w:t xml:space="preserve"> K. E. Anderson. 2013. Colonization of internal organs by </w:t>
      </w:r>
      <w:r w:rsidRPr="004643BC">
        <w:rPr>
          <w:i/>
          <w:lang w:eastAsia="en-AU"/>
        </w:rPr>
        <w:t>Salmonella</w:t>
      </w:r>
      <w:r w:rsidRPr="00EB1BF9">
        <w:rPr>
          <w:lang w:eastAsia="en-AU"/>
        </w:rPr>
        <w:t xml:space="preserve"> Enteritidis in experimentally infected laying hens housed in conventional or enriched cages. Poultry Science 92:468-473. doi 10.3382/ps.2012-02811</w:t>
      </w:r>
    </w:p>
    <w:p w14:paraId="44938897" w14:textId="77777777" w:rsidR="00EB1BF9" w:rsidRPr="00EB1BF9" w:rsidRDefault="00EB1BF9" w:rsidP="00EB1BF9">
      <w:pPr>
        <w:rPr>
          <w:lang w:eastAsia="en-AU"/>
        </w:rPr>
      </w:pPr>
      <w:r w:rsidRPr="00EB1BF9">
        <w:rPr>
          <w:lang w:eastAsia="en-AU"/>
        </w:rPr>
        <w:t>Gebhardt-Henrich, S. G., M. J. Toscano</w:t>
      </w:r>
      <w:r w:rsidR="0077095C">
        <w:rPr>
          <w:lang w:eastAsia="en-AU"/>
        </w:rPr>
        <w:t>, and</w:t>
      </w:r>
      <w:r w:rsidRPr="00EB1BF9">
        <w:rPr>
          <w:lang w:eastAsia="en-AU"/>
        </w:rPr>
        <w:t xml:space="preserve"> E. K. F. Frohlich. 2014. Use of outdoor ranges by laying hens in different sized flocks. Applied Animal Behaviour Science 155:74-81. doi 10.1016/j.applanim.2014.03.010</w:t>
      </w:r>
    </w:p>
    <w:p w14:paraId="6AEBDA86" w14:textId="77777777" w:rsidR="00EB1BF9" w:rsidRPr="00EB1BF9" w:rsidRDefault="00EB1BF9" w:rsidP="00EB1BF9">
      <w:pPr>
        <w:rPr>
          <w:lang w:eastAsia="en-AU"/>
        </w:rPr>
      </w:pPr>
      <w:r w:rsidRPr="00EB1BF9">
        <w:rPr>
          <w:lang w:eastAsia="en-AU"/>
        </w:rPr>
        <w:t>George, D. R., O. A. E. Sparagano, G. Port, E. Okello, R. S. Shiel</w:t>
      </w:r>
      <w:r w:rsidR="0077095C">
        <w:rPr>
          <w:lang w:eastAsia="en-AU"/>
        </w:rPr>
        <w:t>, and</w:t>
      </w:r>
      <w:r w:rsidRPr="00EB1BF9">
        <w:rPr>
          <w:lang w:eastAsia="en-AU"/>
        </w:rPr>
        <w:t xml:space="preserve"> J. H. Guy. 2010. The effect of essential oils showing acaricidal activity against the poultry red mite (</w:t>
      </w:r>
      <w:r w:rsidRPr="00A55A6E">
        <w:rPr>
          <w:i/>
          <w:lang w:eastAsia="en-AU"/>
        </w:rPr>
        <w:t>Dermanyssus gallinae</w:t>
      </w:r>
      <w:r w:rsidRPr="00EB1BF9">
        <w:rPr>
          <w:lang w:eastAsia="en-AU"/>
        </w:rPr>
        <w:t>) on aspects of welfare and production of laying h</w:t>
      </w:r>
      <w:r w:rsidR="0077095C">
        <w:rPr>
          <w:lang w:eastAsia="en-AU"/>
        </w:rPr>
        <w:t>ens. Animal Welfare 19:265-273.</w:t>
      </w:r>
    </w:p>
    <w:p w14:paraId="752B466E" w14:textId="77777777" w:rsidR="00EB1BF9" w:rsidRPr="00EB1BF9" w:rsidRDefault="00EB1BF9" w:rsidP="00EB1BF9">
      <w:pPr>
        <w:rPr>
          <w:lang w:eastAsia="en-AU"/>
        </w:rPr>
      </w:pPr>
      <w:r w:rsidRPr="00EB1BF9">
        <w:rPr>
          <w:lang w:eastAsia="en-AU"/>
        </w:rPr>
        <w:t>Gerzilov, V., V. Datkova, S. Mihaylova, and N. Bozakova. 2012. Effect of poultry housing systems on egg production. Bulgarian Journal of A</w:t>
      </w:r>
      <w:r w:rsidR="0077095C">
        <w:rPr>
          <w:lang w:eastAsia="en-AU"/>
        </w:rPr>
        <w:t>gricultural Science 18:953-957.</w:t>
      </w:r>
    </w:p>
    <w:p w14:paraId="1839DEA1" w14:textId="77777777" w:rsidR="00EB1BF9" w:rsidRPr="00EB1BF9" w:rsidRDefault="00EB1BF9" w:rsidP="00EB1BF9">
      <w:pPr>
        <w:rPr>
          <w:lang w:eastAsia="en-AU"/>
        </w:rPr>
      </w:pPr>
      <w:r w:rsidRPr="00EB1BF9">
        <w:rPr>
          <w:lang w:val="en-AU" w:eastAsia="en-AU"/>
        </w:rPr>
        <w:t xml:space="preserve">Gilani, A.M., </w:t>
      </w:r>
      <w:r w:rsidR="0077095C">
        <w:rPr>
          <w:lang w:val="en-AU" w:eastAsia="en-AU"/>
        </w:rPr>
        <w:t xml:space="preserve">T. G. </w:t>
      </w:r>
      <w:r w:rsidRPr="00EB1BF9">
        <w:rPr>
          <w:lang w:val="en-AU" w:eastAsia="en-AU"/>
        </w:rPr>
        <w:t>Knowles</w:t>
      </w:r>
      <w:r w:rsidR="0077095C">
        <w:rPr>
          <w:lang w:val="en-AU" w:eastAsia="en-AU"/>
        </w:rPr>
        <w:t>, and C. J.</w:t>
      </w:r>
      <w:r w:rsidRPr="00EB1BF9">
        <w:rPr>
          <w:lang w:val="en-AU" w:eastAsia="en-AU"/>
        </w:rPr>
        <w:t xml:space="preserve"> Nicol. 2012. The effect of dark brooders on feather pecking on commercial farms. Applied Animal Behaviour Science 142</w:t>
      </w:r>
      <w:r w:rsidR="0077095C">
        <w:rPr>
          <w:lang w:val="en-AU" w:eastAsia="en-AU"/>
        </w:rPr>
        <w:t>:</w:t>
      </w:r>
      <w:r w:rsidRPr="00EB1BF9">
        <w:rPr>
          <w:lang w:val="en-AU" w:eastAsia="en-AU"/>
        </w:rPr>
        <w:t>42-50.</w:t>
      </w:r>
    </w:p>
    <w:p w14:paraId="7F1E72EB" w14:textId="77777777" w:rsidR="00EB1BF9" w:rsidRPr="00EB1BF9" w:rsidRDefault="00EB1BF9" w:rsidP="00EB1BF9">
      <w:pPr>
        <w:rPr>
          <w:lang w:eastAsia="en-AU"/>
        </w:rPr>
      </w:pPr>
      <w:r w:rsidRPr="00EB1BF9">
        <w:rPr>
          <w:lang w:eastAsia="en-AU"/>
        </w:rPr>
        <w:t>Gilani, A. M., T. G. Knowles</w:t>
      </w:r>
      <w:r w:rsidR="0077095C">
        <w:rPr>
          <w:lang w:eastAsia="en-AU"/>
        </w:rPr>
        <w:t>, and</w:t>
      </w:r>
      <w:r w:rsidRPr="00EB1BF9">
        <w:rPr>
          <w:lang w:eastAsia="en-AU"/>
        </w:rPr>
        <w:t xml:space="preserve"> C. J. Nicol. 2013. The effect of rearing environment on feather pecking in young and adult laying hens. Applied Animal Behaviour Science 148:54-63. doi 10.1016/j.applanim.2013.07.014</w:t>
      </w:r>
    </w:p>
    <w:p w14:paraId="4E2B968F" w14:textId="77777777" w:rsidR="00EB1BF9" w:rsidRPr="00EB1BF9" w:rsidRDefault="00EB1BF9" w:rsidP="00EB1BF9">
      <w:pPr>
        <w:rPr>
          <w:lang w:eastAsia="en-AU"/>
        </w:rPr>
      </w:pPr>
      <w:r w:rsidRPr="00EB1BF9">
        <w:rPr>
          <w:lang w:eastAsia="en-AU"/>
        </w:rPr>
        <w:t>Gilani, A. M., T. G. Knowles</w:t>
      </w:r>
      <w:r w:rsidR="0077095C">
        <w:rPr>
          <w:lang w:eastAsia="en-AU"/>
        </w:rPr>
        <w:t>, and</w:t>
      </w:r>
      <w:r w:rsidRPr="00EB1BF9">
        <w:rPr>
          <w:lang w:eastAsia="en-AU"/>
        </w:rPr>
        <w:t xml:space="preserve"> C. J. Nicol. 2014. Factors affecting ranging behaviour in young and adult laying hens. British Poultry Science 55:127-135. doi 10.1080/00071668.2014.889279</w:t>
      </w:r>
    </w:p>
    <w:p w14:paraId="793BC915" w14:textId="77777777" w:rsidR="00EB1BF9" w:rsidRPr="00EB1BF9" w:rsidRDefault="00EB1BF9" w:rsidP="00EB1BF9">
      <w:pPr>
        <w:rPr>
          <w:lang w:eastAsia="en-AU"/>
        </w:rPr>
      </w:pPr>
      <w:r w:rsidRPr="00EB1BF9">
        <w:rPr>
          <w:lang w:eastAsia="en-AU"/>
        </w:rPr>
        <w:t>Golden, J. B., D. V. Arbona</w:t>
      </w:r>
      <w:r w:rsidR="0077095C">
        <w:rPr>
          <w:lang w:eastAsia="en-AU"/>
        </w:rPr>
        <w:t>, and</w:t>
      </w:r>
      <w:r w:rsidRPr="00EB1BF9">
        <w:rPr>
          <w:lang w:eastAsia="en-AU"/>
        </w:rPr>
        <w:t xml:space="preserve"> K. E. Anderson. 2012. A comparative examination of rearing parameters and layer production performance for brown egg-type pullets grown for either free-range or cage production. Journal of Applied Poultry Research 21:95-102. doi 10.3382/japr.2011-00370</w:t>
      </w:r>
    </w:p>
    <w:p w14:paraId="059E225E" w14:textId="77777777" w:rsidR="00EB1BF9" w:rsidRPr="00EB1BF9" w:rsidRDefault="00EB1BF9" w:rsidP="00EB1BF9">
      <w:pPr>
        <w:rPr>
          <w:lang w:eastAsia="en-AU"/>
        </w:rPr>
      </w:pPr>
      <w:r w:rsidRPr="00EB1BF9">
        <w:rPr>
          <w:lang w:eastAsia="en-AU"/>
        </w:rPr>
        <w:t>Gole, V. C., R. Woodhouse, C. Caraguel, T. Moyle, J. L. Rault, M. Sexton</w:t>
      </w:r>
      <w:r w:rsidR="0077095C">
        <w:rPr>
          <w:lang w:eastAsia="en-AU"/>
        </w:rPr>
        <w:t>, and</w:t>
      </w:r>
      <w:r w:rsidRPr="00EB1BF9">
        <w:rPr>
          <w:lang w:eastAsia="en-AU"/>
        </w:rPr>
        <w:t xml:space="preserve"> K. Chousalkar. 2017. Dynamics of </w:t>
      </w:r>
      <w:r w:rsidRPr="0077095C">
        <w:rPr>
          <w:i/>
          <w:lang w:eastAsia="en-AU"/>
        </w:rPr>
        <w:t>Salmonella</w:t>
      </w:r>
      <w:r w:rsidRPr="00EB1BF9">
        <w:rPr>
          <w:lang w:eastAsia="en-AU"/>
        </w:rPr>
        <w:t xml:space="preserve"> Shedding and Welfare of Hens in Free-Range Egg Production Systems. Applied and Environmental Microbiology 85. doi 10.1128/aem.03313-16</w:t>
      </w:r>
    </w:p>
    <w:p w14:paraId="1E992DD1" w14:textId="77777777" w:rsidR="00EB1BF9" w:rsidRPr="00EB1BF9" w:rsidRDefault="00EB1BF9" w:rsidP="00EB1BF9">
      <w:pPr>
        <w:rPr>
          <w:lang w:eastAsia="en-AU"/>
        </w:rPr>
      </w:pPr>
      <w:r w:rsidRPr="00EB1BF9">
        <w:rPr>
          <w:lang w:eastAsia="en-AU"/>
        </w:rPr>
        <w:t>Gongruttananun, N., P. Guntapa</w:t>
      </w:r>
      <w:r w:rsidR="0077095C">
        <w:rPr>
          <w:lang w:eastAsia="en-AU"/>
        </w:rPr>
        <w:t>, and</w:t>
      </w:r>
      <w:r w:rsidRPr="00EB1BF9">
        <w:rPr>
          <w:lang w:eastAsia="en-AU"/>
        </w:rPr>
        <w:t xml:space="preserve"> K. Saengkudrua. 2013. The effects of a short-term molt method using cassava meal, broken rice, or corn on ovarian regression, bone integrity, and postmolt egg production and quality in older (95 week) laying hens. Poultry Science 92:2798-2807. doi 10.3382/ps.2013-03151</w:t>
      </w:r>
    </w:p>
    <w:p w14:paraId="757F7135" w14:textId="77777777" w:rsidR="00EB1BF9" w:rsidRDefault="00EB1BF9" w:rsidP="00EB1BF9">
      <w:pPr>
        <w:rPr>
          <w:lang w:eastAsia="en-AU"/>
        </w:rPr>
      </w:pPr>
      <w:r w:rsidRPr="00EB1BF9">
        <w:rPr>
          <w:lang w:eastAsia="en-AU"/>
        </w:rPr>
        <w:t>Graml, C., K. Niebuhr</w:t>
      </w:r>
      <w:r w:rsidR="0077095C">
        <w:rPr>
          <w:lang w:eastAsia="en-AU"/>
        </w:rPr>
        <w:t>, and</w:t>
      </w:r>
      <w:r w:rsidRPr="00EB1BF9">
        <w:rPr>
          <w:lang w:eastAsia="en-AU"/>
        </w:rPr>
        <w:t xml:space="preserve"> S. Waiblinger. 2008. Reaction of laying hens to humans in the home or a novel environment. Applied Animal Behaviour Science 113:98-109. doi 10.1016/j.applanim.2007.10.004</w:t>
      </w:r>
    </w:p>
    <w:p w14:paraId="3526E6A1" w14:textId="77777777" w:rsidR="00D66226" w:rsidRDefault="00D66226" w:rsidP="00EB1BF9">
      <w:pPr>
        <w:rPr>
          <w:lang w:eastAsia="en-AU"/>
        </w:rPr>
      </w:pPr>
      <w:r w:rsidRPr="00D66226">
        <w:rPr>
          <w:lang w:eastAsia="en-AU"/>
        </w:rPr>
        <w:t xml:space="preserve">Grams, V., </w:t>
      </w:r>
      <w:r>
        <w:rPr>
          <w:lang w:eastAsia="en-AU"/>
        </w:rPr>
        <w:t xml:space="preserve">S. </w:t>
      </w:r>
      <w:r w:rsidRPr="00D66226">
        <w:rPr>
          <w:lang w:eastAsia="en-AU"/>
        </w:rPr>
        <w:t xml:space="preserve">Bőgelein, </w:t>
      </w:r>
      <w:r>
        <w:rPr>
          <w:lang w:eastAsia="en-AU"/>
        </w:rPr>
        <w:t xml:space="preserve">M. A. </w:t>
      </w:r>
      <w:r w:rsidRPr="00D66226">
        <w:rPr>
          <w:lang w:eastAsia="en-AU"/>
        </w:rPr>
        <w:t xml:space="preserve">Grashorn, </w:t>
      </w:r>
      <w:r>
        <w:rPr>
          <w:lang w:eastAsia="en-AU"/>
        </w:rPr>
        <w:t xml:space="preserve">W. </w:t>
      </w:r>
      <w:r w:rsidRPr="00D66226">
        <w:rPr>
          <w:lang w:eastAsia="en-AU"/>
        </w:rPr>
        <w:t xml:space="preserve">Bessei, </w:t>
      </w:r>
      <w:r>
        <w:rPr>
          <w:lang w:eastAsia="en-AU"/>
        </w:rPr>
        <w:t xml:space="preserve">and J. </w:t>
      </w:r>
      <w:r w:rsidRPr="00D66226">
        <w:rPr>
          <w:lang w:eastAsia="en-AU"/>
        </w:rPr>
        <w:t>Bennewitz</w:t>
      </w:r>
      <w:r>
        <w:rPr>
          <w:lang w:eastAsia="en-AU"/>
        </w:rPr>
        <w:t>.</w:t>
      </w:r>
      <w:r w:rsidRPr="00D66226">
        <w:rPr>
          <w:lang w:eastAsia="en-AU"/>
        </w:rPr>
        <w:t xml:space="preserve"> 2015. Quantitative genetic analysis of traits related to fear and feather pecking in lay</w:t>
      </w:r>
      <w:r>
        <w:rPr>
          <w:lang w:eastAsia="en-AU"/>
        </w:rPr>
        <w:t>ing hens. Behavior Genetics 45:</w:t>
      </w:r>
      <w:r w:rsidRPr="00D66226">
        <w:rPr>
          <w:lang w:eastAsia="en-AU"/>
        </w:rPr>
        <w:t>228-235</w:t>
      </w:r>
      <w:r>
        <w:rPr>
          <w:lang w:eastAsia="en-AU"/>
        </w:rPr>
        <w:t>.</w:t>
      </w:r>
    </w:p>
    <w:p w14:paraId="306A8961" w14:textId="77777777" w:rsidR="00EB1BF9" w:rsidRPr="00EB1BF9" w:rsidRDefault="00EB1BF9" w:rsidP="00EB1BF9">
      <w:pPr>
        <w:rPr>
          <w:lang w:eastAsia="en-AU"/>
        </w:rPr>
      </w:pPr>
      <w:r w:rsidRPr="00EB1BF9">
        <w:rPr>
          <w:lang w:eastAsia="en-AU"/>
        </w:rPr>
        <w:t>Green, A. R., I. Wesley, D. W. Trampel</w:t>
      </w:r>
      <w:r w:rsidR="0077095C">
        <w:rPr>
          <w:lang w:eastAsia="en-AU"/>
        </w:rPr>
        <w:t>, and</w:t>
      </w:r>
      <w:r w:rsidRPr="00EB1BF9">
        <w:rPr>
          <w:lang w:eastAsia="en-AU"/>
        </w:rPr>
        <w:t xml:space="preserve"> H. Xin. 2009. Air quality and bird health status in three types of commercial egg layer houses. Journal of Applied Poultry Research 18:605-621. doi 10.3382/japr.2007-00086</w:t>
      </w:r>
    </w:p>
    <w:p w14:paraId="02250E62" w14:textId="77777777" w:rsidR="00EB1BF9" w:rsidRPr="00EB1BF9" w:rsidRDefault="00EB1BF9" w:rsidP="00EB1BF9">
      <w:pPr>
        <w:rPr>
          <w:lang w:eastAsia="en-AU"/>
        </w:rPr>
      </w:pPr>
      <w:r w:rsidRPr="00EB1BF9">
        <w:rPr>
          <w:lang w:eastAsia="en-AU"/>
        </w:rPr>
        <w:t>Green, A. R</w:t>
      </w:r>
      <w:r w:rsidR="0077095C">
        <w:rPr>
          <w:lang w:eastAsia="en-AU"/>
        </w:rPr>
        <w:t>, and</w:t>
      </w:r>
      <w:r w:rsidRPr="00EB1BF9">
        <w:rPr>
          <w:lang w:eastAsia="en-AU"/>
        </w:rPr>
        <w:t xml:space="preserve"> H. Xin. 2009a. Effects of stocking density and group size on heat and moisture production of laying hens under thermoneutral and heat-challenging conditions. Transact</w:t>
      </w:r>
      <w:r w:rsidR="0077095C">
        <w:rPr>
          <w:lang w:eastAsia="en-AU"/>
        </w:rPr>
        <w:t>ions of the ASABE 52:2027-2032.</w:t>
      </w:r>
    </w:p>
    <w:p w14:paraId="62A5654B" w14:textId="77777777" w:rsidR="00EB1BF9" w:rsidRPr="00EB1BF9" w:rsidRDefault="00EB1BF9" w:rsidP="00EB1BF9">
      <w:pPr>
        <w:rPr>
          <w:lang w:eastAsia="en-AU"/>
        </w:rPr>
      </w:pPr>
      <w:r w:rsidRPr="00EB1BF9">
        <w:rPr>
          <w:lang w:eastAsia="en-AU"/>
        </w:rPr>
        <w:t>Green, A. R.</w:t>
      </w:r>
      <w:r w:rsidR="0077095C">
        <w:rPr>
          <w:lang w:eastAsia="en-AU"/>
        </w:rPr>
        <w:t>, and</w:t>
      </w:r>
      <w:r w:rsidRPr="00EB1BF9">
        <w:rPr>
          <w:lang w:eastAsia="en-AU"/>
        </w:rPr>
        <w:t xml:space="preserve"> H. Xin. 2009b. Effects of stocking density and group size on thermoregulatory responses of laying hens under heat-challenging conditions. Transactions of the A</w:t>
      </w:r>
      <w:r w:rsidR="0077095C">
        <w:rPr>
          <w:lang w:eastAsia="en-AU"/>
        </w:rPr>
        <w:t>SABE 52:2033-2038.</w:t>
      </w:r>
    </w:p>
    <w:p w14:paraId="7E2BE814" w14:textId="77777777" w:rsidR="00EB1BF9" w:rsidRPr="00EB1BF9" w:rsidRDefault="00EB1BF9" w:rsidP="00EB1BF9">
      <w:pPr>
        <w:rPr>
          <w:lang w:eastAsia="en-AU"/>
        </w:rPr>
      </w:pPr>
      <w:r w:rsidRPr="00EB1BF9">
        <w:rPr>
          <w:lang w:eastAsia="en-AU"/>
        </w:rPr>
        <w:t>Green, L. E., K. Lewis, A. Kimpton</w:t>
      </w:r>
      <w:r w:rsidR="0077095C">
        <w:rPr>
          <w:lang w:eastAsia="en-AU"/>
        </w:rPr>
        <w:t>, and</w:t>
      </w:r>
      <w:r w:rsidRPr="00EB1BF9">
        <w:rPr>
          <w:lang w:eastAsia="en-AU"/>
        </w:rPr>
        <w:t xml:space="preserve"> C. J. Nicol. 2000. Cross-sectional study of the prevalence of feather pecking in laying hens in alternative systems and its associations with management and disease.</w:t>
      </w:r>
      <w:r w:rsidR="0077095C">
        <w:rPr>
          <w:lang w:eastAsia="en-AU"/>
        </w:rPr>
        <w:t xml:space="preserve"> Veterinary Record 147:233-238.</w:t>
      </w:r>
    </w:p>
    <w:p w14:paraId="75734571" w14:textId="77777777" w:rsidR="00EB1BF9" w:rsidRPr="00EB1BF9" w:rsidRDefault="00EB1BF9" w:rsidP="00EB1BF9">
      <w:pPr>
        <w:rPr>
          <w:lang w:eastAsia="en-AU"/>
        </w:rPr>
      </w:pPr>
      <w:r w:rsidRPr="00EB1BF9">
        <w:rPr>
          <w:lang w:eastAsia="en-AU"/>
        </w:rPr>
        <w:t>Guesdon, V., A. M. H</w:t>
      </w:r>
      <w:r w:rsidR="0077095C">
        <w:rPr>
          <w:lang w:eastAsia="en-AU"/>
        </w:rPr>
        <w:t>. Ahmed, S. Mallet, J. M. Faure, and</w:t>
      </w:r>
      <w:r w:rsidRPr="00EB1BF9">
        <w:rPr>
          <w:lang w:eastAsia="en-AU"/>
        </w:rPr>
        <w:t xml:space="preserve"> Y. Nys. 2006. Effects of beak trimming and cage design on laying hen performance and egg quality. British Poultry Science 47:1-12. doi 10.1080/00071660500468124</w:t>
      </w:r>
    </w:p>
    <w:p w14:paraId="623BFBC1" w14:textId="77777777" w:rsidR="00EB1BF9" w:rsidRPr="00EB1BF9" w:rsidRDefault="0077095C" w:rsidP="00EB1BF9">
      <w:pPr>
        <w:rPr>
          <w:lang w:eastAsia="en-AU"/>
        </w:rPr>
      </w:pPr>
      <w:r>
        <w:rPr>
          <w:lang w:eastAsia="en-AU"/>
        </w:rPr>
        <w:t>Guesdon, V., and</w:t>
      </w:r>
      <w:r w:rsidR="00EB1BF9" w:rsidRPr="00EB1BF9">
        <w:rPr>
          <w:lang w:eastAsia="en-AU"/>
        </w:rPr>
        <w:t xml:space="preserve"> J. M. Faure. 2004. Laying performance and egg quality in hens kept in standard or furnished cages. Animal Research 53:45-57. doi 10.1051/animres:2003045</w:t>
      </w:r>
    </w:p>
    <w:p w14:paraId="3236171F" w14:textId="77777777" w:rsidR="00EB1BF9" w:rsidRPr="00EB1BF9" w:rsidRDefault="0077095C" w:rsidP="00EB1BF9">
      <w:pPr>
        <w:rPr>
          <w:lang w:eastAsia="en-AU"/>
        </w:rPr>
      </w:pPr>
      <w:r w:rsidRPr="0077095C">
        <w:rPr>
          <w:lang w:eastAsia="en-AU"/>
        </w:rPr>
        <w:t>Guesdon, V., and</w:t>
      </w:r>
      <w:r w:rsidR="00EB1BF9" w:rsidRPr="0077095C">
        <w:rPr>
          <w:lang w:eastAsia="en-AU"/>
        </w:rPr>
        <w:t xml:space="preserve"> J. M. Faure. 2008. A lack of dust-bathing substrate may not frustrate laying hens. Archi</w:t>
      </w:r>
      <w:r w:rsidRPr="0077095C">
        <w:rPr>
          <w:lang w:eastAsia="en-AU"/>
        </w:rPr>
        <w:t>v Fur Geflugelkunde 72:241-249.</w:t>
      </w:r>
    </w:p>
    <w:p w14:paraId="6021CB57" w14:textId="77777777" w:rsidR="00EB1BF9" w:rsidRPr="00EB1BF9" w:rsidRDefault="00EB1BF9" w:rsidP="00EB1BF9">
      <w:pPr>
        <w:rPr>
          <w:lang w:eastAsia="en-AU"/>
        </w:rPr>
      </w:pPr>
      <w:r w:rsidRPr="00EB1BF9">
        <w:rPr>
          <w:lang w:eastAsia="en-AU"/>
        </w:rPr>
        <w:t xml:space="preserve">Guesdon, V., C. Leterrier, P. Constantin, D. </w:t>
      </w:r>
      <w:r w:rsidR="003F3E9F" w:rsidRPr="00286A88">
        <w:rPr>
          <w:lang w:val="en-AU" w:eastAsia="en-AU"/>
        </w:rPr>
        <w:t>Guémené</w:t>
      </w:r>
      <w:r w:rsidRPr="00EB1BF9">
        <w:rPr>
          <w:lang w:eastAsia="en-AU"/>
        </w:rPr>
        <w:t>, M. Couty, and J. M. Faure. 2004. Humeral quality and adrenal responsiveness in laying hens reared in standard and furnished cages. Animal Research 53:235-243. doi 10.1051/animres:2004011</w:t>
      </w:r>
    </w:p>
    <w:p w14:paraId="0B82A299" w14:textId="77777777" w:rsidR="00EB1BF9" w:rsidRPr="00EB1BF9" w:rsidRDefault="00EB1BF9" w:rsidP="00EB1BF9">
      <w:pPr>
        <w:rPr>
          <w:lang w:eastAsia="en-AU"/>
        </w:rPr>
      </w:pPr>
      <w:r w:rsidRPr="00EB1BF9">
        <w:rPr>
          <w:lang w:eastAsia="en-AU"/>
        </w:rPr>
        <w:t>Guinebretiere, M., H. Beyer, C. Arnould, and V. Michel. 2014. The choice of litter material to promote pecking, scratching and dustbathing behaviours in laying hens housed in furnished cages. Applied Animal Behaviour Science 155:56-65. doi 10.1016/j.applanim.2014.02.013</w:t>
      </w:r>
    </w:p>
    <w:p w14:paraId="2DA480D4" w14:textId="77777777" w:rsidR="00EB1BF9" w:rsidRPr="00EB1BF9" w:rsidRDefault="00EB1BF9" w:rsidP="00EB1BF9">
      <w:pPr>
        <w:rPr>
          <w:lang w:eastAsia="en-AU"/>
        </w:rPr>
      </w:pPr>
      <w:r w:rsidRPr="00EB1BF9">
        <w:rPr>
          <w:lang w:eastAsia="en-AU"/>
        </w:rPr>
        <w:t>Guinebretiere, M., A. Huneau-Salaun, D. Huonnic, and V. Michel. 2012. Cage hygiene, laying location, and egg quality: The effects of linings and litter provision in furnished cages for laying hens. Poultry Science 91:808-816. doi 10.3382/ps.2011-01881</w:t>
      </w:r>
    </w:p>
    <w:p w14:paraId="1AEF162A" w14:textId="77777777" w:rsidR="00EB1BF9" w:rsidRPr="00EB1BF9" w:rsidRDefault="00EB1BF9" w:rsidP="00EB1BF9">
      <w:pPr>
        <w:rPr>
          <w:lang w:eastAsia="en-AU"/>
        </w:rPr>
      </w:pPr>
      <w:r w:rsidRPr="00EB1BF9">
        <w:rPr>
          <w:lang w:eastAsia="en-AU"/>
        </w:rPr>
        <w:t>Guinebretiere, M., A. Huneau-Salaun, D. Huonnic, and V. Michel. 2013. Plumage condition, body weight, mortality, and zootechnical performances: The effects of linings and litter provision in furnished cages for laying hens. Poultry Science 92:51-59. doi 10.3382/ps.2012-02576</w:t>
      </w:r>
    </w:p>
    <w:p w14:paraId="6132183B" w14:textId="77777777" w:rsidR="00EB1BF9" w:rsidRPr="00EB1BF9" w:rsidRDefault="00EB1BF9" w:rsidP="00EB1BF9">
      <w:pPr>
        <w:rPr>
          <w:lang w:eastAsia="en-AU"/>
        </w:rPr>
      </w:pPr>
      <w:r w:rsidRPr="00EB1BF9">
        <w:rPr>
          <w:lang w:eastAsia="en-AU"/>
        </w:rPr>
        <w:t>Guinebretiere, M., V. Michel, and C. Arnould. 2015. Dustbathing, pecking and scratching behaviours of laying hens in furnished cages are enhanced by the presence of rubber mats and litter distribution. Applied Animal Behaviour Science 171:128-137. doi 10.1016/j.applanim.2015.08.017</w:t>
      </w:r>
    </w:p>
    <w:p w14:paraId="59D87A81" w14:textId="77777777" w:rsidR="00EB1BF9" w:rsidRPr="00EB1BF9" w:rsidRDefault="00EB1BF9" w:rsidP="00EB1BF9">
      <w:pPr>
        <w:rPr>
          <w:lang w:eastAsia="en-AU"/>
        </w:rPr>
      </w:pPr>
      <w:r w:rsidRPr="00EB1BF9">
        <w:rPr>
          <w:lang w:eastAsia="en-AU"/>
        </w:rPr>
        <w:t>Gunnarsson, S., M. Heikkila, and A. Valros. 2008. Effect of day length and natural versus incandescent light on perching and the diurnal rhythm of feeding behaviour in layer chicks (</w:t>
      </w:r>
      <w:r w:rsidRPr="00FA0C00">
        <w:rPr>
          <w:i/>
          <w:lang w:eastAsia="en-AU"/>
        </w:rPr>
        <w:t>Gallus g. domesticus</w:t>
      </w:r>
      <w:r w:rsidRPr="00EB1BF9">
        <w:rPr>
          <w:lang w:eastAsia="en-AU"/>
        </w:rPr>
        <w:t>). Acta Agriculturae Scandinavica Section a-Animal Science 58:93-99. doi 10.1080/09064700802363852</w:t>
      </w:r>
    </w:p>
    <w:p w14:paraId="60E0965B" w14:textId="77777777" w:rsidR="00EB1BF9" w:rsidRPr="00EB1BF9" w:rsidRDefault="00EB1BF9" w:rsidP="00EB1BF9">
      <w:pPr>
        <w:rPr>
          <w:lang w:eastAsia="en-AU"/>
        </w:rPr>
      </w:pPr>
      <w:r w:rsidRPr="00EB1BF9">
        <w:rPr>
          <w:lang w:eastAsia="en-AU"/>
        </w:rPr>
        <w:t>Gunnarsson, S., L. J. Keeling, and J. Svedberg. 1999. Effect of rearing factors on the prevalence of floor eggs, cloacal cannibalism and feather pecking in commercial flocks of loose housed laying hens. British Poultry Science 40:12-18. doi 10.1080/00071669987773</w:t>
      </w:r>
    </w:p>
    <w:p w14:paraId="22F505B0" w14:textId="77777777" w:rsidR="00EB1BF9" w:rsidRPr="00EB1BF9" w:rsidRDefault="00EB1BF9" w:rsidP="00EB1BF9">
      <w:pPr>
        <w:rPr>
          <w:lang w:eastAsia="en-AU"/>
        </w:rPr>
      </w:pPr>
      <w:r w:rsidRPr="00EB1BF9">
        <w:rPr>
          <w:lang w:eastAsia="en-AU"/>
        </w:rPr>
        <w:t>Gunnarsson, S., L. R. Matthews, T. M. Foster, and W. Temple. 2000a. The demand for straw and feathers as litter substrates by laying hens. Applied Animal Behaviour Science 65:321-330. doi 10.1016/s0168-1591(99)00065-9</w:t>
      </w:r>
    </w:p>
    <w:p w14:paraId="2CE8089B" w14:textId="77777777" w:rsidR="00EB1BF9" w:rsidRPr="00EB1BF9" w:rsidRDefault="00EB1BF9" w:rsidP="00EB1BF9">
      <w:pPr>
        <w:rPr>
          <w:lang w:eastAsia="en-AU"/>
        </w:rPr>
      </w:pPr>
      <w:r w:rsidRPr="00EB1BF9">
        <w:rPr>
          <w:lang w:eastAsia="en-AU"/>
        </w:rPr>
        <w:t>Gunnarsson, S., J. Yngvesson, L. J. Keeling, and B. Forkman. 2000b. Rearing without early access to perches impairs the spatial skills of laying hens. Applied Animal Behaviour Science 67:217-228. doi 10.1016/s0168-1591(99)00125-2</w:t>
      </w:r>
    </w:p>
    <w:p w14:paraId="5C9EE9B7" w14:textId="77777777" w:rsidR="00EB1BF9" w:rsidRPr="00EB1BF9" w:rsidRDefault="00EB1BF9" w:rsidP="00EB1BF9">
      <w:pPr>
        <w:rPr>
          <w:lang w:eastAsia="en-AU"/>
        </w:rPr>
      </w:pPr>
      <w:r w:rsidRPr="00EB1BF9">
        <w:rPr>
          <w:lang w:eastAsia="en-AU"/>
        </w:rPr>
        <w:t>Guo, Y. Y., Z. G. Song, H. C. Jiao, Q. Q. Song, and H. Lin. 2012. The effect of group size and stocking density on the welfare and performance of hens housed in furnished cages during s</w:t>
      </w:r>
      <w:r w:rsidR="00FA0C00">
        <w:rPr>
          <w:lang w:eastAsia="en-AU"/>
        </w:rPr>
        <w:t>ummer. Animal Welfare 21:41-49.</w:t>
      </w:r>
    </w:p>
    <w:p w14:paraId="5778EF4A" w14:textId="77777777" w:rsidR="00EB1BF9" w:rsidRPr="00EB1BF9" w:rsidRDefault="00EB1BF9" w:rsidP="00EB1BF9">
      <w:pPr>
        <w:rPr>
          <w:lang w:eastAsia="en-AU"/>
        </w:rPr>
      </w:pPr>
      <w:r w:rsidRPr="00EB1BF9">
        <w:rPr>
          <w:lang w:eastAsia="en-AU"/>
        </w:rPr>
        <w:t>Hammershoj, M., and S. Steenfeldt. 2012. The effects of kale (</w:t>
      </w:r>
      <w:r w:rsidRPr="00FA0C00">
        <w:rPr>
          <w:i/>
          <w:lang w:eastAsia="en-AU"/>
        </w:rPr>
        <w:t>Brassica oleracea</w:t>
      </w:r>
      <w:r w:rsidRPr="00EB1BF9">
        <w:rPr>
          <w:lang w:eastAsia="en-AU"/>
        </w:rPr>
        <w:t xml:space="preserve"> ssp</w:t>
      </w:r>
      <w:r w:rsidR="00FA0C00">
        <w:rPr>
          <w:lang w:eastAsia="en-AU"/>
        </w:rPr>
        <w:t>.</w:t>
      </w:r>
      <w:r w:rsidRPr="00EB1BF9">
        <w:rPr>
          <w:lang w:eastAsia="en-AU"/>
        </w:rPr>
        <w:t xml:space="preserve"> </w:t>
      </w:r>
      <w:r w:rsidRPr="00FA0C00">
        <w:rPr>
          <w:i/>
          <w:lang w:eastAsia="en-AU"/>
        </w:rPr>
        <w:t>acephala</w:t>
      </w:r>
      <w:r w:rsidRPr="00EB1BF9">
        <w:rPr>
          <w:lang w:eastAsia="en-AU"/>
        </w:rPr>
        <w:t>), basil (</w:t>
      </w:r>
      <w:r w:rsidRPr="00FA0C00">
        <w:rPr>
          <w:i/>
          <w:lang w:eastAsia="en-AU"/>
        </w:rPr>
        <w:t>Ocimum basilicum</w:t>
      </w:r>
      <w:r w:rsidRPr="00EB1BF9">
        <w:rPr>
          <w:lang w:eastAsia="en-AU"/>
        </w:rPr>
        <w:t>) and thyme (</w:t>
      </w:r>
      <w:r w:rsidRPr="00C4034A">
        <w:rPr>
          <w:i/>
          <w:lang w:eastAsia="en-AU"/>
        </w:rPr>
        <w:t>Thymus vulgaris</w:t>
      </w:r>
      <w:r w:rsidRPr="00EB1BF9">
        <w:rPr>
          <w:lang w:eastAsia="en-AU"/>
        </w:rPr>
        <w:t>) as forage material in organic egg production on egg quality. British Poultry Science 53:245-256. doi 10.1080/00071668.2012.681770</w:t>
      </w:r>
    </w:p>
    <w:p w14:paraId="5580D39B" w14:textId="77777777" w:rsidR="00EB1BF9" w:rsidRPr="00EB1BF9" w:rsidRDefault="00EB1BF9" w:rsidP="00EB1BF9">
      <w:pPr>
        <w:rPr>
          <w:lang w:eastAsia="en-AU"/>
        </w:rPr>
      </w:pPr>
      <w:r w:rsidRPr="00EB1BF9">
        <w:rPr>
          <w:lang w:eastAsia="en-AU"/>
        </w:rPr>
        <w:t>Harlander-Matauschek, A., C. Baes, and W. Bessei. 2006. The demand of laying hens for feathers and wood shavings. Applied Animal Behaviour Science 101:102-110. doi 10.1016/j.applanim.2006.01.003</w:t>
      </w:r>
    </w:p>
    <w:p w14:paraId="4A42C676" w14:textId="77777777" w:rsidR="00EB1BF9" w:rsidRPr="00EB1BF9" w:rsidRDefault="00EB1BF9" w:rsidP="00EB1BF9">
      <w:pPr>
        <w:rPr>
          <w:lang w:eastAsia="en-AU"/>
        </w:rPr>
      </w:pPr>
      <w:r w:rsidRPr="00EB1BF9">
        <w:rPr>
          <w:lang w:eastAsia="en-AU"/>
        </w:rPr>
        <w:t>Harlander-Matauschek, A., and K. Hausler. 2009. Understanding feather eating behaviour in laying hens. Applied Animal Behaviour Science 117:35-41. doi 10.1016/j.applanim.2008.11.003</w:t>
      </w:r>
    </w:p>
    <w:p w14:paraId="7EC47EF2" w14:textId="77777777" w:rsidR="00EB1BF9" w:rsidRPr="00EB1BF9" w:rsidRDefault="00EB1BF9" w:rsidP="00EB1BF9">
      <w:pPr>
        <w:rPr>
          <w:lang w:eastAsia="en-AU"/>
        </w:rPr>
      </w:pPr>
      <w:r w:rsidRPr="00EB1BF9">
        <w:rPr>
          <w:lang w:eastAsia="en-AU"/>
        </w:rPr>
        <w:t>Harlander-Matauschek, A., and T. B. Rodenburg. 2011. Applying chemical stimuli on feathers to reduce feather pecking in laying hens. Applied Animal Behaviour Science 132:146-151. doi 10.1016/j.applanim.2011.04.004</w:t>
      </w:r>
    </w:p>
    <w:p w14:paraId="53470133" w14:textId="77777777" w:rsidR="00EB1BF9" w:rsidRPr="00EB1BF9" w:rsidRDefault="00EB1BF9" w:rsidP="00EB1BF9">
      <w:pPr>
        <w:rPr>
          <w:lang w:eastAsia="en-AU"/>
        </w:rPr>
      </w:pPr>
      <w:r w:rsidRPr="00EB1BF9">
        <w:rPr>
          <w:lang w:eastAsia="en-AU"/>
        </w:rPr>
        <w:t>Harlander-Matauschek, A., F. Wassermann, J. Zentek, and W. Bessei. 2008. Laying hens learn to avoid feathers. Poultry Science 87:1720-1724. doi 10.3382/ps.2007-00510</w:t>
      </w:r>
    </w:p>
    <w:p w14:paraId="6605E1F5" w14:textId="77777777" w:rsidR="00EB1BF9" w:rsidRPr="00EB1BF9" w:rsidRDefault="00EB1BF9" w:rsidP="00EB1BF9">
      <w:pPr>
        <w:rPr>
          <w:lang w:eastAsia="en-AU"/>
        </w:rPr>
      </w:pPr>
      <w:r w:rsidRPr="00EB1BF9">
        <w:rPr>
          <w:lang w:eastAsia="en-AU"/>
        </w:rPr>
        <w:t>Hartcher, K. M., P. H. Hemsworth, S. J. Wilkinson, P. C. Thomson, and G. M. Cronin. 2016a. The association between plumage damage and feather-eating in free-range laying hens. Animal 10:854-862. doi 10.1017/s1751731115002608</w:t>
      </w:r>
    </w:p>
    <w:p w14:paraId="0ABA6B71" w14:textId="77777777" w:rsidR="00EB1BF9" w:rsidRPr="00EB1BF9" w:rsidRDefault="00EB1BF9" w:rsidP="00EB1BF9">
      <w:pPr>
        <w:rPr>
          <w:lang w:eastAsia="en-AU"/>
        </w:rPr>
      </w:pPr>
      <w:r w:rsidRPr="00EB1BF9">
        <w:rPr>
          <w:lang w:eastAsia="en-AU"/>
        </w:rPr>
        <w:t>Hartcher, K. M., K. A. Hickey, P. H. Hemsworth, G. M. Cronin, S. J. Wilkinson, and M. Singh. 2016b. Relationships between range access as monitored by radio frequency identification technology, fearfulness, and plumage damage in free-range laying hens. Animal 10:847-853. doi 10.1017/s1751731115002463</w:t>
      </w:r>
    </w:p>
    <w:p w14:paraId="2CB8960F" w14:textId="77777777" w:rsidR="00EB1BF9" w:rsidRPr="00EB1BF9" w:rsidRDefault="00EB1BF9" w:rsidP="00EB1BF9">
      <w:pPr>
        <w:rPr>
          <w:lang w:eastAsia="en-AU"/>
        </w:rPr>
      </w:pPr>
      <w:r w:rsidRPr="00EB1BF9">
        <w:rPr>
          <w:lang w:eastAsia="en-AU"/>
        </w:rPr>
        <w:t>Hartcher, K. M., K. T. N. Tran, S. J. Wilkinson, P. H. Hemsworth, P. C. Thomson, and G. M. Cronin. 2015a. The effects of environmental enrichment and beak-trimming during the rearing period on subsequent feather damage due to feather-pecking in laying hens. Poultry Science 94:852-859. doi 10.3382/ps/pev061</w:t>
      </w:r>
    </w:p>
    <w:p w14:paraId="40618648" w14:textId="77777777" w:rsidR="00EB1BF9" w:rsidRPr="00EB1BF9" w:rsidRDefault="00EB1BF9" w:rsidP="00EB1BF9">
      <w:pPr>
        <w:rPr>
          <w:lang w:eastAsia="en-AU"/>
        </w:rPr>
      </w:pPr>
      <w:r w:rsidRPr="00EB1BF9">
        <w:rPr>
          <w:lang w:eastAsia="en-AU"/>
        </w:rPr>
        <w:t>Hartcher, K. M., M. Tran, S. J. Wilkinson, P. H. Hemsworth, P. C. Thomson, and G. M. Cronin. 2015b. Plumage damage in free-range laying hens: Behavioural characteristics in the rearing period and the effects of environmental enrichment and beak-trimming. Applied Animal Behaviour Science 164:64-72. doi 10.1016/j.applanim.2014.12.011</w:t>
      </w:r>
    </w:p>
    <w:p w14:paraId="786940E9" w14:textId="77777777" w:rsidR="00EB1BF9" w:rsidRPr="00EB1BF9" w:rsidRDefault="00EB1BF9" w:rsidP="00EB1BF9">
      <w:pPr>
        <w:rPr>
          <w:lang w:eastAsia="en-AU"/>
        </w:rPr>
      </w:pPr>
      <w:r w:rsidRPr="00EB1BF9">
        <w:rPr>
          <w:lang w:eastAsia="en-AU"/>
        </w:rPr>
        <w:t>Hartini, S., M. Choct, G. Hinch, A. Kocher, and J. V. Nolan. 2002. Effects of light intensity during rearing and beak trimming and dietary fiber sources on mortality, egg production, and performance of ISA brown laying hens. Journal of Appli</w:t>
      </w:r>
      <w:r w:rsidR="00FA0C00">
        <w:rPr>
          <w:lang w:eastAsia="en-AU"/>
        </w:rPr>
        <w:t>ed Poultry Research 11:104-110.</w:t>
      </w:r>
    </w:p>
    <w:p w14:paraId="78EC12CB" w14:textId="77777777" w:rsidR="00EB1BF9" w:rsidRPr="00EB1BF9" w:rsidRDefault="00EB1BF9" w:rsidP="00EB1BF9">
      <w:pPr>
        <w:rPr>
          <w:lang w:eastAsia="en-AU"/>
        </w:rPr>
      </w:pPr>
      <w:r w:rsidRPr="00EB1BF9">
        <w:rPr>
          <w:lang w:eastAsia="en-AU"/>
        </w:rPr>
        <w:t>Hawkridge, A. M. 2014. The chicken model of spontaneous ovarian cancer. Proteomics Clinical Applications 8:689-699. doi 10.1002/prca.201300135</w:t>
      </w:r>
    </w:p>
    <w:p w14:paraId="1399E22C" w14:textId="77777777" w:rsidR="00EB1BF9" w:rsidRPr="00EB1BF9" w:rsidRDefault="00EB1BF9" w:rsidP="00EB1BF9">
      <w:pPr>
        <w:rPr>
          <w:lang w:eastAsia="en-AU"/>
        </w:rPr>
      </w:pPr>
      <w:r w:rsidRPr="00EB1BF9">
        <w:rPr>
          <w:lang w:eastAsia="en-AU"/>
        </w:rPr>
        <w:t>Heckendorn, F., D. A. Haring, Z. Amsler, and V. Maurer. 2009. Do stocking rate and a simple run management practice influence the infection of laying hens with gastrointestinal helminths? Veterinary Parasitology 159:60-68. doi 10.1016/j.vetpar.2008.10.013</w:t>
      </w:r>
    </w:p>
    <w:p w14:paraId="11865F2B" w14:textId="77777777" w:rsidR="00EB1BF9" w:rsidRPr="00EB1BF9" w:rsidRDefault="00EB1BF9" w:rsidP="00EB1BF9">
      <w:pPr>
        <w:rPr>
          <w:lang w:eastAsia="en-AU"/>
        </w:rPr>
      </w:pPr>
      <w:r w:rsidRPr="00EB1BF9">
        <w:rPr>
          <w:lang w:eastAsia="en-AU"/>
        </w:rPr>
        <w:t>Heerkens, J. L. T., E. Delezie, B. Ampe, T. B. Rodenburg, and F. A. M. Tuyttens. 2016a. Ramps and hybrid effects on keel bone and foot pad disorders in modified aviaries for laying hens. Poultry Science 95:2479-2488. doi 10.3382/ps/pew157</w:t>
      </w:r>
    </w:p>
    <w:p w14:paraId="6AFDBC66" w14:textId="77777777" w:rsidR="00EB1BF9" w:rsidRPr="00EB1BF9" w:rsidRDefault="00EB1BF9" w:rsidP="00EB1BF9">
      <w:pPr>
        <w:rPr>
          <w:lang w:eastAsia="en-AU"/>
        </w:rPr>
      </w:pPr>
      <w:r w:rsidRPr="00EB1BF9">
        <w:rPr>
          <w:lang w:eastAsia="en-AU"/>
        </w:rPr>
        <w:t>Heerkens, J. L. T., E. Delezie, I. Kempen, J. Zoons, B. Ampe, T. B. Rodenburg, and F. A. M. Tuyttens. 2015. Specific characteristics of the aviary housing system affect plumage condition, mortality and production in laying hens. Poultry Science 94:2008-2017. doi 10.3382/ps/pev187</w:t>
      </w:r>
    </w:p>
    <w:p w14:paraId="233195B5" w14:textId="77777777" w:rsidR="00EB1BF9" w:rsidRPr="00EB1BF9" w:rsidRDefault="00EB1BF9" w:rsidP="00EB1BF9">
      <w:pPr>
        <w:rPr>
          <w:lang w:eastAsia="en-AU"/>
        </w:rPr>
      </w:pPr>
      <w:r w:rsidRPr="00EB1BF9">
        <w:rPr>
          <w:lang w:eastAsia="en-AU"/>
        </w:rPr>
        <w:t>Heerkens, J. L. T., E. Delezie, T. B. Rodenburg, I. Kempen, J. Zoons, B. Ampe, and F. A. M. Tuyttens. 2016b. Risk factors associated with keel bone and foot pad disorders in laying hens housed in aviary systems. Poultry Science 95:482-488. doi 10.3382/ps/pev339</w:t>
      </w:r>
    </w:p>
    <w:p w14:paraId="404915F3" w14:textId="77777777" w:rsidR="00EB1BF9" w:rsidRPr="00EB1BF9" w:rsidRDefault="00EB1BF9" w:rsidP="00EB1BF9">
      <w:pPr>
        <w:rPr>
          <w:lang w:eastAsia="en-AU"/>
        </w:rPr>
      </w:pPr>
      <w:r w:rsidRPr="00EB1BF9">
        <w:rPr>
          <w:lang w:eastAsia="en-AU"/>
        </w:rPr>
        <w:t>Heikkila, M., A. Wichman, S. Gunnarsson, and A. Valros. 2006. Development of perching behaviour in chicks reared in enriched environment. Applied Animal Behaviour Science 99:145-156. doi 10.1016/j.applanim.2005.09.013</w:t>
      </w:r>
    </w:p>
    <w:p w14:paraId="4EDBD2E9" w14:textId="77777777" w:rsidR="00EB1BF9" w:rsidRPr="00EB1BF9" w:rsidRDefault="00EB1BF9" w:rsidP="00EB1BF9">
      <w:pPr>
        <w:rPr>
          <w:lang w:eastAsia="en-AU"/>
        </w:rPr>
      </w:pPr>
      <w:r w:rsidRPr="00EB1BF9">
        <w:rPr>
          <w:lang w:eastAsia="en-AU"/>
        </w:rPr>
        <w:t>Heinrich, A., W. Icken, S. Thurner, G. Wendl, H. Bernhardt, and R. Preisinger. 2015. Nesting behaviour - a comparison of single nest boxes and family nests. European Poultry Science 79. doi 10.1399/eps.2014.72</w:t>
      </w:r>
    </w:p>
    <w:p w14:paraId="623700FF" w14:textId="77777777" w:rsidR="00EB1BF9" w:rsidRPr="00EB1BF9" w:rsidRDefault="00EB1BF9" w:rsidP="00EB1BF9">
      <w:pPr>
        <w:rPr>
          <w:lang w:eastAsia="en-AU"/>
        </w:rPr>
      </w:pPr>
      <w:r w:rsidRPr="00EB1BF9">
        <w:rPr>
          <w:lang w:eastAsia="en-AU"/>
        </w:rPr>
        <w:t>Hester, P. Y., S. A. Enneking, K. Y. Jefferson-Moore, M. E. Einstein, H. W. Cheng, and D. A. Rubin. 2013. The effect of perches in cages during pullet rearing and egg laying on hen performance, foot health, and plumage. Poultry Science 92:310-320. doi 10.3382/ps.2012-02744</w:t>
      </w:r>
    </w:p>
    <w:p w14:paraId="732E13FF" w14:textId="77777777" w:rsidR="00EB1BF9" w:rsidRPr="00EB1BF9" w:rsidRDefault="00EB1BF9" w:rsidP="00EB1BF9">
      <w:pPr>
        <w:rPr>
          <w:lang w:eastAsia="en-AU"/>
        </w:rPr>
      </w:pPr>
      <w:r w:rsidRPr="00EB1BF9">
        <w:rPr>
          <w:lang w:eastAsia="en-AU"/>
        </w:rPr>
        <w:t>Hester, P. Y., J. P. Garner, S. A. Enneking, H. W. Cheng, and M. E. Einstein. 2014. The effect of perch availability during pullet rearing and egg laying on the behavior of caged White Leghorn hens. Poultry Science 93:2423-2431. doi 10.3382/ps.2014-04038</w:t>
      </w:r>
    </w:p>
    <w:p w14:paraId="49C203EA" w14:textId="77777777" w:rsidR="00EB1BF9" w:rsidRPr="00EB1BF9" w:rsidRDefault="00EB1BF9" w:rsidP="00EB1BF9">
      <w:pPr>
        <w:rPr>
          <w:lang w:eastAsia="en-AU"/>
        </w:rPr>
      </w:pPr>
      <w:r w:rsidRPr="00EB1BF9">
        <w:rPr>
          <w:lang w:eastAsia="en-AU"/>
        </w:rPr>
        <w:t>Hester, P. Y., D. A. Wilson, P. Settar, J. A. Arango, and N. P. O'Sullivan. 2011. Effect of lighting programs during the pullet phase on skeletal integrity of egg-laying strains of chickens. Poultry Science 90:1645-1651. doi 10.3382/ps.2011-01411</w:t>
      </w:r>
    </w:p>
    <w:p w14:paraId="331CFF9A" w14:textId="77777777" w:rsidR="00EB1BF9" w:rsidRPr="00EB1BF9" w:rsidRDefault="00EB1BF9" w:rsidP="00EB1BF9">
      <w:pPr>
        <w:rPr>
          <w:lang w:eastAsia="en-AU"/>
        </w:rPr>
      </w:pPr>
      <w:r w:rsidRPr="00EB1BF9">
        <w:rPr>
          <w:lang w:eastAsia="en-AU"/>
        </w:rPr>
        <w:t>Hetland, H., R. O. Moe, R. Tauson, S. Lervik, and B. Svihus. 2004. Effect of including whole oats into pellets on performance and plumage condition in laying hens housed in conventional and furnished cages. Acta Agriculturae Scandinavica Section a-Animal Science 54:206-212. doi 10.1080/09064700410010026</w:t>
      </w:r>
    </w:p>
    <w:p w14:paraId="7A867761" w14:textId="77777777" w:rsidR="00EB1BF9" w:rsidRPr="00EB1BF9" w:rsidRDefault="00EB1BF9" w:rsidP="00EB1BF9">
      <w:pPr>
        <w:rPr>
          <w:lang w:eastAsia="en-AU"/>
        </w:rPr>
      </w:pPr>
      <w:r w:rsidRPr="00EB1BF9">
        <w:rPr>
          <w:lang w:eastAsia="en-AU"/>
        </w:rPr>
        <w:t xml:space="preserve">Hetland, H., and B. Svihus. 2007. Inclusion of dust bathing materials affects nutrient digestion and gut physiology of layers. Journal of Applied Poultry Research 16:22-26. </w:t>
      </w:r>
    </w:p>
    <w:p w14:paraId="139ECC89" w14:textId="77777777" w:rsidR="00EB1BF9" w:rsidRPr="00EB1BF9" w:rsidRDefault="00EB1BF9" w:rsidP="00EB1BF9">
      <w:pPr>
        <w:rPr>
          <w:lang w:eastAsia="en-AU"/>
        </w:rPr>
      </w:pPr>
      <w:r w:rsidRPr="00EB1BF9">
        <w:rPr>
          <w:lang w:eastAsia="en-AU"/>
        </w:rPr>
        <w:t>Hetland, H., B. Svihus, S. Lervik, and R. Moe. 2003. Effect of feed structure on performance and welfare in laying hens housed in conventional and furnished cages. Acta Agriculturae Scandinavica Section a-Animal Science 53:92-100. doi 10.1080/09064700310002387</w:t>
      </w:r>
    </w:p>
    <w:p w14:paraId="4E1966D4" w14:textId="77777777" w:rsidR="00EB1BF9" w:rsidRPr="00EB1BF9" w:rsidRDefault="00EB1BF9" w:rsidP="00EB1BF9">
      <w:pPr>
        <w:rPr>
          <w:lang w:eastAsia="en-AU"/>
        </w:rPr>
      </w:pPr>
      <w:r w:rsidRPr="00EB1BF9">
        <w:rPr>
          <w:lang w:eastAsia="en-AU"/>
        </w:rPr>
        <w:t>Hinrichsen, L. K., A. B. Riber, and R. Labouriau. 2016. Associations between and development of welfare indicators in organic layers. Animal 10:953-960. doi 10.1017/s1751731115003018</w:t>
      </w:r>
    </w:p>
    <w:p w14:paraId="3F8AC2A9" w14:textId="77777777" w:rsidR="00EB1BF9" w:rsidRPr="00EB1BF9" w:rsidRDefault="00EB1BF9" w:rsidP="00EB1BF9">
      <w:pPr>
        <w:rPr>
          <w:lang w:eastAsia="en-AU"/>
        </w:rPr>
      </w:pPr>
      <w:r w:rsidRPr="00EB1BF9">
        <w:rPr>
          <w:lang w:eastAsia="en-AU"/>
        </w:rPr>
        <w:t>Hocking, P. M., C. E. Channing, G. W. Robertson, A. Edmond, and R. B. Jones. 2004. Between breed genetic variation for welfare-related behavioural traits in domestic fowl. Applied Animal Behaviour Science 89:85-105. doi 10.1016/j.applanim.2004.03.014</w:t>
      </w:r>
    </w:p>
    <w:p w14:paraId="495A9999" w14:textId="77777777" w:rsidR="00EB1BF9" w:rsidRPr="00EB1BF9" w:rsidRDefault="00EB1BF9" w:rsidP="00EB1BF9">
      <w:pPr>
        <w:rPr>
          <w:lang w:eastAsia="en-AU"/>
        </w:rPr>
      </w:pPr>
      <w:r w:rsidRPr="00EB1BF9">
        <w:rPr>
          <w:lang w:eastAsia="en-AU"/>
        </w:rPr>
        <w:t>Holcman, A., G. Gorjanc, and I. Stuhec. 2008. Porous concrete block as an environmental enrichment device increases activity of laying hens in cages. Poultry Science 87:1714-1719. doi 10.3382/ps.2008-00113</w:t>
      </w:r>
    </w:p>
    <w:p w14:paraId="33C35202" w14:textId="77777777" w:rsidR="00EB1BF9" w:rsidRPr="00EB1BF9" w:rsidRDefault="00EB1BF9" w:rsidP="00EB1BF9">
      <w:pPr>
        <w:rPr>
          <w:lang w:eastAsia="en-AU"/>
        </w:rPr>
      </w:pPr>
      <w:r w:rsidRPr="00EB1BF9">
        <w:rPr>
          <w:lang w:eastAsia="en-AU"/>
        </w:rPr>
        <w:t>Hoppitt, W., L. Blackburn, and K. N. Laland. 2007. Response facilitation in the domestic fowl. Animal Behaviour 73:229-238. doi 10.1016/j.anbehav.2006.05.013</w:t>
      </w:r>
    </w:p>
    <w:p w14:paraId="672DDEE1" w14:textId="77777777" w:rsidR="00EB1BF9" w:rsidRPr="00EB1BF9" w:rsidRDefault="00EB1BF9" w:rsidP="00EB1BF9">
      <w:pPr>
        <w:rPr>
          <w:lang w:eastAsia="en-AU"/>
        </w:rPr>
      </w:pPr>
      <w:r w:rsidRPr="00EB1BF9">
        <w:rPr>
          <w:lang w:eastAsia="en-AU"/>
        </w:rPr>
        <w:t>Horsted, K., and J. E. Hermansen. 2007. Whole wheat versus mixed layer diet as supplementary feed to layers foraging a sequence of different forage crops. Animal 1:575-585. doi 10.1017/s175173110769418x</w:t>
      </w:r>
    </w:p>
    <w:p w14:paraId="65CC5ADE" w14:textId="77777777" w:rsidR="00EB1BF9" w:rsidRPr="00EB1BF9" w:rsidRDefault="00EB1BF9" w:rsidP="00EB1BF9">
      <w:pPr>
        <w:rPr>
          <w:lang w:val="en-AU" w:eastAsia="en-AU"/>
        </w:rPr>
      </w:pPr>
      <w:r w:rsidRPr="00EB1BF9">
        <w:rPr>
          <w:lang w:val="en-AU" w:eastAsia="en-AU"/>
        </w:rPr>
        <w:t xml:space="preserve">Hu, J. Y., </w:t>
      </w:r>
      <w:r w:rsidR="00E57004">
        <w:rPr>
          <w:lang w:val="en-AU" w:eastAsia="en-AU"/>
        </w:rPr>
        <w:t xml:space="preserve">P. Y. </w:t>
      </w:r>
      <w:r w:rsidRPr="00EB1BF9">
        <w:rPr>
          <w:lang w:val="en-AU" w:eastAsia="en-AU"/>
        </w:rPr>
        <w:t xml:space="preserve">Hester, </w:t>
      </w:r>
      <w:r w:rsidR="00E57004">
        <w:rPr>
          <w:lang w:val="en-AU" w:eastAsia="en-AU"/>
        </w:rPr>
        <w:t>M. M.</w:t>
      </w:r>
      <w:r w:rsidRPr="00EB1BF9">
        <w:rPr>
          <w:lang w:val="en-AU" w:eastAsia="en-AU"/>
        </w:rPr>
        <w:t xml:space="preserve"> Makagon, </w:t>
      </w:r>
      <w:r w:rsidR="00E57004">
        <w:rPr>
          <w:lang w:val="en-AU" w:eastAsia="en-AU"/>
        </w:rPr>
        <w:t xml:space="preserve">G. </w:t>
      </w:r>
      <w:r w:rsidRPr="00EB1BF9">
        <w:rPr>
          <w:lang w:val="en-AU" w:eastAsia="en-AU"/>
        </w:rPr>
        <w:t xml:space="preserve">Vezzoli, </w:t>
      </w:r>
      <w:r w:rsidR="00E57004">
        <w:rPr>
          <w:lang w:val="en-AU" w:eastAsia="en-AU"/>
        </w:rPr>
        <w:t>R. S.</w:t>
      </w:r>
      <w:r w:rsidRPr="00EB1BF9">
        <w:rPr>
          <w:lang w:val="en-AU" w:eastAsia="en-AU"/>
        </w:rPr>
        <w:t xml:space="preserve"> Gates, </w:t>
      </w:r>
      <w:r w:rsidR="00E57004">
        <w:rPr>
          <w:lang w:val="en-AU" w:eastAsia="en-AU"/>
        </w:rPr>
        <w:t xml:space="preserve">Y. J. </w:t>
      </w:r>
      <w:r w:rsidRPr="00EB1BF9">
        <w:rPr>
          <w:lang w:val="en-AU" w:eastAsia="en-AU"/>
        </w:rPr>
        <w:t xml:space="preserve">Xiong, and </w:t>
      </w:r>
      <w:r w:rsidR="00E57004">
        <w:rPr>
          <w:lang w:val="en-AU" w:eastAsia="en-AU"/>
        </w:rPr>
        <w:t xml:space="preserve">H. W. </w:t>
      </w:r>
      <w:r w:rsidRPr="00EB1BF9">
        <w:rPr>
          <w:lang w:val="en-AU" w:eastAsia="en-AU"/>
        </w:rPr>
        <w:t xml:space="preserve">Cheng. 2016. Cooled perch effects on performance and well-being traits in caged White Leghorn hens. </w:t>
      </w:r>
      <w:r w:rsidRPr="00EB1BF9">
        <w:rPr>
          <w:iCs/>
          <w:lang w:val="en-AU" w:eastAsia="en-AU"/>
        </w:rPr>
        <w:t>Poultry Science 95</w:t>
      </w:r>
      <w:r w:rsidR="00E57004">
        <w:rPr>
          <w:iCs/>
          <w:lang w:val="en-AU" w:eastAsia="en-AU"/>
        </w:rPr>
        <w:t>:</w:t>
      </w:r>
      <w:r w:rsidRPr="00EB1BF9">
        <w:rPr>
          <w:lang w:val="en-AU" w:eastAsia="en-AU"/>
        </w:rPr>
        <w:t xml:space="preserve"> 2737-2746</w:t>
      </w:r>
      <w:r w:rsidR="00E57004">
        <w:rPr>
          <w:lang w:val="en-AU" w:eastAsia="en-AU"/>
        </w:rPr>
        <w:t>.</w:t>
      </w:r>
    </w:p>
    <w:p w14:paraId="6BC6DD86" w14:textId="77777777" w:rsidR="00EB1BF9" w:rsidRPr="00EB1BF9" w:rsidRDefault="00EB1BF9" w:rsidP="00EB1BF9">
      <w:pPr>
        <w:rPr>
          <w:lang w:eastAsia="en-AU"/>
        </w:rPr>
      </w:pPr>
      <w:r w:rsidRPr="00EB1BF9">
        <w:rPr>
          <w:lang w:eastAsia="en-AU"/>
        </w:rPr>
        <w:t>Huber-Eicher, B. 2004. The effect of early colour preference and of a colour exposing procedure on the choice of nest colours in laying hens. Applied Animal Behaviour Science 86:63-76. doi 10.1016/j.applanim.2003.12.003</w:t>
      </w:r>
    </w:p>
    <w:p w14:paraId="472D4694" w14:textId="77777777" w:rsidR="00EB1BF9" w:rsidRPr="00EB1BF9" w:rsidRDefault="00EB1BF9" w:rsidP="00EB1BF9">
      <w:pPr>
        <w:rPr>
          <w:lang w:eastAsia="en-AU"/>
        </w:rPr>
      </w:pPr>
      <w:r w:rsidRPr="00EB1BF9">
        <w:rPr>
          <w:lang w:eastAsia="en-AU"/>
        </w:rPr>
        <w:t>Huber-Eicher, B., and L. Audige. 1999. Analysis of risk factors for the occurrence of feather pecking in laying hen growers. Brit</w:t>
      </w:r>
      <w:r w:rsidR="00E57004">
        <w:rPr>
          <w:lang w:eastAsia="en-AU"/>
        </w:rPr>
        <w:t>ish Poultry Science 40:599-604.</w:t>
      </w:r>
    </w:p>
    <w:p w14:paraId="2EF980FF" w14:textId="77777777" w:rsidR="00EB1BF9" w:rsidRPr="00EB1BF9" w:rsidRDefault="00EB1BF9" w:rsidP="00EB1BF9">
      <w:pPr>
        <w:rPr>
          <w:lang w:eastAsia="en-AU"/>
        </w:rPr>
      </w:pPr>
      <w:r w:rsidRPr="00EB1BF9">
        <w:rPr>
          <w:lang w:eastAsia="en-AU"/>
        </w:rPr>
        <w:t>Huber-Eicher, B., and F. Sebo. 2001a. Reducing feather pecking when raising laying hen chicks in aviary systems. Applied Animal Behaviour Science 73:59-68. doi 10.1016/s0168-1591(01)00121-6</w:t>
      </w:r>
    </w:p>
    <w:p w14:paraId="34D67953" w14:textId="77777777" w:rsidR="00EB1BF9" w:rsidRPr="00EB1BF9" w:rsidRDefault="00EB1BF9" w:rsidP="00EB1BF9">
      <w:pPr>
        <w:rPr>
          <w:lang w:eastAsia="en-AU"/>
        </w:rPr>
      </w:pPr>
      <w:r w:rsidRPr="00EB1BF9">
        <w:rPr>
          <w:lang w:eastAsia="en-AU"/>
        </w:rPr>
        <w:t>Huber-Eicher, B., and F. Sebo. 2001b. The prevalence of feather pecking and development in commercial flocks of laying hens. Applied Animal Behaviour Science 74:223-231. doi 10.1016/s0168-1591(01)00173-3</w:t>
      </w:r>
    </w:p>
    <w:p w14:paraId="22F931F5" w14:textId="77777777" w:rsidR="00EB1BF9" w:rsidRPr="00EB1BF9" w:rsidRDefault="00EB1BF9" w:rsidP="00EB1BF9">
      <w:pPr>
        <w:rPr>
          <w:lang w:eastAsia="en-AU"/>
        </w:rPr>
      </w:pPr>
      <w:r w:rsidRPr="00EB1BF9">
        <w:rPr>
          <w:lang w:eastAsia="en-AU"/>
        </w:rPr>
        <w:t>Huber-Eicher, B., A. Suter, and P. Spring-Stahli. 2013. Effects of colored light-emitting diode illumination on behavior and performance of laying hens. Poultry Science 92:869-873. doi 10.3382/ps.2012-02679</w:t>
      </w:r>
    </w:p>
    <w:p w14:paraId="4CFE3E73" w14:textId="77777777" w:rsidR="00EB1BF9" w:rsidRPr="00EB1BF9" w:rsidRDefault="00EB1BF9" w:rsidP="00EB1BF9">
      <w:pPr>
        <w:rPr>
          <w:lang w:eastAsia="en-AU"/>
        </w:rPr>
      </w:pPr>
      <w:r w:rsidRPr="00EB1BF9">
        <w:rPr>
          <w:lang w:eastAsia="en-AU"/>
        </w:rPr>
        <w:t>Huber-Eicher, B., and B. Wechsler. 1998. The effect of quality and availability of foraging materials on feather pecking in laying hen chicks. Animal Behaviour 55:861-873. doi 10.1006/anbe.1997.0715</w:t>
      </w:r>
    </w:p>
    <w:p w14:paraId="50AE8F54" w14:textId="77777777" w:rsidR="00EB1BF9" w:rsidRPr="00EB1BF9" w:rsidRDefault="00EB1BF9" w:rsidP="00EB1BF9">
      <w:pPr>
        <w:rPr>
          <w:lang w:eastAsia="en-AU"/>
        </w:rPr>
      </w:pPr>
      <w:r w:rsidRPr="00EB1BF9">
        <w:rPr>
          <w:lang w:eastAsia="en-AU"/>
        </w:rPr>
        <w:t>Hughes, B. O., N. L. Carmichael, A. W. Walker, and P. N. Grigor. 1997. Low incidence of aggression in large flocks of laying hens. Applied Animal Behaviour Science 54:215-234. doi 10.1016/s0168-1591(96)01177-x</w:t>
      </w:r>
    </w:p>
    <w:p w14:paraId="53BD6347" w14:textId="77777777" w:rsidR="00EB1BF9" w:rsidRPr="00EB1BF9" w:rsidRDefault="00EB1BF9" w:rsidP="00EB1BF9">
      <w:pPr>
        <w:rPr>
          <w:lang w:eastAsia="en-AU"/>
        </w:rPr>
      </w:pPr>
      <w:r w:rsidRPr="00EB1BF9">
        <w:rPr>
          <w:lang w:eastAsia="en-AU"/>
        </w:rPr>
        <w:t>Hughes, B. O., J. C. Petherick, M. F. Brown, and D. Waddington. 1995. Visual recognition of key nest-site stimuli by laying hens in cages. Applied Animal Behaviour Science 42:271-281. doi 10.1016/0168-1591(94)00541-l</w:t>
      </w:r>
    </w:p>
    <w:p w14:paraId="23968BDD" w14:textId="77777777" w:rsidR="00EB1BF9" w:rsidRPr="00EB1BF9" w:rsidRDefault="00EB1BF9" w:rsidP="00EB1BF9">
      <w:pPr>
        <w:rPr>
          <w:lang w:eastAsia="en-AU"/>
        </w:rPr>
      </w:pPr>
      <w:r w:rsidRPr="00EB1BF9">
        <w:rPr>
          <w:lang w:eastAsia="en-AU"/>
        </w:rPr>
        <w:t>Huneau-Salaun, A., M. Guinebretiere, A. Taktak, D. Huonnic, and V. Michel. 2011a. Furnished cages for laying hens: study of the effects of group size and litter provision on laying location, zootechnical performance and egg quality. Animal 5:911-917. doi 10.1017/s1751731110002582</w:t>
      </w:r>
    </w:p>
    <w:p w14:paraId="6180546E" w14:textId="77777777" w:rsidR="00EB1BF9" w:rsidRPr="00EB1BF9" w:rsidRDefault="00EB1BF9" w:rsidP="00EB1BF9">
      <w:pPr>
        <w:rPr>
          <w:lang w:eastAsia="en-AU"/>
        </w:rPr>
      </w:pPr>
      <w:r w:rsidRPr="00EB1BF9">
        <w:rPr>
          <w:lang w:eastAsia="en-AU"/>
        </w:rPr>
        <w:t>Huneau-Salaun, A., S. Le Bouquin, V. Bex-Capelle, D. Huonnic, L. Balaine, M. T. Guillam, F. Squizani, C. Segala, and V. Michel. 2011b. Endotoxin concentration in poultry houses for laying hens kept in cages or in alternative housing systems. British Poultry Science 52:523-530. doi 10.1080/00071668.2011.617728</w:t>
      </w:r>
    </w:p>
    <w:p w14:paraId="1333F42E" w14:textId="77777777" w:rsidR="00EB1BF9" w:rsidRPr="00EB1BF9" w:rsidRDefault="00EB1BF9" w:rsidP="00EB1BF9">
      <w:pPr>
        <w:rPr>
          <w:lang w:eastAsia="en-AU"/>
        </w:rPr>
      </w:pPr>
      <w:r w:rsidRPr="00EB1BF9">
        <w:rPr>
          <w:lang w:eastAsia="en-AU"/>
        </w:rPr>
        <w:t>Hunniford, M. E., and T. M. Widowski. 2016. Rearing environment and laying location affect pre-laying behaviour in enriched cages. Applied Animal Behaviour Science 181:205-213. doi 10.1016/j.applanim.2016.05.013</w:t>
      </w:r>
    </w:p>
    <w:p w14:paraId="4B2B319F" w14:textId="77777777" w:rsidR="00EB1BF9" w:rsidRPr="00EB1BF9" w:rsidRDefault="00EB1BF9" w:rsidP="00EB1BF9">
      <w:pPr>
        <w:rPr>
          <w:lang w:eastAsia="en-AU"/>
        </w:rPr>
      </w:pPr>
      <w:r w:rsidRPr="00EB1BF9">
        <w:rPr>
          <w:lang w:eastAsia="en-AU"/>
        </w:rPr>
        <w:t>Hunniford, M. E., and T. M. Widowski. 2017. Nest alternatives: Adding a wire partition to the scratch area affects nest use and nesting behaviour of laying hens in furnished cages. Applied Animal Behaviour Science 186:29-34. doi 10.1016/j.applanim.2016.10.018</w:t>
      </w:r>
    </w:p>
    <w:p w14:paraId="531B8158" w14:textId="77777777" w:rsidR="00EB1BF9" w:rsidRPr="00EB1BF9" w:rsidRDefault="00EB1BF9" w:rsidP="00EB1BF9">
      <w:pPr>
        <w:rPr>
          <w:lang w:eastAsia="en-AU"/>
        </w:rPr>
      </w:pPr>
      <w:r w:rsidRPr="00EB1BF9">
        <w:rPr>
          <w:lang w:eastAsia="en-AU"/>
        </w:rPr>
        <w:t>Itza-Ortiz, M. F., G. Peraza-Mercado, Y. Castillo-Castillo, C. A. Rodriguez-Alarcon, C. Vital-Garcia, E. Jaramillo-Lopez, and J. M. Carrera-Chavez. 2016. Productive Performance of White Leghorn Hens Based on the Type of Housing During Rearing: Floor Versus Cage. Brazilian Journal of Poultry Science 18:543-547. doi 10.1590/1806-9061-2015-0139</w:t>
      </w:r>
    </w:p>
    <w:p w14:paraId="613DEBFA" w14:textId="77777777" w:rsidR="00EB1BF9" w:rsidRPr="00EB1BF9" w:rsidRDefault="00EB1BF9" w:rsidP="00EB1BF9">
      <w:pPr>
        <w:rPr>
          <w:lang w:eastAsia="en-AU"/>
        </w:rPr>
      </w:pPr>
      <w:r w:rsidRPr="00EB1BF9">
        <w:rPr>
          <w:lang w:eastAsia="en-AU"/>
        </w:rPr>
        <w:t xml:space="preserve">Jalal, M. A., S. E. Scheideler, and D. Marx. 2006. Effect of bird cage space and dietary metabolizable energy level on production parameters in laying hens. Poultry Science 85:306-311. </w:t>
      </w:r>
    </w:p>
    <w:p w14:paraId="1F92BBF3" w14:textId="77777777" w:rsidR="00EB1BF9" w:rsidRPr="00EB1BF9" w:rsidRDefault="00EB1BF9" w:rsidP="00EB1BF9">
      <w:pPr>
        <w:rPr>
          <w:lang w:eastAsia="en-AU"/>
        </w:rPr>
      </w:pPr>
      <w:r w:rsidRPr="00EB1BF9">
        <w:rPr>
          <w:lang w:eastAsia="en-AU"/>
        </w:rPr>
        <w:t>Janczak, A. M., and A. B. Riber. 2015. Review of rearing-related factors affecting the welfare of laying hens. Poultry Science 94:1454-1469. doi 10.3382/ps/pev123</w:t>
      </w:r>
    </w:p>
    <w:p w14:paraId="5B4122DB" w14:textId="77777777" w:rsidR="00EB1BF9" w:rsidRPr="00EB1BF9" w:rsidRDefault="00EB1BF9" w:rsidP="00EB1BF9">
      <w:pPr>
        <w:rPr>
          <w:lang w:eastAsia="en-AU"/>
        </w:rPr>
      </w:pPr>
      <w:r w:rsidRPr="00EB1BF9">
        <w:rPr>
          <w:lang w:eastAsia="en-AU"/>
        </w:rPr>
        <w:t>Jansson, D. S., A. Nyman, I. Vagsholm, D. Christensson, M. Goransson, O. Fossum, and J. Hoglund. 2010. Ascarid infections in laying hens kept in different housing systems. Avian Pathology 39:525-532. doi 10.1080/03079457.2010.527923</w:t>
      </w:r>
    </w:p>
    <w:p w14:paraId="6CE313A2" w14:textId="77777777" w:rsidR="00EB1BF9" w:rsidRPr="00EB1BF9" w:rsidRDefault="00EB1BF9" w:rsidP="00EB1BF9">
      <w:pPr>
        <w:rPr>
          <w:lang w:eastAsia="en-AU"/>
        </w:rPr>
      </w:pPr>
      <w:r w:rsidRPr="00EB1BF9">
        <w:rPr>
          <w:lang w:eastAsia="en-AU"/>
        </w:rPr>
        <w:t>Jarvis, J. R., N. R. Taylor, N. B. Prescott, I. Meeks, and C. M. Wathes. 2002. Measuring and modelling the photopic flicker sensitivity of the chicken (</w:t>
      </w:r>
      <w:r w:rsidRPr="00E57004">
        <w:rPr>
          <w:i/>
          <w:lang w:eastAsia="en-AU"/>
        </w:rPr>
        <w:t>Gallus g. domesticus</w:t>
      </w:r>
      <w:r w:rsidRPr="00EB1BF9">
        <w:rPr>
          <w:lang w:eastAsia="en-AU"/>
        </w:rPr>
        <w:t>). Vision Research 42:99-106. doi 10.1016/s0042-6989(01)00268-1</w:t>
      </w:r>
    </w:p>
    <w:p w14:paraId="5E751327" w14:textId="77777777" w:rsidR="00EB1BF9" w:rsidRPr="00EB1BF9" w:rsidRDefault="00EB1BF9" w:rsidP="00EB1BF9">
      <w:pPr>
        <w:rPr>
          <w:lang w:eastAsia="en-AU"/>
        </w:rPr>
      </w:pPr>
      <w:r w:rsidRPr="00EB1BF9">
        <w:rPr>
          <w:lang w:eastAsia="en-AU"/>
        </w:rPr>
        <w:t>Jendral, M. J., D. R. Korver, J. S. Church, and J. J. R. Feddes. 2008. Bone mineral density and breaking strength of white leghorns housed in conventional, modified, and commercially available colony battery cages. Poultry Science 87:828-837. doi 10.3382/ps.2007-00192</w:t>
      </w:r>
    </w:p>
    <w:p w14:paraId="4C6CAF2F" w14:textId="77777777" w:rsidR="00EB1BF9" w:rsidRPr="00EB1BF9" w:rsidRDefault="00EB1BF9" w:rsidP="00EB1BF9">
      <w:pPr>
        <w:rPr>
          <w:lang w:eastAsia="en-AU"/>
        </w:rPr>
      </w:pPr>
      <w:r w:rsidRPr="00EB1BF9">
        <w:rPr>
          <w:lang w:eastAsia="en-AU"/>
        </w:rPr>
        <w:t>Jiang, S., P. Y. Hester, J. Y. Hu, F. F. Yan, R. L. Dennis, and H. W. Cheng. 2014. Effect of perches on liver health of hens. Poultry Science 93:1618-1622. doi 10.3382/ps.2013-03659</w:t>
      </w:r>
    </w:p>
    <w:p w14:paraId="00898D1F" w14:textId="77777777" w:rsidR="00EB1BF9" w:rsidRPr="00EB1BF9" w:rsidRDefault="00EB1BF9" w:rsidP="00EB1BF9">
      <w:pPr>
        <w:rPr>
          <w:lang w:eastAsia="en-AU"/>
        </w:rPr>
      </w:pPr>
      <w:r w:rsidRPr="00EB1BF9">
        <w:rPr>
          <w:lang w:eastAsia="en-AU"/>
        </w:rPr>
        <w:t>Johannson, S. G., C. Raginski, K. Schwean-Lardner, and H. L. Classen. 2016. Providing laying hens in group-housed enriched cages with access to barley silage reduces aggressive and feather-pecking behaviour. Canadian Journal of Animal Science 96:161-171. doi 10.1139/cjas-2015-0133</w:t>
      </w:r>
    </w:p>
    <w:p w14:paraId="37F79915" w14:textId="77777777" w:rsidR="00EB1BF9" w:rsidRPr="00EB1BF9" w:rsidRDefault="00EB1BF9" w:rsidP="00EB1BF9">
      <w:pPr>
        <w:rPr>
          <w:lang w:eastAsia="en-AU"/>
        </w:rPr>
      </w:pPr>
      <w:r w:rsidRPr="00EB1BF9">
        <w:rPr>
          <w:lang w:eastAsia="en-AU"/>
        </w:rPr>
        <w:t>Johnson, P. A., and J. R. Giles. 2013. The hen as a model of ovarian cancer. Nature Reviews Cancer 13:432-436. doi 10.1038/nrc3535</w:t>
      </w:r>
    </w:p>
    <w:p w14:paraId="30B884A9" w14:textId="77777777" w:rsidR="00EB1BF9" w:rsidRPr="00EB1BF9" w:rsidRDefault="00EB1BF9" w:rsidP="00EB1BF9">
      <w:pPr>
        <w:rPr>
          <w:lang w:eastAsia="en-AU"/>
        </w:rPr>
      </w:pPr>
      <w:r w:rsidRPr="00EB1BF9">
        <w:rPr>
          <w:lang w:eastAsia="en-AU"/>
        </w:rPr>
        <w:t>Jones, D. R., N. A. Cox, J. Guard, P. J. Fedorka-Cray, R. J. Buhr, R. K. Gast, Z. Abdo, L. L. Rigsby, J. R. Plumblee, D. M. Karcher, C. I. Robison, R. A. Blatchford, and M. M. Makagon. 2015. Microbiological impact of three commercial laying hen housing systems. Poultry Science 94:544-551. doi 10.3382/ps/peu010</w:t>
      </w:r>
    </w:p>
    <w:p w14:paraId="31C61805" w14:textId="77777777" w:rsidR="00EB1BF9" w:rsidRPr="00EB1BF9" w:rsidRDefault="00EB1BF9" w:rsidP="00EB1BF9">
      <w:pPr>
        <w:rPr>
          <w:lang w:eastAsia="en-AU"/>
        </w:rPr>
      </w:pPr>
      <w:r w:rsidRPr="00EB1BF9">
        <w:rPr>
          <w:lang w:eastAsia="en-AU"/>
        </w:rPr>
        <w:t xml:space="preserve">Jones, D. R., J. Guard, R. K. Gast, R. J. Buhr, P. J. Fedorka-Cray, Z. Abdo, J. R. Plumblee, D. V. Bourassa, N. A. Cox, L. L. Rigsby, C. I. Robison, P. Regmi, and D. M. Karcher. 2016. Influence of commercial laying hen housing systems on the incidence and identification of </w:t>
      </w:r>
      <w:r w:rsidRPr="004643BC">
        <w:rPr>
          <w:i/>
          <w:lang w:eastAsia="en-AU"/>
        </w:rPr>
        <w:t>Salmonella</w:t>
      </w:r>
      <w:r w:rsidRPr="00EB1BF9">
        <w:rPr>
          <w:lang w:eastAsia="en-AU"/>
        </w:rPr>
        <w:t xml:space="preserve"> and </w:t>
      </w:r>
      <w:r w:rsidRPr="004643BC">
        <w:rPr>
          <w:i/>
          <w:lang w:eastAsia="en-AU"/>
        </w:rPr>
        <w:t>Campylobacter</w:t>
      </w:r>
      <w:r w:rsidRPr="00EB1BF9">
        <w:rPr>
          <w:lang w:eastAsia="en-AU"/>
        </w:rPr>
        <w:t>. Poultry Science 95:1116-1124. doi 10.3382/ps/pew036</w:t>
      </w:r>
    </w:p>
    <w:p w14:paraId="17943C61" w14:textId="77777777" w:rsidR="00EB1BF9" w:rsidRPr="00EB1BF9" w:rsidRDefault="00EB1BF9" w:rsidP="00EB1BF9">
      <w:pPr>
        <w:rPr>
          <w:lang w:eastAsia="en-AU"/>
        </w:rPr>
      </w:pPr>
      <w:r w:rsidRPr="00EB1BF9">
        <w:rPr>
          <w:lang w:eastAsia="en-AU"/>
        </w:rPr>
        <w:t>Jones, E. K. M., C. A. Wathes, and A. J. F. Webster. 2005. Avoidance of atmospheric ammonia by domestic fowl and the effect of early experience. Applied Animal Behaviour Science 90:293-308. doi 10.1016/j.applanim.2004.08.009</w:t>
      </w:r>
    </w:p>
    <w:p w14:paraId="2CDD106F" w14:textId="77777777" w:rsidR="00EB1BF9" w:rsidRPr="00EB1BF9" w:rsidRDefault="00EB1BF9" w:rsidP="00EB1BF9">
      <w:pPr>
        <w:rPr>
          <w:lang w:eastAsia="en-AU"/>
        </w:rPr>
      </w:pPr>
      <w:r w:rsidRPr="00EB1BF9">
        <w:rPr>
          <w:lang w:eastAsia="en-AU"/>
        </w:rPr>
        <w:t>Jones, R. B., N. L. Carmichael, and E. Rayner. 2000. Pecking preferences and pre-dispositions in domestic chicks: implications for the development of environmental enrichment devices. Applied Animal Behaviour Science 69:291-312. doi 10.1016/s0168-1591(00)00138-6</w:t>
      </w:r>
    </w:p>
    <w:p w14:paraId="37CC38D5" w14:textId="77777777" w:rsidR="00EB1BF9" w:rsidRPr="00EB1BF9" w:rsidRDefault="00EB1BF9" w:rsidP="00EB1BF9">
      <w:pPr>
        <w:rPr>
          <w:lang w:eastAsia="en-AU"/>
        </w:rPr>
      </w:pPr>
      <w:r w:rsidRPr="00EB1BF9">
        <w:rPr>
          <w:lang w:eastAsia="en-AU"/>
        </w:rPr>
        <w:t>Jones, R. B., L. Facchin, and C. McCorquodale. 2002. Social dispersal by domestic chicks in a novel environment: reassuring properties of a familiar odourant. Animal Behaviour 63:659-666. doi 10.1006/anbe.2001.1943</w:t>
      </w:r>
    </w:p>
    <w:p w14:paraId="30AD1A4C" w14:textId="77777777" w:rsidR="00EB1BF9" w:rsidRPr="00EB1BF9" w:rsidRDefault="00EB1BF9" w:rsidP="00EB1BF9">
      <w:pPr>
        <w:rPr>
          <w:lang w:eastAsia="en-AU"/>
        </w:rPr>
      </w:pPr>
      <w:r w:rsidRPr="00EB1BF9">
        <w:rPr>
          <w:lang w:eastAsia="en-AU"/>
        </w:rPr>
        <w:t>Jongman, E. C., P. C. Glatz, and J. L. Barnett. 2008. Changes in behaviour of laying hens following beak trimming at hatch and re-trimming at 14 weeks. Asian-Australasian Journal</w:t>
      </w:r>
      <w:r w:rsidR="00E57004">
        <w:rPr>
          <w:lang w:eastAsia="en-AU"/>
        </w:rPr>
        <w:t xml:space="preserve"> of Animal Sciences 21:291-298.</w:t>
      </w:r>
    </w:p>
    <w:p w14:paraId="7BD6A40E" w14:textId="77777777" w:rsidR="00EB1BF9" w:rsidRPr="00EB1BF9" w:rsidRDefault="00EB1BF9" w:rsidP="00EB1BF9">
      <w:pPr>
        <w:rPr>
          <w:lang w:eastAsia="en-AU"/>
        </w:rPr>
      </w:pPr>
      <w:r w:rsidRPr="00EB1BF9">
        <w:rPr>
          <w:lang w:eastAsia="en-AU"/>
        </w:rPr>
        <w:t>Kajlich, A. S., H. L. Shivaprasad, D. W. Trampel, A. E. Hill, R. L. Parsons, S. T. Millman, and J. A. Mench. 2016. Incidence, severity, and welfare implications of lesions observed postmortem in laying hens from commercial noncage farms in California and Iowa. A</w:t>
      </w:r>
      <w:r w:rsidR="00E57004">
        <w:rPr>
          <w:lang w:eastAsia="en-AU"/>
        </w:rPr>
        <w:t>vian Diseases 60:8-15.</w:t>
      </w:r>
    </w:p>
    <w:p w14:paraId="7460B41B" w14:textId="77777777" w:rsidR="00EB1BF9" w:rsidRPr="00EB1BF9" w:rsidRDefault="00EB1BF9" w:rsidP="00EB1BF9">
      <w:pPr>
        <w:rPr>
          <w:lang w:eastAsia="en-AU"/>
        </w:rPr>
      </w:pPr>
      <w:r w:rsidRPr="00EB1BF9">
        <w:rPr>
          <w:lang w:eastAsia="en-AU"/>
        </w:rPr>
        <w:t>Kalmendal, R., and H. Wall. 2012. Effects of a high oil and fibre diet and supplementary roughage on performance, injurious pecking and foraging activities in two layer hybrids. British Poultry Science 53:153-161. doi 10.1080/00071668.2012.682146</w:t>
      </w:r>
    </w:p>
    <w:p w14:paraId="3CEA55F0" w14:textId="77777777" w:rsidR="00EB1BF9" w:rsidRPr="00EB1BF9" w:rsidRDefault="00EB1BF9" w:rsidP="00EB1BF9">
      <w:pPr>
        <w:rPr>
          <w:lang w:eastAsia="en-AU"/>
        </w:rPr>
      </w:pPr>
      <w:r w:rsidRPr="00EB1BF9">
        <w:rPr>
          <w:lang w:eastAsia="en-AU"/>
        </w:rPr>
        <w:t>Kang, H. K., S. B. Park, S. H. Kim, and C. H. Kim. 2016. Effects of stock density on the laying performance, blood parameter, corticosterone, litter quality, gas emission and bone mineral density of laying hens in floor pens. Poultry Science 95:2764-2770. doi 10.3382/ps/pew264</w:t>
      </w:r>
    </w:p>
    <w:p w14:paraId="04EFA1D9" w14:textId="77777777" w:rsidR="00EB1BF9" w:rsidRPr="00EB1BF9" w:rsidRDefault="00EB1BF9" w:rsidP="00EB1BF9">
      <w:pPr>
        <w:rPr>
          <w:lang w:eastAsia="en-AU"/>
        </w:rPr>
      </w:pPr>
      <w:r w:rsidRPr="00EB1BF9">
        <w:rPr>
          <w:lang w:eastAsia="en-AU"/>
        </w:rPr>
        <w:t>Kappeli, S., S. G. Gebhardt-Henrich, E. Frohlich, A. Pfulg, H. Schaublin, and M. H. Stoffel. 2011a. Effects of housing, perches, genetics, and 25-hydroxycholecalciferol on keel bone deformities in laying hens. Poultry Science 90:1637-1644. doi 10.3382/ps.2011-01379</w:t>
      </w:r>
    </w:p>
    <w:p w14:paraId="7820A425" w14:textId="77777777" w:rsidR="00EB1BF9" w:rsidRPr="00EB1BF9" w:rsidRDefault="00EB1BF9" w:rsidP="00EB1BF9">
      <w:pPr>
        <w:rPr>
          <w:lang w:eastAsia="en-AU"/>
        </w:rPr>
      </w:pPr>
      <w:r w:rsidRPr="00EB1BF9">
        <w:rPr>
          <w:lang w:eastAsia="en-AU"/>
        </w:rPr>
        <w:t>Kappeli, S., S. G. Gebhardt-Henrich, E. Frohlich, A. Pfulg, and M. H. Stoffel. 2011b. Prevalence of keel bone deformities in Swiss laying hens. British Poultry Science 52:531-536. doi 10.1080/00071668.2011.615059</w:t>
      </w:r>
    </w:p>
    <w:p w14:paraId="174626FD" w14:textId="77777777" w:rsidR="00EB1BF9" w:rsidRPr="00EB1BF9" w:rsidRDefault="00EB1BF9" w:rsidP="00EB1BF9">
      <w:pPr>
        <w:rPr>
          <w:lang w:val="en-AU" w:eastAsia="en-AU"/>
        </w:rPr>
      </w:pPr>
      <w:r w:rsidRPr="00EB1BF9">
        <w:rPr>
          <w:lang w:val="en-AU" w:eastAsia="en-AU"/>
        </w:rPr>
        <w:t xml:space="preserve">Karabozhilova, I., </w:t>
      </w:r>
      <w:r w:rsidR="00E57004">
        <w:rPr>
          <w:lang w:val="en-AU" w:eastAsia="en-AU"/>
        </w:rPr>
        <w:t xml:space="preserve">B. </w:t>
      </w:r>
      <w:r w:rsidRPr="00EB1BF9">
        <w:rPr>
          <w:lang w:val="en-AU" w:eastAsia="en-AU"/>
        </w:rPr>
        <w:t xml:space="preserve">Wieland, </w:t>
      </w:r>
      <w:r w:rsidR="00E57004">
        <w:rPr>
          <w:lang w:val="en-AU" w:eastAsia="en-AU"/>
        </w:rPr>
        <w:t>S.</w:t>
      </w:r>
      <w:r w:rsidRPr="00EB1BF9">
        <w:rPr>
          <w:lang w:val="en-AU" w:eastAsia="en-AU"/>
        </w:rPr>
        <w:t xml:space="preserve"> Alonso,</w:t>
      </w:r>
      <w:r w:rsidR="00E57004">
        <w:rPr>
          <w:lang w:val="en-AU" w:eastAsia="en-AU"/>
        </w:rPr>
        <w:t xml:space="preserve"> L. Salonen, and B. H</w:t>
      </w:r>
      <w:r w:rsidR="001D33E3">
        <w:rPr>
          <w:lang w:val="en-AU" w:eastAsia="en-AU"/>
        </w:rPr>
        <w:t>ä</w:t>
      </w:r>
      <w:r w:rsidR="00E57004">
        <w:rPr>
          <w:lang w:val="en-AU" w:eastAsia="en-AU"/>
        </w:rPr>
        <w:t>lser</w:t>
      </w:r>
      <w:r w:rsidRPr="00EB1BF9">
        <w:rPr>
          <w:lang w:val="en-AU" w:eastAsia="en-AU"/>
        </w:rPr>
        <w:t>. 2012</w:t>
      </w:r>
      <w:r w:rsidR="001D33E3">
        <w:rPr>
          <w:lang w:val="en-AU" w:eastAsia="en-AU"/>
        </w:rPr>
        <w:t>.</w:t>
      </w:r>
      <w:r w:rsidRPr="00EB1BF9">
        <w:rPr>
          <w:lang w:val="en-AU" w:eastAsia="en-AU"/>
        </w:rPr>
        <w:t xml:space="preserve"> Backyard chicken keeping in the Greater London Urban Area: welfare status, biosecurity and disease control issues</w:t>
      </w:r>
      <w:r w:rsidR="001E3ECE">
        <w:rPr>
          <w:lang w:val="en-AU" w:eastAsia="en-AU"/>
        </w:rPr>
        <w:t>.</w:t>
      </w:r>
      <w:r w:rsidRPr="00EB1BF9">
        <w:rPr>
          <w:lang w:val="en-AU" w:eastAsia="en-AU"/>
        </w:rPr>
        <w:t xml:space="preserve"> British Poultry Science 53</w:t>
      </w:r>
      <w:r w:rsidR="001D33E3">
        <w:rPr>
          <w:lang w:val="en-AU" w:eastAsia="en-AU"/>
        </w:rPr>
        <w:t>:</w:t>
      </w:r>
      <w:r w:rsidRPr="00EB1BF9">
        <w:rPr>
          <w:lang w:val="en-AU" w:eastAsia="en-AU"/>
        </w:rPr>
        <w:t>421-430</w:t>
      </w:r>
      <w:r w:rsidR="001D33E3">
        <w:rPr>
          <w:lang w:val="en-AU" w:eastAsia="en-AU"/>
        </w:rPr>
        <w:t>.</w:t>
      </w:r>
    </w:p>
    <w:p w14:paraId="79528203" w14:textId="77777777" w:rsidR="00EB1BF9" w:rsidRPr="00EB1BF9" w:rsidRDefault="00EB1BF9" w:rsidP="00EB1BF9">
      <w:pPr>
        <w:rPr>
          <w:lang w:eastAsia="en-AU"/>
        </w:rPr>
      </w:pPr>
      <w:r w:rsidRPr="00EB1BF9">
        <w:rPr>
          <w:lang w:eastAsia="en-AU"/>
        </w:rPr>
        <w:t>Karcher, D. M., D. R. Jones, Z. Abdo, Y. Zhao, T. A. Shepherd, and H. Xin. 2015. Impact of commercial housing systems and nutrient and energy intake on laying hen performance and egg quality parameters. Poultry Science 94:485-501. doi 10.3382/ps/peu078</w:t>
      </w:r>
    </w:p>
    <w:p w14:paraId="6D529F94" w14:textId="77777777" w:rsidR="00EB1BF9" w:rsidRPr="00EB1BF9" w:rsidRDefault="00EB1BF9" w:rsidP="00EB1BF9">
      <w:pPr>
        <w:rPr>
          <w:lang w:eastAsia="en-AU"/>
        </w:rPr>
      </w:pPr>
      <w:r w:rsidRPr="00EB1BF9">
        <w:rPr>
          <w:lang w:eastAsia="en-AU"/>
        </w:rPr>
        <w:t>Kaufmann-Bart, M., and R. K. Hoop. 2009. Diseases in chicks and laying hens during the first 12 years after battery cages were banned in Switzerland.</w:t>
      </w:r>
      <w:r w:rsidR="001D33E3">
        <w:rPr>
          <w:lang w:eastAsia="en-AU"/>
        </w:rPr>
        <w:t xml:space="preserve"> Veterinary Record 164:203-207.</w:t>
      </w:r>
    </w:p>
    <w:p w14:paraId="15C0DF96" w14:textId="77777777" w:rsidR="00EB1BF9" w:rsidRPr="00EB1BF9" w:rsidRDefault="00EB1BF9" w:rsidP="00EB1BF9">
      <w:pPr>
        <w:rPr>
          <w:lang w:eastAsia="en-AU"/>
        </w:rPr>
      </w:pPr>
      <w:r w:rsidRPr="00EB1BF9">
        <w:rPr>
          <w:lang w:eastAsia="en-AU"/>
        </w:rPr>
        <w:t>Keeling, L. J. 1994. Inter-bird distances and behavioral priorities in laying hens - the effect of spatial restriction. Applied Animal Behaviour Science 39:131-140. doi 10.1016/0168-1591(94)90133-3</w:t>
      </w:r>
    </w:p>
    <w:p w14:paraId="234E49D9" w14:textId="77777777" w:rsidR="00EB1BF9" w:rsidRPr="00EB1BF9" w:rsidRDefault="00EB1BF9" w:rsidP="00EB1BF9">
      <w:pPr>
        <w:rPr>
          <w:lang w:eastAsia="en-AU"/>
        </w:rPr>
      </w:pPr>
      <w:r w:rsidRPr="00EB1BF9">
        <w:rPr>
          <w:lang w:eastAsia="en-AU"/>
        </w:rPr>
        <w:t>Keshavarz, K., and F. W. Quimby. 2002. An investigation of different molting techniques with an emphasis on animal welfare. Journal of App</w:t>
      </w:r>
      <w:r w:rsidR="001D33E3">
        <w:rPr>
          <w:lang w:eastAsia="en-AU"/>
        </w:rPr>
        <w:t>lied Poultry Research 11:54-67.</w:t>
      </w:r>
    </w:p>
    <w:p w14:paraId="0D73C0D5" w14:textId="77777777" w:rsidR="00EB1BF9" w:rsidRPr="00EB1BF9" w:rsidRDefault="00EB1BF9" w:rsidP="00EB1BF9">
      <w:pPr>
        <w:rPr>
          <w:lang w:eastAsia="en-AU"/>
        </w:rPr>
      </w:pPr>
      <w:r w:rsidRPr="00EB1BF9">
        <w:rPr>
          <w:lang w:eastAsia="en-AU"/>
        </w:rPr>
        <w:t xml:space="preserve">Kilpinen, O., A. Roepstorff, A. Permin, G. Norgaard-Nielsen, L. G. Lawson, and H. B. Simonsen. 2005. Influence of </w:t>
      </w:r>
      <w:r w:rsidRPr="00681E66">
        <w:rPr>
          <w:i/>
          <w:lang w:eastAsia="en-AU"/>
        </w:rPr>
        <w:t>Dermanyssus gallinae</w:t>
      </w:r>
      <w:r w:rsidRPr="00EB1BF9">
        <w:rPr>
          <w:lang w:eastAsia="en-AU"/>
        </w:rPr>
        <w:t xml:space="preserve"> and </w:t>
      </w:r>
      <w:r w:rsidRPr="00681E66">
        <w:rPr>
          <w:i/>
          <w:lang w:eastAsia="en-AU"/>
        </w:rPr>
        <w:t>Ascaridia galli</w:t>
      </w:r>
      <w:r w:rsidRPr="00EB1BF9">
        <w:rPr>
          <w:lang w:eastAsia="en-AU"/>
        </w:rPr>
        <w:t xml:space="preserve"> infections on behaviour and health of laying hens (</w:t>
      </w:r>
      <w:r w:rsidRPr="001D33E3">
        <w:rPr>
          <w:i/>
          <w:lang w:eastAsia="en-AU"/>
        </w:rPr>
        <w:t>Gallus gallus domesticus</w:t>
      </w:r>
      <w:r w:rsidRPr="00EB1BF9">
        <w:rPr>
          <w:lang w:eastAsia="en-AU"/>
        </w:rPr>
        <w:t>). British Poultry Science 46:26-34. doi 10.1080/00071660400023839</w:t>
      </w:r>
    </w:p>
    <w:p w14:paraId="2CB96B4B" w14:textId="77777777" w:rsidR="00EB1BF9" w:rsidRPr="00EB1BF9" w:rsidRDefault="00EB1BF9" w:rsidP="00EB1BF9">
      <w:pPr>
        <w:rPr>
          <w:lang w:eastAsia="en-AU"/>
        </w:rPr>
      </w:pPr>
      <w:r w:rsidRPr="00EB1BF9">
        <w:rPr>
          <w:lang w:eastAsia="en-AU"/>
        </w:rPr>
        <w:t>Kim, W. K., L. M. Donalson, A. D. Mitchell, L. F. Kubena, D. J. Nisbet, and S. C. Ricke. 2006. Effects of alfalfa and fructooligosaccharide on molting parameters and bone qualities using dual energy X-ray absorptiometry and conventional bone as</w:t>
      </w:r>
      <w:r w:rsidR="001D33E3">
        <w:rPr>
          <w:lang w:eastAsia="en-AU"/>
        </w:rPr>
        <w:t>says. Poultry Science 85:15-20.</w:t>
      </w:r>
    </w:p>
    <w:p w14:paraId="6055F3C3" w14:textId="77777777" w:rsidR="00EB1BF9" w:rsidRPr="00EB1BF9" w:rsidRDefault="00EB1BF9" w:rsidP="00EB1BF9">
      <w:pPr>
        <w:rPr>
          <w:lang w:eastAsia="en-AU"/>
        </w:rPr>
      </w:pPr>
      <w:r w:rsidRPr="00EB1BF9">
        <w:rPr>
          <w:lang w:eastAsia="en-AU"/>
        </w:rPr>
        <w:t>Kjaer, J. B. 2009. Feather Pecking in Domestic Fowl is Genetically Related to Locomotor Activity Levels: Implications for a Hyperactivity Disorder Model of Feather Pecking. Behavior Genetics 39:564-570. doi 10.1007/s10519-009-9280-1</w:t>
      </w:r>
    </w:p>
    <w:p w14:paraId="5C755FAC" w14:textId="77777777" w:rsidR="00EB1BF9" w:rsidRPr="00EB1BF9" w:rsidRDefault="00EB1BF9" w:rsidP="00EB1BF9">
      <w:pPr>
        <w:rPr>
          <w:lang w:eastAsia="en-AU"/>
        </w:rPr>
      </w:pPr>
      <w:r w:rsidRPr="00EB1BF9">
        <w:rPr>
          <w:lang w:eastAsia="en-AU"/>
        </w:rPr>
        <w:t xml:space="preserve">Kjaer, J. B., and D. </w:t>
      </w:r>
      <w:r w:rsidR="003F3E9F" w:rsidRPr="00286A88">
        <w:rPr>
          <w:lang w:val="en-AU" w:eastAsia="en-AU"/>
        </w:rPr>
        <w:t>Guémené</w:t>
      </w:r>
      <w:r w:rsidRPr="00EB1BF9">
        <w:rPr>
          <w:lang w:eastAsia="en-AU"/>
        </w:rPr>
        <w:t>. 2009. Adrenal reactivity in lines of domestic fowl selected on feather pecking behavior. Physiology &amp; Behavior 96:370-373. doi 10.1016/j.physbeh.2008.10.023</w:t>
      </w:r>
    </w:p>
    <w:p w14:paraId="1DE42F8A" w14:textId="77777777" w:rsidR="00EB1BF9" w:rsidRPr="00EB1BF9" w:rsidRDefault="00EB1BF9" w:rsidP="00EB1BF9">
      <w:pPr>
        <w:rPr>
          <w:lang w:eastAsia="en-AU"/>
        </w:rPr>
      </w:pPr>
      <w:r w:rsidRPr="00EB1BF9">
        <w:rPr>
          <w:lang w:eastAsia="en-AU"/>
        </w:rPr>
        <w:t>Kjaer, J. B., and H. Jorgensen. 2011. Heart rate variability in domestic chicken lines genetically selected on feather pecking behavior. Genes Brain and Behavior 10:747-755. doi 10.1111/j.1601-183X.2011.00713.x</w:t>
      </w:r>
    </w:p>
    <w:p w14:paraId="560083BE" w14:textId="77777777" w:rsidR="00EB1BF9" w:rsidRPr="00EB1BF9" w:rsidRDefault="00EB1BF9" w:rsidP="00EB1BF9">
      <w:pPr>
        <w:rPr>
          <w:lang w:eastAsia="en-AU"/>
        </w:rPr>
      </w:pPr>
      <w:r w:rsidRPr="00EB1BF9">
        <w:rPr>
          <w:lang w:eastAsia="en-AU"/>
        </w:rPr>
        <w:t>Kjaer, J. B., and P. Sorensen. 2002. Feather pecking and cannibalism in free-range laying hens as affected by genotype, dietary level of methionine plus cystine, light intensity during rearing and age at first access to the range area. Applied Animal Behaviour Science 76:21-39. doi 10.1016/s0168-1591(01)00209-x</w:t>
      </w:r>
    </w:p>
    <w:p w14:paraId="6CCAFC38" w14:textId="77777777" w:rsidR="00EB1BF9" w:rsidRPr="00EB1BF9" w:rsidRDefault="00EB1BF9" w:rsidP="00EB1BF9">
      <w:pPr>
        <w:rPr>
          <w:lang w:eastAsia="en-AU"/>
        </w:rPr>
      </w:pPr>
      <w:r w:rsidRPr="00EB1BF9">
        <w:rPr>
          <w:lang w:eastAsia="en-AU"/>
        </w:rPr>
        <w:t>Kjaer, J. B., H. Wurbel, and L. Schrader. 2015. Perseveration in a guessing task by laying hens selected for high or low levels of feather pecking does not support classification of feather pecking as a stereotypy. Applied Animal Behaviour Science 168:56-60. doi 10.1016/j.applanim.2015.04.014</w:t>
      </w:r>
    </w:p>
    <w:p w14:paraId="423AD546" w14:textId="77777777" w:rsidR="00EB1BF9" w:rsidRPr="00EB1BF9" w:rsidRDefault="00EB1BF9" w:rsidP="00EB1BF9">
      <w:pPr>
        <w:rPr>
          <w:lang w:eastAsia="en-AU"/>
        </w:rPr>
      </w:pPr>
      <w:r w:rsidRPr="00EB1BF9">
        <w:rPr>
          <w:lang w:eastAsia="en-AU"/>
        </w:rPr>
        <w:t>Klein, T., E. Zeltner, and B. Huber-Eicher. 2000. Are genetic differences in foraging behaviour of laying hen chicks paralleled by hybrid-specific differences in feather pecking? Applied Animal Behaviour Science 70:143-155. doi 10.1016/s0168-1591(00)00147-7</w:t>
      </w:r>
    </w:p>
    <w:p w14:paraId="6614ABAE" w14:textId="77777777" w:rsidR="00EB1BF9" w:rsidRPr="00EB1BF9" w:rsidRDefault="00EB1BF9" w:rsidP="00EB1BF9">
      <w:pPr>
        <w:rPr>
          <w:lang w:eastAsia="en-AU"/>
        </w:rPr>
      </w:pPr>
      <w:r w:rsidRPr="00EB1BF9">
        <w:rPr>
          <w:lang w:eastAsia="en-AU"/>
        </w:rPr>
        <w:t>Knierim, U. 2000. Investigations on the degree of synchronous feeding behaviour of two types of laying hybrids in battery cages with a feeder space of 12 cm per hen. Deutsche Tierarztl</w:t>
      </w:r>
      <w:r w:rsidR="001D33E3">
        <w:rPr>
          <w:lang w:eastAsia="en-AU"/>
        </w:rPr>
        <w:t>iche Wochenschrift 107:459-463.</w:t>
      </w:r>
    </w:p>
    <w:p w14:paraId="420B1677" w14:textId="77777777" w:rsidR="00EB1BF9" w:rsidRPr="00EB1BF9" w:rsidRDefault="00EB1BF9" w:rsidP="00EB1BF9">
      <w:pPr>
        <w:rPr>
          <w:lang w:eastAsia="en-AU"/>
        </w:rPr>
      </w:pPr>
      <w:r w:rsidRPr="00EB1BF9">
        <w:rPr>
          <w:lang w:eastAsia="en-AU"/>
        </w:rPr>
        <w:t>Koch, J. M., D. C. Lay, K. A. McMunn, J. S. Moritz, and M. E. Wilson. 2007. Motivation of hens to obtain feed during a molt induced by feed withdrawal, wheat middlings, or melengestrol aceta</w:t>
      </w:r>
      <w:r w:rsidR="001D33E3">
        <w:rPr>
          <w:lang w:eastAsia="en-AU"/>
        </w:rPr>
        <w:t>te. Poultry Science 86:614-620.</w:t>
      </w:r>
    </w:p>
    <w:p w14:paraId="3E69AE6B" w14:textId="77777777" w:rsidR="00EB1BF9" w:rsidRPr="00EB1BF9" w:rsidRDefault="00EB1BF9" w:rsidP="00EB1BF9">
      <w:pPr>
        <w:rPr>
          <w:lang w:eastAsia="en-AU"/>
        </w:rPr>
      </w:pPr>
      <w:r w:rsidRPr="00EB1BF9">
        <w:rPr>
          <w:lang w:eastAsia="en-AU"/>
        </w:rPr>
        <w:t>Koelkebeck, K. W., and K. E. Anderson. 2007. Molting layers - Alternative methods and their effectiveness</w:t>
      </w:r>
      <w:r w:rsidR="001D33E3">
        <w:rPr>
          <w:lang w:eastAsia="en-AU"/>
        </w:rPr>
        <w:t>. Poultry Science 86:1260-1264.</w:t>
      </w:r>
    </w:p>
    <w:p w14:paraId="77551AE1" w14:textId="77777777" w:rsidR="00EB1BF9" w:rsidRPr="00EB1BF9" w:rsidRDefault="00EB1BF9" w:rsidP="00EB1BF9">
      <w:pPr>
        <w:rPr>
          <w:lang w:eastAsia="en-AU"/>
        </w:rPr>
      </w:pPr>
      <w:r w:rsidRPr="00EB1BF9">
        <w:rPr>
          <w:lang w:eastAsia="en-AU"/>
        </w:rPr>
        <w:t>Kops, M. S., E. N. de Haas, T. B. Rodenburg, E. D. Ellen, G. A. H. Korte-Bouws, B. Olivier, O. Gunturkun, J. E. Bolhuis, and S. M. Korte. 2013. Effects of feather pecking phenotype (severe feather peckers, victims and non-peckers) on serotonergic and dopaminergic activity in four brain areas of laying hens (</w:t>
      </w:r>
      <w:r w:rsidRPr="001D33E3">
        <w:rPr>
          <w:i/>
          <w:lang w:eastAsia="en-AU"/>
        </w:rPr>
        <w:t>Gallus gallus domesticus</w:t>
      </w:r>
      <w:r w:rsidRPr="00EB1BF9">
        <w:rPr>
          <w:lang w:eastAsia="en-AU"/>
        </w:rPr>
        <w:t>). Physiology &amp; Behavior 120:77-82. doi 10.1016/j.physbeh.2013.07.007</w:t>
      </w:r>
    </w:p>
    <w:p w14:paraId="16F52C0B" w14:textId="77777777" w:rsidR="00EB1BF9" w:rsidRPr="00EB1BF9" w:rsidRDefault="00EB1BF9" w:rsidP="00EB1BF9">
      <w:pPr>
        <w:rPr>
          <w:lang w:eastAsia="en-AU"/>
        </w:rPr>
      </w:pPr>
      <w:r w:rsidRPr="00EB1BF9">
        <w:rPr>
          <w:lang w:eastAsia="en-AU"/>
        </w:rPr>
        <w:t xml:space="preserve">Kops, M. S., J. B. Kjaer, O. Gunturkun, K. G. C. Westphal, G. A. H. Korte-Bouws, B. Olivier, J. E. Bolhuis, and S. M. Korte. 2014. Serotonin release in the caudal nidopallium of adult laying hens genetically selected for high and low feather pecking behavior: An </w:t>
      </w:r>
      <w:r w:rsidRPr="001D33E3">
        <w:rPr>
          <w:i/>
          <w:lang w:eastAsia="en-AU"/>
        </w:rPr>
        <w:t>in vivo</w:t>
      </w:r>
      <w:r w:rsidRPr="00EB1BF9">
        <w:rPr>
          <w:lang w:eastAsia="en-AU"/>
        </w:rPr>
        <w:t xml:space="preserve"> microdialysis study. Behavioural Brain Research 268:81-87. doi 10.1016/j.bbr.2014.03.050</w:t>
      </w:r>
    </w:p>
    <w:p w14:paraId="56A750AD" w14:textId="77777777" w:rsidR="00EB1BF9" w:rsidRPr="00EB1BF9" w:rsidRDefault="00EB1BF9" w:rsidP="00EB1BF9">
      <w:pPr>
        <w:rPr>
          <w:lang w:eastAsia="en-AU"/>
        </w:rPr>
      </w:pPr>
      <w:r w:rsidRPr="00EB1BF9">
        <w:rPr>
          <w:lang w:eastAsia="en-AU"/>
        </w:rPr>
        <w:t>Koronowicz, A. A., P. Banks, B. Szymczyk, T. Leszczynska, A. Master, E. Piasna, W. Szczepanski, D. Domagala, A. Kopec, E. Piatkowska, and P. Laidler. 2016. Dietary conjugated linoleic acid affects blood parameters, liver morphology and expression of selected hepatic genes in laying hens. British Poultry Science 57:663-673. doi 10.1080/00071668.2016.1192280</w:t>
      </w:r>
    </w:p>
    <w:p w14:paraId="6BCEDCE7" w14:textId="77777777" w:rsidR="00EB1BF9" w:rsidRPr="00EB1BF9" w:rsidRDefault="00EB1BF9" w:rsidP="00EB1BF9">
      <w:pPr>
        <w:rPr>
          <w:lang w:eastAsia="en-AU"/>
        </w:rPr>
      </w:pPr>
      <w:r w:rsidRPr="00EB1BF9">
        <w:rPr>
          <w:lang w:eastAsia="en-AU"/>
        </w:rPr>
        <w:t xml:space="preserve">Kowalski, A., and R. Sokol. 2009. Influence of </w:t>
      </w:r>
      <w:r w:rsidRPr="001D33E3">
        <w:rPr>
          <w:i/>
          <w:lang w:eastAsia="en-AU"/>
        </w:rPr>
        <w:t>Dermanyssus gallinae</w:t>
      </w:r>
      <w:r w:rsidRPr="00EB1BF9">
        <w:rPr>
          <w:lang w:eastAsia="en-AU"/>
        </w:rPr>
        <w:t xml:space="preserve"> (poultry red mite) invasion on the plasma levels of corticosterone, catecholamines and proteins in layer hens. Polish Journal of </w:t>
      </w:r>
      <w:r w:rsidR="001D33E3">
        <w:rPr>
          <w:lang w:eastAsia="en-AU"/>
        </w:rPr>
        <w:t>Veterinary Sciences 12:231-235.</w:t>
      </w:r>
    </w:p>
    <w:p w14:paraId="79FD84DF" w14:textId="77777777" w:rsidR="00EB1BF9" w:rsidRDefault="00EB1BF9" w:rsidP="00EB1BF9">
      <w:pPr>
        <w:rPr>
          <w:lang w:eastAsia="en-AU"/>
        </w:rPr>
      </w:pPr>
      <w:r w:rsidRPr="00EB1BF9">
        <w:rPr>
          <w:lang w:eastAsia="en-AU"/>
        </w:rPr>
        <w:t>Kozak, M., B. Tobalske, D. Springthorpe, B. Szkotnicki, and A. Harlander-Matauschek. 2016</w:t>
      </w:r>
      <w:r w:rsidR="00032F7A">
        <w:rPr>
          <w:lang w:eastAsia="en-AU"/>
        </w:rPr>
        <w:t>a</w:t>
      </w:r>
      <w:r w:rsidRPr="00EB1BF9">
        <w:rPr>
          <w:lang w:eastAsia="en-AU"/>
        </w:rPr>
        <w:t>. Development of physical activity levels in laying hens in three-dimensional aviaries. Applied Animal Behaviour Science 185:66-72. doi 10.1016/j.applanim.2016.10.004</w:t>
      </w:r>
    </w:p>
    <w:p w14:paraId="0DDF6211" w14:textId="77777777" w:rsidR="00032F7A" w:rsidRPr="00EB1BF9" w:rsidRDefault="00032F7A" w:rsidP="00EB1BF9">
      <w:pPr>
        <w:rPr>
          <w:lang w:eastAsia="en-AU"/>
        </w:rPr>
      </w:pPr>
      <w:r w:rsidRPr="00032F7A">
        <w:rPr>
          <w:lang w:eastAsia="en-AU"/>
        </w:rPr>
        <w:t xml:space="preserve">Kozak, M., </w:t>
      </w:r>
      <w:r>
        <w:rPr>
          <w:lang w:eastAsia="en-AU"/>
        </w:rPr>
        <w:t xml:space="preserve">B. </w:t>
      </w:r>
      <w:r w:rsidRPr="00032F7A">
        <w:rPr>
          <w:lang w:eastAsia="en-AU"/>
        </w:rPr>
        <w:t xml:space="preserve">Tobalske, </w:t>
      </w:r>
      <w:r>
        <w:rPr>
          <w:lang w:eastAsia="en-AU"/>
        </w:rPr>
        <w:t xml:space="preserve">C. </w:t>
      </w:r>
      <w:r w:rsidRPr="00032F7A">
        <w:rPr>
          <w:lang w:eastAsia="en-AU"/>
        </w:rPr>
        <w:t xml:space="preserve">Martins, </w:t>
      </w:r>
      <w:r>
        <w:rPr>
          <w:lang w:eastAsia="en-AU"/>
        </w:rPr>
        <w:t xml:space="preserve">S. </w:t>
      </w:r>
      <w:r w:rsidRPr="00032F7A">
        <w:rPr>
          <w:lang w:eastAsia="en-AU"/>
        </w:rPr>
        <w:t xml:space="preserve">Bowley, </w:t>
      </w:r>
      <w:r>
        <w:rPr>
          <w:lang w:eastAsia="en-AU"/>
        </w:rPr>
        <w:t xml:space="preserve">H. </w:t>
      </w:r>
      <w:r w:rsidRPr="00032F7A">
        <w:rPr>
          <w:lang w:eastAsia="en-AU"/>
        </w:rPr>
        <w:t xml:space="preserve">Wuerbel, </w:t>
      </w:r>
      <w:r>
        <w:rPr>
          <w:lang w:eastAsia="en-AU"/>
        </w:rPr>
        <w:t>and A.</w:t>
      </w:r>
      <w:r w:rsidRPr="00032F7A">
        <w:rPr>
          <w:lang w:eastAsia="en-AU"/>
        </w:rPr>
        <w:t xml:space="preserve"> Harlander-Matauschek</w:t>
      </w:r>
      <w:r>
        <w:rPr>
          <w:lang w:eastAsia="en-AU"/>
        </w:rPr>
        <w:t>.</w:t>
      </w:r>
      <w:r w:rsidRPr="00032F7A">
        <w:rPr>
          <w:lang w:eastAsia="en-AU"/>
        </w:rPr>
        <w:t xml:space="preserve"> 2016b. Use of space by domestic chicks housed in complex aviaries. Applied Animal Behaviour Science 181:115-121</w:t>
      </w:r>
      <w:r>
        <w:rPr>
          <w:lang w:eastAsia="en-AU"/>
        </w:rPr>
        <w:t>.</w:t>
      </w:r>
    </w:p>
    <w:p w14:paraId="4DC1CDD0" w14:textId="77777777" w:rsidR="00EB1BF9" w:rsidRPr="00EB1BF9" w:rsidRDefault="00EB1BF9" w:rsidP="00EB1BF9">
      <w:pPr>
        <w:rPr>
          <w:lang w:eastAsia="en-AU"/>
        </w:rPr>
      </w:pPr>
      <w:r w:rsidRPr="00EB1BF9">
        <w:rPr>
          <w:lang w:eastAsia="en-AU"/>
        </w:rPr>
        <w:t>Krause, E. T., S. Petow, and J. B. Kjaer. 2011. A note on the physiological and behavioural consequences of cannibalistic toe pecking in laying hens (</w:t>
      </w:r>
      <w:r w:rsidRPr="001D33E3">
        <w:rPr>
          <w:i/>
          <w:lang w:eastAsia="en-AU"/>
        </w:rPr>
        <w:t>Gallus gallus domesticus</w:t>
      </w:r>
      <w:r w:rsidRPr="00EB1BF9">
        <w:rPr>
          <w:lang w:eastAsia="en-AU"/>
        </w:rPr>
        <w:t>). Archi</w:t>
      </w:r>
      <w:r w:rsidR="001D33E3">
        <w:rPr>
          <w:lang w:eastAsia="en-AU"/>
        </w:rPr>
        <w:t>v Fur Geflugelkunde 75:140-143.</w:t>
      </w:r>
    </w:p>
    <w:p w14:paraId="1F0181C7" w14:textId="77777777" w:rsidR="00EB1BF9" w:rsidRPr="00EB1BF9" w:rsidRDefault="00EB1BF9" w:rsidP="00EB1BF9">
      <w:pPr>
        <w:rPr>
          <w:lang w:eastAsia="en-AU"/>
        </w:rPr>
      </w:pPr>
      <w:r w:rsidRPr="00EB1BF9">
        <w:rPr>
          <w:lang w:eastAsia="en-AU"/>
        </w:rPr>
        <w:t>Kriegseis, I., W. Bessei, B. Meyer, J. Zentek, H. Wurbel, and A. Harlander-Matauschek. 2012. Feather-pecking response of laying hens to feather and cellulose-based rations fed during rearing. Poultry Science 91:1514-1521. doi 10.3382/ps.2011-01865</w:t>
      </w:r>
    </w:p>
    <w:p w14:paraId="17DC6146" w14:textId="77777777" w:rsidR="00EB1BF9" w:rsidRPr="00EB1BF9" w:rsidRDefault="00EB1BF9" w:rsidP="00EB1BF9">
      <w:pPr>
        <w:rPr>
          <w:lang w:eastAsia="en-AU"/>
        </w:rPr>
      </w:pPr>
      <w:r w:rsidRPr="00EB1BF9">
        <w:rPr>
          <w:lang w:eastAsia="en-AU"/>
        </w:rPr>
        <w:t>Kristensen, H. H., L. R. Burgess, T. G. H. Demmers, and C. M. Wathes. 2000. The preferences of laying hens for different concentrations of atmospheric ammonia. Applied Animal Behaviour Science 68:307-318. doi 10.1016/s0168-1591(00)00110-6</w:t>
      </w:r>
    </w:p>
    <w:p w14:paraId="7C8C73D2" w14:textId="77777777" w:rsidR="00EB1BF9" w:rsidRPr="00EB1BF9" w:rsidRDefault="00EB1BF9" w:rsidP="00EB1BF9">
      <w:pPr>
        <w:rPr>
          <w:lang w:eastAsia="en-AU"/>
        </w:rPr>
      </w:pPr>
      <w:r w:rsidRPr="00EB1BF9">
        <w:rPr>
          <w:lang w:eastAsia="en-AU"/>
        </w:rPr>
        <w:t>Kristensen, H. H., R. P. White, and C. M. Wathes. 2009. Light intensity and social communication between hens. British Poultry Science 50:649-656. doi 10.1080/00071660903277353</w:t>
      </w:r>
    </w:p>
    <w:p w14:paraId="334444BD" w14:textId="77777777" w:rsidR="00EB1BF9" w:rsidRPr="00EB1BF9" w:rsidRDefault="00EB1BF9" w:rsidP="00EB1BF9">
      <w:pPr>
        <w:rPr>
          <w:lang w:eastAsia="en-AU"/>
        </w:rPr>
      </w:pPr>
      <w:r w:rsidRPr="00EB1BF9">
        <w:rPr>
          <w:lang w:eastAsia="en-AU"/>
        </w:rPr>
        <w:t>Kruschwitz, A., M. Zupan, T. Buchwalder, and B. Huber-Eicher. 2008. Nest preference of laying hens (</w:t>
      </w:r>
      <w:r w:rsidRPr="001D33E3">
        <w:rPr>
          <w:i/>
          <w:lang w:eastAsia="en-AU"/>
        </w:rPr>
        <w:t>Gallus gallus domesticus</w:t>
      </w:r>
      <w:r w:rsidRPr="00EB1BF9">
        <w:rPr>
          <w:lang w:eastAsia="en-AU"/>
        </w:rPr>
        <w:t>) and their motivation to exert themselves to gain nest access. Applied Animal Behaviour Science 112:321-330. doi 10.1016/j.applanim.2007.08.005</w:t>
      </w:r>
    </w:p>
    <w:p w14:paraId="5D0DCD77" w14:textId="77777777" w:rsidR="00EB1BF9" w:rsidRPr="00EB1BF9" w:rsidRDefault="00EB1BF9" w:rsidP="00EB1BF9">
      <w:pPr>
        <w:rPr>
          <w:lang w:eastAsia="en-AU"/>
        </w:rPr>
      </w:pPr>
      <w:r w:rsidRPr="00EB1BF9">
        <w:rPr>
          <w:lang w:eastAsia="en-AU"/>
        </w:rPr>
        <w:t xml:space="preserve">Kuenzel, W. J., R. F. Wideman, M. Chapman, C. Golden, and D. M. Hooge. 2005. A practical method for induced moulting of caged layers that combines full access to feed and water, dietary thyroactive protein, and short day length. </w:t>
      </w:r>
      <w:r w:rsidR="00E12232">
        <w:rPr>
          <w:lang w:eastAsia="en-AU"/>
        </w:rPr>
        <w:t>World’s</w:t>
      </w:r>
      <w:r w:rsidRPr="00EB1BF9">
        <w:rPr>
          <w:lang w:eastAsia="en-AU"/>
        </w:rPr>
        <w:t xml:space="preserve"> Poultry Science Journal 61:599-624. doi 10.1079/wps200573</w:t>
      </w:r>
    </w:p>
    <w:p w14:paraId="75904105" w14:textId="77777777" w:rsidR="00EB1BF9" w:rsidRPr="00EB1BF9" w:rsidRDefault="00EB1BF9" w:rsidP="00EB1BF9">
      <w:pPr>
        <w:rPr>
          <w:lang w:eastAsia="en-AU"/>
        </w:rPr>
      </w:pPr>
      <w:r w:rsidRPr="00EB1BF9">
        <w:rPr>
          <w:lang w:eastAsia="en-AU"/>
        </w:rPr>
        <w:t>Labouriau, R., J. B. Kjaer, G. C. G. Abreu, J. Hedegaard, and A. J. Buitenhuis. 2009. Analysis of severe feather pecking behavior in a high feather pecking selection line. Poultry Science 88:2052-2062. doi 10.3382/ps.2009-00113</w:t>
      </w:r>
    </w:p>
    <w:p w14:paraId="3A1B4125" w14:textId="77777777" w:rsidR="00EB1BF9" w:rsidRPr="00EB1BF9" w:rsidRDefault="00EB1BF9" w:rsidP="00EB1BF9">
      <w:pPr>
        <w:rPr>
          <w:lang w:eastAsia="en-AU"/>
        </w:rPr>
      </w:pPr>
      <w:r w:rsidRPr="00EB1BF9">
        <w:rPr>
          <w:lang w:eastAsia="en-AU"/>
        </w:rPr>
        <w:t xml:space="preserve">LaBrash, L. F., and S. E. Scheideler. 2005. Farm feather condition score survey of commercial laying hens. Journal of Applied Poultry Research 14:740-744. </w:t>
      </w:r>
    </w:p>
    <w:p w14:paraId="429F0AAC" w14:textId="77777777" w:rsidR="00EB1BF9" w:rsidRPr="00EB1BF9" w:rsidRDefault="00EB1BF9" w:rsidP="00EB1BF9">
      <w:pPr>
        <w:rPr>
          <w:lang w:eastAsia="en-AU"/>
        </w:rPr>
      </w:pPr>
      <w:r w:rsidRPr="00EB1BF9">
        <w:rPr>
          <w:lang w:eastAsia="en-AU"/>
        </w:rPr>
        <w:t xml:space="preserve">Lagerstrom, M. C., A. R. Hellstrom, D. E. Gloriam, T. P. Larsson, H. B. Schioth, and R. Fredriksson. 2006. The G protein - Coupled receptor subset of the chicken genome. </w:t>
      </w:r>
      <w:r w:rsidR="00601DC5">
        <w:rPr>
          <w:lang w:eastAsia="en-AU"/>
        </w:rPr>
        <w:t>PLoS</w:t>
      </w:r>
      <w:r w:rsidRPr="00EB1BF9">
        <w:rPr>
          <w:lang w:eastAsia="en-AU"/>
        </w:rPr>
        <w:t xml:space="preserve"> Computational Biology 2:493-507. doi 10.1371/journal.pcbi.0020054</w:t>
      </w:r>
    </w:p>
    <w:p w14:paraId="6A694757" w14:textId="77777777" w:rsidR="00EB1BF9" w:rsidRPr="00EB1BF9" w:rsidRDefault="00EB1BF9" w:rsidP="00EB1BF9">
      <w:pPr>
        <w:rPr>
          <w:lang w:val="en-AU" w:eastAsia="en-AU"/>
        </w:rPr>
      </w:pPr>
      <w:r w:rsidRPr="00EB1BF9">
        <w:rPr>
          <w:lang w:val="en-AU" w:eastAsia="en-AU"/>
        </w:rPr>
        <w:t xml:space="preserve">Lambton, S. L., </w:t>
      </w:r>
      <w:r w:rsidR="001D33E3">
        <w:rPr>
          <w:lang w:val="en-AU" w:eastAsia="en-AU"/>
        </w:rPr>
        <w:t xml:space="preserve">T. G. </w:t>
      </w:r>
      <w:r w:rsidRPr="00EB1BF9">
        <w:rPr>
          <w:lang w:val="en-AU" w:eastAsia="en-AU"/>
        </w:rPr>
        <w:t xml:space="preserve">Knowles, </w:t>
      </w:r>
      <w:r w:rsidR="001D33E3">
        <w:rPr>
          <w:lang w:val="en-AU" w:eastAsia="en-AU"/>
        </w:rPr>
        <w:t xml:space="preserve">C. </w:t>
      </w:r>
      <w:r w:rsidRPr="00EB1BF9">
        <w:rPr>
          <w:lang w:val="en-AU" w:eastAsia="en-AU"/>
        </w:rPr>
        <w:t xml:space="preserve">Yorke, and </w:t>
      </w:r>
      <w:r w:rsidR="001D33E3">
        <w:rPr>
          <w:lang w:val="en-AU" w:eastAsia="en-AU"/>
        </w:rPr>
        <w:t xml:space="preserve">C. J. </w:t>
      </w:r>
      <w:r w:rsidRPr="00EB1BF9">
        <w:rPr>
          <w:lang w:val="en-AU" w:eastAsia="en-AU"/>
        </w:rPr>
        <w:t xml:space="preserve">Nicol. 2010. The risk factors affecting the development of gentle and severe feather pecking in loose housed laying hens. </w:t>
      </w:r>
      <w:r w:rsidRPr="00EB1BF9">
        <w:rPr>
          <w:iCs/>
          <w:lang w:val="en-AU" w:eastAsia="en-AU"/>
        </w:rPr>
        <w:t>Applied Animal Behaviour Science</w:t>
      </w:r>
      <w:r w:rsidRPr="00EB1BF9">
        <w:rPr>
          <w:lang w:val="en-AU" w:eastAsia="en-AU"/>
        </w:rPr>
        <w:t xml:space="preserve"> </w:t>
      </w:r>
      <w:r w:rsidRPr="00EB1BF9">
        <w:rPr>
          <w:iCs/>
          <w:lang w:val="en-AU" w:eastAsia="en-AU"/>
        </w:rPr>
        <w:t>123</w:t>
      </w:r>
      <w:r w:rsidR="001D33E3">
        <w:rPr>
          <w:iCs/>
          <w:lang w:val="en-AU" w:eastAsia="en-AU"/>
        </w:rPr>
        <w:t>:</w:t>
      </w:r>
      <w:r w:rsidRPr="00EB1BF9">
        <w:rPr>
          <w:lang w:val="en-AU" w:eastAsia="en-AU"/>
        </w:rPr>
        <w:t>32-42.</w:t>
      </w:r>
    </w:p>
    <w:p w14:paraId="63E2D328" w14:textId="77777777" w:rsidR="00EB1BF9" w:rsidRPr="00EB1BF9" w:rsidRDefault="00EB1BF9" w:rsidP="00EB1BF9">
      <w:pPr>
        <w:rPr>
          <w:lang w:eastAsia="en-AU"/>
        </w:rPr>
      </w:pPr>
      <w:r w:rsidRPr="00EB1BF9">
        <w:rPr>
          <w:lang w:eastAsia="en-AU"/>
        </w:rPr>
        <w:t>Lambton, S. L., C. J. Nicol, M. Friel, D. C. J. Main, J. L. McKinstry, C. M. Sherwin, J. Walton, and C. A. Weeks. 2013. A bespoke management package can reduce levels of injurious pecking in loose-housed laying hen flocks. Veterinary Record 172:423. doi 10.1136/vr.101067</w:t>
      </w:r>
    </w:p>
    <w:p w14:paraId="0FCB9DB8" w14:textId="77777777" w:rsidR="00EB1BF9" w:rsidRPr="00EB1BF9" w:rsidRDefault="00EB1BF9" w:rsidP="00EB1BF9">
      <w:pPr>
        <w:rPr>
          <w:lang w:eastAsia="en-AU"/>
        </w:rPr>
      </w:pPr>
      <w:r w:rsidRPr="00EB1BF9">
        <w:rPr>
          <w:lang w:val="en-AU" w:eastAsia="en-AU"/>
        </w:rPr>
        <w:t xml:space="preserve">Lambton, S.L., </w:t>
      </w:r>
      <w:r w:rsidR="00345A79">
        <w:rPr>
          <w:lang w:val="en-AU" w:eastAsia="en-AU"/>
        </w:rPr>
        <w:t xml:space="preserve">T. G. </w:t>
      </w:r>
      <w:r w:rsidRPr="00EB1BF9">
        <w:rPr>
          <w:lang w:val="en-AU" w:eastAsia="en-AU"/>
        </w:rPr>
        <w:t xml:space="preserve">Knowles, </w:t>
      </w:r>
      <w:r w:rsidR="00345A79">
        <w:rPr>
          <w:lang w:val="en-AU" w:eastAsia="en-AU"/>
        </w:rPr>
        <w:t>C.</w:t>
      </w:r>
      <w:r w:rsidRPr="00EB1BF9">
        <w:rPr>
          <w:lang w:val="en-AU" w:eastAsia="en-AU"/>
        </w:rPr>
        <w:t xml:space="preserve"> Yorke, </w:t>
      </w:r>
      <w:r w:rsidR="00345A79">
        <w:rPr>
          <w:lang w:val="en-AU" w:eastAsia="en-AU"/>
        </w:rPr>
        <w:t>and C. J.</w:t>
      </w:r>
      <w:r w:rsidRPr="00EB1BF9">
        <w:rPr>
          <w:lang w:val="en-AU" w:eastAsia="en-AU"/>
        </w:rPr>
        <w:t xml:space="preserve"> Nicol. </w:t>
      </w:r>
      <w:r w:rsidR="00823007">
        <w:rPr>
          <w:lang w:val="en-AU" w:eastAsia="en-AU"/>
        </w:rPr>
        <w:t xml:space="preserve">2015. </w:t>
      </w:r>
      <w:r w:rsidRPr="00EB1BF9">
        <w:rPr>
          <w:lang w:val="en-AU" w:eastAsia="en-AU"/>
        </w:rPr>
        <w:t>The risk factors affecting the development of vent pecking and cannibalism in free-range and organic laying hens. Animal Welfare 24</w:t>
      </w:r>
      <w:r w:rsidR="00345A79">
        <w:rPr>
          <w:lang w:val="en-AU" w:eastAsia="en-AU"/>
        </w:rPr>
        <w:t>:</w:t>
      </w:r>
      <w:r w:rsidRPr="00EB1BF9">
        <w:rPr>
          <w:lang w:val="en-AU" w:eastAsia="en-AU"/>
        </w:rPr>
        <w:t>101-111.</w:t>
      </w:r>
    </w:p>
    <w:p w14:paraId="116E5CCF" w14:textId="77777777" w:rsidR="00EB1BF9" w:rsidRPr="00EB1BF9" w:rsidRDefault="00EB1BF9" w:rsidP="00EB1BF9">
      <w:pPr>
        <w:rPr>
          <w:lang w:eastAsia="en-AU"/>
        </w:rPr>
      </w:pPr>
      <w:r w:rsidRPr="00EB1BF9">
        <w:rPr>
          <w:lang w:eastAsia="en-AU"/>
        </w:rPr>
        <w:t xml:space="preserve">Landman, W. J. M., and J. H. H. van Eck. 2015. The incidence and economic impact of the </w:t>
      </w:r>
      <w:r w:rsidRPr="00C4034A">
        <w:rPr>
          <w:i/>
          <w:lang w:eastAsia="en-AU"/>
        </w:rPr>
        <w:t>Escherichia coli</w:t>
      </w:r>
      <w:r w:rsidRPr="00EB1BF9">
        <w:rPr>
          <w:lang w:eastAsia="en-AU"/>
        </w:rPr>
        <w:t xml:space="preserve"> peritonitis syndrome in Dutch poultry farming. Avian Pathology 44:370-378. doi 10.1080/03079457.2015.1060584</w:t>
      </w:r>
    </w:p>
    <w:p w14:paraId="51EB372E" w14:textId="77777777" w:rsidR="00EB1BF9" w:rsidRDefault="00EB1BF9" w:rsidP="00EB1BF9">
      <w:pPr>
        <w:rPr>
          <w:lang w:eastAsia="en-AU"/>
        </w:rPr>
      </w:pPr>
      <w:r w:rsidRPr="00EB1BF9">
        <w:rPr>
          <w:lang w:eastAsia="en-AU"/>
        </w:rPr>
        <w:t>Lay, D. C., R. M. Fulton, P. Y. Hester, D. M. Karcher, J. B. Kjaer, J. A. Mench, B. A. Mullens, R. C. Newberry, C. J. Nicol, N. P. O'Sullivan, and R. E. Porter. 2011. Hen welfare in different housing systems. Poultry Science 90:278-294. doi 10.3382/ps.2010-00962</w:t>
      </w:r>
    </w:p>
    <w:p w14:paraId="47B0D293" w14:textId="77777777" w:rsidR="00A60966" w:rsidRPr="00EB1BF9" w:rsidRDefault="005D7C40" w:rsidP="00EB1BF9">
      <w:pPr>
        <w:rPr>
          <w:lang w:eastAsia="en-AU"/>
        </w:rPr>
      </w:pPr>
      <w:r>
        <w:rPr>
          <w:lang w:eastAsia="en-AU"/>
        </w:rPr>
        <w:t>LayW</w:t>
      </w:r>
      <w:r w:rsidR="00A60966">
        <w:rPr>
          <w:lang w:eastAsia="en-AU"/>
        </w:rPr>
        <w:t>el. 2006.</w:t>
      </w:r>
      <w:r>
        <w:rPr>
          <w:lang w:eastAsia="en-AU"/>
        </w:rPr>
        <w:t xml:space="preserve"> Welfare implications for changes in production systems for laying hens. </w:t>
      </w:r>
      <w:hyperlink r:id="rId50" w:tooltip="This is a link to the European LayWel project website." w:history="1">
        <w:r w:rsidRPr="004977AE">
          <w:rPr>
            <w:rStyle w:val="Hyperlink"/>
            <w:lang w:eastAsia="en-AU"/>
          </w:rPr>
          <w:t>www.laywel.eu</w:t>
        </w:r>
      </w:hyperlink>
      <w:r>
        <w:rPr>
          <w:lang w:eastAsia="en-AU"/>
        </w:rPr>
        <w:t>.</w:t>
      </w:r>
      <w:r w:rsidR="00CF022F">
        <w:rPr>
          <w:lang w:eastAsia="en-AU"/>
        </w:rPr>
        <w:t xml:space="preserve"> </w:t>
      </w:r>
      <w:r>
        <w:rPr>
          <w:lang w:eastAsia="en-AU"/>
        </w:rPr>
        <w:t>Accessed 8/04/</w:t>
      </w:r>
      <w:r w:rsidR="00CF022F">
        <w:rPr>
          <w:lang w:eastAsia="en-AU"/>
        </w:rPr>
        <w:t>20</w:t>
      </w:r>
      <w:r>
        <w:rPr>
          <w:lang w:eastAsia="en-AU"/>
        </w:rPr>
        <w:t>17.</w:t>
      </w:r>
    </w:p>
    <w:p w14:paraId="658B3CB3" w14:textId="77777777" w:rsidR="00EB1BF9" w:rsidRPr="00EB1BF9" w:rsidRDefault="00EB1BF9" w:rsidP="00EB1BF9">
      <w:pPr>
        <w:rPr>
          <w:lang w:eastAsia="en-AU"/>
        </w:rPr>
      </w:pPr>
      <w:r w:rsidRPr="00EB1BF9">
        <w:rPr>
          <w:lang w:eastAsia="en-AU"/>
        </w:rPr>
        <w:t>Le Bouquin, S., A. Huneau-Salaun, D. Huonnic, L. Balaine, S. Martin, and V. Michel. 2013. Aerial dust concentration in cage-housed, floor-housed, and aviary facilities for laying hens. Poultry Science 92:2827-2833. doi 10.3382/ps.2013-03032</w:t>
      </w:r>
    </w:p>
    <w:p w14:paraId="29A47D10" w14:textId="77777777" w:rsidR="00EB1BF9" w:rsidRPr="00EB1BF9" w:rsidRDefault="00EB1BF9" w:rsidP="00EB1BF9">
      <w:pPr>
        <w:rPr>
          <w:lang w:eastAsia="en-AU"/>
        </w:rPr>
      </w:pPr>
      <w:r w:rsidRPr="00EB1BF9">
        <w:rPr>
          <w:lang w:eastAsia="en-AU"/>
        </w:rPr>
        <w:t xml:space="preserve">LeBlanc, S., B. Tobalske, M. Quinton, D. Springthorpe, B. Szkotnicki, H. Wuerbel, and A. Harlander-Matauschek. 2016. Physical Health Problems and Environmental Challenges Influence Balancing Behaviour in Laying Hens. </w:t>
      </w:r>
      <w:r w:rsidR="00601DC5">
        <w:rPr>
          <w:lang w:eastAsia="en-AU"/>
        </w:rPr>
        <w:t>PLoS</w:t>
      </w:r>
      <w:r w:rsidR="00997550">
        <w:rPr>
          <w:lang w:eastAsia="en-AU"/>
        </w:rPr>
        <w:t xml:space="preserve"> ONE</w:t>
      </w:r>
      <w:r w:rsidRPr="00EB1BF9">
        <w:rPr>
          <w:lang w:eastAsia="en-AU"/>
        </w:rPr>
        <w:t xml:space="preserve"> 11. doi 10.1371/journal.pone.0153477</w:t>
      </w:r>
    </w:p>
    <w:p w14:paraId="265EA714" w14:textId="77777777" w:rsidR="00EB1BF9" w:rsidRPr="00EB1BF9" w:rsidRDefault="00EB1BF9" w:rsidP="00EB1BF9">
      <w:pPr>
        <w:rPr>
          <w:lang w:eastAsia="en-AU"/>
        </w:rPr>
      </w:pPr>
      <w:r w:rsidRPr="00EB1BF9">
        <w:rPr>
          <w:lang w:eastAsia="en-AU"/>
        </w:rPr>
        <w:t>Lee, H. J., S. J. Roberts, K. A. Drake, and M. S. Dawkins. 2011. Prediction of feather damage in laying hens using optical flows and Markov models. Journal of the Royal Society Interface 8:489-499. doi 10.1098/rsif.2010.0268</w:t>
      </w:r>
    </w:p>
    <w:p w14:paraId="183C830F" w14:textId="77777777" w:rsidR="00EB1BF9" w:rsidRPr="00EB1BF9" w:rsidRDefault="00EB1BF9" w:rsidP="00EB1BF9">
      <w:pPr>
        <w:rPr>
          <w:lang w:eastAsia="en-AU"/>
        </w:rPr>
      </w:pPr>
      <w:r w:rsidRPr="00EB1BF9">
        <w:rPr>
          <w:lang w:eastAsia="en-AU"/>
        </w:rPr>
        <w:t>Lee, H. W., H. Louton, A. Schwarzer, E. Rauch, A. Probst, S. Shao, P. Schmidt, M. H. Erhard, and S. Bergmann. 2016. Effects of multiple daily litter applications on the dust bathing behaviour of laying hens kept in an enriched cage system. Applied Animal Behaviour Science 178:51-59. doi 10.1016/j.applanim.2016.02.001</w:t>
      </w:r>
    </w:p>
    <w:p w14:paraId="647C934A" w14:textId="77777777" w:rsidR="00EB1BF9" w:rsidRDefault="00EB1BF9" w:rsidP="00EB1BF9">
      <w:pPr>
        <w:rPr>
          <w:lang w:eastAsia="en-AU"/>
        </w:rPr>
      </w:pPr>
      <w:r w:rsidRPr="00EB1BF9">
        <w:rPr>
          <w:lang w:eastAsia="en-AU"/>
        </w:rPr>
        <w:t>Lee, K., and C. W. Moss. 1995. Effects of population-density on layer performance</w:t>
      </w:r>
      <w:r w:rsidR="001D33E3">
        <w:rPr>
          <w:lang w:eastAsia="en-AU"/>
        </w:rPr>
        <w:t>. Poultry Science 74:1754-1760.</w:t>
      </w:r>
    </w:p>
    <w:p w14:paraId="1A2B6A9B" w14:textId="77777777" w:rsidR="005834A7" w:rsidRPr="00EB1BF9" w:rsidRDefault="005834A7" w:rsidP="00EB1BF9">
      <w:pPr>
        <w:rPr>
          <w:lang w:eastAsia="en-AU"/>
        </w:rPr>
      </w:pPr>
      <w:r w:rsidRPr="005834A7">
        <w:rPr>
          <w:lang w:eastAsia="en-AU"/>
        </w:rPr>
        <w:t xml:space="preserve">Leenstra, F., </w:t>
      </w:r>
      <w:r>
        <w:rPr>
          <w:lang w:eastAsia="en-AU"/>
        </w:rPr>
        <w:t xml:space="preserve">V. </w:t>
      </w:r>
      <w:r w:rsidRPr="005834A7">
        <w:rPr>
          <w:lang w:eastAsia="en-AU"/>
        </w:rPr>
        <w:t xml:space="preserve">Maurer, </w:t>
      </w:r>
      <w:r>
        <w:rPr>
          <w:lang w:eastAsia="en-AU"/>
        </w:rPr>
        <w:t>M.</w:t>
      </w:r>
      <w:r w:rsidRPr="005834A7">
        <w:rPr>
          <w:lang w:eastAsia="en-AU"/>
        </w:rPr>
        <w:t xml:space="preserve"> Bestman, </w:t>
      </w:r>
      <w:r>
        <w:rPr>
          <w:lang w:eastAsia="en-AU"/>
        </w:rPr>
        <w:t xml:space="preserve">F. </w:t>
      </w:r>
      <w:r w:rsidRPr="005834A7">
        <w:rPr>
          <w:lang w:eastAsia="en-AU"/>
        </w:rPr>
        <w:t xml:space="preserve">van Sambeek, </w:t>
      </w:r>
      <w:r>
        <w:rPr>
          <w:lang w:eastAsia="en-AU"/>
        </w:rPr>
        <w:t xml:space="preserve">E. </w:t>
      </w:r>
      <w:r w:rsidRPr="005834A7">
        <w:rPr>
          <w:lang w:eastAsia="en-AU"/>
        </w:rPr>
        <w:t xml:space="preserve">Zeltner, </w:t>
      </w:r>
      <w:r>
        <w:rPr>
          <w:lang w:eastAsia="en-AU"/>
        </w:rPr>
        <w:t>B.</w:t>
      </w:r>
      <w:r w:rsidRPr="005834A7">
        <w:rPr>
          <w:lang w:eastAsia="en-AU"/>
        </w:rPr>
        <w:t xml:space="preserve"> Reuvekamp, </w:t>
      </w:r>
      <w:r>
        <w:rPr>
          <w:lang w:eastAsia="en-AU"/>
        </w:rPr>
        <w:t>F.</w:t>
      </w:r>
      <w:r w:rsidRPr="005834A7">
        <w:rPr>
          <w:lang w:eastAsia="en-AU"/>
        </w:rPr>
        <w:t xml:space="preserve"> Galea, and </w:t>
      </w:r>
      <w:r>
        <w:rPr>
          <w:lang w:eastAsia="en-AU"/>
        </w:rPr>
        <w:t xml:space="preserve">T. </w:t>
      </w:r>
      <w:r w:rsidRPr="005834A7">
        <w:rPr>
          <w:lang w:eastAsia="en-AU"/>
        </w:rPr>
        <w:t>van Niekerk. 2012. Performance of commercial laying hen genotypes on free range and organic farms in Switzerland, France and the Netherlan</w:t>
      </w:r>
      <w:r>
        <w:rPr>
          <w:lang w:eastAsia="en-AU"/>
        </w:rPr>
        <w:t>ds. British Poultry Science 53:</w:t>
      </w:r>
      <w:r w:rsidRPr="005834A7">
        <w:rPr>
          <w:lang w:eastAsia="en-AU"/>
        </w:rPr>
        <w:t>282-290</w:t>
      </w:r>
      <w:r>
        <w:rPr>
          <w:lang w:eastAsia="en-AU"/>
        </w:rPr>
        <w:t>.</w:t>
      </w:r>
    </w:p>
    <w:p w14:paraId="0EA5854B" w14:textId="77777777" w:rsidR="00EB1BF9" w:rsidRPr="00EB1BF9" w:rsidRDefault="00EB1BF9" w:rsidP="00EB1BF9">
      <w:pPr>
        <w:rPr>
          <w:lang w:eastAsia="en-AU"/>
        </w:rPr>
      </w:pPr>
      <w:r w:rsidRPr="00EB1BF9">
        <w:rPr>
          <w:lang w:eastAsia="en-AU"/>
        </w:rPr>
        <w:t>Lentfer, T. L., S. G. Gebhardt-Henrich, E. K. F. Frohlich, and E. von Borell. 2011. Influence of nest site on the behaviour of laying hens. Applied Animal Behaviour Science 135:70-77. doi 10.1016/j.applanim.2011.08.016</w:t>
      </w:r>
    </w:p>
    <w:p w14:paraId="7EF73E92" w14:textId="77777777" w:rsidR="00EB1BF9" w:rsidRPr="00EB1BF9" w:rsidRDefault="00EB1BF9" w:rsidP="00EB1BF9">
      <w:pPr>
        <w:rPr>
          <w:lang w:eastAsia="en-AU"/>
        </w:rPr>
      </w:pPr>
      <w:r w:rsidRPr="00EB1BF9">
        <w:rPr>
          <w:lang w:eastAsia="en-AU"/>
        </w:rPr>
        <w:t>Lentfer, T. L., S. G. Gebhardt-Henrich, E. K. F. Frohlich, and E. von Borell. 2013. Nest use is influenced by the positions of nests and drinkers in aviaries. Poultry Science 92:1433-1442. doi 10.3382/ps.2012-02718</w:t>
      </w:r>
    </w:p>
    <w:p w14:paraId="6E286D4F" w14:textId="77777777" w:rsidR="00EB1BF9" w:rsidRPr="00EB1BF9" w:rsidRDefault="00EB1BF9" w:rsidP="00EB1BF9">
      <w:pPr>
        <w:rPr>
          <w:lang w:eastAsia="en-AU"/>
        </w:rPr>
      </w:pPr>
      <w:r w:rsidRPr="00EB1BF9">
        <w:rPr>
          <w:lang w:eastAsia="en-AU"/>
        </w:rPr>
        <w:t>Lewis, P. D., and R. M. Gous. 2009. Photoperiodic responses of broilers. II. Ocular development. British Poultry Science 50:667-672. doi 10.1080/00071660903342066</w:t>
      </w:r>
    </w:p>
    <w:p w14:paraId="1FF65CB9" w14:textId="77777777" w:rsidR="00EB1BF9" w:rsidRPr="00EB1BF9" w:rsidRDefault="00EB1BF9" w:rsidP="00EB1BF9">
      <w:pPr>
        <w:rPr>
          <w:lang w:eastAsia="en-AU"/>
        </w:rPr>
      </w:pPr>
      <w:r w:rsidRPr="00EB1BF9">
        <w:rPr>
          <w:lang w:eastAsia="en-AU"/>
        </w:rPr>
        <w:t>Leyendecker, M., H. Hamann, J. Hartung, J. Kamphues, U. Neumann, C. Surie, and O. Distl. 2005. Keeping laying hens in furnished cages and an aviary housing system enhances their bone stability. British Poultry Science 46:536-544. doi 10.1080/00071660500273094</w:t>
      </w:r>
    </w:p>
    <w:p w14:paraId="494FE3C6" w14:textId="77777777" w:rsidR="00EB1BF9" w:rsidRPr="00EB1BF9" w:rsidRDefault="00EB1BF9" w:rsidP="00EB1BF9">
      <w:pPr>
        <w:rPr>
          <w:lang w:eastAsia="en-AU"/>
        </w:rPr>
      </w:pPr>
      <w:r w:rsidRPr="00EB1BF9">
        <w:rPr>
          <w:lang w:eastAsia="en-AU"/>
        </w:rPr>
        <w:t>Li, X., D. H. Chen, J. H. Li, and J. Bao. 2016. Effects of Furnished Cage Type on Behavior and Welfare of Laying Hens. Asian-Australasian Journal of Animal Sciences 29:887-894. doi 10.5713/ajas.15.0576</w:t>
      </w:r>
    </w:p>
    <w:p w14:paraId="18E1F01C" w14:textId="77777777" w:rsidR="00EB1BF9" w:rsidRPr="00EB1BF9" w:rsidRDefault="00EB1BF9" w:rsidP="00EB1BF9">
      <w:pPr>
        <w:rPr>
          <w:lang w:eastAsia="en-AU"/>
        </w:rPr>
      </w:pPr>
      <w:r w:rsidRPr="00EB1BF9">
        <w:rPr>
          <w:lang w:eastAsia="en-AU"/>
        </w:rPr>
        <w:t>Lichovnikova, M., and L. Zeman. 2008. Effect of housing system on the calcium requirement of laying hens and on eggshell quality. Czech Journa</w:t>
      </w:r>
      <w:r w:rsidR="001D33E3">
        <w:rPr>
          <w:lang w:eastAsia="en-AU"/>
        </w:rPr>
        <w:t>l of Animal Science 53:162-168.</w:t>
      </w:r>
    </w:p>
    <w:p w14:paraId="2EC51918" w14:textId="77777777" w:rsidR="00EB1BF9" w:rsidRPr="00EB1BF9" w:rsidRDefault="00EB1BF9" w:rsidP="00EB1BF9">
      <w:pPr>
        <w:rPr>
          <w:lang w:eastAsia="en-AU"/>
        </w:rPr>
      </w:pPr>
      <w:r w:rsidRPr="00EB1BF9">
        <w:rPr>
          <w:lang w:eastAsia="en-AU"/>
        </w:rPr>
        <w:t>Lindqvist, C., and P. Jensen. 2008. Effects of age, sex and social isolation on contrafreeloading in red junglefowl (</w:t>
      </w:r>
      <w:r w:rsidRPr="001D33E3">
        <w:rPr>
          <w:i/>
          <w:lang w:eastAsia="en-AU"/>
        </w:rPr>
        <w:t>Gallus gallus</w:t>
      </w:r>
      <w:r w:rsidRPr="00EB1BF9">
        <w:rPr>
          <w:lang w:eastAsia="en-AU"/>
        </w:rPr>
        <w:t>) and White Leghorn fowl. Applied Animal Behaviour Science 114:419-428. doi 10.1016/j.applanim.2008.03.002</w:t>
      </w:r>
    </w:p>
    <w:p w14:paraId="5A608D07" w14:textId="77777777" w:rsidR="00EB1BF9" w:rsidRPr="00EB1BF9" w:rsidRDefault="00EB1BF9" w:rsidP="00EB1BF9">
      <w:pPr>
        <w:rPr>
          <w:lang w:eastAsia="en-AU"/>
        </w:rPr>
      </w:pPr>
      <w:r w:rsidRPr="00EB1BF9">
        <w:rPr>
          <w:lang w:eastAsia="en-AU"/>
        </w:rPr>
        <w:t>Lindqvist, C., and P. Jensen. 2009. Domestication and stress effects on contrafreeloading and spatial learning performance in red jungle fowl (</w:t>
      </w:r>
      <w:r w:rsidRPr="001D33E3">
        <w:rPr>
          <w:i/>
          <w:lang w:eastAsia="en-AU"/>
        </w:rPr>
        <w:t>Gallus gallus</w:t>
      </w:r>
      <w:r w:rsidRPr="00EB1BF9">
        <w:rPr>
          <w:lang w:eastAsia="en-AU"/>
        </w:rPr>
        <w:t>) and White Leghorn layers. Behavioural Processes 81:80-84. doi 10.1016/j.beproc.2009.02.005</w:t>
      </w:r>
    </w:p>
    <w:p w14:paraId="450F212E" w14:textId="77777777" w:rsidR="00EB1BF9" w:rsidRPr="00EB1BF9" w:rsidRDefault="00EB1BF9" w:rsidP="00EB1BF9">
      <w:pPr>
        <w:rPr>
          <w:lang w:eastAsia="en-AU"/>
        </w:rPr>
      </w:pPr>
      <w:r w:rsidRPr="00EB1BF9">
        <w:rPr>
          <w:lang w:eastAsia="en-AU"/>
        </w:rPr>
        <w:t xml:space="preserve">Lisney, T. J., B. Ekesten, R. Tauson, O. Hastad, and A. Odeen. 2012. Using electroretinograms to assess flicker fusion frequency in domestic hens </w:t>
      </w:r>
      <w:r w:rsidRPr="00681E66">
        <w:rPr>
          <w:i/>
          <w:lang w:eastAsia="en-AU"/>
        </w:rPr>
        <w:t>Gallus gallus domesticus</w:t>
      </w:r>
      <w:r w:rsidRPr="00EB1BF9">
        <w:rPr>
          <w:lang w:eastAsia="en-AU"/>
        </w:rPr>
        <w:t>. Vision Research 62:125-133. doi 10.1016/j.visres.2012.04.002</w:t>
      </w:r>
    </w:p>
    <w:p w14:paraId="7078C12B" w14:textId="77777777" w:rsidR="00EB1BF9" w:rsidRPr="00EB1BF9" w:rsidRDefault="00EB1BF9" w:rsidP="00EB1BF9">
      <w:pPr>
        <w:rPr>
          <w:lang w:eastAsia="en-AU"/>
        </w:rPr>
      </w:pPr>
      <w:r w:rsidRPr="00EB1BF9">
        <w:rPr>
          <w:lang w:eastAsia="en-AU"/>
        </w:rPr>
        <w:t xml:space="preserve">Lisney, T. J., D. Rubene, J. Rozsa, H. Lovlie, O. Hastad, and A. Odeen. 2011. Behavioural assessment of flicker fusion frequency in chicken </w:t>
      </w:r>
      <w:r w:rsidRPr="00681E66">
        <w:rPr>
          <w:i/>
          <w:lang w:eastAsia="en-AU"/>
        </w:rPr>
        <w:t>Gallus gallus domesticus</w:t>
      </w:r>
      <w:r w:rsidRPr="00EB1BF9">
        <w:rPr>
          <w:lang w:eastAsia="en-AU"/>
        </w:rPr>
        <w:t>. Vision Research 51:1324-1332. doi 10.1016/j.visres.2011.04.009</w:t>
      </w:r>
    </w:p>
    <w:p w14:paraId="63977831" w14:textId="77777777" w:rsidR="00EB1BF9" w:rsidRPr="00EB1BF9" w:rsidRDefault="00EB1BF9" w:rsidP="00EB1BF9">
      <w:pPr>
        <w:rPr>
          <w:lang w:eastAsia="en-AU"/>
        </w:rPr>
      </w:pPr>
      <w:r w:rsidRPr="00EB1BF9">
        <w:rPr>
          <w:lang w:eastAsia="en-AU"/>
        </w:rPr>
        <w:t>Liste, G., I. Campderrich, I. B. de Heredia, and I. Estevez. 2015. The relevance of variations in group size and phenotypic appearance on the behaviour and movement patterns of young domestic fowl. Applied Animal Behaviour Science 163:144-157. doi 10.1016/j.applanim.2014.11.013</w:t>
      </w:r>
    </w:p>
    <w:p w14:paraId="44EAED75" w14:textId="77777777" w:rsidR="00EB1BF9" w:rsidRPr="00EB1BF9" w:rsidRDefault="00EB1BF9" w:rsidP="00EB1BF9">
      <w:pPr>
        <w:rPr>
          <w:lang w:eastAsia="en-AU"/>
        </w:rPr>
      </w:pPr>
      <w:r w:rsidRPr="00EB1BF9">
        <w:rPr>
          <w:lang w:eastAsia="en-AU"/>
        </w:rPr>
        <w:t>Long, H., Y. Zhao, T. Wang, Z. Ning, and H. Xin. 2016. Effect of light-emitting diode vs. fluorescent lighting on laying hens in aviary hen houses: Part 1-Operational characteristics of lights and production traits of hens. Poultry Science 95:1-11. doi 10.3382/ps/pev121</w:t>
      </w:r>
    </w:p>
    <w:p w14:paraId="03A46C70" w14:textId="77777777" w:rsidR="00EB1BF9" w:rsidRPr="00EB1BF9" w:rsidRDefault="00EB1BF9" w:rsidP="00EB1BF9">
      <w:pPr>
        <w:rPr>
          <w:lang w:eastAsia="en-AU"/>
        </w:rPr>
      </w:pPr>
      <w:r w:rsidRPr="00EB1BF9">
        <w:rPr>
          <w:lang w:eastAsia="en-AU"/>
        </w:rPr>
        <w:t>Louton, H., S. Bergmann, S. Reese, M. H. Erhard, and E. Rauch. 2016. Dust-bathing behavior of laying hens in enriched colony housing systems and an aviary system. Poultry Science 95:1482-1491. doi 10.3382/ps/pew109</w:t>
      </w:r>
    </w:p>
    <w:p w14:paraId="55E0AA60" w14:textId="77777777" w:rsidR="00EB1BF9" w:rsidRPr="00EB1BF9" w:rsidRDefault="00EB1BF9" w:rsidP="00EB1BF9">
      <w:pPr>
        <w:rPr>
          <w:lang w:eastAsia="en-AU"/>
        </w:rPr>
      </w:pPr>
      <w:r w:rsidRPr="00EB1BF9">
        <w:rPr>
          <w:lang w:eastAsia="en-AU"/>
        </w:rPr>
        <w:t xml:space="preserve">Lunden, A., P. Thebo, S. Gunnarsson, P. Hooshwand-Rad, R. Tauson, and A. Uggla. 2000. </w:t>
      </w:r>
      <w:r w:rsidRPr="001D33E3">
        <w:rPr>
          <w:i/>
          <w:lang w:eastAsia="en-AU"/>
        </w:rPr>
        <w:t>Eimeria</w:t>
      </w:r>
      <w:r w:rsidRPr="00EB1BF9">
        <w:rPr>
          <w:lang w:eastAsia="en-AU"/>
        </w:rPr>
        <w:t xml:space="preserve"> infections in litter-based, high stocking density systems for loose-housed laying hens in Sweden. British Poultry Science 41:440-447. doi 10.1080/713654973</w:t>
      </w:r>
    </w:p>
    <w:p w14:paraId="26F50CBA" w14:textId="77777777" w:rsidR="00EB1BF9" w:rsidRPr="00EB1BF9" w:rsidRDefault="00EB1BF9" w:rsidP="00EB1BF9">
      <w:pPr>
        <w:rPr>
          <w:lang w:eastAsia="en-AU"/>
        </w:rPr>
      </w:pPr>
      <w:r w:rsidRPr="00EB1BF9">
        <w:rPr>
          <w:lang w:eastAsia="en-AU"/>
        </w:rPr>
        <w:t>Lutz, V., P. Stratz, S. Preuss, J. Tetens, M. A. Grashorn, W. Bessei, and J. Bennewitz. 2017. A genome-wide association study in a large F2-cross of laying hens reveals novel genomic regions associated with feather pecking and aggressive pecking behavior. Genetics Selection Evolution 49. doi 10.1186/s12711-017-0287-4</w:t>
      </w:r>
    </w:p>
    <w:p w14:paraId="21F60BF8" w14:textId="77777777" w:rsidR="00EB1BF9" w:rsidRPr="00EB1BF9" w:rsidRDefault="00EB1BF9" w:rsidP="00EB1BF9">
      <w:pPr>
        <w:rPr>
          <w:lang w:eastAsia="en-AU"/>
        </w:rPr>
      </w:pPr>
      <w:r w:rsidRPr="00EB1BF9">
        <w:rPr>
          <w:lang w:eastAsia="en-AU"/>
        </w:rPr>
        <w:t>Ma, H., H. Xin, Y. Zhao, B. Li, T. A. Shepherd, and I. Alvarez. 2016a. Assessment of lighting needs by W-36 laying hens via preference test. Animal 10:671-680. doi 10.1017/s1751731115002384</w:t>
      </w:r>
    </w:p>
    <w:p w14:paraId="7735FF1C" w14:textId="77777777" w:rsidR="00EB1BF9" w:rsidRPr="00EB1BF9" w:rsidRDefault="00EB1BF9" w:rsidP="00EB1BF9">
      <w:pPr>
        <w:rPr>
          <w:lang w:eastAsia="en-AU"/>
        </w:rPr>
      </w:pPr>
      <w:r w:rsidRPr="00EB1BF9">
        <w:rPr>
          <w:lang w:eastAsia="en-AU"/>
        </w:rPr>
        <w:t>Ma, Z. L., Y. Gao, H. T. Ma, L. H. Zheng, B. Dai, J. F. Miao, and Y. S. Zhang. 2016b. Effects of taurine and housing density on renal function in laying hens. Journal of Zhejiang University-Science B 17:952-964. doi 10.1631/jzus.B1600014</w:t>
      </w:r>
    </w:p>
    <w:p w14:paraId="6D88C317" w14:textId="77777777" w:rsidR="00EB1BF9" w:rsidRPr="00EB1BF9" w:rsidRDefault="00EB1BF9" w:rsidP="00EB1BF9">
      <w:pPr>
        <w:rPr>
          <w:lang w:eastAsia="en-AU"/>
        </w:rPr>
      </w:pPr>
      <w:r w:rsidRPr="00EB1BF9">
        <w:rPr>
          <w:lang w:eastAsia="en-AU"/>
        </w:rPr>
        <w:t>Ma, Z. L., J. Q. Zhang, H. T. Ma, B. Dai, L. H. Zheng, J. F. Miao, and Y. S. Zhang. 2014. The influence of dietary taurine and reduced housing density on hepatic functions in laying hens. Poultry Science 93:1724-1736. doi 10.3382/ps.2013-03654</w:t>
      </w:r>
    </w:p>
    <w:p w14:paraId="32B1352E" w14:textId="77777777" w:rsidR="00EB1BF9" w:rsidRPr="00EB1BF9" w:rsidRDefault="00EB1BF9" w:rsidP="00EB1BF9">
      <w:pPr>
        <w:rPr>
          <w:lang w:eastAsia="en-AU"/>
        </w:rPr>
      </w:pPr>
      <w:r w:rsidRPr="00EB1BF9">
        <w:rPr>
          <w:lang w:eastAsia="en-AU"/>
        </w:rPr>
        <w:t>Malleau, A. E., I. J. H. Duncan, T. M. Widowski, and J. L. Atkinson. 2007. The importance of rest in young domestic fowl. Applied Animal Behaviour Science 106:52-69. doi 10.1016/j.applanim.2006.06.017</w:t>
      </w:r>
    </w:p>
    <w:p w14:paraId="5351E7DF" w14:textId="77777777" w:rsidR="00EB1BF9" w:rsidRPr="00EB1BF9" w:rsidRDefault="00EB1BF9" w:rsidP="00EB1BF9">
      <w:pPr>
        <w:rPr>
          <w:lang w:eastAsia="en-AU"/>
        </w:rPr>
      </w:pPr>
      <w:r w:rsidRPr="00EB1BF9">
        <w:rPr>
          <w:lang w:eastAsia="en-AU"/>
        </w:rPr>
        <w:t>Marchant-Forde, R. M., A. G. Fahey, and H. W. Cheng. 2008. Comparative effects of infrared and one-third hot-blade trimming on beak topography, behavior, and growth. Poultry Science 87:1474-1483. doi 10.3382/ps.2006-00360</w:t>
      </w:r>
    </w:p>
    <w:p w14:paraId="08393EC4" w14:textId="77777777" w:rsidR="00EB1BF9" w:rsidRPr="00EB1BF9" w:rsidRDefault="00EB1BF9" w:rsidP="00EB1BF9">
      <w:pPr>
        <w:rPr>
          <w:lang w:eastAsia="en-AU"/>
        </w:rPr>
      </w:pPr>
      <w:r w:rsidRPr="00EB1BF9">
        <w:rPr>
          <w:lang w:eastAsia="en-AU"/>
        </w:rPr>
        <w:t>Martin, C. D., and B. A. Mullens. 2012. Housing and dustbathing effects on northern fowl mites (</w:t>
      </w:r>
      <w:r w:rsidRPr="000760D2">
        <w:rPr>
          <w:i/>
          <w:lang w:eastAsia="en-AU"/>
        </w:rPr>
        <w:t>Ornithonyssus sylviarum</w:t>
      </w:r>
      <w:r w:rsidRPr="00EB1BF9">
        <w:rPr>
          <w:lang w:eastAsia="en-AU"/>
        </w:rPr>
        <w:t>) and chicken body lice (</w:t>
      </w:r>
      <w:r w:rsidRPr="00C4034A">
        <w:rPr>
          <w:i/>
          <w:lang w:eastAsia="en-AU"/>
        </w:rPr>
        <w:t>Menacanthus stramineus</w:t>
      </w:r>
      <w:r w:rsidRPr="00EB1BF9">
        <w:rPr>
          <w:lang w:eastAsia="en-AU"/>
        </w:rPr>
        <w:t>) on hens. Medical and Veterinary Entomology 26:323-333. doi 10.1111/j.1365-2915.2011.00997.x</w:t>
      </w:r>
    </w:p>
    <w:p w14:paraId="17299622" w14:textId="77777777" w:rsidR="00EB1BF9" w:rsidRPr="00EB1BF9" w:rsidRDefault="00EB1BF9" w:rsidP="00EB1BF9">
      <w:pPr>
        <w:rPr>
          <w:lang w:eastAsia="en-AU"/>
        </w:rPr>
      </w:pPr>
      <w:r w:rsidRPr="00EB1BF9">
        <w:rPr>
          <w:lang w:eastAsia="en-AU"/>
        </w:rPr>
        <w:t>Matur, E., I. Akyazi, E. Eraslan, E. Ergul Ekiz, H. Eseceli, M. Keten, K. Metiner, and D. Aktaran Bala. 2016. The effects of environmental enrichment and transport stress on the weights of lymphoid organs, cell-mediated immune response, heterophil functions and antibody production in laying hens. Animal Science Journal 87:284-292. doi 10.1111/asj.12411</w:t>
      </w:r>
    </w:p>
    <w:p w14:paraId="31716148" w14:textId="77777777" w:rsidR="00EB1BF9" w:rsidRPr="00EB1BF9" w:rsidRDefault="00EB1BF9" w:rsidP="00EB1BF9">
      <w:pPr>
        <w:rPr>
          <w:lang w:eastAsia="en-AU"/>
        </w:rPr>
      </w:pPr>
      <w:r w:rsidRPr="00EB1BF9">
        <w:rPr>
          <w:lang w:eastAsia="en-AU"/>
        </w:rPr>
        <w:t>Matur, E., E. Eraslan, I. Akyazi, E. E. Ekiz, H. Eseceli, M. Keten, K. Metiner, and D. A. Bala. 2015. The effect of furnished cages on the immune response of laying hens under social stress. Poultry Science 94:2853-2862. doi 10.3382/ps/pev297</w:t>
      </w:r>
    </w:p>
    <w:p w14:paraId="65ADD335" w14:textId="77777777" w:rsidR="00EB1BF9" w:rsidRPr="00EB1BF9" w:rsidRDefault="00EB1BF9" w:rsidP="00EB1BF9">
      <w:pPr>
        <w:rPr>
          <w:lang w:eastAsia="en-AU"/>
        </w:rPr>
      </w:pPr>
      <w:r w:rsidRPr="00EB1BF9">
        <w:rPr>
          <w:lang w:eastAsia="en-AU"/>
        </w:rPr>
        <w:t>Maurer, V., Z. Amsler, E. Perler, and F. Heckendorn. 2009. Poultry litter as a source of gastrointestinal helminth infections. Veterinary Parasitology 161:255-260. doi 10.1016/j.vetpar.2009.01.020</w:t>
      </w:r>
    </w:p>
    <w:p w14:paraId="588C801A" w14:textId="77777777" w:rsidR="00EB1BF9" w:rsidRPr="00EB1BF9" w:rsidRDefault="00EB1BF9" w:rsidP="00EB1BF9">
      <w:pPr>
        <w:rPr>
          <w:lang w:eastAsia="en-AU"/>
        </w:rPr>
      </w:pPr>
      <w:r w:rsidRPr="00EB1BF9">
        <w:rPr>
          <w:lang w:eastAsia="en-AU"/>
        </w:rPr>
        <w:t>Maurer, V., H. Hertzberg, F. Heckendorn, P. Hordegen, and M. Koller. 2013. Effects of paddock management on vegetation, nutrient accumulation, and internal parasites in laying hens. Journal of Applied Poultry Research 22:334-343. doi 10.3382/japr.2012-00586</w:t>
      </w:r>
    </w:p>
    <w:p w14:paraId="211B5C35" w14:textId="77777777" w:rsidR="00EB1BF9" w:rsidRPr="00EB1BF9" w:rsidRDefault="00EB1BF9" w:rsidP="00EB1BF9">
      <w:pPr>
        <w:rPr>
          <w:lang w:eastAsia="en-AU"/>
        </w:rPr>
      </w:pPr>
      <w:r w:rsidRPr="00EB1BF9">
        <w:rPr>
          <w:lang w:eastAsia="en-AU"/>
        </w:rPr>
        <w:t>Mazzuco, H., V. S. Avila, A. Coldebella, R. Mores, F. R. F. Jaenisch, and L. S. Lopes. 2011. Comparison of the effect of different methods of molt: Production and welfare evaluation. Poultry Science 90:2913-2920. doi 10.3382/ps.2011-01670</w:t>
      </w:r>
    </w:p>
    <w:p w14:paraId="31AD3346" w14:textId="77777777" w:rsidR="00EB1BF9" w:rsidRPr="00EB1BF9" w:rsidRDefault="00EB1BF9" w:rsidP="00EB1BF9">
      <w:pPr>
        <w:rPr>
          <w:lang w:eastAsia="en-AU"/>
        </w:rPr>
      </w:pPr>
      <w:r w:rsidRPr="00EB1BF9">
        <w:rPr>
          <w:lang w:eastAsia="en-AU"/>
        </w:rPr>
        <w:t xml:space="preserve">Mazzuco, H., and P. Y. Hester. 2005. The effect of an induced molt using a nonfasting program on bone mineralization of white leghorns. Poultry Science 84:1483-1490. </w:t>
      </w:r>
    </w:p>
    <w:p w14:paraId="5C94CBFC" w14:textId="77777777" w:rsidR="004A314D" w:rsidRDefault="004A314D" w:rsidP="00EB1BF9">
      <w:pPr>
        <w:rPr>
          <w:lang w:eastAsia="en-AU"/>
        </w:rPr>
      </w:pPr>
      <w:r w:rsidRPr="004A314D">
        <w:rPr>
          <w:lang w:eastAsia="en-AU"/>
        </w:rPr>
        <w:t xml:space="preserve">McAdie, T.M. and </w:t>
      </w:r>
      <w:r>
        <w:rPr>
          <w:lang w:eastAsia="en-AU"/>
        </w:rPr>
        <w:t xml:space="preserve">L. J. </w:t>
      </w:r>
      <w:r w:rsidRPr="004A314D">
        <w:rPr>
          <w:lang w:eastAsia="en-AU"/>
        </w:rPr>
        <w:t>Keeling. 2000. Effect of manipulating feathers of laying hens on the incidence of feather pecking and cannibalism. Appli</w:t>
      </w:r>
      <w:r>
        <w:rPr>
          <w:lang w:eastAsia="en-AU"/>
        </w:rPr>
        <w:t>ed Animal Behaviour Science 68:</w:t>
      </w:r>
      <w:r w:rsidRPr="004A314D">
        <w:rPr>
          <w:lang w:eastAsia="en-AU"/>
        </w:rPr>
        <w:t>215-229</w:t>
      </w:r>
      <w:r>
        <w:rPr>
          <w:lang w:eastAsia="en-AU"/>
        </w:rPr>
        <w:t>.</w:t>
      </w:r>
    </w:p>
    <w:p w14:paraId="53626E4B" w14:textId="77777777" w:rsidR="00EB1BF9" w:rsidRPr="00EB1BF9" w:rsidRDefault="00EB1BF9" w:rsidP="00EB1BF9">
      <w:pPr>
        <w:rPr>
          <w:lang w:eastAsia="en-AU"/>
        </w:rPr>
      </w:pPr>
      <w:r w:rsidRPr="00EB1BF9">
        <w:rPr>
          <w:lang w:eastAsia="en-AU"/>
        </w:rPr>
        <w:t>McAdie, T. M., L. J. Keeling, H. J. Blokhuis, and R. B. Jones. 2005. Reduction in feather pecking and improvement of feather condition with the presentation of a string device to chickens. Applied Animal Behaviour Science 93:67-80. doi 10.1016/j.applanim.2004.09.004</w:t>
      </w:r>
    </w:p>
    <w:p w14:paraId="022E14BB" w14:textId="77777777" w:rsidR="00EB1BF9" w:rsidRPr="00EB1BF9" w:rsidRDefault="00EB1BF9" w:rsidP="00EB1BF9">
      <w:pPr>
        <w:rPr>
          <w:lang w:eastAsia="en-AU"/>
        </w:rPr>
      </w:pPr>
      <w:r w:rsidRPr="00EB1BF9">
        <w:rPr>
          <w:lang w:eastAsia="en-AU"/>
        </w:rPr>
        <w:t>McKeegan, D. E. F., and A. W. Philbey. 2012. Chronic neurophysiological and anatomical changes associated with infra-red beak treatment and their implications for laying hen welfare. Animal Welfare 21:207-217. doi 10.7120/09627286.21.2.207</w:t>
      </w:r>
    </w:p>
    <w:p w14:paraId="3CDE0979" w14:textId="77777777" w:rsidR="00EB1BF9" w:rsidRPr="00EB1BF9" w:rsidRDefault="00EB1BF9" w:rsidP="00EB1BF9">
      <w:pPr>
        <w:rPr>
          <w:lang w:eastAsia="en-AU"/>
        </w:rPr>
      </w:pPr>
      <w:r w:rsidRPr="00EB1BF9">
        <w:rPr>
          <w:lang w:eastAsia="en-AU"/>
        </w:rPr>
        <w:t>McKeegan, D. E. F., C. J. Savory, M. G. MacLeod, and M. A. Mitchell. 2001. Development of pecking damage in layer pullets in relation to dietary protein source. British Poultry Science 42:33-42. doi 10.1080/713655013</w:t>
      </w:r>
    </w:p>
    <w:p w14:paraId="2D1E4200" w14:textId="77777777" w:rsidR="00EB1BF9" w:rsidRPr="00EB1BF9" w:rsidRDefault="00EB1BF9" w:rsidP="00EB1BF9">
      <w:pPr>
        <w:rPr>
          <w:lang w:eastAsia="en-AU"/>
        </w:rPr>
      </w:pPr>
      <w:r w:rsidRPr="00EB1BF9">
        <w:rPr>
          <w:lang w:eastAsia="en-AU"/>
        </w:rPr>
        <w:t>Mejia, L., E. T. Meyer, D. L. Studer, P. L. Utterback, C. W. Utterback, C. M. Parsons, and K. W. Koelkebeck. 2011. Evaluation of limit feeding varying levels of distillers dried grains with solubles in non-feed-withdrawal molt programs for laying hens. Poultry Science 90:321-327. doi 10.3382/ps.2010-01078</w:t>
      </w:r>
    </w:p>
    <w:p w14:paraId="7CD6B8B6" w14:textId="77777777" w:rsidR="00EB1BF9" w:rsidRPr="00EB1BF9" w:rsidRDefault="00EB1BF9" w:rsidP="00EB1BF9">
      <w:pPr>
        <w:rPr>
          <w:lang w:eastAsia="en-AU"/>
        </w:rPr>
      </w:pPr>
      <w:r w:rsidRPr="00EB1BF9">
        <w:rPr>
          <w:lang w:eastAsia="en-AU"/>
        </w:rPr>
        <w:t>Mejia, L., E. T. Meyer, P. L. Utterback, C. W. Utterback, C. M. Parsons, and K. W. Koelkebeck. 2010. Evaluation of limit feeding corn and distillers dried grains with solubles in non-feed-withdrawal molt programs for laying hens. Poultry Science 89:386-392. doi 10.3382/ps.2009-00233</w:t>
      </w:r>
    </w:p>
    <w:p w14:paraId="54791F98" w14:textId="77777777" w:rsidR="00EB1BF9" w:rsidRPr="00EB1BF9" w:rsidRDefault="00EB1BF9" w:rsidP="00EB1BF9">
      <w:pPr>
        <w:rPr>
          <w:lang w:eastAsia="en-AU"/>
        </w:rPr>
      </w:pPr>
      <w:r w:rsidRPr="00EB1BF9">
        <w:rPr>
          <w:lang w:eastAsia="en-AU"/>
        </w:rPr>
        <w:t>Mench, J. A., and R. A. Blatchford. 2014. Determination of space use by laying hens using kinematic analysis. Poultry Science 93:794-798. doi 10.3382/ps.2013-03549</w:t>
      </w:r>
    </w:p>
    <w:p w14:paraId="45BDDF43" w14:textId="77777777" w:rsidR="00EB1BF9" w:rsidRPr="00EB1BF9" w:rsidRDefault="00EB1BF9" w:rsidP="00EB1BF9">
      <w:pPr>
        <w:rPr>
          <w:lang w:eastAsia="en-AU"/>
        </w:rPr>
      </w:pPr>
      <w:r w:rsidRPr="00EB1BF9">
        <w:rPr>
          <w:lang w:eastAsia="en-AU"/>
        </w:rPr>
        <w:t>Meng, F. Y., D. H. Chen, X. Li, J. H. Li, and J. Bao. 2015. Effects of large or small furnished cages on performance, welfare and egg quality of laying hens. Animal Production Science 55:793-798. doi 10.1071/an13552</w:t>
      </w:r>
    </w:p>
    <w:p w14:paraId="202AED66" w14:textId="77777777" w:rsidR="00EB1BF9" w:rsidRPr="00EB1BF9" w:rsidRDefault="00EB1BF9" w:rsidP="00EB1BF9">
      <w:pPr>
        <w:rPr>
          <w:lang w:eastAsia="en-AU"/>
        </w:rPr>
      </w:pPr>
      <w:r w:rsidRPr="00EB1BF9">
        <w:rPr>
          <w:lang w:eastAsia="en-AU"/>
        </w:rPr>
        <w:t>Meng, F. Y., D. H. Chen, X. Li, J. H. Li, and J. Bao. 2017. The effect of large or small furnished cages on behaviors and tibia bone of laying hens. Journal of Veterinary Behavior-Clinical Applications and Research 17:69-73. doi 10.1016/j.jveb.2016.09.001</w:t>
      </w:r>
    </w:p>
    <w:p w14:paraId="29E236A7" w14:textId="77777777" w:rsidR="00EB1BF9" w:rsidRPr="00EB1BF9" w:rsidRDefault="00EB1BF9" w:rsidP="00EB1BF9">
      <w:pPr>
        <w:rPr>
          <w:lang w:eastAsia="en-AU"/>
        </w:rPr>
      </w:pPr>
      <w:r w:rsidRPr="00EB1BF9">
        <w:rPr>
          <w:lang w:val="en-AU" w:eastAsia="en-AU"/>
        </w:rPr>
        <w:t xml:space="preserve">Merrill, R.J.N., </w:t>
      </w:r>
      <w:r w:rsidR="000760D2">
        <w:rPr>
          <w:lang w:val="en-AU" w:eastAsia="en-AU"/>
        </w:rPr>
        <w:t xml:space="preserve">and </w:t>
      </w:r>
      <w:r w:rsidRPr="00EB1BF9">
        <w:rPr>
          <w:lang w:val="en-AU" w:eastAsia="en-AU"/>
        </w:rPr>
        <w:t>Nicol, C.J., 2005. The effects of novel floorings on dustbathing, pecking and scratching behaviour of caged hens. Animal Welfare 14</w:t>
      </w:r>
      <w:r w:rsidR="000760D2">
        <w:rPr>
          <w:lang w:val="en-AU" w:eastAsia="en-AU"/>
        </w:rPr>
        <w:t>:</w:t>
      </w:r>
      <w:r w:rsidRPr="00EB1BF9">
        <w:rPr>
          <w:lang w:val="en-AU" w:eastAsia="en-AU"/>
        </w:rPr>
        <w:t>179-186.</w:t>
      </w:r>
    </w:p>
    <w:p w14:paraId="66575AEA" w14:textId="77777777" w:rsidR="00EB1BF9" w:rsidRPr="00EB1BF9" w:rsidRDefault="00EB1BF9" w:rsidP="00EB1BF9">
      <w:pPr>
        <w:rPr>
          <w:lang w:eastAsia="en-AU"/>
        </w:rPr>
      </w:pPr>
      <w:r w:rsidRPr="00EB1BF9">
        <w:rPr>
          <w:lang w:eastAsia="en-AU"/>
        </w:rPr>
        <w:t>Mert, N., and B. A. Yildirim. 2016. Biochemical Parameters and Histopathological Findings in the Forced Molt Laying Hens. Brazilian Journal of Poultry Science 18:711-718. doi 10.1590/1806-9061-2015-0032</w:t>
      </w:r>
    </w:p>
    <w:p w14:paraId="4047B054" w14:textId="77777777" w:rsidR="00EB1BF9" w:rsidRPr="00EB1BF9" w:rsidRDefault="00EB1BF9" w:rsidP="00EB1BF9">
      <w:pPr>
        <w:rPr>
          <w:lang w:eastAsia="en-AU"/>
        </w:rPr>
      </w:pPr>
      <w:r w:rsidRPr="00EB1BF9">
        <w:rPr>
          <w:lang w:eastAsia="en-AU"/>
        </w:rPr>
        <w:t>Mertens, K., J. Loffel, K. De Baere, J. Zoons, J. De Baerdemaeker, E. Decuypere, and B. De Ketelaere. 2009. Layers in aviary system: Effects of beak trimming and alternative feed formulation on technical results and egg quality. Journal of Applied Poultry Research 18:90-102. doi 10.3382/japr.2008-00025</w:t>
      </w:r>
    </w:p>
    <w:p w14:paraId="194460E2" w14:textId="77777777" w:rsidR="00EB1BF9" w:rsidRPr="00EB1BF9" w:rsidRDefault="00EB1BF9" w:rsidP="00EB1BF9">
      <w:pPr>
        <w:rPr>
          <w:lang w:eastAsia="en-AU"/>
        </w:rPr>
      </w:pPr>
      <w:r w:rsidRPr="00EB1BF9">
        <w:rPr>
          <w:lang w:eastAsia="en-AU"/>
        </w:rPr>
        <w:t>Meyer, B., J. Zentek, and A. Harlander-Matauschek. 2013. Differences in intestinal microbial metabolites in laying hens with high and low levels of repetitive feather-pecking behavior. Physiology &amp; Behavior 110:96-101. doi 10.1016/j.physbeh.2012.12.017</w:t>
      </w:r>
    </w:p>
    <w:p w14:paraId="6F4573D3" w14:textId="77777777" w:rsidR="00EB1BF9" w:rsidRPr="00EB1BF9" w:rsidRDefault="00EB1BF9" w:rsidP="00EB1BF9">
      <w:pPr>
        <w:rPr>
          <w:lang w:eastAsia="en-AU"/>
        </w:rPr>
      </w:pPr>
      <w:r w:rsidRPr="00EB1BF9">
        <w:rPr>
          <w:lang w:eastAsia="en-AU"/>
        </w:rPr>
        <w:t>Mielenz, N., M. Schmutz, and L. Schuler. 2005. Mortality of laying hens housed in single and group cages. Archiv Fur Tierzucht-Archives</w:t>
      </w:r>
      <w:r w:rsidR="000760D2">
        <w:rPr>
          <w:lang w:eastAsia="en-AU"/>
        </w:rPr>
        <w:t xml:space="preserve"> of Animal Breeding 48:404-411.</w:t>
      </w:r>
    </w:p>
    <w:p w14:paraId="5679488F" w14:textId="77777777" w:rsidR="00EB1BF9" w:rsidRPr="00EB1BF9" w:rsidRDefault="00EB1BF9" w:rsidP="00EB1BF9">
      <w:pPr>
        <w:rPr>
          <w:lang w:eastAsia="en-AU"/>
        </w:rPr>
      </w:pPr>
      <w:r w:rsidRPr="00EB1BF9">
        <w:rPr>
          <w:lang w:eastAsia="en-AU"/>
        </w:rPr>
        <w:t>Min, J. K., M. S. Hossan, A. Nazma, C. N. Jae, T. B. Han, K. K. Hwan, W. K. Dong, S. C. Hyun, C. C. Hee, and S. S. Ok. 2012. Effect of monochromatic light on sexual maturity, production performance and egg quality of laying hens. Avian Biology Research 5:69-74. doi 10.3184/175815512x13350270679453</w:t>
      </w:r>
    </w:p>
    <w:p w14:paraId="05E166CD" w14:textId="77777777" w:rsidR="00EB1BF9" w:rsidRDefault="00EB1BF9" w:rsidP="00EB1BF9">
      <w:pPr>
        <w:rPr>
          <w:lang w:eastAsia="en-AU"/>
        </w:rPr>
      </w:pPr>
      <w:r w:rsidRPr="00EB1BF9">
        <w:rPr>
          <w:lang w:eastAsia="en-AU"/>
        </w:rPr>
        <w:t>Mishra, A., P. Koene, W. Schouten, B. Spruijt, P. van Beek, and J. H. M. Metz. 2005. Temporal and sequential structure of behavior and facility usage of laying hens in an enriched environme</w:t>
      </w:r>
      <w:r w:rsidR="0015689F">
        <w:rPr>
          <w:lang w:eastAsia="en-AU"/>
        </w:rPr>
        <w:t>nt. Poultry Science 84:979-991.</w:t>
      </w:r>
    </w:p>
    <w:p w14:paraId="33317993" w14:textId="77777777" w:rsidR="0015689F" w:rsidRPr="00EB1BF9" w:rsidRDefault="0015689F" w:rsidP="00EB1BF9">
      <w:pPr>
        <w:rPr>
          <w:lang w:eastAsia="en-AU"/>
        </w:rPr>
      </w:pPr>
      <w:r w:rsidRPr="0015689F">
        <w:rPr>
          <w:lang w:eastAsia="en-AU"/>
        </w:rPr>
        <w:t>Moberly, R. L., P. C. White, and S. Harris. 2004. Mortality due to fox predation in free-range poultry flocks in Britain. The Veterinary Record 155: 48-52.</w:t>
      </w:r>
    </w:p>
    <w:p w14:paraId="0C11D199" w14:textId="77777777" w:rsidR="00EB1BF9" w:rsidRPr="00EB1BF9" w:rsidRDefault="00EB1BF9" w:rsidP="00EB1BF9">
      <w:pPr>
        <w:rPr>
          <w:lang w:eastAsia="en-AU"/>
        </w:rPr>
      </w:pPr>
      <w:r w:rsidRPr="00EB1BF9">
        <w:rPr>
          <w:lang w:eastAsia="en-AU"/>
        </w:rPr>
        <w:t xml:space="preserve">Moe, R. O., D. </w:t>
      </w:r>
      <w:r w:rsidR="003F3E9F" w:rsidRPr="00286A88">
        <w:rPr>
          <w:lang w:val="en-AU" w:eastAsia="en-AU"/>
        </w:rPr>
        <w:t>Guémené</w:t>
      </w:r>
      <w:r w:rsidRPr="00EB1BF9">
        <w:rPr>
          <w:lang w:eastAsia="en-AU"/>
        </w:rPr>
        <w:t>, M. Bakken, H. J. S. Larsen, S. Shini, S. Lervik, E. Skjerve, V. Michel, and R. Tauson. 2010. Effects of housing conditions during the rearing and laying period on adrenal reactivity, immune response and heterophil to lymphocyte (H/L) ratios in laying hens. Animal 4:1709-1715. doi 10.1017/s175173111000100x</w:t>
      </w:r>
    </w:p>
    <w:p w14:paraId="22A2A237" w14:textId="77777777" w:rsidR="00EB1BF9" w:rsidRPr="00EB1BF9" w:rsidRDefault="00EB1BF9" w:rsidP="00EB1BF9">
      <w:pPr>
        <w:rPr>
          <w:lang w:eastAsia="en-AU"/>
        </w:rPr>
      </w:pPr>
      <w:r w:rsidRPr="00EB1BF9">
        <w:rPr>
          <w:lang w:eastAsia="en-AU"/>
        </w:rPr>
        <w:t>Mohammadi, L., and G. Sadeghi. 2009. Using different ratios of bitter vetch (</w:t>
      </w:r>
      <w:r w:rsidRPr="000760D2">
        <w:rPr>
          <w:i/>
          <w:lang w:eastAsia="en-AU"/>
        </w:rPr>
        <w:t>Vicia ervilia</w:t>
      </w:r>
      <w:r w:rsidRPr="00EB1BF9">
        <w:rPr>
          <w:lang w:eastAsia="en-AU"/>
        </w:rPr>
        <w:t>) seed for moult induction and post-moult performance in commercial laying hens. British Poultry Science 50:207-212. doi 10.1080/00071660902773691</w:t>
      </w:r>
    </w:p>
    <w:p w14:paraId="5435E455" w14:textId="77777777" w:rsidR="00EB1BF9" w:rsidRPr="00EB1BF9" w:rsidRDefault="00EB1BF9" w:rsidP="00EB1BF9">
      <w:pPr>
        <w:rPr>
          <w:lang w:eastAsia="en-AU"/>
        </w:rPr>
      </w:pPr>
      <w:r w:rsidRPr="00EB1BF9">
        <w:rPr>
          <w:lang w:eastAsia="en-AU"/>
        </w:rPr>
        <w:t xml:space="preserve">Mohammed, H. H., M. A. Grashorn, and W. Bessei. 2010. The effects of lighting conditions on the behaviour of laying hens. Archiv Fur Geflugelkunde 74:197-202. </w:t>
      </w:r>
    </w:p>
    <w:p w14:paraId="32856E3E" w14:textId="77777777" w:rsidR="00EB1BF9" w:rsidRPr="00EB1BF9" w:rsidRDefault="00EB1BF9" w:rsidP="00EB1BF9">
      <w:pPr>
        <w:rPr>
          <w:lang w:eastAsia="en-AU"/>
        </w:rPr>
      </w:pPr>
      <w:r w:rsidRPr="00EB1BF9">
        <w:rPr>
          <w:lang w:eastAsia="en-AU"/>
        </w:rPr>
        <w:t>Moinard, C., P. Statham, and P. R. Green. 2004a. Control of landing flight by laying hens: implications for the design of extensive housing systems. British Poultry Science 45:578-584. doi 10.1080/00071660400006321</w:t>
      </w:r>
    </w:p>
    <w:p w14:paraId="43E30070" w14:textId="77777777" w:rsidR="00EB1BF9" w:rsidRPr="00EB1BF9" w:rsidRDefault="00EB1BF9" w:rsidP="00EB1BF9">
      <w:pPr>
        <w:rPr>
          <w:lang w:eastAsia="en-AU"/>
        </w:rPr>
      </w:pPr>
      <w:r w:rsidRPr="00EB1BF9">
        <w:rPr>
          <w:lang w:eastAsia="en-AU"/>
        </w:rPr>
        <w:t>Moinard, C., P. Statham, M. J. Haskell, C. McCorquodale, R. B. Jones, and P. R. Green. 2004b. Accuracy of laying hens in jumping upwards and downwards between perches in different light environments. Applied Animal Behaviour Science 85:77-92. doi 10.1016/j.applanim.2003.08.008</w:t>
      </w:r>
    </w:p>
    <w:p w14:paraId="7694A033" w14:textId="77777777" w:rsidR="00EB1BF9" w:rsidRPr="00EB1BF9" w:rsidRDefault="00EB1BF9" w:rsidP="00EB1BF9">
      <w:pPr>
        <w:rPr>
          <w:lang w:eastAsia="en-AU"/>
        </w:rPr>
      </w:pPr>
      <w:r w:rsidRPr="00EB1BF9">
        <w:rPr>
          <w:lang w:eastAsia="en-AU"/>
        </w:rPr>
        <w:t>Molino, A. B., E. A. Garcia, D. A. Berto, K. Pelicia, A. P. Silva, and F. Vercese. 2009. The Effects of Alternative Forced-Molting Methods on The Performance and Egg Quality of Commercial Layers. Brazilian Journal</w:t>
      </w:r>
      <w:r w:rsidR="009A680F">
        <w:rPr>
          <w:lang w:eastAsia="en-AU"/>
        </w:rPr>
        <w:t xml:space="preserve"> of Poultry Science 11:109-113.</w:t>
      </w:r>
    </w:p>
    <w:p w14:paraId="3ED2CAB9" w14:textId="77777777" w:rsidR="00EB1BF9" w:rsidRPr="00EB1BF9" w:rsidRDefault="00EB1BF9" w:rsidP="00EB1BF9">
      <w:pPr>
        <w:rPr>
          <w:lang w:eastAsia="en-AU"/>
        </w:rPr>
      </w:pPr>
      <w:r w:rsidRPr="00EB1BF9">
        <w:rPr>
          <w:lang w:eastAsia="en-AU"/>
        </w:rPr>
        <w:t>Moroki, Y., and T. Tanaka. 2016a. A pecking device as an environmental enrichment for caged laying hens. Animal Science Journal 87:1055-1062. doi 10.1111/asj.12525</w:t>
      </w:r>
    </w:p>
    <w:p w14:paraId="37B80156" w14:textId="77777777" w:rsidR="00EB1BF9" w:rsidRPr="00EB1BF9" w:rsidRDefault="00EB1BF9" w:rsidP="00EB1BF9">
      <w:pPr>
        <w:rPr>
          <w:lang w:eastAsia="en-AU"/>
        </w:rPr>
      </w:pPr>
      <w:r w:rsidRPr="00EB1BF9">
        <w:rPr>
          <w:lang w:eastAsia="en-AU"/>
        </w:rPr>
        <w:t>Moroki, Y., and T. Tanaka. 2016b. Stimuli from feed for sham dustbathing in caged laying hens. Applied Animal Behaviour Science 181:122-128. doi 10.1016/j.applanim.2016.05.019</w:t>
      </w:r>
    </w:p>
    <w:p w14:paraId="291809D3" w14:textId="77777777" w:rsidR="00EB1BF9" w:rsidRPr="00EB1BF9" w:rsidRDefault="00EB1BF9" w:rsidP="00EB1BF9">
      <w:pPr>
        <w:rPr>
          <w:lang w:eastAsia="en-AU"/>
        </w:rPr>
      </w:pPr>
      <w:r w:rsidRPr="00EB1BF9">
        <w:rPr>
          <w:lang w:eastAsia="en-AU"/>
        </w:rPr>
        <w:t>Mousavi, S. N., E. Fahimi, and R. Taherkhani. 2016. Effects of different feed forms and cage densities on laying hen performance and stress status. European Poultry Science 80. doi 10.1399/eps.2016.163</w:t>
      </w:r>
    </w:p>
    <w:p w14:paraId="1A3DA55E" w14:textId="77777777" w:rsidR="00EB1BF9" w:rsidRPr="00EB1BF9" w:rsidRDefault="00EB1BF9" w:rsidP="00EB1BF9">
      <w:pPr>
        <w:rPr>
          <w:lang w:eastAsia="en-AU"/>
        </w:rPr>
      </w:pPr>
      <w:r w:rsidRPr="00EB1BF9">
        <w:rPr>
          <w:lang w:eastAsia="en-AU"/>
        </w:rPr>
        <w:t>Moyle, T., K. Drake, V. Gole, K. Chousalkar, and S. Hazel. 2016. Bacterial contamination of eggs and behaviour of poultry flocks in the free range environment. Comparative Immunology Microbiology and Infectious Diseases 49:88-94. doi 10.1016/j.cimid.2016.10.005</w:t>
      </w:r>
    </w:p>
    <w:p w14:paraId="49FDC617" w14:textId="77777777" w:rsidR="00EB1BF9" w:rsidRPr="00EB1BF9" w:rsidRDefault="00EB1BF9" w:rsidP="00EB1BF9">
      <w:pPr>
        <w:rPr>
          <w:lang w:eastAsia="en-AU"/>
        </w:rPr>
      </w:pPr>
      <w:r w:rsidRPr="00EB1BF9">
        <w:rPr>
          <w:lang w:eastAsia="en-AU"/>
        </w:rPr>
        <w:t>Mrosovsky, N., and D. F. Sherry. 1980. Animal anorexias. Science 207:837-842. doi 10.1126/science.6928327</w:t>
      </w:r>
    </w:p>
    <w:p w14:paraId="27A52A03" w14:textId="77777777" w:rsidR="00EB1BF9" w:rsidRPr="00EB1BF9" w:rsidRDefault="00EB1BF9" w:rsidP="00EB1BF9">
      <w:pPr>
        <w:rPr>
          <w:lang w:eastAsia="en-AU"/>
        </w:rPr>
      </w:pPr>
      <w:r w:rsidRPr="00EB1BF9">
        <w:rPr>
          <w:lang w:eastAsia="en-AU"/>
        </w:rPr>
        <w:t>Mullan, S., C. Szmaragd, M. D. Cooper, J. H. M. Wrathall, J. Jamieson, A. Bond, C. Atkinson, and D. C. J. Main. 2016. Animal welfare initiatives improve feather cover of cage-free laying hens in the UK. Animal Welfare 25:243-253. doi 10.7120/09627286.25.2.243</w:t>
      </w:r>
    </w:p>
    <w:p w14:paraId="06497DC6" w14:textId="77777777" w:rsidR="00EB1BF9" w:rsidRPr="00EB1BF9" w:rsidRDefault="00EB1BF9" w:rsidP="00EB1BF9">
      <w:pPr>
        <w:rPr>
          <w:lang w:eastAsia="en-AU"/>
        </w:rPr>
      </w:pPr>
      <w:r w:rsidRPr="00EB1BF9">
        <w:rPr>
          <w:lang w:eastAsia="en-AU"/>
        </w:rPr>
        <w:t xml:space="preserve">Mullens, B. A., B. L. Chen, and J. P. Owen. 2010. Beak condition and cage density determine abundance and spatial distribution of northern fowl mites, </w:t>
      </w:r>
      <w:r w:rsidRPr="009A680F">
        <w:rPr>
          <w:i/>
          <w:lang w:eastAsia="en-AU"/>
        </w:rPr>
        <w:t>Ornithonyssus sylviarum</w:t>
      </w:r>
      <w:r w:rsidRPr="00EB1BF9">
        <w:rPr>
          <w:lang w:eastAsia="en-AU"/>
        </w:rPr>
        <w:t xml:space="preserve">, and chicken body lice, </w:t>
      </w:r>
      <w:r w:rsidRPr="009A680F">
        <w:rPr>
          <w:i/>
          <w:lang w:eastAsia="en-AU"/>
        </w:rPr>
        <w:t>Menacanthus stramineus</w:t>
      </w:r>
      <w:r w:rsidRPr="00EB1BF9">
        <w:rPr>
          <w:lang w:eastAsia="en-AU"/>
        </w:rPr>
        <w:t>, on caged laying hens. Poultry Science 89:2565-2572. doi 10.3382/ps.2010-00955</w:t>
      </w:r>
    </w:p>
    <w:p w14:paraId="4C6ACFBF" w14:textId="77777777" w:rsidR="00EB1BF9" w:rsidRPr="00EB1BF9" w:rsidRDefault="00EB1BF9" w:rsidP="00EB1BF9">
      <w:pPr>
        <w:rPr>
          <w:lang w:eastAsia="en-AU"/>
        </w:rPr>
      </w:pPr>
      <w:r w:rsidRPr="00EB1BF9">
        <w:rPr>
          <w:lang w:eastAsia="en-AU"/>
        </w:rPr>
        <w:t>Murillo, A. C., and B. A. Mullens. 2016. Timing Diatomaceous Earth-Filled Dustbox Use for Management of Northern Fowl Mites (Acari: Macronyssidae) in Cage-Free Poultry Systems. Journal of Economic Entomology 109:2572-2579. doi 10.1093/jee/tow165</w:t>
      </w:r>
    </w:p>
    <w:p w14:paraId="38B0C2C8" w14:textId="77777777" w:rsidR="00EB1BF9" w:rsidRPr="00EB1BF9" w:rsidRDefault="00EB1BF9" w:rsidP="00EB1BF9">
      <w:pPr>
        <w:rPr>
          <w:lang w:eastAsia="en-AU"/>
        </w:rPr>
      </w:pPr>
      <w:r w:rsidRPr="00EB1BF9">
        <w:rPr>
          <w:lang w:eastAsia="en-AU"/>
        </w:rPr>
        <w:t>Nasr, M. A. F., J. Murrell, L. J. Wilkins, and C. J. Nicol. 2012a. The effect of keel fractures on egg-production parameters, mobility and behaviour in individual laying h</w:t>
      </w:r>
      <w:r w:rsidR="00345A79">
        <w:rPr>
          <w:lang w:eastAsia="en-AU"/>
        </w:rPr>
        <w:t>ens. Animal Welfare 21:127-135.</w:t>
      </w:r>
    </w:p>
    <w:p w14:paraId="702D37D0" w14:textId="77777777" w:rsidR="00EB1BF9" w:rsidRPr="00EB1BF9" w:rsidRDefault="00EB1BF9" w:rsidP="00EB1BF9">
      <w:pPr>
        <w:rPr>
          <w:lang w:eastAsia="en-AU"/>
        </w:rPr>
      </w:pPr>
      <w:r w:rsidRPr="00EB1BF9">
        <w:rPr>
          <w:lang w:eastAsia="en-AU"/>
        </w:rPr>
        <w:t xml:space="preserve">Nasr, M. A. F., C. J. Nicol, and J. C. Murrell. 2012b. Do Laying Hens with Keel Bone Fractures Experience Pain? </w:t>
      </w:r>
      <w:r w:rsidR="00601DC5">
        <w:rPr>
          <w:lang w:eastAsia="en-AU"/>
        </w:rPr>
        <w:t>PLoS</w:t>
      </w:r>
      <w:r w:rsidR="00997550">
        <w:rPr>
          <w:lang w:eastAsia="en-AU"/>
        </w:rPr>
        <w:t xml:space="preserve"> ONE</w:t>
      </w:r>
      <w:r w:rsidRPr="00EB1BF9">
        <w:rPr>
          <w:lang w:eastAsia="en-AU"/>
        </w:rPr>
        <w:t xml:space="preserve"> 7. doi 10.1371/journal.pone</w:t>
      </w:r>
    </w:p>
    <w:p w14:paraId="11C31981" w14:textId="77777777" w:rsidR="00EB1BF9" w:rsidRPr="00EB1BF9" w:rsidRDefault="00EB1BF9" w:rsidP="00EB1BF9">
      <w:pPr>
        <w:rPr>
          <w:lang w:eastAsia="en-AU"/>
        </w:rPr>
      </w:pPr>
      <w:r w:rsidRPr="00EB1BF9">
        <w:rPr>
          <w:lang w:val="en-AU" w:eastAsia="en-AU"/>
        </w:rPr>
        <w:t xml:space="preserve">Nasr, M.A.F., </w:t>
      </w:r>
      <w:r w:rsidR="00345A79">
        <w:rPr>
          <w:lang w:val="en-AU" w:eastAsia="en-AU"/>
        </w:rPr>
        <w:t xml:space="preserve">W. J. </w:t>
      </w:r>
      <w:r w:rsidRPr="00EB1BF9">
        <w:rPr>
          <w:lang w:val="en-AU" w:eastAsia="en-AU"/>
        </w:rPr>
        <w:t xml:space="preserve">Browne, </w:t>
      </w:r>
      <w:r w:rsidR="00345A79">
        <w:rPr>
          <w:lang w:val="en-AU" w:eastAsia="en-AU"/>
        </w:rPr>
        <w:t xml:space="preserve">G. </w:t>
      </w:r>
      <w:r w:rsidRPr="00EB1BF9">
        <w:rPr>
          <w:lang w:val="en-AU" w:eastAsia="en-AU"/>
        </w:rPr>
        <w:t xml:space="preserve">Caplen, </w:t>
      </w:r>
      <w:r w:rsidR="00345A79">
        <w:rPr>
          <w:lang w:val="en-AU" w:eastAsia="en-AU"/>
        </w:rPr>
        <w:t>B.</w:t>
      </w:r>
      <w:r w:rsidRPr="00EB1BF9">
        <w:rPr>
          <w:lang w:val="en-AU" w:eastAsia="en-AU"/>
        </w:rPr>
        <w:t xml:space="preserve"> Hothersall, </w:t>
      </w:r>
      <w:r w:rsidR="00345A79">
        <w:rPr>
          <w:lang w:val="en-AU" w:eastAsia="en-AU"/>
        </w:rPr>
        <w:t xml:space="preserve">J. C. </w:t>
      </w:r>
      <w:r w:rsidRPr="00EB1BF9">
        <w:rPr>
          <w:lang w:val="en-AU" w:eastAsia="en-AU"/>
        </w:rPr>
        <w:t xml:space="preserve">Murrell, </w:t>
      </w:r>
      <w:r w:rsidR="00345A79">
        <w:rPr>
          <w:lang w:val="en-AU" w:eastAsia="en-AU"/>
        </w:rPr>
        <w:t>and C. J.</w:t>
      </w:r>
      <w:r w:rsidRPr="00EB1BF9">
        <w:rPr>
          <w:lang w:val="en-AU" w:eastAsia="en-AU"/>
        </w:rPr>
        <w:t xml:space="preserve"> Nicol</w:t>
      </w:r>
      <w:r w:rsidR="00345A79">
        <w:rPr>
          <w:lang w:val="en-AU" w:eastAsia="en-AU"/>
        </w:rPr>
        <w:t>.</w:t>
      </w:r>
      <w:r w:rsidRPr="00EB1BF9">
        <w:rPr>
          <w:lang w:val="en-AU" w:eastAsia="en-AU"/>
        </w:rPr>
        <w:t xml:space="preserve"> 2013. Positive affective state induced by opioid analgesia in laying hens with bone fractures. Applied Animal Behaviour Science 147</w:t>
      </w:r>
      <w:r w:rsidR="00345A79">
        <w:rPr>
          <w:lang w:val="en-AU" w:eastAsia="en-AU"/>
        </w:rPr>
        <w:t>:</w:t>
      </w:r>
      <w:r w:rsidRPr="00EB1BF9">
        <w:rPr>
          <w:lang w:val="en-AU" w:eastAsia="en-AU"/>
        </w:rPr>
        <w:t>127-131.</w:t>
      </w:r>
    </w:p>
    <w:p w14:paraId="04B635EB" w14:textId="77777777" w:rsidR="00EB1BF9" w:rsidRPr="00EB1BF9" w:rsidRDefault="00EB1BF9" w:rsidP="00EB1BF9">
      <w:pPr>
        <w:rPr>
          <w:lang w:eastAsia="en-AU"/>
        </w:rPr>
      </w:pPr>
      <w:r w:rsidRPr="00EB1BF9">
        <w:rPr>
          <w:lang w:eastAsia="en-AU"/>
        </w:rPr>
        <w:t>Neijat, M., J. D. House, W. Guenter, and E. Kebreab. 2011. Calcium and phosphorus dynamics in commercial laying hens housed in conventional or enriched cage systems. Poultry Science 90:2383-2396. doi 10.3382/ps.2011-01401</w:t>
      </w:r>
    </w:p>
    <w:p w14:paraId="5D3F39DB" w14:textId="77777777" w:rsidR="00EB1BF9" w:rsidRPr="00EB1BF9" w:rsidRDefault="00EB1BF9" w:rsidP="00EB1BF9">
      <w:pPr>
        <w:rPr>
          <w:lang w:eastAsia="en-AU"/>
        </w:rPr>
      </w:pPr>
      <w:r w:rsidRPr="00EB1BF9">
        <w:rPr>
          <w:lang w:eastAsia="en-AU"/>
        </w:rPr>
        <w:t xml:space="preserve">Newberry, R.C., </w:t>
      </w:r>
      <w:r w:rsidR="009A680F">
        <w:rPr>
          <w:lang w:eastAsia="en-AU"/>
        </w:rPr>
        <w:t xml:space="preserve">A. B. </w:t>
      </w:r>
      <w:r w:rsidRPr="00EB1BF9">
        <w:rPr>
          <w:lang w:eastAsia="en-AU"/>
        </w:rPr>
        <w:t xml:space="preserve">Webster, </w:t>
      </w:r>
      <w:r w:rsidR="009A680F">
        <w:rPr>
          <w:lang w:eastAsia="en-AU"/>
        </w:rPr>
        <w:t xml:space="preserve">N. J. </w:t>
      </w:r>
      <w:r w:rsidRPr="00EB1BF9">
        <w:rPr>
          <w:lang w:eastAsia="en-AU"/>
        </w:rPr>
        <w:t xml:space="preserve">Lewis, and </w:t>
      </w:r>
      <w:r w:rsidR="009A680F">
        <w:rPr>
          <w:lang w:eastAsia="en-AU"/>
        </w:rPr>
        <w:t xml:space="preserve">C. </w:t>
      </w:r>
      <w:r w:rsidRPr="00EB1BF9">
        <w:rPr>
          <w:lang w:eastAsia="en-AU"/>
        </w:rPr>
        <w:t>van Arnam. 1999</w:t>
      </w:r>
      <w:r w:rsidR="009A680F">
        <w:rPr>
          <w:lang w:eastAsia="en-AU"/>
        </w:rPr>
        <w:t>.</w:t>
      </w:r>
      <w:r w:rsidRPr="00EB1BF9">
        <w:rPr>
          <w:lang w:eastAsia="en-AU"/>
        </w:rPr>
        <w:t xml:space="preserve"> Management of spent hens. Journal of Ap</w:t>
      </w:r>
      <w:r w:rsidR="009A680F">
        <w:rPr>
          <w:lang w:eastAsia="en-AU"/>
        </w:rPr>
        <w:t>plied Animal Welfare Science 2:</w:t>
      </w:r>
      <w:r w:rsidRPr="00EB1BF9">
        <w:rPr>
          <w:lang w:eastAsia="en-AU"/>
        </w:rPr>
        <w:t>13-29.</w:t>
      </w:r>
    </w:p>
    <w:p w14:paraId="5D9B7D52" w14:textId="77777777" w:rsidR="00EB1BF9" w:rsidRPr="00EB1BF9" w:rsidRDefault="00EB1BF9" w:rsidP="00EB1BF9">
      <w:pPr>
        <w:rPr>
          <w:lang w:eastAsia="en-AU"/>
        </w:rPr>
      </w:pPr>
      <w:r w:rsidRPr="00EB1BF9">
        <w:rPr>
          <w:lang w:eastAsia="en-AU"/>
        </w:rPr>
        <w:t>Newberry, R. C., I. Estevez, and L. J. Keeling. 2001. Group size and perching behaviour in young domestic fowl. Applied Animal Behaviour Science 73:117-129. doi 10.1016/s0168-1591(01)00135-6</w:t>
      </w:r>
    </w:p>
    <w:p w14:paraId="312388CF" w14:textId="77777777" w:rsidR="00EB1BF9" w:rsidRPr="00EB1BF9" w:rsidRDefault="00EB1BF9" w:rsidP="00EB1BF9">
      <w:pPr>
        <w:rPr>
          <w:lang w:eastAsia="en-AU"/>
        </w:rPr>
      </w:pPr>
      <w:r w:rsidRPr="00EB1BF9">
        <w:rPr>
          <w:lang w:eastAsia="en-AU"/>
        </w:rPr>
        <w:t>Newberry, R. C., L. J. Keeling, I. Estevez, and B. Bilcik. 2007. Behaviour when young as a predictor of severe feather pecking in adult laying hens: The redirected foraging hypothesis revisited. Applied Animal Behaviour Science 107:262-274. doi 10.1016/j.applanim.2006.10.010</w:t>
      </w:r>
    </w:p>
    <w:p w14:paraId="3B4434C2" w14:textId="77777777" w:rsidR="00EB1BF9" w:rsidRPr="00EB1BF9" w:rsidRDefault="00EB1BF9" w:rsidP="00EB1BF9">
      <w:pPr>
        <w:rPr>
          <w:lang w:eastAsia="en-AU"/>
        </w:rPr>
      </w:pPr>
      <w:r w:rsidRPr="00EB1BF9">
        <w:rPr>
          <w:lang w:eastAsia="en-AU"/>
        </w:rPr>
        <w:t>Nicol, C. J. 1987. Behavioral-responses of laying hens following a period of spatial restriction. Animal Behaviour 35:1709-1719. doi 10.1016/s0003-3472(87)80063-5</w:t>
      </w:r>
    </w:p>
    <w:p w14:paraId="42A8BBDC" w14:textId="77777777" w:rsidR="00EB1BF9" w:rsidRPr="00EB1BF9" w:rsidRDefault="00EB1BF9" w:rsidP="00EB1BF9">
      <w:pPr>
        <w:rPr>
          <w:lang w:val="en-AU" w:eastAsia="en-AU"/>
        </w:rPr>
      </w:pPr>
      <w:r w:rsidRPr="00EB1BF9">
        <w:rPr>
          <w:lang w:val="en-AU" w:eastAsia="en-AU"/>
        </w:rPr>
        <w:t>Nicol, C. J</w:t>
      </w:r>
      <w:r w:rsidR="009A680F">
        <w:rPr>
          <w:lang w:val="en-AU" w:eastAsia="en-AU"/>
        </w:rPr>
        <w:t>.</w:t>
      </w:r>
      <w:r w:rsidRPr="00EB1BF9">
        <w:rPr>
          <w:lang w:val="en-AU" w:eastAsia="en-AU"/>
        </w:rPr>
        <w:t xml:space="preserve"> 2006. How animals learn from each other. </w:t>
      </w:r>
      <w:r w:rsidRPr="00EB1BF9">
        <w:rPr>
          <w:iCs/>
          <w:lang w:val="en-AU" w:eastAsia="en-AU"/>
        </w:rPr>
        <w:t>Applied Animal Behaviour Science</w:t>
      </w:r>
      <w:r w:rsidRPr="00EB1BF9">
        <w:rPr>
          <w:lang w:val="en-AU" w:eastAsia="en-AU"/>
        </w:rPr>
        <w:t xml:space="preserve"> </w:t>
      </w:r>
      <w:r w:rsidRPr="00EB1BF9">
        <w:rPr>
          <w:iCs/>
          <w:lang w:val="en-AU" w:eastAsia="en-AU"/>
        </w:rPr>
        <w:t>100</w:t>
      </w:r>
      <w:r w:rsidR="009A680F">
        <w:rPr>
          <w:iCs/>
          <w:lang w:val="en-AU" w:eastAsia="en-AU"/>
        </w:rPr>
        <w:t>:</w:t>
      </w:r>
      <w:r w:rsidRPr="00EB1BF9">
        <w:rPr>
          <w:lang w:val="en-AU" w:eastAsia="en-AU"/>
        </w:rPr>
        <w:t>58-63</w:t>
      </w:r>
      <w:r w:rsidR="009A680F">
        <w:rPr>
          <w:lang w:val="en-AU" w:eastAsia="en-AU"/>
        </w:rPr>
        <w:t>.</w:t>
      </w:r>
    </w:p>
    <w:p w14:paraId="5E3BC867" w14:textId="77777777" w:rsidR="00EB1BF9" w:rsidRPr="00EB1BF9" w:rsidRDefault="00EB1BF9" w:rsidP="00EB1BF9">
      <w:pPr>
        <w:rPr>
          <w:lang w:eastAsia="en-AU"/>
        </w:rPr>
      </w:pPr>
      <w:r w:rsidRPr="00EB1BF9">
        <w:rPr>
          <w:lang w:eastAsia="en-AU"/>
        </w:rPr>
        <w:t xml:space="preserve">Nicol, C. J., M. Bestman, A.-M. Gilani, E. N. De Haas, I. C. De Jong, S. Lambton, J. P. Wagenaar, C. A. Weeks, and T. B. Rodenburg. 2013. The prevention and control of feather pecking: application to commercial systems. </w:t>
      </w:r>
      <w:r w:rsidR="00E12232">
        <w:rPr>
          <w:lang w:eastAsia="en-AU"/>
        </w:rPr>
        <w:t>World’s</w:t>
      </w:r>
      <w:r w:rsidRPr="00EB1BF9">
        <w:rPr>
          <w:lang w:eastAsia="en-AU"/>
        </w:rPr>
        <w:t xml:space="preserve"> Poultry Science Journal 69:775-788. doi 10.1017/S0043933913000809</w:t>
      </w:r>
    </w:p>
    <w:p w14:paraId="3683FD52" w14:textId="77777777" w:rsidR="00EB1BF9" w:rsidRPr="00EB1BF9" w:rsidRDefault="00EB1BF9" w:rsidP="00EB1BF9">
      <w:pPr>
        <w:rPr>
          <w:lang w:eastAsia="en-AU"/>
        </w:rPr>
      </w:pPr>
      <w:r w:rsidRPr="00EB1BF9">
        <w:rPr>
          <w:lang w:eastAsia="en-AU"/>
        </w:rPr>
        <w:t>Nicol, C. J., S. N. Brown, E. Glen, S. J. Pope, F. J. Short, P. D. Warriss, P. H. Zimmerman, and L. J. Wilkins. 2006. Effects of stocking density, flock size and management on the welfare of laying hens in single-tier aviaries. British Poultry Science 47:135-146. doi 10.1080/00071660600610609</w:t>
      </w:r>
    </w:p>
    <w:p w14:paraId="009A0DD5" w14:textId="77777777" w:rsidR="00EB1BF9" w:rsidRPr="00EB1BF9" w:rsidRDefault="00EB1BF9" w:rsidP="00EB1BF9">
      <w:pPr>
        <w:rPr>
          <w:lang w:eastAsia="en-AU"/>
        </w:rPr>
      </w:pPr>
      <w:r w:rsidRPr="00EB1BF9">
        <w:rPr>
          <w:lang w:eastAsia="en-AU"/>
        </w:rPr>
        <w:t>Nicol, C. J., N. G. Gregory, T. G. Knowles, I. D. Parkman, and L. J. Wilkins. 1999. Differential effects of increased stocking density, mediated by increased flock size, on feather pecking and aggression in laying hens. Applied Animal Behaviour Science 65:137-152. doi 10.1016/s0168-1591(99)00057-x</w:t>
      </w:r>
    </w:p>
    <w:p w14:paraId="31114C18" w14:textId="77777777" w:rsidR="00EB1BF9" w:rsidRPr="00EB1BF9" w:rsidRDefault="00EB1BF9" w:rsidP="00EB1BF9">
      <w:pPr>
        <w:rPr>
          <w:lang w:eastAsia="en-AU"/>
        </w:rPr>
      </w:pPr>
      <w:r w:rsidRPr="00EB1BF9">
        <w:rPr>
          <w:lang w:eastAsia="en-AU"/>
        </w:rPr>
        <w:t>Nicol, C. J., A. C. Lindberg, A. J. Phillips, S. J. Pope, L. J. Wilkins, and L. E. Green. 2001. Influence of prior exposure to wood shavings on feather pecking, dustbathing and foraging in adult laying hens. Applied Animal Behaviour Science 73:141-155. doi 10.1016/s0168-1591(01)00126-5</w:t>
      </w:r>
    </w:p>
    <w:p w14:paraId="7FA0F288" w14:textId="77777777" w:rsidR="00EB1BF9" w:rsidRPr="00EB1BF9" w:rsidRDefault="00EB1BF9" w:rsidP="00EB1BF9">
      <w:pPr>
        <w:rPr>
          <w:lang w:eastAsia="en-AU"/>
        </w:rPr>
      </w:pPr>
      <w:r w:rsidRPr="00EB1BF9">
        <w:rPr>
          <w:lang w:eastAsia="en-AU"/>
        </w:rPr>
        <w:t>Nicol, C. J., C. P</w:t>
      </w:r>
      <w:r w:rsidR="006E3B4C" w:rsidRPr="006E3B4C">
        <w:rPr>
          <w:lang w:eastAsia="en-AU"/>
        </w:rPr>
        <w:t>ő</w:t>
      </w:r>
      <w:r w:rsidRPr="00EB1BF9">
        <w:rPr>
          <w:lang w:eastAsia="en-AU"/>
        </w:rPr>
        <w:t>tzsch, K. Lewis, and L. E. Green. 2003. Matched concurrent case-control study of risk factors for feather pecking in hens on free-range commercial farms in the UK. British Poultry Science 44:515-523. doi 10.1080/00071660310001616255</w:t>
      </w:r>
    </w:p>
    <w:p w14:paraId="5C85517D" w14:textId="77777777" w:rsidR="00EB1BF9" w:rsidRPr="00EB1BF9" w:rsidRDefault="00EB1BF9" w:rsidP="00EB1BF9">
      <w:pPr>
        <w:rPr>
          <w:lang w:eastAsia="en-AU"/>
        </w:rPr>
      </w:pPr>
      <w:r w:rsidRPr="00EB1BF9">
        <w:rPr>
          <w:lang w:eastAsia="en-AU"/>
        </w:rPr>
        <w:t xml:space="preserve">Nimmermark, S., V. Lund, G. Gustafsson, and W. Eduard. 2009. Ammonia, dust and bacteria in welfare-oriented systems for laying hens. Annals of Agricultural and Environmental Medicine 16:103-113. </w:t>
      </w:r>
    </w:p>
    <w:p w14:paraId="0194173C" w14:textId="77777777" w:rsidR="00EB1BF9" w:rsidRPr="00EB1BF9" w:rsidRDefault="00EB1BF9" w:rsidP="00EB1BF9">
      <w:pPr>
        <w:rPr>
          <w:lang w:eastAsia="en-AU"/>
        </w:rPr>
      </w:pPr>
      <w:r w:rsidRPr="00EB1BF9">
        <w:rPr>
          <w:lang w:eastAsia="en-AU"/>
        </w:rPr>
        <w:t>Nordquist, R. E., J. L. T. Heerkens, T. B. Rodenburg, S. Boks, E. D. Ellen, and F. J. van der Staay. 2011. Laying hens selected for low mortality: Behaviour in tests of fearfulness, anxiety and cognition. Applied Animal Behaviour Science 131:110-122. doi 10.1016/j.applanim.2011.02.008</w:t>
      </w:r>
    </w:p>
    <w:p w14:paraId="294BFEB6" w14:textId="77777777" w:rsidR="00EB1BF9" w:rsidRPr="00EB1BF9" w:rsidRDefault="00EB1BF9" w:rsidP="00EB1BF9">
      <w:pPr>
        <w:rPr>
          <w:lang w:eastAsia="en-AU"/>
        </w:rPr>
      </w:pPr>
      <w:r w:rsidRPr="00EB1BF9">
        <w:rPr>
          <w:lang w:eastAsia="en-AU"/>
        </w:rPr>
        <w:t>Nuboer, J. F. W., M. Coemans, and J. J. Vos. 1992. Artificial lighting in poultry houses - do hens perceive the modulation of fluorescent lamps as flicker</w:t>
      </w:r>
      <w:r w:rsidR="00C4034A">
        <w:rPr>
          <w:lang w:eastAsia="en-AU"/>
        </w:rPr>
        <w:t>?</w:t>
      </w:r>
      <w:r w:rsidRPr="00EB1BF9">
        <w:rPr>
          <w:lang w:eastAsia="en-AU"/>
        </w:rPr>
        <w:t xml:space="preserve"> British Poultry Science 33:123-133. doi 10.1080/00071669208417449</w:t>
      </w:r>
    </w:p>
    <w:p w14:paraId="63776282" w14:textId="77777777" w:rsidR="00EB1BF9" w:rsidRDefault="00EB1BF9" w:rsidP="00EB1BF9">
      <w:pPr>
        <w:rPr>
          <w:lang w:eastAsia="en-AU"/>
        </w:rPr>
      </w:pPr>
      <w:r w:rsidRPr="00375825">
        <w:rPr>
          <w:lang w:eastAsia="en-AU"/>
        </w:rPr>
        <w:t>Nys, Y. 2017. Laying hen nutrition:</w:t>
      </w:r>
      <w:r w:rsidR="00404435" w:rsidRPr="00375825">
        <w:rPr>
          <w:lang w:eastAsia="en-AU"/>
        </w:rPr>
        <w:t xml:space="preserve"> </w:t>
      </w:r>
      <w:r w:rsidRPr="00375825">
        <w:rPr>
          <w:lang w:eastAsia="en-AU"/>
        </w:rPr>
        <w:t>optimizing hen performance and health</w:t>
      </w:r>
      <w:r w:rsidR="009A680F" w:rsidRPr="00375825">
        <w:rPr>
          <w:lang w:eastAsia="en-AU"/>
        </w:rPr>
        <w:t>, bone and eggshell quality in a</w:t>
      </w:r>
      <w:r w:rsidRPr="00375825">
        <w:rPr>
          <w:lang w:eastAsia="en-AU"/>
        </w:rPr>
        <w:t>chieving sustainable production of eggs</w:t>
      </w:r>
      <w:r w:rsidR="00375825" w:rsidRPr="00375825">
        <w:rPr>
          <w:lang w:eastAsia="en-AU"/>
        </w:rPr>
        <w:t>.</w:t>
      </w:r>
      <w:r w:rsidR="00404435" w:rsidRPr="00375825">
        <w:rPr>
          <w:lang w:eastAsia="en-AU"/>
        </w:rPr>
        <w:t xml:space="preserve"> In: Achieving Sustainable Production of Eggs Volume 2: Animal Welfare and Sustainability. </w:t>
      </w:r>
      <w:r w:rsidRPr="00375825">
        <w:rPr>
          <w:lang w:eastAsia="en-AU"/>
        </w:rPr>
        <w:t>Roberts</w:t>
      </w:r>
      <w:r w:rsidR="00404435" w:rsidRPr="00375825">
        <w:rPr>
          <w:lang w:eastAsia="en-AU"/>
        </w:rPr>
        <w:t>, J.</w:t>
      </w:r>
      <w:r w:rsidR="00375825" w:rsidRPr="00375825">
        <w:rPr>
          <w:lang w:eastAsia="en-AU"/>
        </w:rPr>
        <w:t>,</w:t>
      </w:r>
      <w:r w:rsidR="00404435" w:rsidRPr="00375825">
        <w:rPr>
          <w:lang w:eastAsia="en-AU"/>
        </w:rPr>
        <w:t xml:space="preserve"> ed</w:t>
      </w:r>
      <w:r w:rsidRPr="00375825">
        <w:rPr>
          <w:lang w:eastAsia="en-AU"/>
        </w:rPr>
        <w:t>. Burleigh Dodds, Cambridge.</w:t>
      </w:r>
    </w:p>
    <w:p w14:paraId="760B0B20" w14:textId="77777777" w:rsidR="00EB1BF9" w:rsidRPr="00EB1BF9" w:rsidRDefault="00EB1BF9" w:rsidP="00EB1BF9">
      <w:pPr>
        <w:rPr>
          <w:lang w:eastAsia="en-AU"/>
        </w:rPr>
      </w:pPr>
      <w:r w:rsidRPr="00EB1BF9">
        <w:rPr>
          <w:lang w:eastAsia="en-AU"/>
        </w:rPr>
        <w:t>O'Connor, E. A., M. O. Parker, E. L. Davey, H. Grist, R. C. Owen, B. Szladovits, T. G. M. Demmers, C. M. Wathes, and S. M. Abeyesinghe. 2011. Effect of low light and high noise on behavioural activity, physiological indicators of stress and production in laying hens. British Poultry Science 52:666-674. doi 10.1080/00071668.2011.639342</w:t>
      </w:r>
    </w:p>
    <w:p w14:paraId="20B6B061" w14:textId="77777777" w:rsidR="00EB1BF9" w:rsidRPr="00EB1BF9" w:rsidRDefault="00EB1BF9" w:rsidP="00EB1BF9">
      <w:pPr>
        <w:rPr>
          <w:lang w:eastAsia="en-AU"/>
        </w:rPr>
      </w:pPr>
      <w:r w:rsidRPr="00EB1BF9">
        <w:rPr>
          <w:lang w:eastAsia="en-AU"/>
        </w:rPr>
        <w:t>Oden, K., S. Gunnarsson, C. Berg, and B. Algers. 2005. Effects of sex composition on fear measured as tonic immobility and vigilance behaviour in large flocks of laying hens. Applied Animal Behaviour Science 95:89-102. doi 10.1016/j.applanim.2005.03.003</w:t>
      </w:r>
    </w:p>
    <w:p w14:paraId="1B99467E" w14:textId="77777777" w:rsidR="00EB1BF9" w:rsidRPr="00EB1BF9" w:rsidRDefault="00EB1BF9" w:rsidP="00EB1BF9">
      <w:pPr>
        <w:rPr>
          <w:lang w:eastAsia="en-AU"/>
        </w:rPr>
      </w:pPr>
      <w:r w:rsidRPr="00EB1BF9">
        <w:rPr>
          <w:lang w:eastAsia="en-AU"/>
        </w:rPr>
        <w:t>Oden, K., L. J. Keeling, and B. Algers. 2002. Behaviour of laying hens in two types of aviary systems on 25 commercial farms in Sweden. British Poultry Science 43:169-181. doi 10.1080/00071660120121364</w:t>
      </w:r>
    </w:p>
    <w:p w14:paraId="62320DAA" w14:textId="77777777" w:rsidR="00EB1BF9" w:rsidRPr="00EB1BF9" w:rsidRDefault="00EB1BF9" w:rsidP="00EB1BF9">
      <w:pPr>
        <w:rPr>
          <w:lang w:eastAsia="en-AU"/>
        </w:rPr>
      </w:pPr>
      <w:r w:rsidRPr="00EB1BF9">
        <w:rPr>
          <w:lang w:eastAsia="en-AU"/>
        </w:rPr>
        <w:t>Oden, K., K. S. Vestergaard, and B. Algers. 2000. Space use and agonistic behaviour in relation to sex composition in large flocks of laying hens. Applied Animal Behaviour Science 67:307-320. doi 10.1016/s0168-1591(99)00123-9</w:t>
      </w:r>
    </w:p>
    <w:p w14:paraId="35430DF2" w14:textId="77777777" w:rsidR="00EB1BF9" w:rsidRPr="00EB1BF9" w:rsidRDefault="00EB1BF9" w:rsidP="00EB1BF9">
      <w:pPr>
        <w:rPr>
          <w:lang w:eastAsia="en-AU"/>
        </w:rPr>
      </w:pPr>
      <w:r w:rsidRPr="00EB1BF9">
        <w:rPr>
          <w:lang w:eastAsia="en-AU"/>
        </w:rPr>
        <w:t>Olsson, I. A. S., and L. J. Keeling. 2000. Night-time roosting in laying hens and the effect of thwarting access to perches. Applied Animal Behaviour Science 68:243-256. doi 10.1016/s0168-1591(00)00097-6</w:t>
      </w:r>
    </w:p>
    <w:p w14:paraId="687AD8ED" w14:textId="77777777" w:rsidR="00EB1BF9" w:rsidRPr="00EB1BF9" w:rsidRDefault="00EB1BF9" w:rsidP="00EB1BF9">
      <w:pPr>
        <w:rPr>
          <w:lang w:eastAsia="en-AU"/>
        </w:rPr>
      </w:pPr>
      <w:r w:rsidRPr="00EB1BF9">
        <w:rPr>
          <w:lang w:eastAsia="en-AU"/>
        </w:rPr>
        <w:t>Olsson, I. A. S., and L. J. Keeling. 2002a. No effect of social competition on sham dustbathing in furnished cages for laying hens. Acta Agriculturae Scandinavica Section a-Animal Science 52:253-256. doi 10.1080/090647002762381131</w:t>
      </w:r>
    </w:p>
    <w:p w14:paraId="4BE0D809" w14:textId="77777777" w:rsidR="00EB1BF9" w:rsidRPr="00EB1BF9" w:rsidRDefault="00EB1BF9" w:rsidP="00EB1BF9">
      <w:pPr>
        <w:rPr>
          <w:lang w:eastAsia="en-AU"/>
        </w:rPr>
      </w:pPr>
      <w:r w:rsidRPr="00EB1BF9">
        <w:rPr>
          <w:lang w:eastAsia="en-AU"/>
        </w:rPr>
        <w:t xml:space="preserve">Olsson, I. A. S., and L. J. Keeling. 2002b. The push-door for measuring motivation in hens: Laying hens are motivated to perch at night. Animal Welfare 11:11-19. </w:t>
      </w:r>
    </w:p>
    <w:p w14:paraId="0BCCA63E" w14:textId="77777777" w:rsidR="00EB1BF9" w:rsidRPr="00EB1BF9" w:rsidRDefault="00EB1BF9" w:rsidP="00EB1BF9">
      <w:pPr>
        <w:rPr>
          <w:lang w:eastAsia="en-AU"/>
        </w:rPr>
      </w:pPr>
      <w:r w:rsidRPr="00EB1BF9">
        <w:rPr>
          <w:lang w:eastAsia="en-AU"/>
        </w:rPr>
        <w:t>Olsson, I. A. S., and L. J. Keeling. 2005. Why in earth? Dustbathing behaviour in jungle and domestic fowl reviewed from a Tinbergian and animal welfare perspective. Applied Animal Behaviour Science 93:259-282. doi 10.1016/j.applanim.2004.11.018</w:t>
      </w:r>
    </w:p>
    <w:p w14:paraId="45124B40" w14:textId="77777777" w:rsidR="00EB1BF9" w:rsidRPr="00EB1BF9" w:rsidRDefault="00EB1BF9" w:rsidP="00EB1BF9">
      <w:pPr>
        <w:rPr>
          <w:lang w:eastAsia="en-AU"/>
        </w:rPr>
      </w:pPr>
      <w:r w:rsidRPr="00EB1BF9">
        <w:rPr>
          <w:lang w:eastAsia="en-AU"/>
        </w:rPr>
        <w:t>Olsson, I. A. S., L. J. Keeling, and I. J. H. Duncan. 2002. Why do hens sham dustbathe when they have litter? Applied Animal Behaviour Science 76:53-64. doi 10.1016/s0168-1591(01)00181-2</w:t>
      </w:r>
    </w:p>
    <w:p w14:paraId="69DDAEF6" w14:textId="77777777" w:rsidR="00EB1BF9" w:rsidRPr="00EB1BF9" w:rsidRDefault="00EB1BF9" w:rsidP="00EB1BF9">
      <w:pPr>
        <w:rPr>
          <w:lang w:eastAsia="en-AU"/>
        </w:rPr>
      </w:pPr>
      <w:r w:rsidRPr="00EB1BF9">
        <w:rPr>
          <w:bCs/>
          <w:lang w:val="en-AU" w:eastAsia="en-AU"/>
        </w:rPr>
        <w:t>Onbaşılar</w:t>
      </w:r>
      <w:r w:rsidRPr="00EB1BF9">
        <w:rPr>
          <w:lang w:eastAsia="en-AU"/>
        </w:rPr>
        <w:t>, E. E., and F. T. Aksoy. 2005. Stress parameters and immune response of layers under different cage floor and density conditions. Livestock Production Science 95:255-263. doi 10.1016/j.livprodsci.2005.01.006</w:t>
      </w:r>
    </w:p>
    <w:p w14:paraId="788E15F7" w14:textId="77777777" w:rsidR="00EB1BF9" w:rsidRPr="00EB1BF9" w:rsidRDefault="00EB1BF9" w:rsidP="00EB1BF9">
      <w:pPr>
        <w:rPr>
          <w:lang w:eastAsia="en-AU"/>
        </w:rPr>
      </w:pPr>
      <w:r w:rsidRPr="00EB1BF9">
        <w:rPr>
          <w:bCs/>
          <w:lang w:val="en-AU" w:eastAsia="en-AU"/>
        </w:rPr>
        <w:t>Onbaşılar</w:t>
      </w:r>
      <w:r w:rsidRPr="00EB1BF9">
        <w:rPr>
          <w:lang w:eastAsia="en-AU"/>
        </w:rPr>
        <w:t>, E. E., E. Erdem, N. Unal, A. S. Tunc, A. Kocakaya, and B. Yaranoglu. 2016. Comparison of liver and bone health of two laying hen strains kept in different cage systems. European Poultry Science 80. doi 10.1399/eps.2016.123</w:t>
      </w:r>
    </w:p>
    <w:p w14:paraId="7DED9592" w14:textId="77777777" w:rsidR="00EB1BF9" w:rsidRPr="00EB1BF9" w:rsidRDefault="00EB1BF9" w:rsidP="00EB1BF9">
      <w:pPr>
        <w:rPr>
          <w:lang w:eastAsia="en-AU"/>
        </w:rPr>
      </w:pPr>
      <w:r w:rsidRPr="00EB1BF9">
        <w:rPr>
          <w:bCs/>
          <w:lang w:val="en-AU" w:eastAsia="en-AU"/>
        </w:rPr>
        <w:t>Onbaşılar</w:t>
      </w:r>
      <w:r w:rsidRPr="00EB1BF9">
        <w:rPr>
          <w:lang w:eastAsia="en-AU"/>
        </w:rPr>
        <w:t>, E. E., and H. Erol. 2007. Effects of different forced molting methods on postmolt production, corticosterone level, and immune response to sheep red blood cells in laying hens. Journal of Applied Poultry Research 16:529-536. doi 10.3382/japr.2006-00089</w:t>
      </w:r>
    </w:p>
    <w:p w14:paraId="1E8FF129" w14:textId="77777777" w:rsidR="00EB1BF9" w:rsidRPr="00EB1BF9" w:rsidRDefault="00EB1BF9" w:rsidP="00EB1BF9">
      <w:pPr>
        <w:rPr>
          <w:lang w:eastAsia="en-AU"/>
        </w:rPr>
      </w:pPr>
      <w:r w:rsidRPr="00EB1BF9">
        <w:rPr>
          <w:bCs/>
          <w:lang w:val="en-AU" w:eastAsia="en-AU"/>
        </w:rPr>
        <w:t>Onbaşılar</w:t>
      </w:r>
      <w:r w:rsidRPr="00EB1BF9">
        <w:rPr>
          <w:lang w:eastAsia="en-AU"/>
        </w:rPr>
        <w:t>, E. E., N. Unal, E. Erdem, A. Kocakaya, and B. Yaranoglu. 2015. Production performance, use of nest box, and external appearance of two strains of laying hens kept in conventional and enriched cages. Poultry Science 94:559-564. doi 10.3382/ps/pev009</w:t>
      </w:r>
    </w:p>
    <w:p w14:paraId="132373C2" w14:textId="77777777" w:rsidR="00EB1BF9" w:rsidRPr="00EB1BF9" w:rsidRDefault="00EB1BF9" w:rsidP="00EB1BF9">
      <w:pPr>
        <w:rPr>
          <w:lang w:eastAsia="en-AU"/>
        </w:rPr>
      </w:pPr>
      <w:r w:rsidRPr="00EB1BF9">
        <w:rPr>
          <w:lang w:eastAsia="en-AU"/>
        </w:rPr>
        <w:t>Orsag, J., J. Broucek, M. Sauter, V. Tancin, and P. Flak. 2012. Effect of access to dusting substrate on behaviour in layers from different types of cages. Veteri</w:t>
      </w:r>
      <w:r w:rsidR="003A38D2">
        <w:rPr>
          <w:lang w:eastAsia="en-AU"/>
        </w:rPr>
        <w:t>narija Ir Zootechnika 57:56-61.</w:t>
      </w:r>
    </w:p>
    <w:p w14:paraId="521CA65A" w14:textId="77777777" w:rsidR="00EB1BF9" w:rsidRPr="00EB1BF9" w:rsidRDefault="00EB1BF9" w:rsidP="00EB1BF9">
      <w:pPr>
        <w:rPr>
          <w:lang w:eastAsia="en-AU"/>
        </w:rPr>
      </w:pPr>
      <w:r w:rsidRPr="00EB1BF9">
        <w:rPr>
          <w:lang w:eastAsia="en-AU"/>
        </w:rPr>
        <w:t>Pagel, M., and M. S. Dawkins. 1997. Peck orders and group size in laying hens: 'Futures contracts' for non-aggression. Behavioural Processes 40:13-25. doi 10.1016/s0376-6357(96)00761-9</w:t>
      </w:r>
    </w:p>
    <w:p w14:paraId="3026B279" w14:textId="77777777" w:rsidR="00EB1BF9" w:rsidRPr="00EB1BF9" w:rsidRDefault="00EB1BF9" w:rsidP="00EB1BF9">
      <w:pPr>
        <w:rPr>
          <w:lang w:eastAsia="en-AU"/>
        </w:rPr>
      </w:pPr>
      <w:r w:rsidRPr="00EB1BF9">
        <w:rPr>
          <w:lang w:eastAsia="en-AU"/>
        </w:rPr>
        <w:t>Panaite, C. V., R. D. Criste, D. Dragotoiu, T. D. Panaite, and M. Olteanu. 2016. Effect of crude fibre concentration in pullet diets (9-16 weeks) on their subsequent performance. Agrolif</w:t>
      </w:r>
      <w:r w:rsidR="003A38D2">
        <w:rPr>
          <w:lang w:eastAsia="en-AU"/>
        </w:rPr>
        <w:t>e Scientific Journal 5:161-167.</w:t>
      </w:r>
    </w:p>
    <w:p w14:paraId="57999563" w14:textId="77777777" w:rsidR="00ED5188" w:rsidRPr="00EB1BF9" w:rsidRDefault="00EB1BF9" w:rsidP="00EB1BF9">
      <w:pPr>
        <w:rPr>
          <w:lang w:eastAsia="en-AU"/>
        </w:rPr>
      </w:pPr>
      <w:r w:rsidRPr="00EB1BF9">
        <w:rPr>
          <w:lang w:eastAsia="en-AU"/>
        </w:rPr>
        <w:t xml:space="preserve">Papini, R., and E. Cacciuttolo. 2008. Observations on the occurrence of </w:t>
      </w:r>
      <w:r w:rsidRPr="00ED5188">
        <w:rPr>
          <w:i/>
          <w:lang w:eastAsia="en-AU"/>
        </w:rPr>
        <w:t>Heterakis gallinarum</w:t>
      </w:r>
      <w:r w:rsidRPr="00EB1BF9">
        <w:rPr>
          <w:lang w:eastAsia="en-AU"/>
        </w:rPr>
        <w:t xml:space="preserve"> in laying hens kept on soil. Italian Journ</w:t>
      </w:r>
      <w:r w:rsidR="003A38D2">
        <w:rPr>
          <w:lang w:eastAsia="en-AU"/>
        </w:rPr>
        <w:t>al of Animal Science 7:487-493.</w:t>
      </w:r>
    </w:p>
    <w:p w14:paraId="3A04D11B" w14:textId="77777777" w:rsidR="00EB1BF9" w:rsidRPr="00EB1BF9" w:rsidRDefault="00EB1BF9" w:rsidP="00EB1BF9">
      <w:pPr>
        <w:rPr>
          <w:lang w:eastAsia="en-AU"/>
        </w:rPr>
      </w:pPr>
      <w:r w:rsidRPr="00EB1BF9">
        <w:rPr>
          <w:lang w:eastAsia="en-AU"/>
        </w:rPr>
        <w:t xml:space="preserve">Park, S. Y., S. G. Birkhold, L. F. Kubena, D. J. Nisbet, and S. C. Ricke. 2004. Effects of high zinc diets using zinc propionate on molt induction, organs, and postmolt egg production and quality in laying </w:t>
      </w:r>
      <w:r w:rsidR="003A38D2">
        <w:rPr>
          <w:lang w:eastAsia="en-AU"/>
        </w:rPr>
        <w:t>hens. Poultry Science 83:24-33.</w:t>
      </w:r>
    </w:p>
    <w:p w14:paraId="65D6BFFD" w14:textId="77777777" w:rsidR="00EB1BF9" w:rsidRPr="00EB1BF9" w:rsidRDefault="00EB1BF9" w:rsidP="00EB1BF9">
      <w:pPr>
        <w:rPr>
          <w:lang w:eastAsia="en-AU"/>
        </w:rPr>
      </w:pPr>
      <w:r w:rsidRPr="00EB1BF9">
        <w:rPr>
          <w:lang w:eastAsia="en-AU"/>
        </w:rPr>
        <w:t>Pavlik, A., D. Jezova, D. Zapletal, J. Bakos, and P. Jelinek. 2008. Impact of housing technology on blood plasma corticosterone levels in laying hens. Acta Veterinaria Hungarica 56:515-527. doi 10.1556/AVet.56.2008.4.9</w:t>
      </w:r>
    </w:p>
    <w:p w14:paraId="7A903C2D" w14:textId="77777777" w:rsidR="00EB1BF9" w:rsidRPr="00EB1BF9" w:rsidRDefault="00EB1BF9" w:rsidP="00EB1BF9">
      <w:pPr>
        <w:rPr>
          <w:lang w:eastAsia="en-AU"/>
        </w:rPr>
      </w:pPr>
      <w:r w:rsidRPr="00EB1BF9">
        <w:rPr>
          <w:lang w:eastAsia="en-AU"/>
        </w:rPr>
        <w:t>Petek, M., E. Topal, and E. Cavusoglu. 2015. Effects of age at first access to range area on pecking behaviour and plumage quality of free-range layer chickens. Archiv Fur Tierzucht-Archives of Animal Breeding 58:85-91. doi 10.5194/aab-58-85-2015</w:t>
      </w:r>
    </w:p>
    <w:p w14:paraId="0A618070" w14:textId="77777777" w:rsidR="00EB1BF9" w:rsidRPr="00EB1BF9" w:rsidRDefault="00EB1BF9" w:rsidP="00EB1BF9">
      <w:pPr>
        <w:rPr>
          <w:lang w:eastAsia="en-AU"/>
        </w:rPr>
      </w:pPr>
      <w:r w:rsidRPr="00EB1BF9">
        <w:rPr>
          <w:lang w:eastAsia="en-AU"/>
        </w:rPr>
        <w:t>Petherick, J. C., E. Seawright, and D. Waddington. 1993. Influence of motivational state on choice of food or a dustbathing foraging substrate by domestic hens. Behavioural Processes 28:209-220. doi 10.1016/0376-6357(93)90094-8</w:t>
      </w:r>
    </w:p>
    <w:p w14:paraId="5989065A" w14:textId="77777777" w:rsidR="00EB1BF9" w:rsidRPr="00EB1BF9" w:rsidRDefault="00EB1BF9" w:rsidP="00EB1BF9">
      <w:pPr>
        <w:rPr>
          <w:lang w:eastAsia="en-AU"/>
        </w:rPr>
      </w:pPr>
      <w:r w:rsidRPr="00EB1BF9">
        <w:rPr>
          <w:lang w:eastAsia="en-AU"/>
        </w:rPr>
        <w:t>Petrik, M. T., M. T. Guerin, and T. M. Widowski. 2015. On-farm comparison of keel fracture prevalence and other welfare indicators in conventional cage and floor-housed laying hens in Ontario, Canada. Poultry Science 94:579-585. doi 10.3382/ps/pev039</w:t>
      </w:r>
    </w:p>
    <w:p w14:paraId="78C59757" w14:textId="77777777" w:rsidR="00EB1BF9" w:rsidRPr="00EB1BF9" w:rsidRDefault="00EB1BF9" w:rsidP="00EB1BF9">
      <w:pPr>
        <w:rPr>
          <w:lang w:eastAsia="en-AU"/>
        </w:rPr>
      </w:pPr>
      <w:r w:rsidRPr="00EB1BF9">
        <w:rPr>
          <w:lang w:eastAsia="en-AU"/>
        </w:rPr>
        <w:t xml:space="preserve">Pettersson, I. C., R. Freire, and C. J. Nicol. 2016. Factors affecting ranging behaviour in commercial free-range hens. </w:t>
      </w:r>
      <w:r w:rsidR="00E12232">
        <w:rPr>
          <w:lang w:eastAsia="en-AU"/>
        </w:rPr>
        <w:t>World’s</w:t>
      </w:r>
      <w:r w:rsidRPr="00EB1BF9">
        <w:rPr>
          <w:lang w:eastAsia="en-AU"/>
        </w:rPr>
        <w:t xml:space="preserve"> Poultry Science Journal 72:137-149. doi 10.1017/s0043933915002664</w:t>
      </w:r>
    </w:p>
    <w:p w14:paraId="4F4BCCFB" w14:textId="77777777" w:rsidR="00EB1BF9" w:rsidRPr="00EB1BF9" w:rsidRDefault="00EB1BF9" w:rsidP="00EB1BF9">
      <w:pPr>
        <w:rPr>
          <w:lang w:eastAsia="en-AU"/>
        </w:rPr>
      </w:pPr>
      <w:r w:rsidRPr="00EB1BF9">
        <w:rPr>
          <w:lang w:eastAsia="en-AU"/>
        </w:rPr>
        <w:t>Pettersson, I. C., C. A. Weeks, and C. J. Nicol. 2017. The effect of ramp provision on the accessibility of the litter in single and multi-tier laying hen housing. Applied Animal Behaviour Science 186:35-40. doi 10.1016/j.applanim.2016.10.012</w:t>
      </w:r>
    </w:p>
    <w:p w14:paraId="2A039413" w14:textId="77777777" w:rsidR="00EB1BF9" w:rsidRPr="00EB1BF9" w:rsidRDefault="00EB1BF9" w:rsidP="00EB1BF9">
      <w:pPr>
        <w:rPr>
          <w:lang w:eastAsia="en-AU"/>
        </w:rPr>
      </w:pPr>
      <w:r w:rsidRPr="00EB1BF9">
        <w:rPr>
          <w:lang w:eastAsia="en-AU"/>
        </w:rPr>
        <w:t>Pickel, T., B. Scholz, and L. Schrader. 2010. Perch material and diameter affects particular perching behaviours in laying hens. Applied Animal Behaviour Science 127:37-42. doi 10.1016/j.applanim.2010.08.005</w:t>
      </w:r>
    </w:p>
    <w:p w14:paraId="66545D0A" w14:textId="77777777" w:rsidR="00EB1BF9" w:rsidRPr="00EB1BF9" w:rsidRDefault="00EB1BF9" w:rsidP="00EB1BF9">
      <w:pPr>
        <w:rPr>
          <w:lang w:eastAsia="en-AU"/>
        </w:rPr>
      </w:pPr>
      <w:r w:rsidRPr="00EB1BF9">
        <w:rPr>
          <w:lang w:eastAsia="en-AU"/>
        </w:rPr>
        <w:t>Pickel, T., B. Scholz, and L. Schrader. 2011a. Roosting behaviour in laying hens on perches of different temperatures: Trade-offs between thermoregulation, energy budget, vigilance and resting. Applied Animal Behaviour Science 134:164-169. doi 10.1016/j.applanim.2011.07.003</w:t>
      </w:r>
    </w:p>
    <w:p w14:paraId="4D82350E" w14:textId="77777777" w:rsidR="00EB1BF9" w:rsidRPr="00EB1BF9" w:rsidRDefault="00EB1BF9" w:rsidP="00EB1BF9">
      <w:pPr>
        <w:rPr>
          <w:lang w:eastAsia="en-AU"/>
        </w:rPr>
      </w:pPr>
      <w:r w:rsidRPr="00EB1BF9">
        <w:rPr>
          <w:lang w:eastAsia="en-AU"/>
        </w:rPr>
        <w:t>Pickel, T., L. Schrader, and B. Scholz. 2011b. Pressure load on keel bone and foot pads in perching laying hens in relation to perch design. Poultry Science 90:715-724. doi 10.3382/ps.2010-01025</w:t>
      </w:r>
    </w:p>
    <w:p w14:paraId="173A2D8F" w14:textId="77777777" w:rsidR="00EB1BF9" w:rsidRPr="00EB1BF9" w:rsidRDefault="00EB1BF9" w:rsidP="00EB1BF9">
      <w:pPr>
        <w:rPr>
          <w:lang w:eastAsia="en-AU"/>
        </w:rPr>
      </w:pPr>
      <w:r w:rsidRPr="00EB1BF9">
        <w:rPr>
          <w:lang w:eastAsia="en-AU"/>
        </w:rPr>
        <w:t>Platz, S., E. Heyn, F. Hergt, B. Weigl, and M. Erhard. 2009. Comparative study on the behaviour, health and productivity of laying hens in a furnished cage and an aviary system. Berliner Und Munchener Tierarztliche Wochenschrift 122:235-240. doi 10.2376/0005-9366-122-235</w:t>
      </w:r>
    </w:p>
    <w:p w14:paraId="2DF287C3" w14:textId="77777777" w:rsidR="00EB1BF9" w:rsidRPr="00EB1BF9" w:rsidRDefault="00EB1BF9" w:rsidP="00EB1BF9">
      <w:pPr>
        <w:rPr>
          <w:lang w:eastAsia="en-AU"/>
        </w:rPr>
      </w:pPr>
      <w:r w:rsidRPr="00EB1BF9">
        <w:rPr>
          <w:lang w:eastAsia="en-AU"/>
        </w:rPr>
        <w:t>Pohle, K., and H. W. Cheng. 2009a. Comparative effects of furnished and battery cages on egg production and physiological parameters in White Leghorn hens. Poultry Science 88:2042-2051. doi 10.3382/ps.2009-00171</w:t>
      </w:r>
    </w:p>
    <w:p w14:paraId="4C4F2240" w14:textId="77777777" w:rsidR="00EB1BF9" w:rsidRPr="00EB1BF9" w:rsidRDefault="00EB1BF9" w:rsidP="00EB1BF9">
      <w:pPr>
        <w:rPr>
          <w:lang w:eastAsia="en-AU"/>
        </w:rPr>
      </w:pPr>
      <w:r w:rsidRPr="00EB1BF9">
        <w:rPr>
          <w:lang w:eastAsia="en-AU"/>
        </w:rPr>
        <w:t>Pohle, K., and H. W. Cheng. 2009b. Furnished cage system and hen well-being: Comparative effects of furnished cages and battery cages on behavioral exhibitions in White Leghorn chickens. Poultry Science 88:1559-1564. doi 10.3382/ps.2009-00045</w:t>
      </w:r>
    </w:p>
    <w:p w14:paraId="12E1C5FF" w14:textId="77777777" w:rsidR="00EB1BF9" w:rsidRPr="00EB1BF9" w:rsidRDefault="00EB1BF9" w:rsidP="00EB1BF9">
      <w:pPr>
        <w:rPr>
          <w:lang w:eastAsia="en-AU"/>
        </w:rPr>
      </w:pPr>
      <w:r w:rsidRPr="00EB1BF9">
        <w:rPr>
          <w:lang w:val="en-AU" w:eastAsia="en-AU"/>
        </w:rPr>
        <w:t>P</w:t>
      </w:r>
      <w:r w:rsidR="006E3B4C" w:rsidRPr="006E3B4C">
        <w:rPr>
          <w:lang w:val="en-AU" w:eastAsia="en-AU"/>
        </w:rPr>
        <w:t>ő</w:t>
      </w:r>
      <w:r w:rsidRPr="00EB1BF9">
        <w:rPr>
          <w:lang w:val="en-AU" w:eastAsia="en-AU"/>
        </w:rPr>
        <w:t xml:space="preserve">tzsch, C.J., </w:t>
      </w:r>
      <w:r w:rsidR="002F50C0">
        <w:rPr>
          <w:lang w:val="en-AU" w:eastAsia="en-AU"/>
        </w:rPr>
        <w:t xml:space="preserve">K. </w:t>
      </w:r>
      <w:r w:rsidRPr="00EB1BF9">
        <w:rPr>
          <w:lang w:val="en-AU" w:eastAsia="en-AU"/>
        </w:rPr>
        <w:t xml:space="preserve">Lewis, </w:t>
      </w:r>
      <w:r w:rsidR="002F50C0">
        <w:rPr>
          <w:lang w:val="en-AU" w:eastAsia="en-AU"/>
        </w:rPr>
        <w:t xml:space="preserve">C. J. </w:t>
      </w:r>
      <w:r w:rsidRPr="00EB1BF9">
        <w:rPr>
          <w:lang w:val="en-AU" w:eastAsia="en-AU"/>
        </w:rPr>
        <w:t xml:space="preserve">Nicol, </w:t>
      </w:r>
      <w:r w:rsidR="002F50C0">
        <w:rPr>
          <w:lang w:val="en-AU" w:eastAsia="en-AU"/>
        </w:rPr>
        <w:t xml:space="preserve">and L. E. </w:t>
      </w:r>
      <w:r w:rsidRPr="00EB1BF9">
        <w:rPr>
          <w:lang w:val="en-AU" w:eastAsia="en-AU"/>
        </w:rPr>
        <w:t>Green. 2001. A cross-sectional study of the prevalence of vent pecking in laying hens in alternative systems and its associations with feather pecking, management and disease. Applied Animal Behaviour Science 74</w:t>
      </w:r>
      <w:r w:rsidR="002F50C0">
        <w:rPr>
          <w:lang w:val="en-AU" w:eastAsia="en-AU"/>
        </w:rPr>
        <w:t>:</w:t>
      </w:r>
      <w:r w:rsidRPr="00EB1BF9">
        <w:rPr>
          <w:lang w:val="en-AU" w:eastAsia="en-AU"/>
        </w:rPr>
        <w:t>259-272.</w:t>
      </w:r>
    </w:p>
    <w:p w14:paraId="7A758BD1" w14:textId="77777777" w:rsidR="00EB1BF9" w:rsidRPr="00EB1BF9" w:rsidRDefault="00EB1BF9" w:rsidP="00EB1BF9">
      <w:pPr>
        <w:rPr>
          <w:lang w:eastAsia="en-AU"/>
        </w:rPr>
      </w:pPr>
      <w:r w:rsidRPr="00EB1BF9">
        <w:rPr>
          <w:lang w:eastAsia="en-AU"/>
        </w:rPr>
        <w:t>Prandini, F., B. Simon, A. Jung, M. Poppel, S. Lemiere, and S. Rautenschlein. 2016. Comparison of infectious bursal disease live vaccines and a HVT-IBD vector vaccine and their effects on the immune system of commercial layer pullets. Avian Pathology 45:114-125. doi 10.1080/03079457.2015.1127891</w:t>
      </w:r>
    </w:p>
    <w:p w14:paraId="0A81DC5F" w14:textId="77777777" w:rsidR="00EB1BF9" w:rsidRPr="00EB1BF9" w:rsidRDefault="00EB1BF9" w:rsidP="00EB1BF9">
      <w:pPr>
        <w:rPr>
          <w:lang w:eastAsia="en-AU"/>
        </w:rPr>
      </w:pPr>
      <w:r w:rsidRPr="00EB1BF9">
        <w:rPr>
          <w:lang w:eastAsia="en-AU"/>
        </w:rPr>
        <w:t>Prescott, N. B., and R. H. C. Bonser. 2004. Beak trimming reduces feeding efficiency of hens. Journal of Appli</w:t>
      </w:r>
      <w:r w:rsidR="00281914">
        <w:rPr>
          <w:lang w:eastAsia="en-AU"/>
        </w:rPr>
        <w:t>ed Poultry Research 13:468-471.</w:t>
      </w:r>
    </w:p>
    <w:p w14:paraId="32EFDD56" w14:textId="77777777" w:rsidR="00EB1BF9" w:rsidRPr="00EB1BF9" w:rsidRDefault="00EB1BF9" w:rsidP="00EB1BF9">
      <w:pPr>
        <w:rPr>
          <w:lang w:eastAsia="en-AU"/>
        </w:rPr>
      </w:pPr>
      <w:r w:rsidRPr="00EB1BF9">
        <w:rPr>
          <w:lang w:eastAsia="en-AU"/>
        </w:rPr>
        <w:t xml:space="preserve">Price, K. R., M. T. Guerin, and J. R. Barta. 2014. Success and failure: The role of relative humidity levels and environmental management in live </w:t>
      </w:r>
      <w:r w:rsidRPr="00281914">
        <w:rPr>
          <w:i/>
          <w:lang w:eastAsia="en-AU"/>
        </w:rPr>
        <w:t>Eimeria</w:t>
      </w:r>
      <w:r w:rsidRPr="00EB1BF9">
        <w:rPr>
          <w:lang w:eastAsia="en-AU"/>
        </w:rPr>
        <w:t xml:space="preserve"> vaccination of cage-reared replacement layer pullets. Journal of Applied Poultry Research 23:523-535. doi 10.3382/japr.2014-00989</w:t>
      </w:r>
    </w:p>
    <w:p w14:paraId="370B0841" w14:textId="77777777" w:rsidR="00EB1BF9" w:rsidRPr="00EB1BF9" w:rsidRDefault="00EB1BF9" w:rsidP="00EB1BF9">
      <w:pPr>
        <w:rPr>
          <w:lang w:eastAsia="en-AU"/>
        </w:rPr>
      </w:pPr>
      <w:r w:rsidRPr="00EB1BF9">
        <w:rPr>
          <w:lang w:eastAsia="en-AU"/>
        </w:rPr>
        <w:t xml:space="preserve">Price, K. R., M. A. Hafeez, J. Bulfon, and J. R. Barta. 2016. Live </w:t>
      </w:r>
      <w:r w:rsidRPr="00281914">
        <w:rPr>
          <w:i/>
          <w:lang w:eastAsia="en-AU"/>
        </w:rPr>
        <w:t>Eimeria</w:t>
      </w:r>
      <w:r w:rsidRPr="00EB1BF9">
        <w:rPr>
          <w:lang w:eastAsia="en-AU"/>
        </w:rPr>
        <w:t xml:space="preserve"> vaccination success in the face of artificial non-uniform vaccine administration in conventionally reared pullets. Avian Pathology 45:82-93. doi 10.1080/03079457.2015.1125442</w:t>
      </w:r>
    </w:p>
    <w:p w14:paraId="3D48818D" w14:textId="77777777" w:rsidR="00EB1BF9" w:rsidRPr="00EB1BF9" w:rsidRDefault="00EB1BF9" w:rsidP="00EB1BF9">
      <w:pPr>
        <w:rPr>
          <w:lang w:eastAsia="en-AU"/>
        </w:rPr>
      </w:pPr>
      <w:r w:rsidRPr="00EB1BF9">
        <w:rPr>
          <w:lang w:eastAsia="en-AU"/>
        </w:rPr>
        <w:t>Qaisrani, S. N., M. M. van Krimpen, and R. P. Kwakkel. 2013. Effects of dietary dilution source and dilution level on feather damage, performance, behavior, and litter condition in pullets. Poultry Science 92:591-602. doi 10.3382/ps.2012-02378</w:t>
      </w:r>
    </w:p>
    <w:p w14:paraId="219ED332" w14:textId="77777777" w:rsidR="00EB1BF9" w:rsidRPr="00EB1BF9" w:rsidRDefault="00EB1BF9" w:rsidP="00EB1BF9">
      <w:pPr>
        <w:rPr>
          <w:lang w:eastAsia="en-AU"/>
        </w:rPr>
      </w:pPr>
      <w:r w:rsidRPr="00EB1BF9">
        <w:rPr>
          <w:lang w:eastAsia="en-AU"/>
        </w:rPr>
        <w:t>Rafeeq, M., N. Rashid, M. A. Awan, M. M. Tariq, F. Abbas, Z. Ahmed, and I. Taj. 2013. Effect of Forced Molting on Body Characteristics and Post-Molting Egg Production Performance of Layers in Quetta, Pakistan. Brazilian Journal</w:t>
      </w:r>
      <w:r w:rsidR="00281914">
        <w:rPr>
          <w:lang w:eastAsia="en-AU"/>
        </w:rPr>
        <w:t xml:space="preserve"> of Poultry Science 15:347-351.</w:t>
      </w:r>
    </w:p>
    <w:p w14:paraId="6518D7E3" w14:textId="77777777" w:rsidR="00EB1BF9" w:rsidRPr="00EB1BF9" w:rsidRDefault="00EB1BF9" w:rsidP="00EB1BF9">
      <w:pPr>
        <w:rPr>
          <w:lang w:eastAsia="en-AU"/>
        </w:rPr>
      </w:pPr>
      <w:r w:rsidRPr="00EB1BF9">
        <w:rPr>
          <w:lang w:eastAsia="en-AU"/>
        </w:rPr>
        <w:t>Railton, R. C. R., T. M. Foster, and W. Temple. 2009. A comparison of two methods for assessing critical flicker fusion frequency in hens. Behavioural Processes 80:196-200. doi 10.1016/j.beproc.2008.11.016</w:t>
      </w:r>
    </w:p>
    <w:p w14:paraId="051F1E8C" w14:textId="77777777" w:rsidR="00EB1BF9" w:rsidRPr="00EB1BF9" w:rsidRDefault="00EB1BF9" w:rsidP="00EB1BF9">
      <w:pPr>
        <w:rPr>
          <w:lang w:eastAsia="en-AU"/>
        </w:rPr>
      </w:pPr>
      <w:r w:rsidRPr="00EB1BF9">
        <w:rPr>
          <w:lang w:eastAsia="en-AU"/>
        </w:rPr>
        <w:t xml:space="preserve">Rakonjac, S., S. Bogosavljevic-Boskovic, Z. Pavlovski, Z. Skrbic, V. Doskovic, M. D. Petrovic, and V. Petricevic. 2014. Laying hen rearing systems: a review of major production results and egg quality traits. </w:t>
      </w:r>
      <w:r w:rsidR="00E12232">
        <w:rPr>
          <w:lang w:eastAsia="en-AU"/>
        </w:rPr>
        <w:t>World’s</w:t>
      </w:r>
      <w:r w:rsidRPr="00EB1BF9">
        <w:rPr>
          <w:lang w:eastAsia="en-AU"/>
        </w:rPr>
        <w:t xml:space="preserve"> Poultry Science Journal 70:93-104. doi 10.1017/s0043933914000087</w:t>
      </w:r>
    </w:p>
    <w:p w14:paraId="15E396BC" w14:textId="77777777" w:rsidR="00EB1BF9" w:rsidRPr="00EB1BF9" w:rsidRDefault="00EB1BF9" w:rsidP="00EB1BF9">
      <w:pPr>
        <w:rPr>
          <w:lang w:eastAsia="en-AU"/>
        </w:rPr>
      </w:pPr>
      <w:r w:rsidRPr="00EB1BF9">
        <w:rPr>
          <w:lang w:eastAsia="en-AU"/>
        </w:rPr>
        <w:t>Ralph, C. R., P. H. Hemsworth, B. J. Leury, and A. J. Tilbrook. 2015. Relationship between plasma and tissue corticosterone in laying hens (</w:t>
      </w:r>
      <w:r w:rsidRPr="00281914">
        <w:rPr>
          <w:i/>
          <w:lang w:eastAsia="en-AU"/>
        </w:rPr>
        <w:t>Gallus gallus domesticus</w:t>
      </w:r>
      <w:r w:rsidRPr="00EB1BF9">
        <w:rPr>
          <w:lang w:eastAsia="en-AU"/>
        </w:rPr>
        <w:t>): implications for stress physiology and animal welfare. Domestic Animal Endocrinology 50:72-82. doi 10.1016/j.domaniend.2014.09.002</w:t>
      </w:r>
    </w:p>
    <w:p w14:paraId="571A74C6" w14:textId="77777777" w:rsidR="00EB1BF9" w:rsidRPr="00EB1BF9" w:rsidRDefault="00EB1BF9" w:rsidP="00EB1BF9">
      <w:pPr>
        <w:rPr>
          <w:lang w:eastAsia="en-AU"/>
        </w:rPr>
      </w:pPr>
      <w:r w:rsidRPr="00EB1BF9">
        <w:rPr>
          <w:lang w:eastAsia="en-AU"/>
        </w:rPr>
        <w:t>Rault, J. L., S. Cree, and P. Hemsworth. 2016. The effects of water deprivation on the behavior of laying hens. Poultry Science 95:473-481. doi 10.3382/ps/pev337</w:t>
      </w:r>
    </w:p>
    <w:p w14:paraId="2CFEBEE6" w14:textId="77777777" w:rsidR="00EB1BF9" w:rsidRPr="00EB1BF9" w:rsidRDefault="00EB1BF9" w:rsidP="00EB1BF9">
      <w:pPr>
        <w:rPr>
          <w:lang w:eastAsia="en-AU"/>
        </w:rPr>
      </w:pPr>
      <w:r w:rsidRPr="00EB1BF9">
        <w:rPr>
          <w:lang w:eastAsia="en-AU"/>
        </w:rPr>
        <w:t>Rault, J. L., A. van de Wouw, and P. Hemsworth. 2013. Fly the coop! Vertical structures influence the distribution and behaviour of laying hens in an outdoor range. Australian Veterinary Journal 91:423-426. doi 10.1111/avj.12099</w:t>
      </w:r>
    </w:p>
    <w:p w14:paraId="43EE57C5" w14:textId="77777777" w:rsidR="00EB1BF9" w:rsidRPr="00EB1BF9" w:rsidRDefault="00EB1BF9" w:rsidP="00EB1BF9">
      <w:pPr>
        <w:rPr>
          <w:lang w:eastAsia="en-AU"/>
        </w:rPr>
      </w:pPr>
      <w:r w:rsidRPr="00EB1BF9">
        <w:rPr>
          <w:lang w:eastAsia="en-AU"/>
        </w:rPr>
        <w:t>Rayner, A. C., R. Gill, D. Brass, T. H. Willings, and A. Bright. 2016. Smothering in UK free-range flocks. Part 2: investigating correlations between disease, housing and management practices. Veterinary Record 179:252. doi 10.1136/vr.103701</w:t>
      </w:r>
    </w:p>
    <w:p w14:paraId="29A9EEB8" w14:textId="77777777" w:rsidR="00EB1BF9" w:rsidRPr="00EB1BF9" w:rsidRDefault="00EB1BF9" w:rsidP="00EB1BF9">
      <w:pPr>
        <w:rPr>
          <w:lang w:eastAsia="en-AU"/>
        </w:rPr>
      </w:pPr>
      <w:r w:rsidRPr="00EB1BF9">
        <w:rPr>
          <w:lang w:eastAsia="en-AU"/>
        </w:rPr>
        <w:t xml:space="preserve">Rech, O. A., J. W. Pinheiro, N. A. N. Fonseca, C. A. da Silva, and A. Oba. 2010. Effect of genetic strain, cage space and dietetic tryptophan level on the laying hens performance. Semina-Ciencias Agrarias 31:1051-1058. </w:t>
      </w:r>
    </w:p>
    <w:p w14:paraId="7737CDA0" w14:textId="77777777" w:rsidR="00EB1BF9" w:rsidRPr="00EB1BF9" w:rsidRDefault="00EB1BF9" w:rsidP="00EB1BF9">
      <w:pPr>
        <w:rPr>
          <w:lang w:eastAsia="en-AU"/>
        </w:rPr>
      </w:pPr>
      <w:r w:rsidRPr="00EB1BF9">
        <w:rPr>
          <w:lang w:eastAsia="en-AU"/>
        </w:rPr>
        <w:t>Regmi, P., N. Nelson, J. P. Steibel, K. E. Anderson, and D. M. Karcher. 2016a. Comparisons of bone properties and keel deformities between strains and housing systems in end-of-lay hens. Poultry Science 95:2225-2234. doi 10.3382/ps/pew199</w:t>
      </w:r>
    </w:p>
    <w:p w14:paraId="32D86996" w14:textId="77777777" w:rsidR="00EB1BF9" w:rsidRPr="00EB1BF9" w:rsidRDefault="00EB1BF9" w:rsidP="00EB1BF9">
      <w:pPr>
        <w:rPr>
          <w:lang w:eastAsia="en-AU"/>
        </w:rPr>
      </w:pPr>
      <w:r w:rsidRPr="00EB1BF9">
        <w:rPr>
          <w:lang w:eastAsia="en-AU"/>
        </w:rPr>
        <w:t>Regmi, P., N. Smith, N. Nelson, R. C. Haut, M. W. Orth, and D. M. Karcher. 2016b. Housing conditions alter properties of the tibia and humerus during the laying phase in Lohmann white Leghorn hens. Poultry Science 95:198-206. doi 10.3382/ps/pev209</w:t>
      </w:r>
    </w:p>
    <w:p w14:paraId="33578013" w14:textId="77777777" w:rsidR="00EB1BF9" w:rsidRPr="00EB1BF9" w:rsidRDefault="00EB1BF9" w:rsidP="00EB1BF9">
      <w:pPr>
        <w:rPr>
          <w:lang w:eastAsia="en-AU"/>
        </w:rPr>
      </w:pPr>
      <w:r w:rsidRPr="00EB1BF9">
        <w:rPr>
          <w:lang w:eastAsia="en-AU"/>
        </w:rPr>
        <w:t xml:space="preserve">Rhim, S. J. 2014. Effect of floor space on the behavior of laying hens in commercial cages. Revista Colombiana De Ciencias Pecuarias 27. </w:t>
      </w:r>
    </w:p>
    <w:p w14:paraId="3ED937E9" w14:textId="77777777" w:rsidR="00EB1BF9" w:rsidRPr="00EB1BF9" w:rsidRDefault="00EB1BF9" w:rsidP="00EB1BF9">
      <w:pPr>
        <w:rPr>
          <w:lang w:eastAsia="en-AU"/>
        </w:rPr>
      </w:pPr>
      <w:r w:rsidRPr="00EB1BF9">
        <w:rPr>
          <w:lang w:eastAsia="en-AU"/>
        </w:rPr>
        <w:t>Riber, A. B. 2010. Development with age of nest box use and gregarious nesting in laying hens. Applied Animal Behaviour Science 123:24-31. doi 10.1016/j.applanim.2009.12.016</w:t>
      </w:r>
    </w:p>
    <w:p w14:paraId="2E42CBC6" w14:textId="77777777" w:rsidR="00EB1BF9" w:rsidRPr="00EB1BF9" w:rsidRDefault="00EB1BF9" w:rsidP="00EB1BF9">
      <w:pPr>
        <w:rPr>
          <w:lang w:eastAsia="en-AU"/>
        </w:rPr>
      </w:pPr>
      <w:r w:rsidRPr="00EB1BF9">
        <w:rPr>
          <w:lang w:eastAsia="en-AU"/>
        </w:rPr>
        <w:t>Riber, A. B. 2012a. Gregarious nesting-An anti-predator response in laying hens. Applied Animal Behaviour Science 138:70-78. doi 10.1016/j.applanim.2012.01.009</w:t>
      </w:r>
    </w:p>
    <w:p w14:paraId="53903482" w14:textId="77777777" w:rsidR="00EB1BF9" w:rsidRPr="00EB1BF9" w:rsidRDefault="00EB1BF9" w:rsidP="00EB1BF9">
      <w:pPr>
        <w:rPr>
          <w:lang w:eastAsia="en-AU"/>
        </w:rPr>
      </w:pPr>
      <w:r w:rsidRPr="00EB1BF9">
        <w:rPr>
          <w:lang w:eastAsia="en-AU"/>
        </w:rPr>
        <w:t>Riber, A. B. 2012b. Nest sharing under semi-natural conditions in laying hens. Applied Animal Behaviour Science 136:44-49. doi 10.1016/j.applanim.2011.11.006</w:t>
      </w:r>
    </w:p>
    <w:p w14:paraId="5E3B474D" w14:textId="77777777" w:rsidR="00EB1BF9" w:rsidRPr="00EB1BF9" w:rsidRDefault="00EB1BF9" w:rsidP="00EB1BF9">
      <w:pPr>
        <w:rPr>
          <w:lang w:eastAsia="en-AU"/>
        </w:rPr>
      </w:pPr>
      <w:r w:rsidRPr="00EB1BF9">
        <w:rPr>
          <w:lang w:eastAsia="en-AU"/>
        </w:rPr>
        <w:t>Riber, A. B., and L. K. Hinrichsen. 2016a. Feather eating and its associations with plumage damage and feathers on the floor in commercial farms of laying hens. Animal 10:1218-1224. doi 10.1017/s1751731116000057</w:t>
      </w:r>
    </w:p>
    <w:p w14:paraId="232B3A47" w14:textId="77777777" w:rsidR="00EB1BF9" w:rsidRPr="00EB1BF9" w:rsidRDefault="00EB1BF9" w:rsidP="00EB1BF9">
      <w:pPr>
        <w:rPr>
          <w:lang w:eastAsia="en-AU"/>
        </w:rPr>
      </w:pPr>
      <w:r w:rsidRPr="00EB1BF9">
        <w:rPr>
          <w:lang w:eastAsia="en-AU"/>
        </w:rPr>
        <w:t>Riber, A. B., and L. K. Hinrichsen. 2016b. Keel-bone damage and foot injuries in commercial laying hens in Denmark. Animal Welfare 25:179-184. doi 10.7120/09627286.25.2.179</w:t>
      </w:r>
    </w:p>
    <w:p w14:paraId="4C677F72" w14:textId="77777777" w:rsidR="00EB1BF9" w:rsidRPr="00EB1BF9" w:rsidRDefault="00EB1BF9" w:rsidP="00EB1BF9">
      <w:pPr>
        <w:rPr>
          <w:lang w:eastAsia="en-AU"/>
        </w:rPr>
      </w:pPr>
      <w:r w:rsidRPr="00EB1BF9">
        <w:rPr>
          <w:lang w:eastAsia="en-AU"/>
        </w:rPr>
        <w:t>Riber, A. B., and B. L. Nielsen. 2013. Changes in position and quality of preferred nest box: Effects on nest box use by laying hens. Applied Animal Behaviour Science 148:185-191. doi 10.1016/j.applanim.2013.08.005</w:t>
      </w:r>
    </w:p>
    <w:p w14:paraId="39912775" w14:textId="77777777" w:rsidR="00EB1BF9" w:rsidRPr="00EB1BF9" w:rsidRDefault="00EB1BF9" w:rsidP="00EB1BF9">
      <w:pPr>
        <w:rPr>
          <w:lang w:eastAsia="en-AU"/>
        </w:rPr>
      </w:pPr>
      <w:r w:rsidRPr="00EB1BF9">
        <w:rPr>
          <w:lang w:eastAsia="en-AU"/>
        </w:rPr>
        <w:t>Riber, A. B., B. L. Nielsen, C. Ritz, and B. Forkman. 2007. Diurnal activity cycles and synchrony in layer hen chicks (</w:t>
      </w:r>
      <w:r w:rsidRPr="00281914">
        <w:rPr>
          <w:i/>
          <w:lang w:eastAsia="en-AU"/>
        </w:rPr>
        <w:t>Gallus gallus domesticus</w:t>
      </w:r>
      <w:r w:rsidRPr="00EB1BF9">
        <w:rPr>
          <w:lang w:eastAsia="en-AU"/>
        </w:rPr>
        <w:t>). Applied Animal Behaviour Science 108:276-287. doi 10.1016/j.applanim.2007.01.001</w:t>
      </w:r>
    </w:p>
    <w:p w14:paraId="10A394B0" w14:textId="77777777" w:rsidR="00EB1BF9" w:rsidRPr="00EB1BF9" w:rsidRDefault="00EB1BF9" w:rsidP="00EB1BF9">
      <w:pPr>
        <w:rPr>
          <w:lang w:eastAsia="en-AU"/>
        </w:rPr>
      </w:pPr>
      <w:r w:rsidRPr="00EB1BF9">
        <w:rPr>
          <w:lang w:eastAsia="en-AU"/>
        </w:rPr>
        <w:t>Richards, G. J., L. J. Wilkins, T. G. Knowles, F. Booth, M. J. Toscano, C. J. Nicol, and S. N. Brown. 2011. Continuous monitoring of pop hole usage by commercially housed free-range hens throughout the production cycle. Veterinary Record 169:338. doi 10.1136/vr.d4603</w:t>
      </w:r>
    </w:p>
    <w:p w14:paraId="6E8BEDF7" w14:textId="77777777" w:rsidR="00EB1BF9" w:rsidRPr="00EB1BF9" w:rsidRDefault="00EB1BF9" w:rsidP="00EB1BF9">
      <w:pPr>
        <w:rPr>
          <w:lang w:eastAsia="en-AU"/>
        </w:rPr>
      </w:pPr>
      <w:r w:rsidRPr="00EB1BF9">
        <w:rPr>
          <w:lang w:eastAsia="en-AU"/>
        </w:rPr>
        <w:t>Richards, G. J., L. J. Wilkins, T. G. Knowles, F. Booth, M. J. Toscano, C. J. Nicol, and S. N. Brown. 2012b. Pop hole use by hens with different keel fracture status monitored throughout the laying period. Veterinary Record 170:494. doi 10.1136/vr.100489</w:t>
      </w:r>
    </w:p>
    <w:p w14:paraId="09350842" w14:textId="77777777" w:rsidR="00EB1BF9" w:rsidRPr="00EB1BF9" w:rsidRDefault="00EB1BF9" w:rsidP="00EB1BF9">
      <w:pPr>
        <w:rPr>
          <w:lang w:eastAsia="en-AU"/>
        </w:rPr>
      </w:pPr>
      <w:r w:rsidRPr="00EB1BF9">
        <w:rPr>
          <w:lang w:eastAsia="en-AU"/>
        </w:rPr>
        <w:t xml:space="preserve">Riczu, C. M., J. L. Saunders-Blades, A. K. Yngvesson, F. E. Robinson, and D. R. Korver. 2004. End-of-cycle bone quality in white- and brown-egg laying hens. Poultry Science 83:375-383. </w:t>
      </w:r>
    </w:p>
    <w:p w14:paraId="528A7244" w14:textId="77777777" w:rsidR="00EB1BF9" w:rsidRPr="00EB1BF9" w:rsidRDefault="00EB1BF9" w:rsidP="00EB1BF9">
      <w:pPr>
        <w:rPr>
          <w:lang w:eastAsia="en-AU"/>
        </w:rPr>
      </w:pPr>
      <w:r w:rsidRPr="00EB1BF9">
        <w:rPr>
          <w:lang w:eastAsia="en-AU"/>
        </w:rPr>
        <w:t>Riedstra, B., and T. G. G. Groothuis. 2002. Early feather pecking as a form of social exploration: the effect of group stability on feather pecking and tonic immobility in domestic chicks. Applied Animal Behaviour Science 77:127-138. doi 10.1016/s0168-1591(02)00031-x</w:t>
      </w:r>
    </w:p>
    <w:p w14:paraId="244E6D93" w14:textId="77777777" w:rsidR="00EB1BF9" w:rsidRPr="00EB1BF9" w:rsidRDefault="00EB1BF9" w:rsidP="00EB1BF9">
      <w:pPr>
        <w:rPr>
          <w:lang w:eastAsia="en-AU"/>
        </w:rPr>
      </w:pPr>
      <w:r w:rsidRPr="00EB1BF9">
        <w:rPr>
          <w:lang w:eastAsia="en-AU"/>
        </w:rPr>
        <w:t>Ringgenberg, N., E. K. F. Frohlich, A. Harlander-Matauschek, M. J. Toscano, H. Wurbel, and B. A. Roth. 2015a. Effects of variation in nest curtain design on pre-laying behaviour of domestic hens. Applied Animal Behaviour Science 170:34-43. doi 10.1016/j.applanim.2015.06.008</w:t>
      </w:r>
    </w:p>
    <w:p w14:paraId="6FCE7631" w14:textId="77777777" w:rsidR="00EB1BF9" w:rsidRPr="00EB1BF9" w:rsidRDefault="00EB1BF9" w:rsidP="00EB1BF9">
      <w:pPr>
        <w:rPr>
          <w:lang w:eastAsia="en-AU"/>
        </w:rPr>
      </w:pPr>
      <w:r w:rsidRPr="00EB1BF9">
        <w:rPr>
          <w:lang w:eastAsia="en-AU"/>
        </w:rPr>
        <w:t>Ringgenberg, N., E. K. F. Frohlich, A. Harlander-Matauschek, M. J. Toscano, H. Wurbel, and B. A. Roth. 2015b. Nest choice in laying hens: Effects of nest partitions and social status. Applied Animal Behaviour Science 169:43-50. doi 10.1016/j.applanim.2015.04.013</w:t>
      </w:r>
    </w:p>
    <w:p w14:paraId="5E99352D" w14:textId="77777777" w:rsidR="00EB1BF9" w:rsidRPr="00EB1BF9" w:rsidRDefault="00EB1BF9" w:rsidP="00EB1BF9">
      <w:pPr>
        <w:rPr>
          <w:lang w:eastAsia="en-AU"/>
        </w:rPr>
      </w:pPr>
      <w:r w:rsidRPr="00EB1BF9">
        <w:rPr>
          <w:lang w:eastAsia="en-AU"/>
        </w:rPr>
        <w:t>Ringgenberg, N., E. K. F. Frohlich, A. Harlander-Matauschek, H. Wurbel, and B. A. Roth. 2014. Does nest size matter to laying hens? Applied Animal Behaviour Science 155:66-73. doi 10.1016/j.applanim.2014.02.012</w:t>
      </w:r>
    </w:p>
    <w:p w14:paraId="3699F775" w14:textId="77777777" w:rsidR="00EB1BF9" w:rsidRPr="00EB1BF9" w:rsidRDefault="00EB1BF9" w:rsidP="00EB1BF9">
      <w:pPr>
        <w:rPr>
          <w:lang w:eastAsia="en-AU"/>
        </w:rPr>
      </w:pPr>
      <w:r w:rsidRPr="00EB1BF9">
        <w:rPr>
          <w:lang w:eastAsia="en-AU"/>
        </w:rPr>
        <w:t>Rodenburg, T. B., A. J. Buitenhuis, B. Ask, K. A. Uitdehaag, P. Koene, J. J. van der Poel, J. A. M. van Arendonk, and H. Bovenhuis. 2004. Genetic and phenotypic correlations between feather pecking and open-field response in laying hens at two different ages. Behavior Genetics 34:407-415. doi 10.1023/B:BEGE.0000023646.46940.2d</w:t>
      </w:r>
    </w:p>
    <w:p w14:paraId="4BB723DC" w14:textId="77777777" w:rsidR="00EB1BF9" w:rsidRPr="00EB1BF9" w:rsidRDefault="00EB1BF9" w:rsidP="00EB1BF9">
      <w:pPr>
        <w:rPr>
          <w:lang w:eastAsia="en-AU"/>
        </w:rPr>
      </w:pPr>
      <w:r w:rsidRPr="00EB1BF9">
        <w:rPr>
          <w:lang w:eastAsia="en-AU"/>
        </w:rPr>
        <w:t>Rodenburg, T. B., E. N. de Haas, B. L. Nielsen, and A. J. Buitenhuis. 2010. Fearfulness and feather damage in laying hens divergently selected for high and low feather pecking. Applied Animal Behaviour Science 128:91-96. doi 10.1016/j.applanim.2010.09.017</w:t>
      </w:r>
    </w:p>
    <w:p w14:paraId="4BE79F64" w14:textId="77777777" w:rsidR="00EB1BF9" w:rsidRDefault="00EB1BF9" w:rsidP="00EB1BF9">
      <w:pPr>
        <w:rPr>
          <w:lang w:eastAsia="en-AU"/>
        </w:rPr>
      </w:pPr>
      <w:r w:rsidRPr="00EB1BF9">
        <w:rPr>
          <w:lang w:eastAsia="en-AU"/>
        </w:rPr>
        <w:t>Rodenburg, T. B., and P. Koene. 2003. Comparison of individual and social feather pecking tests in two lines of laying hens at ten different ages. Applied Animal Behaviour Science 81:133-148. doi 10.1016/s0168-1591(02)00275-7</w:t>
      </w:r>
    </w:p>
    <w:p w14:paraId="0FDA8B75" w14:textId="77777777" w:rsidR="00A63C13" w:rsidRPr="00EB1BF9" w:rsidRDefault="00A63C13" w:rsidP="00A63C13">
      <w:pPr>
        <w:rPr>
          <w:lang w:val="en-AU" w:eastAsia="en-AU"/>
        </w:rPr>
      </w:pPr>
      <w:r>
        <w:rPr>
          <w:lang w:val="en-AU" w:eastAsia="en-AU"/>
        </w:rPr>
        <w:t xml:space="preserve">Rodenburg, T. B. and P. Koene. 2004. Feather pecking and feather loss. In: Welfare of the Laying Hen, Perry, G.C. (Ed.), </w:t>
      </w:r>
      <w:r w:rsidRPr="00EB1BF9">
        <w:rPr>
          <w:lang w:val="en-AU" w:eastAsia="en-AU"/>
        </w:rPr>
        <w:t>Poultry Science Symposium Series</w:t>
      </w:r>
      <w:r w:rsidR="006B4AAF">
        <w:rPr>
          <w:lang w:val="en-AU" w:eastAsia="en-AU"/>
        </w:rPr>
        <w:t>,</w:t>
      </w:r>
      <w:r w:rsidRPr="00EB1BF9">
        <w:rPr>
          <w:lang w:val="en-AU" w:eastAsia="en-AU"/>
        </w:rPr>
        <w:t xml:space="preserve"> CAB International</w:t>
      </w:r>
      <w:r>
        <w:rPr>
          <w:lang w:val="en-AU" w:eastAsia="en-AU"/>
        </w:rPr>
        <w:t>, Wallingford, UK, pages 227-238.</w:t>
      </w:r>
    </w:p>
    <w:p w14:paraId="4E24CFF6" w14:textId="77777777" w:rsidR="00EB1BF9" w:rsidRDefault="00EB1BF9" w:rsidP="00EB1BF9">
      <w:pPr>
        <w:rPr>
          <w:lang w:eastAsia="en-AU"/>
        </w:rPr>
      </w:pPr>
      <w:r w:rsidRPr="00EB1BF9">
        <w:rPr>
          <w:lang w:eastAsia="en-AU"/>
        </w:rPr>
        <w:t>Rodenburg, T. B., and P. Koene. 2007. The impact of group size on damaging behaviours, aggression, fear and stress in farm animals. Applied Animal Behaviour Science 103:205-214. doi 10.1016/j.applanim.2006.05.024</w:t>
      </w:r>
    </w:p>
    <w:p w14:paraId="754ADCA4" w14:textId="77777777" w:rsidR="002E4BCE" w:rsidRDefault="002E4BCE" w:rsidP="00EB1BF9">
      <w:pPr>
        <w:rPr>
          <w:lang w:eastAsia="en-AU"/>
        </w:rPr>
      </w:pPr>
      <w:r w:rsidRPr="002E4BCE">
        <w:rPr>
          <w:lang w:eastAsia="en-AU"/>
        </w:rPr>
        <w:t>Rodenburg, T.</w:t>
      </w:r>
      <w:r>
        <w:rPr>
          <w:lang w:eastAsia="en-AU"/>
        </w:rPr>
        <w:t xml:space="preserve"> </w:t>
      </w:r>
      <w:r w:rsidRPr="002E4BCE">
        <w:rPr>
          <w:lang w:eastAsia="en-AU"/>
        </w:rPr>
        <w:t xml:space="preserve">B., </w:t>
      </w:r>
      <w:r>
        <w:rPr>
          <w:lang w:eastAsia="en-AU"/>
        </w:rPr>
        <w:t xml:space="preserve">F. A. M </w:t>
      </w:r>
      <w:r w:rsidRPr="002E4BCE">
        <w:rPr>
          <w:lang w:eastAsia="en-AU"/>
        </w:rPr>
        <w:t xml:space="preserve">Tuyttens, </w:t>
      </w:r>
      <w:r>
        <w:rPr>
          <w:lang w:eastAsia="en-AU"/>
        </w:rPr>
        <w:t xml:space="preserve">K. </w:t>
      </w:r>
      <w:r w:rsidRPr="002E4BCE">
        <w:rPr>
          <w:lang w:eastAsia="en-AU"/>
        </w:rPr>
        <w:t xml:space="preserve">de Reu, </w:t>
      </w:r>
      <w:r>
        <w:rPr>
          <w:lang w:eastAsia="en-AU"/>
        </w:rPr>
        <w:t xml:space="preserve">L. </w:t>
      </w:r>
      <w:r w:rsidRPr="002E4BCE">
        <w:rPr>
          <w:lang w:eastAsia="en-AU"/>
        </w:rPr>
        <w:t xml:space="preserve">Herman, </w:t>
      </w:r>
      <w:r>
        <w:rPr>
          <w:lang w:eastAsia="en-AU"/>
        </w:rPr>
        <w:t xml:space="preserve">J. </w:t>
      </w:r>
      <w:r w:rsidRPr="002E4BCE">
        <w:rPr>
          <w:lang w:eastAsia="en-AU"/>
        </w:rPr>
        <w:t xml:space="preserve">Zoons, and </w:t>
      </w:r>
      <w:r>
        <w:rPr>
          <w:lang w:eastAsia="en-AU"/>
        </w:rPr>
        <w:t xml:space="preserve">B. </w:t>
      </w:r>
      <w:r w:rsidRPr="002E4BCE">
        <w:rPr>
          <w:lang w:eastAsia="en-AU"/>
        </w:rPr>
        <w:t>Sonck. 2008a. Welfare assessment of laying hens in furnished cages and non-cage systems: an on-farm</w:t>
      </w:r>
      <w:r>
        <w:rPr>
          <w:lang w:eastAsia="en-AU"/>
        </w:rPr>
        <w:t xml:space="preserve"> comparison. Animal Welfare 17:</w:t>
      </w:r>
      <w:r w:rsidRPr="002E4BCE">
        <w:rPr>
          <w:lang w:eastAsia="en-AU"/>
        </w:rPr>
        <w:t>364-373</w:t>
      </w:r>
      <w:r>
        <w:rPr>
          <w:lang w:eastAsia="en-AU"/>
        </w:rPr>
        <w:t>.</w:t>
      </w:r>
    </w:p>
    <w:p w14:paraId="53FF7C55" w14:textId="77777777" w:rsidR="002E4BCE" w:rsidRDefault="002E4BCE" w:rsidP="00EB1BF9">
      <w:pPr>
        <w:rPr>
          <w:lang w:eastAsia="en-AU"/>
        </w:rPr>
      </w:pPr>
      <w:r w:rsidRPr="002E4BCE">
        <w:rPr>
          <w:lang w:eastAsia="en-AU"/>
        </w:rPr>
        <w:t>Rodenburg, T. B., F. A. M Tuyttens, K. de Reu, L. Herma</w:t>
      </w:r>
      <w:r>
        <w:rPr>
          <w:lang w:eastAsia="en-AU"/>
        </w:rPr>
        <w:t>n, J. Zoons, and B. Sonck. 2008b</w:t>
      </w:r>
      <w:r w:rsidRPr="002E4BCE">
        <w:rPr>
          <w:lang w:eastAsia="en-AU"/>
        </w:rPr>
        <w:t>. Welfare assessment of laying hens in furnished cages and non-cage systems: assimilating exp</w:t>
      </w:r>
      <w:r>
        <w:rPr>
          <w:lang w:eastAsia="en-AU"/>
        </w:rPr>
        <w:t>ert opinion. Animal Welfare 17:</w:t>
      </w:r>
      <w:r w:rsidRPr="002E4BCE">
        <w:rPr>
          <w:lang w:eastAsia="en-AU"/>
        </w:rPr>
        <w:t>355-361.</w:t>
      </w:r>
    </w:p>
    <w:p w14:paraId="0B51B35B" w14:textId="77777777" w:rsidR="002E4BCE" w:rsidRPr="00EB1BF9" w:rsidRDefault="002E4BCE" w:rsidP="00EB1BF9">
      <w:pPr>
        <w:rPr>
          <w:lang w:eastAsia="en-AU"/>
        </w:rPr>
      </w:pPr>
      <w:r w:rsidRPr="002E4BCE">
        <w:rPr>
          <w:lang w:eastAsia="en-AU"/>
        </w:rPr>
        <w:t>Rodenburg, T.</w:t>
      </w:r>
      <w:r>
        <w:rPr>
          <w:lang w:eastAsia="en-AU"/>
        </w:rPr>
        <w:t xml:space="preserve"> </w:t>
      </w:r>
      <w:r w:rsidRPr="002E4BCE">
        <w:rPr>
          <w:lang w:eastAsia="en-AU"/>
        </w:rPr>
        <w:t xml:space="preserve">B., </w:t>
      </w:r>
      <w:r>
        <w:rPr>
          <w:lang w:eastAsia="en-AU"/>
        </w:rPr>
        <w:t xml:space="preserve">M. M. </w:t>
      </w:r>
      <w:r w:rsidRPr="002E4BCE">
        <w:rPr>
          <w:lang w:eastAsia="en-AU"/>
        </w:rPr>
        <w:t xml:space="preserve">van Krimpen, </w:t>
      </w:r>
      <w:r>
        <w:rPr>
          <w:lang w:eastAsia="en-AU"/>
        </w:rPr>
        <w:t xml:space="preserve">I. C. </w:t>
      </w:r>
      <w:r w:rsidRPr="002E4BCE">
        <w:rPr>
          <w:lang w:eastAsia="en-AU"/>
        </w:rPr>
        <w:t xml:space="preserve">de Jong, </w:t>
      </w:r>
      <w:r>
        <w:rPr>
          <w:lang w:eastAsia="en-AU"/>
        </w:rPr>
        <w:t xml:space="preserve">E. N. </w:t>
      </w:r>
      <w:r w:rsidRPr="002E4BCE">
        <w:rPr>
          <w:lang w:eastAsia="en-AU"/>
        </w:rPr>
        <w:t xml:space="preserve">de Haas, </w:t>
      </w:r>
      <w:r>
        <w:rPr>
          <w:lang w:eastAsia="en-AU"/>
        </w:rPr>
        <w:t xml:space="preserve">M. S. </w:t>
      </w:r>
      <w:r w:rsidRPr="002E4BCE">
        <w:rPr>
          <w:lang w:eastAsia="en-AU"/>
        </w:rPr>
        <w:t xml:space="preserve">Kops, </w:t>
      </w:r>
      <w:r>
        <w:rPr>
          <w:lang w:eastAsia="en-AU"/>
        </w:rPr>
        <w:t xml:space="preserve">B. J. </w:t>
      </w:r>
      <w:r w:rsidRPr="002E4BCE">
        <w:rPr>
          <w:lang w:eastAsia="en-AU"/>
        </w:rPr>
        <w:t xml:space="preserve">Ridestra, </w:t>
      </w:r>
      <w:r>
        <w:rPr>
          <w:lang w:eastAsia="en-AU"/>
        </w:rPr>
        <w:t xml:space="preserve">R. E. </w:t>
      </w:r>
      <w:r w:rsidRPr="002E4BCE">
        <w:rPr>
          <w:lang w:eastAsia="en-AU"/>
        </w:rPr>
        <w:t xml:space="preserve">Nordquist, </w:t>
      </w:r>
      <w:r>
        <w:rPr>
          <w:lang w:eastAsia="en-AU"/>
        </w:rPr>
        <w:t xml:space="preserve">J. P. </w:t>
      </w:r>
      <w:r w:rsidRPr="002E4BCE">
        <w:rPr>
          <w:lang w:eastAsia="en-AU"/>
        </w:rPr>
        <w:t xml:space="preserve">Wagenaar, </w:t>
      </w:r>
      <w:r>
        <w:rPr>
          <w:lang w:eastAsia="en-AU"/>
        </w:rPr>
        <w:t>M.</w:t>
      </w:r>
      <w:r w:rsidRPr="002E4BCE">
        <w:rPr>
          <w:lang w:eastAsia="en-AU"/>
        </w:rPr>
        <w:t xml:space="preserve"> Bestman, </w:t>
      </w:r>
      <w:r>
        <w:rPr>
          <w:lang w:eastAsia="en-AU"/>
        </w:rPr>
        <w:t xml:space="preserve">and C. J. </w:t>
      </w:r>
      <w:r w:rsidRPr="002E4BCE">
        <w:rPr>
          <w:lang w:eastAsia="en-AU"/>
        </w:rPr>
        <w:t>Nicol. 2013. The prevention and control of feather pecking in laying hens: identifying the underlying principles. Worl</w:t>
      </w:r>
      <w:r>
        <w:rPr>
          <w:lang w:eastAsia="en-AU"/>
        </w:rPr>
        <w:t>d’s Poultry Science Journal 69:</w:t>
      </w:r>
      <w:r w:rsidRPr="002E4BCE">
        <w:rPr>
          <w:lang w:eastAsia="en-AU"/>
        </w:rPr>
        <w:t>361-373</w:t>
      </w:r>
      <w:r>
        <w:rPr>
          <w:lang w:eastAsia="en-AU"/>
        </w:rPr>
        <w:t>.</w:t>
      </w:r>
    </w:p>
    <w:p w14:paraId="585A61CE" w14:textId="77777777" w:rsidR="00EB1BF9" w:rsidRPr="00EB1BF9" w:rsidRDefault="00EB1BF9" w:rsidP="00EB1BF9">
      <w:pPr>
        <w:rPr>
          <w:lang w:eastAsia="en-AU"/>
        </w:rPr>
      </w:pPr>
      <w:r w:rsidRPr="00EB1BF9">
        <w:rPr>
          <w:lang w:eastAsia="en-AU"/>
        </w:rPr>
        <w:t>Rodriguez-Aurrekoetxea, A., and I. Estevez. 2014. Aggressiveness in the domestic fowl: Distance versus 'attitude'. Applied Animal Behaviour Science 153:68-74. doi 10.1016/j.applanim.2014.01.007</w:t>
      </w:r>
    </w:p>
    <w:p w14:paraId="1E66FB12" w14:textId="77777777" w:rsidR="00EB1BF9" w:rsidRPr="00EB1BF9" w:rsidRDefault="00EB1BF9" w:rsidP="00EB1BF9">
      <w:pPr>
        <w:rPr>
          <w:lang w:eastAsia="en-AU"/>
        </w:rPr>
      </w:pPr>
      <w:r w:rsidRPr="00EB1BF9">
        <w:rPr>
          <w:lang w:eastAsia="en-AU"/>
        </w:rPr>
        <w:t>Rodriguez-Aurrekoetxea, A., and I. Estevez. 2016. Use of space and its impact on the welfare of laying hens in a commercial free-range system. Poultry Science 95:2503-2513. doi 10.3382/ps/pew238</w:t>
      </w:r>
    </w:p>
    <w:p w14:paraId="6FBAB635" w14:textId="77777777" w:rsidR="00EB1BF9" w:rsidRPr="00EB1BF9" w:rsidRDefault="00EB1BF9" w:rsidP="00EB1BF9">
      <w:pPr>
        <w:rPr>
          <w:lang w:eastAsia="en-AU"/>
        </w:rPr>
      </w:pPr>
      <w:r w:rsidRPr="00EB1BF9">
        <w:rPr>
          <w:lang w:eastAsia="en-AU"/>
        </w:rPr>
        <w:t>Roll, V. F. B., G. A. M. Levrino, and R. C. Briz. 2008. Rearing system and behavioural adaptation of laying hens to furnished cages. Ciencia Rural 38:1997-2003. doi 10.1590/s0103-84782008000700031</w:t>
      </w:r>
    </w:p>
    <w:p w14:paraId="68ECF2D5" w14:textId="77777777" w:rsidR="005357A1" w:rsidRPr="00EB1BF9" w:rsidRDefault="005357A1" w:rsidP="005357A1">
      <w:pPr>
        <w:rPr>
          <w:lang w:eastAsia="en-AU"/>
        </w:rPr>
      </w:pPr>
      <w:r>
        <w:rPr>
          <w:lang w:eastAsia="en-AU"/>
        </w:rPr>
        <w:t>R</w:t>
      </w:r>
      <w:r w:rsidRPr="005357A1">
        <w:rPr>
          <w:lang w:eastAsia="en-AU"/>
        </w:rPr>
        <w:t>ö</w:t>
      </w:r>
      <w:r w:rsidRPr="00EB1BF9">
        <w:rPr>
          <w:lang w:eastAsia="en-AU"/>
        </w:rPr>
        <w:t xml:space="preserve">nchen, S., B. Scholz, H. Hamann, and O. Distl. 2007. Foot pad health, plumage condition, integument and claw length of Lohmann Silver laying hens kept in small aviary housing systems, furnished cages and an aviary housing system. Archiv Fur Tierzucht-Archives of Animal Breeding 50:388-402. </w:t>
      </w:r>
    </w:p>
    <w:p w14:paraId="652CBEA7" w14:textId="77777777" w:rsidR="00EB1BF9" w:rsidRPr="00EB1BF9" w:rsidRDefault="00EB1BF9" w:rsidP="00EB1BF9">
      <w:pPr>
        <w:rPr>
          <w:lang w:eastAsia="en-AU"/>
        </w:rPr>
      </w:pPr>
      <w:r w:rsidRPr="00EB1BF9">
        <w:rPr>
          <w:lang w:eastAsia="en-AU"/>
        </w:rPr>
        <w:t>R</w:t>
      </w:r>
      <w:r w:rsidR="003646DF">
        <w:rPr>
          <w:rStyle w:val="authors"/>
        </w:rPr>
        <w:t>ö</w:t>
      </w:r>
      <w:r w:rsidRPr="00EB1BF9">
        <w:rPr>
          <w:lang w:eastAsia="en-AU"/>
        </w:rPr>
        <w:t>nchen, S., B. Scholz, H. Hamann, and O. Distl. 2008. Fat status in Lohmann Silver and Lohmann Tradition laying hens kept in modified small group housing systems, small group housing systems, furnished cages and an aviary system. Berliner Und Munchener Tierarztliche Wochenschrift 121:11-18. doi 10.2376/0005-9366-121-11</w:t>
      </w:r>
    </w:p>
    <w:p w14:paraId="009AEE61" w14:textId="77777777" w:rsidR="00EB1BF9" w:rsidRPr="00EB1BF9" w:rsidRDefault="00EB1BF9" w:rsidP="00EB1BF9">
      <w:pPr>
        <w:rPr>
          <w:lang w:eastAsia="en-AU"/>
        </w:rPr>
      </w:pPr>
      <w:r w:rsidRPr="00EB1BF9">
        <w:rPr>
          <w:lang w:eastAsia="en-AU"/>
        </w:rPr>
        <w:t>R</w:t>
      </w:r>
      <w:r w:rsidR="003646DF">
        <w:rPr>
          <w:rStyle w:val="authors"/>
        </w:rPr>
        <w:t>ö</w:t>
      </w:r>
      <w:r w:rsidRPr="00EB1BF9">
        <w:rPr>
          <w:lang w:eastAsia="en-AU"/>
        </w:rPr>
        <w:t xml:space="preserve">nchen, S., B. Scholz, H. Hamann, and O. Distl. 2010. Use of functional areas, perch acceptance and selected behavioural traits in three different layer strains kept in furnished cages, small group systems and modified small group systems with elevated perches. Archiv Fur Geflugelkunde 74:256-264. </w:t>
      </w:r>
    </w:p>
    <w:p w14:paraId="52B7AD52" w14:textId="77777777" w:rsidR="00EB1BF9" w:rsidRPr="00EB1BF9" w:rsidRDefault="00EB1BF9" w:rsidP="00EB1BF9">
      <w:pPr>
        <w:rPr>
          <w:lang w:eastAsia="en-AU"/>
        </w:rPr>
      </w:pPr>
      <w:r w:rsidRPr="00EB1BF9">
        <w:rPr>
          <w:lang w:eastAsia="en-AU"/>
        </w:rPr>
        <w:t>Rozenboim, I., J. Mahato, N. A. Cohen, and O. Tirosh. 2016. Low protein and high-energy diet: a possible natural cause of fatty liver hemorrhagic syndrome in caged White Leghorn laying hens. Poultry Science 95:612-621. doi 10.3382/ps/pev367</w:t>
      </w:r>
    </w:p>
    <w:p w14:paraId="6B80F176" w14:textId="77777777" w:rsidR="00EB1BF9" w:rsidRPr="00EB1BF9" w:rsidRDefault="00EB1BF9" w:rsidP="00EB1BF9">
      <w:pPr>
        <w:rPr>
          <w:lang w:eastAsia="en-AU"/>
        </w:rPr>
      </w:pPr>
      <w:r w:rsidRPr="00EB1BF9">
        <w:rPr>
          <w:lang w:eastAsia="en-AU"/>
        </w:rPr>
        <w:t xml:space="preserve">Saki, A. A., and H. Mahmoudi. 2015. Effects of </w:t>
      </w:r>
      <w:r w:rsidRPr="00281914">
        <w:rPr>
          <w:i/>
          <w:lang w:eastAsia="en-AU"/>
        </w:rPr>
        <w:t>in ovo</w:t>
      </w:r>
      <w:r w:rsidRPr="00EB1BF9">
        <w:rPr>
          <w:lang w:eastAsia="en-AU"/>
        </w:rPr>
        <w:t xml:space="preserve"> injection of bovine lactoferrin before incubation in layer breeder eggs on tibia measurements and performance of laying hens. Animal 9:1813-1819. doi 10.1017/s1751731115001093</w:t>
      </w:r>
    </w:p>
    <w:p w14:paraId="4CBC3CE5" w14:textId="77777777" w:rsidR="00EB1BF9" w:rsidRPr="00EB1BF9" w:rsidRDefault="00EB1BF9" w:rsidP="00EB1BF9">
      <w:pPr>
        <w:rPr>
          <w:lang w:eastAsia="en-AU"/>
        </w:rPr>
      </w:pPr>
      <w:r w:rsidRPr="00EB1BF9">
        <w:rPr>
          <w:lang w:eastAsia="en-AU"/>
        </w:rPr>
        <w:t>Saki, A. A., P. Zamani, M. Rahmati, and H. Mahmoudi. 2012. The effect of cage density on laying hen performance, egg quality, and excreta minerals. Journal of Applied Poultry Research 21:467-475. doi 10.3382/japr.2010-00318</w:t>
      </w:r>
    </w:p>
    <w:p w14:paraId="6C78EEF0" w14:textId="77777777" w:rsidR="00EB1BF9" w:rsidRPr="00EB1BF9" w:rsidRDefault="00EB1BF9" w:rsidP="00EB1BF9">
      <w:pPr>
        <w:rPr>
          <w:lang w:eastAsia="en-AU"/>
        </w:rPr>
      </w:pPr>
      <w:r w:rsidRPr="00EB1BF9">
        <w:rPr>
          <w:lang w:eastAsia="en-AU"/>
        </w:rPr>
        <w:t>Sarica, M., S. Boga, and U. S. Yamak. 2008. The effects of space allowance on egg yield, egg quality and plumage condition of laying hens in battery cages. Czech Journal of Animal Scienc</w:t>
      </w:r>
      <w:r w:rsidR="00281914">
        <w:rPr>
          <w:lang w:eastAsia="en-AU"/>
        </w:rPr>
        <w:t>e 53:346-353.</w:t>
      </w:r>
    </w:p>
    <w:p w14:paraId="76734D8B" w14:textId="77777777" w:rsidR="00EB1BF9" w:rsidRPr="00EB1BF9" w:rsidRDefault="00EB1BF9" w:rsidP="00EB1BF9">
      <w:pPr>
        <w:rPr>
          <w:lang w:eastAsia="en-AU"/>
        </w:rPr>
      </w:pPr>
      <w:r w:rsidRPr="00EB1BF9">
        <w:rPr>
          <w:lang w:eastAsia="en-AU"/>
        </w:rPr>
        <w:t>Sariozkan, S., B. K. Guclu, K. Kara, and S. Gurcan. 2013. Comparison of different molting methods and evaluation of the effects of postmolt diets supplemented with humate and carnitine on performance, egg quality, and profitability of laying hens. Journal of Applied Poultry Research 22:689-699. doi 10.3382/japr.2012-00612</w:t>
      </w:r>
    </w:p>
    <w:p w14:paraId="4072BE1D" w14:textId="77777777" w:rsidR="00EB1BF9" w:rsidRPr="00EB1BF9" w:rsidRDefault="00EB1BF9" w:rsidP="00EB1BF9">
      <w:pPr>
        <w:rPr>
          <w:lang w:eastAsia="en-AU"/>
        </w:rPr>
      </w:pPr>
      <w:r w:rsidRPr="00EB1BF9">
        <w:rPr>
          <w:lang w:eastAsia="en-AU"/>
        </w:rPr>
        <w:t>Sas, B., G. Domany, I. Gyimothy, K. G. Kovacsne, and M. Suth. 2006. Influence of the type of management system on corticosterone transfer into eggs in laying hens. Acta Veterinaria Hungarica 54:343-352. doi 10.1556/AVet.54.2006.3.5</w:t>
      </w:r>
    </w:p>
    <w:p w14:paraId="0CF438AD" w14:textId="77777777" w:rsidR="00EB1BF9" w:rsidRPr="00EB1BF9" w:rsidRDefault="00EB1BF9" w:rsidP="00EB1BF9">
      <w:pPr>
        <w:rPr>
          <w:lang w:eastAsia="en-AU"/>
        </w:rPr>
      </w:pPr>
      <w:r w:rsidRPr="00EB1BF9">
        <w:rPr>
          <w:lang w:eastAsia="en-AU"/>
        </w:rPr>
        <w:t>Saunders-Blades, J. L., J. L. MacIsaac, D. R. Korver, and D. M. Anderson. 2009. The effect of calcium source and particle size on the production performance and bone quality of laying hens. Poultry Science 88:338-353. doi 10.3382/ps.2008-00278</w:t>
      </w:r>
    </w:p>
    <w:p w14:paraId="102F0C08" w14:textId="77777777" w:rsidR="00EB1BF9" w:rsidRPr="00EB1BF9" w:rsidRDefault="00EB1BF9" w:rsidP="00EB1BF9">
      <w:pPr>
        <w:rPr>
          <w:lang w:eastAsia="en-AU"/>
        </w:rPr>
      </w:pPr>
      <w:r w:rsidRPr="00EB1BF9">
        <w:rPr>
          <w:lang w:eastAsia="en-AU"/>
        </w:rPr>
        <w:t xml:space="preserve">Savory, C. J. 1995. Feather pecking and cannibalism. </w:t>
      </w:r>
      <w:r w:rsidR="00E12232">
        <w:rPr>
          <w:lang w:eastAsia="en-AU"/>
        </w:rPr>
        <w:t>World’s</w:t>
      </w:r>
      <w:r w:rsidRPr="00EB1BF9">
        <w:rPr>
          <w:lang w:eastAsia="en-AU"/>
        </w:rPr>
        <w:t xml:space="preserve"> Poultry Science Journal 51:215-219. doi 10.1079/wps19950016</w:t>
      </w:r>
    </w:p>
    <w:p w14:paraId="77ED57CF" w14:textId="77777777" w:rsidR="00EB1BF9" w:rsidRPr="00EB1BF9" w:rsidRDefault="00EB1BF9" w:rsidP="00EB1BF9">
      <w:pPr>
        <w:rPr>
          <w:lang w:eastAsia="en-AU"/>
        </w:rPr>
      </w:pPr>
      <w:r w:rsidRPr="00EB1BF9">
        <w:rPr>
          <w:lang w:eastAsia="en-AU"/>
        </w:rPr>
        <w:t>Savory, C. J., M. C. Jack, and V. Sandilands. 2006. Behavioural responses to different floor space allowances in small groups of laying hens. British Poultry Science 47:120-124. doi 10.1080/00071660600610559</w:t>
      </w:r>
    </w:p>
    <w:p w14:paraId="674E9649" w14:textId="77777777" w:rsidR="00EB1BF9" w:rsidRPr="00EB1BF9" w:rsidRDefault="00EB1BF9" w:rsidP="00EB1BF9">
      <w:pPr>
        <w:rPr>
          <w:lang w:eastAsia="en-AU"/>
        </w:rPr>
      </w:pPr>
      <w:r w:rsidRPr="00EB1BF9">
        <w:rPr>
          <w:lang w:eastAsia="en-AU"/>
        </w:rPr>
        <w:t xml:space="preserve">Schlegel, B. J., and M. L. Brash. 2015. High mortality in laying hen pullets caused by crop and gizzard impactions associated with ingestion of bale net wrap. Canadian Veterinary Journal-Revue Veterinaire Canadienne 56:564-566. </w:t>
      </w:r>
    </w:p>
    <w:p w14:paraId="4CE8528C" w14:textId="77777777" w:rsidR="00EB1BF9" w:rsidRPr="00EB1BF9" w:rsidRDefault="00EB1BF9" w:rsidP="00EB1BF9">
      <w:pPr>
        <w:rPr>
          <w:lang w:eastAsia="en-AU"/>
        </w:rPr>
      </w:pPr>
      <w:r w:rsidRPr="00EB1BF9">
        <w:rPr>
          <w:lang w:eastAsia="en-AU"/>
        </w:rPr>
        <w:t>Scholz, B., J. B. Kjaer, S. Petow, and L. Schrader. 2014a. Dustbathing in food particles does not remove feather lipids. Poultry Science 93:1877-1882. doi 10.3382/ps.2013-03231</w:t>
      </w:r>
    </w:p>
    <w:p w14:paraId="07B3B182" w14:textId="77777777" w:rsidR="00EB1BF9" w:rsidRPr="00EB1BF9" w:rsidRDefault="00EB1BF9" w:rsidP="00EB1BF9">
      <w:pPr>
        <w:rPr>
          <w:lang w:eastAsia="en-AU"/>
        </w:rPr>
      </w:pPr>
      <w:r w:rsidRPr="00EB1BF9">
        <w:rPr>
          <w:lang w:eastAsia="en-AU"/>
        </w:rPr>
        <w:t>Scholz, B., J. B. Kjaer, and L. Schrader. 2014b. Analysis of landing behaviour of three layer lines on different perch designs. British Poultry Science 55:419-426. doi 10.1080/00071668.2014.933175</w:t>
      </w:r>
    </w:p>
    <w:p w14:paraId="13AD8A3E" w14:textId="77777777" w:rsidR="00EB1BF9" w:rsidRPr="00EB1BF9" w:rsidRDefault="00EB1BF9" w:rsidP="00EB1BF9">
      <w:pPr>
        <w:rPr>
          <w:lang w:eastAsia="en-AU"/>
        </w:rPr>
      </w:pPr>
      <w:r w:rsidRPr="00EB1BF9">
        <w:rPr>
          <w:lang w:eastAsia="en-AU"/>
        </w:rPr>
        <w:t>Scholz, B., J. B. Kjaer, S. Urselmans, and L. Schrader. 2011. Litter lipid content affects dustbathing behavior in laying hens. Poultry Science 90:2433-2439. doi 10.3382/ps.2011-01480</w:t>
      </w:r>
    </w:p>
    <w:p w14:paraId="039D20FA" w14:textId="77777777" w:rsidR="00EB1BF9" w:rsidRPr="00EB1BF9" w:rsidRDefault="00EB1BF9" w:rsidP="00EB1BF9">
      <w:pPr>
        <w:rPr>
          <w:lang w:eastAsia="en-AU"/>
        </w:rPr>
      </w:pPr>
      <w:r w:rsidRPr="00EB1BF9">
        <w:rPr>
          <w:lang w:eastAsia="en-AU"/>
        </w:rPr>
        <w:t xml:space="preserve">Scholz, B., S. </w:t>
      </w:r>
      <w:r w:rsidR="001702E8">
        <w:rPr>
          <w:lang w:eastAsia="en-AU"/>
        </w:rPr>
        <w:t>R</w:t>
      </w:r>
      <w:r w:rsidR="001702E8">
        <w:rPr>
          <w:rStyle w:val="authors"/>
        </w:rPr>
        <w:t>ö</w:t>
      </w:r>
      <w:r w:rsidRPr="00EB1BF9">
        <w:rPr>
          <w:lang w:eastAsia="en-AU"/>
        </w:rPr>
        <w:t xml:space="preserve">nchen, H. Hamann, H. Pendl, and O. Distl. 2008a. Effect of housing system, group size and perch position on H/L-ratio in laying hens. Archiv Fur Geflugelkunde 72:174-180. </w:t>
      </w:r>
    </w:p>
    <w:p w14:paraId="3E06CFFE" w14:textId="77777777" w:rsidR="00EB1BF9" w:rsidRPr="00EB1BF9" w:rsidRDefault="00EB1BF9" w:rsidP="00EB1BF9">
      <w:pPr>
        <w:rPr>
          <w:lang w:eastAsia="en-AU"/>
        </w:rPr>
      </w:pPr>
      <w:r w:rsidRPr="00EB1BF9">
        <w:rPr>
          <w:lang w:eastAsia="en-AU"/>
        </w:rPr>
        <w:t>Scholz, B., S. R</w:t>
      </w:r>
      <w:r w:rsidR="001702E8">
        <w:rPr>
          <w:rStyle w:val="authors"/>
        </w:rPr>
        <w:t>ö</w:t>
      </w:r>
      <w:r w:rsidRPr="00EB1BF9">
        <w:rPr>
          <w:lang w:eastAsia="en-AU"/>
        </w:rPr>
        <w:t>nchen, H. Hamann, and O. Distl. 2009. Bone strength and keel bone status of two layer strains kept in small group housing stems with different perch configurations and group sizes. Berliner Und Munchener Tierarztliche Wochenschrift 122:249-256. doi 10.2376/0005-9366-122-249</w:t>
      </w:r>
    </w:p>
    <w:p w14:paraId="26660D74" w14:textId="77777777" w:rsidR="00EB1BF9" w:rsidRPr="00EB1BF9" w:rsidRDefault="00EB1BF9" w:rsidP="00EB1BF9">
      <w:pPr>
        <w:rPr>
          <w:lang w:eastAsia="en-AU"/>
        </w:rPr>
      </w:pPr>
      <w:r w:rsidRPr="00EB1BF9">
        <w:rPr>
          <w:lang w:eastAsia="en-AU"/>
        </w:rPr>
        <w:t>Scholz, B., S. R</w:t>
      </w:r>
      <w:r w:rsidR="001702E8">
        <w:rPr>
          <w:rStyle w:val="authors"/>
        </w:rPr>
        <w:t>ö</w:t>
      </w:r>
      <w:r w:rsidRPr="00EB1BF9">
        <w:rPr>
          <w:lang w:eastAsia="en-AU"/>
        </w:rPr>
        <w:t>nchen, H. Hamann, C. Surie, U. Neumann, J. Kamphues, and O. Distl. 2008b. Evaluation of bone strength, keel bone deformity and egg quality of laying hens housed in small group housing systems and furnished cages in comparison to an aviary housing system. Archiv Fur Tierzucht-Archives</w:t>
      </w:r>
      <w:r w:rsidR="00281914">
        <w:rPr>
          <w:lang w:eastAsia="en-AU"/>
        </w:rPr>
        <w:t xml:space="preserve"> of Animal Breeding 51:179-186.</w:t>
      </w:r>
    </w:p>
    <w:p w14:paraId="341EEE3D" w14:textId="77777777" w:rsidR="00EB1BF9" w:rsidRPr="00EB1BF9" w:rsidRDefault="00EB1BF9" w:rsidP="00EB1BF9">
      <w:pPr>
        <w:rPr>
          <w:lang w:eastAsia="en-AU"/>
        </w:rPr>
      </w:pPr>
      <w:r w:rsidRPr="00EB1BF9">
        <w:rPr>
          <w:lang w:eastAsia="en-AU"/>
        </w:rPr>
        <w:t>Scholz, B., S. Urselmans, J. B. Kjaer, and L. Schrader. 2010. Food, wood, or plastic as substrates for dustbathing and foraging in laying hens: A preference test. Poultry Science 89:1584-1589. doi 10.3382/ps.2009-00598</w:t>
      </w:r>
    </w:p>
    <w:p w14:paraId="21A65E7F" w14:textId="77777777" w:rsidR="00EB1BF9" w:rsidRPr="00EB1BF9" w:rsidRDefault="00EB1BF9" w:rsidP="00EB1BF9">
      <w:pPr>
        <w:rPr>
          <w:lang w:eastAsia="en-AU"/>
        </w:rPr>
      </w:pPr>
      <w:r w:rsidRPr="00EB1BF9">
        <w:rPr>
          <w:lang w:eastAsia="en-AU"/>
        </w:rPr>
        <w:t>Schrader, L., and B. Muller. 2009. Night-time roosting in the domestic fowl: The height matters. Applied Animal Behaviour Science 121:179-183. doi 10.1016/j.applanim.2009.09.010</w:t>
      </w:r>
    </w:p>
    <w:p w14:paraId="0683FACB" w14:textId="77777777" w:rsidR="00EB1BF9" w:rsidRPr="00EB1BF9" w:rsidRDefault="00EB1BF9" w:rsidP="00EB1BF9">
      <w:pPr>
        <w:rPr>
          <w:lang w:eastAsia="en-AU"/>
        </w:rPr>
      </w:pPr>
      <w:r w:rsidRPr="00EB1BF9">
        <w:rPr>
          <w:lang w:eastAsia="en-AU"/>
        </w:rPr>
        <w:t>Schwean-Lardner, K., C. B. Annett-Christianson, J. Rajendram, and H. L. Classen. 2016. Does age of hot-blade trimming impact the performance and welfare of 2 strains of White Leghorn hens? Journal of Applied Poultry Research 25:547-560. doi 10.3382/japr/pfw037</w:t>
      </w:r>
    </w:p>
    <w:p w14:paraId="1038EA42" w14:textId="77777777" w:rsidR="00EB1BF9" w:rsidRPr="00EB1BF9" w:rsidRDefault="00EB1BF9" w:rsidP="00EB1BF9">
      <w:pPr>
        <w:rPr>
          <w:lang w:eastAsia="en-AU"/>
        </w:rPr>
      </w:pPr>
      <w:r w:rsidRPr="00EB1BF9">
        <w:rPr>
          <w:lang w:eastAsia="en-AU"/>
        </w:rPr>
        <w:t>Scott, G. B., and G. MacAngus. 2004. The ability of laying hens to negotiate perches of different materials with clean or dirty surfa</w:t>
      </w:r>
      <w:r w:rsidR="00281914">
        <w:rPr>
          <w:lang w:eastAsia="en-AU"/>
        </w:rPr>
        <w:t>ces. Animal Welfare 13:361-365.</w:t>
      </w:r>
    </w:p>
    <w:p w14:paraId="727F9567" w14:textId="77777777" w:rsidR="00EB1BF9" w:rsidRPr="00EB1BF9" w:rsidRDefault="00EB1BF9" w:rsidP="00EB1BF9">
      <w:pPr>
        <w:rPr>
          <w:lang w:eastAsia="en-AU"/>
        </w:rPr>
      </w:pPr>
      <w:r w:rsidRPr="00EB1BF9">
        <w:rPr>
          <w:lang w:eastAsia="en-AU"/>
        </w:rPr>
        <w:t>Sepeur, S., B. Spindler, M. Schulze-Bisping, C. Habig, R. Andersson, M. Beyerbach, and N. Kemper. 2015. Comparison of plumage condition of laying hens with intact and trimmed beaks kept on commercial farms. European Poultry Science 79. doi 10.1399/eps.2015.116</w:t>
      </w:r>
    </w:p>
    <w:p w14:paraId="23938FCC" w14:textId="77777777" w:rsidR="00EB1BF9" w:rsidRPr="00EB1BF9" w:rsidRDefault="00EB1BF9" w:rsidP="00EB1BF9">
      <w:pPr>
        <w:rPr>
          <w:lang w:eastAsia="en-AU"/>
        </w:rPr>
      </w:pPr>
      <w:r w:rsidRPr="00EB1BF9">
        <w:rPr>
          <w:lang w:eastAsia="en-AU"/>
        </w:rPr>
        <w:t>Sgavioli, S., R. D. Filardi, M. Praes, V. Assuena, J. Pileggi, P. D. Andrade, I. C. Boleli, and O. M. Junqueira. 2011. Performance of Layers Submitted to Different Forced Molting Methods and Different Temperatures. Brazilian Journal</w:t>
      </w:r>
      <w:r w:rsidR="00281914">
        <w:rPr>
          <w:lang w:eastAsia="en-AU"/>
        </w:rPr>
        <w:t xml:space="preserve"> of Poultry Science 13:207-210.</w:t>
      </w:r>
    </w:p>
    <w:p w14:paraId="6F0056DB" w14:textId="77777777" w:rsidR="00EB1BF9" w:rsidRPr="00EB1BF9" w:rsidRDefault="00EB1BF9" w:rsidP="00EB1BF9">
      <w:pPr>
        <w:rPr>
          <w:lang w:eastAsia="en-AU"/>
        </w:rPr>
      </w:pPr>
      <w:r w:rsidRPr="00EB1BF9">
        <w:rPr>
          <w:lang w:eastAsia="en-AU"/>
        </w:rPr>
        <w:t xml:space="preserve">Sgavioli, S., R. D. Filardi, M. Praes, C. H. D. Domingues, P. D. Andrade, J. Pileggi, I. C. Boleli, and O. M. Junqueira. 2013. Effect of Forced-Molting Methods and Rearing Temperatures on The Performance and Organ Biometrics of Laying Hens. Brazilian Journal of Poultry Science 15:239-245. </w:t>
      </w:r>
    </w:p>
    <w:p w14:paraId="7B10EFEA" w14:textId="77777777" w:rsidR="00EB1BF9" w:rsidRPr="00EB1BF9" w:rsidRDefault="00EB1BF9" w:rsidP="00EB1BF9">
      <w:pPr>
        <w:rPr>
          <w:lang w:eastAsia="en-AU"/>
        </w:rPr>
      </w:pPr>
      <w:r w:rsidRPr="00EB1BF9">
        <w:rPr>
          <w:lang w:eastAsia="en-AU"/>
        </w:rPr>
        <w:t>Sherwin, C. M., M. A. F. Nasr, E. Gale, M. Petek, K. Stafford, M. Turp, and G. C. Coles. 2013. Prevalence of nematode infection and faecal egg counts in free-range laying hens: relations to housing and husbandry. British Poultry Science 54:12-23. doi 10.1080/00071668.2012.757577</w:t>
      </w:r>
    </w:p>
    <w:p w14:paraId="53D0D4A0" w14:textId="77777777" w:rsidR="00EB1BF9" w:rsidRPr="00EB1BF9" w:rsidRDefault="00EB1BF9" w:rsidP="00EB1BF9">
      <w:pPr>
        <w:rPr>
          <w:lang w:eastAsia="en-AU"/>
        </w:rPr>
      </w:pPr>
      <w:r w:rsidRPr="00EB1BF9">
        <w:rPr>
          <w:lang w:eastAsia="en-AU"/>
        </w:rPr>
        <w:t>Sherwin, C. M., and C. J. Nicol. 1993. Factors influencing floor-laying by hens in modified cages. Applied Animal Behaviour Science 36:211-222. doi 10.1016/0168-1591(93)90011-d</w:t>
      </w:r>
    </w:p>
    <w:p w14:paraId="0D79D844" w14:textId="77777777" w:rsidR="00EB1BF9" w:rsidRPr="00EB1BF9" w:rsidRDefault="00EB1BF9" w:rsidP="00EB1BF9">
      <w:pPr>
        <w:rPr>
          <w:lang w:val="en-AU" w:eastAsia="en-AU"/>
        </w:rPr>
      </w:pPr>
      <w:r w:rsidRPr="00EB1BF9">
        <w:rPr>
          <w:lang w:val="en-AU" w:eastAsia="en-AU"/>
        </w:rPr>
        <w:t xml:space="preserve">Sherwin, C. M., </w:t>
      </w:r>
      <w:r w:rsidR="00281914">
        <w:rPr>
          <w:lang w:val="en-AU" w:eastAsia="en-AU"/>
        </w:rPr>
        <w:t xml:space="preserve">G. J. </w:t>
      </w:r>
      <w:r w:rsidRPr="00EB1BF9">
        <w:rPr>
          <w:lang w:val="en-AU" w:eastAsia="en-AU"/>
        </w:rPr>
        <w:t xml:space="preserve">Richards, and </w:t>
      </w:r>
      <w:r w:rsidR="00281914">
        <w:rPr>
          <w:lang w:val="en-AU" w:eastAsia="en-AU"/>
        </w:rPr>
        <w:t xml:space="preserve">C. J. </w:t>
      </w:r>
      <w:r w:rsidRPr="00EB1BF9">
        <w:rPr>
          <w:lang w:val="en-AU" w:eastAsia="en-AU"/>
        </w:rPr>
        <w:t xml:space="preserve">Nicol. 2010. Comparison of the welfare of layer hens in 4 housing systems in the UK. </w:t>
      </w:r>
      <w:r w:rsidRPr="00EB1BF9">
        <w:rPr>
          <w:iCs/>
          <w:lang w:val="en-AU" w:eastAsia="en-AU"/>
        </w:rPr>
        <w:t>British Poultry Science</w:t>
      </w:r>
      <w:r w:rsidRPr="00EB1BF9">
        <w:rPr>
          <w:lang w:val="en-AU" w:eastAsia="en-AU"/>
        </w:rPr>
        <w:t xml:space="preserve"> </w:t>
      </w:r>
      <w:r w:rsidRPr="00EB1BF9">
        <w:rPr>
          <w:iCs/>
          <w:lang w:val="en-AU" w:eastAsia="en-AU"/>
        </w:rPr>
        <w:t>51</w:t>
      </w:r>
      <w:r w:rsidR="00281914">
        <w:rPr>
          <w:iCs/>
          <w:lang w:val="en-AU" w:eastAsia="en-AU"/>
        </w:rPr>
        <w:t>:</w:t>
      </w:r>
      <w:r w:rsidRPr="00EB1BF9">
        <w:rPr>
          <w:lang w:val="en-AU" w:eastAsia="en-AU"/>
        </w:rPr>
        <w:t xml:space="preserve"> 488-499.</w:t>
      </w:r>
    </w:p>
    <w:p w14:paraId="166A6FE3" w14:textId="77777777" w:rsidR="00EB1BF9" w:rsidRPr="00EB1BF9" w:rsidRDefault="00EB1BF9" w:rsidP="00EB1BF9">
      <w:pPr>
        <w:rPr>
          <w:lang w:eastAsia="en-AU"/>
        </w:rPr>
      </w:pPr>
      <w:r w:rsidRPr="00EB1BF9">
        <w:rPr>
          <w:lang w:eastAsia="en-AU"/>
        </w:rPr>
        <w:t>Shimmura, T., T. Azuma, Y. Eguchi, K. Uetake, and T. Tanaka. 2009. Effects of separation of resources on behaviour, physical condition and production of laying hens in furnished cages. British Poultry Science 50:39-46. doi 10.1080/00071660802613260</w:t>
      </w:r>
    </w:p>
    <w:p w14:paraId="0C532060" w14:textId="77777777" w:rsidR="00EB1BF9" w:rsidRDefault="00EB1BF9" w:rsidP="00EB1BF9">
      <w:pPr>
        <w:rPr>
          <w:lang w:eastAsia="en-AU"/>
        </w:rPr>
      </w:pPr>
      <w:r w:rsidRPr="00EB1BF9">
        <w:rPr>
          <w:lang w:eastAsia="en-AU"/>
        </w:rPr>
        <w:t>Shimmura, T., T. Azuma, S. Hirahara, Y. Eguchi, K. Uetake, and T. Tanaka. 2008a. Relation between social order and use of resources in small and large furnished cages for laying hens. British Poultry Science 49:516-524. doi 10.1080/00071660802302203</w:t>
      </w:r>
    </w:p>
    <w:p w14:paraId="6C0DAC3C" w14:textId="77777777" w:rsidR="00AE1B86" w:rsidRPr="00EB1BF9" w:rsidRDefault="00AE1B86" w:rsidP="00EB1BF9">
      <w:pPr>
        <w:rPr>
          <w:lang w:eastAsia="en-AU"/>
        </w:rPr>
      </w:pPr>
      <w:r w:rsidRPr="00AE1B86">
        <w:rPr>
          <w:lang w:eastAsia="en-AU"/>
        </w:rPr>
        <w:t xml:space="preserve">Shimmura, T., </w:t>
      </w:r>
      <w:r>
        <w:rPr>
          <w:lang w:eastAsia="en-AU"/>
        </w:rPr>
        <w:t xml:space="preserve">Y. </w:t>
      </w:r>
      <w:r w:rsidRPr="00AE1B86">
        <w:rPr>
          <w:lang w:eastAsia="en-AU"/>
        </w:rPr>
        <w:t xml:space="preserve">Eguchi, </w:t>
      </w:r>
      <w:r>
        <w:rPr>
          <w:lang w:eastAsia="en-AU"/>
        </w:rPr>
        <w:t xml:space="preserve">K. </w:t>
      </w:r>
      <w:r w:rsidRPr="00AE1B86">
        <w:rPr>
          <w:lang w:eastAsia="en-AU"/>
        </w:rPr>
        <w:t xml:space="preserve">Uetake, and </w:t>
      </w:r>
      <w:r>
        <w:rPr>
          <w:lang w:eastAsia="en-AU"/>
        </w:rPr>
        <w:t xml:space="preserve">T. </w:t>
      </w:r>
      <w:r w:rsidRPr="00AE1B86">
        <w:rPr>
          <w:lang w:eastAsia="en-AU"/>
        </w:rPr>
        <w:t>Tanaka. 2006. Behavioral changes in laying hens after introduction to battery cages, furnished cages and an avi</w:t>
      </w:r>
      <w:r>
        <w:rPr>
          <w:lang w:eastAsia="en-AU"/>
        </w:rPr>
        <w:t>ary. Animal Science Journal 77:</w:t>
      </w:r>
      <w:r w:rsidRPr="00AE1B86">
        <w:rPr>
          <w:lang w:eastAsia="en-AU"/>
        </w:rPr>
        <w:t>242-249</w:t>
      </w:r>
      <w:r>
        <w:rPr>
          <w:lang w:eastAsia="en-AU"/>
        </w:rPr>
        <w:t>.</w:t>
      </w:r>
    </w:p>
    <w:p w14:paraId="63955DD3" w14:textId="77777777" w:rsidR="00EB1BF9" w:rsidRPr="00EB1BF9" w:rsidRDefault="00EB1BF9" w:rsidP="00EB1BF9">
      <w:pPr>
        <w:rPr>
          <w:lang w:eastAsia="en-AU"/>
        </w:rPr>
      </w:pPr>
      <w:r w:rsidRPr="00EB1BF9">
        <w:rPr>
          <w:lang w:eastAsia="en-AU"/>
        </w:rPr>
        <w:t>Shimmura, T., Y. Eguchi, K. Uetake, and T. Tanaka. 2007a. Behavior, performance and physical condition of laying hens in conventional and small furnished cages. Animal Science Journal 78:323-329. doi 10.1111/j.1740-0929.2007.00442.x</w:t>
      </w:r>
    </w:p>
    <w:p w14:paraId="743D545F" w14:textId="77777777" w:rsidR="00EB1BF9" w:rsidRPr="00EB1BF9" w:rsidRDefault="00EB1BF9" w:rsidP="00EB1BF9">
      <w:pPr>
        <w:rPr>
          <w:lang w:eastAsia="en-AU"/>
        </w:rPr>
      </w:pPr>
      <w:r w:rsidRPr="00EB1BF9">
        <w:rPr>
          <w:lang w:eastAsia="en-AU"/>
        </w:rPr>
        <w:t>Shimmura, T., Y. Eguchi, K. Uetake, and T. Tanaka. 2007b. Differences of behavior, use of resources and physical conditions between dominant and subordinate hens in furnished cages. Animal Science Journal 78:307-313. doi 10.1111/j.1740-0929.2007.00440.x</w:t>
      </w:r>
    </w:p>
    <w:p w14:paraId="6FDAAFDA" w14:textId="77777777" w:rsidR="00EB1BF9" w:rsidRPr="00EB1BF9" w:rsidRDefault="00EB1BF9" w:rsidP="00EB1BF9">
      <w:pPr>
        <w:rPr>
          <w:lang w:eastAsia="en-AU"/>
        </w:rPr>
      </w:pPr>
      <w:r w:rsidRPr="00EB1BF9">
        <w:rPr>
          <w:lang w:eastAsia="en-AU"/>
        </w:rPr>
        <w:t>Shimmura, T., Y. Eguchi, K. Uetake, and T. Tanaka. 2008b. Comparison of behavior, physical condition and performance of laying hens in four molting methods. Animal Science Journal 79:129-138. doi 10.1111/j.1740-0929.2007.00508.x</w:t>
      </w:r>
    </w:p>
    <w:p w14:paraId="33993B67" w14:textId="77777777" w:rsidR="00EB1BF9" w:rsidRPr="00EB1BF9" w:rsidRDefault="00EB1BF9" w:rsidP="00EB1BF9">
      <w:pPr>
        <w:rPr>
          <w:lang w:eastAsia="en-AU"/>
        </w:rPr>
      </w:pPr>
      <w:r w:rsidRPr="00EB1BF9">
        <w:rPr>
          <w:lang w:eastAsia="en-AU"/>
        </w:rPr>
        <w:t>Shimmura, T., Y. Eguchi, K. Uetake, and T. Tanaka. 2008c. Effects of separation of resources on behaviour of high-, medium- and low-ranked hens in furnished cages. Applied Animal Behaviour Science 113:74-86. doi 10.1016/j.applanim.2007.11.007</w:t>
      </w:r>
    </w:p>
    <w:p w14:paraId="1888A5FA" w14:textId="77777777" w:rsidR="00EB1BF9" w:rsidRPr="00EB1BF9" w:rsidRDefault="00EB1BF9" w:rsidP="00EB1BF9">
      <w:pPr>
        <w:rPr>
          <w:lang w:eastAsia="en-AU"/>
        </w:rPr>
      </w:pPr>
      <w:r w:rsidRPr="00EB1BF9">
        <w:rPr>
          <w:lang w:eastAsia="en-AU"/>
        </w:rPr>
        <w:t>Shimmura, T., S. Hirahara, T. Azuma, T. Suzuki, Y. Eguchi, K. Uetake, and T. Tanaka. 2010a. Multi-factorial investigation of various housing systems for laying hens. British Poultry Science 51:31-42. doi 10.1080/00071660903421167</w:t>
      </w:r>
    </w:p>
    <w:p w14:paraId="4D542D34" w14:textId="77777777" w:rsidR="00EB1BF9" w:rsidRPr="00EB1BF9" w:rsidRDefault="00EB1BF9" w:rsidP="00EB1BF9">
      <w:pPr>
        <w:rPr>
          <w:lang w:eastAsia="en-AU"/>
        </w:rPr>
      </w:pPr>
      <w:r w:rsidRPr="00EB1BF9">
        <w:rPr>
          <w:lang w:eastAsia="en-AU"/>
        </w:rPr>
        <w:t>Shimmura, T., S. Hirahara, Y. Eguchi, K. Uetake, and T. Tanaka. 2007c. Behavior, physiology, performance and physical condition of layers in conventional and large furnished cages in a hot environment. Animal Science Journal 78:314-322. doi 10.1111/j.1740-0929.2007.00441.x</w:t>
      </w:r>
    </w:p>
    <w:p w14:paraId="31570560" w14:textId="77777777" w:rsidR="00EB1BF9" w:rsidRPr="00EB1BF9" w:rsidRDefault="00EB1BF9" w:rsidP="00EB1BF9">
      <w:pPr>
        <w:rPr>
          <w:lang w:eastAsia="en-AU"/>
        </w:rPr>
      </w:pPr>
      <w:r w:rsidRPr="00EB1BF9">
        <w:rPr>
          <w:lang w:eastAsia="en-AU"/>
        </w:rPr>
        <w:t>Shimmura, T., T. Nakamura, T. Azuma, Y. Eguchi, K. Uetake, and T. Tanaka. 2010b. Effects of social rank and familiarity on dustbathing in domestic</w:t>
      </w:r>
      <w:r w:rsidR="00281914">
        <w:rPr>
          <w:lang w:eastAsia="en-AU"/>
        </w:rPr>
        <w:t xml:space="preserve"> fowl. Animal Welfare 19:67-73.</w:t>
      </w:r>
    </w:p>
    <w:p w14:paraId="7275F369" w14:textId="77777777" w:rsidR="00EB1BF9" w:rsidRPr="00EB1BF9" w:rsidRDefault="00EB1BF9" w:rsidP="00EB1BF9">
      <w:pPr>
        <w:rPr>
          <w:lang w:eastAsia="en-AU"/>
        </w:rPr>
      </w:pPr>
      <w:r w:rsidRPr="00EB1BF9">
        <w:rPr>
          <w:lang w:eastAsia="en-AU"/>
        </w:rPr>
        <w:t>Shimmura, T., T. Suzuki, S. Hirahara, Y. Eguchi, K. Uetake, and T. Tanaka. 2008d. Pecking behaviour of laying hens in single-tiered aviaries with and without outdoor area. British Poultry Science 49:396-401. doi 10.1080/00071660802262043</w:t>
      </w:r>
    </w:p>
    <w:p w14:paraId="3208048C" w14:textId="77777777" w:rsidR="00EB1BF9" w:rsidRPr="00EB1BF9" w:rsidRDefault="00EB1BF9" w:rsidP="00EB1BF9">
      <w:pPr>
        <w:rPr>
          <w:lang w:eastAsia="en-AU"/>
        </w:rPr>
      </w:pPr>
      <w:r w:rsidRPr="00EB1BF9">
        <w:rPr>
          <w:lang w:eastAsia="en-AU"/>
        </w:rPr>
        <w:t>Shini, S., P. Kaiser, A. Shini, and W. L. Bryden. 2008. Differential alterations in ultrastructural morphology of chicken heterophils and lymphocytes induced by corticosterone and lipopolysaccharide. Veterinary Immunology and Immunopathology 122:83-93. doi 10.1016/j.vetimm.2007.10.009</w:t>
      </w:r>
    </w:p>
    <w:p w14:paraId="78A33D02" w14:textId="77777777" w:rsidR="00EB1BF9" w:rsidRPr="00EB1BF9" w:rsidRDefault="00EB1BF9" w:rsidP="00EB1BF9">
      <w:pPr>
        <w:rPr>
          <w:lang w:eastAsia="en-AU"/>
        </w:rPr>
      </w:pPr>
      <w:r w:rsidRPr="00EB1BF9">
        <w:rPr>
          <w:lang w:eastAsia="en-AU"/>
        </w:rPr>
        <w:t>Shini, S., A. Shini, and P. J. Blackall. 2013. The potential for probiotics to prevent reproductive tract lesions in free-range laying hens. Animal Production Science 53:1298-1308. doi 10.1071/an12337</w:t>
      </w:r>
    </w:p>
    <w:p w14:paraId="296860E0" w14:textId="77777777" w:rsidR="00EB1BF9" w:rsidRPr="00EB1BF9" w:rsidRDefault="00EB1BF9" w:rsidP="00EB1BF9">
      <w:pPr>
        <w:rPr>
          <w:lang w:eastAsia="en-AU"/>
        </w:rPr>
      </w:pPr>
      <w:r w:rsidRPr="00EB1BF9">
        <w:rPr>
          <w:lang w:eastAsia="en-AU"/>
        </w:rPr>
        <w:t>Shinmura, T., Y. Eguchi, K. Lietake, and T. Tanaka. 2006a. Behavioral changes in laying hens after introduction to battery cages, furnished cages and an aviary. Animal Science Journal 77:242-249. doi 10.1111/j.1740-0929.2006.00344.x</w:t>
      </w:r>
    </w:p>
    <w:p w14:paraId="245941A0" w14:textId="77777777" w:rsidR="00EB1BF9" w:rsidRPr="00EB1BF9" w:rsidRDefault="00EB1BF9" w:rsidP="00EB1BF9">
      <w:pPr>
        <w:rPr>
          <w:lang w:eastAsia="en-AU"/>
        </w:rPr>
      </w:pPr>
      <w:r w:rsidRPr="00EB1BF9">
        <w:rPr>
          <w:lang w:eastAsia="en-AU"/>
        </w:rPr>
        <w:t>Shinmura, T., Y. Eguchi, K. Uetake, and T. Tanaka. 2006b. Effects of light intensity and beak trimming on preventing aggression in laying hens. Animal Science Journal 77:447-453. doi 10.1111/j.1740-0929.2006.00371.x</w:t>
      </w:r>
    </w:p>
    <w:p w14:paraId="0F375F36" w14:textId="77777777" w:rsidR="00EB1BF9" w:rsidRPr="00EB1BF9" w:rsidRDefault="00EB1BF9" w:rsidP="00EB1BF9">
      <w:pPr>
        <w:rPr>
          <w:lang w:eastAsia="en-AU"/>
        </w:rPr>
      </w:pPr>
      <w:r w:rsidRPr="00EB1BF9">
        <w:rPr>
          <w:lang w:eastAsia="en-AU"/>
        </w:rPr>
        <w:t>Silva-Mendonca, M. C. A., N. S. Fagundes, G. A. Mendonca, F. C. Goncalves, B. B. Fonseca, A. V. Mundim, and E. A. Fernandes. 2015. Comparison of moulting methods for layers: high-zinc diet versus fasting. British Poultry Science 56:598-604. doi 10.1080/00071668.2015.1084412</w:t>
      </w:r>
    </w:p>
    <w:p w14:paraId="5A4C440D" w14:textId="77777777" w:rsidR="00EB1BF9" w:rsidRPr="00EB1BF9" w:rsidRDefault="00EB1BF9" w:rsidP="00EB1BF9">
      <w:pPr>
        <w:rPr>
          <w:lang w:eastAsia="en-AU"/>
        </w:rPr>
      </w:pPr>
      <w:r w:rsidRPr="00EB1BF9">
        <w:rPr>
          <w:lang w:eastAsia="en-AU"/>
        </w:rPr>
        <w:t xml:space="preserve">Silversides, F. G., D. R. Korver, and K. L. Budgell. 2006. Effect of strain of layer and age at photostimulation on egg production, egg quality, and bone strength. Poultry Science 85:1136-1144. </w:t>
      </w:r>
    </w:p>
    <w:p w14:paraId="3ADB91B9" w14:textId="77777777" w:rsidR="00EB1BF9" w:rsidRPr="00EB1BF9" w:rsidRDefault="00EB1BF9" w:rsidP="00EB1BF9">
      <w:pPr>
        <w:rPr>
          <w:lang w:eastAsia="en-AU"/>
        </w:rPr>
      </w:pPr>
      <w:r w:rsidRPr="00EB1BF9">
        <w:rPr>
          <w:lang w:eastAsia="en-AU"/>
        </w:rPr>
        <w:t>Silversides, F. G., R. Singh, K. M. Cheng, and D. R. Korver. 2012. Comparison of bones of 4 strains of laying hens kept in conventional cages and floor pens. Poultry Science 91:1-7. doi 10.3382/ps.2011-01453</w:t>
      </w:r>
    </w:p>
    <w:p w14:paraId="1472285F" w14:textId="77777777" w:rsidR="00EB1BF9" w:rsidRPr="00EB1BF9" w:rsidRDefault="00EB1BF9" w:rsidP="00EB1BF9">
      <w:pPr>
        <w:rPr>
          <w:lang w:eastAsia="en-AU"/>
        </w:rPr>
      </w:pPr>
      <w:r w:rsidRPr="00EB1BF9">
        <w:rPr>
          <w:lang w:eastAsia="en-AU"/>
        </w:rPr>
        <w:t>Singh, R., K. M. Che</w:t>
      </w:r>
      <w:r w:rsidR="00095EAA">
        <w:rPr>
          <w:lang w:eastAsia="en-AU"/>
        </w:rPr>
        <w:t>ng, and F. G. Silversides. 2009</w:t>
      </w:r>
      <w:r w:rsidRPr="00EB1BF9">
        <w:rPr>
          <w:lang w:eastAsia="en-AU"/>
        </w:rPr>
        <w:t>. Production performance and egg quality of four strains of laying hens kept in conventional cages and floor pens. Poultry Science 88:256-264. doi 10.3382/ps.2008-00237</w:t>
      </w:r>
    </w:p>
    <w:p w14:paraId="7A8386E5" w14:textId="77777777" w:rsidR="00EB1BF9" w:rsidRPr="00EB1BF9" w:rsidRDefault="00EB1BF9" w:rsidP="00EB1BF9">
      <w:pPr>
        <w:rPr>
          <w:lang w:eastAsia="en-AU"/>
        </w:rPr>
      </w:pPr>
      <w:r w:rsidRPr="00EB1BF9">
        <w:rPr>
          <w:lang w:eastAsia="en-AU"/>
        </w:rPr>
        <w:t>Soe, H. Y., M. Yayota, and S. Ohtani. 2009. Effects of Molt-induction Period on Induction of Molt and Post-molt Performance in Laying Hens. Journal of Poultry Science 46:203-211. doi 10.2141/jpsa.46.203</w:t>
      </w:r>
    </w:p>
    <w:p w14:paraId="22DAFCD9" w14:textId="77777777" w:rsidR="00EB1BF9" w:rsidRPr="00EB1BF9" w:rsidRDefault="00EB1BF9" w:rsidP="00EB1BF9">
      <w:pPr>
        <w:rPr>
          <w:lang w:eastAsia="en-AU"/>
        </w:rPr>
      </w:pPr>
      <w:r w:rsidRPr="00EB1BF9">
        <w:rPr>
          <w:lang w:eastAsia="en-AU"/>
        </w:rPr>
        <w:t xml:space="preserve">Sohail, S. S., M. M. Bryant, and D. A. Roland. 2004. Effect of reducing cage density on performance and economics of second-cycle (force rested) commercial leghorns. Journal of Applied Poultry Research 13:401-405. </w:t>
      </w:r>
    </w:p>
    <w:p w14:paraId="4622DBD6" w14:textId="77777777" w:rsidR="00EB1BF9" w:rsidRPr="00EB1BF9" w:rsidRDefault="00EB1BF9" w:rsidP="00EB1BF9">
      <w:pPr>
        <w:rPr>
          <w:lang w:eastAsia="en-AU"/>
        </w:rPr>
      </w:pPr>
      <w:r w:rsidRPr="00EB1BF9">
        <w:rPr>
          <w:lang w:eastAsia="en-AU"/>
        </w:rPr>
        <w:t xml:space="preserve">Sossidou, E. N., A. Dal Bosco, H. A. Elson, and C. Fontes. 2011. Pasture-based systems for poultry production: implications and perspectives. </w:t>
      </w:r>
      <w:r w:rsidR="00E12232">
        <w:rPr>
          <w:lang w:eastAsia="en-AU"/>
        </w:rPr>
        <w:t>World’s</w:t>
      </w:r>
      <w:r w:rsidRPr="00EB1BF9">
        <w:rPr>
          <w:lang w:eastAsia="en-AU"/>
        </w:rPr>
        <w:t xml:space="preserve"> Poultry Science Journal 67:47-58. doi 10.1017/s0043933911000043</w:t>
      </w:r>
    </w:p>
    <w:p w14:paraId="425873C3" w14:textId="77777777" w:rsidR="00EB1BF9" w:rsidRPr="00EB1BF9" w:rsidRDefault="00EB1BF9" w:rsidP="00EB1BF9">
      <w:pPr>
        <w:rPr>
          <w:lang w:eastAsia="en-AU"/>
        </w:rPr>
      </w:pPr>
      <w:r w:rsidRPr="00EB1BF9">
        <w:rPr>
          <w:lang w:eastAsia="en-AU"/>
        </w:rPr>
        <w:t>Sparks, N. H. C., M. A. Conroy, and V. Sandilands. 2008. Socio-economic drivers for UK organic pullet rearers and the implications for poultry health. British Poultry Science 49:525-532. doi 10.1080/00071660802290416</w:t>
      </w:r>
    </w:p>
    <w:p w14:paraId="565DE392" w14:textId="77777777" w:rsidR="00EB1BF9" w:rsidRPr="00EB1BF9" w:rsidRDefault="00EB1BF9" w:rsidP="00EB1BF9">
      <w:pPr>
        <w:rPr>
          <w:lang w:eastAsia="en-AU"/>
        </w:rPr>
      </w:pPr>
      <w:r w:rsidRPr="00EB1BF9">
        <w:rPr>
          <w:lang w:eastAsia="en-AU"/>
        </w:rPr>
        <w:t>Staack, M., B. Gruber, C. Keppler, K. Zaludik, K. Niebuhr, and U. Knierim. 2007. Importance of the rearing period for laying hens in alternative systems. Deutsche Tierarztliche Wochenschrift 114:86-90. doi 10.2377/0341-6593-114-86</w:t>
      </w:r>
    </w:p>
    <w:p w14:paraId="6AF028CF" w14:textId="77777777" w:rsidR="00EB1BF9" w:rsidRPr="00EB1BF9" w:rsidRDefault="00EB1BF9" w:rsidP="00EB1BF9">
      <w:pPr>
        <w:rPr>
          <w:lang w:eastAsia="en-AU"/>
        </w:rPr>
      </w:pPr>
      <w:r w:rsidRPr="00EB1BF9">
        <w:rPr>
          <w:lang w:eastAsia="en-AU"/>
        </w:rPr>
        <w:t>St</w:t>
      </w:r>
      <w:r w:rsidR="00DE4720" w:rsidRPr="00DE4720">
        <w:rPr>
          <w:lang w:eastAsia="en-AU"/>
        </w:rPr>
        <w:t>äm</w:t>
      </w:r>
      <w:r w:rsidRPr="00EB1BF9">
        <w:rPr>
          <w:lang w:eastAsia="en-AU"/>
        </w:rPr>
        <w:t>pfli, K., T. Buchwalder, E. K. F. Frohlich, and B. A. Roth. 2012. Influence of front curtain design on nest choice by laying hens. British Poultry Science 53:553-560. doi 10.1080/00071668.2012.725201</w:t>
      </w:r>
    </w:p>
    <w:p w14:paraId="1A5A8610" w14:textId="77777777" w:rsidR="00EB1BF9" w:rsidRPr="00EB1BF9" w:rsidRDefault="00EB1BF9" w:rsidP="00EB1BF9">
      <w:pPr>
        <w:rPr>
          <w:lang w:eastAsia="en-AU"/>
        </w:rPr>
      </w:pPr>
      <w:r w:rsidRPr="00EB1BF9">
        <w:rPr>
          <w:lang w:eastAsia="en-AU"/>
        </w:rPr>
        <w:t>St</w:t>
      </w:r>
      <w:r w:rsidR="00DE4720" w:rsidRPr="00DE4720">
        <w:rPr>
          <w:lang w:eastAsia="en-AU"/>
        </w:rPr>
        <w:t>äm</w:t>
      </w:r>
      <w:r w:rsidRPr="00EB1BF9">
        <w:rPr>
          <w:lang w:eastAsia="en-AU"/>
        </w:rPr>
        <w:t>pfli, K., T. Buchwalder, E. K. F. Frohlich, and B. A. Roth. 2013. Design of nest access grids and perches in front of the nests: Influence on the behavior of laying hens. Poultry Science 92:890-899. doi 10.3382/ps.2011-02046</w:t>
      </w:r>
    </w:p>
    <w:p w14:paraId="1DD5C6D7" w14:textId="77777777" w:rsidR="00EB1BF9" w:rsidRPr="00EB1BF9" w:rsidRDefault="00EB1BF9" w:rsidP="00EB1BF9">
      <w:pPr>
        <w:rPr>
          <w:lang w:eastAsia="en-AU"/>
        </w:rPr>
      </w:pPr>
      <w:r w:rsidRPr="00EB1BF9">
        <w:rPr>
          <w:lang w:eastAsia="en-AU"/>
        </w:rPr>
        <w:t>St</w:t>
      </w:r>
      <w:r w:rsidR="00DE4720" w:rsidRPr="00DE4720">
        <w:rPr>
          <w:lang w:eastAsia="en-AU"/>
        </w:rPr>
        <w:t>äm</w:t>
      </w:r>
      <w:r w:rsidRPr="00EB1BF9">
        <w:rPr>
          <w:lang w:eastAsia="en-AU"/>
        </w:rPr>
        <w:t>pfli, K., B. A. Roth, T. Buchwalder, and E. K. F. Frohlich. 2011. Influence of nest-floor slope on the nest choice of laying hens. Applied Animal Behaviour Science 135:286-292. doi 10.1016/j.applanim.2011.10.008</w:t>
      </w:r>
    </w:p>
    <w:p w14:paraId="2D39F455" w14:textId="77777777" w:rsidR="00EB1BF9" w:rsidRPr="00EB1BF9" w:rsidRDefault="00EB1BF9" w:rsidP="00EB1BF9">
      <w:pPr>
        <w:rPr>
          <w:lang w:eastAsia="en-AU"/>
        </w:rPr>
      </w:pPr>
      <w:r w:rsidRPr="00EB1BF9">
        <w:rPr>
          <w:lang w:eastAsia="en-AU"/>
        </w:rPr>
        <w:t>Steenfeldt, S., J. B. Kjaer, and R. M. Engberg. 2007. Effect of feeding silages or carrots as supplements to laying hens on production performance, nutrient digestibility, gut structure, gut microflora and feather pecking behaviour. British Poultry Science 48:454-468. doi 10.1080/00071660701473857</w:t>
      </w:r>
    </w:p>
    <w:p w14:paraId="235F2CA2" w14:textId="77777777" w:rsidR="00EB1BF9" w:rsidRPr="00EB1BF9" w:rsidRDefault="00EB1BF9" w:rsidP="00EB1BF9">
      <w:pPr>
        <w:rPr>
          <w:lang w:eastAsia="en-AU"/>
        </w:rPr>
      </w:pPr>
      <w:r w:rsidRPr="00EB1BF9">
        <w:rPr>
          <w:lang w:eastAsia="en-AU"/>
        </w:rPr>
        <w:t>Steenfeldt, S., and B. L. Nielsen. 2015a. Welfare of organic laying hens kept at different indoor stocking densities in a multi-tier aviary system. I: egg laying, and use of veranda and outdoor area. Animal 9:1509-1517. doi 10.1017/s1751731115000713</w:t>
      </w:r>
    </w:p>
    <w:p w14:paraId="15400ED5" w14:textId="77777777" w:rsidR="00EB1BF9" w:rsidRPr="00EB1BF9" w:rsidRDefault="00EB1BF9" w:rsidP="00EB1BF9">
      <w:pPr>
        <w:rPr>
          <w:lang w:eastAsia="en-AU"/>
        </w:rPr>
      </w:pPr>
      <w:r w:rsidRPr="00EB1BF9">
        <w:rPr>
          <w:lang w:eastAsia="en-AU"/>
        </w:rPr>
        <w:t>Steenfeldt, S., and B. L. Nielsen. 2015b. Welfare of organic laying hens kept at different indoor stocking densities in a multi-tier aviary system. II: live weight, health measures and perching. Animal 9:1518-1528. doi 10.1017/s1751731115000725</w:t>
      </w:r>
    </w:p>
    <w:p w14:paraId="5585BBE6" w14:textId="77777777" w:rsidR="00EB1BF9" w:rsidRPr="00EB1BF9" w:rsidRDefault="00EB1BF9" w:rsidP="00EB1BF9">
      <w:pPr>
        <w:rPr>
          <w:lang w:eastAsia="en-AU"/>
        </w:rPr>
      </w:pPr>
      <w:r w:rsidRPr="00EB1BF9">
        <w:rPr>
          <w:lang w:eastAsia="en-AU"/>
        </w:rPr>
        <w:t>Steiner, G., T. Bartels, A. Stelling, M. E. Krautwald-Junghanns, H. Fuhrmann, V. Sablinskas, and E. Koch. 2011. Gender determination of fertilized unincubated chicken eggs by infrared spectroscopic imaging. Analytical and Bioanalytical Chemistry 400:2775-2782. doi 10.1007/s00216-011-4941-3</w:t>
      </w:r>
    </w:p>
    <w:p w14:paraId="06863B14" w14:textId="77777777" w:rsidR="00EB1BF9" w:rsidRPr="00EB1BF9" w:rsidRDefault="00EB1BF9" w:rsidP="00EB1BF9">
      <w:pPr>
        <w:rPr>
          <w:lang w:eastAsia="en-AU"/>
        </w:rPr>
      </w:pPr>
      <w:r w:rsidRPr="00EB1BF9">
        <w:rPr>
          <w:lang w:eastAsia="en-AU"/>
        </w:rPr>
        <w:t>Sterling, K. G., D. D. Bell, G. M. Pesti, and S. E. Aggrey. 2003. Relationships among strain, performance, and environmental temperature in commercial laying hens. Journal of Applied Poultry Research 12</w:t>
      </w:r>
      <w:r w:rsidR="00281914">
        <w:rPr>
          <w:lang w:eastAsia="en-AU"/>
        </w:rPr>
        <w:t>:85-91.</w:t>
      </w:r>
    </w:p>
    <w:p w14:paraId="66951D8B" w14:textId="77777777" w:rsidR="00EB1BF9" w:rsidRPr="00EB1BF9" w:rsidRDefault="00EB1BF9" w:rsidP="00EB1BF9">
      <w:pPr>
        <w:rPr>
          <w:lang w:val="en-AU" w:eastAsia="en-AU"/>
        </w:rPr>
      </w:pPr>
      <w:r w:rsidRPr="00EB1BF9">
        <w:rPr>
          <w:lang w:val="en-AU" w:eastAsia="en-AU"/>
        </w:rPr>
        <w:t xml:space="preserve">Stokholm, N. M., </w:t>
      </w:r>
      <w:r w:rsidR="00281914">
        <w:rPr>
          <w:lang w:val="en-AU" w:eastAsia="en-AU"/>
        </w:rPr>
        <w:t xml:space="preserve">A. </w:t>
      </w:r>
      <w:r w:rsidRPr="00EB1BF9">
        <w:rPr>
          <w:lang w:val="en-AU" w:eastAsia="en-AU"/>
        </w:rPr>
        <w:t xml:space="preserve">Permin, </w:t>
      </w:r>
      <w:r w:rsidR="00281914">
        <w:rPr>
          <w:lang w:val="en-AU" w:eastAsia="en-AU"/>
        </w:rPr>
        <w:t>M.</w:t>
      </w:r>
      <w:r w:rsidRPr="00EB1BF9">
        <w:rPr>
          <w:lang w:val="en-AU" w:eastAsia="en-AU"/>
        </w:rPr>
        <w:t xml:space="preserve"> Bisgaard, and </w:t>
      </w:r>
      <w:r w:rsidR="00281914">
        <w:rPr>
          <w:lang w:val="en-AU" w:eastAsia="en-AU"/>
        </w:rPr>
        <w:t xml:space="preserve">J. P. </w:t>
      </w:r>
      <w:r w:rsidRPr="00EB1BF9">
        <w:rPr>
          <w:lang w:val="en-AU" w:eastAsia="en-AU"/>
        </w:rPr>
        <w:t xml:space="preserve">Christensen. 2010. Causes of mortality in commercial organic layers in Denmark. </w:t>
      </w:r>
      <w:r w:rsidRPr="00EB1BF9">
        <w:rPr>
          <w:iCs/>
          <w:lang w:val="en-AU" w:eastAsia="en-AU"/>
        </w:rPr>
        <w:t>Avian Diseases</w:t>
      </w:r>
      <w:r w:rsidRPr="00EB1BF9">
        <w:rPr>
          <w:lang w:val="en-AU" w:eastAsia="en-AU"/>
        </w:rPr>
        <w:t xml:space="preserve"> </w:t>
      </w:r>
      <w:r w:rsidRPr="00EB1BF9">
        <w:rPr>
          <w:iCs/>
          <w:lang w:val="en-AU" w:eastAsia="en-AU"/>
        </w:rPr>
        <w:t>54</w:t>
      </w:r>
      <w:r w:rsidR="00281914">
        <w:rPr>
          <w:iCs/>
          <w:lang w:val="en-AU" w:eastAsia="en-AU"/>
        </w:rPr>
        <w:t>:</w:t>
      </w:r>
      <w:r w:rsidRPr="00EB1BF9">
        <w:rPr>
          <w:lang w:val="en-AU" w:eastAsia="en-AU"/>
        </w:rPr>
        <w:t>1241-1250.</w:t>
      </w:r>
    </w:p>
    <w:p w14:paraId="019B4EF1" w14:textId="77777777" w:rsidR="00EB1BF9" w:rsidRPr="00EB1BF9" w:rsidRDefault="00EB1BF9" w:rsidP="00EB1BF9">
      <w:pPr>
        <w:rPr>
          <w:lang w:eastAsia="en-AU"/>
        </w:rPr>
      </w:pPr>
      <w:r w:rsidRPr="00EB1BF9">
        <w:rPr>
          <w:lang w:eastAsia="en-AU"/>
        </w:rPr>
        <w:t>Stratmann, A., E. K. F. Frohlich, S. G. Gebhardt-Henrich, A. Harlander-Matauschek, H. Wurbel, and M. J. Toscano. 2015a. Modification of aviary design reduces incidence of falls, collisions and keel bone damage in laying hens. Applied Animal Behaviour Science 165:112-123. doi 10.1016/j.applanim.2015.01.012</w:t>
      </w:r>
    </w:p>
    <w:p w14:paraId="3E30272D" w14:textId="77777777" w:rsidR="00EB1BF9" w:rsidRPr="00EB1BF9" w:rsidRDefault="00EB1BF9" w:rsidP="00EB1BF9">
      <w:pPr>
        <w:rPr>
          <w:lang w:eastAsia="en-AU"/>
        </w:rPr>
      </w:pPr>
      <w:r w:rsidRPr="00EB1BF9">
        <w:rPr>
          <w:lang w:eastAsia="en-AU"/>
        </w:rPr>
        <w:t>Stratmann, A., E. K. F. Frohlich, S. G. Gebhardt-Henrich, A. Harlander-Matauschek, H. Wurbel, and M. J. Toscano. 2016. Genetic selection to increase bone strength affects prevalence of keel bone damage and egg parameters in commercially housed laying hens. Poultry Science 95:975-984. doi 10.3382/ps/pew026</w:t>
      </w:r>
    </w:p>
    <w:p w14:paraId="585BC8F5" w14:textId="77777777" w:rsidR="00EB1BF9" w:rsidRPr="00EB1BF9" w:rsidRDefault="00EB1BF9" w:rsidP="00EB1BF9">
      <w:pPr>
        <w:rPr>
          <w:lang w:eastAsia="en-AU"/>
        </w:rPr>
      </w:pPr>
      <w:r w:rsidRPr="00EB1BF9">
        <w:rPr>
          <w:lang w:eastAsia="en-AU"/>
        </w:rPr>
        <w:t xml:space="preserve">Stratmann, A., E. K. F. Frohlich, A. Harlander-Matauschek, L. Schrader, M. J. Toscano, H. Wurbel, and S. G. Gebhardt-Henrich. 2015b. Soft Perches in an Aviary System Reduce Incidence of Keel Bone Damage in Laying Hens. </w:t>
      </w:r>
      <w:r w:rsidR="00601DC5">
        <w:rPr>
          <w:lang w:eastAsia="en-AU"/>
        </w:rPr>
        <w:t>PLoS</w:t>
      </w:r>
      <w:r w:rsidR="00997550">
        <w:rPr>
          <w:lang w:eastAsia="en-AU"/>
        </w:rPr>
        <w:t xml:space="preserve"> ONE</w:t>
      </w:r>
      <w:r w:rsidRPr="00EB1BF9">
        <w:rPr>
          <w:lang w:eastAsia="en-AU"/>
        </w:rPr>
        <w:t xml:space="preserve"> 10. doi 10.1371/journal.pone.0122568</w:t>
      </w:r>
    </w:p>
    <w:p w14:paraId="54393B9D" w14:textId="77777777" w:rsidR="00EB1BF9" w:rsidRPr="00EB1BF9" w:rsidRDefault="00EB1BF9" w:rsidP="00EB1BF9">
      <w:pPr>
        <w:rPr>
          <w:lang w:eastAsia="en-AU"/>
        </w:rPr>
      </w:pPr>
      <w:r w:rsidRPr="00EB1BF9">
        <w:rPr>
          <w:lang w:eastAsia="en-AU"/>
        </w:rPr>
        <w:t>Struelens, E., F. A. M. Tuyttens, B. Ampe, F. Odberg, B. Sonck, and L. Duchateau. 2009. Perch width preferences of laying hens. British Poultry Science 50:418-423. doi 10.1080/00071660903110885</w:t>
      </w:r>
    </w:p>
    <w:p w14:paraId="32B0E35B" w14:textId="77777777" w:rsidR="00EB1BF9" w:rsidRPr="00EB1BF9" w:rsidRDefault="00EB1BF9" w:rsidP="00EB1BF9">
      <w:pPr>
        <w:rPr>
          <w:lang w:eastAsia="en-AU"/>
        </w:rPr>
      </w:pPr>
      <w:r w:rsidRPr="00EB1BF9">
        <w:rPr>
          <w:lang w:eastAsia="en-AU"/>
        </w:rPr>
        <w:t>Struelens, E., F. A. M. Tuyttens, L. Duchateau, T. Leroy, M. Cox, E. Vranken, J. Buyse, J. Zoons, D. Berckmans, F. Odberg, and B. Sonck. 2008a. Perching behaviour and perch height preference of laying hens in furnished cages varying in height. British Poultry Science 49:381-389. doi 10.1080/00071660802158332</w:t>
      </w:r>
    </w:p>
    <w:p w14:paraId="470EF46C" w14:textId="77777777" w:rsidR="00EB1BF9" w:rsidRPr="00EB1BF9" w:rsidRDefault="00EB1BF9" w:rsidP="00EB1BF9">
      <w:pPr>
        <w:rPr>
          <w:lang w:eastAsia="en-AU"/>
        </w:rPr>
      </w:pPr>
      <w:r w:rsidRPr="00EB1BF9">
        <w:rPr>
          <w:lang w:eastAsia="en-AU"/>
        </w:rPr>
        <w:t>Struelens, E., F. A. M. Tuyttens, A. Janssen, T. Leroy, L. Audoorn, E. Vranken, K. De Baere, F. Odberg, D. Berckmans, J. Zoons, and B. Sonck. 2005. Design of laying nests in furnished cages: influence of nesting material, nest box position and seclusion. British Poultry Science 46:9-15. doi 10.1080/00071660400024050</w:t>
      </w:r>
    </w:p>
    <w:p w14:paraId="23C3AF53" w14:textId="77777777" w:rsidR="00EB1BF9" w:rsidRPr="00EB1BF9" w:rsidRDefault="00EB1BF9" w:rsidP="00EB1BF9">
      <w:pPr>
        <w:rPr>
          <w:lang w:eastAsia="en-AU"/>
        </w:rPr>
      </w:pPr>
      <w:r w:rsidRPr="00EB1BF9">
        <w:rPr>
          <w:lang w:eastAsia="en-AU"/>
        </w:rPr>
        <w:t>Struelens, E., A. Van Nuffel, F. A. M. Tuyttens, L. Audoorn, E. Vranken, J. Zoons, D. Berckmans, F. Odberg, S. Van Dongen, and B. Sonck. 2008b. Influence of nest seclusion and nesting material on pre-laying behaviour of laying hens. Applied Animal Behaviour Science 112:106-119. doi 10.1016/j.applanim.2007.07.010</w:t>
      </w:r>
    </w:p>
    <w:p w14:paraId="2529BFB2" w14:textId="77777777" w:rsidR="00EB1BF9" w:rsidRPr="00EB1BF9" w:rsidRDefault="00EB1BF9" w:rsidP="00EB1BF9">
      <w:pPr>
        <w:rPr>
          <w:lang w:eastAsia="en-AU"/>
        </w:rPr>
      </w:pPr>
      <w:r w:rsidRPr="00EB1BF9">
        <w:rPr>
          <w:lang w:eastAsia="en-AU"/>
        </w:rPr>
        <w:t>Struelens, E., E. Van Poucke, L. Duchateau, F. Odberg, B. Sonck, and F. A. M. Tuyttens. 2008c. Effect of cross-wise perch designs on perch use in laying hens. British Poultry Science 49:402-408. doi 10.1080/00071660802210687</w:t>
      </w:r>
    </w:p>
    <w:p w14:paraId="4DABE083" w14:textId="77777777" w:rsidR="00EB1BF9" w:rsidRPr="00EB1BF9" w:rsidRDefault="00EB1BF9" w:rsidP="00EB1BF9">
      <w:pPr>
        <w:rPr>
          <w:lang w:eastAsia="en-AU"/>
        </w:rPr>
      </w:pPr>
      <w:r w:rsidRPr="00EB1BF9">
        <w:rPr>
          <w:lang w:eastAsia="en-AU"/>
        </w:rPr>
        <w:t>Su, G., J. B. Kjaer, and P. Sorensen. 2006. Divergent selection on feather pecking behavior in laying hens has caused differences between lines in egg production, egg quality, and feed efficien</w:t>
      </w:r>
      <w:r w:rsidR="00B251C3">
        <w:rPr>
          <w:lang w:eastAsia="en-AU"/>
        </w:rPr>
        <w:t>cy. Poultry Science 85:191-197.</w:t>
      </w:r>
    </w:p>
    <w:p w14:paraId="55D0DB0E" w14:textId="77777777" w:rsidR="00EB1BF9" w:rsidRPr="00EB1BF9" w:rsidRDefault="00EB1BF9" w:rsidP="00EB1BF9">
      <w:pPr>
        <w:rPr>
          <w:lang w:eastAsia="en-AU"/>
        </w:rPr>
      </w:pPr>
      <w:r w:rsidRPr="00EB1BF9">
        <w:rPr>
          <w:lang w:eastAsia="en-AU"/>
        </w:rPr>
        <w:t xml:space="preserve">Sultana, S., M. R. Hassan, H. S. Choe, M. I. Kang, B. S. Kim, and K. S. Ryu. 2013. Effect of various LED light color on the behavior and stress response of laying hens. Indian Journal of Animal Sciences 83:829-833. </w:t>
      </w:r>
    </w:p>
    <w:p w14:paraId="48707D47" w14:textId="77777777" w:rsidR="00EB1BF9" w:rsidRPr="00EB1BF9" w:rsidRDefault="00EB1BF9" w:rsidP="00EB1BF9">
      <w:pPr>
        <w:rPr>
          <w:lang w:eastAsia="en-AU"/>
        </w:rPr>
      </w:pPr>
      <w:r w:rsidRPr="00EB1BF9">
        <w:rPr>
          <w:lang w:eastAsia="en-AU"/>
        </w:rPr>
        <w:t>Sun, Y., E. D. Ellen, J. J. van der Poel, H. K. Parmentier, and P. Bijma. 2014. Modelling of feather pecking behavior in beak-trimmed and non-beak-trimmed crossbred laying hens: Variance component and trait-based approach. Poultry Science 93:773-783. doi 10.3382/ps.2013-03367</w:t>
      </w:r>
    </w:p>
    <w:p w14:paraId="1E82FACA" w14:textId="77777777" w:rsidR="00EB1BF9" w:rsidRPr="00EB1BF9" w:rsidRDefault="00EB1BF9" w:rsidP="00EB1BF9">
      <w:pPr>
        <w:rPr>
          <w:lang w:eastAsia="en-AU"/>
        </w:rPr>
      </w:pPr>
      <w:r w:rsidRPr="00EB1BF9">
        <w:rPr>
          <w:lang w:eastAsia="en-AU"/>
        </w:rPr>
        <w:t>Sustaita, D., E. Pouydebat, A. Manzano, V. Abdala, F. Hertel, and A. Herrel. 2013. Getting a grip on tetrapod grasping: form, function, and evolution. Biological Reviews 88:380-405. doi 10.1111/brv.12010</w:t>
      </w:r>
    </w:p>
    <w:p w14:paraId="21DBE3BD" w14:textId="77777777" w:rsidR="00EB1BF9" w:rsidRPr="00EB1BF9" w:rsidRDefault="00EB1BF9" w:rsidP="00EB1BF9">
      <w:pPr>
        <w:rPr>
          <w:lang w:eastAsia="en-AU"/>
        </w:rPr>
      </w:pPr>
      <w:r w:rsidRPr="00EB1BF9">
        <w:rPr>
          <w:lang w:eastAsia="en-AU"/>
        </w:rPr>
        <w:t>Tactacan, G. B., W. Guenter, N. J. Lewis, J. C. Rodriguez-Lecompte, and J. D. House. 2009. Performance and welfare of laying hens in conventional and enriched cages. Poultry Science 88:698-707. doi 10.3382/ps.2008-00369</w:t>
      </w:r>
    </w:p>
    <w:p w14:paraId="0BBC80A9" w14:textId="77777777" w:rsidR="00EB1BF9" w:rsidRPr="00EB1BF9" w:rsidRDefault="00EB1BF9" w:rsidP="00EB1BF9">
      <w:pPr>
        <w:rPr>
          <w:lang w:eastAsia="en-AU"/>
        </w:rPr>
      </w:pPr>
      <w:r w:rsidRPr="00EB1BF9">
        <w:rPr>
          <w:lang w:eastAsia="en-AU"/>
        </w:rPr>
        <w:t>Tahamtani, F. M., M. Brantsaeter, J. Nordgreen, E. Sandberg, T. B. Hansen, A. Nodtvedt, T. B. Rodenburg, R. O. Moe, and A. M. Janczak. 2016. Effects of litter provision during early rearing and environmental enrichment during the production phase on feather pecking and feather damage in laying hens. Poultry Science 95:2747-2756. doi 10.3382/ps/pew265</w:t>
      </w:r>
    </w:p>
    <w:p w14:paraId="59A0934F" w14:textId="77777777" w:rsidR="00EB1BF9" w:rsidRPr="00EB1BF9" w:rsidRDefault="00EB1BF9" w:rsidP="00EB1BF9">
      <w:pPr>
        <w:rPr>
          <w:lang w:eastAsia="en-AU"/>
        </w:rPr>
      </w:pPr>
      <w:r w:rsidRPr="00EB1BF9">
        <w:rPr>
          <w:lang w:eastAsia="en-AU"/>
        </w:rPr>
        <w:t xml:space="preserve">Tahamtani, F. M., T. B. Hansen, R. Orritt, C. Nicol, R. O. Moe, and A. M. Janczak. 2014. Does Rearing Laying Hens in Aviaries Adversely Affect Long-Term Welfare following Transfer to Furnished Cages? </w:t>
      </w:r>
      <w:r w:rsidR="00601DC5">
        <w:rPr>
          <w:lang w:eastAsia="en-AU"/>
        </w:rPr>
        <w:t>PLoS</w:t>
      </w:r>
      <w:r w:rsidR="00997550">
        <w:rPr>
          <w:lang w:eastAsia="en-AU"/>
        </w:rPr>
        <w:t xml:space="preserve"> ONE</w:t>
      </w:r>
      <w:r w:rsidRPr="00EB1BF9">
        <w:rPr>
          <w:lang w:eastAsia="en-AU"/>
        </w:rPr>
        <w:t xml:space="preserve"> 9. doi 10.1371/journal.pone.0107357</w:t>
      </w:r>
    </w:p>
    <w:p w14:paraId="00401538" w14:textId="77777777" w:rsidR="00EB1BF9" w:rsidRPr="00EB1BF9" w:rsidRDefault="00EB1BF9" w:rsidP="00EB1BF9">
      <w:pPr>
        <w:rPr>
          <w:lang w:eastAsia="en-AU"/>
        </w:rPr>
      </w:pPr>
      <w:r w:rsidRPr="00EB1BF9">
        <w:rPr>
          <w:lang w:eastAsia="en-AU"/>
        </w:rPr>
        <w:t>Tarlton, J. F., L. J. Wilkins, M. J. Toscano, N. C. Avery, and L. Knott. 2013. Reduced bone breakage and increased bone strength in free range laying hens fed omega-3 polyunsaturated fatty acid supplemented diets. Bone 52:578-586. doi 10.1016/j.bone.2012.11.003</w:t>
      </w:r>
    </w:p>
    <w:p w14:paraId="357ABED1" w14:textId="77777777" w:rsidR="00EB1BF9" w:rsidRPr="00EB1BF9" w:rsidRDefault="00EB1BF9" w:rsidP="00EB1BF9">
      <w:pPr>
        <w:rPr>
          <w:lang w:eastAsia="en-AU"/>
        </w:rPr>
      </w:pPr>
      <w:r w:rsidRPr="00EB1BF9">
        <w:rPr>
          <w:lang w:eastAsia="en-AU"/>
        </w:rPr>
        <w:t>Tavares, B. O., D. F. Pereira, L. G. F. Bueno, and G. F. Silva. 2015. Behavior of Layers under Different Light Sources. Brazilian Journal of Poultry Science 17:511-516. doi 10.1590/1516-635x1704511-516</w:t>
      </w:r>
    </w:p>
    <w:p w14:paraId="40F7179E" w14:textId="77777777" w:rsidR="00EB1BF9" w:rsidRPr="00EB1BF9" w:rsidRDefault="00EB1BF9" w:rsidP="00EB1BF9">
      <w:pPr>
        <w:rPr>
          <w:lang w:eastAsia="en-AU"/>
        </w:rPr>
      </w:pPr>
      <w:r w:rsidRPr="00EB1BF9">
        <w:rPr>
          <w:lang w:eastAsia="en-AU"/>
        </w:rPr>
        <w:t>Taylor, P. E., G. B. Scott, and P. Rose. 2003. The ability of domestic hens to jump between horizontal perches: effects of light intensity and perch colour. Applied Animal Behaviour Science 83:99-108. doi 10.1016/s0168-1591(03)00127-8</w:t>
      </w:r>
    </w:p>
    <w:p w14:paraId="6251D965" w14:textId="77777777" w:rsidR="00EB1BF9" w:rsidRPr="00EB1BF9" w:rsidRDefault="00EB1BF9" w:rsidP="00EB1BF9">
      <w:pPr>
        <w:rPr>
          <w:lang w:eastAsia="en-AU"/>
        </w:rPr>
      </w:pPr>
      <w:r w:rsidRPr="00EB1BF9">
        <w:rPr>
          <w:lang w:eastAsia="en-AU"/>
        </w:rPr>
        <w:t>Thapa, S., L. K. Hinrichsen, C. Brenninkmeyer, S. Gunnarsson, J. L. T. Heerkens, C. Verwer, K. Niebuhr, A. Willett, G. Grilli, S. M. Thamsborg, J. T. Sorensen, and H. Mejer. 2015. Prevalence and magnitude of helminth infections in organic laying hens (</w:t>
      </w:r>
      <w:r w:rsidRPr="00B251C3">
        <w:rPr>
          <w:i/>
          <w:lang w:eastAsia="en-AU"/>
        </w:rPr>
        <w:t>Gallus gallus domesticus</w:t>
      </w:r>
      <w:r w:rsidRPr="00EB1BF9">
        <w:rPr>
          <w:lang w:eastAsia="en-AU"/>
        </w:rPr>
        <w:t>) across Europe. Veterinary Parasitology 214:118-124. doi 10.1016/j.vetpar.2015.10.009</w:t>
      </w:r>
    </w:p>
    <w:p w14:paraId="790DDF17" w14:textId="77777777" w:rsidR="00EB1BF9" w:rsidRPr="00EB1BF9" w:rsidRDefault="00EB1BF9" w:rsidP="00EB1BF9">
      <w:pPr>
        <w:rPr>
          <w:lang w:eastAsia="en-AU"/>
        </w:rPr>
      </w:pPr>
      <w:r w:rsidRPr="00EB1BF9">
        <w:rPr>
          <w:lang w:eastAsia="en-AU"/>
        </w:rPr>
        <w:t>Thogerson, C. M., P. Y. Hester, J. A. Mench, R. C. Newberry, C. M. Okura, E. A. Pajor, P. N. Talaty, and J. P. Garner. 2009a. The effect of feeder space allocation on productivity and physiology of Hy-Line W-36 hens housed in conventional cages. Poultry Science 88</w:t>
      </w:r>
      <w:r w:rsidR="00793ACC">
        <w:rPr>
          <w:lang w:eastAsia="en-AU"/>
        </w:rPr>
        <w:t>:1793-1799</w:t>
      </w:r>
      <w:r w:rsidRPr="00EB1BF9">
        <w:rPr>
          <w:lang w:eastAsia="en-AU"/>
        </w:rPr>
        <w:t>. doi 10.3382/ps.2009-00011</w:t>
      </w:r>
    </w:p>
    <w:p w14:paraId="243468AC" w14:textId="77777777" w:rsidR="00EB1BF9" w:rsidRPr="00EB1BF9" w:rsidRDefault="00EB1BF9" w:rsidP="00EB1BF9">
      <w:pPr>
        <w:rPr>
          <w:lang w:eastAsia="en-AU"/>
        </w:rPr>
      </w:pPr>
      <w:r w:rsidRPr="00EB1BF9">
        <w:rPr>
          <w:lang w:eastAsia="en-AU"/>
        </w:rPr>
        <w:t>Thogerson, C. M., P. Y. Hester, J. A. Mench, R. C. Newberry, E. A. Pajor, and J. P. Garner. 2009b. The effect of feeder space allocation on behavior of Hy-Line W-36 hens housed in conventional cages. Poultry Science 88:1544-1552. doi 10.3382/ps.2009-00010</w:t>
      </w:r>
    </w:p>
    <w:p w14:paraId="09A056F2" w14:textId="77777777" w:rsidR="00EB1BF9" w:rsidRPr="00EB1BF9" w:rsidRDefault="00EB1BF9" w:rsidP="00EB1BF9">
      <w:pPr>
        <w:rPr>
          <w:lang w:eastAsia="en-AU"/>
        </w:rPr>
      </w:pPr>
      <w:r w:rsidRPr="00EB1BF9">
        <w:rPr>
          <w:lang w:eastAsia="en-AU"/>
        </w:rPr>
        <w:t>Toscano, M. J., F. Booth, L. J. Wilkins, N. C. Avery, S. B. Brown, G. Richards, and J. F. Tarlton. 2015. The effects of long (C20/22) and short (C18) chain omega-3 fatty acids on keel bone fractures, bone biomechanics, behavior, and egg production in free-range laying hens. Poultry Science 94:823-835. doi 10.3382/ps/pev048</w:t>
      </w:r>
    </w:p>
    <w:p w14:paraId="673427D3" w14:textId="77777777" w:rsidR="00EB1BF9" w:rsidRPr="00EB1BF9" w:rsidRDefault="00EB1BF9" w:rsidP="00EB1BF9">
      <w:pPr>
        <w:rPr>
          <w:lang w:eastAsia="en-AU"/>
        </w:rPr>
      </w:pPr>
      <w:r w:rsidRPr="00EB1BF9">
        <w:rPr>
          <w:lang w:eastAsia="en-AU"/>
        </w:rPr>
        <w:t xml:space="preserve">Toscano, M. J., L. Sait, F. Jorgensen, C. J. Nicol, C. Powers, A. L. Smith, M. Bailey, and T. J. Humphrey. 2010. Sub-clinical infection with </w:t>
      </w:r>
      <w:r w:rsidRPr="004643BC">
        <w:rPr>
          <w:i/>
          <w:lang w:eastAsia="en-AU"/>
        </w:rPr>
        <w:t>Salmonella</w:t>
      </w:r>
      <w:r w:rsidRPr="00EB1BF9">
        <w:rPr>
          <w:lang w:eastAsia="en-AU"/>
        </w:rPr>
        <w:t xml:space="preserve"> in chickens differentially affects behaviour and welfare in three inbred strains. British Poultry Science 51:703-713. doi 10.1080/00071668.2010.528748</w:t>
      </w:r>
    </w:p>
    <w:p w14:paraId="56E8C668" w14:textId="77777777" w:rsidR="00EB1BF9" w:rsidRPr="00EB1BF9" w:rsidRDefault="00EB1BF9" w:rsidP="00EB1BF9">
      <w:pPr>
        <w:rPr>
          <w:lang w:eastAsia="en-AU"/>
        </w:rPr>
      </w:pPr>
      <w:r w:rsidRPr="00EB1BF9">
        <w:rPr>
          <w:lang w:eastAsia="en-AU"/>
        </w:rPr>
        <w:t>Tumova, E., J. Vlckova, V. Charvatova, O. Drabek, V. Tejnecky, M. Ketta, and D. Chodova. 2016. Interactions of genotype, housing and dietary calcium in layer performance, eggshell quality and tibia characteristics. South African Journal of Animal Science 46:285-293. doi 10.4314/sajas.v46i3.8</w:t>
      </w:r>
    </w:p>
    <w:p w14:paraId="3B106E2E" w14:textId="77777777" w:rsidR="00EB1BF9" w:rsidRPr="00EB1BF9" w:rsidRDefault="00EB1BF9" w:rsidP="00EB1BF9">
      <w:pPr>
        <w:rPr>
          <w:lang w:eastAsia="en-AU"/>
        </w:rPr>
      </w:pPr>
      <w:r w:rsidRPr="00EB1BF9">
        <w:rPr>
          <w:lang w:eastAsia="en-AU"/>
        </w:rPr>
        <w:t>Tuyttens, F. A. M., E. Struelens, and B. Ampe. 2013. Remedies for a high incidence of broken eggs in furnished cages: Effectiveness of increasing nest attractiveness and lowering perch height. Poultry Science 92:19-25. doi 10.3382/ps.2012-02192</w:t>
      </w:r>
    </w:p>
    <w:p w14:paraId="005FB1DB" w14:textId="77777777" w:rsidR="00EB1BF9" w:rsidRPr="00EB1BF9" w:rsidRDefault="00EB1BF9" w:rsidP="00EB1BF9">
      <w:pPr>
        <w:rPr>
          <w:lang w:eastAsia="en-AU"/>
        </w:rPr>
      </w:pPr>
      <w:r w:rsidRPr="00EB1BF9">
        <w:rPr>
          <w:lang w:eastAsia="en-AU"/>
        </w:rPr>
        <w:t>Uitdehaag, K. A., T. B. Rodenburg, H. Komen, B. Kemp, and J. A. M. van Arendonk. 2008. The Association of Response to a Novel Object with Subsequent Performance and Feather Damage in Adult, Cage-Housed, Pure-Bred Rhode Island Red Laying Hens. Poultry Science 87:2486-2492. doi 10.3382/ps.2008-00059</w:t>
      </w:r>
    </w:p>
    <w:p w14:paraId="7236DB8C" w14:textId="77777777" w:rsidR="00EB1BF9" w:rsidRDefault="00B174C2" w:rsidP="00EB1BF9">
      <w:pPr>
        <w:rPr>
          <w:lang w:eastAsia="en-AU"/>
        </w:rPr>
      </w:pPr>
      <w:r w:rsidRPr="00B174C2">
        <w:rPr>
          <w:lang w:eastAsia="en-AU"/>
        </w:rPr>
        <w:t>Väisänen</w:t>
      </w:r>
      <w:r w:rsidR="00EB1BF9" w:rsidRPr="00EB1BF9">
        <w:rPr>
          <w:lang w:eastAsia="en-AU"/>
        </w:rPr>
        <w:t>, J., and P. Jensen. 2004. Responses of young red jungle fowl (</w:t>
      </w:r>
      <w:r w:rsidR="00EB1BF9" w:rsidRPr="00B251C3">
        <w:rPr>
          <w:i/>
          <w:lang w:eastAsia="en-AU"/>
        </w:rPr>
        <w:t>Gallus gallus</w:t>
      </w:r>
      <w:r w:rsidR="00EB1BF9" w:rsidRPr="00EB1BF9">
        <w:rPr>
          <w:lang w:eastAsia="en-AU"/>
        </w:rPr>
        <w:t>) and white leghorn layers to familiar and unfamiliar social stimu</w:t>
      </w:r>
      <w:r>
        <w:rPr>
          <w:lang w:eastAsia="en-AU"/>
        </w:rPr>
        <w:t>li. Poultry Science 83:335-343.</w:t>
      </w:r>
    </w:p>
    <w:p w14:paraId="3D918485" w14:textId="77777777" w:rsidR="00B174C2" w:rsidRPr="00EB1BF9" w:rsidRDefault="00B174C2" w:rsidP="00EB1BF9">
      <w:pPr>
        <w:rPr>
          <w:lang w:eastAsia="en-AU"/>
        </w:rPr>
      </w:pPr>
      <w:r w:rsidRPr="00B174C2">
        <w:rPr>
          <w:lang w:eastAsia="en-AU"/>
        </w:rPr>
        <w:t xml:space="preserve">Väisänen, J., </w:t>
      </w:r>
      <w:r>
        <w:rPr>
          <w:lang w:eastAsia="en-AU"/>
        </w:rPr>
        <w:t xml:space="preserve">C. </w:t>
      </w:r>
      <w:r w:rsidRPr="00B174C2">
        <w:rPr>
          <w:lang w:eastAsia="en-AU"/>
        </w:rPr>
        <w:t xml:space="preserve">Lindqvist, and </w:t>
      </w:r>
      <w:r>
        <w:rPr>
          <w:lang w:eastAsia="en-AU"/>
        </w:rPr>
        <w:t xml:space="preserve">P. </w:t>
      </w:r>
      <w:r w:rsidRPr="00B174C2">
        <w:rPr>
          <w:lang w:eastAsia="en-AU"/>
        </w:rPr>
        <w:t>Jensen. 2005. Co-segregation of behaviour and production related traits in an F3 intercross between red junglefowl and White Leghorn laying hens. L</w:t>
      </w:r>
      <w:r>
        <w:rPr>
          <w:lang w:eastAsia="en-AU"/>
        </w:rPr>
        <w:t>ivestock Production Science 94:</w:t>
      </w:r>
      <w:r w:rsidRPr="00B174C2">
        <w:rPr>
          <w:lang w:eastAsia="en-AU"/>
        </w:rPr>
        <w:t>149-158</w:t>
      </w:r>
      <w:r>
        <w:rPr>
          <w:lang w:eastAsia="en-AU"/>
        </w:rPr>
        <w:t>.</w:t>
      </w:r>
    </w:p>
    <w:p w14:paraId="1295B185" w14:textId="77777777" w:rsidR="00EB1BF9" w:rsidRPr="00EB1BF9" w:rsidRDefault="00EB1BF9" w:rsidP="00EB1BF9">
      <w:pPr>
        <w:rPr>
          <w:lang w:eastAsia="en-AU"/>
        </w:rPr>
      </w:pPr>
      <w:r w:rsidRPr="00EB1BF9">
        <w:rPr>
          <w:lang w:eastAsia="en-AU"/>
        </w:rPr>
        <w:t xml:space="preserve">Valkonen, E., R. Rinne, and J. Valaja. 2009. Effects of perch on feed consumption and behaviour of caged laying hens. Agricultural and Food Science 18:257-267. </w:t>
      </w:r>
    </w:p>
    <w:p w14:paraId="13C7EE92" w14:textId="77777777" w:rsidR="00EB1BF9" w:rsidRPr="00EB1BF9" w:rsidRDefault="00EB1BF9" w:rsidP="00EB1BF9">
      <w:pPr>
        <w:rPr>
          <w:lang w:eastAsia="en-AU"/>
        </w:rPr>
      </w:pPr>
      <w:r w:rsidRPr="00EB1BF9">
        <w:rPr>
          <w:lang w:eastAsia="en-AU"/>
        </w:rPr>
        <w:t>Valkonen, E., E. Venalainen, L. Rossow, and J. Valaja. 2008. Effects of dietary energy content on the performance of laying hens in furnished and conventional cages. Poultry Science 87:844-852. doi 10.3382/ps.2007-00237</w:t>
      </w:r>
    </w:p>
    <w:p w14:paraId="781813CE" w14:textId="77777777" w:rsidR="00EB1BF9" w:rsidRPr="00EB1BF9" w:rsidRDefault="00EB1BF9" w:rsidP="00EB1BF9">
      <w:pPr>
        <w:rPr>
          <w:lang w:eastAsia="en-AU"/>
        </w:rPr>
      </w:pPr>
      <w:r w:rsidRPr="00EB1BF9">
        <w:rPr>
          <w:lang w:eastAsia="en-AU"/>
        </w:rPr>
        <w:t>Valkonen, E., E. Venalainen, L. Rossow, and J. Valaja. 2010. Effects of calcium diet supplements on egg strength in conventional and furnished cages, and effects of 2 different nest floor materials. Poultry Science 89:2307-2316. doi 10.3382/ps.2010-00700</w:t>
      </w:r>
    </w:p>
    <w:p w14:paraId="4EBCAB97" w14:textId="77777777" w:rsidR="00EB1BF9" w:rsidRPr="00EB1BF9" w:rsidRDefault="00EB1BF9" w:rsidP="00EB1BF9">
      <w:pPr>
        <w:rPr>
          <w:lang w:eastAsia="en-AU"/>
        </w:rPr>
      </w:pPr>
      <w:r w:rsidRPr="00EB1BF9">
        <w:rPr>
          <w:lang w:eastAsia="en-AU"/>
        </w:rPr>
        <w:t>van der Meulen, J., J. T. N. van der Werf, and A. Kijlstra. 2007. Questionnaire survey of disease prevalence and veterinary treatments in organic layer husbandry in the Netherlands. Tijdschrift Voor Diergeneeskunde 132:292-295.</w:t>
      </w:r>
    </w:p>
    <w:p w14:paraId="370F8D1B" w14:textId="77777777" w:rsidR="00EB1BF9" w:rsidRPr="00EB1BF9" w:rsidRDefault="00EB1BF9" w:rsidP="00EB1BF9">
      <w:pPr>
        <w:rPr>
          <w:lang w:eastAsia="en-AU"/>
        </w:rPr>
      </w:pPr>
      <w:r w:rsidRPr="00EB1BF9">
        <w:rPr>
          <w:lang w:eastAsia="en-AU"/>
        </w:rPr>
        <w:t>van Hierden, Y. M., S. M. Korte, E. W. Ruesink, C. G. van Reenen, B. Engel, G. A. H. Korte-Bouws, J. M. Koolhaas, and H. J. Blokhuis. 2002. Adrenocortical reactivity and central serotonin and dopamine turnover in young chicks from a high and low feather-pecking line of laying hens. Physiology &amp; Behavior 75:653-659. doi 10.1016/s0031-9384(02)00667-4</w:t>
      </w:r>
    </w:p>
    <w:p w14:paraId="6AA5290F" w14:textId="77777777" w:rsidR="00EB1BF9" w:rsidRPr="00EB1BF9" w:rsidRDefault="00EB1BF9" w:rsidP="00EB1BF9">
      <w:pPr>
        <w:rPr>
          <w:lang w:eastAsia="en-AU"/>
        </w:rPr>
      </w:pPr>
      <w:r w:rsidRPr="00EB1BF9">
        <w:rPr>
          <w:lang w:eastAsia="en-AU"/>
        </w:rPr>
        <w:t xml:space="preserve">Van Hoorebeke, S., F. Van Immerseel, J. Schulz, J. Hartung, M. Harisberger, L. Barco, A. Ricci, G. Theodoropoulos, E. Xylouri, J. De Vylder, R. Ducatelle, F. Haesebrouck, F. Pasmans, A. de Kruif, and J. Dewulf. 2010. Determination of the within and between flock prevalence and identification of risk factors for </w:t>
      </w:r>
      <w:r w:rsidRPr="000717B8">
        <w:rPr>
          <w:i/>
          <w:lang w:eastAsia="en-AU"/>
        </w:rPr>
        <w:t>Salmonella</w:t>
      </w:r>
      <w:r w:rsidRPr="00EB1BF9">
        <w:rPr>
          <w:lang w:eastAsia="en-AU"/>
        </w:rPr>
        <w:t xml:space="preserve"> infections in laying hen flocks housed in conventional and alternative systems. Preventive Veterinary Medicine 94:94-100. doi 10.1016/j.prevetmed.2009.11.022</w:t>
      </w:r>
    </w:p>
    <w:p w14:paraId="5D252600" w14:textId="77777777" w:rsidR="00EB1BF9" w:rsidRPr="00EB1BF9" w:rsidRDefault="00EB1BF9" w:rsidP="00EB1BF9">
      <w:pPr>
        <w:rPr>
          <w:lang w:eastAsia="en-AU"/>
        </w:rPr>
      </w:pPr>
      <w:r w:rsidRPr="00EB1BF9">
        <w:rPr>
          <w:lang w:eastAsia="en-AU"/>
        </w:rPr>
        <w:t>van Krimpen, M., T. Veldkamp, G. Binnendijk, and R. de Veer. 2011. Effect of four processed animal proteins in the diet on behavior in laying hens. Applied Animal Behaviour Science 132:138-145. doi 10.1016/j.applanim.2011.04.006</w:t>
      </w:r>
    </w:p>
    <w:p w14:paraId="752FAA02" w14:textId="77777777" w:rsidR="00EB1BF9" w:rsidRPr="00EB1BF9" w:rsidRDefault="00C4034A" w:rsidP="00EB1BF9">
      <w:pPr>
        <w:rPr>
          <w:lang w:eastAsia="en-AU"/>
        </w:rPr>
      </w:pPr>
      <w:r>
        <w:rPr>
          <w:lang w:eastAsia="en-AU"/>
        </w:rPr>
        <w:t>v</w:t>
      </w:r>
      <w:r w:rsidR="00EB1BF9" w:rsidRPr="00EB1BF9">
        <w:rPr>
          <w:lang w:eastAsia="en-AU"/>
        </w:rPr>
        <w:t xml:space="preserve">an Krimpen, M. M., R. P. Kwakkel, B. F. J. Reuvekamp, C. M. C. Van der Peet-Schwering, L. A. Den Hartog, and M. W. A. Verstegen. 2005. Impact of feeding management on feather pecking in laying hens. </w:t>
      </w:r>
      <w:r w:rsidR="00E12232">
        <w:rPr>
          <w:lang w:eastAsia="en-AU"/>
        </w:rPr>
        <w:t>World’s</w:t>
      </w:r>
      <w:r w:rsidR="00EB1BF9" w:rsidRPr="00EB1BF9">
        <w:rPr>
          <w:lang w:eastAsia="en-AU"/>
        </w:rPr>
        <w:t xml:space="preserve"> Poultry Science Journal 61:663-685. doi 10.1079/wps200478</w:t>
      </w:r>
    </w:p>
    <w:p w14:paraId="409A1107" w14:textId="77777777" w:rsidR="00EB1BF9" w:rsidRPr="00EB1BF9" w:rsidRDefault="00EB1BF9" w:rsidP="00EB1BF9">
      <w:pPr>
        <w:rPr>
          <w:lang w:eastAsia="en-AU"/>
        </w:rPr>
      </w:pPr>
      <w:r w:rsidRPr="00EB1BF9">
        <w:rPr>
          <w:lang w:eastAsia="en-AU"/>
        </w:rPr>
        <w:t>van Krimpen, M. M., R. P. Kwakkel, C. M. C. van der Peet-Schwering, L. A. den Hartog, and M. W. A. Verstegen. 2008. Low dietary energy concentration, high nonstarch polysaccharide concentration, and coarse particle sizes of nonstarch polysaccharides affect the behavior of feather-pecking-prone laying hens. Poultry Science 87:485-496. doi 10.3382/ps.2007-00279</w:t>
      </w:r>
    </w:p>
    <w:p w14:paraId="718C0E95" w14:textId="77777777" w:rsidR="00EB1BF9" w:rsidRPr="00EB1BF9" w:rsidRDefault="00EB1BF9" w:rsidP="00EB1BF9">
      <w:pPr>
        <w:rPr>
          <w:lang w:eastAsia="en-AU"/>
        </w:rPr>
      </w:pPr>
      <w:r w:rsidRPr="00EB1BF9">
        <w:rPr>
          <w:lang w:eastAsia="en-AU"/>
        </w:rPr>
        <w:t>van Krimpen, M. M., R. P. Kwakkel, C. M. C. van der Peet-Schwering, L. A. den Hartog, and M. W. A. Verstegen. 2009. Effects of nutrient dilution and nonstarch polysaccharide concentration in rearing and laying diets on eating behavior and feather damage of rearing and laying hens. Poultry Science 88:759-773. doi 10.3382/ps.2008-00194</w:t>
      </w:r>
    </w:p>
    <w:p w14:paraId="2518708D" w14:textId="77777777" w:rsidR="00EB1BF9" w:rsidRPr="00EB1BF9" w:rsidRDefault="00EB1BF9" w:rsidP="00EB1BF9">
      <w:pPr>
        <w:rPr>
          <w:lang w:eastAsia="en-AU"/>
        </w:rPr>
      </w:pPr>
      <w:r w:rsidRPr="00EB1BF9">
        <w:rPr>
          <w:lang w:eastAsia="en-AU"/>
        </w:rPr>
        <w:t>van Loon, D. P. R., B. Hangalapura, G. D. Reilingh, M. G. B. Nieuwland, B. Kemp, and H. K. Parmentier. 2004. Effect of three different housing systems on immune responses and body weight of chicken lines divergently selected for antibody responses to sheep red blood cells. Livestock Production Science 85:139-150. doi 10.1016/s0301-6226(03)00138-6</w:t>
      </w:r>
    </w:p>
    <w:p w14:paraId="35A2A5F8" w14:textId="77777777" w:rsidR="00EB1BF9" w:rsidRPr="00EB1BF9" w:rsidRDefault="00EB1BF9" w:rsidP="00EB1BF9">
      <w:pPr>
        <w:rPr>
          <w:lang w:eastAsia="en-AU"/>
        </w:rPr>
      </w:pPr>
      <w:r w:rsidRPr="00EB1BF9">
        <w:rPr>
          <w:lang w:eastAsia="en-AU"/>
        </w:rPr>
        <w:t>Vandenberg, C., and T. M. Widowski. 2000. Hens' preferences for high-intensity high-pressure sodium or low-intensity incandescent lighting. Journal of Appl</w:t>
      </w:r>
      <w:r w:rsidR="000717B8">
        <w:rPr>
          <w:lang w:eastAsia="en-AU"/>
        </w:rPr>
        <w:t>ied Poultry Research 9:172-178.</w:t>
      </w:r>
    </w:p>
    <w:p w14:paraId="3BC5DF47" w14:textId="77777777" w:rsidR="00EB1BF9" w:rsidRPr="00EB1BF9" w:rsidRDefault="00EB1BF9" w:rsidP="00EB1BF9">
      <w:pPr>
        <w:rPr>
          <w:lang w:eastAsia="en-AU"/>
        </w:rPr>
      </w:pPr>
      <w:r w:rsidRPr="00EB1BF9">
        <w:rPr>
          <w:lang w:eastAsia="en-AU"/>
        </w:rPr>
        <w:t>Vezzoli, G., A. J. King, and J. A. Mench. 2016. The effect of northern fowl mite (</w:t>
      </w:r>
      <w:r w:rsidRPr="000717B8">
        <w:rPr>
          <w:i/>
          <w:lang w:eastAsia="en-AU"/>
        </w:rPr>
        <w:t>Ornithonyssus sylviarum</w:t>
      </w:r>
      <w:r w:rsidRPr="00EB1BF9">
        <w:rPr>
          <w:lang w:eastAsia="en-AU"/>
        </w:rPr>
        <w:t>) infestation on hen physiology, physical condition, and egg quality. Poultry Science 95:1042-1049. doi 10.3382/ps/pew027</w:t>
      </w:r>
    </w:p>
    <w:p w14:paraId="31138BDF" w14:textId="77777777" w:rsidR="00EB1BF9" w:rsidRPr="00EB1BF9" w:rsidRDefault="00EB1BF9" w:rsidP="00EB1BF9">
      <w:pPr>
        <w:rPr>
          <w:lang w:eastAsia="en-AU"/>
        </w:rPr>
      </w:pPr>
      <w:r w:rsidRPr="00EB1BF9">
        <w:rPr>
          <w:lang w:eastAsia="en-AU"/>
        </w:rPr>
        <w:t>Vezzoli, G., B. A. Mullens, and J. A. Mench. 2015a. Dustbathing behavior: Do ectoparasites matter? Applied Animal Behaviour Science 169:93-99. doi 10.1016/j.applanim.2015.06.001</w:t>
      </w:r>
    </w:p>
    <w:p w14:paraId="55E9C520" w14:textId="77777777" w:rsidR="00EB1BF9" w:rsidRPr="00EB1BF9" w:rsidRDefault="00EB1BF9" w:rsidP="00EB1BF9">
      <w:pPr>
        <w:rPr>
          <w:lang w:eastAsia="en-AU"/>
        </w:rPr>
      </w:pPr>
      <w:r w:rsidRPr="00EB1BF9">
        <w:rPr>
          <w:lang w:eastAsia="en-AU"/>
        </w:rPr>
        <w:t>Vezzoli, G., B. A. Mullens, and J. A. Mench. 2015b. Relationships between beak condition, preening behavior and ectoparasite infestation levels in laying hens. Poultry Science 94:1997-2007. doi 10.3382/ps/pev171</w:t>
      </w:r>
    </w:p>
    <w:p w14:paraId="043C31AC" w14:textId="77777777" w:rsidR="00EB1BF9" w:rsidRPr="00EB1BF9" w:rsidRDefault="00EB1BF9" w:rsidP="00EB1BF9">
      <w:pPr>
        <w:rPr>
          <w:lang w:eastAsia="en-AU"/>
        </w:rPr>
      </w:pPr>
      <w:r w:rsidRPr="00EB1BF9">
        <w:rPr>
          <w:lang w:eastAsia="en-AU"/>
        </w:rPr>
        <w:t>Vits, A., D. Weitzenburger, H. Hamann, and O. Distl. 2005. Production, egg quality, bone strength, claw length, and keel bone deformities of laying hens housed in furnished cages with different group sizes</w:t>
      </w:r>
      <w:r w:rsidR="000717B8">
        <w:rPr>
          <w:lang w:eastAsia="en-AU"/>
        </w:rPr>
        <w:t>. Poultry Science 84:1511-1519.</w:t>
      </w:r>
    </w:p>
    <w:p w14:paraId="144A4D2F" w14:textId="77777777" w:rsidR="00EB1BF9" w:rsidRPr="00EB1BF9" w:rsidRDefault="00EB1BF9" w:rsidP="00EB1BF9">
      <w:pPr>
        <w:rPr>
          <w:lang w:eastAsia="en-AU"/>
        </w:rPr>
      </w:pPr>
      <w:r w:rsidRPr="00EB1BF9">
        <w:rPr>
          <w:lang w:eastAsia="en-AU"/>
        </w:rPr>
        <w:t>Vits, A., D. Weitzenburger, H. Hamann, and O. Distl. 2006. Influence of different tiers in furnished cages and small group systems on production traits, mortality, egg quality, bone strength, claw length and keel bone deformities in layers. Archi</w:t>
      </w:r>
      <w:r w:rsidR="000717B8">
        <w:rPr>
          <w:lang w:eastAsia="en-AU"/>
        </w:rPr>
        <w:t>v Fur Geflugelkunde 70:145-153.</w:t>
      </w:r>
    </w:p>
    <w:p w14:paraId="017FB24F" w14:textId="77777777" w:rsidR="00EB1BF9" w:rsidRPr="00EB1BF9" w:rsidRDefault="00EB1BF9" w:rsidP="00EB1BF9">
      <w:pPr>
        <w:rPr>
          <w:lang w:eastAsia="en-AU"/>
        </w:rPr>
      </w:pPr>
      <w:r w:rsidRPr="00EB1BF9">
        <w:rPr>
          <w:lang w:eastAsia="en-AU"/>
        </w:rPr>
        <w:t>Wahlstrom, A., R. Tauson, and K. Elwinger. 2001. Plumage condition and health of aviary-kept hens fed mash or crumbled pelle</w:t>
      </w:r>
      <w:r w:rsidR="000717B8">
        <w:rPr>
          <w:lang w:eastAsia="en-AU"/>
        </w:rPr>
        <w:t>ts. Poultry Science 80:266-271.</w:t>
      </w:r>
    </w:p>
    <w:p w14:paraId="1AE836F3" w14:textId="77777777" w:rsidR="00EB1BF9" w:rsidRPr="00EB1BF9" w:rsidRDefault="00EB1BF9" w:rsidP="00EB1BF9">
      <w:pPr>
        <w:rPr>
          <w:lang w:eastAsia="en-AU"/>
        </w:rPr>
      </w:pPr>
      <w:r w:rsidRPr="00EB1BF9">
        <w:rPr>
          <w:lang w:eastAsia="en-AU"/>
        </w:rPr>
        <w:t>Wall, H. 2011. Production performance and proportion of nest eggs in layer hybrids housed in different designs of furnished cages. Poultry Science 90:2153-2161. doi 10.3382/ps.2011-01495</w:t>
      </w:r>
    </w:p>
    <w:p w14:paraId="5990CF3C" w14:textId="77777777" w:rsidR="00EB1BF9" w:rsidRPr="00EB1BF9" w:rsidRDefault="00EB1BF9" w:rsidP="00EB1BF9">
      <w:pPr>
        <w:rPr>
          <w:lang w:eastAsia="en-AU"/>
        </w:rPr>
      </w:pPr>
      <w:r w:rsidRPr="00EB1BF9">
        <w:rPr>
          <w:lang w:eastAsia="en-AU"/>
        </w:rPr>
        <w:t>Wall, H., and R. Tauson. 2007. Perch arrangements in small-group furnished cages for laying hens. Journal of Appli</w:t>
      </w:r>
      <w:r w:rsidR="000717B8">
        <w:rPr>
          <w:lang w:eastAsia="en-AU"/>
        </w:rPr>
        <w:t>ed Poultry Research 16:322-330.</w:t>
      </w:r>
    </w:p>
    <w:p w14:paraId="236B16AA" w14:textId="77777777" w:rsidR="00EB1BF9" w:rsidRPr="00EB1BF9" w:rsidRDefault="00EB1BF9" w:rsidP="00EB1BF9">
      <w:pPr>
        <w:rPr>
          <w:lang w:eastAsia="en-AU"/>
        </w:rPr>
      </w:pPr>
      <w:r w:rsidRPr="00EB1BF9">
        <w:rPr>
          <w:lang w:eastAsia="en-AU"/>
        </w:rPr>
        <w:t>Wall, H., R. Tauson, and K. Elwinger. 2002. Effect of nest design, passages, and hybrid on use of nest and production performance of layers in furnished cag</w:t>
      </w:r>
      <w:r w:rsidR="000717B8">
        <w:rPr>
          <w:lang w:eastAsia="en-AU"/>
        </w:rPr>
        <w:t>es. Poultry Science 81:333-339.</w:t>
      </w:r>
    </w:p>
    <w:p w14:paraId="5E513C17" w14:textId="77777777" w:rsidR="00EB1BF9" w:rsidRPr="00EB1BF9" w:rsidRDefault="00EB1BF9" w:rsidP="00EB1BF9">
      <w:pPr>
        <w:rPr>
          <w:lang w:eastAsia="en-AU"/>
        </w:rPr>
      </w:pPr>
      <w:r w:rsidRPr="00EB1BF9">
        <w:rPr>
          <w:lang w:eastAsia="en-AU"/>
        </w:rPr>
        <w:t>Wall, H., R. Tauson, and K. Elwinger. 2008. Effects of Litter Substrate and Genotype on Layers' Use of Litter, Exterior Appearance, and Heterophil: Lymphocyte Ratios in Furnished Cages. Poultry Science 87:2458-2465. doi 10.3382/ps.2008-00038</w:t>
      </w:r>
    </w:p>
    <w:p w14:paraId="6D7B315E" w14:textId="77777777" w:rsidR="00EB1BF9" w:rsidRPr="00EB1BF9" w:rsidRDefault="00EB1BF9" w:rsidP="00EB1BF9">
      <w:pPr>
        <w:rPr>
          <w:lang w:eastAsia="en-AU"/>
        </w:rPr>
      </w:pPr>
      <w:r w:rsidRPr="00EB1BF9">
        <w:rPr>
          <w:lang w:eastAsia="en-AU"/>
        </w:rPr>
        <w:t>Weber, R. M., M. Nogossek, I. Sander, B. Wandt, U. Neumann, and G. Glunder. 2003. Investigations of laying hen health in enriched cages as compared to conventional cages and a floor pen system. Wiener Tierarzt</w:t>
      </w:r>
      <w:r w:rsidR="000717B8">
        <w:rPr>
          <w:lang w:eastAsia="en-AU"/>
        </w:rPr>
        <w:t>liche Monatsschrift 90:257-266.</w:t>
      </w:r>
    </w:p>
    <w:p w14:paraId="2A21DC62" w14:textId="77777777" w:rsidR="00EB1BF9" w:rsidRPr="00EB1BF9" w:rsidRDefault="00EB1BF9" w:rsidP="00EB1BF9">
      <w:pPr>
        <w:rPr>
          <w:lang w:eastAsia="en-AU"/>
        </w:rPr>
      </w:pPr>
      <w:r w:rsidRPr="00EB1BF9">
        <w:rPr>
          <w:lang w:eastAsia="en-AU"/>
        </w:rPr>
        <w:t>Webster, A. B. 2003. Physiology and behavior of the hen during induced mol</w:t>
      </w:r>
      <w:r w:rsidR="000717B8">
        <w:rPr>
          <w:lang w:eastAsia="en-AU"/>
        </w:rPr>
        <w:t>t. Poultry Science 82:992-1002.</w:t>
      </w:r>
    </w:p>
    <w:p w14:paraId="7010718B" w14:textId="77777777" w:rsidR="00EB1BF9" w:rsidRPr="00EB1BF9" w:rsidRDefault="00EB1BF9" w:rsidP="00EB1BF9">
      <w:pPr>
        <w:rPr>
          <w:lang w:eastAsia="en-AU"/>
        </w:rPr>
      </w:pPr>
      <w:r w:rsidRPr="00EB1BF9">
        <w:rPr>
          <w:lang w:eastAsia="en-AU"/>
        </w:rPr>
        <w:t xml:space="preserve">Weeks, C. A., S. L. Lambton, and A. G. Williams. 2016. Implications for Welfare, Productivity and Sustainability of the Variation in Reported Levels of Mortality for Laying Hen Flocks Kept in Different Housing Systems: A Meta-Analysis of Ten Studies. </w:t>
      </w:r>
      <w:r w:rsidR="00601DC5">
        <w:rPr>
          <w:lang w:eastAsia="en-AU"/>
        </w:rPr>
        <w:t>PLoS</w:t>
      </w:r>
      <w:r w:rsidR="00997550">
        <w:rPr>
          <w:lang w:eastAsia="en-AU"/>
        </w:rPr>
        <w:t xml:space="preserve"> ONE</w:t>
      </w:r>
      <w:r w:rsidRPr="00EB1BF9">
        <w:rPr>
          <w:lang w:eastAsia="en-AU"/>
        </w:rPr>
        <w:t xml:space="preserve"> 11. doi 10.1371/journal.pone.0146394</w:t>
      </w:r>
    </w:p>
    <w:p w14:paraId="41E0C873" w14:textId="77777777" w:rsidR="00EB1BF9" w:rsidRPr="00EB1BF9" w:rsidRDefault="00EB1BF9" w:rsidP="00EB1BF9">
      <w:pPr>
        <w:rPr>
          <w:lang w:eastAsia="en-AU"/>
        </w:rPr>
      </w:pPr>
      <w:r w:rsidRPr="00EB1BF9">
        <w:rPr>
          <w:lang w:eastAsia="en-AU"/>
        </w:rPr>
        <w:t>Wein, Y., E. Bar Shira, and A. Friedman. 2017. Avoiding handling-induced stress in poultry: use of uniform parameters to accurately determine physiological stress. Poultry Science 96:65-73. doi 10.3382/ps/pew245</w:t>
      </w:r>
    </w:p>
    <w:p w14:paraId="6776AD6E" w14:textId="77777777" w:rsidR="00EB1BF9" w:rsidRPr="00EB1BF9" w:rsidRDefault="00EB1BF9" w:rsidP="00EB1BF9">
      <w:pPr>
        <w:rPr>
          <w:lang w:eastAsia="en-AU"/>
        </w:rPr>
      </w:pPr>
      <w:r w:rsidRPr="00EB1BF9">
        <w:rPr>
          <w:lang w:eastAsia="en-AU"/>
        </w:rPr>
        <w:t xml:space="preserve">Weissmann, A., A. Forster, J. Gottschalk, S. Reitemeier, M. E. Krautwald-Junghanns, R. Preisinger, and A. Einspanier. 2014. </w:t>
      </w:r>
      <w:r w:rsidRPr="00A51AD9">
        <w:rPr>
          <w:i/>
          <w:lang w:eastAsia="en-AU"/>
        </w:rPr>
        <w:t>In ovo</w:t>
      </w:r>
      <w:r w:rsidRPr="00EB1BF9">
        <w:rPr>
          <w:lang w:eastAsia="en-AU"/>
        </w:rPr>
        <w:t>-gender identification in laying hen hybrids: Effects on hatching and production performance. European Poultry Science 78. doi 10.1399/eps.2014.25</w:t>
      </w:r>
    </w:p>
    <w:p w14:paraId="4EE84401" w14:textId="77777777" w:rsidR="00EB1BF9" w:rsidRPr="00EB1BF9" w:rsidRDefault="00EB1BF9" w:rsidP="00EB1BF9">
      <w:pPr>
        <w:rPr>
          <w:lang w:eastAsia="en-AU"/>
        </w:rPr>
      </w:pPr>
      <w:r w:rsidRPr="00EB1BF9">
        <w:rPr>
          <w:lang w:eastAsia="en-AU"/>
        </w:rPr>
        <w:t>Weitzenburger, D., A. Vits, H. Hamann, and O. Distl. 2005a. Effect of furnished small group housing systems and furnished cages on mortality and causes of death in two layer strains. British Poultry Science 46:553-559. doi 10.1080/00071660500303206</w:t>
      </w:r>
    </w:p>
    <w:p w14:paraId="3F85BB8C" w14:textId="77777777" w:rsidR="00EB1BF9" w:rsidRPr="00EB1BF9" w:rsidRDefault="00EB1BF9" w:rsidP="00EB1BF9">
      <w:pPr>
        <w:rPr>
          <w:lang w:eastAsia="en-AU"/>
        </w:rPr>
      </w:pPr>
      <w:r w:rsidRPr="00EB1BF9">
        <w:rPr>
          <w:lang w:eastAsia="en-AU"/>
        </w:rPr>
        <w:t>Weitzenburger, D., A. Vits, H. Hamann, and O. Distl. 2005b. Mortality and causes of death in layer strains Lohmann Selected Leghorn and Lohmann Brown kept in small group housing systems and furnished ca</w:t>
      </w:r>
      <w:r w:rsidR="00A51AD9">
        <w:rPr>
          <w:lang w:eastAsia="en-AU"/>
        </w:rPr>
        <w:t>ges. Zuchtungskunde 77:367-381.</w:t>
      </w:r>
    </w:p>
    <w:p w14:paraId="0878B3E4" w14:textId="77777777" w:rsidR="00EB1BF9" w:rsidRPr="00EB1BF9" w:rsidRDefault="00EB1BF9" w:rsidP="00EB1BF9">
      <w:pPr>
        <w:rPr>
          <w:lang w:eastAsia="en-AU"/>
        </w:rPr>
      </w:pPr>
      <w:r w:rsidRPr="00EB1BF9">
        <w:rPr>
          <w:lang w:eastAsia="en-AU"/>
        </w:rPr>
        <w:t>Weitzenburger, D., A. Vits, H. Hamann, and O. Distl. 2006a. Evaluation of small group housing systems and furnished cages as regards particular behaviour patterns in the layer strain Lohmann Selected Leghorn. Archi</w:t>
      </w:r>
      <w:r w:rsidR="00A51AD9">
        <w:rPr>
          <w:lang w:eastAsia="en-AU"/>
        </w:rPr>
        <w:t>v Fur Geflugelkunde 70:250-260.</w:t>
      </w:r>
    </w:p>
    <w:p w14:paraId="1999F6FD" w14:textId="77777777" w:rsidR="00EB1BF9" w:rsidRPr="00EB1BF9" w:rsidRDefault="00EB1BF9" w:rsidP="00EB1BF9">
      <w:pPr>
        <w:rPr>
          <w:lang w:eastAsia="en-AU"/>
        </w:rPr>
      </w:pPr>
      <w:r w:rsidRPr="00EB1BF9">
        <w:rPr>
          <w:lang w:eastAsia="en-AU"/>
        </w:rPr>
        <w:t>Weitzenburger, D., A. Vits, H. Hamann, M. Hewicker-Trautwein, and O. Distl. 2006b. Macroscopic and histopathological alterations of foot pads of laying hens kept in small group housing systems and furnished cages. British Poultry Science 47:533-543. doi 10.1080/00071660600963099</w:t>
      </w:r>
    </w:p>
    <w:p w14:paraId="42A5147D" w14:textId="77777777" w:rsidR="00EB1BF9" w:rsidRPr="00EB1BF9" w:rsidRDefault="00EB1BF9" w:rsidP="00EB1BF9">
      <w:pPr>
        <w:rPr>
          <w:lang w:eastAsia="en-AU"/>
        </w:rPr>
      </w:pPr>
      <w:r w:rsidRPr="00EB1BF9">
        <w:rPr>
          <w:lang w:eastAsia="en-AU"/>
        </w:rPr>
        <w:t>Weldon, K. B., K. V. Fanson, and C. L. Smith. 2016. Effects of Isolation on Stress Responses to Novel Stimuli in Subadult Chickens (</w:t>
      </w:r>
      <w:r w:rsidRPr="00A51AD9">
        <w:rPr>
          <w:i/>
          <w:lang w:eastAsia="en-AU"/>
        </w:rPr>
        <w:t>Gallus gallus</w:t>
      </w:r>
      <w:r w:rsidRPr="00EB1BF9">
        <w:rPr>
          <w:lang w:eastAsia="en-AU"/>
        </w:rPr>
        <w:t>). Ethology 122:818-827. doi 10.1111/eth.12529</w:t>
      </w:r>
    </w:p>
    <w:p w14:paraId="520FCB50" w14:textId="77777777" w:rsidR="00EB1BF9" w:rsidRPr="00EB1BF9" w:rsidRDefault="00EB1BF9" w:rsidP="00EB1BF9">
      <w:pPr>
        <w:rPr>
          <w:lang w:eastAsia="en-AU"/>
        </w:rPr>
      </w:pPr>
      <w:r w:rsidRPr="00EB1BF9">
        <w:rPr>
          <w:lang w:eastAsia="en-AU"/>
        </w:rPr>
        <w:t>Whay, H. R., D. C. J. Main, L. E. Green, G. Heaven, H. Howell, M. Morgan, A. Pearson, and A. J. F. Webster. 2007. Assessment of the behaviour and welfare of laying hens on free-range units. Veterinary Record 161:119-128.</w:t>
      </w:r>
    </w:p>
    <w:p w14:paraId="42F795FA" w14:textId="77777777" w:rsidR="00EB1BF9" w:rsidRPr="00EB1BF9" w:rsidRDefault="00EB1BF9" w:rsidP="00EB1BF9">
      <w:pPr>
        <w:rPr>
          <w:lang w:eastAsia="en-AU"/>
        </w:rPr>
      </w:pPr>
      <w:r w:rsidRPr="00EB1BF9">
        <w:rPr>
          <w:lang w:eastAsia="en-AU"/>
        </w:rPr>
        <w:t>Wichman, A., and L. J. Keeling. 2008. Hens are motivated to dustbathe in peat irrespective of being reared with or without a suitable dustbathing substrate. Animal Behaviour 75:1525-1533. doi 10.1016/j.anbehav.2007.10.009</w:t>
      </w:r>
    </w:p>
    <w:p w14:paraId="2F417076" w14:textId="77777777" w:rsidR="00EB1BF9" w:rsidRPr="00EB1BF9" w:rsidRDefault="00EB1BF9" w:rsidP="00EB1BF9">
      <w:pPr>
        <w:rPr>
          <w:lang w:eastAsia="en-AU"/>
        </w:rPr>
      </w:pPr>
      <w:r w:rsidRPr="00EB1BF9">
        <w:rPr>
          <w:lang w:eastAsia="en-AU"/>
        </w:rPr>
        <w:t>Wichman, A., and L. J. Keeling. 2009. The influence of losing or gaining access to peat on the dustbathing behaviour of laying h</w:t>
      </w:r>
      <w:r w:rsidR="00A51AD9">
        <w:rPr>
          <w:lang w:eastAsia="en-AU"/>
        </w:rPr>
        <w:t>ens. Animal Welfare 18:149-157.</w:t>
      </w:r>
    </w:p>
    <w:p w14:paraId="7C843422" w14:textId="77777777" w:rsidR="00EB1BF9" w:rsidRPr="00EB1BF9" w:rsidRDefault="00EB1BF9" w:rsidP="00EB1BF9">
      <w:pPr>
        <w:rPr>
          <w:lang w:eastAsia="en-AU"/>
        </w:rPr>
      </w:pPr>
      <w:r w:rsidRPr="00EB1BF9">
        <w:rPr>
          <w:lang w:eastAsia="en-AU"/>
        </w:rPr>
        <w:t>Widowski, T. M., and I. J. H. Duncan. 2000. Working for a dustbath: are hens increasing pleasure rather than reducing suffering? Applied Animal Behaviour Science 68:39-53. doi 10.1016/s0168-1591(00)00088-5</w:t>
      </w:r>
    </w:p>
    <w:p w14:paraId="76D0F150" w14:textId="77777777" w:rsidR="00EB1BF9" w:rsidRPr="00EB1BF9" w:rsidRDefault="00EB1BF9" w:rsidP="00EB1BF9">
      <w:pPr>
        <w:rPr>
          <w:lang w:eastAsia="en-AU"/>
        </w:rPr>
      </w:pPr>
      <w:r w:rsidRPr="00EB1BF9">
        <w:rPr>
          <w:lang w:eastAsia="en-AU"/>
        </w:rPr>
        <w:t xml:space="preserve">Widowski, T. M., P. H. Hemsworth, J. L. Barnett, and J. L. Rault. 2016. Laying hen welfare I. Social environment and space. </w:t>
      </w:r>
      <w:r w:rsidR="00E12232">
        <w:rPr>
          <w:lang w:eastAsia="en-AU"/>
        </w:rPr>
        <w:t>World’s</w:t>
      </w:r>
      <w:r w:rsidRPr="00EB1BF9">
        <w:rPr>
          <w:lang w:eastAsia="en-AU"/>
        </w:rPr>
        <w:t xml:space="preserve"> Poultry Science Journal 72:333-342. doi 10.1017/s0043933916000027</w:t>
      </w:r>
    </w:p>
    <w:p w14:paraId="48C678BB" w14:textId="77777777" w:rsidR="00EB1BF9" w:rsidRPr="00EB1BF9" w:rsidRDefault="00EB1BF9" w:rsidP="00EB1BF9">
      <w:pPr>
        <w:rPr>
          <w:lang w:eastAsia="en-AU"/>
        </w:rPr>
      </w:pPr>
      <w:r w:rsidRPr="00EB1BF9">
        <w:rPr>
          <w:lang w:eastAsia="en-AU"/>
        </w:rPr>
        <w:t xml:space="preserve">Wierup, M., H. Wahlstrom, E. Lahti, H. Eriksson, D. S. Jansson, A. Odelros, and L. Ernholm. 2017. Occurrence of </w:t>
      </w:r>
      <w:r w:rsidRPr="004643BC">
        <w:rPr>
          <w:i/>
          <w:lang w:eastAsia="en-AU"/>
        </w:rPr>
        <w:t>Salmonella</w:t>
      </w:r>
      <w:r w:rsidRPr="00EB1BF9">
        <w:rPr>
          <w:lang w:eastAsia="en-AU"/>
        </w:rPr>
        <w:t xml:space="preserve"> spp.: a comparison between indoor and outdoor housing of broilers and laying hens. Acta Veterinaria Scandinavica 59:1-8. doi 10.1186/s13028-017-0281-4</w:t>
      </w:r>
    </w:p>
    <w:p w14:paraId="011282B7" w14:textId="77777777" w:rsidR="00EB1BF9" w:rsidRPr="00EB1BF9" w:rsidRDefault="00EB1BF9" w:rsidP="00EB1BF9">
      <w:pPr>
        <w:rPr>
          <w:lang w:eastAsia="en-AU"/>
        </w:rPr>
      </w:pPr>
      <w:r w:rsidRPr="00EB1BF9">
        <w:rPr>
          <w:lang w:eastAsia="en-AU"/>
        </w:rPr>
        <w:t>Wilkins, L. J., S. N. Brown, P. H. Zimmerman, C. Leeb, and C. J. Nicol. 2004. Investigation of palpation as a method for determining the prevalence of keel and furculum damage in laying hen</w:t>
      </w:r>
      <w:r w:rsidR="00A263AA">
        <w:rPr>
          <w:lang w:eastAsia="en-AU"/>
        </w:rPr>
        <w:t>s. Veterinary Record 155:547-549</w:t>
      </w:r>
      <w:r w:rsidR="00A51AD9">
        <w:rPr>
          <w:lang w:eastAsia="en-AU"/>
        </w:rPr>
        <w:t>.</w:t>
      </w:r>
    </w:p>
    <w:p w14:paraId="3E2D65B8" w14:textId="77777777" w:rsidR="00EB1BF9" w:rsidRPr="00EB1BF9" w:rsidRDefault="00EB1BF9" w:rsidP="00EB1BF9">
      <w:pPr>
        <w:rPr>
          <w:lang w:eastAsia="en-AU"/>
        </w:rPr>
      </w:pPr>
      <w:r w:rsidRPr="00EB1BF9">
        <w:rPr>
          <w:lang w:eastAsia="en-AU"/>
        </w:rPr>
        <w:t>Wilkins, L. J., J. L. McKinstry, N. C. Avery, T. G. Knowles, S. N. Brown, J. Tarlton, and C. J. Nicol. 2011. Influence of housing system and design on bone strength and keel bone fractures in laying hens. Veterinary Record 169:414. doi 10.1136/vr.d4831</w:t>
      </w:r>
    </w:p>
    <w:p w14:paraId="6EA4295F" w14:textId="77777777" w:rsidR="00EB1BF9" w:rsidRPr="00EB1BF9" w:rsidRDefault="00EB1BF9" w:rsidP="00EB1BF9">
      <w:pPr>
        <w:rPr>
          <w:lang w:eastAsia="en-AU"/>
        </w:rPr>
      </w:pPr>
      <w:r w:rsidRPr="00EB1BF9">
        <w:rPr>
          <w:lang w:eastAsia="en-AU"/>
        </w:rPr>
        <w:t xml:space="preserve">Willis, W. L., I. Goktepe, O. S. Isikhuemhen, M. Reed, K. King, and C. Murray. 2008. The Effect of Mushroom and Pokeweed Extract on </w:t>
      </w:r>
      <w:r w:rsidRPr="004643BC">
        <w:rPr>
          <w:i/>
          <w:lang w:eastAsia="en-AU"/>
        </w:rPr>
        <w:t>Salmonella</w:t>
      </w:r>
      <w:r w:rsidRPr="00EB1BF9">
        <w:rPr>
          <w:lang w:eastAsia="en-AU"/>
        </w:rPr>
        <w:t>, Egg Production, and Weight Loss in Molting Hens. Poultry Science 87:2451-2457. doi 10.3382/ps.2008-00004</w:t>
      </w:r>
    </w:p>
    <w:p w14:paraId="2AD40B89" w14:textId="77777777" w:rsidR="00EB1BF9" w:rsidRPr="00EB1BF9" w:rsidRDefault="00EB1BF9" w:rsidP="00EB1BF9">
      <w:pPr>
        <w:rPr>
          <w:lang w:eastAsia="en-AU"/>
        </w:rPr>
      </w:pPr>
      <w:r w:rsidRPr="00EB1BF9">
        <w:rPr>
          <w:lang w:eastAsia="en-AU"/>
        </w:rPr>
        <w:t>Wilson, S., B. O. Hughes, M. C. Appleby, and S. F. Smith. 1993. Effects of perches on trabecular bone volume in laying hens. Research in Veterinary Science 54:207-211. doi 10.1016/0034-5288(93)90058-n</w:t>
      </w:r>
    </w:p>
    <w:p w14:paraId="23CB6182" w14:textId="77777777" w:rsidR="00EB1BF9" w:rsidRPr="00EB1BF9" w:rsidRDefault="00EB1BF9" w:rsidP="00EB1BF9">
      <w:pPr>
        <w:rPr>
          <w:lang w:eastAsia="en-AU"/>
        </w:rPr>
      </w:pPr>
      <w:r w:rsidRPr="00EB1BF9">
        <w:rPr>
          <w:lang w:eastAsia="en-AU"/>
        </w:rPr>
        <w:t xml:space="preserve">Woodward, C. L., Y. M. Kwon, L. F. Kubena, J. A. Byrd, R. W. Moore, D. J. Nisbet, and S. C. Ricke. 2005. Reduction of </w:t>
      </w:r>
      <w:r w:rsidRPr="0024199B">
        <w:rPr>
          <w:i/>
          <w:lang w:eastAsia="en-AU"/>
        </w:rPr>
        <w:t>Salmonella enterica</w:t>
      </w:r>
      <w:r w:rsidRPr="00EB1BF9">
        <w:rPr>
          <w:lang w:eastAsia="en-AU"/>
        </w:rPr>
        <w:t xml:space="preserve"> serovar enteritidis colonization and invasion by an alfalfa diet during molt in leghorn hens. Poultry Sci</w:t>
      </w:r>
      <w:r w:rsidR="0024199B">
        <w:rPr>
          <w:lang w:eastAsia="en-AU"/>
        </w:rPr>
        <w:t>ence 84:185-193.</w:t>
      </w:r>
    </w:p>
    <w:p w14:paraId="4C6890CB" w14:textId="77777777" w:rsidR="00EB1BF9" w:rsidRPr="00EB1BF9" w:rsidRDefault="00EB1BF9" w:rsidP="00EB1BF9">
      <w:pPr>
        <w:rPr>
          <w:lang w:eastAsia="en-AU"/>
        </w:rPr>
      </w:pPr>
      <w:r w:rsidRPr="00EB1BF9">
        <w:rPr>
          <w:lang w:eastAsia="en-AU"/>
        </w:rPr>
        <w:t>Xie, W. Y., X. Y. Hou, F. B. Yan, G. R. Sun, R. L. Han, and X. T. Kang. 2013. Effect of -aminobutyric acid on growth performance and immune function in chicks under beak trimming stress. Animal Science Journal 84:121-129. doi 10.1111/j.1740-0929.2012.01051.x</w:t>
      </w:r>
    </w:p>
    <w:p w14:paraId="62878A0B" w14:textId="77777777" w:rsidR="00EB1BF9" w:rsidRPr="00EB1BF9" w:rsidRDefault="00EB1BF9" w:rsidP="00EB1BF9">
      <w:pPr>
        <w:rPr>
          <w:lang w:eastAsia="en-AU"/>
        </w:rPr>
      </w:pPr>
      <w:r w:rsidRPr="00EB1BF9">
        <w:rPr>
          <w:lang w:eastAsia="en-AU"/>
        </w:rPr>
        <w:t>Yan, F. F., P. Y. Hester, and H. W. Cheng. 2014. The effect of perch access during pullet rearing and egg laying on physiological measures of stress in White Leghorns at 71 weeks of age. Poultry Science 93:1318-1326. doi 10.3382/ps.2013-03572</w:t>
      </w:r>
    </w:p>
    <w:p w14:paraId="04C7C116" w14:textId="77777777" w:rsidR="00EB1BF9" w:rsidRPr="00EB1BF9" w:rsidRDefault="00EB1BF9" w:rsidP="00EB1BF9">
      <w:pPr>
        <w:rPr>
          <w:lang w:eastAsia="en-AU"/>
        </w:rPr>
      </w:pPr>
      <w:r w:rsidRPr="00EB1BF9">
        <w:rPr>
          <w:lang w:eastAsia="en-AU"/>
        </w:rPr>
        <w:t>Yan, F. F., P. Y. Hester, S. A. Enneking, and H. W. Cheng. 2013. Effects of perch access and age on physiological measures of stress in caged White Leghorn pullets. Poultry Science 92:2853-2859. doi 10.3382/ps.2013-03271</w:t>
      </w:r>
    </w:p>
    <w:p w14:paraId="7E470A7B" w14:textId="77777777" w:rsidR="00EB1BF9" w:rsidRPr="00EB1BF9" w:rsidRDefault="00EB1BF9" w:rsidP="00EB1BF9">
      <w:pPr>
        <w:rPr>
          <w:lang w:eastAsia="en-AU"/>
        </w:rPr>
      </w:pPr>
      <w:r w:rsidRPr="00EB1BF9">
        <w:rPr>
          <w:lang w:eastAsia="en-AU"/>
        </w:rPr>
        <w:t>Yang, H. M., Z. Yang, W. Wang, Z. Y. Wang, H. N. Sun, X. J. Ju, and X. M. Qi. 2014. Effects of different housing systems on visceral organs, serum biochemical proportions, immune performance and egg quality of laying hens. European Poultry Science 78. doi 10.1399/eps.2014.48</w:t>
      </w:r>
    </w:p>
    <w:p w14:paraId="066A184F" w14:textId="77777777" w:rsidR="00EB1BF9" w:rsidRPr="00EB1BF9" w:rsidRDefault="00EB1BF9" w:rsidP="00EB1BF9">
      <w:pPr>
        <w:rPr>
          <w:lang w:eastAsia="en-AU"/>
        </w:rPr>
      </w:pPr>
      <w:r w:rsidRPr="00EB1BF9">
        <w:rPr>
          <w:lang w:eastAsia="en-AU"/>
        </w:rPr>
        <w:t>Yardimci, M., and I. Bayram. 2008. The Response of Two Commercial Laying Hen Strains to an Induced Molting Program. Journal of Animal and V</w:t>
      </w:r>
      <w:r w:rsidR="0024199B">
        <w:rPr>
          <w:lang w:eastAsia="en-AU"/>
        </w:rPr>
        <w:t>eterinary Advances 7:1613-1617.</w:t>
      </w:r>
    </w:p>
    <w:p w14:paraId="2F33397C" w14:textId="77777777" w:rsidR="00EB1BF9" w:rsidRPr="00EB1BF9" w:rsidRDefault="00EB1BF9" w:rsidP="00EB1BF9">
      <w:pPr>
        <w:rPr>
          <w:lang w:eastAsia="en-AU"/>
        </w:rPr>
      </w:pPr>
      <w:r w:rsidRPr="00EB1BF9">
        <w:rPr>
          <w:lang w:eastAsia="en-AU"/>
        </w:rPr>
        <w:t>Yngvesson, J., L. J. Keeling, and R. C. Newberry. 2004. Individual production differences do not explain cannibalistic behaviour in laying hens. British Poultry Science 45:453-462. doi 10.1080/00071660412331286163</w:t>
      </w:r>
    </w:p>
    <w:p w14:paraId="5B311905" w14:textId="77777777" w:rsidR="00EB1BF9" w:rsidRPr="00EB1BF9" w:rsidRDefault="00EB1BF9" w:rsidP="00EB1BF9">
      <w:pPr>
        <w:rPr>
          <w:lang w:eastAsia="en-AU"/>
        </w:rPr>
      </w:pPr>
      <w:r w:rsidRPr="00EB1BF9">
        <w:rPr>
          <w:lang w:eastAsia="en-AU"/>
        </w:rPr>
        <w:t>Yue, S., and I. J. H. Duncan. 2003. Frustrated nesting behaviour: relation to extra-cuticular shell calcium and bone strength in White Leghorn hens. British Poultry Science 44:175-181. doi 10.1080/0007166031000088334</w:t>
      </w:r>
    </w:p>
    <w:p w14:paraId="0599BFE5" w14:textId="77777777" w:rsidR="00EB1BF9" w:rsidRPr="00EB1BF9" w:rsidRDefault="00EB1BF9" w:rsidP="00EB1BF9">
      <w:pPr>
        <w:rPr>
          <w:lang w:eastAsia="en-AU"/>
        </w:rPr>
      </w:pPr>
      <w:r w:rsidRPr="00EB1BF9">
        <w:rPr>
          <w:lang w:eastAsia="en-AU"/>
        </w:rPr>
        <w:t>Zeltner, E., and H. Hirt. 2008a. A note on fear reaction of three different genetic strains of laying hens to a simulated hawk attack in the hen run of a free-range system. Applied Animal Behaviour Science 113:69-73. doi 10.1016/j.applanim.2007.12.003</w:t>
      </w:r>
    </w:p>
    <w:p w14:paraId="766356F5" w14:textId="77777777" w:rsidR="00EB1BF9" w:rsidRPr="00EB1BF9" w:rsidRDefault="00EB1BF9" w:rsidP="00EB1BF9">
      <w:pPr>
        <w:rPr>
          <w:lang w:eastAsia="en-AU"/>
        </w:rPr>
      </w:pPr>
      <w:r w:rsidRPr="00EB1BF9">
        <w:rPr>
          <w:lang w:eastAsia="en-AU"/>
        </w:rPr>
        <w:t>Zeltner, E., and H. Hirt. 2008b. Factors involved in the improvement of the use of hen runs. Applied Animal Behaviour Science 114:395-408. doi 10.1016/j.applanim.2008.04.007</w:t>
      </w:r>
    </w:p>
    <w:p w14:paraId="5C0BD9A2" w14:textId="77777777" w:rsidR="00EB1BF9" w:rsidRPr="00EB1BF9" w:rsidRDefault="00EB1BF9" w:rsidP="00EB1BF9">
      <w:pPr>
        <w:rPr>
          <w:lang w:eastAsia="en-AU"/>
        </w:rPr>
      </w:pPr>
      <w:r w:rsidRPr="00EB1BF9">
        <w:rPr>
          <w:lang w:eastAsia="en-AU"/>
        </w:rPr>
        <w:t>Zeltner, E., T. Klein, and B. Huber-Eicher. 2000. Is there social transmission of feather pecking in groups of laying hen chicks? Animal Behaviour 60:211-216. doi 10.1006/anbe.2000.1453</w:t>
      </w:r>
    </w:p>
    <w:p w14:paraId="4DA8F398" w14:textId="77777777" w:rsidR="00EB1BF9" w:rsidRPr="00EB1BF9" w:rsidRDefault="00EB1BF9" w:rsidP="00EB1BF9">
      <w:pPr>
        <w:rPr>
          <w:lang w:eastAsia="en-AU"/>
        </w:rPr>
      </w:pPr>
      <w:r w:rsidRPr="00EB1BF9">
        <w:rPr>
          <w:lang w:eastAsia="en-AU"/>
        </w:rPr>
        <w:t>Zhao, Y., T. A. Shepherd, J. C. Swanson, J. A. Mench, D. M. Karcher, and H. Xin. 2015. Comparative evaluation of three egg production systems: Housing characteristics and management practices. Poultry Science 94:475-484. doi 10.3382/ps/peu077</w:t>
      </w:r>
    </w:p>
    <w:p w14:paraId="6595DC97" w14:textId="77777777" w:rsidR="00EB1BF9" w:rsidRPr="00EB1BF9" w:rsidRDefault="00EB1BF9" w:rsidP="00EB1BF9">
      <w:pPr>
        <w:rPr>
          <w:lang w:eastAsia="en-AU"/>
        </w:rPr>
      </w:pPr>
      <w:r w:rsidRPr="00EB1BF9">
        <w:rPr>
          <w:lang w:eastAsia="en-AU"/>
        </w:rPr>
        <w:t>Zidar, J., and H. Lovlie. 2012. Scent of the enemy: behavioural responses to predator faecal odour in the fowl. Animal Behaviour 84:547-554. doi 10.1016/j.anbehav.2012.06.006</w:t>
      </w:r>
    </w:p>
    <w:p w14:paraId="413C8CE8" w14:textId="77777777" w:rsidR="00EB1BF9" w:rsidRPr="00EB1BF9" w:rsidRDefault="00EB1BF9" w:rsidP="00EB1BF9">
      <w:pPr>
        <w:rPr>
          <w:lang w:eastAsia="en-AU"/>
        </w:rPr>
      </w:pPr>
      <w:r w:rsidRPr="00EB1BF9">
        <w:rPr>
          <w:lang w:val="en-AU" w:eastAsia="en-AU"/>
        </w:rPr>
        <w:t xml:space="preserve">Zimmerman, P.H., </w:t>
      </w:r>
      <w:r w:rsidR="0024199B">
        <w:rPr>
          <w:lang w:val="en-AU" w:eastAsia="en-AU"/>
        </w:rPr>
        <w:t xml:space="preserve">A. C. </w:t>
      </w:r>
      <w:r w:rsidRPr="00EB1BF9">
        <w:rPr>
          <w:lang w:val="en-AU" w:eastAsia="en-AU"/>
        </w:rPr>
        <w:t>Lindberg,</w:t>
      </w:r>
      <w:r w:rsidR="0024199B">
        <w:rPr>
          <w:lang w:val="en-AU" w:eastAsia="en-AU"/>
        </w:rPr>
        <w:t xml:space="preserve"> S. J.</w:t>
      </w:r>
      <w:r w:rsidRPr="00EB1BF9">
        <w:rPr>
          <w:lang w:val="en-AU" w:eastAsia="en-AU"/>
        </w:rPr>
        <w:t xml:space="preserve"> Pope, </w:t>
      </w:r>
      <w:r w:rsidR="0024199B">
        <w:rPr>
          <w:lang w:val="en-AU" w:eastAsia="en-AU"/>
        </w:rPr>
        <w:t xml:space="preserve">E. </w:t>
      </w:r>
      <w:r w:rsidRPr="00EB1BF9">
        <w:rPr>
          <w:lang w:val="en-AU" w:eastAsia="en-AU"/>
        </w:rPr>
        <w:t xml:space="preserve">Glen, </w:t>
      </w:r>
      <w:r w:rsidR="0024199B">
        <w:rPr>
          <w:lang w:val="en-AU" w:eastAsia="en-AU"/>
        </w:rPr>
        <w:t xml:space="preserve">J. E. </w:t>
      </w:r>
      <w:r w:rsidRPr="00EB1BF9">
        <w:rPr>
          <w:lang w:val="en-AU" w:eastAsia="en-AU"/>
        </w:rPr>
        <w:t xml:space="preserve">Bolhuis, and </w:t>
      </w:r>
      <w:r w:rsidR="0024199B">
        <w:rPr>
          <w:lang w:val="en-AU" w:eastAsia="en-AU"/>
        </w:rPr>
        <w:t>C. J. Nic</w:t>
      </w:r>
      <w:r w:rsidRPr="00EB1BF9">
        <w:rPr>
          <w:lang w:val="en-AU" w:eastAsia="en-AU"/>
        </w:rPr>
        <w:t>ol</w:t>
      </w:r>
      <w:r w:rsidR="0024199B">
        <w:rPr>
          <w:lang w:val="en-AU" w:eastAsia="en-AU"/>
        </w:rPr>
        <w:t>.</w:t>
      </w:r>
      <w:r w:rsidRPr="00EB1BF9">
        <w:rPr>
          <w:lang w:val="en-AU" w:eastAsia="en-AU"/>
        </w:rPr>
        <w:t xml:space="preserve"> 2006. The effect of stocking density, flock size and modified management on laying hen behaviour and welfare in a non-cage system. Applied Animal Behaviour Science 101</w:t>
      </w:r>
      <w:r w:rsidR="0024199B">
        <w:rPr>
          <w:lang w:val="en-AU" w:eastAsia="en-AU"/>
        </w:rPr>
        <w:t>:</w:t>
      </w:r>
      <w:r w:rsidRPr="00EB1BF9">
        <w:rPr>
          <w:lang w:val="en-AU" w:eastAsia="en-AU"/>
        </w:rPr>
        <w:t>111-124.</w:t>
      </w:r>
    </w:p>
    <w:p w14:paraId="4AF68A61" w14:textId="77777777" w:rsidR="00EB1BF9" w:rsidRPr="00EB1BF9" w:rsidRDefault="00EB1BF9" w:rsidP="00EB1BF9">
      <w:pPr>
        <w:rPr>
          <w:lang w:val="en-AU" w:eastAsia="en-AU"/>
        </w:rPr>
      </w:pPr>
      <w:r w:rsidRPr="00EB1BF9">
        <w:rPr>
          <w:lang w:val="en-AU" w:eastAsia="en-AU"/>
        </w:rPr>
        <w:t xml:space="preserve">Zimmerman, P. H., </w:t>
      </w:r>
      <w:r w:rsidR="0024199B">
        <w:rPr>
          <w:lang w:val="en-AU" w:eastAsia="en-AU"/>
        </w:rPr>
        <w:t xml:space="preserve">S. J. </w:t>
      </w:r>
      <w:r w:rsidRPr="00EB1BF9">
        <w:rPr>
          <w:lang w:val="en-AU" w:eastAsia="en-AU"/>
        </w:rPr>
        <w:t xml:space="preserve">Pope, </w:t>
      </w:r>
      <w:r w:rsidR="0024199B">
        <w:rPr>
          <w:lang w:val="en-AU" w:eastAsia="en-AU"/>
        </w:rPr>
        <w:t>T.</w:t>
      </w:r>
      <w:r w:rsidRPr="00EB1BF9">
        <w:rPr>
          <w:lang w:val="en-AU" w:eastAsia="en-AU"/>
        </w:rPr>
        <w:t xml:space="preserve"> Guilford, and </w:t>
      </w:r>
      <w:r w:rsidR="0024199B">
        <w:rPr>
          <w:lang w:val="en-AU" w:eastAsia="en-AU"/>
        </w:rPr>
        <w:t xml:space="preserve">C. J. </w:t>
      </w:r>
      <w:r w:rsidRPr="00EB1BF9">
        <w:rPr>
          <w:lang w:val="en-AU" w:eastAsia="en-AU"/>
        </w:rPr>
        <w:t xml:space="preserve">Nicol. 2009. Involvement of the sun and the magnetic compass of domestic fowl in its spatial orientation. </w:t>
      </w:r>
      <w:r w:rsidRPr="00EB1BF9">
        <w:rPr>
          <w:iCs/>
          <w:lang w:val="en-AU" w:eastAsia="en-AU"/>
        </w:rPr>
        <w:t>Applied Animal Behaviour Science</w:t>
      </w:r>
      <w:r w:rsidRPr="00EB1BF9">
        <w:rPr>
          <w:lang w:val="en-AU" w:eastAsia="en-AU"/>
        </w:rPr>
        <w:t xml:space="preserve"> </w:t>
      </w:r>
      <w:r w:rsidRPr="00EB1BF9">
        <w:rPr>
          <w:iCs/>
          <w:lang w:val="en-AU" w:eastAsia="en-AU"/>
        </w:rPr>
        <w:t>116</w:t>
      </w:r>
      <w:r w:rsidR="0024199B">
        <w:rPr>
          <w:iCs/>
          <w:lang w:val="en-AU" w:eastAsia="en-AU"/>
        </w:rPr>
        <w:t>:</w:t>
      </w:r>
      <w:r w:rsidRPr="00EB1BF9">
        <w:rPr>
          <w:lang w:val="en-AU" w:eastAsia="en-AU"/>
        </w:rPr>
        <w:t>204-210.</w:t>
      </w:r>
    </w:p>
    <w:p w14:paraId="6F278CDE" w14:textId="77777777" w:rsidR="00EB1BF9" w:rsidRPr="00EB1BF9" w:rsidRDefault="00EB1BF9" w:rsidP="00EB1BF9">
      <w:pPr>
        <w:rPr>
          <w:lang w:eastAsia="en-AU"/>
        </w:rPr>
      </w:pPr>
      <w:r w:rsidRPr="00EB1BF9">
        <w:rPr>
          <w:lang w:eastAsia="en-AU"/>
        </w:rPr>
        <w:t>Zupan, M., A. Kruschwitz, T. Buchwalder, B. Huber-Eicher, and I. Stuhec. 2008. Comparison of the prelaying behavior of nest layers and litter layers. Poultry Science 87:399-404. doi 10.3382/ps.2006-00340</w:t>
      </w:r>
    </w:p>
    <w:p w14:paraId="5B54147C" w14:textId="77777777" w:rsidR="00EB1BF9" w:rsidRPr="00EB1BF9" w:rsidRDefault="00EB1BF9" w:rsidP="00EB1BF9">
      <w:pPr>
        <w:rPr>
          <w:lang w:eastAsia="en-AU"/>
        </w:rPr>
      </w:pPr>
      <w:r w:rsidRPr="00EB1BF9">
        <w:rPr>
          <w:lang w:eastAsia="en-AU"/>
        </w:rPr>
        <w:t>Zupan, M., A. Kruschwitz, and B. Huber-Eicher. 2007. The influence of light intensity during early exposure to colours on the choice of nest colours by laying hens. Applied Animal Behaviour Science 105:154-164. doi 10.1016/j.applanim.2006.05.011</w:t>
      </w:r>
    </w:p>
    <w:p w14:paraId="43A2D25B" w14:textId="77777777" w:rsidR="003D1CC3" w:rsidRPr="00286A88" w:rsidRDefault="003D1CC3" w:rsidP="00366BF5">
      <w:pPr>
        <w:rPr>
          <w:lang w:val="en-AU" w:eastAsia="en-AU"/>
        </w:rPr>
      </w:pPr>
    </w:p>
    <w:p w14:paraId="586CC9D2" w14:textId="77777777" w:rsidR="00286A88" w:rsidRPr="00286A88" w:rsidRDefault="005064B7" w:rsidP="005064B7">
      <w:pPr>
        <w:pStyle w:val="Heading1"/>
        <w:rPr>
          <w:lang w:val="en-AU" w:eastAsia="en-AU"/>
        </w:rPr>
      </w:pPr>
      <w:r>
        <w:rPr>
          <w:b w:val="0"/>
          <w:bCs w:val="0"/>
          <w:caps w:val="0"/>
          <w:sz w:val="18"/>
          <w:lang w:val="en-AU" w:eastAsia="en-AU"/>
        </w:rPr>
        <w:br w:type="column"/>
      </w:r>
      <w:bookmarkStart w:id="71" w:name="_Toc495310540"/>
      <w:r w:rsidR="00286A88" w:rsidRPr="00286A88">
        <w:rPr>
          <w:lang w:val="en-AU" w:eastAsia="en-AU"/>
        </w:rPr>
        <w:t>Laying Hen Breeders</w:t>
      </w:r>
      <w:bookmarkEnd w:id="71"/>
    </w:p>
    <w:p w14:paraId="6087522E" w14:textId="77777777" w:rsidR="00286A88" w:rsidRPr="00286A88" w:rsidRDefault="00286A88" w:rsidP="005064B7">
      <w:pPr>
        <w:pStyle w:val="Heading2"/>
        <w:rPr>
          <w:lang w:val="en-AU" w:eastAsia="en-AU"/>
        </w:rPr>
      </w:pPr>
      <w:bookmarkStart w:id="72" w:name="_Toc495310541"/>
      <w:r w:rsidRPr="00286A88">
        <w:rPr>
          <w:lang w:val="en-AU" w:eastAsia="en-AU"/>
        </w:rPr>
        <w:t>LHB1. Introduction</w:t>
      </w:r>
      <w:bookmarkEnd w:id="72"/>
    </w:p>
    <w:p w14:paraId="4268A732" w14:textId="77777777" w:rsidR="00286A88" w:rsidRPr="00286A88" w:rsidRDefault="00286A88" w:rsidP="005064B7">
      <w:pPr>
        <w:rPr>
          <w:color w:val="000000"/>
          <w:lang w:val="en-AU" w:eastAsia="en-AU"/>
        </w:rPr>
      </w:pPr>
      <w:r w:rsidRPr="00286A88">
        <w:rPr>
          <w:lang w:val="en-AU" w:eastAsia="en-AU"/>
        </w:rPr>
        <w:t xml:space="preserve">Grandparent (pure line) layer stock are held in very high biosecurity facilities owned by just two or three worldwide genetics companies. The pure lines produce the parent stock hybrids (layer breeders). The layer breeders are kept in mixed-sex highly biosecure facilities and they produce fertile eggs to supply commercial rearing farms. Not all countries have laying hen breeding farms and the birds are not easily available for scientific study. </w:t>
      </w:r>
      <w:r w:rsidRPr="00286A88">
        <w:rPr>
          <w:color w:val="000000"/>
          <w:lang w:val="en-AU" w:eastAsia="en-AU"/>
        </w:rPr>
        <w:t>The Netherlands, a centre for poultry breeding, had (in 2013) 5 facilities housing 97,000 grandparent birds and approximately 30 facilities housing  663,000 layer breeders (compared with 25 million laying hen birds on over 1</w:t>
      </w:r>
      <w:r w:rsidR="002646F8">
        <w:rPr>
          <w:color w:val="000000"/>
          <w:lang w:val="en-AU" w:eastAsia="en-AU"/>
        </w:rPr>
        <w:t>,</w:t>
      </w:r>
      <w:r w:rsidRPr="00286A88">
        <w:rPr>
          <w:color w:val="000000"/>
          <w:lang w:val="en-AU" w:eastAsia="en-AU"/>
        </w:rPr>
        <w:t>000 farms) (Landman and van Eck, 2015). Layer breeders are generally floor housed, whilst pure lines are housed in cages (de Haas et al., 2013).</w:t>
      </w:r>
    </w:p>
    <w:p w14:paraId="43E30600" w14:textId="77777777" w:rsidR="00286A88" w:rsidRPr="00286A88" w:rsidRDefault="00286A88" w:rsidP="005064B7">
      <w:pPr>
        <w:pStyle w:val="Heading2"/>
        <w:rPr>
          <w:lang w:val="en-AU" w:eastAsia="en-AU"/>
        </w:rPr>
      </w:pPr>
      <w:bookmarkStart w:id="73" w:name="_Toc495310542"/>
      <w:r w:rsidRPr="00286A88">
        <w:rPr>
          <w:lang w:val="en-AU" w:eastAsia="en-AU"/>
        </w:rPr>
        <w:t>LHB2. Risk Management</w:t>
      </w:r>
      <w:bookmarkEnd w:id="73"/>
    </w:p>
    <w:p w14:paraId="776A09DC" w14:textId="77777777" w:rsidR="00286A88" w:rsidRPr="005064B7" w:rsidRDefault="00286A88" w:rsidP="005064B7">
      <w:pPr>
        <w:pStyle w:val="Heading3"/>
      </w:pPr>
      <w:bookmarkStart w:id="74" w:name="_Toc495310543"/>
      <w:r w:rsidRPr="00286A88">
        <w:rPr>
          <w:lang w:val="en-AU" w:eastAsia="en-GB"/>
        </w:rPr>
        <w:t>LHB2.1 Infectious disease</w:t>
      </w:r>
      <w:bookmarkEnd w:id="74"/>
    </w:p>
    <w:p w14:paraId="3A093149" w14:textId="77777777" w:rsidR="00286A88" w:rsidRPr="00286A88" w:rsidRDefault="00286A88" w:rsidP="005064B7">
      <w:pPr>
        <w:rPr>
          <w:lang w:val="en-AU" w:eastAsia="en-AU"/>
        </w:rPr>
      </w:pPr>
      <w:r w:rsidRPr="00286A88">
        <w:rPr>
          <w:lang w:val="en-AU" w:eastAsia="en-AU"/>
        </w:rPr>
        <w:t xml:space="preserve">Laying hen breeder birds appear to be less susceptible to </w:t>
      </w:r>
      <w:r w:rsidRPr="00286A88">
        <w:rPr>
          <w:i/>
          <w:lang w:val="en-AU" w:eastAsia="en-AU"/>
        </w:rPr>
        <w:t xml:space="preserve">E. coli </w:t>
      </w:r>
      <w:r w:rsidRPr="00286A88">
        <w:rPr>
          <w:lang w:val="en-AU" w:eastAsia="en-AU"/>
        </w:rPr>
        <w:t>peritonitis syndrome than broiler breeder birds (Landman and van Eck, 2015).</w:t>
      </w:r>
    </w:p>
    <w:p w14:paraId="0DB49ACF" w14:textId="77777777" w:rsidR="00286A88" w:rsidRPr="00286A88" w:rsidRDefault="00286A88" w:rsidP="005064B7">
      <w:pPr>
        <w:pStyle w:val="Heading2"/>
        <w:rPr>
          <w:lang w:val="en-AU" w:eastAsia="en-AU"/>
        </w:rPr>
      </w:pPr>
      <w:bookmarkStart w:id="75" w:name="_Toc495310544"/>
      <w:r w:rsidRPr="00286A88">
        <w:rPr>
          <w:lang w:val="en-AU" w:eastAsia="en-AU"/>
        </w:rPr>
        <w:t>LHB3. Fear and Distress</w:t>
      </w:r>
      <w:bookmarkEnd w:id="75"/>
    </w:p>
    <w:p w14:paraId="64A3B025" w14:textId="77777777" w:rsidR="00286A88" w:rsidRPr="00286A88" w:rsidRDefault="00286A88" w:rsidP="005064B7">
      <w:pPr>
        <w:rPr>
          <w:lang w:val="en-AU" w:eastAsia="en-AU"/>
        </w:rPr>
      </w:pPr>
      <w:r w:rsidRPr="00286A88">
        <w:rPr>
          <w:lang w:val="en-AU" w:eastAsia="en-AU"/>
        </w:rPr>
        <w:t>De Haas et al. (2013) studied fearfulness and stress responses in 20 layer breeder flocks. Birds from white strains were more fearful of a stationary person and had worse plumage cover than birds from brown strains. High fear levels were associated with increased mortality in brown strains, and with low bodyweight and egg weight in white strains. In both strains high levels of the hormone corticosterone were associated with low egg weight, showing a clear link between stress and production.</w:t>
      </w:r>
    </w:p>
    <w:p w14:paraId="76A95713" w14:textId="77777777" w:rsidR="00286A88" w:rsidRPr="00286A88" w:rsidRDefault="00286A88" w:rsidP="005064B7">
      <w:pPr>
        <w:pStyle w:val="Heading2"/>
        <w:rPr>
          <w:lang w:val="en-AU" w:eastAsia="en-AU"/>
        </w:rPr>
      </w:pPr>
      <w:bookmarkStart w:id="76" w:name="_Toc495310545"/>
      <w:r w:rsidRPr="00286A88">
        <w:rPr>
          <w:lang w:val="en-AU" w:eastAsia="en-AU"/>
        </w:rPr>
        <w:t>LHB4. Welfare Considerations: Overview</w:t>
      </w:r>
      <w:bookmarkEnd w:id="76"/>
    </w:p>
    <w:p w14:paraId="597E79B9" w14:textId="77777777" w:rsidR="00286A88" w:rsidRPr="00286A88" w:rsidRDefault="00286A88" w:rsidP="005064B7">
      <w:pPr>
        <w:rPr>
          <w:lang w:val="en-AU" w:eastAsia="en-AU"/>
        </w:rPr>
      </w:pPr>
      <w:r w:rsidRPr="00286A88">
        <w:rPr>
          <w:lang w:val="en-AU" w:eastAsia="en-AU"/>
        </w:rPr>
        <w:t>Layer breeders are held in secure facilities and are not easily available for independent scientific study. Liaison with facility owners to allow independent inspection and audit of the birds’ housing conditions and the prevalence of any welfare problems, with a focus on problems known to occur in laying hens (injurious pecking, foot health, keel bone damage) or in broiler breeders (aggression, skin damage) would be beneficial.</w:t>
      </w:r>
    </w:p>
    <w:p w14:paraId="641097EE" w14:textId="77777777" w:rsidR="00EB1BF9" w:rsidRDefault="00276571" w:rsidP="00EB1BF9">
      <w:pPr>
        <w:pStyle w:val="Heading2"/>
        <w:rPr>
          <w:lang w:val="en-AU" w:eastAsia="en-AU"/>
        </w:rPr>
      </w:pPr>
      <w:bookmarkStart w:id="77" w:name="_Toc495310546"/>
      <w:r>
        <w:rPr>
          <w:lang w:val="en-AU" w:eastAsia="en-AU"/>
        </w:rPr>
        <w:t xml:space="preserve">LHB5. </w:t>
      </w:r>
      <w:r w:rsidR="00EB1BF9">
        <w:rPr>
          <w:lang w:val="en-AU" w:eastAsia="en-AU"/>
        </w:rPr>
        <w:t>References</w:t>
      </w:r>
      <w:bookmarkEnd w:id="77"/>
    </w:p>
    <w:p w14:paraId="6BA16A9D" w14:textId="77777777" w:rsidR="00EB1BF9" w:rsidRPr="00EB1BF9" w:rsidRDefault="00EB1BF9" w:rsidP="00EB1BF9">
      <w:pPr>
        <w:rPr>
          <w:color w:val="000000"/>
          <w:lang w:eastAsia="en-AU"/>
        </w:rPr>
      </w:pPr>
      <w:r w:rsidRPr="00EB1BF9">
        <w:rPr>
          <w:color w:val="000000"/>
          <w:lang w:eastAsia="en-AU"/>
        </w:rPr>
        <w:t>de Haas, E. N., B. Kemp, J. E. Bolhuis, T. Groothuis, and T. B. Rodenburg. 2013. Fear, stress, and feather pecking in commercial white and brown laying hen parent-stock flocks and their relationships with production parameters. Poultry Science 92:2259-2269. doi 10.3382/ps.2012-02996</w:t>
      </w:r>
    </w:p>
    <w:p w14:paraId="2A83EB1E" w14:textId="77777777" w:rsidR="00EB1BF9" w:rsidRPr="00EB1BF9" w:rsidRDefault="00EB1BF9" w:rsidP="00EB1BF9">
      <w:pPr>
        <w:rPr>
          <w:color w:val="000000"/>
          <w:lang w:eastAsia="en-AU"/>
        </w:rPr>
      </w:pPr>
      <w:r w:rsidRPr="00EB1BF9">
        <w:rPr>
          <w:color w:val="000000"/>
          <w:lang w:eastAsia="en-AU"/>
        </w:rPr>
        <w:t xml:space="preserve">Landman, W. J. M., and J. H. H. van Eck. 2015. The incidence and economic impact of the </w:t>
      </w:r>
      <w:r w:rsidRPr="00CC234A">
        <w:rPr>
          <w:i/>
          <w:color w:val="000000"/>
          <w:lang w:eastAsia="en-AU"/>
        </w:rPr>
        <w:t>Escherichia coli</w:t>
      </w:r>
      <w:r w:rsidRPr="00EB1BF9">
        <w:rPr>
          <w:color w:val="000000"/>
          <w:lang w:eastAsia="en-AU"/>
        </w:rPr>
        <w:t xml:space="preserve"> peritonitis syndrome in Dutch poultry farming. Avian Pathology 44:370-378. doi 10.1080/03079457.2015.1060584</w:t>
      </w:r>
    </w:p>
    <w:p w14:paraId="21DFAEE6" w14:textId="77777777" w:rsidR="00EB1BF9" w:rsidRPr="00286A88" w:rsidRDefault="00EB1BF9" w:rsidP="005064B7">
      <w:pPr>
        <w:rPr>
          <w:color w:val="000000"/>
          <w:lang w:val="en-AU" w:eastAsia="en-AU"/>
        </w:rPr>
      </w:pPr>
    </w:p>
    <w:p w14:paraId="1D456E98" w14:textId="77777777" w:rsidR="00286A88" w:rsidRPr="00286A88" w:rsidRDefault="005064B7" w:rsidP="005064B7">
      <w:pPr>
        <w:pStyle w:val="Heading1"/>
        <w:rPr>
          <w:color w:val="FFFFFF"/>
          <w:lang w:val="en-AU" w:eastAsia="en-AU"/>
        </w:rPr>
      </w:pPr>
      <w:r>
        <w:rPr>
          <w:rFonts w:ascii="Verdana" w:hAnsi="Verdana"/>
          <w:color w:val="000000"/>
          <w:sz w:val="19"/>
          <w:szCs w:val="19"/>
          <w:lang w:val="en-AU" w:eastAsia="en-AU"/>
        </w:rPr>
        <w:br w:type="column"/>
      </w:r>
      <w:bookmarkStart w:id="78" w:name="_Toc495310547"/>
      <w:r w:rsidR="00286A88" w:rsidRPr="00286A88">
        <w:rPr>
          <w:lang w:val="en-AU" w:eastAsia="en-AU"/>
        </w:rPr>
        <w:t>Broilers</w:t>
      </w:r>
      <w:bookmarkEnd w:id="78"/>
    </w:p>
    <w:p w14:paraId="0BB08A2C" w14:textId="77777777" w:rsidR="00286A88" w:rsidRPr="00286A88" w:rsidRDefault="00286A88" w:rsidP="005064B7">
      <w:pPr>
        <w:pStyle w:val="Heading2"/>
        <w:rPr>
          <w:lang w:val="en-AU" w:eastAsia="en-AU"/>
        </w:rPr>
      </w:pPr>
      <w:bookmarkStart w:id="79" w:name="_Toc495310548"/>
      <w:r w:rsidRPr="00286A88">
        <w:rPr>
          <w:lang w:val="en-AU" w:eastAsia="en-AU"/>
        </w:rPr>
        <w:t>B1. Introduction</w:t>
      </w:r>
      <w:bookmarkEnd w:id="79"/>
    </w:p>
    <w:p w14:paraId="0EB1825E" w14:textId="77777777" w:rsidR="00286A88" w:rsidRPr="00286A88" w:rsidRDefault="00286A88" w:rsidP="005064B7">
      <w:pPr>
        <w:pStyle w:val="Heading3"/>
        <w:rPr>
          <w:rFonts w:ascii="Times New Roman" w:hAnsi="Times New Roman"/>
          <w:sz w:val="24"/>
          <w:szCs w:val="24"/>
          <w:lang w:val="en-AU" w:eastAsia="en-GB"/>
        </w:rPr>
      </w:pPr>
      <w:bookmarkStart w:id="80" w:name="_Toc495310549"/>
      <w:r w:rsidRPr="00286A88">
        <w:rPr>
          <w:lang w:val="en-AU" w:eastAsia="en-GB"/>
        </w:rPr>
        <w:t>B1.1 Commercial systems</w:t>
      </w:r>
      <w:bookmarkEnd w:id="80"/>
    </w:p>
    <w:p w14:paraId="4AE31575" w14:textId="77777777" w:rsidR="00286A88" w:rsidRPr="005064B7" w:rsidRDefault="00286A88" w:rsidP="005064B7">
      <w:r w:rsidRPr="00286A88">
        <w:rPr>
          <w:lang w:val="en-AU" w:eastAsia="en-AU"/>
        </w:rPr>
        <w:t xml:space="preserve">Chicken meat is a major source of animal protein in the human diet, with over 71 billion broilers slaughtered for meat globally in 2015 (source: FAOstat; </w:t>
      </w:r>
      <w:hyperlink r:id="rId51" w:tooltip="This is a link to the website of the Food and Agriculture Organization's statistics page." w:history="1">
        <w:r w:rsidR="00D96C72" w:rsidRPr="00F33C5E">
          <w:rPr>
            <w:rStyle w:val="Hyperlink"/>
            <w:lang w:val="en-AU" w:eastAsia="en-AU"/>
          </w:rPr>
          <w:t>www.fao.org/faostat/en/</w:t>
        </w:r>
      </w:hyperlink>
      <w:r w:rsidRPr="00286A88">
        <w:rPr>
          <w:lang w:val="en-AU" w:eastAsia="en-AU"/>
        </w:rPr>
        <w:t xml:space="preserve">). Over the last 50 years broilers have been subjected to intense genetic selection for increased growth rate and body mass; growth rates having risen by over 300%, from 25 to 100 g per day (Knowles et al., 2008). In 1950 broilers took 16 weeks to reach marketable weight, compared to 32 days in most modern commercial strains, while the feed conversion ratio (the amount of feed eaten per kg of weight gain) has simultaneously reduced (Havenstein et al., 2003). Selection for fast early growth rate has resulted in significant morphological and physiological alterations, with associated welfare problems. Since broiler breeding programmes are dynamic, when unfavourable traits arise (such as an increased susceptibility to metabolic disease or leg disorders) these can usually be selected against (in combination with ever greater production capacity) over subsequent generations. This continuous selection process means that behavioural or physiological measures collected in previous decades may not be completely relevant today. Modern broilers are generally reared at high density in deep litter systems and comprise two main types: fast-grow (standard) breeds, which reach slaughter age in 32-40 days and which have been developed for rearing in an indoor barn environment, and slow-grow breeds, which reach slaughter age in 70 days and are better suited for free-range and/or organic systems. The majority of broiler welfare problems have a genetic basis and are further exacerbated by interactions with poor environmental management. Broiler welfare has received a lot of attention historically and the recent development and application of animal-based (outcome) measures of welfare now increase potential to highlight key issues and monitor </w:t>
      </w:r>
      <w:r w:rsidRPr="005064B7">
        <w:t>interventions.</w:t>
      </w:r>
    </w:p>
    <w:p w14:paraId="04BB0405" w14:textId="77777777" w:rsidR="00286A88" w:rsidRPr="00286A88" w:rsidRDefault="00286A88" w:rsidP="005064B7">
      <w:pPr>
        <w:rPr>
          <w:lang w:val="en-AU" w:eastAsia="en-AU"/>
        </w:rPr>
      </w:pPr>
      <w:r w:rsidRPr="00286A88">
        <w:rPr>
          <w:lang w:val="en-AU" w:eastAsia="en-AU"/>
        </w:rPr>
        <w:t>Broiler production is increasingly the preserve of specialist integrated companies with a controlling hand in all aspects of the production chain. Average flock sizes have increased markedly in the past decade, and in the UK the majority of birds are now reared on premises holding more than 100,000 birds. In most countries broilers are reared in indoor floor systems, with just small minorities kept in free-range or organic systems. The broiler production chain begins when chicks are transported, in controlled-environment lorries, from the hatchery to the rearing house. On arrival, small pellets or crumbs are spread on paper so that the chicks learn how to feed. For the first week the house lights are on for 23 h out of every 24, to encourage the new arrivals to feed and drink. By 3 or 4 days of age, chicks learn to feed from automated feeders and the paper is removed. Chicks are kept warm either by heating the whole house to an initial temperature of approximately 30 degrees, or by the provision of spot brooders. After 7 days, the EU Broiler Directive (Council Directive 2007/43/CE) requires that growing birds are allowed a total of 6 h darkness in every 24 h, to enable rest (EC, 2007). A resting period is not required in some non-EU countries, or it is specified only that birds must not be housed under continuous light, leaving open the option of a very short dark period. The birds grow rapidly on a sequence of starter, grower and finisher diets, and are usually slaughtered between 5 and 10 weeks of age. Many flocks (79% in a recent Belgian survey, Tuyttens et al., 2014) are partially depopulated or “thinned” during the rearing period, with approximately 20% of birds removed for early slaughter. This allows for higher numbers of chicks to be placed initially without subsequently exceeding legal stocking density limits as the birds near slaughter weight.</w:t>
      </w:r>
    </w:p>
    <w:p w14:paraId="1595F77B" w14:textId="77777777" w:rsidR="00286A88" w:rsidRPr="00286A88" w:rsidRDefault="00286A88" w:rsidP="005064B7">
      <w:pPr>
        <w:pStyle w:val="Heading3"/>
        <w:rPr>
          <w:rFonts w:ascii="Times New Roman" w:hAnsi="Times New Roman"/>
          <w:sz w:val="24"/>
          <w:szCs w:val="24"/>
          <w:lang w:val="en-AU" w:eastAsia="en-GB"/>
        </w:rPr>
      </w:pPr>
      <w:bookmarkStart w:id="81" w:name="_Toc495310550"/>
      <w:r w:rsidRPr="00286A88">
        <w:rPr>
          <w:lang w:val="en-AU" w:eastAsia="en-GB"/>
        </w:rPr>
        <w:t>B1.2 Backyard production</w:t>
      </w:r>
      <w:bookmarkEnd w:id="81"/>
    </w:p>
    <w:p w14:paraId="3543DDFC" w14:textId="77777777" w:rsidR="00286A88" w:rsidRPr="00286A88" w:rsidRDefault="00286A88" w:rsidP="005064B7">
      <w:pPr>
        <w:rPr>
          <w:lang w:val="en-AU" w:eastAsia="en-AU"/>
        </w:rPr>
      </w:pPr>
      <w:r w:rsidRPr="00286A88">
        <w:rPr>
          <w:lang w:val="en-AU" w:eastAsia="en-AU"/>
        </w:rPr>
        <w:t>In hobby farms or smallholdings, traditional or specialist breeds may be kept for occasional meat supply. In developing countries, the majority of poultry are indigenous breeds, kept in small flocks living in a backyard, village environment (approximately 80 percent of poultry in Africa were found in such systems (Gueye, 1998) but the situation is changing rapidly as more intensive methods are adopted). In this type of poultry production system there is no real distinction between birds reared for meat and those kept as egg layers, with meat obtained from male birds killed at 12 to 20 weeks, and from non-productive layers. One advantage of keeping indigenous or traditional breeds is that they are generally better able to cope with the natural environment than those breeds that have undergone extensive genetic selection for production traits. However, disease transmission is high in backyard poultry systems, often resulting in low productivity and high mortality. Newcastle disease is one of the most problematic and widespread diseases in both village and intensive production systems. Vaccines have been developed, but not all farmers have access to them, and vaccinating free-ranging poultry can be a challenge (</w:t>
      </w:r>
      <w:r w:rsidR="00800609">
        <w:rPr>
          <w:lang w:val="en-AU" w:eastAsia="en-AU"/>
        </w:rPr>
        <w:t>Nicol and Davies</w:t>
      </w:r>
      <w:r w:rsidRPr="00286A88">
        <w:rPr>
          <w:lang w:val="en-AU" w:eastAsia="en-AU"/>
        </w:rPr>
        <w:t>, 20</w:t>
      </w:r>
      <w:r w:rsidR="00C43CE2">
        <w:rPr>
          <w:lang w:val="en-AU" w:eastAsia="en-AU"/>
        </w:rPr>
        <w:t>13</w:t>
      </w:r>
      <w:r w:rsidRPr="00286A88">
        <w:rPr>
          <w:lang w:val="en-AU" w:eastAsia="en-AU"/>
        </w:rPr>
        <w:t>). In hot climates, birds may have difficulty staying cool if natural or artificial shelter is not provided, as all chickens are derived from jungle-living birds and they actively seek shade. Most of these welfare issues can be addressed by improved veterinary care and nutrition and the provision of simple facilities such as clean drinking-water and shade.</w:t>
      </w:r>
    </w:p>
    <w:p w14:paraId="07A7DE26" w14:textId="77777777" w:rsidR="00286A88" w:rsidRPr="00286A88" w:rsidRDefault="00286A88" w:rsidP="005064B7">
      <w:pPr>
        <w:pStyle w:val="Heading3"/>
        <w:rPr>
          <w:rFonts w:ascii="Times New Roman" w:hAnsi="Times New Roman"/>
          <w:sz w:val="24"/>
          <w:szCs w:val="24"/>
          <w:lang w:val="en-AU" w:eastAsia="en-GB"/>
        </w:rPr>
      </w:pPr>
      <w:bookmarkStart w:id="82" w:name="_Toc495310551"/>
      <w:r w:rsidRPr="00286A88">
        <w:rPr>
          <w:lang w:val="en-AU" w:eastAsia="en-GB"/>
        </w:rPr>
        <w:t>B1.3 Australian broiler production</w:t>
      </w:r>
      <w:bookmarkEnd w:id="82"/>
    </w:p>
    <w:p w14:paraId="4E0203DD" w14:textId="77777777" w:rsidR="00286A88" w:rsidRPr="00286A88" w:rsidRDefault="00286A88" w:rsidP="005064B7">
      <w:pPr>
        <w:rPr>
          <w:lang w:val="en-AU" w:eastAsia="en-AU"/>
        </w:rPr>
      </w:pPr>
      <w:r w:rsidRPr="00286A88">
        <w:rPr>
          <w:lang w:val="en-AU" w:eastAsia="en-AU"/>
        </w:rPr>
        <w:t xml:space="preserve">Meat chicken production in Australia has been increasing for a number of years. On 30 June 2016 there were over 90 million chickens being reared for meat across 530 broiler farming businesses (ABS, 2017a), </w:t>
      </w:r>
      <w:r w:rsidR="00E44C05">
        <w:rPr>
          <w:lang w:val="en-AU" w:eastAsia="en-AU"/>
        </w:rPr>
        <w:t xml:space="preserve">which was </w:t>
      </w:r>
      <w:r w:rsidRPr="00286A88">
        <w:rPr>
          <w:lang w:val="en-AU" w:eastAsia="en-AU"/>
        </w:rPr>
        <w:t xml:space="preserve">6 million </w:t>
      </w:r>
      <w:r w:rsidR="00E44C05">
        <w:rPr>
          <w:lang w:val="en-AU" w:eastAsia="en-AU"/>
        </w:rPr>
        <w:t>more chickens than were being reared in June 2013</w:t>
      </w:r>
      <w:r w:rsidRPr="00286A88">
        <w:rPr>
          <w:lang w:val="en-AU" w:eastAsia="en-AU"/>
        </w:rPr>
        <w:t xml:space="preserve"> (ABS, 2014). There were 623 million broilers slaughtered in the financial year 2015-16 year (ABS, 2017c), with a gross value of over $2.7 billion Australian dollars (ABS, 2017b).</w:t>
      </w:r>
    </w:p>
    <w:p w14:paraId="3E5B07A2" w14:textId="77777777" w:rsidR="00286A88" w:rsidRPr="00286A88" w:rsidRDefault="00286A88" w:rsidP="005064B7">
      <w:pPr>
        <w:pStyle w:val="Heading2"/>
        <w:rPr>
          <w:lang w:val="en-AU" w:eastAsia="en-AU"/>
        </w:rPr>
      </w:pPr>
      <w:bookmarkStart w:id="83" w:name="_Toc495310552"/>
      <w:r w:rsidRPr="00286A88">
        <w:rPr>
          <w:lang w:val="en-AU" w:eastAsia="en-AU"/>
        </w:rPr>
        <w:t>B2. Feed and Water</w:t>
      </w:r>
      <w:bookmarkEnd w:id="83"/>
    </w:p>
    <w:p w14:paraId="45409D3B" w14:textId="77777777" w:rsidR="00286A88" w:rsidRPr="00286A88" w:rsidRDefault="00286A88" w:rsidP="005064B7">
      <w:pPr>
        <w:rPr>
          <w:lang w:val="en-AU" w:eastAsia="en-AU"/>
        </w:rPr>
      </w:pPr>
      <w:r w:rsidRPr="00286A88">
        <w:rPr>
          <w:lang w:val="en-AU" w:eastAsia="en-AU"/>
        </w:rPr>
        <w:t>Standard broilers usually receive 3 different diets: starter (1st week), grower (2nd to 4th week), and finisher (5th week), with a reduction in % crude protein at each step. The grower diet can be provided up to the end of the production period if it does not contain coccidiostats (</w:t>
      </w:r>
      <w:r w:rsidRPr="00286A88">
        <w:rPr>
          <w:rFonts w:cs="Arial"/>
          <w:shd w:val="clear" w:color="auto" w:fill="FFFFFF"/>
          <w:lang w:val="en-AU" w:eastAsia="en-AU"/>
        </w:rPr>
        <w:t xml:space="preserve">antiprotozoal agents </w:t>
      </w:r>
      <w:r w:rsidRPr="00286A88">
        <w:rPr>
          <w:lang w:val="en-AU" w:eastAsia="en-AU"/>
        </w:rPr>
        <w:t xml:space="preserve">used to control the gut parasite </w:t>
      </w:r>
      <w:r w:rsidRPr="00286A88">
        <w:rPr>
          <w:rFonts w:cs="Times New Roman"/>
          <w:i/>
          <w:iCs/>
          <w:lang w:val="en-AU" w:eastAsia="en-AU"/>
        </w:rPr>
        <w:t>Eimeria</w:t>
      </w:r>
      <w:r w:rsidRPr="00286A88">
        <w:rPr>
          <w:lang w:val="en-AU" w:eastAsia="en-AU"/>
        </w:rPr>
        <w:t>). The starter diet is usually fed as a crumb to facilitate rapid uptake by the chicks, while the other diets are usually fed as pellets (rather than mash) to prevent the birds from feeding selectively and, thus, reducing wastage. Feeding behaviour is negatively associated with increasing stocking density (see B9.1a).</w:t>
      </w:r>
    </w:p>
    <w:p w14:paraId="5ADCAFEE" w14:textId="77777777" w:rsidR="00286A88" w:rsidRPr="005064B7" w:rsidRDefault="00286A88" w:rsidP="005064B7">
      <w:pPr>
        <w:pStyle w:val="Heading3"/>
      </w:pPr>
      <w:bookmarkStart w:id="84" w:name="_Toc495310553"/>
      <w:r w:rsidRPr="005064B7">
        <w:t>B2.1 Genotypic differences in feeding behaviour</w:t>
      </w:r>
      <w:bookmarkEnd w:id="84"/>
    </w:p>
    <w:p w14:paraId="5F5632F2" w14:textId="77777777" w:rsidR="00286A88" w:rsidRPr="005064B7" w:rsidRDefault="00286A88" w:rsidP="005064B7">
      <w:pPr>
        <w:rPr>
          <w:i/>
          <w:lang w:val="en-AU" w:eastAsia="en-AU"/>
        </w:rPr>
      </w:pPr>
      <w:r w:rsidRPr="005064B7">
        <w:rPr>
          <w:i/>
          <w:lang w:val="en-AU" w:eastAsia="en-AU"/>
        </w:rPr>
        <w:t>Selection for production parameters can inadvertently introduce ‘invisible’ behavioural traits, with potential consequences for welfare.</w:t>
      </w:r>
    </w:p>
    <w:p w14:paraId="08ED66ED" w14:textId="77777777" w:rsidR="00286A88" w:rsidRPr="00286A88" w:rsidRDefault="00286A88" w:rsidP="005064B7">
      <w:pPr>
        <w:rPr>
          <w:lang w:val="en-AU" w:eastAsia="en-AU"/>
        </w:rPr>
      </w:pPr>
      <w:r w:rsidRPr="00286A88">
        <w:rPr>
          <w:lang w:val="en-AU" w:eastAsia="en-AU"/>
        </w:rPr>
        <w:t>The selection for a new genetic trait linked to feed efficiency (wheat digestibility) was shown also to affect behaviour and different aspects of fearfulness; this highlights the potential risk of inadvertently affecting welfare when selecting for production parameters. Birds with high wheat digestibility (D+) expressed higher fearfulness in novel environments than birds with low wheat digestibility (D</w:t>
      </w:r>
      <w:r w:rsidRPr="00286A88">
        <w:rPr>
          <w:rFonts w:eastAsia="MTSY" w:cs="MTSY"/>
          <w:lang w:val="en-AU" w:eastAsia="en-AU"/>
        </w:rPr>
        <w:t xml:space="preserve">−) </w:t>
      </w:r>
      <w:r w:rsidRPr="00286A88">
        <w:rPr>
          <w:lang w:val="en-AU" w:eastAsia="en-AU"/>
        </w:rPr>
        <w:t>(Pelhaitre et al., 2012). In the presence of food, however, the D+ birds appeared more bold (they had lower latencies to approach novel food and were more motivated to explore for food than D-); interestingly, D- birds had a higher feed intake and lower food conversion ratio (Pelhaitre et al., 2012).</w:t>
      </w:r>
    </w:p>
    <w:p w14:paraId="169252FD" w14:textId="77777777" w:rsidR="00286A88" w:rsidRPr="00286A88" w:rsidRDefault="00286A88" w:rsidP="005064B7">
      <w:pPr>
        <w:pStyle w:val="Heading3"/>
        <w:rPr>
          <w:rFonts w:ascii="Times New Roman" w:hAnsi="Times New Roman"/>
          <w:sz w:val="24"/>
          <w:szCs w:val="24"/>
          <w:lang w:val="en-AU" w:eastAsia="en-GB"/>
        </w:rPr>
      </w:pPr>
      <w:bookmarkStart w:id="85" w:name="_Toc495310554"/>
      <w:r w:rsidRPr="00286A88">
        <w:rPr>
          <w:lang w:val="en-AU" w:eastAsia="en-GB"/>
        </w:rPr>
        <w:t>B2</w:t>
      </w:r>
      <w:r w:rsidR="005064B7">
        <w:rPr>
          <w:lang w:val="en-AU" w:eastAsia="en-GB"/>
        </w:rPr>
        <w:t>.2 Nutrition and litter quality</w:t>
      </w:r>
      <w:bookmarkEnd w:id="85"/>
    </w:p>
    <w:p w14:paraId="068672EE" w14:textId="77777777" w:rsidR="00286A88" w:rsidRPr="005064B7" w:rsidRDefault="00286A88" w:rsidP="005064B7">
      <w:pPr>
        <w:rPr>
          <w:i/>
          <w:lang w:val="en-AU" w:eastAsia="en-AU"/>
        </w:rPr>
      </w:pPr>
      <w:r w:rsidRPr="005064B7">
        <w:rPr>
          <w:i/>
          <w:lang w:val="en-AU" w:eastAsia="en-AU"/>
        </w:rPr>
        <w:t>Poor litter quality (a key risk factor for contact</w:t>
      </w:r>
      <w:r w:rsidR="00E44C05">
        <w:rPr>
          <w:i/>
          <w:lang w:val="en-AU" w:eastAsia="en-AU"/>
        </w:rPr>
        <w:t xml:space="preserve"> </w:t>
      </w:r>
      <w:r w:rsidRPr="005064B7">
        <w:rPr>
          <w:i/>
          <w:lang w:val="en-AU" w:eastAsia="en-AU"/>
        </w:rPr>
        <w:t>dermatitis) can be linked to diet.</w:t>
      </w:r>
    </w:p>
    <w:p w14:paraId="6EF3BEB8" w14:textId="77777777" w:rsidR="00286A88" w:rsidRPr="00286A88" w:rsidRDefault="00286A88" w:rsidP="005064B7">
      <w:pPr>
        <w:rPr>
          <w:rFonts w:cs="GulliverRM"/>
          <w:lang w:val="en-AU" w:eastAsia="en-AU"/>
        </w:rPr>
      </w:pPr>
      <w:r w:rsidRPr="00286A88">
        <w:rPr>
          <w:lang w:val="en-AU" w:eastAsia="en-AU"/>
        </w:rPr>
        <w:t>Contact dermatitis is very common in broilers and has strong associations with wet litter. Nutrition is one of the major factors affecting litter quality (see B3.4).</w:t>
      </w:r>
    </w:p>
    <w:p w14:paraId="17E883C5" w14:textId="77777777" w:rsidR="00286A88" w:rsidRPr="00286A88" w:rsidRDefault="005064B7" w:rsidP="005064B7">
      <w:pPr>
        <w:pStyle w:val="Heading3"/>
        <w:rPr>
          <w:rFonts w:ascii="Times New Roman" w:hAnsi="Times New Roman"/>
          <w:sz w:val="24"/>
          <w:szCs w:val="24"/>
          <w:lang w:val="en-AU" w:eastAsia="en-GB"/>
        </w:rPr>
      </w:pPr>
      <w:bookmarkStart w:id="86" w:name="_Toc495310555"/>
      <w:r>
        <w:rPr>
          <w:lang w:val="en-AU" w:eastAsia="en-GB"/>
        </w:rPr>
        <w:t>B2.3 Dietary restriction</w:t>
      </w:r>
      <w:bookmarkEnd w:id="86"/>
    </w:p>
    <w:p w14:paraId="4E13D7D6" w14:textId="77777777" w:rsidR="00286A88" w:rsidRPr="00AC720E" w:rsidRDefault="00286A88" w:rsidP="005064B7">
      <w:pPr>
        <w:rPr>
          <w:i/>
          <w:lang w:val="en-AU" w:eastAsia="en-AU"/>
        </w:rPr>
      </w:pPr>
      <w:r w:rsidRPr="00AC720E">
        <w:rPr>
          <w:i/>
          <w:lang w:val="en-AU" w:eastAsia="en-AU"/>
        </w:rPr>
        <w:t>The welfare benefits of feed restriction on health in fast growing broiler strains are overshadowed by the broilers experiencing extended period of hunger; fast-growing broiler breeds are inappropriate for use in extensive systems.</w:t>
      </w:r>
    </w:p>
    <w:p w14:paraId="6A4BFA37" w14:textId="77777777" w:rsidR="00286A88" w:rsidRPr="00286A88" w:rsidRDefault="00286A88" w:rsidP="005064B7">
      <w:pPr>
        <w:rPr>
          <w:rFonts w:eastAsia="ComputerModern-Regular" w:cs="ComputerModern-Regular"/>
          <w:lang w:val="en-AU" w:eastAsia="en-AU"/>
        </w:rPr>
      </w:pPr>
      <w:r w:rsidRPr="00286A88">
        <w:rPr>
          <w:lang w:val="en-AU" w:eastAsia="en-AU"/>
        </w:rPr>
        <w:t xml:space="preserve">Feed restriction is used to curb growth for the benefit of health (e.g. reducing risk of ascites or lameness), especially when </w:t>
      </w:r>
      <w:r w:rsidRPr="00286A88">
        <w:rPr>
          <w:rFonts w:cs="TimesNewRomanPS-Bold"/>
          <w:bCs/>
          <w:lang w:val="en-AU" w:eastAsia="en-AU"/>
        </w:rPr>
        <w:t>fast-growing breeds are used in organic production systems that specify a long rearing period. This is achieved via: (1)</w:t>
      </w:r>
      <w:r w:rsidR="00A76D1D">
        <w:rPr>
          <w:rFonts w:cs="TimesNewRomanPS-Bold"/>
          <w:bCs/>
          <w:lang w:val="en-AU" w:eastAsia="en-AU"/>
        </w:rPr>
        <w:t> </w:t>
      </w:r>
      <w:r w:rsidRPr="00286A88">
        <w:rPr>
          <w:rFonts w:cs="TimesNewRomanPS-Bold"/>
          <w:bCs/>
          <w:lang w:val="en-AU" w:eastAsia="en-AU"/>
        </w:rPr>
        <w:t xml:space="preserve">quantitative restriction of a high protein diet, whereby the feed is delivered as meals in a smaller quantity than would be voluntarily consumed </w:t>
      </w:r>
      <w:r w:rsidRPr="00AC720E">
        <w:rPr>
          <w:rFonts w:cs="TimesNewRomanPS-Bold"/>
          <w:bCs/>
          <w:i/>
          <w:lang w:val="en-AU" w:eastAsia="en-AU"/>
        </w:rPr>
        <w:t>ad libitum</w:t>
      </w:r>
      <w:r w:rsidRPr="00286A88">
        <w:rPr>
          <w:rFonts w:cs="TimesNewRomanPS-Bold"/>
          <w:bCs/>
          <w:lang w:val="en-AU" w:eastAsia="en-AU"/>
        </w:rPr>
        <w:t xml:space="preserve">, and (2) qualitative restriction, whereby the diet is diluted with a low-nutrient ‘filler’. Feed restriction is often associated with adverse and stereotypic behaviour. Free-range broilers fed a low-protein diet spent more time on the range and preened more </w:t>
      </w:r>
      <w:r w:rsidRPr="00286A88">
        <w:rPr>
          <w:rFonts w:cs="AdvPL"/>
          <w:lang w:val="en-AU" w:eastAsia="en-AU"/>
        </w:rPr>
        <w:t xml:space="preserve">than birds fed </w:t>
      </w:r>
      <w:r w:rsidRPr="00286A88">
        <w:rPr>
          <w:rFonts w:cs="TimesNewRomanPS-Bold"/>
          <w:bCs/>
          <w:lang w:val="en-AU" w:eastAsia="en-AU"/>
        </w:rPr>
        <w:t>a similar diet supplemented with amino acids</w:t>
      </w:r>
      <w:r w:rsidRPr="00286A88">
        <w:rPr>
          <w:rFonts w:cs="AdvPL"/>
          <w:lang w:val="en-AU" w:eastAsia="en-AU"/>
        </w:rPr>
        <w:t>; however, they were also prone to cannibalism outbreaks, which are very rarely observed in broiler production</w:t>
      </w:r>
      <w:r w:rsidRPr="00286A88">
        <w:rPr>
          <w:rFonts w:cs="TimesNewRomanPS-Bold"/>
          <w:bCs/>
          <w:lang w:val="en-AU" w:eastAsia="en-AU"/>
        </w:rPr>
        <w:t xml:space="preserve"> (Eriksson et al., 2010)</w:t>
      </w:r>
      <w:r w:rsidRPr="00286A88">
        <w:rPr>
          <w:rFonts w:cs="AdvPL"/>
          <w:lang w:val="en-AU" w:eastAsia="en-AU"/>
        </w:rPr>
        <w:t>.</w:t>
      </w:r>
      <w:r w:rsidRPr="00286A88">
        <w:rPr>
          <w:rFonts w:cs="TimesNewRomanPS-Bold"/>
          <w:bCs/>
          <w:lang w:val="en-AU" w:eastAsia="en-AU"/>
        </w:rPr>
        <w:t xml:space="preserve"> Increased preening is often observed following feed-restriction (e.g. </w:t>
      </w:r>
      <w:r w:rsidRPr="00286A88">
        <w:rPr>
          <w:rFonts w:cs="AdvPL"/>
          <w:lang w:val="en-AU" w:eastAsia="en-AU"/>
        </w:rPr>
        <w:t>Ipek et al., 2009) and is</w:t>
      </w:r>
      <w:r w:rsidRPr="00286A88">
        <w:rPr>
          <w:rFonts w:cs="TimesNewRomanPS-Bold"/>
          <w:bCs/>
          <w:lang w:val="en-AU" w:eastAsia="en-AU"/>
        </w:rPr>
        <w:t xml:space="preserve"> considered to be a response to mild frustration </w:t>
      </w:r>
      <w:r w:rsidRPr="00286A88">
        <w:rPr>
          <w:rFonts w:cs="AdvPL"/>
          <w:lang w:val="en-AU" w:eastAsia="en-AU"/>
        </w:rPr>
        <w:t>(Duncan and Wood-Gush, 1972, cited by</w:t>
      </w:r>
      <w:r w:rsidRPr="00286A88">
        <w:rPr>
          <w:rFonts w:ascii="AdvPL" w:hAnsi="AdvPL" w:cs="AdvPL"/>
          <w:sz w:val="20"/>
          <w:szCs w:val="20"/>
          <w:lang w:val="en-AU" w:eastAsia="en-AU"/>
        </w:rPr>
        <w:t xml:space="preserve"> </w:t>
      </w:r>
      <w:r w:rsidRPr="00286A88">
        <w:rPr>
          <w:rFonts w:cs="TimesNewRomanPS-Bold"/>
          <w:bCs/>
          <w:lang w:val="en-AU" w:eastAsia="en-AU"/>
        </w:rPr>
        <w:t>Eriksson et al., 2010)</w:t>
      </w:r>
      <w:r w:rsidRPr="00286A88">
        <w:rPr>
          <w:rFonts w:ascii="AdvPL" w:hAnsi="AdvPL" w:cs="AdvPL"/>
          <w:sz w:val="20"/>
          <w:szCs w:val="20"/>
          <w:lang w:val="en-AU" w:eastAsia="en-AU"/>
        </w:rPr>
        <w:t xml:space="preserve">. </w:t>
      </w:r>
      <w:r w:rsidRPr="00286A88">
        <w:rPr>
          <w:rFonts w:cs="AdvPL"/>
          <w:lang w:val="en-AU" w:eastAsia="en-AU"/>
        </w:rPr>
        <w:t xml:space="preserve">Increased foraging has been specifically associated with low dietary lysine (Bizeray et al., 2002a) and, more generally, with restricted feeding regimens (Leterrier et al., 2008; Ipek et al., 2009; </w:t>
      </w:r>
      <w:r w:rsidRPr="00286A88">
        <w:rPr>
          <w:rFonts w:cs="TimesNewRomanPS-Bold"/>
          <w:bCs/>
          <w:lang w:val="en-AU" w:eastAsia="en-AU"/>
        </w:rPr>
        <w:t>Eriksson et al., 2010)</w:t>
      </w:r>
      <w:r w:rsidRPr="00286A88">
        <w:rPr>
          <w:rFonts w:cs="AdvPL"/>
          <w:lang w:val="en-AU" w:eastAsia="en-AU"/>
        </w:rPr>
        <w:t xml:space="preserve">. </w:t>
      </w:r>
      <w:r w:rsidRPr="00286A88">
        <w:rPr>
          <w:lang w:val="en-AU" w:eastAsia="en-AU"/>
        </w:rPr>
        <w:t>Quantitative, but not qualitative, feed restriction has been seen to increase activity levels (Nielsen et al., 2003a).</w:t>
      </w:r>
    </w:p>
    <w:p w14:paraId="7FCB0923" w14:textId="77777777" w:rsidR="00286A88" w:rsidRPr="00286A88" w:rsidRDefault="00286A88" w:rsidP="005064B7">
      <w:pPr>
        <w:rPr>
          <w:rFonts w:eastAsia="ComputerModern-Regular" w:cs="ComputerModern-Regular"/>
          <w:lang w:val="en-AU" w:eastAsia="en-AU"/>
        </w:rPr>
      </w:pPr>
      <w:r w:rsidRPr="00286A88">
        <w:rPr>
          <w:rFonts w:cs="AdvPL"/>
          <w:lang w:val="en-AU" w:eastAsia="en-AU"/>
        </w:rPr>
        <w:t>The means of limiting feed intake differentially affect the general well-being of broilers. Mendes (2008) observed that d</w:t>
      </w:r>
      <w:r w:rsidRPr="00286A88">
        <w:rPr>
          <w:rFonts w:cs="TimesNewRoman"/>
          <w:lang w:val="en-AU" w:eastAsia="en-AU"/>
        </w:rPr>
        <w:t xml:space="preserve">eviations in bilateral symmetry (fluctuating asymmetry) were lower in fast-growing broilers fed a quantitatively restricted diet compared to a control group fed </w:t>
      </w:r>
      <w:r w:rsidRPr="00AC720E">
        <w:rPr>
          <w:rFonts w:cs="TimesNewRoman"/>
          <w:i/>
          <w:lang w:val="en-AU" w:eastAsia="en-AU"/>
        </w:rPr>
        <w:t>ad libitum</w:t>
      </w:r>
      <w:r w:rsidRPr="00286A88">
        <w:rPr>
          <w:rFonts w:cs="TimesNewRoman"/>
          <w:lang w:val="en-AU" w:eastAsia="en-AU"/>
        </w:rPr>
        <w:t xml:space="preserve"> and a group subjected to a period of daily feed withdrawal, indicating higher developmental stability in these birds. </w:t>
      </w:r>
      <w:r w:rsidRPr="00286A88">
        <w:rPr>
          <w:rFonts w:cs="Times-Roman"/>
          <w:lang w:val="en-AU" w:eastAsia="en-AU"/>
        </w:rPr>
        <w:t xml:space="preserve">In addition, broilers subjected to feed withdrawal had increased H:L ratios and fearfulness (tonic immobility) than a control or quantitative feed-restricted group (Karabayir and Mendes, 2008). </w:t>
      </w:r>
      <w:r w:rsidRPr="00286A88">
        <w:rPr>
          <w:rFonts w:cs="Arial"/>
          <w:lang w:val="en-AU" w:eastAsia="en-GB"/>
        </w:rPr>
        <w:t xml:space="preserve">Broilers subjected to early feed restriction had a lower final body weight and better welfare measures than </w:t>
      </w:r>
      <w:r w:rsidRPr="00AC720E">
        <w:rPr>
          <w:rFonts w:cs="Arial"/>
          <w:i/>
          <w:lang w:val="en-AU" w:eastAsia="en-GB"/>
        </w:rPr>
        <w:t>ad libitum</w:t>
      </w:r>
      <w:r w:rsidRPr="00286A88">
        <w:rPr>
          <w:rFonts w:cs="Arial"/>
          <w:lang w:val="en-AU" w:eastAsia="en-GB"/>
        </w:rPr>
        <w:t xml:space="preserve"> fed birds, including lower H:L ratio and reduced fearfulness (Toplu et al., 2016). </w:t>
      </w:r>
      <w:r w:rsidRPr="00286A88">
        <w:rPr>
          <w:rFonts w:eastAsia="ComputerModern-Regular" w:cs="ComputerModern-Regular"/>
          <w:lang w:val="en-AU" w:eastAsia="en-AU"/>
        </w:rPr>
        <w:t>Overt hunger is likely to be associated with any feeding regime that involves dietary restriction. Although there is no recent literature specifically addressing hunger in broilers there is ample evidence to highlight hunger as a major welfare issue in feed-restricted broiler breeders (</w:t>
      </w:r>
      <w:r w:rsidRPr="00286A88">
        <w:rPr>
          <w:rFonts w:cs="AdvP403A40"/>
          <w:lang w:val="en-AU" w:eastAsia="en-AU"/>
        </w:rPr>
        <w:t>see BB2.1).</w:t>
      </w:r>
    </w:p>
    <w:p w14:paraId="2B2A78E7" w14:textId="77777777" w:rsidR="00286A88" w:rsidRPr="00286A88" w:rsidRDefault="00286A88" w:rsidP="005064B7">
      <w:pPr>
        <w:rPr>
          <w:rFonts w:eastAsia="ComputerModern-Regular" w:cs="ComputerModern-Regular"/>
          <w:lang w:val="en-AU" w:eastAsia="en-AU"/>
        </w:rPr>
      </w:pPr>
      <w:r w:rsidRPr="00286A88">
        <w:rPr>
          <w:rFonts w:eastAsia="ComputerModern-Regular" w:cs="ComputerModern-Regular"/>
          <w:lang w:val="en-AU" w:eastAsia="en-AU"/>
        </w:rPr>
        <w:t>The provision of nutritious vegetation on the range has been proposed as dietary supplementation for feed restricted broilers during the finishing period. Almeida et al. (2012) observed broilers to increase foraging activity with age and readily consume the vegetation provided.</w:t>
      </w:r>
    </w:p>
    <w:p w14:paraId="176D130E" w14:textId="77777777" w:rsidR="00286A88" w:rsidRPr="00286A88" w:rsidRDefault="00494BC4" w:rsidP="005064B7">
      <w:pPr>
        <w:pStyle w:val="Heading3"/>
        <w:rPr>
          <w:rFonts w:ascii="Times New Roman" w:hAnsi="Times New Roman"/>
          <w:sz w:val="24"/>
          <w:szCs w:val="24"/>
          <w:lang w:val="en-AU" w:eastAsia="en-GB"/>
        </w:rPr>
      </w:pPr>
      <w:r>
        <w:rPr>
          <w:lang w:val="en-AU" w:eastAsia="en-GB"/>
        </w:rPr>
        <w:br w:type="column"/>
      </w:r>
      <w:bookmarkStart w:id="87" w:name="_Toc495310556"/>
      <w:r w:rsidR="00286A88" w:rsidRPr="00286A88">
        <w:rPr>
          <w:lang w:val="en-AU" w:eastAsia="en-GB"/>
        </w:rPr>
        <w:t>B2.4 Mycotoxins and necrotic enteritis</w:t>
      </w:r>
      <w:bookmarkEnd w:id="87"/>
    </w:p>
    <w:p w14:paraId="4E80D175" w14:textId="77777777" w:rsidR="00286A88" w:rsidRPr="005064B7" w:rsidRDefault="00286A88" w:rsidP="005064B7">
      <w:pPr>
        <w:rPr>
          <w:i/>
          <w:lang w:val="en-AU" w:eastAsia="en-AU"/>
        </w:rPr>
      </w:pPr>
      <w:r w:rsidRPr="005064B7">
        <w:rPr>
          <w:i/>
          <w:lang w:val="en-AU" w:eastAsia="en-AU"/>
        </w:rPr>
        <w:t>Feed contamination by mycotoxins, in the presence of Clostridium, can have a devastating effect on broiler gut health; prebiotics may provide an effective alternative for antibiotic treatments.</w:t>
      </w:r>
    </w:p>
    <w:p w14:paraId="3EF05962" w14:textId="77777777" w:rsidR="00286A88" w:rsidRPr="00286A88" w:rsidRDefault="00286A88" w:rsidP="005064B7">
      <w:pPr>
        <w:rPr>
          <w:lang w:val="en-AU" w:eastAsia="en-AU"/>
        </w:rPr>
      </w:pPr>
      <w:r w:rsidRPr="00286A88">
        <w:rPr>
          <w:lang w:val="en-AU" w:eastAsia="en-AU"/>
        </w:rPr>
        <w:t xml:space="preserve">Mycotoxins (e.g. aflatoxin) are produced by fungi (including </w:t>
      </w:r>
      <w:r w:rsidRPr="00AC720E">
        <w:rPr>
          <w:rFonts w:eastAsia="ComputerModern-Italic" w:cs="ComputerModern-Italic"/>
          <w:i/>
          <w:iCs/>
          <w:lang w:val="en-AU" w:eastAsia="en-AU"/>
        </w:rPr>
        <w:t>Aspergillus</w:t>
      </w:r>
      <w:r w:rsidRPr="00286A88">
        <w:rPr>
          <w:rFonts w:eastAsia="ComputerModern-Italic" w:cs="ComputerModern-Italic"/>
          <w:iCs/>
          <w:lang w:val="en-AU" w:eastAsia="en-AU"/>
        </w:rPr>
        <w:t xml:space="preserve">) </w:t>
      </w:r>
      <w:r w:rsidRPr="00286A88">
        <w:rPr>
          <w:lang w:val="en-AU" w:eastAsia="en-AU"/>
        </w:rPr>
        <w:t>that contaminate food crops (Cravens et al., 2013). Broilers fed with a diet contaminated with mycotoxins demonstrate a physiological stress response (</w:t>
      </w:r>
      <w:r w:rsidRPr="00286A88">
        <w:rPr>
          <w:rFonts w:eastAsia="Times New Roman" w:cs="AdvP403A40"/>
          <w:lang w:val="en-AU" w:eastAsia="en-AU"/>
        </w:rPr>
        <w:t xml:space="preserve">increased plasma corticosterone, H:L ratio: Ghareeb et al., 2014; </w:t>
      </w:r>
      <w:r w:rsidRPr="00286A88">
        <w:rPr>
          <w:rFonts w:eastAsia="Times New Roman" w:cs="CMR10"/>
          <w:lang w:val="en-AU" w:eastAsia="en-AU"/>
        </w:rPr>
        <w:t>Antonissen et al., 2017</w:t>
      </w:r>
      <w:r w:rsidRPr="00286A88">
        <w:rPr>
          <w:lang w:val="en-AU" w:eastAsia="en-AU"/>
        </w:rPr>
        <w:t>) and become more fearful</w:t>
      </w:r>
      <w:r w:rsidRPr="00286A88">
        <w:rPr>
          <w:rFonts w:eastAsia="Times New Roman" w:cs="AdvP403A40"/>
          <w:lang w:val="en-AU" w:eastAsia="en-AU"/>
        </w:rPr>
        <w:t xml:space="preserve">, which can </w:t>
      </w:r>
      <w:r w:rsidRPr="00286A88">
        <w:rPr>
          <w:lang w:val="en-AU" w:eastAsia="en-AU"/>
        </w:rPr>
        <w:t xml:space="preserve">be reversed following treatment with </w:t>
      </w:r>
      <w:r w:rsidRPr="00286A88">
        <w:rPr>
          <w:rFonts w:eastAsia="Times New Roman" w:cs="AdvP403A40"/>
          <w:lang w:val="en-AU" w:eastAsia="en-AU"/>
        </w:rPr>
        <w:t>a microbial feed additive</w:t>
      </w:r>
      <w:r w:rsidRPr="00286A88">
        <w:rPr>
          <w:rFonts w:eastAsia="Times New Roman" w:cs="Times New Roman"/>
          <w:shd w:val="clear" w:color="auto" w:fill="FFFFFF"/>
          <w:lang w:val="en-AU" w:eastAsia="en-AU"/>
        </w:rPr>
        <w:t xml:space="preserve"> (Mycofix®</w:t>
      </w:r>
      <w:r w:rsidRPr="00286A88">
        <w:rPr>
          <w:rFonts w:eastAsia="Times New Roman" w:cs="AdvP403A40"/>
          <w:lang w:val="en-AU" w:eastAsia="en-AU"/>
        </w:rPr>
        <w:t>), a commercial antidote (Ghareeb et al., 2014).</w:t>
      </w:r>
    </w:p>
    <w:p w14:paraId="25A1E350" w14:textId="77777777" w:rsidR="00286A88" w:rsidRPr="00286A88" w:rsidRDefault="00286A88" w:rsidP="005064B7">
      <w:pPr>
        <w:rPr>
          <w:rFonts w:eastAsia="Times New Roman" w:cs="Times New Roman"/>
          <w:bCs/>
          <w:lang w:val="en-AU" w:eastAsia="en-AU"/>
        </w:rPr>
      </w:pPr>
      <w:r w:rsidRPr="00286A88">
        <w:rPr>
          <w:rFonts w:eastAsia="Times New Roman" w:cs="Arial"/>
          <w:shd w:val="clear" w:color="auto" w:fill="FFFFFF"/>
          <w:lang w:val="en-AU" w:eastAsia="en-AU"/>
        </w:rPr>
        <w:t xml:space="preserve">Necrotic enteritis is caused by toxins produced by </w:t>
      </w:r>
      <w:r w:rsidRPr="00AC720E">
        <w:rPr>
          <w:rFonts w:eastAsia="Times New Roman" w:cs="Arial"/>
          <w:i/>
          <w:iCs/>
          <w:shd w:val="clear" w:color="auto" w:fill="FFFFFF"/>
          <w:lang w:val="en-AU" w:eastAsia="en-AU"/>
        </w:rPr>
        <w:t>Clostridium perfringens</w:t>
      </w:r>
      <w:r w:rsidRPr="00286A88">
        <w:rPr>
          <w:rFonts w:eastAsia="Times New Roman" w:cs="Arial"/>
          <w:iCs/>
          <w:shd w:val="clear" w:color="auto" w:fill="FFFFFF"/>
          <w:lang w:val="en-AU" w:eastAsia="en-AU"/>
        </w:rPr>
        <w:t>.</w:t>
      </w:r>
      <w:r w:rsidRPr="00286A88" w:rsidDel="00EC4027">
        <w:rPr>
          <w:rFonts w:eastAsia="Times New Roman" w:cs="Arial"/>
          <w:shd w:val="clear" w:color="auto" w:fill="FFFFFF"/>
          <w:lang w:val="en-AU" w:eastAsia="en-AU"/>
        </w:rPr>
        <w:t xml:space="preserve"> </w:t>
      </w:r>
      <w:r w:rsidRPr="00286A88">
        <w:rPr>
          <w:rFonts w:eastAsia="Times New Roman" w:cs="Times New Roman"/>
          <w:shd w:val="clear" w:color="auto" w:fill="FFFFFF"/>
          <w:lang w:val="en-AU" w:eastAsia="en-AU"/>
        </w:rPr>
        <w:t>Outbreaks are associated with high dietary protein, s</w:t>
      </w:r>
      <w:r w:rsidRPr="00286A88">
        <w:rPr>
          <w:rFonts w:eastAsia="Times New Roman" w:cs="Arial"/>
          <w:shd w:val="clear" w:color="auto" w:fill="FFFFFF"/>
          <w:lang w:val="en-AU" w:eastAsia="en-AU"/>
        </w:rPr>
        <w:t>tress</w:t>
      </w:r>
      <w:r w:rsidRPr="00286A88">
        <w:rPr>
          <w:rFonts w:eastAsia="Times New Roman" w:cs="Times New Roman"/>
          <w:shd w:val="clear" w:color="auto" w:fill="FFFFFF"/>
          <w:lang w:val="en-AU" w:eastAsia="en-AU"/>
        </w:rPr>
        <w:t xml:space="preserve">, </w:t>
      </w:r>
      <w:r w:rsidRPr="00286A88">
        <w:rPr>
          <w:rFonts w:eastAsia="Times New Roman" w:cs="Arial"/>
          <w:shd w:val="clear" w:color="auto" w:fill="FFFFFF"/>
          <w:lang w:val="en-AU" w:eastAsia="en-AU"/>
        </w:rPr>
        <w:t>coccidiosis</w:t>
      </w:r>
      <w:r w:rsidRPr="00286A88">
        <w:rPr>
          <w:rFonts w:eastAsia="Times New Roman" w:cs="Times New Roman"/>
          <w:shd w:val="clear" w:color="auto" w:fill="FFFFFF"/>
          <w:lang w:val="en-AU" w:eastAsia="en-AU"/>
        </w:rPr>
        <w:t xml:space="preserve">, </w:t>
      </w:r>
      <w:r w:rsidRPr="00286A88">
        <w:rPr>
          <w:rFonts w:eastAsia="Times New Roman" w:cs="Arial"/>
          <w:shd w:val="clear" w:color="auto" w:fill="FFFFFF"/>
          <w:lang w:val="en-AU" w:eastAsia="en-AU"/>
        </w:rPr>
        <w:t>intestinal parasites</w:t>
      </w:r>
      <w:r w:rsidRPr="00286A88">
        <w:rPr>
          <w:rFonts w:eastAsia="Times New Roman" w:cs="Times New Roman"/>
          <w:shd w:val="clear" w:color="auto" w:fill="FFFFFF"/>
          <w:lang w:val="en-AU" w:eastAsia="en-AU"/>
        </w:rPr>
        <w:t xml:space="preserve">, and </w:t>
      </w:r>
      <w:r w:rsidRPr="00286A88">
        <w:rPr>
          <w:rFonts w:eastAsia="Times New Roman" w:cs="Arial"/>
          <w:shd w:val="clear" w:color="auto" w:fill="FFFFFF"/>
          <w:lang w:val="en-AU" w:eastAsia="en-AU"/>
        </w:rPr>
        <w:t xml:space="preserve">immune suppression by mycotoxins and various viruses. </w:t>
      </w:r>
      <w:r w:rsidRPr="00286A88">
        <w:rPr>
          <w:lang w:val="en-AU" w:eastAsia="en-AU"/>
        </w:rPr>
        <w:t xml:space="preserve">The induction of necrotic enteritis in broilers via exposure to </w:t>
      </w:r>
      <w:r w:rsidRPr="00AC720E">
        <w:rPr>
          <w:rFonts w:eastAsia="ComputerModern-Italic" w:cs="ComputerModern-Italic"/>
          <w:i/>
          <w:iCs/>
          <w:lang w:val="en-AU" w:eastAsia="en-AU"/>
        </w:rPr>
        <w:t>Clostridium perfringens</w:t>
      </w:r>
      <w:r w:rsidRPr="00286A88">
        <w:rPr>
          <w:rFonts w:eastAsia="ComputerModern-Italic" w:cs="ComputerModern-Italic"/>
          <w:iCs/>
          <w:lang w:val="en-AU" w:eastAsia="en-AU"/>
        </w:rPr>
        <w:t xml:space="preserve"> and the provision of a mycotoxin-contaminated diet </w:t>
      </w:r>
      <w:r w:rsidRPr="00286A88">
        <w:rPr>
          <w:lang w:val="en-AU" w:eastAsia="en-AU"/>
        </w:rPr>
        <w:t xml:space="preserve">induced intestinal lesions, reduced production parameters, and increased mortality; the two challenges interact to produce greater damage to health and growth (Cravens et al., 2013). Treatment with an antibiotic (virginiamycin) was seen to counteract some of these effects, improving gain, feed intake, and feed conversion, and decreasing mortality (Cravens et al., 2013); however, </w:t>
      </w:r>
      <w:r w:rsidRPr="00286A88">
        <w:rPr>
          <w:rFonts w:eastAsia="Times New Roman" w:cs="Times New Roman"/>
          <w:bCs/>
          <w:lang w:val="en-AU" w:eastAsia="en-AU"/>
        </w:rPr>
        <w:t>Al-Baadani et al. (2016) demonstrated that prebiotics were more effective at maintaining intestinal health and preventing the development of necrotic enteritis than antibiotic treatment.</w:t>
      </w:r>
    </w:p>
    <w:p w14:paraId="4E9A3E51" w14:textId="77777777" w:rsidR="00286A88" w:rsidRPr="00286A88" w:rsidRDefault="00286A88" w:rsidP="005064B7">
      <w:pPr>
        <w:pStyle w:val="Heading3"/>
        <w:rPr>
          <w:rFonts w:ascii="Times New Roman" w:hAnsi="Times New Roman"/>
          <w:sz w:val="24"/>
          <w:szCs w:val="24"/>
          <w:lang w:val="en-AU" w:eastAsia="en-GB"/>
        </w:rPr>
      </w:pPr>
      <w:bookmarkStart w:id="88" w:name="_Toc495310557"/>
      <w:r w:rsidRPr="00286A88">
        <w:rPr>
          <w:lang w:val="en-AU" w:eastAsia="en-GB"/>
        </w:rPr>
        <w:t>B2.5 Dietary modifications for environmental reasons</w:t>
      </w:r>
      <w:bookmarkEnd w:id="88"/>
    </w:p>
    <w:p w14:paraId="0E55837E" w14:textId="77777777" w:rsidR="00286A88" w:rsidRPr="005064B7" w:rsidRDefault="00286A88" w:rsidP="005064B7">
      <w:pPr>
        <w:rPr>
          <w:i/>
          <w:lang w:val="en-AU" w:eastAsia="en-AU"/>
        </w:rPr>
      </w:pPr>
      <w:r w:rsidRPr="005064B7">
        <w:rPr>
          <w:i/>
          <w:lang w:val="en-AU" w:eastAsia="en-AU"/>
        </w:rPr>
        <w:t>It is possible to lower dietary phosphorus, while maintaining calcium levels, without impacting upon broiler welfare.</w:t>
      </w:r>
    </w:p>
    <w:p w14:paraId="01A238FE" w14:textId="77777777" w:rsidR="00286A88" w:rsidRPr="00286A88" w:rsidRDefault="00286A88" w:rsidP="005064B7">
      <w:pPr>
        <w:rPr>
          <w:rFonts w:cs="AdvP4CD4D0"/>
          <w:lang w:val="en-AU" w:eastAsia="en-AU"/>
        </w:rPr>
      </w:pPr>
      <w:r w:rsidRPr="00286A88">
        <w:rPr>
          <w:rFonts w:cs="AdvP4CD4D0"/>
          <w:lang w:val="en-AU" w:eastAsia="en-AU"/>
        </w:rPr>
        <w:t>Calcium and phosphorus are important for skeletal and cellular functions in chickens; however, pressure to reduce dietary mineral content to lessen the environmental impact of broiler production has been growing steadily. Lowering dietary phosphorus from 6</w:t>
      </w:r>
      <w:r w:rsidRPr="00286A88">
        <w:rPr>
          <w:rFonts w:cs="AdvMT_SY"/>
          <w:lang w:val="en-AU" w:eastAsia="en-AU"/>
        </w:rPr>
        <w:t>.</w:t>
      </w:r>
      <w:r w:rsidRPr="00286A88">
        <w:rPr>
          <w:rFonts w:cs="AdvP4CD4D0"/>
          <w:lang w:val="en-AU" w:eastAsia="en-AU"/>
        </w:rPr>
        <w:t>6 to 5</w:t>
      </w:r>
      <w:r w:rsidRPr="00286A88">
        <w:rPr>
          <w:rFonts w:cs="AdvMT_SY"/>
          <w:lang w:val="en-AU" w:eastAsia="en-AU"/>
        </w:rPr>
        <w:t>.</w:t>
      </w:r>
      <w:r w:rsidRPr="00286A88">
        <w:rPr>
          <w:rFonts w:cs="AdvP4CD4D0"/>
          <w:lang w:val="en-AU" w:eastAsia="en-AU"/>
        </w:rPr>
        <w:t>5 g/kg had an adverse effect on bird welfare only when the level of calcium was also reduced (below 7</w:t>
      </w:r>
      <w:r w:rsidRPr="00286A88">
        <w:rPr>
          <w:rFonts w:cs="AdvMT_SY"/>
          <w:lang w:val="en-AU" w:eastAsia="en-AU"/>
        </w:rPr>
        <w:t>.</w:t>
      </w:r>
      <w:r w:rsidRPr="00286A88">
        <w:rPr>
          <w:rFonts w:cs="AdvP4CD4D0"/>
          <w:lang w:val="en-AU" w:eastAsia="en-AU"/>
        </w:rPr>
        <w:t>3 g/kg); this lead to reductions in feed intake during the early growth period and skeletal strength (Ziaei et al., 2008).</w:t>
      </w:r>
    </w:p>
    <w:p w14:paraId="47710EF0" w14:textId="77777777" w:rsidR="00286A88" w:rsidRPr="00286A88" w:rsidRDefault="00286A88" w:rsidP="005064B7">
      <w:pPr>
        <w:pStyle w:val="Heading3"/>
        <w:rPr>
          <w:rFonts w:ascii="Times New Roman" w:hAnsi="Times New Roman"/>
          <w:sz w:val="24"/>
          <w:szCs w:val="24"/>
          <w:lang w:val="en-AU" w:eastAsia="en-GB"/>
        </w:rPr>
      </w:pPr>
      <w:bookmarkStart w:id="89" w:name="_Toc495310558"/>
      <w:r w:rsidRPr="00286A88">
        <w:rPr>
          <w:lang w:val="en-AU" w:eastAsia="en-GB"/>
        </w:rPr>
        <w:t>B2.6 Probiotics</w:t>
      </w:r>
      <w:bookmarkEnd w:id="89"/>
    </w:p>
    <w:p w14:paraId="5756DC89" w14:textId="77777777" w:rsidR="00286A88" w:rsidRPr="00286A88" w:rsidRDefault="00286A88" w:rsidP="005064B7">
      <w:pPr>
        <w:rPr>
          <w:lang w:val="en-AU" w:eastAsia="en-AU"/>
        </w:rPr>
      </w:pPr>
      <w:r w:rsidRPr="00286A88">
        <w:rPr>
          <w:lang w:val="en-AU" w:eastAsia="en-AU"/>
        </w:rPr>
        <w:t xml:space="preserve">Salim et al. (2013) examined the effect of a direct fed microbial (DFM) containing </w:t>
      </w:r>
      <w:r w:rsidRPr="00286A88">
        <w:rPr>
          <w:i/>
          <w:lang w:val="en-AU" w:eastAsia="en-AU"/>
        </w:rPr>
        <w:t>Lactobacillus reuteri</w:t>
      </w:r>
      <w:r w:rsidRPr="00286A88">
        <w:rPr>
          <w:lang w:val="en-AU" w:eastAsia="en-AU"/>
        </w:rPr>
        <w:t xml:space="preserve">. Broilers fed with DFM had a better feed-conversion ratio, better blood indicators of immune function (white blood cell counts, monocytes, immunoglobulins) and lower </w:t>
      </w:r>
      <w:r w:rsidR="001716DB">
        <w:rPr>
          <w:i/>
          <w:lang w:val="en-AU" w:eastAsia="en-AU"/>
        </w:rPr>
        <w:t>E</w:t>
      </w:r>
      <w:r w:rsidRPr="00286A88">
        <w:rPr>
          <w:i/>
          <w:lang w:val="en-AU" w:eastAsia="en-AU"/>
        </w:rPr>
        <w:t>.</w:t>
      </w:r>
      <w:r w:rsidR="001716DB">
        <w:rPr>
          <w:i/>
          <w:lang w:val="en-AU" w:eastAsia="en-AU"/>
        </w:rPr>
        <w:t xml:space="preserve"> </w:t>
      </w:r>
      <w:r w:rsidRPr="00286A88">
        <w:rPr>
          <w:i/>
          <w:lang w:val="en-AU" w:eastAsia="en-AU"/>
        </w:rPr>
        <w:t>coli</w:t>
      </w:r>
      <w:r w:rsidRPr="00286A88">
        <w:rPr>
          <w:lang w:val="en-AU" w:eastAsia="en-AU"/>
        </w:rPr>
        <w:t xml:space="preserve"> faecal content than those fed a control diet, with most welfare indicators being the same as or better than antibiotic-treated broilers. In a similar study, Lei et al. (2015) found that a DFM containing </w:t>
      </w:r>
      <w:r w:rsidRPr="00286A88">
        <w:rPr>
          <w:i/>
          <w:lang w:val="en-AU" w:eastAsia="en-AU"/>
        </w:rPr>
        <w:t>Bacillus</w:t>
      </w:r>
      <w:r w:rsidRPr="00286A88">
        <w:rPr>
          <w:lang w:val="en-AU" w:eastAsia="en-AU"/>
        </w:rPr>
        <w:t xml:space="preserve"> </w:t>
      </w:r>
      <w:r w:rsidRPr="001C205B">
        <w:rPr>
          <w:lang w:val="en-AU" w:eastAsia="en-AU"/>
        </w:rPr>
        <w:t>spp.</w:t>
      </w:r>
      <w:r w:rsidRPr="00286A88">
        <w:rPr>
          <w:lang w:val="en-AU" w:eastAsia="en-AU"/>
        </w:rPr>
        <w:t xml:space="preserve"> also improved food conversion, weight gain and decreased </w:t>
      </w:r>
      <w:r w:rsidRPr="00286A88">
        <w:rPr>
          <w:i/>
          <w:lang w:val="en-AU" w:eastAsia="en-AU"/>
        </w:rPr>
        <w:t>E. coli</w:t>
      </w:r>
      <w:r w:rsidRPr="00286A88">
        <w:rPr>
          <w:lang w:val="en-AU" w:eastAsia="en-AU"/>
        </w:rPr>
        <w:t xml:space="preserve"> population in the caecum compared to control-fed birds. Palamidi et al. (2016) also found that a commercial DFM (PoultryStar, BIOMIN, Austria) containing </w:t>
      </w:r>
      <w:r w:rsidRPr="00286A88">
        <w:rPr>
          <w:i/>
          <w:lang w:val="en-AU" w:eastAsia="en-AU"/>
        </w:rPr>
        <w:t>Bacillus spp.</w:t>
      </w:r>
      <w:r w:rsidRPr="00286A88">
        <w:rPr>
          <w:lang w:val="en-AU" w:eastAsia="en-AU"/>
        </w:rPr>
        <w:t xml:space="preserve"> also improved weight gain and feed conversion ratio compared to controls fed the same diet in which the probiotic had been inactivated by heat treatment. Sen et al. (2012) also found that supplementing the diet of broilers with a DFM containing </w:t>
      </w:r>
      <w:r w:rsidRPr="00286A88">
        <w:rPr>
          <w:i/>
          <w:lang w:val="en-AU" w:eastAsia="en-AU"/>
        </w:rPr>
        <w:t xml:space="preserve">Bacillus </w:t>
      </w:r>
      <w:r w:rsidRPr="001C205B">
        <w:rPr>
          <w:lang w:val="en-AU" w:eastAsia="en-AU"/>
        </w:rPr>
        <w:t>spp.</w:t>
      </w:r>
      <w:r w:rsidRPr="00286A88">
        <w:rPr>
          <w:lang w:val="en-AU" w:eastAsia="en-AU"/>
        </w:rPr>
        <w:t xml:space="preserve"> improved growth and gut health, and lowered caecal </w:t>
      </w:r>
      <w:r w:rsidRPr="00286A88">
        <w:rPr>
          <w:i/>
          <w:lang w:val="en-AU" w:eastAsia="en-AU"/>
        </w:rPr>
        <w:t>Clostridium</w:t>
      </w:r>
      <w:r w:rsidRPr="00286A88">
        <w:rPr>
          <w:lang w:val="en-AU" w:eastAsia="en-AU"/>
        </w:rPr>
        <w:t xml:space="preserve"> and </w:t>
      </w:r>
      <w:r w:rsidR="00A76D1D">
        <w:rPr>
          <w:lang w:val="en-AU" w:eastAsia="en-AU"/>
        </w:rPr>
        <w:t>c</w:t>
      </w:r>
      <w:r w:rsidRPr="00A76D1D">
        <w:rPr>
          <w:lang w:val="en-AU" w:eastAsia="en-AU"/>
        </w:rPr>
        <w:t xml:space="preserve">oliform </w:t>
      </w:r>
      <w:r w:rsidRPr="00286A88">
        <w:rPr>
          <w:lang w:val="en-AU" w:eastAsia="en-AU"/>
        </w:rPr>
        <w:t>counts.</w:t>
      </w:r>
    </w:p>
    <w:p w14:paraId="3A5766C9" w14:textId="77777777" w:rsidR="00286A88" w:rsidRPr="00286A88" w:rsidRDefault="00286A88" w:rsidP="005064B7">
      <w:pPr>
        <w:pStyle w:val="Heading3"/>
        <w:rPr>
          <w:rFonts w:ascii="Times New Roman" w:hAnsi="Times New Roman"/>
          <w:sz w:val="24"/>
          <w:szCs w:val="24"/>
          <w:lang w:val="en-AU" w:eastAsia="en-GB"/>
        </w:rPr>
      </w:pPr>
      <w:bookmarkStart w:id="90" w:name="_Toc495310559"/>
      <w:r w:rsidRPr="00286A88">
        <w:rPr>
          <w:lang w:val="en-AU" w:eastAsia="en-GB"/>
        </w:rPr>
        <w:t>B2.7 Water supply and health</w:t>
      </w:r>
      <w:bookmarkEnd w:id="90"/>
    </w:p>
    <w:p w14:paraId="460EFFE4" w14:textId="77777777" w:rsidR="00286A88" w:rsidRPr="005064B7" w:rsidRDefault="00286A88" w:rsidP="005064B7">
      <w:pPr>
        <w:rPr>
          <w:i/>
          <w:lang w:val="en-AU" w:eastAsia="en-AU"/>
        </w:rPr>
      </w:pPr>
      <w:r w:rsidRPr="005064B7">
        <w:rPr>
          <w:i/>
          <w:lang w:val="en-AU" w:eastAsia="en-AU"/>
        </w:rPr>
        <w:t>The provision of adequate drinker access is important to avoid thirst and dehydration in broilers with reduced mobility, and to prevent skin lesions as a result of over-competition; however, spilt water may reduce litter quality and increase the risk of contact dermatitis.</w:t>
      </w:r>
    </w:p>
    <w:p w14:paraId="487BA39F" w14:textId="77777777" w:rsidR="00286A88" w:rsidRPr="00286A88" w:rsidRDefault="00286A88" w:rsidP="005064B7">
      <w:pPr>
        <w:rPr>
          <w:rFonts w:cs="AdvTimes"/>
          <w:lang w:val="en-AU" w:eastAsia="en-AU"/>
        </w:rPr>
      </w:pPr>
      <w:r w:rsidRPr="00286A88">
        <w:rPr>
          <w:rFonts w:cs="TimesNewRomanPSMT"/>
          <w:lang w:val="en-AU" w:eastAsia="en-AU"/>
        </w:rPr>
        <w:t xml:space="preserve">The majority of broiler farms now use nipple and/or cup drinkers as opposed to bell drinkers. </w:t>
      </w:r>
      <w:r w:rsidRPr="00286A88">
        <w:rPr>
          <w:lang w:val="en-AU" w:eastAsia="en-AU"/>
        </w:rPr>
        <w:t>Water delivery systems that enable water to spill onto the litter can reduce litter quality, which can consequently increase foot pad dermatitis (FPD) or hock burn</w:t>
      </w:r>
      <w:r w:rsidR="00943487">
        <w:rPr>
          <w:lang w:val="en-AU" w:eastAsia="en-AU"/>
        </w:rPr>
        <w:t xml:space="preserve"> (HB)</w:t>
      </w:r>
      <w:r w:rsidRPr="00286A88">
        <w:rPr>
          <w:lang w:val="en-AU" w:eastAsia="en-AU"/>
        </w:rPr>
        <w:t xml:space="preserve"> (see B3.4a and B3.4b); i</w:t>
      </w:r>
      <w:r w:rsidRPr="00286A88">
        <w:rPr>
          <w:rFonts w:cs="AdvTR"/>
          <w:lang w:val="en-AU" w:eastAsia="en-AU"/>
        </w:rPr>
        <w:t xml:space="preserve">ncreased water consumption has also been directly associated with FPD (Manning </w:t>
      </w:r>
      <w:r w:rsidRPr="00286A88">
        <w:rPr>
          <w:rFonts w:cs="AdvTI"/>
          <w:lang w:val="en-AU" w:eastAsia="en-AU"/>
        </w:rPr>
        <w:t>et al</w:t>
      </w:r>
      <w:r w:rsidRPr="00286A88">
        <w:rPr>
          <w:rFonts w:cs="AdvTR"/>
          <w:lang w:val="en-AU" w:eastAsia="en-AU"/>
        </w:rPr>
        <w:t>., 2007).</w:t>
      </w:r>
      <w:r w:rsidRPr="00286A88">
        <w:rPr>
          <w:lang w:val="en-AU" w:eastAsia="en-AU"/>
        </w:rPr>
        <w:t xml:space="preserve"> Nipple drinkers are </w:t>
      </w:r>
      <w:r w:rsidRPr="00286A88">
        <w:rPr>
          <w:rFonts w:cs="GillSans-Italic"/>
          <w:iCs/>
          <w:lang w:val="en-AU" w:eastAsia="en-AU"/>
        </w:rPr>
        <w:t>provided in lines and positioned above the birds’ heads. B</w:t>
      </w:r>
      <w:r w:rsidRPr="00286A88">
        <w:rPr>
          <w:rFonts w:cs="Palatino-Roman"/>
          <w:lang w:val="en-AU" w:eastAsia="en-AU"/>
        </w:rPr>
        <w:t xml:space="preserve">irds with poor walking ability have been observed to lose balance while stretching to drink from a nipple (Jones et al., 2005a). </w:t>
      </w:r>
      <w:r w:rsidRPr="00286A88">
        <w:rPr>
          <w:lang w:val="en-AU" w:eastAsia="en-AU"/>
        </w:rPr>
        <w:t xml:space="preserve">Butterworth et al. (2002) observed gait score (GS: see B3.3d) to be positively associated with dehydration in a flock with poor leg health; measures of plasma osmolality (electrolyte-water balance) indicated that some birds may have been without water for more than 60 hours. </w:t>
      </w:r>
      <w:r w:rsidRPr="00286A88">
        <w:rPr>
          <w:rFonts w:cs="AdvTimes"/>
          <w:lang w:val="en-AU" w:eastAsia="en-AU"/>
        </w:rPr>
        <w:t>The provision of adequate drinkers is important for reasons other than avoiding thirst and dehydration. More skin scratches have been observed with nipple-drinkers, than bell drinkers, presumably due to birds jostling for space; however, b</w:t>
      </w:r>
      <w:r w:rsidRPr="00286A88">
        <w:rPr>
          <w:rFonts w:cs="AdvP4CD4D0"/>
          <w:lang w:val="en-AU" w:eastAsia="en-AU"/>
        </w:rPr>
        <w:t>ell drinkers increase litter moisture, and this problem could be alleviated via the provision of more nipples</w:t>
      </w:r>
      <w:r w:rsidRPr="00286A88">
        <w:rPr>
          <w:rFonts w:cs="AdvTimes"/>
          <w:lang w:val="en-AU" w:eastAsia="en-AU"/>
        </w:rPr>
        <w:t xml:space="preserve"> (</w:t>
      </w:r>
      <w:r w:rsidRPr="00286A88">
        <w:rPr>
          <w:rFonts w:cs="AdvP4CD4D0"/>
          <w:lang w:val="en-AU" w:eastAsia="en-AU"/>
        </w:rPr>
        <w:t>Allain et al., 2009</w:t>
      </w:r>
      <w:r w:rsidRPr="00286A88">
        <w:rPr>
          <w:rFonts w:cs="AdvTimes"/>
          <w:lang w:val="en-AU" w:eastAsia="en-AU"/>
        </w:rPr>
        <w:t xml:space="preserve">). </w:t>
      </w:r>
      <w:r w:rsidRPr="00286A88">
        <w:rPr>
          <w:rFonts w:cs="Palatino-Roman"/>
          <w:lang w:val="en-AU" w:eastAsia="en-AU"/>
        </w:rPr>
        <w:t>In a comprehensive field-study Jones et al. (2005a) identified that the availability of nipple drinkers per unit area was negatively associated with levels of leg rotation.</w:t>
      </w:r>
    </w:p>
    <w:p w14:paraId="4A40E3C7" w14:textId="77777777" w:rsidR="00286A88" w:rsidRDefault="00286A88" w:rsidP="00AC720E">
      <w:pPr>
        <w:rPr>
          <w:lang w:val="en-AU" w:eastAsia="en-AU"/>
        </w:rPr>
      </w:pPr>
      <w:r w:rsidRPr="00286A88">
        <w:rPr>
          <w:lang w:val="en-AU" w:eastAsia="en-AU"/>
        </w:rPr>
        <w:t xml:space="preserve">The addition of an extract of St John’s wort </w:t>
      </w:r>
      <w:r w:rsidRPr="00286A88">
        <w:rPr>
          <w:rFonts w:cs="TimesNewRomanPS-BoldMT"/>
          <w:bCs/>
          <w:lang w:val="en-AU" w:eastAsia="en-AU"/>
        </w:rPr>
        <w:t>(</w:t>
      </w:r>
      <w:r w:rsidRPr="00286A88">
        <w:rPr>
          <w:rFonts w:cs="TimesNewRomanPS-BoldItalicMT"/>
          <w:bCs/>
          <w:i/>
          <w:iCs/>
          <w:lang w:val="en-AU" w:eastAsia="en-AU"/>
        </w:rPr>
        <w:t>Hypericum perforatum</w:t>
      </w:r>
      <w:r w:rsidRPr="00286A88">
        <w:rPr>
          <w:rFonts w:cs="TimesNewRomanPS-BoldMT"/>
          <w:bCs/>
          <w:lang w:val="en-AU" w:eastAsia="en-AU"/>
        </w:rPr>
        <w:t xml:space="preserve">) </w:t>
      </w:r>
      <w:r w:rsidRPr="00286A88">
        <w:rPr>
          <w:lang w:val="en-AU" w:eastAsia="en-AU"/>
        </w:rPr>
        <w:t xml:space="preserve">to broiler drinking water has been shown to increase body mass and </w:t>
      </w:r>
      <w:r w:rsidRPr="00286A88">
        <w:rPr>
          <w:rFonts w:cs="TimesNewRomanPSMT"/>
          <w:lang w:val="en-AU" w:eastAsia="en-AU"/>
        </w:rPr>
        <w:t>immunoglobulin complex within the blood</w:t>
      </w:r>
      <w:r w:rsidRPr="00286A88">
        <w:rPr>
          <w:lang w:val="en-AU" w:eastAsia="en-AU"/>
        </w:rPr>
        <w:t>, and to decrease blood corticosterone and mortality (</w:t>
      </w:r>
      <w:r w:rsidRPr="00286A88">
        <w:rPr>
          <w:rFonts w:cs="TimesNewRomanPSMT"/>
          <w:lang w:val="en-AU" w:eastAsia="en-AU"/>
        </w:rPr>
        <w:t>Skomorucha and Sosnówka-Czajka, 2013)</w:t>
      </w:r>
      <w:r w:rsidRPr="00286A88">
        <w:rPr>
          <w:lang w:val="en-AU" w:eastAsia="en-AU"/>
        </w:rPr>
        <w:t>.</w:t>
      </w:r>
    </w:p>
    <w:p w14:paraId="366F1B0A" w14:textId="77777777" w:rsidR="00286A88" w:rsidRPr="00286A88" w:rsidRDefault="00BA51E1" w:rsidP="00BA51E1">
      <w:pPr>
        <w:pStyle w:val="Heading3"/>
        <w:rPr>
          <w:rFonts w:ascii="Times New Roman" w:hAnsi="Times New Roman"/>
          <w:sz w:val="24"/>
          <w:szCs w:val="24"/>
          <w:lang w:val="en-AU" w:eastAsia="en-GB"/>
        </w:rPr>
      </w:pPr>
      <w:r>
        <w:rPr>
          <w:lang w:val="en-AU" w:eastAsia="en-AU"/>
        </w:rPr>
        <w:br w:type="column"/>
      </w:r>
      <w:bookmarkStart w:id="91" w:name="_Toc495310560"/>
      <w:r w:rsidR="005064B7">
        <w:rPr>
          <w:lang w:val="en-AU" w:eastAsia="en-GB"/>
        </w:rPr>
        <w:t>B2.8 Drinker design</w:t>
      </w:r>
      <w:bookmarkEnd w:id="91"/>
    </w:p>
    <w:p w14:paraId="5F6D2EFD" w14:textId="77777777" w:rsidR="00286A88" w:rsidRPr="009E3BC2" w:rsidRDefault="00286A88" w:rsidP="005064B7">
      <w:pPr>
        <w:rPr>
          <w:i/>
          <w:lang w:val="en-AU" w:eastAsia="en-AU"/>
        </w:rPr>
      </w:pPr>
      <w:r w:rsidRPr="009E3BC2">
        <w:rPr>
          <w:i/>
          <w:lang w:val="en-AU" w:eastAsia="en-AU"/>
        </w:rPr>
        <w:t>Although nipple drinkers are commonly used to limit litter moisture (and reduce FPD) their position (above the broilers</w:t>
      </w:r>
      <w:r w:rsidR="001518D4">
        <w:rPr>
          <w:i/>
          <w:lang w:val="en-AU" w:eastAsia="en-AU"/>
        </w:rPr>
        <w:t>’</w:t>
      </w:r>
      <w:r w:rsidRPr="009E3BC2">
        <w:rPr>
          <w:i/>
          <w:lang w:val="en-AU" w:eastAsia="en-AU"/>
        </w:rPr>
        <w:t xml:space="preserve"> head</w:t>
      </w:r>
      <w:r w:rsidR="001518D4">
        <w:rPr>
          <w:i/>
          <w:lang w:val="en-AU" w:eastAsia="en-AU"/>
        </w:rPr>
        <w:t>s</w:t>
      </w:r>
      <w:r w:rsidRPr="009E3BC2">
        <w:rPr>
          <w:i/>
          <w:lang w:val="en-AU" w:eastAsia="en-AU"/>
        </w:rPr>
        <w:t>) is not favoured by the birds.</w:t>
      </w:r>
    </w:p>
    <w:p w14:paraId="7AB09060" w14:textId="77777777" w:rsidR="00286A88" w:rsidRPr="00286A88" w:rsidRDefault="00286A88" w:rsidP="005064B7">
      <w:pPr>
        <w:rPr>
          <w:rFonts w:cs="GillSans-Italic"/>
          <w:iCs/>
          <w:lang w:val="en-AU" w:eastAsia="en-AU"/>
        </w:rPr>
      </w:pPr>
      <w:r w:rsidRPr="00286A88">
        <w:rPr>
          <w:rFonts w:cs="GillSans-Italic"/>
          <w:iCs/>
          <w:lang w:val="en-AU" w:eastAsia="en-AU"/>
        </w:rPr>
        <w:t xml:space="preserve">Houldcroft et al. (2008) suggest that a redesign of drinker systems is required, to minimise wet litter while facilitating the preference of broilers to drink at a lower height. The action of pecking upward to obtain water is very different from the natural ‘scoop’ action that poultry perform when drinking from bowls. Management guides suggest that to minimise water loss nipple drinkers should be raised for growing birds to a height where the back of the bird </w:t>
      </w:r>
      <w:r w:rsidRPr="00286A88">
        <w:rPr>
          <w:lang w:val="en-AU" w:eastAsia="en-AU"/>
        </w:rPr>
        <w:t xml:space="preserve">forms an angle of approximately 75-85° with the floor and so that the birds are stretching slightly to obtain water </w:t>
      </w:r>
      <w:r w:rsidR="00165823">
        <w:rPr>
          <w:lang w:val="en-AU" w:eastAsia="en-AU"/>
        </w:rPr>
        <w:t>(</w:t>
      </w:r>
      <w:hyperlink r:id="rId52" w:tooltip="This is a link to Aviagen's handbook for broilers of the Ross breed." w:history="1">
        <w:r w:rsidR="00165823" w:rsidRPr="008D16A0">
          <w:rPr>
            <w:rStyle w:val="Hyperlink"/>
            <w:lang w:val="en-AU" w:eastAsia="en-AU"/>
          </w:rPr>
          <w:t>http://en.aviagen.com/assets/Tech_Center/Ross_Broiler/Ross-Broiler-Handbook-2014i-EN.pdf</w:t>
        </w:r>
      </w:hyperlink>
      <w:r w:rsidR="00165823">
        <w:rPr>
          <w:lang w:val="en-AU" w:eastAsia="en-AU"/>
        </w:rPr>
        <w:t>)</w:t>
      </w:r>
      <w:r w:rsidRPr="00286A88">
        <w:rPr>
          <w:lang w:val="en-AU" w:eastAsia="en-AU"/>
        </w:rPr>
        <w:t>. Another possible solution to the problem of wet litter caused by spills may be to provide grates below the drinkers (Foreman et al., 2013).</w:t>
      </w:r>
    </w:p>
    <w:p w14:paraId="629FA55D" w14:textId="77777777" w:rsidR="00286A88" w:rsidRPr="00286A88" w:rsidRDefault="00286A88" w:rsidP="005064B7">
      <w:pPr>
        <w:rPr>
          <w:rFonts w:cs="GillSans-Italic"/>
          <w:iCs/>
          <w:lang w:val="en-AU" w:eastAsia="en-AU"/>
        </w:rPr>
      </w:pPr>
      <w:r w:rsidRPr="00286A88">
        <w:rPr>
          <w:rFonts w:cs="GillSans-Italic"/>
          <w:iCs/>
          <w:lang w:val="en-AU" w:eastAsia="en-AU"/>
        </w:rPr>
        <w:t>Broilers drink from bell drinkers and troughs in preference to nipple drinkers, and have a strong preference for drinking from nipples that are positioned at a lower height than currently provided; however, when offered a choice between bowls and nipples placed at the same height, broilers are indifferent to the method of water presentation (Houldcroft et al., 2008).</w:t>
      </w:r>
    </w:p>
    <w:p w14:paraId="2197CF9B" w14:textId="77777777" w:rsidR="00286A88" w:rsidRPr="00286A88" w:rsidRDefault="00286A88" w:rsidP="009E3BC2">
      <w:pPr>
        <w:pStyle w:val="Heading3"/>
        <w:rPr>
          <w:rFonts w:ascii="Times New Roman" w:hAnsi="Times New Roman"/>
          <w:sz w:val="24"/>
          <w:szCs w:val="24"/>
          <w:lang w:val="en-AU" w:eastAsia="en-GB"/>
        </w:rPr>
      </w:pPr>
      <w:bookmarkStart w:id="92" w:name="_Toc495310561"/>
      <w:r w:rsidRPr="00286A88">
        <w:rPr>
          <w:lang w:val="en-AU" w:eastAsia="en-GB"/>
        </w:rPr>
        <w:t>B2.9 Measuring thirst</w:t>
      </w:r>
      <w:bookmarkEnd w:id="92"/>
    </w:p>
    <w:p w14:paraId="58043996" w14:textId="77777777" w:rsidR="00286A88" w:rsidRPr="009E3BC2" w:rsidRDefault="00286A88" w:rsidP="009E3BC2">
      <w:pPr>
        <w:rPr>
          <w:rFonts w:eastAsia="ComputerModern-Regular" w:cs="ComputerModern-Regular"/>
          <w:i/>
          <w:lang w:val="en-AU" w:eastAsia="en-AU"/>
        </w:rPr>
      </w:pPr>
      <w:r w:rsidRPr="009E3BC2">
        <w:rPr>
          <w:i/>
          <w:lang w:val="en-AU" w:eastAsia="en-AU"/>
        </w:rPr>
        <w:t xml:space="preserve">Voluntary water consumption offers a simple animal-based means of assessing thirst on-farm, while physiological indicators of dehydration have been identified to </w:t>
      </w:r>
      <w:r w:rsidRPr="009E3BC2">
        <w:rPr>
          <w:rFonts w:eastAsia="ComputerModern-Regular" w:cs="ComputerModern-Regular"/>
          <w:i/>
          <w:lang w:val="en-AU" w:eastAsia="en-AU"/>
        </w:rPr>
        <w:t>distinguish between water withdrawal that has occurred during catching and transport, and dehydration that occurred on the farm.</w:t>
      </w:r>
    </w:p>
    <w:p w14:paraId="352205E3" w14:textId="77777777" w:rsidR="00286A88" w:rsidRPr="00286A88" w:rsidRDefault="00286A88" w:rsidP="009E3BC2">
      <w:pPr>
        <w:rPr>
          <w:rFonts w:eastAsia="ComputerModern-Regular" w:cs="ComputerModern-Regular"/>
          <w:lang w:val="en-AU" w:eastAsia="en-AU"/>
        </w:rPr>
      </w:pPr>
      <w:r w:rsidRPr="00286A88">
        <w:rPr>
          <w:rFonts w:eastAsia="ComputerModern-Regular" w:cs="ComputerModern-Regular"/>
          <w:lang w:val="en-AU" w:eastAsia="en-AU"/>
        </w:rPr>
        <w:t>Freedom of (prolonged) thirst is of paramount importance for animal welfare, yet animal-based measures of thirst are currently absent from monitoring schemes due to the difficulties associated with quantifying a subjective state. The Welfare Quality® assessment protocol for broilers uses the number of birds per drinking nipple, cup or bell drinker as an indicator of absence of prolonged thirst; to avoid thirst the recommendation is to provide a nipple for every 10 birds, a cup for every 28 birds or a bell drinker per every 100 birds (Welfare Quality®, 2009). Voluntary water consumption over time demonstrates potential for use as a non-invasive on-farm means of assessing thirst in broilers; it has been shown to increase with the length of water deprivation (Sprenger et al., 2009; Vanderhasselt et al., 2014). It is also possible to directly assess the level of dehydration via physiological measures. Vanderhasselt et al. (2013) identified creatinine and sodium as suitable indicators of medium-term water deprivation, allowing the distinction between water withdrawal during catching and transport, and dehydration that had occurred on the farm; levels of markers began to rise after 6 h and continued to increase following prolonged water withdrawal. In contrast, since plasma chloride was observed to increase after 6 h of water withdrawal, but not to rise further, it appears to be a suitable marker for use in the detection of dehydration between catch and slaughter (Vanderhasselt et al., 2013).</w:t>
      </w:r>
    </w:p>
    <w:p w14:paraId="7548997F" w14:textId="77777777" w:rsidR="00286A88" w:rsidRPr="00286A88" w:rsidRDefault="00286A88" w:rsidP="009E3BC2">
      <w:pPr>
        <w:pStyle w:val="Heading3"/>
        <w:rPr>
          <w:rFonts w:ascii="Times New Roman" w:hAnsi="Times New Roman"/>
          <w:sz w:val="24"/>
          <w:szCs w:val="24"/>
          <w:lang w:val="en-AU" w:eastAsia="en-GB"/>
        </w:rPr>
      </w:pPr>
      <w:bookmarkStart w:id="93" w:name="_Toc495310562"/>
      <w:r w:rsidRPr="00286A88">
        <w:rPr>
          <w:lang w:val="en-AU" w:eastAsia="en-GB"/>
        </w:rPr>
        <w:t>B2.10 Measuring water consumption</w:t>
      </w:r>
      <w:bookmarkEnd w:id="93"/>
    </w:p>
    <w:p w14:paraId="7D359AA3" w14:textId="77777777" w:rsidR="00286A88" w:rsidRPr="009E3BC2" w:rsidRDefault="00286A88" w:rsidP="009E3BC2">
      <w:pPr>
        <w:rPr>
          <w:i/>
          <w:lang w:val="en-AU" w:eastAsia="en-AU"/>
        </w:rPr>
      </w:pPr>
      <w:r w:rsidRPr="009E3BC2">
        <w:rPr>
          <w:i/>
          <w:lang w:val="en-AU" w:eastAsia="en-AU"/>
        </w:rPr>
        <w:t>Water consumption (per area of floor space) could provide a ‘trigger point’ for alerting farm managers to litter deterioration.</w:t>
      </w:r>
    </w:p>
    <w:p w14:paraId="0C7A6903" w14:textId="77777777" w:rsidR="00286A88" w:rsidRPr="00286A88" w:rsidRDefault="00286A88" w:rsidP="009E3BC2">
      <w:pPr>
        <w:rPr>
          <w:lang w:val="en-AU" w:eastAsia="en-AU"/>
        </w:rPr>
      </w:pPr>
      <w:r w:rsidRPr="00286A88">
        <w:rPr>
          <w:lang w:val="en-AU" w:eastAsia="en-AU"/>
        </w:rPr>
        <w:t>Daily water consumption is currently monitored in l/bird/day to monitor flock performance and provide an indication of bird health. However, it has been shown that monitoring water consumption as l/m</w:t>
      </w:r>
      <w:r w:rsidRPr="00286A88">
        <w:rPr>
          <w:vertAlign w:val="superscript"/>
          <w:lang w:val="en-AU" w:eastAsia="en-AU"/>
        </w:rPr>
        <w:t>2</w:t>
      </w:r>
      <w:r w:rsidRPr="00286A88">
        <w:rPr>
          <w:lang w:val="en-AU" w:eastAsia="en-AU"/>
        </w:rPr>
        <w:t xml:space="preserve"> floor area/day is a good lag (end of crop) indicator of litter quality (Manning et al., 2007). Manning et al. (2007) hypothesise that if a </w:t>
      </w:r>
      <w:r w:rsidRPr="00286A88">
        <w:rPr>
          <w:rFonts w:cs="Times-Roman"/>
          <w:lang w:val="en-AU" w:eastAsia="en-AU"/>
        </w:rPr>
        <w:t>threshold level could be determined (in terms of l/m</w:t>
      </w:r>
      <w:r w:rsidRPr="00286A88">
        <w:rPr>
          <w:rFonts w:cs="Times-Roman"/>
          <w:vertAlign w:val="superscript"/>
          <w:lang w:val="en-AU" w:eastAsia="en-AU"/>
        </w:rPr>
        <w:t>2</w:t>
      </w:r>
      <w:r w:rsidRPr="00286A88">
        <w:rPr>
          <w:rFonts w:cs="Times-Roman"/>
          <w:lang w:val="en-AU" w:eastAsia="en-AU"/>
        </w:rPr>
        <w:t xml:space="preserve">/day) at which litter quality becomes compromised then </w:t>
      </w:r>
      <w:r w:rsidRPr="00286A88">
        <w:rPr>
          <w:lang w:val="en-AU" w:eastAsia="en-AU"/>
        </w:rPr>
        <w:t>t</w:t>
      </w:r>
      <w:r w:rsidRPr="00286A88">
        <w:rPr>
          <w:rFonts w:cs="Times-Roman"/>
          <w:lang w:val="en-AU" w:eastAsia="en-AU"/>
        </w:rPr>
        <w:t>his measure could provide managers with a “trigger-point” at which they would need to take remedial action to minimise contact dermatitis.</w:t>
      </w:r>
    </w:p>
    <w:p w14:paraId="4F1B4D10" w14:textId="77777777" w:rsidR="00286A88" w:rsidRPr="00286A88" w:rsidRDefault="00286A88" w:rsidP="005064B7">
      <w:pPr>
        <w:pStyle w:val="Heading2"/>
        <w:rPr>
          <w:lang w:val="en-AU" w:eastAsia="en-AU"/>
        </w:rPr>
      </w:pPr>
      <w:bookmarkStart w:id="94" w:name="_Toc495310563"/>
      <w:r w:rsidRPr="00286A88">
        <w:rPr>
          <w:lang w:val="en-AU" w:eastAsia="en-AU"/>
        </w:rPr>
        <w:t>B3. Risk Management</w:t>
      </w:r>
      <w:bookmarkEnd w:id="94"/>
    </w:p>
    <w:p w14:paraId="656848C2" w14:textId="77777777" w:rsidR="00286A88" w:rsidRPr="00286A88" w:rsidRDefault="00286A88" w:rsidP="009E3BC2">
      <w:pPr>
        <w:rPr>
          <w:i/>
          <w:color w:val="000000"/>
          <w:lang w:val="en-AU" w:eastAsia="en-AU"/>
        </w:rPr>
      </w:pPr>
      <w:r w:rsidRPr="00286A88">
        <w:rPr>
          <w:i/>
          <w:color w:val="000000"/>
          <w:lang w:val="en-AU" w:eastAsia="en-AU"/>
        </w:rPr>
        <w:t>Mortality in broiler production is generally less than 1.5% during the first week, and less than 5% in total (including culls) by the end of the growing period. Causes of mortality are metabolic disorders, ascites and infectious conditions, with birds being culled primarily because of leg disorders. Leg disorders affect the ability of broilers to perform normal behaviour and some types of leg disorder have been shown, in sophisticated experiments, to be associated with pain.</w:t>
      </w:r>
    </w:p>
    <w:p w14:paraId="6CBC3488" w14:textId="77777777" w:rsidR="00286A88" w:rsidRPr="00286A88" w:rsidRDefault="00286A88" w:rsidP="009E3BC2">
      <w:pPr>
        <w:pStyle w:val="Heading3"/>
        <w:rPr>
          <w:rFonts w:ascii="Times New Roman" w:hAnsi="Times New Roman"/>
          <w:sz w:val="24"/>
          <w:szCs w:val="24"/>
          <w:lang w:val="en-AU" w:eastAsia="en-GB"/>
        </w:rPr>
      </w:pPr>
      <w:bookmarkStart w:id="95" w:name="_Toc495310564"/>
      <w:r w:rsidRPr="00286A88">
        <w:rPr>
          <w:lang w:val="en-AU" w:eastAsia="en-GB"/>
        </w:rPr>
        <w:t>B3.1 Mortality</w:t>
      </w:r>
      <w:bookmarkEnd w:id="95"/>
    </w:p>
    <w:p w14:paraId="0B38417E" w14:textId="77777777" w:rsidR="00286A88" w:rsidRPr="009E3BC2" w:rsidRDefault="00286A88" w:rsidP="009E3BC2">
      <w:pPr>
        <w:rPr>
          <w:rFonts w:cs="Times New Roman"/>
          <w:i/>
          <w:lang w:val="en-AU" w:eastAsia="en-AU"/>
        </w:rPr>
      </w:pPr>
      <w:r w:rsidRPr="009E3BC2">
        <w:rPr>
          <w:i/>
          <w:lang w:val="en-AU" w:eastAsia="en-AU"/>
        </w:rPr>
        <w:t xml:space="preserve">The main factors influencing early mortality include parental characteristics, incubation conditions, time of hatch, and brood </w:t>
      </w:r>
      <w:r w:rsidRPr="009E3BC2">
        <w:rPr>
          <w:rFonts w:eastAsia="ComputerModern-Regular" w:cs="ComputerModern-Regular"/>
          <w:i/>
          <w:lang w:val="en-AU" w:eastAsia="en-AU"/>
        </w:rPr>
        <w:t xml:space="preserve">temperature; in older birds the main causes of mortality are </w:t>
      </w:r>
      <w:r w:rsidRPr="009E3BC2">
        <w:rPr>
          <w:rFonts w:cs="Times New Roman"/>
          <w:i/>
          <w:lang w:val="en-AU" w:eastAsia="en-AU"/>
        </w:rPr>
        <w:t>metabolic disorders, infectious disease (especially relating to gut health) and culling due to severe lameness.</w:t>
      </w:r>
    </w:p>
    <w:p w14:paraId="08352A76" w14:textId="77777777" w:rsidR="00286A88" w:rsidRPr="00286A88" w:rsidRDefault="00286A88" w:rsidP="009E3BC2">
      <w:pPr>
        <w:rPr>
          <w:rFonts w:cs="TimesNewRomanPSMT"/>
          <w:color w:val="auto"/>
          <w:lang w:val="en-AU" w:eastAsia="en-AU"/>
        </w:rPr>
      </w:pPr>
      <w:r w:rsidRPr="00286A88">
        <w:rPr>
          <w:rFonts w:cs="TimesNewRomanPSMT"/>
          <w:color w:val="auto"/>
          <w:lang w:val="en-AU" w:eastAsia="en-AU"/>
        </w:rPr>
        <w:t>For a standard broiler flock with a 32-40 day production cycle, mortality typically varies between 0.75 -1.32% per week, with producers aiming for &lt;5% overall mortality (de Jong et al., 2012a).</w:t>
      </w:r>
    </w:p>
    <w:p w14:paraId="7AAAA05E" w14:textId="77777777" w:rsidR="00286A88" w:rsidRPr="009E3BC2" w:rsidRDefault="00286A88" w:rsidP="009E3BC2">
      <w:pPr>
        <w:pStyle w:val="Heading41"/>
      </w:pPr>
      <w:r w:rsidRPr="009E3BC2">
        <w:t>B3.1a Early mortality</w:t>
      </w:r>
    </w:p>
    <w:p w14:paraId="7ED73C7E" w14:textId="77777777" w:rsidR="00286A88" w:rsidRPr="00286A88" w:rsidRDefault="00286A88" w:rsidP="009E3BC2">
      <w:pPr>
        <w:rPr>
          <w:rFonts w:cs="AdvOT6af9549b"/>
          <w:lang w:val="en-AU" w:eastAsia="en-AU"/>
        </w:rPr>
      </w:pPr>
      <w:r w:rsidRPr="00286A88">
        <w:rPr>
          <w:rFonts w:cs="AdvTT5843c571"/>
          <w:lang w:val="en-AU" w:eastAsia="en-AU"/>
        </w:rPr>
        <w:t>Up to one-half of all flock deaths occur during the first week of production</w:t>
      </w:r>
      <w:r w:rsidRPr="00286A88">
        <w:rPr>
          <w:lang w:val="en-AU" w:eastAsia="en-AU"/>
        </w:rPr>
        <w:t xml:space="preserve"> (Kemmett et al., 2014); first week mortality is estimated at </w:t>
      </w:r>
      <w:r w:rsidRPr="00286A88">
        <w:rPr>
          <w:rFonts w:eastAsia="ComputerModern-Regular" w:cs="ComputerModern-Regular"/>
          <w:lang w:val="en-AU" w:eastAsia="en-AU"/>
        </w:rPr>
        <w:t>1.5% (Heier et al., 2002; Yassin et al., 2009). E</w:t>
      </w:r>
      <w:r w:rsidRPr="00286A88">
        <w:rPr>
          <w:lang w:val="en-AU" w:eastAsia="en-AU"/>
        </w:rPr>
        <w:t>arly mortality and the proportion of low-grade chicks are influenced by</w:t>
      </w:r>
      <w:r w:rsidRPr="00286A88">
        <w:rPr>
          <w:rFonts w:eastAsia="ComputerModern-Regular" w:cs="ComputerModern-Regular"/>
          <w:lang w:val="en-AU" w:eastAsia="en-AU"/>
        </w:rPr>
        <w:t xml:space="preserve"> </w:t>
      </w:r>
      <w:r w:rsidRPr="00286A88">
        <w:rPr>
          <w:lang w:val="en-AU" w:eastAsia="en-AU"/>
        </w:rPr>
        <w:t>egg</w:t>
      </w:r>
      <w:r w:rsidRPr="00286A88">
        <w:rPr>
          <w:rFonts w:eastAsia="ComputerModern-Regular" w:cs="ComputerModern-Regular"/>
          <w:lang w:val="en-AU" w:eastAsia="en-AU"/>
        </w:rPr>
        <w:t xml:space="preserve"> storage time at the hatchery (Heier et al., 2002; </w:t>
      </w:r>
      <w:r w:rsidRPr="00286A88">
        <w:rPr>
          <w:lang w:val="en-AU" w:eastAsia="en-AU"/>
        </w:rPr>
        <w:t xml:space="preserve">Tona et al., 2004; </w:t>
      </w:r>
      <w:r w:rsidRPr="00286A88">
        <w:rPr>
          <w:rFonts w:eastAsia="ComputerModern-Regular" w:cs="ComputerModern-Regular"/>
          <w:lang w:val="en-AU" w:eastAsia="en-AU"/>
        </w:rPr>
        <w:t xml:space="preserve">Yassin et al., 2009) and </w:t>
      </w:r>
      <w:r w:rsidRPr="00286A88">
        <w:rPr>
          <w:lang w:val="en-AU" w:eastAsia="en-AU"/>
        </w:rPr>
        <w:t>incubation conditions (Bruzual et al., 2000)</w:t>
      </w:r>
      <w:r w:rsidRPr="00286A88">
        <w:rPr>
          <w:b/>
          <w:lang w:val="en-AU" w:eastAsia="en-AU"/>
        </w:rPr>
        <w:t xml:space="preserve">. </w:t>
      </w:r>
      <w:r w:rsidRPr="00286A88">
        <w:rPr>
          <w:rFonts w:cs="AdvTT5843c571"/>
          <w:lang w:val="en-AU" w:eastAsia="en-AU"/>
        </w:rPr>
        <w:t xml:space="preserve">Higher post-hatch chick mortality and a higher percentage of low grade (culled) chicks are associated with old parent flocks (Tona et al., 2004; </w:t>
      </w:r>
      <w:r w:rsidRPr="00286A88">
        <w:rPr>
          <w:rFonts w:cs="OpenSans-Semibold"/>
          <w:lang w:val="en-AU" w:eastAsia="en-AU"/>
        </w:rPr>
        <w:t xml:space="preserve">Ipek and Sozcu, 2015; </w:t>
      </w:r>
      <w:r w:rsidRPr="00286A88">
        <w:rPr>
          <w:rFonts w:cs="AdvTT5843c571"/>
          <w:lang w:val="en-AU" w:eastAsia="en-AU"/>
        </w:rPr>
        <w:t xml:space="preserve">Iqbal et al., 2016; </w:t>
      </w:r>
      <w:r w:rsidRPr="00286A88">
        <w:rPr>
          <w:rFonts w:cs="CMR10"/>
          <w:lang w:val="en-AU" w:eastAsia="en-AU"/>
        </w:rPr>
        <w:t>Nowaczewski et al., 2016</w:t>
      </w:r>
      <w:r w:rsidRPr="00286A88">
        <w:rPr>
          <w:rFonts w:cs="AdvTT5843c571"/>
          <w:lang w:val="en-AU" w:eastAsia="en-AU"/>
        </w:rPr>
        <w:t>) as well as very young breeders (Yassin et al., 2009).</w:t>
      </w:r>
      <w:r w:rsidRPr="00286A88">
        <w:rPr>
          <w:rFonts w:cs="ComputerModern-Regular"/>
          <w:lang w:val="en-AU" w:eastAsia="en-AU"/>
        </w:rPr>
        <w:t xml:space="preserve"> Chicks from young breeder flocks require special management during the first week due to a lower feed intake (Yassin et al., 2009) and body mass </w:t>
      </w:r>
      <w:r w:rsidRPr="00286A88">
        <w:rPr>
          <w:lang w:val="en-AU" w:eastAsia="en-AU"/>
        </w:rPr>
        <w:t>(Pedroso et al., 2005)</w:t>
      </w:r>
      <w:r w:rsidRPr="00286A88">
        <w:rPr>
          <w:rFonts w:cs="ComputerModern-Regular"/>
          <w:lang w:val="en-AU" w:eastAsia="en-AU"/>
        </w:rPr>
        <w:t xml:space="preserve">; this will include adjustments to the house and floor temperature, drinking nipple height, and the provision of higher dietary nutrients and energy sources. The increased mortality observed with chicks from old breeders is likely to be related to an earlier hatch rate (Almeida et al., 2008) and higher navel and navel-yolk sac infections (Yassin et al., 2009). </w:t>
      </w:r>
      <w:r w:rsidRPr="00286A88">
        <w:rPr>
          <w:rFonts w:cs="CMR10"/>
          <w:lang w:val="en-AU" w:eastAsia="en-AU"/>
        </w:rPr>
        <w:t xml:space="preserve">Broiler breeder farm was highlighted as a risk factor for increased first week mortality </w:t>
      </w:r>
      <w:r w:rsidRPr="00286A88">
        <w:rPr>
          <w:rFonts w:eastAsia="ComputerModern-Regular" w:cs="ComputerModern-Regular"/>
          <w:lang w:val="en-AU" w:eastAsia="en-AU"/>
        </w:rPr>
        <w:t xml:space="preserve">(Heier et al., 2002; Yassin et al., 2009) and this is likely to be related to the health status of the breeder birds. </w:t>
      </w:r>
      <w:r w:rsidRPr="00286A88">
        <w:rPr>
          <w:rFonts w:cs="CMR10"/>
          <w:lang w:val="en-AU" w:eastAsia="en-AU"/>
        </w:rPr>
        <w:t xml:space="preserve">Olkowski et al. (2015) provided evidence for </w:t>
      </w:r>
      <w:r w:rsidRPr="00286A88">
        <w:rPr>
          <w:rFonts w:cs="AdvOT6af9549b"/>
          <w:lang w:val="en-AU" w:eastAsia="en-AU"/>
        </w:rPr>
        <w:t>eggshell quality (assessed using matrix optical density) to be associated with production losses, increased disease risk and mortality in broilers throughout the production cycle; heart failure, in particular, was significantly higher in the low-density group. The authors hypothesise that since poor nutritional/health status and metabolic changes in the breeder hen are likely to produce path-physiological changes in the eggshell matrix morphology (and egg itself) it is reasonable to assume that poor maternal health can predispose their offspring to enduring health problems</w:t>
      </w:r>
      <w:r w:rsidRPr="00286A88">
        <w:rPr>
          <w:rFonts w:cs="CMR10"/>
          <w:lang w:val="en-AU" w:eastAsia="en-AU"/>
        </w:rPr>
        <w:t xml:space="preserve"> (Olkowski et al., 2015)</w:t>
      </w:r>
      <w:r w:rsidRPr="00286A88">
        <w:rPr>
          <w:rFonts w:cs="AdvOT6af9549b"/>
          <w:lang w:val="en-AU" w:eastAsia="en-AU"/>
        </w:rPr>
        <w:t>. The nutrition of breeder hens is known to affect the viability of progeny (Enting et al., 2007). Broiler breeder hens experience stress and hunger on a daily basis due to restrictions in feed intake designed to provide severe under-nutrition (see BB2.1) and this may also negatively impact the welfare of the subsequent generation.</w:t>
      </w:r>
    </w:p>
    <w:p w14:paraId="2238A1D7" w14:textId="77777777" w:rsidR="00286A88" w:rsidRPr="00286A88" w:rsidRDefault="00286A88" w:rsidP="009E3BC2">
      <w:pPr>
        <w:rPr>
          <w:lang w:val="en-AU" w:eastAsia="en-AU"/>
        </w:rPr>
      </w:pPr>
      <w:r w:rsidRPr="00286A88">
        <w:rPr>
          <w:rFonts w:eastAsia="ComputerModern-Regular" w:cs="ComputerModern-Regular"/>
          <w:lang w:val="en-AU" w:eastAsia="en-AU"/>
        </w:rPr>
        <w:t>Chicks hatch over a time window of approximately 36 to 48 h and are removed from the hatchers only when the majority of the chicks have hatched. Consequently, early hatching chicks experience delays in feed and water access, leading to dehydration and impaired performance (van de Ven et al., 2009). Delays in the delivery of first feed and water supply to birds in the hatchery have been related to increased mortality in broiler flocks (Chou et al., 2004). Post-hatch, the thermoregulatory system of chickens is limited (Nichelmann and Tz</w:t>
      </w:r>
      <w:r w:rsidR="001518D4">
        <w:rPr>
          <w:rFonts w:eastAsia="ComputerModern-Regular" w:cs="ComputerModern-Regular"/>
          <w:lang w:val="en-AU" w:eastAsia="en-AU"/>
        </w:rPr>
        <w:t>schentke, 2002, cited by van de</w:t>
      </w:r>
      <w:r w:rsidRPr="00286A88">
        <w:rPr>
          <w:rFonts w:eastAsia="ComputerModern-Regular" w:cs="ComputerModern-Regular"/>
          <w:lang w:val="en-AU" w:eastAsia="en-AU"/>
        </w:rPr>
        <w:t xml:space="preserve"> Ven et al., 2009) and the provision of sufficient heat is critical to young birds. Early mortality in chicks has been linked to suboptimal truck temperatures, longer transport duration from the hatchery to the farm and open-curtain ventilation (Chou et al., 2004). Low temperatures in the brooding phase lead to increased early mortalities (Bruzual et al., 2000), while increasing stocking density reduced the cumulative mortality (Heier et al., 2002; Chou et al., 2004), presumably by facilitating increased huddling and raising the litter surface temperature. </w:t>
      </w:r>
      <w:r w:rsidRPr="00286A88">
        <w:rPr>
          <w:rFonts w:cs="Arial"/>
          <w:lang w:val="en-AU" w:eastAsia="en-AU"/>
        </w:rPr>
        <w:t>New broiler houses with automated control of air intake, and heating sources in the floor and/or wall, had lower chick mortality than flocks placed in older houses with manual ventilation and with gas or electric stove heating (</w:t>
      </w:r>
      <w:r w:rsidRPr="00286A88">
        <w:rPr>
          <w:rFonts w:cs="Arial"/>
          <w:shd w:val="clear" w:color="auto" w:fill="FFFFFF"/>
          <w:lang w:val="en-AU" w:eastAsia="en-AU"/>
        </w:rPr>
        <w:t>Heier et al., 2002).</w:t>
      </w:r>
    </w:p>
    <w:p w14:paraId="71A57684" w14:textId="77777777" w:rsidR="00286A88" w:rsidRPr="00286A88" w:rsidRDefault="00286A88" w:rsidP="009E3BC2">
      <w:pPr>
        <w:pStyle w:val="Heading41"/>
      </w:pPr>
      <w:r w:rsidRPr="00286A88">
        <w:t>B3.1b Mortality in older birds</w:t>
      </w:r>
    </w:p>
    <w:p w14:paraId="73C095BE" w14:textId="77777777" w:rsidR="00286A88" w:rsidRPr="00286A88" w:rsidRDefault="00286A88" w:rsidP="009E3BC2">
      <w:pPr>
        <w:rPr>
          <w:lang w:val="en-AU" w:eastAsia="en-AU"/>
        </w:rPr>
      </w:pPr>
      <w:r w:rsidRPr="00286A88">
        <w:rPr>
          <w:lang w:val="en-AU" w:eastAsia="en-AU"/>
        </w:rPr>
        <w:t>Mortality in older birds is often related to metabolic disorders and heart weakness (see B3.2) or caused by infectious disorders (see B3.6), while poor leg health and locomotion problems continue to be the major cause of culling (see B3.3f). In a study of 2.7 million birds from 10 different producer companies, Dawkins et al. (2004) reported total mortality by the end of the growing period to be 4.1%, of which 2.0% of birds were found dead, and 2.1% were culled. Naturally, fast-growing breeds are more susceptible to pathologies associated with fast-growth than the medium and slow-growing breeds and this is clearly demonstrated by studies which have assessed how different breed types perform in organic systems (</w:t>
      </w:r>
      <w:r w:rsidRPr="00286A88">
        <w:rPr>
          <w:rFonts w:cs="Cheltenham-BookCond"/>
          <w:lang w:val="en-AU" w:eastAsia="en-AU"/>
        </w:rPr>
        <w:t xml:space="preserve">Dal Bosco et al., 2014; </w:t>
      </w:r>
      <w:r w:rsidRPr="00286A88">
        <w:rPr>
          <w:rFonts w:cs="AdvOT46dcae81"/>
          <w:lang w:val="en-AU" w:eastAsia="en-AU"/>
        </w:rPr>
        <w:t>Castellini et al., 2016; see B5.1).</w:t>
      </w:r>
    </w:p>
    <w:p w14:paraId="3E3D9A87" w14:textId="77777777" w:rsidR="00286A88" w:rsidRDefault="00286A88" w:rsidP="009E3BC2">
      <w:pPr>
        <w:rPr>
          <w:rFonts w:cs="TimesNewRomanPS"/>
          <w:lang w:val="en-AU" w:eastAsia="en-AU"/>
        </w:rPr>
      </w:pPr>
      <w:r w:rsidRPr="00286A88">
        <w:rPr>
          <w:lang w:val="en-AU" w:eastAsia="en-AU"/>
        </w:rPr>
        <w:t xml:space="preserve">Stocking density does not appear to be negatively correlated with mortality, at least in the absence of extreme ambient temperature (see B9.1b); </w:t>
      </w:r>
      <w:r w:rsidRPr="00286A88">
        <w:rPr>
          <w:rFonts w:cs="TimesNewRomanPSMT"/>
          <w:lang w:val="en-AU" w:eastAsia="en-AU"/>
        </w:rPr>
        <w:t xml:space="preserve">environmental management within the broiler house has the largest impact on mortality. Decreased photoperiods (see B8.1a) and restricted feeding regimes decrease mortality (see B3.2b), although mortality appears to be unaffected by light intensity (see B8.1b). </w:t>
      </w:r>
      <w:r w:rsidRPr="00286A88">
        <w:rPr>
          <w:rFonts w:cs="Palatino-Roman"/>
          <w:lang w:val="en-AU" w:eastAsia="en-AU"/>
        </w:rPr>
        <w:t xml:space="preserve">High temperature and relative humidity (RH), and the percentage of time that these are out of range, increase the prevalence of heat stress, leg deformities and mortality (see B8.4a). </w:t>
      </w:r>
      <w:r w:rsidRPr="00286A88">
        <w:rPr>
          <w:rFonts w:cs="Arial"/>
          <w:shd w:val="clear" w:color="auto" w:fill="FFFFFF"/>
          <w:lang w:val="en-AU" w:eastAsia="en-AU"/>
        </w:rPr>
        <w:t>The provision of enrichment such as straw bales has been associated with improved leg health and may indicate a reduced requirement for leg culls (see B5.3).</w:t>
      </w:r>
      <w:r w:rsidRPr="00286A88">
        <w:rPr>
          <w:lang w:val="en-AU" w:eastAsia="en-AU"/>
        </w:rPr>
        <w:t xml:space="preserve"> The use of ozone as a treatment to improve air quality within broiler sheds is deemed inappropriate due to high broiler mortality rates associated with ozone exposure (see B9.2). </w:t>
      </w:r>
      <w:r w:rsidRPr="00286A88">
        <w:rPr>
          <w:rFonts w:cs="Palatino-Roman"/>
          <w:lang w:val="en-AU" w:eastAsia="en-AU"/>
        </w:rPr>
        <w:t>A fatty acid dietary supplement (</w:t>
      </w:r>
      <w:r w:rsidRPr="00286A88">
        <w:rPr>
          <w:rFonts w:cs="TimesNewRomanPS"/>
          <w:lang w:val="en-AU" w:eastAsia="en-AU"/>
        </w:rPr>
        <w:t xml:space="preserve">2 g/kg Aromabiotic) </w:t>
      </w:r>
      <w:r w:rsidRPr="00286A88">
        <w:rPr>
          <w:rFonts w:cs="Palatino-Roman"/>
          <w:lang w:val="en-AU" w:eastAsia="en-AU"/>
        </w:rPr>
        <w:t>has been shown to</w:t>
      </w:r>
      <w:r w:rsidRPr="00286A88">
        <w:rPr>
          <w:rFonts w:cs="TimesNewRomanPS"/>
          <w:lang w:val="en-AU" w:eastAsia="en-AU"/>
        </w:rPr>
        <w:t xml:space="preserve"> improve early productive performance of broiler chickens and decrease mortality at 49 days (Khosravinia, 2015).</w:t>
      </w:r>
    </w:p>
    <w:p w14:paraId="5C5DF44C" w14:textId="77777777" w:rsidR="00286A88" w:rsidRPr="00286A88" w:rsidRDefault="00BA51E1" w:rsidP="00BA51E1">
      <w:pPr>
        <w:pStyle w:val="Heading3"/>
        <w:rPr>
          <w:rFonts w:ascii="Times New Roman" w:hAnsi="Times New Roman"/>
          <w:sz w:val="24"/>
          <w:szCs w:val="24"/>
          <w:lang w:val="en-AU" w:eastAsia="en-GB"/>
        </w:rPr>
      </w:pPr>
      <w:r>
        <w:rPr>
          <w:rFonts w:cs="TimesNewRomanPS"/>
          <w:lang w:val="en-AU" w:eastAsia="en-AU"/>
        </w:rPr>
        <w:br w:type="column"/>
      </w:r>
      <w:bookmarkStart w:id="96" w:name="_Toc495310565"/>
      <w:r w:rsidR="00286A88" w:rsidRPr="00286A88">
        <w:rPr>
          <w:lang w:val="en-AU" w:eastAsia="en-GB"/>
        </w:rPr>
        <w:t>B3.2 Metabolic disorders</w:t>
      </w:r>
      <w:bookmarkEnd w:id="96"/>
    </w:p>
    <w:p w14:paraId="1B71FDD9" w14:textId="77777777" w:rsidR="00286A88" w:rsidRPr="009E3BC2" w:rsidRDefault="00286A88" w:rsidP="009E3BC2">
      <w:pPr>
        <w:rPr>
          <w:i/>
          <w:lang w:val="en-AU" w:eastAsia="en-AU"/>
        </w:rPr>
      </w:pPr>
      <w:r w:rsidRPr="009E3BC2">
        <w:rPr>
          <w:i/>
          <w:lang w:val="en-AU" w:eastAsia="en-AU"/>
        </w:rPr>
        <w:t>Ascites appears to be on the increase, in at least some countries, yet it should be possible to reduce the prevalence of this disease via the use of appropriate temperature control and genetic breeding programmes.</w:t>
      </w:r>
    </w:p>
    <w:p w14:paraId="7F24396E" w14:textId="77777777" w:rsidR="00286A88" w:rsidRPr="00286A88" w:rsidRDefault="00286A88" w:rsidP="009E3BC2">
      <w:pPr>
        <w:pStyle w:val="Heading41"/>
      </w:pPr>
      <w:r w:rsidRPr="00286A88">
        <w:t>B3.2.a Prevalence and cause</w:t>
      </w:r>
    </w:p>
    <w:p w14:paraId="2BBC3BBB" w14:textId="77777777" w:rsidR="00286A88" w:rsidRPr="00286A88" w:rsidRDefault="00286A88" w:rsidP="009E3BC2">
      <w:pPr>
        <w:rPr>
          <w:rFonts w:cs="Palatino-Roman"/>
          <w:lang w:val="en-AU" w:eastAsia="en-AU"/>
        </w:rPr>
      </w:pPr>
      <w:r w:rsidRPr="00286A88">
        <w:rPr>
          <w:lang w:val="en-AU" w:eastAsia="en-AU"/>
        </w:rPr>
        <w:t>Ascites is a cardiovascular metabolic disorder of fast-growing broilers. An insufficient supply of oxygen to the myocardium, e.g. following respiratory failure or as a result of an excessive demand for oxygen, triggers dilatation and hypertrophy of the right side of the heart, which leads to cardiac failure and alters liver function, causing fluid accumulation in the abdominal cavity.</w:t>
      </w:r>
      <w:r w:rsidRPr="00286A88">
        <w:rPr>
          <w:b/>
          <w:lang w:val="en-AU" w:eastAsia="en-AU"/>
        </w:rPr>
        <w:t xml:space="preserve"> </w:t>
      </w:r>
      <w:r w:rsidRPr="00286A88">
        <w:rPr>
          <w:lang w:val="en-AU" w:eastAsia="en-AU"/>
        </w:rPr>
        <w:t xml:space="preserve">As with ascites, sudden death syndrome (SDS) is also thought to result from a lack of oxygen to the myocardium. </w:t>
      </w:r>
      <w:r w:rsidRPr="00286A88">
        <w:rPr>
          <w:rFonts w:cs="Palatino-Roman"/>
          <w:lang w:val="en-AU" w:eastAsia="en-AU"/>
        </w:rPr>
        <w:t>Ascites is one of the most prevalent broiler health and welfare conditions identified in UK-reared broilers at slaughter/processing; both the prevalence and the number of carcase condemnations are on the inc</w:t>
      </w:r>
      <w:r w:rsidR="007604B9">
        <w:rPr>
          <w:rFonts w:cs="Palatino-Roman"/>
          <w:lang w:val="en-AU" w:eastAsia="en-AU"/>
        </w:rPr>
        <w:t>rease (Part et al., 2016, see Ta</w:t>
      </w:r>
      <w:r w:rsidRPr="00286A88">
        <w:rPr>
          <w:rFonts w:cs="Palatino-Roman"/>
          <w:lang w:val="en-AU" w:eastAsia="en-AU"/>
        </w:rPr>
        <w:t>ble B1).</w:t>
      </w:r>
    </w:p>
    <w:p w14:paraId="6F4C37B1" w14:textId="77777777" w:rsidR="00286A88" w:rsidRDefault="00286A88" w:rsidP="009E3BC2">
      <w:pPr>
        <w:spacing w:after="240"/>
        <w:rPr>
          <w:b/>
          <w:lang w:val="en-AU" w:eastAsia="en-AU"/>
        </w:rPr>
      </w:pPr>
      <w:r w:rsidRPr="009E3BC2">
        <w:rPr>
          <w:b/>
          <w:lang w:val="en-AU" w:eastAsia="en-AU"/>
        </w:rPr>
        <w:t>Table B1: National annual prevalence rates of health and welfare conditions in UK-reared broilers, number of cases of each condition identified at slaughter per 10,000 birds slaughtered (Part et al., 2016)</w:t>
      </w:r>
    </w:p>
    <w:tbl>
      <w:tblPr>
        <w:tblStyle w:val="TableGrid"/>
        <w:tblW w:w="0" w:type="auto"/>
        <w:tblLook w:val="04A0" w:firstRow="1" w:lastRow="0" w:firstColumn="1" w:lastColumn="0" w:noHBand="0" w:noVBand="1"/>
        <w:tblCaption w:val="Table B1: National annual prevalence rates of health and welfare conditions in UK-reared broilers, number of cases of each condition identified at slaughter per 10,000 birds slaughtered"/>
        <w:tblDescription w:val="This table shows the prevalence rates, per 10,000 birds slaughtered, of 16 health and welfare conditions in broilers reared in the UK. The left hand column shows lists the 16 conditions. The second column shows the prevalence rates, per 10,000 birds slaughtered, in 2011. The third column shows the rates in 2012. The right hand column shows the rates in 2013. The final row of the table shows the number of broilers slaughtered in the UK in each year."/>
      </w:tblPr>
      <w:tblGrid>
        <w:gridCol w:w="3227"/>
        <w:gridCol w:w="2243"/>
        <w:gridCol w:w="2243"/>
        <w:gridCol w:w="2243"/>
      </w:tblGrid>
      <w:tr w:rsidR="00E13AE1" w14:paraId="5D9CB6C1" w14:textId="77777777" w:rsidTr="0043565F">
        <w:trPr>
          <w:tblHeader/>
        </w:trPr>
        <w:tc>
          <w:tcPr>
            <w:tcW w:w="3227" w:type="dxa"/>
            <w:vMerge w:val="restart"/>
            <w:vAlign w:val="bottom"/>
          </w:tcPr>
          <w:p w14:paraId="5A017B6F" w14:textId="77777777" w:rsidR="00E13AE1" w:rsidRDefault="00E13AE1" w:rsidP="00E13AE1">
            <w:pPr>
              <w:rPr>
                <w:lang w:val="en-AU" w:eastAsia="en-AU"/>
              </w:rPr>
            </w:pPr>
            <w:r>
              <w:rPr>
                <w:lang w:val="en-AU" w:eastAsia="en-AU"/>
              </w:rPr>
              <w:t>Condition</w:t>
            </w:r>
          </w:p>
        </w:tc>
        <w:tc>
          <w:tcPr>
            <w:tcW w:w="6729" w:type="dxa"/>
            <w:gridSpan w:val="3"/>
          </w:tcPr>
          <w:p w14:paraId="05E92E2A" w14:textId="77777777" w:rsidR="00E13AE1" w:rsidRDefault="00E13AE1" w:rsidP="00E13AE1">
            <w:pPr>
              <w:jc w:val="center"/>
              <w:rPr>
                <w:lang w:val="en-AU" w:eastAsia="en-AU"/>
              </w:rPr>
            </w:pPr>
            <w:r>
              <w:rPr>
                <w:lang w:val="en-AU" w:eastAsia="en-AU"/>
              </w:rPr>
              <w:t>Year</w:t>
            </w:r>
          </w:p>
        </w:tc>
      </w:tr>
      <w:tr w:rsidR="00E13AE1" w14:paraId="52BA6586" w14:textId="77777777" w:rsidTr="0043565F">
        <w:trPr>
          <w:tblHeader/>
        </w:trPr>
        <w:tc>
          <w:tcPr>
            <w:tcW w:w="3227" w:type="dxa"/>
            <w:vMerge/>
          </w:tcPr>
          <w:p w14:paraId="601BFE7A" w14:textId="77777777" w:rsidR="00E13AE1" w:rsidRDefault="00E13AE1" w:rsidP="00E13AE1">
            <w:pPr>
              <w:rPr>
                <w:lang w:val="en-AU" w:eastAsia="en-AU"/>
              </w:rPr>
            </w:pPr>
          </w:p>
        </w:tc>
        <w:tc>
          <w:tcPr>
            <w:tcW w:w="2243" w:type="dxa"/>
          </w:tcPr>
          <w:p w14:paraId="2CFE6B88" w14:textId="77777777" w:rsidR="00E13AE1" w:rsidRDefault="00E13AE1" w:rsidP="00E13AE1">
            <w:pPr>
              <w:jc w:val="center"/>
              <w:rPr>
                <w:lang w:val="en-AU" w:eastAsia="en-AU"/>
              </w:rPr>
            </w:pPr>
            <w:r>
              <w:rPr>
                <w:lang w:val="en-AU" w:eastAsia="en-AU"/>
              </w:rPr>
              <w:t>2011</w:t>
            </w:r>
          </w:p>
        </w:tc>
        <w:tc>
          <w:tcPr>
            <w:tcW w:w="2243" w:type="dxa"/>
          </w:tcPr>
          <w:p w14:paraId="377018BF" w14:textId="77777777" w:rsidR="00E13AE1" w:rsidRDefault="00E13AE1" w:rsidP="00E13AE1">
            <w:pPr>
              <w:jc w:val="center"/>
              <w:rPr>
                <w:lang w:val="en-AU" w:eastAsia="en-AU"/>
              </w:rPr>
            </w:pPr>
            <w:r>
              <w:rPr>
                <w:lang w:val="en-AU" w:eastAsia="en-AU"/>
              </w:rPr>
              <w:t>2012</w:t>
            </w:r>
          </w:p>
        </w:tc>
        <w:tc>
          <w:tcPr>
            <w:tcW w:w="2243" w:type="dxa"/>
          </w:tcPr>
          <w:p w14:paraId="62723725" w14:textId="77777777" w:rsidR="00E13AE1" w:rsidRDefault="00E13AE1" w:rsidP="00E13AE1">
            <w:pPr>
              <w:jc w:val="center"/>
              <w:rPr>
                <w:lang w:val="en-AU" w:eastAsia="en-AU"/>
              </w:rPr>
            </w:pPr>
            <w:r>
              <w:rPr>
                <w:lang w:val="en-AU" w:eastAsia="en-AU"/>
              </w:rPr>
              <w:t>2013</w:t>
            </w:r>
          </w:p>
        </w:tc>
      </w:tr>
      <w:tr w:rsidR="00E13AE1" w14:paraId="5782431C" w14:textId="77777777" w:rsidTr="00E13AE1">
        <w:tc>
          <w:tcPr>
            <w:tcW w:w="3227" w:type="dxa"/>
          </w:tcPr>
          <w:p w14:paraId="53D5B2C6" w14:textId="77777777" w:rsidR="00E13AE1" w:rsidRDefault="00E13AE1" w:rsidP="00E13AE1">
            <w:pPr>
              <w:rPr>
                <w:lang w:val="en-AU" w:eastAsia="en-AU"/>
              </w:rPr>
            </w:pPr>
            <w:r>
              <w:rPr>
                <w:lang w:val="en-AU" w:eastAsia="en-AU"/>
              </w:rPr>
              <w:t>Ascites</w:t>
            </w:r>
          </w:p>
        </w:tc>
        <w:tc>
          <w:tcPr>
            <w:tcW w:w="2243" w:type="dxa"/>
          </w:tcPr>
          <w:p w14:paraId="483841C0" w14:textId="77777777" w:rsidR="00E13AE1" w:rsidRDefault="00E13AE1" w:rsidP="00E13AE1">
            <w:pPr>
              <w:jc w:val="center"/>
              <w:rPr>
                <w:lang w:val="en-AU" w:eastAsia="en-AU"/>
              </w:rPr>
            </w:pPr>
            <w:r>
              <w:rPr>
                <w:lang w:val="en-AU" w:eastAsia="en-AU"/>
              </w:rPr>
              <w:t>26.46</w:t>
            </w:r>
          </w:p>
        </w:tc>
        <w:tc>
          <w:tcPr>
            <w:tcW w:w="2243" w:type="dxa"/>
          </w:tcPr>
          <w:p w14:paraId="313F4B34" w14:textId="77777777" w:rsidR="00E13AE1" w:rsidRDefault="00E13AE1" w:rsidP="00E13AE1">
            <w:pPr>
              <w:jc w:val="center"/>
              <w:rPr>
                <w:lang w:val="en-AU" w:eastAsia="en-AU"/>
              </w:rPr>
            </w:pPr>
            <w:r>
              <w:rPr>
                <w:lang w:val="en-AU" w:eastAsia="en-AU"/>
              </w:rPr>
              <w:t>30.25</w:t>
            </w:r>
          </w:p>
        </w:tc>
        <w:tc>
          <w:tcPr>
            <w:tcW w:w="2243" w:type="dxa"/>
          </w:tcPr>
          <w:p w14:paraId="6434C54F" w14:textId="77777777" w:rsidR="00E13AE1" w:rsidRDefault="00E13AE1" w:rsidP="00E13AE1">
            <w:pPr>
              <w:jc w:val="center"/>
              <w:rPr>
                <w:lang w:val="en-AU" w:eastAsia="en-AU"/>
              </w:rPr>
            </w:pPr>
            <w:r>
              <w:rPr>
                <w:lang w:val="en-AU" w:eastAsia="en-AU"/>
              </w:rPr>
              <w:t>33.01</w:t>
            </w:r>
          </w:p>
        </w:tc>
      </w:tr>
      <w:tr w:rsidR="00E13AE1" w14:paraId="0F4376CD" w14:textId="77777777" w:rsidTr="00E13AE1">
        <w:tc>
          <w:tcPr>
            <w:tcW w:w="3227" w:type="dxa"/>
          </w:tcPr>
          <w:p w14:paraId="3B557A17" w14:textId="77777777" w:rsidR="00E13AE1" w:rsidRDefault="00E13AE1" w:rsidP="00E13AE1">
            <w:pPr>
              <w:rPr>
                <w:lang w:val="en-AU" w:eastAsia="en-AU"/>
              </w:rPr>
            </w:pPr>
            <w:r>
              <w:rPr>
                <w:lang w:val="en-AU" w:eastAsia="en-AU"/>
              </w:rPr>
              <w:t>Bruising/fractures</w:t>
            </w:r>
          </w:p>
        </w:tc>
        <w:tc>
          <w:tcPr>
            <w:tcW w:w="2243" w:type="dxa"/>
          </w:tcPr>
          <w:p w14:paraId="593993EE" w14:textId="77777777" w:rsidR="00E13AE1" w:rsidRDefault="00E13AE1" w:rsidP="00E13AE1">
            <w:pPr>
              <w:jc w:val="center"/>
              <w:rPr>
                <w:lang w:val="en-AU" w:eastAsia="en-AU"/>
              </w:rPr>
            </w:pPr>
            <w:r>
              <w:rPr>
                <w:lang w:val="en-AU" w:eastAsia="en-AU"/>
              </w:rPr>
              <w:t>30.36</w:t>
            </w:r>
          </w:p>
        </w:tc>
        <w:tc>
          <w:tcPr>
            <w:tcW w:w="2243" w:type="dxa"/>
          </w:tcPr>
          <w:p w14:paraId="10ECE78F" w14:textId="77777777" w:rsidR="00E13AE1" w:rsidRDefault="00E13AE1" w:rsidP="00E13AE1">
            <w:pPr>
              <w:jc w:val="center"/>
              <w:rPr>
                <w:lang w:val="en-AU" w:eastAsia="en-AU"/>
              </w:rPr>
            </w:pPr>
            <w:r>
              <w:rPr>
                <w:lang w:val="en-AU" w:eastAsia="en-AU"/>
              </w:rPr>
              <w:t>24.54</w:t>
            </w:r>
          </w:p>
        </w:tc>
        <w:tc>
          <w:tcPr>
            <w:tcW w:w="2243" w:type="dxa"/>
          </w:tcPr>
          <w:p w14:paraId="6B7C011C" w14:textId="77777777" w:rsidR="00E13AE1" w:rsidRDefault="00E13AE1" w:rsidP="00E13AE1">
            <w:pPr>
              <w:jc w:val="center"/>
              <w:rPr>
                <w:lang w:val="en-AU" w:eastAsia="en-AU"/>
              </w:rPr>
            </w:pPr>
            <w:r>
              <w:rPr>
                <w:lang w:val="en-AU" w:eastAsia="en-AU"/>
              </w:rPr>
              <w:t>29.14</w:t>
            </w:r>
          </w:p>
        </w:tc>
      </w:tr>
      <w:tr w:rsidR="00E13AE1" w14:paraId="330D4EF0" w14:textId="77777777" w:rsidTr="00E13AE1">
        <w:tc>
          <w:tcPr>
            <w:tcW w:w="3227" w:type="dxa"/>
          </w:tcPr>
          <w:p w14:paraId="2A31520B" w14:textId="77777777" w:rsidR="00E13AE1" w:rsidRDefault="00E13AE1" w:rsidP="00E13AE1">
            <w:pPr>
              <w:rPr>
                <w:lang w:val="en-AU" w:eastAsia="en-AU"/>
              </w:rPr>
            </w:pPr>
            <w:r>
              <w:rPr>
                <w:lang w:val="en-AU" w:eastAsia="en-AU"/>
              </w:rPr>
              <w:t>Hepatitis</w:t>
            </w:r>
          </w:p>
        </w:tc>
        <w:tc>
          <w:tcPr>
            <w:tcW w:w="2243" w:type="dxa"/>
          </w:tcPr>
          <w:p w14:paraId="412532FB" w14:textId="77777777" w:rsidR="00E13AE1" w:rsidRDefault="00E13AE1" w:rsidP="00E13AE1">
            <w:pPr>
              <w:jc w:val="center"/>
              <w:rPr>
                <w:lang w:val="en-AU" w:eastAsia="en-AU"/>
              </w:rPr>
            </w:pPr>
            <w:r>
              <w:rPr>
                <w:lang w:val="en-AU" w:eastAsia="en-AU"/>
              </w:rPr>
              <w:t>22.81</w:t>
            </w:r>
          </w:p>
        </w:tc>
        <w:tc>
          <w:tcPr>
            <w:tcW w:w="2243" w:type="dxa"/>
          </w:tcPr>
          <w:p w14:paraId="4B21AFDC" w14:textId="77777777" w:rsidR="00E13AE1" w:rsidRDefault="00E13AE1" w:rsidP="00E13AE1">
            <w:pPr>
              <w:jc w:val="center"/>
              <w:rPr>
                <w:lang w:val="en-AU" w:eastAsia="en-AU"/>
              </w:rPr>
            </w:pPr>
            <w:r>
              <w:rPr>
                <w:lang w:val="en-AU" w:eastAsia="en-AU"/>
              </w:rPr>
              <w:t>25.12</w:t>
            </w:r>
          </w:p>
        </w:tc>
        <w:tc>
          <w:tcPr>
            <w:tcW w:w="2243" w:type="dxa"/>
          </w:tcPr>
          <w:p w14:paraId="66645B3E" w14:textId="77777777" w:rsidR="00E13AE1" w:rsidRDefault="00E13AE1" w:rsidP="00E13AE1">
            <w:pPr>
              <w:jc w:val="center"/>
              <w:rPr>
                <w:lang w:val="en-AU" w:eastAsia="en-AU"/>
              </w:rPr>
            </w:pPr>
            <w:r>
              <w:rPr>
                <w:lang w:val="en-AU" w:eastAsia="en-AU"/>
              </w:rPr>
              <w:t>23.32</w:t>
            </w:r>
          </w:p>
        </w:tc>
      </w:tr>
      <w:tr w:rsidR="00E13AE1" w14:paraId="6B82FBAC" w14:textId="77777777" w:rsidTr="00E13AE1">
        <w:tc>
          <w:tcPr>
            <w:tcW w:w="3227" w:type="dxa"/>
          </w:tcPr>
          <w:p w14:paraId="209A18DE" w14:textId="77777777" w:rsidR="00E13AE1" w:rsidRDefault="00E13AE1" w:rsidP="00E13AE1">
            <w:pPr>
              <w:rPr>
                <w:lang w:val="en-AU" w:eastAsia="en-AU"/>
              </w:rPr>
            </w:pPr>
            <w:r>
              <w:rPr>
                <w:lang w:val="en-AU" w:eastAsia="en-AU"/>
              </w:rPr>
              <w:t>Abnormal colour/fevered</w:t>
            </w:r>
          </w:p>
        </w:tc>
        <w:tc>
          <w:tcPr>
            <w:tcW w:w="2243" w:type="dxa"/>
          </w:tcPr>
          <w:p w14:paraId="52B8C1A8" w14:textId="77777777" w:rsidR="00E13AE1" w:rsidRDefault="00E13AE1" w:rsidP="00E13AE1">
            <w:pPr>
              <w:jc w:val="center"/>
              <w:rPr>
                <w:lang w:val="en-AU" w:eastAsia="en-AU"/>
              </w:rPr>
            </w:pPr>
            <w:r>
              <w:rPr>
                <w:lang w:val="en-AU" w:eastAsia="en-AU"/>
              </w:rPr>
              <w:t>22.10</w:t>
            </w:r>
          </w:p>
        </w:tc>
        <w:tc>
          <w:tcPr>
            <w:tcW w:w="2243" w:type="dxa"/>
          </w:tcPr>
          <w:p w14:paraId="14EA2F0A" w14:textId="77777777" w:rsidR="00E13AE1" w:rsidRDefault="006654C2" w:rsidP="00E13AE1">
            <w:pPr>
              <w:jc w:val="center"/>
              <w:rPr>
                <w:lang w:val="en-AU" w:eastAsia="en-AU"/>
              </w:rPr>
            </w:pPr>
            <w:r>
              <w:rPr>
                <w:lang w:val="en-AU" w:eastAsia="en-AU"/>
              </w:rPr>
              <w:t>22.</w:t>
            </w:r>
            <w:r w:rsidR="00E13AE1">
              <w:rPr>
                <w:lang w:val="en-AU" w:eastAsia="en-AU"/>
              </w:rPr>
              <w:t>68</w:t>
            </w:r>
          </w:p>
        </w:tc>
        <w:tc>
          <w:tcPr>
            <w:tcW w:w="2243" w:type="dxa"/>
          </w:tcPr>
          <w:p w14:paraId="771B4069" w14:textId="77777777" w:rsidR="00E13AE1" w:rsidRDefault="00E13AE1" w:rsidP="00E13AE1">
            <w:pPr>
              <w:jc w:val="center"/>
              <w:rPr>
                <w:lang w:val="en-AU" w:eastAsia="en-AU"/>
              </w:rPr>
            </w:pPr>
            <w:r>
              <w:rPr>
                <w:lang w:val="en-AU" w:eastAsia="en-AU"/>
              </w:rPr>
              <w:t>22.08</w:t>
            </w:r>
          </w:p>
        </w:tc>
      </w:tr>
      <w:tr w:rsidR="00E13AE1" w14:paraId="3964942F" w14:textId="77777777" w:rsidTr="00E13AE1">
        <w:tc>
          <w:tcPr>
            <w:tcW w:w="3227" w:type="dxa"/>
          </w:tcPr>
          <w:p w14:paraId="1AFDD552" w14:textId="77777777" w:rsidR="00E13AE1" w:rsidRDefault="00E13AE1" w:rsidP="00E13AE1">
            <w:pPr>
              <w:rPr>
                <w:lang w:val="en-AU" w:eastAsia="en-AU"/>
              </w:rPr>
            </w:pPr>
            <w:r>
              <w:rPr>
                <w:lang w:val="en-AU" w:eastAsia="en-AU"/>
              </w:rPr>
              <w:t>Cellulitis</w:t>
            </w:r>
          </w:p>
        </w:tc>
        <w:tc>
          <w:tcPr>
            <w:tcW w:w="2243" w:type="dxa"/>
          </w:tcPr>
          <w:p w14:paraId="16ED6A8E" w14:textId="77777777" w:rsidR="00E13AE1" w:rsidRDefault="00E13AE1" w:rsidP="00E13AE1">
            <w:pPr>
              <w:jc w:val="center"/>
              <w:rPr>
                <w:lang w:val="en-AU" w:eastAsia="en-AU"/>
              </w:rPr>
            </w:pPr>
            <w:r>
              <w:rPr>
                <w:lang w:val="en-AU" w:eastAsia="en-AU"/>
              </w:rPr>
              <w:t>11.35</w:t>
            </w:r>
          </w:p>
        </w:tc>
        <w:tc>
          <w:tcPr>
            <w:tcW w:w="2243" w:type="dxa"/>
          </w:tcPr>
          <w:p w14:paraId="2D1D932B" w14:textId="77777777" w:rsidR="00E13AE1" w:rsidRDefault="00E13AE1" w:rsidP="00E13AE1">
            <w:pPr>
              <w:jc w:val="center"/>
              <w:rPr>
                <w:lang w:val="en-AU" w:eastAsia="en-AU"/>
              </w:rPr>
            </w:pPr>
            <w:r>
              <w:rPr>
                <w:lang w:val="en-AU" w:eastAsia="en-AU"/>
              </w:rPr>
              <w:t>15.05</w:t>
            </w:r>
          </w:p>
        </w:tc>
        <w:tc>
          <w:tcPr>
            <w:tcW w:w="2243" w:type="dxa"/>
          </w:tcPr>
          <w:p w14:paraId="62A39A55" w14:textId="77777777" w:rsidR="00E13AE1" w:rsidRDefault="00E13AE1" w:rsidP="00E13AE1">
            <w:pPr>
              <w:jc w:val="center"/>
              <w:rPr>
                <w:lang w:val="en-AU" w:eastAsia="en-AU"/>
              </w:rPr>
            </w:pPr>
            <w:r>
              <w:rPr>
                <w:lang w:val="en-AU" w:eastAsia="en-AU"/>
              </w:rPr>
              <w:t>18.03</w:t>
            </w:r>
          </w:p>
        </w:tc>
      </w:tr>
      <w:tr w:rsidR="00E13AE1" w14:paraId="3E03A409" w14:textId="77777777" w:rsidTr="00E13AE1">
        <w:tc>
          <w:tcPr>
            <w:tcW w:w="3227" w:type="dxa"/>
          </w:tcPr>
          <w:p w14:paraId="629598BA" w14:textId="77777777" w:rsidR="00E13AE1" w:rsidRDefault="00E13AE1" w:rsidP="006654C2">
            <w:pPr>
              <w:rPr>
                <w:lang w:val="en-AU" w:eastAsia="en-AU"/>
              </w:rPr>
            </w:pPr>
            <w:r>
              <w:rPr>
                <w:lang w:val="en-AU" w:eastAsia="en-AU"/>
              </w:rPr>
              <w:t>D</w:t>
            </w:r>
            <w:r w:rsidR="006654C2">
              <w:rPr>
                <w:lang w:val="en-AU" w:eastAsia="en-AU"/>
              </w:rPr>
              <w:t>ead on arrival/dead in lairage</w:t>
            </w:r>
          </w:p>
        </w:tc>
        <w:tc>
          <w:tcPr>
            <w:tcW w:w="2243" w:type="dxa"/>
          </w:tcPr>
          <w:p w14:paraId="2011069E" w14:textId="77777777" w:rsidR="00E13AE1" w:rsidRDefault="00E13AE1" w:rsidP="00E13AE1">
            <w:pPr>
              <w:jc w:val="center"/>
              <w:rPr>
                <w:lang w:val="en-AU" w:eastAsia="en-AU"/>
              </w:rPr>
            </w:pPr>
            <w:r>
              <w:rPr>
                <w:lang w:val="en-AU" w:eastAsia="en-AU"/>
              </w:rPr>
              <w:t>12.81</w:t>
            </w:r>
          </w:p>
        </w:tc>
        <w:tc>
          <w:tcPr>
            <w:tcW w:w="2243" w:type="dxa"/>
          </w:tcPr>
          <w:p w14:paraId="48379638" w14:textId="77777777" w:rsidR="00E13AE1" w:rsidRDefault="00E13AE1" w:rsidP="00E13AE1">
            <w:pPr>
              <w:jc w:val="center"/>
              <w:rPr>
                <w:lang w:val="en-AU" w:eastAsia="en-AU"/>
              </w:rPr>
            </w:pPr>
            <w:r>
              <w:rPr>
                <w:lang w:val="en-AU" w:eastAsia="en-AU"/>
              </w:rPr>
              <w:t>13.19</w:t>
            </w:r>
          </w:p>
        </w:tc>
        <w:tc>
          <w:tcPr>
            <w:tcW w:w="2243" w:type="dxa"/>
          </w:tcPr>
          <w:p w14:paraId="178AAC60" w14:textId="77777777" w:rsidR="00E13AE1" w:rsidRDefault="00E13AE1" w:rsidP="00E13AE1">
            <w:pPr>
              <w:jc w:val="center"/>
              <w:rPr>
                <w:lang w:val="en-AU" w:eastAsia="en-AU"/>
              </w:rPr>
            </w:pPr>
            <w:r>
              <w:rPr>
                <w:lang w:val="en-AU" w:eastAsia="en-AU"/>
              </w:rPr>
              <w:t>14.25</w:t>
            </w:r>
          </w:p>
        </w:tc>
      </w:tr>
      <w:tr w:rsidR="00E13AE1" w14:paraId="7796383E" w14:textId="77777777" w:rsidTr="00E13AE1">
        <w:tc>
          <w:tcPr>
            <w:tcW w:w="3227" w:type="dxa"/>
          </w:tcPr>
          <w:p w14:paraId="2CB8B9D9" w14:textId="77777777" w:rsidR="00E13AE1" w:rsidRDefault="00E13AE1" w:rsidP="00E13AE1">
            <w:pPr>
              <w:rPr>
                <w:lang w:val="en-AU" w:eastAsia="en-AU"/>
              </w:rPr>
            </w:pPr>
            <w:r>
              <w:rPr>
                <w:lang w:val="en-AU" w:eastAsia="en-AU"/>
              </w:rPr>
              <w:t>Perihepatitis/peritonitis</w:t>
            </w:r>
          </w:p>
        </w:tc>
        <w:tc>
          <w:tcPr>
            <w:tcW w:w="2243" w:type="dxa"/>
          </w:tcPr>
          <w:p w14:paraId="45BE85BC" w14:textId="77777777" w:rsidR="00E13AE1" w:rsidRDefault="00E13AE1" w:rsidP="00F6103A">
            <w:pPr>
              <w:ind w:left="113"/>
              <w:jc w:val="center"/>
              <w:rPr>
                <w:lang w:val="en-AU" w:eastAsia="en-AU"/>
              </w:rPr>
            </w:pPr>
            <w:r>
              <w:rPr>
                <w:lang w:val="en-AU" w:eastAsia="en-AU"/>
              </w:rPr>
              <w:t>8.06</w:t>
            </w:r>
          </w:p>
        </w:tc>
        <w:tc>
          <w:tcPr>
            <w:tcW w:w="2243" w:type="dxa"/>
          </w:tcPr>
          <w:p w14:paraId="391D5736" w14:textId="77777777" w:rsidR="00E13AE1" w:rsidRDefault="00E13AE1" w:rsidP="00F6103A">
            <w:pPr>
              <w:ind w:left="113"/>
              <w:jc w:val="center"/>
              <w:rPr>
                <w:lang w:val="en-AU" w:eastAsia="en-AU"/>
              </w:rPr>
            </w:pPr>
            <w:r>
              <w:rPr>
                <w:lang w:val="en-AU" w:eastAsia="en-AU"/>
              </w:rPr>
              <w:t>8.32</w:t>
            </w:r>
          </w:p>
        </w:tc>
        <w:tc>
          <w:tcPr>
            <w:tcW w:w="2243" w:type="dxa"/>
          </w:tcPr>
          <w:p w14:paraId="35A78B42" w14:textId="77777777" w:rsidR="00E13AE1" w:rsidRDefault="00E13AE1" w:rsidP="00F6103A">
            <w:pPr>
              <w:ind w:left="113"/>
              <w:jc w:val="center"/>
              <w:rPr>
                <w:lang w:val="en-AU" w:eastAsia="en-AU"/>
              </w:rPr>
            </w:pPr>
            <w:r>
              <w:rPr>
                <w:lang w:val="en-AU" w:eastAsia="en-AU"/>
              </w:rPr>
              <w:t>9.35</w:t>
            </w:r>
          </w:p>
        </w:tc>
      </w:tr>
      <w:tr w:rsidR="00E13AE1" w14:paraId="12181D68" w14:textId="77777777" w:rsidTr="00E13AE1">
        <w:tc>
          <w:tcPr>
            <w:tcW w:w="3227" w:type="dxa"/>
          </w:tcPr>
          <w:p w14:paraId="58F8977C" w14:textId="77777777" w:rsidR="00E13AE1" w:rsidRDefault="00E13AE1" w:rsidP="00E13AE1">
            <w:pPr>
              <w:rPr>
                <w:lang w:val="en-AU" w:eastAsia="en-AU"/>
              </w:rPr>
            </w:pPr>
            <w:r>
              <w:rPr>
                <w:lang w:val="en-AU" w:eastAsia="en-AU"/>
              </w:rPr>
              <w:t>Ante-mortem rejects (culls/runts)</w:t>
            </w:r>
          </w:p>
        </w:tc>
        <w:tc>
          <w:tcPr>
            <w:tcW w:w="2243" w:type="dxa"/>
          </w:tcPr>
          <w:p w14:paraId="53D85EB7" w14:textId="77777777" w:rsidR="00E13AE1" w:rsidRDefault="00E13AE1" w:rsidP="00F6103A">
            <w:pPr>
              <w:ind w:left="113"/>
              <w:jc w:val="center"/>
              <w:rPr>
                <w:lang w:val="en-AU" w:eastAsia="en-AU"/>
              </w:rPr>
            </w:pPr>
            <w:r>
              <w:rPr>
                <w:lang w:val="en-AU" w:eastAsia="en-AU"/>
              </w:rPr>
              <w:t>2.82</w:t>
            </w:r>
          </w:p>
        </w:tc>
        <w:tc>
          <w:tcPr>
            <w:tcW w:w="2243" w:type="dxa"/>
          </w:tcPr>
          <w:p w14:paraId="2EB6772F" w14:textId="77777777" w:rsidR="00E13AE1" w:rsidRDefault="00E13AE1" w:rsidP="00F6103A">
            <w:pPr>
              <w:ind w:left="113"/>
              <w:jc w:val="center"/>
              <w:rPr>
                <w:lang w:val="en-AU" w:eastAsia="en-AU"/>
              </w:rPr>
            </w:pPr>
            <w:r>
              <w:rPr>
                <w:lang w:val="en-AU" w:eastAsia="en-AU"/>
              </w:rPr>
              <w:t>4.52</w:t>
            </w:r>
          </w:p>
        </w:tc>
        <w:tc>
          <w:tcPr>
            <w:tcW w:w="2243" w:type="dxa"/>
          </w:tcPr>
          <w:p w14:paraId="290724B6" w14:textId="77777777" w:rsidR="00E13AE1" w:rsidRDefault="00E13AE1" w:rsidP="00F6103A">
            <w:pPr>
              <w:ind w:left="113"/>
              <w:jc w:val="center"/>
              <w:rPr>
                <w:lang w:val="en-AU" w:eastAsia="en-AU"/>
              </w:rPr>
            </w:pPr>
            <w:r>
              <w:rPr>
                <w:lang w:val="en-AU" w:eastAsia="en-AU"/>
              </w:rPr>
              <w:t>5.40</w:t>
            </w:r>
          </w:p>
        </w:tc>
      </w:tr>
      <w:tr w:rsidR="00E13AE1" w14:paraId="49354FFB" w14:textId="77777777" w:rsidTr="00E13AE1">
        <w:tc>
          <w:tcPr>
            <w:tcW w:w="3227" w:type="dxa"/>
          </w:tcPr>
          <w:p w14:paraId="422CD69A" w14:textId="77777777" w:rsidR="00E13AE1" w:rsidRDefault="00E13AE1" w:rsidP="00E13AE1">
            <w:pPr>
              <w:rPr>
                <w:lang w:val="en-AU" w:eastAsia="en-AU"/>
              </w:rPr>
            </w:pPr>
            <w:r>
              <w:rPr>
                <w:lang w:val="en-AU" w:eastAsia="en-AU"/>
              </w:rPr>
              <w:t>Pericarditis</w:t>
            </w:r>
          </w:p>
        </w:tc>
        <w:tc>
          <w:tcPr>
            <w:tcW w:w="2243" w:type="dxa"/>
          </w:tcPr>
          <w:p w14:paraId="4D31B826" w14:textId="77777777" w:rsidR="00E13AE1" w:rsidRDefault="00E13AE1" w:rsidP="00F6103A">
            <w:pPr>
              <w:ind w:left="113"/>
              <w:jc w:val="center"/>
              <w:rPr>
                <w:lang w:val="en-AU" w:eastAsia="en-AU"/>
              </w:rPr>
            </w:pPr>
            <w:r>
              <w:rPr>
                <w:lang w:val="en-AU" w:eastAsia="en-AU"/>
              </w:rPr>
              <w:t>4.68</w:t>
            </w:r>
          </w:p>
        </w:tc>
        <w:tc>
          <w:tcPr>
            <w:tcW w:w="2243" w:type="dxa"/>
          </w:tcPr>
          <w:p w14:paraId="07725A5B" w14:textId="77777777" w:rsidR="00E13AE1" w:rsidRDefault="00E13AE1" w:rsidP="00F6103A">
            <w:pPr>
              <w:ind w:left="113"/>
              <w:jc w:val="center"/>
              <w:rPr>
                <w:lang w:val="en-AU" w:eastAsia="en-AU"/>
              </w:rPr>
            </w:pPr>
            <w:r>
              <w:rPr>
                <w:lang w:val="en-AU" w:eastAsia="en-AU"/>
              </w:rPr>
              <w:t>3.97</w:t>
            </w:r>
          </w:p>
        </w:tc>
        <w:tc>
          <w:tcPr>
            <w:tcW w:w="2243" w:type="dxa"/>
          </w:tcPr>
          <w:p w14:paraId="490112A6" w14:textId="77777777" w:rsidR="00E13AE1" w:rsidRDefault="00E13AE1" w:rsidP="00F6103A">
            <w:pPr>
              <w:ind w:left="113"/>
              <w:jc w:val="center"/>
              <w:rPr>
                <w:lang w:val="en-AU" w:eastAsia="en-AU"/>
              </w:rPr>
            </w:pPr>
            <w:r>
              <w:rPr>
                <w:lang w:val="en-AU" w:eastAsia="en-AU"/>
              </w:rPr>
              <w:t>4.07</w:t>
            </w:r>
          </w:p>
        </w:tc>
      </w:tr>
      <w:tr w:rsidR="00E13AE1" w14:paraId="26FA827A" w14:textId="77777777" w:rsidTr="00E13AE1">
        <w:tc>
          <w:tcPr>
            <w:tcW w:w="3227" w:type="dxa"/>
          </w:tcPr>
          <w:p w14:paraId="1D4A3CAF" w14:textId="77777777" w:rsidR="00E13AE1" w:rsidRDefault="00E13AE1" w:rsidP="00E13AE1">
            <w:pPr>
              <w:rPr>
                <w:lang w:val="en-AU" w:eastAsia="en-AU"/>
              </w:rPr>
            </w:pPr>
            <w:r>
              <w:rPr>
                <w:lang w:val="en-AU" w:eastAsia="en-AU"/>
              </w:rPr>
              <w:t>Emaciation</w:t>
            </w:r>
          </w:p>
        </w:tc>
        <w:tc>
          <w:tcPr>
            <w:tcW w:w="2243" w:type="dxa"/>
          </w:tcPr>
          <w:p w14:paraId="4406B9A6" w14:textId="77777777" w:rsidR="00E13AE1" w:rsidRDefault="00E13AE1" w:rsidP="00F6103A">
            <w:pPr>
              <w:ind w:left="113"/>
              <w:jc w:val="center"/>
              <w:rPr>
                <w:lang w:val="en-AU" w:eastAsia="en-AU"/>
              </w:rPr>
            </w:pPr>
            <w:r>
              <w:rPr>
                <w:lang w:val="en-AU" w:eastAsia="en-AU"/>
              </w:rPr>
              <w:t>4.12</w:t>
            </w:r>
          </w:p>
        </w:tc>
        <w:tc>
          <w:tcPr>
            <w:tcW w:w="2243" w:type="dxa"/>
          </w:tcPr>
          <w:p w14:paraId="510CF85C" w14:textId="77777777" w:rsidR="00E13AE1" w:rsidRDefault="00E13AE1" w:rsidP="00F6103A">
            <w:pPr>
              <w:ind w:left="113"/>
              <w:jc w:val="center"/>
              <w:rPr>
                <w:lang w:val="en-AU" w:eastAsia="en-AU"/>
              </w:rPr>
            </w:pPr>
            <w:r>
              <w:rPr>
                <w:lang w:val="en-AU" w:eastAsia="en-AU"/>
              </w:rPr>
              <w:t>3.36</w:t>
            </w:r>
          </w:p>
        </w:tc>
        <w:tc>
          <w:tcPr>
            <w:tcW w:w="2243" w:type="dxa"/>
          </w:tcPr>
          <w:p w14:paraId="79A0C034" w14:textId="77777777" w:rsidR="00E13AE1" w:rsidRDefault="00E13AE1" w:rsidP="00F6103A">
            <w:pPr>
              <w:ind w:left="113"/>
              <w:jc w:val="center"/>
              <w:rPr>
                <w:lang w:val="en-AU" w:eastAsia="en-AU"/>
              </w:rPr>
            </w:pPr>
            <w:r>
              <w:rPr>
                <w:lang w:val="en-AU" w:eastAsia="en-AU"/>
              </w:rPr>
              <w:t>3.13</w:t>
            </w:r>
          </w:p>
        </w:tc>
      </w:tr>
      <w:tr w:rsidR="00E13AE1" w14:paraId="6A611FC3" w14:textId="77777777" w:rsidTr="00E13AE1">
        <w:tc>
          <w:tcPr>
            <w:tcW w:w="3227" w:type="dxa"/>
          </w:tcPr>
          <w:p w14:paraId="736C5843" w14:textId="77777777" w:rsidR="00E13AE1" w:rsidRDefault="00E13AE1" w:rsidP="00E13AE1">
            <w:pPr>
              <w:rPr>
                <w:lang w:val="en-AU" w:eastAsia="en-AU"/>
              </w:rPr>
            </w:pPr>
            <w:r>
              <w:rPr>
                <w:lang w:val="en-AU" w:eastAsia="en-AU"/>
              </w:rPr>
              <w:t>Other farm-related conditions</w:t>
            </w:r>
          </w:p>
        </w:tc>
        <w:tc>
          <w:tcPr>
            <w:tcW w:w="2243" w:type="dxa"/>
          </w:tcPr>
          <w:p w14:paraId="1E82E94B" w14:textId="77777777" w:rsidR="00E13AE1" w:rsidRDefault="00E13AE1" w:rsidP="002265EC">
            <w:pPr>
              <w:ind w:left="170"/>
              <w:jc w:val="center"/>
              <w:rPr>
                <w:lang w:val="en-AU" w:eastAsia="en-AU"/>
              </w:rPr>
            </w:pPr>
            <w:r>
              <w:rPr>
                <w:lang w:val="en-AU" w:eastAsia="en-AU"/>
              </w:rPr>
              <w:t>n.a.</w:t>
            </w:r>
          </w:p>
        </w:tc>
        <w:tc>
          <w:tcPr>
            <w:tcW w:w="2243" w:type="dxa"/>
          </w:tcPr>
          <w:p w14:paraId="1F3CABE7" w14:textId="77777777" w:rsidR="00E13AE1" w:rsidRDefault="00E13AE1" w:rsidP="00F6103A">
            <w:pPr>
              <w:ind w:left="113"/>
              <w:jc w:val="center"/>
              <w:rPr>
                <w:lang w:val="en-AU" w:eastAsia="en-AU"/>
              </w:rPr>
            </w:pPr>
            <w:r>
              <w:rPr>
                <w:lang w:val="en-AU" w:eastAsia="en-AU"/>
              </w:rPr>
              <w:t>1.46</w:t>
            </w:r>
          </w:p>
        </w:tc>
        <w:tc>
          <w:tcPr>
            <w:tcW w:w="2243" w:type="dxa"/>
          </w:tcPr>
          <w:p w14:paraId="759B8598" w14:textId="77777777" w:rsidR="00E13AE1" w:rsidRDefault="00E13AE1" w:rsidP="00F6103A">
            <w:pPr>
              <w:ind w:left="113"/>
              <w:jc w:val="center"/>
              <w:rPr>
                <w:lang w:val="en-AU" w:eastAsia="en-AU"/>
              </w:rPr>
            </w:pPr>
            <w:r>
              <w:rPr>
                <w:lang w:val="en-AU" w:eastAsia="en-AU"/>
              </w:rPr>
              <w:t>3.79</w:t>
            </w:r>
          </w:p>
        </w:tc>
      </w:tr>
      <w:tr w:rsidR="00E13AE1" w14:paraId="6A5D5530" w14:textId="77777777" w:rsidTr="00E13AE1">
        <w:tc>
          <w:tcPr>
            <w:tcW w:w="3227" w:type="dxa"/>
          </w:tcPr>
          <w:p w14:paraId="2B0C6C4F" w14:textId="77777777" w:rsidR="00E13AE1" w:rsidRDefault="00E13AE1" w:rsidP="00E13AE1">
            <w:pPr>
              <w:rPr>
                <w:lang w:val="en-AU" w:eastAsia="en-AU"/>
              </w:rPr>
            </w:pPr>
            <w:r>
              <w:rPr>
                <w:lang w:val="en-AU" w:eastAsia="en-AU"/>
              </w:rPr>
              <w:t>Joint lesions</w:t>
            </w:r>
          </w:p>
        </w:tc>
        <w:tc>
          <w:tcPr>
            <w:tcW w:w="2243" w:type="dxa"/>
          </w:tcPr>
          <w:p w14:paraId="16A3DED4" w14:textId="77777777" w:rsidR="00E13AE1" w:rsidRDefault="00E13AE1" w:rsidP="00F6103A">
            <w:pPr>
              <w:ind w:left="113"/>
              <w:jc w:val="center"/>
              <w:rPr>
                <w:lang w:val="en-AU" w:eastAsia="en-AU"/>
              </w:rPr>
            </w:pPr>
            <w:r>
              <w:rPr>
                <w:lang w:val="en-AU" w:eastAsia="en-AU"/>
              </w:rPr>
              <w:t>2.16</w:t>
            </w:r>
          </w:p>
        </w:tc>
        <w:tc>
          <w:tcPr>
            <w:tcW w:w="2243" w:type="dxa"/>
          </w:tcPr>
          <w:p w14:paraId="27A83379" w14:textId="77777777" w:rsidR="00E13AE1" w:rsidRDefault="00E13AE1" w:rsidP="00F6103A">
            <w:pPr>
              <w:ind w:left="113"/>
              <w:jc w:val="center"/>
              <w:rPr>
                <w:lang w:val="en-AU" w:eastAsia="en-AU"/>
              </w:rPr>
            </w:pPr>
            <w:r>
              <w:rPr>
                <w:lang w:val="en-AU" w:eastAsia="en-AU"/>
              </w:rPr>
              <w:t>2.77</w:t>
            </w:r>
          </w:p>
        </w:tc>
        <w:tc>
          <w:tcPr>
            <w:tcW w:w="2243" w:type="dxa"/>
          </w:tcPr>
          <w:p w14:paraId="7ACB753B" w14:textId="77777777" w:rsidR="00E13AE1" w:rsidRDefault="00E13AE1" w:rsidP="00F6103A">
            <w:pPr>
              <w:ind w:left="113"/>
              <w:jc w:val="center"/>
              <w:rPr>
                <w:lang w:val="en-AU" w:eastAsia="en-AU"/>
              </w:rPr>
            </w:pPr>
            <w:r>
              <w:rPr>
                <w:lang w:val="en-AU" w:eastAsia="en-AU"/>
              </w:rPr>
              <w:t>2.92</w:t>
            </w:r>
          </w:p>
        </w:tc>
      </w:tr>
      <w:tr w:rsidR="00E13AE1" w14:paraId="08E98995" w14:textId="77777777" w:rsidTr="00E13AE1">
        <w:tc>
          <w:tcPr>
            <w:tcW w:w="3227" w:type="dxa"/>
          </w:tcPr>
          <w:p w14:paraId="1999FCEA" w14:textId="77777777" w:rsidR="00E13AE1" w:rsidRDefault="00E13AE1" w:rsidP="00E13AE1">
            <w:pPr>
              <w:rPr>
                <w:lang w:val="en-AU" w:eastAsia="en-AU"/>
              </w:rPr>
            </w:pPr>
            <w:r>
              <w:rPr>
                <w:lang w:val="en-AU" w:eastAsia="en-AU"/>
              </w:rPr>
              <w:t>Tumours/nodules</w:t>
            </w:r>
          </w:p>
        </w:tc>
        <w:tc>
          <w:tcPr>
            <w:tcW w:w="2243" w:type="dxa"/>
          </w:tcPr>
          <w:p w14:paraId="438854C1" w14:textId="77777777" w:rsidR="00E13AE1" w:rsidRDefault="00E13AE1" w:rsidP="00F6103A">
            <w:pPr>
              <w:ind w:left="113"/>
              <w:jc w:val="center"/>
              <w:rPr>
                <w:lang w:val="en-AU" w:eastAsia="en-AU"/>
              </w:rPr>
            </w:pPr>
            <w:r>
              <w:rPr>
                <w:lang w:val="en-AU" w:eastAsia="en-AU"/>
              </w:rPr>
              <w:t>1.94</w:t>
            </w:r>
          </w:p>
        </w:tc>
        <w:tc>
          <w:tcPr>
            <w:tcW w:w="2243" w:type="dxa"/>
          </w:tcPr>
          <w:p w14:paraId="60284F58" w14:textId="77777777" w:rsidR="00E13AE1" w:rsidRDefault="00E13AE1" w:rsidP="00F6103A">
            <w:pPr>
              <w:ind w:left="113"/>
              <w:jc w:val="center"/>
              <w:rPr>
                <w:lang w:val="en-AU" w:eastAsia="en-AU"/>
              </w:rPr>
            </w:pPr>
            <w:r>
              <w:rPr>
                <w:lang w:val="en-AU" w:eastAsia="en-AU"/>
              </w:rPr>
              <w:t>1.97</w:t>
            </w:r>
          </w:p>
        </w:tc>
        <w:tc>
          <w:tcPr>
            <w:tcW w:w="2243" w:type="dxa"/>
          </w:tcPr>
          <w:p w14:paraId="0578DE01" w14:textId="77777777" w:rsidR="00E13AE1" w:rsidRDefault="00E13AE1" w:rsidP="00F6103A">
            <w:pPr>
              <w:ind w:left="113"/>
              <w:jc w:val="center"/>
              <w:rPr>
                <w:lang w:val="en-AU" w:eastAsia="en-AU"/>
              </w:rPr>
            </w:pPr>
            <w:r>
              <w:rPr>
                <w:lang w:val="en-AU" w:eastAsia="en-AU"/>
              </w:rPr>
              <w:t>2.14</w:t>
            </w:r>
          </w:p>
        </w:tc>
      </w:tr>
      <w:tr w:rsidR="00E13AE1" w14:paraId="59EBA52E" w14:textId="77777777" w:rsidTr="00E13AE1">
        <w:tc>
          <w:tcPr>
            <w:tcW w:w="3227" w:type="dxa"/>
          </w:tcPr>
          <w:p w14:paraId="024FDBF8" w14:textId="77777777" w:rsidR="00E13AE1" w:rsidRDefault="00E13AE1" w:rsidP="00E13AE1">
            <w:pPr>
              <w:rPr>
                <w:lang w:val="en-AU" w:eastAsia="en-AU"/>
              </w:rPr>
            </w:pPr>
            <w:r>
              <w:rPr>
                <w:lang w:val="en-AU" w:eastAsia="en-AU"/>
              </w:rPr>
              <w:t>Dermatitis</w:t>
            </w:r>
          </w:p>
        </w:tc>
        <w:tc>
          <w:tcPr>
            <w:tcW w:w="2243" w:type="dxa"/>
          </w:tcPr>
          <w:p w14:paraId="4CB66D78" w14:textId="77777777" w:rsidR="00E13AE1" w:rsidRDefault="00E13AE1" w:rsidP="00F6103A">
            <w:pPr>
              <w:ind w:left="113"/>
              <w:jc w:val="center"/>
              <w:rPr>
                <w:lang w:val="en-AU" w:eastAsia="en-AU"/>
              </w:rPr>
            </w:pPr>
            <w:r>
              <w:rPr>
                <w:lang w:val="en-AU" w:eastAsia="en-AU"/>
              </w:rPr>
              <w:t>2.39</w:t>
            </w:r>
          </w:p>
        </w:tc>
        <w:tc>
          <w:tcPr>
            <w:tcW w:w="2243" w:type="dxa"/>
          </w:tcPr>
          <w:p w14:paraId="0D926D2A" w14:textId="77777777" w:rsidR="00E13AE1" w:rsidRDefault="00E13AE1" w:rsidP="00F6103A">
            <w:pPr>
              <w:ind w:left="113"/>
              <w:jc w:val="center"/>
              <w:rPr>
                <w:lang w:val="en-AU" w:eastAsia="en-AU"/>
              </w:rPr>
            </w:pPr>
            <w:r>
              <w:rPr>
                <w:lang w:val="en-AU" w:eastAsia="en-AU"/>
              </w:rPr>
              <w:t>1.91</w:t>
            </w:r>
          </w:p>
        </w:tc>
        <w:tc>
          <w:tcPr>
            <w:tcW w:w="2243" w:type="dxa"/>
          </w:tcPr>
          <w:p w14:paraId="4572A333" w14:textId="77777777" w:rsidR="00E13AE1" w:rsidRDefault="00E13AE1" w:rsidP="00F6103A">
            <w:pPr>
              <w:ind w:left="113"/>
              <w:jc w:val="center"/>
              <w:rPr>
                <w:lang w:val="en-AU" w:eastAsia="en-AU"/>
              </w:rPr>
            </w:pPr>
            <w:r>
              <w:rPr>
                <w:lang w:val="en-AU" w:eastAsia="en-AU"/>
              </w:rPr>
              <w:t>1.68</w:t>
            </w:r>
          </w:p>
        </w:tc>
      </w:tr>
      <w:tr w:rsidR="00E13AE1" w14:paraId="435F713D" w14:textId="77777777" w:rsidTr="00E13AE1">
        <w:tc>
          <w:tcPr>
            <w:tcW w:w="3227" w:type="dxa"/>
          </w:tcPr>
          <w:p w14:paraId="402CC4C1" w14:textId="77777777" w:rsidR="00E13AE1" w:rsidRDefault="00E13AE1" w:rsidP="00E13AE1">
            <w:pPr>
              <w:rPr>
                <w:lang w:val="en-AU" w:eastAsia="en-AU"/>
              </w:rPr>
            </w:pPr>
            <w:r>
              <w:rPr>
                <w:lang w:val="en-AU" w:eastAsia="en-AU"/>
              </w:rPr>
              <w:t>Respiratory disease</w:t>
            </w:r>
          </w:p>
        </w:tc>
        <w:tc>
          <w:tcPr>
            <w:tcW w:w="2243" w:type="dxa"/>
          </w:tcPr>
          <w:p w14:paraId="1085014C" w14:textId="77777777" w:rsidR="00E13AE1" w:rsidRDefault="00E13AE1" w:rsidP="00F6103A">
            <w:pPr>
              <w:ind w:left="113"/>
              <w:jc w:val="center"/>
              <w:rPr>
                <w:lang w:val="en-AU" w:eastAsia="en-AU"/>
              </w:rPr>
            </w:pPr>
            <w:r>
              <w:rPr>
                <w:lang w:val="en-AU" w:eastAsia="en-AU"/>
              </w:rPr>
              <w:t>1.70</w:t>
            </w:r>
          </w:p>
        </w:tc>
        <w:tc>
          <w:tcPr>
            <w:tcW w:w="2243" w:type="dxa"/>
          </w:tcPr>
          <w:p w14:paraId="598F8AA3" w14:textId="77777777" w:rsidR="00E13AE1" w:rsidRDefault="00E13AE1" w:rsidP="00F6103A">
            <w:pPr>
              <w:ind w:left="113"/>
              <w:jc w:val="center"/>
              <w:rPr>
                <w:lang w:val="en-AU" w:eastAsia="en-AU"/>
              </w:rPr>
            </w:pPr>
            <w:r>
              <w:rPr>
                <w:lang w:val="en-AU" w:eastAsia="en-AU"/>
              </w:rPr>
              <w:t>0.32</w:t>
            </w:r>
          </w:p>
        </w:tc>
        <w:tc>
          <w:tcPr>
            <w:tcW w:w="2243" w:type="dxa"/>
          </w:tcPr>
          <w:p w14:paraId="72C67ABC" w14:textId="77777777" w:rsidR="00E13AE1" w:rsidRDefault="00E13AE1" w:rsidP="00F6103A">
            <w:pPr>
              <w:ind w:left="113"/>
              <w:jc w:val="center"/>
              <w:rPr>
                <w:lang w:val="en-AU" w:eastAsia="en-AU"/>
              </w:rPr>
            </w:pPr>
            <w:r>
              <w:rPr>
                <w:lang w:val="en-AU" w:eastAsia="en-AU"/>
              </w:rPr>
              <w:t>0.27</w:t>
            </w:r>
          </w:p>
        </w:tc>
      </w:tr>
      <w:tr w:rsidR="00E13AE1" w14:paraId="57377DCD" w14:textId="77777777" w:rsidTr="00E13AE1">
        <w:tc>
          <w:tcPr>
            <w:tcW w:w="3227" w:type="dxa"/>
          </w:tcPr>
          <w:p w14:paraId="3F87FD36" w14:textId="77777777" w:rsidR="00E13AE1" w:rsidRDefault="00E13AE1" w:rsidP="00E13AE1">
            <w:pPr>
              <w:rPr>
                <w:lang w:val="en-AU" w:eastAsia="en-AU"/>
              </w:rPr>
            </w:pPr>
            <w:r>
              <w:rPr>
                <w:lang w:val="en-AU" w:eastAsia="en-AU"/>
              </w:rPr>
              <w:t>Salpingitis</w:t>
            </w:r>
          </w:p>
        </w:tc>
        <w:tc>
          <w:tcPr>
            <w:tcW w:w="2243" w:type="dxa"/>
          </w:tcPr>
          <w:p w14:paraId="5F09E877" w14:textId="77777777" w:rsidR="00E13AE1" w:rsidRDefault="00E13AE1" w:rsidP="00F6103A">
            <w:pPr>
              <w:ind w:left="113"/>
              <w:jc w:val="center"/>
              <w:rPr>
                <w:lang w:val="en-AU" w:eastAsia="en-AU"/>
              </w:rPr>
            </w:pPr>
            <w:r>
              <w:rPr>
                <w:lang w:val="en-AU" w:eastAsia="en-AU"/>
              </w:rPr>
              <w:t>0.04</w:t>
            </w:r>
          </w:p>
        </w:tc>
        <w:tc>
          <w:tcPr>
            <w:tcW w:w="2243" w:type="dxa"/>
          </w:tcPr>
          <w:p w14:paraId="1A2813FF" w14:textId="77777777" w:rsidR="00E13AE1" w:rsidRDefault="00E13AE1" w:rsidP="00F6103A">
            <w:pPr>
              <w:ind w:left="113"/>
              <w:jc w:val="center"/>
              <w:rPr>
                <w:lang w:val="en-AU" w:eastAsia="en-AU"/>
              </w:rPr>
            </w:pPr>
            <w:r>
              <w:rPr>
                <w:lang w:val="en-AU" w:eastAsia="en-AU"/>
              </w:rPr>
              <w:t>0.07</w:t>
            </w:r>
          </w:p>
        </w:tc>
        <w:tc>
          <w:tcPr>
            <w:tcW w:w="2243" w:type="dxa"/>
          </w:tcPr>
          <w:p w14:paraId="0E93CD4B" w14:textId="77777777" w:rsidR="00E13AE1" w:rsidRDefault="00E13AE1" w:rsidP="00F6103A">
            <w:pPr>
              <w:ind w:left="113"/>
              <w:jc w:val="center"/>
              <w:rPr>
                <w:lang w:val="en-AU" w:eastAsia="en-AU"/>
              </w:rPr>
            </w:pPr>
            <w:r>
              <w:rPr>
                <w:lang w:val="en-AU" w:eastAsia="en-AU"/>
              </w:rPr>
              <w:t>0.03</w:t>
            </w:r>
          </w:p>
        </w:tc>
      </w:tr>
      <w:tr w:rsidR="00E13AE1" w14:paraId="6D18BC33" w14:textId="77777777" w:rsidTr="00E13AE1">
        <w:tc>
          <w:tcPr>
            <w:tcW w:w="3227" w:type="dxa"/>
          </w:tcPr>
          <w:p w14:paraId="06E20D39" w14:textId="77777777" w:rsidR="00E13AE1" w:rsidRDefault="00E13AE1" w:rsidP="00E13AE1">
            <w:pPr>
              <w:rPr>
                <w:lang w:val="en-AU" w:eastAsia="en-AU"/>
              </w:rPr>
            </w:pPr>
            <w:r>
              <w:rPr>
                <w:lang w:val="en-AU" w:eastAsia="en-AU"/>
              </w:rPr>
              <w:t>No. slaughtered</w:t>
            </w:r>
          </w:p>
        </w:tc>
        <w:tc>
          <w:tcPr>
            <w:tcW w:w="2243" w:type="dxa"/>
          </w:tcPr>
          <w:p w14:paraId="2921FED4" w14:textId="77777777" w:rsidR="00E13AE1" w:rsidRDefault="00E13AE1" w:rsidP="00E13AE1">
            <w:pPr>
              <w:jc w:val="center"/>
              <w:rPr>
                <w:lang w:val="en-AU" w:eastAsia="en-AU"/>
              </w:rPr>
            </w:pPr>
            <w:r>
              <w:rPr>
                <w:lang w:val="en-AU" w:eastAsia="en-AU"/>
              </w:rPr>
              <w:t>79,</w:t>
            </w:r>
            <w:r w:rsidR="006654C2">
              <w:rPr>
                <w:lang w:val="en-AU" w:eastAsia="en-AU"/>
              </w:rPr>
              <w:t>1</w:t>
            </w:r>
            <w:r>
              <w:rPr>
                <w:lang w:val="en-AU" w:eastAsia="en-AU"/>
              </w:rPr>
              <w:t>51,084</w:t>
            </w:r>
          </w:p>
        </w:tc>
        <w:tc>
          <w:tcPr>
            <w:tcW w:w="2243" w:type="dxa"/>
          </w:tcPr>
          <w:p w14:paraId="1839CA8F" w14:textId="77777777" w:rsidR="00E13AE1" w:rsidRDefault="00E13AE1" w:rsidP="00E13AE1">
            <w:pPr>
              <w:jc w:val="center"/>
              <w:rPr>
                <w:lang w:val="en-AU" w:eastAsia="en-AU"/>
              </w:rPr>
            </w:pPr>
            <w:r>
              <w:rPr>
                <w:lang w:val="en-AU" w:eastAsia="en-AU"/>
              </w:rPr>
              <w:t>813,413,852</w:t>
            </w:r>
          </w:p>
        </w:tc>
        <w:tc>
          <w:tcPr>
            <w:tcW w:w="2243" w:type="dxa"/>
          </w:tcPr>
          <w:p w14:paraId="7C1C849F" w14:textId="77777777" w:rsidR="00E13AE1" w:rsidRDefault="00E13AE1" w:rsidP="00E13AE1">
            <w:pPr>
              <w:jc w:val="center"/>
              <w:rPr>
                <w:lang w:val="en-AU" w:eastAsia="en-AU"/>
              </w:rPr>
            </w:pPr>
            <w:r>
              <w:rPr>
                <w:lang w:val="en-AU" w:eastAsia="en-AU"/>
              </w:rPr>
              <w:t>826,325,841</w:t>
            </w:r>
          </w:p>
        </w:tc>
      </w:tr>
      <w:tr w:rsidR="001518D4" w14:paraId="2D0AB7CB" w14:textId="77777777" w:rsidTr="0054600A">
        <w:tc>
          <w:tcPr>
            <w:tcW w:w="9956" w:type="dxa"/>
            <w:gridSpan w:val="4"/>
          </w:tcPr>
          <w:p w14:paraId="68F8D4DB" w14:textId="77777777" w:rsidR="001518D4" w:rsidRDefault="001518D4" w:rsidP="00FC573C">
            <w:pPr>
              <w:spacing w:before="60"/>
              <w:rPr>
                <w:lang w:val="en-AU" w:eastAsia="en-AU"/>
              </w:rPr>
            </w:pPr>
            <w:r w:rsidRPr="006654C2">
              <w:rPr>
                <w:i/>
                <w:lang w:val="en-AU" w:eastAsia="en-AU"/>
              </w:rPr>
              <w:t xml:space="preserve">Conditions listed in descending order of weighted average (2011-2013) annual rates. Based on </w:t>
            </w:r>
            <w:r>
              <w:rPr>
                <w:i/>
                <w:lang w:val="en-AU" w:eastAsia="en-AU"/>
              </w:rPr>
              <w:t xml:space="preserve">data from the </w:t>
            </w:r>
            <w:r w:rsidRPr="006654C2">
              <w:rPr>
                <w:i/>
                <w:lang w:val="en-AU" w:eastAsia="en-AU"/>
              </w:rPr>
              <w:t>F</w:t>
            </w:r>
            <w:r>
              <w:rPr>
                <w:i/>
                <w:lang w:val="en-AU" w:eastAsia="en-AU"/>
              </w:rPr>
              <w:t>ood Standards Agency, UK.</w:t>
            </w:r>
          </w:p>
        </w:tc>
      </w:tr>
    </w:tbl>
    <w:p w14:paraId="0F399F3F" w14:textId="77777777" w:rsidR="001518D4" w:rsidRDefault="001518D4" w:rsidP="009E3BC2">
      <w:pPr>
        <w:rPr>
          <w:rFonts w:cs="Palatino-Roman"/>
          <w:lang w:val="en-AU" w:eastAsia="en-AU"/>
        </w:rPr>
      </w:pPr>
    </w:p>
    <w:p w14:paraId="309EE5B7" w14:textId="77777777" w:rsidR="00286A88" w:rsidRPr="00286A88" w:rsidRDefault="00286A88" w:rsidP="009E3BC2">
      <w:pPr>
        <w:rPr>
          <w:rFonts w:cs="Palatino-Roman"/>
          <w:lang w:val="en-AU" w:eastAsia="en-AU"/>
        </w:rPr>
      </w:pPr>
      <w:r w:rsidRPr="00286A88">
        <w:rPr>
          <w:rFonts w:cs="Palatino-Roman"/>
          <w:lang w:val="en-AU" w:eastAsia="en-AU"/>
        </w:rPr>
        <w:t>The most important environmental factors causing the development of ascites in commercial broilers are high altitudes and cold temperatures</w:t>
      </w:r>
      <w:r w:rsidRPr="00286A88">
        <w:rPr>
          <w:rFonts w:eastAsia="MS Mincho" w:cs="AdvTimes"/>
          <w:lang w:val="en-AU" w:eastAsia="en-AU"/>
        </w:rPr>
        <w:t xml:space="preserve"> (</w:t>
      </w:r>
      <w:r w:rsidRPr="00286A88">
        <w:rPr>
          <w:bCs/>
          <w:lang w:val="en-AU" w:eastAsia="en-AU"/>
        </w:rPr>
        <w:t xml:space="preserve">Ipek and Sahan, 2006; </w:t>
      </w:r>
      <w:r w:rsidRPr="00286A88">
        <w:rPr>
          <w:rFonts w:eastAsia="MS Mincho" w:cs="AdvTimes"/>
          <w:lang w:val="en-AU" w:eastAsia="en-AU"/>
        </w:rPr>
        <w:t>Ö</w:t>
      </w:r>
      <w:r w:rsidRPr="00286A88">
        <w:rPr>
          <w:rFonts w:cs="AdvTimes"/>
          <w:lang w:val="en-AU" w:eastAsia="en-AU"/>
        </w:rPr>
        <w:t xml:space="preserve">zkan et al., 2010; </w:t>
      </w:r>
      <w:r w:rsidRPr="00286A88">
        <w:rPr>
          <w:rFonts w:cs="Palatino-Roman"/>
          <w:lang w:val="en-AU" w:eastAsia="en-AU"/>
        </w:rPr>
        <w:t>Part et al., 2016</w:t>
      </w:r>
      <w:r w:rsidRPr="00286A88">
        <w:rPr>
          <w:rFonts w:cs="AdvTimes"/>
          <w:lang w:val="en-AU" w:eastAsia="en-AU"/>
        </w:rPr>
        <w:t>); ascites incidence tends to fluctuate in seasonal patterns that reflect ambient temperature.</w:t>
      </w:r>
      <w:r w:rsidR="00D332E5">
        <w:rPr>
          <w:rFonts w:cs="Palatino-Roman"/>
          <w:lang w:val="en-AU" w:eastAsia="en-AU"/>
        </w:rPr>
        <w:t xml:space="preserve"> When Part</w:t>
      </w:r>
      <w:r w:rsidRPr="00286A88">
        <w:rPr>
          <w:rFonts w:cs="Palatino-Roman"/>
          <w:lang w:val="en-AU" w:eastAsia="en-AU"/>
        </w:rPr>
        <w:t xml:space="preserve"> et al. (2016) excluded outliers they concluded that broiler mortality rates (to which ascites is a major contributor, see Table B1) began to rise on average when maximum temperature exceeded approximately 19 °C or fell below approximately 8 °C. </w:t>
      </w:r>
      <w:r w:rsidRPr="00286A88">
        <w:rPr>
          <w:rFonts w:eastAsia="MS Mincho" w:cs="AdvTimes"/>
          <w:lang w:val="en-AU" w:eastAsia="en-AU"/>
        </w:rPr>
        <w:t>Ö</w:t>
      </w:r>
      <w:r w:rsidRPr="00286A88">
        <w:rPr>
          <w:rFonts w:cs="AdvTimes"/>
          <w:lang w:val="en-AU" w:eastAsia="en-AU"/>
        </w:rPr>
        <w:t xml:space="preserve">zkan et al. </w:t>
      </w:r>
      <w:r w:rsidR="002E41A9">
        <w:rPr>
          <w:rFonts w:cs="AdvTimes"/>
          <w:lang w:val="en-AU" w:eastAsia="en-AU"/>
        </w:rPr>
        <w:t>(</w:t>
      </w:r>
      <w:r w:rsidRPr="00286A88">
        <w:rPr>
          <w:rFonts w:cs="AdvTimes"/>
          <w:lang w:val="en-AU" w:eastAsia="en-AU"/>
        </w:rPr>
        <w:t>2010</w:t>
      </w:r>
      <w:r w:rsidR="002E41A9">
        <w:rPr>
          <w:rFonts w:cs="AdvTimes"/>
          <w:lang w:val="en-AU" w:eastAsia="en-AU"/>
        </w:rPr>
        <w:t>)</w:t>
      </w:r>
      <w:r w:rsidRPr="00286A88">
        <w:rPr>
          <w:rFonts w:cs="AdvTimes"/>
          <w:lang w:val="en-AU" w:eastAsia="en-AU"/>
        </w:rPr>
        <w:t xml:space="preserve"> described male mortality rates (largely due to ascites) of 0.4% (birds reared at sea level at 22-24 </w:t>
      </w:r>
      <w:r w:rsidRPr="00286A88">
        <w:rPr>
          <w:rFonts w:cs="Palatino-Roman"/>
          <w:lang w:val="en-AU" w:eastAsia="en-AU"/>
        </w:rPr>
        <w:t>°C), 13.8% (birds reared at high altitude 1</w:t>
      </w:r>
      <w:r w:rsidR="001518D4">
        <w:rPr>
          <w:rFonts w:cs="Palatino-Roman"/>
          <w:lang w:val="en-AU" w:eastAsia="en-AU"/>
        </w:rPr>
        <w:t>,</w:t>
      </w:r>
      <w:r w:rsidRPr="00286A88">
        <w:rPr>
          <w:rFonts w:cs="Palatino-Roman"/>
          <w:lang w:val="en-AU" w:eastAsia="en-AU"/>
        </w:rPr>
        <w:t>720 m at 22-24 °C) and 44.2% (birds reared at high altitude 1,720 m at 16-20 °C).</w:t>
      </w:r>
    </w:p>
    <w:p w14:paraId="5ADF6F4D" w14:textId="77777777" w:rsidR="00286A88" w:rsidRPr="00286A88" w:rsidRDefault="00286A88" w:rsidP="009E3BC2">
      <w:pPr>
        <w:rPr>
          <w:lang w:val="en-AU" w:eastAsia="en-AU"/>
        </w:rPr>
      </w:pPr>
      <w:r w:rsidRPr="00286A88">
        <w:rPr>
          <w:lang w:val="en-AU" w:eastAsia="en-AU"/>
        </w:rPr>
        <w:t>Fast growth rates are associated with higher feed intake and metabolic rate, and consequently a higher demand for oxygen. As growth rate and oxygen demand coincide with other physiological challenges, such as low ambient temperature, this can cause problems in regulating oxygen supply to heart tissue (Druyan et al., 2008). B</w:t>
      </w:r>
      <w:r w:rsidRPr="00286A88">
        <w:rPr>
          <w:rFonts w:cs="Palatino-Roman"/>
          <w:lang w:val="en-AU" w:eastAsia="en-AU"/>
        </w:rPr>
        <w:t xml:space="preserve">roilers reared in cold conditions tend to eat more (e.g. </w:t>
      </w:r>
      <w:r w:rsidRPr="00286A88">
        <w:rPr>
          <w:rFonts w:cs="AdvFrutiger-RC"/>
          <w:lang w:val="en-AU" w:eastAsia="en-AU"/>
        </w:rPr>
        <w:t>Nielsen, 2012)</w:t>
      </w:r>
      <w:r w:rsidRPr="00286A88">
        <w:rPr>
          <w:rFonts w:cs="Palatino-Roman"/>
          <w:lang w:val="en-AU" w:eastAsia="en-AU"/>
        </w:rPr>
        <w:t>, which will further increase their oxygen requirements (Part et al., 2016</w:t>
      </w:r>
      <w:r w:rsidRPr="00286A88">
        <w:rPr>
          <w:rFonts w:cs="AdvTimes"/>
          <w:lang w:val="en-AU" w:eastAsia="en-AU"/>
        </w:rPr>
        <w:t>). M</w:t>
      </w:r>
      <w:r w:rsidRPr="00286A88">
        <w:rPr>
          <w:lang w:val="en-AU" w:eastAsia="en-AU"/>
        </w:rPr>
        <w:t>ortality has been found to be higher in males than in females</w:t>
      </w:r>
      <w:r w:rsidRPr="00286A88">
        <w:rPr>
          <w:rFonts w:eastAsia="MS Mincho" w:cs="AdvTimes"/>
          <w:lang w:val="en-AU" w:eastAsia="en-AU"/>
        </w:rPr>
        <w:t xml:space="preserve"> (Ö</w:t>
      </w:r>
      <w:r w:rsidRPr="00286A88">
        <w:rPr>
          <w:rFonts w:cs="AdvTimes"/>
          <w:lang w:val="en-AU" w:eastAsia="en-AU"/>
        </w:rPr>
        <w:t>zkan et al., 2010), presumably linked to a higher body mass.</w:t>
      </w:r>
      <w:r w:rsidRPr="00286A88">
        <w:rPr>
          <w:rFonts w:cs="Palatino-Roman"/>
          <w:lang w:val="en-AU" w:eastAsia="en-AU"/>
        </w:rPr>
        <w:t xml:space="preserve"> Imaeda (2000) observed an effect of stocking density upon seasonal mortality; a high stocking density (18</w:t>
      </w:r>
      <w:r w:rsidR="00FC573C">
        <w:rPr>
          <w:rFonts w:cs="Palatino-Roman"/>
          <w:lang w:val="en-AU" w:eastAsia="en-AU"/>
        </w:rPr>
        <w:t> </w:t>
      </w:r>
      <w:r w:rsidRPr="00286A88">
        <w:rPr>
          <w:rFonts w:cs="Palatino-Roman"/>
          <w:lang w:val="en-AU" w:eastAsia="en-AU"/>
        </w:rPr>
        <w:t>broilers/m</w:t>
      </w:r>
      <w:r w:rsidRPr="00286A88">
        <w:rPr>
          <w:rFonts w:cs="Palatino-Roman"/>
          <w:vertAlign w:val="superscript"/>
          <w:lang w:val="en-AU" w:eastAsia="en-AU"/>
        </w:rPr>
        <w:t>2</w:t>
      </w:r>
      <w:r w:rsidRPr="00286A88">
        <w:rPr>
          <w:rFonts w:cs="Palatino-Roman"/>
          <w:lang w:val="en-AU" w:eastAsia="en-AU"/>
        </w:rPr>
        <w:t>) was associated with increased total mortality and SDS mortality in the summer, and with an increase in SDS mortality in the winter compared to lower densities (12 and 15 broilers/m</w:t>
      </w:r>
      <w:r w:rsidRPr="00286A88">
        <w:rPr>
          <w:rFonts w:cs="Palatino-Roman"/>
          <w:vertAlign w:val="superscript"/>
          <w:lang w:val="en-AU" w:eastAsia="en-AU"/>
        </w:rPr>
        <w:t>2</w:t>
      </w:r>
      <w:r w:rsidRPr="00286A88">
        <w:rPr>
          <w:rFonts w:cs="Palatino-Roman"/>
          <w:lang w:val="en-AU" w:eastAsia="en-AU"/>
        </w:rPr>
        <w:t>).</w:t>
      </w:r>
    </w:p>
    <w:p w14:paraId="48BDC44C" w14:textId="77777777" w:rsidR="00286A88" w:rsidRPr="00286A88" w:rsidRDefault="001518D4" w:rsidP="009E3BC2">
      <w:pPr>
        <w:pStyle w:val="Heading41"/>
      </w:pPr>
      <w:r>
        <w:t>B3.2</w:t>
      </w:r>
      <w:r w:rsidR="00286A88" w:rsidRPr="00286A88">
        <w:t>b Prevention and control</w:t>
      </w:r>
    </w:p>
    <w:p w14:paraId="332083F5" w14:textId="77777777" w:rsidR="00286A88" w:rsidRPr="00286A88" w:rsidRDefault="00286A88" w:rsidP="009E3BC2">
      <w:pPr>
        <w:rPr>
          <w:rFonts w:cs="Times New Roman"/>
          <w:lang w:val="en-AU" w:eastAsia="en-AU"/>
        </w:rPr>
      </w:pPr>
      <w:r w:rsidRPr="00286A88">
        <w:rPr>
          <w:lang w:val="en-AU" w:eastAsia="en-AU"/>
        </w:rPr>
        <w:t xml:space="preserve">Considering the influence that cold temperatures have on the aetiology of metabolic disease, the best intervention is to maintain the broiler house at an appropriate temperature year-round (Part et al., 2016). </w:t>
      </w:r>
      <w:r w:rsidRPr="00286A88">
        <w:rPr>
          <w:rFonts w:cs="Times New Roman"/>
          <w:lang w:val="en-AU" w:eastAsia="en-AU"/>
        </w:rPr>
        <w:t xml:space="preserve">Incubation temperatures also appear to be important; Molenaar et al. (2011) showed that a high eggshell temperature (EST) of 38.9 °C from day 7 of incubation resulted in a 4% increase in ascites compared with a normal EST of 37.8 °C. Several studies have demonstrated that quantitative feed restriction is useful in controlling mortality due to ascites (Boostani et al., 2010; </w:t>
      </w:r>
      <w:r w:rsidRPr="00286A88">
        <w:rPr>
          <w:rFonts w:eastAsia="MS Mincho" w:cs="AdvTimes"/>
          <w:lang w:val="en-AU" w:eastAsia="en-AU"/>
        </w:rPr>
        <w:t>Ö</w:t>
      </w:r>
      <w:r w:rsidRPr="00286A88">
        <w:rPr>
          <w:rFonts w:cs="AdvTimes"/>
          <w:lang w:val="en-AU" w:eastAsia="en-AU"/>
        </w:rPr>
        <w:t xml:space="preserve">zkan et al., 2010; Camacho-Escobar et al., 2011), as is dietary micronutrient supplementation (Camacho-Escobar et al., 2011). </w:t>
      </w:r>
      <w:r w:rsidRPr="00286A88">
        <w:rPr>
          <w:rFonts w:cs="TimesNewRoman"/>
          <w:lang w:val="en-AU" w:eastAsia="en-AU"/>
        </w:rPr>
        <w:t xml:space="preserve">Reducing day-length reduces mortality from metabolic disease, possibly due to a lowered growth trajectory (Hassanzadeh et al., 2003; </w:t>
      </w:r>
      <w:r w:rsidRPr="00286A88">
        <w:rPr>
          <w:rFonts w:cs="Times New Roman"/>
          <w:lang w:val="en-AU" w:eastAsia="en-AU"/>
        </w:rPr>
        <w:t xml:space="preserve">Lewis et al., 2009b; </w:t>
      </w:r>
      <w:r w:rsidRPr="00286A88">
        <w:rPr>
          <w:rFonts w:cs="GulliverRM"/>
          <w:lang w:val="en-AU" w:eastAsia="en-AU"/>
        </w:rPr>
        <w:t>Schwean-Lardner et al., 2013).</w:t>
      </w:r>
      <w:r w:rsidRPr="00286A88">
        <w:rPr>
          <w:rFonts w:cs="Times New Roman"/>
          <w:lang w:val="en-AU" w:eastAsia="en-AU"/>
        </w:rPr>
        <w:t xml:space="preserve"> Scott (2002) found that a delayed decreasing increasing (DDI) lighting programme (which provided variable extended dark periods throughout rear) lowered mortality associated with both SDS and ascites, compared to a continuous or a constant restricted photoperiod (16L:8D); however, DDI was associated with production losses which made it uneconomical for commercial application.</w:t>
      </w:r>
    </w:p>
    <w:p w14:paraId="01731A83" w14:textId="77777777" w:rsidR="00286A88" w:rsidRPr="00286A88" w:rsidRDefault="00286A88" w:rsidP="009E3BC2">
      <w:pPr>
        <w:rPr>
          <w:rFonts w:cs="Times New Roman"/>
          <w:lang w:val="en-AU" w:eastAsia="en-AU"/>
        </w:rPr>
      </w:pPr>
      <w:r w:rsidRPr="00286A88">
        <w:rPr>
          <w:rFonts w:cs="Times New Roman"/>
          <w:lang w:val="en-AU" w:eastAsia="en-AU"/>
        </w:rPr>
        <w:t>Much research has been conducted to control or reduce ascites through genetic approaches, since susceptibility to ascites has a hereditary background. It has been demonstrated, via appropriate selection, that it is possible to develop a resistant line without compromising broiler performance (e.g. Pakdel et al., 2005; Druyan et al., 2008).</w:t>
      </w:r>
    </w:p>
    <w:p w14:paraId="37CCB229" w14:textId="77777777" w:rsidR="00286A88" w:rsidRPr="00286A88" w:rsidRDefault="00286A88" w:rsidP="009E3BC2">
      <w:pPr>
        <w:pStyle w:val="Heading3"/>
        <w:rPr>
          <w:rFonts w:ascii="Times New Roman" w:hAnsi="Times New Roman"/>
          <w:sz w:val="24"/>
          <w:szCs w:val="24"/>
          <w:lang w:val="en-AU" w:eastAsia="en-GB"/>
        </w:rPr>
      </w:pPr>
      <w:bookmarkStart w:id="97" w:name="_Toc495310566"/>
      <w:r w:rsidRPr="00286A88">
        <w:rPr>
          <w:lang w:val="en-AU" w:eastAsia="en-GB"/>
        </w:rPr>
        <w:t>B3.3 Leg disorders and lameness</w:t>
      </w:r>
      <w:bookmarkEnd w:id="97"/>
    </w:p>
    <w:p w14:paraId="42DBACEE" w14:textId="77777777" w:rsidR="00286A88" w:rsidRPr="00E144DF" w:rsidRDefault="00286A88" w:rsidP="009E3BC2">
      <w:pPr>
        <w:rPr>
          <w:i/>
          <w:lang w:val="en-AU" w:eastAsia="en-AU"/>
        </w:rPr>
      </w:pPr>
      <w:r w:rsidRPr="00E144DF">
        <w:rPr>
          <w:i/>
          <w:lang w:val="en-AU" w:eastAsia="en-AU"/>
        </w:rPr>
        <w:t>Lameness is associated with heavy, fast-growing, broilers and is of serious welfare concern due to an inability of lame birds to access resources, limited behavioural expression, and pain; preventative measures include the encouragement of activity from an early age to improve leg strength, an appropriate photoperiod, and the use of genetic selection in breeding programmes.</w:t>
      </w:r>
    </w:p>
    <w:p w14:paraId="00860A32" w14:textId="77777777" w:rsidR="00286A88" w:rsidRPr="00286A88" w:rsidRDefault="00286A88" w:rsidP="009E3BC2">
      <w:pPr>
        <w:rPr>
          <w:lang w:val="en-AU" w:eastAsia="en-AU"/>
        </w:rPr>
      </w:pPr>
      <w:r w:rsidRPr="00286A88">
        <w:rPr>
          <w:lang w:val="en-AU" w:eastAsia="en-AU"/>
        </w:rPr>
        <w:t>Lameness can take many forms. It can be infectious (see B3.3b), arise due to developmental bone deformities (see B3.3c), or be degenerative (e.g. due to the consequence of trauma or load-bearing throughout life), and it can involve tendons, joints, ligaments, and bones (Bradshaw et al., 2002). Strong correlations between body mass, growth rate, and lameness have been documented (e.g. Kestin et al., 2001), although there is little evidence to link the severity of lameness with pathology (</w:t>
      </w:r>
      <w:r w:rsidRPr="00286A88">
        <w:rPr>
          <w:rFonts w:cs="RealpageBAS6"/>
          <w:lang w:val="en-AU" w:eastAsia="en-AU"/>
        </w:rPr>
        <w:t>Garner et al., 2002; S</w:t>
      </w:r>
      <w:r w:rsidRPr="00286A88">
        <w:rPr>
          <w:lang w:val="en-AU" w:eastAsia="en-AU"/>
        </w:rPr>
        <w:t xml:space="preserve">andilands et al., 2011; </w:t>
      </w:r>
      <w:r w:rsidRPr="00286A88">
        <w:rPr>
          <w:rFonts w:cs="AdvP49811"/>
          <w:lang w:val="en-AU" w:eastAsia="en-AU"/>
        </w:rPr>
        <w:t>Fernandes et al., 2012</w:t>
      </w:r>
      <w:r w:rsidRPr="00286A88">
        <w:rPr>
          <w:lang w:val="en-AU" w:eastAsia="en-AU"/>
        </w:rPr>
        <w:t>), which complicates the issue in assigning pain (see B3.3f). Poor leg health and locomotion problems continue to be the major cause of culling, late mortality and poor welfare in broilers.</w:t>
      </w:r>
    </w:p>
    <w:p w14:paraId="3141CA93" w14:textId="77777777" w:rsidR="00286A88" w:rsidRPr="00286A88" w:rsidRDefault="00286A88" w:rsidP="009E3BC2">
      <w:pPr>
        <w:pStyle w:val="Heading41"/>
      </w:pPr>
      <w:r w:rsidRPr="00286A88">
        <w:t>B3.3a Prevalence and relation to growth rate</w:t>
      </w:r>
    </w:p>
    <w:p w14:paraId="44053BE6" w14:textId="77777777" w:rsidR="00286A88" w:rsidRPr="00286A88" w:rsidRDefault="00286A88" w:rsidP="009E3BC2">
      <w:pPr>
        <w:rPr>
          <w:lang w:val="en-AU" w:eastAsia="en-AU"/>
        </w:rPr>
      </w:pPr>
      <w:r w:rsidRPr="00286A88">
        <w:rPr>
          <w:lang w:val="en-AU" w:eastAsia="en-AU"/>
        </w:rPr>
        <w:t>Genetic selection has altered the morphology and walking ability of modern broilers. The breast muscle has been specifically targeted (producing a condition termed pectoral hypertrophy) which makes modern broiler breeds front heavy, in addition to having a greater thigh muscle and leg bone mass, and relatively short legs (Corr et al., 2003a). Differences in gait identified between modern broilers and Red Jungle</w:t>
      </w:r>
      <w:r w:rsidR="0001061E">
        <w:rPr>
          <w:lang w:val="en-AU" w:eastAsia="en-AU"/>
        </w:rPr>
        <w:t>f</w:t>
      </w:r>
      <w:r w:rsidRPr="00286A88">
        <w:rPr>
          <w:lang w:val="en-AU" w:eastAsia="en-AU"/>
        </w:rPr>
        <w:t>owl, their ancestral line (Caplen et al., 2012), will likely be due to a combination of greater body mass, abnormal morphology, and often (but not necessarily) pathology. In response to an injury, heavy load, or unbalanced posture, an animal will perform compensatory gait adaptations to minimise the additional energy expenditure required for movement (Corr et al., 2003b). Modifications, such as the wide stance and hip and foot rotations, rapidly tire the birds (and explain low activity levels), but may also lead to progressive leg pathologies (Corr et al., 2003a; 2003b).</w:t>
      </w:r>
    </w:p>
    <w:p w14:paraId="17D7CB60" w14:textId="77777777" w:rsidR="00286A88" w:rsidRPr="00286A88" w:rsidRDefault="00286A88" w:rsidP="009E3BC2">
      <w:pPr>
        <w:rPr>
          <w:lang w:val="en-AU" w:eastAsia="en-AU"/>
        </w:rPr>
      </w:pPr>
      <w:r w:rsidRPr="00286A88">
        <w:rPr>
          <w:lang w:val="en-AU" w:eastAsia="en-AU"/>
        </w:rPr>
        <w:t xml:space="preserve">In studies of UK flocks, Dawkins et al. (2004) found that 0.9% of all broilers scored were ‘reluctant to move and unable to walk many strides before sitting down’, while a later field-survey reported that by the end of rear 27.6% of birds showed poor locomotion and 3.3% were almost unable to walk (Knowles et al., 2008). The prevalence of </w:t>
      </w:r>
      <w:r w:rsidRPr="00286A88">
        <w:rPr>
          <w:lang w:val="en-AU" w:eastAsia="en-GB"/>
        </w:rPr>
        <w:t xml:space="preserve">valgus (more common, feet splayed outwards) and varus (feet splayed inwards) </w:t>
      </w:r>
      <w:r w:rsidRPr="00286A88">
        <w:rPr>
          <w:lang w:val="en-AU" w:eastAsia="en-AU"/>
        </w:rPr>
        <w:t xml:space="preserve">deformations have been reported as 37% (Denmark: </w:t>
      </w:r>
      <w:r w:rsidRPr="00286A88">
        <w:rPr>
          <w:bCs/>
          <w:iCs/>
          <w:lang w:val="en-AU" w:eastAsia="en-AU"/>
        </w:rPr>
        <w:t xml:space="preserve">Sanotra et al., 2001) </w:t>
      </w:r>
      <w:r w:rsidRPr="00286A88">
        <w:rPr>
          <w:lang w:val="en-AU" w:eastAsia="en-AU"/>
        </w:rPr>
        <w:t>and 23.3% (UK: Dawkins et al., 2004), b</w:t>
      </w:r>
      <w:r w:rsidRPr="00286A88">
        <w:rPr>
          <w:bCs/>
          <w:iCs/>
          <w:lang w:val="en-AU" w:eastAsia="en-AU"/>
        </w:rPr>
        <w:t>ut this figure is likely to have changed since breeding companies are constantly selecting for improved leg health.</w:t>
      </w:r>
      <w:r w:rsidRPr="00286A88">
        <w:rPr>
          <w:b/>
          <w:lang w:val="en-AU" w:eastAsia="en-AU"/>
        </w:rPr>
        <w:t xml:space="preserve"> </w:t>
      </w:r>
      <w:r w:rsidRPr="00286A88">
        <w:rPr>
          <w:rFonts w:cs="TimesNewRomanPSMT"/>
          <w:lang w:val="en-AU" w:eastAsia="en-AU"/>
        </w:rPr>
        <w:t>Tibial dyschondroplasia (TD) prevalence data varies widely between studies, presumably because some have targeted flocks with known leg problems; a Danish study reported a very high prevalence of 57% (</w:t>
      </w:r>
      <w:r w:rsidRPr="00286A88">
        <w:rPr>
          <w:bCs/>
          <w:iCs/>
          <w:lang w:val="en-AU" w:eastAsia="en-AU"/>
        </w:rPr>
        <w:t xml:space="preserve">Sanotra et al., 2001), while the </w:t>
      </w:r>
      <w:r w:rsidRPr="00286A88">
        <w:rPr>
          <w:rFonts w:cs="TimesNewRomanPSMT"/>
          <w:lang w:val="en-AU" w:eastAsia="en-AU"/>
        </w:rPr>
        <w:t xml:space="preserve">incidence of TD reported </w:t>
      </w:r>
      <w:r w:rsidRPr="00286A88">
        <w:rPr>
          <w:rFonts w:cs="Times-Bold"/>
          <w:bCs/>
          <w:lang w:val="en-AU" w:eastAsia="en-AU"/>
        </w:rPr>
        <w:t>in an experimental flock (USA) was only 9.2% (Tablante et al., 2003).</w:t>
      </w:r>
    </w:p>
    <w:p w14:paraId="4CA1D161" w14:textId="77777777" w:rsidR="00286A88" w:rsidRPr="00286A88" w:rsidRDefault="00286A88" w:rsidP="009E3BC2">
      <w:pPr>
        <w:pStyle w:val="Heading41"/>
      </w:pPr>
      <w:r w:rsidRPr="00286A88">
        <w:t>B3.3b Infectious lameness</w:t>
      </w:r>
    </w:p>
    <w:p w14:paraId="76EA5638" w14:textId="77777777" w:rsidR="00286A88" w:rsidRPr="00286A88" w:rsidRDefault="00286A88" w:rsidP="009E3BC2">
      <w:pPr>
        <w:rPr>
          <w:rFonts w:cs="UVCharter-Regular"/>
          <w:lang w:val="en-AU" w:eastAsia="en-AU"/>
        </w:rPr>
      </w:pPr>
      <w:r w:rsidRPr="00286A88">
        <w:rPr>
          <w:lang w:val="en-AU" w:eastAsia="en-AU"/>
        </w:rPr>
        <w:t>Femoral head necrosis (FHN), or</w:t>
      </w:r>
      <w:r w:rsidRPr="00286A88">
        <w:rPr>
          <w:rFonts w:eastAsia="ComputerModern-Regular" w:cs="ComputerModern-Regular"/>
          <w:lang w:val="en-AU" w:eastAsia="en-AU"/>
        </w:rPr>
        <w:t xml:space="preserve"> bacterial chondronecrosis with osteomyelitis,</w:t>
      </w:r>
      <w:r w:rsidRPr="00286A88">
        <w:rPr>
          <w:lang w:val="en-AU" w:eastAsia="en-AU"/>
        </w:rPr>
        <w:t xml:space="preserve"> is one of the most widespread and prevalent endochondral bone growth problems within European broilers, although the pathology is being successfully addressed with improved hatchery hygiene. FHN </w:t>
      </w:r>
      <w:r w:rsidRPr="00286A88">
        <w:rPr>
          <w:rFonts w:cs="AdvP4CD4D0"/>
          <w:lang w:val="en-AU" w:eastAsia="en-AU"/>
        </w:rPr>
        <w:t xml:space="preserve">is associated with lesions in the metaphysis, femoral head, proximal femoral growth plate and joint; in a recent study necrosis was most commonly caused by osteomyelitis, which was associated with </w:t>
      </w:r>
      <w:r w:rsidRPr="00286A88">
        <w:rPr>
          <w:rFonts w:cs="AdvP4CD4D4"/>
          <w:i/>
          <w:lang w:val="en-AU" w:eastAsia="en-AU"/>
        </w:rPr>
        <w:t>E. coli</w:t>
      </w:r>
      <w:r w:rsidRPr="00286A88">
        <w:rPr>
          <w:rFonts w:cs="AdvP4CD4D4"/>
          <w:lang w:val="en-AU" w:eastAsia="en-AU"/>
        </w:rPr>
        <w:t xml:space="preserve"> </w:t>
      </w:r>
      <w:r w:rsidRPr="00286A88">
        <w:rPr>
          <w:rFonts w:cs="AdvP4CD4D0"/>
          <w:lang w:val="en-AU" w:eastAsia="en-AU"/>
        </w:rPr>
        <w:t>infection in more than 90% of broilers with FHN (</w:t>
      </w:r>
      <w:r w:rsidRPr="00286A88">
        <w:rPr>
          <w:rFonts w:cs="UVCharter-Regular"/>
          <w:lang w:val="en-AU" w:eastAsia="en-AU"/>
        </w:rPr>
        <w:t>Dinev, 2009).</w:t>
      </w:r>
    </w:p>
    <w:p w14:paraId="16FA9656" w14:textId="77777777" w:rsidR="00286A88" w:rsidRPr="00286A88" w:rsidRDefault="00286A88" w:rsidP="009E3BC2">
      <w:pPr>
        <w:pStyle w:val="Heading41"/>
      </w:pPr>
      <w:r w:rsidRPr="00286A88">
        <w:t>B3.3c Developmental lameness</w:t>
      </w:r>
    </w:p>
    <w:p w14:paraId="26661B9D" w14:textId="77777777" w:rsidR="00286A88" w:rsidRPr="00286A88" w:rsidRDefault="00286A88" w:rsidP="009E3BC2">
      <w:pPr>
        <w:rPr>
          <w:rFonts w:eastAsia="ComputerModern-Regular" w:cs="ComputerModern-Regular"/>
          <w:lang w:val="en-AU" w:eastAsia="en-AU"/>
        </w:rPr>
      </w:pPr>
      <w:r w:rsidRPr="00286A88">
        <w:rPr>
          <w:lang w:val="en-AU" w:eastAsia="en-GB"/>
        </w:rPr>
        <w:t>Commonly observed skeletal abnormalities include angular deformities (valgus-varus) and rotational (torsional) deformities such as twisted leg. These are observed in the distal limb and involve lateral or medial deviation and/or external rotation. The pathogenesis of the valgus and varus deviation of the intertarsal joint is not well defined. The deformity may occur as a consequence of poor bone mineralisation and may have links with rickets. Leg</w:t>
      </w:r>
      <w:r w:rsidRPr="00286A88">
        <w:rPr>
          <w:rFonts w:eastAsia="ComputerModern-Regular" w:cs="ComputerModern-Regular"/>
          <w:lang w:val="en-AU" w:eastAsia="en-AU"/>
        </w:rPr>
        <w:t xml:space="preserve"> angulations can occur in different severities;</w:t>
      </w:r>
      <w:r w:rsidRPr="00286A88">
        <w:rPr>
          <w:rFonts w:cs="UVCharter-Regular"/>
          <w:lang w:val="en-AU" w:eastAsia="en-AU"/>
        </w:rPr>
        <w:t xml:space="preserve"> Shim et al. (2012a) classify valgus as </w:t>
      </w:r>
      <w:r w:rsidRPr="00286A88">
        <w:rPr>
          <w:rFonts w:eastAsia="ComputerModern-Regular" w:cs="ComputerModern-Regular"/>
          <w:lang w:val="en-AU" w:eastAsia="en-AU"/>
        </w:rPr>
        <w:t>mild (tibia-metatarsus angle between 10-25°), intermediate (25–45°), or severe (&gt;45°).</w:t>
      </w:r>
    </w:p>
    <w:p w14:paraId="363E1C9E" w14:textId="77777777" w:rsidR="00286A88" w:rsidRPr="00286A88" w:rsidRDefault="00286A88" w:rsidP="009E3BC2">
      <w:pPr>
        <w:rPr>
          <w:rFonts w:cs="Times-Bold"/>
          <w:bCs/>
          <w:lang w:val="en-AU" w:eastAsia="en-AU"/>
        </w:rPr>
      </w:pPr>
      <w:r w:rsidRPr="00286A88">
        <w:rPr>
          <w:rFonts w:cs="TimesNewRomanPSMT"/>
          <w:lang w:val="en-AU" w:eastAsia="en-AU"/>
        </w:rPr>
        <w:t>Although less prevalent in recent years due to selective breeding programmes, tibial dyschondroplasia (TD) remains one of the most common skeletal abnormalities associated with fast growth in broilers and can lead to lameness; it occurs as a defect in the prehypertrophic cartilage of the growth plate (</w:t>
      </w:r>
      <w:r w:rsidRPr="00286A88">
        <w:rPr>
          <w:rFonts w:cs="UVCharter-Regular"/>
          <w:lang w:val="en-AU" w:eastAsia="en-AU"/>
        </w:rPr>
        <w:t xml:space="preserve">Dinev et al., 2012). </w:t>
      </w:r>
      <w:r w:rsidRPr="00286A88">
        <w:rPr>
          <w:rFonts w:cs="TimesNewRomanPSMT"/>
          <w:lang w:val="en-AU" w:eastAsia="en-AU"/>
        </w:rPr>
        <w:t xml:space="preserve">The TD lesion </w:t>
      </w:r>
      <w:r w:rsidRPr="00286A88">
        <w:rPr>
          <w:rFonts w:eastAsia="ComputerModern-Regular" w:cs="ComputerModern-Regular"/>
          <w:lang w:val="en-AU" w:eastAsia="en-AU"/>
        </w:rPr>
        <w:t>is characterized by an abnormal white, opaque, unmineralised, and unvascularised mass of cartilage occurring, most commonly, in the proximal end of the tibia. Bones from birds with TD are generally less well mineralised and have lower p</w:t>
      </w:r>
      <w:r w:rsidRPr="00286A88">
        <w:rPr>
          <w:rFonts w:cs="Times-Bold"/>
          <w:bCs/>
          <w:lang w:val="en-AU" w:eastAsia="en-AU"/>
        </w:rPr>
        <w:t>ercentage bone ash than healthy birds (Tablante et al., 2003).</w:t>
      </w:r>
    </w:p>
    <w:p w14:paraId="07DCB74A" w14:textId="77777777" w:rsidR="00286A88" w:rsidRPr="00286A88" w:rsidRDefault="00286A88" w:rsidP="009E3BC2">
      <w:pPr>
        <w:rPr>
          <w:lang w:val="en-AU" w:eastAsia="en-AU"/>
        </w:rPr>
      </w:pPr>
      <w:r w:rsidRPr="00286A88">
        <w:rPr>
          <w:lang w:val="en-AU" w:eastAsia="en-AU"/>
        </w:rPr>
        <w:t xml:space="preserve">Rickets is relatively uncommon within modern broiler flocks. The leg disorder develops as a result of nutrient (vitamin D, calcium, and phosphorus) malabsorption (e.g. following intestinal disease), or due to inadequate nutrition (e.g. dietary errors). Incidence of calcium (hypocalcemic) rickets is significantly influenced by dietary calcium; a higher incidence was observed in birds fed diets with 0.2% less Ca than the 2:1 Ca:nPP (non-phytate phosphorus) ratio (Coto et al., 2008). Rickets is associated with defective flexible long-bone formation as a result of abnormal endochondral ossification and failed mineralisation leading to skeletal deformities (valgus-varus); this may increase the risk of the flock developing additional pathological states (FHN, TD) during the finisher period (Dinev and Kanakov, 2011). Corr et al. (2003b) observed that </w:t>
      </w:r>
      <w:r w:rsidRPr="00286A88">
        <w:rPr>
          <w:i/>
          <w:lang w:val="en-AU" w:eastAsia="en-AU"/>
        </w:rPr>
        <w:t>ad libitum</w:t>
      </w:r>
      <w:r w:rsidRPr="00286A88">
        <w:rPr>
          <w:lang w:val="en-AU" w:eastAsia="en-AU"/>
        </w:rPr>
        <w:t xml:space="preserve"> fed fast-grow broilers had wider tarsometatarsus bones but the bones had a lower calcium and phosphorus content than slow-grow broilers, which would theoretically make them weaker.</w:t>
      </w:r>
    </w:p>
    <w:p w14:paraId="397035D9" w14:textId="77777777" w:rsidR="00286A88" w:rsidRPr="00286A88" w:rsidRDefault="00286A88" w:rsidP="009E3BC2">
      <w:pPr>
        <w:pStyle w:val="Heading41"/>
      </w:pPr>
      <w:r w:rsidRPr="00286A88">
        <w:t>B3.3d Measuring leg health</w:t>
      </w:r>
    </w:p>
    <w:p w14:paraId="20CEA6DE" w14:textId="77777777" w:rsidR="00286A88" w:rsidRPr="00286A88" w:rsidRDefault="00286A88" w:rsidP="009E3BC2">
      <w:pPr>
        <w:rPr>
          <w:rFonts w:cs="AdvGulliv-R"/>
          <w:lang w:val="en-AU" w:eastAsia="en-AU"/>
        </w:rPr>
      </w:pPr>
      <w:r w:rsidRPr="00286A88">
        <w:rPr>
          <w:lang w:val="en-AU" w:eastAsia="en-AU"/>
        </w:rPr>
        <w:t>Several gait scoring methods have been developed for assessing broiler lameness in the field, based upon visual appraisal of walking ability. These range from simple three point scales (</w:t>
      </w:r>
      <w:r w:rsidRPr="00286A88">
        <w:rPr>
          <w:rFonts w:cs="AdvP4DF60E"/>
          <w:lang w:val="en-AU" w:eastAsia="en-AU"/>
        </w:rPr>
        <w:t xml:space="preserve">0: completely normal, 1: walking impaired; 2: unable to walk, Dawkins et al., 2004) to the widely used Bristol </w:t>
      </w:r>
      <w:r w:rsidRPr="00286A88">
        <w:rPr>
          <w:rFonts w:cs="AdvGulliv-R"/>
          <w:lang w:val="en-AU" w:eastAsia="en-AU"/>
        </w:rPr>
        <w:t>six-point ‘gait score’ (GS) scale (BGSS: Kestin et al., 1992), now adopted in a modified form for use within the broiler Welfare Quality® Assessment (GS 0: Normal, dextrous and agile; GS 1: Slight abnormality, but difficult to determine; GS 2: Definite and identifiable abnormality; GS 3: Obvious abnormality, affects ability to move; GS 4: Severe abnormality, only takes a few steps; GS 5: Incapable of walking, (Welfare Quality®, 2009). Although gait-scoring systems are suited for use on-farm, being quick to employ and requiring no specialised equipment, as subjective methodologies they lack the capacity to discriminate between lameness type. A moderately lame ‘GS 3’ bird could be affected bilaterally (e.g. valgus) or unilaterally (e.g. singular hock inflammation), or lack any obvious pathology. Objective methodologies for quantitatively assessing gait are now available (e.g. kinematic analysis: Caplen et al., 2012; 2013a), but these are currently only suitable for experimental ‘laboratory’ use.</w:t>
      </w:r>
    </w:p>
    <w:p w14:paraId="32E44EBE" w14:textId="77777777" w:rsidR="00286A88" w:rsidRPr="00286A88" w:rsidRDefault="00286A88" w:rsidP="009E3BC2">
      <w:pPr>
        <w:rPr>
          <w:rFonts w:cs="AdvP4DF60E"/>
          <w:lang w:val="en-AU" w:eastAsia="en-AU"/>
        </w:rPr>
      </w:pPr>
      <w:r w:rsidRPr="00286A88">
        <w:rPr>
          <w:rFonts w:cs="AdvFrutiger-RC"/>
          <w:lang w:val="en-AU" w:eastAsia="en-AU"/>
        </w:rPr>
        <w:t xml:space="preserve">Another widely-used measure of leg health is the latency-to-lie (LTL) test. This records the time-taken for a broiler to sit, from standing, when placed in (mildly aversive) shallow water (Weeks et al., 2002; Berg and Sanotra, 2003). Efforts are currently being made to develop automated technologies that can be used on farm to remotely monitor flock leg health. </w:t>
      </w:r>
      <w:r w:rsidRPr="00286A88">
        <w:rPr>
          <w:lang w:val="en-AU" w:eastAsia="en-AU"/>
        </w:rPr>
        <w:t xml:space="preserve">An </w:t>
      </w:r>
      <w:r w:rsidRPr="00286A88">
        <w:rPr>
          <w:rFonts w:cs="GillSans-Italic"/>
          <w:iCs/>
          <w:lang w:val="en-AU" w:eastAsia="en-AU"/>
        </w:rPr>
        <w:t xml:space="preserve">automatic monitoring system has recently been developed that quantifies the number of lying events and the latency to lie down in broiler chickens while they walk a test corridor; the authors report good correlations with these measures and GS (Aydin et al., 2015). </w:t>
      </w:r>
      <w:r w:rsidRPr="00286A88">
        <w:rPr>
          <w:rFonts w:cs="GulliverRM"/>
          <w:lang w:val="en-AU" w:eastAsia="en-AU"/>
        </w:rPr>
        <w:t>In a step towards achieving an automated means of assessing broiler welfare</w:t>
      </w:r>
      <w:r w:rsidRPr="00286A88">
        <w:rPr>
          <w:rFonts w:cs="AdvP4DF60E"/>
          <w:lang w:val="en-AU" w:eastAsia="en-AU"/>
        </w:rPr>
        <w:t xml:space="preserve"> via behavioural </w:t>
      </w:r>
      <w:r w:rsidRPr="00286A88">
        <w:rPr>
          <w:rFonts w:cs="GulliverRM"/>
          <w:lang w:val="en-AU" w:eastAsia="en-AU"/>
        </w:rPr>
        <w:t xml:space="preserve">surveillance, </w:t>
      </w:r>
      <w:r w:rsidRPr="00286A88">
        <w:rPr>
          <w:rFonts w:cs="AdvP4DF60E"/>
          <w:lang w:val="en-AU" w:eastAsia="en-AU"/>
        </w:rPr>
        <w:t xml:space="preserve">optical flow measures of flock movement have been shown to correlate </w:t>
      </w:r>
      <w:r w:rsidRPr="00286A88">
        <w:rPr>
          <w:rFonts w:cs="GulliverRM"/>
          <w:lang w:val="en-AU" w:eastAsia="en-AU"/>
        </w:rPr>
        <w:t>with welfare outputs such as mortality, HB, FPD and lameness</w:t>
      </w:r>
      <w:r w:rsidRPr="00286A88">
        <w:rPr>
          <w:rFonts w:cs="AdvP4DF60E"/>
          <w:lang w:val="en-AU" w:eastAsia="en-AU"/>
        </w:rPr>
        <w:t xml:space="preserve"> (Dawkins et al., 2009; 2013; Roberts et al., 2012). Optical flow refers to a change in the rate of change in brightness in each area of an image frame over time. Dawkins et al. (2013) found that when healthy, normal walking becomes unusual within a flock (e.g. the number of birds that walk for at least 10 s is infrequent) this can be detected by looking at the distribution (kurtosis and skew) of the optical flow distribution curve.</w:t>
      </w:r>
    </w:p>
    <w:p w14:paraId="7BAD9C6C" w14:textId="77777777" w:rsidR="00286A88" w:rsidRPr="00286A88" w:rsidRDefault="00286A88" w:rsidP="009E3BC2">
      <w:pPr>
        <w:pStyle w:val="Heading41"/>
      </w:pPr>
      <w:r w:rsidRPr="00286A88">
        <w:t>B3.3e Lameness risk factors</w:t>
      </w:r>
    </w:p>
    <w:p w14:paraId="4E56CD6D" w14:textId="77777777" w:rsidR="00286A88" w:rsidRPr="00286A88" w:rsidRDefault="00286A88" w:rsidP="009E3BC2">
      <w:pPr>
        <w:rPr>
          <w:rFonts w:cs="UVCharter-Regular"/>
          <w:lang w:val="en-AU" w:eastAsia="en-AU"/>
        </w:rPr>
      </w:pPr>
      <w:r w:rsidRPr="00286A88">
        <w:rPr>
          <w:lang w:val="en-AU" w:eastAsia="en-AU"/>
        </w:rPr>
        <w:t>The key risk factors associated with lameness and poor leg health in modern broiler genotypes are those specifically associated with rate of growth, including g</w:t>
      </w:r>
      <w:r w:rsidRPr="00286A88">
        <w:rPr>
          <w:rFonts w:cs="Courier"/>
          <w:lang w:val="en-AU" w:eastAsia="en-AU"/>
        </w:rPr>
        <w:t>enotype (growth rate), age, body mass and feeding regimen. High live-weights and rapid growth rates result in abnormally high loads being placed on relatively immature bones and joints. The more traditional and slower-growing genotypes demonstrate lower lameness than modern fast-growing breeds reared on the same feeding regimen (Kestin et al., 2001); however, genotypic differences in leg health have also been identified between fast-grow breeds (</w:t>
      </w:r>
      <w:r w:rsidRPr="00286A88">
        <w:rPr>
          <w:lang w:val="en-AU" w:eastAsia="en-AU"/>
        </w:rPr>
        <w:t xml:space="preserve">Knowles et al., 2008). </w:t>
      </w:r>
      <w:r w:rsidRPr="00286A88">
        <w:rPr>
          <w:rFonts w:eastAsia="ComputerModern-Regular" w:cs="ComputerModern-Regular"/>
          <w:lang w:val="en-AU" w:eastAsia="en-AU"/>
        </w:rPr>
        <w:t xml:space="preserve">Bone health (tibia breaking strength and tibia density per unit of body mass) is also better in slower-growing (no more than 50 g weight gain/day averaged over growing period; e.g. Label Rouge; Cornish Rock; Cobb Sasso) than fast-growing broilers (e.g. Ross 308; Cobb 500). Fast-growing breeds have highly porous cortical bones which leave them susceptible to developing bone abnormalities and leg deformities (Shim et al., 2012b). </w:t>
      </w:r>
      <w:r w:rsidRPr="00286A88">
        <w:rPr>
          <w:rFonts w:cs="Times-Bold"/>
          <w:bCs/>
          <w:lang w:val="en-AU" w:eastAsia="en-AU"/>
        </w:rPr>
        <w:t>A</w:t>
      </w:r>
      <w:r w:rsidRPr="00286A88">
        <w:rPr>
          <w:rFonts w:cs="TimesNewRomanPSMT"/>
          <w:lang w:val="en-AU" w:eastAsia="en-AU"/>
        </w:rPr>
        <w:t xml:space="preserve"> Bulgarian study highlighted differences in TD incidence associated with genotype: Pureline (27.7%), Cobb 500 (26.5%) and Ross 308 (24.22%) (</w:t>
      </w:r>
      <w:r w:rsidRPr="00286A88">
        <w:rPr>
          <w:rFonts w:cs="UVCharter-Regular"/>
          <w:lang w:val="en-AU" w:eastAsia="en-AU"/>
        </w:rPr>
        <w:t>Dinev et al., 2012).</w:t>
      </w:r>
    </w:p>
    <w:p w14:paraId="7313A18A" w14:textId="77777777" w:rsidR="00286A88" w:rsidRPr="00286A88" w:rsidRDefault="00286A88" w:rsidP="009E3BC2">
      <w:pPr>
        <w:rPr>
          <w:rFonts w:cs="UVCharter-Regular"/>
          <w:lang w:val="en-AU" w:eastAsia="en-AU"/>
        </w:rPr>
      </w:pPr>
      <w:r w:rsidRPr="00286A88">
        <w:rPr>
          <w:rFonts w:cs="Courier"/>
          <w:lang w:val="en-AU" w:eastAsia="en-AU"/>
        </w:rPr>
        <w:t>Lameness increases with age (</w:t>
      </w:r>
      <w:r w:rsidRPr="00286A88">
        <w:rPr>
          <w:lang w:val="en-AU" w:eastAsia="en-AU"/>
        </w:rPr>
        <w:t xml:space="preserve">Sorensen et al., 2000; </w:t>
      </w:r>
      <w:r w:rsidRPr="00286A88">
        <w:rPr>
          <w:rFonts w:cs="Courier"/>
          <w:lang w:val="en-AU" w:eastAsia="en-AU"/>
        </w:rPr>
        <w:t xml:space="preserve">Kestin et al., 2001; </w:t>
      </w:r>
      <w:r w:rsidRPr="00286A88">
        <w:rPr>
          <w:rFonts w:cs="CMR10"/>
          <w:lang w:val="en-AU" w:eastAsia="en-AU"/>
        </w:rPr>
        <w:t xml:space="preserve">Weeks et al., 2002; </w:t>
      </w:r>
      <w:r w:rsidRPr="00286A88">
        <w:rPr>
          <w:rFonts w:cs="Palatino-Roman"/>
          <w:lang w:val="en-AU" w:eastAsia="en-AU"/>
        </w:rPr>
        <w:t xml:space="preserve">Brickett et al., 2007; </w:t>
      </w:r>
      <w:r w:rsidRPr="00286A88">
        <w:rPr>
          <w:lang w:val="en-AU" w:eastAsia="en-AU"/>
        </w:rPr>
        <w:t xml:space="preserve">Knowles et al., 2008; </w:t>
      </w:r>
      <w:r w:rsidRPr="00286A88">
        <w:rPr>
          <w:rFonts w:cs="AdvOTeea082cb"/>
          <w:lang w:val="en-AU" w:eastAsia="en-AU"/>
        </w:rPr>
        <w:t>Bailie</w:t>
      </w:r>
      <w:r w:rsidRPr="00286A88">
        <w:rPr>
          <w:rFonts w:cs="AdvOTeea082cb+20"/>
          <w:lang w:val="en-AU" w:eastAsia="en-AU"/>
        </w:rPr>
        <w:t xml:space="preserve"> et al.</w:t>
      </w:r>
      <w:r w:rsidRPr="00286A88">
        <w:rPr>
          <w:rFonts w:cs="AdvOTeea082cb"/>
          <w:lang w:val="en-AU" w:eastAsia="en-AU"/>
        </w:rPr>
        <w:t xml:space="preserve">, 2013; </w:t>
      </w:r>
      <w:r w:rsidRPr="00286A88">
        <w:rPr>
          <w:rFonts w:eastAsia="ComputerModern-Regular" w:cs="ComputerModern-Regular"/>
          <w:lang w:val="en-AU" w:eastAsia="en-AU"/>
        </w:rPr>
        <w:t xml:space="preserve">Bassler et al., 2013; </w:t>
      </w:r>
      <w:r w:rsidRPr="00286A88">
        <w:rPr>
          <w:rFonts w:cs="AdvOTeea082cb"/>
          <w:lang w:val="en-AU" w:eastAsia="en-AU"/>
        </w:rPr>
        <w:t>Bailie</w:t>
      </w:r>
      <w:r w:rsidRPr="00286A88">
        <w:rPr>
          <w:rFonts w:cs="AdvOTeea082cb+20"/>
          <w:lang w:val="en-AU" w:eastAsia="en-AU"/>
        </w:rPr>
        <w:t xml:space="preserve"> and</w:t>
      </w:r>
      <w:r w:rsidRPr="00286A88">
        <w:rPr>
          <w:rFonts w:cs="AdvOTeea082cb"/>
          <w:lang w:val="en-AU" w:eastAsia="en-AU"/>
        </w:rPr>
        <w:t xml:space="preserve"> O</w:t>
      </w:r>
      <w:r w:rsidRPr="00286A88">
        <w:rPr>
          <w:rFonts w:cs="AdvOTeea082cb+20"/>
          <w:lang w:val="en-AU" w:eastAsia="en-AU"/>
        </w:rPr>
        <w:t>’</w:t>
      </w:r>
      <w:r w:rsidRPr="00286A88">
        <w:rPr>
          <w:rFonts w:cs="AdvOTeea082cb"/>
          <w:lang w:val="en-AU" w:eastAsia="en-AU"/>
        </w:rPr>
        <w:t xml:space="preserve">Connell, 2015; </w:t>
      </w:r>
      <w:r w:rsidRPr="00286A88">
        <w:rPr>
          <w:rFonts w:cs="CMR10"/>
          <w:lang w:val="en-AU" w:eastAsia="en-AU"/>
        </w:rPr>
        <w:t>Henriksen et al., 2016</w:t>
      </w:r>
      <w:r w:rsidRPr="00286A88">
        <w:rPr>
          <w:rFonts w:cs="Courier"/>
          <w:lang w:val="en-AU" w:eastAsia="en-AU"/>
        </w:rPr>
        <w:t>), and body mass (</w:t>
      </w:r>
      <w:r w:rsidRPr="00286A88">
        <w:rPr>
          <w:rFonts w:cs="CMR10"/>
          <w:lang w:val="en-AU" w:eastAsia="en-AU"/>
        </w:rPr>
        <w:t xml:space="preserve">Weeks et al., 2002; </w:t>
      </w:r>
      <w:r w:rsidRPr="00286A88">
        <w:rPr>
          <w:rFonts w:cs="AdvP4CD4D0"/>
          <w:lang w:val="en-AU" w:eastAsia="en-AU"/>
        </w:rPr>
        <w:t xml:space="preserve">Kristensen et al., 2006a; Venäläinen et al., 2006; </w:t>
      </w:r>
      <w:r w:rsidRPr="00286A88">
        <w:rPr>
          <w:rFonts w:cs="Palatino-Roman"/>
          <w:lang w:val="en-AU" w:eastAsia="en-AU"/>
        </w:rPr>
        <w:t xml:space="preserve">Brickett et al., 2007; </w:t>
      </w:r>
      <w:r w:rsidRPr="00286A88">
        <w:rPr>
          <w:lang w:val="en-AU" w:eastAsia="en-AU"/>
        </w:rPr>
        <w:t xml:space="preserve">Nääs et al., 2009; </w:t>
      </w:r>
      <w:r w:rsidRPr="00286A88">
        <w:rPr>
          <w:rFonts w:cs="CMR10"/>
          <w:lang w:val="en-AU" w:eastAsia="en-AU"/>
        </w:rPr>
        <w:t>Henriksen et al., 2016</w:t>
      </w:r>
      <w:r w:rsidRPr="00286A88">
        <w:rPr>
          <w:lang w:val="en-AU" w:eastAsia="en-AU"/>
        </w:rPr>
        <w:t>). As does</w:t>
      </w:r>
      <w:r w:rsidRPr="00286A88">
        <w:rPr>
          <w:rFonts w:eastAsia="ComputerModern-Regular" w:cs="ComputerModern-Regular"/>
          <w:lang w:val="en-AU" w:eastAsia="en-AU"/>
        </w:rPr>
        <w:t xml:space="preserve"> valgus-varus </w:t>
      </w:r>
      <w:r w:rsidRPr="00286A88">
        <w:rPr>
          <w:rFonts w:cs="UVCharter-Regular"/>
          <w:lang w:val="en-AU" w:eastAsia="en-AU"/>
        </w:rPr>
        <w:t xml:space="preserve">(age: </w:t>
      </w:r>
      <w:r w:rsidRPr="00286A88">
        <w:rPr>
          <w:lang w:val="en-AU" w:eastAsia="en-AU"/>
        </w:rPr>
        <w:t xml:space="preserve">Fernandes et al., 2012; mass: </w:t>
      </w:r>
      <w:r w:rsidRPr="00286A88">
        <w:rPr>
          <w:bCs/>
          <w:iCs/>
          <w:lang w:val="en-AU" w:eastAsia="en-AU"/>
        </w:rPr>
        <w:t xml:space="preserve">Sanotra et al., 2001; </w:t>
      </w:r>
      <w:r w:rsidRPr="00286A88">
        <w:rPr>
          <w:rFonts w:cs="UVCharter-Regular"/>
          <w:lang w:val="en-AU" w:eastAsia="en-AU"/>
        </w:rPr>
        <w:t>Shim et al., 2012a</w:t>
      </w:r>
      <w:r w:rsidRPr="00286A88">
        <w:rPr>
          <w:lang w:val="en-AU" w:eastAsia="en-AU"/>
        </w:rPr>
        <w:t xml:space="preserve">). </w:t>
      </w:r>
      <w:r w:rsidRPr="00286A88">
        <w:rPr>
          <w:rFonts w:cs="UVCharter-Regular"/>
          <w:lang w:val="en-AU" w:eastAsia="en-AU"/>
        </w:rPr>
        <w:t>Dinev et al. (2012) observed that</w:t>
      </w:r>
      <w:r w:rsidRPr="00286A88">
        <w:rPr>
          <w:rFonts w:cs="TimesNewRomanPSMT"/>
          <w:lang w:val="en-AU" w:eastAsia="en-AU"/>
        </w:rPr>
        <w:t xml:space="preserve"> TD-lesions were first seen in broilers at the average age of 24 days (Ross 308), 20 days (Cobb 500) and 29 days (Pureline); this provides evidence for TD lesions developing at younger ages than reported previously, which the authors hypothesise as being due to continued selection pressure for increased developmental rates. </w:t>
      </w:r>
      <w:r w:rsidRPr="00286A88">
        <w:rPr>
          <w:rFonts w:cs="Palatino-Roman"/>
          <w:lang w:val="en-AU" w:eastAsia="en-AU"/>
        </w:rPr>
        <w:t>Males are generally seen to have higher GS than females (Sorensen et al., 2000; Brickett et al., 2007; P</w:t>
      </w:r>
      <w:r w:rsidRPr="00286A88">
        <w:rPr>
          <w:rFonts w:cs="TTC9BEO00"/>
          <w:lang w:val="en-AU" w:eastAsia="en-AU"/>
        </w:rPr>
        <w:t xml:space="preserve">az et al., 2013; </w:t>
      </w:r>
      <w:r w:rsidRPr="00286A88">
        <w:rPr>
          <w:rFonts w:cs="CMR10"/>
          <w:lang w:val="en-AU" w:eastAsia="en-AU"/>
        </w:rPr>
        <w:t>Henriksen et al., 2016</w:t>
      </w:r>
      <w:r w:rsidRPr="00286A88">
        <w:rPr>
          <w:rFonts w:cs="TTC9BEO00"/>
          <w:lang w:val="en-AU" w:eastAsia="en-AU"/>
        </w:rPr>
        <w:t xml:space="preserve">), and are more prone to developing valgus-varus </w:t>
      </w:r>
      <w:r w:rsidRPr="00286A88">
        <w:rPr>
          <w:lang w:val="en-AU" w:eastAsia="en-AU"/>
        </w:rPr>
        <w:t>(</w:t>
      </w:r>
      <w:r w:rsidRPr="00286A88">
        <w:rPr>
          <w:bCs/>
          <w:iCs/>
          <w:lang w:val="en-AU" w:eastAsia="en-AU"/>
        </w:rPr>
        <w:t xml:space="preserve">Sanotra et al., 2001; </w:t>
      </w:r>
      <w:r w:rsidRPr="00286A88">
        <w:rPr>
          <w:lang w:val="en-AU" w:eastAsia="en-AU"/>
        </w:rPr>
        <w:t>Oviedo-Rondón et al., 2009a;</w:t>
      </w:r>
      <w:r w:rsidRPr="00286A88">
        <w:rPr>
          <w:bCs/>
          <w:iCs/>
          <w:lang w:val="en-AU" w:eastAsia="en-AU"/>
        </w:rPr>
        <w:t xml:space="preserve"> P</w:t>
      </w:r>
      <w:r w:rsidRPr="00286A88">
        <w:rPr>
          <w:rFonts w:cs="TTC9BEO00"/>
          <w:lang w:val="en-AU" w:eastAsia="en-AU"/>
        </w:rPr>
        <w:t xml:space="preserve">az et al., 2013) and </w:t>
      </w:r>
      <w:r w:rsidRPr="00286A88">
        <w:rPr>
          <w:rFonts w:cs="Cheltenham-BookCond"/>
          <w:lang w:val="en-AU" w:eastAsia="en-AU"/>
        </w:rPr>
        <w:t>femoral degenerative joint lesions</w:t>
      </w:r>
      <w:r w:rsidRPr="00286A88">
        <w:rPr>
          <w:rFonts w:cs="TTC9BEO00"/>
          <w:lang w:val="en-AU" w:eastAsia="en-AU"/>
        </w:rPr>
        <w:t xml:space="preserve"> (Paz et al., 2013), </w:t>
      </w:r>
      <w:r w:rsidRPr="00286A88">
        <w:rPr>
          <w:rFonts w:cs="Palatino-Roman"/>
          <w:lang w:val="en-AU" w:eastAsia="en-AU"/>
        </w:rPr>
        <w:t>especially if they are heavier</w:t>
      </w:r>
      <w:r w:rsidRPr="00286A88">
        <w:rPr>
          <w:rFonts w:cs="TTC9BEO00"/>
          <w:lang w:val="en-AU" w:eastAsia="en-AU"/>
        </w:rPr>
        <w:t xml:space="preserve">. </w:t>
      </w:r>
      <w:r w:rsidRPr="00286A88">
        <w:rPr>
          <w:rFonts w:cs="TimesNewRomanPSMT"/>
          <w:lang w:val="en-AU" w:eastAsia="en-AU"/>
        </w:rPr>
        <w:t>Although some studies observe no difference in the incidence of TD between the sexes (</w:t>
      </w:r>
      <w:r w:rsidRPr="00286A88">
        <w:rPr>
          <w:rFonts w:cs="Times-Bold"/>
          <w:bCs/>
          <w:lang w:val="en-AU" w:eastAsia="en-AU"/>
        </w:rPr>
        <w:t xml:space="preserve">Tablante et al., 2003; </w:t>
      </w:r>
      <w:r w:rsidRPr="00286A88">
        <w:rPr>
          <w:rFonts w:cs="UVCharter-Regular"/>
          <w:lang w:val="en-AU" w:eastAsia="en-AU"/>
        </w:rPr>
        <w:t>Dinev et al., 2012), others report a higher incidence in male than female broilers (</w:t>
      </w:r>
      <w:r w:rsidRPr="00286A88">
        <w:rPr>
          <w:bCs/>
          <w:iCs/>
          <w:lang w:val="en-AU" w:eastAsia="en-AU"/>
        </w:rPr>
        <w:t xml:space="preserve">Sanotra et al., 2001; </w:t>
      </w:r>
      <w:r w:rsidRPr="00286A88">
        <w:rPr>
          <w:rFonts w:cs="UVCharter-Regular"/>
          <w:lang w:val="en-AU" w:eastAsia="en-AU"/>
        </w:rPr>
        <w:t>Birgul et al., 2012). These findings are likely to be linked to the weight of the birds, since TD is also positively associated with growth rate and mass (</w:t>
      </w:r>
      <w:r w:rsidRPr="00286A88">
        <w:rPr>
          <w:bCs/>
          <w:iCs/>
          <w:lang w:val="en-AU" w:eastAsia="en-AU"/>
        </w:rPr>
        <w:t xml:space="preserve">Sanotra et al., 2001; </w:t>
      </w:r>
      <w:r w:rsidRPr="00286A88">
        <w:rPr>
          <w:rFonts w:cs="UVCharter-Regular"/>
          <w:lang w:val="en-AU" w:eastAsia="en-AU"/>
        </w:rPr>
        <w:t>Shim et al., 2012a).</w:t>
      </w:r>
    </w:p>
    <w:p w14:paraId="53292E42" w14:textId="77777777" w:rsidR="00286A88" w:rsidRPr="00286A88" w:rsidRDefault="00286A88" w:rsidP="009E3BC2">
      <w:pPr>
        <w:rPr>
          <w:lang w:val="en-AU" w:eastAsia="en-AU"/>
        </w:rPr>
      </w:pPr>
      <w:r w:rsidRPr="00286A88">
        <w:rPr>
          <w:lang w:val="en-AU" w:eastAsia="en-AU"/>
        </w:rPr>
        <w:t>The choice of system (with the appropriate broiler genotype) has an obvious impact upon broiler leg health. For example, no lameness was observed in slower growing Cobb Sasso broilers reared under enriched environmental conditions (perches, straw bales, pecking blocks, winter garden) at a lower stocking density, whilst 0.8% of conventionally reared Ross 308 broilers showed signs of lameness (Bergmann et al., 2016).</w:t>
      </w:r>
    </w:p>
    <w:p w14:paraId="6DE06F05" w14:textId="77777777" w:rsidR="00286A88" w:rsidRPr="00286A88" w:rsidRDefault="00286A88" w:rsidP="009E3BC2">
      <w:pPr>
        <w:rPr>
          <w:rFonts w:eastAsia="ComputerModern-Regular" w:cs="ComputerModern-Regular"/>
          <w:lang w:val="en-AU" w:eastAsia="en-AU"/>
        </w:rPr>
      </w:pPr>
      <w:r w:rsidRPr="00286A88">
        <w:rPr>
          <w:rFonts w:eastAsia="ComputerModern-Regular" w:cs="ComputerModern-Regular"/>
          <w:lang w:val="en-AU" w:eastAsia="en-AU"/>
        </w:rPr>
        <w:t>The presence of a dark phase (scotophase) is conclusively beneficial for broiler leg health (</w:t>
      </w:r>
      <w:r w:rsidRPr="00286A88">
        <w:rPr>
          <w:rFonts w:cs="RealpageBAS6-Bold"/>
          <w:bCs/>
          <w:lang w:val="en-AU" w:eastAsia="en-AU"/>
        </w:rPr>
        <w:t xml:space="preserve">Sanotra et al., 2002; </w:t>
      </w:r>
      <w:r w:rsidRPr="00286A88">
        <w:rPr>
          <w:rFonts w:cs="Palatino-Roman"/>
          <w:lang w:val="en-AU" w:eastAsia="en-AU"/>
        </w:rPr>
        <w:t xml:space="preserve">Brickett et al., 2007; </w:t>
      </w:r>
      <w:r w:rsidRPr="00286A88">
        <w:rPr>
          <w:rFonts w:eastAsia="ComputerModern-Regular" w:cs="ComputerModern-Regular"/>
          <w:lang w:val="en-AU" w:eastAsia="en-AU"/>
        </w:rPr>
        <w:t xml:space="preserve">Knowles et al., 2008; </w:t>
      </w:r>
      <w:r w:rsidRPr="00286A88">
        <w:rPr>
          <w:rFonts w:cs="TimesNewRomanPSMT"/>
          <w:szCs w:val="20"/>
          <w:lang w:val="en-AU" w:eastAsia="en-AU"/>
        </w:rPr>
        <w:t xml:space="preserve">Petek et al., 2010; Bassler et al., 2013; </w:t>
      </w:r>
      <w:r w:rsidRPr="00286A88">
        <w:rPr>
          <w:rFonts w:cs="GulliverRM"/>
          <w:lang w:val="en-AU" w:eastAsia="en-AU"/>
        </w:rPr>
        <w:t xml:space="preserve">Schwean-Lardner et al., 2013; </w:t>
      </w:r>
      <w:r w:rsidRPr="00286A88">
        <w:rPr>
          <w:rFonts w:eastAsia="ACaslonPro-Regular" w:cs="ACaslonPro-Regular"/>
          <w:lang w:val="en-AU" w:eastAsia="en-AU"/>
        </w:rPr>
        <w:t>Das and Lacin, 2014). This may be because b</w:t>
      </w:r>
      <w:r w:rsidRPr="00286A88">
        <w:rPr>
          <w:rFonts w:eastAsia="ComputerModern-Regular" w:cs="ComputerModern-Regular"/>
          <w:lang w:val="en-AU" w:eastAsia="en-AU"/>
        </w:rPr>
        <w:t>irds given a dark period are physically more active during the light period than birds kept under near-continuous light (</w:t>
      </w:r>
      <w:r w:rsidRPr="00286A88">
        <w:rPr>
          <w:rFonts w:cs="RealpageBAS6-Bold"/>
          <w:bCs/>
          <w:lang w:val="en-AU" w:eastAsia="en-AU"/>
        </w:rPr>
        <w:t xml:space="preserve">Sanotra et al., 2002; </w:t>
      </w:r>
      <w:r w:rsidRPr="00286A88">
        <w:rPr>
          <w:rFonts w:cs="TimesNewRomanPS-BoldMT"/>
          <w:bCs/>
          <w:lang w:val="en-AU" w:eastAsia="en-AU"/>
        </w:rPr>
        <w:t xml:space="preserve">Bayram and Özkan, 2010; </w:t>
      </w:r>
      <w:r w:rsidRPr="00286A88">
        <w:rPr>
          <w:rFonts w:cs="RealpageBAS6-Bold"/>
          <w:bCs/>
          <w:lang w:val="en-AU" w:eastAsia="en-AU"/>
        </w:rPr>
        <w:t>S</w:t>
      </w:r>
      <w:r w:rsidRPr="00286A88">
        <w:rPr>
          <w:rFonts w:cs="GulliverRM"/>
          <w:lang w:val="en-AU" w:eastAsia="en-AU"/>
        </w:rPr>
        <w:t>chwean-Lardner et al., 2012</w:t>
      </w:r>
      <w:r w:rsidRPr="00286A88">
        <w:rPr>
          <w:rFonts w:eastAsia="ComputerModern-Regular" w:cs="ComputerModern-Regular"/>
          <w:lang w:val="en-AU" w:eastAsia="en-AU"/>
        </w:rPr>
        <w:t>). Physical activity supports bone development (Reiter and Bessei, 2009), so increased activity during the light period may help reduce lameness in broiler flocks (</w:t>
      </w:r>
      <w:r w:rsidRPr="00286A88">
        <w:rPr>
          <w:lang w:val="en-AU" w:eastAsia="en-AU"/>
        </w:rPr>
        <w:t>Ventura et al., 2012; Bailie et al., 2013</w:t>
      </w:r>
      <w:r w:rsidRPr="00286A88">
        <w:rPr>
          <w:rFonts w:eastAsia="ComputerModern-Regular" w:cs="ComputerModern-Regular"/>
          <w:lang w:val="en-AU" w:eastAsia="en-AU"/>
        </w:rPr>
        <w:t>). In addition, bone mineralisation peaks during the dark period and is also sensitive to diurnal rhythm (Russell et al., 1984, cited by Bassler et al., 2013).</w:t>
      </w:r>
    </w:p>
    <w:p w14:paraId="560FF2E0" w14:textId="77777777" w:rsidR="00286A88" w:rsidRPr="00286A88" w:rsidRDefault="00286A88" w:rsidP="009E3BC2">
      <w:pPr>
        <w:rPr>
          <w:lang w:val="en-AU" w:eastAsia="en-AU"/>
        </w:rPr>
      </w:pPr>
      <w:r w:rsidRPr="00286A88">
        <w:rPr>
          <w:rFonts w:cs="Palatino-Roman"/>
          <w:lang w:val="en-AU" w:eastAsia="en-AU"/>
        </w:rPr>
        <w:t>Key management factors affecting bird leg health are those relating to environmental control, particularly good ventilation (air quality), temperature, RH and litter quality. High temperature and low RH within broiler houses, and the percentage of time that these remained outside of the breeder’s recommended range, were all found to adversely affect gait, and increase unilateral leg deviations (</w:t>
      </w:r>
      <w:r w:rsidRPr="00286A88">
        <w:rPr>
          <w:rFonts w:cs="AdvPS94BA"/>
          <w:lang w:val="en-AU" w:eastAsia="en-AU"/>
        </w:rPr>
        <w:t xml:space="preserve">Dawkins et al., 2004; </w:t>
      </w:r>
      <w:r w:rsidRPr="00286A88">
        <w:rPr>
          <w:rFonts w:cs="Palatino-Roman"/>
          <w:lang w:val="en-AU" w:eastAsia="en-AU"/>
        </w:rPr>
        <w:t>Jones et al., 2005a). The absence of automatic control over temperature (i.e. manual control only) was associated with lower levels of best gait (GS 0), while higher ammonia levels were also positively linked to unilateral leg deviations (</w:t>
      </w:r>
      <w:r w:rsidRPr="00286A88">
        <w:rPr>
          <w:rFonts w:cs="AdvPS94BA"/>
          <w:lang w:val="en-AU" w:eastAsia="en-AU"/>
        </w:rPr>
        <w:t xml:space="preserve">Dawkins et al., 2004; </w:t>
      </w:r>
      <w:r w:rsidRPr="00286A88">
        <w:rPr>
          <w:rFonts w:cs="Palatino-Roman"/>
          <w:lang w:val="en-AU" w:eastAsia="en-AU"/>
        </w:rPr>
        <w:t xml:space="preserve">Jones et al., 2005a). Misting systems were associated with more leg rotations, mortality and, presumably the additional adverse effects of wet litter (Jones et al., 2005a). </w:t>
      </w:r>
      <w:r w:rsidRPr="00286A88">
        <w:rPr>
          <w:rFonts w:cs="AdvTimes"/>
          <w:lang w:val="en-AU" w:eastAsia="en-AU"/>
        </w:rPr>
        <w:t xml:space="preserve">Broilers reared under colder environmental temperatures displayed altered long bone growth, including reductions in femur, tibia and humerus length and tibia weight (Bruno et al., 2007). </w:t>
      </w:r>
      <w:r w:rsidRPr="00286A88">
        <w:rPr>
          <w:lang w:val="en-AU" w:eastAsia="en-AU"/>
        </w:rPr>
        <w:t>Higher stocking densities are associated with higher GS and poor tibial development but not with valgus-varus deformities or TD (</w:t>
      </w:r>
      <w:r w:rsidRPr="00286A88">
        <w:rPr>
          <w:rFonts w:cs="Palatino-Roman"/>
          <w:lang w:val="en-AU" w:eastAsia="en-AU"/>
        </w:rPr>
        <w:t>see B9.1b</w:t>
      </w:r>
      <w:r w:rsidRPr="00286A88">
        <w:rPr>
          <w:lang w:val="en-AU" w:eastAsia="en-AU"/>
        </w:rPr>
        <w:t>).</w:t>
      </w:r>
    </w:p>
    <w:p w14:paraId="3CE5501F" w14:textId="77777777" w:rsidR="00286A88" w:rsidRPr="00286A88" w:rsidRDefault="00286A88" w:rsidP="009E3BC2">
      <w:pPr>
        <w:rPr>
          <w:lang w:val="en-AU" w:eastAsia="en-AU"/>
        </w:rPr>
      </w:pPr>
      <w:r w:rsidRPr="00286A88">
        <w:rPr>
          <w:lang w:val="en-AU" w:eastAsia="en-AU"/>
        </w:rPr>
        <w:t xml:space="preserve">Inappropriate incubation conditions can negatively impact upon embryonic development and, subsequently, broiler production parameters, health and welfare; appropriate temperature and oxygen concentrations are, therefore, critical for post-hatch health. </w:t>
      </w:r>
      <w:r w:rsidRPr="00286A88">
        <w:rPr>
          <w:rFonts w:eastAsia="ComputerModern-Regular" w:cs="ComputerModern-Regular"/>
          <w:lang w:val="en-AU" w:eastAsia="en-AU"/>
        </w:rPr>
        <w:t xml:space="preserve">Bone development (and leg health) can be manipulated by EST, which provides a reliable reflection of embryo temperature. </w:t>
      </w:r>
      <w:r w:rsidRPr="00286A88">
        <w:rPr>
          <w:rFonts w:cs="AdvP403A40"/>
          <w:lang w:val="en-AU" w:eastAsia="en-AU"/>
        </w:rPr>
        <w:t xml:space="preserve">Groves and Muir (2014) report that lower EST between days 1–15 (approx. 37.5 °C), and higher EST between days 16–18 of incubation (approx. 38 °C), delay hatch time and produce birds with greater leg strength (as measured by LTL) at 6 weeks of age. This indicates that the optimum EST during incubation for broiler leg strength development is lower than the optimum temperature currently recommended for maximising hatchability and chick growth (37.8 </w:t>
      </w:r>
      <w:r w:rsidRPr="00286A88">
        <w:rPr>
          <w:rFonts w:cs="AdvP44E6F4"/>
          <w:lang w:val="en-AU" w:eastAsia="en-AU"/>
        </w:rPr>
        <w:t>°</w:t>
      </w:r>
      <w:r w:rsidRPr="00286A88">
        <w:rPr>
          <w:rFonts w:cs="AdvP403A40"/>
          <w:lang w:val="en-AU" w:eastAsia="en-AU"/>
        </w:rPr>
        <w:t>C). This is further supported by observations of l</w:t>
      </w:r>
      <w:r w:rsidRPr="00286A88">
        <w:rPr>
          <w:rFonts w:cs="AdvP66FA"/>
          <w:lang w:val="en-AU" w:eastAsia="en-AU"/>
        </w:rPr>
        <w:t>ower h</w:t>
      </w:r>
      <w:r w:rsidRPr="00286A88">
        <w:rPr>
          <w:rFonts w:eastAsia="ComputerModern-Regular" w:cs="ComputerModern-Regular"/>
          <w:lang w:val="en-AU" w:eastAsia="en-AU"/>
        </w:rPr>
        <w:t>atchability, chick quality, tibia and metatarsus lengths,</w:t>
      </w:r>
      <w:r w:rsidRPr="00286A88">
        <w:rPr>
          <w:rFonts w:cs="AdvP66FA"/>
          <w:lang w:val="en-AU" w:eastAsia="en-AU"/>
        </w:rPr>
        <w:t xml:space="preserve"> altered growth plate development, and higher GS following egg incubation at higher temperatures than currently considered optimal (</w:t>
      </w:r>
      <w:r w:rsidRPr="00286A88">
        <w:rPr>
          <w:rFonts w:eastAsia="ComputerModern-Regular" w:cs="ComputerModern-Regular"/>
          <w:lang w:val="en-AU" w:eastAsia="en-AU"/>
        </w:rPr>
        <w:t>van der Pol et al., 2015</w:t>
      </w:r>
      <w:r w:rsidRPr="00286A88">
        <w:rPr>
          <w:rFonts w:cs="AdvP66FA"/>
          <w:lang w:val="en-AU" w:eastAsia="en-AU"/>
        </w:rPr>
        <w:t xml:space="preserve">; </w:t>
      </w:r>
      <w:r w:rsidRPr="00286A88">
        <w:rPr>
          <w:rFonts w:cs="CMR10"/>
          <w:lang w:val="en-AU" w:eastAsia="en-AU"/>
        </w:rPr>
        <w:t>Ipek and Sozcu, 2016</w:t>
      </w:r>
      <w:r w:rsidRPr="00286A88">
        <w:rPr>
          <w:rFonts w:eastAsia="ComputerModern-Regular" w:cs="ComputerModern-Regular"/>
          <w:lang w:val="en-AU" w:eastAsia="en-AU"/>
        </w:rPr>
        <w:t xml:space="preserve">; </w:t>
      </w:r>
      <w:r w:rsidRPr="00286A88">
        <w:rPr>
          <w:rFonts w:cs="AdvP66FA"/>
          <w:lang w:val="en-AU" w:eastAsia="en-AU"/>
        </w:rPr>
        <w:t xml:space="preserve">Oznurlu et al., 2016). </w:t>
      </w:r>
      <w:r w:rsidRPr="00286A88">
        <w:rPr>
          <w:lang w:val="en-AU" w:eastAsia="en-AU"/>
        </w:rPr>
        <w:t xml:space="preserve">Oviedo-Rondón et al. (2008) demonstrated that incubating eggs at above-optimum temperatures and under conditions of hypoxia (&lt;21% oxygen) during the final 4 days of embryo development increased leg asymmetry and stunted long-bone development, </w:t>
      </w:r>
      <w:r w:rsidRPr="00286A88">
        <w:rPr>
          <w:rFonts w:cs="AdvOT6af9549b"/>
          <w:lang w:val="en-AU" w:eastAsia="en-AU"/>
        </w:rPr>
        <w:t>especially in broiler lines with low eggshell conductance.</w:t>
      </w:r>
      <w:r w:rsidRPr="00286A88">
        <w:rPr>
          <w:lang w:val="en-AU" w:eastAsia="en-AU"/>
        </w:rPr>
        <w:t xml:space="preserve"> Flock incidence of</w:t>
      </w:r>
      <w:r w:rsidRPr="00286A88">
        <w:rPr>
          <w:rFonts w:cs="AdvOT6af9549b"/>
          <w:lang w:val="en-AU" w:eastAsia="en-AU"/>
        </w:rPr>
        <w:t xml:space="preserve"> TD has been associated with (</w:t>
      </w:r>
      <w:r w:rsidRPr="00286A88">
        <w:rPr>
          <w:lang w:val="en-AU" w:eastAsia="en-AU"/>
        </w:rPr>
        <w:t>suboptimal or supraoptimal) temperature deviations d</w:t>
      </w:r>
      <w:r w:rsidRPr="00286A88">
        <w:rPr>
          <w:rFonts w:cs="AdvOT6af9549b"/>
          <w:lang w:val="en-AU" w:eastAsia="en-AU"/>
        </w:rPr>
        <w:t xml:space="preserve">uring </w:t>
      </w:r>
      <w:r w:rsidRPr="00286A88">
        <w:rPr>
          <w:lang w:val="en-AU" w:eastAsia="en-AU"/>
        </w:rPr>
        <w:t>the early stages of embryo development</w:t>
      </w:r>
      <w:r w:rsidRPr="00286A88">
        <w:rPr>
          <w:rFonts w:cs="AdvOT6af9549b"/>
          <w:lang w:val="en-AU" w:eastAsia="en-AU"/>
        </w:rPr>
        <w:t xml:space="preserve"> (Yalçin </w:t>
      </w:r>
      <w:r w:rsidRPr="00286A88">
        <w:rPr>
          <w:rFonts w:cs="AdvOTa109402e.I"/>
          <w:lang w:val="en-AU" w:eastAsia="en-AU"/>
        </w:rPr>
        <w:t>et al.</w:t>
      </w:r>
      <w:r w:rsidRPr="00286A88">
        <w:rPr>
          <w:rFonts w:cs="AdvOT6af9549b"/>
          <w:lang w:val="en-AU" w:eastAsia="en-AU"/>
        </w:rPr>
        <w:t xml:space="preserve">, 2007). </w:t>
      </w:r>
      <w:r w:rsidRPr="00286A88">
        <w:rPr>
          <w:rFonts w:cs="CMR10"/>
          <w:lang w:val="en-AU" w:eastAsia="en-AU"/>
        </w:rPr>
        <w:t xml:space="preserve">Small changes in the EST during incubation could occur in practical conditions due to large capacity incubators and the high growing rate of broiler embryos. </w:t>
      </w:r>
      <w:r w:rsidRPr="00286A88">
        <w:rPr>
          <w:lang w:val="en-AU" w:eastAsia="en-AU"/>
        </w:rPr>
        <w:t>Oviedo-Rondón et al. (2009b) observed that the incidence of valgus and hockburn (see B3.4b) in 8 week old commercial broilers were linked with incubation conditions; broilers hatched from multistage incubators had higher GS, leg deformations and lesions than those hatched from single-stage incubators. Exposure of chicks to t</w:t>
      </w:r>
      <w:r w:rsidRPr="00286A88">
        <w:rPr>
          <w:rFonts w:cs="TimesNewRomanPSMT"/>
          <w:lang w:val="en-AU" w:eastAsia="en-AU"/>
        </w:rPr>
        <w:t>ransportation stress, including elevated temperature (40 °C), increased the incidence of twisted legs in 41 day old broilers compared to a control transportation treatment (34 °C) (</w:t>
      </w:r>
      <w:r w:rsidRPr="00286A88">
        <w:rPr>
          <w:lang w:val="en-AU" w:eastAsia="en-AU"/>
        </w:rPr>
        <w:t>Oviedo-Rondón et al., 2009a).</w:t>
      </w:r>
    </w:p>
    <w:p w14:paraId="443F7972" w14:textId="77777777" w:rsidR="00286A88" w:rsidRPr="00286A88" w:rsidRDefault="00286A88" w:rsidP="009E3BC2">
      <w:pPr>
        <w:rPr>
          <w:rFonts w:cs="AdvOT6af9549b"/>
          <w:lang w:val="en-AU" w:eastAsia="en-AU"/>
        </w:rPr>
      </w:pPr>
      <w:r w:rsidRPr="00286A88">
        <w:rPr>
          <w:rFonts w:cs="TimesNewRomanPSMT"/>
          <w:lang w:val="en-AU" w:eastAsia="en-AU"/>
        </w:rPr>
        <w:t>In addition to bone development being adversely affected by early life environmental stress, s</w:t>
      </w:r>
      <w:r w:rsidRPr="00286A88">
        <w:rPr>
          <w:rFonts w:cs="AdvOT6af9549b"/>
          <w:lang w:val="en-AU" w:eastAsia="en-AU"/>
        </w:rPr>
        <w:t>everal studies have also identified some interesting associations between broiler breeders and the leg health of their offspring. Broiler progeny produced from older (44-week) breeders were more lame (higher GS) at 6 weeks than broilers arising from younger (32-week) breeders; however, no difference in the incidence of angular deformations or twisted legs were observed (</w:t>
      </w:r>
      <w:r w:rsidRPr="00286A88">
        <w:rPr>
          <w:rFonts w:cs="OpenSans-Semibold"/>
          <w:lang w:val="en-AU" w:eastAsia="en-AU"/>
        </w:rPr>
        <w:t>Eusebio-Balcazar</w:t>
      </w:r>
      <w:r w:rsidRPr="00286A88">
        <w:rPr>
          <w:rFonts w:cs="AdvOT6af9549b"/>
          <w:lang w:val="en-AU" w:eastAsia="en-AU"/>
        </w:rPr>
        <w:t xml:space="preserve"> et al., 2015). Increasing broiler breeder access to feeder space at lay (and feeding a maize-based diet) has been seen to alter bone development in progeny; leg bone weight/length and femur length asymmetry were increased compared to progeny of breeders with access to standard feeder space (Eusebio-Balcazar </w:t>
      </w:r>
      <w:r w:rsidRPr="00286A88">
        <w:rPr>
          <w:rFonts w:cs="AdvOTa109402e.I"/>
          <w:lang w:val="en-AU" w:eastAsia="en-AU"/>
        </w:rPr>
        <w:t>et al.</w:t>
      </w:r>
      <w:r w:rsidRPr="00286A88">
        <w:rPr>
          <w:rFonts w:cs="AdvOT6af9549b"/>
          <w:lang w:val="en-AU" w:eastAsia="en-AU"/>
        </w:rPr>
        <w:t>, 2014). The same authors also report worse leg health and higher mortality in broilers originating from breeders given greater feeder space, which is likely to be (at least in part) due to superior growth rates in these progeny (</w:t>
      </w:r>
      <w:r w:rsidRPr="00286A88">
        <w:rPr>
          <w:rFonts w:cs="OpenSans-Semibold"/>
          <w:lang w:val="en-AU" w:eastAsia="en-AU"/>
        </w:rPr>
        <w:t>Eusebio-Balcazar</w:t>
      </w:r>
      <w:r w:rsidRPr="00286A88">
        <w:rPr>
          <w:rFonts w:cs="AdvOT6af9549b"/>
          <w:lang w:val="en-AU" w:eastAsia="en-AU"/>
        </w:rPr>
        <w:t xml:space="preserve"> et al., 2015). In addition, maternal stress may also influence offspring development; increased feeder access has also been associated with higher breeder mortality (see BB3.2) and prenatal corticosterone has been linked with bone asymmetry post-hatch in laying hens (Eriksen </w:t>
      </w:r>
      <w:r w:rsidRPr="00286A88">
        <w:rPr>
          <w:rFonts w:cs="AdvOTa109402e.I"/>
          <w:lang w:val="en-AU" w:eastAsia="en-AU"/>
        </w:rPr>
        <w:t>et al.</w:t>
      </w:r>
      <w:r w:rsidRPr="00286A88">
        <w:rPr>
          <w:rFonts w:cs="AdvOT6af9549b"/>
          <w:lang w:val="en-AU" w:eastAsia="en-AU"/>
        </w:rPr>
        <w:t xml:space="preserve">, 2003, cited by </w:t>
      </w:r>
      <w:r w:rsidRPr="00286A88">
        <w:rPr>
          <w:rFonts w:cs="OpenSans-Semibold"/>
          <w:lang w:val="en-AU" w:eastAsia="en-AU"/>
        </w:rPr>
        <w:t>Eusebio-Balcazar</w:t>
      </w:r>
      <w:r w:rsidRPr="00286A88">
        <w:rPr>
          <w:rFonts w:cs="AdvOT6af9549b"/>
          <w:lang w:val="en-AU" w:eastAsia="en-AU"/>
        </w:rPr>
        <w:t xml:space="preserve"> et al., 2015).</w:t>
      </w:r>
    </w:p>
    <w:p w14:paraId="5222EF7E" w14:textId="77777777" w:rsidR="00286A88" w:rsidRPr="00286A88" w:rsidRDefault="00286A88" w:rsidP="009E3BC2">
      <w:pPr>
        <w:pStyle w:val="Heading41"/>
      </w:pPr>
      <w:r w:rsidRPr="00286A88">
        <w:t>B3.3f Welfare impact of lameness</w:t>
      </w:r>
    </w:p>
    <w:p w14:paraId="214A8FE3" w14:textId="77777777" w:rsidR="00286A88" w:rsidRPr="00286A88" w:rsidRDefault="00286A88" w:rsidP="009E3BC2">
      <w:pPr>
        <w:rPr>
          <w:lang w:val="en-AU" w:eastAsia="en-AU"/>
        </w:rPr>
      </w:pPr>
      <w:r w:rsidRPr="00286A88">
        <w:rPr>
          <w:lang w:val="en-AU" w:eastAsia="en-AU"/>
        </w:rPr>
        <w:t>Presence of valgus-varus deformations are positively correlated with lameness (</w:t>
      </w:r>
      <w:r w:rsidRPr="00286A88">
        <w:rPr>
          <w:bCs/>
          <w:iCs/>
          <w:lang w:val="en-AU" w:eastAsia="en-AU"/>
        </w:rPr>
        <w:t xml:space="preserve">Sanotra et al., 2001; </w:t>
      </w:r>
      <w:r w:rsidRPr="00286A88">
        <w:rPr>
          <w:lang w:val="en-AU" w:eastAsia="en-AU"/>
        </w:rPr>
        <w:t xml:space="preserve">Fernandes et al., 2012). </w:t>
      </w:r>
      <w:r w:rsidRPr="00286A88">
        <w:rPr>
          <w:rFonts w:cs="RealpageBAS6"/>
          <w:lang w:val="en-AU" w:eastAsia="en-AU"/>
        </w:rPr>
        <w:t xml:space="preserve">Sanotra </w:t>
      </w:r>
      <w:r w:rsidRPr="00286A88">
        <w:rPr>
          <w:rFonts w:cs="RealpageBAS6-Italic"/>
          <w:iCs/>
          <w:lang w:val="en-AU" w:eastAsia="en-AU"/>
        </w:rPr>
        <w:t>et al</w:t>
      </w:r>
      <w:r w:rsidRPr="00286A88">
        <w:rPr>
          <w:rFonts w:cs="RealpageBAS6"/>
          <w:lang w:val="en-AU" w:eastAsia="en-AU"/>
        </w:rPr>
        <w:t xml:space="preserve">. (2001) also found TD to be linked to GS, although other studies observed no relationship (Garner et al., 2002; </w:t>
      </w:r>
      <w:r w:rsidRPr="00286A88">
        <w:rPr>
          <w:lang w:val="en-AU" w:eastAsia="en-AU"/>
        </w:rPr>
        <w:t>Fernandes et al., 2012</w:t>
      </w:r>
      <w:r w:rsidRPr="00286A88">
        <w:rPr>
          <w:rFonts w:cs="RealpageBAS6"/>
          <w:lang w:val="en-AU" w:eastAsia="en-AU"/>
        </w:rPr>
        <w:t xml:space="preserve">). This suggests that other factors have more influence upon walking ability than TD. </w:t>
      </w:r>
      <w:r w:rsidRPr="00286A88">
        <w:rPr>
          <w:lang w:val="en-AU" w:eastAsia="en-AU"/>
        </w:rPr>
        <w:t>Lameness alters the time budget of broilers and reduces the breadth of behaviours that they are physically able to perform. Sound broilers spend the majority of their time lying (76%) and such inactivity increases with age and lameness (BGSS GS 3: 86%); lame birds lay down to eat for almost half of their feeding time, while sound birds usually choose to feed standing (Weeks et al., 2000). Mobility (walking) declines with age and with lameness (Weeks et al., 2000), and if severely compromised can have additional welfare consequences; dehydration has been reported as a direct consequence of lameness (Butterworth et al., 2002).</w:t>
      </w:r>
    </w:p>
    <w:p w14:paraId="447ECC82" w14:textId="77777777" w:rsidR="00286A88" w:rsidRPr="00286A88" w:rsidRDefault="00286A88" w:rsidP="009E3BC2">
      <w:pPr>
        <w:rPr>
          <w:rFonts w:cs="AdvGulliv-R"/>
          <w:lang w:val="en-AU" w:eastAsia="en-AU"/>
        </w:rPr>
      </w:pPr>
      <w:r w:rsidRPr="00286A88">
        <w:rPr>
          <w:rFonts w:cs="AdvGulliv-R"/>
          <w:lang w:val="en-AU" w:eastAsia="en-AU"/>
        </w:rPr>
        <w:t>Immobility has obvious welfare implications if birds are unable to access drinkers and feeders, but the prevalence and severity of pain associated with lameness in poultry remains poorly understood. Pain assessment in non-human species is complicated by an inability to communicate verbally and must therefore be inferred using indirect measures. Non-steroidal anti-inflammatory drugs (NSAIDs) may have therapeutic potential in poultry. Although there is some evidence for NSAID treatment improving lame broiler walking ability, the studies have targeted different pathologies and used a variety of doses, routes of administration, and end-measures to make direct comparison difficult.</w:t>
      </w:r>
    </w:p>
    <w:p w14:paraId="4F787749" w14:textId="77777777" w:rsidR="00286A88" w:rsidRPr="00286A88" w:rsidRDefault="00286A88" w:rsidP="009E3BC2">
      <w:pPr>
        <w:rPr>
          <w:rFonts w:cs="AdvP49811"/>
          <w:lang w:val="en-AU" w:eastAsia="en-AU"/>
        </w:rPr>
      </w:pPr>
      <w:r w:rsidRPr="00286A88">
        <w:rPr>
          <w:rFonts w:cs="AdvGulliv-R"/>
          <w:lang w:val="en-AU" w:eastAsia="en-AU"/>
        </w:rPr>
        <w:t>Evidence for lame broilers (BGSS: GS ≥3) experiencing pain and discomfort was provided by Danbury et al. (2000), who observed preferential selection of NSAID-spiked feed in a self-selection experiment. Colour cues and training periods were used to enable birds to discriminate between feed types. However, this study was subject to variations in feed consumption (inter-bird) and lameness severity (intra-bird) and lame birds failed to demonstrate higher carprofen plasma concentrations than non-lame birds at the end of the trial. A recent study failed to corroborate evidence that lame broilers would self-select NSAID-treated food (Siegel et al., 2011), which further questions the suitability of a broiler self-selection paradigm. It is possible that chicken behaviour may not accurately reflect a pain state since ‘resting’ is a baseline broiler behaviour (Weeks et al., 2000), and prey species are less likely to display overt pain-associated behaviour that may increase predation risk.</w:t>
      </w:r>
    </w:p>
    <w:p w14:paraId="5B85001D" w14:textId="77777777" w:rsidR="00286A88" w:rsidRPr="00286A88" w:rsidRDefault="00286A88" w:rsidP="009E3BC2">
      <w:pPr>
        <w:rPr>
          <w:rFonts w:cs="AdvGulliv-R"/>
          <w:lang w:val="en-AU" w:eastAsia="en-AU"/>
        </w:rPr>
      </w:pPr>
      <w:r w:rsidRPr="00286A88">
        <w:rPr>
          <w:lang w:val="en-AU" w:eastAsia="en-AU"/>
        </w:rPr>
        <w:t>There is debate as to whether all lameness is associated with leg pain; some abnormal gaits will undoubtedly occur as a result of morphological changes and mechanical limitations (Corr et al., 2003a</w:t>
      </w:r>
      <w:r w:rsidR="00354C34">
        <w:rPr>
          <w:lang w:val="en-AU" w:eastAsia="en-AU"/>
        </w:rPr>
        <w:t>; 2003</w:t>
      </w:r>
      <w:r w:rsidRPr="00286A88">
        <w:rPr>
          <w:lang w:val="en-AU" w:eastAsia="en-AU"/>
        </w:rPr>
        <w:t xml:space="preserve">b). </w:t>
      </w:r>
      <w:r w:rsidRPr="00286A88">
        <w:rPr>
          <w:rFonts w:cs="AdvTT5235d5a9"/>
          <w:lang w:val="en-AU" w:eastAsia="en-AU"/>
        </w:rPr>
        <w:t xml:space="preserve">Skinner-Noble and Teeter (2009) hypothesise that broilers with (BGSS) GS 2 and GS 3 have similar well-being, the difference in gait (at least in their study) being morphological rather than due to pain. Although birds of either GS had similar production parameters (body weight, feed conversion ratio), fearfulness (tonic immobility) and H:L ratios, the different physical proportions (greater breast muscle) associated with GS 3 broilers was considered adequate to explain the gait alterations and inactivity levels displayed by these birds (Skinner-Noble and Teeter, 2009). </w:t>
      </w:r>
      <w:r w:rsidRPr="00286A88">
        <w:rPr>
          <w:lang w:val="en-AU" w:eastAsia="en-AU"/>
        </w:rPr>
        <w:t xml:space="preserve">Strong physiological evidence exists for broilers to have the ability to experience leg pain. </w:t>
      </w:r>
      <w:r w:rsidRPr="00286A88">
        <w:rPr>
          <w:rFonts w:cs="AdvGulliv-R"/>
          <w:lang w:val="en-AU" w:eastAsia="en-AU"/>
        </w:rPr>
        <w:t xml:space="preserve">Slowly adapting mechanoreceptors are present within the skin of the chicken tarso-metatarsus and these are sensitised following induced inflammation (Gentle et al., 2001); inflammatory arthropathy has also been identified within spontaneously lame broiler hock joints (Corr et al., 2003c). Caplen et al. (2013b) found direct evidence for an association between experimentally induced inflammatory arthropathies (an acute pain model) and thermal (primary) hyperalgesia in broilers, and demonstrated that NSAID treatment could reverse the induced-hyperalgesia (via anti-nociception). Hothersall et al. (2014) were unable to demonstrate primary thermal hyperalgesia in broilers with moderate ‘spontaneous’ lameness (BGSS: GS 3). Unexpectedly, in this study thermal threshold was higher in lame birds and, following NSAID treatment, </w:t>
      </w:r>
      <w:r w:rsidRPr="00286A88">
        <w:rPr>
          <w:rFonts w:cs="AdvP49811"/>
          <w:lang w:val="en-AU" w:eastAsia="en-AU"/>
        </w:rPr>
        <w:t>thermal threshold</w:t>
      </w:r>
      <w:r w:rsidRPr="00286A88">
        <w:rPr>
          <w:rFonts w:cs="AdvP403A40"/>
          <w:lang w:val="en-AU" w:eastAsia="en-AU"/>
        </w:rPr>
        <w:t xml:space="preserve"> increased further in lame birds and decreased in non-lame birds</w:t>
      </w:r>
      <w:r w:rsidRPr="00286A88">
        <w:rPr>
          <w:rFonts w:cs="AdvGulliv-R"/>
          <w:lang w:val="en-AU" w:eastAsia="en-AU"/>
        </w:rPr>
        <w:t xml:space="preserve"> (Hothersall et al., 2014)</w:t>
      </w:r>
      <w:r w:rsidRPr="00286A88">
        <w:rPr>
          <w:rFonts w:cs="AdvP403A40"/>
          <w:lang w:val="en-AU" w:eastAsia="en-AU"/>
        </w:rPr>
        <w:t>. T</w:t>
      </w:r>
      <w:r w:rsidRPr="00286A88">
        <w:rPr>
          <w:rFonts w:cs="AdvP49811"/>
          <w:lang w:val="en-AU" w:eastAsia="en-AU"/>
        </w:rPr>
        <w:t xml:space="preserve">he authors hypothesise that ‘spontaneous’ lameness may alter nociceptive processing, and report difficulties </w:t>
      </w:r>
      <w:r w:rsidRPr="00286A88">
        <w:rPr>
          <w:rFonts w:cs="AdvGulliv-R"/>
          <w:lang w:val="en-AU" w:eastAsia="en-AU"/>
        </w:rPr>
        <w:t>in linking lameness severity with pathology, similar to Sandilands et al. (2011).</w:t>
      </w:r>
    </w:p>
    <w:p w14:paraId="18623526" w14:textId="77777777" w:rsidR="00286A88" w:rsidRPr="00286A88" w:rsidRDefault="00286A88" w:rsidP="009E3BC2">
      <w:pPr>
        <w:rPr>
          <w:lang w:val="en-AU" w:eastAsia="en-AU"/>
        </w:rPr>
      </w:pPr>
      <w:r w:rsidRPr="00286A88">
        <w:rPr>
          <w:rFonts w:cs="GillSans-Italic"/>
          <w:iCs/>
          <w:lang w:val="en-AU" w:eastAsia="en-AU"/>
        </w:rPr>
        <w:t>As expected, lame broiler chickens (BGSS GS 3-4) performed poorly in standardised mobility tests compared to non-lame birds (Caplen et al., 2014; Hothersall et al., 2016). Although measures from an obstacle test (number of obstacle crossings, latency to first cross the obstacle) were unchanged following NSAID treatment in lame broilers, LTL was improved, when compared to a control group receiving saline (Hothersall et al., 2016).</w:t>
      </w:r>
      <w:r w:rsidRPr="00286A88">
        <w:rPr>
          <w:rFonts w:cs="AdvP49811"/>
          <w:lang w:val="en-AU" w:eastAsia="en-AU"/>
        </w:rPr>
        <w:t xml:space="preserve"> </w:t>
      </w:r>
      <w:r w:rsidRPr="00286A88">
        <w:rPr>
          <w:lang w:val="en-AU" w:eastAsia="en-AU"/>
        </w:rPr>
        <w:t xml:space="preserve">Relationships between broiler lameness and pain (and thus welfare) are complicated by confounding factors such as bodyweight, sex and pathology. </w:t>
      </w:r>
      <w:r w:rsidRPr="00286A88">
        <w:rPr>
          <w:rFonts w:cs="Times New Roman"/>
          <w:szCs w:val="20"/>
          <w:lang w:val="en-AU" w:eastAsia="en-AU"/>
        </w:rPr>
        <w:t>Caplen et al. (2014) report that ‘lameness’ (BGSS: GS 3-4) was observed to be the most consistent predictor for several broiler mobility measures. This provides evidence for a component of ‘lameness’ that could not be explained by bird characteristics (e.g. being male and heavy); this component may represent pain or discomfort</w:t>
      </w:r>
      <w:r w:rsidRPr="00286A88">
        <w:rPr>
          <w:rFonts w:cs="AdvP49811"/>
          <w:lang w:val="en-AU" w:eastAsia="en-AU"/>
        </w:rPr>
        <w:t xml:space="preserve"> (Caplen et al., 2014)</w:t>
      </w:r>
      <w:r w:rsidRPr="00286A88">
        <w:rPr>
          <w:rFonts w:cs="Times New Roman"/>
          <w:szCs w:val="20"/>
          <w:lang w:val="en-AU" w:eastAsia="en-AU"/>
        </w:rPr>
        <w:t xml:space="preserve">. </w:t>
      </w:r>
      <w:r w:rsidRPr="00286A88">
        <w:rPr>
          <w:rFonts w:cs="AdvP49811"/>
          <w:lang w:val="en-AU" w:eastAsia="en-AU"/>
        </w:rPr>
        <w:t>NSAIDs have also been observed to alter gait and increase walking velocity in moderately lame broilers (</w:t>
      </w:r>
      <w:r w:rsidRPr="00286A88">
        <w:rPr>
          <w:rFonts w:cs="TimesNewRomanPSMT"/>
          <w:lang w:val="en-AU" w:eastAsia="en-AU"/>
        </w:rPr>
        <w:t xml:space="preserve">Nääs et al., 2009; </w:t>
      </w:r>
      <w:r w:rsidRPr="00286A88">
        <w:rPr>
          <w:rFonts w:cs="AdvP49811"/>
          <w:lang w:val="en-AU" w:eastAsia="en-AU"/>
        </w:rPr>
        <w:t>Caplen et al., 2013a); however, improvements in mobility could reflect reduced joint inflammation rather than an analgesic effect.</w:t>
      </w:r>
      <w:r w:rsidRPr="00286A88">
        <w:rPr>
          <w:rFonts w:cs="AdvGulliv-R"/>
          <w:lang w:val="en-AU" w:eastAsia="en-AU"/>
        </w:rPr>
        <w:t xml:space="preserve"> </w:t>
      </w:r>
      <w:r w:rsidRPr="00286A88">
        <w:rPr>
          <w:rFonts w:cs="CMR10"/>
          <w:lang w:val="en-AU" w:eastAsia="en-AU"/>
        </w:rPr>
        <w:t xml:space="preserve">Müller et al. (2015) observed that very lame birds (BGSS: GS 4-5) had lower body masses and a greater relative adrenal mass than broilers without, or with mild, gait abnormalities (GS 0-2), which may be indicative of chronic stress. </w:t>
      </w:r>
      <w:r w:rsidRPr="00286A88">
        <w:rPr>
          <w:rFonts w:cs="GillSans-Italic"/>
          <w:iCs/>
          <w:lang w:val="en-AU" w:eastAsia="en-AU"/>
        </w:rPr>
        <w:t>Overall, the evidence suggests that NSAIDS do have an analgesic effect on lame birds, at least some lame birds experience pain, and that lameness has the potential to compromise broiler welfare on several different levels.</w:t>
      </w:r>
    </w:p>
    <w:p w14:paraId="0A9DB9C4" w14:textId="77777777" w:rsidR="00286A88" w:rsidRPr="00286A88" w:rsidRDefault="00286A88" w:rsidP="009E3BC2">
      <w:pPr>
        <w:pStyle w:val="Heading41"/>
      </w:pPr>
      <w:r w:rsidRPr="00286A88">
        <w:t>B3.3g Prevention and control of lameness</w:t>
      </w:r>
    </w:p>
    <w:p w14:paraId="5FEC4834" w14:textId="77777777" w:rsidR="00286A88" w:rsidRPr="00286A88" w:rsidRDefault="00286A88" w:rsidP="009E3BC2">
      <w:pPr>
        <w:rPr>
          <w:lang w:val="en-AU" w:eastAsia="en-AU"/>
        </w:rPr>
      </w:pPr>
      <w:r w:rsidRPr="00286A88">
        <w:rPr>
          <w:lang w:val="en-AU" w:eastAsia="en-AU"/>
        </w:rPr>
        <w:t>Although elevating brooding temperature (37 versus 33 °C) increased chick activity (and temporarily reduced chick weight gain) during the first week post-hatch, this did not result in a clear reduction in lameness (as measured by GS) towards the end of rear (Henriksen et al., 2016).</w:t>
      </w:r>
    </w:p>
    <w:p w14:paraId="069ACEFB" w14:textId="77777777" w:rsidR="00286A88" w:rsidRPr="00286A88" w:rsidRDefault="00286A88" w:rsidP="009E3BC2">
      <w:pPr>
        <w:rPr>
          <w:rFonts w:cs="TimesNewRomanPS-Bold"/>
          <w:bCs/>
          <w:lang w:val="en-AU" w:eastAsia="en-AU"/>
        </w:rPr>
      </w:pPr>
      <w:r w:rsidRPr="00286A88">
        <w:rPr>
          <w:rFonts w:cs="Times New Roman"/>
          <w:lang w:val="en-AU" w:eastAsia="en-AU"/>
        </w:rPr>
        <w:t xml:space="preserve">Diet and feeding regimes are important factors in the prevalence of lameness, both via the control of growth rate and for increasing bone strength. </w:t>
      </w:r>
      <w:r w:rsidRPr="00286A88">
        <w:rPr>
          <w:rFonts w:cs="Courier"/>
          <w:lang w:val="en-AU" w:eastAsia="en-AU"/>
        </w:rPr>
        <w:t>Birds reared on a qualitatively restricted (low energy) diet were less lame than birds of the same genotype reared on a non-limiting diet (Kestin et al., 2001).</w:t>
      </w:r>
      <w:r w:rsidRPr="00286A88">
        <w:rPr>
          <w:rFonts w:eastAsia="ComputerModern-Regular" w:cs="ComputerModern-Regular"/>
          <w:lang w:val="en-AU" w:eastAsia="en-AU"/>
        </w:rPr>
        <w:t xml:space="preserve"> S</w:t>
      </w:r>
      <w:r w:rsidRPr="00286A88">
        <w:rPr>
          <w:rFonts w:cs="AdvFrutiger-RC"/>
          <w:lang w:val="en-AU" w:eastAsia="en-AU"/>
        </w:rPr>
        <w:t>equential feeding of a high-energy/low-protein diet and a low-energy/high-protein diet on subsequent days was shown to significantly increase standing time and decrease lameness, without altering bone quality (Letterier et al., 2008). Similarly, s</w:t>
      </w:r>
      <w:r w:rsidRPr="00286A88">
        <w:rPr>
          <w:rFonts w:cs="Palatino-Roman"/>
          <w:lang w:val="en-AU" w:eastAsia="en-AU"/>
        </w:rPr>
        <w:t xml:space="preserve">equentially fed broilers, provided a low lysine diet in the morning and a standard lysine diet during the afternoon, were lighter than control broilers and had lower GS (Bizeray et al., 2002a). </w:t>
      </w:r>
      <w:r w:rsidRPr="00286A88">
        <w:rPr>
          <w:rFonts w:eastAsia="ComputerModern-Regular" w:cs="ComputerModern-Regular"/>
          <w:lang w:val="en-AU" w:eastAsia="en-AU"/>
        </w:rPr>
        <w:t xml:space="preserve">Quantitative dietary restriction has been shown to reduce ascites and leg problems in Ross and Cobb broilers (Wijtten et al., 2010). </w:t>
      </w:r>
      <w:r w:rsidRPr="00286A88">
        <w:rPr>
          <w:rFonts w:cs="TimesNewRomanPS-Bold"/>
          <w:bCs/>
          <w:lang w:val="en-AU" w:eastAsia="en-AU"/>
        </w:rPr>
        <w:t xml:space="preserve">Eriksson et al. (2010) observed that fast-grow broilers maintained under an extensive system for 70 days and fed a low crude protein diet supplemented with amino acids (LCPA) demonstrated greater body mass, poorer leg health and higher mortality than birds receiving a similar diet but without the addition of amino acids (LCP). This study highlights the unsuitability of fast-growing breeds for use in extensive systems. Feed restriction is associated with feelings of hunger and this has obvious adverse impacts upon bird welfare (see BB2.1 and BB2.2). </w:t>
      </w:r>
      <w:r w:rsidRPr="00286A88">
        <w:rPr>
          <w:rFonts w:cs="AdvFrutiger-RC"/>
          <w:lang w:val="en-AU" w:eastAsia="en-AU"/>
        </w:rPr>
        <w:t xml:space="preserve">Not every study reports benefits of nutritional management, however; Konca et al. (2008) failed to observe any improvement in GS in broilers fed via either a ‘meal-time’ regime or a low protein diet compared to a control group fed </w:t>
      </w:r>
      <w:r w:rsidRPr="00286A88">
        <w:rPr>
          <w:rFonts w:cs="AdvFrutiger-RC"/>
          <w:i/>
          <w:lang w:val="en-AU" w:eastAsia="en-AU"/>
        </w:rPr>
        <w:t>ad libitum.</w:t>
      </w:r>
    </w:p>
    <w:p w14:paraId="7C032FB9" w14:textId="77777777" w:rsidR="00286A88" w:rsidRPr="00286A88" w:rsidRDefault="00286A88" w:rsidP="009E3BC2">
      <w:pPr>
        <w:rPr>
          <w:rFonts w:cs="Palatino-Roman"/>
          <w:lang w:val="en-AU" w:eastAsia="en-AU"/>
        </w:rPr>
      </w:pPr>
      <w:r w:rsidRPr="00286A88">
        <w:rPr>
          <w:rFonts w:cs="Palatino-Roman"/>
          <w:lang w:val="en-AU" w:eastAsia="en-AU"/>
        </w:rPr>
        <w:t xml:space="preserve">Broilers fed their diet as mash had higher bone ash and lower GS than broilers fed their diet in pellet form (Brickett et al., 2007), presumably due to the birds eating a greater volume of pelleted food (with associated weight gain), while those fed mash could preferentially select components of their diet with physiological benefits. </w:t>
      </w:r>
      <w:r w:rsidRPr="00286A88">
        <w:rPr>
          <w:rFonts w:cs="AdvP49811"/>
          <w:lang w:val="en-AU" w:eastAsia="en-AU"/>
        </w:rPr>
        <w:t>Whole wheat is sometimes fed to broilers as part of their diet to improve digestive function, and wheat provision has also been associated with improved leg health (</w:t>
      </w:r>
      <w:r w:rsidRPr="00286A88">
        <w:rPr>
          <w:rFonts w:cs="Times New Roman"/>
          <w:lang w:val="en-AU" w:eastAsia="en-AU"/>
        </w:rPr>
        <w:t>Knowles et al., 2008), perhaps due to improved litter quality.</w:t>
      </w:r>
    </w:p>
    <w:p w14:paraId="214AC36C" w14:textId="77777777" w:rsidR="00286A88" w:rsidRPr="00286A88" w:rsidRDefault="00286A88" w:rsidP="009E3BC2">
      <w:pPr>
        <w:rPr>
          <w:rFonts w:cs="Times New Roman"/>
          <w:lang w:val="en-AU" w:eastAsia="en-AU"/>
        </w:rPr>
      </w:pPr>
      <w:r w:rsidRPr="00286A88">
        <w:rPr>
          <w:rFonts w:cs="Times New Roman"/>
          <w:lang w:val="en-AU" w:eastAsia="en-AU"/>
        </w:rPr>
        <w:t>Increasing dietary calcium (Ca) is beneficial for increasing bone quality and reducing TD.</w:t>
      </w:r>
      <w:r w:rsidRPr="00286A88">
        <w:rPr>
          <w:rFonts w:cs="OpenSans-Semibold"/>
          <w:lang w:val="en-AU" w:eastAsia="en-AU"/>
        </w:rPr>
        <w:t xml:space="preserve"> Abdulla et al. (2017) observed that b</w:t>
      </w:r>
      <w:r w:rsidRPr="00286A88">
        <w:rPr>
          <w:rFonts w:cs="AdvOT46dcae81"/>
          <w:lang w:val="en-AU" w:eastAsia="en-AU"/>
        </w:rPr>
        <w:t>roilers fed 1.25% dietary Ca had signi</w:t>
      </w:r>
      <w:r w:rsidRPr="00286A88">
        <w:rPr>
          <w:rFonts w:cs="AdvOT46dcae81+fb"/>
          <w:lang w:val="en-AU" w:eastAsia="en-AU"/>
        </w:rPr>
        <w:t>fi</w:t>
      </w:r>
      <w:r w:rsidRPr="00286A88">
        <w:rPr>
          <w:rFonts w:cs="AdvOT46dcae81"/>
          <w:lang w:val="en-AU" w:eastAsia="en-AU"/>
        </w:rPr>
        <w:t xml:space="preserve">cantly improved tibial bone quality than broilers fed 1%. </w:t>
      </w:r>
      <w:r w:rsidRPr="00286A88">
        <w:rPr>
          <w:rFonts w:cs="AdvOTeea082cb"/>
          <w:lang w:val="en-AU" w:eastAsia="en-AU"/>
        </w:rPr>
        <w:t xml:space="preserve">Leg health appears to be correlated with the dietary ratio of Ca and non-phytate phosphorus (nPP), rather than absolute concentrations. Tibia ash and LTL measures were reduced by diets having either ‘high Ca: low nPP’ or ‘low Ca: high nPP’ (Bradbury et al., 2014), while </w:t>
      </w:r>
      <w:r w:rsidRPr="00286A88">
        <w:rPr>
          <w:rFonts w:cs="AdvOT46dcae81"/>
          <w:lang w:val="en-AU" w:eastAsia="en-AU"/>
        </w:rPr>
        <w:t>broilers</w:t>
      </w:r>
      <w:r w:rsidRPr="00286A88">
        <w:rPr>
          <w:rFonts w:cs="Times New Roman"/>
          <w:lang w:val="en-AU" w:eastAsia="en-AU"/>
        </w:rPr>
        <w:t xml:space="preserve"> fed diets with 0.2% less Ca than the 2:1 Ca:nPP ratio displayed significantly higher TD incidence and severity compared to those fed higher levels (Coto et al., 2008). Dietary supplementation with 25-hydroycholecalciferol has been shown to reduce TD incidence (Coto et al., 2008). Oso et al. (2011) provide evidence against the use of wood ash as a non-phytate Ca source in broiler feed as it has been linked with a significantly higher prevalence of lameness than alternatives including oyster shell, snail shell, and limestone.</w:t>
      </w:r>
    </w:p>
    <w:p w14:paraId="4C37B969" w14:textId="77777777" w:rsidR="00286A88" w:rsidRPr="00286A88" w:rsidRDefault="00286A88" w:rsidP="009E3BC2">
      <w:pPr>
        <w:rPr>
          <w:rFonts w:cs="AdvP4CD4D2"/>
          <w:lang w:val="en-AU" w:eastAsia="en-AU"/>
        </w:rPr>
      </w:pPr>
      <w:r w:rsidRPr="00286A88">
        <w:rPr>
          <w:rFonts w:cs="FrutigerLTStd-Light"/>
          <w:lang w:val="en-AU" w:eastAsia="en-AU"/>
        </w:rPr>
        <w:t>Increased dietary vitamin D3 increases the morphological symmetry of the tarsometatarsus and tibial bone quality, and reduces GS</w:t>
      </w:r>
      <w:r w:rsidRPr="00286A88">
        <w:rPr>
          <w:rFonts w:cs="AdvFrutiger-RC"/>
          <w:lang w:val="en-AU" w:eastAsia="en-AU"/>
        </w:rPr>
        <w:t xml:space="preserve"> (Baracho et al., 2012; </w:t>
      </w:r>
      <w:r w:rsidRPr="00286A88">
        <w:rPr>
          <w:rFonts w:cs="Arial-BoldMT"/>
          <w:bCs/>
          <w:lang w:val="en-AU" w:eastAsia="en-AU"/>
        </w:rPr>
        <w:t>Sun et al., 2013), while t</w:t>
      </w:r>
      <w:r w:rsidRPr="00286A88">
        <w:rPr>
          <w:rFonts w:cs="AdvP4CD4D0"/>
          <w:lang w:val="en-AU" w:eastAsia="en-AU"/>
        </w:rPr>
        <w:t>he provision of ascorbic acid (150 mg/l in water) has been found to increase the cortical thickness of the tibiotarsus and decrease TD incidence (</w:t>
      </w:r>
      <w:r w:rsidRPr="00286A88">
        <w:rPr>
          <w:rFonts w:cs="AdvP4CD4D2"/>
          <w:lang w:val="en-AU" w:eastAsia="en-AU"/>
        </w:rPr>
        <w:t>Petek et al., 2005).</w:t>
      </w:r>
    </w:p>
    <w:p w14:paraId="10D0CD4F" w14:textId="77777777" w:rsidR="00286A88" w:rsidRPr="00286A88" w:rsidRDefault="00286A88" w:rsidP="009E3BC2">
      <w:pPr>
        <w:rPr>
          <w:rFonts w:cs="AdvPL"/>
          <w:lang w:val="en-AU" w:eastAsia="en-AU"/>
        </w:rPr>
      </w:pPr>
      <w:r w:rsidRPr="00286A88">
        <w:rPr>
          <w:rFonts w:cs="Arial"/>
          <w:lang w:val="en-AU" w:eastAsia="en-AU"/>
        </w:rPr>
        <w:t xml:space="preserve">Reiter and Bessei (2009) provide evidence for increased activity levels being beneficial for broiler leg health. Fast growing broilers trained to walk on treadmills displayed increased bone density and thickness, and reduced bending and twisting in leg bones, while spacing feeder and drinkers further apart (12 m vs 2 m) was seen to increase locomotor activity and reduce lameness, without compromising production parameters (Reiter and Bessei, 2009). Since this study there has been some interest in designing feeding regimes to stimulate increased broiler activity levels. </w:t>
      </w:r>
      <w:r w:rsidRPr="00286A88">
        <w:rPr>
          <w:rFonts w:cs="UVCharter-Regular"/>
          <w:lang w:val="en-AU" w:eastAsia="en-AU"/>
        </w:rPr>
        <w:t xml:space="preserve">Scattering feed pellets in the litter significantly increased activity (including locomotion) in a fast-growing broiler breed, which was not achieved by scattering whole wheat in the litter (provided as a supplement to feed pellets within a feeder); however, a substantial reduction in growth rate was associated with feed scattering (Jordan et al., 2011), presumably due to a portion being lost in the litter, which limits the application of this feeding regime in a commercial setting. </w:t>
      </w:r>
      <w:r w:rsidRPr="00286A88">
        <w:rPr>
          <w:rFonts w:cs="FCJIF H+ Gulliver RM"/>
          <w:lang w:val="en-AU" w:eastAsia="en-AU"/>
        </w:rPr>
        <w:t>Pichova et al. (2016) report that the motivational significance of food items scattered on the litter surface influenced litter-directed behaviours in broilers; mealworms (a highly attractive food source) induced increased foraging activity (litter-pecking and scratching) for 10 min post-treatment, whereas the provision of whole wheat (a less attractive food source), or wood-shavings, in a similar manner failed to trigger any increase in foraging activity. Unfortunately, since the increase in activity promoted by mealworm delivery was so transient it is unlikely that such a feeding regime could improve broiler leg health.</w:t>
      </w:r>
    </w:p>
    <w:p w14:paraId="35611336" w14:textId="77777777" w:rsidR="00286A88" w:rsidRPr="00286A88" w:rsidRDefault="00286A88" w:rsidP="009E3BC2">
      <w:pPr>
        <w:rPr>
          <w:rFonts w:cs="Times-Bold"/>
          <w:bCs/>
          <w:lang w:val="en-AU" w:eastAsia="en-AU"/>
        </w:rPr>
      </w:pPr>
      <w:r w:rsidRPr="00286A88">
        <w:rPr>
          <w:rFonts w:cs="Times-Bold"/>
          <w:bCs/>
          <w:lang w:val="en-AU" w:eastAsia="en-AU"/>
        </w:rPr>
        <w:t>The provision of perches to promote exercise and activity has been suggested as a means to reduce broiler leg problems; however, i</w:t>
      </w:r>
      <w:r w:rsidRPr="00286A88">
        <w:rPr>
          <w:rFonts w:cs="UVCharter-Regular"/>
          <w:lang w:val="en-AU" w:eastAsia="en-AU"/>
        </w:rPr>
        <w:t xml:space="preserve">t remains unclear as to whether perch provision can prevent TD. </w:t>
      </w:r>
      <w:r w:rsidRPr="00286A88">
        <w:rPr>
          <w:rFonts w:cs="Times-Bold"/>
          <w:bCs/>
          <w:lang w:val="en-AU" w:eastAsia="en-AU"/>
        </w:rPr>
        <w:t>In a study investigating perch use by broilers Tablante et al. (2003) observed the incidence of TD to be lowest in birds raised at higher densities (15-20 vs. 10 broilers/m</w:t>
      </w:r>
      <w:r w:rsidRPr="00286A88">
        <w:rPr>
          <w:rFonts w:cs="Times-Bold"/>
          <w:bCs/>
          <w:vertAlign w:val="superscript"/>
          <w:lang w:val="en-AU" w:eastAsia="en-AU"/>
        </w:rPr>
        <w:t>2</w:t>
      </w:r>
      <w:r w:rsidRPr="00286A88">
        <w:rPr>
          <w:rFonts w:cs="Times-Bold"/>
          <w:bCs/>
          <w:lang w:val="en-AU" w:eastAsia="en-AU"/>
        </w:rPr>
        <w:t xml:space="preserve">); interestingly, </w:t>
      </w:r>
      <w:r w:rsidRPr="00286A88">
        <w:rPr>
          <w:rFonts w:cs="Times-Roman"/>
          <w:lang w:val="en-AU" w:eastAsia="en-AU"/>
        </w:rPr>
        <w:t>TD was not observed in the control groups (without perches). Although p</w:t>
      </w:r>
      <w:r w:rsidRPr="00286A88">
        <w:rPr>
          <w:rFonts w:cs="Times-Bold"/>
          <w:bCs/>
          <w:lang w:val="en-AU" w:eastAsia="en-AU"/>
        </w:rPr>
        <w:t xml:space="preserve">erching frequency increased with stocking density, overall, it was performed infrequently (Tablante et al., 2003). Since the </w:t>
      </w:r>
      <w:r w:rsidRPr="00286A88">
        <w:rPr>
          <w:rFonts w:cs="Times-Roman"/>
          <w:lang w:val="en-AU" w:eastAsia="en-AU"/>
        </w:rPr>
        <w:t>perches remained fairly unused they may have, instead, acted as barriers, reducing bird activity further and increasing TD as a consequence.</w:t>
      </w:r>
    </w:p>
    <w:p w14:paraId="682ACB57" w14:textId="77777777" w:rsidR="00286A88" w:rsidRPr="00286A88" w:rsidRDefault="00286A88" w:rsidP="009E3BC2">
      <w:pPr>
        <w:rPr>
          <w:rFonts w:cs="Times New Roman"/>
          <w:lang w:val="en-AU" w:eastAsia="en-AU"/>
        </w:rPr>
      </w:pPr>
      <w:r w:rsidRPr="00286A88">
        <w:rPr>
          <w:rFonts w:cs="Times New Roman"/>
          <w:lang w:val="en-AU" w:eastAsia="en-AU"/>
        </w:rPr>
        <w:t>The widespread adoption of meal feeding, in combination with longer dark periods, is thought to be a major factor in leg health improvements seen in UK broilers over recent years. The light schedule broilers are kept under affects both their general activity level and their feeding behaviour (</w:t>
      </w:r>
      <w:r w:rsidRPr="00286A88">
        <w:rPr>
          <w:rFonts w:cs="RealpageBAS6-Bold"/>
          <w:bCs/>
          <w:lang w:val="en-AU" w:eastAsia="en-AU"/>
        </w:rPr>
        <w:t xml:space="preserve">Sanotra et al., 2002; </w:t>
      </w:r>
      <w:r w:rsidRPr="00286A88">
        <w:rPr>
          <w:rFonts w:cs="TimesNewRomanPS-BoldMT"/>
          <w:bCs/>
          <w:lang w:val="en-AU" w:eastAsia="en-AU"/>
        </w:rPr>
        <w:t xml:space="preserve">Bayram and Özkan, 2010; </w:t>
      </w:r>
      <w:r w:rsidRPr="00286A88">
        <w:rPr>
          <w:rFonts w:cs="RealpageBAS6-Bold"/>
          <w:bCs/>
          <w:lang w:val="en-AU" w:eastAsia="en-AU"/>
        </w:rPr>
        <w:t>S</w:t>
      </w:r>
      <w:r w:rsidRPr="00286A88">
        <w:rPr>
          <w:rFonts w:cs="GulliverRM"/>
          <w:lang w:val="en-AU" w:eastAsia="en-AU"/>
        </w:rPr>
        <w:t>chwean-Lardner et al., 2012). A photoperiod with a longer continuous scotophase appears to be particularly beneficial for improving walking ability. Broiler l</w:t>
      </w:r>
      <w:r w:rsidRPr="00286A88">
        <w:rPr>
          <w:rFonts w:cs="MyriadPro-Semibold"/>
          <w:lang w:val="en-AU" w:eastAsia="en-AU"/>
        </w:rPr>
        <w:t>ameness (GS) was higher under continuous light (</w:t>
      </w:r>
      <w:r w:rsidRPr="00286A88">
        <w:rPr>
          <w:rFonts w:eastAsia="ACaslonPro-Regular" w:cs="ACaslonPro-Regular"/>
          <w:lang w:val="en-AU" w:eastAsia="en-AU"/>
        </w:rPr>
        <w:t xml:space="preserve">24L:0D) than constant restricted light (16L:8D: </w:t>
      </w:r>
      <w:r w:rsidRPr="00286A88">
        <w:rPr>
          <w:rFonts w:cs="RealpageBAS6-Bold"/>
          <w:bCs/>
          <w:lang w:val="en-AU" w:eastAsia="en-AU"/>
        </w:rPr>
        <w:t xml:space="preserve">Sanotra et al., 2002; </w:t>
      </w:r>
      <w:r w:rsidRPr="00286A88">
        <w:rPr>
          <w:rFonts w:cs="GulliverRM"/>
          <w:lang w:val="en-AU" w:eastAsia="en-AU"/>
        </w:rPr>
        <w:t xml:space="preserve">Schwean-Lardner et al., 2013; </w:t>
      </w:r>
      <w:r w:rsidRPr="00286A88">
        <w:rPr>
          <w:rFonts w:eastAsia="ACaslonPro-Regular" w:cs="ACaslonPro-Regular"/>
          <w:lang w:val="en-AU" w:eastAsia="en-AU"/>
        </w:rPr>
        <w:t>Das and Lacin, 2014) or intermittent lighting (4L:2D: Das and Lacin, 2014). Lameness was also higher under a short scotophase (20L:4D) than a longer scotophase (12L:12D: Brickett et al., 2007). Positive associations between hours of light and lameness have also been identified in large commercial field studies (</w:t>
      </w:r>
      <w:r w:rsidRPr="00286A88">
        <w:rPr>
          <w:rFonts w:eastAsia="ComputerModern-Regular" w:cs="ComputerModern-Regular"/>
          <w:lang w:val="en-AU" w:eastAsia="en-AU"/>
        </w:rPr>
        <w:t xml:space="preserve">Knowles et al., 2008; Bassler et al., 2013), </w:t>
      </w:r>
      <w:r w:rsidRPr="00286A88">
        <w:rPr>
          <w:rFonts w:cs="GulliverRM"/>
          <w:lang w:val="en-AU" w:eastAsia="en-AU"/>
        </w:rPr>
        <w:t xml:space="preserve">as well as associations reported between daylight hours, </w:t>
      </w:r>
      <w:r w:rsidRPr="00286A88">
        <w:rPr>
          <w:rFonts w:eastAsia="ComputerModern-Regular" w:cs="ComputerModern-Regular"/>
          <w:lang w:val="en-AU" w:eastAsia="en-AU"/>
        </w:rPr>
        <w:t xml:space="preserve">FPD and mortality due to poor leg health </w:t>
      </w:r>
      <w:r w:rsidRPr="00286A88">
        <w:rPr>
          <w:rFonts w:cs="GulliverRM"/>
          <w:lang w:val="en-AU" w:eastAsia="en-AU"/>
        </w:rPr>
        <w:t xml:space="preserve">(Schwean-Lardner et al., 2013). </w:t>
      </w:r>
      <w:r w:rsidRPr="00286A88">
        <w:rPr>
          <w:rFonts w:cs="MyriadPro-Semibold"/>
          <w:lang w:val="en-AU" w:eastAsia="en-AU"/>
        </w:rPr>
        <w:t>Although TD has been observed to be higher under continuous light (</w:t>
      </w:r>
      <w:r w:rsidRPr="00286A88">
        <w:rPr>
          <w:rFonts w:eastAsia="ACaslonPro-Regular" w:cs="ACaslonPro-Regular"/>
          <w:lang w:val="en-AU" w:eastAsia="en-AU"/>
        </w:rPr>
        <w:t xml:space="preserve">24L:0D) than constant light (16L:8D: </w:t>
      </w:r>
      <w:r w:rsidRPr="00286A88">
        <w:rPr>
          <w:rFonts w:cs="RealpageBAS6-Bold"/>
          <w:bCs/>
          <w:lang w:val="en-AU" w:eastAsia="en-AU"/>
        </w:rPr>
        <w:t>Sanotra et al., 2002) or intermittent light (</w:t>
      </w:r>
      <w:r w:rsidRPr="00286A88">
        <w:rPr>
          <w:rFonts w:cs="AdvP4CD4D0"/>
          <w:lang w:val="en-AU" w:eastAsia="en-AU"/>
        </w:rPr>
        <w:t xml:space="preserve">12L:3*[1L:3D]: </w:t>
      </w:r>
      <w:r w:rsidRPr="00286A88">
        <w:rPr>
          <w:rFonts w:cs="Times New Roman"/>
          <w:lang w:val="en-AU" w:eastAsia="en-AU"/>
        </w:rPr>
        <w:t>Petek et al., 2005)</w:t>
      </w:r>
      <w:r w:rsidRPr="00286A88">
        <w:rPr>
          <w:rFonts w:eastAsia="ACaslonPro-Regular" w:cs="ACaslonPro-Regular"/>
          <w:lang w:val="en-AU" w:eastAsia="en-AU"/>
        </w:rPr>
        <w:t>, other studies have found TD prevalence to be unrelated to photoperiod (</w:t>
      </w:r>
      <w:r w:rsidRPr="00286A88">
        <w:rPr>
          <w:rFonts w:cs="TimesNewRomanPS-BoldMT"/>
          <w:bCs/>
          <w:lang w:val="en-AU" w:eastAsia="en-AU"/>
        </w:rPr>
        <w:t xml:space="preserve">Onbaşılar et al., 2007; </w:t>
      </w:r>
      <w:r w:rsidRPr="00286A88">
        <w:rPr>
          <w:rFonts w:eastAsia="ACaslonPro-Regular" w:cs="ACaslonPro-Regular"/>
          <w:lang w:val="en-AU" w:eastAsia="en-AU"/>
        </w:rPr>
        <w:t xml:space="preserve">Das and Lacin, 2014). </w:t>
      </w:r>
      <w:r w:rsidRPr="00286A88">
        <w:rPr>
          <w:rFonts w:cs="AdvP4CD4D0"/>
          <w:lang w:val="en-AU" w:eastAsia="en-AU"/>
        </w:rPr>
        <w:t>Leg bone quality also appears to benefit from a longer scotophase. Tibial bone ash (</w:t>
      </w:r>
      <w:r w:rsidRPr="00286A88">
        <w:rPr>
          <w:rFonts w:cs="Palatino-Roman"/>
          <w:lang w:val="en-AU" w:eastAsia="en-AU"/>
        </w:rPr>
        <w:t>Brickett et al., 2007)</w:t>
      </w:r>
      <w:r w:rsidRPr="00286A88">
        <w:rPr>
          <w:rFonts w:cs="AdvP4CD4D0"/>
          <w:lang w:val="en-AU" w:eastAsia="en-AU"/>
        </w:rPr>
        <w:t xml:space="preserve"> and breaking strength (Lewis et al., 2009a) have been positively correlated with hours of darkness. </w:t>
      </w:r>
      <w:r w:rsidRPr="00286A88">
        <w:rPr>
          <w:rFonts w:cs="Cheltenham-BookCond"/>
          <w:lang w:val="en-AU" w:eastAsia="en-AU"/>
        </w:rPr>
        <w:t xml:space="preserve">Tibial breaking strength was also improved in broilers raised under an intermittent lighting scheme (4L:4D) compared to those maintained under continuous lighting (Yang et al., 2015). </w:t>
      </w:r>
      <w:r w:rsidRPr="00286A88">
        <w:rPr>
          <w:rFonts w:cs="Times New Roman"/>
          <w:lang w:val="en-AU" w:eastAsia="en-AU"/>
        </w:rPr>
        <w:t>The use of stepped lighting is not an effective means of improving broiler leg health. Sherlock et al. (2010) observed that activity levels and GS were unaffected by step changes in lighting intensity (10 and 200 lux, 18L:6D) compared to a control lighting regime (10 lux).</w:t>
      </w:r>
    </w:p>
    <w:p w14:paraId="4CC7C8CF" w14:textId="77777777" w:rsidR="00286A88" w:rsidRPr="00286A88" w:rsidRDefault="00286A88" w:rsidP="009E3BC2">
      <w:pPr>
        <w:rPr>
          <w:rFonts w:cs="Myriad Pro"/>
          <w:lang w:val="en-AU" w:eastAsia="en-AU"/>
        </w:rPr>
      </w:pPr>
      <w:r w:rsidRPr="00286A88">
        <w:rPr>
          <w:rFonts w:cs="Times New Roman"/>
          <w:lang w:val="en-AU" w:eastAsia="en-AU"/>
        </w:rPr>
        <w:t>The use of wheat straw as litter has been associated with higher in</w:t>
      </w:r>
      <w:r w:rsidR="00FC573C">
        <w:rPr>
          <w:rFonts w:cs="Times New Roman"/>
          <w:lang w:val="en-AU" w:eastAsia="en-AU"/>
        </w:rPr>
        <w:t>cidences of lameness than wood-</w:t>
      </w:r>
      <w:r w:rsidRPr="00286A88">
        <w:rPr>
          <w:rFonts w:cs="Times New Roman"/>
          <w:lang w:val="en-AU" w:eastAsia="en-AU"/>
        </w:rPr>
        <w:t xml:space="preserve">shavings (hemp waste was intermediate); regular turning and the addition of fresh straw was not sufficient to improve leg health (Su et al., 2000). There was no effect of litter substrate on TD (Su et al., 2000). </w:t>
      </w:r>
      <w:r w:rsidRPr="00286A88">
        <w:rPr>
          <w:rFonts w:cs="Myriad Pro"/>
          <w:lang w:val="en-AU" w:eastAsia="en-AU"/>
        </w:rPr>
        <w:t>GS was lower in pens littered with vermiculite, or a wood-shavings and vermiculite mix, than in wood-shavings alone (Yildiz et al., 2014).</w:t>
      </w:r>
    </w:p>
    <w:p w14:paraId="276F7EDF" w14:textId="77777777" w:rsidR="00286A88" w:rsidRPr="00286A88" w:rsidRDefault="00286A88" w:rsidP="009E3BC2">
      <w:pPr>
        <w:rPr>
          <w:rFonts w:cs="AdvP49811"/>
          <w:lang w:val="en-AU" w:eastAsia="en-AU"/>
        </w:rPr>
      </w:pPr>
      <w:r w:rsidRPr="00286A88">
        <w:rPr>
          <w:rFonts w:cs="AdvP49811"/>
          <w:lang w:val="en-AU" w:eastAsia="en-AU"/>
        </w:rPr>
        <w:t>Antibiotics are routinely used in some countries (e.g. USA) during different stages of broiler rearing, although it should be acknowledged that there are wide variations between countries and agricultural antibiotic use in Australia is comparatively low. The receipt of an extra antibiotic treatment by a flock (in addition to that which would be part of normal rearing practice) was associated with a lower GS (</w:t>
      </w:r>
      <w:r w:rsidRPr="00286A88">
        <w:rPr>
          <w:rFonts w:cs="Times New Roman"/>
          <w:lang w:val="en-AU" w:eastAsia="en-AU"/>
        </w:rPr>
        <w:t>Knowles et al., 2008).</w:t>
      </w:r>
    </w:p>
    <w:p w14:paraId="7B630A66" w14:textId="77777777" w:rsidR="00286A88" w:rsidRPr="00286A88" w:rsidRDefault="00286A88" w:rsidP="009E3BC2">
      <w:pPr>
        <w:rPr>
          <w:rFonts w:eastAsia="ComputerModern-Regular" w:cs="ComputerModern-Regular"/>
          <w:lang w:val="en-AU" w:eastAsia="en-AU"/>
        </w:rPr>
      </w:pPr>
      <w:r w:rsidRPr="00286A88">
        <w:rPr>
          <w:rFonts w:cs="UVCharter-Regular"/>
          <w:lang w:val="en-AU" w:eastAsia="en-AU"/>
        </w:rPr>
        <w:t>Estimated heritabilities of leg problems (TD: 0.21; valgus-varus: 0.72) indicate that genetic selection offers a means by which to reduce non-infectious skeletal disorders, as indicated by the decreased incidence of TD in commercial strains in recent years (</w:t>
      </w:r>
      <w:r w:rsidRPr="00286A88">
        <w:rPr>
          <w:rFonts w:cs="UVProfile-Light"/>
          <w:lang w:val="en-AU" w:eastAsia="en-AU"/>
        </w:rPr>
        <w:t>Akba</w:t>
      </w:r>
      <w:r w:rsidRPr="00286A88">
        <w:rPr>
          <w:rFonts w:cs="TimesNewRoman"/>
          <w:lang w:val="en-AU" w:eastAsia="en-AU"/>
        </w:rPr>
        <w:t xml:space="preserve">ş et al., 2009). </w:t>
      </w:r>
      <w:r w:rsidRPr="00286A88">
        <w:rPr>
          <w:rFonts w:eastAsia="ComputerModern-Regular" w:cs="ComputerModern-Regular"/>
          <w:lang w:val="en-AU" w:eastAsia="en-AU"/>
        </w:rPr>
        <w:t>Wideman et al. (2014) also identified a sire influence on the susceptibility of broilers to FHN.</w:t>
      </w:r>
    </w:p>
    <w:p w14:paraId="2192DFA5" w14:textId="77777777" w:rsidR="00286A88" w:rsidRPr="00286A88" w:rsidRDefault="00286A88" w:rsidP="009E3BC2">
      <w:pPr>
        <w:pStyle w:val="Heading3"/>
        <w:rPr>
          <w:lang w:val="en-AU" w:eastAsia="en-AU"/>
        </w:rPr>
      </w:pPr>
      <w:bookmarkStart w:id="98" w:name="_Toc495310567"/>
      <w:r w:rsidRPr="00286A88">
        <w:rPr>
          <w:lang w:val="en-AU" w:eastAsia="en-AU"/>
        </w:rPr>
        <w:t>B3.4 Contact dermatitis</w:t>
      </w:r>
      <w:bookmarkEnd w:id="98"/>
    </w:p>
    <w:p w14:paraId="1A9A88B2" w14:textId="77777777" w:rsidR="00286A88" w:rsidRPr="009E3BC2" w:rsidRDefault="00286A88" w:rsidP="009E3BC2">
      <w:pPr>
        <w:rPr>
          <w:i/>
          <w:lang w:val="en-AU" w:eastAsia="en-AU"/>
        </w:rPr>
      </w:pPr>
      <w:r w:rsidRPr="009E3BC2">
        <w:rPr>
          <w:i/>
          <w:lang w:val="en-AU" w:eastAsia="en-AU"/>
        </w:rPr>
        <w:t>Appropriate management of litter quality</w:t>
      </w:r>
      <w:r w:rsidRPr="009E3BC2">
        <w:rPr>
          <w:rFonts w:cs="AdvP4CD4D0"/>
          <w:i/>
          <w:lang w:val="en-AU" w:eastAsia="en-AU"/>
        </w:rPr>
        <w:t>, rather than stocking density,</w:t>
      </w:r>
      <w:r w:rsidRPr="009E3BC2">
        <w:rPr>
          <w:i/>
          <w:lang w:val="en-AU" w:eastAsia="en-AU"/>
        </w:rPr>
        <w:t xml:space="preserve"> appears to be the most importan</w:t>
      </w:r>
      <w:r w:rsidR="00BF3015">
        <w:rPr>
          <w:i/>
          <w:lang w:val="en-AU" w:eastAsia="en-AU"/>
        </w:rPr>
        <w:t xml:space="preserve">t factor in controlling contact </w:t>
      </w:r>
      <w:r w:rsidRPr="009E3BC2">
        <w:rPr>
          <w:i/>
          <w:lang w:val="en-AU" w:eastAsia="en-AU"/>
        </w:rPr>
        <w:t>dermatitis; the condition is a serious welfare issue as severe lesions are likely to be painful and provide a gateway for infection.</w:t>
      </w:r>
    </w:p>
    <w:p w14:paraId="357AE0A4" w14:textId="77777777" w:rsidR="00286A88" w:rsidRPr="00286A88" w:rsidRDefault="00286A88" w:rsidP="009E3BC2">
      <w:pPr>
        <w:rPr>
          <w:lang w:val="en-AU" w:eastAsia="en-AU"/>
        </w:rPr>
      </w:pPr>
      <w:r w:rsidRPr="00286A88">
        <w:rPr>
          <w:lang w:val="en-AU" w:eastAsia="en-AU"/>
        </w:rPr>
        <w:t xml:space="preserve">Contact dermatitis is a skin condition of the feet (FPD or pododermatitis), hocks (hock burn), or breast (breast burn). </w:t>
      </w:r>
      <w:r w:rsidRPr="00286A88">
        <w:rPr>
          <w:rFonts w:cs="Times-Roman"/>
          <w:lang w:val="en-AU" w:eastAsia="en-AU"/>
        </w:rPr>
        <w:t xml:space="preserve">It can range from skin discolouration and superficial erosions to </w:t>
      </w:r>
      <w:r w:rsidRPr="00286A88">
        <w:rPr>
          <w:lang w:val="en-AU" w:eastAsia="en-AU"/>
        </w:rPr>
        <w:t>inflammatory reactions of the subcutaneous tissue and deep n</w:t>
      </w:r>
      <w:r w:rsidRPr="00286A88">
        <w:rPr>
          <w:rFonts w:cs="Times-Roman"/>
          <w:lang w:val="en-AU" w:eastAsia="en-AU"/>
        </w:rPr>
        <w:t>ecrotic lesions.</w:t>
      </w:r>
      <w:r w:rsidRPr="00286A88">
        <w:rPr>
          <w:lang w:val="en-AU" w:eastAsia="en-AU"/>
        </w:rPr>
        <w:t xml:space="preserve"> </w:t>
      </w:r>
      <w:r w:rsidRPr="00286A88">
        <w:rPr>
          <w:rFonts w:cs="AdvP4CD4D0"/>
          <w:lang w:val="en-AU" w:eastAsia="en-AU"/>
        </w:rPr>
        <w:t>Breast blisters are thought to develop following prolonged or repeated pressure on the keel bone, so that the sterna bursa becomes swollen and fluid-filled (Nielsen, 2004), forming a lesion upon rupture. Both forms of lesion can be associated with secondary bacterial infections.</w:t>
      </w:r>
    </w:p>
    <w:p w14:paraId="4608D476" w14:textId="77777777" w:rsidR="00286A88" w:rsidRPr="00286A88" w:rsidRDefault="00286A88" w:rsidP="009E3BC2">
      <w:pPr>
        <w:pStyle w:val="Heading41"/>
      </w:pPr>
      <w:r w:rsidRPr="00286A88">
        <w:t>B3.4a Foot</w:t>
      </w:r>
      <w:r w:rsidR="00BF3015">
        <w:t xml:space="preserve"> </w:t>
      </w:r>
      <w:r w:rsidRPr="00286A88">
        <w:t>pad dermatitis (FPD)</w:t>
      </w:r>
    </w:p>
    <w:p w14:paraId="5BCB8763" w14:textId="77777777" w:rsidR="00286A88" w:rsidRPr="00286A88" w:rsidRDefault="00286A88" w:rsidP="009E3BC2">
      <w:pPr>
        <w:rPr>
          <w:lang w:val="en-AU" w:eastAsia="en-AU"/>
        </w:rPr>
      </w:pPr>
      <w:r w:rsidRPr="00286A88">
        <w:rPr>
          <w:lang w:val="en-AU" w:eastAsia="en-AU"/>
        </w:rPr>
        <w:t>FPD is found on the plantar surface of the foot, most commonly the central pad, but it can also be found on the toes.</w:t>
      </w:r>
    </w:p>
    <w:p w14:paraId="2A15B69C" w14:textId="77777777" w:rsidR="00286A88" w:rsidRPr="00C5168E" w:rsidRDefault="00286A88" w:rsidP="00C5168E">
      <w:pPr>
        <w:spacing w:before="180"/>
        <w:rPr>
          <w:b/>
          <w:i/>
        </w:rPr>
      </w:pPr>
      <w:r w:rsidRPr="00C5168E">
        <w:rPr>
          <w:b/>
          <w:i/>
        </w:rPr>
        <w:t>Scoring FPD</w:t>
      </w:r>
    </w:p>
    <w:p w14:paraId="1E0B49C1" w14:textId="77777777" w:rsidR="00286A88" w:rsidRPr="00286A88" w:rsidRDefault="00286A88" w:rsidP="006968F5">
      <w:pPr>
        <w:rPr>
          <w:rFonts w:cs="AdvP4CD4D0"/>
          <w:lang w:val="en-AU" w:eastAsia="en-AU"/>
        </w:rPr>
      </w:pPr>
      <w:r w:rsidRPr="00286A88">
        <w:rPr>
          <w:lang w:val="en-AU" w:eastAsia="en-AU"/>
        </w:rPr>
        <w:t>FPD severity may be scored slightly differently in different countries, as reflected by the large variation in scoring systems evident within the literature. Scoring systems range from those concerned with lesion size, including a simple binary score (</w:t>
      </w:r>
      <w:r w:rsidRPr="00286A88">
        <w:rPr>
          <w:rFonts w:cs="AdvP4CD4D0"/>
          <w:lang w:val="en-AU" w:eastAsia="en-AU"/>
        </w:rPr>
        <w:t xml:space="preserve">0: no lesions or a lesion &lt;5 mm in diameter; 1: a lesion </w:t>
      </w:r>
      <w:r w:rsidRPr="00286A88">
        <w:rPr>
          <w:rFonts w:cs="AdvPi1"/>
          <w:lang w:val="en-AU" w:eastAsia="en-AU"/>
        </w:rPr>
        <w:t>&gt;</w:t>
      </w:r>
      <w:r w:rsidRPr="00286A88">
        <w:rPr>
          <w:rFonts w:cs="AdvP4CD4D0"/>
          <w:lang w:val="en-AU" w:eastAsia="en-AU"/>
        </w:rPr>
        <w:t xml:space="preserve">5 mm, Dawkins </w:t>
      </w:r>
      <w:r w:rsidRPr="00286A88">
        <w:rPr>
          <w:rFonts w:cs="AdvP4CD4D4"/>
          <w:lang w:val="en-AU" w:eastAsia="en-AU"/>
        </w:rPr>
        <w:t>et al.</w:t>
      </w:r>
      <w:r w:rsidRPr="00286A88">
        <w:rPr>
          <w:rFonts w:cs="AdvP4CD4D0"/>
          <w:lang w:val="en-AU" w:eastAsia="en-AU"/>
        </w:rPr>
        <w:t xml:space="preserve">, 2004), and a 4-point scale </w:t>
      </w:r>
      <w:r w:rsidRPr="00286A88">
        <w:rPr>
          <w:rFonts w:cs="AdvP41153C"/>
          <w:lang w:val="en-AU" w:eastAsia="en-AU"/>
        </w:rPr>
        <w:t>(0: no lesion; 1:</w:t>
      </w:r>
      <w:r w:rsidR="0093306E">
        <w:rPr>
          <w:rFonts w:cs="AdvP41153C"/>
          <w:lang w:val="en-AU" w:eastAsia="en-AU"/>
        </w:rPr>
        <w:t> </w:t>
      </w:r>
      <w:r w:rsidRPr="00286A88">
        <w:rPr>
          <w:rFonts w:cs="AdvP41153C"/>
          <w:lang w:val="en-AU" w:eastAsia="en-AU"/>
        </w:rPr>
        <w:t>lesion on &lt;25% of the pads; 2: lesion on 25-50% of the pads; 3: lesion on &gt;50% of the pads, (</w:t>
      </w:r>
      <w:r w:rsidRPr="00286A88">
        <w:rPr>
          <w:rFonts w:cs="AdvP4CD4D0"/>
          <w:lang w:val="en-AU" w:eastAsia="en-AU"/>
        </w:rPr>
        <w:t xml:space="preserve">Martrenchar </w:t>
      </w:r>
      <w:r w:rsidRPr="00286A88">
        <w:rPr>
          <w:rFonts w:cs="AdvP4CD4D4"/>
          <w:lang w:val="en-AU" w:eastAsia="en-AU"/>
        </w:rPr>
        <w:t>et al.</w:t>
      </w:r>
      <w:r w:rsidRPr="00286A88">
        <w:rPr>
          <w:rFonts w:cs="AdvP4CD4D0"/>
          <w:lang w:val="en-AU" w:eastAsia="en-AU"/>
        </w:rPr>
        <w:t>, 2002), to more descriptive methods such as the Swedish scoring scale (</w:t>
      </w:r>
      <w:r w:rsidRPr="00286A88">
        <w:rPr>
          <w:rFonts w:eastAsia="ComputerModern-Regular" w:cs="ComputerModern-Regular"/>
          <w:lang w:val="en-AU" w:eastAsia="en-AU"/>
        </w:rPr>
        <w:t>0: no lesion, slight discolouration of the skin, or healed lesion; 1: mild lesion, superficial discolouration of the skin, and hyperkeratosis; 2: severe lesion, epidermis is affected, blood scabs, haemorrhage, and severe swelling of the skin, (e.g.</w:t>
      </w:r>
      <w:r w:rsidRPr="00286A88">
        <w:rPr>
          <w:rFonts w:cs="AdvP4CD4D0"/>
          <w:lang w:val="en-AU" w:eastAsia="en-AU"/>
        </w:rPr>
        <w:t xml:space="preserve"> de Jong et al., 2012b). Other studies have used complex severity scales with as many as seven (</w:t>
      </w:r>
      <w:r w:rsidRPr="00286A88">
        <w:rPr>
          <w:rFonts w:eastAsia="ComputerModern-Regular" w:cs="ComputerModern-Regular"/>
          <w:lang w:val="en-AU" w:eastAsia="en-AU"/>
        </w:rPr>
        <w:t>Abd El-Wahab et al., 2013) or even 10 categories (</w:t>
      </w:r>
      <w:r w:rsidRPr="00286A88">
        <w:rPr>
          <w:rFonts w:cs="AdvP4CD4D0"/>
          <w:lang w:val="en-AU" w:eastAsia="en-AU"/>
        </w:rPr>
        <w:t xml:space="preserve">Allain et al., 2009). </w:t>
      </w:r>
      <w:r w:rsidRPr="00286A88">
        <w:rPr>
          <w:rFonts w:cs="TimesNewRomanPSMT"/>
          <w:lang w:val="en-AU" w:eastAsia="en-AU"/>
        </w:rPr>
        <w:t>Michel et al. (2012) d</w:t>
      </w:r>
      <w:r w:rsidRPr="00286A88">
        <w:rPr>
          <w:rFonts w:cs="AdvP4CD4D0"/>
          <w:lang w:val="en-AU" w:eastAsia="en-AU"/>
        </w:rPr>
        <w:t>evised a complex 5-point scale based upon a combination of lesion severity (assessed via macroscopic and histological observations) and lesion size for use in processing plants. The scoring system currently in use on-farm as part of the Welfare Quality® Assessment protocol for poultry comprises a 5-point severity scale developed by Bristol University (e.g. Haslam et al., 2007) and utilises photographic images for reference (Figure B1).</w:t>
      </w:r>
    </w:p>
    <w:p w14:paraId="321924BD" w14:textId="77777777" w:rsidR="00286A88" w:rsidRPr="00286A88" w:rsidRDefault="00286A88" w:rsidP="006968F5">
      <w:pPr>
        <w:rPr>
          <w:rFonts w:cs="AdvP4CD4D0"/>
          <w:lang w:val="en-AU" w:eastAsia="en-AU"/>
        </w:rPr>
      </w:pPr>
    </w:p>
    <w:p w14:paraId="09A34646" w14:textId="77777777" w:rsidR="00286A88" w:rsidRPr="00864384" w:rsidRDefault="00286A88" w:rsidP="00286A88">
      <w:pPr>
        <w:autoSpaceDE w:val="0"/>
        <w:autoSpaceDN w:val="0"/>
        <w:adjustRightInd w:val="0"/>
        <w:spacing w:after="0" w:line="240" w:lineRule="auto"/>
        <w:contextualSpacing/>
        <w:rPr>
          <w:rFonts w:eastAsia="Times New Roman" w:cs="Arial"/>
          <w:iCs/>
          <w:color w:val="000000"/>
          <w:sz w:val="22"/>
          <w:szCs w:val="22"/>
          <w:lang w:val="en-AU" w:eastAsia="en-AU"/>
        </w:rPr>
      </w:pPr>
      <w:r w:rsidRPr="00864384">
        <w:rPr>
          <w:rFonts w:eastAsia="Times New Roman" w:cs="Arial"/>
          <w:iCs/>
          <w:noProof/>
          <w:color w:val="000000"/>
          <w:sz w:val="22"/>
          <w:szCs w:val="22"/>
          <w:lang w:val="en-AU" w:eastAsia="en-AU"/>
        </w:rPr>
        <w:drawing>
          <wp:inline distT="0" distB="0" distL="0" distR="0" wp14:anchorId="4337C648" wp14:editId="4DBE9165">
            <wp:extent cx="5724525" cy="1619250"/>
            <wp:effectExtent l="0" t="0" r="9525" b="0"/>
            <wp:docPr id="18" name="Picture 3" descr="This figure shows five photographic images of foot pad dermatitis lesions used as references to score foot pad dermatitis lesion severity, on a 5-point severity scale. From left to right the five photographs show severity scored as 0 (no lesion), 1, 2, 3, and 4. This scoring system was developed by Bristol University and is used on-farm as part of the Welfare Quality® Assessment protocol for poultry." title="Figure B1: Five point scoring scale (0-4) for categorising foot pad dermatitis lesion severity in broi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srcRect/>
                    <a:stretch>
                      <a:fillRect/>
                    </a:stretch>
                  </pic:blipFill>
                  <pic:spPr bwMode="auto">
                    <a:xfrm>
                      <a:off x="0" y="0"/>
                      <a:ext cx="5724525" cy="1619250"/>
                    </a:xfrm>
                    <a:prstGeom prst="rect">
                      <a:avLst/>
                    </a:prstGeom>
                    <a:noFill/>
                    <a:ln w="9525">
                      <a:noFill/>
                      <a:miter lim="800000"/>
                      <a:headEnd/>
                      <a:tailEnd/>
                    </a:ln>
                  </pic:spPr>
                </pic:pic>
              </a:graphicData>
            </a:graphic>
          </wp:inline>
        </w:drawing>
      </w:r>
    </w:p>
    <w:p w14:paraId="57CB9636" w14:textId="77777777" w:rsidR="00286A88" w:rsidRPr="00286A88" w:rsidRDefault="00286A88" w:rsidP="006968F5">
      <w:pPr>
        <w:spacing w:before="240" w:after="240"/>
        <w:rPr>
          <w:b/>
          <w:lang w:val="en-AU" w:eastAsia="en-AU"/>
        </w:rPr>
      </w:pPr>
      <w:r w:rsidRPr="00286A88">
        <w:rPr>
          <w:b/>
          <w:lang w:val="en-AU" w:eastAsia="en-AU"/>
        </w:rPr>
        <w:t>Figure B1: Five point scoring scale (0-4) for categorising foot pad dermatitis lesion severity in broilers (Welfare Quality®, 2009)</w:t>
      </w:r>
    </w:p>
    <w:p w14:paraId="384E8AF5" w14:textId="77777777" w:rsidR="00286A88" w:rsidRPr="00286A88" w:rsidRDefault="00286A88" w:rsidP="006968F5">
      <w:pPr>
        <w:rPr>
          <w:lang w:val="en-AU" w:eastAsia="en-AU"/>
        </w:rPr>
      </w:pPr>
      <w:r w:rsidRPr="00286A88">
        <w:rPr>
          <w:lang w:val="en-AU" w:eastAsia="en-AU"/>
        </w:rPr>
        <w:t>To avoid sampling error when FPD lesions are unevenly distributed over a commercial broiler unit de Jong et al. (2012c) recommend the utilisation of at least five different sampling locations within the unit and a sample size of at least 100 birds.</w:t>
      </w:r>
    </w:p>
    <w:p w14:paraId="38359DB7" w14:textId="77777777" w:rsidR="00286A88" w:rsidRPr="00C5168E" w:rsidRDefault="00286A88" w:rsidP="00C5168E">
      <w:pPr>
        <w:spacing w:before="180"/>
        <w:rPr>
          <w:b/>
          <w:i/>
        </w:rPr>
      </w:pPr>
      <w:r w:rsidRPr="00C5168E">
        <w:rPr>
          <w:b/>
          <w:i/>
        </w:rPr>
        <w:t>Prevalence, risk factors and control</w:t>
      </w:r>
    </w:p>
    <w:p w14:paraId="7BF03E9B" w14:textId="77777777" w:rsidR="00286A88" w:rsidRPr="00286A88" w:rsidRDefault="00286A88" w:rsidP="006968F5">
      <w:pPr>
        <w:rPr>
          <w:rFonts w:eastAsia="ComputerModern-Regular" w:cs="ComputerModern-Regular"/>
          <w:lang w:val="en-AU" w:eastAsia="en-AU"/>
        </w:rPr>
      </w:pPr>
      <w:r w:rsidRPr="00286A88">
        <w:rPr>
          <w:lang w:val="en-AU" w:eastAsia="en-AU"/>
        </w:rPr>
        <w:t xml:space="preserve">Great variation in the occurrence of FPD (including severity levels) has been reported, both between flocks and studies: </w:t>
      </w:r>
      <w:r w:rsidRPr="00286A88">
        <w:rPr>
          <w:rFonts w:cs="AdvP4CD4D0"/>
          <w:lang w:val="en-AU" w:eastAsia="en-AU"/>
        </w:rPr>
        <w:t xml:space="preserve">0-48% (severe, UK: </w:t>
      </w:r>
      <w:r w:rsidRPr="00286A88">
        <w:rPr>
          <w:rFonts w:cs="FrutigerLTStd-Light"/>
          <w:lang w:val="en-AU" w:eastAsia="en-AU"/>
        </w:rPr>
        <w:t xml:space="preserve">Jones </w:t>
      </w:r>
      <w:r w:rsidRPr="00286A88">
        <w:rPr>
          <w:rFonts w:cs="FrutigerLTStd-LightItalic"/>
          <w:iCs/>
          <w:lang w:val="en-AU" w:eastAsia="en-AU"/>
        </w:rPr>
        <w:t>et al</w:t>
      </w:r>
      <w:r w:rsidRPr="00286A88">
        <w:rPr>
          <w:rFonts w:cs="FrutigerLTStd-Light"/>
          <w:lang w:val="en-AU" w:eastAsia="en-AU"/>
        </w:rPr>
        <w:t xml:space="preserve">., 2005a); </w:t>
      </w:r>
      <w:r w:rsidRPr="00286A88">
        <w:rPr>
          <w:rFonts w:eastAsia="ComputerModern-Regular" w:cs="ComputerModern-Regular"/>
          <w:lang w:val="en-AU" w:eastAsia="en-AU"/>
        </w:rPr>
        <w:t xml:space="preserve">4% (severe, UK: </w:t>
      </w:r>
      <w:r w:rsidRPr="00286A88">
        <w:rPr>
          <w:lang w:val="en-AU" w:eastAsia="en-AU"/>
        </w:rPr>
        <w:t xml:space="preserve">Pagazaurtundua and Warriss, 2006); 0-72% (moderate and severe, UK: Haslam et al., 2007); 0-90% (severe, Italy: Melluzzi et al., 2008a; </w:t>
      </w:r>
      <w:r w:rsidRPr="00286A88">
        <w:rPr>
          <w:rFonts w:cs="AdvP4CD4D0"/>
          <w:lang w:val="en-AU" w:eastAsia="en-AU"/>
        </w:rPr>
        <w:t xml:space="preserve">2008b); </w:t>
      </w:r>
      <w:r w:rsidRPr="00286A88">
        <w:rPr>
          <w:lang w:val="en-AU" w:eastAsia="en-AU"/>
        </w:rPr>
        <w:t xml:space="preserve">83% (severe, France: Allain et al., 2009); 75% (any severity, Portugal: Gouveia et al., 2009); 32-100% (any severity, Japan: Hashimoto et al., 2011); 38% (severe, Holland: </w:t>
      </w:r>
      <w:r w:rsidRPr="00286A88">
        <w:rPr>
          <w:rFonts w:eastAsia="ComputerModern-Regular" w:cs="ComputerModern-Regular"/>
          <w:lang w:val="en-AU" w:eastAsia="en-AU"/>
        </w:rPr>
        <w:t>de Jong et al., 2012b).</w:t>
      </w:r>
    </w:p>
    <w:p w14:paraId="4A9ECB4D" w14:textId="77777777" w:rsidR="00286A88" w:rsidRPr="00286A88" w:rsidRDefault="00286A88" w:rsidP="006968F5">
      <w:pPr>
        <w:rPr>
          <w:rFonts w:eastAsia="ComputerModern-Regular" w:cs="ComputerModern-Regular"/>
          <w:lang w:val="en-AU" w:eastAsia="en-AU"/>
        </w:rPr>
      </w:pPr>
      <w:r w:rsidRPr="00286A88">
        <w:rPr>
          <w:lang w:val="en-AU" w:eastAsia="en-AU"/>
        </w:rPr>
        <w:t>FPD generally increases with age in standard fast-growing (</w:t>
      </w:r>
      <w:r w:rsidRPr="00286A88">
        <w:rPr>
          <w:rFonts w:cs="Times-Bold"/>
          <w:bCs/>
          <w:lang w:val="en-AU" w:eastAsia="en-AU"/>
        </w:rPr>
        <w:t xml:space="preserve">Bilgili et al., 2006; </w:t>
      </w:r>
      <w:r w:rsidRPr="00286A88">
        <w:rPr>
          <w:rFonts w:cs="Arial"/>
          <w:lang w:val="en-AU" w:eastAsia="en-GB"/>
        </w:rPr>
        <w:t xml:space="preserve">Kjaer et al., 2006; </w:t>
      </w:r>
      <w:r w:rsidRPr="00286A88">
        <w:rPr>
          <w:lang w:val="en-AU" w:eastAsia="en-AU"/>
        </w:rPr>
        <w:t xml:space="preserve">Hashimoto et al., 2011; Baeza et al., 2012; </w:t>
      </w:r>
      <w:r w:rsidRPr="00286A88">
        <w:rPr>
          <w:rFonts w:eastAsia="ComputerModern-Regular" w:cs="ComputerModern-Regular"/>
          <w:lang w:val="en-AU" w:eastAsia="en-AU"/>
        </w:rPr>
        <w:t xml:space="preserve">Kyvsgaard et al., 2013; </w:t>
      </w:r>
      <w:r w:rsidRPr="00286A88">
        <w:rPr>
          <w:rFonts w:cs="TimesNewRomanPSMT"/>
          <w:lang w:val="en-AU" w:eastAsia="en-AU"/>
        </w:rPr>
        <w:t xml:space="preserve">Martins et al., 2013; </w:t>
      </w:r>
      <w:r w:rsidRPr="00286A88">
        <w:rPr>
          <w:rFonts w:cs="Arial"/>
          <w:bCs/>
          <w:szCs w:val="24"/>
          <w:lang w:val="en-AU" w:eastAsia="en-AU"/>
        </w:rPr>
        <w:t>Sarica et al., 2014</w:t>
      </w:r>
      <w:r w:rsidRPr="00286A88">
        <w:rPr>
          <w:rFonts w:cs="Times-Bold"/>
          <w:bCs/>
          <w:lang w:val="en-AU" w:eastAsia="en-AU"/>
        </w:rPr>
        <w:t>) and slow-growing breeds (</w:t>
      </w:r>
      <w:r w:rsidRPr="00286A88">
        <w:rPr>
          <w:lang w:val="en-AU" w:eastAsia="en-AU"/>
        </w:rPr>
        <w:t xml:space="preserve">Gouveia et al., 2009; </w:t>
      </w:r>
      <w:r w:rsidRPr="00286A88">
        <w:rPr>
          <w:rFonts w:cs="Arial"/>
          <w:bCs/>
          <w:szCs w:val="24"/>
          <w:lang w:val="en-AU" w:eastAsia="en-AU"/>
        </w:rPr>
        <w:t>Sarica et al., 2014</w:t>
      </w:r>
      <w:r w:rsidRPr="00286A88">
        <w:rPr>
          <w:lang w:val="en-AU" w:eastAsia="en-AU"/>
        </w:rPr>
        <w:t>). Lesions have been observed as early as 7 days post-hatch (Berk, 2009; Hashimoto et al., 2011).</w:t>
      </w:r>
    </w:p>
    <w:p w14:paraId="48EA20B7" w14:textId="77777777" w:rsidR="00286A88" w:rsidRPr="00286A88" w:rsidRDefault="00286A88" w:rsidP="006968F5">
      <w:pPr>
        <w:rPr>
          <w:rFonts w:eastAsia="ComputerModern-Regular" w:cs="ComputerModern-Regular"/>
          <w:lang w:val="en-AU" w:eastAsia="en-AU"/>
        </w:rPr>
      </w:pPr>
      <w:r w:rsidRPr="00286A88">
        <w:rPr>
          <w:rFonts w:eastAsia="ComputerModern-Regular" w:cs="ComputerModern-Regular"/>
          <w:lang w:val="en-AU" w:eastAsia="en-AU"/>
        </w:rPr>
        <w:t xml:space="preserve">Flock thinning is a partial depopulation, usually of fast-growing broilers, whereby a proportion of the flock is removed to satisfy market demand for lighter birds, and to maintain stocking density within legal limits, (usually) one week prior to the end of production; the remaining birds are kept on until the end of the production cycle. Birds thinned from a flock at a young age (i.e. &lt;38 d) have been observed to have less severe FPD than older depopulated flocks (de Jong et al., 2012b), which fits in with the general expectation that FPD increases with age; however, the presence of a catching team within the house is likely to be very stressful for the uncaught birds, less mobile birds may be walked over and sustain skin lesions, as well as posing a huge biosecurity risk. Birds sent for depopulation at a young age may be seen with high FPD levels; farms that depopulate early generally utilise higher stocking densities and do not thin, which compromises their litter quality (de Jong et al., 2012b). De Jong et al. (2012b) </w:t>
      </w:r>
      <w:r w:rsidRPr="00286A88">
        <w:rPr>
          <w:lang w:val="en-AU" w:eastAsia="en-AU"/>
        </w:rPr>
        <w:t xml:space="preserve">report that </w:t>
      </w:r>
      <w:r w:rsidRPr="00286A88">
        <w:rPr>
          <w:rFonts w:eastAsia="ComputerModern-Regular" w:cs="ComputerModern-Regular"/>
          <w:lang w:val="en-AU" w:eastAsia="en-AU"/>
        </w:rPr>
        <w:t>FPD severity can decrease with age; the authors hypothesise that this may have been a consequence of flock thinning, since a reduction in stocking density could allow the litter quality to improve. Alternatively, since older birds spend more time resting (e.g. Alvino et al., 2009a) they may reduce the contact-time of their feet with the litter (instead increasing hock and breast contact).</w:t>
      </w:r>
    </w:p>
    <w:p w14:paraId="58F5DADB" w14:textId="77777777" w:rsidR="00286A88" w:rsidRPr="00286A88" w:rsidRDefault="00286A88" w:rsidP="006968F5">
      <w:pPr>
        <w:rPr>
          <w:rFonts w:cs="UVProfile-Light"/>
          <w:szCs w:val="24"/>
          <w:lang w:val="en-AU" w:eastAsia="en-AU"/>
        </w:rPr>
      </w:pPr>
      <w:r w:rsidRPr="00286A88">
        <w:rPr>
          <w:rFonts w:cs="Times-Bold"/>
          <w:bCs/>
          <w:lang w:val="en-AU" w:eastAsia="en-AU"/>
        </w:rPr>
        <w:t xml:space="preserve">Male birds have been reported to be more susceptible to FPD than females due to their heavier body mass (Bilgili et al., 2006; Nagaraj et al., 2007; </w:t>
      </w:r>
      <w:r w:rsidRPr="00286A88">
        <w:rPr>
          <w:lang w:val="en-AU" w:eastAsia="en-AU"/>
        </w:rPr>
        <w:t xml:space="preserve">Hashimoto et al., 2011; </w:t>
      </w:r>
      <w:r w:rsidRPr="00286A88">
        <w:rPr>
          <w:rFonts w:cs="Arial"/>
          <w:bCs/>
          <w:szCs w:val="24"/>
          <w:lang w:val="en-AU" w:eastAsia="en-AU"/>
        </w:rPr>
        <w:t>Sarica et al., 2014</w:t>
      </w:r>
      <w:r w:rsidRPr="00286A88">
        <w:rPr>
          <w:rFonts w:cs="Times-Bold"/>
          <w:bCs/>
          <w:lang w:val="en-AU" w:eastAsia="en-AU"/>
        </w:rPr>
        <w:t>), but other studies report no differences between the sexes (</w:t>
      </w:r>
      <w:r w:rsidRPr="00286A88">
        <w:rPr>
          <w:rFonts w:cs="GillSans-Italic"/>
          <w:iCs/>
          <w:lang w:val="en-AU" w:eastAsia="en-AU"/>
        </w:rPr>
        <w:t>Gouveia et al., 2009), or that females are more susceptible (</w:t>
      </w:r>
      <w:r w:rsidRPr="00286A88">
        <w:rPr>
          <w:rFonts w:cs="Arial"/>
          <w:lang w:val="en-AU" w:eastAsia="en-GB"/>
        </w:rPr>
        <w:t xml:space="preserve">Kjaer et al., 2006; </w:t>
      </w:r>
      <w:r w:rsidRPr="00286A88">
        <w:rPr>
          <w:rFonts w:eastAsia="ComputerModern-Regular" w:cs="ComputerModern-Regular"/>
          <w:lang w:val="en-AU" w:eastAsia="en-AU"/>
        </w:rPr>
        <w:t>Kappell et al., 2012; Schwean-Lardner</w:t>
      </w:r>
      <w:r w:rsidRPr="00286A88">
        <w:rPr>
          <w:rFonts w:cs="Arial"/>
          <w:bCs/>
          <w:lang w:val="en-AU" w:eastAsia="en-AU"/>
        </w:rPr>
        <w:t xml:space="preserve"> et al., 2013). </w:t>
      </w:r>
      <w:r w:rsidRPr="00286A88">
        <w:rPr>
          <w:rFonts w:cs="20lifnmxvsxwirbdizjqntweiio"/>
          <w:szCs w:val="24"/>
          <w:lang w:val="en-AU" w:eastAsia="en-AU"/>
        </w:rPr>
        <w:t>Similarly varying results have been obtained regarding the relation between FPD and body mass, with observations of a positive correlation between live weight and FPD scores (</w:t>
      </w:r>
      <w:r w:rsidRPr="00286A88">
        <w:rPr>
          <w:rFonts w:cs="Arial"/>
          <w:bCs/>
          <w:szCs w:val="24"/>
          <w:lang w:val="en-AU" w:eastAsia="en-AU"/>
        </w:rPr>
        <w:t>Sarica et al., 2014), no association (</w:t>
      </w:r>
      <w:r w:rsidRPr="00286A88">
        <w:rPr>
          <w:rFonts w:cs="Arial"/>
          <w:lang w:val="en-AU" w:eastAsia="en-GB"/>
        </w:rPr>
        <w:t>Kjaer et al., 2006), and</w:t>
      </w:r>
      <w:r w:rsidRPr="00286A88">
        <w:rPr>
          <w:lang w:val="en-AU" w:eastAsia="en-AU"/>
        </w:rPr>
        <w:t xml:space="preserve"> a negative association (Hashimoto et al., 2013). FPD is generally associated with a loss of condition/health, perhaps due to a secondary infection associated with lesion presence (</w:t>
      </w:r>
      <w:r w:rsidRPr="00286A88">
        <w:rPr>
          <w:rFonts w:cs="UVProfile-Light"/>
          <w:szCs w:val="24"/>
          <w:lang w:val="en-AU" w:eastAsia="en-AU"/>
        </w:rPr>
        <w:t xml:space="preserve">Nowaczewski et al., 2011; </w:t>
      </w:r>
      <w:r w:rsidRPr="00286A88">
        <w:rPr>
          <w:rFonts w:eastAsia="ComputerModern-Regular" w:cs="ComputerModern-Regular"/>
          <w:lang w:val="en-AU" w:eastAsia="en-AU"/>
        </w:rPr>
        <w:t>Kyvsgaard et al., 2013)</w:t>
      </w:r>
      <w:r w:rsidRPr="00286A88">
        <w:rPr>
          <w:rFonts w:cs="UVProfile-Light"/>
          <w:szCs w:val="24"/>
          <w:lang w:val="en-AU" w:eastAsia="en-AU"/>
        </w:rPr>
        <w:t>.</w:t>
      </w:r>
    </w:p>
    <w:p w14:paraId="6AD9DD3F" w14:textId="77777777" w:rsidR="00286A88" w:rsidRPr="00286A88" w:rsidRDefault="00286A88" w:rsidP="006968F5">
      <w:pPr>
        <w:rPr>
          <w:rFonts w:cs="Sgwnfgpqvgvqqznzkxzzzvbnzsn"/>
          <w:lang w:val="en-AU" w:eastAsia="en-AU"/>
        </w:rPr>
      </w:pPr>
      <w:r w:rsidRPr="00286A88">
        <w:rPr>
          <w:lang w:val="en-AU" w:eastAsia="en-AU"/>
        </w:rPr>
        <w:t>Studies comparing FPD prevalence under commercial conditions have highlighted differences in susceptibility between different fast-growing genotypes (</w:t>
      </w:r>
      <w:r w:rsidRPr="00286A88">
        <w:rPr>
          <w:rFonts w:cs="AdvP4CD4D0"/>
          <w:lang w:val="en-AU" w:eastAsia="en-AU"/>
        </w:rPr>
        <w:t xml:space="preserve">Haslam et al., 2007; </w:t>
      </w:r>
      <w:r w:rsidRPr="00286A88">
        <w:rPr>
          <w:rFonts w:cs="Myriad Pro"/>
          <w:szCs w:val="20"/>
          <w:lang w:val="en-AU" w:eastAsia="en-AU"/>
        </w:rPr>
        <w:t xml:space="preserve">Yamak et al., 2016); </w:t>
      </w:r>
      <w:r w:rsidRPr="00286A88">
        <w:rPr>
          <w:lang w:val="en-AU" w:eastAsia="en-AU"/>
        </w:rPr>
        <w:t xml:space="preserve">Ross 308 appear to be the most susceptible, despite having a lower body mass (compared to </w:t>
      </w:r>
      <w:r w:rsidRPr="00286A88">
        <w:rPr>
          <w:rFonts w:eastAsia="ComputerModern-Regular" w:cs="ComputerModern-Regular"/>
          <w:lang w:val="en-AU" w:eastAsia="en-AU"/>
        </w:rPr>
        <w:t>Hubbard Flex: de Jong et al., 2012b; Ross 708: Schwean-Lardner</w:t>
      </w:r>
      <w:r w:rsidRPr="00286A88">
        <w:rPr>
          <w:rFonts w:cs="Arial"/>
          <w:bCs/>
          <w:lang w:val="en-AU" w:eastAsia="en-AU"/>
        </w:rPr>
        <w:t xml:space="preserve"> et al., 2013; </w:t>
      </w:r>
      <w:r w:rsidRPr="00286A88">
        <w:rPr>
          <w:rFonts w:eastAsia="ComputerModern-Regular" w:cs="ComputerModern-Regular"/>
          <w:lang w:val="en-AU" w:eastAsia="en-AU"/>
        </w:rPr>
        <w:t xml:space="preserve">Hubbard: </w:t>
      </w:r>
      <w:r w:rsidRPr="00286A88">
        <w:rPr>
          <w:rFonts w:cs="TimesNewRomanPS-BoldMT"/>
          <w:bCs/>
          <w:lang w:val="en-AU" w:eastAsia="en-AU"/>
        </w:rPr>
        <w:t xml:space="preserve">Skrbic et al., 2015; Cobb: </w:t>
      </w:r>
      <w:r w:rsidRPr="00286A88">
        <w:rPr>
          <w:rFonts w:cs="TimesNewRomanPSMT"/>
          <w:lang w:val="en-AU" w:eastAsia="en-AU"/>
        </w:rPr>
        <w:t xml:space="preserve">Martins et al., 2016). </w:t>
      </w:r>
      <w:r w:rsidRPr="00286A88">
        <w:rPr>
          <w:rFonts w:cs="AdvTimes"/>
          <w:lang w:val="en-AU" w:eastAsia="en-AU"/>
        </w:rPr>
        <w:t>Fast-growing genotypes have conclusively been shown to demonstrate greater FPD lesion incidence/ severity than slower-growing genotypes (</w:t>
      </w:r>
      <w:r w:rsidRPr="00286A88">
        <w:rPr>
          <w:rFonts w:cs="Arial"/>
          <w:lang w:val="en-AU" w:eastAsia="en-GB"/>
        </w:rPr>
        <w:t xml:space="preserve">Kjaer et al., 2006; </w:t>
      </w:r>
      <w:r w:rsidRPr="00286A88">
        <w:rPr>
          <w:rFonts w:cs="AdvP4CD4D0"/>
          <w:lang w:val="en-AU" w:eastAsia="en-AU"/>
        </w:rPr>
        <w:t xml:space="preserve">Allain et al., 2009; </w:t>
      </w:r>
      <w:r w:rsidRPr="00286A88">
        <w:rPr>
          <w:rFonts w:cs="Arial"/>
          <w:bCs/>
          <w:szCs w:val="24"/>
          <w:lang w:val="en-AU" w:eastAsia="en-AU"/>
        </w:rPr>
        <w:t xml:space="preserve">Sarica et al., 2014; </w:t>
      </w:r>
      <w:r w:rsidRPr="00286A88">
        <w:rPr>
          <w:rFonts w:cs="Myriad Pro"/>
          <w:szCs w:val="20"/>
          <w:lang w:val="en-AU" w:eastAsia="en-AU"/>
        </w:rPr>
        <w:t>Yamak et al., 2016</w:t>
      </w:r>
      <w:r w:rsidRPr="00286A88">
        <w:rPr>
          <w:rFonts w:cs="AdvTimes"/>
          <w:lang w:val="en-AU" w:eastAsia="en-AU"/>
        </w:rPr>
        <w:t xml:space="preserve">). </w:t>
      </w:r>
      <w:r w:rsidRPr="00286A88">
        <w:rPr>
          <w:rFonts w:cs="20lifnmxvsxwirbdizjqntweiio"/>
          <w:szCs w:val="24"/>
          <w:lang w:val="en-AU" w:eastAsia="en-AU"/>
        </w:rPr>
        <w:t>Certain production systems appear to be a lot more susceptible to FPD. Flocks with outdoor access generally have higher FPD scores than those housed indoors (</w:t>
      </w:r>
      <w:r w:rsidRPr="00286A88">
        <w:rPr>
          <w:rFonts w:cs="Arial"/>
          <w:bCs/>
          <w:szCs w:val="24"/>
          <w:lang w:val="en-AU" w:eastAsia="en-AU"/>
        </w:rPr>
        <w:t xml:space="preserve">Sarica et al., 2014). </w:t>
      </w:r>
      <w:r w:rsidRPr="00286A88">
        <w:rPr>
          <w:rFonts w:cs="GillSans-Italic"/>
          <w:iCs/>
          <w:lang w:val="en-AU" w:eastAsia="en-AU"/>
        </w:rPr>
        <w:t xml:space="preserve">In the UK, </w:t>
      </w:r>
      <w:r w:rsidRPr="00286A88">
        <w:rPr>
          <w:lang w:val="en-AU" w:eastAsia="en-AU"/>
        </w:rPr>
        <w:t>FPD prevalence and lesion severity was seen to be highest in organic systems with outdoor range access, and lowest in indoor Freedom Food systems (Pagazaurtundua and Warriss, 2006). However, there are counter examples. FPD i</w:t>
      </w:r>
      <w:r w:rsidRPr="00286A88">
        <w:rPr>
          <w:rFonts w:cs="TimesNewRomanPSMT"/>
          <w:lang w:val="en-AU" w:eastAsia="en-AU"/>
        </w:rPr>
        <w:t>ncidence was higher on extensive indoor than traditional free-range farms in Portugal (</w:t>
      </w:r>
      <w:r w:rsidR="00216582">
        <w:rPr>
          <w:rFonts w:cs="GillSans-Italic"/>
          <w:iCs/>
          <w:lang w:val="en-AU" w:eastAsia="en-AU"/>
        </w:rPr>
        <w:t xml:space="preserve">Gouveia et al., </w:t>
      </w:r>
      <w:r w:rsidRPr="00286A88">
        <w:rPr>
          <w:rFonts w:cs="GillSans-Italic"/>
          <w:iCs/>
          <w:lang w:val="en-AU" w:eastAsia="en-AU"/>
        </w:rPr>
        <w:t xml:space="preserve">2009). </w:t>
      </w:r>
      <w:r w:rsidRPr="00286A88">
        <w:rPr>
          <w:lang w:val="en-AU" w:eastAsia="en-AU"/>
        </w:rPr>
        <w:t>Both i</w:t>
      </w:r>
      <w:r w:rsidRPr="00286A88">
        <w:rPr>
          <w:rFonts w:cs="Myriad Pro"/>
          <w:szCs w:val="18"/>
          <w:lang w:val="en-AU" w:eastAsia="en-AU"/>
        </w:rPr>
        <w:t>ncidence and severity of FPD is higher in solid floor than in wire floor (cage) housing systems (</w:t>
      </w:r>
      <w:r w:rsidRPr="00286A88">
        <w:rPr>
          <w:rFonts w:cs="Sgwnfgpqvgvqqznzkxzzzvbnzsn"/>
          <w:lang w:val="en-AU" w:eastAsia="en-AU"/>
        </w:rPr>
        <w:t xml:space="preserve">Cengiz et al., 2013; </w:t>
      </w:r>
      <w:r w:rsidRPr="00286A88">
        <w:rPr>
          <w:rFonts w:cs="Myriad Pro"/>
          <w:szCs w:val="18"/>
          <w:lang w:val="en-AU" w:eastAsia="en-AU"/>
        </w:rPr>
        <w:t>Simsek et al., 2014).</w:t>
      </w:r>
    </w:p>
    <w:p w14:paraId="4309A3FC" w14:textId="77777777" w:rsidR="00286A88" w:rsidRPr="00286A88" w:rsidRDefault="00286A88" w:rsidP="006968F5">
      <w:pPr>
        <w:rPr>
          <w:lang w:val="en-AU" w:eastAsia="en-AU"/>
        </w:rPr>
      </w:pPr>
      <w:r w:rsidRPr="00286A88">
        <w:rPr>
          <w:lang w:val="en-AU" w:eastAsia="en-AU"/>
        </w:rPr>
        <w:t>A key property of litter should be the ability to absorb and quickly release moisture (Bilgili et al., 2009). Litter with high absorbance properties often has a small particle size (</w:t>
      </w:r>
      <w:r w:rsidRPr="00286A88">
        <w:rPr>
          <w:rFonts w:cs="FrutigerLTStd-Light"/>
          <w:lang w:val="en-AU" w:eastAsia="en-AU"/>
        </w:rPr>
        <w:t xml:space="preserve">Cengiz et al., 2011). </w:t>
      </w:r>
      <w:r w:rsidRPr="00286A88">
        <w:rPr>
          <w:rFonts w:cs="AdvP4CD4D0"/>
          <w:lang w:val="en-AU" w:eastAsia="en-AU"/>
        </w:rPr>
        <w:t>B</w:t>
      </w:r>
      <w:r w:rsidRPr="00286A88">
        <w:rPr>
          <w:lang w:val="en-AU" w:eastAsia="en-AU"/>
        </w:rPr>
        <w:t>roilers reared on chopped straw had a reduced incidence and severity of FPD dermatitis compared to broilers reared on, less-absorbent, unchopped straw</w:t>
      </w:r>
      <w:r w:rsidRPr="00286A88">
        <w:rPr>
          <w:bCs/>
          <w:lang w:val="en-AU" w:eastAsia="en-AU"/>
        </w:rPr>
        <w:t xml:space="preserve"> (Ðukić Stojčić et al., 2016).</w:t>
      </w:r>
      <w:r w:rsidRPr="00286A88">
        <w:rPr>
          <w:rFonts w:cs="AdvP4CD4D0"/>
          <w:lang w:val="en-AU" w:eastAsia="en-AU"/>
        </w:rPr>
        <w:t xml:space="preserve"> Wood-shavings appear to be the most appropriate litter bedding type for controlling FPD; flocks reared on wood-shavings or sawdust exhibit less FPD (prevalence and severity) than those reared on chopped straw (Su et al., 2000; Meluzzi et al., 2008a;</w:t>
      </w:r>
      <w:r w:rsidRPr="00286A88">
        <w:rPr>
          <w:lang w:val="en-AU" w:eastAsia="en-AU"/>
        </w:rPr>
        <w:t xml:space="preserve"> Berk, 2009; Bilgili et al., 2009; </w:t>
      </w:r>
      <w:r w:rsidRPr="00286A88">
        <w:rPr>
          <w:rFonts w:cs="UVProfile-Light"/>
          <w:szCs w:val="24"/>
          <w:lang w:val="en-AU" w:eastAsia="en-AU"/>
        </w:rPr>
        <w:t xml:space="preserve">Nowaczewski et al., 2011; </w:t>
      </w:r>
      <w:r w:rsidRPr="00286A88">
        <w:rPr>
          <w:rFonts w:eastAsia="ComputerModern-Regular" w:cs="ComputerModern-Regular"/>
          <w:lang w:val="en-AU" w:eastAsia="en-AU"/>
        </w:rPr>
        <w:t xml:space="preserve">Kyvsgaard et al., 2013; </w:t>
      </w:r>
      <w:r w:rsidRPr="00286A88">
        <w:rPr>
          <w:rFonts w:cs="TimesNewRomanPS-BoldMT"/>
          <w:bCs/>
          <w:lang w:val="en-AU" w:eastAsia="en-AU"/>
        </w:rPr>
        <w:t xml:space="preserve">Skrbic et al., 2015), </w:t>
      </w:r>
      <w:r w:rsidRPr="00286A88">
        <w:rPr>
          <w:rFonts w:cs="AdvP4CD4D4"/>
          <w:lang w:val="en-AU" w:eastAsia="en-AU"/>
        </w:rPr>
        <w:t>rice husks</w:t>
      </w:r>
      <w:r w:rsidRPr="00286A88">
        <w:rPr>
          <w:rFonts w:cs="TimesNewRomanPSMT"/>
          <w:lang w:val="en-AU" w:eastAsia="en-AU"/>
        </w:rPr>
        <w:t xml:space="preserve"> (Petek et al., 2014;</w:t>
      </w:r>
      <w:r w:rsidRPr="00286A88">
        <w:rPr>
          <w:rFonts w:cs="AdvTR"/>
          <w:lang w:val="en-AU" w:eastAsia="en-AU"/>
        </w:rPr>
        <w:t xml:space="preserve"> Jacob et al., 2016a</w:t>
      </w:r>
      <w:r w:rsidRPr="00286A88">
        <w:rPr>
          <w:rFonts w:cs="TimesNewRomanPSMT"/>
          <w:lang w:val="en-AU" w:eastAsia="en-AU"/>
        </w:rPr>
        <w:t>)</w:t>
      </w:r>
      <w:r w:rsidRPr="00286A88">
        <w:rPr>
          <w:rFonts w:cs="AdvP4CD4D4"/>
          <w:lang w:val="en-AU" w:eastAsia="en-AU"/>
        </w:rPr>
        <w:t xml:space="preserve">, </w:t>
      </w:r>
      <w:r w:rsidRPr="00286A88">
        <w:rPr>
          <w:rFonts w:cs="AdvP4CD4D0"/>
          <w:lang w:val="en-AU" w:eastAsia="en-AU"/>
        </w:rPr>
        <w:t xml:space="preserve">grass (Xavier et al., 2010; </w:t>
      </w:r>
      <w:r w:rsidRPr="00286A88">
        <w:rPr>
          <w:rFonts w:cs="FrutigerLight"/>
          <w:lang w:val="en-AU" w:eastAsia="en-AU"/>
        </w:rPr>
        <w:t>Garcia et al., 2012)</w:t>
      </w:r>
      <w:r w:rsidRPr="00286A88">
        <w:rPr>
          <w:rFonts w:cs="AdvP4CD4D0"/>
          <w:lang w:val="en-AU" w:eastAsia="en-AU"/>
        </w:rPr>
        <w:t>, or corncob litter (Xavier et al., 2010).</w:t>
      </w:r>
      <w:r w:rsidRPr="00286A88">
        <w:rPr>
          <w:rFonts w:cs="Arial"/>
          <w:bCs/>
          <w:lang w:val="en-AU" w:eastAsia="en-AU"/>
        </w:rPr>
        <w:t xml:space="preserve"> Other litter materials found to have potential for maintaining </w:t>
      </w:r>
      <w:r w:rsidR="00FC573C">
        <w:rPr>
          <w:rFonts w:cs="Arial"/>
          <w:bCs/>
          <w:lang w:val="en-AU" w:eastAsia="en-AU"/>
        </w:rPr>
        <w:t>foot pad</w:t>
      </w:r>
      <w:r w:rsidRPr="00286A88">
        <w:rPr>
          <w:rFonts w:cs="Arial"/>
          <w:bCs/>
          <w:lang w:val="en-AU" w:eastAsia="en-AU"/>
        </w:rPr>
        <w:t xml:space="preserve"> health include sand (</w:t>
      </w:r>
      <w:r w:rsidRPr="00286A88">
        <w:rPr>
          <w:rFonts w:cs="TimesNewRomanPSMT"/>
          <w:lang w:val="en-AU" w:eastAsia="en-AU"/>
        </w:rPr>
        <w:t xml:space="preserve">Simsek et al., 2009a), </w:t>
      </w:r>
      <w:r w:rsidRPr="00286A88">
        <w:rPr>
          <w:lang w:val="en-AU" w:eastAsia="en-AU"/>
        </w:rPr>
        <w:t>Pelletinos (chopped straw pressed into pellets at high temperature) (Berk, 2009), and vermiculite (</w:t>
      </w:r>
      <w:r w:rsidRPr="00286A88">
        <w:rPr>
          <w:rFonts w:cs="Myriad Pro"/>
          <w:lang w:val="en-AU" w:eastAsia="en-AU"/>
        </w:rPr>
        <w:t xml:space="preserve">Yildiz et al., 2014). Unfortunately, costs associated with using processed products such as Pelletinos on a commercial level are likely to be prohibitive. </w:t>
      </w:r>
      <w:r w:rsidRPr="00286A88">
        <w:rPr>
          <w:rFonts w:cs="Arial"/>
          <w:bCs/>
          <w:lang w:val="en-AU" w:eastAsia="en-AU"/>
        </w:rPr>
        <w:t>The use of recycled paper-based litter, although readily available and highly absorbent, appears to be inappropriate. Broilers reared on a combination of rice hulls and shredded newspaper were found to have greater FPD than broilers housed on rice hulls alone (Santiago et al., 2006), while the use of paper sludge, although not overly detrimental to FPD, increased HB (</w:t>
      </w:r>
      <w:r w:rsidRPr="00286A88">
        <w:rPr>
          <w:rFonts w:eastAsia="ComputerModern-Regular" w:cs="ComputerModern-Regular"/>
          <w:lang w:val="en-AU" w:eastAsia="en-AU"/>
        </w:rPr>
        <w:t>Villagrá et al., 2011)</w:t>
      </w:r>
      <w:r w:rsidRPr="00286A88">
        <w:rPr>
          <w:rFonts w:cs="Arial"/>
          <w:bCs/>
          <w:lang w:val="en-AU" w:eastAsia="en-AU"/>
        </w:rPr>
        <w:t xml:space="preserve">. </w:t>
      </w:r>
      <w:r w:rsidRPr="00286A88">
        <w:rPr>
          <w:rFonts w:cs="AdvTR"/>
          <w:lang w:val="en-AU" w:eastAsia="en-AU"/>
        </w:rPr>
        <w:t>Jacob et al. (2016a) report a higher prevalence of FPD with a unused rice husk litter than with reused sawdust litter; they hypothesise that this finding may reflect the ‘sharpness’ of the rice husks damaging the birds feet, but it is more likely to be linked to the water retaining properties of the litter. Surprisingly, reductions in FPD have been reported from reused sawdust litter compared to fresh (</w:t>
      </w:r>
      <w:r w:rsidRPr="00286A88">
        <w:rPr>
          <w:rFonts w:cs="AdvP4CD4D0"/>
          <w:lang w:val="en-AU" w:eastAsia="en-AU"/>
        </w:rPr>
        <w:t xml:space="preserve">Xavier et al., 2010; </w:t>
      </w:r>
      <w:r w:rsidRPr="00286A88">
        <w:rPr>
          <w:rFonts w:cs="AdvTR"/>
          <w:lang w:val="en-AU" w:eastAsia="en-AU"/>
        </w:rPr>
        <w:t xml:space="preserve">Jacob et al., 2016a). Since other studies report the </w:t>
      </w:r>
      <w:r w:rsidRPr="00286A88">
        <w:rPr>
          <w:rFonts w:cs="Myriad Pro"/>
          <w:szCs w:val="18"/>
          <w:lang w:val="en-AU" w:eastAsia="en-AU"/>
        </w:rPr>
        <w:t>opposite, i.e. FPD was increased on re-used litter (</w:t>
      </w:r>
      <w:r w:rsidRPr="00286A88">
        <w:rPr>
          <w:rFonts w:cs="AdvTR"/>
          <w:lang w:val="en-AU" w:eastAsia="en-AU"/>
        </w:rPr>
        <w:t>Jacob et al., 2016b;</w:t>
      </w:r>
      <w:r w:rsidRPr="00286A88">
        <w:rPr>
          <w:rFonts w:cs="Myriad Pro"/>
          <w:szCs w:val="20"/>
          <w:lang w:val="en-AU" w:eastAsia="en-AU"/>
        </w:rPr>
        <w:t xml:space="preserve"> Yamak et al., 2016), the ability to successfully re-use litter is likely to </w:t>
      </w:r>
      <w:r w:rsidRPr="00286A88">
        <w:rPr>
          <w:rFonts w:cs="AdvTimes"/>
          <w:lang w:val="en-AU" w:eastAsia="en-AU"/>
        </w:rPr>
        <w:t>depend upon rigorous litter management, effective composting, efficient ventilation and may favour certain (hot, dry) climates</w:t>
      </w:r>
      <w:r w:rsidRPr="00286A88">
        <w:rPr>
          <w:lang w:val="en-AU" w:eastAsia="en-AU"/>
        </w:rPr>
        <w:t>.</w:t>
      </w:r>
      <w:r w:rsidRPr="00286A88">
        <w:rPr>
          <w:rFonts w:cs="TimesNewRomanPSMT"/>
          <w:lang w:val="en-AU" w:eastAsia="en-AU"/>
        </w:rPr>
        <w:t xml:space="preserve"> De Oliveira</w:t>
      </w:r>
      <w:r w:rsidRPr="00286A88">
        <w:rPr>
          <w:rFonts w:cs="TimesNewRomanPS-ItalicMT"/>
          <w:iCs/>
          <w:lang w:val="en-AU" w:eastAsia="en-AU"/>
        </w:rPr>
        <w:t xml:space="preserve"> et al. (2015) tested a large range of treatments on (re-used grass) litter, including </w:t>
      </w:r>
      <w:r w:rsidRPr="00286A88">
        <w:rPr>
          <w:rFonts w:cs="TimesNewRomanPSMT"/>
          <w:lang w:val="en-AU" w:eastAsia="en-AU"/>
        </w:rPr>
        <w:t xml:space="preserve">in-house composting, and the addition of aluminium sulphate, gypsum, quicklime, dolomitic limestone, zeolite, and charcoal, yet found no treatment capable of improving the incidence of FPD compared to control (untreated) litter. The treatment of litter </w:t>
      </w:r>
      <w:r w:rsidRPr="00286A88">
        <w:rPr>
          <w:lang w:val="en-AU" w:eastAsia="en-AU"/>
        </w:rPr>
        <w:t>(new straw) with Micropan® (a biological promoter aimed at wastewater treatment) was more successful, this was seen to decrease the litter pH value and significantly improved FPD compared to a control flock (</w:t>
      </w:r>
      <w:r w:rsidRPr="00286A88">
        <w:rPr>
          <w:bCs/>
          <w:lang w:val="en-AU" w:eastAsia="en-AU"/>
        </w:rPr>
        <w:t>Ðukić Stojčić et al., 2016).</w:t>
      </w:r>
    </w:p>
    <w:p w14:paraId="63E4DC2D" w14:textId="77777777" w:rsidR="00286A88" w:rsidRPr="00286A88" w:rsidRDefault="00286A88" w:rsidP="006968F5">
      <w:pPr>
        <w:rPr>
          <w:rFonts w:cs="AdvP4CD4D0"/>
          <w:lang w:val="en-AU" w:eastAsia="en-AU"/>
        </w:rPr>
      </w:pPr>
      <w:r w:rsidRPr="00286A88">
        <w:rPr>
          <w:lang w:val="en-AU" w:eastAsia="en-AU"/>
        </w:rPr>
        <w:t xml:space="preserve">The incidence and severity of FPD is often correlated with a deterioration in litter quality, including elevated moisture content and compaction (e.g. </w:t>
      </w:r>
      <w:r w:rsidRPr="00286A88">
        <w:rPr>
          <w:rFonts w:cs="AdvP4CD4D0"/>
          <w:lang w:val="en-AU" w:eastAsia="en-AU"/>
        </w:rPr>
        <w:t xml:space="preserve">Dawkins </w:t>
      </w:r>
      <w:r w:rsidRPr="00286A88">
        <w:rPr>
          <w:rFonts w:cs="AdvP4CD4D4"/>
          <w:lang w:val="en-AU" w:eastAsia="en-AU"/>
        </w:rPr>
        <w:t>et al</w:t>
      </w:r>
      <w:r w:rsidRPr="00286A88">
        <w:rPr>
          <w:rFonts w:cs="AdvP4CD4D0"/>
          <w:lang w:val="en-AU" w:eastAsia="en-AU"/>
        </w:rPr>
        <w:t xml:space="preserve">., 2004; Haslam et al., 2006; 2007; Meluzzi et al., 2008b; Allain et al., 2009; </w:t>
      </w:r>
      <w:r w:rsidRPr="00286A88">
        <w:rPr>
          <w:rFonts w:eastAsia="ComputerModern-Regular" w:cs="ComputerModern-Regular"/>
          <w:lang w:val="en-AU" w:eastAsia="en-AU"/>
        </w:rPr>
        <w:t>Bilgili et al., 2009;</w:t>
      </w:r>
      <w:r w:rsidRPr="00286A88">
        <w:rPr>
          <w:rFonts w:cs="FrutigerLTStd-Light"/>
          <w:lang w:val="en-AU" w:eastAsia="en-AU"/>
        </w:rPr>
        <w:t xml:space="preserve"> </w:t>
      </w:r>
      <w:r w:rsidRPr="00286A88">
        <w:rPr>
          <w:rFonts w:eastAsia="ComputerModern-Regular" w:cs="ComputerModern-Regular"/>
          <w:lang w:val="en-AU" w:eastAsia="en-AU"/>
        </w:rPr>
        <w:t xml:space="preserve">Bassler et al., 2013; Kyvsgaard et al., 2013; </w:t>
      </w:r>
      <w:r w:rsidRPr="00286A88">
        <w:rPr>
          <w:rFonts w:cs="FrutigerLTStd-Light"/>
          <w:lang w:val="en-AU" w:eastAsia="en-AU"/>
        </w:rPr>
        <w:t>de Jong et al</w:t>
      </w:r>
      <w:r w:rsidRPr="00E144DF">
        <w:t>., 2</w:t>
      </w:r>
      <w:r w:rsidRPr="00286A88">
        <w:rPr>
          <w:rFonts w:cs="FrutigerLTStd-Light"/>
          <w:lang w:val="en-AU" w:eastAsia="en-AU"/>
        </w:rPr>
        <w:t xml:space="preserve">014; </w:t>
      </w:r>
      <w:r w:rsidRPr="00286A88">
        <w:rPr>
          <w:rFonts w:cs="TimesNewRomanPSMT"/>
          <w:lang w:val="en-AU" w:eastAsia="en-AU"/>
        </w:rPr>
        <w:t>Taira et al., 2014, see section 9.3</w:t>
      </w:r>
      <w:r w:rsidRPr="00286A88">
        <w:rPr>
          <w:rFonts w:eastAsia="ComputerModern-Regular" w:cs="ComputerModern-Regular"/>
          <w:lang w:val="en-AU" w:eastAsia="en-AU"/>
        </w:rPr>
        <w:t xml:space="preserve">). </w:t>
      </w:r>
      <w:r w:rsidRPr="00286A88">
        <w:rPr>
          <w:rFonts w:cs="Palatino-Roman"/>
          <w:lang w:val="en-AU" w:eastAsia="en-AU"/>
        </w:rPr>
        <w:t>Misting systems (</w:t>
      </w:r>
      <w:r w:rsidRPr="00286A88">
        <w:rPr>
          <w:rFonts w:cs="FrutigerLTStd-Light"/>
          <w:lang w:val="en-AU" w:eastAsia="en-AU"/>
        </w:rPr>
        <w:t xml:space="preserve">Jones </w:t>
      </w:r>
      <w:r w:rsidRPr="00286A88">
        <w:rPr>
          <w:rFonts w:cs="FrutigerLTStd-LightItalic"/>
          <w:iCs/>
          <w:lang w:val="en-AU" w:eastAsia="en-AU"/>
        </w:rPr>
        <w:t>et al</w:t>
      </w:r>
      <w:r w:rsidRPr="00286A88">
        <w:rPr>
          <w:rFonts w:cs="FrutigerLTStd-Light"/>
          <w:lang w:val="en-AU" w:eastAsia="en-AU"/>
        </w:rPr>
        <w:t xml:space="preserve">., 2005a) and </w:t>
      </w:r>
      <w:r w:rsidRPr="00286A88">
        <w:rPr>
          <w:rFonts w:cs="AdvTR"/>
          <w:lang w:val="en-AU" w:eastAsia="en-AU"/>
        </w:rPr>
        <w:t xml:space="preserve">increased water consumption (Manning </w:t>
      </w:r>
      <w:r w:rsidRPr="00286A88">
        <w:rPr>
          <w:rFonts w:cs="AdvTI"/>
          <w:lang w:val="en-AU" w:eastAsia="en-AU"/>
        </w:rPr>
        <w:t>et al</w:t>
      </w:r>
      <w:r w:rsidRPr="00286A88">
        <w:rPr>
          <w:rFonts w:cs="AdvTR"/>
          <w:lang w:val="en-AU" w:eastAsia="en-AU"/>
        </w:rPr>
        <w:t xml:space="preserve">., 2007) have both been associated with more FPD, </w:t>
      </w:r>
      <w:r w:rsidRPr="00286A88">
        <w:rPr>
          <w:rFonts w:cs="FrutigerLTStd-Light"/>
          <w:lang w:val="en-AU" w:eastAsia="en-AU"/>
        </w:rPr>
        <w:t xml:space="preserve">presumably due to a direct impact upon litter moisture. </w:t>
      </w:r>
      <w:r w:rsidRPr="00286A88">
        <w:rPr>
          <w:rFonts w:eastAsia="ComputerModern-Regular" w:cs="ComputerModern-Regular"/>
          <w:lang w:val="en-AU" w:eastAsia="en-AU"/>
        </w:rPr>
        <w:t xml:space="preserve">There are exceptions, however; young broilers appear to be more vulnerable to acquiring </w:t>
      </w:r>
      <w:r w:rsidRPr="00286A88">
        <w:rPr>
          <w:lang w:val="en-AU" w:eastAsia="en-AU"/>
        </w:rPr>
        <w:t xml:space="preserve">FPD with or without exposure to poor litter. FPD may occur early in the growing period when litter moisture is low (Hashimoto et al., 2011) and, although </w:t>
      </w:r>
      <w:r w:rsidRPr="00286A88">
        <w:rPr>
          <w:rFonts w:cs="TimesNewRomanPSMT"/>
          <w:lang w:val="en-AU" w:eastAsia="en-AU"/>
        </w:rPr>
        <w:t>early exposure to high-moisture litter was shown to increase FPD incidence and severity (14 days old)</w:t>
      </w:r>
      <w:r w:rsidRPr="00286A88">
        <w:rPr>
          <w:lang w:val="en-AU" w:eastAsia="en-AU"/>
        </w:rPr>
        <w:t xml:space="preserve">, no increase was observed following litter wetting at &gt;56 days of age (Cengiz et al., 2011). Improvements in litter quality were also seen to reduce lesion severity in market-age broilers (Cengiz et al., 2011). </w:t>
      </w:r>
      <w:r w:rsidRPr="00286A88">
        <w:rPr>
          <w:rFonts w:eastAsia="ComputerModern-Regular" w:cs="ComputerModern-Regular"/>
          <w:lang w:val="en-AU" w:eastAsia="en-AU"/>
        </w:rPr>
        <w:t>Wet litter generally has a higher pH value (Abd El-Wahab et al., 2013), since litter pH increases with nitrogen content (from animal waste).</w:t>
      </w:r>
    </w:p>
    <w:p w14:paraId="5DDF9E2F" w14:textId="77777777" w:rsidR="00286A88" w:rsidRPr="00286A88" w:rsidRDefault="00286A88" w:rsidP="006968F5">
      <w:pPr>
        <w:rPr>
          <w:rFonts w:cs="TimesNewRomanPSMT"/>
          <w:lang w:val="en-AU" w:eastAsia="en-AU"/>
        </w:rPr>
      </w:pPr>
      <w:r w:rsidRPr="00286A88">
        <w:rPr>
          <w:lang w:val="en-AU" w:eastAsia="en-AU"/>
        </w:rPr>
        <w:t xml:space="preserve">Although a positive relationship between FPD severity and stocking density has often been reported </w:t>
      </w:r>
      <w:r w:rsidRPr="00286A88">
        <w:rPr>
          <w:rFonts w:cs="AdvP4CD4D0"/>
          <w:lang w:val="en-AU" w:eastAsia="en-AU"/>
        </w:rPr>
        <w:t>(see B9.1a), with appropriate environmental management it is still possible to maintain good litter quality at high stocking densities.</w:t>
      </w:r>
      <w:r w:rsidRPr="00286A88">
        <w:rPr>
          <w:lang w:val="en-AU" w:eastAsia="en-AU"/>
        </w:rPr>
        <w:t xml:space="preserve"> Government surveillance schemes, whereby producers have to reduce their stocking density or correct management deficiencies (e.g. relating to litter quality) if their overall flock score (based on the prevalence and severity of FPD lesions at slaughter) exceeds certain predefined trigger limits, have already proved successful at reducing FPD in Sweden and Denmark (e.g. </w:t>
      </w:r>
      <w:r w:rsidRPr="00286A88">
        <w:rPr>
          <w:rFonts w:eastAsia="ComputerModern-Regular" w:cs="ComputerModern-Regular"/>
          <w:lang w:val="en-AU" w:eastAsia="en-AU"/>
        </w:rPr>
        <w:t>Kyvsgaard et al., 2013).</w:t>
      </w:r>
    </w:p>
    <w:p w14:paraId="66C46A3B" w14:textId="77777777" w:rsidR="00286A88" w:rsidRPr="00286A88" w:rsidRDefault="00286A88" w:rsidP="006968F5">
      <w:pPr>
        <w:rPr>
          <w:rFonts w:cs="TimesNewRomanPS"/>
          <w:lang w:val="en-AU" w:eastAsia="en-AU"/>
        </w:rPr>
      </w:pPr>
      <w:r w:rsidRPr="00286A88">
        <w:rPr>
          <w:rFonts w:cs="Times-Bold"/>
          <w:bCs/>
          <w:lang w:val="en-AU" w:eastAsia="en-AU"/>
        </w:rPr>
        <w:t xml:space="preserve">Nutritional factors, such as </w:t>
      </w:r>
      <w:r w:rsidRPr="00286A88">
        <w:rPr>
          <w:rFonts w:cs="FrutigerLTStd-Light"/>
          <w:lang w:val="en-AU" w:eastAsia="en-AU"/>
        </w:rPr>
        <w:t>diet composition, nutrient density and feeding programs,</w:t>
      </w:r>
      <w:r w:rsidRPr="00286A88">
        <w:rPr>
          <w:rFonts w:cs="Times-Bold"/>
          <w:bCs/>
          <w:lang w:val="en-AU" w:eastAsia="en-AU"/>
        </w:rPr>
        <w:t xml:space="preserve"> i</w:t>
      </w:r>
      <w:r w:rsidRPr="00286A88">
        <w:rPr>
          <w:rFonts w:cs="FrutigerLTStd-Light"/>
          <w:lang w:val="en-AU" w:eastAsia="en-AU"/>
        </w:rPr>
        <w:t xml:space="preserve">mpact upon broiler performance and health, and </w:t>
      </w:r>
      <w:r w:rsidRPr="00286A88">
        <w:rPr>
          <w:rFonts w:cs="Times-Bold"/>
          <w:bCs/>
          <w:lang w:val="en-AU" w:eastAsia="en-AU"/>
        </w:rPr>
        <w:t>play a significant role in the aetiology of FPD.</w:t>
      </w:r>
      <w:r w:rsidRPr="00286A88">
        <w:rPr>
          <w:rFonts w:ascii="Times-Bold" w:hAnsi="Times-Bold" w:cs="Times-Bold"/>
          <w:b/>
          <w:bCs/>
          <w:szCs w:val="18"/>
          <w:lang w:val="en-AU" w:eastAsia="en-AU"/>
        </w:rPr>
        <w:t xml:space="preserve"> </w:t>
      </w:r>
      <w:r w:rsidRPr="00286A88">
        <w:rPr>
          <w:rFonts w:cs="Times-Bold"/>
          <w:bCs/>
          <w:lang w:val="en-AU" w:eastAsia="en-AU"/>
        </w:rPr>
        <w:t>The incidence and severity of FPD is significantly increased in</w:t>
      </w:r>
      <w:r w:rsidRPr="00286A88">
        <w:rPr>
          <w:rFonts w:cs="Sgwnfgpqvgvqqznzkxzzzvbnzsn"/>
          <w:lang w:val="en-AU" w:eastAsia="en-AU"/>
        </w:rPr>
        <w:t xml:space="preserve"> broilers receiving a vegetable-based protein diet compared to a diet containing vegetable and animal-based proteins (</w:t>
      </w:r>
      <w:r w:rsidRPr="00286A88">
        <w:rPr>
          <w:rFonts w:cs="Times-Bold"/>
          <w:bCs/>
          <w:lang w:val="en-AU" w:eastAsia="en-AU"/>
        </w:rPr>
        <w:t xml:space="preserve">Nagaraj et al., 2007; </w:t>
      </w:r>
      <w:r w:rsidRPr="00286A88">
        <w:rPr>
          <w:rFonts w:cs="Sgwnfgpqvgvqqznzkxzzzvbnzsn"/>
          <w:lang w:val="en-AU" w:eastAsia="en-AU"/>
        </w:rPr>
        <w:t>Cengiz et al., 2013), although this can be rectified via the inclusion of corn-gluten meal (</w:t>
      </w:r>
      <w:r w:rsidRPr="00286A88">
        <w:rPr>
          <w:rFonts w:cs="Times-Bold"/>
          <w:bCs/>
          <w:lang w:val="en-AU" w:eastAsia="en-AU"/>
        </w:rPr>
        <w:t>Eichner et al., 2007)</w:t>
      </w:r>
      <w:r w:rsidRPr="00286A88">
        <w:rPr>
          <w:rFonts w:cs="Sgwnfgpqvgvqqznzkxzzzvbnzsn"/>
          <w:lang w:val="en-AU" w:eastAsia="en-AU"/>
        </w:rPr>
        <w:t xml:space="preserve">. </w:t>
      </w:r>
      <w:r w:rsidRPr="00286A88">
        <w:rPr>
          <w:rFonts w:cs="FrutigerLTStd-Light"/>
          <w:lang w:val="en-AU" w:eastAsia="en-AU"/>
        </w:rPr>
        <w:t xml:space="preserve">Carvalho et al. (2014) report that sorghum grain has potential for inclusion within broiler diets since it appears to have no effect upon litter quality or FPD incidence when compared to a control (corn and soybean meal) diet. </w:t>
      </w:r>
      <w:r w:rsidRPr="00286A88">
        <w:rPr>
          <w:rFonts w:cs="Sgwnfgpqvgvqqznzkxzzzvbnzsn"/>
          <w:lang w:val="en-AU" w:eastAsia="en-AU"/>
        </w:rPr>
        <w:t>Although</w:t>
      </w:r>
      <w:r w:rsidRPr="00286A88">
        <w:rPr>
          <w:rFonts w:cs="Times-Roman"/>
          <w:lang w:val="en-AU" w:eastAsia="en-AU"/>
        </w:rPr>
        <w:t xml:space="preserve"> FPD has been observed to be more prevalent in broilers fed a high-density than a low-density diet (Bilgili et al., 2006; </w:t>
      </w:r>
      <w:r w:rsidRPr="00286A88">
        <w:rPr>
          <w:rFonts w:cs="Times-Bold"/>
          <w:bCs/>
          <w:lang w:val="en-AU" w:eastAsia="en-AU"/>
        </w:rPr>
        <w:t>Nagaraj et al., 2007</w:t>
      </w:r>
      <w:r w:rsidRPr="00286A88">
        <w:rPr>
          <w:rFonts w:cs="Times-Roman"/>
          <w:lang w:val="en-AU" w:eastAsia="en-AU"/>
        </w:rPr>
        <w:t xml:space="preserve">), the reverse was true for a study by </w:t>
      </w:r>
      <w:r w:rsidRPr="00286A88">
        <w:rPr>
          <w:rFonts w:cs="GillSans-Italic"/>
          <w:iCs/>
          <w:lang w:val="en-AU" w:eastAsia="en-AU"/>
        </w:rPr>
        <w:t xml:space="preserve">de Jong et al. (2015); they observed </w:t>
      </w:r>
      <w:r w:rsidRPr="00286A88">
        <w:rPr>
          <w:rFonts w:cs="TimesNewRomanPS"/>
          <w:lang w:val="en-AU" w:eastAsia="en-AU"/>
        </w:rPr>
        <w:t>more FPD and HB (and higher litter moisture) in broilers fed a low-energy diet.</w:t>
      </w:r>
    </w:p>
    <w:p w14:paraId="182C4EA0" w14:textId="77777777" w:rsidR="00286A88" w:rsidRPr="00286A88" w:rsidRDefault="00286A88" w:rsidP="006968F5">
      <w:pPr>
        <w:rPr>
          <w:rFonts w:eastAsia="ComputerModern-Regular" w:cs="ComputerModern-Regular"/>
          <w:lang w:val="en-AU" w:eastAsia="en-AU"/>
        </w:rPr>
      </w:pPr>
      <w:r w:rsidRPr="00286A88">
        <w:rPr>
          <w:rFonts w:cs="AdvP4CD4D0"/>
          <w:lang w:val="en-AU" w:eastAsia="en-AU"/>
        </w:rPr>
        <w:t>Cengiz et al. (2012) report that feed supplementation with dietary enzymes (including xylanase, protease, and amylase)</w:t>
      </w:r>
      <w:r w:rsidRPr="00286A88">
        <w:rPr>
          <w:rFonts w:cs="AdvP4CD4D0"/>
          <w:sz w:val="16"/>
          <w:szCs w:val="16"/>
          <w:lang w:val="en-AU" w:eastAsia="en-AU"/>
        </w:rPr>
        <w:t xml:space="preserve"> </w:t>
      </w:r>
      <w:r w:rsidRPr="00286A88">
        <w:rPr>
          <w:rFonts w:cs="AdvP4CD4D0"/>
          <w:lang w:val="en-AU" w:eastAsia="en-AU"/>
        </w:rPr>
        <w:t xml:space="preserve">to target the non-soluble polysaccharide component of feed (thought to be linked to contact dermatitis) had no affect on either FPD incidence or severity; however, when combined with </w:t>
      </w:r>
      <w:r w:rsidRPr="00286A88">
        <w:rPr>
          <w:rFonts w:cs="TimesNewRomanPS"/>
          <w:szCs w:val="20"/>
          <w:lang w:val="en-AU" w:eastAsia="en-AU"/>
        </w:rPr>
        <w:t>a direct-fed microbial (</w:t>
      </w:r>
      <w:r w:rsidRPr="00286A88">
        <w:rPr>
          <w:rFonts w:cs="TimesNewRomanPS-Italic"/>
          <w:i/>
          <w:iCs/>
          <w:szCs w:val="20"/>
          <w:lang w:val="en-AU" w:eastAsia="en-AU"/>
        </w:rPr>
        <w:t>Bacillus</w:t>
      </w:r>
      <w:r w:rsidRPr="00286A88">
        <w:rPr>
          <w:rFonts w:cs="TimesNewRomanPS"/>
          <w:szCs w:val="20"/>
          <w:lang w:val="en-AU" w:eastAsia="en-AU"/>
        </w:rPr>
        <w:t>) dietary enzymes have been shown to improve production parameters, litter quality and reduce FPD under commercial conditions</w:t>
      </w:r>
      <w:r w:rsidRPr="00286A88">
        <w:rPr>
          <w:rFonts w:ascii="TimesNewRomanPS-Bold" w:hAnsi="TimesNewRomanPS-Bold" w:cs="TimesNewRomanPS-Bold"/>
          <w:b/>
          <w:bCs/>
          <w:lang w:val="en-AU" w:eastAsia="en-AU"/>
        </w:rPr>
        <w:t xml:space="preserve"> </w:t>
      </w:r>
      <w:r w:rsidRPr="00286A88">
        <w:rPr>
          <w:rFonts w:cs="TimesNewRomanPS-Bold"/>
          <w:bCs/>
          <w:lang w:val="en-AU" w:eastAsia="en-AU"/>
        </w:rPr>
        <w:t>(Dersjant-Li et al., 2015). Inclusion of a</w:t>
      </w:r>
      <w:r w:rsidRPr="00286A88">
        <w:rPr>
          <w:rFonts w:cs="Palatino-Roman"/>
          <w:lang w:val="en-AU" w:eastAsia="en-AU"/>
        </w:rPr>
        <w:t xml:space="preserve"> fatty acid (Aromabiotic) dietary supplement </w:t>
      </w:r>
      <w:r w:rsidRPr="00286A88">
        <w:rPr>
          <w:rFonts w:cs="TimesNewRomanPS"/>
          <w:lang w:val="en-AU" w:eastAsia="en-AU"/>
        </w:rPr>
        <w:t>(Khosravinia, 2015), and i</w:t>
      </w:r>
      <w:r w:rsidRPr="00286A88">
        <w:rPr>
          <w:rFonts w:eastAsia="ComputerModern-Regular" w:cs="ComputerModern-Regular"/>
          <w:lang w:val="en-AU" w:eastAsia="en-AU"/>
        </w:rPr>
        <w:t xml:space="preserve">ncreasing dietary fat content </w:t>
      </w:r>
      <w:r w:rsidRPr="00286A88">
        <w:rPr>
          <w:lang w:val="en-AU" w:eastAsia="en-AU"/>
        </w:rPr>
        <w:t>(Fuhrmann and Kamphues, 2016), vitamin D3 (</w:t>
      </w:r>
      <w:r w:rsidRPr="00286A88">
        <w:rPr>
          <w:rFonts w:cs="Arial-BoldMT"/>
          <w:bCs/>
          <w:lang w:val="en-AU" w:eastAsia="en-AU"/>
        </w:rPr>
        <w:t xml:space="preserve">Sun et al., 2013), and zinc and biotin </w:t>
      </w:r>
      <w:r w:rsidRPr="00286A88">
        <w:rPr>
          <w:rFonts w:eastAsia="ComputerModern-Regular" w:cs="ComputerModern-Regular"/>
          <w:lang w:val="en-AU" w:eastAsia="en-AU"/>
        </w:rPr>
        <w:t xml:space="preserve">(Abd El-Wahab et al., 2013) </w:t>
      </w:r>
      <w:r w:rsidRPr="00286A88">
        <w:rPr>
          <w:lang w:val="en-AU" w:eastAsia="en-AU"/>
        </w:rPr>
        <w:t xml:space="preserve">are all associated with lower FPD scores. </w:t>
      </w:r>
      <w:r w:rsidRPr="00286A88">
        <w:rPr>
          <w:rFonts w:cs="TimesNewRomanPSMT"/>
          <w:lang w:val="en-AU" w:eastAsia="en-AU"/>
        </w:rPr>
        <w:t>The provision of reduced levels of 2-hydroxy-4-(methylthio) butanoic acid chelated trace minerals (either Zn alone or as a combination of Zn, Cu, and Mn) into broiler diets as an alternative to industry levels of inorganic trace minerals have also been found to significantly reduce FPD in fast-grow breeds (</w:t>
      </w:r>
      <w:r w:rsidRPr="00286A88">
        <w:rPr>
          <w:rFonts w:cs="AdvP4CD4D0"/>
          <w:lang w:val="en-AU" w:eastAsia="en-AU"/>
        </w:rPr>
        <w:t xml:space="preserve">Zhao et al., 2010; </w:t>
      </w:r>
      <w:r w:rsidRPr="00286A88">
        <w:rPr>
          <w:rFonts w:cs="TimesNewRomanPSMT"/>
          <w:lang w:val="en-AU" w:eastAsia="en-AU"/>
        </w:rPr>
        <w:t>Manangi et al., 2012;</w:t>
      </w:r>
      <w:r w:rsidRPr="00286A88">
        <w:rPr>
          <w:rFonts w:cs="CMR10"/>
          <w:lang w:val="en-AU" w:eastAsia="en-AU"/>
        </w:rPr>
        <w:t xml:space="preserve"> Da Costa et al., 2016</w:t>
      </w:r>
      <w:r w:rsidRPr="00286A88">
        <w:rPr>
          <w:rFonts w:cs="TimesNewRomanPSMT"/>
          <w:lang w:val="en-AU" w:eastAsia="en-AU"/>
        </w:rPr>
        <w:t xml:space="preserve">). </w:t>
      </w:r>
      <w:r w:rsidRPr="00286A88">
        <w:rPr>
          <w:rFonts w:eastAsia="ComputerModern-Regular" w:cs="ComputerModern-Regular"/>
          <w:lang w:val="en-AU" w:eastAsia="en-AU"/>
        </w:rPr>
        <w:t xml:space="preserve">Antibiotics are often used to improve broiler gut health and indirectly improve litter quality. Less severe FPD has been observed on farms using antibiotics, potentially reflecting better flock health (de Jong et al., 2012b). With a recent push to reduce antibiotic usage in all livestock there has been a surge of research into the application of prebiotics; some studies have already demonstrated </w:t>
      </w:r>
      <w:r w:rsidRPr="00286A88">
        <w:rPr>
          <w:bCs/>
          <w:lang w:val="en-AU" w:eastAsia="en-AU"/>
        </w:rPr>
        <w:t>prebiotics to be more effective at maintaining broiler intestinal health than an antibiotic treatment (e.g. Al-Baadani et al., 2016).</w:t>
      </w:r>
    </w:p>
    <w:p w14:paraId="76D106E5" w14:textId="77777777" w:rsidR="00286A88" w:rsidRPr="00286A88" w:rsidRDefault="00286A88" w:rsidP="006968F5">
      <w:pPr>
        <w:rPr>
          <w:rFonts w:cs="CMR10"/>
          <w:lang w:val="en-AU" w:eastAsia="en-AU"/>
        </w:rPr>
      </w:pPr>
      <w:r w:rsidRPr="00286A88">
        <w:rPr>
          <w:lang w:val="en-AU" w:eastAsia="en-AU"/>
        </w:rPr>
        <w:t xml:space="preserve">A long dimly-lit lighting regime appears to be a risk factor for FPD. A negative correlation between light intensity (1-40 lux) and ulcerative FPD at 5 weeks has been seen in intensively housed broilers (Deep et al., 2010). </w:t>
      </w:r>
      <w:r w:rsidRPr="00286A88">
        <w:rPr>
          <w:rFonts w:eastAsia="ComputerModern-Regular" w:cs="ComputerModern-Regular"/>
          <w:lang w:val="en-AU" w:eastAsia="en-AU"/>
        </w:rPr>
        <w:t xml:space="preserve">Very low light intensities (0.5-5 lux) have been associated with increased FPD lesions in some studies (Deep et al., 2010; 2013; </w:t>
      </w:r>
      <w:r w:rsidRPr="00286A88">
        <w:rPr>
          <w:rFonts w:cs="TimesNewRomanPS-BoldMT"/>
          <w:bCs/>
          <w:lang w:val="en-AU" w:eastAsia="en-AU"/>
        </w:rPr>
        <w:t>Senaratna et al., 2016), but not in others</w:t>
      </w:r>
      <w:r w:rsidRPr="00286A88">
        <w:rPr>
          <w:rFonts w:cs="AdvP4DF60E"/>
          <w:lang w:val="en-AU" w:eastAsia="en-AU"/>
        </w:rPr>
        <w:t xml:space="preserve"> (Blatchford et al., 2009). </w:t>
      </w:r>
      <w:r w:rsidRPr="00286A88">
        <w:rPr>
          <w:rFonts w:eastAsia="ComputerModern-Regular" w:cs="ComputerModern-Regular"/>
          <w:lang w:val="en-AU" w:eastAsia="en-AU"/>
        </w:rPr>
        <w:t>FPD scores have been positively correlated with day length (Bassler et al., 2013; Schwean-Lardner</w:t>
      </w:r>
      <w:r w:rsidRPr="00286A88">
        <w:rPr>
          <w:rFonts w:cs="Arial"/>
          <w:bCs/>
          <w:lang w:val="en-AU" w:eastAsia="en-AU"/>
        </w:rPr>
        <w:t xml:space="preserve"> et al., 2013), which suggests some beneficial effects of a long scotoperiod. </w:t>
      </w:r>
      <w:r w:rsidRPr="00286A88">
        <w:rPr>
          <w:rFonts w:cs="CMR10"/>
          <w:lang w:val="en-AU" w:eastAsia="en-AU"/>
        </w:rPr>
        <w:t xml:space="preserve">Huth and Archer (2015a) report that light-bulb type may also be important, as light provided by light-emitting diode (LED) bulbs (particularly a ‘Once Innovations’ bulb) appeared to be linked with improved FPD and HB scores when compared with a compact fluorescent. </w:t>
      </w:r>
    </w:p>
    <w:p w14:paraId="4C0276ED" w14:textId="77777777" w:rsidR="00286A88" w:rsidRPr="00286A88" w:rsidRDefault="00286A88" w:rsidP="006968F5">
      <w:pPr>
        <w:rPr>
          <w:rFonts w:cs="Arial"/>
          <w:lang w:val="en-AU" w:eastAsia="en-GB"/>
        </w:rPr>
      </w:pPr>
      <w:r w:rsidRPr="00286A88">
        <w:rPr>
          <w:rFonts w:eastAsia="ComputerModern-Regular" w:cs="ComputerModern-Regular"/>
          <w:lang w:val="en-AU" w:eastAsia="en-AU"/>
        </w:rPr>
        <w:t>‘Hatchery’ had been identified as a risk factor for FPD, indicating that chick quality may be related to FPD susceptibility (de Jong et al., 2012b); however, w</w:t>
      </w:r>
      <w:r w:rsidRPr="00286A88">
        <w:rPr>
          <w:rFonts w:cs="TimesNewRomanPS"/>
          <w:lang w:val="en-AU" w:eastAsia="en-AU"/>
        </w:rPr>
        <w:t xml:space="preserve">hen the foot health of broilers (same parent stock) obtained from two different hatcheries were compared no effect of hatch location was evident </w:t>
      </w:r>
      <w:r w:rsidRPr="00286A88">
        <w:rPr>
          <w:rFonts w:cs="GillSans-Italic"/>
          <w:iCs/>
          <w:lang w:val="en-AU" w:eastAsia="en-AU"/>
        </w:rPr>
        <w:t xml:space="preserve">(de Jong et al., 2015). </w:t>
      </w:r>
      <w:r w:rsidRPr="00286A88">
        <w:rPr>
          <w:rFonts w:cs="CMR10"/>
          <w:lang w:val="en-AU" w:eastAsia="en-AU"/>
        </w:rPr>
        <w:t>A rise in incubation temperature (37.2-39.2</w:t>
      </w:r>
      <w:r w:rsidR="0093306E">
        <w:rPr>
          <w:rFonts w:cs="CMR10"/>
          <w:lang w:val="en-AU" w:eastAsia="en-AU"/>
        </w:rPr>
        <w:t> </w:t>
      </w:r>
      <w:r w:rsidRPr="00286A88">
        <w:rPr>
          <w:rFonts w:cs="CMR10"/>
          <w:lang w:val="en-AU" w:eastAsia="en-AU"/>
        </w:rPr>
        <w:t xml:space="preserve">°C) over the 21 days negatively influenced </w:t>
      </w:r>
      <w:r w:rsidR="00FC573C">
        <w:rPr>
          <w:rFonts w:cs="CMR10"/>
          <w:lang w:val="en-AU" w:eastAsia="en-AU"/>
        </w:rPr>
        <w:t>foot pad</w:t>
      </w:r>
      <w:r w:rsidRPr="00286A88">
        <w:rPr>
          <w:rFonts w:cs="CMR10"/>
          <w:lang w:val="en-AU" w:eastAsia="en-AU"/>
        </w:rPr>
        <w:t xml:space="preserve"> skin development (decreased </w:t>
      </w:r>
      <w:r w:rsidRPr="00E144DF">
        <w:t>papillae width</w:t>
      </w:r>
      <w:r w:rsidRPr="00286A88">
        <w:rPr>
          <w:rFonts w:cs="CMR10"/>
          <w:lang w:val="en-AU" w:eastAsia="en-AU"/>
        </w:rPr>
        <w:t xml:space="preserve">, dermis height and area) at hatch compared to a control incubation treatment (37.8 °C); weaker </w:t>
      </w:r>
      <w:r w:rsidR="00FC573C">
        <w:rPr>
          <w:rFonts w:cs="CMR10"/>
          <w:lang w:val="en-AU" w:eastAsia="en-AU"/>
        </w:rPr>
        <w:t>foot pad</w:t>
      </w:r>
      <w:r w:rsidRPr="00286A88">
        <w:rPr>
          <w:rFonts w:cs="CMR10"/>
          <w:lang w:val="en-AU" w:eastAsia="en-AU"/>
        </w:rPr>
        <w:t xml:space="preserve"> skin and </w:t>
      </w:r>
      <w:r w:rsidRPr="00286A88">
        <w:rPr>
          <w:rFonts w:cs="CMTI10"/>
          <w:iCs/>
          <w:lang w:val="en-AU" w:eastAsia="en-AU"/>
        </w:rPr>
        <w:t xml:space="preserve">papillae resulting from fluctuating incubation </w:t>
      </w:r>
      <w:r w:rsidRPr="00E144DF">
        <w:t>temperatures may, therefore, increase FPD risk (Da Costa et al., 2016). Egg weight does not appear to influence FPD (Kjaer et al., 2006</w:t>
      </w:r>
      <w:r w:rsidRPr="00286A88">
        <w:rPr>
          <w:rFonts w:cs="Arial"/>
          <w:lang w:val="en-AU" w:eastAsia="en-GB"/>
        </w:rPr>
        <w:t>). Breeding programmes offer a means by which flock susceptibility to FPD can be selected against and reduced (see B3.4b).</w:t>
      </w:r>
    </w:p>
    <w:p w14:paraId="15994621" w14:textId="77777777" w:rsidR="00286A88" w:rsidRPr="00286A88" w:rsidRDefault="00286A88" w:rsidP="006968F5">
      <w:pPr>
        <w:pStyle w:val="Heading41"/>
      </w:pPr>
      <w:r w:rsidRPr="00286A88">
        <w:t>B3.4b Hockburn (HB)</w:t>
      </w:r>
    </w:p>
    <w:p w14:paraId="34242646" w14:textId="77777777" w:rsidR="00286A88" w:rsidRPr="00286A88" w:rsidRDefault="00286A88" w:rsidP="006968F5">
      <w:pPr>
        <w:rPr>
          <w:lang w:val="en-AU" w:eastAsia="en-AU"/>
        </w:rPr>
      </w:pPr>
      <w:r w:rsidRPr="00286A88">
        <w:rPr>
          <w:lang w:val="en-AU" w:eastAsia="en-AU"/>
        </w:rPr>
        <w:t>HB is a contact dermatitis found on the skin of the caudal (back) part of the hock joint, starting as a dark skin discolouration.</w:t>
      </w:r>
    </w:p>
    <w:p w14:paraId="69DD0D70" w14:textId="77777777" w:rsidR="00286A88" w:rsidRPr="00C5168E" w:rsidRDefault="00286A88" w:rsidP="00C5168E">
      <w:pPr>
        <w:spacing w:before="180"/>
        <w:rPr>
          <w:b/>
          <w:i/>
        </w:rPr>
      </w:pPr>
      <w:r w:rsidRPr="00C5168E">
        <w:rPr>
          <w:b/>
          <w:i/>
        </w:rPr>
        <w:t>Scoring HB</w:t>
      </w:r>
    </w:p>
    <w:p w14:paraId="605982DD" w14:textId="77777777" w:rsidR="00286A88" w:rsidRPr="00286A88" w:rsidRDefault="00286A88" w:rsidP="006968F5">
      <w:pPr>
        <w:rPr>
          <w:lang w:val="en-AU" w:eastAsia="en-AU"/>
        </w:rPr>
      </w:pPr>
      <w:r w:rsidRPr="00286A88">
        <w:rPr>
          <w:lang w:val="en-AU" w:eastAsia="en-AU"/>
        </w:rPr>
        <w:t>Several hock-scoring systems have been described. These range from t</w:t>
      </w:r>
      <w:r w:rsidRPr="00286A88">
        <w:rPr>
          <w:rFonts w:cs="Times New Roman"/>
          <w:lang w:val="en-AU" w:eastAsia="en-AU"/>
        </w:rPr>
        <w:t xml:space="preserve">he simple, including a three point scale to classify legions according to </w:t>
      </w:r>
      <w:r w:rsidR="00FC573C">
        <w:rPr>
          <w:rFonts w:cs="Times New Roman"/>
          <w:lang w:val="en-AU" w:eastAsia="en-AU"/>
        </w:rPr>
        <w:t>foot pad</w:t>
      </w:r>
      <w:r w:rsidRPr="00286A88">
        <w:rPr>
          <w:rFonts w:cs="Times New Roman"/>
          <w:lang w:val="en-AU" w:eastAsia="en-AU"/>
        </w:rPr>
        <w:t xml:space="preserve"> coverage (</w:t>
      </w:r>
      <w:r w:rsidRPr="00286A88">
        <w:rPr>
          <w:lang w:val="en-AU" w:eastAsia="en-AU"/>
        </w:rPr>
        <w:t xml:space="preserve">0: no discolouration or lesions; 1: &lt;10% hock with lesion; 2: </w:t>
      </w:r>
      <w:r w:rsidRPr="00286A88">
        <w:rPr>
          <w:rFonts w:cs="AdvPi1"/>
          <w:lang w:val="en-AU" w:eastAsia="en-AU"/>
        </w:rPr>
        <w:t xml:space="preserve">&gt;10% hock with lesion, </w:t>
      </w:r>
      <w:r w:rsidRPr="00286A88">
        <w:rPr>
          <w:lang w:val="en-AU" w:eastAsia="en-AU"/>
        </w:rPr>
        <w:t xml:space="preserve">Dawkins </w:t>
      </w:r>
      <w:r w:rsidRPr="00286A88">
        <w:rPr>
          <w:rFonts w:cs="AdvP4CD4D4"/>
          <w:lang w:val="en-AU" w:eastAsia="en-AU"/>
        </w:rPr>
        <w:t>et al.</w:t>
      </w:r>
      <w:r w:rsidRPr="00286A88">
        <w:rPr>
          <w:lang w:val="en-AU" w:eastAsia="en-AU"/>
        </w:rPr>
        <w:t>, 2004), to the complex;</w:t>
      </w:r>
      <w:r w:rsidRPr="00286A88">
        <w:rPr>
          <w:rFonts w:cs="Times New Roman"/>
          <w:lang w:val="en-AU" w:eastAsia="en-AU"/>
        </w:rPr>
        <w:t xml:space="preserve"> </w:t>
      </w:r>
      <w:r w:rsidRPr="00286A88">
        <w:rPr>
          <w:lang w:val="en-AU" w:eastAsia="en-AU"/>
        </w:rPr>
        <w:t>Allain et al. (2009) developed a 7-point HB severity scale based on lesion severity. The scoring system currently in use on-farm as part of the Welfare Quality® Assessment protocol for poultry comprises a 5-point severity scale developed by Bristol University (e.g. Haslam et al., 2007) and utilises photographic images for reference (Figure B2).</w:t>
      </w:r>
    </w:p>
    <w:p w14:paraId="64FE37D1" w14:textId="77777777" w:rsidR="00286A88" w:rsidRPr="00286A88" w:rsidRDefault="00286A88" w:rsidP="006968F5">
      <w:pPr>
        <w:rPr>
          <w:lang w:val="en-AU" w:eastAsia="en-AU"/>
        </w:rPr>
      </w:pPr>
    </w:p>
    <w:p w14:paraId="07B03D79" w14:textId="77777777" w:rsidR="00286A88" w:rsidRPr="00864384" w:rsidRDefault="00286A88" w:rsidP="00286A88">
      <w:pPr>
        <w:autoSpaceDE w:val="0"/>
        <w:autoSpaceDN w:val="0"/>
        <w:adjustRightInd w:val="0"/>
        <w:spacing w:after="0" w:line="240" w:lineRule="auto"/>
        <w:contextualSpacing/>
        <w:rPr>
          <w:rFonts w:eastAsia="Times New Roman" w:cs="Arial"/>
          <w:color w:val="000000"/>
          <w:sz w:val="22"/>
          <w:szCs w:val="22"/>
          <w:lang w:val="en-AU" w:eastAsia="en-AU"/>
        </w:rPr>
      </w:pPr>
      <w:r w:rsidRPr="00864384">
        <w:rPr>
          <w:rFonts w:eastAsia="Times New Roman" w:cs="Arial"/>
          <w:noProof/>
          <w:color w:val="000000"/>
          <w:sz w:val="22"/>
          <w:szCs w:val="22"/>
          <w:lang w:val="en-AU" w:eastAsia="en-AU"/>
        </w:rPr>
        <w:drawing>
          <wp:inline distT="0" distB="0" distL="0" distR="0" wp14:anchorId="22DCB658" wp14:editId="084C21F8">
            <wp:extent cx="5734050" cy="1866900"/>
            <wp:effectExtent l="0" t="0" r="0" b="0"/>
            <wp:docPr id="19" name="Picture 1" descr="This figure shows five photographic images of hock burn lesions used as references to score hock burn lesion severity, on a 5-point severity scale. From left to right the five photographs show severity scored as 0, 1, 2, 3, and 4. This scoring system was developed by Bristol University and is used on-farm as part of the Welfare Quality® Assessment protocol for poultry." title="Figure B2: Five point scoring scale (0-4) for categorising hock burn lesion severity in broi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5734050" cy="1866900"/>
                    </a:xfrm>
                    <a:prstGeom prst="rect">
                      <a:avLst/>
                    </a:prstGeom>
                    <a:noFill/>
                    <a:ln w="9525">
                      <a:noFill/>
                      <a:miter lim="800000"/>
                      <a:headEnd/>
                      <a:tailEnd/>
                    </a:ln>
                  </pic:spPr>
                </pic:pic>
              </a:graphicData>
            </a:graphic>
          </wp:inline>
        </w:drawing>
      </w:r>
    </w:p>
    <w:p w14:paraId="0F32F7B1" w14:textId="77777777" w:rsidR="00286A88" w:rsidRPr="00286A88" w:rsidRDefault="00286A88" w:rsidP="006968F5">
      <w:pPr>
        <w:spacing w:before="240" w:after="240"/>
        <w:rPr>
          <w:b/>
          <w:lang w:val="en-AU" w:eastAsia="en-AU"/>
        </w:rPr>
      </w:pPr>
      <w:r w:rsidRPr="00286A88">
        <w:rPr>
          <w:b/>
          <w:lang w:val="en-AU" w:eastAsia="en-AU"/>
        </w:rPr>
        <w:t>Figure B2: Five point scoring scale (0-4) for categorising hock burn lesion severity in broilers (Welfare Quality®, 2009)</w:t>
      </w:r>
    </w:p>
    <w:p w14:paraId="315505A3" w14:textId="77777777" w:rsidR="00286A88" w:rsidRPr="00C5168E" w:rsidRDefault="00286A88" w:rsidP="00C5168E">
      <w:pPr>
        <w:spacing w:before="180"/>
        <w:rPr>
          <w:b/>
          <w:i/>
        </w:rPr>
      </w:pPr>
      <w:r w:rsidRPr="00C5168E">
        <w:rPr>
          <w:b/>
          <w:i/>
        </w:rPr>
        <w:t>Prevalence, risk factors and control</w:t>
      </w:r>
    </w:p>
    <w:p w14:paraId="25C60ADE" w14:textId="77777777" w:rsidR="00286A88" w:rsidRPr="00286A88" w:rsidRDefault="00286A88" w:rsidP="006968F5">
      <w:pPr>
        <w:rPr>
          <w:rFonts w:cs="Times New Roman"/>
          <w:lang w:val="en-AU" w:eastAsia="en-AU"/>
        </w:rPr>
      </w:pPr>
      <w:r w:rsidRPr="00286A88">
        <w:rPr>
          <w:rFonts w:cs="TimesNewRomanPS-BoldMT"/>
          <w:bCs/>
          <w:lang w:val="en-AU" w:eastAsia="en-AU"/>
        </w:rPr>
        <w:t xml:space="preserve">Although HB develops more slowly than FPD (Skrbic et al., 2015), and HB is observed less </w:t>
      </w:r>
      <w:r w:rsidRPr="00286A88">
        <w:rPr>
          <w:lang w:val="en-AU" w:eastAsia="en-AU"/>
        </w:rPr>
        <w:t>frequently (Haslam et al., 2007; Allain et al.,</w:t>
      </w:r>
      <w:r w:rsidR="00B75316">
        <w:rPr>
          <w:lang w:val="en-AU" w:eastAsia="en-AU"/>
        </w:rPr>
        <w:t xml:space="preserve"> </w:t>
      </w:r>
      <w:r w:rsidRPr="00286A88">
        <w:rPr>
          <w:lang w:val="en-AU" w:eastAsia="en-AU"/>
        </w:rPr>
        <w:t>2009), both are</w:t>
      </w:r>
      <w:r w:rsidRPr="00286A88">
        <w:rPr>
          <w:rFonts w:cs="TimesNewRomanPS-BoldMT"/>
          <w:bCs/>
          <w:lang w:val="en-AU" w:eastAsia="en-AU"/>
        </w:rPr>
        <w:t xml:space="preserve"> often associated </w:t>
      </w:r>
      <w:r w:rsidRPr="00286A88">
        <w:rPr>
          <w:lang w:val="en-AU" w:eastAsia="en-AU"/>
        </w:rPr>
        <w:t xml:space="preserve">(Meluzzi et al., 2008b; Allain et al., 2009; Bassler et al., 2013). </w:t>
      </w:r>
      <w:r w:rsidRPr="00286A88">
        <w:rPr>
          <w:rFonts w:cs="Times New Roman"/>
          <w:lang w:val="en-AU" w:eastAsia="en-AU"/>
        </w:rPr>
        <w:t xml:space="preserve">As with FPD, a substantial variation in HB prevalence (including severity levels) between studies and individual flocks has been reported: 1.5% (severe, UK: Dawkins et al., 2004); </w:t>
      </w:r>
      <w:r w:rsidRPr="00286A88">
        <w:rPr>
          <w:lang w:val="en-AU" w:eastAsia="en-AU"/>
        </w:rPr>
        <w:t xml:space="preserve">0-33% (moderate or severe, UK: Haslam et al., 2007); </w:t>
      </w:r>
      <w:r w:rsidRPr="00286A88">
        <w:rPr>
          <w:rFonts w:cs="Times New Roman"/>
          <w:lang w:val="en-AU" w:eastAsia="en-AU"/>
        </w:rPr>
        <w:t xml:space="preserve">3-87% (any, Italy: Melluzzi et al., 2008a; </w:t>
      </w:r>
      <w:r w:rsidRPr="00286A88">
        <w:rPr>
          <w:lang w:val="en-AU" w:eastAsia="en-AU"/>
        </w:rPr>
        <w:t xml:space="preserve">2008b), 59% (any, France: Allain et al., 2009), 12% (any, UK: </w:t>
      </w:r>
      <w:r w:rsidRPr="00286A88">
        <w:rPr>
          <w:rFonts w:cs="Times New Roman"/>
          <w:lang w:val="en-AU" w:eastAsia="en-AU"/>
        </w:rPr>
        <w:t>Hepworth et al., 2011).</w:t>
      </w:r>
    </w:p>
    <w:p w14:paraId="399BB985" w14:textId="77777777" w:rsidR="00286A88" w:rsidRPr="00286A88" w:rsidRDefault="00286A88" w:rsidP="006968F5">
      <w:pPr>
        <w:rPr>
          <w:rFonts w:cs="Times New Roman"/>
          <w:lang w:val="en-AU" w:eastAsia="en-AU"/>
        </w:rPr>
      </w:pPr>
      <w:r w:rsidRPr="00286A88">
        <w:rPr>
          <w:rFonts w:cs="Arial"/>
          <w:lang w:val="en-AU" w:eastAsia="en-GB"/>
        </w:rPr>
        <w:t xml:space="preserve">HB incidence is positively correlated with age (Kjaer et al., 2006; </w:t>
      </w:r>
      <w:r w:rsidRPr="00286A88">
        <w:rPr>
          <w:lang w:val="en-AU" w:eastAsia="en-AU"/>
        </w:rPr>
        <w:t xml:space="preserve">Haslam et al., 2007), sex </w:t>
      </w:r>
      <w:r w:rsidRPr="00286A88">
        <w:rPr>
          <w:rFonts w:cs="CMR10"/>
          <w:lang w:val="en-AU" w:eastAsia="en-AU"/>
        </w:rPr>
        <w:t>(heavy males are more at risk (</w:t>
      </w:r>
      <w:r w:rsidRPr="00286A88">
        <w:rPr>
          <w:rFonts w:cs="Times New Roman"/>
          <w:lang w:val="en-AU" w:eastAsia="en-AU"/>
        </w:rPr>
        <w:t>Oviedo-Rondón et al., 2009a;</w:t>
      </w:r>
      <w:r w:rsidRPr="00286A88">
        <w:rPr>
          <w:rFonts w:cs="CMR10"/>
          <w:lang w:val="en-AU" w:eastAsia="en-AU"/>
        </w:rPr>
        <w:t xml:space="preserve"> Henriksen et al., 2016), </w:t>
      </w:r>
      <w:r w:rsidRPr="00286A88">
        <w:rPr>
          <w:lang w:val="en-AU" w:eastAsia="en-AU"/>
        </w:rPr>
        <w:t xml:space="preserve">and </w:t>
      </w:r>
      <w:r w:rsidRPr="00286A88">
        <w:rPr>
          <w:rFonts w:cs="Times New Roman"/>
          <w:lang w:val="en-AU" w:eastAsia="en-AU"/>
        </w:rPr>
        <w:t>body mass (</w:t>
      </w:r>
      <w:r w:rsidRPr="00286A88">
        <w:rPr>
          <w:rFonts w:cs="CMR10"/>
          <w:lang w:val="en-AU" w:eastAsia="en-AU"/>
        </w:rPr>
        <w:t xml:space="preserve">Sørensen et al., 2000; </w:t>
      </w:r>
      <w:r w:rsidRPr="00286A88">
        <w:rPr>
          <w:rFonts w:cs="AdvP4CD4D2"/>
          <w:lang w:val="en-AU" w:eastAsia="en-AU"/>
        </w:rPr>
        <w:t xml:space="preserve">Broom and Reefmann, 2005; </w:t>
      </w:r>
      <w:r w:rsidRPr="00286A88">
        <w:rPr>
          <w:rFonts w:cs="Arial"/>
          <w:lang w:val="en-AU" w:eastAsia="en-GB"/>
        </w:rPr>
        <w:t xml:space="preserve">Kjaer et al., 2006; </w:t>
      </w:r>
      <w:r w:rsidRPr="00286A88">
        <w:rPr>
          <w:rFonts w:cs="AdvP4CD4D2"/>
          <w:lang w:val="en-AU" w:eastAsia="en-AU"/>
        </w:rPr>
        <w:t xml:space="preserve">Haslam et al., 2007; </w:t>
      </w:r>
      <w:r w:rsidRPr="00286A88">
        <w:rPr>
          <w:rFonts w:cs="Times New Roman"/>
          <w:lang w:val="en-AU" w:eastAsia="en-AU"/>
        </w:rPr>
        <w:t xml:space="preserve">Hepworth et al., 2010; </w:t>
      </w:r>
      <w:r w:rsidRPr="00286A88">
        <w:rPr>
          <w:rFonts w:cs="CMR10"/>
          <w:lang w:val="en-AU" w:eastAsia="en-AU"/>
        </w:rPr>
        <w:t>Henriksen et al., 2016</w:t>
      </w:r>
      <w:r w:rsidRPr="00286A88">
        <w:rPr>
          <w:rFonts w:cs="Times New Roman"/>
          <w:lang w:val="en-AU" w:eastAsia="en-AU"/>
        </w:rPr>
        <w:t>). Hepworth et al. (2010) identified that body mass at two weeks of age was a predictor of flocks at risk of developing HB prior to slaughter.</w:t>
      </w:r>
      <w:r w:rsidRPr="00286A88">
        <w:rPr>
          <w:lang w:val="en-AU" w:eastAsia="en-AU"/>
        </w:rPr>
        <w:t xml:space="preserve"> Genotype differences in HB incidence have been observed between standard (fast-growing) breeds (Haslam et al., 2007; </w:t>
      </w:r>
      <w:r w:rsidRPr="00286A88">
        <w:rPr>
          <w:rFonts w:cs="TimesNewRomanPS-BoldMT"/>
          <w:bCs/>
          <w:lang w:val="en-AU" w:eastAsia="en-AU"/>
        </w:rPr>
        <w:t>Skrbic et al., 2015</w:t>
      </w:r>
      <w:r w:rsidRPr="00286A88">
        <w:rPr>
          <w:lang w:val="en-AU" w:eastAsia="en-AU"/>
        </w:rPr>
        <w:t xml:space="preserve">), while slow-growing breeds appear to be less susceptible </w:t>
      </w:r>
      <w:r w:rsidRPr="00286A88">
        <w:rPr>
          <w:rFonts w:cs="Times New Roman"/>
          <w:lang w:val="en-AU" w:eastAsia="en-AU"/>
        </w:rPr>
        <w:t>(</w:t>
      </w:r>
      <w:r w:rsidRPr="00286A88">
        <w:rPr>
          <w:rFonts w:cs="Arial"/>
          <w:lang w:val="en-AU" w:eastAsia="en-GB"/>
        </w:rPr>
        <w:t>Kjaer et al., 2006).</w:t>
      </w:r>
      <w:r w:rsidRPr="00286A88">
        <w:rPr>
          <w:lang w:val="en-AU" w:eastAsia="en-AU"/>
        </w:rPr>
        <w:t xml:space="preserve"> Lameness is positively associated with HB (</w:t>
      </w:r>
      <w:r w:rsidRPr="00286A88">
        <w:rPr>
          <w:rFonts w:cs="CMR10"/>
          <w:lang w:val="en-AU" w:eastAsia="en-AU"/>
        </w:rPr>
        <w:t xml:space="preserve">Sørensen et al., 2000; </w:t>
      </w:r>
      <w:r w:rsidRPr="00286A88">
        <w:rPr>
          <w:lang w:val="en-AU" w:eastAsia="en-AU"/>
        </w:rPr>
        <w:t>Haslam et al., 2007); presumably as broilers age, become heavier (and experience deteriorations in leg health), they spend more time lying down, increasing contact-time with the litter.</w:t>
      </w:r>
    </w:p>
    <w:p w14:paraId="2628F91C" w14:textId="77777777" w:rsidR="00286A88" w:rsidRPr="00286A88" w:rsidRDefault="00286A88" w:rsidP="006968F5">
      <w:pPr>
        <w:rPr>
          <w:rFonts w:cs="Times New Roman"/>
          <w:lang w:val="en-AU" w:eastAsia="en-AU"/>
        </w:rPr>
      </w:pPr>
      <w:r w:rsidRPr="00286A88">
        <w:rPr>
          <w:rFonts w:cs="Times New Roman"/>
          <w:lang w:val="en-AU" w:eastAsia="en-AU"/>
        </w:rPr>
        <w:t xml:space="preserve">Ahmad et al. (2013) report a reduction in HB under an intermittent feeding regime (1 h feed; 3 h off) and a feed withdrawal regime (09:00-17:00 h), compared to </w:t>
      </w:r>
      <w:r w:rsidRPr="00286A88">
        <w:rPr>
          <w:rFonts w:cs="Times New Roman"/>
          <w:i/>
          <w:lang w:val="en-AU" w:eastAsia="en-AU"/>
        </w:rPr>
        <w:t>ad libitum</w:t>
      </w:r>
      <w:r w:rsidRPr="00286A88">
        <w:rPr>
          <w:rFonts w:cs="Times New Roman"/>
          <w:lang w:val="en-AU" w:eastAsia="en-AU"/>
        </w:rPr>
        <w:t xml:space="preserve"> feeding; however, these findings were associated with weight gain reductions that were unlikely to be acceptable under commercial production. The provision of an increased percentage of dietary wheat has been linked with reduced HB (Haslam et al., 2007).</w:t>
      </w:r>
    </w:p>
    <w:p w14:paraId="0CE98031" w14:textId="77777777" w:rsidR="00286A88" w:rsidRPr="00286A88" w:rsidRDefault="00286A88" w:rsidP="006968F5">
      <w:pPr>
        <w:rPr>
          <w:rFonts w:cs="Times New Roman"/>
          <w:lang w:val="en-AU" w:eastAsia="en-AU"/>
        </w:rPr>
      </w:pPr>
      <w:r w:rsidRPr="00286A88">
        <w:rPr>
          <w:lang w:val="en-AU" w:eastAsia="en-AU"/>
        </w:rPr>
        <w:t>Rearing system may influence the risk of developing HB, as ‘organic’ chickens (observed as carcases within supermarkets) were seen to have half as many lesions as conventionally reared broilers (</w:t>
      </w:r>
      <w:r w:rsidRPr="00286A88">
        <w:rPr>
          <w:rFonts w:cs="AdvP4CD4D2"/>
          <w:lang w:val="en-AU" w:eastAsia="en-AU"/>
        </w:rPr>
        <w:t xml:space="preserve">Broom and Reefmann, 2005). </w:t>
      </w:r>
      <w:r w:rsidRPr="00286A88">
        <w:rPr>
          <w:rFonts w:cs="Palatino-Roman"/>
          <w:lang w:val="en-AU" w:eastAsia="en-AU"/>
        </w:rPr>
        <w:t xml:space="preserve">Jones et al. (2005a) identified that high RH (after week 1 of the production cycle), and the provision of more drinkers per unit area, led to higher litter moisture and a greater incidence of HB. </w:t>
      </w:r>
      <w:r w:rsidRPr="00286A88">
        <w:rPr>
          <w:rFonts w:cs="AdvTR"/>
          <w:lang w:val="en-AU" w:eastAsia="en-AU"/>
        </w:rPr>
        <w:t>An increased risk of HB has also been associated with increased water consumption towards the end of the grow-out period (</w:t>
      </w:r>
      <w:r w:rsidRPr="00286A88">
        <w:rPr>
          <w:rFonts w:cs="Times New Roman"/>
          <w:lang w:val="en-AU" w:eastAsia="en-AU"/>
        </w:rPr>
        <w:t xml:space="preserve">Hepworth et al., 2010); </w:t>
      </w:r>
      <w:r w:rsidRPr="00286A88">
        <w:rPr>
          <w:rFonts w:cs="AdvTR"/>
          <w:lang w:val="en-AU" w:eastAsia="en-AU"/>
        </w:rPr>
        <w:t xml:space="preserve">litter quality may be reduced directly via increased spillage and indirectly via increased excretion. These findings are supported by many studies that </w:t>
      </w:r>
      <w:r w:rsidRPr="00286A88">
        <w:rPr>
          <w:rFonts w:cs="Palatino-Roman"/>
          <w:lang w:val="en-AU" w:eastAsia="en-AU"/>
        </w:rPr>
        <w:t xml:space="preserve">report </w:t>
      </w:r>
      <w:r w:rsidRPr="00286A88">
        <w:rPr>
          <w:rFonts w:cs="AdvTimes"/>
          <w:lang w:val="en-AU" w:eastAsia="en-AU"/>
        </w:rPr>
        <w:t xml:space="preserve">HB to be higher in flocks maintained upon wet degraded litter </w:t>
      </w:r>
      <w:r w:rsidRPr="00286A88">
        <w:rPr>
          <w:lang w:val="en-AU" w:eastAsia="en-AU"/>
        </w:rPr>
        <w:t xml:space="preserve">(Dawkins </w:t>
      </w:r>
      <w:r w:rsidRPr="00286A88">
        <w:rPr>
          <w:rFonts w:cs="AdvP4CD4D4"/>
          <w:lang w:val="en-AU" w:eastAsia="en-AU"/>
        </w:rPr>
        <w:t>et al</w:t>
      </w:r>
      <w:r w:rsidRPr="00286A88">
        <w:rPr>
          <w:lang w:val="en-AU" w:eastAsia="en-AU"/>
        </w:rPr>
        <w:t>., 2004; Meluzzi et al., 2008b; Allain et al., 2009;</w:t>
      </w:r>
      <w:r w:rsidRPr="00286A88">
        <w:rPr>
          <w:rFonts w:eastAsia="ComputerModern-Regular" w:cs="ComputerModern-Regular"/>
          <w:lang w:val="en-AU" w:eastAsia="en-AU"/>
        </w:rPr>
        <w:t xml:space="preserve"> Bassler et al., 2013; </w:t>
      </w:r>
      <w:r w:rsidRPr="00286A88">
        <w:rPr>
          <w:rFonts w:cs="FrutigerLTStd-Light"/>
          <w:lang w:val="en-AU" w:eastAsia="en-AU"/>
        </w:rPr>
        <w:t xml:space="preserve">de Jong </w:t>
      </w:r>
      <w:r w:rsidRPr="00E144DF">
        <w:t>et al., 2014).</w:t>
      </w:r>
      <w:r w:rsidRPr="00286A88">
        <w:rPr>
          <w:lang w:val="en-AU" w:eastAsia="en-AU"/>
        </w:rPr>
        <w:t xml:space="preserve"> </w:t>
      </w:r>
      <w:r w:rsidRPr="00286A88">
        <w:rPr>
          <w:rFonts w:cs="AdvTR"/>
          <w:lang w:val="en-AU" w:eastAsia="en-AU"/>
        </w:rPr>
        <w:t>The use of automatic water meters is associated with a decreased HB risk (</w:t>
      </w:r>
      <w:r w:rsidRPr="00286A88">
        <w:rPr>
          <w:rFonts w:cs="Times New Roman"/>
          <w:lang w:val="en-AU" w:eastAsia="en-AU"/>
        </w:rPr>
        <w:t xml:space="preserve">Hepworth et al., 2010); the authors hypothesise that </w:t>
      </w:r>
      <w:r w:rsidRPr="00286A88">
        <w:rPr>
          <w:rFonts w:cs="AdvTR"/>
          <w:lang w:val="en-AU" w:eastAsia="en-AU"/>
        </w:rPr>
        <w:t>an ability to monitor and control water intake may facilitate better stockmanship and improve litter management.</w:t>
      </w:r>
      <w:r w:rsidRPr="00286A88">
        <w:rPr>
          <w:rFonts w:cs="Times New Roman"/>
          <w:lang w:val="en-AU" w:eastAsia="en-AU"/>
        </w:rPr>
        <w:t xml:space="preserve"> </w:t>
      </w:r>
      <w:r w:rsidRPr="00286A88">
        <w:rPr>
          <w:lang w:val="en-AU" w:eastAsia="en-AU"/>
        </w:rPr>
        <w:t>As with FPD, HB lesion incidence is also higher during colder months (Meluzzi et al., 2008b; He</w:t>
      </w:r>
      <w:r w:rsidRPr="00286A88">
        <w:rPr>
          <w:rFonts w:cs="Times New Roman"/>
          <w:lang w:val="en-AU" w:eastAsia="en-AU"/>
        </w:rPr>
        <w:t>pworth et al., 2010), this is again likely to reflect inadequacies in ventilation and litter quality.</w:t>
      </w:r>
      <w:r w:rsidRPr="00286A88">
        <w:rPr>
          <w:rFonts w:eastAsia="ComputerModern-Regular" w:cs="ComputerModern-Regular"/>
          <w:lang w:val="en-AU" w:eastAsia="en-AU"/>
        </w:rPr>
        <w:t xml:space="preserve"> </w:t>
      </w:r>
      <w:r w:rsidRPr="00286A88">
        <w:rPr>
          <w:rFonts w:cs="Times New Roman"/>
          <w:lang w:val="en-AU" w:eastAsia="en-AU"/>
        </w:rPr>
        <w:t xml:space="preserve">Lower </w:t>
      </w:r>
      <w:r w:rsidRPr="00286A88">
        <w:rPr>
          <w:rFonts w:cs="TimesNewRomanPSMT"/>
          <w:lang w:val="en-AU" w:eastAsia="en-AU"/>
        </w:rPr>
        <w:t xml:space="preserve">HB scores were observed at the end of the grow-out period in broilers reared on wood-shavings than paper sludge </w:t>
      </w:r>
      <w:r w:rsidRPr="00286A88">
        <w:rPr>
          <w:rFonts w:cs="Times New Roman"/>
          <w:lang w:val="en-AU" w:eastAsia="en-AU"/>
        </w:rPr>
        <w:t>(</w:t>
      </w:r>
      <w:r w:rsidRPr="00286A88">
        <w:rPr>
          <w:rFonts w:eastAsia="ComputerModern-Regular" w:cs="ComputerModern-Regular"/>
          <w:lang w:val="en-AU" w:eastAsia="en-AU"/>
        </w:rPr>
        <w:t>Villagrá et al., 2011</w:t>
      </w:r>
      <w:r w:rsidRPr="00286A88">
        <w:rPr>
          <w:rFonts w:cs="Times New Roman"/>
          <w:lang w:val="en-AU" w:eastAsia="en-AU"/>
        </w:rPr>
        <w:t>) or</w:t>
      </w:r>
      <w:r w:rsidRPr="00286A88">
        <w:rPr>
          <w:rFonts w:cs="TimesNewRomanPSMT"/>
          <w:lang w:val="en-AU" w:eastAsia="en-AU"/>
        </w:rPr>
        <w:t xml:space="preserve"> chopped straw</w:t>
      </w:r>
      <w:r w:rsidRPr="00286A88">
        <w:rPr>
          <w:rFonts w:cs="TimesNewRomanPS-BoldMT"/>
          <w:bCs/>
          <w:lang w:val="en-AU" w:eastAsia="en-AU"/>
        </w:rPr>
        <w:t xml:space="preserve"> (Skrbic et al., 2015). </w:t>
      </w:r>
      <w:r w:rsidRPr="00286A88">
        <w:rPr>
          <w:rFonts w:cs="FrutigerLTStd-Light"/>
          <w:lang w:val="en-AU" w:eastAsia="en-AU"/>
        </w:rPr>
        <w:t>The incidence of HB in broilers reared on reused litter has also been reported to be higher than in those reared on new litter</w:t>
      </w:r>
      <w:r w:rsidRPr="00286A88">
        <w:rPr>
          <w:rFonts w:cs="AdvTR"/>
          <w:lang w:val="en-AU" w:eastAsia="en-AU"/>
        </w:rPr>
        <w:t xml:space="preserve"> (Jacob et al., 2016a).</w:t>
      </w:r>
      <w:r w:rsidRPr="00286A88">
        <w:rPr>
          <w:lang w:val="en-AU" w:eastAsia="en-AU"/>
        </w:rPr>
        <w:t xml:space="preserve"> </w:t>
      </w:r>
      <w:r w:rsidRPr="00286A88">
        <w:rPr>
          <w:rFonts w:eastAsia="ComputerModern-Regular" w:cs="ComputerModern-Regular"/>
          <w:lang w:val="en-AU" w:eastAsia="en-AU"/>
        </w:rPr>
        <w:t xml:space="preserve">The provision of a decent scotoperiod appears important in limiting HB; HB scores have been positively correlated with day length (Bassler et al., 2013). </w:t>
      </w:r>
      <w:r w:rsidRPr="00286A88">
        <w:rPr>
          <w:lang w:val="en-AU" w:eastAsia="en-AU"/>
        </w:rPr>
        <w:t xml:space="preserve">The majority of studies report </w:t>
      </w:r>
      <w:r w:rsidRPr="00286A88">
        <w:rPr>
          <w:rFonts w:cs="Times New Roman"/>
          <w:lang w:val="en-AU" w:eastAsia="en-AU"/>
        </w:rPr>
        <w:t xml:space="preserve">a positive relationship with stocking density, especially at the end of the grow-out period (Arnould and Faure, 2004; Hepworth et al., 2010; Ventura et al., 2010; </w:t>
      </w:r>
      <w:r w:rsidRPr="00286A88">
        <w:rPr>
          <w:rFonts w:cs="Arial-BoldMT"/>
          <w:bCs/>
          <w:lang w:val="en-AU" w:eastAsia="en-AU"/>
        </w:rPr>
        <w:t xml:space="preserve">Sun et al., 2013; </w:t>
      </w:r>
      <w:r w:rsidRPr="00286A88">
        <w:rPr>
          <w:rFonts w:eastAsia="ComputerModern-Regular" w:cs="ComputerModern-Regular"/>
          <w:lang w:val="en-AU" w:eastAsia="en-AU"/>
        </w:rPr>
        <w:t>Zhao et al., 2013</w:t>
      </w:r>
      <w:r w:rsidRPr="00286A88">
        <w:rPr>
          <w:rFonts w:cs="Times New Roman"/>
          <w:lang w:val="en-AU" w:eastAsia="en-AU"/>
        </w:rPr>
        <w:t>).</w:t>
      </w:r>
    </w:p>
    <w:p w14:paraId="74E7832E" w14:textId="77777777" w:rsidR="00286A88" w:rsidRPr="00286A88" w:rsidRDefault="00286A88" w:rsidP="006968F5">
      <w:pPr>
        <w:rPr>
          <w:rFonts w:cs="Arial"/>
          <w:lang w:val="en-AU" w:eastAsia="en-GB"/>
        </w:rPr>
      </w:pPr>
      <w:r w:rsidRPr="00286A88">
        <w:rPr>
          <w:lang w:val="en-AU" w:eastAsia="en-AU"/>
        </w:rPr>
        <w:t xml:space="preserve">An effect of hatchery on HB has been identified (Haslam et al., 2007). </w:t>
      </w:r>
      <w:r w:rsidRPr="00286A88">
        <w:rPr>
          <w:rFonts w:cs="CMR10"/>
          <w:lang w:val="en-AU" w:eastAsia="en-AU"/>
        </w:rPr>
        <w:t>Broilers incubated at higher temperatures (39-40</w:t>
      </w:r>
      <w:r w:rsidR="0093306E">
        <w:rPr>
          <w:rFonts w:cs="CMR10"/>
          <w:lang w:val="en-AU" w:eastAsia="en-AU"/>
        </w:rPr>
        <w:t> </w:t>
      </w:r>
      <w:r w:rsidRPr="00286A88">
        <w:rPr>
          <w:rFonts w:cs="CMR10"/>
          <w:lang w:val="en-AU" w:eastAsia="en-AU"/>
        </w:rPr>
        <w:t xml:space="preserve">°C) had a greater severity of HB (Ipek and Sozcu, 2016). </w:t>
      </w:r>
      <w:r w:rsidRPr="00286A88">
        <w:rPr>
          <w:lang w:val="en-AU" w:eastAsia="en-AU"/>
        </w:rPr>
        <w:t>Although e</w:t>
      </w:r>
      <w:r w:rsidRPr="00286A88">
        <w:rPr>
          <w:rFonts w:cs="Arial"/>
          <w:lang w:val="en-AU" w:eastAsia="en-GB"/>
        </w:rPr>
        <w:t>gg weight was not seen to influence HB (Kjaer et al., 2006), l</w:t>
      </w:r>
      <w:r w:rsidRPr="00286A88">
        <w:rPr>
          <w:rFonts w:cs="CMR10"/>
          <w:lang w:val="en-AU" w:eastAsia="en-AU"/>
        </w:rPr>
        <w:t xml:space="preserve">ow hatching weight appeared to reduce the risk of later developing HB. Broilers originating from young parent breeders, particularly those with low hatching weight, had lower HB scores compared to broilers originating from older parents; however, increasing brooding temperature (37 vs 33 °C) during the first week post-hatch, increased activity, delayed body weight gain, and reduced the incidence of HB at 5 weeks in both high and low hatching weight chicks (Henriksen et al., 2016). </w:t>
      </w:r>
      <w:r w:rsidRPr="00286A88">
        <w:rPr>
          <w:rFonts w:eastAsia="ComputerModern-Regular" w:cs="ComputerModern-Regular"/>
          <w:lang w:val="en-AU" w:eastAsia="en-AU"/>
        </w:rPr>
        <w:t xml:space="preserve">The identification of significant between-line differences in the prevalence of (severe) FPD and HB indicates that the </w:t>
      </w:r>
      <w:r w:rsidRPr="00286A88">
        <w:rPr>
          <w:rFonts w:cs="UVCharter-Regular"/>
          <w:lang w:val="en-AU" w:eastAsia="en-AU"/>
        </w:rPr>
        <w:t>susceptibility to developing these pathologies has a genetic basis</w:t>
      </w:r>
      <w:r w:rsidRPr="00286A88">
        <w:rPr>
          <w:rFonts w:eastAsia="ComputerModern-Regular" w:cs="ComputerModern-Regular"/>
          <w:lang w:val="en-AU" w:eastAsia="en-AU"/>
        </w:rPr>
        <w:t>. This genetic variation has been verified by heritability estimates as follows: HB: 0.08 (Kjaer et al., 2006); 0.17 (Arᶄas et al., 2009); 0.10 (Ask, 2010); FPD: 0.3 (Kjaer et al., 2006); 0.34 (</w:t>
      </w:r>
      <w:r w:rsidR="0080479D">
        <w:rPr>
          <w:rFonts w:eastAsia="ComputerModern-Regular" w:cs="ComputerModern-Regular"/>
          <w:lang w:val="en-AU" w:eastAsia="en-AU"/>
        </w:rPr>
        <w:t xml:space="preserve">Akbas </w:t>
      </w:r>
      <w:r w:rsidRPr="00286A88">
        <w:rPr>
          <w:rFonts w:eastAsia="ComputerModern-Regular" w:cs="ComputerModern-Regular"/>
          <w:lang w:val="en-AU" w:eastAsia="en-AU"/>
        </w:rPr>
        <w:t>et al., 2009); 0.08 and 0.21 (Ask, 2010); 0.78-0.82 (Kappell et al., 2012). The existence of non-significant genetic correlations between FPD, HB and body weight suggest that a genetic improvement in both FPD and HB could be achieved simultaneously while enabling further improvements in production parameters (Kjaer et al., 2006; Ask, 2010)</w:t>
      </w:r>
      <w:r w:rsidRPr="00286A88">
        <w:rPr>
          <w:rFonts w:cs="Arial"/>
          <w:lang w:val="en-AU" w:eastAsia="en-GB"/>
        </w:rPr>
        <w:t>.</w:t>
      </w:r>
    </w:p>
    <w:p w14:paraId="70A0826E" w14:textId="77777777" w:rsidR="00286A88" w:rsidRPr="00286A88" w:rsidRDefault="00286A88" w:rsidP="006968F5">
      <w:pPr>
        <w:pStyle w:val="Heading41"/>
      </w:pPr>
      <w:r w:rsidRPr="00286A88">
        <w:t>B3.4c Breastburn and breast blisters</w:t>
      </w:r>
    </w:p>
    <w:p w14:paraId="58B8A694" w14:textId="77777777" w:rsidR="00286A88" w:rsidRPr="00286A88" w:rsidRDefault="00286A88" w:rsidP="006968F5">
      <w:pPr>
        <w:rPr>
          <w:lang w:val="en-AU" w:eastAsia="en-AU"/>
        </w:rPr>
      </w:pPr>
      <w:r w:rsidRPr="00286A88">
        <w:rPr>
          <w:lang w:val="en-AU" w:eastAsia="en-AU"/>
        </w:rPr>
        <w:t>Breastburn is a contact dermatitis found on the skin overlying the sternum; it is much less frequently seen than FPD or HB and, as a consequence, remains comparatively understudied. Breast blisters (or keel cysts) are an enlargement of the sterna bursa, which is a naturally occurring structure in chickens. The overlaying skin becomes softened and sometimes discoloured; it may show as a raised fluid-filled blister or it may be broken, infected and ‘sticky’ (Welfare Quality®, 2009).</w:t>
      </w:r>
    </w:p>
    <w:p w14:paraId="3EDB55E8" w14:textId="77777777" w:rsidR="00286A88" w:rsidRPr="00C5168E" w:rsidRDefault="00286A88" w:rsidP="00C5168E">
      <w:pPr>
        <w:spacing w:before="180"/>
        <w:rPr>
          <w:b/>
          <w:i/>
        </w:rPr>
      </w:pPr>
      <w:r w:rsidRPr="00C5168E">
        <w:rPr>
          <w:b/>
          <w:i/>
        </w:rPr>
        <w:t>Scoring and prevalence</w:t>
      </w:r>
    </w:p>
    <w:p w14:paraId="7F7B6C76" w14:textId="77777777" w:rsidR="00286A88" w:rsidRDefault="00286A88" w:rsidP="006968F5">
      <w:pPr>
        <w:rPr>
          <w:rFonts w:cs="AdvTimes"/>
          <w:lang w:val="en-AU" w:eastAsia="en-AU"/>
        </w:rPr>
      </w:pPr>
      <w:r w:rsidRPr="00286A88">
        <w:rPr>
          <w:lang w:val="en-AU" w:eastAsia="en-AU"/>
        </w:rPr>
        <w:t>The presence of breastburn and severe HB has been positively correlated</w:t>
      </w:r>
      <w:r w:rsidRPr="00286A88">
        <w:rPr>
          <w:rFonts w:cs="AdvTimes"/>
          <w:lang w:val="en-AU" w:eastAsia="en-AU"/>
        </w:rPr>
        <w:t xml:space="preserve"> (</w:t>
      </w:r>
      <w:r w:rsidRPr="00286A88">
        <w:rPr>
          <w:lang w:val="en-AU" w:eastAsia="en-AU"/>
        </w:rPr>
        <w:t>Allain et al., 2009</w:t>
      </w:r>
      <w:r w:rsidRPr="00286A88">
        <w:rPr>
          <w:rFonts w:cs="AdvTimes"/>
          <w:lang w:val="en-AU" w:eastAsia="en-AU"/>
        </w:rPr>
        <w:t xml:space="preserve">). </w:t>
      </w:r>
      <w:r w:rsidRPr="00286A88">
        <w:rPr>
          <w:rFonts w:cs="Times New Roman"/>
          <w:lang w:val="en-AU" w:eastAsia="en-AU"/>
        </w:rPr>
        <w:t xml:space="preserve">Prevalence has been reported as: 0-0.12% (UK: </w:t>
      </w:r>
      <w:r w:rsidRPr="00286A88">
        <w:rPr>
          <w:lang w:val="en-AU" w:eastAsia="en-AU"/>
        </w:rPr>
        <w:t xml:space="preserve">Haslam et al., 2007), </w:t>
      </w:r>
      <w:r w:rsidRPr="00286A88">
        <w:rPr>
          <w:rFonts w:cs="Times New Roman"/>
          <w:lang w:val="en-AU" w:eastAsia="en-AU"/>
        </w:rPr>
        <w:t xml:space="preserve">16% (France: Allain et al., 2009), and 18% (Portugal: </w:t>
      </w:r>
      <w:r w:rsidRPr="00286A88">
        <w:rPr>
          <w:rFonts w:cs="GillSans-Italic"/>
          <w:iCs/>
          <w:lang w:val="en-AU" w:eastAsia="en-AU"/>
        </w:rPr>
        <w:t>Gouveia et al., 2009); all studies employed a b</w:t>
      </w:r>
      <w:r w:rsidRPr="00286A88">
        <w:rPr>
          <w:rFonts w:cs="Times New Roman"/>
          <w:lang w:val="en-AU" w:eastAsia="en-AU"/>
        </w:rPr>
        <w:t>inary scoring system (present/absent).</w:t>
      </w:r>
      <w:r w:rsidRPr="00286A88">
        <w:rPr>
          <w:rFonts w:cs="AdvTimes"/>
          <w:lang w:val="en-AU" w:eastAsia="en-AU"/>
        </w:rPr>
        <w:t xml:space="preserve"> Studies on breast blisters have employed a binary scoring system based upon blister size (0: not present or blister measuring &lt;0.5 cm</w:t>
      </w:r>
      <w:r w:rsidRPr="00286A88">
        <w:rPr>
          <w:rFonts w:cs="AdvTimes"/>
          <w:vertAlign w:val="superscript"/>
          <w:lang w:val="en-AU" w:eastAsia="en-AU"/>
        </w:rPr>
        <w:t>2</w:t>
      </w:r>
      <w:r w:rsidRPr="00286A88">
        <w:rPr>
          <w:rFonts w:cs="AdvTimes"/>
          <w:lang w:val="en-AU" w:eastAsia="en-AU"/>
        </w:rPr>
        <w:t>; 1: blister measuring ≥0.5 cm</w:t>
      </w:r>
      <w:r w:rsidRPr="00286A88">
        <w:rPr>
          <w:rFonts w:cs="AdvTimes"/>
          <w:vertAlign w:val="superscript"/>
          <w:lang w:val="en-AU" w:eastAsia="en-AU"/>
        </w:rPr>
        <w:t>2</w:t>
      </w:r>
      <w:r w:rsidRPr="00286A88">
        <w:rPr>
          <w:rFonts w:cs="AdvTimes"/>
          <w:lang w:val="en-AU" w:eastAsia="en-AU"/>
        </w:rPr>
        <w:t xml:space="preserve">, </w:t>
      </w:r>
      <w:r w:rsidRPr="00286A88">
        <w:rPr>
          <w:rFonts w:cs="Times New Roman"/>
          <w:lang w:val="en-AU" w:eastAsia="en-AU"/>
        </w:rPr>
        <w:t>Allain et al., 2009) and a 3-point severity scale (0: no blisters; 1: small and colourless blisters; 2: large or dark coloured blisters, Nielsen, 2004).</w:t>
      </w:r>
      <w:r w:rsidRPr="00286A88">
        <w:rPr>
          <w:lang w:val="en-AU" w:eastAsia="en-AU"/>
        </w:rPr>
        <w:t xml:space="preserve"> The scoring system currently in use on-farm as part of the Welfare Quality® Assessment protocol for poultry comprises a binary scale to record breast blister presence or absence (0: no evidence of breast blister; 1: evidence of breast blister) and utilises photographic images for reference (Figure B3). </w:t>
      </w:r>
      <w:r w:rsidRPr="00286A88">
        <w:rPr>
          <w:rFonts w:cs="Times New Roman"/>
          <w:lang w:val="en-AU" w:eastAsia="en-AU"/>
        </w:rPr>
        <w:t xml:space="preserve">The only recent study to report breast blister prevalence observed a mean of 4% in France (Allain et al., 2009); </w:t>
      </w:r>
      <w:r w:rsidRPr="00286A88">
        <w:rPr>
          <w:lang w:val="en-AU" w:eastAsia="en-AU"/>
        </w:rPr>
        <w:t>however, substantial inter-flock variation was evident (0-&gt;10%). This study observed a negative correlation to exist between: (i) the presence of breast blisters and deep HB, and (ii) the presence of breast blisters and deep FPD (Allain et al., 2009</w:t>
      </w:r>
      <w:r w:rsidRPr="00286A88">
        <w:rPr>
          <w:rFonts w:cs="AdvTimes"/>
          <w:lang w:val="en-AU" w:eastAsia="en-AU"/>
        </w:rPr>
        <w:t>), presumably reflecting the body parts most often in contact with the floor.</w:t>
      </w:r>
    </w:p>
    <w:p w14:paraId="3CFCDA23" w14:textId="77777777" w:rsidR="006968F5" w:rsidRPr="00286A88" w:rsidRDefault="006968F5" w:rsidP="006968F5">
      <w:pPr>
        <w:rPr>
          <w:lang w:val="en-AU" w:eastAsia="en-AU"/>
        </w:rPr>
      </w:pPr>
    </w:p>
    <w:p w14:paraId="4B494083" w14:textId="77777777" w:rsidR="00286A88" w:rsidRPr="00286A88" w:rsidRDefault="00286A88" w:rsidP="00286A88">
      <w:pPr>
        <w:autoSpaceDE w:val="0"/>
        <w:autoSpaceDN w:val="0"/>
        <w:adjustRightInd w:val="0"/>
        <w:spacing w:after="0" w:line="240" w:lineRule="auto"/>
        <w:contextualSpacing/>
        <w:jc w:val="center"/>
        <w:rPr>
          <w:rFonts w:ascii="AdvP4CD4D0" w:eastAsia="Times New Roman" w:hAnsi="AdvP4CD4D0" w:cs="AdvP4CD4D0"/>
          <w:noProof/>
          <w:color w:val="000000"/>
          <w:sz w:val="21"/>
          <w:szCs w:val="21"/>
          <w:lang w:val="en-AU" w:eastAsia="en-GB"/>
        </w:rPr>
      </w:pPr>
      <w:r w:rsidRPr="00286A88">
        <w:rPr>
          <w:rFonts w:ascii="AdvP4CD4D0" w:eastAsia="Times New Roman" w:hAnsi="AdvP4CD4D0" w:cs="AdvP4CD4D0"/>
          <w:noProof/>
          <w:color w:val="000000"/>
          <w:sz w:val="21"/>
          <w:szCs w:val="21"/>
          <w:lang w:val="en-AU" w:eastAsia="en-AU"/>
        </w:rPr>
        <w:drawing>
          <wp:inline distT="0" distB="0" distL="0" distR="0" wp14:anchorId="6BBFCBF5" wp14:editId="38005DEE">
            <wp:extent cx="2880360" cy="2019300"/>
            <wp:effectExtent l="0" t="0" r="0" b="0"/>
            <wp:docPr id="21" name="Picture 6" descr="This figure shows two photographs used as references to score the presence or absence of breast blisters in broilers. Th e photograph on the left shows the absence of breast blisters. The photograph on the right shows the presence of breast blisters. This binary scoring system is used on-farm as part of the Welfare Quality® Assessment protocol for poultry.&#10;" title="Figure B3: Two point binary scale (0-1) for recording the presence or absence of breast blisters in broi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srcRect/>
                    <a:stretch>
                      <a:fillRect/>
                    </a:stretch>
                  </pic:blipFill>
                  <pic:spPr bwMode="auto">
                    <a:xfrm>
                      <a:off x="0" y="0"/>
                      <a:ext cx="2880360" cy="2019300"/>
                    </a:xfrm>
                    <a:prstGeom prst="rect">
                      <a:avLst/>
                    </a:prstGeom>
                    <a:noFill/>
                    <a:ln w="9525">
                      <a:noFill/>
                      <a:miter lim="800000"/>
                      <a:headEnd/>
                      <a:tailEnd/>
                    </a:ln>
                  </pic:spPr>
                </pic:pic>
              </a:graphicData>
            </a:graphic>
          </wp:inline>
        </w:drawing>
      </w:r>
    </w:p>
    <w:p w14:paraId="543CCC96" w14:textId="77777777" w:rsidR="00286A88" w:rsidRPr="006968F5" w:rsidRDefault="00286A88" w:rsidP="006968F5">
      <w:pPr>
        <w:spacing w:before="240" w:after="240"/>
        <w:rPr>
          <w:b/>
          <w:lang w:val="en-AU" w:eastAsia="en-AU"/>
        </w:rPr>
      </w:pPr>
      <w:r w:rsidRPr="006968F5">
        <w:rPr>
          <w:b/>
          <w:lang w:val="en-AU" w:eastAsia="en-AU"/>
        </w:rPr>
        <w:t>Figure B3: Two point binary scale (0-1) for recording the presence or absence of breast blisters in broilers (Welfare Quality®, 2009)</w:t>
      </w:r>
    </w:p>
    <w:p w14:paraId="3B817F05" w14:textId="77777777" w:rsidR="00286A88" w:rsidRPr="00C5168E" w:rsidRDefault="00286A88" w:rsidP="00C5168E">
      <w:pPr>
        <w:spacing w:before="180"/>
        <w:rPr>
          <w:b/>
          <w:i/>
        </w:rPr>
      </w:pPr>
      <w:r w:rsidRPr="00C5168E">
        <w:rPr>
          <w:b/>
          <w:i/>
        </w:rPr>
        <w:t>Risk factors</w:t>
      </w:r>
    </w:p>
    <w:p w14:paraId="71F2A533" w14:textId="77777777" w:rsidR="00286A88" w:rsidRPr="00286A88" w:rsidRDefault="00286A88" w:rsidP="006968F5">
      <w:pPr>
        <w:rPr>
          <w:iCs/>
          <w:lang w:val="en-AU" w:eastAsia="en-AU"/>
        </w:rPr>
      </w:pPr>
      <w:r w:rsidRPr="00286A88">
        <w:rPr>
          <w:iCs/>
          <w:lang w:val="en-AU" w:eastAsia="en-AU"/>
        </w:rPr>
        <w:t xml:space="preserve">Male broilers have been found to be more predisposed to breastburn than females (Gouveia et al., 2009). </w:t>
      </w:r>
      <w:r w:rsidRPr="00286A88">
        <w:rPr>
          <w:rFonts w:cs="TimesNewRomanPSMT"/>
          <w:lang w:val="en-AU" w:eastAsia="en-AU"/>
        </w:rPr>
        <w:t xml:space="preserve">In a fast-growing breed </w:t>
      </w:r>
      <w:r w:rsidRPr="00286A88">
        <w:rPr>
          <w:rFonts w:cs="AdvP4CD4D0"/>
          <w:lang w:val="en-AU" w:eastAsia="en-AU"/>
        </w:rPr>
        <w:t>Zhao et al. (2009) observed no</w:t>
      </w:r>
      <w:r w:rsidRPr="00286A88">
        <w:rPr>
          <w:rFonts w:cs="TimesNewRomanPSMT"/>
          <w:lang w:val="en-AU" w:eastAsia="en-AU"/>
        </w:rPr>
        <w:t xml:space="preserve"> sex-related difference in breast blister incidence; however, slow-grow </w:t>
      </w:r>
      <w:r w:rsidRPr="00286A88">
        <w:rPr>
          <w:rFonts w:cs="AdvP4CD4D0"/>
          <w:lang w:val="en-AU" w:eastAsia="en-AU"/>
        </w:rPr>
        <w:t>males housed in an extensive system were seen to have a higher incidence of breast blisters than females (</w:t>
      </w:r>
      <w:r w:rsidRPr="00286A88">
        <w:rPr>
          <w:rFonts w:cs="Times-Bold"/>
          <w:bCs/>
          <w:lang w:val="en-AU" w:eastAsia="en-AU"/>
        </w:rPr>
        <w:t xml:space="preserve">Nielsen, 2004). </w:t>
      </w:r>
      <w:r w:rsidRPr="00286A88">
        <w:rPr>
          <w:rFonts w:cs="AdvTimes"/>
          <w:lang w:val="en-AU" w:eastAsia="en-AU"/>
        </w:rPr>
        <w:t>A slower-growing genotype was reported as having a greater prevalence of breast blisters than a fast-growing genotype (</w:t>
      </w:r>
      <w:r w:rsidRPr="00286A88">
        <w:rPr>
          <w:rFonts w:cs="AdvP4CD4D0"/>
          <w:lang w:val="en-AU" w:eastAsia="en-AU"/>
        </w:rPr>
        <w:t>Allain et al., 2009</w:t>
      </w:r>
      <w:r w:rsidRPr="00286A88">
        <w:rPr>
          <w:rFonts w:cs="AdvTimes"/>
          <w:lang w:val="en-AU" w:eastAsia="en-AU"/>
        </w:rPr>
        <w:t xml:space="preserve">). When two slow-grow strains were compared </w:t>
      </w:r>
      <w:r w:rsidRPr="00286A88">
        <w:rPr>
          <w:rFonts w:cs="AdvP4CD4D0"/>
          <w:lang w:val="en-AU" w:eastAsia="en-AU"/>
        </w:rPr>
        <w:t>Labresse broilers were more likely to develop breast blisters than Hubbard ISA i657 broilers (</w:t>
      </w:r>
      <w:r w:rsidRPr="00286A88">
        <w:rPr>
          <w:rFonts w:cs="Times-Bold"/>
          <w:bCs/>
          <w:lang w:val="en-AU" w:eastAsia="en-AU"/>
        </w:rPr>
        <w:t>Nielsen, 2004).</w:t>
      </w:r>
    </w:p>
    <w:p w14:paraId="04B89330" w14:textId="77777777" w:rsidR="00286A88" w:rsidRPr="00286A88" w:rsidRDefault="00286A88" w:rsidP="006968F5">
      <w:pPr>
        <w:rPr>
          <w:rFonts w:cs="AdvP4CD4D0"/>
          <w:lang w:val="en-AU" w:eastAsia="en-AU"/>
        </w:rPr>
      </w:pPr>
      <w:r w:rsidRPr="00286A88">
        <w:rPr>
          <w:rFonts w:cs="FrutigerLTStd-Light"/>
          <w:lang w:val="en-AU" w:eastAsia="en-AU"/>
        </w:rPr>
        <w:t xml:space="preserve">Litter moisture was positively correlated to breastburn incidence between 21-36 days in a recent study (de </w:t>
      </w:r>
      <w:r w:rsidRPr="00E144DF">
        <w:t>Jong et al., 2014), whereas an earlier study observed no link between the percentage of birds with breastburn and litter quality</w:t>
      </w:r>
      <w:r w:rsidRPr="00286A88">
        <w:rPr>
          <w:rFonts w:cs="AdvP4CD4D0"/>
          <w:lang w:val="en-AU" w:eastAsia="en-AU"/>
        </w:rPr>
        <w:t xml:space="preserve">, or average ammonia concentrations (Haslam et al., 2006). This study also failed to ascertain an association between stocking density and breastburn (Haslam et al., 2006). The occurrence of breast blisters has been positively correlated with stocking density (Allain et al., 2009; Zhao et al., 2009). There is very little information on which litter materials are risk factors, if any, but </w:t>
      </w:r>
      <w:r w:rsidRPr="00286A88">
        <w:rPr>
          <w:rFonts w:cs="Arial"/>
          <w:bCs/>
          <w:lang w:val="en-AU" w:eastAsia="en-AU"/>
        </w:rPr>
        <w:t xml:space="preserve">Santiago et al. (2006) reported the use of rice hulls alone, or with recycled paper products, had no influence on breast blister score. </w:t>
      </w:r>
      <w:r w:rsidRPr="00286A88">
        <w:rPr>
          <w:rFonts w:cs="TimesNewRomanPSMT"/>
          <w:lang w:val="en-AU" w:eastAsia="en-AU"/>
        </w:rPr>
        <w:t>In cage-reared broilers floor-type appears to be important in breast blister formation; the occurrence of breast blisters was significantly higher in cages with wire netting than in those with plastic or bamboo slats (</w:t>
      </w:r>
      <w:r w:rsidRPr="00286A88">
        <w:rPr>
          <w:rFonts w:cs="AdvP4CD4D0"/>
          <w:lang w:val="en-AU" w:eastAsia="en-AU"/>
        </w:rPr>
        <w:t>Zhao et al., 2009). A positive association between perch access and severe breast blisters was reported for a strain of slow-growing broiler (</w:t>
      </w:r>
      <w:r w:rsidRPr="00286A88">
        <w:rPr>
          <w:rFonts w:cs="Times-Bold"/>
          <w:bCs/>
          <w:lang w:val="en-AU" w:eastAsia="en-AU"/>
        </w:rPr>
        <w:t>Nielsen, 2004); however, as the birds didn’t use the perches very much the association is unlikely to be direct.</w:t>
      </w:r>
    </w:p>
    <w:p w14:paraId="37F33D14" w14:textId="77777777" w:rsidR="00286A88" w:rsidRPr="00286A88" w:rsidRDefault="00286A88" w:rsidP="006968F5">
      <w:pPr>
        <w:pStyle w:val="Heading41"/>
      </w:pPr>
      <w:r w:rsidRPr="00286A88">
        <w:t>B3.4d Welfare impact of dermatitis</w:t>
      </w:r>
    </w:p>
    <w:p w14:paraId="097AFB4A" w14:textId="77777777" w:rsidR="00286A88" w:rsidRPr="00286A88" w:rsidRDefault="00286A88" w:rsidP="006968F5">
      <w:pPr>
        <w:rPr>
          <w:rFonts w:cs="GillSans-Italic"/>
          <w:iCs/>
          <w:lang w:val="en-AU" w:eastAsia="en-AU"/>
        </w:rPr>
      </w:pPr>
      <w:r w:rsidRPr="00286A88">
        <w:rPr>
          <w:lang w:val="en-AU" w:eastAsia="en-AU"/>
        </w:rPr>
        <w:t>Although there is no evidence for a</w:t>
      </w:r>
      <w:r w:rsidRPr="00286A88">
        <w:rPr>
          <w:b/>
          <w:lang w:val="en-AU" w:eastAsia="en-AU"/>
        </w:rPr>
        <w:t xml:space="preserve"> </w:t>
      </w:r>
      <w:r w:rsidRPr="00286A88">
        <w:rPr>
          <w:rFonts w:eastAsia="ComputerModern-Regular" w:cs="ComputerModern-Regular"/>
          <w:lang w:val="en-AU" w:eastAsia="en-AU"/>
        </w:rPr>
        <w:t>relationship between contact dermatitis and mortality (de Jong et al., 2012b),</w:t>
      </w:r>
      <w:r w:rsidRPr="00286A88">
        <w:rPr>
          <w:lang w:val="en-AU" w:eastAsia="en-AU"/>
        </w:rPr>
        <w:t xml:space="preserve"> the lesions can become infected with a variety of bacteria. </w:t>
      </w:r>
      <w:r w:rsidRPr="00286A88">
        <w:rPr>
          <w:rFonts w:cs="AdvP4CD4D0"/>
          <w:lang w:val="en-AU" w:eastAsia="en-AU"/>
        </w:rPr>
        <w:t xml:space="preserve">In broilers, both FPD and HB are associated with an increased incidence and severity of </w:t>
      </w:r>
      <w:r w:rsidRPr="00286A88">
        <w:rPr>
          <w:rFonts w:cs="AdvP4CD4D4"/>
          <w:i/>
          <w:lang w:val="en-AU" w:eastAsia="en-AU"/>
        </w:rPr>
        <w:t>Campylobacter</w:t>
      </w:r>
      <w:r w:rsidRPr="00286A88">
        <w:rPr>
          <w:rFonts w:cs="AdvP4CD4D4"/>
          <w:lang w:val="en-AU" w:eastAsia="en-AU"/>
        </w:rPr>
        <w:t xml:space="preserve"> </w:t>
      </w:r>
      <w:r w:rsidRPr="00286A88">
        <w:rPr>
          <w:rFonts w:cs="AdvP4CD4D0"/>
          <w:lang w:val="en-AU" w:eastAsia="en-AU"/>
        </w:rPr>
        <w:t xml:space="preserve">infection (Bull </w:t>
      </w:r>
      <w:r w:rsidRPr="00286A88">
        <w:rPr>
          <w:rFonts w:cs="AdvP4CD4D4"/>
          <w:lang w:val="en-AU" w:eastAsia="en-AU"/>
        </w:rPr>
        <w:t>et al</w:t>
      </w:r>
      <w:r w:rsidRPr="00286A88">
        <w:rPr>
          <w:rFonts w:cs="AdvP4CD4D0"/>
          <w:lang w:val="en-AU" w:eastAsia="en-AU"/>
        </w:rPr>
        <w:t xml:space="preserve">., 2008; Rushton </w:t>
      </w:r>
      <w:r w:rsidRPr="00286A88">
        <w:rPr>
          <w:rFonts w:cs="AdvP4CD4D4"/>
          <w:lang w:val="en-AU" w:eastAsia="en-AU"/>
        </w:rPr>
        <w:t>et al</w:t>
      </w:r>
      <w:r w:rsidRPr="00286A88">
        <w:rPr>
          <w:rFonts w:cs="AdvP4CD4D0"/>
          <w:lang w:val="en-AU" w:eastAsia="en-AU"/>
        </w:rPr>
        <w:t xml:space="preserve">., 2009). </w:t>
      </w:r>
      <w:r w:rsidRPr="00286A88">
        <w:rPr>
          <w:lang w:val="en-AU" w:eastAsia="en-AU"/>
        </w:rPr>
        <w:t>Hepworth et al. (2011) report HB to be a useful indicator of flock health</w:t>
      </w:r>
      <w:r w:rsidRPr="00286A88">
        <w:rPr>
          <w:rFonts w:cs="ATSchneidlerMediaeval"/>
          <w:lang w:val="en-AU" w:eastAsia="en-AU"/>
        </w:rPr>
        <w:t xml:space="preserve">; HB was positively associated with the percentage of birds with septicaemia and fever, detected post-mortem. </w:t>
      </w:r>
      <w:r w:rsidRPr="00286A88">
        <w:rPr>
          <w:rFonts w:cs="FrutigerLTStd-Light"/>
          <w:lang w:val="en-AU" w:eastAsia="en-AU"/>
        </w:rPr>
        <w:t xml:space="preserve">De </w:t>
      </w:r>
      <w:r w:rsidRPr="00E144DF">
        <w:t>Jong et al. (2014</w:t>
      </w:r>
      <w:r w:rsidRPr="00286A88">
        <w:rPr>
          <w:rFonts w:cs="FrutigerLTStd-Light"/>
          <w:lang w:val="en-AU" w:eastAsia="en-AU"/>
        </w:rPr>
        <w:t>) observed reductions in production parameters (including body weight) and walking ability (increased GS) in broilers reared on wet litter. As FPD was also increased on wet litter the authors hypothesise that birds with deep or infected lesions may have experienced pain and consequently fed and drunk less due to inappetance (</w:t>
      </w:r>
      <w:r w:rsidRPr="00E144DF">
        <w:t>de Jong et al., 2014</w:t>
      </w:r>
      <w:r w:rsidRPr="00286A88">
        <w:rPr>
          <w:rFonts w:cs="FrutigerLTStd-Light"/>
          <w:lang w:val="en-AU" w:eastAsia="en-AU"/>
        </w:rPr>
        <w:t xml:space="preserve">). </w:t>
      </w:r>
      <w:r w:rsidRPr="00286A88">
        <w:rPr>
          <w:rFonts w:eastAsia="ComputerModern-Regular" w:cs="ComputerModern-Regular"/>
          <w:lang w:val="en-AU" w:eastAsia="en-AU"/>
        </w:rPr>
        <w:t xml:space="preserve">Sherlock </w:t>
      </w:r>
      <w:r w:rsidRPr="00286A88">
        <w:rPr>
          <w:rFonts w:cs="Arial"/>
          <w:bCs/>
          <w:lang w:val="en-AU" w:eastAsia="en-AU"/>
        </w:rPr>
        <w:t xml:space="preserve">et al. (2012) </w:t>
      </w:r>
      <w:r w:rsidRPr="00286A88">
        <w:rPr>
          <w:rFonts w:cs="AdvP4CD4D0"/>
          <w:lang w:val="en-AU" w:eastAsia="en-AU"/>
        </w:rPr>
        <w:t>compared global hepatic gene expression in control birds and in those with experimentally induced FPD and HB lesions and report evidence for the inflammatory reaction to impact upon key pathways linked with growth, metabolism and energy utilisation. The authors hypothesise that pain may be the underlying trigger for the up-regulation of genes linked to a pro-inflammatory response and energy metabolism</w:t>
      </w:r>
      <w:r w:rsidRPr="00286A88">
        <w:rPr>
          <w:rFonts w:eastAsia="ComputerModern-Regular" w:cs="ComputerModern-Regular"/>
          <w:lang w:val="en-AU" w:eastAsia="en-AU"/>
        </w:rPr>
        <w:t xml:space="preserve"> (Sherlock </w:t>
      </w:r>
      <w:r w:rsidRPr="00286A88">
        <w:rPr>
          <w:rFonts w:cs="Arial"/>
          <w:bCs/>
          <w:lang w:val="en-AU" w:eastAsia="en-AU"/>
        </w:rPr>
        <w:t xml:space="preserve">et al., 2012). Further evidence for FPD having a pain component is provided by </w:t>
      </w:r>
      <w:r w:rsidRPr="00286A88">
        <w:rPr>
          <w:rFonts w:cs="GillSans-Italic"/>
          <w:iCs/>
          <w:lang w:val="en-AU" w:eastAsia="en-AU"/>
        </w:rPr>
        <w:t>Hothersall et al. (2016); LTL performance was negatively associated with FPD score, and standing ability was improved following treatment with two different NSAIDs.</w:t>
      </w:r>
    </w:p>
    <w:p w14:paraId="4E070340" w14:textId="77777777" w:rsidR="00286A88" w:rsidRPr="00286A88" w:rsidRDefault="00286A88" w:rsidP="006968F5">
      <w:pPr>
        <w:pStyle w:val="Heading3"/>
        <w:rPr>
          <w:lang w:val="en-AU" w:eastAsia="en-AU"/>
        </w:rPr>
      </w:pPr>
      <w:bookmarkStart w:id="99" w:name="_Toc495310568"/>
      <w:r w:rsidRPr="00286A88">
        <w:rPr>
          <w:lang w:val="en-AU" w:eastAsia="en-AU"/>
        </w:rPr>
        <w:t>B3.5 Parasitic infections</w:t>
      </w:r>
      <w:bookmarkEnd w:id="99"/>
    </w:p>
    <w:p w14:paraId="7E147F05" w14:textId="77777777" w:rsidR="00286A88" w:rsidRPr="006968F5" w:rsidRDefault="00286A88" w:rsidP="006968F5">
      <w:pPr>
        <w:rPr>
          <w:rFonts w:cs="AdvOT6af9549b"/>
          <w:i/>
          <w:color w:val="000000"/>
          <w:lang w:val="en-AU" w:eastAsia="en-AU"/>
        </w:rPr>
      </w:pPr>
      <w:r w:rsidRPr="006968F5">
        <w:rPr>
          <w:rFonts w:cs="Times New Roman"/>
          <w:i/>
          <w:lang w:val="en-AU" w:eastAsia="en-AU"/>
        </w:rPr>
        <w:t>Coccidiosis (</w:t>
      </w:r>
      <w:r w:rsidRPr="006968F5">
        <w:rPr>
          <w:i/>
          <w:lang w:val="en-AU" w:eastAsia="en-AU"/>
        </w:rPr>
        <w:t>protozoa) is a major cause of gut disease in broilers, usually managed by the inclusion of coccidiostats within the feed; however, mites and worms are less of a problem for indoor reared birds due to short broiler production cycles.</w:t>
      </w:r>
    </w:p>
    <w:p w14:paraId="7359DBAC" w14:textId="77777777" w:rsidR="00286A88" w:rsidRPr="00286A88" w:rsidRDefault="00286A88" w:rsidP="006968F5">
      <w:pPr>
        <w:pStyle w:val="Heading41"/>
      </w:pPr>
      <w:r w:rsidRPr="00286A88">
        <w:t>B3.5a Mites</w:t>
      </w:r>
    </w:p>
    <w:p w14:paraId="594D553C" w14:textId="77777777" w:rsidR="00286A88" w:rsidRPr="00286A88" w:rsidRDefault="00286A88" w:rsidP="006968F5">
      <w:pPr>
        <w:rPr>
          <w:lang w:val="en-AU" w:eastAsia="en-AU"/>
        </w:rPr>
      </w:pPr>
      <w:r w:rsidRPr="00286A88">
        <w:rPr>
          <w:lang w:val="en-AU" w:eastAsia="en-AU"/>
        </w:rPr>
        <w:t>Although common within laying hen facilities (see LH3.11a), arthropod parasites such as red mite (</w:t>
      </w:r>
      <w:r w:rsidRPr="00286A88">
        <w:rPr>
          <w:i/>
          <w:lang w:val="en-AU" w:eastAsia="en-AU"/>
        </w:rPr>
        <w:t>Dermanyssus gallinae</w:t>
      </w:r>
      <w:r w:rsidRPr="00286A88">
        <w:rPr>
          <w:lang w:val="en-AU" w:eastAsia="en-AU"/>
        </w:rPr>
        <w:t>) and the northern fowl mite (</w:t>
      </w:r>
      <w:r w:rsidRPr="00286A88">
        <w:rPr>
          <w:i/>
          <w:lang w:val="en-AU" w:eastAsia="en-AU"/>
        </w:rPr>
        <w:t>Ornithonyssus sylviarum</w:t>
      </w:r>
      <w:r w:rsidRPr="00286A88">
        <w:rPr>
          <w:lang w:val="en-AU" w:eastAsia="en-AU"/>
        </w:rPr>
        <w:t xml:space="preserve">), tend to cause fewer problems in broiler production (Sparangano et al., 2009), possibly due to short production cycles and extensive, repeated, house cleaning and </w:t>
      </w:r>
      <w:r w:rsidRPr="00286A88">
        <w:rPr>
          <w:rFonts w:cs="Arial"/>
          <w:lang w:val="en-AU" w:eastAsia="en-AU"/>
        </w:rPr>
        <w:t xml:space="preserve">acaricide </w:t>
      </w:r>
      <w:r w:rsidRPr="00286A88">
        <w:rPr>
          <w:lang w:val="en-AU" w:eastAsia="en-AU"/>
        </w:rPr>
        <w:t>treatments that occur between flocks. Systems which allow birds outdoors, grow the birds for longer, or have older wooden housing will be more at risk, but very little data exists regarding mite prevalence.</w:t>
      </w:r>
    </w:p>
    <w:p w14:paraId="06CBD377" w14:textId="77777777" w:rsidR="00286A88" w:rsidRPr="00286A88" w:rsidRDefault="00286A88" w:rsidP="006968F5">
      <w:pPr>
        <w:pStyle w:val="Heading41"/>
      </w:pPr>
      <w:r w:rsidRPr="00286A88">
        <w:t>B3.5b Coccidiosis</w:t>
      </w:r>
    </w:p>
    <w:p w14:paraId="547C2896" w14:textId="77777777" w:rsidR="00286A88" w:rsidRPr="00286A88" w:rsidRDefault="00286A88" w:rsidP="006968F5">
      <w:pPr>
        <w:rPr>
          <w:rFonts w:cs="Minion-Regular"/>
          <w:color w:val="000000"/>
          <w:lang w:val="en-AU" w:eastAsia="en-AU"/>
        </w:rPr>
      </w:pPr>
      <w:r w:rsidRPr="00286A88">
        <w:rPr>
          <w:lang w:val="en-AU" w:eastAsia="en-AU"/>
        </w:rPr>
        <w:t xml:space="preserve">Coccidiosis, caused by the </w:t>
      </w:r>
      <w:r w:rsidRPr="00286A88">
        <w:rPr>
          <w:rFonts w:cs="Arial"/>
          <w:lang w:val="en-AU" w:eastAsia="en-AU"/>
        </w:rPr>
        <w:t xml:space="preserve">protozoan parasite </w:t>
      </w:r>
      <w:r w:rsidRPr="00286A88">
        <w:rPr>
          <w:rFonts w:cs="Arial"/>
          <w:i/>
          <w:lang w:val="en-AU" w:eastAsia="en-AU"/>
        </w:rPr>
        <w:t>Eimeria</w:t>
      </w:r>
      <w:r w:rsidRPr="00286A88">
        <w:rPr>
          <w:lang w:val="en-AU" w:eastAsia="en-AU"/>
        </w:rPr>
        <w:t xml:space="preserve">, is a major disease of broilers. Clinical disease is associated with bloody droppings and increased mortality; however, infection is usually maintained at a sub-clinical level, whereby intestinal lesions are associated with feed malabsorption and impaired growth rates. The general drive to reduce the use of anti-coccidial drugs was covered in LH3.11b and there are additional problems of resistance to such drugs in the broiler industry. For example, Chapman and Jeffers (2015) found that partial resistance to in-feed coccidiostat (Sacox), measured by oocyst production developed over 5 successive flocks. There has been some success with the application of prebiotics and probiotics as alternatives to anti-coccidial feed-delivered drugs and expensive live vaccines. Lee and Chen (2007) observed a commercial probiotic to effectively enhance the resistance of broilers to infection and partially protect against the depression in flock performance. Ritzi et al. (2014) found that a probiotic treatment (containing </w:t>
      </w:r>
      <w:r w:rsidRPr="00286A88">
        <w:rPr>
          <w:i/>
          <w:lang w:val="en-AU" w:eastAsia="en-AU"/>
        </w:rPr>
        <w:t>Bacillus</w:t>
      </w:r>
      <w:r w:rsidRPr="00286A88">
        <w:rPr>
          <w:lang w:val="en-AU" w:eastAsia="en-AU"/>
        </w:rPr>
        <w:t xml:space="preserve"> and other probiotics, but source not given) yielded similar levels of protection to a coccidiosis challenge when compared to in-feed treatment (with Sacox). Bozkurt et al. (2014) found that probiotics (Primalac, Start Labs, </w:t>
      </w:r>
      <w:r w:rsidR="0093306E">
        <w:rPr>
          <w:lang w:val="en-AU" w:eastAsia="en-AU"/>
        </w:rPr>
        <w:t>Missouri</w:t>
      </w:r>
      <w:r w:rsidRPr="00286A88">
        <w:rPr>
          <w:lang w:val="en-AU" w:eastAsia="en-AU"/>
        </w:rPr>
        <w:t>), pre-biotics (Bio-Mos, Alltech, K</w:t>
      </w:r>
      <w:r w:rsidR="0093306E">
        <w:rPr>
          <w:lang w:val="en-AU" w:eastAsia="en-AU"/>
        </w:rPr>
        <w:t>entucky</w:t>
      </w:r>
      <w:r w:rsidRPr="00286A88">
        <w:rPr>
          <w:lang w:val="en-AU" w:eastAsia="en-AU"/>
        </w:rPr>
        <w:t xml:space="preserve">) and multienzyme (Karyzyme 8601, Kartal Chemistry, Turkey) were all effective at improving weight gain, feed conversion ratios and intestinal lesions following an </w:t>
      </w:r>
      <w:r w:rsidRPr="00286A88">
        <w:rPr>
          <w:i/>
          <w:lang w:val="en-AU" w:eastAsia="en-AU"/>
        </w:rPr>
        <w:t>Eimeria</w:t>
      </w:r>
      <w:r w:rsidRPr="00286A88">
        <w:rPr>
          <w:lang w:val="en-AU" w:eastAsia="en-AU"/>
        </w:rPr>
        <w:t xml:space="preserve"> challenge. In the latter study, the three alternative control methods were as effective as in-feed treatment (Sacox 120, Bulgaria). However, it was unknown how much previous flocks in these systems had been treated and whether there may have been resistance. </w:t>
      </w:r>
      <w:r w:rsidRPr="00286A88">
        <w:rPr>
          <w:rFonts w:cs="Minion-Regular"/>
          <w:color w:val="000000"/>
          <w:lang w:val="en-AU" w:eastAsia="en-AU"/>
        </w:rPr>
        <w:t>Coccidiosis is associated with wet litter, highlighting a further need to control this disease (Hermans et al., 2006). With growing pressure to reduce the use of anti-coccidial drugs, vaccination is likely to become an increasingly important strategy in the broiler sector (see also LH3.11b).</w:t>
      </w:r>
    </w:p>
    <w:p w14:paraId="3A2DF0B6" w14:textId="77777777" w:rsidR="00286A88" w:rsidRPr="00286A88" w:rsidRDefault="00286A88" w:rsidP="006968F5">
      <w:pPr>
        <w:pStyle w:val="Heading41"/>
      </w:pPr>
      <w:r w:rsidRPr="00286A88">
        <w:t>B3.5c Worms</w:t>
      </w:r>
    </w:p>
    <w:p w14:paraId="0F785761" w14:textId="77777777" w:rsidR="00286A88" w:rsidRDefault="00286A88" w:rsidP="006968F5">
      <w:pPr>
        <w:rPr>
          <w:lang w:val="en-AU" w:eastAsia="en-AU"/>
        </w:rPr>
      </w:pPr>
      <w:r w:rsidRPr="00286A88">
        <w:rPr>
          <w:i/>
          <w:lang w:val="en-AU" w:eastAsia="en-AU"/>
        </w:rPr>
        <w:t>Ascaridia</w:t>
      </w:r>
      <w:r w:rsidRPr="00286A88">
        <w:rPr>
          <w:lang w:val="en-AU" w:eastAsia="en-AU"/>
        </w:rPr>
        <w:t xml:space="preserve">, as well as </w:t>
      </w:r>
      <w:r w:rsidRPr="00286A88">
        <w:rPr>
          <w:i/>
          <w:lang w:val="en-AU" w:eastAsia="en-AU"/>
        </w:rPr>
        <w:t>Capillaria</w:t>
      </w:r>
      <w:r w:rsidRPr="00286A88">
        <w:rPr>
          <w:lang w:val="en-AU" w:eastAsia="en-AU"/>
        </w:rPr>
        <w:t xml:space="preserve"> </w:t>
      </w:r>
      <w:r w:rsidRPr="001C205B">
        <w:rPr>
          <w:lang w:val="en-AU" w:eastAsia="en-AU"/>
        </w:rPr>
        <w:t>spp.</w:t>
      </w:r>
      <w:r w:rsidRPr="00286A88">
        <w:rPr>
          <w:lang w:val="en-AU" w:eastAsia="en-AU"/>
        </w:rPr>
        <w:t xml:space="preserve"> (nematodes), can cause production losses in broiler breeders, but are not generally a problem in broilers due to their short production cycle.</w:t>
      </w:r>
    </w:p>
    <w:p w14:paraId="16BCCEE0" w14:textId="77777777" w:rsidR="00BA51E1" w:rsidRPr="00286A88" w:rsidRDefault="00BA51E1" w:rsidP="006968F5">
      <w:pPr>
        <w:rPr>
          <w:lang w:val="en-AU" w:eastAsia="en-AU"/>
        </w:rPr>
      </w:pPr>
    </w:p>
    <w:p w14:paraId="64592869" w14:textId="77777777" w:rsidR="00286A88" w:rsidRPr="00286A88" w:rsidRDefault="00286A88" w:rsidP="006968F5">
      <w:pPr>
        <w:pStyle w:val="Heading3"/>
        <w:rPr>
          <w:lang w:val="en-AU" w:eastAsia="en-AU"/>
        </w:rPr>
      </w:pPr>
      <w:bookmarkStart w:id="100" w:name="_Toc495310569"/>
      <w:r w:rsidRPr="00286A88">
        <w:rPr>
          <w:lang w:val="en-AU" w:eastAsia="en-AU"/>
        </w:rPr>
        <w:t>B3.6 Infectious disease</w:t>
      </w:r>
      <w:bookmarkEnd w:id="100"/>
    </w:p>
    <w:p w14:paraId="4B703775" w14:textId="77777777" w:rsidR="00286A88" w:rsidRPr="006968F5" w:rsidRDefault="00286A88" w:rsidP="006968F5">
      <w:pPr>
        <w:rPr>
          <w:i/>
          <w:lang w:val="en-AU" w:eastAsia="en-AU"/>
        </w:rPr>
      </w:pPr>
      <w:r w:rsidRPr="006968F5">
        <w:rPr>
          <w:i/>
          <w:lang w:val="en-AU" w:eastAsia="en-AU"/>
        </w:rPr>
        <w:t>Campylobacter and E. coli cause health problems in broilers as well as humans; high stocking density increases risk of infectious disease.</w:t>
      </w:r>
    </w:p>
    <w:p w14:paraId="2B0C7240" w14:textId="77777777" w:rsidR="00286A88" w:rsidRPr="00286A88" w:rsidRDefault="00286A88" w:rsidP="006968F5">
      <w:pPr>
        <w:rPr>
          <w:rFonts w:cs="AdvTT5843c571"/>
          <w:lang w:val="en-AU" w:eastAsia="en-AU"/>
        </w:rPr>
      </w:pPr>
      <w:r w:rsidRPr="00286A88">
        <w:rPr>
          <w:lang w:val="en-AU" w:eastAsia="en-AU"/>
        </w:rPr>
        <w:t xml:space="preserve">Housing broilers under high stocking density appears to increase susceptibility to infectious disease (see B9.1a). Necrotic enteritis (due to an acute </w:t>
      </w:r>
      <w:r w:rsidRPr="00286A88">
        <w:rPr>
          <w:i/>
          <w:lang w:val="en-AU" w:eastAsia="en-AU"/>
        </w:rPr>
        <w:t>Clostridium</w:t>
      </w:r>
      <w:r w:rsidRPr="00286A88">
        <w:rPr>
          <w:lang w:val="en-AU" w:eastAsia="en-AU"/>
        </w:rPr>
        <w:t xml:space="preserve"> infection) is a common bacterial disease, characterised by severe necrosis of the intestinal mucosa (see B2.4). </w:t>
      </w:r>
      <w:r w:rsidRPr="00286A88">
        <w:rPr>
          <w:i/>
          <w:lang w:val="en-AU" w:eastAsia="en-AU"/>
        </w:rPr>
        <w:t xml:space="preserve">Campylobacter jejuni </w:t>
      </w:r>
      <w:r w:rsidRPr="00286A88">
        <w:rPr>
          <w:rFonts w:cs="Minion-Bold"/>
          <w:lang w:val="en-AU" w:eastAsia="en-AU"/>
        </w:rPr>
        <w:t xml:space="preserve">is the leading cause of bacterial food-borne infection, chicken meat being the main source. </w:t>
      </w:r>
      <w:r w:rsidRPr="00286A88">
        <w:rPr>
          <w:i/>
          <w:lang w:val="en-AU" w:eastAsia="en-AU"/>
        </w:rPr>
        <w:t xml:space="preserve">C. jejuni </w:t>
      </w:r>
      <w:r w:rsidRPr="00286A88">
        <w:rPr>
          <w:rFonts w:cs="Minion-Bold"/>
          <w:lang w:val="en-AU" w:eastAsia="en-AU"/>
        </w:rPr>
        <w:t>is generally considered a harmless commensal in broilers; however,</w:t>
      </w:r>
      <w:r w:rsidRPr="00286A88">
        <w:rPr>
          <w:rFonts w:eastAsia="CenturySchoolbook" w:cs="CenturySchoolbook"/>
          <w:lang w:val="en-AU" w:eastAsia="en-AU"/>
        </w:rPr>
        <w:t xml:space="preserve"> Humphrey et al. (2014) observed that different broiler breeds demonstrate different immune responses to </w:t>
      </w:r>
      <w:r w:rsidRPr="00286A88">
        <w:rPr>
          <w:i/>
          <w:lang w:val="en-AU" w:eastAsia="en-AU"/>
        </w:rPr>
        <w:t xml:space="preserve">Campylobacter </w:t>
      </w:r>
      <w:r w:rsidRPr="00286A88">
        <w:rPr>
          <w:rFonts w:eastAsia="CenturySchoolbook" w:cs="CenturySchoolbook"/>
          <w:lang w:val="en-AU" w:eastAsia="en-AU"/>
        </w:rPr>
        <w:t>infection. Some breeds demonstrate an acute innate immune response and remain healthy (sub-clinical infection), while another breed underwent a</w:t>
      </w:r>
      <w:r w:rsidRPr="00286A88">
        <w:rPr>
          <w:rFonts w:cs="Minion-Bold"/>
          <w:lang w:val="en-AU" w:eastAsia="en-AU"/>
        </w:rPr>
        <w:t xml:space="preserve"> prolonged inflammatory response, had damage to the gut mucosa, and diarrhoea (clinical infection)</w:t>
      </w:r>
      <w:r w:rsidRPr="00286A88">
        <w:rPr>
          <w:rFonts w:eastAsia="CenturySchoolbook" w:cs="CenturySchoolbook"/>
          <w:lang w:val="en-AU" w:eastAsia="en-AU"/>
        </w:rPr>
        <w:t xml:space="preserve"> (Humphrey et al., 2014)</w:t>
      </w:r>
      <w:r w:rsidRPr="00286A88">
        <w:rPr>
          <w:rFonts w:cs="Minion-Bold"/>
          <w:lang w:val="en-AU" w:eastAsia="en-AU"/>
        </w:rPr>
        <w:t xml:space="preserve">. </w:t>
      </w:r>
      <w:r w:rsidRPr="00286A88">
        <w:rPr>
          <w:i/>
          <w:lang w:val="en-AU" w:eastAsia="en-AU"/>
        </w:rPr>
        <w:t>Campylobacter</w:t>
      </w:r>
      <w:r w:rsidRPr="00286A88">
        <w:rPr>
          <w:rFonts w:cs="Minion-Bold"/>
          <w:lang w:val="en-AU" w:eastAsia="en-AU"/>
        </w:rPr>
        <w:t xml:space="preserve"> disease has welfare implications for broilers in commercial production where infection is a persistent problem. </w:t>
      </w:r>
      <w:r w:rsidRPr="00286A88">
        <w:rPr>
          <w:rFonts w:cs="Dutch801BT-BoldItalic"/>
          <w:lang w:val="en-AU" w:eastAsia="en-AU"/>
        </w:rPr>
        <w:t>Bull et al. (2008) report that t</w:t>
      </w:r>
      <w:r w:rsidRPr="00286A88">
        <w:rPr>
          <w:rFonts w:cs="Dutch801BT-Roman"/>
          <w:lang w:val="en-AU" w:eastAsia="en-AU"/>
        </w:rPr>
        <w:t xml:space="preserve">he presence of </w:t>
      </w:r>
      <w:r w:rsidRPr="00286A88">
        <w:rPr>
          <w:rFonts w:cs="Dutch801BT-Italic"/>
          <w:i/>
          <w:lang w:val="en-AU" w:eastAsia="en-AU"/>
        </w:rPr>
        <w:t xml:space="preserve">Campylobacter </w:t>
      </w:r>
      <w:r w:rsidRPr="00286A88">
        <w:rPr>
          <w:rFonts w:cs="Dutch801BT-Roman"/>
          <w:lang w:val="en-AU" w:eastAsia="en-AU"/>
        </w:rPr>
        <w:t>in housed broilers was associated with indicators of poor flock health, such as increased rates of infectious disease and contact dermatitis</w:t>
      </w:r>
      <w:r w:rsidRPr="00286A88">
        <w:rPr>
          <w:rFonts w:cs="Dutch801BT-BoldItalic"/>
          <w:lang w:val="en-AU" w:eastAsia="en-AU"/>
        </w:rPr>
        <w:t xml:space="preserve">; improving health and welfare may, therefore, also reduce </w:t>
      </w:r>
      <w:r w:rsidRPr="00286A88">
        <w:rPr>
          <w:rFonts w:cs="Dutch801BT-BoldItalic"/>
          <w:i/>
          <w:lang w:val="en-AU" w:eastAsia="en-AU"/>
        </w:rPr>
        <w:t>Campylobacter</w:t>
      </w:r>
      <w:r w:rsidRPr="00286A88">
        <w:rPr>
          <w:rFonts w:cs="Dutch801BT-Bold"/>
          <w:lang w:val="en-AU" w:eastAsia="en-AU"/>
        </w:rPr>
        <w:t xml:space="preserve">. </w:t>
      </w:r>
      <w:r w:rsidRPr="00286A88">
        <w:rPr>
          <w:rFonts w:eastAsia="CenturySchoolbook" w:cs="CenturySchoolbook"/>
          <w:lang w:val="en-AU" w:eastAsia="en-AU"/>
        </w:rPr>
        <w:t xml:space="preserve">Acute stressors in poultry production systems, including 24 hour feed withdrawal and exposure to high (30 °C) transient temperatures, have been shown to alter epithelial structure and intestinal microbiota, which potentially increases bird susceptibility to colonisation by </w:t>
      </w:r>
      <w:r w:rsidRPr="00E144DF">
        <w:rPr>
          <w:rFonts w:eastAsia="CenturySchoolbook" w:cs="CenturySchoolbook"/>
          <w:i/>
          <w:lang w:val="en-AU" w:eastAsia="en-AU"/>
        </w:rPr>
        <w:t>Sa</w:t>
      </w:r>
      <w:r w:rsidRPr="00E144DF">
        <w:rPr>
          <w:rFonts w:cs="CenturySchoolbook-Italic"/>
          <w:i/>
          <w:lang w:val="en-AU" w:eastAsia="en-AU"/>
        </w:rPr>
        <w:t>lmonella</w:t>
      </w:r>
      <w:r w:rsidRPr="00286A88">
        <w:rPr>
          <w:rFonts w:cs="CenturySchoolbook-Italic"/>
          <w:i/>
          <w:lang w:val="en-AU" w:eastAsia="en-AU"/>
        </w:rPr>
        <w:t xml:space="preserve"> </w:t>
      </w:r>
      <w:r w:rsidRPr="00286A88">
        <w:rPr>
          <w:rFonts w:eastAsia="CenturySchoolbook" w:cs="CenturySchoolbook"/>
          <w:i/>
          <w:lang w:val="en-AU" w:eastAsia="en-AU"/>
        </w:rPr>
        <w:t xml:space="preserve">enteritidis </w:t>
      </w:r>
      <w:r w:rsidRPr="00286A88">
        <w:rPr>
          <w:rFonts w:eastAsia="CenturySchoolbook" w:cs="CenturySchoolbook"/>
          <w:lang w:val="en-AU" w:eastAsia="en-AU"/>
        </w:rPr>
        <w:t xml:space="preserve">(Burkholder et al., 2008). </w:t>
      </w:r>
      <w:r w:rsidRPr="00286A88">
        <w:rPr>
          <w:rFonts w:cs="Times New Roman"/>
          <w:lang w:val="en-AU" w:eastAsia="en-AU"/>
        </w:rPr>
        <w:t xml:space="preserve">Kemmett et al. (2014) observed that </w:t>
      </w:r>
      <w:r w:rsidRPr="00286A88">
        <w:rPr>
          <w:rFonts w:cs="Times New Roman"/>
          <w:i/>
          <w:lang w:val="en-AU" w:eastAsia="en-AU"/>
        </w:rPr>
        <w:t>E. coli</w:t>
      </w:r>
      <w:r w:rsidRPr="00286A88">
        <w:rPr>
          <w:rFonts w:cs="Times New Roman"/>
          <w:lang w:val="en-AU" w:eastAsia="en-AU"/>
        </w:rPr>
        <w:t xml:space="preserve"> also makes a significant contribution to young chick mortality; a</w:t>
      </w:r>
      <w:r w:rsidRPr="00286A88">
        <w:rPr>
          <w:rFonts w:cs="AdvTT5843c571"/>
          <w:lang w:val="en-AU" w:eastAsia="en-AU"/>
        </w:rPr>
        <w:t xml:space="preserve">pproximately 70% of dead chicks (collected up until 72 h following placement) displayed signs of colibacillosis. The authors hypothesise that broiler breeder reproductive tract infections, poor egg hygiene and transportation all contribute to early </w:t>
      </w:r>
      <w:r w:rsidRPr="00286A88">
        <w:rPr>
          <w:rFonts w:cs="AdvTT5843c571"/>
          <w:i/>
          <w:lang w:val="en-AU" w:eastAsia="en-AU"/>
        </w:rPr>
        <w:t>E. coli</w:t>
      </w:r>
      <w:r w:rsidRPr="00286A88">
        <w:rPr>
          <w:rFonts w:cs="AdvTT5843c571"/>
          <w:lang w:val="en-AU" w:eastAsia="en-AU"/>
        </w:rPr>
        <w:t xml:space="preserve"> colonisation of the neonatal gut (</w:t>
      </w:r>
      <w:r w:rsidRPr="00286A88">
        <w:rPr>
          <w:rFonts w:cs="Times New Roman"/>
          <w:lang w:val="en-AU" w:eastAsia="en-AU"/>
        </w:rPr>
        <w:t>Kemmett et al., 2014).</w:t>
      </w:r>
    </w:p>
    <w:p w14:paraId="1787C690" w14:textId="77777777" w:rsidR="00286A88" w:rsidRPr="00286A88" w:rsidRDefault="00286A88" w:rsidP="006968F5">
      <w:pPr>
        <w:pStyle w:val="Heading3"/>
        <w:rPr>
          <w:lang w:val="en-AU" w:eastAsia="en-AU"/>
        </w:rPr>
      </w:pPr>
      <w:bookmarkStart w:id="101" w:name="_Toc495310570"/>
      <w:r w:rsidRPr="00286A88">
        <w:rPr>
          <w:lang w:val="en-AU" w:eastAsia="en-AU"/>
        </w:rPr>
        <w:t>B3.7 Aggression</w:t>
      </w:r>
      <w:bookmarkEnd w:id="101"/>
    </w:p>
    <w:p w14:paraId="4ED93676" w14:textId="77777777" w:rsidR="00286A88" w:rsidRPr="006968F5" w:rsidRDefault="00286A88" w:rsidP="006968F5">
      <w:pPr>
        <w:rPr>
          <w:i/>
          <w:lang w:val="en-AU" w:eastAsia="en-AU"/>
        </w:rPr>
      </w:pPr>
      <w:r w:rsidRPr="006968F5">
        <w:rPr>
          <w:i/>
          <w:lang w:val="en-AU" w:eastAsia="en-AU"/>
        </w:rPr>
        <w:t>Aggression is more common in slow-grow broiler breeds and is more likely to be observed in open areas, particularly on the range.</w:t>
      </w:r>
    </w:p>
    <w:p w14:paraId="7E0B36E3" w14:textId="77777777" w:rsidR="00286A88" w:rsidRPr="00286A88" w:rsidRDefault="00286A88" w:rsidP="006968F5">
      <w:pPr>
        <w:rPr>
          <w:rFonts w:cs="Palatino-Roman"/>
          <w:lang w:val="en-AU" w:eastAsia="en-AU"/>
        </w:rPr>
      </w:pPr>
      <w:r w:rsidRPr="00286A88">
        <w:rPr>
          <w:rFonts w:cs="Arial"/>
          <w:shd w:val="clear" w:color="auto" w:fill="FFFFFF"/>
          <w:lang w:val="en-AU" w:eastAsia="en-AU"/>
        </w:rPr>
        <w:t>Aggression has been reported to vary with age, peaking in the second to third week, and then decreasing again as broilers get older, heavier and less active (</w:t>
      </w:r>
      <w:r w:rsidRPr="00286A88">
        <w:rPr>
          <w:rFonts w:cs="Palatino-Roman"/>
          <w:lang w:val="en-AU" w:eastAsia="en-AU"/>
        </w:rPr>
        <w:t xml:space="preserve">Cornetto et al., 2002; </w:t>
      </w:r>
      <w:r w:rsidRPr="00286A88">
        <w:rPr>
          <w:rFonts w:cs="AdvP41153C"/>
          <w:lang w:val="en-AU" w:eastAsia="en-AU"/>
        </w:rPr>
        <w:t>Pettit-Riley et al., 2002</w:t>
      </w:r>
      <w:r w:rsidRPr="00286A88">
        <w:rPr>
          <w:rFonts w:cs="Palatino-Roman"/>
          <w:lang w:val="en-AU" w:eastAsia="en-AU"/>
        </w:rPr>
        <w:t xml:space="preserve">). Birds from a slow-growing strain (JA 657 Hubbard ISA) demonstrated more aggression than birds from a fast-growing line (HI-Y Hubbbard ISA) </w:t>
      </w:r>
      <w:r w:rsidRPr="00286A88">
        <w:rPr>
          <w:color w:val="000000"/>
          <w:szCs w:val="16"/>
          <w:lang w:val="en-AU" w:eastAsia="en-AU"/>
        </w:rPr>
        <w:t>(Bokkers and Koene, 2003a) and, when housed in small experimental flocks, slow-growing (Delaware) birds</w:t>
      </w:r>
      <w:r w:rsidRPr="00286A88">
        <w:rPr>
          <w:rFonts w:cs="CMR10"/>
          <w:lang w:val="en-AU" w:eastAsia="en-AU"/>
        </w:rPr>
        <w:t xml:space="preserve"> performed more aggression outside on the range than inside the house (Fanatico et al., 2016). Inside the house t</w:t>
      </w:r>
      <w:r w:rsidRPr="00286A88">
        <w:rPr>
          <w:rFonts w:cs="Palatino-Roman"/>
          <w:lang w:val="en-AU" w:eastAsia="en-AU"/>
        </w:rPr>
        <w:t xml:space="preserve">he majority of agonistic interactions generally occur in the centre of the floor space, with least aggression seen along the external walls, where broilers prefer to lie and rest </w:t>
      </w:r>
      <w:r w:rsidRPr="00286A88">
        <w:rPr>
          <w:rFonts w:cs="Arial"/>
          <w:shd w:val="clear" w:color="auto" w:fill="FFFFFF"/>
          <w:lang w:val="en-AU" w:eastAsia="en-AU"/>
        </w:rPr>
        <w:t>(</w:t>
      </w:r>
      <w:r w:rsidRPr="00286A88">
        <w:rPr>
          <w:rFonts w:cs="Palatino-Roman"/>
          <w:lang w:val="en-AU" w:eastAsia="en-AU"/>
        </w:rPr>
        <w:t xml:space="preserve">Cornetto et al., 2002; </w:t>
      </w:r>
      <w:r w:rsidRPr="00286A88">
        <w:rPr>
          <w:rFonts w:cs="AdvP41153C"/>
          <w:lang w:val="en-AU" w:eastAsia="en-AU"/>
        </w:rPr>
        <w:t>Pettit-Riley et al., 2002</w:t>
      </w:r>
      <w:r w:rsidRPr="00286A88">
        <w:rPr>
          <w:rFonts w:cs="Palatino-Roman"/>
          <w:lang w:val="en-AU" w:eastAsia="en-AU"/>
        </w:rPr>
        <w:t xml:space="preserve">). Aggression has been linked with larger flock size in small experimental studies (e.g. </w:t>
      </w:r>
      <w:r w:rsidRPr="00286A88">
        <w:rPr>
          <w:lang w:val="en-AU" w:eastAsia="en-AU"/>
        </w:rPr>
        <w:t>Sosnówka-Czajka et al., 2007)</w:t>
      </w:r>
      <w:r w:rsidRPr="00286A88">
        <w:rPr>
          <w:rFonts w:cs="Palatino-Roman"/>
          <w:lang w:val="en-AU" w:eastAsia="en-AU"/>
        </w:rPr>
        <w:t>.</w:t>
      </w:r>
      <w:r w:rsidRPr="00286A88">
        <w:rPr>
          <w:lang w:val="en-AU" w:eastAsia="en-AU"/>
        </w:rPr>
        <w:t xml:space="preserve"> In a study of meal-fed broilers a reduction in agonistic behaviour during the feeding period was achieved by increasing the feeder space from 2.4 to 3.6 cm/bird (Olukosi et al., 2002).</w:t>
      </w:r>
    </w:p>
    <w:p w14:paraId="0F45A37F" w14:textId="77777777" w:rsidR="00286A88" w:rsidRPr="00286A88" w:rsidRDefault="00286A88" w:rsidP="005064B7">
      <w:pPr>
        <w:pStyle w:val="Heading2"/>
        <w:rPr>
          <w:lang w:val="en-AU" w:eastAsia="en-AU"/>
        </w:rPr>
      </w:pPr>
      <w:bookmarkStart w:id="102" w:name="_Toc495310571"/>
      <w:r w:rsidRPr="00286A88">
        <w:rPr>
          <w:lang w:val="en-AU" w:eastAsia="en-AU"/>
        </w:rPr>
        <w:t>B4. Facilities and Equipment: Behavioural Needs</w:t>
      </w:r>
      <w:bookmarkEnd w:id="102"/>
    </w:p>
    <w:p w14:paraId="7D9DEA84" w14:textId="77777777" w:rsidR="00286A88" w:rsidRPr="00286A88" w:rsidRDefault="00286A88" w:rsidP="006968F5">
      <w:pPr>
        <w:pStyle w:val="Heading3"/>
        <w:rPr>
          <w:lang w:val="en-AU" w:eastAsia="en-AU"/>
        </w:rPr>
      </w:pPr>
      <w:bookmarkStart w:id="103" w:name="_Toc495310572"/>
      <w:r w:rsidRPr="00286A88">
        <w:rPr>
          <w:lang w:val="en-AU" w:eastAsia="en-AU"/>
        </w:rPr>
        <w:t>B4.1 Influence of selection</w:t>
      </w:r>
      <w:bookmarkEnd w:id="103"/>
    </w:p>
    <w:p w14:paraId="2E3AD0AD" w14:textId="77777777" w:rsidR="00286A88" w:rsidRPr="006968F5" w:rsidRDefault="00286A88" w:rsidP="006968F5">
      <w:pPr>
        <w:rPr>
          <w:i/>
          <w:lang w:val="en-AU" w:eastAsia="en-AU"/>
        </w:rPr>
      </w:pPr>
      <w:r w:rsidRPr="006968F5">
        <w:rPr>
          <w:i/>
          <w:lang w:val="en-AU" w:eastAsia="en-AU"/>
        </w:rPr>
        <w:t>Selection for growth impedes broiler activity from 3 weeks and limits the range of behaviours which they can perform; Slow-growing breeds do not demonstrate mobility or behavioural restrictions to the same extent as fast growing breeds.</w:t>
      </w:r>
    </w:p>
    <w:p w14:paraId="2164471B" w14:textId="77777777" w:rsidR="00286A88" w:rsidRPr="00286A88" w:rsidRDefault="00286A88" w:rsidP="006968F5">
      <w:pPr>
        <w:rPr>
          <w:lang w:val="en-AU" w:eastAsia="en-AU"/>
        </w:rPr>
      </w:pPr>
      <w:r w:rsidRPr="00286A88">
        <w:rPr>
          <w:lang w:val="en-AU" w:eastAsia="en-AU"/>
        </w:rPr>
        <w:t xml:space="preserve">Compared to other breeds of </w:t>
      </w:r>
      <w:r w:rsidRPr="00286A88">
        <w:rPr>
          <w:i/>
          <w:lang w:val="en-AU" w:eastAsia="en-AU"/>
        </w:rPr>
        <w:t>Gallus gallus domesticus</w:t>
      </w:r>
      <w:r w:rsidRPr="00286A88">
        <w:rPr>
          <w:lang w:val="en-AU" w:eastAsia="en-AU"/>
        </w:rPr>
        <w:t xml:space="preserve">, broiler chickens have very different time-budgets. In a study by Weeks et al. (2000) non-lame broilers of a fast-grow breed (39–49 days old) spent approximately 76% of their time lying down. </w:t>
      </w:r>
      <w:r w:rsidRPr="00286A88">
        <w:rPr>
          <w:rFonts w:cs="Arial"/>
          <w:shd w:val="clear" w:color="auto" w:fill="FFFFFF"/>
          <w:lang w:val="en-AU" w:eastAsia="en-AU"/>
        </w:rPr>
        <w:t>The time budgets of fast- and slow-growing broilers are also different. Slow-growing broilers perform more perching, walking and ground scratching, while fast growing broilers perform more sitting, eating and drinking; both perform similar proportions of resting, preening, stretching, ground pecking and dust bathing (Bokkers and Koene, 2003a). Resting may have a genetic, rather than a morphological, background since the fast-growing broilers weighed twice as much as the slow-growing broilers (Bokkers and Koene, 2003a).</w:t>
      </w:r>
      <w:r w:rsidRPr="00286A88">
        <w:rPr>
          <w:lang w:val="en-AU" w:eastAsia="en-AU"/>
        </w:rPr>
        <w:t xml:space="preserve"> </w:t>
      </w:r>
      <w:r w:rsidRPr="00286A88">
        <w:rPr>
          <w:rFonts w:cs="Arial"/>
          <w:lang w:val="en-AU" w:eastAsia="en-AU"/>
        </w:rPr>
        <w:t>Fast-growing broilers demonstrate lower activity levels from week one onwards, while slow-growing broilers maintain higher activity levels throughout the production period (Reiter and Bessei, 2009). D</w:t>
      </w:r>
      <w:r w:rsidRPr="00286A88">
        <w:rPr>
          <w:lang w:val="en-AU" w:eastAsia="en-AU"/>
        </w:rPr>
        <w:t xml:space="preserve">ifferences in behavioural time budgets have also been reported in young chicks; fast-grow breeds feed more and walk less (Bizeray et al., 2000). Correlations between early chick activity and subsequent active behaviour in a fast-grow breed were observed by Bizeray et al. (2000), but not by </w:t>
      </w:r>
      <w:r w:rsidRPr="00286A88">
        <w:rPr>
          <w:rFonts w:cs="AdvFrutiger-RC"/>
          <w:lang w:val="en-AU" w:eastAsia="en-AU"/>
        </w:rPr>
        <w:t>Nielsen (2012). This</w:t>
      </w:r>
      <w:r w:rsidRPr="00286A88">
        <w:rPr>
          <w:lang w:val="en-AU" w:eastAsia="en-AU"/>
        </w:rPr>
        <w:t xml:space="preserve"> suggests that, at least in some strains, an ‘active’ flock (potentially with fewer leg problems) could be achieved via the selection of mobile broiler chicks (Bizeray et al., 2000).</w:t>
      </w:r>
    </w:p>
    <w:p w14:paraId="1F088A83" w14:textId="77777777" w:rsidR="00286A88" w:rsidRPr="00286A88" w:rsidRDefault="00286A88" w:rsidP="006968F5">
      <w:pPr>
        <w:rPr>
          <w:rFonts w:cs="Arial"/>
          <w:shd w:val="clear" w:color="auto" w:fill="FFFFFF"/>
          <w:lang w:val="en-AU" w:eastAsia="en-AU"/>
        </w:rPr>
      </w:pPr>
      <w:r w:rsidRPr="00286A88">
        <w:rPr>
          <w:rFonts w:cs="Arial"/>
          <w:shd w:val="clear" w:color="auto" w:fill="FFFFFF"/>
          <w:lang w:val="en-AU" w:eastAsia="en-AU"/>
        </w:rPr>
        <w:t>Although it is possible to keep fast-growing broilers to 12 weeks on a qualitatively restricted diet, several behaviours are performed less with age, presumably due to the physical consequences of increased weight associated with a prolonged rearing period; walking, perching and ground scratching all decreased (Bokkers and Koene, 2003a). The authors hypothesise that fast-grow broilers are still motivated to walk but become frustrated with their immobility, since an increase in preening was also observed. It is generally accepted that displacement preening is associated with frustration (Duncan and Wood-Gush, 1972, cited by Bokkers and Koene, 2003a).</w:t>
      </w:r>
    </w:p>
    <w:p w14:paraId="25B683CE" w14:textId="77777777" w:rsidR="00286A88" w:rsidRPr="00286A88" w:rsidRDefault="006968F5" w:rsidP="006968F5">
      <w:pPr>
        <w:pStyle w:val="Heading3"/>
        <w:rPr>
          <w:lang w:val="en-AU" w:eastAsia="en-AU"/>
        </w:rPr>
      </w:pPr>
      <w:bookmarkStart w:id="104" w:name="_Toc495310573"/>
      <w:r>
        <w:rPr>
          <w:lang w:val="en-AU" w:eastAsia="en-AU"/>
        </w:rPr>
        <w:t xml:space="preserve">B4.2 Inactivity: </w:t>
      </w:r>
      <w:r w:rsidR="0093306E">
        <w:rPr>
          <w:lang w:val="en-AU" w:eastAsia="en-AU"/>
        </w:rPr>
        <w:t>m</w:t>
      </w:r>
      <w:r w:rsidR="00286A88" w:rsidRPr="00286A88">
        <w:rPr>
          <w:lang w:val="en-AU" w:eastAsia="en-AU"/>
        </w:rPr>
        <w:t>orphology or absence of motivation?</w:t>
      </w:r>
      <w:bookmarkEnd w:id="104"/>
    </w:p>
    <w:p w14:paraId="65EB42DC" w14:textId="77777777" w:rsidR="00286A88" w:rsidRPr="006968F5" w:rsidRDefault="00286A88" w:rsidP="006968F5">
      <w:pPr>
        <w:rPr>
          <w:i/>
          <w:lang w:val="en-AU" w:eastAsia="en-AU"/>
        </w:rPr>
      </w:pPr>
      <w:r w:rsidRPr="006968F5">
        <w:rPr>
          <w:i/>
          <w:lang w:val="en-AU" w:eastAsia="en-AU"/>
        </w:rPr>
        <w:t>It is likely that heavy broilers are still motivated to perform locomotory behaviour even when physically unable - this may lead to frustration and low welfare.</w:t>
      </w:r>
    </w:p>
    <w:p w14:paraId="0D70E7A3" w14:textId="77777777" w:rsidR="00286A88" w:rsidRPr="00286A88" w:rsidRDefault="00286A88" w:rsidP="006968F5">
      <w:pPr>
        <w:rPr>
          <w:rFonts w:cs="AdvP41153C"/>
          <w:szCs w:val="18"/>
          <w:lang w:val="en-AU" w:eastAsia="en-AU"/>
        </w:rPr>
      </w:pPr>
      <w:r w:rsidRPr="00286A88">
        <w:rPr>
          <w:lang w:val="en-AU" w:eastAsia="en-AU"/>
        </w:rPr>
        <w:t xml:space="preserve">The morphology of modern broiler breeds (high body mass and reduced leg health) physically limits their ability to perform certain behaviours even if they are motivated to do so. </w:t>
      </w:r>
      <w:r w:rsidRPr="00286A88">
        <w:rPr>
          <w:rFonts w:cs="AdvP41153C"/>
          <w:szCs w:val="18"/>
          <w:lang w:val="en-AU" w:eastAsia="en-AU"/>
        </w:rPr>
        <w:t>The distinction between physical ability and motivation is highly relevant to welfare since an unfulfilled motivation may be associated with frustration, stress and suffering. The absence of motivation, e.g. for activity, would be less of a welfare concern.</w:t>
      </w:r>
    </w:p>
    <w:p w14:paraId="3F731967" w14:textId="77777777" w:rsidR="00286A88" w:rsidRPr="00286A88" w:rsidRDefault="00286A88" w:rsidP="006968F5">
      <w:pPr>
        <w:rPr>
          <w:rFonts w:cs="AdvFrutiger-RC"/>
          <w:sz w:val="28"/>
          <w:lang w:val="en-AU" w:eastAsia="en-AU"/>
        </w:rPr>
      </w:pPr>
      <w:r w:rsidRPr="00286A88">
        <w:rPr>
          <w:lang w:val="en-AU" w:eastAsia="en-AU"/>
        </w:rPr>
        <w:t xml:space="preserve">There is evidence that broilers are motivated to walk to obtain food, but that their high body mass is a cause of low activity. Fast-growing broilers were sometimes unable to complete a physical task to obtain food and demonstrated behaviours indicative of frustration (Bokkers and Koene, 2004). </w:t>
      </w:r>
      <w:r w:rsidRPr="00286A88">
        <w:rPr>
          <w:rFonts w:cs="AdvP41153C"/>
          <w:szCs w:val="18"/>
          <w:lang w:val="en-AU" w:eastAsia="en-AU"/>
        </w:rPr>
        <w:t>Distance walked in a runway test to access a feed reward was shown to be affected by both physical ability and motivation. After controlling for body mass, it was seen that both, (a)</w:t>
      </w:r>
      <w:r w:rsidR="0093306E">
        <w:rPr>
          <w:rFonts w:cs="AdvP41153C"/>
          <w:szCs w:val="18"/>
          <w:lang w:val="en-AU" w:eastAsia="en-AU"/>
        </w:rPr>
        <w:t> </w:t>
      </w:r>
      <w:r w:rsidRPr="00286A88">
        <w:rPr>
          <w:rFonts w:cs="AdvP41153C"/>
          <w:szCs w:val="18"/>
          <w:lang w:val="en-AU" w:eastAsia="en-AU"/>
        </w:rPr>
        <w:t>a longer feed deprivation period and, (b) a shorter feed reward access time, stimulated birds to walk further (Bokkers et al., 2007). The actual distance walked was greater for lighter birds but the motivation to do so was similar for birds of all weights (Bokkers et al., 2007).</w:t>
      </w:r>
      <w:r w:rsidRPr="00286A88">
        <w:rPr>
          <w:rFonts w:cs="AdvFrutiger-RC"/>
          <w:sz w:val="28"/>
          <w:lang w:val="en-AU" w:eastAsia="en-AU"/>
        </w:rPr>
        <w:t xml:space="preserve"> </w:t>
      </w:r>
      <w:r w:rsidRPr="00286A88">
        <w:rPr>
          <w:lang w:val="en-AU" w:eastAsia="en-AU"/>
        </w:rPr>
        <w:t>In addition, Rutten et al. (2002) showed that the use of a suspension device to experimentally reduce load-bearing on broiler legs (alleviate body mass) enhanced voluntary locomotor activity by 35%.</w:t>
      </w:r>
    </w:p>
    <w:p w14:paraId="3DA25F4E" w14:textId="77777777" w:rsidR="00286A88" w:rsidRPr="00286A88" w:rsidRDefault="00286A88" w:rsidP="006968F5">
      <w:pPr>
        <w:rPr>
          <w:lang w:val="en-AU" w:eastAsia="en-AU"/>
        </w:rPr>
      </w:pPr>
      <w:r w:rsidRPr="00286A88">
        <w:rPr>
          <w:lang w:val="en-AU" w:eastAsia="en-AU"/>
        </w:rPr>
        <w:t>Fast-growing broilers appear to spontaneously limit their physical effort from as early as 3 weeks, even when reared at low density (2 broilers/m</w:t>
      </w:r>
      <w:r w:rsidRPr="00286A88">
        <w:rPr>
          <w:vertAlign w:val="superscript"/>
          <w:lang w:val="en-AU" w:eastAsia="en-AU"/>
        </w:rPr>
        <w:t>2</w:t>
      </w:r>
      <w:r w:rsidRPr="00286A88">
        <w:rPr>
          <w:lang w:val="en-AU" w:eastAsia="en-AU"/>
        </w:rPr>
        <w:t>); nutritionally satisfied non-lame broilers tend to congregate (mainly lying) near drinkers and feeders or peripheral walls, making little use of the more open areas of floor space for activities such as walking and ground scratching (</w:t>
      </w:r>
      <w:r w:rsidRPr="00286A88">
        <w:rPr>
          <w:rFonts w:cs="AdvP41153C"/>
          <w:szCs w:val="24"/>
          <w:lang w:val="en-AU" w:eastAsia="en-AU"/>
        </w:rPr>
        <w:t>Cornetto and Estevez, 2001a;</w:t>
      </w:r>
      <w:r w:rsidRPr="00286A88">
        <w:rPr>
          <w:lang w:val="en-AU" w:eastAsia="en-AU"/>
        </w:rPr>
        <w:t xml:space="preserve"> 2001b; Arnould and Faure, 2004). This indicates that the rearing environment for modern broiler production, usually large, predominantly barren, floor areas, is not sufficient to stimulate locomotor activity. Some success in improving the overall use of the floor space has been achieved via the provision of barrier perches and vertical mesh panels (see B5.3 and B5.4). These studies suggest that impaired physical ability is a dominant restrictive factor for walking in older heavier birds, while the motivation to move remains a key factor for locomotion in younger lighter birds.</w:t>
      </w:r>
    </w:p>
    <w:p w14:paraId="192F19D7" w14:textId="77777777" w:rsidR="00286A88" w:rsidRPr="00286A88" w:rsidRDefault="00286A88" w:rsidP="006968F5">
      <w:pPr>
        <w:pStyle w:val="Heading3"/>
        <w:rPr>
          <w:lang w:val="en-AU" w:eastAsia="en-AU"/>
        </w:rPr>
      </w:pPr>
      <w:bookmarkStart w:id="105" w:name="_Toc495310574"/>
      <w:r w:rsidRPr="00286A88">
        <w:rPr>
          <w:lang w:val="en-AU" w:eastAsia="en-AU"/>
        </w:rPr>
        <w:t>B4.3 Innate hunger</w:t>
      </w:r>
      <w:bookmarkEnd w:id="105"/>
    </w:p>
    <w:p w14:paraId="3EFF132A" w14:textId="77777777" w:rsidR="00286A88" w:rsidRPr="006968F5" w:rsidRDefault="00286A88" w:rsidP="006968F5">
      <w:pPr>
        <w:rPr>
          <w:i/>
          <w:lang w:val="en-AU" w:eastAsia="en-AU"/>
        </w:rPr>
      </w:pPr>
      <w:r w:rsidRPr="006968F5">
        <w:rPr>
          <w:i/>
          <w:lang w:val="en-AU" w:eastAsia="en-AU"/>
        </w:rPr>
        <w:t>Broilers are unlikely to experience constant hunger.</w:t>
      </w:r>
    </w:p>
    <w:p w14:paraId="5A8F05BA" w14:textId="77777777" w:rsidR="00286A88" w:rsidRPr="00286A88" w:rsidRDefault="00286A88" w:rsidP="006968F5">
      <w:pPr>
        <w:rPr>
          <w:lang w:val="en-AU" w:eastAsia="en-AU"/>
        </w:rPr>
      </w:pPr>
      <w:r w:rsidRPr="00286A88">
        <w:rPr>
          <w:lang w:val="en-AU" w:eastAsia="en-AU"/>
        </w:rPr>
        <w:t xml:space="preserve">Based upon evidence indicating that broilers eat to their maximal physical capacity, Bokkers and Koene (2003b) hypothesised that the food intake control mechanisms of intensively selected broilers have been altered (due to the high demands of fast growth rates), which could leave them feeling constantly hungry, a major welfare issue. They proposed that a positive correlation between the pre-feeding interval and the feeding bout duration indicates that broilers are unable to “switch-off” feeding through normal satiety mechanisms. Instead Bokekrs and Koene (2003b) proposed that broilers stop feeding only when physically unable to ingest further feed. However, although differences in the characteristics of short-term feeding behaviour were subsequently identified (fast-growing breeds have longer and larger meals than slow growing breeds), Howie et al. (2009) could find no evidence for constant hunger, although their data are consistent with the idea that selection may have interfered with the “switch off” satiety mechanism. There is a need for further work on potential hunger in </w:t>
      </w:r>
      <w:r w:rsidRPr="00286A88">
        <w:rPr>
          <w:i/>
          <w:lang w:val="en-AU" w:eastAsia="en-AU"/>
        </w:rPr>
        <w:t>ad libitum</w:t>
      </w:r>
      <w:r w:rsidRPr="00286A88">
        <w:rPr>
          <w:lang w:val="en-AU" w:eastAsia="en-AU"/>
        </w:rPr>
        <w:t xml:space="preserve"> fed broilers.</w:t>
      </w:r>
    </w:p>
    <w:p w14:paraId="3BDB97BF" w14:textId="77777777" w:rsidR="00286A88" w:rsidRPr="00286A88" w:rsidRDefault="00286A88" w:rsidP="00BF0E6A">
      <w:pPr>
        <w:pStyle w:val="Heading3"/>
        <w:rPr>
          <w:lang w:val="en-AU" w:eastAsia="en-AU"/>
        </w:rPr>
      </w:pPr>
      <w:bookmarkStart w:id="106" w:name="_Toc495310575"/>
      <w:r w:rsidRPr="00286A88">
        <w:rPr>
          <w:lang w:val="en-AU" w:eastAsia="en-AU"/>
        </w:rPr>
        <w:t>B4.4 Behavioural need to perch</w:t>
      </w:r>
      <w:bookmarkEnd w:id="106"/>
    </w:p>
    <w:p w14:paraId="725958CB" w14:textId="77777777" w:rsidR="00286A88" w:rsidRPr="00BF0E6A" w:rsidRDefault="00286A88" w:rsidP="00BF0E6A">
      <w:pPr>
        <w:rPr>
          <w:i/>
          <w:lang w:val="en-AU" w:eastAsia="en-AU"/>
        </w:rPr>
      </w:pPr>
      <w:r w:rsidRPr="00BF0E6A">
        <w:rPr>
          <w:i/>
          <w:lang w:val="en-AU" w:eastAsia="en-AU"/>
        </w:rPr>
        <w:t>In fast-growing broilers perch use is limited by body mass; slow-grow breeds have better leg health and perch more frequently.</w:t>
      </w:r>
    </w:p>
    <w:p w14:paraId="68B05EDA" w14:textId="77777777" w:rsidR="00286A88" w:rsidRPr="00286A88" w:rsidRDefault="00286A88" w:rsidP="00BF0E6A">
      <w:pPr>
        <w:rPr>
          <w:rFonts w:cs="Times New Roman"/>
          <w:lang w:val="en-AU" w:eastAsia="en-AU"/>
        </w:rPr>
      </w:pPr>
      <w:r w:rsidRPr="00286A88">
        <w:rPr>
          <w:lang w:val="en-AU" w:eastAsia="en-AU"/>
        </w:rPr>
        <w:t>Perching may be beneficial in alleviating leg problems and enhancing mobility in broilers, as it stimulates diversification of locomotion (</w:t>
      </w:r>
      <w:r w:rsidRPr="00286A88">
        <w:rPr>
          <w:rFonts w:cs="AdvP4CD4D0"/>
          <w:lang w:val="en-AU" w:eastAsia="en-AU"/>
        </w:rPr>
        <w:t xml:space="preserve">Norring et al., 2016). </w:t>
      </w:r>
      <w:r w:rsidRPr="00286A88">
        <w:rPr>
          <w:rFonts w:cs="Times New Roman"/>
          <w:lang w:val="en-AU" w:eastAsia="en-AU"/>
        </w:rPr>
        <w:t xml:space="preserve">Generally slow-growing broilers have better leg health and use perches more frequently than fast growing broilers (Bokkers and Koene, 2003a); however, perching behaviour has been shown to be highly variable even between slow-growing breeds (Nielsen, 2004; Lee and Chen, 2007; Rodriguez-Aurrekoetxea et al., 2015). </w:t>
      </w:r>
      <w:r w:rsidRPr="00286A88">
        <w:rPr>
          <w:rFonts w:cs="AdvP4CD4D0"/>
          <w:lang w:val="en-AU" w:eastAsia="en-AU"/>
        </w:rPr>
        <w:t xml:space="preserve">Nielson (2004) observed one slow-grow breed to start perching at 2 weeks of age, while another started a week later. </w:t>
      </w:r>
      <w:r w:rsidRPr="00286A88">
        <w:rPr>
          <w:rFonts w:cs="Times New Roman"/>
          <w:lang w:val="en-AU" w:eastAsia="en-AU"/>
        </w:rPr>
        <w:t>The use of perches by fast-growing broilers generally increases with age, peaking between 4–5 weeks and dwindling thereafter (</w:t>
      </w:r>
      <w:r w:rsidRPr="00286A88">
        <w:rPr>
          <w:rFonts w:cs="Palatino-Roman"/>
          <w:lang w:val="en-AU" w:eastAsia="en-AU"/>
        </w:rPr>
        <w:t xml:space="preserve">LeVan et al., 2000; </w:t>
      </w:r>
      <w:r w:rsidRPr="00286A88">
        <w:rPr>
          <w:rFonts w:cs="Times New Roman"/>
          <w:lang w:val="en-AU" w:eastAsia="en-AU"/>
        </w:rPr>
        <w:t xml:space="preserve">Pettit-Riley and Estevez, 2001; Bizeray et al., 2002b; Bokkers and Koene, 2003a; Ventura et al., 2012; </w:t>
      </w:r>
      <w:r w:rsidRPr="00286A88">
        <w:rPr>
          <w:rFonts w:cs="Times New Roman"/>
          <w:lang w:val="en-AU" w:eastAsia="en-GB"/>
        </w:rPr>
        <w:t xml:space="preserve">Hongchao et al., 2013; </w:t>
      </w:r>
      <w:r w:rsidRPr="00286A88">
        <w:rPr>
          <w:rFonts w:cs="Times New Roman"/>
          <w:lang w:val="en-AU" w:eastAsia="en-AU"/>
        </w:rPr>
        <w:t xml:space="preserve">Bailie and O’Connell, 2015), likely </w:t>
      </w:r>
      <w:r w:rsidRPr="00286A88">
        <w:rPr>
          <w:rFonts w:cs="Palatino-Roman"/>
          <w:lang w:val="en-AU" w:eastAsia="en-AU"/>
        </w:rPr>
        <w:t xml:space="preserve">due to increased body mass. </w:t>
      </w:r>
      <w:r w:rsidRPr="00286A88">
        <w:rPr>
          <w:rFonts w:cs="Times New Roman"/>
          <w:lang w:val="en-AU" w:eastAsia="en-AU"/>
        </w:rPr>
        <w:t xml:space="preserve">No studies have been conducted to distinguish broiler motivation to seek elevated areas and motivation to grasp a pole with the foot. </w:t>
      </w:r>
      <w:r w:rsidRPr="00286A88">
        <w:rPr>
          <w:rFonts w:cs="TimesNewRomanPSMT"/>
          <w:lang w:val="en-AU" w:eastAsia="en-AU"/>
        </w:rPr>
        <w:t>The use of hay bales (</w:t>
      </w:r>
      <w:r w:rsidRPr="00286A88">
        <w:rPr>
          <w:rFonts w:cs="AdvP4CD4D0"/>
          <w:lang w:val="en-AU" w:eastAsia="en-AU"/>
        </w:rPr>
        <w:t>Ohara et al., 2015) and p</w:t>
      </w:r>
      <w:r w:rsidRPr="00286A88">
        <w:rPr>
          <w:rFonts w:cs="Times New Roman"/>
          <w:lang w:val="en-AU" w:eastAsia="en-AU"/>
        </w:rPr>
        <w:t xml:space="preserve">latform use </w:t>
      </w:r>
      <w:r w:rsidRPr="00286A88">
        <w:rPr>
          <w:rFonts w:cs="AdvP4CD4D0"/>
          <w:lang w:val="en-AU" w:eastAsia="en-AU"/>
        </w:rPr>
        <w:t xml:space="preserve">(Norring et al., 2016) also </w:t>
      </w:r>
      <w:r w:rsidRPr="00286A88">
        <w:rPr>
          <w:rFonts w:cs="Times New Roman"/>
          <w:lang w:val="en-AU" w:eastAsia="en-AU"/>
        </w:rPr>
        <w:t>decreases with age, towards the end of the grow-out period. Females generally use perches and bales at a higher frequency than males (Estevez et al., 2002; O</w:t>
      </w:r>
      <w:r w:rsidRPr="00286A88">
        <w:rPr>
          <w:rFonts w:cs="AdvP4CD4D0"/>
          <w:lang w:val="en-AU" w:eastAsia="en-AU"/>
        </w:rPr>
        <w:t>hara et al., 2015). The effects of varying perch characteristics are presented in B5.3.</w:t>
      </w:r>
    </w:p>
    <w:p w14:paraId="5133BBD1" w14:textId="77777777" w:rsidR="00286A88" w:rsidRPr="00286A88" w:rsidRDefault="00286A88" w:rsidP="00BF0E6A">
      <w:pPr>
        <w:rPr>
          <w:rFonts w:eastAsia="ComputerModern-Regular" w:cs="ComputerModern-Regular"/>
          <w:lang w:val="en-AU" w:eastAsia="en-AU"/>
        </w:rPr>
      </w:pPr>
      <w:r w:rsidRPr="00286A88">
        <w:rPr>
          <w:rFonts w:cs="Times New Roman"/>
          <w:lang w:val="en-AU" w:eastAsia="en-AU"/>
        </w:rPr>
        <w:t>Several studies have revealed that time of day influences perching behaviour, although different patterns of behaviour have been reported according to the type of elevated structure. Perches are generally used nocturnally, before 08:30 h</w:t>
      </w:r>
      <w:r w:rsidRPr="00286A88">
        <w:rPr>
          <w:rFonts w:cs="SizedSym151"/>
          <w:lang w:val="en-AU" w:eastAsia="en-AU"/>
        </w:rPr>
        <w:t xml:space="preserve"> </w:t>
      </w:r>
      <w:r w:rsidRPr="00286A88">
        <w:rPr>
          <w:rFonts w:cs="Times New Roman"/>
          <w:lang w:val="en-AU" w:eastAsia="en-AU"/>
        </w:rPr>
        <w:t xml:space="preserve">and after 20:30 h (LeVan et al., 2000; </w:t>
      </w:r>
      <w:r w:rsidRPr="00286A88">
        <w:rPr>
          <w:rFonts w:cs="AdvP4CD4D0"/>
          <w:lang w:val="en-AU" w:eastAsia="en-AU"/>
        </w:rPr>
        <w:t>Nielson, 2004), while p</w:t>
      </w:r>
      <w:r w:rsidRPr="00286A88">
        <w:rPr>
          <w:lang w:val="en-AU" w:eastAsia="en-AU"/>
        </w:rPr>
        <w:t>latforms are used more during the day, implying a non-roosting function (</w:t>
      </w:r>
      <w:r w:rsidRPr="00286A88">
        <w:rPr>
          <w:rFonts w:cs="AdvP4CD4D0"/>
          <w:lang w:val="en-AU" w:eastAsia="en-AU"/>
        </w:rPr>
        <w:t xml:space="preserve">Norring et al., 2016). Not all broiler flocks roost. </w:t>
      </w:r>
      <w:r w:rsidRPr="00286A88">
        <w:rPr>
          <w:rFonts w:cs="RealpageBAS4"/>
          <w:lang w:val="en-AU" w:eastAsia="en-AU"/>
        </w:rPr>
        <w:t>Commercial egg producers often utilise an artificial dusk to encourage laying hens to perch before complete darkness; however, the addition of a 10 minute artificial dusk at the end of the lighting period was not found to prompt perching behaviour in broilers (</w:t>
      </w:r>
      <w:r w:rsidRPr="00286A88">
        <w:rPr>
          <w:rFonts w:eastAsia="ComputerModern-Regular" w:cs="ComputerModern-Regular"/>
          <w:lang w:val="en-AU" w:eastAsia="en-AU"/>
        </w:rPr>
        <w:t>Martrenchar et al., 2000).</w:t>
      </w:r>
    </w:p>
    <w:p w14:paraId="48B92CF9" w14:textId="77777777" w:rsidR="00286A88" w:rsidRPr="00286A88" w:rsidRDefault="00286A88" w:rsidP="005064B7">
      <w:pPr>
        <w:pStyle w:val="Heading2"/>
        <w:rPr>
          <w:lang w:val="en-AU" w:eastAsia="en-AU"/>
        </w:rPr>
      </w:pPr>
      <w:bookmarkStart w:id="107" w:name="_Toc495310576"/>
      <w:r w:rsidRPr="00286A88">
        <w:rPr>
          <w:lang w:val="en-AU" w:eastAsia="en-AU"/>
        </w:rPr>
        <w:t>B5. Facilities and Equipment: Behavioural Usage</w:t>
      </w:r>
      <w:bookmarkEnd w:id="107"/>
    </w:p>
    <w:p w14:paraId="02FF2374" w14:textId="77777777" w:rsidR="00286A88" w:rsidRPr="00286A88" w:rsidRDefault="00286A88" w:rsidP="00BF0E6A">
      <w:pPr>
        <w:rPr>
          <w:lang w:val="en-AU" w:eastAsia="en-AU"/>
        </w:rPr>
      </w:pPr>
      <w:r w:rsidRPr="00286A88">
        <w:rPr>
          <w:lang w:val="en-AU" w:eastAsia="en-AU"/>
        </w:rPr>
        <w:t>Commercial broilers are typically reared in low complexity environments, under low-level lighting, with minimal stimulation. Many studies have attempted to utilise environmental enrichment and to improve broiler welfare by encouraging activity and the expanse of the behavioural repertoire, with varying success.</w:t>
      </w:r>
    </w:p>
    <w:p w14:paraId="10FFC833" w14:textId="77777777" w:rsidR="00286A88" w:rsidRPr="00286A88" w:rsidRDefault="00286A88" w:rsidP="00BF0E6A">
      <w:pPr>
        <w:pStyle w:val="Heading3"/>
        <w:rPr>
          <w:lang w:val="en-AU" w:eastAsia="en-AU"/>
        </w:rPr>
      </w:pPr>
      <w:bookmarkStart w:id="108" w:name="_Toc495310577"/>
      <w:r w:rsidRPr="00286A88">
        <w:rPr>
          <w:lang w:val="en-AU" w:eastAsia="en-AU"/>
        </w:rPr>
        <w:t>B5.1 System type</w:t>
      </w:r>
      <w:bookmarkEnd w:id="108"/>
    </w:p>
    <w:p w14:paraId="3FB002B4" w14:textId="77777777" w:rsidR="00286A88" w:rsidRPr="00BF0E6A" w:rsidRDefault="00286A88" w:rsidP="00BF0E6A">
      <w:pPr>
        <w:rPr>
          <w:i/>
          <w:lang w:val="en-AU" w:eastAsia="en-AU"/>
        </w:rPr>
      </w:pPr>
      <w:r w:rsidRPr="00BF0E6A">
        <w:rPr>
          <w:i/>
          <w:lang w:val="en-AU" w:eastAsia="en-AU"/>
        </w:rPr>
        <w:t xml:space="preserve">Fast-growing breeds, selected for productive performance, do not perform well under extended production </w:t>
      </w:r>
      <w:r w:rsidR="0093306E">
        <w:rPr>
          <w:i/>
          <w:lang w:val="en-AU" w:eastAsia="en-AU"/>
        </w:rPr>
        <w:t xml:space="preserve">and </w:t>
      </w:r>
      <w:r w:rsidRPr="00BF0E6A">
        <w:rPr>
          <w:i/>
          <w:lang w:val="en-AU" w:eastAsia="en-AU"/>
        </w:rPr>
        <w:t>should not be used in extensive systems</w:t>
      </w:r>
      <w:r w:rsidR="0093306E">
        <w:rPr>
          <w:i/>
          <w:lang w:val="en-AU" w:eastAsia="en-AU"/>
        </w:rPr>
        <w:t>. C</w:t>
      </w:r>
      <w:r w:rsidRPr="00BF0E6A">
        <w:rPr>
          <w:i/>
          <w:lang w:val="en-AU" w:eastAsia="en-AU"/>
        </w:rPr>
        <w:t>age housing triggers fear and stress in broilers.</w:t>
      </w:r>
    </w:p>
    <w:p w14:paraId="5E648A61" w14:textId="77777777" w:rsidR="00286A88" w:rsidRPr="00286A88" w:rsidRDefault="00286A88" w:rsidP="00BF0E6A">
      <w:pPr>
        <w:rPr>
          <w:rFonts w:cs="Cheltenham-BookCond"/>
          <w:lang w:val="en-AU" w:eastAsia="en-AU"/>
        </w:rPr>
      </w:pPr>
      <w:r w:rsidRPr="00286A88">
        <w:rPr>
          <w:lang w:val="en-AU" w:eastAsia="en-AU"/>
        </w:rPr>
        <w:t xml:space="preserve">The vast majority of broilers are kept in indoor floor systems. If a free-range system is used, then the genotype must be carefully selected. </w:t>
      </w:r>
      <w:r w:rsidRPr="00286A88">
        <w:rPr>
          <w:rFonts w:cs="Cheltenham-BookCond"/>
          <w:lang w:val="en-AU" w:eastAsia="en-AU"/>
        </w:rPr>
        <w:t xml:space="preserve">The use of fast-growing genotypes in organic broiler poultry production can create severe problems for animal welfare. </w:t>
      </w:r>
      <w:r w:rsidRPr="00286A88">
        <w:rPr>
          <w:rFonts w:cs="AdvP4CD4D0"/>
          <w:lang w:val="en-AU" w:eastAsia="en-AU"/>
        </w:rPr>
        <w:t>Ross broilers (208 and 308 strains) have a growth rate unsuited for an extended (12 week) production cycle in a free-range system and demonstrate a poor welfare status after 70 days including poor</w:t>
      </w:r>
      <w:r w:rsidRPr="00286A88">
        <w:rPr>
          <w:rFonts w:cs="Cheltenham-BookCond"/>
          <w:lang w:val="en-AU" w:eastAsia="en-AU"/>
        </w:rPr>
        <w:t xml:space="preserve"> plumage, a high culling and mortality rate, impaired mobility, joint inflammation, pectoral myopathies, severe FPD, breast blisters, and high fearfulness (</w:t>
      </w:r>
      <w:r w:rsidRPr="00286A88">
        <w:rPr>
          <w:rFonts w:cs="AdvP4CD4D0"/>
          <w:lang w:val="en-AU" w:eastAsia="en-AU"/>
        </w:rPr>
        <w:t xml:space="preserve">Nielsen et al., 2003b; </w:t>
      </w:r>
      <w:r w:rsidRPr="00286A88">
        <w:rPr>
          <w:rFonts w:cs="Cheltenham-BookCond"/>
          <w:lang w:val="en-AU" w:eastAsia="en-AU"/>
        </w:rPr>
        <w:t>Dal Bosco et al., 2014;</w:t>
      </w:r>
      <w:r w:rsidRPr="00286A88">
        <w:rPr>
          <w:rFonts w:cs="AdvOT46dcae81"/>
          <w:lang w:val="en-AU" w:eastAsia="en-AU"/>
        </w:rPr>
        <w:t xml:space="preserve"> Castellini et al., 2016</w:t>
      </w:r>
      <w:r w:rsidRPr="00286A88">
        <w:rPr>
          <w:rFonts w:cs="Cheltenham-BookCond"/>
          <w:lang w:val="en-AU" w:eastAsia="en-AU"/>
        </w:rPr>
        <w:t xml:space="preserve">). In addition, they demonstrate high inactivity and </w:t>
      </w:r>
      <w:r w:rsidRPr="00286A88">
        <w:rPr>
          <w:rFonts w:cs="AdvP4CD4D0"/>
          <w:lang w:val="en-AU" w:eastAsia="en-AU"/>
        </w:rPr>
        <w:t xml:space="preserve">make low use of the outdoor space (Nielsen et al., 2003b; </w:t>
      </w:r>
      <w:r w:rsidRPr="00286A88">
        <w:rPr>
          <w:rFonts w:cs="AdvOT46dcae81"/>
          <w:lang w:val="en-AU" w:eastAsia="en-AU"/>
        </w:rPr>
        <w:t>Castellini et al., 2016</w:t>
      </w:r>
      <w:r w:rsidRPr="00286A88">
        <w:rPr>
          <w:rFonts w:cs="Cheltenham-BookCond"/>
          <w:lang w:val="en-AU" w:eastAsia="en-AU"/>
        </w:rPr>
        <w:t>). Of two medium-grow breeds a Naked Neck genotype appeared to be better adapted to an organic environment than a Kabir genotype (FPD: 20 vs 60%; breast blisters: 0 vs 20%), although productive yields were slightly lower (Dal Bosco et al., 2014).</w:t>
      </w:r>
      <w:r w:rsidRPr="00286A88">
        <w:rPr>
          <w:lang w:val="en-AU" w:eastAsia="en-AU"/>
        </w:rPr>
        <w:t xml:space="preserve"> The </w:t>
      </w:r>
      <w:r w:rsidRPr="00286A88">
        <w:rPr>
          <w:rFonts w:cs="AdvP4CD4D0"/>
          <w:lang w:val="en-AU" w:eastAsia="en-AU"/>
        </w:rPr>
        <w:t>occurrence of feather-pecking and cannibalism by a medium-grow experimental Labresse-cross housed in a free-range system was a very unusual observation for any broiler flock, let alone one housed extensively (</w:t>
      </w:r>
      <w:r w:rsidRPr="00286A88">
        <w:rPr>
          <w:szCs w:val="16"/>
          <w:lang w:val="en-AU" w:eastAsia="en-AU"/>
        </w:rPr>
        <w:t xml:space="preserve">Nielsen et al., 2003b); the authors raise doubt on this particular genotype’s suitability for </w:t>
      </w:r>
      <w:r w:rsidRPr="00286A88">
        <w:rPr>
          <w:rFonts w:cs="AdvP4CD4D0"/>
          <w:lang w:val="en-AU" w:eastAsia="en-AU"/>
        </w:rPr>
        <w:t>meat-type poultry production under any system.</w:t>
      </w:r>
    </w:p>
    <w:p w14:paraId="521DA705" w14:textId="77777777" w:rsidR="00286A88" w:rsidRPr="00286A88" w:rsidRDefault="00286A88" w:rsidP="00BF0E6A">
      <w:pPr>
        <w:rPr>
          <w:rFonts w:cs="AdvTT6120e2aa"/>
          <w:lang w:val="en-AU" w:eastAsia="en-AU"/>
        </w:rPr>
      </w:pPr>
      <w:r w:rsidRPr="00286A88">
        <w:rPr>
          <w:rFonts w:cs="AdvTT6120e2aa"/>
          <w:lang w:val="en-AU" w:eastAsia="en-AU"/>
        </w:rPr>
        <w:t xml:space="preserve">Certain aspects of welfare (for suitable strains) appear to be better on organic and/or free-range farms than conventional farms, most notably the opportunity for expression of natural behaviours (see B6.2). Although higher FPD levels have been associated with outdoor access (see B3.4), Tuyttens et al. (2008) observed organically reared broilers to have better leg health (less HB and longer LTL) and lower fluctuating asymmetry measures than conventional flocks. Lower HB in organic broilers has also been reported by </w:t>
      </w:r>
      <w:r w:rsidRPr="00286A88">
        <w:rPr>
          <w:rFonts w:cs="AdvP4CD4D2"/>
          <w:lang w:val="en-AU" w:eastAsia="en-AU"/>
        </w:rPr>
        <w:t xml:space="preserve">Broom and Reefmann (2005). </w:t>
      </w:r>
      <w:r w:rsidRPr="00286A88">
        <w:rPr>
          <w:rFonts w:cs="AdvTT6120e2aa"/>
          <w:lang w:val="en-AU" w:eastAsia="en-AU"/>
        </w:rPr>
        <w:t xml:space="preserve">Although </w:t>
      </w:r>
      <w:r w:rsidRPr="00286A88">
        <w:rPr>
          <w:rFonts w:cs="AdvTT6120e2aa"/>
          <w:i/>
          <w:lang w:val="en-AU" w:eastAsia="en-AU"/>
        </w:rPr>
        <w:t xml:space="preserve">Campylobacter </w:t>
      </w:r>
      <w:r w:rsidRPr="00286A88">
        <w:rPr>
          <w:rFonts w:cs="AdvTT6120e2aa"/>
          <w:lang w:val="en-AU" w:eastAsia="en-AU"/>
        </w:rPr>
        <w:t>prevalence was similar, levels of alpha-1-acid glycoprotein, an acute phase protein indicative of immunological challenge, was elevated in organic flocks (Tuyttens et al., 2008).</w:t>
      </w:r>
    </w:p>
    <w:p w14:paraId="569D475A" w14:textId="77777777" w:rsidR="00286A88" w:rsidRPr="00286A88" w:rsidRDefault="00286A88" w:rsidP="00BF0E6A">
      <w:pPr>
        <w:rPr>
          <w:rFonts w:cs="AdvTT6120e2aa"/>
          <w:lang w:val="en-AU" w:eastAsia="en-AU"/>
        </w:rPr>
      </w:pPr>
      <w:r w:rsidRPr="00286A88">
        <w:rPr>
          <w:rFonts w:cs="UVCharter-Regular"/>
          <w:lang w:val="en-AU" w:eastAsia="en-AU"/>
        </w:rPr>
        <w:t>Very few recent studies have been conducted on the welfare of cage-housed broilers, as this is not a common housing system. E</w:t>
      </w:r>
      <w:r w:rsidRPr="00286A88">
        <w:rPr>
          <w:lang w:val="en-AU" w:eastAsia="en-AU"/>
        </w:rPr>
        <w:t xml:space="preserve">vidence for reduced welfare in cage batteries includes higher blood glucose (Skomorucha and Muchacka, 2007; </w:t>
      </w:r>
      <w:r w:rsidRPr="00286A88">
        <w:rPr>
          <w:bCs/>
          <w:lang w:val="en-AU" w:eastAsia="en-AU"/>
        </w:rPr>
        <w:t>Özhan et al., 2016</w:t>
      </w:r>
      <w:r w:rsidRPr="00286A88">
        <w:rPr>
          <w:lang w:val="en-AU" w:eastAsia="en-AU"/>
        </w:rPr>
        <w:t>)</w:t>
      </w:r>
      <w:r w:rsidRPr="00286A88">
        <w:rPr>
          <w:rFonts w:cs="Cheltenham-BookCond"/>
          <w:lang w:val="en-AU" w:eastAsia="en-AU"/>
        </w:rPr>
        <w:t xml:space="preserve"> and increased f</w:t>
      </w:r>
      <w:r w:rsidRPr="00286A88">
        <w:rPr>
          <w:lang w:val="en-AU" w:eastAsia="en-AU"/>
        </w:rPr>
        <w:t xml:space="preserve">earfulness (Skomorucha and Muchacka, 2007). </w:t>
      </w:r>
      <w:r w:rsidRPr="00286A88">
        <w:rPr>
          <w:rFonts w:cs="UVCharter-Regular"/>
          <w:lang w:val="en-AU" w:eastAsia="en-AU"/>
        </w:rPr>
        <w:t>Broilers housed in small groups (n=37) on litter were seen to perform more aggressive behaviour, preening and wing-flapping behaviour than cage-housed broilers, and they had higher final live-weights</w:t>
      </w:r>
      <w:r w:rsidRPr="00286A88">
        <w:rPr>
          <w:rFonts w:cs="Cheltenham-BookCond"/>
          <w:lang w:val="en-AU" w:eastAsia="en-AU"/>
        </w:rPr>
        <w:t xml:space="preserve"> (Fortomaris et al., 2007). </w:t>
      </w:r>
      <w:r w:rsidRPr="00286A88">
        <w:rPr>
          <w:lang w:val="en-AU" w:eastAsia="en-AU"/>
        </w:rPr>
        <w:t xml:space="preserve">Cage </w:t>
      </w:r>
      <w:r w:rsidRPr="00286A88">
        <w:rPr>
          <w:rFonts w:cs="TimesNewRomanPSMT"/>
          <w:lang w:val="en-AU" w:eastAsia="en-AU"/>
        </w:rPr>
        <w:t>floor-type appears to be important in breast blister formation; the occurrence of breast blisters was significantly higher in cages with wire netting than in those with plastic or bamboo slats (</w:t>
      </w:r>
      <w:r w:rsidRPr="00286A88">
        <w:rPr>
          <w:rFonts w:cs="AdvP4CD4D0"/>
          <w:lang w:val="en-AU" w:eastAsia="en-AU"/>
        </w:rPr>
        <w:t>Zhao et al., 2009). B</w:t>
      </w:r>
      <w:r w:rsidRPr="00286A88">
        <w:rPr>
          <w:lang w:val="en-AU" w:eastAsia="en-AU"/>
        </w:rPr>
        <w:t>oth the i</w:t>
      </w:r>
      <w:r w:rsidRPr="00286A88">
        <w:rPr>
          <w:rFonts w:cs="Myriad Pro"/>
          <w:lang w:val="en-AU" w:eastAsia="en-AU"/>
        </w:rPr>
        <w:t>ncidence and severity of FPD has been found to be higher in solid floor than in wire floor (cage) housing systems (</w:t>
      </w:r>
      <w:r w:rsidRPr="00286A88">
        <w:rPr>
          <w:rFonts w:cs="Sgwnfgpqvgvqqznzkxzzzvbnzsn"/>
          <w:lang w:val="en-AU" w:eastAsia="en-AU"/>
        </w:rPr>
        <w:t xml:space="preserve">Cengiz et al., 2013; </w:t>
      </w:r>
      <w:r w:rsidRPr="00286A88">
        <w:rPr>
          <w:rFonts w:cs="Myriad Pro"/>
          <w:lang w:val="en-AU" w:eastAsia="en-AU"/>
        </w:rPr>
        <w:t>Simsek et al., 2014), although this could potentially have been alleviated with improved litter quality.</w:t>
      </w:r>
    </w:p>
    <w:p w14:paraId="6AC72E0C" w14:textId="77777777" w:rsidR="00286A88" w:rsidRPr="00286A88" w:rsidRDefault="00286A88" w:rsidP="00BF0E6A">
      <w:pPr>
        <w:pStyle w:val="Heading3"/>
        <w:rPr>
          <w:lang w:val="en-AU" w:eastAsia="en-AU"/>
        </w:rPr>
      </w:pPr>
      <w:bookmarkStart w:id="109" w:name="_Toc495310578"/>
      <w:r w:rsidRPr="00286A88">
        <w:rPr>
          <w:lang w:val="en-AU" w:eastAsia="en-AU"/>
        </w:rPr>
        <w:t>B5.2 Litter substrate</w:t>
      </w:r>
      <w:bookmarkEnd w:id="109"/>
    </w:p>
    <w:p w14:paraId="763E60D7" w14:textId="77777777" w:rsidR="00286A88" w:rsidRPr="00BF0E6A" w:rsidRDefault="00286A88" w:rsidP="00BF0E6A">
      <w:pPr>
        <w:rPr>
          <w:rFonts w:cs="Arial"/>
          <w:i/>
          <w:lang w:val="en-AU" w:eastAsia="en-GB"/>
        </w:rPr>
      </w:pPr>
      <w:r w:rsidRPr="00BF0E6A">
        <w:rPr>
          <w:i/>
          <w:lang w:val="en-AU" w:eastAsia="en-AU"/>
        </w:rPr>
        <w:t>Although sand is a ‘preferred’ substrate for performing dust-bathing and comfort behaviours, wood-shavings are a suitable alternative litter-type.</w:t>
      </w:r>
    </w:p>
    <w:p w14:paraId="52161A41" w14:textId="77777777" w:rsidR="00286A88" w:rsidRPr="00286A88" w:rsidRDefault="00286A88" w:rsidP="00BF0E6A">
      <w:pPr>
        <w:rPr>
          <w:lang w:val="en-AU" w:eastAsia="en-GB"/>
        </w:rPr>
      </w:pPr>
      <w:r w:rsidRPr="00286A88">
        <w:rPr>
          <w:lang w:val="en-AU" w:eastAsia="en-GB"/>
        </w:rPr>
        <w:t>When given a choice between sand and wood-shavings as litter, broilers increasingly performed the majority of their total behavioural time budget on sand (including preening and dust-bathing) (Shields et al., 2005;</w:t>
      </w:r>
      <w:r w:rsidRPr="00286A88">
        <w:rPr>
          <w:rFonts w:cs="AdvP4DF60E"/>
          <w:lang w:val="en-AU" w:eastAsia="en-AU"/>
        </w:rPr>
        <w:t xml:space="preserve"> Toghyani et al., 2010</w:t>
      </w:r>
      <w:r w:rsidRPr="00286A88">
        <w:rPr>
          <w:lang w:val="en-AU" w:eastAsia="en-GB"/>
        </w:rPr>
        <w:t xml:space="preserve">), but if only one litter-type was provided </w:t>
      </w:r>
      <w:r w:rsidRPr="00286A88">
        <w:rPr>
          <w:rFonts w:cs="Times New Roman"/>
          <w:lang w:val="en-AU" w:eastAsia="en-AU"/>
        </w:rPr>
        <w:t xml:space="preserve">(sand or wood-shavings) </w:t>
      </w:r>
      <w:r w:rsidRPr="00286A88">
        <w:rPr>
          <w:lang w:val="en-AU" w:eastAsia="en-GB"/>
        </w:rPr>
        <w:t>they performed all behaviours on either material with similar frequency (Shields et al., 2005).</w:t>
      </w:r>
    </w:p>
    <w:p w14:paraId="34FA1D16" w14:textId="77777777" w:rsidR="00286A88" w:rsidRPr="00286A88" w:rsidRDefault="00286A88" w:rsidP="00BF0E6A">
      <w:pPr>
        <w:pStyle w:val="Heading3"/>
        <w:rPr>
          <w:lang w:val="en-AU" w:eastAsia="en-GB"/>
        </w:rPr>
      </w:pPr>
      <w:bookmarkStart w:id="110" w:name="_Toc495310579"/>
      <w:r w:rsidRPr="00286A88">
        <w:rPr>
          <w:lang w:val="en-AU" w:eastAsia="en-GB"/>
        </w:rPr>
        <w:t>B5.3 Use of perches and elevated structures</w:t>
      </w:r>
      <w:bookmarkEnd w:id="110"/>
    </w:p>
    <w:p w14:paraId="7A3A96ED" w14:textId="77777777" w:rsidR="00286A88" w:rsidRPr="00BF0E6A" w:rsidRDefault="00286A88" w:rsidP="00BF0E6A">
      <w:pPr>
        <w:rPr>
          <w:rFonts w:cs="AdvP403A40"/>
          <w:i/>
          <w:lang w:val="en-AU" w:eastAsia="en-AU"/>
        </w:rPr>
      </w:pPr>
      <w:r w:rsidRPr="00BF0E6A">
        <w:rPr>
          <w:i/>
          <w:lang w:val="en-AU" w:eastAsia="en-AU"/>
        </w:rPr>
        <w:t>Perch provision does not appear to be particularly useful for broilers given their limited use. Straw bales or low wooden barriers increase activity, encourage perching behaviour and provide additional resting areas and ‘cover’; s</w:t>
      </w:r>
      <w:r w:rsidRPr="00BF0E6A">
        <w:rPr>
          <w:rFonts w:cs="AdvP403A40"/>
          <w:i/>
          <w:lang w:val="en-AU" w:eastAsia="en-AU"/>
        </w:rPr>
        <w:t>traw bales provide additional pecking enrichment, are readily available and easily disposed of at the end of a cycle.</w:t>
      </w:r>
    </w:p>
    <w:p w14:paraId="34BCFC4F" w14:textId="77777777" w:rsidR="00286A88" w:rsidRPr="00286A88" w:rsidRDefault="00286A88" w:rsidP="00BF0E6A">
      <w:pPr>
        <w:rPr>
          <w:lang w:val="en-AU" w:eastAsia="en-AU"/>
        </w:rPr>
      </w:pPr>
      <w:r w:rsidRPr="00286A88">
        <w:rPr>
          <w:rFonts w:cs="AdvP4CD4D0"/>
          <w:lang w:val="en-AU" w:eastAsia="en-AU"/>
        </w:rPr>
        <w:t xml:space="preserve">Broilers </w:t>
      </w:r>
      <w:r w:rsidRPr="00286A88">
        <w:rPr>
          <w:lang w:val="en-AU" w:eastAsia="en-GB"/>
        </w:rPr>
        <w:t xml:space="preserve">frequently perch on straw bales when they are provided (Kells et al., 2001; </w:t>
      </w:r>
      <w:r w:rsidR="0093306E" w:rsidRPr="00286A88">
        <w:rPr>
          <w:lang w:val="en-AU" w:eastAsia="en-GB"/>
        </w:rPr>
        <w:t>Bailie et al., 2013</w:t>
      </w:r>
      <w:r w:rsidR="0093306E">
        <w:rPr>
          <w:lang w:val="en-AU" w:eastAsia="en-GB"/>
        </w:rPr>
        <w:t xml:space="preserve">; </w:t>
      </w:r>
      <w:r w:rsidRPr="00286A88">
        <w:rPr>
          <w:rFonts w:cs="AdvP4CD4D0"/>
          <w:lang w:val="en-AU" w:eastAsia="en-AU"/>
        </w:rPr>
        <w:t>Ohara et al., 2015</w:t>
      </w:r>
      <w:r w:rsidRPr="00286A88">
        <w:rPr>
          <w:lang w:val="en-AU" w:eastAsia="en-GB"/>
        </w:rPr>
        <w:t xml:space="preserve">); however, some experimental studies on actual perch use indicate that these are only used to a modest degree, by 1-7% of birds on average </w:t>
      </w:r>
      <w:r w:rsidRPr="00286A88">
        <w:rPr>
          <w:rFonts w:eastAsia="NELEB D+ MTSY"/>
          <w:lang w:val="en-AU" w:eastAsia="en-AU"/>
        </w:rPr>
        <w:t>(</w:t>
      </w:r>
      <w:r w:rsidRPr="00286A88">
        <w:rPr>
          <w:lang w:val="en-AU" w:eastAsia="en-AU"/>
        </w:rPr>
        <w:t>LeVan et al., 2000;</w:t>
      </w:r>
      <w:r w:rsidRPr="00286A88">
        <w:rPr>
          <w:rFonts w:eastAsia="NELEB D+ MTSY"/>
          <w:lang w:val="en-AU" w:eastAsia="en-AU"/>
        </w:rPr>
        <w:t xml:space="preserve"> Su et al., 2000; Pettit-Riley and Estevez, 2001; </w:t>
      </w:r>
      <w:r w:rsidRPr="00286A88">
        <w:rPr>
          <w:lang w:val="en-AU" w:eastAsia="en-GB"/>
        </w:rPr>
        <w:t>Hongchao et al., 2013). Perch design is obviously very important. The majority of these studies created low (8.5 cm high) perches out of PVC piping, whereas slightly higher (15 cm) horizontal wooden designs appear to be preferred; fast-grow broilers have been reported to perch for as much as 10-25% of their time on the latter (</w:t>
      </w:r>
      <w:r w:rsidRPr="00286A88">
        <w:rPr>
          <w:lang w:val="en-AU" w:eastAsia="en-AU"/>
        </w:rPr>
        <w:t xml:space="preserve">Bizeray et al., 2002b; Bokkers and Koene, 2003a; Ventura et al., 2012; </w:t>
      </w:r>
      <w:r w:rsidRPr="00286A88">
        <w:rPr>
          <w:rFonts w:cs="AdvOTeea082cb"/>
          <w:lang w:val="en-AU" w:eastAsia="en-AU"/>
        </w:rPr>
        <w:t xml:space="preserve">Bailie and O’Connell, 2015). Perch diameter is usually 4-5 cm in these studies. Perch height appears to be critical, even for extensive breeds; </w:t>
      </w:r>
      <w:r w:rsidRPr="00286A88">
        <w:rPr>
          <w:rFonts w:eastAsia="NELEB D+ MTSY"/>
          <w:lang w:val="en-AU" w:eastAsia="en-AU"/>
        </w:rPr>
        <w:t xml:space="preserve">Rodriguez-Aurrekoetxea et al. (2015) observed slow-grow broilers to only spend 0-3% of their time on a horizontal 25 cm high perch. </w:t>
      </w:r>
      <w:r w:rsidRPr="00286A88">
        <w:rPr>
          <w:rFonts w:cs="NELDB G+ Gulliver RM"/>
          <w:lang w:val="en-AU" w:eastAsia="en-AU"/>
        </w:rPr>
        <w:t>Broilers have been observed to use low perches (10 cm) more than high perches (30 cm) at 5 weeks (</w:t>
      </w:r>
      <w:r w:rsidRPr="00286A88">
        <w:rPr>
          <w:rFonts w:cs="AdvP4CD4D0"/>
          <w:lang w:val="en-AU" w:eastAsia="en-AU"/>
        </w:rPr>
        <w:t xml:space="preserve">Norring et al., 2016), although this is likely to reflect physical challenge rather than a lack of motivation to access an elevated position. </w:t>
      </w:r>
      <w:r w:rsidRPr="00286A88">
        <w:rPr>
          <w:lang w:val="en-AU" w:eastAsia="en-AU"/>
        </w:rPr>
        <w:t>Broilers tend to use horizontal perches the most, with roosting decreasing as the perch inclination increased from 10°</w:t>
      </w:r>
      <w:r w:rsidRPr="00286A88">
        <w:rPr>
          <w:rFonts w:cs="MathematicalPi-One"/>
          <w:lang w:val="en-AU" w:eastAsia="en-AU"/>
        </w:rPr>
        <w:t xml:space="preserve"> </w:t>
      </w:r>
      <w:r w:rsidRPr="00286A88">
        <w:rPr>
          <w:lang w:val="en-AU" w:eastAsia="en-AU"/>
        </w:rPr>
        <w:t>to 20</w:t>
      </w:r>
      <w:r w:rsidRPr="00286A88">
        <w:rPr>
          <w:rFonts w:cs="MathematicalPi-One"/>
          <w:lang w:val="en-AU" w:eastAsia="en-AU"/>
        </w:rPr>
        <w:t>° (</w:t>
      </w:r>
      <w:r w:rsidRPr="00286A88">
        <w:rPr>
          <w:rFonts w:cs="Palatino-Roman"/>
          <w:lang w:val="en-AU" w:eastAsia="en-AU"/>
        </w:rPr>
        <w:t>LeVan et al., 2000;</w:t>
      </w:r>
      <w:r w:rsidRPr="00286A88">
        <w:rPr>
          <w:rFonts w:cs="AdvP41153C"/>
          <w:lang w:val="en-AU" w:eastAsia="en-AU"/>
        </w:rPr>
        <w:t xml:space="preserve"> Pettit-Riley and Estevez, 2001). </w:t>
      </w:r>
      <w:r w:rsidRPr="00286A88">
        <w:rPr>
          <w:rFonts w:cs="AdvP4CD4D0"/>
          <w:lang w:val="en-AU" w:eastAsia="en-AU"/>
        </w:rPr>
        <w:t xml:space="preserve">Perch </w:t>
      </w:r>
      <w:r w:rsidRPr="00286A88">
        <w:rPr>
          <w:lang w:val="en-AU" w:eastAsia="en-GB"/>
        </w:rPr>
        <w:t>positioning appears to be less important; a</w:t>
      </w:r>
      <w:r w:rsidRPr="00286A88">
        <w:rPr>
          <w:lang w:val="en-AU" w:eastAsia="en-AU"/>
        </w:rPr>
        <w:t xml:space="preserve">lthough </w:t>
      </w:r>
      <w:r w:rsidRPr="00286A88">
        <w:rPr>
          <w:rFonts w:cs="Palatino-Roman"/>
          <w:lang w:val="en-AU" w:eastAsia="en-AU"/>
        </w:rPr>
        <w:t>LeVan et al. (2000) reported that  p</w:t>
      </w:r>
      <w:r w:rsidRPr="00286A88">
        <w:rPr>
          <w:lang w:val="en-AU" w:eastAsia="en-AU"/>
        </w:rPr>
        <w:t>erches located in the centre of the pen were used more than those located near a wall, the opposite effect was observed in a later study (</w:t>
      </w:r>
      <w:r w:rsidRPr="00286A88">
        <w:rPr>
          <w:rFonts w:cs="AdvP41153C"/>
          <w:lang w:val="en-AU" w:eastAsia="en-AU"/>
        </w:rPr>
        <w:t xml:space="preserve">Pettit-Riley and Estevez, 2001). </w:t>
      </w:r>
      <w:r w:rsidRPr="00286A88">
        <w:rPr>
          <w:rFonts w:cs="AdvP4CD4D0"/>
          <w:lang w:val="en-AU" w:eastAsia="en-AU"/>
        </w:rPr>
        <w:t>Norring et al. (2016) observed e</w:t>
      </w:r>
      <w:r w:rsidRPr="00286A88">
        <w:rPr>
          <w:rFonts w:cs="NELDB G+ Gulliver RM"/>
          <w:lang w:val="en-AU" w:eastAsia="en-AU"/>
        </w:rPr>
        <w:t xml:space="preserve">levated plastic platforms (accessed by ramps) to be much more frequently used than wooden perches in a commercial setting. Use of a </w:t>
      </w:r>
      <w:r w:rsidRPr="00286A88">
        <w:rPr>
          <w:rFonts w:cs="AdvP4CD4D0"/>
          <w:lang w:val="en-AU" w:eastAsia="en-AU"/>
        </w:rPr>
        <w:t xml:space="preserve">high platform may indicate that broilers were motivated to achieve elevation from the floor level and/or to escape from flock mates. In warmer climates perch </w:t>
      </w:r>
      <w:r w:rsidRPr="00286A88">
        <w:rPr>
          <w:lang w:val="en-AU" w:eastAsia="en-AU"/>
        </w:rPr>
        <w:t>use could be improved by water-cooling. Estevez et al. (2002) observed 8% of birds to perch on cooled perches, whilst 4% perched on non-cooled perches, during the last week of rear.</w:t>
      </w:r>
    </w:p>
    <w:p w14:paraId="51282011" w14:textId="77777777" w:rsidR="00286A88" w:rsidRPr="00286A88" w:rsidRDefault="00286A88" w:rsidP="00BF0E6A">
      <w:pPr>
        <w:rPr>
          <w:rFonts w:cs="OEEIP J+ Gulliver RM"/>
          <w:lang w:val="en-AU" w:eastAsia="en-AU"/>
        </w:rPr>
      </w:pPr>
      <w:r w:rsidRPr="00286A88">
        <w:rPr>
          <w:lang w:val="en-AU" w:eastAsia="en-GB"/>
        </w:rPr>
        <w:t xml:space="preserve">Broilers provided with hay bales are generally more active than control birds (Kells et al., 2001; Bailie et al., 2013; </w:t>
      </w:r>
      <w:r w:rsidRPr="00286A88">
        <w:rPr>
          <w:rFonts w:cs="AdvP4CD4D0"/>
          <w:lang w:val="en-AU" w:eastAsia="en-AU"/>
        </w:rPr>
        <w:t>Ohara et al., 2015</w:t>
      </w:r>
      <w:r w:rsidRPr="00286A88">
        <w:rPr>
          <w:lang w:val="en-AU" w:eastAsia="en-GB"/>
        </w:rPr>
        <w:t>); h</w:t>
      </w:r>
      <w:r w:rsidRPr="00286A88">
        <w:rPr>
          <w:rFonts w:cs="AdvOTeea082cb"/>
          <w:lang w:val="en-AU" w:eastAsia="en-AU"/>
        </w:rPr>
        <w:t>owever, there does appear to be a maximum activity level. Bailie</w:t>
      </w:r>
      <w:r w:rsidRPr="00286A88">
        <w:rPr>
          <w:rFonts w:cs="AdvOTeea082cb+20"/>
          <w:lang w:val="en-AU" w:eastAsia="en-AU"/>
        </w:rPr>
        <w:t xml:space="preserve"> et al. (2</w:t>
      </w:r>
      <w:r w:rsidRPr="00286A88">
        <w:rPr>
          <w:rFonts w:cs="AdvOTeea082cb"/>
          <w:lang w:val="en-AU" w:eastAsia="en-AU"/>
        </w:rPr>
        <w:t xml:space="preserve">014) observed that increasing the number of bales had no additional effect upon activity. </w:t>
      </w:r>
      <w:r w:rsidRPr="00286A88">
        <w:rPr>
          <w:lang w:val="en-AU" w:eastAsia="en-AU"/>
        </w:rPr>
        <w:t>Several studies have failed to show an increase in general locomotor activity following the provision of elevated structures (Bizeray et al., 2002b; Rodriguez-Aurrekoetxea et al., 2015; Norring et al., 2016), while others have reported birds to be less active (</w:t>
      </w:r>
      <w:r w:rsidRPr="00286A88">
        <w:rPr>
          <w:lang w:val="en-AU" w:eastAsia="en-GB"/>
        </w:rPr>
        <w:t xml:space="preserve">Hongchao et al., 2013; </w:t>
      </w:r>
      <w:r w:rsidRPr="00286A88">
        <w:rPr>
          <w:rFonts w:cs="AdvOTeea082cb"/>
          <w:lang w:val="en-AU" w:eastAsia="en-AU"/>
        </w:rPr>
        <w:t>Bailie and O’Connell, 2015</w:t>
      </w:r>
      <w:r w:rsidRPr="00286A88">
        <w:rPr>
          <w:lang w:val="en-AU" w:eastAsia="en-GB"/>
        </w:rPr>
        <w:t xml:space="preserve">). </w:t>
      </w:r>
      <w:r w:rsidRPr="00286A88">
        <w:rPr>
          <w:rFonts w:cs="AdvP403A40"/>
          <w:lang w:val="en-AU" w:eastAsia="en-AU"/>
        </w:rPr>
        <w:t>The provision of wooden barrier perches stimulated some broilers to perch, in preference to lying on the litter (</w:t>
      </w:r>
      <w:r w:rsidRPr="00286A88">
        <w:rPr>
          <w:lang w:val="en-AU" w:eastAsia="en-AU"/>
        </w:rPr>
        <w:t xml:space="preserve">Bizeray et al., 2002b; Ventura et al., 2012) and, due to changes in the way that the birds used the available space, they also </w:t>
      </w:r>
      <w:r w:rsidRPr="00286A88">
        <w:rPr>
          <w:rFonts w:cs="AdvP403A40"/>
          <w:lang w:val="en-AU" w:eastAsia="en-AU"/>
        </w:rPr>
        <w:t>lowered aggression and disturbances (of resting individuals) compared to control environments</w:t>
      </w:r>
      <w:r w:rsidRPr="00286A88">
        <w:rPr>
          <w:rFonts w:cs="Arial"/>
          <w:lang w:val="en-AU" w:eastAsia="en-AU"/>
        </w:rPr>
        <w:t xml:space="preserve"> (Ventura et al., 2012). Interestingly, </w:t>
      </w:r>
      <w:r w:rsidRPr="00286A88">
        <w:rPr>
          <w:rFonts w:cs="AdvP41153C"/>
          <w:lang w:val="en-AU" w:eastAsia="en-AU"/>
        </w:rPr>
        <w:t xml:space="preserve">Pettit-Riley et al. (2002) observed that horizontal or angled perch provision was associated with higher levels of aggression than observed in a non-enriched control environment, the opposite effect than anticipated; however, most aggressive interactions occurred in the open areas of the pen rather than near the perches themselves. </w:t>
      </w:r>
      <w:r w:rsidRPr="00286A88">
        <w:rPr>
          <w:lang w:val="en-AU" w:eastAsia="en-AU"/>
        </w:rPr>
        <w:t xml:space="preserve">Rodriguez-Aurrekoetxea et al. (2014) reported that the provision of perches led to more birds using the central indoor area of the house, resulting in a more </w:t>
      </w:r>
      <w:r w:rsidRPr="00286A88">
        <w:rPr>
          <w:rFonts w:cs="OEEIP J+ Gulliver RM"/>
          <w:lang w:val="en-AU" w:eastAsia="en-AU"/>
        </w:rPr>
        <w:t>homogeneous use of the space.</w:t>
      </w:r>
    </w:p>
    <w:p w14:paraId="0B62FCF4" w14:textId="77777777" w:rsidR="00286A88" w:rsidRPr="00286A88" w:rsidRDefault="00286A88" w:rsidP="00BF0E6A">
      <w:pPr>
        <w:pStyle w:val="Heading3"/>
        <w:rPr>
          <w:lang w:val="en-AU" w:eastAsia="en-AU"/>
        </w:rPr>
      </w:pPr>
      <w:bookmarkStart w:id="111" w:name="_Toc495310580"/>
      <w:r w:rsidRPr="00286A88">
        <w:rPr>
          <w:lang w:val="en-AU" w:eastAsia="en-AU"/>
        </w:rPr>
        <w:t>B5.4 Use of vertical panels</w:t>
      </w:r>
      <w:bookmarkEnd w:id="111"/>
    </w:p>
    <w:p w14:paraId="6F8EC8C5" w14:textId="77777777" w:rsidR="00286A88" w:rsidRPr="00BF0E6A" w:rsidRDefault="00286A88" w:rsidP="00BF0E6A">
      <w:pPr>
        <w:rPr>
          <w:rFonts w:cs="OEEIP J+ Gulliver RM"/>
          <w:i/>
          <w:lang w:val="en-AU" w:eastAsia="en-AU"/>
        </w:rPr>
      </w:pPr>
      <w:r w:rsidRPr="00BF0E6A">
        <w:rPr>
          <w:i/>
          <w:lang w:val="en-AU" w:eastAsia="en-AU"/>
        </w:rPr>
        <w:t>Vertical mesh-covered panels appear to have the potential to improve broiler welfare by decreasing aggression (reducing visual contact) and disturbances (increasing resting), and promoting a more even distribution of birds throughout the pen space.</w:t>
      </w:r>
    </w:p>
    <w:p w14:paraId="53B92D3E" w14:textId="77777777" w:rsidR="00286A88" w:rsidRPr="00286A88" w:rsidRDefault="00286A88" w:rsidP="00BF0E6A">
      <w:pPr>
        <w:rPr>
          <w:rFonts w:cs="Palatino-Roman"/>
          <w:lang w:val="en-AU" w:eastAsia="en-AU"/>
        </w:rPr>
      </w:pPr>
      <w:r w:rsidRPr="00286A88">
        <w:rPr>
          <w:lang w:val="en-AU" w:eastAsia="en-AU"/>
        </w:rPr>
        <w:t xml:space="preserve">Uneven use of space can have deleterious effects on health and comfort, particularly when birds are kept at high densities. Several studies have attempted to increase environmental complexity via the provision of barrier perches and ‘cover’ (vertical mesh panels) to </w:t>
      </w:r>
      <w:r w:rsidRPr="00286A88">
        <w:rPr>
          <w:rFonts w:cs="Times New Roman"/>
          <w:lang w:val="en-AU" w:eastAsia="en-AU"/>
        </w:rPr>
        <w:t>increase locomotory behaviour in the central floor area,</w:t>
      </w:r>
      <w:r w:rsidRPr="00286A88">
        <w:rPr>
          <w:lang w:val="en-AU" w:eastAsia="en-AU"/>
        </w:rPr>
        <w:t xml:space="preserve"> and produce a more homogeneous distribution of birds within the overall floor space </w:t>
      </w:r>
      <w:r w:rsidRPr="00286A88">
        <w:rPr>
          <w:rFonts w:cs="Times New Roman"/>
          <w:lang w:val="en-AU" w:eastAsia="en-AU"/>
        </w:rPr>
        <w:t>(</w:t>
      </w:r>
      <w:r w:rsidRPr="00286A88">
        <w:rPr>
          <w:rFonts w:cs="AdvP41153C"/>
          <w:lang w:val="en-AU" w:eastAsia="en-AU"/>
        </w:rPr>
        <w:t xml:space="preserve">Cornetto and Estevez, 2001b; </w:t>
      </w:r>
      <w:r w:rsidRPr="00286A88">
        <w:rPr>
          <w:rFonts w:cs="Arial"/>
          <w:lang w:val="en-AU" w:eastAsia="en-AU"/>
        </w:rPr>
        <w:t xml:space="preserve">Ventura et al., 2012; </w:t>
      </w:r>
      <w:r w:rsidRPr="00286A88">
        <w:rPr>
          <w:rFonts w:cs="Times New Roman"/>
          <w:lang w:val="en-AU" w:eastAsia="en-AU"/>
        </w:rPr>
        <w:t xml:space="preserve">Rodriguez-Aurrekoetxea et al., 2014; 2015). Disturbances by conspecifics are frequently observed in groups of chickens reared in large groups and at a high density (Arnould and Faure, 2004). </w:t>
      </w:r>
      <w:r w:rsidRPr="00286A88">
        <w:rPr>
          <w:rFonts w:cs="Palatino-Roman"/>
          <w:lang w:val="en-AU" w:eastAsia="en-AU"/>
        </w:rPr>
        <w:t xml:space="preserve">Jostling for space near the wall causes high frequencies of disturbances to those already resting there, more so than in any other part of the pen; </w:t>
      </w:r>
      <w:r w:rsidRPr="00286A88">
        <w:rPr>
          <w:rFonts w:cs="Arial"/>
          <w:shd w:val="clear" w:color="auto" w:fill="FFFFFF"/>
          <w:lang w:val="en-AU" w:eastAsia="en-AU"/>
        </w:rPr>
        <w:t>these disturbances are more prevalent in larger experimental group sizes</w:t>
      </w:r>
      <w:r w:rsidRPr="00286A88">
        <w:rPr>
          <w:rFonts w:cs="Palatino-Roman"/>
          <w:lang w:val="en-AU" w:eastAsia="en-AU"/>
        </w:rPr>
        <w:t xml:space="preserve"> and are associated with mild skin lesions (Cornetto et al., 2002).</w:t>
      </w:r>
      <w:r w:rsidRPr="00286A88">
        <w:rPr>
          <w:rFonts w:cs="Arial"/>
          <w:shd w:val="clear" w:color="auto" w:fill="FFFFFF"/>
          <w:lang w:val="en-AU" w:eastAsia="en-AU"/>
        </w:rPr>
        <w:t xml:space="preserve"> The provision of vertical mesh panels was not found to reduce aggressive interactions</w:t>
      </w:r>
      <w:r w:rsidRPr="00286A88">
        <w:rPr>
          <w:rFonts w:cs="Times New Roman"/>
          <w:lang w:val="en-AU" w:eastAsia="en-AU"/>
        </w:rPr>
        <w:t xml:space="preserve">, but they did </w:t>
      </w:r>
      <w:r w:rsidRPr="00286A88">
        <w:rPr>
          <w:rFonts w:cs="Arial"/>
          <w:shd w:val="clear" w:color="auto" w:fill="FFFFFF"/>
          <w:lang w:val="en-AU" w:eastAsia="en-AU"/>
        </w:rPr>
        <w:t>provide additional resting places and halved the occurrence of wall disturbances (</w:t>
      </w:r>
      <w:r w:rsidRPr="00286A88">
        <w:rPr>
          <w:rFonts w:cs="Palatino-Roman"/>
          <w:lang w:val="en-AU" w:eastAsia="en-AU"/>
        </w:rPr>
        <w:t>Cornetto et al., 2002).</w:t>
      </w:r>
      <w:r w:rsidRPr="00286A88">
        <w:rPr>
          <w:rFonts w:cs="Times New Roman"/>
          <w:lang w:val="en-AU" w:eastAsia="en-AU"/>
        </w:rPr>
        <w:t xml:space="preserve"> </w:t>
      </w:r>
      <w:r w:rsidRPr="00286A88">
        <w:rPr>
          <w:rFonts w:cs="AdvP41153C"/>
          <w:lang w:val="en-AU" w:eastAsia="en-AU"/>
        </w:rPr>
        <w:t>Cornetto and Estevez (2001a) observed that r</w:t>
      </w:r>
      <w:r w:rsidRPr="00286A88">
        <w:rPr>
          <w:rFonts w:cs="Palatino-Roman"/>
          <w:lang w:val="en-AU" w:eastAsia="en-AU"/>
        </w:rPr>
        <w:t>esting time was higher in pens enriched with panels; in a control treatment resting and preening were performed the least in the pen centre, yet under panel provision both were seen to increase.</w:t>
      </w:r>
    </w:p>
    <w:p w14:paraId="02099126" w14:textId="77777777" w:rsidR="00286A88" w:rsidRPr="00286A88" w:rsidRDefault="00286A88" w:rsidP="00BF0E6A">
      <w:pPr>
        <w:pStyle w:val="Heading3"/>
        <w:rPr>
          <w:lang w:val="en-AU" w:eastAsia="en-AU"/>
        </w:rPr>
      </w:pPr>
      <w:bookmarkStart w:id="112" w:name="_Toc495310581"/>
      <w:r w:rsidRPr="00286A88">
        <w:rPr>
          <w:lang w:val="en-AU" w:eastAsia="en-AU"/>
        </w:rPr>
        <w:t>B5.5 Use of other enrichment devices</w:t>
      </w:r>
      <w:bookmarkEnd w:id="112"/>
    </w:p>
    <w:p w14:paraId="44120851" w14:textId="77777777" w:rsidR="00286A88" w:rsidRPr="00BF0E6A" w:rsidRDefault="00286A88" w:rsidP="00BF0E6A">
      <w:pPr>
        <w:rPr>
          <w:rFonts w:cs="Times New Roman"/>
          <w:i/>
          <w:lang w:val="en-AU" w:eastAsia="en-AU"/>
        </w:rPr>
      </w:pPr>
      <w:r w:rsidRPr="00BF0E6A">
        <w:rPr>
          <w:i/>
          <w:lang w:val="en-AU" w:eastAsia="en-AU"/>
        </w:rPr>
        <w:t>Increasing environmental complexity via the provision of (alternating) toys from placement appears to make broilers more adaptable to novelty and better able to cope with fear-inducing stimuli; s</w:t>
      </w:r>
      <w:r w:rsidRPr="00BF0E6A">
        <w:rPr>
          <w:rFonts w:cs="Times New Roman"/>
          <w:i/>
          <w:lang w:val="en-AU" w:eastAsia="en-AU"/>
        </w:rPr>
        <w:t>tring and moving lights do not appear to provide useful ‘enrichment’.</w:t>
      </w:r>
    </w:p>
    <w:p w14:paraId="02D5D709" w14:textId="77777777" w:rsidR="00286A88" w:rsidRPr="00286A88" w:rsidRDefault="00286A88" w:rsidP="00BF0E6A">
      <w:pPr>
        <w:rPr>
          <w:lang w:val="en-AU" w:eastAsia="en-AU"/>
        </w:rPr>
      </w:pPr>
      <w:r w:rsidRPr="00286A88">
        <w:rPr>
          <w:lang w:val="en-AU" w:eastAsia="en-AU"/>
        </w:rPr>
        <w:t>Although the provision of string devices has been a successful approach to reduce feather pecking in both experimental and commercially raised layers (LH3.5), the benefits of hanging string within broiler sheds are less clear.</w:t>
      </w:r>
      <w:r w:rsidRPr="00286A88">
        <w:rPr>
          <w:rFonts w:cs="AdvOTeea082cb"/>
          <w:lang w:val="en-AU" w:eastAsia="en-AU"/>
        </w:rPr>
        <w:t xml:space="preserve"> Bailie and O’Connell (2015) report lower GS in broilers provided with string and frequent string manipulation (especially mid-production cycle); however, no improvement in leg health was indicated by LTL measures, and string provision was associated with lower activity levels towards the end of rear (compared to birds without enrichment). Other studies report </w:t>
      </w:r>
      <w:r w:rsidRPr="00286A88">
        <w:rPr>
          <w:lang w:val="en-AU" w:eastAsia="en-AU"/>
        </w:rPr>
        <w:t>broilers to demonstrate little interest in string when it was provided in either an experimental (Arnould et al., 2004) or commercial (Hocking and Jones, 2006) setting.</w:t>
      </w:r>
    </w:p>
    <w:p w14:paraId="60A722F3" w14:textId="77777777" w:rsidR="00286A88" w:rsidRPr="00286A88" w:rsidRDefault="00286A88" w:rsidP="00BF0E6A">
      <w:pPr>
        <w:rPr>
          <w:lang w:val="en-AU" w:eastAsia="en-AU"/>
        </w:rPr>
      </w:pPr>
      <w:r w:rsidRPr="00286A88">
        <w:rPr>
          <w:lang w:val="en-AU" w:eastAsia="en-AU"/>
        </w:rPr>
        <w:t>The provision of sand trays can attract broilers into floor areas otherwise rarely used and promote increased foraging behaviour, but has no effect upon locomotor activity or tarsal deformities (Arnould et al., 2004). Although dust-bathing in broilers is rarely observed, they will perform this behaviour if given access to a suitable substrate, such as sand (Bokkers and Koene, 2003a; Shields et al., 2004). Broilers were observed to perform more dust-bathing in sand, and spent a greater proportion of their total time located within an area containing sand, than in areas containing rice hulls, paper, or wood-shavings; no dust-bathing was seen to occur in rice hulls (</w:t>
      </w:r>
      <w:r w:rsidRPr="00286A88">
        <w:rPr>
          <w:rFonts w:cs="OEEIP J+ Gulliver RM"/>
          <w:lang w:val="en-AU" w:eastAsia="en-AU"/>
        </w:rPr>
        <w:t xml:space="preserve">Shields et al., 2004). </w:t>
      </w:r>
      <w:r w:rsidRPr="00286A88">
        <w:rPr>
          <w:lang w:val="en-AU" w:eastAsia="en-AU"/>
        </w:rPr>
        <w:t>Dust-bathing has been reported in broilers as old as 12 weeks (Bokkers and Koene, 2003a), demonstrating that this natural behaviour is still possible despite a heavy body mass. Under experimental conditions broilers were also seen to perform dust-bathing on wood shavings (Bokkers and Koene, 2003a), but under commercial conditions litter quality may limit this behaviour.</w:t>
      </w:r>
    </w:p>
    <w:p w14:paraId="06F4A457" w14:textId="77777777" w:rsidR="00286A88" w:rsidRPr="00286A88" w:rsidRDefault="00286A88" w:rsidP="00BF0E6A">
      <w:pPr>
        <w:rPr>
          <w:rFonts w:cs="Palatino-Roman"/>
          <w:lang w:val="en-AU" w:eastAsia="en-AU"/>
        </w:rPr>
      </w:pPr>
      <w:r w:rsidRPr="00286A88">
        <w:rPr>
          <w:rFonts w:cs="Palatino-Roman"/>
          <w:lang w:val="en-AU" w:eastAsia="en-AU"/>
        </w:rPr>
        <w:t>Bizeray et al. (2002c) projected bright moving spots of light onto the pen floor for one hour, four times per day, as an alternative means of increasing environmental complexity; they observed that birds exposed to this experimental treatment had worse leg health than birds housed under control conditions. The lights appear to have suppressed, rather than have stimulated, locomotion and foraging activity.</w:t>
      </w:r>
    </w:p>
    <w:p w14:paraId="725162D6" w14:textId="77777777" w:rsidR="00286A88" w:rsidRPr="00286A88" w:rsidRDefault="00286A88" w:rsidP="00BF0E6A">
      <w:pPr>
        <w:rPr>
          <w:lang w:val="en-AU" w:eastAsia="en-AU"/>
        </w:rPr>
      </w:pPr>
      <w:r w:rsidRPr="00286A88">
        <w:rPr>
          <w:lang w:val="en-AU" w:eastAsia="en-AU"/>
        </w:rPr>
        <w:t xml:space="preserve">Scattering whole wheat onto the litter is not a successful strategy for increasing walking or foraging behaviour in broilers when a standard commercial diet is also provided </w:t>
      </w:r>
      <w:r w:rsidRPr="00286A88">
        <w:rPr>
          <w:i/>
          <w:lang w:val="en-AU" w:eastAsia="en-AU"/>
        </w:rPr>
        <w:t>ad libitum</w:t>
      </w:r>
      <w:r w:rsidRPr="00286A88">
        <w:rPr>
          <w:lang w:val="en-AU" w:eastAsia="en-AU"/>
        </w:rPr>
        <w:t xml:space="preserve"> (Bizeray et al., 2002b; Jordan et al., 2011). In fact, </w:t>
      </w:r>
      <w:r w:rsidRPr="00286A88">
        <w:rPr>
          <w:rFonts w:cs="Palatino-Roman"/>
          <w:lang w:val="en-AU" w:eastAsia="en-AU"/>
        </w:rPr>
        <w:t xml:space="preserve">Bizeray et al. (2002c) observed that GS under the wheat treatment was higher than for birds housed under control conditions. When the feed trough was removed and the food pellets were scattered in the litter an increase in </w:t>
      </w:r>
      <w:r w:rsidRPr="00286A88">
        <w:rPr>
          <w:lang w:val="en-AU" w:eastAsia="en-AU"/>
        </w:rPr>
        <w:t>walking and foraging was observed (Jordan et al., 2011).</w:t>
      </w:r>
    </w:p>
    <w:p w14:paraId="3749A5A7" w14:textId="77777777" w:rsidR="00286A88" w:rsidRPr="00286A88" w:rsidRDefault="00286A88" w:rsidP="00BF0E6A">
      <w:pPr>
        <w:rPr>
          <w:rFonts w:cs="Sgwnfgpqvgvqqznzkxzzzvbnzsn"/>
          <w:lang w:val="en-AU" w:eastAsia="en-AU"/>
        </w:rPr>
      </w:pPr>
      <w:r w:rsidRPr="00286A88">
        <w:rPr>
          <w:rFonts w:cs="Sgwnfgpqvgvqqznzkxzzzvbnzsn"/>
          <w:lang w:val="en-AU" w:eastAsia="en-AU"/>
        </w:rPr>
        <w:t>The provision of toys (balls, plastic bottles, and mirrors) during the first three weeks of placement has been shown to decrease fearfulness during exposure to acute stressors (such as heat stress, noise and crating) when compared to a control group without enrichment (Altan et al., 2013). Novel objects generally only stimulate short-term increases in activity and interest, the reason Altan et al. (2013) regularly rotated the objects between pens in their study. The provision of varying environmental stimuli early-on appeared to make these broilers more adaptable to novelty and better able to cope with fear-inducing stimuli. Fear</w:t>
      </w:r>
      <w:r w:rsidRPr="00286A88">
        <w:rPr>
          <w:lang w:val="en-AU" w:eastAsia="en-AU"/>
        </w:rPr>
        <w:t xml:space="preserve"> reduction should be an important goal of broiler enrichment as excessive fear reactions can have harmful effects such as panic (responsible for inducing mortality via ‘smothers’), in addition to the negative physiological effects associated with chronic stress.</w:t>
      </w:r>
    </w:p>
    <w:p w14:paraId="1F64BF87" w14:textId="77777777" w:rsidR="00286A88" w:rsidRPr="00286A88" w:rsidRDefault="00286A88" w:rsidP="00BF0E6A">
      <w:pPr>
        <w:pStyle w:val="Heading3"/>
        <w:rPr>
          <w:lang w:val="en-AU" w:eastAsia="en-AU"/>
        </w:rPr>
      </w:pPr>
      <w:bookmarkStart w:id="113" w:name="_Toc495310582"/>
      <w:r w:rsidRPr="00286A88">
        <w:rPr>
          <w:lang w:val="en-AU" w:eastAsia="en-AU"/>
        </w:rPr>
        <w:t>B5.6 Health benefits of enrichment</w:t>
      </w:r>
      <w:bookmarkEnd w:id="113"/>
    </w:p>
    <w:p w14:paraId="771458EF" w14:textId="77777777" w:rsidR="00286A88" w:rsidRPr="00BF0E6A" w:rsidRDefault="00286A88" w:rsidP="00BF0E6A">
      <w:pPr>
        <w:rPr>
          <w:i/>
          <w:lang w:val="en-AU" w:eastAsia="en-AU"/>
        </w:rPr>
      </w:pPr>
      <w:r w:rsidRPr="00BF0E6A">
        <w:rPr>
          <w:i/>
          <w:lang w:val="en-AU" w:eastAsia="en-AU"/>
        </w:rPr>
        <w:t xml:space="preserve">The provision of elevated structures may increase activity, reduce disturbances, and improve leg and </w:t>
      </w:r>
      <w:r w:rsidR="00FC573C">
        <w:rPr>
          <w:i/>
          <w:lang w:val="en-AU" w:eastAsia="en-AU"/>
        </w:rPr>
        <w:t>foot pad</w:t>
      </w:r>
      <w:r w:rsidRPr="00BF0E6A">
        <w:rPr>
          <w:i/>
          <w:lang w:val="en-AU" w:eastAsia="en-AU"/>
        </w:rPr>
        <w:t xml:space="preserve"> health in broilers; careful design of the enrichment is required to ensure use (e.g. slow-grow broilers would be more likely to use platforms and bales than perches).</w:t>
      </w:r>
    </w:p>
    <w:p w14:paraId="62A4C02F" w14:textId="77777777" w:rsidR="00286A88" w:rsidRPr="00286A88" w:rsidRDefault="00286A88" w:rsidP="00BF0E6A">
      <w:pPr>
        <w:rPr>
          <w:rFonts w:cs="TimesNewRomanPSMT"/>
          <w:lang w:val="en-AU" w:eastAsia="en-AU"/>
        </w:rPr>
      </w:pPr>
      <w:r w:rsidRPr="00286A88">
        <w:rPr>
          <w:lang w:val="en-AU" w:eastAsia="en-AU"/>
        </w:rPr>
        <w:t xml:space="preserve">Providing greater environmental complexity via the provision of elevated structures has been shown to encourage increased physical activity (Bizeray et al., 2002b; Ventura et al., 2012; Bailie et al., 2013; Ohara et al., 2015; Bailie and O’Connell 2015). </w:t>
      </w:r>
      <w:r w:rsidRPr="00286A88">
        <w:rPr>
          <w:rFonts w:cs="AdvOTeea082cb"/>
          <w:lang w:val="en-AU" w:eastAsia="en-AU"/>
        </w:rPr>
        <w:t>Bailie</w:t>
      </w:r>
      <w:r w:rsidRPr="00286A88">
        <w:rPr>
          <w:rFonts w:cs="AdvOTeea082cb+20"/>
          <w:lang w:val="en-AU" w:eastAsia="en-AU"/>
        </w:rPr>
        <w:t xml:space="preserve"> et al. (</w:t>
      </w:r>
      <w:r w:rsidRPr="00286A88">
        <w:rPr>
          <w:rFonts w:cs="AdvOTeea082cb"/>
          <w:lang w:val="en-AU" w:eastAsia="en-AU"/>
        </w:rPr>
        <w:t>2013) o</w:t>
      </w:r>
      <w:r w:rsidRPr="00286A88">
        <w:rPr>
          <w:rFonts w:cs="AdvFrutiger-RC"/>
          <w:lang w:val="en-AU" w:eastAsia="en-AU"/>
        </w:rPr>
        <w:t xml:space="preserve">bserved leg health to be better in broilers housed under natural light and with the provision of straw bales, compared to birds without. Perch provision has been linked with improvements in several bone parameters. </w:t>
      </w:r>
      <w:r w:rsidRPr="00286A88">
        <w:rPr>
          <w:rFonts w:cs="UVCharter-Regular"/>
          <w:lang w:val="en-AU" w:eastAsia="en-AU"/>
        </w:rPr>
        <w:t xml:space="preserve">Birgul et al. (2012) reported greater angular bone deformation in broilers housed without perches, and lower TD in groups of broilers demonstrating high perch usage. Birds housed under greater </w:t>
      </w:r>
      <w:r w:rsidRPr="00286A88">
        <w:rPr>
          <w:rFonts w:eastAsia="ComputerModern-Regular" w:cs="ComputerModern-Regular"/>
          <w:lang w:val="en-AU" w:eastAsia="en-AU"/>
        </w:rPr>
        <w:t xml:space="preserve">environmental complexity (barrier perches) were observed to have greater symmetry in tibial length (Ventura et al., 2010) and an increased diameter of the </w:t>
      </w:r>
      <w:r w:rsidRPr="00286A88">
        <w:rPr>
          <w:rFonts w:cs="Palatino-Roman"/>
          <w:lang w:val="en-AU" w:eastAsia="en-AU"/>
        </w:rPr>
        <w:t>tibia diaphysis, although TD itself was not reduced</w:t>
      </w:r>
      <w:r w:rsidRPr="00286A88">
        <w:rPr>
          <w:rFonts w:eastAsia="ComputerModern-Regular" w:cs="ComputerModern-Regular"/>
          <w:lang w:val="en-AU" w:eastAsia="en-AU"/>
        </w:rPr>
        <w:t xml:space="preserve"> </w:t>
      </w:r>
      <w:r w:rsidRPr="00286A88">
        <w:rPr>
          <w:rFonts w:cs="Palatino-Roman"/>
          <w:lang w:val="en-AU" w:eastAsia="en-AU"/>
        </w:rPr>
        <w:t>(Bizeray et al., 2002c).</w:t>
      </w:r>
      <w:r w:rsidRPr="00286A88">
        <w:rPr>
          <w:rFonts w:eastAsia="ComputerModern-Regular" w:cs="ComputerModern-Regular"/>
          <w:lang w:val="en-AU" w:eastAsia="en-AU"/>
        </w:rPr>
        <w:t xml:space="preserve"> </w:t>
      </w:r>
      <w:r w:rsidRPr="00286A88">
        <w:rPr>
          <w:rFonts w:cs="UVCharter-Regular"/>
          <w:lang w:val="en-AU" w:eastAsia="en-AU"/>
        </w:rPr>
        <w:t xml:space="preserve">Several studies report no differences in walking ability </w:t>
      </w:r>
      <w:r w:rsidRPr="00286A88">
        <w:rPr>
          <w:lang w:val="en-AU" w:eastAsia="en-GB"/>
        </w:rPr>
        <w:t>(</w:t>
      </w:r>
      <w:r w:rsidR="0080779A" w:rsidRPr="00286A88">
        <w:rPr>
          <w:rFonts w:cs="Palatino-Roman"/>
          <w:lang w:val="en-AU" w:eastAsia="en-AU"/>
        </w:rPr>
        <w:t>LeVan et al., 2000</w:t>
      </w:r>
      <w:r w:rsidR="0080779A">
        <w:rPr>
          <w:rFonts w:cs="Palatino-Roman"/>
          <w:lang w:val="en-AU" w:eastAsia="en-AU"/>
        </w:rPr>
        <w:t xml:space="preserve">; </w:t>
      </w:r>
      <w:r w:rsidRPr="00286A88">
        <w:rPr>
          <w:rFonts w:cs="Palatino-Roman"/>
          <w:lang w:val="en-AU" w:eastAsia="en-AU"/>
        </w:rPr>
        <w:t xml:space="preserve">Su et al., 2000; </w:t>
      </w:r>
      <w:r w:rsidRPr="00286A88">
        <w:rPr>
          <w:lang w:val="en-AU" w:eastAsia="en-GB"/>
        </w:rPr>
        <w:t xml:space="preserve">Hongchao et al., 2013); however, these studies also describe low perch use. </w:t>
      </w:r>
      <w:r w:rsidRPr="00286A88">
        <w:rPr>
          <w:rFonts w:eastAsia="ComputerModern-Regular" w:cs="ComputerModern-Regular"/>
          <w:lang w:val="en-AU" w:eastAsia="en-AU"/>
        </w:rPr>
        <w:t>Martrenchar et al. (2000) found that t</w:t>
      </w:r>
      <w:r w:rsidRPr="00286A88">
        <w:rPr>
          <w:rFonts w:cs="RealpageBAS4"/>
          <w:lang w:val="en-AU" w:eastAsia="en-AU"/>
        </w:rPr>
        <w:t xml:space="preserve">ibial breaking strengths were unrelated to perch provision or perch use, but even this study only reported a maximum of 5% of birds perching. </w:t>
      </w:r>
      <w:r w:rsidRPr="00286A88">
        <w:rPr>
          <w:rFonts w:cs="TimesNewRomanPSMT"/>
          <w:lang w:val="en-AU" w:eastAsia="en-AU"/>
        </w:rPr>
        <w:t>Simsek et al. (2009a) also report bone quality to be similar between a group of fast-grow broilers provided with perches and a control group; however, they did not monitor perch use.</w:t>
      </w:r>
    </w:p>
    <w:p w14:paraId="656DB28C" w14:textId="77777777" w:rsidR="00286A88" w:rsidRPr="00286A88" w:rsidRDefault="00286A88" w:rsidP="00BF0E6A">
      <w:pPr>
        <w:rPr>
          <w:rFonts w:cs="AdvP4CD4D0"/>
          <w:lang w:val="en-AU" w:eastAsia="en-AU"/>
        </w:rPr>
      </w:pPr>
      <w:r w:rsidRPr="00286A88">
        <w:rPr>
          <w:lang w:val="en-AU" w:eastAsia="en-AU"/>
        </w:rPr>
        <w:t xml:space="preserve">Further benefits of promoting perching and roosting include reduced contact between the skin and the litter and better distribution of birds vertically within the available space, allowing better circulation of air and improving ventilation of the litter surface. </w:t>
      </w:r>
      <w:r w:rsidRPr="00286A88">
        <w:rPr>
          <w:rFonts w:cs="TimesNewRomanPSMT"/>
          <w:lang w:val="en-AU" w:eastAsia="en-AU"/>
        </w:rPr>
        <w:t xml:space="preserve">Results regarding the influence on elevated structures and contact dermatitis are variable and are likely to reflect different uptake in perch use between studies. Perch provision has been associated with less FPD (Ventura et al., 2010; </w:t>
      </w:r>
      <w:r w:rsidRPr="00286A88">
        <w:rPr>
          <w:lang w:val="en-AU" w:eastAsia="en-GB"/>
        </w:rPr>
        <w:t xml:space="preserve">Hongchao et al., 2013; Kiyma et al., 2016) while straw bale provision has been associated with a reduction in FPD in </w:t>
      </w:r>
      <w:r w:rsidRPr="00286A88">
        <w:rPr>
          <w:rFonts w:cs="TimesNewRomanPSMT"/>
          <w:lang w:val="en-AU" w:eastAsia="en-AU"/>
        </w:rPr>
        <w:t>female broilers only (</w:t>
      </w:r>
      <w:r w:rsidRPr="00286A88">
        <w:rPr>
          <w:rFonts w:cs="AdvP4CD4D0"/>
          <w:lang w:val="en-AU" w:eastAsia="en-AU"/>
        </w:rPr>
        <w:t>Ohara et al., 2015); other studies report no effect of perch provision on FPD (</w:t>
      </w:r>
      <w:r w:rsidRPr="00286A88">
        <w:rPr>
          <w:rFonts w:cs="Palatino-Roman"/>
          <w:lang w:val="en-AU" w:eastAsia="en-AU"/>
        </w:rPr>
        <w:t xml:space="preserve">Su et al., 2000; </w:t>
      </w:r>
      <w:r w:rsidRPr="00286A88">
        <w:rPr>
          <w:lang w:val="en-AU" w:eastAsia="en-AU"/>
        </w:rPr>
        <w:t>Rodriguez-Aurrekoetxea et al., 2014) or HB (</w:t>
      </w:r>
      <w:r w:rsidRPr="00286A88">
        <w:rPr>
          <w:rFonts w:cs="Palatino-Roman"/>
          <w:lang w:val="en-AU" w:eastAsia="en-AU"/>
        </w:rPr>
        <w:t>Su et al., 2000;</w:t>
      </w:r>
      <w:r w:rsidRPr="00286A88">
        <w:rPr>
          <w:lang w:val="en-AU" w:eastAsia="en-GB"/>
        </w:rPr>
        <w:t xml:space="preserve"> Ventura et al., 2010; Hongchao et al., 2013). The lack of an association between perch availability and HB is understandable when you consider that birds with HB tend to be older, heavier, and lame and, therefore, unlikely to easily access a perch.</w:t>
      </w:r>
      <w:r w:rsidRPr="00286A88">
        <w:rPr>
          <w:rFonts w:cs="TimesNewRomanPSMT"/>
          <w:lang w:val="en-AU" w:eastAsia="en-AU"/>
        </w:rPr>
        <w:t xml:space="preserve"> The H:L ratio of birds housed with enrichment (perches and hay bales) was lower than in those without (</w:t>
      </w:r>
      <w:r w:rsidRPr="00286A88">
        <w:rPr>
          <w:rFonts w:cs="AdvP4CD4D0"/>
          <w:lang w:val="en-AU" w:eastAsia="en-AU"/>
        </w:rPr>
        <w:t>Ohara et al., 2015), suggesting that an absence of enrichment was in some way more stressful. The provision of barrier perches and vertical panels to stimulate a more homogeneous distribution of broilers throughout the floor space (see B5.3 and B5.4) will benefit health and comfort by producing a more even litter quality, better allow birds to escape disturbance and rest undisturbed, and reduce skin lesions otherwise caused by jostling for a space near the periphery walls.</w:t>
      </w:r>
    </w:p>
    <w:p w14:paraId="3C679F25" w14:textId="77777777" w:rsidR="00286A88" w:rsidRPr="00286A88" w:rsidRDefault="00286A88" w:rsidP="005064B7">
      <w:pPr>
        <w:pStyle w:val="Heading2"/>
        <w:rPr>
          <w:lang w:val="en-AU" w:eastAsia="en-AU"/>
        </w:rPr>
      </w:pPr>
      <w:bookmarkStart w:id="114" w:name="_Toc495310583"/>
      <w:r w:rsidRPr="00286A88">
        <w:rPr>
          <w:lang w:val="en-AU" w:eastAsia="en-AU"/>
        </w:rPr>
        <w:t>B6. Facilities and Equipment: Outdoor Range</w:t>
      </w:r>
      <w:bookmarkEnd w:id="114"/>
    </w:p>
    <w:p w14:paraId="6E5112B3" w14:textId="77777777" w:rsidR="00286A88" w:rsidRPr="00286A88" w:rsidRDefault="00286A88" w:rsidP="00BF0E6A">
      <w:pPr>
        <w:pStyle w:val="Heading3"/>
        <w:rPr>
          <w:lang w:val="en-AU" w:eastAsia="en-AU"/>
        </w:rPr>
      </w:pPr>
      <w:bookmarkStart w:id="115" w:name="_Toc495310584"/>
      <w:r w:rsidRPr="00286A88">
        <w:rPr>
          <w:lang w:val="en-AU" w:eastAsia="en-AU"/>
        </w:rPr>
        <w:t>B6.1 Factors influencing range use</w:t>
      </w:r>
      <w:bookmarkEnd w:id="115"/>
    </w:p>
    <w:p w14:paraId="37474913" w14:textId="77777777" w:rsidR="00286A88" w:rsidRPr="00BF0E6A" w:rsidRDefault="00286A88" w:rsidP="00BF0E6A">
      <w:pPr>
        <w:rPr>
          <w:rFonts w:cs="AdvOT46dcae81"/>
          <w:i/>
          <w:lang w:val="en-AU" w:eastAsia="en-AU"/>
        </w:rPr>
      </w:pPr>
      <w:r w:rsidRPr="00BF0E6A">
        <w:rPr>
          <w:i/>
          <w:lang w:val="en-AU" w:eastAsia="en-AU"/>
        </w:rPr>
        <w:t>Use of the range can be improved with the addition of artificial or natural cover (mature trees and bushes will encourage birds to actively explore areas further from the house); s</w:t>
      </w:r>
      <w:r w:rsidRPr="00BF0E6A">
        <w:rPr>
          <w:rFonts w:cs="AdvP4CD4D0"/>
          <w:i/>
          <w:lang w:val="en-AU" w:eastAsia="en-AU"/>
        </w:rPr>
        <w:t>tocking the range with nutritional vegetation may encourage broilers outside to voluntarily access renew</w:t>
      </w:r>
      <w:r w:rsidR="00BF0E6A" w:rsidRPr="00BF0E6A">
        <w:rPr>
          <w:rFonts w:cs="AdvP4CD4D0"/>
          <w:i/>
          <w:lang w:val="en-AU" w:eastAsia="en-AU"/>
        </w:rPr>
        <w:t>able food sources.</w:t>
      </w:r>
    </w:p>
    <w:p w14:paraId="44CB350B" w14:textId="77777777" w:rsidR="00286A88" w:rsidRPr="00286A88" w:rsidRDefault="00286A88" w:rsidP="00BF0E6A">
      <w:pPr>
        <w:rPr>
          <w:rFonts w:cs="CMR10"/>
          <w:lang w:val="en-AU" w:eastAsia="en-AU"/>
        </w:rPr>
      </w:pPr>
      <w:r w:rsidRPr="00286A88">
        <w:rPr>
          <w:lang w:val="en-AU" w:eastAsia="en-AU"/>
        </w:rPr>
        <w:t>Unlike hens, most free-range broilers are allowed direct access to the range via open-sided houses or sheds, rather than raised pop-holes which they might find difficult to move through. Access to outside space does not however, guarantee that all of the birds will use it. In fact, in the majority of free-range commercial broiler systems many birds will never leave the houses, making them ‘free-range’ only in name. Range use (% of birds) varies widely between studies: 15% (Dawkins et al., 2003); 2-29% (Sosnówka-Czajka et al., 2007); 40-69% (Almeida et al., 2012);</w:t>
      </w:r>
      <w:r w:rsidRPr="00286A88">
        <w:rPr>
          <w:rFonts w:cs="OEEIP J+ Gulliver RM"/>
          <w:lang w:val="en-AU" w:eastAsia="en-AU"/>
        </w:rPr>
        <w:t xml:space="preserve"> 37% </w:t>
      </w:r>
      <w:r w:rsidRPr="00286A88">
        <w:rPr>
          <w:lang w:val="en-AU" w:eastAsia="en-AU"/>
        </w:rPr>
        <w:t>(Rodriguez-Aurrekoetxea et al., 2014); 15% (F</w:t>
      </w:r>
      <w:r w:rsidRPr="00286A88">
        <w:rPr>
          <w:rFonts w:cs="CMR10"/>
          <w:lang w:val="en-AU" w:eastAsia="en-AU"/>
        </w:rPr>
        <w:t>anatico et al., 2016).</w:t>
      </w:r>
    </w:p>
    <w:p w14:paraId="42BECA5A" w14:textId="77777777" w:rsidR="00286A88" w:rsidRPr="00286A88" w:rsidRDefault="00286A88" w:rsidP="00BF0E6A">
      <w:pPr>
        <w:rPr>
          <w:rFonts w:eastAsia="ComputerModern-Regular" w:cs="ComputerModern-Regular"/>
          <w:lang w:val="en-AU" w:eastAsia="en-AU"/>
        </w:rPr>
      </w:pPr>
      <w:r w:rsidRPr="00286A88">
        <w:rPr>
          <w:rFonts w:cs="AdvEPSTIM"/>
          <w:lang w:val="en-AU" w:eastAsia="en-AU"/>
        </w:rPr>
        <w:t>A number of factors have been reported to affect the ranging behaviour of broilers including bird characteristics, environmental variables and management regimes. Although breed differences in range use exist even among slow-growing broilers (Nielsen, 2004), these breeds generally spend more time outdoors, are more active, and use more of the range than either medium-growing (</w:t>
      </w:r>
      <w:r w:rsidRPr="00286A88">
        <w:rPr>
          <w:rFonts w:eastAsia="ComputerModern-Regular" w:cs="ComputerModern-Regular"/>
          <w:lang w:val="en-AU" w:eastAsia="en-AU"/>
        </w:rPr>
        <w:t xml:space="preserve">Almeida et al., 2012), or </w:t>
      </w:r>
      <w:r w:rsidRPr="00286A88">
        <w:rPr>
          <w:rFonts w:cs="AdvEPSTIM"/>
          <w:lang w:val="en-AU" w:eastAsia="en-AU"/>
        </w:rPr>
        <w:t>faster-growing strains (Nielsen et al., 2003b).</w:t>
      </w:r>
      <w:r w:rsidRPr="00286A88">
        <w:rPr>
          <w:rFonts w:cs="AdvP4CD4D0"/>
          <w:lang w:val="en-AU" w:eastAsia="en-AU"/>
        </w:rPr>
        <w:t xml:space="preserve"> </w:t>
      </w:r>
      <w:r w:rsidRPr="00286A88">
        <w:rPr>
          <w:lang w:val="en-AU" w:eastAsia="en-AU"/>
        </w:rPr>
        <w:t>Nielsen et al. (2003b) observed a faster-growing breed to h</w:t>
      </w:r>
      <w:r w:rsidRPr="00286A88">
        <w:rPr>
          <w:rFonts w:cs="AdvP4CD4D0"/>
          <w:lang w:val="en-AU" w:eastAsia="en-AU"/>
        </w:rPr>
        <w:t xml:space="preserve">ave more dermal lesions and impaired mobility than a slow-grow breed, which explained their low use of the outdoor area; poor litter quality was also associated with the fast-growing breed, presumably due to them spending more time indoors, yet didn’t encourage them outside. </w:t>
      </w:r>
      <w:r w:rsidRPr="00286A88">
        <w:rPr>
          <w:rFonts w:eastAsia="ComputerModern-Regular" w:cs="ComputerModern-Regular"/>
          <w:lang w:val="en-AU" w:eastAsia="en-AU"/>
        </w:rPr>
        <w:t xml:space="preserve">Foraging activity and time spent on the range has been seen to increase with broiler age (Almeida et al., 2012). Presumably the birds acquire greater confidence and familiarity of the range over time which then enables them to stay out for longer and explore a greater area. </w:t>
      </w:r>
      <w:r w:rsidRPr="00286A88">
        <w:rPr>
          <w:rFonts w:cs="AdvEPSTIM"/>
          <w:lang w:val="en-AU" w:eastAsia="en-AU"/>
        </w:rPr>
        <w:t xml:space="preserve">Seasonal and climatic conditions are of prime importance for range use, with more broilers observed outside in summer and on warm overcast days (Dawkins et al., 2003). </w:t>
      </w:r>
      <w:r w:rsidRPr="00286A88">
        <w:rPr>
          <w:rFonts w:cs="AdvP4CD4D0"/>
          <w:lang w:val="en-AU" w:eastAsia="en-AU"/>
        </w:rPr>
        <w:t xml:space="preserve">Broilers demonstrate a diurnal rhythm of range use, with most birds observed outside around sunrise and before sunset, and least birds out at mid-day (Dawkins et al., 2003; Nielsen et al., 2003b; </w:t>
      </w:r>
      <w:r w:rsidRPr="00286A88">
        <w:rPr>
          <w:rFonts w:cs="CMR10"/>
          <w:lang w:val="en-AU" w:eastAsia="en-AU"/>
        </w:rPr>
        <w:t>Fanatico et al., 2016</w:t>
      </w:r>
      <w:r w:rsidRPr="00286A88">
        <w:rPr>
          <w:rFonts w:cs="AdvP4CD4D0"/>
          <w:lang w:val="en-AU" w:eastAsia="en-AU"/>
        </w:rPr>
        <w:t xml:space="preserve">). </w:t>
      </w:r>
      <w:r w:rsidRPr="00286A88">
        <w:rPr>
          <w:rFonts w:eastAsia="ComputerModern-Regular" w:cs="ComputerModern-Regular"/>
          <w:lang w:val="en-AU" w:eastAsia="en-AU"/>
        </w:rPr>
        <w:t>Almeida et al. (2012) report that a medium-grow breed would increase outdoor foraging activity in the evenings, but during the day the birds would remain inside or remain very close to the house exterior.</w:t>
      </w:r>
    </w:p>
    <w:p w14:paraId="2C65B2FE" w14:textId="77777777" w:rsidR="00286A88" w:rsidRPr="00286A88" w:rsidRDefault="00286A88" w:rsidP="00BF0E6A">
      <w:pPr>
        <w:rPr>
          <w:rFonts w:cs="CMR10"/>
          <w:lang w:val="en-AU" w:eastAsia="en-AU"/>
        </w:rPr>
      </w:pPr>
      <w:r w:rsidRPr="00286A88">
        <w:rPr>
          <w:lang w:val="en-AU" w:eastAsia="en-AU"/>
        </w:rPr>
        <w:t xml:space="preserve">Range use appears to be associated with flock size; the more birds per flock, the lower the proportion of birds outside (Sosnówka-Czajka et al., 2007). </w:t>
      </w:r>
      <w:r w:rsidRPr="00286A88">
        <w:rPr>
          <w:rFonts w:cs="AdvP4CD4D0"/>
          <w:lang w:val="en-AU" w:eastAsia="en-AU"/>
        </w:rPr>
        <w:t xml:space="preserve">Dietary regime can also influence range use. The high proportion of birds using the range in the study of </w:t>
      </w:r>
      <w:r w:rsidRPr="00286A88">
        <w:rPr>
          <w:rFonts w:eastAsia="ComputerModern-Regular" w:cs="ComputerModern-Regular"/>
          <w:lang w:val="en-AU" w:eastAsia="en-AU"/>
        </w:rPr>
        <w:t xml:space="preserve">Almeida et al. (2012), (medium-grow: 39.9%; slow-grow: 68.6%), may be explained by their restricted diet and that the range had been planted with nutritious forage vegetation (grass and clover or chicory). In the study of </w:t>
      </w:r>
      <w:r w:rsidRPr="00286A88">
        <w:rPr>
          <w:rFonts w:cs="AdvP4CD4D0"/>
          <w:lang w:val="en-AU" w:eastAsia="en-AU"/>
        </w:rPr>
        <w:t xml:space="preserve">Nielsen et al. (2003b) birds provided with a moderate energy feed allowance were more likely to go outside than birds provided with low energy feed; however, the outside area in this case was just standard pasture so may have offered the birds no nutritional benefit. </w:t>
      </w:r>
      <w:r w:rsidRPr="00286A88">
        <w:rPr>
          <w:rFonts w:cs="StoneSerif"/>
          <w:lang w:val="en-AU" w:eastAsia="en-AU"/>
        </w:rPr>
        <w:t>The observation that only a proportion of the flock use the range suggests that the outdoor environment (usually short grassland) is not favoured over the inside accommodation. Broilers p</w:t>
      </w:r>
      <w:r w:rsidRPr="00286A88">
        <w:rPr>
          <w:rFonts w:cs="CMR10"/>
          <w:lang w:val="en-AU" w:eastAsia="en-AU"/>
        </w:rPr>
        <w:t>rovided with outdoor access often do not use the full range and are m</w:t>
      </w:r>
      <w:r w:rsidRPr="00286A88">
        <w:rPr>
          <w:color w:val="000000"/>
          <w:szCs w:val="16"/>
          <w:lang w:val="en-AU" w:eastAsia="en-AU"/>
        </w:rPr>
        <w:t>ost often observed in the immediate vicinity of the house (</w:t>
      </w:r>
      <w:r w:rsidRPr="00286A88">
        <w:rPr>
          <w:rFonts w:cs="StoneSerif"/>
          <w:lang w:val="en-AU" w:eastAsia="en-AU"/>
        </w:rPr>
        <w:t xml:space="preserve">Dawkins et al., 2003; Nielson, 2004; </w:t>
      </w:r>
      <w:r w:rsidRPr="00286A88">
        <w:rPr>
          <w:rFonts w:cs="CMR10"/>
          <w:lang w:val="en-AU" w:eastAsia="en-AU"/>
        </w:rPr>
        <w:t xml:space="preserve">Fanatico et al., 2016). </w:t>
      </w:r>
      <w:r w:rsidRPr="00286A88">
        <w:rPr>
          <w:rFonts w:cs="AdvEPSTIM"/>
          <w:lang w:val="en-AU" w:eastAsia="en-AU"/>
        </w:rPr>
        <w:t xml:space="preserve">Broilers have been shown to prefer habitat containing trees and bushes than large expanses of short grass, especially when the habitat was located some distance from the house (Dawkins et al., 2003). </w:t>
      </w:r>
      <w:r w:rsidRPr="00286A88">
        <w:rPr>
          <w:rFonts w:cs="CMR10"/>
          <w:lang w:val="en-AU" w:eastAsia="en-AU"/>
        </w:rPr>
        <w:t xml:space="preserve">Natural cover provides shelter from the elements and predators and increases range use, but established vegetation may not be present in all free-range operations and, if planted, will take time to mature and add environmental value. </w:t>
      </w:r>
      <w:r w:rsidRPr="00286A88">
        <w:rPr>
          <w:rFonts w:cs="AdvEPSTIM"/>
          <w:lang w:val="en-AU" w:eastAsia="en-AU"/>
        </w:rPr>
        <w:t xml:space="preserve">Jones et al. (2007) observed that the presence of young trees on the range (first 2 years of growth) did not have a significant impact upon welfare measures (including mortality and morbidity, leg health and ranging behaviour), or production parameters, compared to pasture access; however, by year 3, tree presence was associated with increased range use on sunny days. </w:t>
      </w:r>
      <w:r w:rsidRPr="00286A88">
        <w:rPr>
          <w:rFonts w:cs="CMR10"/>
          <w:lang w:val="en-AU" w:eastAsia="en-AU"/>
        </w:rPr>
        <w:t>Although the incorporation of artificial structural enrichment into outdoor ranges (including plastic perches, screened shelters and overhead shade panels), did not increase the tendency of slow-grow broilers to go outside, it did encourage them to utilise more of the range, especially the area furthest from the sheds (Fanatico et al., 2016).</w:t>
      </w:r>
    </w:p>
    <w:p w14:paraId="54907B03" w14:textId="77777777" w:rsidR="00286A88" w:rsidRPr="00286A88" w:rsidRDefault="00286A88" w:rsidP="00BF0E6A">
      <w:pPr>
        <w:pStyle w:val="Heading3"/>
        <w:rPr>
          <w:lang w:val="en-AU" w:eastAsia="en-AU"/>
        </w:rPr>
      </w:pPr>
      <w:bookmarkStart w:id="116" w:name="_Toc495310585"/>
      <w:r w:rsidRPr="00286A88">
        <w:rPr>
          <w:lang w:val="en-AU" w:eastAsia="en-AU"/>
        </w:rPr>
        <w:t>B6.2 Health and welfare benefits of range use</w:t>
      </w:r>
      <w:bookmarkEnd w:id="116"/>
    </w:p>
    <w:p w14:paraId="45CBF988" w14:textId="77777777" w:rsidR="00286A88" w:rsidRPr="00BF0E6A" w:rsidRDefault="00286A88" w:rsidP="00BF0E6A">
      <w:pPr>
        <w:rPr>
          <w:rFonts w:cs="AdvP4CD4D0"/>
          <w:i/>
          <w:lang w:val="en-AU" w:eastAsia="en-AU"/>
        </w:rPr>
      </w:pPr>
      <w:r w:rsidRPr="00BF0E6A">
        <w:rPr>
          <w:i/>
          <w:lang w:val="en-AU" w:eastAsia="en-AU"/>
        </w:rPr>
        <w:t>Provision of an outdoor space will enable broilers to perform a broader range of behaviours.</w:t>
      </w:r>
    </w:p>
    <w:p w14:paraId="3D30AF46" w14:textId="77777777" w:rsidR="00286A88" w:rsidRPr="00286A88" w:rsidRDefault="00286A88" w:rsidP="00BF0E6A">
      <w:pPr>
        <w:rPr>
          <w:rFonts w:cs="Times New Roman"/>
          <w:lang w:val="en-AU" w:eastAsia="en-AU"/>
        </w:rPr>
      </w:pPr>
      <w:r w:rsidRPr="00286A88">
        <w:rPr>
          <w:lang w:val="en-AU" w:eastAsia="en-AU"/>
        </w:rPr>
        <w:t xml:space="preserve">Providing broilers (of a suitable genotype) with outdoor access during part of their lives has many fundamental welfare benefits. It stimulates them to forage within, and explore, a changeable complex environment, encouraging activity and providing them with the space and stimulus to perform a broader range of behaviours. </w:t>
      </w:r>
      <w:r w:rsidRPr="00286A88">
        <w:rPr>
          <w:rFonts w:cs="Times New Roman"/>
          <w:lang w:val="en-AU" w:eastAsia="en-AU"/>
        </w:rPr>
        <w:t xml:space="preserve">Broilers reared in free-range systems tend to demonstrate greater motor activity compared to those reared without free-range access (Nielsen et al., 2003b; Sosnówka-Czajka et al., 2007). </w:t>
      </w:r>
      <w:r w:rsidRPr="00286A88">
        <w:rPr>
          <w:lang w:val="en-AU" w:eastAsia="en-AU"/>
        </w:rPr>
        <w:t>Higher proportions of active behaviours such as walking, standing, spot-pecking, and preening are performed outdoors, while a higher percentage of feeding and resting behaviours are performed indoors by both fast- and slow-growing breeds (</w:t>
      </w:r>
      <w:r w:rsidRPr="00286A88">
        <w:rPr>
          <w:rFonts w:cs="Cheltenham-BookCond"/>
          <w:lang w:val="en-AU" w:eastAsia="en-AU"/>
        </w:rPr>
        <w:t xml:space="preserve">Skomorucha et al., 2007; </w:t>
      </w:r>
      <w:r w:rsidRPr="00286A88">
        <w:rPr>
          <w:lang w:val="en-AU" w:eastAsia="en-AU"/>
        </w:rPr>
        <w:t xml:space="preserve">Zhao et al., 2014; </w:t>
      </w:r>
      <w:r w:rsidRPr="00286A88">
        <w:rPr>
          <w:rFonts w:cs="CMR10"/>
          <w:lang w:val="en-AU" w:eastAsia="en-AU"/>
        </w:rPr>
        <w:t xml:space="preserve">Fanatico et al., 2016; </w:t>
      </w:r>
      <w:r w:rsidRPr="00286A88">
        <w:rPr>
          <w:lang w:val="en-AU" w:eastAsia="en-AU"/>
        </w:rPr>
        <w:t xml:space="preserve">Ipek and Sozcu, 2017). </w:t>
      </w:r>
      <w:r w:rsidRPr="00286A88">
        <w:rPr>
          <w:rFonts w:cs="Times New Roman"/>
          <w:lang w:val="en-AU" w:eastAsia="en-AU"/>
        </w:rPr>
        <w:t xml:space="preserve">Sosnówka-Czajka et al. (2007) observed that more constructive behaviour, including </w:t>
      </w:r>
      <w:r w:rsidRPr="00286A88">
        <w:rPr>
          <w:rFonts w:cs="Times New Roman"/>
          <w:color w:val="000000"/>
          <w:lang w:val="en-AU" w:eastAsia="en-AU"/>
        </w:rPr>
        <w:t xml:space="preserve">litter pecking and ground-scratching, was performed by birds housed within free-range systems, while more aggression was associated with </w:t>
      </w:r>
      <w:r w:rsidRPr="00286A88">
        <w:rPr>
          <w:rFonts w:cs="Times New Roman"/>
          <w:lang w:val="en-AU" w:eastAsia="en-AU"/>
        </w:rPr>
        <w:t xml:space="preserve">broilers without outside </w:t>
      </w:r>
      <w:r w:rsidRPr="00286A88">
        <w:rPr>
          <w:rFonts w:cs="Times New Roman"/>
          <w:color w:val="000000"/>
          <w:lang w:val="en-AU" w:eastAsia="en-AU"/>
        </w:rPr>
        <w:t xml:space="preserve">access. </w:t>
      </w:r>
      <w:r w:rsidRPr="00286A88">
        <w:rPr>
          <w:rFonts w:cs="Times New Roman"/>
          <w:lang w:val="en-AU" w:eastAsia="en-AU"/>
        </w:rPr>
        <w:t>Zhao et al. (2014) report a lower fluctuating asymmetry of tibia length in broilers with outdoor access, compared to broilers housed indoors, but also greater fearfulness and mortality levels.</w:t>
      </w:r>
    </w:p>
    <w:p w14:paraId="0FC0D43E" w14:textId="77777777" w:rsidR="00286A88" w:rsidRPr="00286A88" w:rsidRDefault="00286A88" w:rsidP="00BF0E6A">
      <w:pPr>
        <w:rPr>
          <w:lang w:val="en-AU" w:eastAsia="en-AU"/>
        </w:rPr>
      </w:pPr>
      <w:r w:rsidRPr="00286A88">
        <w:rPr>
          <w:rFonts w:cs="20lifnmxvsxwirbdizjqntweiio"/>
          <w:lang w:val="en-AU" w:eastAsia="en-AU"/>
        </w:rPr>
        <w:t xml:space="preserve">Flocks with outdoor access generally have higher FPD scores than those housed indoors (Pagazaurtundua and Warriss, 2006; </w:t>
      </w:r>
      <w:r w:rsidRPr="00286A88">
        <w:rPr>
          <w:rFonts w:cs="Arial"/>
          <w:bCs/>
          <w:lang w:val="en-AU" w:eastAsia="en-AU"/>
        </w:rPr>
        <w:t>Sarica et al., 2014</w:t>
      </w:r>
      <w:r w:rsidRPr="00286A88">
        <w:rPr>
          <w:rFonts w:cs="Times New Roman"/>
          <w:lang w:val="en-AU" w:eastAsia="en-AU"/>
        </w:rPr>
        <w:t>). However, low levels of hock burn have been reported (Sans et al., 2014). The conditions underfoot, particularly wetness, and hard, stony ground (Sans et al., 2014) are likely to be important risk factors. Broilers allowed access to range areas with trees and grass had better foot condition than broilers with grass alone, possibly due to better and more even range use (</w:t>
      </w:r>
      <w:r w:rsidR="0080479D">
        <w:rPr>
          <w:rFonts w:cs="Times New Roman"/>
          <w:lang w:val="en-AU" w:eastAsia="en-AU"/>
        </w:rPr>
        <w:t xml:space="preserve">Dal </w:t>
      </w:r>
      <w:r w:rsidRPr="00286A88">
        <w:rPr>
          <w:rFonts w:cs="Times New Roman"/>
          <w:lang w:val="en-AU" w:eastAsia="en-AU"/>
        </w:rPr>
        <w:t>Bosco et al., 2014). Managing the range to avoid wet areas and allow drying of the feet will likely be beneficial. Outdoor flocks have been shown to have better l</w:t>
      </w:r>
      <w:r w:rsidRPr="00286A88">
        <w:rPr>
          <w:lang w:val="en-AU" w:eastAsia="en-AU"/>
        </w:rPr>
        <w:t>eg health (Sans et al., 2014; Ipek and Sozcu, 2017)</w:t>
      </w:r>
      <w:r w:rsidRPr="00286A88">
        <w:rPr>
          <w:rFonts w:cs="Arial"/>
          <w:shd w:val="clear" w:color="auto" w:fill="FFFFFF"/>
          <w:lang w:val="en-AU" w:eastAsia="en-AU"/>
        </w:rPr>
        <w:t xml:space="preserve">. </w:t>
      </w:r>
      <w:r w:rsidRPr="00286A88">
        <w:rPr>
          <w:lang w:val="en-AU" w:eastAsia="en-AU"/>
        </w:rPr>
        <w:t>Production parameters are generally lower in free-range compared to indoor systems due to increased activity levels (Zhao et al., 2014; Ipek and Sozcu, 2017).</w:t>
      </w:r>
    </w:p>
    <w:p w14:paraId="739B10C2" w14:textId="77777777" w:rsidR="00286A88" w:rsidRPr="00286A88" w:rsidRDefault="00286A88" w:rsidP="005064B7">
      <w:pPr>
        <w:pStyle w:val="Heading2"/>
        <w:rPr>
          <w:lang w:val="en-AU" w:eastAsia="en-AU"/>
        </w:rPr>
      </w:pPr>
      <w:bookmarkStart w:id="117" w:name="_Toc495310586"/>
      <w:r w:rsidRPr="00286A88">
        <w:rPr>
          <w:lang w:val="en-AU" w:eastAsia="en-AU"/>
        </w:rPr>
        <w:t>B7. Fear and Distress</w:t>
      </w:r>
      <w:bookmarkEnd w:id="117"/>
    </w:p>
    <w:p w14:paraId="1EDED232" w14:textId="77777777" w:rsidR="00286A88" w:rsidRPr="00286A88" w:rsidRDefault="00286A88" w:rsidP="00BF0E6A">
      <w:pPr>
        <w:pStyle w:val="Heading3"/>
        <w:rPr>
          <w:lang w:val="en-AU" w:eastAsia="en-AU"/>
        </w:rPr>
      </w:pPr>
      <w:bookmarkStart w:id="118" w:name="_Toc495310587"/>
      <w:r w:rsidRPr="00286A88">
        <w:rPr>
          <w:lang w:val="en-AU" w:eastAsia="en-AU"/>
        </w:rPr>
        <w:t>B7.1 Fearfulness and sociality</w:t>
      </w:r>
      <w:bookmarkEnd w:id="118"/>
    </w:p>
    <w:p w14:paraId="65329B68" w14:textId="77777777" w:rsidR="00286A88" w:rsidRPr="00BF0E6A" w:rsidRDefault="00286A88" w:rsidP="00BF0E6A">
      <w:pPr>
        <w:rPr>
          <w:i/>
          <w:lang w:val="en-AU" w:eastAsia="en-AU"/>
        </w:rPr>
      </w:pPr>
      <w:r w:rsidRPr="00BF0E6A">
        <w:rPr>
          <w:i/>
          <w:lang w:val="en-AU" w:eastAsia="en-AU"/>
        </w:rPr>
        <w:t>Restraint elevates fearfulness and increases social reinstatement.</w:t>
      </w:r>
    </w:p>
    <w:p w14:paraId="6180DD6A" w14:textId="77777777" w:rsidR="00286A88" w:rsidRPr="00286A88" w:rsidRDefault="00286A88" w:rsidP="00BF0E6A">
      <w:pPr>
        <w:rPr>
          <w:rFonts w:cs="AdvP41153C"/>
          <w:lang w:val="en-AU" w:eastAsia="en-AU"/>
        </w:rPr>
      </w:pPr>
      <w:r w:rsidRPr="00286A88">
        <w:rPr>
          <w:lang w:val="en-AU" w:eastAsia="en-AU"/>
        </w:rPr>
        <w:t>Fearfulness (as measured by tonic immobility) does not appear to be related to spontaneous activity or behavioural time-budgets (</w:t>
      </w:r>
      <w:r w:rsidRPr="00286A88">
        <w:rPr>
          <w:rFonts w:cs="Times New Roman"/>
          <w:lang w:val="en-AU" w:eastAsia="en-AU"/>
        </w:rPr>
        <w:t xml:space="preserve">Bizeray et al., 2002d), but it has been positively linked to the expression of sociality. </w:t>
      </w:r>
      <w:r w:rsidRPr="00286A88">
        <w:rPr>
          <w:rFonts w:cs="AdvP41153C"/>
          <w:lang w:val="en-AU" w:eastAsia="en-AU"/>
        </w:rPr>
        <w:t>Restraint elevates fearfulness and was seen to increase social reinstatement in a runway test (compared to non-restrained controls) (Marin et al., 2001). As social affiliation was increased when the stimulus bird was familiar, this also demonstrates that broilers can distinguish between familiar and unfamiliar individuals in novel environments (Marin et al., 2001).</w:t>
      </w:r>
    </w:p>
    <w:p w14:paraId="27BB1648" w14:textId="77777777" w:rsidR="00286A88" w:rsidRPr="00286A88" w:rsidRDefault="00286A88" w:rsidP="00BF0E6A">
      <w:pPr>
        <w:pStyle w:val="Heading3"/>
        <w:rPr>
          <w:lang w:val="en-AU" w:eastAsia="en-GB"/>
        </w:rPr>
      </w:pPr>
      <w:bookmarkStart w:id="119" w:name="_Toc495310588"/>
      <w:r w:rsidRPr="00286A88">
        <w:rPr>
          <w:lang w:val="en-AU" w:eastAsia="en-GB"/>
        </w:rPr>
        <w:t>B7.2 Effects of parents, incubation</w:t>
      </w:r>
      <w:bookmarkEnd w:id="119"/>
    </w:p>
    <w:p w14:paraId="4F529BC7" w14:textId="77777777" w:rsidR="00286A88" w:rsidRPr="00BF0E6A" w:rsidRDefault="00286A88" w:rsidP="00BF0E6A">
      <w:pPr>
        <w:rPr>
          <w:rFonts w:eastAsia="Times New Roman" w:cs="TimesNewRomanPS-BoldMT"/>
          <w:bCs/>
          <w:i/>
          <w:lang w:val="en-AU" w:eastAsia="en-AU"/>
        </w:rPr>
      </w:pPr>
      <w:r w:rsidRPr="00BF0E6A">
        <w:rPr>
          <w:i/>
          <w:lang w:val="en-AU" w:eastAsia="en-AU"/>
        </w:rPr>
        <w:t>Incubating eggs under light improves post-hatch chick welfare, as reflected by reduced levels of stress and fearfulness.</w:t>
      </w:r>
    </w:p>
    <w:p w14:paraId="2F2EF00B" w14:textId="77777777" w:rsidR="00286A88" w:rsidRPr="00286A88" w:rsidRDefault="00286A88" w:rsidP="00BF0E6A">
      <w:pPr>
        <w:rPr>
          <w:rFonts w:eastAsia="ComputerModern-Regular" w:cs="ComputerModern-Regular"/>
          <w:lang w:val="en-AU" w:eastAsia="en-AU"/>
        </w:rPr>
      </w:pPr>
      <w:r w:rsidRPr="00286A88">
        <w:rPr>
          <w:rFonts w:cs="TimesNewRomanPS-BoldMT"/>
          <w:bCs/>
          <w:lang w:val="en-AU" w:eastAsia="en-AU"/>
        </w:rPr>
        <w:t>Onbaşılar et al. (2008) observed that broilers (40 days old) produced by young breeders (32 weeks old)</w:t>
      </w:r>
      <w:r w:rsidRPr="00286A88">
        <w:rPr>
          <w:lang w:val="en-AU" w:eastAsia="en-AU"/>
        </w:rPr>
        <w:t xml:space="preserve"> were more fearful than broilers produced by older breeders (48 and 61 weeks); H:L ratio was not affected by parent breeder age. </w:t>
      </w:r>
      <w:r w:rsidRPr="00286A88">
        <w:rPr>
          <w:rFonts w:eastAsia="MS Mincho" w:cs="ComputerModern-Regular"/>
          <w:lang w:val="en-AU" w:eastAsia="en-AU"/>
        </w:rPr>
        <w:t xml:space="preserve">Provision of light during incubation has been shown to be beneficial for reducing many measures of stress in chicks post-hatch, </w:t>
      </w:r>
      <w:r w:rsidRPr="00286A88">
        <w:rPr>
          <w:rFonts w:cs="ComputerModern-Regular"/>
          <w:lang w:val="en-AU" w:eastAsia="en-AU"/>
        </w:rPr>
        <w:t>although optimal conditions for incubation are still unclear.</w:t>
      </w:r>
      <w:r w:rsidRPr="00286A88">
        <w:rPr>
          <w:rFonts w:eastAsia="MS Mincho" w:cs="ComputerModern-Regular"/>
          <w:lang w:val="en-AU" w:eastAsia="en-AU"/>
        </w:rPr>
        <w:t xml:space="preserve"> </w:t>
      </w:r>
      <w:r w:rsidRPr="00286A88">
        <w:rPr>
          <w:rFonts w:cs="ComputerModern-Regular"/>
          <w:lang w:val="en-AU" w:eastAsia="en-AU"/>
        </w:rPr>
        <w:t>Providing light during incubation (12L:12D or 24L:0D) has been shown to reduce the stress response following crating, including a reduction in corticosterone concentration, an increased antibody response, and produce lower composite physical asymmetry scores (</w:t>
      </w:r>
      <w:r w:rsidRPr="00286A88">
        <w:rPr>
          <w:rFonts w:eastAsia="ComputerModern-Regular" w:cs="ComputerModern-Regular"/>
          <w:lang w:val="en-AU" w:eastAsia="en-AU"/>
        </w:rPr>
        <w:t>considered to be an indicator of developmental stress</w:t>
      </w:r>
      <w:r w:rsidRPr="00286A88">
        <w:rPr>
          <w:rFonts w:cs="ComputerModern-Regular"/>
          <w:lang w:val="en-AU" w:eastAsia="en-AU"/>
        </w:rPr>
        <w:t>), compared to 0L:24D (</w:t>
      </w:r>
      <w:r w:rsidRPr="00286A88">
        <w:rPr>
          <w:rFonts w:eastAsia="ComputerModern-Regular" w:cs="ComputerModern-Regular"/>
          <w:lang w:val="en-AU" w:eastAsia="en-AU"/>
        </w:rPr>
        <w:t xml:space="preserve">Archer et al., 2009; </w:t>
      </w:r>
      <w:r w:rsidRPr="00286A88">
        <w:rPr>
          <w:rFonts w:cs="ComputerModern-Regular"/>
          <w:lang w:val="en-AU" w:eastAsia="en-AU"/>
        </w:rPr>
        <w:t xml:space="preserve">Archer and Mench, 2013; 2014; 2017). </w:t>
      </w:r>
      <w:r w:rsidRPr="00286A88">
        <w:rPr>
          <w:rFonts w:eastAsia="MS Mincho" w:cs="ComputerModern-Regular"/>
          <w:lang w:val="en-AU" w:eastAsia="en-AU"/>
        </w:rPr>
        <w:t>Ö</w:t>
      </w:r>
      <w:r w:rsidRPr="00286A88">
        <w:rPr>
          <w:rFonts w:eastAsia="ComputerModern-Regular" w:cs="ComputerModern-Regular"/>
          <w:lang w:val="en-AU" w:eastAsia="en-AU"/>
        </w:rPr>
        <w:t xml:space="preserve">zkan et al. (2012) also observed that incubating eggs under a 16L:8D photoperiod reduced plasma corticosterone, following regular handling of chicks at the hatchery post-hatch, compared to those that had been incubated in the dark. </w:t>
      </w:r>
      <w:r w:rsidRPr="00286A88">
        <w:rPr>
          <w:rFonts w:eastAsia="GulliverRM" w:cs="GulliverRM"/>
          <w:lang w:val="en-AU" w:eastAsia="en-AU"/>
        </w:rPr>
        <w:t>Birds not exposed to light throughout incubation were more fearful (as assessed via a dark-box emergence test, a tonic immobility test, an inversion test and an isolation test) at three weeks old than birds incubated under 12L:12D. Incubation under 1L:23D or 6L:18D had lesser, and less consistent, effects, in the same direction (</w:t>
      </w:r>
      <w:r w:rsidRPr="00286A88">
        <w:rPr>
          <w:rFonts w:cs="ComputerModern-Regular"/>
          <w:lang w:val="en-AU" w:eastAsia="en-AU"/>
        </w:rPr>
        <w:t>Archer and Mench, 2014; 2017). These results demonstrate that</w:t>
      </w:r>
      <w:r w:rsidRPr="00286A88">
        <w:rPr>
          <w:rFonts w:eastAsia="ComputerModern-Regular" w:cs="ComputerModern-Regular"/>
          <w:lang w:val="en-AU" w:eastAsia="en-AU"/>
        </w:rPr>
        <w:t xml:space="preserve"> the provision of light stimulation during embryogenesis produces chicks that are better adapted to the hatchery environment (indicated by long-term reductions in fearfulness and stress) and, as such, have improved post-hatch welfare.</w:t>
      </w:r>
    </w:p>
    <w:p w14:paraId="36BBAC2A" w14:textId="77777777" w:rsidR="00286A88" w:rsidRPr="00286A88" w:rsidRDefault="00286A88" w:rsidP="00BF0E6A">
      <w:pPr>
        <w:pStyle w:val="Heading3"/>
        <w:rPr>
          <w:lang w:val="en-AU" w:eastAsia="en-AU"/>
        </w:rPr>
      </w:pPr>
      <w:bookmarkStart w:id="120" w:name="_Toc495310589"/>
      <w:r w:rsidRPr="00286A88">
        <w:rPr>
          <w:lang w:val="en-AU" w:eastAsia="en-AU"/>
        </w:rPr>
        <w:t>B7.3 Fearfulness and hatchery procedures</w:t>
      </w:r>
      <w:bookmarkEnd w:id="120"/>
    </w:p>
    <w:p w14:paraId="58C89CC0" w14:textId="77777777" w:rsidR="00286A88" w:rsidRPr="00BF0E6A" w:rsidRDefault="00286A88" w:rsidP="00BF0E6A">
      <w:pPr>
        <w:rPr>
          <w:rFonts w:eastAsia="Times New Roman" w:cs="Times New Roman"/>
          <w:i/>
          <w:lang w:val="en-AU" w:eastAsia="en-GB"/>
        </w:rPr>
      </w:pPr>
      <w:r w:rsidRPr="00BF0E6A">
        <w:rPr>
          <w:i/>
          <w:lang w:val="en-AU" w:eastAsia="en-AU"/>
        </w:rPr>
        <w:t>Well-maintained chick handling machinery causes low-l</w:t>
      </w:r>
      <w:r w:rsidR="00E144DF">
        <w:rPr>
          <w:i/>
          <w:lang w:val="en-AU" w:eastAsia="en-AU"/>
        </w:rPr>
        <w:t>evel physical stress to chicks.</w:t>
      </w:r>
    </w:p>
    <w:p w14:paraId="23325542" w14:textId="77777777" w:rsidR="00286A88" w:rsidRPr="00286A88" w:rsidRDefault="00286A88" w:rsidP="00BF0E6A">
      <w:pPr>
        <w:rPr>
          <w:lang w:val="en-AU" w:eastAsia="en-GB"/>
        </w:rPr>
      </w:pPr>
      <w:r w:rsidRPr="00286A88">
        <w:rPr>
          <w:lang w:val="en-AU" w:eastAsia="en-GB"/>
        </w:rPr>
        <w:t>Knowles et al. (2004) measured the physical accelerations and velocities experienced by broiler chicks as they pass through the handling systems at different hatcheries and compared this to the response of the chicks; measures of mortality, righting time (as a measure of disorientation) and tonic immobility were seen to reflect the range in physical ‘handling’ severity but chick welfare was overall deemed to be acceptable. The authors stress the importance of proper maintenance for chick handling machinery to avoid damage to chicks occurring from any further increase in physical stress (Knowles et al., 2004).</w:t>
      </w:r>
    </w:p>
    <w:p w14:paraId="5CFD80D8" w14:textId="77777777" w:rsidR="00286A88" w:rsidRPr="00286A88" w:rsidRDefault="00286A88" w:rsidP="00BF0E6A">
      <w:pPr>
        <w:pStyle w:val="Heading3"/>
        <w:rPr>
          <w:lang w:val="en-AU" w:eastAsia="en-AU"/>
        </w:rPr>
      </w:pPr>
      <w:bookmarkStart w:id="121" w:name="_Toc495310590"/>
      <w:r w:rsidRPr="00286A88">
        <w:rPr>
          <w:lang w:val="en-AU" w:eastAsia="en-AU"/>
        </w:rPr>
        <w:t>B7.4 Fearfulness and human contact</w:t>
      </w:r>
      <w:bookmarkEnd w:id="121"/>
    </w:p>
    <w:p w14:paraId="0444BD55" w14:textId="77777777" w:rsidR="00286A88" w:rsidRPr="00BF0E6A" w:rsidRDefault="00286A88" w:rsidP="00BF0E6A">
      <w:pPr>
        <w:rPr>
          <w:i/>
          <w:lang w:val="en-AU" w:eastAsia="en-AU"/>
        </w:rPr>
      </w:pPr>
      <w:r w:rsidRPr="00BF0E6A">
        <w:rPr>
          <w:i/>
          <w:lang w:val="en-AU" w:eastAsia="en-AU"/>
        </w:rPr>
        <w:t>The number and quality of visits made by stockpeople to broiler sheds appears to be very important for many aspects of welfare; regular visual contact with the stockperson may reduce fear and stress in broilers following handling and crating.</w:t>
      </w:r>
    </w:p>
    <w:p w14:paraId="5C2017B4" w14:textId="77777777" w:rsidR="00286A88" w:rsidRPr="00286A88" w:rsidRDefault="00286A88" w:rsidP="00BF0E6A">
      <w:pPr>
        <w:rPr>
          <w:rFonts w:eastAsia="ComputerModern-Regular" w:cs="ComputerModern-Regular"/>
          <w:lang w:val="en-AU" w:eastAsia="en-AU"/>
        </w:rPr>
      </w:pPr>
      <w:r w:rsidRPr="00286A88">
        <w:rPr>
          <w:lang w:val="en-AU" w:eastAsia="en-AU"/>
        </w:rPr>
        <w:t xml:space="preserve">Marin et al. (2001) observed that even brief physical restraint can elevate underlying fear levels in broilers and this effect can persist for at least one hour. </w:t>
      </w:r>
      <w:r w:rsidRPr="00286A88">
        <w:rPr>
          <w:rFonts w:cs="Arial"/>
          <w:shd w:val="clear" w:color="auto" w:fill="FFFFFF"/>
          <w:lang w:val="en-AU" w:eastAsia="en-AU"/>
        </w:rPr>
        <w:t>Regular human (visual) contact between 1-21 days of age was sufficient to reduce fear and stress reactions (lower H:L ratio) to handling and crating, and improve antibody response in broilers, compared to broilers that had never had human visual contact (</w:t>
      </w:r>
      <w:r w:rsidRPr="00286A88">
        <w:rPr>
          <w:rFonts w:cs="Cheltenham-BookCond"/>
          <w:lang w:val="en-AU" w:eastAsia="en-AU"/>
        </w:rPr>
        <w:t xml:space="preserve">Zulkifli </w:t>
      </w:r>
      <w:r w:rsidRPr="00286A88">
        <w:rPr>
          <w:rFonts w:cs="Cheltenham-BookCondItalic"/>
          <w:iCs/>
          <w:lang w:val="en-AU" w:eastAsia="en-AU"/>
        </w:rPr>
        <w:t>et al</w:t>
      </w:r>
      <w:r w:rsidRPr="00286A88">
        <w:rPr>
          <w:rFonts w:cs="Cheltenham-BookCond"/>
          <w:lang w:val="en-AU" w:eastAsia="en-AU"/>
        </w:rPr>
        <w:t xml:space="preserve">., 2002). </w:t>
      </w:r>
      <w:r w:rsidRPr="00286A88">
        <w:rPr>
          <w:rFonts w:cs="Times New Roman"/>
          <w:lang w:val="en-AU" w:eastAsia="en-AU"/>
        </w:rPr>
        <w:t xml:space="preserve">‘Pleasant‘ visual contact has been shown to be as effective as physical contact (pleasant or unpleasant) in </w:t>
      </w:r>
      <w:r w:rsidRPr="00286A88">
        <w:rPr>
          <w:rFonts w:cs="Cheltenham-BookCond"/>
          <w:lang w:val="en-AU" w:eastAsia="en-AU"/>
        </w:rPr>
        <w:t xml:space="preserve">reducing broiler stress following handling and crating. </w:t>
      </w:r>
      <w:r w:rsidRPr="00286A88">
        <w:rPr>
          <w:rFonts w:cs="Times New Roman"/>
          <w:lang w:val="en-AU" w:eastAsia="en-AU"/>
        </w:rPr>
        <w:t>Broilers exposed to either daily ‘pleasant’ physical contact or daily ‘pleasant’ visual contact had lower fear and stress responses than a (non-handled) control group</w:t>
      </w:r>
      <w:r w:rsidRPr="00286A88">
        <w:rPr>
          <w:rFonts w:cs="Cheltenham-BookCond"/>
          <w:lang w:val="en-AU" w:eastAsia="en-AU"/>
        </w:rPr>
        <w:t xml:space="preserve"> (Zulkifli and Azah, 2004); b</w:t>
      </w:r>
      <w:r w:rsidRPr="00286A88">
        <w:rPr>
          <w:rFonts w:cs="Times New Roman"/>
          <w:lang w:val="en-AU" w:eastAsia="en-AU"/>
        </w:rPr>
        <w:t xml:space="preserve">roilers exposed to unpleasant daily physical contact (inverted swinging by the legs) had lower H:L ratios than the controls, but demonstrated similar levels of fear. </w:t>
      </w:r>
      <w:r w:rsidRPr="00286A88">
        <w:rPr>
          <w:rFonts w:eastAsia="ComputerModern-Regular" w:cs="ComputerModern-Regular"/>
          <w:lang w:val="en-AU" w:eastAsia="en-AU"/>
        </w:rPr>
        <w:t>Subjecting broilers to ‘pleasant’ human contact (gentle stroking) has also been reported to reduce stress and fear reactions to transportation compared to a control treatment (no physical or visual contact), whilst broilers subjected to unpleasant handling (inverted swinging and aversive noise) had similar stress and fear responses to the control group (Al-Aqil et al., 2013).</w:t>
      </w:r>
    </w:p>
    <w:p w14:paraId="563A4C93" w14:textId="77777777" w:rsidR="00286A88" w:rsidRPr="00286A88" w:rsidRDefault="00286A88" w:rsidP="00BF0E6A">
      <w:pPr>
        <w:rPr>
          <w:rFonts w:cs="Times New Roman"/>
          <w:lang w:val="en-AU" w:eastAsia="en-AU"/>
        </w:rPr>
      </w:pPr>
      <w:r w:rsidRPr="00286A88">
        <w:rPr>
          <w:rFonts w:cs="RealpageBAS4"/>
          <w:lang w:val="en-AU" w:eastAsia="en-AU"/>
        </w:rPr>
        <w:t xml:space="preserve">Correlations between stockperson attitudes, broiler fear of humans and mortality have also been identified. The likelihood of birds withdrawing from an experimenter during a ‘stroll test’ was negatively associated with ‘farmer job enjoyment’, and positively associated with the speed that stockpeople moved through the shed and the belief that: 1) minimal time and training is required to manage broilers and, 2) husbandry is not important in determining productivity (Cransberg et al., 2000). Cransberg et al. (2000) also observed that first week mortality was positively correlated to the speed at which stockpeople moved through the shed, the time stockpeople remained stationary within the shed, and avoidance of the experimenter in the stroll test; high speed of movement (within the range 0.21 to 0.49 m/s) </w:t>
      </w:r>
      <w:r w:rsidRPr="00286A88">
        <w:rPr>
          <w:rFonts w:cs="Times New Roman"/>
          <w:color w:val="auto"/>
          <w:lang w:val="en-AU" w:eastAsia="en-AU"/>
        </w:rPr>
        <w:t xml:space="preserve">may </w:t>
      </w:r>
      <w:r w:rsidRPr="00286A88">
        <w:rPr>
          <w:rFonts w:cs="RealpageBAS4"/>
          <w:lang w:val="en-AU" w:eastAsia="en-AU"/>
        </w:rPr>
        <w:t>thus provoke fear in the birds and prevent detection of welfare issues.</w:t>
      </w:r>
    </w:p>
    <w:p w14:paraId="15988ABB" w14:textId="77777777" w:rsidR="00286A88" w:rsidRPr="00286A88" w:rsidRDefault="00286A88" w:rsidP="005064B7">
      <w:pPr>
        <w:pStyle w:val="Heading2"/>
        <w:rPr>
          <w:lang w:val="en-AU" w:eastAsia="en-AU"/>
        </w:rPr>
      </w:pPr>
      <w:bookmarkStart w:id="122" w:name="_Toc495310591"/>
      <w:r w:rsidRPr="00286A88">
        <w:rPr>
          <w:lang w:val="en-AU" w:eastAsia="en-AU"/>
        </w:rPr>
        <w:t xml:space="preserve">B8. Sensory </w:t>
      </w:r>
      <w:r w:rsidR="0080779A">
        <w:rPr>
          <w:lang w:val="en-AU" w:eastAsia="en-AU"/>
        </w:rPr>
        <w:t>E</w:t>
      </w:r>
      <w:r w:rsidRPr="00286A88">
        <w:rPr>
          <w:lang w:val="en-AU" w:eastAsia="en-AU"/>
        </w:rPr>
        <w:t>nvironment</w:t>
      </w:r>
      <w:bookmarkEnd w:id="122"/>
    </w:p>
    <w:p w14:paraId="180EEDEB" w14:textId="77777777" w:rsidR="00286A88" w:rsidRPr="007425AE" w:rsidRDefault="00286A88" w:rsidP="007425AE">
      <w:pPr>
        <w:pStyle w:val="Heading3"/>
      </w:pPr>
      <w:bookmarkStart w:id="123" w:name="_Toc495310592"/>
      <w:r w:rsidRPr="007425AE">
        <w:t>B8.1 Light and vision</w:t>
      </w:r>
      <w:bookmarkEnd w:id="123"/>
    </w:p>
    <w:p w14:paraId="0FCA1CE0" w14:textId="77777777" w:rsidR="00286A88" w:rsidRPr="007425AE" w:rsidRDefault="00286A88" w:rsidP="007425AE">
      <w:pPr>
        <w:rPr>
          <w:i/>
          <w:lang w:val="en-AU" w:eastAsia="en-AU"/>
        </w:rPr>
      </w:pPr>
      <w:r w:rsidRPr="007425AE">
        <w:rPr>
          <w:i/>
          <w:lang w:val="en-AU" w:eastAsia="en-AU"/>
        </w:rPr>
        <w:t>Continuous or near-continuous lighting, and dim illumination (&lt;10 lux) during the lights-on period, have negative effects on broiler behaviour and health</w:t>
      </w:r>
      <w:r w:rsidRPr="007425AE">
        <w:rPr>
          <w:rFonts w:eastAsia="ComputerModern-Regular" w:cs="ComputerModern-Regular"/>
          <w:i/>
          <w:lang w:val="en-AU" w:eastAsia="en-AU"/>
        </w:rPr>
        <w:t xml:space="preserve">; a photoperiod of 16L:8D appears to be appropriate for maximising broiler welfare. </w:t>
      </w:r>
      <w:r w:rsidRPr="007425AE">
        <w:rPr>
          <w:i/>
          <w:lang w:val="en-AU" w:eastAsia="en-AU"/>
        </w:rPr>
        <w:t>Behaviour patterns of broilers become synchronised when there is a pronounced intensity contrast between the light and dark period; this synchronised activity reduces sleep disturbance during dark periods.</w:t>
      </w:r>
    </w:p>
    <w:p w14:paraId="57C2824F" w14:textId="77777777" w:rsidR="00286A88" w:rsidRPr="00286A88" w:rsidRDefault="00286A88" w:rsidP="007425AE">
      <w:pPr>
        <w:rPr>
          <w:lang w:val="en-AU" w:eastAsia="en-AU"/>
        </w:rPr>
      </w:pPr>
      <w:r w:rsidRPr="00286A88">
        <w:rPr>
          <w:rFonts w:eastAsia="ComputerModern-Regular" w:cs="ComputerModern-Regular"/>
          <w:lang w:val="en-AU" w:eastAsia="en-AU"/>
        </w:rPr>
        <w:t xml:space="preserve">Manipulation of photoperiod and light intensity is an important management tool used </w:t>
      </w:r>
      <w:r w:rsidRPr="00286A88">
        <w:rPr>
          <w:lang w:val="en-AU" w:eastAsia="en-AU"/>
        </w:rPr>
        <w:t>to regulate broiler production and welfare by modulating various physiological and behavioural pathways.</w:t>
      </w:r>
    </w:p>
    <w:p w14:paraId="5C0DEEBC" w14:textId="77777777" w:rsidR="00286A88" w:rsidRPr="00286A88" w:rsidRDefault="00BF0E6A" w:rsidP="00BF0E6A">
      <w:pPr>
        <w:pStyle w:val="Heading41"/>
      </w:pPr>
      <w:r>
        <w:t>B8.1a Photoperiod</w:t>
      </w:r>
    </w:p>
    <w:p w14:paraId="1D8C7A91" w14:textId="77777777" w:rsidR="00286A88" w:rsidRPr="00286A88" w:rsidRDefault="00286A88" w:rsidP="00BF0E6A">
      <w:pPr>
        <w:rPr>
          <w:rFonts w:cs="Times New Roman"/>
          <w:lang w:val="en-AU" w:eastAsia="en-AU"/>
        </w:rPr>
      </w:pPr>
      <w:r w:rsidRPr="00286A88">
        <w:rPr>
          <w:lang w:val="en-AU" w:eastAsia="en-AU"/>
        </w:rPr>
        <w:t xml:space="preserve">Continuous light (24L:0D) is normally provided during the first 4 days post-hatch, the brooding period, this encourages chick activity and is considered beneficial in stimulating them to start feeding. </w:t>
      </w:r>
      <w:r w:rsidRPr="00286A88">
        <w:rPr>
          <w:rFonts w:cs="Times New Roman"/>
          <w:lang w:val="en-AU" w:eastAsia="en-AU"/>
        </w:rPr>
        <w:t xml:space="preserve">No research on the effects of providing continuous light for a slightly fewer or slightly greater number of days post-hatch was discovered. A number of different types of lighting schedule are used commercially during the grow-out phase, including </w:t>
      </w:r>
      <w:r w:rsidRPr="00286A88">
        <w:rPr>
          <w:rFonts w:cs="AdvP41153C"/>
          <w:lang w:val="en-AU" w:eastAsia="en-AU"/>
        </w:rPr>
        <w:t xml:space="preserve">continuous or near-continuous lighting, </w:t>
      </w:r>
      <w:r w:rsidRPr="00286A88">
        <w:rPr>
          <w:rFonts w:cs="Times New Roman"/>
          <w:lang w:val="en-AU" w:eastAsia="en-AU"/>
        </w:rPr>
        <w:t>restricted continuous lighting (the provision of a single continuous light period, followed by a single continuous dark period, within a 24 hour period) and intermittent lighting (the provision of shorter periods of light and dark, cycled multiple times within a 24 hour period). Long photoperiods are considered necessary to ensure maximal feed intake and, therefore, fast growth (Malleau et al., 2007). Within the EU, lighting must follow a 24-hour rhythm and include periods of darkness lasting at least six hours in total, with at least one uninterrupted period of darkness of at least four hours, excluding dimming periods</w:t>
      </w:r>
      <w:r w:rsidRPr="00286A88">
        <w:rPr>
          <w:rFonts w:ascii="Palatino-Roman" w:hAnsi="Palatino-Roman" w:cs="Palatino-Roman"/>
          <w:sz w:val="20"/>
          <w:szCs w:val="20"/>
          <w:lang w:val="en-AU" w:eastAsia="en-AU"/>
        </w:rPr>
        <w:t>.</w:t>
      </w:r>
    </w:p>
    <w:p w14:paraId="3146BF1B" w14:textId="77777777" w:rsidR="00286A88" w:rsidRPr="00286A88" w:rsidRDefault="00286A88" w:rsidP="00BF0E6A">
      <w:pPr>
        <w:rPr>
          <w:rFonts w:cs="UVCharter-Regular"/>
          <w:lang w:val="en-AU" w:eastAsia="en-AU"/>
        </w:rPr>
      </w:pPr>
      <w:r w:rsidRPr="00286A88">
        <w:rPr>
          <w:rFonts w:eastAsia="ComputerModern-Regular" w:cs="ComputerModern-Regular"/>
          <w:lang w:val="en-AU" w:eastAsia="en-AU"/>
        </w:rPr>
        <w:t xml:space="preserve">Continuous or near-continuous daylength has a negative impact on many aspects of broiler health. </w:t>
      </w:r>
      <w:r w:rsidRPr="00286A88">
        <w:rPr>
          <w:rFonts w:cs="MyriadPro-Semibold"/>
          <w:lang w:val="en-AU" w:eastAsia="en-AU"/>
        </w:rPr>
        <w:t xml:space="preserve">H:L ratios are </w:t>
      </w:r>
      <w:r w:rsidRPr="00BF0E6A">
        <w:rPr>
          <w:rFonts w:cs="TimesNewRomanPS-BoldMT"/>
          <w:bCs/>
          <w:lang w:val="en-AU" w:eastAsia="en-AU"/>
        </w:rPr>
        <w:t>generally higher under continuous or near continuous light (24L:0D or 23L:1D) than under constant light (16L:8D: Onbaşilar et al., 2008;</w:t>
      </w:r>
      <w:r w:rsidRPr="00286A88">
        <w:rPr>
          <w:rFonts w:cs="UVProfile-Light"/>
          <w:sz w:val="24"/>
          <w:szCs w:val="24"/>
          <w:lang w:val="en-AU" w:eastAsia="en-AU"/>
        </w:rPr>
        <w:t xml:space="preserve"> </w:t>
      </w:r>
      <w:r w:rsidRPr="00286A88">
        <w:rPr>
          <w:rFonts w:cs="Times New Roman"/>
          <w:lang w:val="en-AU" w:eastAsia="en-AU"/>
        </w:rPr>
        <w:t xml:space="preserve">Coban et al., </w:t>
      </w:r>
      <w:r w:rsidRPr="00286A88">
        <w:rPr>
          <w:rFonts w:cs="Times New Roman"/>
          <w:kern w:val="36"/>
          <w:lang w:val="en-AU" w:eastAsia="en-GB"/>
        </w:rPr>
        <w:t xml:space="preserve">2014; </w:t>
      </w:r>
      <w:r w:rsidRPr="00286A88">
        <w:rPr>
          <w:rFonts w:eastAsia="ACaslonPro-Regular" w:cs="ACaslonPro-Regular"/>
          <w:lang w:val="en-AU" w:eastAsia="en-AU"/>
        </w:rPr>
        <w:t xml:space="preserve">Das and Lacin, 2014; </w:t>
      </w:r>
      <w:r w:rsidRPr="00286A88">
        <w:rPr>
          <w:rFonts w:cs="Times New Roman"/>
          <w:kern w:val="36"/>
          <w:lang w:val="en-AU" w:eastAsia="en-GB"/>
        </w:rPr>
        <w:t>Toplu et al., 2016</w:t>
      </w:r>
      <w:r w:rsidRPr="00286A88">
        <w:rPr>
          <w:rFonts w:eastAsia="ACaslonPro-Regular" w:cs="ACaslonPro-Regular"/>
          <w:lang w:val="en-AU" w:eastAsia="en-AU"/>
        </w:rPr>
        <w:t>)</w:t>
      </w:r>
      <w:r w:rsidRPr="00286A88">
        <w:rPr>
          <w:rFonts w:cs="Palatino-Roman"/>
          <w:szCs w:val="20"/>
          <w:lang w:val="en-AU" w:eastAsia="en-AU"/>
        </w:rPr>
        <w:t xml:space="preserve">. The effects of intermittent lighting programmes are less clear, as studies differ in lighting regime. </w:t>
      </w:r>
      <w:r w:rsidRPr="00286A88">
        <w:rPr>
          <w:rFonts w:eastAsia="ACaslonPro-Regular" w:cs="ACaslonPro-Regular"/>
          <w:lang w:val="en-AU" w:eastAsia="en-AU"/>
        </w:rPr>
        <w:t>Das and Lacin (2014) observed higher H:L ratios under continuous light than intermittent light (4L:2D), whereas other studies found no difference (</w:t>
      </w:r>
      <w:r w:rsidRPr="00286A88">
        <w:rPr>
          <w:rFonts w:cs="TimesNewRomanPSMT"/>
          <w:lang w:val="en-AU" w:eastAsia="en-AU"/>
        </w:rPr>
        <w:t xml:space="preserve">1L:3D: </w:t>
      </w:r>
      <w:r w:rsidRPr="00286A88">
        <w:rPr>
          <w:rFonts w:cs="TimesNewRomanPS-BoldMT"/>
          <w:bCs/>
          <w:lang w:val="en-AU" w:eastAsia="en-AU"/>
        </w:rPr>
        <w:t>Onbaşılar et al., 2007;</w:t>
      </w:r>
      <w:r w:rsidRPr="00286A88">
        <w:rPr>
          <w:rFonts w:cs="TimesNewRomanPSMT"/>
          <w:szCs w:val="20"/>
          <w:lang w:val="en-AU" w:eastAsia="en-AU"/>
        </w:rPr>
        <w:t xml:space="preserve"> 2L:2D after natural daylight: Petek et al., 2010</w:t>
      </w:r>
      <w:r w:rsidRPr="00286A88">
        <w:rPr>
          <w:rFonts w:cs="TimesNewRomanPS-BoldMT"/>
          <w:bCs/>
          <w:lang w:val="en-AU" w:eastAsia="en-AU"/>
        </w:rPr>
        <w:t xml:space="preserve">). No difference in H:L ratio was also found when comparing continuous light with an increasing light regime </w:t>
      </w:r>
      <w:r w:rsidRPr="00286A88">
        <w:rPr>
          <w:rFonts w:cs="MyriadPro-Semibold"/>
          <w:lang w:val="en-AU" w:eastAsia="en-AU"/>
        </w:rPr>
        <w:t>(14L:10D increasing to 23L:1D over the grow-out period) (Dereli Fidan et al., 201</w:t>
      </w:r>
      <w:r w:rsidR="00CA0BFD">
        <w:rPr>
          <w:rFonts w:cs="MyriadPro-Semibold"/>
          <w:lang w:val="en-AU" w:eastAsia="en-AU"/>
        </w:rPr>
        <w:t>7</w:t>
      </w:r>
      <w:r w:rsidRPr="00286A88">
        <w:rPr>
          <w:rFonts w:cs="MyriadPro-Semibold"/>
          <w:lang w:val="en-AU" w:eastAsia="en-AU"/>
        </w:rPr>
        <w:t xml:space="preserve">). </w:t>
      </w:r>
      <w:r w:rsidRPr="00286A88">
        <w:rPr>
          <w:rFonts w:cs="Times New Roman"/>
          <w:lang w:val="en-AU" w:eastAsia="en-AU"/>
        </w:rPr>
        <w:t>Coban et al. (</w:t>
      </w:r>
      <w:r w:rsidRPr="00286A88">
        <w:rPr>
          <w:rFonts w:cs="Times New Roman"/>
          <w:kern w:val="36"/>
          <w:lang w:val="en-AU" w:eastAsia="en-GB"/>
        </w:rPr>
        <w:t xml:space="preserve">2014) observed that the H:L ratios of broilers reared under a self-photoperiod regime (i.e. provided with continuous light and a dark chamber) were lower than birds reared on continuous light without access to a dark chamber, but higher than birds raised under constant light (16L:8D). </w:t>
      </w:r>
      <w:r w:rsidRPr="00286A88">
        <w:rPr>
          <w:rFonts w:eastAsia="ComputerModern-Regular" w:cs="ComputerModern-Regular"/>
          <w:lang w:val="en-AU" w:eastAsia="en-AU"/>
        </w:rPr>
        <w:t>Plasma corticosterone concentration appears to be unaffected by lighting regime (Olanrewaju et al., 2010; 2013; 2014a), as does blood glucose (</w:t>
      </w:r>
      <w:r w:rsidRPr="00286A88">
        <w:rPr>
          <w:rFonts w:cs="TimesNewRomanPS-BoldMT"/>
          <w:bCs/>
          <w:lang w:val="en-AU" w:eastAsia="en-AU"/>
        </w:rPr>
        <w:t xml:space="preserve">Onbaşılar et al., 2007; </w:t>
      </w:r>
      <w:r w:rsidRPr="00286A88">
        <w:rPr>
          <w:rFonts w:cs="UVProfile-Light"/>
          <w:lang w:val="en-AU" w:eastAsia="en-AU"/>
        </w:rPr>
        <w:t>2008).</w:t>
      </w:r>
    </w:p>
    <w:p w14:paraId="021E2BA8" w14:textId="77777777" w:rsidR="00286A88" w:rsidRPr="00286A88" w:rsidRDefault="00286A88" w:rsidP="00BF0E6A">
      <w:pPr>
        <w:rPr>
          <w:rFonts w:cs="UVProfile-Light"/>
          <w:sz w:val="24"/>
          <w:szCs w:val="24"/>
          <w:lang w:val="en-AU" w:eastAsia="en-AU"/>
        </w:rPr>
      </w:pPr>
      <w:r w:rsidRPr="00286A88">
        <w:rPr>
          <w:lang w:val="en-AU" w:eastAsia="en-AU"/>
        </w:rPr>
        <w:t xml:space="preserve">Van der Pol et al. (2015) observed that exposing newly hatched chicks to continuous light (24L:0D) for 4 days increased leg bone development and leg bone asymmetry, compared to chicks exposed to intermittent lighting (2L:1D or 2L:6D). The authors hypothesise that a reduction in activity (although not measured in this study) associated with longer dark periods was responsible for slowing bone development. Van der Pol et al. (2015) also observed that light dimming was associated with lower bone asymmetry than abrupt light-dark transitions, which may also be indicative of lower environmental stress. </w:t>
      </w:r>
      <w:r w:rsidRPr="00286A88">
        <w:rPr>
          <w:rFonts w:cs="TimesNewRomanPSMT"/>
          <w:lang w:val="en-AU" w:eastAsia="en-AU"/>
        </w:rPr>
        <w:t>Other studies did not detect a difference in relative asymmetry of leg bones in broilers reared under continuous light and either intermittent light (</w:t>
      </w:r>
      <w:r w:rsidRPr="00286A88">
        <w:rPr>
          <w:rFonts w:cs="TimesNewRomanPS-BoldMT"/>
          <w:bCs/>
          <w:lang w:val="en-AU" w:eastAsia="en-AU"/>
        </w:rPr>
        <w:t>Onbaşılar et al., 2007) or constant light (On</w:t>
      </w:r>
      <w:r w:rsidRPr="00286A88">
        <w:rPr>
          <w:rFonts w:cs="UVProfile-Light"/>
          <w:lang w:val="en-AU" w:eastAsia="en-AU"/>
        </w:rPr>
        <w:t>ba</w:t>
      </w:r>
      <w:r w:rsidRPr="00286A88">
        <w:rPr>
          <w:rFonts w:cs="TimesNewRoman"/>
          <w:lang w:val="en-AU" w:eastAsia="en-AU"/>
        </w:rPr>
        <w:t>şi</w:t>
      </w:r>
      <w:r w:rsidRPr="00286A88">
        <w:rPr>
          <w:rFonts w:cs="UVProfile-Light"/>
          <w:lang w:val="en-AU" w:eastAsia="en-AU"/>
        </w:rPr>
        <w:t xml:space="preserve">lar et al., 2008). </w:t>
      </w:r>
      <w:r w:rsidRPr="00286A88">
        <w:rPr>
          <w:rFonts w:cs="TimesNewRomanPS-BoldMT"/>
          <w:bCs/>
          <w:lang w:val="en-AU" w:eastAsia="en-AU"/>
        </w:rPr>
        <w:t>Exposure to chronic stress is often seen to suppress immunity. I</w:t>
      </w:r>
      <w:r w:rsidRPr="00286A88">
        <w:rPr>
          <w:rFonts w:cs="TimesNewRomanPSMT"/>
          <w:lang w:val="en-AU" w:eastAsia="en-AU"/>
        </w:rPr>
        <w:t>ntermittent lighting (1L:3D), but not constant lighting (16L:8D), was seen to improve immune function compared to continuous lighting (24L:0D); spleen weight remained unaffected by lighting regime (</w:t>
      </w:r>
      <w:r w:rsidRPr="00286A88">
        <w:rPr>
          <w:rFonts w:cs="UVProfile-Light"/>
          <w:lang w:val="en-AU" w:eastAsia="en-AU"/>
        </w:rPr>
        <w:t>Onba</w:t>
      </w:r>
      <w:r w:rsidRPr="00286A88">
        <w:rPr>
          <w:rFonts w:cs="TimesNewRoman"/>
          <w:lang w:val="en-AU" w:eastAsia="en-AU"/>
        </w:rPr>
        <w:t>şi</w:t>
      </w:r>
      <w:r w:rsidRPr="00286A88">
        <w:rPr>
          <w:rFonts w:cs="UVProfile-Light"/>
          <w:lang w:val="en-AU" w:eastAsia="en-AU"/>
        </w:rPr>
        <w:t>lar et al., 2007; 2008)</w:t>
      </w:r>
      <w:r w:rsidRPr="00286A88">
        <w:rPr>
          <w:rFonts w:cs="UVProfile-Light"/>
          <w:sz w:val="24"/>
          <w:szCs w:val="24"/>
          <w:lang w:val="en-AU" w:eastAsia="en-AU"/>
        </w:rPr>
        <w:t>.</w:t>
      </w:r>
    </w:p>
    <w:p w14:paraId="5A7D6C06" w14:textId="77777777" w:rsidR="00286A88" w:rsidRPr="00286A88" w:rsidRDefault="00286A88" w:rsidP="00BF0E6A">
      <w:pPr>
        <w:rPr>
          <w:rFonts w:eastAsia="ACaslonPro-Regular" w:cs="ACaslonPro-Regular"/>
          <w:lang w:val="en-AU" w:eastAsia="en-AU"/>
        </w:rPr>
      </w:pPr>
      <w:r w:rsidRPr="00286A88">
        <w:rPr>
          <w:lang w:val="en-AU" w:eastAsia="en-AU"/>
        </w:rPr>
        <w:t xml:space="preserve">An 8 h scotoperiod generally appears to be associated with low fear levels. Fearfulness has generally been found to be higher under continuous or near-continuous light </w:t>
      </w:r>
      <w:r w:rsidRPr="00286A88">
        <w:rPr>
          <w:rFonts w:eastAsia="ACaslonPro-Regular" w:cs="ACaslonPro-Regular"/>
          <w:lang w:val="en-AU" w:eastAsia="en-AU"/>
        </w:rPr>
        <w:t>than under constant light (16L:8D) (</w:t>
      </w:r>
      <w:r w:rsidRPr="00286A88">
        <w:rPr>
          <w:rFonts w:cs="RealpageBAS6-Bold"/>
          <w:bCs/>
          <w:lang w:val="en-AU" w:eastAsia="en-AU"/>
        </w:rPr>
        <w:t>Sanotra et al., 2002;</w:t>
      </w:r>
      <w:r w:rsidRPr="00286A88">
        <w:rPr>
          <w:rFonts w:cs="UVProfile-Light"/>
          <w:lang w:val="en-AU" w:eastAsia="en-AU"/>
        </w:rPr>
        <w:t xml:space="preserve"> Onba</w:t>
      </w:r>
      <w:r w:rsidRPr="00286A88">
        <w:rPr>
          <w:rFonts w:cs="TimesNewRoman"/>
          <w:lang w:val="en-AU" w:eastAsia="en-AU"/>
        </w:rPr>
        <w:t>şi</w:t>
      </w:r>
      <w:r w:rsidRPr="00286A88">
        <w:rPr>
          <w:rFonts w:cs="UVProfile-Light"/>
          <w:lang w:val="en-AU" w:eastAsia="en-AU"/>
        </w:rPr>
        <w:t xml:space="preserve">lar et al., 2008; </w:t>
      </w:r>
      <w:r w:rsidRPr="00286A88">
        <w:rPr>
          <w:rFonts w:cs="Times New Roman"/>
          <w:lang w:val="en-AU" w:eastAsia="en-AU"/>
        </w:rPr>
        <w:t xml:space="preserve">Bayram and </w:t>
      </w:r>
      <w:r w:rsidR="00446673" w:rsidRPr="00446673">
        <w:rPr>
          <w:rFonts w:cs="Times New Roman"/>
          <w:lang w:val="en-AU" w:eastAsia="en-AU"/>
        </w:rPr>
        <w:t>Özkan</w:t>
      </w:r>
      <w:r w:rsidRPr="00286A88">
        <w:rPr>
          <w:rFonts w:cs="Times New Roman"/>
          <w:lang w:val="en-AU" w:eastAsia="en-AU"/>
        </w:rPr>
        <w:t>, 2010;</w:t>
      </w:r>
      <w:r w:rsidRPr="00286A88">
        <w:rPr>
          <w:rFonts w:cs="Times New Roman"/>
          <w:kern w:val="36"/>
          <w:lang w:val="en-AU" w:eastAsia="en-GB"/>
        </w:rPr>
        <w:t xml:space="preserve"> Toplu et al., 2016</w:t>
      </w:r>
      <w:r w:rsidRPr="00286A88">
        <w:rPr>
          <w:rFonts w:cs="UVProfile-Light"/>
          <w:lang w:val="en-AU" w:eastAsia="en-AU"/>
        </w:rPr>
        <w:t>)</w:t>
      </w:r>
      <w:r w:rsidRPr="00286A88">
        <w:rPr>
          <w:rFonts w:cs="RealpageBAS6-Bold"/>
          <w:bCs/>
          <w:lang w:val="en-AU" w:eastAsia="en-AU"/>
        </w:rPr>
        <w:t xml:space="preserve">. </w:t>
      </w:r>
      <w:r w:rsidRPr="00286A88">
        <w:rPr>
          <w:rFonts w:cs="TimesNewRomanPS-BoldMT"/>
          <w:bCs/>
          <w:lang w:val="en-AU" w:eastAsia="en-AU"/>
        </w:rPr>
        <w:t xml:space="preserve">Onbaşılar et al. (2007) observed tonic immobility to be lower in broilers housed under </w:t>
      </w:r>
      <w:r w:rsidRPr="00286A88">
        <w:rPr>
          <w:rFonts w:cs="RealpageBAS6-Bold"/>
          <w:bCs/>
          <w:lang w:val="en-AU" w:eastAsia="en-AU"/>
        </w:rPr>
        <w:t>intermittent light (1L:3D</w:t>
      </w:r>
      <w:r w:rsidRPr="00286A88">
        <w:rPr>
          <w:rFonts w:cs="TimesNewRomanPS-BoldMT"/>
          <w:bCs/>
          <w:lang w:val="en-AU" w:eastAsia="en-AU"/>
        </w:rPr>
        <w:t>) than continuous light; however no difference was observed under a different intermittent light regime (</w:t>
      </w:r>
      <w:r w:rsidRPr="00286A88">
        <w:rPr>
          <w:rFonts w:eastAsia="ACaslonPro-Regular" w:cs="ACaslonPro-Regular"/>
          <w:lang w:val="en-AU" w:eastAsia="en-AU"/>
        </w:rPr>
        <w:t>4L:2D: Das and Lacin, 2014).</w:t>
      </w:r>
    </w:p>
    <w:p w14:paraId="18A61187" w14:textId="77777777" w:rsidR="00286A88" w:rsidRPr="00286A88" w:rsidRDefault="00286A88" w:rsidP="00BF0E6A">
      <w:pPr>
        <w:rPr>
          <w:lang w:val="en-AU" w:eastAsia="en-AU"/>
        </w:rPr>
      </w:pPr>
      <w:r w:rsidRPr="00286A88">
        <w:rPr>
          <w:lang w:val="en-AU" w:eastAsia="en-AU"/>
        </w:rPr>
        <w:t>A longer dark period was associated with broiler flocks appearing to be more content, positively occupied, and energetic (Bassler et al., 2013), in accordance with reports that a dark period increases physical activity during light (e.g. Schwean-Lardner et al., 2012). The same flocks were also scored as agitated, unsure, tense, nervous, scared and fearful (Bassler et al., 2013). This may reflect some limitations of the qualitative behavioural analysis methodology.</w:t>
      </w:r>
    </w:p>
    <w:p w14:paraId="35FB2F60" w14:textId="77777777" w:rsidR="00286A88" w:rsidRPr="00286A88" w:rsidRDefault="00286A88" w:rsidP="00BF0E6A">
      <w:pPr>
        <w:rPr>
          <w:rFonts w:cs="TimesNewRomanPSMT"/>
          <w:szCs w:val="20"/>
          <w:lang w:val="en-AU" w:eastAsia="en-AU"/>
        </w:rPr>
      </w:pPr>
      <w:r w:rsidRPr="00286A88">
        <w:rPr>
          <w:rFonts w:cs="MyriadPro-Semibold"/>
          <w:lang w:val="en-AU" w:eastAsia="en-AU"/>
        </w:rPr>
        <w:t xml:space="preserve">Leg health, leg bone quality and FPD benefit from a longer scotophase (see B3.3g and B3.4a). </w:t>
      </w:r>
      <w:r w:rsidRPr="00286A88">
        <w:rPr>
          <w:lang w:val="en-AU" w:eastAsia="en-AU"/>
        </w:rPr>
        <w:t xml:space="preserve">Lewis and Gous (2009) report a negative linear relationship between eye weight and photoperiod (2-21 h light). Heavier eyes (macrophthalmia) are also reported in continuously illuminated birds (Lewis and Gous, 2009; </w:t>
      </w:r>
      <w:r w:rsidRPr="00286A88">
        <w:rPr>
          <w:rFonts w:cs="GulliverRM"/>
          <w:lang w:val="en-AU" w:eastAsia="en-AU"/>
        </w:rPr>
        <w:t>Schwean-Lardner et al., 2013</w:t>
      </w:r>
      <w:r w:rsidRPr="00286A88">
        <w:rPr>
          <w:lang w:val="en-AU" w:eastAsia="en-AU"/>
        </w:rPr>
        <w:t xml:space="preserve">). These results indicate that normal ocular development in broilers requires a maximum photoperiod of 20 h and that short photoperiods, in addition to continuous illumination, may be harmful for eye health. </w:t>
      </w:r>
      <w:r w:rsidRPr="00286A88">
        <w:rPr>
          <w:rFonts w:cs="Palatino-Roman"/>
          <w:lang w:val="en-AU" w:eastAsia="en-AU"/>
        </w:rPr>
        <w:t xml:space="preserve">Restricted continuous and intermittent </w:t>
      </w:r>
      <w:r w:rsidRPr="00286A88">
        <w:rPr>
          <w:rFonts w:cs="Times New Roman"/>
          <w:lang w:val="en-AU" w:eastAsia="en-AU"/>
        </w:rPr>
        <w:t xml:space="preserve">lighting programmes are used commercially to limit early growth rates and limit losses associated with metabolic disorders (sudden death syndrome and ascites) and leg problems (Scott, 2002). </w:t>
      </w:r>
      <w:r w:rsidRPr="00286A88">
        <w:rPr>
          <w:rFonts w:cs="GulliverRM"/>
          <w:lang w:val="en-AU" w:eastAsia="en-AU"/>
        </w:rPr>
        <w:t xml:space="preserve">Some studies report lower mortality under shorter day-lengths (Brickett et al., 2007; </w:t>
      </w:r>
      <w:r w:rsidRPr="00286A88">
        <w:rPr>
          <w:rFonts w:cs="UVCharter-Regular"/>
          <w:lang w:val="en-AU" w:eastAsia="en-AU"/>
        </w:rPr>
        <w:t xml:space="preserve">Lewis et al., 2010; </w:t>
      </w:r>
      <w:r w:rsidRPr="00286A88">
        <w:rPr>
          <w:rFonts w:cs="GulliverRM"/>
          <w:lang w:val="en-AU" w:eastAsia="en-AU"/>
        </w:rPr>
        <w:t>Schwean-Lardner et al., 2013), while others do not (</w:t>
      </w:r>
      <w:r w:rsidRPr="00286A88">
        <w:rPr>
          <w:rFonts w:cs="Palatino-Roman"/>
          <w:szCs w:val="20"/>
          <w:lang w:val="en-AU" w:eastAsia="en-AU"/>
        </w:rPr>
        <w:t xml:space="preserve">Lien et al., 2007; </w:t>
      </w:r>
      <w:r w:rsidRPr="00286A88">
        <w:rPr>
          <w:rFonts w:cs="TimesNewRomanPSMT"/>
          <w:szCs w:val="20"/>
          <w:lang w:val="en-AU" w:eastAsia="en-AU"/>
        </w:rPr>
        <w:t xml:space="preserve">Petek et al., 2010; </w:t>
      </w:r>
      <w:r w:rsidRPr="00286A88">
        <w:rPr>
          <w:rFonts w:cs="Times New Roman"/>
          <w:lang w:val="en-AU" w:eastAsia="en-AU"/>
        </w:rPr>
        <w:t xml:space="preserve">Coban et al., </w:t>
      </w:r>
      <w:r w:rsidRPr="00286A88">
        <w:rPr>
          <w:rFonts w:cs="Times New Roman"/>
          <w:kern w:val="36"/>
          <w:lang w:val="en-AU" w:eastAsia="en-GB"/>
        </w:rPr>
        <w:t>2014).</w:t>
      </w:r>
    </w:p>
    <w:p w14:paraId="00554CB9" w14:textId="77777777" w:rsidR="00286A88" w:rsidRPr="00286A88" w:rsidRDefault="00286A88" w:rsidP="00BF0E6A">
      <w:pPr>
        <w:rPr>
          <w:lang w:val="en-AU" w:eastAsia="en-AU"/>
        </w:rPr>
      </w:pPr>
      <w:r w:rsidRPr="00286A88">
        <w:rPr>
          <w:rFonts w:cs="Palatino-Roman"/>
          <w:lang w:val="en-AU" w:eastAsia="en-AU"/>
        </w:rPr>
        <w:t xml:space="preserve">The majority of studies find no effect of photoperiod upon production parameters (Lien et al., 2007; </w:t>
      </w:r>
      <w:r w:rsidRPr="00286A88">
        <w:rPr>
          <w:rFonts w:cs="UVProfile-Light"/>
          <w:lang w:val="en-AU" w:eastAsia="en-AU"/>
        </w:rPr>
        <w:t>Onba</w:t>
      </w:r>
      <w:r w:rsidRPr="00286A88">
        <w:rPr>
          <w:rFonts w:cs="TimesNewRoman"/>
          <w:lang w:val="en-AU" w:eastAsia="en-AU"/>
        </w:rPr>
        <w:t>şi</w:t>
      </w:r>
      <w:r w:rsidRPr="00286A88">
        <w:rPr>
          <w:rFonts w:cs="UVProfile-Light"/>
          <w:lang w:val="en-AU" w:eastAsia="en-AU"/>
        </w:rPr>
        <w:t xml:space="preserve">lar et al., 2008; </w:t>
      </w:r>
      <w:r w:rsidRPr="00286A88">
        <w:rPr>
          <w:rFonts w:cs="TimesNewRomanPS-BoldMT"/>
          <w:bCs/>
          <w:lang w:val="en-AU" w:eastAsia="en-AU"/>
        </w:rPr>
        <w:t xml:space="preserve">Bayram and Özkan, 2010; </w:t>
      </w:r>
      <w:r w:rsidRPr="00286A88">
        <w:rPr>
          <w:rFonts w:cs="UVCharter-Regular"/>
          <w:lang w:val="en-AU" w:eastAsia="en-AU"/>
        </w:rPr>
        <w:t xml:space="preserve">Lewis et al., 2010). </w:t>
      </w:r>
      <w:r w:rsidRPr="00286A88">
        <w:rPr>
          <w:rFonts w:eastAsia="ACaslonPro-Regular" w:cs="ACaslonPro-Regular"/>
          <w:lang w:val="en-AU" w:eastAsia="en-AU"/>
        </w:rPr>
        <w:t xml:space="preserve">Das and Lacin (2014) observed higher production parameters under </w:t>
      </w:r>
      <w:r w:rsidRPr="00286A88">
        <w:rPr>
          <w:rFonts w:cs="MyriadPro-Semibold"/>
          <w:lang w:val="en-AU" w:eastAsia="en-AU"/>
        </w:rPr>
        <w:t xml:space="preserve">continuous light </w:t>
      </w:r>
      <w:r w:rsidRPr="00286A88">
        <w:rPr>
          <w:rFonts w:eastAsia="ACaslonPro-Regular" w:cs="ACaslonPro-Regular"/>
          <w:lang w:val="en-AU" w:eastAsia="en-AU"/>
        </w:rPr>
        <w:t>than constant (16L:8D) or intermittent lighting (4L:2D), while another study found the opposite; p</w:t>
      </w:r>
      <w:r w:rsidRPr="00286A88">
        <w:rPr>
          <w:lang w:val="en-AU" w:eastAsia="en-AU"/>
        </w:rPr>
        <w:t>roduction parameters were improved in broilers raised under intermittent light (4L:4D) compared to continuous light (Yang et al., 2015).</w:t>
      </w:r>
    </w:p>
    <w:p w14:paraId="636CF653" w14:textId="77777777" w:rsidR="00286A88" w:rsidRPr="00286A88" w:rsidRDefault="00286A88" w:rsidP="00BF0E6A">
      <w:pPr>
        <w:rPr>
          <w:rFonts w:cs="GulliverRM"/>
          <w:lang w:val="en-AU" w:eastAsia="en-AU"/>
        </w:rPr>
      </w:pPr>
      <w:r w:rsidRPr="00286A88">
        <w:rPr>
          <w:rFonts w:cs="RealpageBAS6-Bold"/>
          <w:bCs/>
          <w:lang w:val="en-AU" w:eastAsia="en-AU"/>
        </w:rPr>
        <w:t xml:space="preserve">Activity (including </w:t>
      </w:r>
      <w:r w:rsidRPr="00286A88">
        <w:rPr>
          <w:rFonts w:cs="GulliverRM"/>
          <w:lang w:val="en-AU" w:eastAsia="en-AU"/>
        </w:rPr>
        <w:t xml:space="preserve">the percentage of time spent standing, walking, feeding, drinking, preening, stretching, dust-bathing and litter pecking) decreases with increasing day-length </w:t>
      </w:r>
      <w:r w:rsidRPr="00286A88">
        <w:rPr>
          <w:rFonts w:cs="RealpageBAS6"/>
          <w:lang w:val="en-AU" w:eastAsia="en-AU"/>
        </w:rPr>
        <w:t>(</w:t>
      </w:r>
      <w:r w:rsidRPr="00286A88">
        <w:rPr>
          <w:rFonts w:cs="RealpageBAS6-Bold"/>
          <w:bCs/>
          <w:lang w:val="en-AU" w:eastAsia="en-AU"/>
        </w:rPr>
        <w:t xml:space="preserve">Sanotra et al., 2002; </w:t>
      </w:r>
      <w:r w:rsidRPr="00286A88">
        <w:rPr>
          <w:rFonts w:cs="TimesNewRomanPS-BoldMT"/>
          <w:bCs/>
          <w:lang w:val="en-AU" w:eastAsia="en-AU"/>
        </w:rPr>
        <w:t xml:space="preserve">Bayram and Özkan, 2010; </w:t>
      </w:r>
      <w:r w:rsidRPr="00286A88">
        <w:rPr>
          <w:rFonts w:cs="RealpageBAS6-Bold"/>
          <w:bCs/>
          <w:lang w:val="en-AU" w:eastAsia="en-AU"/>
        </w:rPr>
        <w:t>S</w:t>
      </w:r>
      <w:r w:rsidRPr="00286A88">
        <w:rPr>
          <w:rFonts w:cs="GulliverRM"/>
          <w:lang w:val="en-AU" w:eastAsia="en-AU"/>
        </w:rPr>
        <w:t>chwean-Lardner et al., 2012</w:t>
      </w:r>
      <w:r w:rsidRPr="00286A88">
        <w:rPr>
          <w:rFonts w:cs="RealpageBAS6-Bold"/>
          <w:bCs/>
          <w:lang w:val="en-AU" w:eastAsia="en-AU"/>
        </w:rPr>
        <w:t xml:space="preserve">) regardless of age or stocking density. </w:t>
      </w:r>
      <w:r w:rsidRPr="00286A88">
        <w:rPr>
          <w:rFonts w:cs="GulliverRM"/>
          <w:lang w:val="en-AU" w:eastAsia="en-AU"/>
        </w:rPr>
        <w:t>Schwean-Lardner et al. (2012) observed no behavioural advantage associated with the longest scotoperiod they tested (14L:10D), so they recommend a photoperiod of 16L:8D as optimum.</w:t>
      </w:r>
      <w:r w:rsidRPr="00286A88">
        <w:rPr>
          <w:rFonts w:cs="TimesNewRomanPS-BoldMT"/>
          <w:bCs/>
          <w:lang w:val="en-AU" w:eastAsia="en-AU"/>
        </w:rPr>
        <w:t xml:space="preserve"> Bayram and Özkan (2010) also observed that birds maintained under a </w:t>
      </w:r>
      <w:r w:rsidRPr="00286A88">
        <w:rPr>
          <w:rFonts w:cs="TimesNewRomanPSMT"/>
          <w:lang w:val="en-AU" w:eastAsia="en-AU"/>
        </w:rPr>
        <w:t>16L:8D photoperiod displayed greater sociality (as assessed by social reinstatement runway tests), compared to birds exposed to continuous lighting. Interestingly, d</w:t>
      </w:r>
      <w:r w:rsidRPr="00286A88">
        <w:rPr>
          <w:rFonts w:cs="GulliverRM"/>
          <w:lang w:val="en-AU" w:eastAsia="en-AU"/>
        </w:rPr>
        <w:t>ust-bathing was not observed in older broilers reared under 23L:1D (Schwean-Lardner et al., 2012). The reduction (or elimination) of locomotive, exploratory, social, comfort and nutritive behaviours, including those that are highly motivated, are likely to indicate reduced  welfare in birds raised under constant, or near-constant, light.</w:t>
      </w:r>
    </w:p>
    <w:p w14:paraId="6632B2EE" w14:textId="77777777" w:rsidR="00286A88" w:rsidRPr="00286A88" w:rsidRDefault="00286A88" w:rsidP="00BF0E6A">
      <w:pPr>
        <w:rPr>
          <w:rFonts w:cs="AdvOT6af9549b"/>
          <w:szCs w:val="21"/>
          <w:lang w:val="en-AU" w:eastAsia="en-AU"/>
        </w:rPr>
      </w:pPr>
      <w:r w:rsidRPr="00286A88">
        <w:rPr>
          <w:rFonts w:cs="Times New Roman"/>
          <w:lang w:val="en-AU" w:eastAsia="en-AU"/>
        </w:rPr>
        <w:t xml:space="preserve">Commercial broiler production is not generally designed to accommodate sleep and rest. The initial provision of continuous or near continuous bright light to chicks following placement within barns encourages high activity. Chicks attempting to sleep or rest are likely to encounter continual disturbance as large numbers of flock-mates move between the drinkers and feeders. Malleau et al. (2007) observed that chicks housed under long days (19L:5D) spent a lower proportion of the light period in active behaviour but had a greater total activity than chicks maintained on a simulated brooding cycle (40 min L: 40 min D throughout the 19 h light period). Chicks on the brooding cycle demonstrated high (synchronised) activity levels when the lights were on, and very low (synchronised) activity levels when the lights were off (Malleau et al., 2007). The authors hypothesise that (since production parameters were unaffected by longer dark periods) using lighting regimes to synchronise behaviour and increase opportunities for undisturbed rest may provide more welfare benefits to young chicks than the constant restricted lighting regimes currently in use (Malleau et al., 2007). </w:t>
      </w:r>
      <w:r w:rsidRPr="00286A88">
        <w:rPr>
          <w:rFonts w:cs="AdvOT6af9549b"/>
          <w:szCs w:val="21"/>
          <w:lang w:val="en-AU" w:eastAsia="en-AU"/>
        </w:rPr>
        <w:t xml:space="preserve">Exposing broilers to 4+ hours of darkness also enables the development of </w:t>
      </w:r>
      <w:r w:rsidRPr="00286A88">
        <w:rPr>
          <w:rFonts w:cs="AdvOT6af9549b+fb"/>
          <w:szCs w:val="21"/>
          <w:lang w:val="en-AU" w:eastAsia="en-AU"/>
        </w:rPr>
        <w:t>fl</w:t>
      </w:r>
      <w:r w:rsidRPr="00286A88">
        <w:rPr>
          <w:rFonts w:cs="AdvOT6af9549b"/>
          <w:szCs w:val="21"/>
          <w:lang w:val="en-AU" w:eastAsia="en-AU"/>
        </w:rPr>
        <w:t xml:space="preserve">ock behavioural, and circadian, rhythms during the photophase, which are not seen under near-constant light </w:t>
      </w:r>
      <w:r w:rsidRPr="00286A88">
        <w:rPr>
          <w:rFonts w:cs="GulliverRM"/>
          <w:lang w:val="en-AU" w:eastAsia="en-AU"/>
        </w:rPr>
        <w:t>(Schwean-Lardner et al., 2014); s</w:t>
      </w:r>
      <w:r w:rsidRPr="00286A88">
        <w:rPr>
          <w:rFonts w:cs="AdvOT6af9549b"/>
          <w:szCs w:val="21"/>
          <w:lang w:val="en-AU" w:eastAsia="en-AU"/>
        </w:rPr>
        <w:t>horter day lengths (14L:10D and 17L:7D) increase the expression of synchronised behavioural rhythms. These results support the hypothesis t</w:t>
      </w:r>
      <w:r w:rsidR="0080779A">
        <w:rPr>
          <w:rFonts w:cs="AdvOT6af9549b"/>
          <w:szCs w:val="21"/>
          <w:lang w:val="en-AU" w:eastAsia="en-AU"/>
        </w:rPr>
        <w:t>hat birds reared under constant</w:t>
      </w:r>
      <w:r w:rsidRPr="00286A88">
        <w:rPr>
          <w:rFonts w:cs="AdvOT6af9549b"/>
          <w:szCs w:val="21"/>
          <w:lang w:val="en-AU" w:eastAsia="en-AU"/>
        </w:rPr>
        <w:t>,</w:t>
      </w:r>
      <w:r w:rsidR="0080779A">
        <w:rPr>
          <w:rFonts w:cs="AdvOT6af9549b"/>
          <w:szCs w:val="21"/>
          <w:lang w:val="en-AU" w:eastAsia="en-AU"/>
        </w:rPr>
        <w:t xml:space="preserve"> </w:t>
      </w:r>
      <w:r w:rsidRPr="00286A88">
        <w:rPr>
          <w:rFonts w:cs="AdvOT6af9549b"/>
          <w:szCs w:val="21"/>
          <w:lang w:val="en-AU" w:eastAsia="en-AU"/>
        </w:rPr>
        <w:t xml:space="preserve">or near-constant, light are at a higher risk of suffering </w:t>
      </w:r>
      <w:r w:rsidRPr="00286A88">
        <w:rPr>
          <w:rFonts w:cs="AdvOT6af9549b"/>
          <w:lang w:val="en-AU" w:eastAsia="en-AU"/>
        </w:rPr>
        <w:t>from sleep fragmentation</w:t>
      </w:r>
      <w:r w:rsidRPr="00286A88">
        <w:rPr>
          <w:rFonts w:cs="AdvOT6af9549b"/>
          <w:szCs w:val="21"/>
          <w:lang w:val="en-AU" w:eastAsia="en-AU"/>
        </w:rPr>
        <w:t xml:space="preserve"> (i.e. are sleep-deprived).</w:t>
      </w:r>
      <w:r w:rsidRPr="00286A88">
        <w:rPr>
          <w:rFonts w:eastAsia="ComputerModern-Regular" w:cs="ComputerModern-Regular"/>
          <w:lang w:val="en-AU" w:eastAsia="en-AU"/>
        </w:rPr>
        <w:t xml:space="preserve"> The provision of a distinct photoperiod could improve broiler welfare by promoting pronounced behavioural rhythms within a flock, and allowing them a distinct period of rest during the scotophase, as well as reducing disturbance from flock-mates during this period of rest (Alvino et al., 2009b).</w:t>
      </w:r>
    </w:p>
    <w:p w14:paraId="42074873" w14:textId="77777777" w:rsidR="00286A88" w:rsidRPr="00286A88" w:rsidRDefault="00286A88" w:rsidP="00BF0E6A">
      <w:pPr>
        <w:pStyle w:val="Heading41"/>
      </w:pPr>
      <w:r w:rsidRPr="00286A88">
        <w:t>B8.1b Light intensity</w:t>
      </w:r>
    </w:p>
    <w:p w14:paraId="2C734483" w14:textId="77777777" w:rsidR="00286A88" w:rsidRPr="00286A88" w:rsidRDefault="00286A88" w:rsidP="007425AE">
      <w:pPr>
        <w:rPr>
          <w:rFonts w:eastAsia="Times New Roman" w:cs="FrutigerLTStd-Light"/>
          <w:lang w:val="en-AU" w:eastAsia="en-AU"/>
        </w:rPr>
      </w:pPr>
      <w:r w:rsidRPr="00286A88">
        <w:rPr>
          <w:rFonts w:eastAsia="Times New Roman" w:cs="Times New Roman"/>
          <w:lang w:val="en-AU" w:eastAsia="en-AU"/>
        </w:rPr>
        <w:t>Chicks are exposed to bright light during the first week of life to stimulate feeding. Subsequently,</w:t>
      </w:r>
      <w:r w:rsidRPr="00286A88">
        <w:rPr>
          <w:lang w:val="en-AU" w:eastAsia="en-AU"/>
        </w:rPr>
        <w:t xml:space="preserve"> broilers are typically housed under dim lighting for the remainder of the production cycle. Despite considerable research on light intensity, there is still a debate on the optimum level to be used for intensively housed broilers. </w:t>
      </w:r>
      <w:r w:rsidRPr="00286A88">
        <w:rPr>
          <w:rFonts w:eastAsia="Times New Roman" w:cs="Times New Roman"/>
          <w:lang w:val="en-AU" w:eastAsia="en-AU"/>
        </w:rPr>
        <w:t>Within the EU, lighting requirements state that a light intensity of at least 20 lux during the light phase must be provided at all ages. In other countries, including Brazil, it is common to reduce the light intensity from 20 lux to 5 lux by 14-21 days and then maintain this for the remainder of the grow-out period (</w:t>
      </w:r>
      <w:r w:rsidRPr="00286A88">
        <w:rPr>
          <w:rFonts w:eastAsia="Times New Roman" w:cs="FrutigerLTStd-Light"/>
          <w:lang w:val="en-AU" w:eastAsia="en-AU"/>
        </w:rPr>
        <w:t>Araújo et al., 2015).</w:t>
      </w:r>
    </w:p>
    <w:p w14:paraId="5D181C2C" w14:textId="77777777" w:rsidR="00286A88" w:rsidRPr="00286A88" w:rsidRDefault="00286A88" w:rsidP="007425AE">
      <w:pPr>
        <w:rPr>
          <w:lang w:val="en-AU" w:eastAsia="en-AU"/>
        </w:rPr>
      </w:pPr>
      <w:r w:rsidRPr="00286A88">
        <w:rPr>
          <w:rFonts w:eastAsia="Times New Roman" w:cs="Times New Roman"/>
          <w:lang w:val="en-AU" w:eastAsia="en-AU"/>
        </w:rPr>
        <w:t xml:space="preserve">Light intensity (delivered via a constant restricted photoperiod, </w:t>
      </w:r>
      <w:r w:rsidRPr="00286A88">
        <w:rPr>
          <w:rFonts w:eastAsia="Times New Roman" w:cs="Arial"/>
          <w:shd w:val="clear" w:color="auto" w:fill="FFFFFF"/>
          <w:lang w:val="en-AU" w:eastAsia="en-AU"/>
        </w:rPr>
        <w:t>16L:8D)</w:t>
      </w:r>
      <w:r w:rsidRPr="00286A88">
        <w:rPr>
          <w:rFonts w:eastAsia="Times New Roman" w:cs="Times New Roman"/>
          <w:lang w:val="en-AU" w:eastAsia="en-AU"/>
        </w:rPr>
        <w:t xml:space="preserve"> influences diurnal patterns of activity and behaviour. B</w:t>
      </w:r>
      <w:r w:rsidRPr="00286A88">
        <w:rPr>
          <w:rFonts w:eastAsia="Times New Roman" w:cs="Arial"/>
          <w:shd w:val="clear" w:color="auto" w:fill="FFFFFF"/>
          <w:lang w:val="en-AU" w:eastAsia="en-AU"/>
        </w:rPr>
        <w:t>roilers maintained under a high daytime light intensity (50-200 lux) throughout rear demonstrated greater flock behavioural synchrony</w:t>
      </w:r>
      <w:r w:rsidRPr="00286A88">
        <w:rPr>
          <w:rFonts w:eastAsia="Times New Roman" w:cs="Times New Roman"/>
          <w:lang w:val="en-AU" w:eastAsia="en-AU"/>
        </w:rPr>
        <w:t xml:space="preserve"> than birds housed under 1 lux (Alvino et al., 2009a;</w:t>
      </w:r>
      <w:r w:rsidRPr="00286A88">
        <w:rPr>
          <w:lang w:val="en-AU" w:eastAsia="en-AU"/>
        </w:rPr>
        <w:t xml:space="preserve"> Blatchford et al., 2009</w:t>
      </w:r>
      <w:r w:rsidRPr="00286A88">
        <w:rPr>
          <w:rFonts w:eastAsia="Times New Roman" w:cs="Times New Roman"/>
          <w:lang w:val="en-AU" w:eastAsia="en-AU"/>
        </w:rPr>
        <w:t>). Birds under the higher light intensity</w:t>
      </w:r>
      <w:r w:rsidRPr="00286A88">
        <w:rPr>
          <w:rFonts w:eastAsia="Times New Roman" w:cs="Arial"/>
          <w:shd w:val="clear" w:color="auto" w:fill="FFFFFF"/>
          <w:lang w:val="en-AU" w:eastAsia="en-AU"/>
        </w:rPr>
        <w:t xml:space="preserve"> were also more active and fed more during the photophase </w:t>
      </w:r>
      <w:r w:rsidRPr="00286A88">
        <w:rPr>
          <w:lang w:val="en-AU" w:eastAsia="en-AU"/>
        </w:rPr>
        <w:t>(and were less active and fed less during the scotophase) than birds maintained at 1 lux</w:t>
      </w:r>
      <w:r w:rsidRPr="00286A88">
        <w:rPr>
          <w:rFonts w:eastAsia="Times New Roman" w:cs="Arial"/>
          <w:shd w:val="clear" w:color="auto" w:fill="FFFFFF"/>
          <w:lang w:val="en-AU" w:eastAsia="en-AU"/>
        </w:rPr>
        <w:t xml:space="preserve"> (</w:t>
      </w:r>
      <w:r w:rsidRPr="00286A88">
        <w:rPr>
          <w:lang w:val="en-AU" w:eastAsia="en-AU"/>
        </w:rPr>
        <w:t>Blatchford et al., 2012).</w:t>
      </w:r>
      <w:r w:rsidRPr="00286A88">
        <w:rPr>
          <w:rFonts w:eastAsia="Times New Roman" w:cs="Arial"/>
          <w:shd w:val="clear" w:color="auto" w:fill="FFFFFF"/>
          <w:lang w:val="en-AU" w:eastAsia="en-AU"/>
        </w:rPr>
        <w:t xml:space="preserve"> Birds</w:t>
      </w:r>
      <w:r w:rsidRPr="00286A88">
        <w:rPr>
          <w:rFonts w:eastAsia="Times New Roman" w:cs="Times New Roman"/>
          <w:lang w:val="en-AU" w:eastAsia="en-AU"/>
        </w:rPr>
        <w:t xml:space="preserve"> raised under dim lighting (5 lux) demonstrate pronounced dispersal of inactive and active behaviours over the entire photoperiod and lack behavioural synchronisation, presumably due to the low light-dark contrast between the scotophase and photophase having dampened their behavioural rhythms (Alvino et al., 2009a; </w:t>
      </w:r>
      <w:r w:rsidRPr="00286A88">
        <w:rPr>
          <w:lang w:val="en-AU" w:eastAsia="en-AU"/>
        </w:rPr>
        <w:t>Blatchford et al., 2009; 2012</w:t>
      </w:r>
      <w:r w:rsidRPr="00286A88">
        <w:rPr>
          <w:rFonts w:eastAsia="Times New Roman" w:cs="Times New Roman"/>
          <w:lang w:val="en-AU" w:eastAsia="en-AU"/>
        </w:rPr>
        <w:t>). In addition, broilers reared under conditions of high illumination (200 lux) were observed to perform fewer, longer, less interrupted resting bouts during the scotophase than birds reared under low (5 lux) or intermediate (50 lux) light intensity (Alvino et al., 2009b).</w:t>
      </w:r>
    </w:p>
    <w:p w14:paraId="00FDA1E0" w14:textId="77777777" w:rsidR="00286A88" w:rsidRPr="00286A88" w:rsidRDefault="00286A88" w:rsidP="007425AE">
      <w:pPr>
        <w:rPr>
          <w:rFonts w:eastAsia="Times New Roman" w:cs="GulliverRM"/>
          <w:lang w:val="en-AU" w:eastAsia="en-AU"/>
        </w:rPr>
      </w:pPr>
      <w:r w:rsidRPr="00286A88">
        <w:rPr>
          <w:rFonts w:eastAsia="Times New Roman" w:cs="GulliverRM"/>
          <w:lang w:val="en-AU" w:eastAsia="en-AU"/>
        </w:rPr>
        <w:t xml:space="preserve">Dim lighting (&lt;5 lux) has been associated with reduced activity compared to </w:t>
      </w:r>
      <w:r w:rsidRPr="00286A88">
        <w:rPr>
          <w:lang w:val="en-AU" w:eastAsia="en-AU"/>
        </w:rPr>
        <w:t>brighter lighting (</w:t>
      </w:r>
      <w:r w:rsidRPr="00286A88">
        <w:rPr>
          <w:rFonts w:eastAsia="Times New Roman" w:cs="TimesNewRomanPSMT"/>
          <w:lang w:val="en-AU" w:eastAsia="en-AU"/>
        </w:rPr>
        <w:t>20-320 lux</w:t>
      </w:r>
      <w:r w:rsidRPr="00286A88">
        <w:rPr>
          <w:lang w:val="en-AU" w:eastAsia="en-AU"/>
        </w:rPr>
        <w:t>) (Blatchford et al., 2009;</w:t>
      </w:r>
      <w:r w:rsidRPr="00286A88">
        <w:rPr>
          <w:rFonts w:eastAsia="Times New Roman" w:cs="TimesNewRomanPS-BoldMT"/>
          <w:bCs/>
          <w:lang w:val="en-AU" w:eastAsia="en-AU"/>
        </w:rPr>
        <w:t xml:space="preserve"> </w:t>
      </w:r>
      <w:r w:rsidRPr="00286A88">
        <w:rPr>
          <w:rFonts w:eastAsia="Times New Roman" w:cs="GulliverRM"/>
          <w:lang w:val="en-AU" w:eastAsia="en-AU"/>
        </w:rPr>
        <w:t xml:space="preserve">Deep et al., 2012; </w:t>
      </w:r>
      <w:r w:rsidRPr="00286A88">
        <w:rPr>
          <w:rFonts w:eastAsia="Times New Roman" w:cs="TimesNewRomanPS-BoldMT"/>
          <w:bCs/>
          <w:lang w:val="en-AU" w:eastAsia="en-AU"/>
        </w:rPr>
        <w:t>Senaratna et al., 2016</w:t>
      </w:r>
      <w:r w:rsidRPr="00286A88">
        <w:rPr>
          <w:lang w:val="en-AU" w:eastAsia="en-AU"/>
        </w:rPr>
        <w:t xml:space="preserve">); however, </w:t>
      </w:r>
      <w:r w:rsidRPr="00286A88">
        <w:rPr>
          <w:rFonts w:eastAsia="Times New Roman" w:cs="AdvP41153C"/>
          <w:lang w:val="en-AU" w:eastAsia="en-AU"/>
        </w:rPr>
        <w:t xml:space="preserve">Kristensen et al. (2006b; 2007) report that activity in 6 week old broilers was similar under dim and bright light intensities (5 or 100 lux, adjusted to fowl perceived illuminance). </w:t>
      </w:r>
      <w:r w:rsidRPr="00286A88">
        <w:rPr>
          <w:rFonts w:eastAsia="Times New Roman" w:cs="Times New Roman"/>
          <w:lang w:val="en-AU" w:eastAsia="en-AU"/>
        </w:rPr>
        <w:t xml:space="preserve">Although Kristensen et al. (2006b) observed that alternating the light intensity every 2-4 hours between 5 and 100 lux increased broiler activity, this could not be replicated in a subsequent study where the light was alternated between 10 and 200 lux four times per day (Sherlock et al., 2010). </w:t>
      </w:r>
      <w:r w:rsidRPr="00286A88">
        <w:rPr>
          <w:rFonts w:eastAsia="Times New Roman" w:cs="GulliverRM"/>
          <w:lang w:val="en-AU" w:eastAsia="en-AU"/>
        </w:rPr>
        <w:t>Deep et al. (2012) observed that broilers exposed to a very low light intensity (1</w:t>
      </w:r>
      <w:r w:rsidR="0080779A">
        <w:rPr>
          <w:rFonts w:eastAsia="Times New Roman" w:cs="GulliverRM"/>
          <w:lang w:val="en-AU" w:eastAsia="en-AU"/>
        </w:rPr>
        <w:t> </w:t>
      </w:r>
      <w:r w:rsidRPr="00286A88">
        <w:rPr>
          <w:rFonts w:eastAsia="Times New Roman" w:cs="GulliverRM"/>
          <w:lang w:val="en-AU" w:eastAsia="en-AU"/>
        </w:rPr>
        <w:t>lux) foraged and preened less than birds housed under higher light intensities. A reduction in foraging behaviour may be linked to a decrease in visual acuity under dim lighting, while a decrease in preening (a key comfort behaviour) may possibly indicate reduced welfare.</w:t>
      </w:r>
    </w:p>
    <w:p w14:paraId="1D37B258" w14:textId="77777777" w:rsidR="00286A88" w:rsidRPr="00286A88" w:rsidRDefault="00286A88" w:rsidP="007425AE">
      <w:pPr>
        <w:rPr>
          <w:lang w:val="en-AU" w:eastAsia="en-AU"/>
        </w:rPr>
      </w:pPr>
      <w:r w:rsidRPr="00286A88">
        <w:rPr>
          <w:rFonts w:eastAsia="Times New Roman" w:cs="MyriadPro-Semibold"/>
          <w:lang w:val="en-AU" w:eastAsia="en-AU"/>
        </w:rPr>
        <w:t xml:space="preserve">Although only a few recent studies correlate physiological welfare measures with light intensity (no study has targeted light intensities above 25 lux) there is little evidence to suggest that exposure to any light intensity between 0.2 and 25 lux is stressful. Dereli Fidan et al. (2017) observed a higher H:L ratio in birds housed in 20 lux than in birds exposed to a lighting treatment that reduced from 5 to 1.25 lux over the duration of rear, while Lien et al. (2007) observed no difference in H:L ratio under conditions of </w:t>
      </w:r>
      <w:r w:rsidRPr="00286A88">
        <w:rPr>
          <w:rFonts w:eastAsia="Times New Roman" w:cs="Times New Roman"/>
          <w:lang w:val="en-AU" w:eastAsia="en-AU"/>
        </w:rPr>
        <w:t>1 or 10 lux. E</w:t>
      </w:r>
      <w:r w:rsidRPr="00286A88">
        <w:rPr>
          <w:lang w:val="en-AU" w:eastAsia="en-AU"/>
        </w:rPr>
        <w:t>xposure to light intensities between 0.2-25 lux did not influence plasma corticosterone concentration either (Olanrewaju et al., 2008; 2010; 2013; 2014a; 2014b). Bayraktar et al. (2012) observed that the use of two halogen lamps to provide spot lighting (10 + 10 lux or 10 + 5 lux) in poultry houses maintained under dim lighting (filament: 10 lux) improved some welfare markers (reduced glucose concentration and increased bursa of fabricius size) compared to a control, while tonic immobility and mortality remained unaffected.</w:t>
      </w:r>
    </w:p>
    <w:p w14:paraId="7CC194A3" w14:textId="77777777" w:rsidR="00286A88" w:rsidRPr="00286A88" w:rsidRDefault="00286A88" w:rsidP="007425AE">
      <w:pPr>
        <w:rPr>
          <w:lang w:val="en-AU" w:eastAsia="en-AU"/>
        </w:rPr>
      </w:pPr>
      <w:r w:rsidRPr="00286A88">
        <w:rPr>
          <w:lang w:val="en-AU" w:eastAsia="en-AU"/>
        </w:rPr>
        <w:t xml:space="preserve">Very low light intensities (0.5-5 lux) have been associated with higher GS (Blatchford et al., 2012), increased FPD (Deep et al., 2010; 2013; </w:t>
      </w:r>
      <w:r w:rsidRPr="00286A88">
        <w:rPr>
          <w:rFonts w:eastAsia="Times New Roman" w:cs="TimesNewRomanPS-BoldMT"/>
          <w:bCs/>
          <w:lang w:val="en-AU" w:eastAsia="en-AU"/>
        </w:rPr>
        <w:t>Senaratna et al., 2016</w:t>
      </w:r>
      <w:r w:rsidRPr="00286A88">
        <w:rPr>
          <w:lang w:val="en-AU" w:eastAsia="en-AU"/>
        </w:rPr>
        <w:t>), HB, and breast blisters (</w:t>
      </w:r>
      <w:r w:rsidRPr="00286A88">
        <w:rPr>
          <w:rFonts w:eastAsia="Times New Roman" w:cs="TimesNewRomanPS-BoldMT"/>
          <w:bCs/>
          <w:lang w:val="en-AU" w:eastAsia="en-AU"/>
        </w:rPr>
        <w:t>Senaratna et al., 2016)</w:t>
      </w:r>
      <w:r w:rsidRPr="00286A88">
        <w:rPr>
          <w:lang w:val="en-AU" w:eastAsia="en-AU"/>
        </w:rPr>
        <w:t xml:space="preserve"> compared to birds reared under brighter light (10-320 lux)</w:t>
      </w:r>
      <w:r w:rsidRPr="00286A88">
        <w:rPr>
          <w:rFonts w:eastAsia="Times New Roman" w:cs="TimesNewRomanPS-BoldMT"/>
          <w:bCs/>
          <w:lang w:val="en-AU" w:eastAsia="en-AU"/>
        </w:rPr>
        <w:t>, which are likely to be associated with higher body mass (</w:t>
      </w:r>
      <w:r w:rsidRPr="00286A88">
        <w:rPr>
          <w:rFonts w:eastAsia="Times New Roman" w:cs="Times New Roman"/>
          <w:lang w:val="en-AU" w:eastAsia="en-AU"/>
        </w:rPr>
        <w:t xml:space="preserve">Lien et al., 2007; </w:t>
      </w:r>
      <w:r w:rsidRPr="00286A88">
        <w:rPr>
          <w:lang w:val="en-AU" w:eastAsia="en-AU"/>
        </w:rPr>
        <w:t xml:space="preserve">Blatchford et al., 2012; </w:t>
      </w:r>
      <w:r w:rsidRPr="00286A88">
        <w:rPr>
          <w:rFonts w:eastAsia="Times New Roman" w:cs="TimesNewRomanPS-BoldMT"/>
          <w:bCs/>
          <w:lang w:val="en-AU" w:eastAsia="en-AU"/>
        </w:rPr>
        <w:t>Senaratna et al., 2016</w:t>
      </w:r>
      <w:r w:rsidRPr="00286A88">
        <w:rPr>
          <w:lang w:val="en-AU" w:eastAsia="en-AU"/>
        </w:rPr>
        <w:t xml:space="preserve">). </w:t>
      </w:r>
      <w:r w:rsidRPr="00286A88">
        <w:rPr>
          <w:rFonts w:eastAsia="Times New Roman" w:cs="AdvOTf89fc01d.B"/>
          <w:lang w:val="en-AU" w:eastAsia="en-AU"/>
        </w:rPr>
        <w:t>However, other studies have not observed an increase in GS (</w:t>
      </w:r>
      <w:r w:rsidRPr="00286A88">
        <w:rPr>
          <w:rFonts w:eastAsia="Times New Roman" w:cs="AdvP4DF60E"/>
          <w:lang w:val="en-AU" w:eastAsia="en-AU"/>
        </w:rPr>
        <w:t xml:space="preserve">Blatchford et al., 2009; </w:t>
      </w:r>
      <w:r w:rsidRPr="00286A88">
        <w:rPr>
          <w:rFonts w:eastAsia="Times New Roman" w:cs="AdvOTf89fc01d.B"/>
          <w:lang w:val="en-AU" w:eastAsia="en-AU"/>
        </w:rPr>
        <w:t>Deep et al., 2013) or contact dermatitis (</w:t>
      </w:r>
      <w:r w:rsidRPr="00286A88">
        <w:rPr>
          <w:rFonts w:eastAsia="Times New Roman" w:cs="AdvP4DF60E"/>
          <w:lang w:val="en-AU" w:eastAsia="en-AU"/>
        </w:rPr>
        <w:t xml:space="preserve">Blatchford et al., 2009) </w:t>
      </w:r>
      <w:r w:rsidRPr="00286A88">
        <w:rPr>
          <w:rFonts w:eastAsia="Times New Roman" w:cs="AdvOTf89fc01d.B"/>
          <w:lang w:val="en-AU" w:eastAsia="en-AU"/>
        </w:rPr>
        <w:t xml:space="preserve">under dim lighting (0.5-5 lux) compared with brighter lighting (10-200 lux). </w:t>
      </w:r>
      <w:r w:rsidRPr="00286A88">
        <w:rPr>
          <w:rFonts w:eastAsia="Times New Roman" w:cs="Times New Roman"/>
          <w:lang w:val="en-AU" w:eastAsia="en-AU"/>
        </w:rPr>
        <w:t xml:space="preserve">As with continuous or near-continuous lighting, many studies have shown that broilers reared </w:t>
      </w:r>
      <w:r w:rsidRPr="00286A88">
        <w:rPr>
          <w:lang w:val="en-AU" w:eastAsia="en-AU"/>
        </w:rPr>
        <w:t xml:space="preserve">under low lighting (0.5-1 lux) had larger heavier eyes (associated with choroid inflammation and apparent retinal degeneration) than birds reared under brighter light (10-200 lux), which could indicate impaired vision (Deep et al., 2010; 2013; Blatchford et al., 2009; 2012). </w:t>
      </w:r>
      <w:r w:rsidRPr="00286A88">
        <w:rPr>
          <w:rFonts w:eastAsia="Times New Roman" w:cs="AdvOTf89fc01d.B"/>
          <w:lang w:val="en-AU" w:eastAsia="en-AU"/>
        </w:rPr>
        <w:t>Mortality appears to be unaffected by light intensity (</w:t>
      </w:r>
      <w:r w:rsidRPr="00286A88">
        <w:rPr>
          <w:rFonts w:eastAsia="Times New Roman" w:cs="AdvP4CD4D0"/>
          <w:lang w:val="en-AU" w:eastAsia="en-AU"/>
        </w:rPr>
        <w:t xml:space="preserve">Kristensen et al., 2006b; </w:t>
      </w:r>
      <w:r w:rsidRPr="00286A88">
        <w:rPr>
          <w:rFonts w:eastAsia="Times New Roman" w:cs="Times New Roman"/>
          <w:lang w:val="en-AU" w:eastAsia="en-AU"/>
        </w:rPr>
        <w:t xml:space="preserve">Lien et al., 2007; </w:t>
      </w:r>
      <w:r w:rsidRPr="00286A88">
        <w:rPr>
          <w:rFonts w:eastAsia="Times New Roman" w:cs="AdvP4DF60E"/>
          <w:lang w:val="en-AU" w:eastAsia="en-AU"/>
        </w:rPr>
        <w:t xml:space="preserve">Blatchford et al., 2009; </w:t>
      </w:r>
      <w:r w:rsidRPr="00286A88">
        <w:rPr>
          <w:rFonts w:eastAsia="Times New Roman" w:cs="AdvOTf89fc01d.B"/>
          <w:lang w:val="en-AU" w:eastAsia="en-AU"/>
        </w:rPr>
        <w:t>Deep et al., 2013;</w:t>
      </w:r>
      <w:r w:rsidRPr="00286A88">
        <w:rPr>
          <w:lang w:val="en-AU" w:eastAsia="en-AU"/>
        </w:rPr>
        <w:t xml:space="preserve"> Olanrewaju et al., 2014b</w:t>
      </w:r>
      <w:r w:rsidRPr="00286A88">
        <w:rPr>
          <w:rFonts w:eastAsia="Times New Roman" w:cs="AdvOTf89fc01d.B"/>
          <w:lang w:val="en-AU" w:eastAsia="en-AU"/>
        </w:rPr>
        <w:t>).</w:t>
      </w:r>
    </w:p>
    <w:p w14:paraId="29701F2C" w14:textId="77777777" w:rsidR="00286A88" w:rsidRPr="00286A88" w:rsidRDefault="00286A88" w:rsidP="007425AE">
      <w:pPr>
        <w:pStyle w:val="Heading41"/>
      </w:pPr>
      <w:r w:rsidRPr="00286A88">
        <w:t>B8.1c Lighting source</w:t>
      </w:r>
    </w:p>
    <w:p w14:paraId="4D68B712" w14:textId="77777777" w:rsidR="00286A88" w:rsidRPr="00286A88" w:rsidRDefault="00286A88" w:rsidP="007425AE">
      <w:pPr>
        <w:rPr>
          <w:rFonts w:cs="FrutigerLTStd-Light"/>
          <w:lang w:val="en-AU" w:eastAsia="en-AU"/>
        </w:rPr>
      </w:pPr>
      <w:r w:rsidRPr="00286A88">
        <w:rPr>
          <w:lang w:val="en-AU" w:eastAsia="en-AU"/>
        </w:rPr>
        <w:t>Compact fluorescent lighting (CFL) and LED lighting have both been deemed suitable alternatives for incandescent light bulbs in broiler facilities, since they cause no detriment to broiler growth performance or welfare indices, including ocular development, walking ability, and mortality (</w:t>
      </w:r>
      <w:r w:rsidRPr="00286A88">
        <w:rPr>
          <w:rFonts w:eastAsia="ComputerModern-Regular" w:cs="ComputerModern-Regular"/>
          <w:lang w:val="en-AU" w:eastAsia="en-AU"/>
        </w:rPr>
        <w:t xml:space="preserve">Olanrewaju et al., 2015a; 2015b; 2016). </w:t>
      </w:r>
      <w:r w:rsidRPr="00286A88">
        <w:rPr>
          <w:rFonts w:cs="AdvP41153C"/>
          <w:lang w:val="en-AU" w:eastAsia="en-AU"/>
        </w:rPr>
        <w:t>Six week old broiler chickens were seen to prefer biolux and warm-white fluorescent lighting (closest to daylight in spectral composition) over incandescent and spectral sensitivity matched light, irrespective of the light intensity; more preening was observed under biolux light (Kristensen et al., 2007).</w:t>
      </w:r>
      <w:r w:rsidRPr="00286A88">
        <w:rPr>
          <w:rFonts w:cs="Arial-BoldMT"/>
          <w:bCs/>
          <w:lang w:val="en-AU" w:eastAsia="en-AU"/>
        </w:rPr>
        <w:t xml:space="preserve"> C</w:t>
      </w:r>
      <w:r w:rsidRPr="00286A88">
        <w:rPr>
          <w:lang w:val="en-AU" w:eastAsia="en-AU"/>
        </w:rPr>
        <w:t>old cathode fluorescent lamps are a less appropriate choice, as their use has been associated with lower body weights and higher H:L ratios than recorded under incandescent lighting (</w:t>
      </w:r>
      <w:r w:rsidRPr="00286A88">
        <w:rPr>
          <w:rFonts w:cs="Arial-BoldMT"/>
          <w:bCs/>
          <w:lang w:val="en-AU" w:eastAsia="en-AU"/>
        </w:rPr>
        <w:t>Rogers et al., 2015).</w:t>
      </w:r>
      <w:r w:rsidRPr="00286A88">
        <w:rPr>
          <w:rFonts w:eastAsia="ComputerModern-Regular" w:cs="ComputerModern-Regular"/>
          <w:lang w:val="en-AU" w:eastAsia="en-AU"/>
        </w:rPr>
        <w:t xml:space="preserve"> </w:t>
      </w:r>
      <w:r w:rsidRPr="00286A88">
        <w:rPr>
          <w:lang w:val="en-AU" w:eastAsia="en-AU"/>
        </w:rPr>
        <w:t>Huth and Archer (2015a) report that light provided by LED bulbs (particularly a ‘Once Innovations’ bulb) was linked with improved welfare and productivity, including lower physical asymmetry, H:L ratio, plasma corticosterone and plumage, HB and FPD scores, smaller eye dimensions, increased feed conversion and had better plumage than recorded from broilers housed under dimmable CFL. Since p</w:t>
      </w:r>
      <w:r w:rsidRPr="00286A88">
        <w:rPr>
          <w:rFonts w:cs="TimesNewRomanPSMT"/>
          <w:szCs w:val="20"/>
          <w:lang w:val="en-AU" w:eastAsia="en-AU"/>
        </w:rPr>
        <w:t xml:space="preserve">roduction performance parameters have also, independently, been reported to be greater in broilers exposed to LED lighting than birds housed under CFL (Mendes et al., 2013) and as </w:t>
      </w:r>
      <w:r w:rsidRPr="00286A88">
        <w:rPr>
          <w:rFonts w:cs="FrutigerLTStd-Light"/>
          <w:lang w:val="en-AU" w:eastAsia="en-AU"/>
        </w:rPr>
        <w:t>no behavioural differences have been observed between the two (Araújo et al., 2015), new generation, energy efficient, LED bulbs look to be the future choice for lighting broiler sheds.</w:t>
      </w:r>
    </w:p>
    <w:p w14:paraId="45441072" w14:textId="77777777" w:rsidR="00286A88" w:rsidRPr="00286A88" w:rsidRDefault="00286A88" w:rsidP="007425AE">
      <w:pPr>
        <w:rPr>
          <w:lang w:val="en-AU" w:eastAsia="en-AU"/>
        </w:rPr>
      </w:pPr>
      <w:r w:rsidRPr="00286A88">
        <w:rPr>
          <w:lang w:val="en-AU" w:eastAsia="en-AU"/>
        </w:rPr>
        <w:t>Fear responses may be affected by exposure to different lighting colours and sources.</w:t>
      </w:r>
      <w:r w:rsidRPr="00286A88">
        <w:rPr>
          <w:rFonts w:cs="CgOmega"/>
          <w:lang w:val="en-AU" w:eastAsia="en-AU"/>
        </w:rPr>
        <w:t xml:space="preserve"> Sultana et al. (2013) report that birds reared under Red and Red-Yellow LED light were more fearful (tonic immobility) than birds reared under Blue LED. </w:t>
      </w:r>
      <w:r w:rsidRPr="00286A88">
        <w:rPr>
          <w:lang w:val="en-AU" w:eastAsia="en-AU"/>
        </w:rPr>
        <w:t xml:space="preserve">Huth and Archer (2015a) found that broilers reared under light from LED bulbs were less fearful than broilers reared under compact fluorescent lighting; however, </w:t>
      </w:r>
      <w:r w:rsidRPr="00286A88">
        <w:rPr>
          <w:rFonts w:eastAsia="ComputerModern-Regular" w:cs="ComputerModern-Regular"/>
          <w:lang w:val="en-AU" w:eastAsia="en-AU"/>
        </w:rPr>
        <w:t>Olanrewaju et al. (2016) found no differences in tonic immobility when comparing different light treatments (</w:t>
      </w:r>
      <w:r w:rsidRPr="00286A88">
        <w:rPr>
          <w:lang w:val="en-AU" w:eastAsia="en-AU"/>
        </w:rPr>
        <w:t xml:space="preserve">compact fluorescent lighting, a neutral-LED bulb and a cool poultry-specific filtered LED bulb). More research into behavioural effects of LED colour temperatures (the range from ‘warm’ red or orange colours through to ‘cool’ white and blue tones) would prove very useful as there are many different options available. </w:t>
      </w:r>
      <w:r w:rsidRPr="00286A88">
        <w:rPr>
          <w:rFonts w:cs="TimesNewRomanPSMT"/>
          <w:lang w:val="en-AU" w:eastAsia="en-AU"/>
        </w:rPr>
        <w:t xml:space="preserve">Although broilers were not seen to demonstrate a preference between yellow and white LED lighting (Mendes et al., 2013), a different study reported that birds </w:t>
      </w:r>
      <w:r w:rsidRPr="00286A88">
        <w:rPr>
          <w:lang w:val="en-AU" w:eastAsia="en-AU"/>
        </w:rPr>
        <w:t xml:space="preserve">demonstrated a preference for (spent more time under) a cold-white than a neutral-white LED light (Riber, 2015). </w:t>
      </w:r>
      <w:r w:rsidRPr="00286A88">
        <w:rPr>
          <w:rFonts w:cs="Times New Roman"/>
          <w:lang w:val="en-AU" w:eastAsia="en-AU"/>
        </w:rPr>
        <w:t>B</w:t>
      </w:r>
      <w:r w:rsidRPr="00286A88">
        <w:rPr>
          <w:rFonts w:cs="CgOmega"/>
          <w:lang w:val="en-AU" w:eastAsia="en-AU"/>
        </w:rPr>
        <w:t>irds reared in groups under Red and Red-Yellow LED light demonstrated more walking behaviour than birds reared under Blue LED, which spent more time inactive (Sultana et al., 2013). The use of light colour to stimulate activity from an early age could have many health and welfare benefits.</w:t>
      </w:r>
    </w:p>
    <w:p w14:paraId="5F37B643" w14:textId="77777777" w:rsidR="00286A88" w:rsidRPr="00286A88" w:rsidRDefault="00286A88" w:rsidP="007425AE">
      <w:pPr>
        <w:pStyle w:val="Heading41"/>
      </w:pPr>
      <w:r w:rsidRPr="00286A88">
        <w:t>B8.1d Light during incubation</w:t>
      </w:r>
    </w:p>
    <w:p w14:paraId="775801CD" w14:textId="77777777" w:rsidR="00286A88" w:rsidRPr="00286A88" w:rsidRDefault="00286A88" w:rsidP="007425AE">
      <w:pPr>
        <w:rPr>
          <w:lang w:val="en-AU" w:eastAsia="en-AU"/>
        </w:rPr>
      </w:pPr>
      <w:r w:rsidRPr="00286A88">
        <w:rPr>
          <w:lang w:val="en-AU" w:eastAsia="en-AU"/>
        </w:rPr>
        <w:t>Huth and Archer (2015b) report that the provision of LED lighting (12L:12D; 250 lux) during embryogenesis in commercial broiler eggs improves chick quality (fewer defects), and lowers physical asymmetry and H:L ratios (i.e. reduces post-hatch chick stress susceptibility), compared to dark incubation.</w:t>
      </w:r>
    </w:p>
    <w:p w14:paraId="064A1109" w14:textId="77777777" w:rsidR="00286A88" w:rsidRPr="00286A88" w:rsidRDefault="00286A88" w:rsidP="007425AE">
      <w:pPr>
        <w:pStyle w:val="Heading3"/>
        <w:rPr>
          <w:lang w:val="en-AU" w:eastAsia="en-AU"/>
        </w:rPr>
      </w:pPr>
      <w:bookmarkStart w:id="124" w:name="_Toc495310593"/>
      <w:r w:rsidRPr="00286A88">
        <w:rPr>
          <w:lang w:val="en-AU" w:eastAsia="en-AU"/>
        </w:rPr>
        <w:t>B8.2 Sound, noise and hearing</w:t>
      </w:r>
      <w:bookmarkEnd w:id="124"/>
    </w:p>
    <w:p w14:paraId="627C279C" w14:textId="77777777" w:rsidR="00286A88" w:rsidRPr="007425AE" w:rsidRDefault="00286A88" w:rsidP="007425AE">
      <w:pPr>
        <w:rPr>
          <w:i/>
          <w:lang w:val="en-AU" w:eastAsia="en-AU"/>
        </w:rPr>
      </w:pPr>
      <w:r w:rsidRPr="007425AE">
        <w:rPr>
          <w:i/>
          <w:lang w:val="en-AU" w:eastAsia="en-AU"/>
        </w:rPr>
        <w:t>Exposure to noise above 70 dB induces a rapid physiological stress response in broilers, although they may be able to adapt, at least partially, to continuous exposure.</w:t>
      </w:r>
    </w:p>
    <w:p w14:paraId="5008855B" w14:textId="77777777" w:rsidR="00286A88" w:rsidRPr="00286A88" w:rsidRDefault="00286A88" w:rsidP="007425AE">
      <w:pPr>
        <w:rPr>
          <w:rFonts w:cs="Frutiger-Light"/>
          <w:lang w:val="en-AU" w:eastAsia="en-AU"/>
        </w:rPr>
      </w:pPr>
      <w:r w:rsidRPr="00286A88">
        <w:rPr>
          <w:lang w:val="en-AU" w:eastAsia="en-AU"/>
        </w:rPr>
        <w:t xml:space="preserve">Although some physiological evidence has been collated for loud noise being, at least, transiently stressful to broilers, as well as potentially having negative implications for production, no recent studies have assessed what noise levels broilers find aversive or consider how noise levels impact upon behaviour. </w:t>
      </w:r>
      <w:r w:rsidRPr="00286A88">
        <w:rPr>
          <w:rFonts w:cs="Times New Roman"/>
          <w:lang w:val="en-AU" w:eastAsia="en-AU"/>
        </w:rPr>
        <w:t xml:space="preserve">An increase in H:L ratio has been observed following regular exposure of broilers to loud noise </w:t>
      </w:r>
      <w:r w:rsidRPr="00286A88">
        <w:rPr>
          <w:rFonts w:cs="TimesNewRomanPSMT"/>
          <w:lang w:val="en-AU" w:eastAsia="en-AU"/>
        </w:rPr>
        <w:t>(95 dB: 120 min/day, Lazarevic et al., 2000), and following ex</w:t>
      </w:r>
      <w:r w:rsidRPr="00286A88">
        <w:rPr>
          <w:rFonts w:cs="Times New Roman"/>
          <w:lang w:val="en-AU" w:eastAsia="en-AU"/>
        </w:rPr>
        <w:t xml:space="preserve">posure to intermittent noise (at a level of 80 dB, not 70 dB: Bedáňová et al., 2010a). </w:t>
      </w:r>
      <w:r w:rsidRPr="00286A88">
        <w:rPr>
          <w:rFonts w:cs="TimesNewRomanPSMT"/>
          <w:lang w:val="en-AU" w:eastAsia="en-AU"/>
        </w:rPr>
        <w:t xml:space="preserve">Following 10-14 min exposure to loud noise (100 dB) plasma corticosterone and glucose levels were seen to increase in end-of-rear broilers, above that of a control group (background noise: 50 dB), before decreasing back to baseline at 28 min, following continuous exposure </w:t>
      </w:r>
      <w:r w:rsidRPr="00286A88">
        <w:rPr>
          <w:rFonts w:cs="Times New Roman"/>
          <w:lang w:val="en-AU" w:eastAsia="en-AU"/>
        </w:rPr>
        <w:t>(Bedáňová et al., 2010b). T</w:t>
      </w:r>
      <w:r w:rsidRPr="00286A88">
        <w:rPr>
          <w:rFonts w:cs="TimesNewRomanPSMT"/>
          <w:lang w:val="en-AU" w:eastAsia="en-AU"/>
        </w:rPr>
        <w:t xml:space="preserve">his indicates that continuous exposure to sound at 100 dB initially triggered a stress response, but a level of adaptation may have been possible. Chloupek et al. (2009) also observed corticosterone levels to be raised after acute (10 min) noise exposure at both 80 dB and 100 dB; however, in this instance, no effect was seen for glucose, nor was any difference in tonic immobility detected. </w:t>
      </w:r>
      <w:r w:rsidRPr="00286A88">
        <w:rPr>
          <w:rFonts w:cs="Frutiger-Light"/>
          <w:lang w:val="en-AU" w:eastAsia="en-AU"/>
        </w:rPr>
        <w:t>Regular experience of loud noise also appears to have a negative effect upon production parameters. Following only 7 days exposure to intermittent noise (70 or 80 dB) experimental broilers already displayed a significant decrease in live body weight compared with the control group (Voslarova et al., 2011).</w:t>
      </w:r>
    </w:p>
    <w:p w14:paraId="71F0CD4C" w14:textId="77777777" w:rsidR="00286A88" w:rsidRPr="00286A88" w:rsidRDefault="00286A88" w:rsidP="007425AE">
      <w:pPr>
        <w:pStyle w:val="Heading3"/>
        <w:rPr>
          <w:lang w:val="en-AU" w:eastAsia="en-AU"/>
        </w:rPr>
      </w:pPr>
      <w:bookmarkStart w:id="125" w:name="_Toc495310594"/>
      <w:r w:rsidRPr="00286A88">
        <w:rPr>
          <w:lang w:val="en-AU" w:eastAsia="en-AU"/>
        </w:rPr>
        <w:t>B8.3 Olfaction</w:t>
      </w:r>
      <w:bookmarkEnd w:id="125"/>
    </w:p>
    <w:p w14:paraId="3E00C343" w14:textId="77777777" w:rsidR="00286A88" w:rsidRPr="007425AE" w:rsidRDefault="00286A88" w:rsidP="007425AE">
      <w:pPr>
        <w:rPr>
          <w:rFonts w:cs="TimesNewRomanPSMT"/>
          <w:i/>
          <w:color w:val="000000"/>
          <w:lang w:val="en-AU" w:eastAsia="en-AU"/>
        </w:rPr>
      </w:pPr>
      <w:r w:rsidRPr="007425AE">
        <w:rPr>
          <w:i/>
          <w:color w:val="000000"/>
          <w:lang w:val="en-AU" w:eastAsia="en-AU"/>
        </w:rPr>
        <w:t xml:space="preserve">Not much is known about olfaction in broilers; however, </w:t>
      </w:r>
      <w:r w:rsidRPr="007425AE">
        <w:rPr>
          <w:rFonts w:cs="Palatino-Roman"/>
          <w:i/>
          <w:szCs w:val="20"/>
          <w:lang w:val="en-AU" w:eastAsia="en-AU"/>
        </w:rPr>
        <w:t>they will activ</w:t>
      </w:r>
      <w:r w:rsidRPr="007425AE">
        <w:rPr>
          <w:rFonts w:cs="Times New Roman"/>
          <w:i/>
          <w:lang w:val="en-AU" w:eastAsia="en-AU"/>
        </w:rPr>
        <w:t xml:space="preserve">ely avoid exposure to ammonia concentrations above </w:t>
      </w:r>
      <w:r w:rsidRPr="007425AE">
        <w:rPr>
          <w:rFonts w:cs="Palatino-Roman"/>
          <w:i/>
          <w:szCs w:val="20"/>
          <w:lang w:val="en-AU" w:eastAsia="en-AU"/>
        </w:rPr>
        <w:t>20 ppm.</w:t>
      </w:r>
    </w:p>
    <w:p w14:paraId="3E4FB57C" w14:textId="77777777" w:rsidR="00286A88" w:rsidRPr="00286A88" w:rsidRDefault="00286A88" w:rsidP="007425AE">
      <w:pPr>
        <w:rPr>
          <w:rFonts w:cs="AdvP41153C"/>
          <w:lang w:val="en-AU" w:eastAsia="en-AU"/>
        </w:rPr>
      </w:pPr>
      <w:r w:rsidRPr="00286A88">
        <w:rPr>
          <w:lang w:val="en-AU" w:eastAsia="en-AU"/>
        </w:rPr>
        <w:t xml:space="preserve">While the effects of ammonia on broiler health and production parameters are reasonably well understood (see B9.2), the effects on behaviour are not. </w:t>
      </w:r>
      <w:r w:rsidRPr="00286A88">
        <w:rPr>
          <w:rFonts w:cs="AdvP41153C"/>
          <w:lang w:val="en-AU" w:eastAsia="en-AU"/>
        </w:rPr>
        <w:t xml:space="preserve">If given the opportunity, broilers will avoid ammonia concentrations commonly found on poultry units. </w:t>
      </w:r>
      <w:r w:rsidRPr="00286A88">
        <w:rPr>
          <w:lang w:val="en-AU" w:eastAsia="en-AU"/>
        </w:rPr>
        <w:t xml:space="preserve">Following a series of choice tests broilers were seen to prefer fresh air (0 ppm) to an ammoniated atmosphere (10-40 ppm) (Wathes et al., 2002), and were observed to </w:t>
      </w:r>
      <w:r w:rsidRPr="00286A88">
        <w:rPr>
          <w:rFonts w:cs="AdvP41153C"/>
          <w:lang w:val="en-AU" w:eastAsia="en-AU"/>
        </w:rPr>
        <w:t>spend the majority of their time in low NH</w:t>
      </w:r>
      <w:r w:rsidRPr="00286A88">
        <w:rPr>
          <w:rFonts w:cs="AdvP41153C"/>
          <w:vertAlign w:val="subscript"/>
          <w:lang w:val="en-AU" w:eastAsia="en-AU"/>
        </w:rPr>
        <w:t>3</w:t>
      </w:r>
      <w:r w:rsidRPr="00286A88">
        <w:rPr>
          <w:rFonts w:cs="AdvP41153C"/>
          <w:lang w:val="en-AU" w:eastAsia="en-AU"/>
        </w:rPr>
        <w:t xml:space="preserve"> concentrations (4 and 11 ppm) rather than higher concentrations (20 and 37 ppm), even if they had previously been housed (acclimatised) under 19 ppm (Jones et al., 2005b).</w:t>
      </w:r>
    </w:p>
    <w:p w14:paraId="12F22F37" w14:textId="77777777" w:rsidR="00286A88" w:rsidRPr="00286A88" w:rsidRDefault="00286A88" w:rsidP="007425AE">
      <w:pPr>
        <w:pStyle w:val="Heading3"/>
        <w:rPr>
          <w:lang w:val="en-AU" w:eastAsia="en-AU"/>
        </w:rPr>
      </w:pPr>
      <w:bookmarkStart w:id="126" w:name="_Toc495310595"/>
      <w:r w:rsidRPr="00286A88">
        <w:rPr>
          <w:lang w:val="en-AU" w:eastAsia="en-AU"/>
        </w:rPr>
        <w:t>B8.4 Thermal comfort</w:t>
      </w:r>
      <w:bookmarkEnd w:id="126"/>
    </w:p>
    <w:p w14:paraId="700A0A4C" w14:textId="77777777" w:rsidR="00286A88" w:rsidRPr="007425AE" w:rsidRDefault="00286A88" w:rsidP="007425AE">
      <w:pPr>
        <w:rPr>
          <w:i/>
          <w:lang w:val="en-AU" w:eastAsia="en-AU"/>
        </w:rPr>
      </w:pPr>
      <w:r w:rsidRPr="007425AE">
        <w:rPr>
          <w:i/>
          <w:lang w:val="en-AU" w:eastAsia="en-AU"/>
        </w:rPr>
        <w:t>The risk of hyperthermia increases with age and stocking density, as heat production increases and floor space decreases</w:t>
      </w:r>
      <w:r w:rsidR="0080779A">
        <w:rPr>
          <w:i/>
          <w:lang w:val="en-AU" w:eastAsia="en-AU"/>
        </w:rPr>
        <w:t>. H</w:t>
      </w:r>
      <w:r w:rsidRPr="007425AE">
        <w:rPr>
          <w:i/>
          <w:lang w:val="en-AU" w:eastAsia="en-AU"/>
        </w:rPr>
        <w:t>eat stress can be mitigated via the use of adequate ventilation, lowering stocking density, the provision of cooled perches, dietary supplementation with ascorbic acid and by utilising heat-tolerant breeds.</w:t>
      </w:r>
    </w:p>
    <w:p w14:paraId="4C3A0417" w14:textId="77777777" w:rsidR="00286A88" w:rsidRPr="00286A88" w:rsidRDefault="00286A88" w:rsidP="007425AE">
      <w:pPr>
        <w:pStyle w:val="Heading41"/>
      </w:pPr>
      <w:r w:rsidRPr="00286A88">
        <w:t>B8.4a Thermoregulation</w:t>
      </w:r>
    </w:p>
    <w:p w14:paraId="68BBB135" w14:textId="77777777" w:rsidR="00286A88" w:rsidRPr="00286A88" w:rsidRDefault="00286A88" w:rsidP="007425AE">
      <w:pPr>
        <w:rPr>
          <w:lang w:val="en-AU" w:eastAsia="en-AU"/>
        </w:rPr>
      </w:pPr>
      <w:r w:rsidRPr="00286A88">
        <w:rPr>
          <w:lang w:val="en-AU" w:eastAsia="en-AU"/>
        </w:rPr>
        <w:t>The risk of thermal discomfort due to high temperatures (hyperthermia) increases towards the end of the grow-out period as birds get bigger, become better insulated, eat more food, and generate more heat. In addition, inter-bird spacing declines, diminishing the opportunity for heat dissipation (an effect that is exacerbated at high stocking densities, especially in warmer climates). High stocking densities favour radiant transfer from bird to bird and heat held within the floor litter becomes less easily dissipated. Reiter and Bessei (2000a) demonstrated that the temperature beneath the litter surface, at the litter surface, and 10 cm above the litter surface (at bird level) increased significantly with increasing stocking density, and that the temperature at bird level was reduced immediately when the birds were removed.</w:t>
      </w:r>
    </w:p>
    <w:p w14:paraId="038A29B5" w14:textId="77777777" w:rsidR="00286A88" w:rsidRPr="00286A88" w:rsidRDefault="00286A88" w:rsidP="007425AE">
      <w:pPr>
        <w:rPr>
          <w:lang w:val="en-AU" w:eastAsia="en-AU"/>
        </w:rPr>
      </w:pPr>
      <w:r w:rsidRPr="00286A88">
        <w:rPr>
          <w:lang w:val="en-AU" w:eastAsia="en-AU"/>
        </w:rPr>
        <w:t>Thermal discomfort including hypothermia and hyperthermia can be detected via behavioural assessment. When the environmental temperature is too low broiler chicks huddle to conserve heat, especially when they have not yet become effective at homeothermy. As the birds grow and the environmental temperature rises (with increasing stocking density) to equal body temperature passive heat loss is impaired (Reiter and Bessei, 2000a). Broilers reduce hyperthermia by: decreasing heat production (reduce activity levels), increasing active heat dissipation (increase respiration), and by performing behavioural thermoregulation (hold their wings out away from the body and avoid contact with flock-mates) (Arnould and Faure 2004; Lolli et al., 2010). Panting is commonly observed in broiler flocks stocked at densities ≥20 kg/m² (Lolli et al., 2010) and increases with age (Arnould and Faure 2004; Baeza et al., 2012) and stocking density (McLean et al., 2002;</w:t>
      </w:r>
      <w:r w:rsidRPr="00286A88">
        <w:rPr>
          <w:rFonts w:eastAsia="ComputerModern-Regular" w:cs="ComputerModern-Regular"/>
          <w:lang w:val="en-AU" w:eastAsia="en-AU"/>
        </w:rPr>
        <w:t xml:space="preserve"> Zhao et al., 2013</w:t>
      </w:r>
      <w:r w:rsidRPr="00286A88">
        <w:rPr>
          <w:lang w:val="en-AU" w:eastAsia="en-AU"/>
        </w:rPr>
        <w:t>). At high stocking densities female broilers were seen to increase panting from two weeks old (McLean et al., 2002), indicating that females may be susceptible to thermal discomfort at an earlier age than males (despite having a lower feed intake and body mass). The Welfare Quality® assessment protocol for broilers incorporates measures of the proportion of birds showing huddling or panting as indicators of thermal discomfort (Welfare Quality®, 2009).</w:t>
      </w:r>
    </w:p>
    <w:p w14:paraId="666EA3FF" w14:textId="77777777" w:rsidR="00286A88" w:rsidRPr="00286A88" w:rsidRDefault="00286A88" w:rsidP="007425AE">
      <w:pPr>
        <w:pStyle w:val="Heading41"/>
      </w:pPr>
      <w:r w:rsidRPr="00286A88">
        <w:t>B8.4b Heat Stress: welfare impact</w:t>
      </w:r>
    </w:p>
    <w:p w14:paraId="3D966406" w14:textId="77777777" w:rsidR="00286A88" w:rsidRPr="00286A88" w:rsidRDefault="00286A88" w:rsidP="007425AE">
      <w:pPr>
        <w:rPr>
          <w:lang w:val="en-AU" w:eastAsia="en-AU"/>
        </w:rPr>
      </w:pPr>
      <w:r w:rsidRPr="00286A88">
        <w:rPr>
          <w:lang w:val="en-AU" w:eastAsia="en-AU"/>
        </w:rPr>
        <w:t>Sandercock et al. (2006) demonstrate that genetic selection for increased growth in broiler lines has compromised their thermoregulatory capacity leading t</w:t>
      </w:r>
      <w:r w:rsidRPr="00286A88">
        <w:rPr>
          <w:rFonts w:cs="AdvP4CD4D0"/>
          <w:lang w:val="en-AU" w:eastAsia="en-AU"/>
        </w:rPr>
        <w:t xml:space="preserve">o detrimental consequences for muscle function; plasma creatinine kinase activity (indicative of heat stress-induced myopathy) was higher in broilers than laying hens. </w:t>
      </w:r>
      <w:r w:rsidRPr="00286A88">
        <w:rPr>
          <w:lang w:val="en-AU" w:eastAsia="en-AU"/>
        </w:rPr>
        <w:t>Azad et al. (2010) also observed muscle damage in fast-growing broiler breeds following chronic heat stress; this damage was greater in broilers than a laying strain and was associated with depressed growth rates.</w:t>
      </w:r>
    </w:p>
    <w:p w14:paraId="4D8813B8" w14:textId="77777777" w:rsidR="00286A88" w:rsidRPr="00286A88" w:rsidRDefault="00286A88" w:rsidP="007425AE">
      <w:pPr>
        <w:rPr>
          <w:rFonts w:cs="FrutigerLTStd-Light"/>
          <w:lang w:val="en-AU" w:eastAsia="en-AU"/>
        </w:rPr>
      </w:pPr>
      <w:r w:rsidRPr="00286A88">
        <w:rPr>
          <w:rFonts w:cs="Palatino-Roman"/>
          <w:lang w:val="en-AU" w:eastAsia="en-AU"/>
        </w:rPr>
        <w:t xml:space="preserve">Exposure to high ambient temperatures during rearing and crating is highly stressful for broilers; high temperatures exaggerate fear responses and further compromise health and welfare by lowering immunity. </w:t>
      </w:r>
      <w:r w:rsidRPr="00286A88">
        <w:rPr>
          <w:rFonts w:cs="Times-Roman"/>
          <w:lang w:val="en-AU" w:eastAsia="en-AU"/>
        </w:rPr>
        <w:t>Hyperthermia has been shown to increase the H:L ratio (</w:t>
      </w:r>
      <w:r w:rsidRPr="00286A88">
        <w:rPr>
          <w:rFonts w:cs="Palatino-Roman"/>
          <w:lang w:val="en-AU" w:eastAsia="en-AU"/>
        </w:rPr>
        <w:t>Altan et al.,</w:t>
      </w:r>
      <w:r w:rsidR="00B75316">
        <w:rPr>
          <w:rFonts w:cs="Palatino-Roman"/>
          <w:lang w:val="en-AU" w:eastAsia="en-AU"/>
        </w:rPr>
        <w:t xml:space="preserve"> </w:t>
      </w:r>
      <w:r w:rsidRPr="00286A88">
        <w:rPr>
          <w:rFonts w:cs="Palatino-Roman"/>
          <w:lang w:val="en-AU" w:eastAsia="en-AU"/>
        </w:rPr>
        <w:t xml:space="preserve">2003; Akşit et al., 2006; </w:t>
      </w:r>
      <w:r w:rsidRPr="00286A88">
        <w:rPr>
          <w:rFonts w:cs="TimesNewRomanPSMT"/>
          <w:lang w:val="en-AU" w:eastAsia="en-AU"/>
        </w:rPr>
        <w:t xml:space="preserve">Skomorucha et al., 2010; </w:t>
      </w:r>
      <w:r w:rsidRPr="00286A88">
        <w:rPr>
          <w:lang w:val="en-AU" w:eastAsia="en-AU"/>
        </w:rPr>
        <w:t>Toplu et al., 2014)</w:t>
      </w:r>
      <w:r w:rsidRPr="00286A88">
        <w:rPr>
          <w:rFonts w:cs="Times-Roman"/>
          <w:lang w:val="en-AU" w:eastAsia="en-AU"/>
        </w:rPr>
        <w:t>, plasma glucose (</w:t>
      </w:r>
      <w:r w:rsidRPr="00286A88">
        <w:rPr>
          <w:rFonts w:cs="Palatino-Roman"/>
          <w:lang w:val="en-AU" w:eastAsia="en-AU"/>
        </w:rPr>
        <w:t xml:space="preserve">Akşit et al., 2006; </w:t>
      </w:r>
      <w:r w:rsidRPr="00286A88">
        <w:rPr>
          <w:lang w:val="en-AU" w:eastAsia="en-AU"/>
        </w:rPr>
        <w:t xml:space="preserve">Toplu et al., 2014), </w:t>
      </w:r>
      <w:r w:rsidRPr="00286A88">
        <w:rPr>
          <w:rFonts w:cs="Times-Roman"/>
          <w:lang w:val="en-AU" w:eastAsia="en-AU"/>
        </w:rPr>
        <w:t>fearfulness (</w:t>
      </w:r>
      <w:r w:rsidRPr="00286A88">
        <w:rPr>
          <w:rFonts w:cs="Palatino-Roman"/>
          <w:lang w:val="en-AU" w:eastAsia="en-AU"/>
        </w:rPr>
        <w:t xml:space="preserve">Altan et al., 2003; </w:t>
      </w:r>
      <w:r w:rsidRPr="00286A88">
        <w:rPr>
          <w:lang w:val="en-AU" w:eastAsia="en-AU"/>
        </w:rPr>
        <w:t>Toplu et al., 2014)</w:t>
      </w:r>
      <w:r w:rsidRPr="00286A88">
        <w:rPr>
          <w:rFonts w:cs="Times-Roman"/>
          <w:lang w:val="en-AU" w:eastAsia="en-AU"/>
        </w:rPr>
        <w:t>, blood corticosterone (</w:t>
      </w:r>
      <w:r w:rsidRPr="00286A88">
        <w:rPr>
          <w:bCs/>
          <w:lang w:val="en-AU" w:eastAsia="en-AU"/>
        </w:rPr>
        <w:t xml:space="preserve">Al-Aqil et al., 2009; </w:t>
      </w:r>
      <w:r w:rsidR="0080779A" w:rsidRPr="00286A88">
        <w:rPr>
          <w:rFonts w:eastAsia="ComputerModern-Regular" w:cs="ComputerModern-Regular"/>
          <w:lang w:val="en-AU" w:eastAsia="en-AU"/>
        </w:rPr>
        <w:t xml:space="preserve">Quinteiro-Filho et al., 2010; </w:t>
      </w:r>
      <w:r w:rsidRPr="00286A88">
        <w:rPr>
          <w:rFonts w:cs="TimesNewRomanPSMT"/>
          <w:lang w:val="en-AU" w:eastAsia="en-AU"/>
        </w:rPr>
        <w:t xml:space="preserve">Skomorucha et al., 2010; </w:t>
      </w:r>
      <w:r w:rsidRPr="00286A88">
        <w:rPr>
          <w:lang w:val="en-AU" w:eastAsia="en-AU"/>
        </w:rPr>
        <w:t xml:space="preserve">Toplu et al., 2014; </w:t>
      </w:r>
      <w:r w:rsidRPr="00286A88">
        <w:rPr>
          <w:rFonts w:cs="VsjmccAdvTT3713a231"/>
          <w:lang w:val="en-AU" w:eastAsia="en-AU"/>
        </w:rPr>
        <w:t>Najafi et al., 2015</w:t>
      </w:r>
      <w:r w:rsidRPr="00286A88">
        <w:rPr>
          <w:lang w:val="en-AU" w:eastAsia="en-AU"/>
        </w:rPr>
        <w:t>)</w:t>
      </w:r>
      <w:r w:rsidRPr="00286A88">
        <w:rPr>
          <w:rFonts w:cs="Times-Roman"/>
          <w:lang w:val="en-AU" w:eastAsia="en-AU"/>
        </w:rPr>
        <w:t>, heat shock protein (hsp) 70 expression (</w:t>
      </w:r>
      <w:r w:rsidRPr="00286A88">
        <w:rPr>
          <w:lang w:val="en-AU" w:eastAsia="en-AU"/>
        </w:rPr>
        <w:t xml:space="preserve">Toplu et al., 2014; </w:t>
      </w:r>
      <w:r w:rsidRPr="00286A88">
        <w:rPr>
          <w:rFonts w:cs="VsjmccAdvTT3713a231"/>
          <w:lang w:val="en-AU" w:eastAsia="en-AU"/>
        </w:rPr>
        <w:t>Najafi et al., 2015</w:t>
      </w:r>
      <w:r w:rsidRPr="00286A88">
        <w:rPr>
          <w:lang w:val="en-AU" w:eastAsia="en-AU"/>
        </w:rPr>
        <w:t>)</w:t>
      </w:r>
      <w:r w:rsidRPr="00286A88">
        <w:rPr>
          <w:rFonts w:cs="Times-Roman"/>
          <w:lang w:val="en-AU" w:eastAsia="en-AU"/>
        </w:rPr>
        <w:t xml:space="preserve">, </w:t>
      </w:r>
      <w:r w:rsidRPr="00286A88">
        <w:rPr>
          <w:rFonts w:cs="VsjmccAdvTT3713a231"/>
          <w:lang w:val="en-AU" w:eastAsia="en-AU"/>
        </w:rPr>
        <w:t xml:space="preserve">ovotransferrin, </w:t>
      </w:r>
      <w:r w:rsidRPr="00286A88">
        <w:rPr>
          <w:rFonts w:cs="LlhwwjAdvTT3713a231+03"/>
          <w:lang w:val="en-AU" w:eastAsia="en-AU"/>
        </w:rPr>
        <w:t>α</w:t>
      </w:r>
      <w:r w:rsidRPr="00286A88">
        <w:rPr>
          <w:rFonts w:cs="VsjmccAdvTT3713a231"/>
          <w:lang w:val="en-AU" w:eastAsia="en-AU"/>
        </w:rPr>
        <w:t>1-acid glycoprotein</w:t>
      </w:r>
      <w:r w:rsidRPr="00286A88">
        <w:rPr>
          <w:rFonts w:cs="Times-Roman"/>
          <w:lang w:val="en-AU" w:eastAsia="en-AU"/>
        </w:rPr>
        <w:t xml:space="preserve"> (</w:t>
      </w:r>
      <w:r w:rsidRPr="00286A88">
        <w:rPr>
          <w:rFonts w:cs="VsjmccAdvTT3713a231"/>
          <w:lang w:val="en-AU" w:eastAsia="en-AU"/>
        </w:rPr>
        <w:t xml:space="preserve">Najafi et al., 2015), </w:t>
      </w:r>
      <w:r w:rsidRPr="00286A88">
        <w:rPr>
          <w:rFonts w:cs="Times-Roman"/>
          <w:lang w:val="en-AU" w:eastAsia="en-AU"/>
        </w:rPr>
        <w:t>and to decrease immune reactivity (</w:t>
      </w:r>
      <w:r w:rsidRPr="00286A88">
        <w:rPr>
          <w:lang w:val="en-AU" w:eastAsia="en-AU"/>
        </w:rPr>
        <w:t xml:space="preserve">Toplu et al., 2014), macrophage activity and spleen weights, and induce intestinal inflammation (Quinteiro-Filho et al., 2010) in broilers. </w:t>
      </w:r>
      <w:r w:rsidRPr="00286A88">
        <w:rPr>
          <w:rFonts w:cs="TimesNewRomanPS-BoldMT"/>
          <w:bCs/>
          <w:lang w:val="en-AU" w:eastAsia="en-AU"/>
        </w:rPr>
        <w:t>Ross 308 broilers appear to be less tolerant of elevated air temperature than Hybro or Hubbard Flex breeds, as evidenced by increased mortality, fear responses (as measured by tonic immobility) and physiological stress measures (blood corticosterone and H:L ratio), which makes them less suited for rearing under hot climates (</w:t>
      </w:r>
      <w:r w:rsidRPr="00286A88">
        <w:rPr>
          <w:rFonts w:cs="TimesNewRomanPSMT"/>
          <w:lang w:val="en-AU" w:eastAsia="en-AU"/>
        </w:rPr>
        <w:t xml:space="preserve">Skomorucha et al., 2010). </w:t>
      </w:r>
      <w:r w:rsidRPr="00286A88">
        <w:rPr>
          <w:lang w:val="en-AU" w:eastAsia="en-AU"/>
        </w:rPr>
        <w:t xml:space="preserve">In addition, heat stress also reduces meat quality and </w:t>
      </w:r>
      <w:r w:rsidRPr="00286A88">
        <w:rPr>
          <w:rFonts w:cs="Times-Roman"/>
          <w:lang w:val="en-AU" w:eastAsia="en-AU"/>
        </w:rPr>
        <w:t>lowers production parameters (</w:t>
      </w:r>
      <w:r w:rsidRPr="00286A88">
        <w:rPr>
          <w:rFonts w:cs="Palatino-Roman"/>
          <w:lang w:val="en-AU" w:eastAsia="en-AU"/>
        </w:rPr>
        <w:t xml:space="preserve">Akşit et al., 2006; </w:t>
      </w:r>
      <w:r w:rsidRPr="00286A88">
        <w:rPr>
          <w:bCs/>
          <w:lang w:val="en-AU" w:eastAsia="en-AU"/>
        </w:rPr>
        <w:t xml:space="preserve">Al-Aqil et al., 2009; </w:t>
      </w:r>
      <w:r w:rsidRPr="00286A88">
        <w:rPr>
          <w:rFonts w:cs="Palatino-Roman"/>
          <w:lang w:val="en-AU" w:eastAsia="en-AU"/>
        </w:rPr>
        <w:t xml:space="preserve">Azad et al., 2010; </w:t>
      </w:r>
      <w:r w:rsidRPr="00286A88">
        <w:rPr>
          <w:lang w:val="en-AU" w:eastAsia="en-AU"/>
        </w:rPr>
        <w:t>Quinteiro-Filho et al., 2010;</w:t>
      </w:r>
      <w:r w:rsidRPr="00286A88">
        <w:rPr>
          <w:rFonts w:cs="VsjmccAdvTT3713a231"/>
          <w:lang w:val="en-AU" w:eastAsia="en-AU"/>
        </w:rPr>
        <w:t xml:space="preserve"> Najafi et al., 2015</w:t>
      </w:r>
      <w:r w:rsidRPr="00286A88">
        <w:rPr>
          <w:rFonts w:cs="Palatino-Roman"/>
          <w:lang w:val="en-AU" w:eastAsia="en-AU"/>
        </w:rPr>
        <w:t>)</w:t>
      </w:r>
      <w:r w:rsidRPr="00286A88">
        <w:rPr>
          <w:rFonts w:cs="Times-Roman"/>
          <w:lang w:val="en-AU" w:eastAsia="en-AU"/>
        </w:rPr>
        <w:t xml:space="preserve">. </w:t>
      </w:r>
      <w:r w:rsidRPr="00286A88">
        <w:rPr>
          <w:rFonts w:cs="Palatino-Roman"/>
          <w:lang w:val="en-AU" w:eastAsia="en-AU"/>
        </w:rPr>
        <w:t xml:space="preserve">Towards the end of rear </w:t>
      </w:r>
      <w:r w:rsidRPr="00286A88">
        <w:rPr>
          <w:rFonts w:cs="FrutigerLTStd-Light"/>
          <w:lang w:val="en-AU" w:eastAsia="en-AU"/>
        </w:rPr>
        <w:t xml:space="preserve">Jones </w:t>
      </w:r>
      <w:r w:rsidRPr="00286A88">
        <w:rPr>
          <w:rFonts w:cs="FrutigerLTStd-LightItalic"/>
          <w:iCs/>
          <w:lang w:val="en-AU" w:eastAsia="en-AU"/>
        </w:rPr>
        <w:t>et al</w:t>
      </w:r>
      <w:r w:rsidRPr="00286A88">
        <w:rPr>
          <w:rFonts w:cs="FrutigerLTStd-Light"/>
          <w:lang w:val="en-AU" w:eastAsia="en-AU"/>
        </w:rPr>
        <w:t>. (2005a) also observed faecal c</w:t>
      </w:r>
      <w:r w:rsidRPr="00286A88">
        <w:rPr>
          <w:rFonts w:cs="Palatino-Roman"/>
          <w:lang w:val="en-AU" w:eastAsia="en-AU"/>
        </w:rPr>
        <w:t>orticosteroid levels to be greater with increasing RH.</w:t>
      </w:r>
    </w:p>
    <w:p w14:paraId="78695601" w14:textId="77777777" w:rsidR="00286A88" w:rsidRPr="00286A88" w:rsidRDefault="00286A88" w:rsidP="007425AE">
      <w:pPr>
        <w:pStyle w:val="Heading41"/>
      </w:pPr>
      <w:r w:rsidRPr="00286A88">
        <w:t>B8.4b Heat Stress: mitigation</w:t>
      </w:r>
    </w:p>
    <w:p w14:paraId="7C154E3C" w14:textId="77777777" w:rsidR="00286A88" w:rsidRPr="00286A88" w:rsidRDefault="00286A88" w:rsidP="007425AE">
      <w:pPr>
        <w:rPr>
          <w:rFonts w:cs="Times-Roman"/>
          <w:lang w:val="en-AU" w:eastAsia="en-AU"/>
        </w:rPr>
      </w:pPr>
      <w:r w:rsidRPr="00286A88">
        <w:rPr>
          <w:lang w:val="en-AU" w:eastAsia="en-AU"/>
        </w:rPr>
        <w:t>In addition to whole-house management (see B9.1b for stocking density effects, and B9.4) other measures can be taken to mitigate heat stress. Aksit et al. (2010) observed that chicks subjected to heat acclimatisation within the egg (39.5 °C, 6</w:t>
      </w:r>
      <w:r w:rsidR="0080779A">
        <w:rPr>
          <w:lang w:val="en-AU" w:eastAsia="en-AU"/>
        </w:rPr>
        <w:t> </w:t>
      </w:r>
      <w:r w:rsidRPr="00286A88">
        <w:rPr>
          <w:lang w:val="en-AU" w:eastAsia="en-AU"/>
        </w:rPr>
        <w:t xml:space="preserve">h/day, 10-18 d) and during brooding (35 °C) had lower H:L ratios than ‘control’ chicks (incubated at 37.5 °C) following heat stress. </w:t>
      </w:r>
      <w:r w:rsidRPr="00286A88">
        <w:rPr>
          <w:rFonts w:cs="Times-Roman"/>
          <w:lang w:val="en-AU" w:eastAsia="en-AU"/>
        </w:rPr>
        <w:t>Heat conditioned broilers (36 °C, 24 h, 5 d) had lower H:L ratios, tonic immobility duration, serum corticosterone, glucose, hsp 70 expression, and greater immune reactivity (35 °C, 6 h/day, 22-42 d) compared with non-treated controls (T</w:t>
      </w:r>
      <w:r w:rsidRPr="00286A88">
        <w:rPr>
          <w:lang w:val="en-AU" w:eastAsia="en-AU"/>
        </w:rPr>
        <w:t>oplu et al., 2014).</w:t>
      </w:r>
    </w:p>
    <w:p w14:paraId="586746F6" w14:textId="77777777" w:rsidR="00286A88" w:rsidRPr="00286A88" w:rsidRDefault="00286A88" w:rsidP="007425AE">
      <w:pPr>
        <w:rPr>
          <w:rFonts w:eastAsia="MinionPro-Regular" w:cs="MinionPro-Regular"/>
          <w:lang w:val="en-AU" w:eastAsia="en-AU"/>
        </w:rPr>
      </w:pPr>
      <w:r w:rsidRPr="00286A88">
        <w:rPr>
          <w:rFonts w:cs="Times-Roman"/>
          <w:lang w:val="en-AU" w:eastAsia="en-AU"/>
        </w:rPr>
        <w:t>Dietary modifications (particularly the use of supplements) appear to have some success in counteracting the negative physiological effects of heat stress in broilers.</w:t>
      </w:r>
      <w:r w:rsidRPr="00286A88">
        <w:rPr>
          <w:lang w:val="en-AU" w:eastAsia="en-AU"/>
        </w:rPr>
        <w:t xml:space="preserve"> </w:t>
      </w:r>
      <w:r w:rsidRPr="00286A88">
        <w:rPr>
          <w:rFonts w:cs="Times-Roman"/>
          <w:lang w:val="en-AU" w:eastAsia="en-AU"/>
        </w:rPr>
        <w:t>T</w:t>
      </w:r>
      <w:r w:rsidRPr="00286A88">
        <w:rPr>
          <w:lang w:val="en-AU" w:eastAsia="en-AU"/>
        </w:rPr>
        <w:t xml:space="preserve">oplu et al. (2014) observed that broilers fed a diet supplemented with </w:t>
      </w:r>
      <w:r w:rsidRPr="00286A88">
        <w:rPr>
          <w:rFonts w:cs="Times-Roman"/>
          <w:lang w:val="en-AU" w:eastAsia="en-AU"/>
        </w:rPr>
        <w:t>ascorbic acid (AA) (500 mg/kg L-ascorbic acid) had lower H:L ratios, fearfulness, serum corticosterone, glucose, hsp 70 expression, and greater immune reactivity, following heat stress (35 °C, 6 h/day, 22-42 d) compared with non-treated controls</w:t>
      </w:r>
      <w:r w:rsidRPr="00286A88">
        <w:rPr>
          <w:lang w:val="en-AU" w:eastAsia="en-AU"/>
        </w:rPr>
        <w:t xml:space="preserve">. </w:t>
      </w:r>
      <w:r w:rsidRPr="00286A88">
        <w:rPr>
          <w:rFonts w:cs="Times-Roman"/>
          <w:lang w:val="en-AU" w:eastAsia="en-AU"/>
        </w:rPr>
        <w:t xml:space="preserve">Similarly, the exposure of young broilers fed an AA-supplemented diet (500 mg/kg L-ascorbic acid) to high cyclic temperatures </w:t>
      </w:r>
      <w:r w:rsidRPr="00286A88">
        <w:rPr>
          <w:lang w:val="en-AU" w:eastAsia="en-AU"/>
        </w:rPr>
        <w:t>(21-30-21 °C) was seen to reduce plasma corticosterone and hsp 70 expression compared to birds fed a control diet (</w:t>
      </w:r>
      <w:r w:rsidRPr="00286A88">
        <w:rPr>
          <w:rFonts w:cs="Times-Roman"/>
          <w:lang w:val="en-AU" w:eastAsia="en-AU"/>
        </w:rPr>
        <w:t xml:space="preserve">Mahmoud et al., 2004). Under </w:t>
      </w:r>
      <w:r w:rsidRPr="00286A88">
        <w:rPr>
          <w:lang w:val="en-AU" w:eastAsia="en-AU"/>
        </w:rPr>
        <w:t>conditions of heat stress d</w:t>
      </w:r>
      <w:r w:rsidRPr="00286A88">
        <w:rPr>
          <w:rFonts w:cs="Times-Roman"/>
          <w:lang w:val="en-AU" w:eastAsia="en-AU"/>
        </w:rPr>
        <w:t xml:space="preserve">ietary supplementation with </w:t>
      </w:r>
      <w:r w:rsidRPr="00286A88">
        <w:rPr>
          <w:lang w:val="en-AU" w:eastAsia="en-AU"/>
        </w:rPr>
        <w:t xml:space="preserve">vitamin E was seen to improve broiler immunity (Niu et al., 2009), while </w:t>
      </w:r>
      <w:r w:rsidRPr="00286A88">
        <w:rPr>
          <w:shd w:val="clear" w:color="auto" w:fill="FAFAFA"/>
          <w:lang w:val="en-AU" w:eastAsia="en-AU"/>
        </w:rPr>
        <w:t>dietary glutamine</w:t>
      </w:r>
      <w:r w:rsidRPr="00286A88">
        <w:rPr>
          <w:lang w:val="en-AU" w:eastAsia="en-AU"/>
        </w:rPr>
        <w:t xml:space="preserve"> decreased plasma corticosterone (Dai et al., 2011), compared to a control diet. </w:t>
      </w:r>
      <w:r w:rsidRPr="00286A88">
        <w:rPr>
          <w:rFonts w:eastAsia="MinionPro-Regular" w:cs="MinionPro-Regular"/>
          <w:lang w:val="en-AU" w:eastAsia="en-AU"/>
        </w:rPr>
        <w:t xml:space="preserve">In broilers exposed to heat stress (21-42 d), a period of feed withdrawal (8 h daily) was observed to improve welfare measures (decrease H:L ratio and tonic immobility) compared to a group fed </w:t>
      </w:r>
      <w:r w:rsidRPr="00286A88">
        <w:rPr>
          <w:rFonts w:eastAsia="MinionPro-Regular" w:cs="MinionPro-It"/>
          <w:i/>
          <w:iCs/>
          <w:lang w:val="en-AU" w:eastAsia="en-AU"/>
        </w:rPr>
        <w:t>ad libitum</w:t>
      </w:r>
      <w:r w:rsidRPr="00286A88">
        <w:rPr>
          <w:rFonts w:eastAsia="MinionPro-Regular" w:cs="MinionPro-Regular"/>
          <w:lang w:val="en-AU" w:eastAsia="en-AU"/>
        </w:rPr>
        <w:t xml:space="preserve"> (Uzum and Toplu, 2013), presumably by reducing broiler-generated heat from feeding activity and metabolism. </w:t>
      </w:r>
      <w:r w:rsidRPr="00286A88">
        <w:rPr>
          <w:lang w:val="en-AU" w:eastAsia="en-AU"/>
        </w:rPr>
        <w:t xml:space="preserve">Sohail et al. (2012) found that broilers fed with a commercial diet containing </w:t>
      </w:r>
      <w:r w:rsidRPr="00286A88">
        <w:rPr>
          <w:i/>
          <w:lang w:val="en-AU" w:eastAsia="en-AU"/>
        </w:rPr>
        <w:t xml:space="preserve">Bacillus </w:t>
      </w:r>
      <w:r w:rsidRPr="001C205B">
        <w:rPr>
          <w:lang w:val="en-AU" w:eastAsia="en-AU"/>
        </w:rPr>
        <w:t>spp.</w:t>
      </w:r>
      <w:r w:rsidRPr="00286A88">
        <w:rPr>
          <w:lang w:val="en-AU" w:eastAsia="en-AU"/>
        </w:rPr>
        <w:t xml:space="preserve"> (Protexin, Probiotics International LTD, UK) had a lower corticosterone response to a heat stressor (constant at 35 °C for 42 days) and also showed better feed conversion and better intestinal microarchitecture.</w:t>
      </w:r>
    </w:p>
    <w:p w14:paraId="0D1A2C41" w14:textId="77777777" w:rsidR="00286A88" w:rsidRPr="00286A88" w:rsidRDefault="00286A88" w:rsidP="007425AE">
      <w:pPr>
        <w:rPr>
          <w:iCs/>
          <w:szCs w:val="20"/>
          <w:lang w:val="en-AU" w:eastAsia="en-AU"/>
        </w:rPr>
      </w:pPr>
      <w:r w:rsidRPr="00286A88">
        <w:rPr>
          <w:iCs/>
          <w:szCs w:val="20"/>
          <w:lang w:val="en-AU" w:eastAsia="en-AU"/>
        </w:rPr>
        <w:t xml:space="preserve">Cooled perches or zonal cooling has been recommended as an economical means of potentially relieving heat stress and minimising production losses under hot climatic conditions; success has been achieved via the provision of cooled perches. </w:t>
      </w:r>
      <w:r w:rsidRPr="00286A88">
        <w:rPr>
          <w:rFonts w:cs="Palatino-Roman"/>
          <w:lang w:val="en-AU" w:eastAsia="en-AU"/>
        </w:rPr>
        <w:t>Increased perching is seen under high ambient temperature and towards the end of the grow-out period</w:t>
      </w:r>
      <w:r w:rsidRPr="00286A88">
        <w:rPr>
          <w:lang w:val="en-AU" w:eastAsia="en-AU"/>
        </w:rPr>
        <w:t xml:space="preserve"> (Estevez et al., 2002;</w:t>
      </w:r>
      <w:r w:rsidRPr="00286A88">
        <w:rPr>
          <w:iCs/>
          <w:szCs w:val="20"/>
          <w:lang w:val="en-AU" w:eastAsia="en-AU"/>
        </w:rPr>
        <w:t xml:space="preserve"> Okelo et al., 2003</w:t>
      </w:r>
      <w:r w:rsidRPr="00286A88">
        <w:rPr>
          <w:lang w:val="en-AU" w:eastAsia="en-AU"/>
        </w:rPr>
        <w:t>). C</w:t>
      </w:r>
      <w:r w:rsidRPr="00286A88">
        <w:rPr>
          <w:iCs/>
          <w:szCs w:val="20"/>
          <w:lang w:val="en-AU" w:eastAsia="en-AU"/>
        </w:rPr>
        <w:t>ool roost broilers have been shown to have lower mortality (Okelo et al., 2003), pant less, have lower plasma glucose, less contact dermatitis, increased plumage condition (</w:t>
      </w:r>
      <w:r w:rsidRPr="00286A88">
        <w:rPr>
          <w:rFonts w:eastAsia="ComputerModern-Regular" w:cs="ComputerModern-Regular"/>
          <w:lang w:val="en-AU" w:eastAsia="en-AU"/>
        </w:rPr>
        <w:t xml:space="preserve">Zhao et al., 2012; 2013), </w:t>
      </w:r>
      <w:r w:rsidRPr="00286A88">
        <w:rPr>
          <w:iCs/>
          <w:szCs w:val="20"/>
          <w:lang w:val="en-AU" w:eastAsia="en-AU"/>
        </w:rPr>
        <w:t>and higher production parameters (</w:t>
      </w:r>
      <w:r w:rsidRPr="00286A88">
        <w:rPr>
          <w:lang w:val="en-AU" w:eastAsia="en-AU"/>
        </w:rPr>
        <w:t xml:space="preserve">Estevez et al., 2002; </w:t>
      </w:r>
      <w:r w:rsidRPr="00286A88">
        <w:rPr>
          <w:iCs/>
          <w:szCs w:val="20"/>
          <w:lang w:val="en-AU" w:eastAsia="en-AU"/>
        </w:rPr>
        <w:t>Okelo et al., 2003;</w:t>
      </w:r>
      <w:r w:rsidRPr="00286A88">
        <w:rPr>
          <w:rFonts w:eastAsia="ComputerModern-Regular" w:cs="ComputerModern-Regular"/>
          <w:lang w:val="en-AU" w:eastAsia="en-AU"/>
        </w:rPr>
        <w:t xml:space="preserve"> Zhao et al., 2012; 2013</w:t>
      </w:r>
      <w:r w:rsidRPr="00286A88">
        <w:rPr>
          <w:iCs/>
          <w:szCs w:val="20"/>
          <w:lang w:val="en-AU" w:eastAsia="en-AU"/>
        </w:rPr>
        <w:t>) than birds provided with uncooled perches or without perches.</w:t>
      </w:r>
    </w:p>
    <w:p w14:paraId="402067C5" w14:textId="77777777" w:rsidR="00286A88" w:rsidRPr="00286A88" w:rsidRDefault="00286A88" w:rsidP="007425AE">
      <w:pPr>
        <w:rPr>
          <w:b/>
          <w:lang w:val="en-AU" w:eastAsia="en-AU"/>
        </w:rPr>
      </w:pPr>
      <w:r w:rsidRPr="00286A88">
        <w:rPr>
          <w:lang w:val="en-AU" w:eastAsia="en-AU"/>
        </w:rPr>
        <w:t>Feather coverage, in particular, hinders the dissipation of excessive internal heat in broilers commercially reared under hot climates. Genotypes with reduced plumage coverage, such as naked-neck breeds are, therefore, commonly favoured; the naked-neck genotype seems to be more heat resistant than a standard feathered breed (Rajkumar et al., 2011); H:L ratios were lower and production parameters were better than the standard breed under high ambient temperatures.</w:t>
      </w:r>
    </w:p>
    <w:p w14:paraId="3639C636" w14:textId="77777777" w:rsidR="00286A88" w:rsidRPr="00286A88" w:rsidRDefault="00286A88" w:rsidP="005064B7">
      <w:pPr>
        <w:pStyle w:val="Heading2"/>
        <w:rPr>
          <w:lang w:val="en-AU" w:eastAsia="en-AU"/>
        </w:rPr>
      </w:pPr>
      <w:bookmarkStart w:id="127" w:name="_Toc495310596"/>
      <w:r w:rsidRPr="00286A88">
        <w:rPr>
          <w:lang w:val="en-AU" w:eastAsia="en-AU"/>
        </w:rPr>
        <w:t>B9. Handling and Management</w:t>
      </w:r>
      <w:bookmarkEnd w:id="127"/>
    </w:p>
    <w:p w14:paraId="6175D0B2" w14:textId="77777777" w:rsidR="00286A88" w:rsidRPr="00286A88" w:rsidRDefault="00286A88" w:rsidP="007425AE">
      <w:pPr>
        <w:pStyle w:val="Heading3"/>
        <w:rPr>
          <w:lang w:val="en-AU" w:eastAsia="en-AU"/>
        </w:rPr>
      </w:pPr>
      <w:bookmarkStart w:id="128" w:name="_Toc495310597"/>
      <w:r w:rsidRPr="00286A88">
        <w:rPr>
          <w:lang w:val="en-AU" w:eastAsia="en-AU"/>
        </w:rPr>
        <w:t>B9.1 Stocking density and group size</w:t>
      </w:r>
      <w:bookmarkEnd w:id="128"/>
    </w:p>
    <w:p w14:paraId="7FD416A6" w14:textId="77777777" w:rsidR="00286A88" w:rsidRPr="007425AE" w:rsidRDefault="00286A88" w:rsidP="007425AE">
      <w:pPr>
        <w:rPr>
          <w:i/>
          <w:lang w:val="en-AU" w:eastAsia="en-AU"/>
        </w:rPr>
      </w:pPr>
      <w:r w:rsidRPr="007425AE">
        <w:rPr>
          <w:rFonts w:cs="Times New Roman"/>
          <w:i/>
          <w:lang w:val="en-AU" w:eastAsia="en-AU"/>
        </w:rPr>
        <w:t>Although high stocking density has a negative influence on many aspects of broiler welfare</w:t>
      </w:r>
      <w:r w:rsidRPr="007425AE">
        <w:rPr>
          <w:i/>
          <w:lang w:val="en-AU" w:eastAsia="en-AU"/>
        </w:rPr>
        <w:t>, an imposed limit on stocking density that does not consider other aspects of the broilers’ environment is unlikely to substantially benefit animal welfare; failings in environment, nutrition and genetics will also require addressing.</w:t>
      </w:r>
    </w:p>
    <w:p w14:paraId="0675E448" w14:textId="77777777" w:rsidR="00286A88" w:rsidRPr="00286A88" w:rsidRDefault="00286A88" w:rsidP="007425AE">
      <w:pPr>
        <w:pStyle w:val="Heading41"/>
      </w:pPr>
      <w:r w:rsidRPr="00286A88">
        <w:t>B9.1a Stocking density and behaviour</w:t>
      </w:r>
    </w:p>
    <w:p w14:paraId="73C348F0" w14:textId="77777777" w:rsidR="00286A88" w:rsidRPr="00286A88" w:rsidRDefault="00286A88" w:rsidP="00267465">
      <w:pPr>
        <w:rPr>
          <w:color w:val="000000"/>
          <w:lang w:val="en-AU" w:eastAsia="en-AU"/>
        </w:rPr>
      </w:pPr>
      <w:r w:rsidRPr="00286A88">
        <w:rPr>
          <w:lang w:val="en-AU" w:eastAsia="en-AU"/>
        </w:rPr>
        <w:t>Unlike layers, there is little evidence that group size alters the behaviour of broilers (</w:t>
      </w:r>
      <w:r w:rsidR="0080779A" w:rsidRPr="00286A88">
        <w:rPr>
          <w:rFonts w:cs="AdvP41153C"/>
          <w:lang w:val="en-AU" w:eastAsia="en-AU"/>
        </w:rPr>
        <w:t>Reiter and Bessei, 2000b</w:t>
      </w:r>
      <w:r w:rsidR="0080779A">
        <w:rPr>
          <w:rFonts w:cs="AdvP41153C"/>
          <w:lang w:val="en-AU" w:eastAsia="en-AU"/>
        </w:rPr>
        <w:t>;</w:t>
      </w:r>
      <w:r w:rsidR="0080779A" w:rsidRPr="00286A88">
        <w:rPr>
          <w:lang w:val="en-AU" w:eastAsia="en-AU"/>
        </w:rPr>
        <w:t xml:space="preserve"> </w:t>
      </w:r>
      <w:r w:rsidRPr="00286A88">
        <w:rPr>
          <w:lang w:val="en-AU" w:eastAsia="en-AU"/>
        </w:rPr>
        <w:t xml:space="preserve">Weeks et al., 2000). </w:t>
      </w:r>
      <w:r w:rsidRPr="00286A88">
        <w:rPr>
          <w:color w:val="000000"/>
          <w:lang w:val="en-AU" w:eastAsia="en-AU"/>
        </w:rPr>
        <w:t xml:space="preserve">Although a decrease in locomotor activity with increased density has often been reported (Hall, 2001; </w:t>
      </w:r>
      <w:r w:rsidRPr="00286A88">
        <w:rPr>
          <w:rFonts w:cs="UVProfile-Medium"/>
          <w:color w:val="000000"/>
          <w:lang w:val="en-AU" w:eastAsia="en-AU"/>
        </w:rPr>
        <w:t xml:space="preserve">Lolli et al., 2010; </w:t>
      </w:r>
      <w:r w:rsidRPr="00286A88">
        <w:rPr>
          <w:rFonts w:cs="AdvP4CD4D0"/>
          <w:color w:val="000000"/>
          <w:lang w:val="en-AU" w:eastAsia="en-AU"/>
        </w:rPr>
        <w:t xml:space="preserve">Simitzis et al., 2012; </w:t>
      </w:r>
      <w:r w:rsidRPr="00286A88">
        <w:rPr>
          <w:color w:val="000000"/>
          <w:lang w:val="en-AU" w:eastAsia="en-AU"/>
        </w:rPr>
        <w:t>Ventura et al., 2012), this association is often not observed (Cornetto and Estevez, 2001a; McLean et al., 2002; Buijs et al., 2011a).</w:t>
      </w:r>
      <w:r w:rsidRPr="00286A88">
        <w:rPr>
          <w:rFonts w:cs="AdvP41153C"/>
          <w:lang w:val="en-AU" w:eastAsia="en-AU"/>
        </w:rPr>
        <w:t xml:space="preserve"> Reiter and Bessei (2000b) report that </w:t>
      </w:r>
      <w:r w:rsidRPr="00286A88">
        <w:rPr>
          <w:rFonts w:cs="Sgwnfgpqvgvqqznzkxzzzvbnzsn"/>
          <w:lang w:val="en-AU" w:eastAsia="en-AU"/>
        </w:rPr>
        <w:t>walking and ground scratching were negatively associated with stocking density towards the end of the grow-out period, but this observation was better explained by litter conditions, ambient temperature (increased due to microbial activity within the litter and the inhibition of air circulation) and social stimulation, rather than physical space restrictions.</w:t>
      </w:r>
      <w:r w:rsidRPr="00286A88">
        <w:rPr>
          <w:color w:val="000000"/>
          <w:lang w:val="en-AU" w:eastAsia="en-AU"/>
        </w:rPr>
        <w:t xml:space="preserve"> Litter directed behaviour was negatively correlated to stocking density in some studies (Hall, 2001; Sanotra et al., 2002; Buijs et al., 2011a; Ventura et al., 2012), but not in others (Cornetto and Estevez, 2001a; McLean et al., 2002). Bokkers et al. (2011) modelled the physical space needed for broilers to perform non-social behaviours at different stocking densities; they calculated that broilers reared at high stocking densities (&gt;16 broilers/m</w:t>
      </w:r>
      <w:r w:rsidRPr="00286A88">
        <w:rPr>
          <w:color w:val="000000"/>
          <w:vertAlign w:val="superscript"/>
          <w:lang w:val="en-AU" w:eastAsia="en-AU"/>
        </w:rPr>
        <w:t>2</w:t>
      </w:r>
      <w:r w:rsidRPr="00286A88">
        <w:rPr>
          <w:color w:val="000000"/>
          <w:lang w:val="en-AU" w:eastAsia="en-AU"/>
        </w:rPr>
        <w:t>) will experience physical compression, with obvious behavioural ramifications.</w:t>
      </w:r>
    </w:p>
    <w:p w14:paraId="25D21487" w14:textId="77777777" w:rsidR="00286A88" w:rsidRPr="00286A88" w:rsidRDefault="00286A88" w:rsidP="00267465">
      <w:pPr>
        <w:rPr>
          <w:rFonts w:eastAsia="ComputerModern-Regular" w:cs="ComputerModern-Regular"/>
          <w:lang w:val="en-AU" w:eastAsia="en-AU"/>
        </w:rPr>
      </w:pPr>
      <w:r w:rsidRPr="00286A88">
        <w:rPr>
          <w:rFonts w:cs="Sgwnfgpqvgvqqznzkxzzzvbnzsn"/>
          <w:color w:val="000000"/>
          <w:lang w:val="en-AU" w:eastAsia="en-AU"/>
        </w:rPr>
        <w:t xml:space="preserve">The temperature of the litter surface increases with increasing stocking density (Reiter and Bessei, 2000a; </w:t>
      </w:r>
      <w:r w:rsidRPr="00286A88">
        <w:rPr>
          <w:color w:val="000000"/>
          <w:lang w:val="en-AU" w:eastAsia="en-AU"/>
        </w:rPr>
        <w:t>Lolli et al., 2010)</w:t>
      </w:r>
      <w:r w:rsidRPr="00286A88">
        <w:rPr>
          <w:rFonts w:cs="Sgwnfgpqvgvqqznzkxzzzvbnzsn"/>
          <w:color w:val="000000"/>
          <w:lang w:val="en-AU" w:eastAsia="en-AU"/>
        </w:rPr>
        <w:t xml:space="preserve">. </w:t>
      </w:r>
      <w:r w:rsidRPr="00286A88">
        <w:rPr>
          <w:color w:val="000000"/>
          <w:lang w:val="en-AU" w:eastAsia="en-AU"/>
        </w:rPr>
        <w:t xml:space="preserve">Lolli et al. (2010) identified more behavioural changes associated with stocking density in a feathered broiler strain than a non-feathered strain, leading them to conclude that behavioural alterations observed under high density were likely to have a temperature component (in addition to physical space restrictions). </w:t>
      </w:r>
      <w:r w:rsidRPr="00286A88">
        <w:rPr>
          <w:lang w:val="en-AU" w:eastAsia="en-AU"/>
        </w:rPr>
        <w:t xml:space="preserve">Perch availability (and thus use) has been considered a means of minimising some of the negative consequences of stocking density (e.g. insufficient air circulation at floor level); however, the relationship between stocking density and perch use are, as yet, unclear. </w:t>
      </w:r>
      <w:r w:rsidRPr="00286A88">
        <w:rPr>
          <w:rFonts w:cs="AdvP41153C"/>
          <w:lang w:val="en-AU" w:eastAsia="en-AU"/>
        </w:rPr>
        <w:t>Some studies have observed perch use to increase with higher stocking densities (</w:t>
      </w:r>
      <w:r w:rsidRPr="00286A88">
        <w:rPr>
          <w:rFonts w:cs="Arial"/>
          <w:lang w:val="en-AU" w:eastAsia="en-AU"/>
        </w:rPr>
        <w:t xml:space="preserve">Martrenchar et al., 2000; </w:t>
      </w:r>
      <w:r w:rsidRPr="00286A88">
        <w:rPr>
          <w:rFonts w:cs="AdvP41153C"/>
          <w:lang w:val="en-AU" w:eastAsia="en-AU"/>
        </w:rPr>
        <w:t>Pettit-Riley and Estevez, 2001), whereas other studies report the opposite (V</w:t>
      </w:r>
      <w:r w:rsidRPr="00286A88">
        <w:rPr>
          <w:lang w:val="en-AU" w:eastAsia="en-AU"/>
        </w:rPr>
        <w:t xml:space="preserve">entura, 2010; 2012). </w:t>
      </w:r>
      <w:r w:rsidRPr="00286A88">
        <w:rPr>
          <w:lang w:val="en-AU" w:eastAsia="en-GB"/>
        </w:rPr>
        <w:t>Hongchao et al. (2013) observed that birds maintained at an intermediate stocking density (16 broilers/m</w:t>
      </w:r>
      <w:r w:rsidRPr="00286A88">
        <w:rPr>
          <w:vertAlign w:val="superscript"/>
          <w:lang w:val="en-AU" w:eastAsia="en-GB"/>
        </w:rPr>
        <w:t>2</w:t>
      </w:r>
      <w:r w:rsidRPr="00286A88">
        <w:rPr>
          <w:lang w:val="en-AU" w:eastAsia="en-GB"/>
        </w:rPr>
        <w:t>) perched more frequently on wooden or PVC perches than birds housed at either a lower (12 broilers/m</w:t>
      </w:r>
      <w:r w:rsidRPr="00286A88">
        <w:rPr>
          <w:vertAlign w:val="superscript"/>
          <w:lang w:val="en-AU" w:eastAsia="en-GB"/>
        </w:rPr>
        <w:t>2</w:t>
      </w:r>
      <w:r w:rsidRPr="00286A88">
        <w:rPr>
          <w:lang w:val="en-AU" w:eastAsia="en-GB"/>
        </w:rPr>
        <w:t>) or higher density (20 broilers/m</w:t>
      </w:r>
      <w:r w:rsidRPr="00286A88">
        <w:rPr>
          <w:vertAlign w:val="superscript"/>
          <w:lang w:val="en-AU" w:eastAsia="en-GB"/>
        </w:rPr>
        <w:t>2</w:t>
      </w:r>
      <w:r w:rsidRPr="00286A88">
        <w:rPr>
          <w:lang w:val="en-AU" w:eastAsia="en-GB"/>
        </w:rPr>
        <w:t xml:space="preserve">). </w:t>
      </w:r>
      <w:r w:rsidRPr="00286A88">
        <w:rPr>
          <w:lang w:val="en-AU" w:eastAsia="en-AU"/>
        </w:rPr>
        <w:t xml:space="preserve">Since Ventura et al. (2012) did not provide sufficient perch space to allow all birds access there is a possibility that the available perch space became saturated. Perch allowance appears to be important since a 50% reduction in total perch length (same flock size) has been seen to dramatically reduce the proportion of birds roosting (24% versus 7%) (Nielsen, 2004). </w:t>
      </w:r>
      <w:r w:rsidRPr="00286A88">
        <w:rPr>
          <w:rFonts w:cs="RealpageBAS4"/>
          <w:lang w:val="en-AU" w:eastAsia="en-AU"/>
        </w:rPr>
        <w:t xml:space="preserve">Absolute group size does not appear to be important for influencing perching behaviour </w:t>
      </w:r>
      <w:r w:rsidRPr="00286A88">
        <w:rPr>
          <w:rFonts w:eastAsia="ComputerModern-Regular" w:cs="ComputerModern-Regular"/>
          <w:lang w:val="en-AU" w:eastAsia="en-AU"/>
        </w:rPr>
        <w:t>(Martrenchar et al., 2000); however, no mention of perch space allocation per bird was made in this study.</w:t>
      </w:r>
    </w:p>
    <w:p w14:paraId="076A43E8" w14:textId="77777777" w:rsidR="00286A88" w:rsidRPr="00286A88" w:rsidRDefault="00286A88" w:rsidP="00267465">
      <w:pPr>
        <w:rPr>
          <w:color w:val="000000"/>
          <w:lang w:val="en-AU" w:eastAsia="en-AU"/>
        </w:rPr>
      </w:pPr>
      <w:r w:rsidRPr="00286A88">
        <w:rPr>
          <w:color w:val="000000"/>
          <w:lang w:val="en-AU" w:eastAsia="en-AU"/>
        </w:rPr>
        <w:t xml:space="preserve">Increasing stocking density fragments behaviour and prevents prolonged activity, e.g. walking bouts decrease in length and locomotion slows (Hall, 2001; Leone and Estevez, 2008; Buijs et al., 2011a), presumably, due to a barrier effect, whereby the birds become obstacles (e.g. Collins, 2008). Recent studies have showed a consistent effect of stocking density on disturbance; at high stocking densities broilers frequently have their sleep and rest interrupted by other birds (Hall, 2001; Cornetto et al., 2002; Dawkins et al., 2004; Ventura et al., 2012). </w:t>
      </w:r>
      <w:r w:rsidRPr="00286A88">
        <w:rPr>
          <w:rFonts w:cs="AdvP41153C"/>
          <w:color w:val="000000"/>
          <w:lang w:val="en-AU" w:eastAsia="en-AU"/>
        </w:rPr>
        <w:t>Reiter and Bessei (2000b)</w:t>
      </w:r>
      <w:r w:rsidRPr="00286A88">
        <w:rPr>
          <w:color w:val="000000"/>
          <w:lang w:val="en-AU" w:eastAsia="en-AU"/>
        </w:rPr>
        <w:t xml:space="preserve"> observed </w:t>
      </w:r>
      <w:r w:rsidRPr="00286A88">
        <w:rPr>
          <w:rFonts w:cs="Sgwnfgpqvgvqqznzkxzzzvbnzsn"/>
          <w:color w:val="000000"/>
          <w:lang w:val="en-AU" w:eastAsia="en-AU"/>
        </w:rPr>
        <w:t xml:space="preserve">small groups (n=20) of broilers to demonstrate </w:t>
      </w:r>
      <w:r w:rsidRPr="00286A88">
        <w:rPr>
          <w:color w:val="000000"/>
          <w:lang w:val="en-AU" w:eastAsia="en-AU"/>
        </w:rPr>
        <w:t>a</w:t>
      </w:r>
      <w:r w:rsidRPr="00286A88">
        <w:rPr>
          <w:rFonts w:cs="Sgwnfgpqvgvqqznzkxzzzvbnzsn"/>
          <w:color w:val="000000"/>
          <w:lang w:val="en-AU" w:eastAsia="en-AU"/>
        </w:rPr>
        <w:t xml:space="preserve"> short (20 minute) cycle of activity and resting, but this rhythm disappeared in larger groups, and at higher stocking densities, due to a lack of behavioural synchronisation within the flock</w:t>
      </w:r>
      <w:r w:rsidRPr="00286A88">
        <w:rPr>
          <w:rFonts w:cs="AdvP41153C"/>
          <w:color w:val="000000"/>
          <w:lang w:val="en-AU" w:eastAsia="en-AU"/>
        </w:rPr>
        <w:t xml:space="preserve">. </w:t>
      </w:r>
      <w:r w:rsidRPr="00286A88">
        <w:rPr>
          <w:color w:val="000000"/>
          <w:lang w:val="en-AU" w:eastAsia="en-AU"/>
        </w:rPr>
        <w:t>These disturbances are a likely cause of the fragmentation of behaviour, including resting bouts, with increased density (Hall, 2001; Buijs et al., 2011a). In addition to specific behavioural alterations, density effects on space usage have also been reported. At low density (2 birds/m</w:t>
      </w:r>
      <w:r w:rsidRPr="00286A88">
        <w:rPr>
          <w:color w:val="000000"/>
          <w:vertAlign w:val="superscript"/>
          <w:lang w:val="en-AU" w:eastAsia="en-AU"/>
        </w:rPr>
        <w:t>2</w:t>
      </w:r>
      <w:r w:rsidRPr="00286A88">
        <w:rPr>
          <w:color w:val="000000"/>
          <w:lang w:val="en-AU" w:eastAsia="en-AU"/>
        </w:rPr>
        <w:t>) broilers were observed to remain near the drinkers and feeders, while at high density (15 birds/m</w:t>
      </w:r>
      <w:r w:rsidRPr="00286A88">
        <w:rPr>
          <w:color w:val="000000"/>
          <w:vertAlign w:val="superscript"/>
          <w:lang w:val="en-AU" w:eastAsia="en-AU"/>
        </w:rPr>
        <w:t>2</w:t>
      </w:r>
      <w:r w:rsidRPr="00286A88">
        <w:rPr>
          <w:color w:val="000000"/>
          <w:lang w:val="en-AU" w:eastAsia="en-AU"/>
        </w:rPr>
        <w:t>) broilers sought out floor space with less disturbance away from the feeders and drinkers (Arnould and Faure, 2004). Buijs et al. (2011a) observed that broilers stocked at a density of ≥ 15 kg/m</w:t>
      </w:r>
      <w:r w:rsidRPr="00286A88">
        <w:rPr>
          <w:color w:val="000000"/>
          <w:vertAlign w:val="superscript"/>
          <w:lang w:val="en-AU" w:eastAsia="en-AU"/>
        </w:rPr>
        <w:t>2</w:t>
      </w:r>
      <w:r w:rsidRPr="00286A88">
        <w:rPr>
          <w:color w:val="000000"/>
          <w:lang w:val="en-AU" w:eastAsia="en-AU"/>
        </w:rPr>
        <w:t xml:space="preserve"> increased their distance from one-another, as would be expected if they considered close proximity to pen-mates as being aversive. In addition, Buijs et al. (2011b) observed that broilers were strongly motivated to work (crossing a barrier) for increased floor space allowance.</w:t>
      </w:r>
    </w:p>
    <w:p w14:paraId="12BBCBFD" w14:textId="77777777" w:rsidR="00286A88" w:rsidRPr="00286A88" w:rsidRDefault="00286A88" w:rsidP="00267465">
      <w:pPr>
        <w:rPr>
          <w:color w:val="000000"/>
          <w:lang w:val="en-AU" w:eastAsia="en-AU"/>
        </w:rPr>
      </w:pPr>
      <w:r w:rsidRPr="00286A88">
        <w:rPr>
          <w:color w:val="000000"/>
          <w:lang w:val="en-AU" w:eastAsia="en-AU"/>
        </w:rPr>
        <w:t>Fearfulness (tonic immobility) can be raised at high stocking densities (18-22 broilers/m</w:t>
      </w:r>
      <w:r w:rsidRPr="00286A88">
        <w:rPr>
          <w:color w:val="000000"/>
          <w:vertAlign w:val="superscript"/>
          <w:lang w:val="en-AU" w:eastAsia="en-AU"/>
        </w:rPr>
        <w:t>2</w:t>
      </w:r>
      <w:r w:rsidRPr="00286A88">
        <w:rPr>
          <w:color w:val="000000"/>
          <w:lang w:val="en-AU" w:eastAsia="en-AU"/>
        </w:rPr>
        <w:t xml:space="preserve">: </w:t>
      </w:r>
      <w:r w:rsidRPr="00286A88">
        <w:rPr>
          <w:rFonts w:cs="TimesNewRomanPS-BoldMT"/>
          <w:bCs/>
          <w:color w:val="000000"/>
          <w:lang w:val="en-AU" w:eastAsia="en-AU"/>
        </w:rPr>
        <w:t>Onbaşılar et al., 2008</w:t>
      </w:r>
      <w:r w:rsidRPr="00286A88">
        <w:rPr>
          <w:color w:val="000000"/>
          <w:lang w:val="en-AU" w:eastAsia="en-AU"/>
        </w:rPr>
        <w:t xml:space="preserve">; Buijs et al., 2009; </w:t>
      </w:r>
      <w:r w:rsidRPr="00286A88">
        <w:rPr>
          <w:rFonts w:eastAsia="MinionPro-Regular" w:cs="MinionPro-Regular"/>
          <w:color w:val="000000"/>
          <w:lang w:val="en-AU" w:eastAsia="en-AU"/>
        </w:rPr>
        <w:t>Uzum and Toplu, 2013</w:t>
      </w:r>
      <w:r w:rsidRPr="00286A88">
        <w:rPr>
          <w:color w:val="000000"/>
          <w:lang w:val="en-AU" w:eastAsia="en-AU"/>
        </w:rPr>
        <w:t xml:space="preserve">); </w:t>
      </w:r>
      <w:r w:rsidRPr="00286A88">
        <w:rPr>
          <w:rFonts w:eastAsia="ACaslonPro-Regular" w:cs="ACaslonPro-Regular"/>
          <w:color w:val="000000"/>
          <w:lang w:val="en-AU" w:eastAsia="en-AU"/>
        </w:rPr>
        <w:t>although, this is not always observed (</w:t>
      </w:r>
      <w:r w:rsidRPr="00286A88">
        <w:rPr>
          <w:rFonts w:cs="TimesNewRomanPSMT"/>
          <w:color w:val="000000"/>
          <w:lang w:val="en-AU" w:eastAsia="en-AU"/>
        </w:rPr>
        <w:t xml:space="preserve">Skomorucha et al., 2009; </w:t>
      </w:r>
      <w:r w:rsidRPr="00286A88">
        <w:rPr>
          <w:color w:val="000000"/>
          <w:lang w:val="en-AU" w:eastAsia="en-AU"/>
        </w:rPr>
        <w:t xml:space="preserve">Ventura et al. 2010; </w:t>
      </w:r>
      <w:r w:rsidRPr="00286A88">
        <w:rPr>
          <w:rFonts w:eastAsia="ACaslonPro-Regular" w:cs="ACaslonPro-Regular"/>
          <w:color w:val="000000"/>
          <w:lang w:val="en-AU" w:eastAsia="en-AU"/>
        </w:rPr>
        <w:t xml:space="preserve">Das and Lacin, 2014). </w:t>
      </w:r>
      <w:r w:rsidRPr="00286A88">
        <w:rPr>
          <w:color w:val="000000"/>
          <w:lang w:val="en-AU" w:eastAsia="en-AU"/>
        </w:rPr>
        <w:t>Skomorucha and Muchacka (2007) observed an increase in tonic immobility with increasing density (13-17 broilers/m</w:t>
      </w:r>
      <w:r w:rsidRPr="00286A88">
        <w:rPr>
          <w:color w:val="000000"/>
          <w:vertAlign w:val="superscript"/>
          <w:lang w:val="en-AU" w:eastAsia="en-AU"/>
        </w:rPr>
        <w:t>2</w:t>
      </w:r>
      <w:r w:rsidRPr="00286A88">
        <w:rPr>
          <w:color w:val="000000"/>
          <w:lang w:val="en-AU" w:eastAsia="en-AU"/>
        </w:rPr>
        <w:t>) only when birds were housed in a cage system and not when housed on litter.</w:t>
      </w:r>
    </w:p>
    <w:p w14:paraId="498D5EEF" w14:textId="77777777" w:rsidR="00286A88" w:rsidRPr="00286A88" w:rsidRDefault="00286A88" w:rsidP="00267465">
      <w:pPr>
        <w:pStyle w:val="Heading41"/>
      </w:pPr>
      <w:r w:rsidRPr="00286A88">
        <w:t>B9.1b Stocking density, physiological stress and bird health</w:t>
      </w:r>
    </w:p>
    <w:p w14:paraId="4F7FCF3D" w14:textId="77777777" w:rsidR="00286A88" w:rsidRPr="00286A88" w:rsidRDefault="00286A88" w:rsidP="00267465">
      <w:pPr>
        <w:rPr>
          <w:lang w:val="en-AU" w:eastAsia="en-AU"/>
        </w:rPr>
      </w:pPr>
      <w:r w:rsidRPr="00286A88">
        <w:rPr>
          <w:lang w:val="en-AU" w:eastAsia="en-AU"/>
        </w:rPr>
        <w:t xml:space="preserve">As broilers have been intensively selected to have a very high food motivation (e.g. Bokkers and Koene, 2004) any reduction in feeding behaviour (whether of a voluntary or competitive cause) may be considered ‘abnormal’ and, thus, potentially indicate impaired welfare. Many studies report that feed intake decreases with increasing density (Thomas et al., 2004; Dozier et al., 2006; </w:t>
      </w:r>
      <w:r w:rsidRPr="00286A88">
        <w:rPr>
          <w:lang w:val="en-AU" w:eastAsia="en-GB"/>
        </w:rPr>
        <w:t>Villagrá et al., 2009</w:t>
      </w:r>
      <w:r w:rsidRPr="00286A88">
        <w:rPr>
          <w:lang w:val="en-AU" w:eastAsia="en-AU"/>
        </w:rPr>
        <w:t xml:space="preserve">; Beloor et al., 2010; </w:t>
      </w:r>
      <w:r w:rsidRPr="00286A88">
        <w:rPr>
          <w:rFonts w:cs="AdvTimes"/>
          <w:lang w:val="en-AU" w:eastAsia="en-AU"/>
        </w:rPr>
        <w:t xml:space="preserve">Simsek et al., 2011; </w:t>
      </w:r>
      <w:r w:rsidRPr="00286A88">
        <w:rPr>
          <w:rFonts w:cs="AdvP4CD4D0"/>
          <w:lang w:val="en-AU" w:eastAsia="en-AU"/>
        </w:rPr>
        <w:t xml:space="preserve">Simitzis et al., 2012; </w:t>
      </w:r>
      <w:r w:rsidRPr="00286A88">
        <w:rPr>
          <w:rFonts w:cs="OpenSans-Semibold"/>
          <w:lang w:val="en-AU" w:eastAsia="en-AU"/>
        </w:rPr>
        <w:t xml:space="preserve">Abudabos et al., 2013a; </w:t>
      </w:r>
      <w:r w:rsidRPr="00286A88">
        <w:rPr>
          <w:szCs w:val="24"/>
          <w:lang w:val="en-AU" w:eastAsia="en-GB"/>
        </w:rPr>
        <w:t xml:space="preserve">Hongchao et al., 2013; </w:t>
      </w:r>
      <w:r w:rsidRPr="00286A88">
        <w:rPr>
          <w:rFonts w:cs="Arial-BoldMT"/>
          <w:bCs/>
          <w:lang w:val="en-AU" w:eastAsia="en-AU"/>
        </w:rPr>
        <w:t xml:space="preserve">Sun et al., 2013; </w:t>
      </w:r>
      <w:r w:rsidRPr="00286A88">
        <w:rPr>
          <w:rFonts w:eastAsia="MinionPro-Regular" w:cs="MinionPro-Regular"/>
          <w:lang w:val="en-AU" w:eastAsia="en-AU"/>
        </w:rPr>
        <w:t xml:space="preserve">Uzum and Toplu, 2013; </w:t>
      </w:r>
      <w:r w:rsidRPr="00286A88">
        <w:rPr>
          <w:rFonts w:eastAsia="ComputerModern-Regular" w:cs="ComputerModern-Regular"/>
          <w:lang w:val="en-AU" w:eastAsia="en-AU"/>
        </w:rPr>
        <w:t xml:space="preserve">Zhao et al., 2013; </w:t>
      </w:r>
      <w:r w:rsidRPr="00286A88">
        <w:rPr>
          <w:rFonts w:eastAsia="ACaslonPro-Regular" w:cs="ACaslonPro-Regular"/>
          <w:lang w:val="en-AU" w:eastAsia="en-AU"/>
        </w:rPr>
        <w:t xml:space="preserve">Das and Lacin, 2014; Jiao et al., 2014; </w:t>
      </w:r>
      <w:r w:rsidRPr="00286A88">
        <w:rPr>
          <w:rFonts w:eastAsia="ComputerModern-Regular" w:cs="ComputerModern-Regular"/>
          <w:lang w:val="en-AU" w:eastAsia="en-AU"/>
        </w:rPr>
        <w:t xml:space="preserve">Shakeri et al., 2014; </w:t>
      </w:r>
      <w:r w:rsidRPr="00286A88">
        <w:rPr>
          <w:rFonts w:cs="CMR10"/>
          <w:lang w:val="en-AU" w:eastAsia="en-AU"/>
        </w:rPr>
        <w:t xml:space="preserve">Cengiz et al., 2015; </w:t>
      </w:r>
      <w:r w:rsidRPr="00286A88">
        <w:rPr>
          <w:rFonts w:cs="TimesNewRomanPS"/>
          <w:lang w:val="en-AU" w:eastAsia="en-AU"/>
        </w:rPr>
        <w:t>Khosravinia, 2015;</w:t>
      </w:r>
      <w:r w:rsidRPr="00286A88">
        <w:rPr>
          <w:rFonts w:cs="FrutigerLTStd-Light"/>
          <w:lang w:val="en-AU" w:eastAsia="en-AU"/>
        </w:rPr>
        <w:t xml:space="preserve"> </w:t>
      </w:r>
      <w:r w:rsidRPr="00286A88">
        <w:rPr>
          <w:rFonts w:eastAsia="ComputerModern-Regular" w:cs="ComputerModern-Regular"/>
          <w:lang w:val="en-AU" w:eastAsia="en-AU"/>
        </w:rPr>
        <w:t xml:space="preserve">Tsiouris et al., 2015; </w:t>
      </w:r>
      <w:r w:rsidRPr="00286A88">
        <w:rPr>
          <w:rFonts w:cs="FrutigerLTStd-Light"/>
          <w:lang w:val="en-AU" w:eastAsia="en-AU"/>
        </w:rPr>
        <w:t>Qaid et al., 2016</w:t>
      </w:r>
      <w:r w:rsidRPr="00286A88">
        <w:rPr>
          <w:lang w:val="en-AU" w:eastAsia="en-AU"/>
        </w:rPr>
        <w:t xml:space="preserve">), although others have not (Imaeda, 2000; McLean et al., 2002; Ravindran et al., 2006; Sirri et al., 2007; Türkyilmaz, 2008). Similarly, there appears to be a clear link between increased stocking density and a reduction in growth rate (Thomas et al., 2004; Dozier et al., 2006; Sirri et al., 2007; </w:t>
      </w:r>
      <w:r w:rsidRPr="00286A88">
        <w:rPr>
          <w:rFonts w:cs="TimesNewRomanPSMT"/>
          <w:lang w:val="en-AU" w:eastAsia="en-AU"/>
        </w:rPr>
        <w:t xml:space="preserve">Skomorucha et al., 2009; </w:t>
      </w:r>
      <w:r w:rsidRPr="00286A88">
        <w:rPr>
          <w:lang w:val="en-AU" w:eastAsia="en-GB"/>
        </w:rPr>
        <w:t>Villagrá et al., 2009</w:t>
      </w:r>
      <w:r w:rsidRPr="00286A88">
        <w:rPr>
          <w:lang w:val="en-AU" w:eastAsia="en-AU"/>
        </w:rPr>
        <w:t xml:space="preserve">; Beloor et al., 2010; Petek et al., 2010; 2014; Sekeroglu et al., 2011; Simsek et al., 2011; </w:t>
      </w:r>
      <w:r w:rsidRPr="00286A88">
        <w:rPr>
          <w:rFonts w:cs="AdvP4CD4D0"/>
          <w:lang w:val="en-AU" w:eastAsia="en-AU"/>
        </w:rPr>
        <w:t xml:space="preserve">Simitzis et al., 2012; </w:t>
      </w:r>
      <w:r w:rsidRPr="00286A88">
        <w:rPr>
          <w:rFonts w:cs="Arial-BoldMT"/>
          <w:bCs/>
          <w:lang w:val="en-AU" w:eastAsia="en-AU"/>
        </w:rPr>
        <w:t xml:space="preserve">Sun et al., 2013; </w:t>
      </w:r>
      <w:r w:rsidRPr="00286A88">
        <w:rPr>
          <w:rFonts w:eastAsia="MinionPro-Regular" w:cs="MinionPro-Regular"/>
          <w:lang w:val="en-AU" w:eastAsia="en-AU"/>
        </w:rPr>
        <w:t xml:space="preserve">Uzum and Toplu, 2013; </w:t>
      </w:r>
      <w:r w:rsidRPr="00286A88">
        <w:rPr>
          <w:rFonts w:eastAsia="ACaslonPro-Regular" w:cs="ACaslonPro-Regular"/>
          <w:lang w:val="en-AU" w:eastAsia="en-AU"/>
        </w:rPr>
        <w:t xml:space="preserve">Das and Lacin, 2014; </w:t>
      </w:r>
      <w:r w:rsidRPr="00286A88">
        <w:rPr>
          <w:rFonts w:cs="CMR10"/>
          <w:lang w:val="en-AU" w:eastAsia="en-AU"/>
        </w:rPr>
        <w:t xml:space="preserve">Cengiz et al., 2015; </w:t>
      </w:r>
      <w:r w:rsidRPr="00286A88">
        <w:rPr>
          <w:rFonts w:cs="FrutigerLTStd-Light"/>
          <w:lang w:val="en-AU" w:eastAsia="en-AU"/>
        </w:rPr>
        <w:t>Qaid et al., 2016</w:t>
      </w:r>
      <w:r w:rsidRPr="00286A88">
        <w:rPr>
          <w:lang w:val="en-AU" w:eastAsia="en-AU"/>
        </w:rPr>
        <w:t xml:space="preserve">) although, again, several studies did not report an effect (e.g. Buijs et al., 2009; Ventura et al., 2010; </w:t>
      </w:r>
      <w:r w:rsidRPr="00286A88">
        <w:rPr>
          <w:rFonts w:eastAsia="ComputerModern-Regular" w:cs="ComputerModern-Regular"/>
          <w:lang w:val="en-AU" w:eastAsia="en-AU"/>
        </w:rPr>
        <w:t>Tsiouris et al., 2015</w:t>
      </w:r>
      <w:r w:rsidRPr="00286A88">
        <w:rPr>
          <w:lang w:val="en-AU" w:eastAsia="en-AU"/>
        </w:rPr>
        <w:t>).</w:t>
      </w:r>
    </w:p>
    <w:p w14:paraId="753E3DE2" w14:textId="77777777" w:rsidR="00286A88" w:rsidRPr="00286A88" w:rsidRDefault="00286A88" w:rsidP="00267465">
      <w:pPr>
        <w:rPr>
          <w:rFonts w:cs="AdvTT5843c571"/>
          <w:lang w:val="en-AU" w:eastAsia="en-AU"/>
        </w:rPr>
      </w:pPr>
      <w:r w:rsidRPr="00286A88">
        <w:rPr>
          <w:lang w:val="en-AU" w:eastAsia="en-AU"/>
        </w:rPr>
        <w:t xml:space="preserve">Stocking density does not appear to be negatively correlated with mortality (Feddes et al., 2002; Dawkins et al., 2004; Thomas et al., 2004; Dozier et al., 2006; Ravindran et al., 2006; Sirri et al., 2007; Meluzzi et al., 2008b; </w:t>
      </w:r>
      <w:r w:rsidRPr="00286A88">
        <w:rPr>
          <w:rFonts w:eastAsia="QuarumBook" w:cs="QuarumBook"/>
          <w:lang w:val="en-AU" w:eastAsia="en-AU"/>
        </w:rPr>
        <w:t>Türkyilmaz, 2008</w:t>
      </w:r>
      <w:r w:rsidRPr="00286A88">
        <w:rPr>
          <w:lang w:val="en-AU" w:eastAsia="en-AU"/>
        </w:rPr>
        <w:t xml:space="preserve">; Buijs et al., 2009; </w:t>
      </w:r>
      <w:r w:rsidRPr="00286A88">
        <w:rPr>
          <w:lang w:val="en-AU" w:eastAsia="en-GB"/>
        </w:rPr>
        <w:t>Villagrá et al., 2009</w:t>
      </w:r>
      <w:r w:rsidRPr="00286A88">
        <w:rPr>
          <w:lang w:val="en-AU" w:eastAsia="en-AU"/>
        </w:rPr>
        <w:t xml:space="preserve">; Petek et al., 2010; Ventura et al., 2010; Sekeroglu et al., 2011; </w:t>
      </w:r>
      <w:r w:rsidRPr="00286A88">
        <w:rPr>
          <w:rFonts w:cs="AdvTimes"/>
          <w:lang w:val="en-AU" w:eastAsia="en-AU"/>
        </w:rPr>
        <w:t xml:space="preserve">Simsek et al., 2011; </w:t>
      </w:r>
      <w:r w:rsidRPr="00286A88">
        <w:rPr>
          <w:rFonts w:cs="AdvTT5843c571"/>
          <w:lang w:val="en-AU" w:eastAsia="en-AU"/>
        </w:rPr>
        <w:t xml:space="preserve">Gomes et al., 2014; </w:t>
      </w:r>
      <w:r w:rsidRPr="00286A88">
        <w:rPr>
          <w:rFonts w:eastAsia="ComputerModern-Regular" w:cs="ComputerModern-Regular"/>
          <w:lang w:val="en-AU" w:eastAsia="en-AU"/>
        </w:rPr>
        <w:t xml:space="preserve">Shakeri et al., 2014; </w:t>
      </w:r>
      <w:r w:rsidRPr="00286A88">
        <w:rPr>
          <w:rFonts w:cs="VsjmccAdvTT3713a231"/>
          <w:lang w:val="en-AU" w:eastAsia="en-AU"/>
        </w:rPr>
        <w:t>Najafi et al., 2015;</w:t>
      </w:r>
      <w:r w:rsidRPr="00286A88">
        <w:rPr>
          <w:rFonts w:cs="Arial"/>
          <w:shd w:val="clear" w:color="auto" w:fill="FFFFFF"/>
          <w:lang w:val="en-AU" w:eastAsia="en-AU"/>
        </w:rPr>
        <w:t xml:space="preserve"> Simsek and Ozhan, 2015</w:t>
      </w:r>
      <w:r w:rsidRPr="00286A88">
        <w:rPr>
          <w:lang w:val="en-AU" w:eastAsia="en-AU"/>
        </w:rPr>
        <w:t xml:space="preserve">), at least in the absence of extreme ambient temperature. </w:t>
      </w:r>
      <w:r w:rsidRPr="00286A88">
        <w:rPr>
          <w:rFonts w:cs="AdvP41153C"/>
          <w:lang w:val="en-AU" w:eastAsia="en-AU"/>
        </w:rPr>
        <w:t xml:space="preserve">Pettit-Riley and Estevez (2001) report the percentage mortality due to heat stress to increase with stocking density, whereas total mortality remained unchanged. In the first few weeks of rearing </w:t>
      </w:r>
      <w:r w:rsidRPr="00286A88">
        <w:rPr>
          <w:lang w:val="en-AU" w:eastAsia="en-AU"/>
        </w:rPr>
        <w:t xml:space="preserve">higher stocking densities may even decrease mortality (Heier et al., 2002), presumably due to increased temperatures at the litter level. </w:t>
      </w:r>
      <w:r w:rsidRPr="00286A88">
        <w:rPr>
          <w:rFonts w:cs="AdvTT5843c571"/>
          <w:lang w:val="en-AU" w:eastAsia="en-AU"/>
        </w:rPr>
        <w:t>Gomes et al. (2014) report that birds subjected to a higher stocking density (10 vs 16 broilers/m</w:t>
      </w:r>
      <w:r w:rsidRPr="00286A88">
        <w:rPr>
          <w:rFonts w:cs="AdvTT5843c571"/>
          <w:vertAlign w:val="superscript"/>
          <w:lang w:val="en-AU" w:eastAsia="en-AU"/>
        </w:rPr>
        <w:t>2</w:t>
      </w:r>
      <w:r w:rsidRPr="00286A88">
        <w:rPr>
          <w:rFonts w:cs="AdvTT5843c571"/>
          <w:lang w:val="en-AU" w:eastAsia="en-AU"/>
        </w:rPr>
        <w:t xml:space="preserve">) had morphological signs of enteritis and, following experimental infection with </w:t>
      </w:r>
      <w:r w:rsidRPr="00286A88">
        <w:rPr>
          <w:rFonts w:cs="AdvTTf90d833a.I"/>
          <w:i/>
          <w:lang w:val="en-AU" w:eastAsia="en-AU"/>
        </w:rPr>
        <w:t>Salmonella e</w:t>
      </w:r>
      <w:r w:rsidRPr="00286A88">
        <w:rPr>
          <w:rFonts w:cs="AdvTT5843c571"/>
          <w:i/>
          <w:lang w:val="en-AU" w:eastAsia="en-AU"/>
        </w:rPr>
        <w:t>nteritidis</w:t>
      </w:r>
      <w:r w:rsidRPr="00286A88">
        <w:rPr>
          <w:rFonts w:cs="AdvTT5843c571"/>
          <w:lang w:val="en-AU" w:eastAsia="en-AU"/>
        </w:rPr>
        <w:t xml:space="preserve">, demonstrated decreased macrophage activity and increased </w:t>
      </w:r>
      <w:r w:rsidRPr="00286A88">
        <w:rPr>
          <w:rFonts w:cs="AdvTTf90d833a.I"/>
          <w:i/>
          <w:lang w:val="en-AU" w:eastAsia="en-AU"/>
        </w:rPr>
        <w:t>Salmonella</w:t>
      </w:r>
      <w:r w:rsidRPr="00286A88">
        <w:rPr>
          <w:rFonts w:cs="AdvTTf90d833a.I"/>
          <w:lang w:val="en-AU" w:eastAsia="en-AU"/>
        </w:rPr>
        <w:t xml:space="preserve"> invasion in the liver. </w:t>
      </w:r>
      <w:r w:rsidRPr="00286A88">
        <w:rPr>
          <w:rFonts w:eastAsia="ComputerModern-Regular" w:cs="ComputerModern-Regular"/>
          <w:lang w:val="en-AU" w:eastAsia="en-AU"/>
        </w:rPr>
        <w:t>Tsiouris et al. (2015) report that h</w:t>
      </w:r>
      <w:r w:rsidRPr="00286A88">
        <w:rPr>
          <w:rFonts w:cs="AdvTT5843c571"/>
          <w:lang w:val="en-AU" w:eastAsia="en-AU"/>
        </w:rPr>
        <w:t>igh stocking density (15 vs 30 broilers/m</w:t>
      </w:r>
      <w:r w:rsidRPr="00286A88">
        <w:rPr>
          <w:rFonts w:cs="AdvTT5843c571"/>
          <w:vertAlign w:val="superscript"/>
          <w:lang w:val="en-AU" w:eastAsia="en-AU"/>
        </w:rPr>
        <w:t>2</w:t>
      </w:r>
      <w:r w:rsidRPr="00286A88">
        <w:rPr>
          <w:rFonts w:cs="AdvTT5843c571"/>
          <w:lang w:val="en-AU" w:eastAsia="en-AU"/>
        </w:rPr>
        <w:t>) increased broiler chick susceptibility to an experimental model of necrotic enteritis and had a greater severity of necrotic lesions.</w:t>
      </w:r>
    </w:p>
    <w:p w14:paraId="6FD9086D" w14:textId="77777777" w:rsidR="00286A88" w:rsidRPr="00286A88" w:rsidRDefault="00286A88" w:rsidP="00267465">
      <w:pPr>
        <w:rPr>
          <w:lang w:val="en-AU" w:eastAsia="en-AU"/>
        </w:rPr>
      </w:pPr>
      <w:r w:rsidRPr="00286A88">
        <w:rPr>
          <w:lang w:val="en-AU" w:eastAsia="en-AU"/>
        </w:rPr>
        <w:t>Experimental studies demonstrate that lameness increases above a stocking density of 33-42 kg/m</w:t>
      </w:r>
      <w:r w:rsidRPr="00286A88">
        <w:rPr>
          <w:vertAlign w:val="superscript"/>
          <w:lang w:val="en-AU" w:eastAsia="en-AU"/>
        </w:rPr>
        <w:t>2</w:t>
      </w:r>
      <w:r w:rsidRPr="00286A88">
        <w:rPr>
          <w:lang w:val="en-AU" w:eastAsia="en-AU"/>
        </w:rPr>
        <w:t xml:space="preserve"> (Sørensen et al., 2000; Hall, 2001; Thomas et al., 2004; </w:t>
      </w:r>
      <w:r w:rsidRPr="00286A88">
        <w:rPr>
          <w:rFonts w:cs="Arial-BoldMT"/>
          <w:bCs/>
          <w:lang w:val="en-AU" w:eastAsia="en-AU"/>
        </w:rPr>
        <w:t xml:space="preserve">Sun et al., 2013; </w:t>
      </w:r>
      <w:r w:rsidRPr="00286A88">
        <w:rPr>
          <w:rFonts w:eastAsia="ACaslonPro-Regular" w:cs="ACaslonPro-Regular"/>
          <w:lang w:val="en-AU" w:eastAsia="en-AU"/>
        </w:rPr>
        <w:t>Das and Lacin, 2014</w:t>
      </w:r>
      <w:r w:rsidRPr="00286A88">
        <w:rPr>
          <w:lang w:val="en-AU" w:eastAsia="en-AU"/>
        </w:rPr>
        <w:t>). Buijs et al. (2009) present evidence for deteriorations in leg health occurring at even lower densities; they observed pronounced differences in LTL measures in birds maintained at 6 and 23 kg/m</w:t>
      </w:r>
      <w:r w:rsidRPr="00286A88">
        <w:rPr>
          <w:vertAlign w:val="superscript"/>
          <w:lang w:val="en-AU" w:eastAsia="en-AU"/>
        </w:rPr>
        <w:t>2</w:t>
      </w:r>
      <w:r w:rsidRPr="00286A88">
        <w:rPr>
          <w:lang w:val="en-AU" w:eastAsia="en-AU"/>
        </w:rPr>
        <w:t>. Studies conducted on commercial farms provide additional evidence for decreased walking ability at higher stocking densities (Dawkins et al., 2004; Knowles et al., 2008). Although some studies report no effect of stocking density on leg deformations (Sørensen et al., 2000; Dawkins et al., 2004), there is evidence for increased tibia curvature and decreased tibia length and strength at higher densities</w:t>
      </w:r>
      <w:r w:rsidRPr="00286A88">
        <w:rPr>
          <w:rFonts w:eastAsia="ComputerModern-Regular" w:cs="ComputerModern-Regular"/>
          <w:lang w:val="en-AU" w:eastAsia="en-AU"/>
        </w:rPr>
        <w:t xml:space="preserve"> (Buijs et al., 2012; </w:t>
      </w:r>
      <w:r w:rsidRPr="00286A88">
        <w:rPr>
          <w:rFonts w:cs="Arial-BoldMT"/>
          <w:bCs/>
          <w:lang w:val="en-AU" w:eastAsia="en-AU"/>
        </w:rPr>
        <w:t xml:space="preserve">Sun et al., 2013), and </w:t>
      </w:r>
      <w:r w:rsidRPr="00286A88">
        <w:rPr>
          <w:lang w:val="en-AU" w:eastAsia="en-AU"/>
        </w:rPr>
        <w:t>greater tibial asymmetry (</w:t>
      </w:r>
      <w:r w:rsidRPr="00286A88">
        <w:rPr>
          <w:rFonts w:eastAsia="ComputerModern-Regular" w:cs="ComputerModern-Regular"/>
          <w:lang w:val="en-AU" w:eastAsia="en-AU"/>
        </w:rPr>
        <w:t>Ventura et al., 2010)</w:t>
      </w:r>
      <w:r w:rsidRPr="00286A88">
        <w:rPr>
          <w:lang w:val="en-AU" w:eastAsia="en-AU"/>
        </w:rPr>
        <w:t>, even though broilers grow more slowly at</w:t>
      </w:r>
      <w:r w:rsidRPr="00286A88">
        <w:rPr>
          <w:rFonts w:cs="AdvPS94BA"/>
          <w:lang w:val="en-AU" w:eastAsia="en-AU"/>
        </w:rPr>
        <w:t xml:space="preserve"> high density (Dawkins et al., 2004; </w:t>
      </w:r>
      <w:r w:rsidRPr="00286A88">
        <w:rPr>
          <w:rFonts w:cs="Arial-BoldMT"/>
          <w:bCs/>
          <w:lang w:val="en-AU" w:eastAsia="en-AU"/>
        </w:rPr>
        <w:t>Sun et al., 2013</w:t>
      </w:r>
      <w:r w:rsidRPr="00286A88">
        <w:rPr>
          <w:rFonts w:cs="AdvPS94BA"/>
          <w:lang w:val="en-AU" w:eastAsia="en-AU"/>
        </w:rPr>
        <w:t xml:space="preserve">). </w:t>
      </w:r>
      <w:r w:rsidRPr="00286A88">
        <w:rPr>
          <w:rFonts w:cs="Arial-BoldMT"/>
          <w:bCs/>
          <w:lang w:val="en-AU" w:eastAsia="en-AU"/>
        </w:rPr>
        <w:t>There does not appear to be any evidence linking stocking density with valgus-</w:t>
      </w:r>
      <w:r w:rsidRPr="00286A88">
        <w:rPr>
          <w:lang w:val="en-AU" w:eastAsia="en-AU"/>
        </w:rPr>
        <w:t>varus deformities (</w:t>
      </w:r>
      <w:r w:rsidRPr="00286A88">
        <w:rPr>
          <w:rFonts w:cs="Palatino-Roman"/>
          <w:lang w:val="en-AU" w:eastAsia="en-AU"/>
        </w:rPr>
        <w:t xml:space="preserve">Sorensen et al., 2000; </w:t>
      </w:r>
      <w:r w:rsidRPr="00286A88">
        <w:rPr>
          <w:lang w:val="en-AU" w:eastAsia="en-AU"/>
        </w:rPr>
        <w:t xml:space="preserve">Arnould and Faure, 2004), TD (Sørensen et al., 2000; Buijs </w:t>
      </w:r>
      <w:r w:rsidRPr="00286A88">
        <w:rPr>
          <w:rFonts w:eastAsia="ComputerModern-Regular" w:cs="ComputerModern-Regular"/>
          <w:lang w:val="en-AU" w:eastAsia="en-AU"/>
        </w:rPr>
        <w:t xml:space="preserve">et al., 2012; </w:t>
      </w:r>
      <w:r w:rsidRPr="00286A88">
        <w:rPr>
          <w:rFonts w:eastAsia="ACaslonPro-Regular" w:cs="ACaslonPro-Regular"/>
          <w:lang w:val="en-AU" w:eastAsia="en-AU"/>
        </w:rPr>
        <w:t>Das and Lacin, 2014</w:t>
      </w:r>
      <w:r w:rsidRPr="00286A88">
        <w:rPr>
          <w:rFonts w:eastAsia="ComputerModern-Regular" w:cs="ComputerModern-Regular"/>
          <w:lang w:val="en-AU" w:eastAsia="en-AU"/>
        </w:rPr>
        <w:t>), or bone strength (</w:t>
      </w:r>
      <w:r w:rsidRPr="00286A88">
        <w:rPr>
          <w:lang w:val="en-AU" w:eastAsia="en-AU"/>
        </w:rPr>
        <w:t>Tablante et al., 2003; Sirri et al., 2007).</w:t>
      </w:r>
    </w:p>
    <w:p w14:paraId="74252B37" w14:textId="77777777" w:rsidR="00286A88" w:rsidRPr="00286A88" w:rsidRDefault="00286A88" w:rsidP="00267465">
      <w:pPr>
        <w:rPr>
          <w:lang w:val="en-AU" w:eastAsia="en-AU"/>
        </w:rPr>
      </w:pPr>
      <w:r w:rsidRPr="00286A88">
        <w:rPr>
          <w:lang w:val="en-AU" w:eastAsia="en-AU"/>
        </w:rPr>
        <w:t xml:space="preserve">A positive relationship between FPD severity and stocking density has often been reported (Sørensen et al., 2000; Hall, 2001; Arnould and Faure, 2004; Thomas et al., 2004; </w:t>
      </w:r>
      <w:r w:rsidRPr="00286A88">
        <w:rPr>
          <w:rFonts w:cs="Palatino-Roman"/>
          <w:lang w:val="en-AU" w:eastAsia="en-AU"/>
        </w:rPr>
        <w:t xml:space="preserve">Dozier et al., 2006; </w:t>
      </w:r>
      <w:r w:rsidRPr="00286A88">
        <w:rPr>
          <w:rFonts w:cs="AdvP4CD4D0"/>
          <w:lang w:val="en-AU" w:eastAsia="en-AU"/>
        </w:rPr>
        <w:t xml:space="preserve">Haslam et al., 2007; Meluzzi et al., 2008a; </w:t>
      </w:r>
      <w:r w:rsidRPr="00286A88">
        <w:rPr>
          <w:rFonts w:cs="TimesNewRomanPS-BoldMT"/>
          <w:bCs/>
          <w:lang w:val="en-AU" w:eastAsia="en-AU"/>
        </w:rPr>
        <w:t xml:space="preserve">Onbaşılar et al., 2008; </w:t>
      </w:r>
      <w:r w:rsidRPr="00286A88">
        <w:rPr>
          <w:lang w:val="en-AU" w:eastAsia="en-AU"/>
        </w:rPr>
        <w:t xml:space="preserve">Buijs et al., 2009; </w:t>
      </w:r>
      <w:r w:rsidRPr="00286A88">
        <w:rPr>
          <w:rFonts w:cs="AdvTimes"/>
          <w:lang w:val="en-AU" w:eastAsia="en-AU"/>
        </w:rPr>
        <w:t xml:space="preserve">Simsek et al., 2009b; </w:t>
      </w:r>
      <w:r w:rsidRPr="00286A88">
        <w:rPr>
          <w:lang w:val="en-AU" w:eastAsia="en-GB"/>
        </w:rPr>
        <w:t>Villagrá et al., 2009</w:t>
      </w:r>
      <w:r w:rsidRPr="00286A88">
        <w:rPr>
          <w:lang w:val="en-AU" w:eastAsia="en-AU"/>
        </w:rPr>
        <w:t xml:space="preserve">; </w:t>
      </w:r>
      <w:r w:rsidRPr="00286A88">
        <w:rPr>
          <w:rFonts w:cs="TimesNewRomanPSMT"/>
          <w:lang w:val="en-AU" w:eastAsia="en-AU"/>
        </w:rPr>
        <w:t xml:space="preserve">Petek et al., 2010; 2014; </w:t>
      </w:r>
      <w:r w:rsidRPr="00286A88">
        <w:rPr>
          <w:lang w:val="en-AU" w:eastAsia="en-AU"/>
        </w:rPr>
        <w:t xml:space="preserve">Ventura et al., 2010; </w:t>
      </w:r>
      <w:r w:rsidRPr="00286A88">
        <w:rPr>
          <w:rFonts w:cs="TimesNewRomanPSMT"/>
          <w:lang w:val="en-AU" w:eastAsia="en-AU"/>
        </w:rPr>
        <w:t xml:space="preserve">Zhang et al., 2011; </w:t>
      </w:r>
      <w:r w:rsidRPr="00286A88">
        <w:rPr>
          <w:rFonts w:eastAsia="ComputerModern-Regular" w:cs="ComputerModern-Regular"/>
          <w:lang w:val="en-AU" w:eastAsia="en-AU"/>
        </w:rPr>
        <w:t xml:space="preserve">Kyvsgaard et al., 2013; </w:t>
      </w:r>
      <w:r w:rsidRPr="00286A88">
        <w:rPr>
          <w:rFonts w:cs="Arial-BoldMT"/>
          <w:bCs/>
          <w:lang w:val="en-AU" w:eastAsia="en-AU"/>
        </w:rPr>
        <w:t xml:space="preserve">Sun et al., 2013; </w:t>
      </w:r>
      <w:r w:rsidRPr="00286A88">
        <w:rPr>
          <w:rFonts w:eastAsia="ComputerModern-Regular" w:cs="ComputerModern-Regular"/>
          <w:lang w:val="en-AU" w:eastAsia="en-AU"/>
        </w:rPr>
        <w:t xml:space="preserve">Zhao et al., 2013; Shakeri et al., 2014; </w:t>
      </w:r>
      <w:r w:rsidRPr="00286A88">
        <w:rPr>
          <w:rFonts w:cs="TimesNewRomanPS"/>
          <w:lang w:val="en-AU" w:eastAsia="en-AU"/>
        </w:rPr>
        <w:t>Khosravinia et al., 2015</w:t>
      </w:r>
      <w:r w:rsidRPr="00286A88">
        <w:rPr>
          <w:lang w:val="en-AU" w:eastAsia="en-AU"/>
        </w:rPr>
        <w:t xml:space="preserve">), associated with </w:t>
      </w:r>
      <w:r w:rsidRPr="00286A88">
        <w:rPr>
          <w:rFonts w:cs="TimesNewRomanPSMT"/>
          <w:lang w:val="en-AU" w:eastAsia="en-AU"/>
        </w:rPr>
        <w:t>increased litter moisture and pH (</w:t>
      </w:r>
      <w:r w:rsidRPr="00286A88">
        <w:rPr>
          <w:lang w:val="en-AU" w:eastAsia="en-AU"/>
        </w:rPr>
        <w:t xml:space="preserve">McLean et al., 2002; Thomas et al., 2004; </w:t>
      </w:r>
      <w:r w:rsidRPr="00286A88">
        <w:rPr>
          <w:rFonts w:cs="Palatino-Roman"/>
          <w:lang w:val="en-AU" w:eastAsia="en-AU"/>
        </w:rPr>
        <w:t xml:space="preserve">Dozier et al., 2006; </w:t>
      </w:r>
      <w:r w:rsidRPr="00286A88">
        <w:rPr>
          <w:rFonts w:cs="AdvTimes"/>
          <w:lang w:val="en-AU" w:eastAsia="en-AU"/>
        </w:rPr>
        <w:t xml:space="preserve">Simsek et al., 2009b; </w:t>
      </w:r>
      <w:r w:rsidRPr="00286A88">
        <w:rPr>
          <w:rFonts w:cs="TimesNewRomanPSMT"/>
          <w:lang w:val="en-AU" w:eastAsia="en-AU"/>
        </w:rPr>
        <w:t xml:space="preserve">Petek et al., 2010; 2014; </w:t>
      </w:r>
      <w:r w:rsidRPr="00286A88">
        <w:rPr>
          <w:rFonts w:cs="TimesNewRomanPS"/>
          <w:lang w:val="en-AU" w:eastAsia="en-AU"/>
        </w:rPr>
        <w:t>Khosravinia et al., 2015</w:t>
      </w:r>
      <w:r w:rsidRPr="00286A88">
        <w:rPr>
          <w:rFonts w:cs="TimesNewRomanPSMT"/>
          <w:lang w:val="en-AU" w:eastAsia="en-AU"/>
        </w:rPr>
        <w:t xml:space="preserve">). </w:t>
      </w:r>
      <w:r w:rsidRPr="00286A88">
        <w:rPr>
          <w:rFonts w:cs="AdvP4CD4D0"/>
          <w:lang w:val="en-AU" w:eastAsia="en-AU"/>
        </w:rPr>
        <w:t xml:space="preserve">However, stocking density is not a reliable indicator of bird welfare since several studies report no direct impact on FPD development (Martrenchar </w:t>
      </w:r>
      <w:r w:rsidRPr="00286A88">
        <w:rPr>
          <w:rFonts w:cs="AdvP4CD4D4"/>
          <w:lang w:val="en-AU" w:eastAsia="en-AU"/>
        </w:rPr>
        <w:t xml:space="preserve">et al., </w:t>
      </w:r>
      <w:r w:rsidRPr="00286A88">
        <w:rPr>
          <w:rFonts w:cs="AdvP4CD4D0"/>
          <w:lang w:val="en-AU" w:eastAsia="en-AU"/>
        </w:rPr>
        <w:t xml:space="preserve">2002; Dawkins </w:t>
      </w:r>
      <w:r w:rsidRPr="00286A88">
        <w:rPr>
          <w:rFonts w:cs="AdvP4CD4D4"/>
          <w:lang w:val="en-AU" w:eastAsia="en-AU"/>
        </w:rPr>
        <w:t>et al.</w:t>
      </w:r>
      <w:r w:rsidRPr="00286A88">
        <w:rPr>
          <w:rFonts w:cs="AdvP4CD4D0"/>
          <w:lang w:val="en-AU" w:eastAsia="en-AU"/>
        </w:rPr>
        <w:t xml:space="preserve">, 2004; Haslam </w:t>
      </w:r>
      <w:r w:rsidRPr="00286A88">
        <w:rPr>
          <w:rFonts w:cs="AdvP4CD4D4"/>
          <w:lang w:val="en-AU" w:eastAsia="en-AU"/>
        </w:rPr>
        <w:t>et al.</w:t>
      </w:r>
      <w:r w:rsidRPr="00286A88">
        <w:rPr>
          <w:rFonts w:cs="AdvP4CD4D0"/>
          <w:lang w:val="en-AU" w:eastAsia="en-AU"/>
        </w:rPr>
        <w:t xml:space="preserve">, 2006; </w:t>
      </w:r>
      <w:r w:rsidRPr="00286A88">
        <w:rPr>
          <w:rFonts w:eastAsia="ComputerModern-Regular" w:cs="ComputerModern-Regular"/>
          <w:lang w:val="en-AU" w:eastAsia="en-AU"/>
        </w:rPr>
        <w:t xml:space="preserve">Sirri et al., 2007; </w:t>
      </w:r>
      <w:r w:rsidRPr="00286A88">
        <w:rPr>
          <w:rFonts w:cs="AdvP4CD4D0"/>
          <w:lang w:val="en-AU" w:eastAsia="en-AU"/>
        </w:rPr>
        <w:t xml:space="preserve">Meluzzi et al., 2008b; Allain et al., 2009); with good litter management and effective environmental control it is still possible to maintain litter quality under high stocking densities. </w:t>
      </w:r>
      <w:r w:rsidRPr="00286A88">
        <w:rPr>
          <w:lang w:val="en-AU" w:eastAsia="en-AU"/>
        </w:rPr>
        <w:t xml:space="preserve">Skin scratches are also more prevalent at higher stocking densities (Hall, 2001; Dawkins et al., 2004; </w:t>
      </w:r>
      <w:r w:rsidRPr="00286A88">
        <w:rPr>
          <w:rFonts w:cs="AdvP4CD4D0"/>
          <w:lang w:val="en-AU" w:eastAsia="en-AU"/>
        </w:rPr>
        <w:t xml:space="preserve">Allain et al., 2009; </w:t>
      </w:r>
      <w:r w:rsidRPr="00286A88">
        <w:rPr>
          <w:rFonts w:cs="FrutigerLTStd-Light"/>
          <w:lang w:val="en-AU" w:eastAsia="en-AU"/>
        </w:rPr>
        <w:t>Arruda et al., 2016</w:t>
      </w:r>
      <w:r w:rsidRPr="00286A88">
        <w:rPr>
          <w:lang w:val="en-AU" w:eastAsia="en-AU"/>
        </w:rPr>
        <w:t>), probably due to increased disturbances when birds jostle for space at the drinkers and feeders or at a preferred lying up spot.</w:t>
      </w:r>
    </w:p>
    <w:p w14:paraId="50F7D34B" w14:textId="77777777" w:rsidR="00286A88" w:rsidRPr="00286A88" w:rsidRDefault="00286A88" w:rsidP="00267465">
      <w:pPr>
        <w:rPr>
          <w:lang w:val="en-AU" w:eastAsia="en-GB"/>
        </w:rPr>
      </w:pPr>
      <w:r w:rsidRPr="00286A88">
        <w:rPr>
          <w:lang w:val="en-AU" w:eastAsia="en-GB"/>
        </w:rPr>
        <w:t>On the basis of observations of (shallow and deep) panting observed in broilers maintained at different stocking densities (28-40 kg/m</w:t>
      </w:r>
      <w:r w:rsidRPr="00286A88">
        <w:rPr>
          <w:vertAlign w:val="superscript"/>
          <w:lang w:val="en-AU" w:eastAsia="en-GB"/>
        </w:rPr>
        <w:t>2</w:t>
      </w:r>
      <w:r w:rsidRPr="00286A88">
        <w:rPr>
          <w:lang w:val="en-AU" w:eastAsia="en-GB"/>
        </w:rPr>
        <w:t>) McLean et al. (2002) conclude that densities of less than 34 kg/m</w:t>
      </w:r>
      <w:r w:rsidRPr="00286A88">
        <w:rPr>
          <w:vertAlign w:val="superscript"/>
          <w:lang w:val="en-AU" w:eastAsia="en-GB"/>
        </w:rPr>
        <w:t>2</w:t>
      </w:r>
      <w:r w:rsidRPr="00286A88">
        <w:rPr>
          <w:lang w:val="en-AU" w:eastAsia="en-GB"/>
        </w:rPr>
        <w:t xml:space="preserve"> provide better thermal comfort (and hence welfare). </w:t>
      </w:r>
      <w:r w:rsidRPr="00286A88">
        <w:rPr>
          <w:color w:val="auto"/>
          <w:lang w:val="en-AU" w:eastAsia="en-AU"/>
        </w:rPr>
        <w:t>Uzum and Toplu (2013) examined the interaction of heat stress (32-35 °C for 8 h per day for 21 days) and stocking density on welfare. Broilers coped better (lower H:L ratio and tonic immobility durations) with heat stress at a stocking rate of 12 birds/m</w:t>
      </w:r>
      <w:r w:rsidRPr="00286A88">
        <w:rPr>
          <w:color w:val="auto"/>
          <w:vertAlign w:val="superscript"/>
          <w:lang w:val="en-AU" w:eastAsia="en-AU"/>
        </w:rPr>
        <w:t>2</w:t>
      </w:r>
      <w:r w:rsidRPr="00286A88">
        <w:rPr>
          <w:color w:val="auto"/>
          <w:lang w:val="en-AU" w:eastAsia="en-AU"/>
        </w:rPr>
        <w:t xml:space="preserve"> than at 18 birds/m</w:t>
      </w:r>
      <w:r w:rsidRPr="00286A88">
        <w:rPr>
          <w:color w:val="auto"/>
          <w:vertAlign w:val="superscript"/>
          <w:lang w:val="en-AU" w:eastAsia="en-AU"/>
        </w:rPr>
        <w:t>2</w:t>
      </w:r>
      <w:r w:rsidRPr="00286A88">
        <w:rPr>
          <w:color w:val="auto"/>
          <w:lang w:val="en-AU" w:eastAsia="en-AU"/>
        </w:rPr>
        <w:t>. This was supported by Abudabos et al. (201</w:t>
      </w:r>
      <w:r w:rsidR="00CA0BFD">
        <w:rPr>
          <w:color w:val="auto"/>
          <w:lang w:val="en-AU" w:eastAsia="en-AU"/>
        </w:rPr>
        <w:t>3b</w:t>
      </w:r>
      <w:r w:rsidRPr="00286A88">
        <w:rPr>
          <w:color w:val="auto"/>
          <w:lang w:val="en-AU" w:eastAsia="en-AU"/>
        </w:rPr>
        <w:t>) which showed that broilers at a low stocking rate of 26.5kg/m</w:t>
      </w:r>
      <w:r w:rsidRPr="00286A88">
        <w:rPr>
          <w:color w:val="auto"/>
          <w:vertAlign w:val="superscript"/>
          <w:lang w:val="en-AU" w:eastAsia="en-AU"/>
        </w:rPr>
        <w:t>2</w:t>
      </w:r>
      <w:r w:rsidRPr="00286A88">
        <w:rPr>
          <w:color w:val="auto"/>
          <w:lang w:val="en-AU" w:eastAsia="en-AU"/>
        </w:rPr>
        <w:t xml:space="preserve"> (12 birds/m</w:t>
      </w:r>
      <w:r w:rsidRPr="00286A88">
        <w:rPr>
          <w:color w:val="auto"/>
          <w:vertAlign w:val="superscript"/>
          <w:lang w:val="en-AU" w:eastAsia="en-AU"/>
        </w:rPr>
        <w:t>2</w:t>
      </w:r>
      <w:r w:rsidRPr="00286A88">
        <w:rPr>
          <w:color w:val="auto"/>
          <w:lang w:val="en-AU" w:eastAsia="en-AU"/>
        </w:rPr>
        <w:t>) were better able to dissipate a heat overload than birds at a stocking rate of 45 kg/m</w:t>
      </w:r>
      <w:r w:rsidRPr="00286A88">
        <w:rPr>
          <w:color w:val="auto"/>
          <w:vertAlign w:val="superscript"/>
          <w:lang w:val="en-AU" w:eastAsia="en-AU"/>
        </w:rPr>
        <w:t>2</w:t>
      </w:r>
      <w:r w:rsidRPr="00286A88">
        <w:rPr>
          <w:color w:val="auto"/>
          <w:lang w:val="en-AU" w:eastAsia="en-AU"/>
        </w:rPr>
        <w:t xml:space="preserve"> (20 birds/m</w:t>
      </w:r>
      <w:r w:rsidRPr="00286A88">
        <w:rPr>
          <w:color w:val="auto"/>
          <w:vertAlign w:val="superscript"/>
          <w:lang w:val="en-AU" w:eastAsia="en-AU"/>
        </w:rPr>
        <w:t>2</w:t>
      </w:r>
      <w:r w:rsidRPr="00286A88">
        <w:rPr>
          <w:color w:val="auto"/>
          <w:lang w:val="en-AU" w:eastAsia="en-AU"/>
        </w:rPr>
        <w:t>).</w:t>
      </w:r>
    </w:p>
    <w:p w14:paraId="4E71B6E4" w14:textId="77777777" w:rsidR="00286A88" w:rsidRPr="00286A88" w:rsidRDefault="00286A88" w:rsidP="00267465">
      <w:pPr>
        <w:rPr>
          <w:rFonts w:cs="FrutigerLTStd-Light"/>
          <w:lang w:val="en-AU" w:eastAsia="en-AU"/>
        </w:rPr>
      </w:pPr>
      <w:r w:rsidRPr="00286A88">
        <w:rPr>
          <w:lang w:val="en-AU" w:eastAsia="en-AU"/>
        </w:rPr>
        <w:t>Many inconsistencies exist within the literature regarding the correlation of physiological measures of stress with stocking density, results tend to vary according to the parameter measured, as well as between studies utilising the same measures and similar stocking densities. Many studies report an increase in H:L ratio towards the end of the growing out period at around 8-9 broilers/m</w:t>
      </w:r>
      <w:r w:rsidRPr="00286A88">
        <w:rPr>
          <w:vertAlign w:val="superscript"/>
          <w:lang w:val="en-AU" w:eastAsia="en-AU"/>
        </w:rPr>
        <w:t>2</w:t>
      </w:r>
      <w:r w:rsidRPr="00286A88">
        <w:rPr>
          <w:lang w:val="en-AU" w:eastAsia="en-AU"/>
        </w:rPr>
        <w:t xml:space="preserve"> (</w:t>
      </w:r>
      <w:r w:rsidRPr="00286A88">
        <w:rPr>
          <w:rFonts w:cs="Palatino-Roman"/>
          <w:lang w:val="en-AU" w:eastAsia="en-AU"/>
        </w:rPr>
        <w:t>Thaxton et al., 2006</w:t>
      </w:r>
      <w:r w:rsidRPr="00286A88">
        <w:rPr>
          <w:lang w:val="en-AU" w:eastAsia="en-AU"/>
        </w:rPr>
        <w:t xml:space="preserve">; </w:t>
      </w:r>
      <w:r w:rsidRPr="00286A88">
        <w:rPr>
          <w:rFonts w:cs="TimesNewRomanPS-BoldMT"/>
          <w:bCs/>
          <w:lang w:val="en-AU" w:eastAsia="en-AU"/>
        </w:rPr>
        <w:t>Onbaşılar et al., 2008</w:t>
      </w:r>
      <w:r w:rsidRPr="00286A88">
        <w:rPr>
          <w:lang w:val="en-AU" w:eastAsia="en-AU"/>
        </w:rPr>
        <w:t xml:space="preserve">; </w:t>
      </w:r>
      <w:r w:rsidRPr="00286A88">
        <w:rPr>
          <w:lang w:val="en-AU" w:eastAsia="en-GB"/>
        </w:rPr>
        <w:t xml:space="preserve">Villagrá et al., 2009; </w:t>
      </w:r>
      <w:r w:rsidRPr="00286A88">
        <w:rPr>
          <w:rFonts w:cs="AdvP4CD4D0"/>
          <w:lang w:val="en-AU" w:eastAsia="en-AU"/>
        </w:rPr>
        <w:t xml:space="preserve">Simitzis et al., 2012; </w:t>
      </w:r>
      <w:r w:rsidRPr="00286A88">
        <w:rPr>
          <w:rFonts w:eastAsia="MinionPro-Regular" w:cs="MinionPro-Regular"/>
          <w:lang w:val="en-AU" w:eastAsia="en-AU"/>
        </w:rPr>
        <w:t xml:space="preserve">Uzum and Toplu, 2013; </w:t>
      </w:r>
      <w:r w:rsidRPr="00286A88">
        <w:rPr>
          <w:rFonts w:eastAsia="ACaslonPro-Regular" w:cs="ACaslonPro-Regular"/>
          <w:lang w:val="en-AU" w:eastAsia="en-AU"/>
        </w:rPr>
        <w:t xml:space="preserve">Das and Lacin, 2014; </w:t>
      </w:r>
      <w:r w:rsidRPr="00286A88">
        <w:rPr>
          <w:rFonts w:eastAsia="ComputerModern-Regular" w:cs="ComputerModern-Regular"/>
          <w:lang w:val="en-AU" w:eastAsia="en-AU"/>
        </w:rPr>
        <w:t>Shakeri et al., 2014</w:t>
      </w:r>
      <w:r w:rsidRPr="00286A88">
        <w:rPr>
          <w:lang w:val="en-AU" w:eastAsia="en-AU"/>
        </w:rPr>
        <w:t>), while others do not (</w:t>
      </w:r>
      <w:r w:rsidRPr="00286A88">
        <w:rPr>
          <w:rFonts w:eastAsia="QuarumBook" w:cs="QuarumBook"/>
          <w:lang w:val="en-AU" w:eastAsia="en-AU"/>
        </w:rPr>
        <w:t xml:space="preserve">Türkyilmaz, 2008; </w:t>
      </w:r>
      <w:r w:rsidRPr="00286A88">
        <w:rPr>
          <w:rFonts w:cs="Sgwnfgpqvgvqqznzkxzzzvbnzsn"/>
          <w:lang w:val="en-AU" w:eastAsia="en-AU"/>
        </w:rPr>
        <w:t xml:space="preserve">Sekeroglu et al., 2011; </w:t>
      </w:r>
      <w:r w:rsidRPr="00286A88">
        <w:rPr>
          <w:rFonts w:eastAsia="ComputerModern-Regular" w:cs="ComputerModern-Regular"/>
          <w:lang w:val="en-AU" w:eastAsia="en-AU"/>
        </w:rPr>
        <w:t xml:space="preserve">Houshmand et al., 2012; </w:t>
      </w:r>
      <w:r w:rsidRPr="00286A88">
        <w:rPr>
          <w:rFonts w:cs="CMR10"/>
          <w:lang w:val="en-AU" w:eastAsia="en-AU"/>
        </w:rPr>
        <w:t xml:space="preserve">Cengiz et al., 2015; </w:t>
      </w:r>
      <w:r w:rsidRPr="00286A88">
        <w:rPr>
          <w:rFonts w:cs="FrutigerLTStd-Light"/>
          <w:lang w:val="en-AU" w:eastAsia="en-AU"/>
        </w:rPr>
        <w:t xml:space="preserve">Arruda et al., 2016). </w:t>
      </w:r>
      <w:r w:rsidRPr="00286A88">
        <w:rPr>
          <w:lang w:val="en-AU" w:eastAsia="en-AU"/>
        </w:rPr>
        <w:t xml:space="preserve">The majority of studies on younger birds (less than 6 weeks old) also find no effect of stocking density on H:L ratio (Heckert et al., 2002; Dozier et al., 2006; </w:t>
      </w:r>
      <w:r w:rsidRPr="00286A88">
        <w:rPr>
          <w:lang w:val="en-AU" w:eastAsia="en-GB"/>
        </w:rPr>
        <w:t>Villagrá et al., 2009</w:t>
      </w:r>
      <w:r w:rsidRPr="00286A88">
        <w:rPr>
          <w:lang w:val="en-AU" w:eastAsia="en-AU"/>
        </w:rPr>
        <w:t xml:space="preserve">; Petek et al., 2010), presumably because of their size. </w:t>
      </w:r>
      <w:r w:rsidRPr="00286A88">
        <w:rPr>
          <w:rFonts w:cs="UVProfile-Light"/>
          <w:lang w:val="en-AU" w:eastAsia="en-AU"/>
        </w:rPr>
        <w:t>Onba</w:t>
      </w:r>
      <w:r w:rsidRPr="00286A88">
        <w:rPr>
          <w:rFonts w:cs="TimesNewRoman"/>
          <w:lang w:val="en-AU" w:eastAsia="en-AU"/>
        </w:rPr>
        <w:t>şi</w:t>
      </w:r>
      <w:r w:rsidRPr="00286A88">
        <w:rPr>
          <w:rFonts w:cs="UVProfile-Light"/>
          <w:lang w:val="en-AU" w:eastAsia="en-AU"/>
        </w:rPr>
        <w:t>lar</w:t>
      </w:r>
      <w:r w:rsidRPr="00286A88">
        <w:rPr>
          <w:lang w:val="en-AU" w:eastAsia="en-AU"/>
        </w:rPr>
        <w:t xml:space="preserve"> et al. (2008) measured higher levels of serum glucose concentrations in birds maintained at higher densities (12 vs 18 broilers/m</w:t>
      </w:r>
      <w:r w:rsidRPr="00286A88">
        <w:rPr>
          <w:vertAlign w:val="superscript"/>
          <w:lang w:val="en-AU" w:eastAsia="en-AU"/>
        </w:rPr>
        <w:t>2</w:t>
      </w:r>
      <w:r w:rsidRPr="00286A88">
        <w:rPr>
          <w:lang w:val="en-AU" w:eastAsia="en-AU"/>
        </w:rPr>
        <w:t xml:space="preserve">) and </w:t>
      </w:r>
      <w:r w:rsidRPr="00286A88">
        <w:rPr>
          <w:rFonts w:cs="Arial"/>
          <w:shd w:val="clear" w:color="auto" w:fill="FFFFFF"/>
          <w:lang w:val="en-AU" w:eastAsia="en-AU"/>
        </w:rPr>
        <w:t>Simsek and Ozhan (2015) reported higher serum glucose in flocks of 35,000 birds compared to flocks with only 15,000 birds; however, o</w:t>
      </w:r>
      <w:r w:rsidRPr="00286A88">
        <w:rPr>
          <w:lang w:val="en-AU" w:eastAsia="en-AU"/>
        </w:rPr>
        <w:t xml:space="preserve">ther studies found no effect of density (Dozier et al., 2006; </w:t>
      </w:r>
      <w:r w:rsidRPr="00286A88">
        <w:rPr>
          <w:rFonts w:cs="Palatino-Roman"/>
          <w:lang w:val="en-AU" w:eastAsia="en-AU"/>
        </w:rPr>
        <w:t>Thaxton et al., 2006</w:t>
      </w:r>
      <w:r w:rsidRPr="00286A88">
        <w:rPr>
          <w:lang w:val="en-AU" w:eastAsia="en-AU"/>
        </w:rPr>
        <w:t>;</w:t>
      </w:r>
      <w:r w:rsidRPr="00286A88">
        <w:rPr>
          <w:rFonts w:cs="OpenSans-Semibold"/>
          <w:lang w:val="en-AU" w:eastAsia="en-AU"/>
        </w:rPr>
        <w:t xml:space="preserve"> </w:t>
      </w:r>
      <w:r w:rsidRPr="00286A88">
        <w:rPr>
          <w:rFonts w:eastAsia="ComputerModern-Regular" w:cs="ComputerModern-Regular"/>
          <w:lang w:val="en-AU" w:eastAsia="en-AU"/>
        </w:rPr>
        <w:t xml:space="preserve">Houshmand et al., 2012; </w:t>
      </w:r>
      <w:r w:rsidRPr="00286A88">
        <w:rPr>
          <w:rFonts w:cs="OpenSans-Semibold"/>
          <w:lang w:val="en-AU" w:eastAsia="en-AU"/>
        </w:rPr>
        <w:t xml:space="preserve">Abudabos et al., 2013a; </w:t>
      </w:r>
      <w:r w:rsidRPr="00286A88">
        <w:rPr>
          <w:rFonts w:cs="FrutigerLTStd-Light"/>
          <w:lang w:val="en-AU" w:eastAsia="en-AU"/>
        </w:rPr>
        <w:t>Arruda et al., 2016; Qaid et al., 2016</w:t>
      </w:r>
      <w:r w:rsidRPr="00286A88">
        <w:rPr>
          <w:lang w:val="en-AU" w:eastAsia="en-AU"/>
        </w:rPr>
        <w:t xml:space="preserve">). Several authors report </w:t>
      </w:r>
      <w:r w:rsidRPr="00286A88">
        <w:rPr>
          <w:rFonts w:cs="AdvTT5843c571"/>
          <w:lang w:val="en-AU" w:eastAsia="en-AU"/>
        </w:rPr>
        <w:t xml:space="preserve">higher serum </w:t>
      </w:r>
      <w:r w:rsidRPr="00286A88">
        <w:rPr>
          <w:lang w:val="en-AU" w:eastAsia="en-AU"/>
        </w:rPr>
        <w:t>corticosterone concentrations in birds housed at higher stocking densities (</w:t>
      </w:r>
      <w:r w:rsidRPr="00286A88">
        <w:rPr>
          <w:rFonts w:cs="TimesNewRomanPSMT"/>
          <w:lang w:val="en-AU" w:eastAsia="en-AU"/>
        </w:rPr>
        <w:t xml:space="preserve">Skomorucha et al., 2009; </w:t>
      </w:r>
      <w:r w:rsidRPr="00286A88">
        <w:rPr>
          <w:rFonts w:cs="AdvTT5843c571"/>
          <w:lang w:val="en-AU" w:eastAsia="en-AU"/>
        </w:rPr>
        <w:t xml:space="preserve">Gomes et al., 2014; </w:t>
      </w:r>
      <w:r w:rsidRPr="00286A88">
        <w:rPr>
          <w:rFonts w:eastAsia="ComputerModern-Regular" w:cs="ComputerModern-Regular"/>
          <w:lang w:val="en-AU" w:eastAsia="en-AU"/>
        </w:rPr>
        <w:t xml:space="preserve">Shakeri et al., 2014; </w:t>
      </w:r>
      <w:r w:rsidRPr="00286A88">
        <w:rPr>
          <w:rFonts w:cs="VsjmccAdvTT3713a231"/>
          <w:lang w:val="en-AU" w:eastAsia="en-AU"/>
        </w:rPr>
        <w:t>Najafi et al., 2015); however, in the majority of studies an association between c</w:t>
      </w:r>
      <w:r w:rsidRPr="00286A88">
        <w:rPr>
          <w:lang w:val="en-AU" w:eastAsia="en-AU"/>
        </w:rPr>
        <w:t xml:space="preserve">orticosterone levels and stocking density have not been observed (blood: Dozier et al., 2006; </w:t>
      </w:r>
      <w:r w:rsidRPr="00286A88">
        <w:rPr>
          <w:rFonts w:cs="Palatino-Roman"/>
          <w:lang w:val="en-AU" w:eastAsia="en-AU"/>
        </w:rPr>
        <w:t>Thaxton et al., 2006</w:t>
      </w:r>
      <w:r w:rsidRPr="00286A88">
        <w:rPr>
          <w:lang w:val="en-AU" w:eastAsia="en-AU"/>
        </w:rPr>
        <w:t xml:space="preserve">; </w:t>
      </w:r>
      <w:r w:rsidRPr="00286A88">
        <w:rPr>
          <w:rFonts w:eastAsia="QuarumBook" w:cs="QuarumBook"/>
          <w:lang w:val="en-AU" w:eastAsia="en-AU"/>
        </w:rPr>
        <w:t>Türkyilmaz, 2008</w:t>
      </w:r>
      <w:r w:rsidRPr="00286A88">
        <w:rPr>
          <w:lang w:val="en-AU" w:eastAsia="en-AU"/>
        </w:rPr>
        <w:t xml:space="preserve">; </w:t>
      </w:r>
      <w:r w:rsidRPr="00286A88">
        <w:rPr>
          <w:rFonts w:eastAsia="ComputerModern-Regular" w:cs="ComputerModern-Regular"/>
          <w:lang w:val="en-AU" w:eastAsia="en-AU"/>
        </w:rPr>
        <w:t xml:space="preserve">Houshmand et al., 2012; </w:t>
      </w:r>
      <w:r w:rsidRPr="00286A88">
        <w:rPr>
          <w:rFonts w:cs="CMR10"/>
          <w:lang w:val="en-AU" w:eastAsia="en-AU"/>
        </w:rPr>
        <w:t xml:space="preserve">Cengiz et al., 2015; </w:t>
      </w:r>
      <w:r w:rsidRPr="00286A88">
        <w:rPr>
          <w:lang w:val="en-AU" w:eastAsia="en-AU"/>
        </w:rPr>
        <w:t>faecal: Dawkins et al., 2004; Buijs et al., 2009). Decreases in relative weights of the bursa of fabricius (</w:t>
      </w:r>
      <w:r w:rsidRPr="00286A88">
        <w:rPr>
          <w:rFonts w:cs="Palatino-Roman"/>
          <w:lang w:val="en-AU" w:eastAsia="en-AU"/>
        </w:rPr>
        <w:t xml:space="preserve">Heckert et al., 2002; </w:t>
      </w:r>
      <w:r w:rsidRPr="00286A88">
        <w:rPr>
          <w:lang w:val="en-AU" w:eastAsia="en-AU"/>
        </w:rPr>
        <w:t xml:space="preserve">Ravindran et al., 2006; </w:t>
      </w:r>
      <w:r w:rsidRPr="00286A88">
        <w:rPr>
          <w:rFonts w:cs="AdvP4CD4D0"/>
          <w:lang w:val="en-AU" w:eastAsia="en-AU"/>
        </w:rPr>
        <w:t xml:space="preserve">Simitzis et al., 2012; </w:t>
      </w:r>
      <w:r w:rsidRPr="00286A88">
        <w:rPr>
          <w:rFonts w:cs="AdvTT5843c571"/>
          <w:lang w:val="en-AU" w:eastAsia="en-AU"/>
        </w:rPr>
        <w:t>Gomes et al., 2014</w:t>
      </w:r>
      <w:r w:rsidRPr="00286A88">
        <w:rPr>
          <w:lang w:val="en-AU" w:eastAsia="en-AU"/>
        </w:rPr>
        <w:t>) and spleen (Ravindran et al., 2006) with increasing stocking density suggest stress-induced immunosuppression; however, other authors report no difference in bursa (</w:t>
      </w:r>
      <w:r w:rsidRPr="00286A88">
        <w:rPr>
          <w:rFonts w:cs="TimesNewRomanPS-BoldMT"/>
          <w:bCs/>
          <w:lang w:val="en-AU" w:eastAsia="en-AU"/>
        </w:rPr>
        <w:t>Onbaşılar et al., 2008</w:t>
      </w:r>
      <w:r w:rsidRPr="00286A88">
        <w:rPr>
          <w:lang w:val="en-AU" w:eastAsia="en-AU"/>
        </w:rPr>
        <w:t xml:space="preserve">; Buijs et al., 2009; </w:t>
      </w:r>
      <w:r w:rsidRPr="00286A88">
        <w:rPr>
          <w:rFonts w:cs="FrutigerLTStd-Light"/>
          <w:lang w:val="en-AU" w:eastAsia="en-AU"/>
        </w:rPr>
        <w:t>Qaid et al., 2016</w:t>
      </w:r>
      <w:r w:rsidRPr="00286A88">
        <w:rPr>
          <w:lang w:val="en-AU" w:eastAsia="en-AU"/>
        </w:rPr>
        <w:t>), spleen (</w:t>
      </w:r>
      <w:r w:rsidRPr="00286A88">
        <w:rPr>
          <w:rFonts w:cs="Palatino-Roman"/>
          <w:lang w:val="en-AU" w:eastAsia="en-AU"/>
        </w:rPr>
        <w:t xml:space="preserve">Heckert et al., 2002; </w:t>
      </w:r>
      <w:r w:rsidRPr="00286A88">
        <w:rPr>
          <w:rFonts w:cs="TimesNewRomanPS-BoldMT"/>
          <w:bCs/>
          <w:lang w:val="en-AU" w:eastAsia="en-AU"/>
        </w:rPr>
        <w:t>Onbaşılar et al., 2008</w:t>
      </w:r>
      <w:r w:rsidRPr="00286A88">
        <w:rPr>
          <w:lang w:val="en-AU" w:eastAsia="en-AU"/>
        </w:rPr>
        <w:t xml:space="preserve">; Sekeroglu et al., 2011; </w:t>
      </w:r>
      <w:r w:rsidRPr="00286A88">
        <w:rPr>
          <w:rFonts w:cs="AdvP4CD4D0"/>
          <w:lang w:val="en-AU" w:eastAsia="en-AU"/>
        </w:rPr>
        <w:t xml:space="preserve">Simitzis et al., 2012; </w:t>
      </w:r>
      <w:r w:rsidRPr="00286A88">
        <w:rPr>
          <w:rFonts w:cs="FrutigerLTStd-Light"/>
          <w:lang w:val="en-AU" w:eastAsia="en-AU"/>
        </w:rPr>
        <w:t>Qaid et al., 2016</w:t>
      </w:r>
      <w:r w:rsidRPr="00286A88">
        <w:rPr>
          <w:lang w:val="en-AU" w:eastAsia="en-AU"/>
        </w:rPr>
        <w:t>), or adrenal (Thomas et al., 2004) weights.</w:t>
      </w:r>
    </w:p>
    <w:p w14:paraId="7B823013" w14:textId="77777777" w:rsidR="00286A88" w:rsidRPr="00286A88" w:rsidRDefault="00286A88" w:rsidP="00267465">
      <w:pPr>
        <w:rPr>
          <w:rFonts w:eastAsia="ComputerModern-Regular" w:cs="ComputerModern-Regular"/>
          <w:lang w:val="en-AU" w:eastAsia="en-AU"/>
        </w:rPr>
      </w:pPr>
      <w:r w:rsidRPr="00286A88">
        <w:rPr>
          <w:rFonts w:cs="VsjmccAdvTT3713a231"/>
          <w:lang w:val="en-AU" w:eastAsia="en-AU"/>
        </w:rPr>
        <w:t xml:space="preserve">Additional evidence for high stocking density being physiologically stressful to broiler chickens includes an upregulation in concentrations of ovotransferrin and the acute phase protein </w:t>
      </w:r>
      <w:r w:rsidRPr="00286A88">
        <w:rPr>
          <w:rFonts w:cs="LlhwwjAdvTT3713a231+03"/>
          <w:lang w:val="en-AU" w:eastAsia="en-AU"/>
        </w:rPr>
        <w:t>α</w:t>
      </w:r>
      <w:r w:rsidRPr="00286A88">
        <w:rPr>
          <w:rFonts w:cs="VsjmccAdvTT3713a231"/>
          <w:lang w:val="en-AU" w:eastAsia="en-AU"/>
        </w:rPr>
        <w:t>1-acid glycoprotein (</w:t>
      </w:r>
      <w:r w:rsidRPr="00286A88">
        <w:rPr>
          <w:rFonts w:eastAsia="ComputerModern-Regular" w:cs="ComputerModern-Regular"/>
          <w:lang w:val="en-AU" w:eastAsia="en-AU"/>
        </w:rPr>
        <w:t xml:space="preserve">Shakeri et al., 2014; </w:t>
      </w:r>
      <w:r w:rsidRPr="00286A88">
        <w:rPr>
          <w:rFonts w:cs="VsjmccAdvTT3713a231"/>
          <w:lang w:val="en-AU" w:eastAsia="en-AU"/>
        </w:rPr>
        <w:t xml:space="preserve">Najafi et al., 2015), </w:t>
      </w:r>
      <w:r w:rsidRPr="00286A88">
        <w:rPr>
          <w:lang w:val="en-AU" w:eastAsia="en-AU"/>
        </w:rPr>
        <w:t xml:space="preserve">an elevation in the expression of heat shock proteins (proteins synthesised under environmental stress) (Beloor et al., 2010; </w:t>
      </w:r>
      <w:r w:rsidRPr="00286A88">
        <w:rPr>
          <w:rFonts w:cs="VsjmccAdvTT3713a231"/>
          <w:lang w:val="en-AU" w:eastAsia="en-AU"/>
        </w:rPr>
        <w:t>Najafi et al., 2015</w:t>
      </w:r>
      <w:r w:rsidRPr="00286A88">
        <w:rPr>
          <w:lang w:val="en-AU" w:eastAsia="en-AU"/>
        </w:rPr>
        <w:t>), and a reduction in telomere length, potentially indicative of damage induced by oxidative stress (Beloor et al., 2010). There is also some limited evidence for high stocking density decreasing developmental stability in broilers. Mirtagioglu et al. (2013) report that relative asymmetry in shank width was greater at a higher stocking density (11 vs 17 broilers/m</w:t>
      </w:r>
      <w:r w:rsidRPr="00286A88">
        <w:rPr>
          <w:vertAlign w:val="superscript"/>
          <w:lang w:val="en-AU" w:eastAsia="en-AU"/>
        </w:rPr>
        <w:t>2</w:t>
      </w:r>
      <w:r w:rsidRPr="00286A88">
        <w:rPr>
          <w:lang w:val="en-AU" w:eastAsia="en-AU"/>
        </w:rPr>
        <w:t xml:space="preserve">), while </w:t>
      </w:r>
      <w:r w:rsidRPr="00286A88">
        <w:rPr>
          <w:rFonts w:eastAsia="ComputerModern-Regular" w:cs="ComputerModern-Regular"/>
          <w:lang w:val="en-AU" w:eastAsia="en-AU"/>
        </w:rPr>
        <w:t>Ventura et al. (2010) report that tibias obtained from birds maintained at high density (8 vs 18 broilers/m</w:t>
      </w:r>
      <w:r w:rsidRPr="00286A88">
        <w:rPr>
          <w:rFonts w:eastAsia="ComputerModern-Regular" w:cs="ComputerModern-Regular"/>
          <w:vertAlign w:val="superscript"/>
          <w:lang w:val="en-AU" w:eastAsia="en-AU"/>
        </w:rPr>
        <w:t>2</w:t>
      </w:r>
      <w:r w:rsidRPr="00286A88">
        <w:rPr>
          <w:rFonts w:eastAsia="ComputerModern-Regular" w:cs="ComputerModern-Regular"/>
          <w:lang w:val="en-AU" w:eastAsia="en-AU"/>
        </w:rPr>
        <w:t>) were longer and less symmetric in length.</w:t>
      </w:r>
      <w:r w:rsidRPr="00286A88">
        <w:rPr>
          <w:lang w:val="en-AU" w:eastAsia="en-AU"/>
        </w:rPr>
        <w:t xml:space="preserve"> Similarly, a</w:t>
      </w:r>
      <w:r w:rsidRPr="00286A88">
        <w:rPr>
          <w:rFonts w:eastAsia="ComputerModern-Regular" w:cs="ComputerModern-Regular"/>
          <w:lang w:val="en-AU" w:eastAsia="en-AU"/>
        </w:rPr>
        <w:t xml:space="preserve"> composite index of fluctuating asymmetry (an indicator of an animal’s ability to cope with its environment), which combined data from 11 measures, was observed to increase with stocking density (Buijs et al., 2012).</w:t>
      </w:r>
    </w:p>
    <w:p w14:paraId="4C7B54A5" w14:textId="77777777" w:rsidR="00286A88" w:rsidRPr="00286A88" w:rsidRDefault="00286A88" w:rsidP="00267465">
      <w:pPr>
        <w:rPr>
          <w:lang w:val="en-AU" w:eastAsia="en-AU"/>
        </w:rPr>
      </w:pPr>
      <w:r w:rsidRPr="00286A88">
        <w:rPr>
          <w:lang w:val="en-AU" w:eastAsia="en-AU"/>
        </w:rPr>
        <w:t xml:space="preserve">A study conducted by Jones et al. (2005a) highlighted that, at least under commercial conditions, stocking density may be less directly impactful upon broiler welfare than poor environmental control. Effective ventilation is paramount to negating the environmental effects of high stocking densities, such as increased humidity and temperature (Jones et al., 2005a; </w:t>
      </w:r>
      <w:r w:rsidRPr="00286A88">
        <w:rPr>
          <w:rFonts w:cs="OpenSans-Semibold"/>
          <w:lang w:val="en-AU" w:eastAsia="en-AU"/>
        </w:rPr>
        <w:t>Abudabos et al., 2013b</w:t>
      </w:r>
      <w:r w:rsidRPr="00286A88">
        <w:rPr>
          <w:lang w:val="en-AU" w:eastAsia="en-AU"/>
        </w:rPr>
        <w:t>), as well as preventing the deterioration of air and litter quality. The differences in physiological measures between studies, listed above, do not appear to be due to the use of differing density ranges, as the majority of studies utilised similar stocking rates. This suggests that in those studies where no effect of stocking density was found the management protocols of the accommodation were able to cope with the increased number of birds housed. Regardless of whether it is stocking density or environmental factors that are having the greatest impact upon broiler welfare, under commercial conditions, these factors are often interlinked. Therefore, a study that reports an upregulation of a physiological stress response linked to a high stocking density, is likely to be indicative of environmental deficiencies that require addressing simultaneously.</w:t>
      </w:r>
    </w:p>
    <w:p w14:paraId="326B0EA4" w14:textId="77777777" w:rsidR="00286A88" w:rsidRPr="00286A88" w:rsidRDefault="00286A88" w:rsidP="00267465">
      <w:pPr>
        <w:pStyle w:val="Heading3"/>
        <w:rPr>
          <w:lang w:val="en-AU" w:eastAsia="en-AU"/>
        </w:rPr>
      </w:pPr>
      <w:bookmarkStart w:id="129" w:name="_Toc495310598"/>
      <w:r w:rsidRPr="00286A88">
        <w:rPr>
          <w:lang w:val="en-AU" w:eastAsia="en-AU"/>
        </w:rPr>
        <w:t>B9.2 Air quality and biosecurity</w:t>
      </w:r>
      <w:bookmarkEnd w:id="129"/>
    </w:p>
    <w:p w14:paraId="501D751B" w14:textId="77777777" w:rsidR="00286A88" w:rsidRPr="00267465" w:rsidRDefault="00286A88" w:rsidP="00267465">
      <w:pPr>
        <w:rPr>
          <w:i/>
          <w:lang w:val="en-AU" w:eastAsia="en-AU"/>
        </w:rPr>
      </w:pPr>
      <w:r w:rsidRPr="00267465">
        <w:rPr>
          <w:rFonts w:cs="Times New Roman"/>
          <w:i/>
          <w:szCs w:val="22"/>
          <w:lang w:val="en-AU" w:eastAsia="en-AU"/>
        </w:rPr>
        <w:t>Effective ventilation is key to maintaining broiler house air quality</w:t>
      </w:r>
      <w:r w:rsidRPr="00267465">
        <w:rPr>
          <w:i/>
          <w:lang w:val="en-AU" w:eastAsia="en-AU"/>
        </w:rPr>
        <w:t xml:space="preserve">; without this exposure to high ammonia concentrations can induce </w:t>
      </w:r>
      <w:r w:rsidRPr="00267465">
        <w:rPr>
          <w:rFonts w:cs="Times New Roman"/>
          <w:i/>
          <w:szCs w:val="22"/>
          <w:lang w:val="en-AU" w:eastAsia="en-AU"/>
        </w:rPr>
        <w:t xml:space="preserve">eye lesions, immune-suppression, and lower </w:t>
      </w:r>
      <w:r w:rsidRPr="00267465">
        <w:rPr>
          <w:i/>
          <w:lang w:val="en-AU" w:eastAsia="en-AU"/>
        </w:rPr>
        <w:t>performance, while escalating levels of air-borne pathogens will increase the risk of disease.</w:t>
      </w:r>
    </w:p>
    <w:p w14:paraId="15226A3F" w14:textId="77777777" w:rsidR="00286A88" w:rsidRPr="00286A88" w:rsidRDefault="00286A88" w:rsidP="00267465">
      <w:pPr>
        <w:rPr>
          <w:rFonts w:cs="Times New Roman"/>
          <w:lang w:val="en-AU" w:eastAsia="en-AU"/>
        </w:rPr>
      </w:pPr>
      <w:r w:rsidRPr="00286A88">
        <w:rPr>
          <w:lang w:val="en-AU" w:eastAsia="en-AU"/>
        </w:rPr>
        <w:t>Ambient temperature, humidity, airborne gases, particles and microorganisms, in combination with stocking density, ventilation rate, litter quality, age and health status of the birds, interact to determine the air quality in broiler houses.</w:t>
      </w:r>
      <w:r w:rsidRPr="00286A88">
        <w:rPr>
          <w:rFonts w:cs="Times New Roman"/>
          <w:lang w:val="en-AU" w:eastAsia="en-AU"/>
        </w:rPr>
        <w:t xml:space="preserve"> The main sources of aerial pollutants are the feed, the litter and the broilers themselves. The EU Broiler Directive (European Commission, 2007) advises upper limits as follows: 3,000 ppm for carbon dioxide, 20 ppm for ammonia, and 70% for humidity.</w:t>
      </w:r>
    </w:p>
    <w:p w14:paraId="6452B9C4" w14:textId="77777777" w:rsidR="00286A88" w:rsidRPr="00286A88" w:rsidRDefault="00286A88" w:rsidP="00267465">
      <w:pPr>
        <w:rPr>
          <w:rFonts w:cs="Times New Roman"/>
          <w:lang w:val="en-AU" w:eastAsia="en-AU"/>
        </w:rPr>
      </w:pPr>
      <w:r w:rsidRPr="00286A88">
        <w:rPr>
          <w:rFonts w:cs="Times New Roman"/>
          <w:lang w:val="en-AU" w:eastAsia="en-AU"/>
        </w:rPr>
        <w:t>The most important role of ventilation is to remove carbon dioxide (CO</w:t>
      </w:r>
      <w:r w:rsidRPr="00286A88">
        <w:rPr>
          <w:rFonts w:cs="Times New Roman"/>
          <w:vertAlign w:val="subscript"/>
          <w:lang w:val="en-AU" w:eastAsia="en-AU"/>
        </w:rPr>
        <w:t>2</w:t>
      </w:r>
      <w:r w:rsidRPr="00286A88">
        <w:rPr>
          <w:rFonts w:cs="Times New Roman"/>
          <w:lang w:val="en-AU" w:eastAsia="en-AU"/>
        </w:rPr>
        <w:t>) and water from the air of the house and replace oxygen. CO</w:t>
      </w:r>
      <w:r w:rsidRPr="00286A88">
        <w:rPr>
          <w:rFonts w:cs="Times New Roman"/>
          <w:vertAlign w:val="subscript"/>
          <w:lang w:val="en-AU" w:eastAsia="en-AU"/>
        </w:rPr>
        <w:t xml:space="preserve">2 </w:t>
      </w:r>
      <w:r w:rsidRPr="00286A88">
        <w:rPr>
          <w:rFonts w:cs="Times New Roman"/>
          <w:lang w:val="en-AU" w:eastAsia="en-AU"/>
        </w:rPr>
        <w:t>is a metabolic by-product of the broilers, in combination with litter processes. An increase in CO</w:t>
      </w:r>
      <w:r w:rsidRPr="00286A88">
        <w:rPr>
          <w:rFonts w:cs="Times New Roman"/>
          <w:vertAlign w:val="subscript"/>
          <w:lang w:val="en-AU" w:eastAsia="en-AU"/>
        </w:rPr>
        <w:t xml:space="preserve">2 </w:t>
      </w:r>
      <w:r w:rsidRPr="00286A88">
        <w:rPr>
          <w:rFonts w:cs="Times New Roman"/>
          <w:lang w:val="en-AU" w:eastAsia="en-AU"/>
        </w:rPr>
        <w:t>levels is usually accompanied by increased levels of other detrimental air pollutants such as ammonia, dust and micro-organisms; therefore, CO</w:t>
      </w:r>
      <w:r w:rsidRPr="00286A88">
        <w:rPr>
          <w:rFonts w:cs="Times New Roman"/>
          <w:vertAlign w:val="subscript"/>
          <w:lang w:val="en-AU" w:eastAsia="en-AU"/>
        </w:rPr>
        <w:t xml:space="preserve">2 </w:t>
      </w:r>
      <w:r w:rsidRPr="00286A88">
        <w:rPr>
          <w:rFonts w:cs="Times New Roman"/>
          <w:lang w:val="en-AU" w:eastAsia="en-AU"/>
        </w:rPr>
        <w:t>is commonly used as an air quality indicator.</w:t>
      </w:r>
    </w:p>
    <w:p w14:paraId="54AD8DF6" w14:textId="77777777" w:rsidR="00286A88" w:rsidRPr="00286A88" w:rsidRDefault="00286A88" w:rsidP="00267465">
      <w:pPr>
        <w:rPr>
          <w:rFonts w:cs="Times-Bold"/>
          <w:bCs/>
          <w:lang w:val="en-AU" w:eastAsia="en-AU"/>
        </w:rPr>
      </w:pPr>
      <w:r w:rsidRPr="00286A88">
        <w:rPr>
          <w:rFonts w:cs="AdvP41153C"/>
          <w:lang w:val="en-AU" w:eastAsia="en-AU"/>
        </w:rPr>
        <w:t>Ammonia (NH</w:t>
      </w:r>
      <w:r w:rsidRPr="00286A88">
        <w:rPr>
          <w:rFonts w:cs="AdvP41153C"/>
          <w:vertAlign w:val="subscript"/>
          <w:lang w:val="en-AU" w:eastAsia="en-AU"/>
        </w:rPr>
        <w:t>3</w:t>
      </w:r>
      <w:r w:rsidRPr="00286A88">
        <w:rPr>
          <w:rFonts w:cs="AdvP41153C"/>
          <w:lang w:val="en-AU" w:eastAsia="en-AU"/>
        </w:rPr>
        <w:t xml:space="preserve">) is a colourless gas, produced in the litter by </w:t>
      </w:r>
      <w:r w:rsidRPr="00286A88">
        <w:rPr>
          <w:rFonts w:cs="Times New Roman"/>
          <w:lang w:val="en-AU" w:eastAsia="en-AU"/>
        </w:rPr>
        <w:t xml:space="preserve">microbial decomposition of the nitrogenous fraction of animal waste. </w:t>
      </w:r>
      <w:r w:rsidRPr="00286A88">
        <w:rPr>
          <w:rFonts w:cs="AdvP41153C"/>
          <w:lang w:val="en-AU" w:eastAsia="en-AU"/>
        </w:rPr>
        <w:t xml:space="preserve">Because there are no legal limits for the exposure of poultry to ammonia, the human limit is used as a default, even though it is based on 8 h of exposure (Jones et al., 2005b). </w:t>
      </w:r>
      <w:r w:rsidRPr="00286A88">
        <w:rPr>
          <w:rFonts w:cs="Times-Italic"/>
          <w:iCs/>
          <w:lang w:val="en-AU" w:eastAsia="en-AU"/>
        </w:rPr>
        <w:t>Intensively housed broilers may be chronically exposed to atmospheric ammonia at concentrations &gt;30 ppm in buildings with poor environmental control (Wathes et al., 2002). Locally, ammonia concentrations are higher in wet areas around drinkers (Miles et al., 2013).</w:t>
      </w:r>
      <w:r w:rsidRPr="00286A88">
        <w:rPr>
          <w:rFonts w:cs="Times-Bold"/>
          <w:bCs/>
          <w:lang w:val="en-AU" w:eastAsia="en-AU"/>
        </w:rPr>
        <w:t xml:space="preserve"> Predictably, Jones et al. (2005a) observed lower ammonia levels in broiler houses with fan-assisted ventilation.</w:t>
      </w:r>
      <w:r w:rsidRPr="00286A88">
        <w:rPr>
          <w:rFonts w:cs="Times-Italic"/>
          <w:iCs/>
          <w:lang w:val="en-AU" w:eastAsia="en-AU"/>
        </w:rPr>
        <w:t xml:space="preserve"> NH</w:t>
      </w:r>
      <w:r w:rsidRPr="00286A88">
        <w:rPr>
          <w:rFonts w:cs="Times-Italic"/>
          <w:iCs/>
          <w:vertAlign w:val="subscript"/>
          <w:lang w:val="en-AU" w:eastAsia="en-AU"/>
        </w:rPr>
        <w:t>3</w:t>
      </w:r>
      <w:r w:rsidRPr="00286A88">
        <w:rPr>
          <w:rFonts w:cs="Times New Roman"/>
          <w:lang w:val="en-AU" w:eastAsia="en-AU"/>
        </w:rPr>
        <w:t xml:space="preserve"> and litter moisture levels have been positively correlated with more leg deformities and HB, and high</w:t>
      </w:r>
      <w:r w:rsidRPr="00286A88">
        <w:rPr>
          <w:rFonts w:cs="Times-Italic"/>
          <w:iCs/>
          <w:lang w:val="en-AU" w:eastAsia="en-AU"/>
        </w:rPr>
        <w:t xml:space="preserve"> NH</w:t>
      </w:r>
      <w:r w:rsidRPr="00286A88">
        <w:rPr>
          <w:rFonts w:cs="Times-Italic"/>
          <w:iCs/>
          <w:vertAlign w:val="subscript"/>
          <w:lang w:val="en-AU" w:eastAsia="en-AU"/>
        </w:rPr>
        <w:t>3</w:t>
      </w:r>
      <w:r w:rsidRPr="00286A88">
        <w:rPr>
          <w:rFonts w:cs="Times New Roman"/>
          <w:lang w:val="en-AU" w:eastAsia="en-AU"/>
        </w:rPr>
        <w:t xml:space="preserve"> was associated with </w:t>
      </w:r>
      <w:r w:rsidRPr="00286A88">
        <w:rPr>
          <w:rFonts w:cs="AdvPS94BA"/>
          <w:lang w:val="en-AU" w:eastAsia="en-AU"/>
        </w:rPr>
        <w:t xml:space="preserve">higher faecal corticosteroid concentrations </w:t>
      </w:r>
      <w:r w:rsidRPr="00286A88">
        <w:rPr>
          <w:rFonts w:cs="Times New Roman"/>
          <w:lang w:val="en-AU" w:eastAsia="en-AU"/>
        </w:rPr>
        <w:t xml:space="preserve">(Dawkins et al., 2004; </w:t>
      </w:r>
      <w:r w:rsidRPr="00286A88">
        <w:rPr>
          <w:rFonts w:cs="AdvP41153C"/>
          <w:lang w:val="en-AU" w:eastAsia="en-AU"/>
        </w:rPr>
        <w:t>Jones et al., 2005a</w:t>
      </w:r>
      <w:r w:rsidRPr="00286A88">
        <w:rPr>
          <w:rFonts w:cs="Times New Roman"/>
          <w:lang w:val="en-AU" w:eastAsia="en-AU"/>
        </w:rPr>
        <w:t xml:space="preserve">); however, </w:t>
      </w:r>
      <w:r w:rsidRPr="00286A88">
        <w:rPr>
          <w:rFonts w:cs="Palatino-Roman"/>
          <w:lang w:val="en-AU" w:eastAsia="en-AU"/>
        </w:rPr>
        <w:t xml:space="preserve">plasma corticosterone and glucose concentrations were not significantly altered by experimental exposure of young broilers to differing levels of ammonia (0-75 ppm) for three weeks post-hatch (Olanrewaju et al., 2008; 2009). Ammonia causes irritation to the respiratory system and the mucous membranes of the eyes, as well as suppressing food intake and growth rate (Kristensen and Wathes, 2000; Homidan et al., 2003). </w:t>
      </w:r>
      <w:r w:rsidRPr="00286A88">
        <w:rPr>
          <w:rFonts w:cs="Times New Roman"/>
          <w:lang w:val="en-AU" w:eastAsia="en-AU"/>
        </w:rPr>
        <w:t xml:space="preserve">Chronic exposure to </w:t>
      </w:r>
      <w:r w:rsidRPr="00286A88">
        <w:rPr>
          <w:rFonts w:cs="Times-Italic"/>
          <w:iCs/>
          <w:lang w:val="en-AU" w:eastAsia="en-AU"/>
        </w:rPr>
        <w:t>NH</w:t>
      </w:r>
      <w:r w:rsidRPr="00286A88">
        <w:rPr>
          <w:rFonts w:cs="Times-Italic"/>
          <w:iCs/>
          <w:vertAlign w:val="subscript"/>
          <w:lang w:val="en-AU" w:eastAsia="en-AU"/>
        </w:rPr>
        <w:t xml:space="preserve">3 </w:t>
      </w:r>
      <w:r w:rsidRPr="00286A88">
        <w:rPr>
          <w:rFonts w:cs="Times New Roman"/>
          <w:lang w:val="en-AU" w:eastAsia="en-AU"/>
        </w:rPr>
        <w:t xml:space="preserve">at 25 and 50 ppm induced corneal eye lesions in broilers after just 7 days (Olanrewaju et al., 2008). </w:t>
      </w:r>
      <w:r w:rsidRPr="00286A88">
        <w:rPr>
          <w:rFonts w:cs="Times-Roman"/>
          <w:lang w:val="en-AU" w:eastAsia="en-AU"/>
        </w:rPr>
        <w:t>Conjunctival lesions have also been positively associated with NH</w:t>
      </w:r>
      <w:r w:rsidRPr="00286A88">
        <w:rPr>
          <w:rFonts w:cs="Times-Roman"/>
          <w:vertAlign w:val="subscript"/>
          <w:lang w:val="en-AU" w:eastAsia="en-AU"/>
        </w:rPr>
        <w:t>3</w:t>
      </w:r>
      <w:r w:rsidRPr="00286A88">
        <w:rPr>
          <w:rFonts w:cs="Times-Roman"/>
          <w:lang w:val="en-AU" w:eastAsia="en-AU"/>
        </w:rPr>
        <w:t xml:space="preserve"> exposure (0-60 ppm)</w:t>
      </w:r>
      <w:r w:rsidRPr="00286A88">
        <w:rPr>
          <w:lang w:val="en-AU" w:eastAsia="en-AU"/>
        </w:rPr>
        <w:t xml:space="preserve">. </w:t>
      </w:r>
      <w:r w:rsidRPr="00286A88">
        <w:rPr>
          <w:rFonts w:cs="Times-Italic"/>
          <w:iCs/>
          <w:lang w:val="en-AU" w:eastAsia="en-AU"/>
        </w:rPr>
        <w:t>Chronic exposure to high levels of NH</w:t>
      </w:r>
      <w:r w:rsidRPr="00286A88">
        <w:rPr>
          <w:rFonts w:cs="Times-Italic"/>
          <w:iCs/>
          <w:vertAlign w:val="subscript"/>
          <w:lang w:val="en-AU" w:eastAsia="en-AU"/>
        </w:rPr>
        <w:t>3</w:t>
      </w:r>
      <w:r w:rsidRPr="00286A88">
        <w:rPr>
          <w:rFonts w:cs="Times-Italic"/>
          <w:iCs/>
          <w:lang w:val="en-AU" w:eastAsia="en-AU"/>
        </w:rPr>
        <w:t xml:space="preserve"> has been shown to impair the absorptive and immunological (defensive) function of the small bowel (70 ppm: Wei et al., 2012), </w:t>
      </w:r>
      <w:r w:rsidRPr="00286A88">
        <w:rPr>
          <w:rFonts w:cs="AdvOT82c4f4c4"/>
          <w:lang w:val="en-AU" w:eastAsia="en-AU"/>
        </w:rPr>
        <w:t xml:space="preserve">trigger chronic hepatic injury (75 ppm: Zhang et al., 2015), </w:t>
      </w:r>
      <w:r w:rsidRPr="00286A88">
        <w:rPr>
          <w:rFonts w:cs="Times New Roman"/>
          <w:lang w:val="en-AU" w:eastAsia="en-AU"/>
        </w:rPr>
        <w:t xml:space="preserve">suppress immunity (≥26 ppm: Wang et al., 2010; 70 ppm: Wei et al., 2015), and stimulate a pro-inflammatory response in broilers (70 ppm: Wei et al., 2015). </w:t>
      </w:r>
      <w:r w:rsidRPr="00286A88">
        <w:rPr>
          <w:rFonts w:cs="Times-Bold"/>
          <w:bCs/>
          <w:lang w:val="en-AU" w:eastAsia="en-AU"/>
        </w:rPr>
        <w:t>NH</w:t>
      </w:r>
      <w:r w:rsidRPr="00286A88">
        <w:rPr>
          <w:rFonts w:cs="Times-Bold"/>
          <w:bCs/>
          <w:vertAlign w:val="subscript"/>
          <w:lang w:val="en-AU" w:eastAsia="en-AU"/>
        </w:rPr>
        <w:t>3</w:t>
      </w:r>
      <w:r w:rsidRPr="00286A88">
        <w:rPr>
          <w:rFonts w:cs="Palatino-Roman"/>
          <w:szCs w:val="20"/>
          <w:lang w:val="en-AU" w:eastAsia="en-AU"/>
        </w:rPr>
        <w:t xml:space="preserve"> (≥50 ppm) inhibits broiler performance levels</w:t>
      </w:r>
      <w:r w:rsidRPr="00286A88">
        <w:rPr>
          <w:rFonts w:cs="Times New Roman"/>
          <w:lang w:val="en-AU" w:eastAsia="en-AU"/>
        </w:rPr>
        <w:t>, and results in lower body weights (</w:t>
      </w:r>
      <w:r w:rsidRPr="00286A88">
        <w:rPr>
          <w:lang w:val="en-AU" w:eastAsia="en-AU"/>
        </w:rPr>
        <w:t xml:space="preserve">Beker et al., 2004; </w:t>
      </w:r>
      <w:r w:rsidRPr="00286A88">
        <w:rPr>
          <w:rFonts w:cs="AdvOT1ef757c0"/>
          <w:lang w:val="en-AU" w:eastAsia="en-AU"/>
        </w:rPr>
        <w:t xml:space="preserve">Miles et al., 2004; Yahav, 2004; </w:t>
      </w:r>
      <w:r w:rsidRPr="00286A88">
        <w:rPr>
          <w:rFonts w:cs="Times New Roman"/>
          <w:lang w:val="en-AU" w:eastAsia="en-AU"/>
        </w:rPr>
        <w:t>Wang et al., 2010, Wei et al., 2012</w:t>
      </w:r>
      <w:r w:rsidRPr="00286A88">
        <w:rPr>
          <w:rFonts w:cs="Times-Italic"/>
          <w:iCs/>
          <w:lang w:val="en-AU" w:eastAsia="en-AU"/>
        </w:rPr>
        <w:t>) though often with no significant difference in feed conversion ratio (Miles et al., 2004; Wei et al., 2012).</w:t>
      </w:r>
      <w:r w:rsidRPr="00286A88">
        <w:rPr>
          <w:rFonts w:cs="Times New Roman"/>
          <w:lang w:val="en-AU" w:eastAsia="en-AU"/>
        </w:rPr>
        <w:t xml:space="preserve"> </w:t>
      </w:r>
      <w:r w:rsidRPr="00286A88">
        <w:rPr>
          <w:rFonts w:cs="Times-Bold"/>
          <w:bCs/>
          <w:lang w:val="en-AU" w:eastAsia="en-AU"/>
        </w:rPr>
        <w:t>NH</w:t>
      </w:r>
      <w:r w:rsidRPr="00286A88">
        <w:rPr>
          <w:rFonts w:cs="Times-Bold"/>
          <w:bCs/>
          <w:vertAlign w:val="subscript"/>
          <w:lang w:val="en-AU" w:eastAsia="en-AU"/>
        </w:rPr>
        <w:t>3</w:t>
      </w:r>
      <w:r w:rsidRPr="00286A88">
        <w:rPr>
          <w:rFonts w:cs="Times New Roman"/>
          <w:lang w:val="en-AU" w:eastAsia="en-AU"/>
        </w:rPr>
        <w:t xml:space="preserve"> may also prevent broilers from regulating their body temperature effectively; exposure to ≥39 ppm has been shown to increase body temperature to levels typical of mild hyperthermia (</w:t>
      </w:r>
      <w:r w:rsidRPr="00286A88">
        <w:rPr>
          <w:rFonts w:cs="AdvOT82c4f4c4"/>
          <w:lang w:val="en-AU" w:eastAsia="en-AU"/>
        </w:rPr>
        <w:t>Yahav, 2004).</w:t>
      </w:r>
    </w:p>
    <w:p w14:paraId="212BF694" w14:textId="77777777" w:rsidR="00286A88" w:rsidRPr="00286A88" w:rsidRDefault="00286A88" w:rsidP="00267465">
      <w:pPr>
        <w:rPr>
          <w:rFonts w:cs="Palatino-Roman"/>
          <w:lang w:val="en-AU" w:eastAsia="en-AU"/>
        </w:rPr>
      </w:pPr>
      <w:r w:rsidRPr="00286A88">
        <w:rPr>
          <w:rFonts w:cs="Times New Roman"/>
          <w:lang w:val="en-AU" w:eastAsia="en-AU"/>
        </w:rPr>
        <w:t xml:space="preserve">When Miles et al. (2011) measured ammonia emissions from </w:t>
      </w:r>
      <w:r w:rsidRPr="00286A88">
        <w:rPr>
          <w:rFonts w:eastAsia="ComputerModern-Regular" w:cs="ComputerModern-Regular"/>
          <w:lang w:val="en-AU" w:eastAsia="en-AU"/>
        </w:rPr>
        <w:t>laboratory-prepared litter (mixed with excreta) they observed that sand and vermiculite generated the most NH</w:t>
      </w:r>
      <w:r w:rsidRPr="00286A88">
        <w:rPr>
          <w:rFonts w:eastAsia="ComputerModern-Regular" w:cs="ComputerModern-Regular"/>
          <w:vertAlign w:val="subscript"/>
          <w:lang w:val="en-AU" w:eastAsia="en-AU"/>
        </w:rPr>
        <w:t>3</w:t>
      </w:r>
      <w:r w:rsidRPr="00286A88">
        <w:rPr>
          <w:rFonts w:eastAsia="ComputerModern-Regular" w:cs="ComputerModern-Regular"/>
          <w:lang w:val="en-AU" w:eastAsia="en-AU"/>
        </w:rPr>
        <w:t>, while wood-shavings and rice hull litters emitted the least. For each litter-type, moisture content was positively associated with NH</w:t>
      </w:r>
      <w:r w:rsidRPr="00286A88">
        <w:rPr>
          <w:rFonts w:eastAsia="ComputerModern-Regular" w:cs="ComputerModern-Regular"/>
          <w:vertAlign w:val="subscript"/>
          <w:lang w:val="en-AU" w:eastAsia="en-AU"/>
        </w:rPr>
        <w:t>3</w:t>
      </w:r>
      <w:r w:rsidRPr="00286A88">
        <w:rPr>
          <w:rFonts w:eastAsia="ComputerModern-Regular" w:cs="ComputerModern-Regular"/>
          <w:lang w:val="en-AU" w:eastAsia="en-AU"/>
        </w:rPr>
        <w:t xml:space="preserve"> volatilisation, indicating that litter moisture control is key to reducing NH</w:t>
      </w:r>
      <w:r w:rsidRPr="00286A88">
        <w:rPr>
          <w:rFonts w:eastAsia="ComputerModern-Regular" w:cs="ComputerModern-Regular"/>
          <w:vertAlign w:val="subscript"/>
          <w:lang w:val="en-AU" w:eastAsia="en-AU"/>
        </w:rPr>
        <w:t xml:space="preserve">3 </w:t>
      </w:r>
      <w:r w:rsidRPr="00286A88">
        <w:rPr>
          <w:rFonts w:eastAsia="ComputerModern-Regular" w:cs="ComputerModern-Regular"/>
          <w:lang w:val="en-AU" w:eastAsia="en-AU"/>
        </w:rPr>
        <w:t>emissions</w:t>
      </w:r>
      <w:r w:rsidRPr="00286A88">
        <w:rPr>
          <w:rFonts w:cs="Times New Roman"/>
          <w:lang w:val="en-AU" w:eastAsia="en-AU"/>
        </w:rPr>
        <w:t xml:space="preserve"> (Miles et al., 2011)</w:t>
      </w:r>
      <w:r w:rsidRPr="00286A88">
        <w:rPr>
          <w:rFonts w:eastAsia="ComputerModern-Regular" w:cs="ComputerModern-Regular"/>
          <w:lang w:val="en-AU" w:eastAsia="en-AU"/>
        </w:rPr>
        <w:t>.</w:t>
      </w:r>
    </w:p>
    <w:p w14:paraId="2E9F47EF" w14:textId="77777777" w:rsidR="00286A88" w:rsidRPr="00286A88" w:rsidRDefault="00286A88" w:rsidP="00267465">
      <w:pPr>
        <w:rPr>
          <w:lang w:val="en-AU" w:eastAsia="en-AU"/>
        </w:rPr>
      </w:pPr>
      <w:r w:rsidRPr="00286A88">
        <w:rPr>
          <w:lang w:val="en-AU" w:eastAsia="en-AU"/>
        </w:rPr>
        <w:t xml:space="preserve">Airborne particles in poultry houses are almost entirely organic in origin, with bedding, faeces, skin, feathers, feed and micro-organisms contributing to the inhalable and respirable particles (Banhazi et al., 2008). </w:t>
      </w:r>
      <w:r w:rsidRPr="00286A88">
        <w:rPr>
          <w:rFonts w:cs="Times New Roman"/>
          <w:lang w:val="en-AU" w:eastAsia="en-AU"/>
        </w:rPr>
        <w:t xml:space="preserve">Dust in broiler houses can be minimised through the use of proper ventilation and by keeping relative humidity at recommended levels. </w:t>
      </w:r>
      <w:r w:rsidRPr="00286A88">
        <w:rPr>
          <w:lang w:val="en-AU" w:eastAsia="en-AU"/>
        </w:rPr>
        <w:t>Respirable particle concentrations (i.e. that penetrating the unciliated airways) have been found to be: higher in buildings which remained uncleaned between batches of broilers, positively correlated with stocking density, and negatively correlated with ventilation rate and RH (Banhazi et al., 2008). Inhalable particle concentrations have been found to be: lower in tunnel-ventilated buildings (compared to cross-ventilated buildings), higher in buildings utilising straw litter (compared to wood-shavings), positively correlated with temperature and negatively correlated with the building age (Banhazi et al., 2008). The viable airborne particle concentration (i.e. total airborne bacteria) has been found to be: higher in buildings which remained uncleaned between batches of broilers, lower in tunnel-ventilated buildings, negatively correlated with the building age, higher in buildings using wood-shavings as litter, and positively correlated with temperature (Banhazi et al., 2008).</w:t>
      </w:r>
    </w:p>
    <w:p w14:paraId="2F977032" w14:textId="77777777" w:rsidR="00286A88" w:rsidRPr="00286A88" w:rsidRDefault="00286A88" w:rsidP="00267465">
      <w:pPr>
        <w:rPr>
          <w:rFonts w:cs="TimesNewRomanPSMT"/>
          <w:lang w:val="en-AU" w:eastAsia="en-AU"/>
        </w:rPr>
      </w:pPr>
      <w:r w:rsidRPr="00286A88">
        <w:rPr>
          <w:rFonts w:cs="TimesNewRomanPSMT"/>
          <w:lang w:val="en-AU" w:eastAsia="en-AU"/>
        </w:rPr>
        <w:t>Ozonisation has been used as a disinfectant treatment within the poultry industry with varying success. Ozone is a very unstable and reactive molecule that can rapidly oxidise many organic substances and is often used for odour control. Interest has been expressed in the use of ozonisation in intensive broiler production units to improve air quality, in particular to reduce atmospheric NH</w:t>
      </w:r>
      <w:r w:rsidRPr="00286A88">
        <w:rPr>
          <w:rFonts w:cs="TimesNewRomanPSMT"/>
          <w:vertAlign w:val="subscript"/>
          <w:lang w:val="en-AU" w:eastAsia="en-AU"/>
        </w:rPr>
        <w:t>3</w:t>
      </w:r>
      <w:r w:rsidRPr="00286A88">
        <w:rPr>
          <w:rFonts w:cs="TimesNewRomanPSMT"/>
          <w:lang w:val="en-AU" w:eastAsia="en-AU"/>
        </w:rPr>
        <w:t xml:space="preserve"> levels and bacterial load. Birds exposed to ozone (0.03 ppm) have been observed to grow slower, consume less feed, and have higher mortality and more carcase condemnations than non-exposed broilers (</w:t>
      </w:r>
      <w:r w:rsidRPr="00286A88">
        <w:rPr>
          <w:rFonts w:cs="TimesNewRomanPS-BoldMT"/>
          <w:bCs/>
          <w:lang w:val="en-AU" w:eastAsia="en-AU"/>
        </w:rPr>
        <w:t>Schwean-Lardner</w:t>
      </w:r>
      <w:r w:rsidRPr="00286A88">
        <w:rPr>
          <w:rFonts w:cs="TimesNewRomanPSMT"/>
          <w:lang w:val="en-AU" w:eastAsia="en-AU"/>
        </w:rPr>
        <w:t xml:space="preserve"> et al., 2009); in addition, ozone caused no significant decrease in ammonia level or total bacterial count. The morbidity and mortality levels in birds subjected to ozone make ozone gas unacceptable for use in a commercial broiler unit.</w:t>
      </w:r>
    </w:p>
    <w:p w14:paraId="5FB7F5DE" w14:textId="77777777" w:rsidR="00286A88" w:rsidRPr="00286A88" w:rsidRDefault="00286A88" w:rsidP="00267465">
      <w:pPr>
        <w:pStyle w:val="Heading3"/>
        <w:rPr>
          <w:lang w:val="en-AU" w:eastAsia="en-AU"/>
        </w:rPr>
      </w:pPr>
      <w:bookmarkStart w:id="130" w:name="_Toc495310599"/>
      <w:r w:rsidRPr="00286A88">
        <w:rPr>
          <w:lang w:val="en-AU" w:eastAsia="en-AU"/>
        </w:rPr>
        <w:t>B9.3 Litter quality</w:t>
      </w:r>
      <w:bookmarkEnd w:id="130"/>
    </w:p>
    <w:p w14:paraId="2F603F55" w14:textId="77777777" w:rsidR="00286A88" w:rsidRPr="00267465" w:rsidRDefault="00286A88" w:rsidP="00267465">
      <w:pPr>
        <w:rPr>
          <w:i/>
          <w:lang w:val="en-AU" w:eastAsia="en-AU"/>
        </w:rPr>
      </w:pPr>
      <w:r w:rsidRPr="00267465">
        <w:rPr>
          <w:i/>
          <w:lang w:val="en-AU" w:eastAsia="en-AU"/>
        </w:rPr>
        <w:t>Poor quality litter may result in contact dermatitis, dirty feathers and prevent birds from performing natural litter-based behaviour; litter quality is related to the type of bedding material, nutrition and gut-health, management of ventilation, heating, and water supply (prevention of spillage). Stocking density can contribute towards litter moisture levels, but good quality litter should still be possible with appropriate bird health and environmental management.</w:t>
      </w:r>
    </w:p>
    <w:p w14:paraId="1A6A791F" w14:textId="77777777" w:rsidR="00286A88" w:rsidRPr="00286A88" w:rsidRDefault="00286A88" w:rsidP="00267465">
      <w:pPr>
        <w:rPr>
          <w:color w:val="000000"/>
          <w:lang w:val="en-AU" w:eastAsia="en-AU"/>
        </w:rPr>
      </w:pPr>
      <w:r w:rsidRPr="00286A88">
        <w:rPr>
          <w:color w:val="000000"/>
          <w:lang w:val="en-AU" w:eastAsia="en-AU"/>
        </w:rPr>
        <w:t>The Welfare Quality® assessment protocol for broilers describes a 5-point scale for scoring litter quality (0: Completely dry and flaky, moves easily with foot; 1: Dry but not easy to move with foot; 2: Leaves imprint of foot and will form a ball if compacted, but ball does not stay together well; 3: Sticks to boots and sticks readily in a ball if compacted; 4: Sticks to boots once the cap or compacted crust is broken) (Welfare Quality®, 2009). The measurement of litter pH using a mobile monitoring device may also be useful.</w:t>
      </w:r>
    </w:p>
    <w:p w14:paraId="01B55A8E" w14:textId="77777777" w:rsidR="00286A88" w:rsidRPr="00286A88" w:rsidRDefault="00286A88" w:rsidP="00267465">
      <w:pPr>
        <w:rPr>
          <w:rFonts w:eastAsia="ComputerModern-Regular" w:cs="ComputerModern-Regular"/>
          <w:color w:val="000000"/>
          <w:lang w:val="en-AU" w:eastAsia="en-AU"/>
        </w:rPr>
      </w:pPr>
      <w:r w:rsidRPr="00286A88">
        <w:rPr>
          <w:rFonts w:cs="Palatino-Roman"/>
          <w:color w:val="000000"/>
          <w:lang w:val="en-AU" w:eastAsia="en-AU"/>
        </w:rPr>
        <w:t>Higher litter moisture has been linked with more drinkers per unit area and with the automatic control of house temperature (</w:t>
      </w:r>
      <w:r w:rsidRPr="00286A88">
        <w:rPr>
          <w:rFonts w:cs="Minion-Regular"/>
          <w:color w:val="000000"/>
          <w:lang w:val="en-AU" w:eastAsia="en-AU"/>
        </w:rPr>
        <w:t xml:space="preserve">Dawkins et al., 2004; </w:t>
      </w:r>
      <w:r w:rsidRPr="00286A88">
        <w:rPr>
          <w:rFonts w:cs="Palatino-Roman"/>
          <w:color w:val="000000"/>
          <w:lang w:val="en-AU" w:eastAsia="en-AU"/>
        </w:rPr>
        <w:t>J</w:t>
      </w:r>
      <w:r w:rsidRPr="00286A88">
        <w:rPr>
          <w:rFonts w:cs="FrutigerLTStd-Light"/>
          <w:color w:val="000000"/>
          <w:lang w:val="en-AU" w:eastAsia="en-AU"/>
        </w:rPr>
        <w:t xml:space="preserve">ones </w:t>
      </w:r>
      <w:r w:rsidRPr="00286A88">
        <w:rPr>
          <w:rFonts w:cs="FrutigerLTStd-LightItalic"/>
          <w:iCs/>
          <w:color w:val="000000"/>
          <w:lang w:val="en-AU" w:eastAsia="en-AU"/>
        </w:rPr>
        <w:t xml:space="preserve">et al., </w:t>
      </w:r>
      <w:r w:rsidRPr="00286A88">
        <w:rPr>
          <w:rFonts w:cs="FrutigerLTStd-Light"/>
          <w:color w:val="000000"/>
          <w:lang w:val="en-AU" w:eastAsia="en-AU"/>
        </w:rPr>
        <w:t>2005a</w:t>
      </w:r>
      <w:r w:rsidRPr="00286A88">
        <w:rPr>
          <w:rFonts w:cs="Minion-Regular"/>
          <w:color w:val="000000"/>
          <w:lang w:val="en-AU" w:eastAsia="en-AU"/>
        </w:rPr>
        <w:t xml:space="preserve">). </w:t>
      </w:r>
      <w:r w:rsidRPr="00286A88">
        <w:rPr>
          <w:rFonts w:eastAsia="ComputerModern-Regular" w:cs="ComputerModern-Regular"/>
          <w:color w:val="000000"/>
          <w:lang w:val="en-AU" w:eastAsia="en-AU"/>
        </w:rPr>
        <w:t>Bassler et al. (2013) observed a negative correlation between the length of the scotophase and litter quality which reflected reduced bird activity. Broilers generally rest during dark periods, thereby compacting the litter rather than working it. This effect is likely to be more pronounced with increasing bird age, as they become physically less active (Bokkers and Koene, 2003a; Baeza et al., 2012) and produce more faeces. In the Bassler et al. (2013) study, interestingly, FPD and HB were negatively associated with day length, despite deteriorating litter quality.</w:t>
      </w:r>
    </w:p>
    <w:p w14:paraId="255FA738" w14:textId="77777777" w:rsidR="00286A88" w:rsidRPr="00286A88" w:rsidRDefault="00286A88" w:rsidP="00267465">
      <w:pPr>
        <w:rPr>
          <w:rFonts w:cs="AdvP4CD4D0"/>
          <w:color w:val="000000"/>
          <w:lang w:val="en-AU" w:eastAsia="en-AU"/>
        </w:rPr>
      </w:pPr>
      <w:r w:rsidRPr="00286A88">
        <w:rPr>
          <w:color w:val="000000"/>
          <w:lang w:val="en-AU" w:eastAsia="en-AU"/>
        </w:rPr>
        <w:t xml:space="preserve">Season has a marked influence upon litter moisture, which is usually higher during colder months (e.g. </w:t>
      </w:r>
      <w:r w:rsidRPr="00286A88">
        <w:rPr>
          <w:rFonts w:cs="FrutigerLTStd-Light"/>
          <w:color w:val="000000"/>
          <w:lang w:val="en-AU" w:eastAsia="en-AU"/>
        </w:rPr>
        <w:t xml:space="preserve">Dawkins </w:t>
      </w:r>
      <w:r w:rsidRPr="00286A88">
        <w:rPr>
          <w:rFonts w:cs="FrutigerLTStd-LightItalic"/>
          <w:iCs/>
          <w:color w:val="000000"/>
          <w:lang w:val="en-AU" w:eastAsia="en-AU"/>
        </w:rPr>
        <w:t>et al</w:t>
      </w:r>
      <w:r w:rsidRPr="00286A88">
        <w:rPr>
          <w:rFonts w:cs="FrutigerLTStd-Light"/>
          <w:color w:val="000000"/>
          <w:lang w:val="en-AU" w:eastAsia="en-AU"/>
        </w:rPr>
        <w:t xml:space="preserve">., 2004; </w:t>
      </w:r>
      <w:r w:rsidRPr="00286A88">
        <w:rPr>
          <w:rFonts w:cs="Minion-Regular"/>
          <w:color w:val="000000"/>
          <w:lang w:val="en-AU" w:eastAsia="en-AU"/>
        </w:rPr>
        <w:t xml:space="preserve">Hermans et al., 2006; </w:t>
      </w:r>
      <w:r w:rsidRPr="00286A88">
        <w:rPr>
          <w:rFonts w:cs="AdvP4CD4D0"/>
          <w:color w:val="000000"/>
          <w:lang w:val="en-AU" w:eastAsia="en-AU"/>
        </w:rPr>
        <w:t>Meluzzi et al., 2008b</w:t>
      </w:r>
      <w:r w:rsidRPr="00286A88">
        <w:rPr>
          <w:rFonts w:eastAsia="ComputerModern-Regular" w:cs="ComputerModern-Regular"/>
          <w:color w:val="000000"/>
          <w:lang w:val="en-AU" w:eastAsia="en-AU"/>
        </w:rPr>
        <w:t>). Un</w:t>
      </w:r>
      <w:r w:rsidRPr="00286A88">
        <w:rPr>
          <w:rFonts w:cs="AdvP4CD4D0"/>
          <w:color w:val="000000"/>
          <w:lang w:val="en-AU" w:eastAsia="en-AU"/>
        </w:rPr>
        <w:t xml:space="preserve">der cooler ambient temperatures ventilation rates are often reduced to maintain shed temperatures, moisture extraction drops and litter moisture progressively elevates (see B9.4). </w:t>
      </w:r>
      <w:r w:rsidRPr="00286A88">
        <w:rPr>
          <w:rFonts w:cs="Minion-Regular"/>
          <w:color w:val="000000"/>
          <w:lang w:val="en-AU" w:eastAsia="en-AU"/>
        </w:rPr>
        <w:t xml:space="preserve">Hermans et al. (2006) observed that </w:t>
      </w:r>
      <w:r w:rsidRPr="00286A88">
        <w:rPr>
          <w:rFonts w:cs="Formata-Medium"/>
          <w:bCs/>
          <w:color w:val="000000"/>
          <w:lang w:val="en-AU" w:eastAsia="en-AU"/>
        </w:rPr>
        <w:t xml:space="preserve">farms using side ventilation systems were at an increased risk of having poor litter quality. </w:t>
      </w:r>
      <w:r w:rsidRPr="00286A88">
        <w:rPr>
          <w:rFonts w:cs="AdvP4CD4D0"/>
          <w:color w:val="000000"/>
          <w:lang w:val="en-AU" w:eastAsia="en-AU"/>
        </w:rPr>
        <w:t>In addition, the heating system employed can also contribute to litter deterioration; gas burning heating systems, if located within the shed itself, will generate a lot of water via condensation as a by-product of combustion.</w:t>
      </w:r>
    </w:p>
    <w:p w14:paraId="619EDA93" w14:textId="77777777" w:rsidR="00286A88" w:rsidRPr="00286A88" w:rsidRDefault="00286A88" w:rsidP="00267465">
      <w:pPr>
        <w:rPr>
          <w:rFonts w:cs="AdvTR"/>
          <w:color w:val="000000"/>
          <w:lang w:val="en-AU" w:eastAsia="en-AU"/>
        </w:rPr>
      </w:pPr>
      <w:r w:rsidRPr="00286A88">
        <w:rPr>
          <w:rFonts w:cs="AdvTR"/>
          <w:color w:val="000000"/>
          <w:lang w:val="en-AU" w:eastAsia="en-AU"/>
        </w:rPr>
        <w:t xml:space="preserve">Gut health is linked with litter quality as any increase in faecal water content or diarrhoea (scour) will be directly transferred to the litter. </w:t>
      </w:r>
      <w:r w:rsidRPr="00286A88">
        <w:rPr>
          <w:rFonts w:cs="Arial"/>
          <w:color w:val="000000"/>
          <w:lang w:val="en-AU" w:eastAsia="en-AU"/>
        </w:rPr>
        <w:t>Causes of diarrhoea in broilers include c</w:t>
      </w:r>
      <w:r w:rsidRPr="00286A88">
        <w:rPr>
          <w:rFonts w:cs="Arial"/>
          <w:color w:val="000000"/>
          <w:lang w:val="en-AU" w:eastAsia="en-GB"/>
        </w:rPr>
        <w:t xml:space="preserve">occidiosis, worms, viral or bacterial infection, a diet too high in protein or long periods without feed. </w:t>
      </w:r>
      <w:r w:rsidRPr="00286A88">
        <w:rPr>
          <w:rFonts w:cs="AdvTR"/>
          <w:color w:val="000000"/>
          <w:lang w:val="en-AU" w:eastAsia="en-AU"/>
        </w:rPr>
        <w:t>Jacob et al. (2016b)</w:t>
      </w:r>
      <w:r w:rsidRPr="00286A88">
        <w:rPr>
          <w:rFonts w:cs="FrutigerLTStd-Light"/>
          <w:color w:val="000000"/>
          <w:lang w:val="en-AU" w:eastAsia="en-AU"/>
        </w:rPr>
        <w:t xml:space="preserve"> observed an increase in FPD incidence between 19-29 days old, which correlated with the dietary switch to the grower feed; this abrupt dietary transition was hypothesised to have reduced </w:t>
      </w:r>
      <w:r w:rsidRPr="00286A88">
        <w:rPr>
          <w:rFonts w:cs="AdvTR"/>
          <w:color w:val="000000"/>
          <w:lang w:val="en-AU" w:eastAsia="en-AU"/>
        </w:rPr>
        <w:t>gut health and, thus, litter quality (although this was unreported at the time).</w:t>
      </w:r>
    </w:p>
    <w:p w14:paraId="263411F8" w14:textId="77777777" w:rsidR="00286A88" w:rsidRPr="00286A88" w:rsidRDefault="00286A88" w:rsidP="00267465">
      <w:pPr>
        <w:rPr>
          <w:rFonts w:cs="Minion-Regular"/>
          <w:color w:val="000000"/>
          <w:lang w:val="en-AU" w:eastAsia="en-AU"/>
        </w:rPr>
      </w:pPr>
      <w:r w:rsidRPr="00286A88">
        <w:rPr>
          <w:color w:val="000000"/>
          <w:lang w:val="en-AU" w:eastAsia="en-AU"/>
        </w:rPr>
        <w:t xml:space="preserve">The welfare implications of </w:t>
      </w:r>
      <w:r w:rsidRPr="00286A88">
        <w:rPr>
          <w:rFonts w:cs="AdvPS94BA"/>
          <w:color w:val="000000"/>
          <w:lang w:val="en-AU" w:eastAsia="en-AU"/>
        </w:rPr>
        <w:t>poor litter quality (high litter moisture) have been described (see B3.4). In addition, co</w:t>
      </w:r>
      <w:r w:rsidRPr="00286A88">
        <w:rPr>
          <w:color w:val="000000"/>
          <w:lang w:val="en-AU" w:eastAsia="en-AU"/>
        </w:rPr>
        <w:t xml:space="preserve">ntact with wet and dirty litter causes the feathers (particularly those on the breast) to become soiled with faeces such that they lose their protective properties. </w:t>
      </w:r>
      <w:r w:rsidRPr="00286A88">
        <w:rPr>
          <w:rFonts w:cs="AdvP4CD4D0"/>
          <w:color w:val="000000"/>
          <w:lang w:val="en-AU" w:eastAsia="en-AU"/>
        </w:rPr>
        <w:t>The scoring system for plumage cleanliness currently in use on-farm as part of the Welfare Quality® Assessment protocol for broilers comprises a 4-point scale developed by Bristol University and utilises photographic images for reference (Figure B4).</w:t>
      </w:r>
    </w:p>
    <w:p w14:paraId="36A22565" w14:textId="77777777" w:rsidR="00286A88" w:rsidRPr="00864384" w:rsidRDefault="00286A88" w:rsidP="00286A88">
      <w:pPr>
        <w:spacing w:after="200" w:line="240" w:lineRule="auto"/>
        <w:rPr>
          <w:rFonts w:eastAsia="Times New Roman" w:cs="Arial"/>
          <w:b/>
          <w:color w:val="000000"/>
          <w:sz w:val="22"/>
          <w:szCs w:val="22"/>
          <w:lang w:val="en-AU" w:eastAsia="en-AU"/>
        </w:rPr>
      </w:pPr>
      <w:r w:rsidRPr="00864384">
        <w:rPr>
          <w:rFonts w:eastAsia="Times New Roman" w:cs="Arial"/>
          <w:b/>
          <w:noProof/>
          <w:color w:val="000000"/>
          <w:sz w:val="22"/>
          <w:szCs w:val="22"/>
          <w:lang w:val="en-AU" w:eastAsia="en-AU"/>
        </w:rPr>
        <w:drawing>
          <wp:inline distT="0" distB="0" distL="0" distR="0" wp14:anchorId="01204AE8" wp14:editId="4EE658C8">
            <wp:extent cx="5724525" cy="2181225"/>
            <wp:effectExtent l="0" t="0" r="9525" b="9525"/>
            <wp:docPr id="22" name="Picture 2" descr="This figure shows four photographic images of broilers hanging by their feet, used as references to score plumage cleanliness on a four point scale. From left to right the four photographs show plumage as progressively dirtier, scored as 0 (cleanest), 1, 2, and 3 (dirtiest). This scoring system was developed by Bristol University and is used on-farm as part of the Welfare Quality® Assessment protocol for poultry." title="Figure B4: Four point scoring scale (0-3) for categorising plumage cleanliness in broi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5724525" cy="2181225"/>
                    </a:xfrm>
                    <a:prstGeom prst="rect">
                      <a:avLst/>
                    </a:prstGeom>
                    <a:noFill/>
                    <a:ln w="9525">
                      <a:noFill/>
                      <a:miter lim="800000"/>
                      <a:headEnd/>
                      <a:tailEnd/>
                    </a:ln>
                  </pic:spPr>
                </pic:pic>
              </a:graphicData>
            </a:graphic>
          </wp:inline>
        </w:drawing>
      </w:r>
    </w:p>
    <w:p w14:paraId="0581666B" w14:textId="77777777" w:rsidR="00286A88" w:rsidRPr="00286A88" w:rsidRDefault="00286A88" w:rsidP="00267465">
      <w:pPr>
        <w:spacing w:before="240" w:after="240"/>
        <w:rPr>
          <w:b/>
          <w:lang w:val="en-AU" w:eastAsia="en-AU"/>
        </w:rPr>
      </w:pPr>
      <w:r w:rsidRPr="00286A88">
        <w:rPr>
          <w:b/>
          <w:lang w:val="en-AU" w:eastAsia="en-AU"/>
        </w:rPr>
        <w:t>Figure B4: Four point scoring scale (0-3) for categorising plumage cleanliness in broilers (Welfare Quality®, 2009)</w:t>
      </w:r>
    </w:p>
    <w:p w14:paraId="5042B85D" w14:textId="77777777" w:rsidR="00286A88" w:rsidRPr="00286A88" w:rsidRDefault="00286A88" w:rsidP="00267465">
      <w:pPr>
        <w:rPr>
          <w:rFonts w:cs="Minion-Regular"/>
          <w:lang w:val="en-AU" w:eastAsia="en-AU"/>
        </w:rPr>
      </w:pPr>
      <w:r w:rsidRPr="00286A88">
        <w:rPr>
          <w:lang w:val="en-AU" w:eastAsia="en-AU"/>
        </w:rPr>
        <w:t>Environmental control is the key to managing litter quality. Maintaining the temperature and RH within optimum limits, as well as increasing ventilation levels when necessary, can all be effective in maintaining litter quality. In order to maintain gut health a more gradual change-over between diets may be helpful, and l</w:t>
      </w:r>
      <w:r w:rsidRPr="00286A88">
        <w:rPr>
          <w:rFonts w:cs="Minion-Regular"/>
          <w:lang w:val="en-AU" w:eastAsia="en-AU"/>
        </w:rPr>
        <w:t>ong periods without feed, e.g. caused by feed equipment failures, should be avoided. Strict adherence to biosecurity measures (including separate farm clothing for each house) is also important in preventing wet litter (e.g. Hermans et al., 2006).</w:t>
      </w:r>
    </w:p>
    <w:p w14:paraId="2AA7A90B" w14:textId="77777777" w:rsidR="00286A88" w:rsidRPr="00286A88" w:rsidRDefault="00286A88" w:rsidP="00267465">
      <w:pPr>
        <w:pStyle w:val="Heading3"/>
        <w:rPr>
          <w:lang w:val="en-AU" w:eastAsia="en-AU"/>
        </w:rPr>
      </w:pPr>
      <w:bookmarkStart w:id="131" w:name="_Toc495310600"/>
      <w:r w:rsidRPr="00286A88">
        <w:rPr>
          <w:lang w:val="en-AU" w:eastAsia="en-AU"/>
        </w:rPr>
        <w:t>B9.4 Temperature and humidity</w:t>
      </w:r>
      <w:bookmarkEnd w:id="131"/>
    </w:p>
    <w:p w14:paraId="7D0CDBFD" w14:textId="77777777" w:rsidR="00286A88" w:rsidRPr="00267465" w:rsidRDefault="00286A88" w:rsidP="00267465">
      <w:pPr>
        <w:rPr>
          <w:i/>
          <w:lang w:val="en-AU" w:eastAsia="en-AU"/>
        </w:rPr>
      </w:pPr>
      <w:r w:rsidRPr="00267465">
        <w:rPr>
          <w:i/>
          <w:lang w:val="en-AU" w:eastAsia="en-AU"/>
        </w:rPr>
        <w:t>Maintaining temperature and humidity levels within the limits recommended by the breeder company throughout the life of the broilers is key to maximising welfare; deviations outside of this range are linked with multiple health problems, including mortality.</w:t>
      </w:r>
    </w:p>
    <w:p w14:paraId="716086AC" w14:textId="77777777" w:rsidR="00286A88" w:rsidRPr="00286A88" w:rsidRDefault="00286A88" w:rsidP="00267465">
      <w:pPr>
        <w:rPr>
          <w:lang w:val="en-AU" w:eastAsia="en-AU"/>
        </w:rPr>
      </w:pPr>
      <w:r w:rsidRPr="00286A88">
        <w:rPr>
          <w:lang w:val="en-AU" w:eastAsia="en-AU"/>
        </w:rPr>
        <w:t xml:space="preserve">Broiler breed management guides (e.g. the Ross broiler pocket guide, available from </w:t>
      </w:r>
      <w:hyperlink r:id="rId57" w:tooltip="This is a link to Aviagen's website" w:history="1">
        <w:r w:rsidR="00ED55F4" w:rsidRPr="00890CDC">
          <w:rPr>
            <w:rStyle w:val="Hyperlink"/>
            <w:lang w:val="en-AU" w:eastAsia="en-AU"/>
          </w:rPr>
          <w:t>http://eu.aviagen.com</w:t>
        </w:r>
      </w:hyperlink>
      <w:r w:rsidR="00ED55F4">
        <w:rPr>
          <w:lang w:val="en-AU" w:eastAsia="en-AU"/>
        </w:rPr>
        <w:t>)</w:t>
      </w:r>
      <w:r w:rsidRPr="00286A88">
        <w:rPr>
          <w:lang w:val="en-AU" w:eastAsia="en-AU"/>
        </w:rPr>
        <w:t xml:space="preserve"> generally recommend (whole house) ambient temperature for brooding broilers of between 30 and 33 </w:t>
      </w:r>
      <w:r w:rsidRPr="00286A88">
        <w:rPr>
          <w:rFonts w:cs="Times-Roman"/>
          <w:lang w:val="en-AU" w:eastAsia="en-AU"/>
        </w:rPr>
        <w:t>°C</w:t>
      </w:r>
      <w:r w:rsidRPr="00286A88">
        <w:rPr>
          <w:lang w:val="en-AU" w:eastAsia="en-AU"/>
        </w:rPr>
        <w:t xml:space="preserve"> for the first 3 days, depending on relative humidity levels. This is progressively decreased by approximately </w:t>
      </w:r>
      <w:r w:rsidRPr="00286A88">
        <w:rPr>
          <w:rFonts w:cs="Times-Roman"/>
          <w:lang w:val="en-AU" w:eastAsia="en-AU"/>
        </w:rPr>
        <w:t xml:space="preserve">3 °C per week until 21 days. </w:t>
      </w:r>
      <w:r w:rsidRPr="00286A88">
        <w:rPr>
          <w:lang w:val="en-AU" w:eastAsia="en-AU"/>
        </w:rPr>
        <w:t>Rearing temperatures reflect thermo-</w:t>
      </w:r>
      <w:r w:rsidRPr="00286A88">
        <w:rPr>
          <w:rFonts w:cs="Times-Roman"/>
          <w:lang w:val="en-AU" w:eastAsia="en-AU"/>
        </w:rPr>
        <w:t>neutral conditions (24 °C) and should be maintained for the entire grow-out period.</w:t>
      </w:r>
    </w:p>
    <w:p w14:paraId="1F1B67CD" w14:textId="77777777" w:rsidR="00286A88" w:rsidRPr="00286A88" w:rsidRDefault="00286A88" w:rsidP="00267465">
      <w:pPr>
        <w:rPr>
          <w:lang w:val="en-AU" w:eastAsia="en-AU"/>
        </w:rPr>
      </w:pPr>
      <w:r w:rsidRPr="00286A88">
        <w:rPr>
          <w:lang w:val="en-AU" w:eastAsia="en-AU"/>
        </w:rPr>
        <w:t xml:space="preserve">Air temperature and RH are influenced by environmental conditions, in addition to factors linked to management factors such as heating systems, ventilation rate, stocking density, and live weight of the birds. In addition, RH is also affected by litter type, drinker properties (type and number), water consumption and water spillage. RH is usually higher during colder months when the ventilation rate may be reduced to retain heat within the house and save energy. </w:t>
      </w:r>
      <w:r w:rsidRPr="00286A88">
        <w:rPr>
          <w:rFonts w:cs="Palatino-Roman"/>
          <w:lang w:val="en-AU" w:eastAsia="en-AU"/>
        </w:rPr>
        <w:t>In UK broiler houses, gas burning space heaters are a common form of heating (</w:t>
      </w:r>
      <w:r w:rsidRPr="00286A88">
        <w:rPr>
          <w:rFonts w:cs="FrutigerLTStd-Light"/>
          <w:lang w:val="en-AU" w:eastAsia="en-AU"/>
        </w:rPr>
        <w:t xml:space="preserve">Jones </w:t>
      </w:r>
      <w:r w:rsidRPr="00286A88">
        <w:rPr>
          <w:rFonts w:cs="FrutigerLTStd-LightItalic"/>
          <w:iCs/>
          <w:lang w:val="en-AU" w:eastAsia="en-AU"/>
        </w:rPr>
        <w:t>et al</w:t>
      </w:r>
      <w:r w:rsidRPr="00286A88">
        <w:rPr>
          <w:rFonts w:cs="FrutigerLTStd-Light"/>
          <w:lang w:val="en-AU" w:eastAsia="en-AU"/>
        </w:rPr>
        <w:t xml:space="preserve">., 2005a) and this fuel produces a lot of water vapour. </w:t>
      </w:r>
      <w:r w:rsidRPr="00286A88">
        <w:rPr>
          <w:lang w:val="en-AU" w:eastAsia="en-AU"/>
        </w:rPr>
        <w:t>Towards the end of the production cycle stocking density has a positive effect upon RH, indicating that environmental control becomes lost as the birds get older (</w:t>
      </w:r>
      <w:r w:rsidRPr="00286A88">
        <w:rPr>
          <w:rFonts w:cs="Palatino-Roman"/>
          <w:lang w:val="en-AU" w:eastAsia="en-AU"/>
        </w:rPr>
        <w:t xml:space="preserve">Jones et al., 2005a). High RH </w:t>
      </w:r>
      <w:r w:rsidRPr="00286A88">
        <w:rPr>
          <w:lang w:val="en-AU" w:eastAsia="en-AU"/>
        </w:rPr>
        <w:t>will cause litter quality to deteriorate and increase the risk of FPD, an important welfare indicator (see B3.4a).</w:t>
      </w:r>
    </w:p>
    <w:p w14:paraId="7969EBED" w14:textId="77777777" w:rsidR="00286A88" w:rsidRPr="00286A88" w:rsidRDefault="00286A88" w:rsidP="00267465">
      <w:pPr>
        <w:rPr>
          <w:rFonts w:cs="Palatino-Roman"/>
          <w:szCs w:val="20"/>
          <w:lang w:val="en-AU" w:eastAsia="en-AU"/>
        </w:rPr>
      </w:pPr>
      <w:r w:rsidRPr="00286A88">
        <w:rPr>
          <w:lang w:val="en-AU" w:eastAsia="en-AU"/>
        </w:rPr>
        <w:t xml:space="preserve">Adequate ventilation is the most effective method of controlling temperature and RH within the house and increased air-flow can also alleviate the negative effects of high stocking density by removing litter moisture. </w:t>
      </w:r>
      <w:r w:rsidRPr="00286A88">
        <w:rPr>
          <w:rFonts w:cs="Palatino-Roman"/>
          <w:szCs w:val="20"/>
          <w:lang w:val="en-AU" w:eastAsia="en-AU"/>
        </w:rPr>
        <w:t xml:space="preserve">Following a large commercial field-study, conducted in the UK, Jones et al. (2005a) were able to assign much of the variation in broiler health and welfare to the percentage of time a company could maintain house temperature and RH within limits recommended by the breeder company. High temperature and RH, and the percentage of time these are out of range, adversely affected FPD, gait, leg deformities, mortality, and corticosteroid levels; RH in the first week of life appeared to be particularly important to later health, indicating that better control of humidity during brooding could be key to improving broiler welfare, at least under a Northern European climate (Jones et al., 2005a). </w:t>
      </w:r>
      <w:r w:rsidRPr="00286A88">
        <w:rPr>
          <w:rFonts w:cs="Palatino-Roman"/>
          <w:lang w:val="en-AU" w:eastAsia="en-AU"/>
        </w:rPr>
        <w:t>The provision of fans (with side inlet ventilation) gave better control over temperature and RH and reduced ammonia levels compared to naturally ventilated systems, indicating more effective air-mixing and flow over the birds</w:t>
      </w:r>
      <w:r w:rsidRPr="00286A88">
        <w:rPr>
          <w:rFonts w:cs="Palatino-Roman"/>
          <w:szCs w:val="20"/>
          <w:lang w:val="en-AU" w:eastAsia="en-AU"/>
        </w:rPr>
        <w:t xml:space="preserve"> (Jones et al., 2005a). </w:t>
      </w:r>
      <w:r w:rsidRPr="00286A88">
        <w:rPr>
          <w:rFonts w:cs="Palatino-Roman"/>
          <w:lang w:val="en-AU" w:eastAsia="en-AU"/>
        </w:rPr>
        <w:t>Additionally, more variation in RH was recorded in newer houses, possibly because these were larger more open span buildings (</w:t>
      </w:r>
      <w:r w:rsidRPr="00286A88">
        <w:rPr>
          <w:rFonts w:cs="Palatino-Roman"/>
          <w:szCs w:val="20"/>
          <w:lang w:val="en-AU" w:eastAsia="en-AU"/>
        </w:rPr>
        <w:t>Jones et al., 2005a).</w:t>
      </w:r>
    </w:p>
    <w:p w14:paraId="6F8CD5BC" w14:textId="77777777" w:rsidR="00286A88" w:rsidRPr="00286A88" w:rsidRDefault="00286A88" w:rsidP="00267465">
      <w:pPr>
        <w:rPr>
          <w:lang w:val="en-AU" w:eastAsia="en-AU"/>
        </w:rPr>
      </w:pPr>
      <w:r w:rsidRPr="00286A88">
        <w:rPr>
          <w:lang w:val="en-AU" w:eastAsia="en-AU"/>
        </w:rPr>
        <w:t xml:space="preserve">The provision of adequate heating during brooding is necessary to maximise chick survival, while adequate ventilation during hotter seasons and in hot climates is necessary to avoid mortality from hyperthermia. Several basic management techniques such as providing insulation, increasing air-flow, reducing bird density and using heat-tolerant breeds, can reduce the risk of heat stress and improve bird welfare. </w:t>
      </w:r>
      <w:r w:rsidRPr="00286A88">
        <w:rPr>
          <w:rFonts w:cs="Palatino-Roman"/>
          <w:lang w:val="en-AU" w:eastAsia="en-AU"/>
        </w:rPr>
        <w:t>Following a study of UK broiler farms Jones et al. (2005a) report that although the production companies monitored and controlled temperature, with varying degrees of success, none of them monitored or controlled humidity. Considering the negative impact RH can have upon broiler welfare, especially at high stocking densities, implementing the means to measure and control RH within broiler houses could make a significant improvement.</w:t>
      </w:r>
    </w:p>
    <w:p w14:paraId="08F08A35" w14:textId="77777777" w:rsidR="00286A88" w:rsidRPr="00286A88" w:rsidRDefault="00286A88" w:rsidP="00267465">
      <w:pPr>
        <w:pStyle w:val="Heading3"/>
        <w:rPr>
          <w:lang w:val="en-AU" w:eastAsia="en-AU"/>
        </w:rPr>
      </w:pPr>
      <w:bookmarkStart w:id="132" w:name="_Toc495310601"/>
      <w:r w:rsidRPr="00286A88">
        <w:rPr>
          <w:lang w:val="en-AU" w:eastAsia="en-AU"/>
        </w:rPr>
        <w:t>B9.5.</w:t>
      </w:r>
      <w:r w:rsidR="00CB4FAF">
        <w:rPr>
          <w:lang w:val="en-AU" w:eastAsia="en-AU"/>
        </w:rPr>
        <w:t xml:space="preserve"> </w:t>
      </w:r>
      <w:r w:rsidRPr="00286A88">
        <w:rPr>
          <w:lang w:val="en-AU" w:eastAsia="en-AU"/>
        </w:rPr>
        <w:t>Broiler catching</w:t>
      </w:r>
      <w:bookmarkEnd w:id="132"/>
    </w:p>
    <w:p w14:paraId="0EF2BEF1" w14:textId="77777777" w:rsidR="00286A88" w:rsidRPr="00267465" w:rsidRDefault="00286A88" w:rsidP="00267465">
      <w:pPr>
        <w:rPr>
          <w:i/>
          <w:lang w:val="en-AU" w:eastAsia="en-AU"/>
        </w:rPr>
      </w:pPr>
      <w:r w:rsidRPr="00267465">
        <w:rPr>
          <w:i/>
          <w:lang w:val="en-AU" w:eastAsia="en-AU"/>
        </w:rPr>
        <w:t>Broilers find manual catching very stressful, most likely associated with being hung in an inverted position; mechanical catching offers the potential for reduced stress and injuries in broilers.</w:t>
      </w:r>
    </w:p>
    <w:p w14:paraId="1193D30F" w14:textId="77777777" w:rsidR="00286A88" w:rsidRPr="00286A88" w:rsidRDefault="00286A88" w:rsidP="00267465">
      <w:pPr>
        <w:rPr>
          <w:lang w:val="en-AU" w:eastAsia="en-AU"/>
        </w:rPr>
      </w:pPr>
      <w:r w:rsidRPr="00286A88">
        <w:rPr>
          <w:lang w:val="en-AU" w:eastAsia="en-AU"/>
        </w:rPr>
        <w:t xml:space="preserve">In most countries broilers are currently caught manually; a catcher will carry 2–4 birds in each hand, each bird held inverted by a single leg. This method of catching broilers is a concern as it can cause stress, injury, and even mortality, which has important implications for animal welfare. Queiroz et al. (2015) observed rectal temperature to increase to a temperature above the lower limit of heat stress (41.1 °C) during manual catching, indicating that broilers find this to be a very stressful experience. Pilecco et al. (2012) report that the process of catching is responsible for causing substantially more skin lesions (73%), as seen at slaughter, than the rearing phase (17%). Langkabel et al. (2015) compared two manual catching methods: the 1-leg catching method, and 2-leg catching method (maximum of two birds per hand). Although there was no difference in lesion prevalence between the two techniques, birds demonstrated more behaviours associated with stress (a higher frequency of wing flapping whilst being restrained on the ground, and were more restless after being put into drawers) as a consequence of 2-leg catching; in addition, 2-leg catching took longer and was more difficult and uncomfortable for the workers (Langkabel et al., 2015). Kittelsen et al. (2015a) undertook 607 post-mortems on broilers that had either died during catching procedures on farm or were dead on arrival at the abattoir to examine the separate effects of catching and transport. Lung congestion (37%) and trauma (fractures mainly; 4%) were reasonably common in birds collected from the farm. Lung congestion was likely to have resulted from </w:t>
      </w:r>
      <w:r w:rsidR="003C2DE8">
        <w:rPr>
          <w:lang w:val="en-AU" w:eastAsia="en-AU"/>
        </w:rPr>
        <w:t>s</w:t>
      </w:r>
      <w:r w:rsidRPr="00286A88">
        <w:rPr>
          <w:lang w:val="en-AU" w:eastAsia="en-AU"/>
        </w:rPr>
        <w:t xml:space="preserve">udden </w:t>
      </w:r>
      <w:r w:rsidR="003C2DE8">
        <w:rPr>
          <w:lang w:val="en-AU" w:eastAsia="en-AU"/>
        </w:rPr>
        <w:t>d</w:t>
      </w:r>
      <w:r w:rsidRPr="00286A88">
        <w:rPr>
          <w:lang w:val="en-AU" w:eastAsia="en-AU"/>
        </w:rPr>
        <w:t xml:space="preserve">eath </w:t>
      </w:r>
      <w:r w:rsidR="003C2DE8">
        <w:rPr>
          <w:lang w:val="en-AU" w:eastAsia="en-AU"/>
        </w:rPr>
        <w:t>s</w:t>
      </w:r>
      <w:r w:rsidRPr="00286A88">
        <w:rPr>
          <w:lang w:val="en-AU" w:eastAsia="en-AU"/>
        </w:rPr>
        <w:t>yndrome, a cardiovascular disease that is known to be made worse by stressful events. Although catching resulted in few wing fractures (0.8%), the authors noted that it happens earliest in the sequence, so may represent the biggest welfare concern as birds would be in pain for longer (Kittelsen et al., 2015b).</w:t>
      </w:r>
    </w:p>
    <w:p w14:paraId="6F14A011" w14:textId="77777777" w:rsidR="00286A88" w:rsidRPr="00286A88" w:rsidRDefault="00286A88" w:rsidP="00267465">
      <w:pPr>
        <w:rPr>
          <w:color w:val="000000"/>
          <w:lang w:val="en-AU" w:eastAsia="en-AU"/>
        </w:rPr>
      </w:pPr>
      <w:r w:rsidRPr="00286A88">
        <w:rPr>
          <w:color w:val="000000"/>
          <w:lang w:val="en-AU" w:eastAsia="en-GB"/>
        </w:rPr>
        <w:t>Mechanised catching machines offer the potential to reduce labour costs and damage to the birds, so long as all staff are provided with full tr</w:t>
      </w:r>
      <w:r w:rsidRPr="00286A88">
        <w:rPr>
          <w:color w:val="000000"/>
          <w:lang w:val="en-AU" w:eastAsia="en-AU"/>
        </w:rPr>
        <w:t xml:space="preserve">aining and familiarisation with the machinery prior to depopulation. Mechanically catching broilers with a sweeper-type catching machine under commercial conditions has been found to significantly reduce the number of injuries, especially leg injuries, compared with manual catching (Knierim and Gocke, 2003). Mechanical catching with the CIEMME Super Apollo L harvester induced lower plasma corticosterone concentrations and shorter durations of tonic immobility, and produced fewer wing haemorrhages, compared to manually caught broilers (Delezie et al., 2006). An epidemiological study on a large number of Dutch and German broiler flocks did not find an effect of catching method </w:t>
      </w:r>
      <w:r w:rsidRPr="00286A88">
        <w:rPr>
          <w:rFonts w:cs="Palatino-Roman"/>
          <w:color w:val="000000"/>
          <w:lang w:val="en-AU" w:eastAsia="en-AU"/>
        </w:rPr>
        <w:t xml:space="preserve">(mechanical or manual) on the percentage of bruises or corticosterone levels; however, </w:t>
      </w:r>
      <w:r w:rsidRPr="00286A88">
        <w:rPr>
          <w:color w:val="000000"/>
          <w:lang w:val="en-AU" w:eastAsia="en-AU"/>
        </w:rPr>
        <w:t>catching company was one of the risk factors for dead-on-arrival birds (Nijdam et al., 2005).</w:t>
      </w:r>
    </w:p>
    <w:p w14:paraId="054DA02B" w14:textId="77777777" w:rsidR="00286A88" w:rsidRPr="00286A88" w:rsidRDefault="00286A88" w:rsidP="005064B7">
      <w:pPr>
        <w:pStyle w:val="Heading2"/>
        <w:rPr>
          <w:lang w:val="en-AU" w:eastAsia="en-AU"/>
        </w:rPr>
      </w:pPr>
      <w:bookmarkStart w:id="133" w:name="_Toc495310602"/>
      <w:r w:rsidRPr="00286A88">
        <w:rPr>
          <w:lang w:val="en-AU" w:eastAsia="en-AU"/>
        </w:rPr>
        <w:t>B10. Welfare Considerations: Overview</w:t>
      </w:r>
      <w:bookmarkEnd w:id="133"/>
    </w:p>
    <w:p w14:paraId="0E064BFE" w14:textId="77777777" w:rsidR="00286A88" w:rsidRPr="00286A88" w:rsidRDefault="00286A88" w:rsidP="00267465">
      <w:pPr>
        <w:rPr>
          <w:lang w:val="en-AU" w:eastAsia="en-AU"/>
        </w:rPr>
      </w:pPr>
      <w:r w:rsidRPr="00286A88">
        <w:rPr>
          <w:lang w:val="en-AU" w:eastAsia="en-AU"/>
        </w:rPr>
        <w:t>Appropriate incubation conditions (under light), immediate access to food and water at hatch and correct brooding temperatures can all help limit first-week mortality.</w:t>
      </w:r>
    </w:p>
    <w:p w14:paraId="229E15DC" w14:textId="77777777" w:rsidR="00286A88" w:rsidRPr="00286A88" w:rsidRDefault="00286A88" w:rsidP="00267465">
      <w:pPr>
        <w:rPr>
          <w:lang w:val="en-AU" w:eastAsia="en-AU"/>
        </w:rPr>
      </w:pPr>
      <w:r w:rsidRPr="00286A88">
        <w:rPr>
          <w:lang w:val="en-AU" w:eastAsia="en-AU"/>
        </w:rPr>
        <w:t xml:space="preserve">The main causes of mortality in older broilers remain metabolic disease and (culling due to) severe lameness; both are a consequence of genetic selection for an excessive mass and unnatural body morphology, and both can, consequently, be selected against. </w:t>
      </w:r>
      <w:r w:rsidRPr="00286A88">
        <w:rPr>
          <w:rFonts w:cs="Arial"/>
          <w:shd w:val="clear" w:color="auto" w:fill="FFFFFF"/>
          <w:lang w:val="en-AU" w:eastAsia="en-AU"/>
        </w:rPr>
        <w:t>The use of strains with a low tendency for musculoskeletal health problems would help to ensure good welfare. New slower-growing strains have been developed by breeding companies in recent years, and are increasingly available commercially. In addition, diets that ensure healthy, but not excessive growth rates should be provided.</w:t>
      </w:r>
    </w:p>
    <w:p w14:paraId="25B95072" w14:textId="77777777" w:rsidR="00286A88" w:rsidRPr="00286A88" w:rsidRDefault="00286A88" w:rsidP="00267465">
      <w:pPr>
        <w:rPr>
          <w:lang w:val="en-AU" w:eastAsia="en-AU"/>
        </w:rPr>
      </w:pPr>
      <w:r w:rsidRPr="00286A88">
        <w:rPr>
          <w:lang w:val="en-AU" w:eastAsia="en-AU"/>
        </w:rPr>
        <w:t xml:space="preserve">Lameness is a serious welfare concern. It limits behavioural expression and at least some forms of lameness are associated with pain. Regular assessment of the levels of lameness on farms and the </w:t>
      </w:r>
      <w:r w:rsidRPr="00286A88">
        <w:rPr>
          <w:rFonts w:cs="Arial"/>
          <w:shd w:val="clear" w:color="auto" w:fill="FFFFFF"/>
          <w:lang w:val="en-AU" w:eastAsia="en-AU"/>
        </w:rPr>
        <w:t>prevalence of contact dermatitis at the slaughterhouse, would allow targets to be set for a progressive reduction in these conditions.</w:t>
      </w:r>
    </w:p>
    <w:p w14:paraId="514FEFBE" w14:textId="77777777" w:rsidR="00286A88" w:rsidRPr="00286A88" w:rsidRDefault="00286A88" w:rsidP="00267465">
      <w:pPr>
        <w:rPr>
          <w:lang w:val="en-AU" w:eastAsia="en-AU"/>
        </w:rPr>
      </w:pPr>
      <w:r w:rsidRPr="00286A88">
        <w:rPr>
          <w:lang w:val="en-AU" w:eastAsia="en-AU"/>
        </w:rPr>
        <w:t>The provision of elevated structures (such as straw bales, platforms with ramp-access, or low barrier-perches) from placement, in combination with an appropriate photoperiod (e.g. 16 hours of light:8 hours of dark at 20 lux) from the second week, should encourage activity and benefit leg health.</w:t>
      </w:r>
    </w:p>
    <w:p w14:paraId="02AD2D0F" w14:textId="77777777" w:rsidR="00286A88" w:rsidRPr="00286A88" w:rsidRDefault="00286A88" w:rsidP="00267465">
      <w:pPr>
        <w:rPr>
          <w:lang w:val="en-AU" w:eastAsia="en-AU"/>
        </w:rPr>
      </w:pPr>
      <w:r w:rsidRPr="00286A88">
        <w:rPr>
          <w:lang w:val="en-AU" w:eastAsia="en-AU"/>
        </w:rPr>
        <w:t>Exposure to continuous or near-continuous light causes numerous health issues; low level lighting (&lt;5 lux) is also not appropriate as it has been linked with eye deformities, and broilers are not, generally, at risk of injurious pecking. Appropriate continuous dark periods facilitate rest as well as activity. Vertical mesh panels can be provided to promote a more even distribution of broilers throughout the floor space to further decrease disturbances and facilitate resting.</w:t>
      </w:r>
    </w:p>
    <w:p w14:paraId="48A6548B" w14:textId="77777777" w:rsidR="00286A88" w:rsidRPr="00286A88" w:rsidRDefault="00286A88" w:rsidP="00267465">
      <w:pPr>
        <w:rPr>
          <w:lang w:val="en-AU" w:eastAsia="en-AU"/>
        </w:rPr>
      </w:pPr>
      <w:r w:rsidRPr="00286A88">
        <w:rPr>
          <w:lang w:val="en-AU" w:eastAsia="en-AU"/>
        </w:rPr>
        <w:t>Sufficient drinkers should be supplied to enable all broilers, even those with limited mobility, to access water at all times, without competition, while the design should prevent spillage onto the litter. Litter should have a small particle-size (e.g. wood-shavings) and be dry and ‘friable’ throughout the production cycle for the birds’ comfort, to preserve leg health and plumage condition, to prevent contact dermatitis and enable dust-bathing and foraging. To maintain litter quality and bird health, appropriate ventilation should be provided year-round and both temperature and humidity should be kept within the range recommended by the breeder companies at all times. Heat stress can be avoided by reducing stocking density and may be mitigated by the provision of cooled perches, while the avoidance of cold ambient temperature is particularly important in reducing the risk of ascites. Exposure to noise levels above 70 dB and ammonia concentrations above 20</w:t>
      </w:r>
      <w:r w:rsidR="00F520D1">
        <w:rPr>
          <w:lang w:val="en-AU" w:eastAsia="en-AU"/>
        </w:rPr>
        <w:t> </w:t>
      </w:r>
      <w:r w:rsidRPr="00286A88">
        <w:rPr>
          <w:lang w:val="en-AU" w:eastAsia="en-AU"/>
        </w:rPr>
        <w:t>ppm should be avoided since broilers find both aversive.</w:t>
      </w:r>
    </w:p>
    <w:p w14:paraId="300625E7" w14:textId="77777777" w:rsidR="00286A88" w:rsidRPr="00286A88" w:rsidRDefault="00286A88" w:rsidP="00267465">
      <w:pPr>
        <w:rPr>
          <w:lang w:val="en-AU" w:eastAsia="en-AU"/>
        </w:rPr>
      </w:pPr>
      <w:r w:rsidRPr="00286A88">
        <w:rPr>
          <w:lang w:val="en-AU" w:eastAsia="en-AU"/>
        </w:rPr>
        <w:t>Fast-growing (standard) genotypes are not well suited to extensive systems, even under a restricted dietary regime. Any health benefits of feed restriction are overshadowed by chronic hunger and, thus, extensive systems are only suitable for slower-growing breeds. The welfare of birds of slow-growing strains can be enhanced by the provision of a range area, with lower levels of lameness observed. Planting range areas with shrubs, trees or forage vegetation, providing shelters and maintaining well-drained conditions will help to encourage broilers to move outside and protect against dermatitis.</w:t>
      </w:r>
    </w:p>
    <w:p w14:paraId="76E8CB62" w14:textId="77777777" w:rsidR="00286A88" w:rsidRPr="00286A88" w:rsidRDefault="00286A88" w:rsidP="00267465">
      <w:pPr>
        <w:rPr>
          <w:lang w:val="en-AU" w:eastAsia="en-AU"/>
        </w:rPr>
      </w:pPr>
      <w:r w:rsidRPr="00286A88">
        <w:rPr>
          <w:lang w:val="en-AU" w:eastAsia="en-AU"/>
        </w:rPr>
        <w:t>Broilers can suffer from poor intestinal health (for dietary and infectious reasons), leading to reduced litter quality, and an increased risk of contact dermatitis. The use of prebiotics is a potential solution, given global pressure to avoid antibiotic usage, but further research is required.</w:t>
      </w:r>
    </w:p>
    <w:p w14:paraId="5BCF5ED8" w14:textId="77777777" w:rsidR="00286A88" w:rsidRPr="00286A88" w:rsidRDefault="00286A88" w:rsidP="00267465">
      <w:pPr>
        <w:rPr>
          <w:lang w:val="en-AU" w:eastAsia="en-AU"/>
        </w:rPr>
      </w:pPr>
      <w:r w:rsidRPr="00286A88">
        <w:rPr>
          <w:rFonts w:cs="AdvPS94BA"/>
          <w:lang w:val="en-AU" w:eastAsia="en-AU"/>
        </w:rPr>
        <w:t xml:space="preserve">The management practice of ‘thinning’, </w:t>
      </w:r>
      <w:r w:rsidRPr="00286A88">
        <w:rPr>
          <w:rFonts w:eastAsia="ComputerModern-Regular" w:cs="ComputerModern-Regular"/>
          <w:color w:val="000000"/>
          <w:lang w:val="en-AU" w:eastAsia="en-AU"/>
        </w:rPr>
        <w:t>compromises broiler welfare in several ways. The presence of the catching team is stressful for the flock and this practice poses a substantial biosecurity risk.</w:t>
      </w:r>
    </w:p>
    <w:p w14:paraId="3D766234" w14:textId="77777777" w:rsidR="00286A88" w:rsidRPr="00286A88" w:rsidRDefault="00286A88" w:rsidP="00267465">
      <w:pPr>
        <w:rPr>
          <w:rFonts w:cs="AdvPS94BA"/>
          <w:lang w:val="en-AU" w:eastAsia="en-AU"/>
        </w:rPr>
      </w:pPr>
      <w:r w:rsidRPr="00286A88">
        <w:rPr>
          <w:lang w:val="en-AU" w:eastAsia="en-AU"/>
        </w:rPr>
        <w:t>Stocking densities of less than 33 kg/m</w:t>
      </w:r>
      <w:r w:rsidRPr="00286A88">
        <w:rPr>
          <w:vertAlign w:val="superscript"/>
          <w:lang w:val="en-AU" w:eastAsia="en-AU"/>
        </w:rPr>
        <w:t>2</w:t>
      </w:r>
      <w:r w:rsidRPr="00286A88">
        <w:rPr>
          <w:lang w:val="en-AU" w:eastAsia="en-AU"/>
        </w:rPr>
        <w:t xml:space="preserve"> are associated with reduced lameness, heat stress and contact dermatitis. However, other aspects of the broilers’ environment (particularly litter quality and ventilation) may be equally or more important in ensuring good health. Linking limits on stocking density with targets for animal-based measures of lameness and contact dermatitis would be beneficial.</w:t>
      </w:r>
    </w:p>
    <w:p w14:paraId="01A247A6" w14:textId="77777777" w:rsidR="00286A88" w:rsidRDefault="00286A88" w:rsidP="00267465">
      <w:pPr>
        <w:rPr>
          <w:lang w:val="en-AU" w:eastAsia="en-AU"/>
        </w:rPr>
      </w:pPr>
    </w:p>
    <w:p w14:paraId="49A36E37" w14:textId="77777777" w:rsidR="00EB1BF9" w:rsidRDefault="00EB1BF9" w:rsidP="00EB1BF9">
      <w:pPr>
        <w:pStyle w:val="Heading2"/>
        <w:rPr>
          <w:lang w:val="en-AU" w:eastAsia="en-AU"/>
        </w:rPr>
      </w:pPr>
      <w:r>
        <w:rPr>
          <w:lang w:val="en-AU" w:eastAsia="en-AU"/>
        </w:rPr>
        <w:br w:type="column"/>
      </w:r>
      <w:bookmarkStart w:id="134" w:name="_Toc495310603"/>
      <w:r w:rsidR="00276571">
        <w:rPr>
          <w:lang w:val="en-AU" w:eastAsia="en-AU"/>
        </w:rPr>
        <w:t xml:space="preserve">B11. </w:t>
      </w:r>
      <w:r>
        <w:rPr>
          <w:lang w:val="en-AU" w:eastAsia="en-AU"/>
        </w:rPr>
        <w:t>References</w:t>
      </w:r>
      <w:bookmarkEnd w:id="134"/>
    </w:p>
    <w:p w14:paraId="1DC815B1" w14:textId="77777777" w:rsidR="00EB1BF9" w:rsidRPr="00EB1BF9" w:rsidRDefault="00EB1BF9" w:rsidP="00EB1BF9">
      <w:pPr>
        <w:rPr>
          <w:lang w:val="en-GB" w:eastAsia="en-AU"/>
        </w:rPr>
      </w:pPr>
      <w:r w:rsidRPr="00EB1BF9">
        <w:rPr>
          <w:lang w:val="en-GB" w:eastAsia="en-AU"/>
        </w:rPr>
        <w:t>Abd El-Wahab, A., D. Radko, and J. Kamphues. 2013. High dietary levels of biotin and zinc to improve health of foot pads in broilers exposed experimentally to litter with critical moisture content. Poultry Science 92:1774-1782. doi 10.3382/ps.2013-03054</w:t>
      </w:r>
    </w:p>
    <w:p w14:paraId="1FF4E0D9" w14:textId="77777777" w:rsidR="00EB1BF9" w:rsidRPr="00EB1BF9" w:rsidRDefault="00EB1BF9" w:rsidP="00EB1BF9">
      <w:pPr>
        <w:rPr>
          <w:lang w:val="en-GB" w:eastAsia="en-AU"/>
        </w:rPr>
      </w:pPr>
      <w:r w:rsidRPr="00EB1BF9">
        <w:rPr>
          <w:lang w:val="en-GB" w:eastAsia="en-AU"/>
        </w:rPr>
        <w:t>Abdulla, N. R., T. C. Loh, H. Akit, A. Q. Sazili, H. L. Foo, K. Y. Kareem, R. Mohamad, and R. A. Rahim. 2017. Effects of dietary oil sources, calcium and phosphorus levels on growth performance, carcass characteristics and bone quality of broiler chickens. Journal of Applied Animal Research 45:423-429. doi 10.1080/09712119.2016.1206903</w:t>
      </w:r>
    </w:p>
    <w:p w14:paraId="1062AB7E" w14:textId="77777777" w:rsidR="00AA6EC5" w:rsidRPr="00AA6EC5" w:rsidRDefault="00AA6EC5" w:rsidP="00AA6EC5">
      <w:pPr>
        <w:rPr>
          <w:lang w:eastAsia="en-AU"/>
        </w:rPr>
      </w:pPr>
      <w:r w:rsidRPr="00AA6EC5">
        <w:rPr>
          <w:lang w:eastAsia="en-AU"/>
        </w:rPr>
        <w:t xml:space="preserve">ABS. 2014. </w:t>
      </w:r>
      <w:r w:rsidRPr="00AA6EC5">
        <w:rPr>
          <w:lang w:val="en-AU" w:eastAsia="en-AU"/>
        </w:rPr>
        <w:t>Agricultural Commodities, Australia, 2012-2013. Australian Bureau of Statistics.</w:t>
      </w:r>
      <w:r w:rsidRPr="00AA6EC5">
        <w:rPr>
          <w:lang w:eastAsia="en-AU"/>
        </w:rPr>
        <w:t xml:space="preserve"> </w:t>
      </w:r>
      <w:hyperlink r:id="rId58" w:tooltip="This is a link to the Australian Bureau of Statistics' agricultural commodities statistics for 2012-13, including livestock numbers." w:history="1">
        <w:r w:rsidRPr="00AA6EC5">
          <w:rPr>
            <w:rStyle w:val="Hyperlink"/>
            <w:lang w:eastAsia="en-AU"/>
          </w:rPr>
          <w:t>www.abs.gov.au/ausstats/abs@.nsf/Lookup/7121.0main+features82012-2013</w:t>
        </w:r>
      </w:hyperlink>
      <w:r w:rsidRPr="00AA6EC5">
        <w:rPr>
          <w:lang w:eastAsia="en-AU"/>
        </w:rPr>
        <w:t>. Accessed 26/07/2017.</w:t>
      </w:r>
    </w:p>
    <w:p w14:paraId="3459BF44" w14:textId="77777777" w:rsidR="00AA6EC5" w:rsidRPr="00AA6EC5" w:rsidRDefault="00AA6EC5" w:rsidP="00AA6EC5">
      <w:pPr>
        <w:rPr>
          <w:lang w:eastAsia="en-AU"/>
        </w:rPr>
      </w:pPr>
      <w:r w:rsidRPr="00AA6EC5">
        <w:rPr>
          <w:lang w:eastAsia="en-AU"/>
        </w:rPr>
        <w:t xml:space="preserve">ABS. 2017a. Agricultural Commodities, Australia, 2015-16. Australian Bureau of Statistics. </w:t>
      </w:r>
      <w:hyperlink r:id="rId59" w:tooltip="This is a link to the Australian Bureau of Statistics' agricultural commodities statistics for 2015-16, including livestock numbers." w:history="1">
        <w:r w:rsidRPr="00AA6EC5">
          <w:rPr>
            <w:rStyle w:val="Hyperlink"/>
            <w:lang w:eastAsia="en-AU"/>
          </w:rPr>
          <w:t>www.abs.gov.au/AUSSTATS/abs@.nsf/DetailsPage/7121.02015-16?OpenDocument</w:t>
        </w:r>
      </w:hyperlink>
      <w:r w:rsidRPr="00AA6EC5">
        <w:rPr>
          <w:lang w:eastAsia="en-AU"/>
        </w:rPr>
        <w:t>. Accessed 26/07/2017.</w:t>
      </w:r>
    </w:p>
    <w:p w14:paraId="720B59E9" w14:textId="77777777" w:rsidR="00AA6EC5" w:rsidRPr="00AA6EC5" w:rsidRDefault="00AA6EC5" w:rsidP="00AA6EC5">
      <w:pPr>
        <w:rPr>
          <w:lang w:eastAsia="en-AU"/>
        </w:rPr>
      </w:pPr>
      <w:r w:rsidRPr="00AA6EC5">
        <w:rPr>
          <w:lang w:eastAsia="en-AU"/>
        </w:rPr>
        <w:t xml:space="preserve">ABS. 2017b. Value of Agricultural Commodities Produced, Australia, 2015-16. Australian Bureau of Statistics. </w:t>
      </w:r>
      <w:hyperlink r:id="rId60" w:tooltip="This is a link to the Australian Bureau of Statistics' information on the value of agricultural commodities produced in 2015-16." w:history="1">
        <w:r w:rsidRPr="00AA6EC5">
          <w:rPr>
            <w:rStyle w:val="Hyperlink"/>
            <w:lang w:eastAsia="en-AU"/>
          </w:rPr>
          <w:t>www.abs.gov.au/AUSSTATS/abs@.nsf/Lookup/7503.0Main+Features12015-16?OpenDocument</w:t>
        </w:r>
      </w:hyperlink>
      <w:r w:rsidRPr="00AA6EC5">
        <w:rPr>
          <w:lang w:eastAsia="en-AU"/>
        </w:rPr>
        <w:t>. Accessed 26/07/2017</w:t>
      </w:r>
      <w:r w:rsidR="005D7C40">
        <w:rPr>
          <w:lang w:eastAsia="en-AU"/>
        </w:rPr>
        <w:t>.</w:t>
      </w:r>
    </w:p>
    <w:p w14:paraId="3885210D" w14:textId="77777777" w:rsidR="00AA6EC5" w:rsidRPr="00AA6EC5" w:rsidRDefault="00AA6EC5" w:rsidP="00AA6EC5">
      <w:pPr>
        <w:rPr>
          <w:lang w:eastAsia="en-AU"/>
        </w:rPr>
      </w:pPr>
      <w:r w:rsidRPr="00AA6EC5">
        <w:rPr>
          <w:lang w:eastAsia="en-AU"/>
        </w:rPr>
        <w:t xml:space="preserve">ABS. 2017c. </w:t>
      </w:r>
      <w:r w:rsidRPr="00AA6EC5">
        <w:rPr>
          <w:lang w:val="en-AU" w:eastAsia="en-AU"/>
        </w:rPr>
        <w:t>Livestock Products, Australia, Mar 2017. Australian Bureau of Statistics.</w:t>
      </w:r>
      <w:r w:rsidRPr="00AA6EC5">
        <w:rPr>
          <w:lang w:eastAsia="en-AU"/>
        </w:rPr>
        <w:t xml:space="preserve"> </w:t>
      </w:r>
      <w:hyperlink r:id="rId61" w:tooltip="This is a link to the Australian Bureau of Statistics' data on the numbers of livestock slaughtered each quarter." w:history="1">
        <w:r w:rsidRPr="00AA6EC5">
          <w:rPr>
            <w:rStyle w:val="Hyperlink"/>
            <w:lang w:eastAsia="en-AU"/>
          </w:rPr>
          <w:t>www.abs.gov.au/AUSSTATS/abs@.nsf/DetailsPage/7215.0Mar%202017?OpenDocument</w:t>
        </w:r>
      </w:hyperlink>
      <w:r w:rsidRPr="00AA6EC5">
        <w:rPr>
          <w:lang w:eastAsia="en-AU"/>
        </w:rPr>
        <w:t>. Accessed 26/07/2017</w:t>
      </w:r>
      <w:r w:rsidR="005D7C40">
        <w:rPr>
          <w:lang w:eastAsia="en-AU"/>
        </w:rPr>
        <w:t>.</w:t>
      </w:r>
    </w:p>
    <w:p w14:paraId="6651CEA8" w14:textId="77777777" w:rsidR="00EB1BF9" w:rsidRPr="00EB1BF9" w:rsidRDefault="00EB1BF9" w:rsidP="00EB1BF9">
      <w:pPr>
        <w:rPr>
          <w:lang w:val="en-GB" w:eastAsia="en-AU"/>
        </w:rPr>
      </w:pPr>
      <w:r w:rsidRPr="00EB1BF9">
        <w:rPr>
          <w:lang w:val="en-GB" w:eastAsia="en-AU"/>
        </w:rPr>
        <w:t>Abudabos, A. M., E. M. Samara, E. O. S. Hussein, M. Q. Al-Ghadi, and R. M. Al-Atiyat. 2013a. Impacts of stocking density on the performance and welfare of broiler chickens. Italian Journal of Animal Science 12. doi 10.4081/ijas.2013.e11</w:t>
      </w:r>
    </w:p>
    <w:p w14:paraId="6B71E230" w14:textId="77777777" w:rsidR="00EB1BF9" w:rsidRPr="00EB1BF9" w:rsidRDefault="00EB1BF9" w:rsidP="00EB1BF9">
      <w:pPr>
        <w:rPr>
          <w:lang w:val="en-GB" w:eastAsia="en-AU"/>
        </w:rPr>
      </w:pPr>
      <w:r w:rsidRPr="00EB1BF9">
        <w:rPr>
          <w:lang w:val="en-GB" w:eastAsia="en-AU"/>
        </w:rPr>
        <w:t>Abudabos, A. M., E. Samara, E. O. S. Hussein, R. M. Al-Atiyat, and A. Al-Haidary. 2013b. Influence of stocking density on welfare indices of broilers. Italian Journal of Animal Science 12. doi 10.4081/ijas.2013.e35</w:t>
      </w:r>
    </w:p>
    <w:p w14:paraId="0AFF3F81" w14:textId="77777777" w:rsidR="00EB1BF9" w:rsidRPr="00EB1BF9" w:rsidRDefault="00EB1BF9" w:rsidP="00EB1BF9">
      <w:pPr>
        <w:rPr>
          <w:lang w:val="en-GB" w:eastAsia="en-AU"/>
        </w:rPr>
      </w:pPr>
      <w:r w:rsidRPr="00EB1BF9">
        <w:rPr>
          <w:lang w:val="en-GB" w:eastAsia="en-AU"/>
        </w:rPr>
        <w:t>Ahmad, F., S. Mahmood, and M. Yousaf. 2013. Production Performance and Leg Abnormalities of Broilers as Affected by Different Feeding Manipulations. International Journal of Agricu</w:t>
      </w:r>
      <w:r w:rsidR="004635D3">
        <w:rPr>
          <w:lang w:val="en-GB" w:eastAsia="en-AU"/>
        </w:rPr>
        <w:t>lture and Biology 15:1145-1150.</w:t>
      </w:r>
    </w:p>
    <w:p w14:paraId="7D33F946" w14:textId="77777777" w:rsidR="00EB1BF9" w:rsidRPr="00EB1BF9" w:rsidRDefault="00EB1BF9" w:rsidP="00EB1BF9">
      <w:pPr>
        <w:rPr>
          <w:lang w:val="en-GB" w:eastAsia="en-AU"/>
        </w:rPr>
      </w:pPr>
      <w:r w:rsidRPr="00EB1BF9">
        <w:rPr>
          <w:lang w:val="en-GB" w:eastAsia="en-AU"/>
        </w:rPr>
        <w:t xml:space="preserve">Akbas, Y., S. Yalcin, S. </w:t>
      </w:r>
      <w:r w:rsidR="00446673" w:rsidRPr="00446673">
        <w:rPr>
          <w:lang w:val="en-GB" w:eastAsia="en-AU"/>
        </w:rPr>
        <w:t>Özkan</w:t>
      </w:r>
      <w:r w:rsidRPr="00EB1BF9">
        <w:rPr>
          <w:lang w:val="en-GB" w:eastAsia="en-AU"/>
        </w:rPr>
        <w:t>, F. Kirkpinar, C. Takma, Y. Gevrekci, H. C. Guler, and L. Turkmut. 2009. Heritability estimates of tibial dyschondroplasia, valgus-varus, foot-pad dermatitis and hock burn in broiler. A</w:t>
      </w:r>
      <w:r w:rsidR="004635D3">
        <w:rPr>
          <w:lang w:val="en-GB" w:eastAsia="en-AU"/>
        </w:rPr>
        <w:t>rchiv Fur Geflugelkunde 73:1-6.</w:t>
      </w:r>
    </w:p>
    <w:p w14:paraId="4DEEE239" w14:textId="77777777" w:rsidR="00EB1BF9" w:rsidRPr="00EB1BF9" w:rsidRDefault="00EB1BF9" w:rsidP="00EB1BF9">
      <w:pPr>
        <w:rPr>
          <w:lang w:val="en-GB" w:eastAsia="en-AU"/>
        </w:rPr>
      </w:pPr>
      <w:r w:rsidRPr="00EB1BF9">
        <w:rPr>
          <w:lang w:val="en-GB" w:eastAsia="en-AU"/>
        </w:rPr>
        <w:t xml:space="preserve">Aksit, M., S. Yalcin, S. </w:t>
      </w:r>
      <w:r w:rsidR="00446673" w:rsidRPr="00446673">
        <w:rPr>
          <w:lang w:val="en-GB" w:eastAsia="en-AU"/>
        </w:rPr>
        <w:t>Özkan</w:t>
      </w:r>
      <w:r w:rsidRPr="00EB1BF9">
        <w:rPr>
          <w:lang w:val="en-GB" w:eastAsia="en-AU"/>
        </w:rPr>
        <w:t>, K. Metin, and D. Ozdemir. 2006. Effects of temperature during rearing and crating on stress parameters and meat quality of broilers</w:t>
      </w:r>
      <w:r w:rsidR="004635D3">
        <w:rPr>
          <w:lang w:val="en-GB" w:eastAsia="en-AU"/>
        </w:rPr>
        <w:t>. Poultry Science 85:1867-1874.</w:t>
      </w:r>
    </w:p>
    <w:p w14:paraId="60697ED8" w14:textId="77777777" w:rsidR="00EB1BF9" w:rsidRPr="00EB1BF9" w:rsidRDefault="00EB1BF9" w:rsidP="00EB1BF9">
      <w:pPr>
        <w:rPr>
          <w:lang w:val="en-GB" w:eastAsia="en-AU"/>
        </w:rPr>
      </w:pPr>
      <w:r w:rsidRPr="00EB1BF9">
        <w:rPr>
          <w:lang w:val="en-GB" w:eastAsia="en-AU"/>
        </w:rPr>
        <w:t>Aksit, M., S. Yalcin, C. Yenisey, and D. Ozdemir. 2010. Brooding temperatures for chicks acclimated to heat during incubation: effects on post-hatch intestinal development and body weight under heat stress. British Poultry Science 51:444-452. doi 10.1080/00071668.2010.495746</w:t>
      </w:r>
    </w:p>
    <w:p w14:paraId="4A341203" w14:textId="77777777" w:rsidR="00EB1BF9" w:rsidRPr="00EB1BF9" w:rsidRDefault="00EB1BF9" w:rsidP="00EB1BF9">
      <w:pPr>
        <w:rPr>
          <w:lang w:val="en-GB" w:eastAsia="en-AU"/>
        </w:rPr>
      </w:pPr>
      <w:r w:rsidRPr="00EB1BF9">
        <w:rPr>
          <w:lang w:val="en-GB" w:eastAsia="en-AU"/>
        </w:rPr>
        <w:t>Al-Aqil, A., I. Zulkifli, A. Q. Sazili, A. R. Omar, and M. A. Rajion. 2009. The Effects of the Hot, Humid Tropical Climate and Early Age Feed Restriction on Stress and Fear Responses, and Performance in Broiler Chickens. Asian-Australasian Journal o</w:t>
      </w:r>
      <w:r w:rsidR="004635D3">
        <w:rPr>
          <w:lang w:val="en-GB" w:eastAsia="en-AU"/>
        </w:rPr>
        <w:t>f Animal Sciences 22:1581-1586.</w:t>
      </w:r>
    </w:p>
    <w:p w14:paraId="4AA3EC5C" w14:textId="77777777" w:rsidR="00EB1BF9" w:rsidRPr="00EB1BF9" w:rsidRDefault="00EB1BF9" w:rsidP="00EB1BF9">
      <w:pPr>
        <w:rPr>
          <w:lang w:val="en-GB" w:eastAsia="en-AU"/>
        </w:rPr>
      </w:pPr>
      <w:r w:rsidRPr="00EB1BF9">
        <w:rPr>
          <w:lang w:val="en-GB" w:eastAsia="en-AU"/>
        </w:rPr>
        <w:t>Al-Aqil, A., I. Zulkifli, M. H. Bejo, A. Q. Sazili, M. A. Rajion, and M. N. Somchit. 2013. Changes in heat shock protein 70, blood parameters, and fear-related behavior in broiler chickens as affected by pleasant and unpleasant human contact. Poultry Science 92:33-40. doi 10.3382/ps.2012-02446</w:t>
      </w:r>
    </w:p>
    <w:p w14:paraId="0DAF5526" w14:textId="77777777" w:rsidR="00EB1BF9" w:rsidRPr="00EB1BF9" w:rsidRDefault="00EB1BF9" w:rsidP="00EB1BF9">
      <w:pPr>
        <w:rPr>
          <w:lang w:val="en-GB" w:eastAsia="en-AU"/>
        </w:rPr>
      </w:pPr>
      <w:r w:rsidRPr="00EB1BF9">
        <w:rPr>
          <w:lang w:val="en-GB" w:eastAsia="en-AU"/>
        </w:rPr>
        <w:t>Al-Baadani, H. H., A. M. Abudabos, S. I. Al-Mufarrej, and M. Alzawqari. 2016. Effects of dietary inclusion of probiotics, prebiotics and synbiotics on intestinal histological changes in challenged broiler chickens. South African Journal of Animal Science 46:157-165. doi 10.4314/sajas.v46i2.6</w:t>
      </w:r>
    </w:p>
    <w:p w14:paraId="1A625079" w14:textId="77777777" w:rsidR="00EB1BF9" w:rsidRPr="00EB1BF9" w:rsidRDefault="00EB1BF9" w:rsidP="00EB1BF9">
      <w:pPr>
        <w:rPr>
          <w:lang w:val="en-GB" w:eastAsia="en-AU"/>
        </w:rPr>
      </w:pPr>
      <w:r w:rsidRPr="00EB1BF9">
        <w:rPr>
          <w:lang w:val="en-GB" w:eastAsia="en-AU"/>
        </w:rPr>
        <w:t>Allain, V., L. Mirabito, C. Arnould, M. Colas, S. Le Bouquin, C. Lupo, and V. Michel. 2009. Skin lesions in broiler chickens measured at the slaughterhouse: relationships between lesions and between their prevalence and rearing factors. British Poultry Science 50:407-417. doi 10.1080/00071660903110901</w:t>
      </w:r>
    </w:p>
    <w:p w14:paraId="48B5F83D" w14:textId="77777777" w:rsidR="00EB1BF9" w:rsidRPr="00EB1BF9" w:rsidRDefault="00EB1BF9" w:rsidP="00EB1BF9">
      <w:pPr>
        <w:rPr>
          <w:lang w:val="en-GB" w:eastAsia="en-AU"/>
        </w:rPr>
      </w:pPr>
      <w:r w:rsidRPr="00EB1BF9">
        <w:rPr>
          <w:lang w:val="en-GB" w:eastAsia="en-AU"/>
        </w:rPr>
        <w:t>Almeida, J. G., S. L. Vieira, R. N. Reis, J. Berres, R. Barros, A. K. Ferreira, and F. V. F. Furtado. 2008. Hatching distribution and embryo mortality of eggs laid by broiler breeders of different ages. Brazilian Journ</w:t>
      </w:r>
      <w:r w:rsidR="004635D3">
        <w:rPr>
          <w:lang w:val="en-GB" w:eastAsia="en-AU"/>
        </w:rPr>
        <w:t>al of Poultry Science 10:89-96.</w:t>
      </w:r>
    </w:p>
    <w:p w14:paraId="0801248A" w14:textId="77777777" w:rsidR="00EB1BF9" w:rsidRPr="00EB1BF9" w:rsidRDefault="00EB1BF9" w:rsidP="00EB1BF9">
      <w:pPr>
        <w:rPr>
          <w:lang w:val="en-GB" w:eastAsia="en-AU"/>
        </w:rPr>
      </w:pPr>
      <w:r w:rsidRPr="00EB1BF9">
        <w:rPr>
          <w:lang w:val="en-GB" w:eastAsia="en-AU"/>
        </w:rPr>
        <w:t>Almeida, G. F. D., L. K. Hinrichsen, K. Horsted, S. M. Thamsborg, and J. E. Hermansen. 2012. Feed intake and activity level of two broiler genotypes foraging different types of vegetation in the finishing period. Poultry Science 91:2105-2113. doi 10.3382/ps.2012-02187</w:t>
      </w:r>
    </w:p>
    <w:p w14:paraId="2EE37696" w14:textId="77777777" w:rsidR="00EB1BF9" w:rsidRPr="00EB1BF9" w:rsidRDefault="00EB1BF9" w:rsidP="00EB1BF9">
      <w:pPr>
        <w:rPr>
          <w:lang w:val="en-GB" w:eastAsia="en-AU"/>
        </w:rPr>
      </w:pPr>
      <w:r w:rsidRPr="00EB1BF9">
        <w:rPr>
          <w:lang w:val="en-GB" w:eastAsia="en-AU"/>
        </w:rPr>
        <w:t>Altan, O., A. Pabuccuoglu, A. Altan, S. Konyalioglu, and H. Bayraktar. 2003. Effect of heat stress on oxidative stress, lipid peroxidation and some stress parameters in broilers. British Poultry Science 44:545-550. doi 10.1080/00071660310001618334</w:t>
      </w:r>
    </w:p>
    <w:p w14:paraId="674911A9" w14:textId="77777777" w:rsidR="00EB1BF9" w:rsidRPr="00EB1BF9" w:rsidRDefault="00EB1BF9" w:rsidP="00EB1BF9">
      <w:pPr>
        <w:rPr>
          <w:lang w:val="en-GB" w:eastAsia="en-AU"/>
        </w:rPr>
      </w:pPr>
      <w:r w:rsidRPr="00EB1BF9">
        <w:rPr>
          <w:lang w:val="en-GB" w:eastAsia="en-AU"/>
        </w:rPr>
        <w:t xml:space="preserve">Altan, O., C. Seremet, and H. Bayraktar. 2013. The effects of early environmental enrichment on performance, fear and physiological responses to acute stress of broiler. Archiv Fur Geflugelkunde 77:23-28. </w:t>
      </w:r>
    </w:p>
    <w:p w14:paraId="793770EF" w14:textId="77777777" w:rsidR="00EB1BF9" w:rsidRPr="00EB1BF9" w:rsidRDefault="00EB1BF9" w:rsidP="00EB1BF9">
      <w:pPr>
        <w:rPr>
          <w:lang w:val="en-GB" w:eastAsia="en-AU"/>
        </w:rPr>
      </w:pPr>
      <w:r w:rsidRPr="00EB1BF9">
        <w:rPr>
          <w:lang w:val="en-GB" w:eastAsia="en-AU"/>
        </w:rPr>
        <w:t>Alvino, G. M., G. S. Archer, and J. A. Mench. 2009a. Behavioural time budgets of broiler chickens reared in varying light intensities. Applied Animal Behaviour Science 118:54-61. doi 10.1016/j.applanim.2009.02.003</w:t>
      </w:r>
    </w:p>
    <w:p w14:paraId="5EF47A48" w14:textId="77777777" w:rsidR="00EB1BF9" w:rsidRPr="00EB1BF9" w:rsidRDefault="00EB1BF9" w:rsidP="00EB1BF9">
      <w:pPr>
        <w:rPr>
          <w:lang w:val="en-GB" w:eastAsia="en-AU"/>
        </w:rPr>
      </w:pPr>
      <w:r w:rsidRPr="00EB1BF9">
        <w:rPr>
          <w:lang w:val="en-GB" w:eastAsia="en-AU"/>
        </w:rPr>
        <w:t>Alvino, G. M., R. A. Blatchford, G. S. Archer, and J. A. Mench. 2009b. Light intensity during rearing affects the behavioural synchrony and resting patterns of broiler chickens. British Poultry Science 50:275-283. doi 10.1080/00071660902942775</w:t>
      </w:r>
    </w:p>
    <w:p w14:paraId="640406ED" w14:textId="77777777" w:rsidR="00EB1BF9" w:rsidRPr="00EB1BF9" w:rsidRDefault="00EB1BF9" w:rsidP="00EB1BF9">
      <w:pPr>
        <w:rPr>
          <w:lang w:val="en-GB" w:eastAsia="en-AU"/>
        </w:rPr>
      </w:pPr>
      <w:r w:rsidRPr="00EB1BF9">
        <w:rPr>
          <w:lang w:val="en-GB" w:eastAsia="en-AU"/>
        </w:rPr>
        <w:t xml:space="preserve">Antonissen, G., S. De Baere, M. Devreese, F. Van Immerseel, A. Martel, and S. Croubels. 2017. Feed contamination with </w:t>
      </w:r>
      <w:r w:rsidRPr="004635D3">
        <w:rPr>
          <w:i/>
          <w:lang w:val="en-GB" w:eastAsia="en-AU"/>
        </w:rPr>
        <w:t>Fusarium</w:t>
      </w:r>
      <w:r w:rsidRPr="00EB1BF9">
        <w:rPr>
          <w:lang w:val="en-GB" w:eastAsia="en-AU"/>
        </w:rPr>
        <w:t xml:space="preserve"> mycotoxins induces a corticosterone stress response in broiler chickens. Poultry Science 96:14-17. doi 10.3382/ps/pew280</w:t>
      </w:r>
    </w:p>
    <w:p w14:paraId="098AAC16" w14:textId="77777777" w:rsidR="00EB1BF9" w:rsidRPr="00EB1BF9" w:rsidRDefault="00EB1BF9" w:rsidP="00EB1BF9">
      <w:pPr>
        <w:rPr>
          <w:lang w:val="en-GB" w:eastAsia="en-AU"/>
        </w:rPr>
      </w:pPr>
      <w:r w:rsidRPr="00EB1BF9">
        <w:rPr>
          <w:lang w:val="en-GB" w:eastAsia="en-AU"/>
        </w:rPr>
        <w:t>Araujo, F. E., R. G. Garcia, I. A. Naas, N. D. S. Lima, R. Silva, and F. R. Caldara. 2015. Broiler Surface Temperature and Behavioral Response under Two Different Light Sources. Brazilian Journal of Poultry Science 17:219-226. doi 10.1590/1516-635x1702219-226</w:t>
      </w:r>
    </w:p>
    <w:p w14:paraId="27F87061" w14:textId="77777777" w:rsidR="00EB1BF9" w:rsidRPr="00EB1BF9" w:rsidRDefault="00EB1BF9" w:rsidP="00EB1BF9">
      <w:pPr>
        <w:rPr>
          <w:lang w:val="en-GB" w:eastAsia="en-AU"/>
        </w:rPr>
      </w:pPr>
      <w:r w:rsidRPr="00EB1BF9">
        <w:rPr>
          <w:lang w:val="en-GB" w:eastAsia="en-AU"/>
        </w:rPr>
        <w:t>Archer, G. S., and J. A. Mench. 2013. The effects of light stimulation during incubation on indicators of stress susceptibility in broilers. Poultry Science 92:3103-3108. doi 10.3382/ps.2013-03434</w:t>
      </w:r>
    </w:p>
    <w:p w14:paraId="00FC0F69" w14:textId="77777777" w:rsidR="00EB1BF9" w:rsidRPr="00EB1BF9" w:rsidRDefault="00EB1BF9" w:rsidP="00EB1BF9">
      <w:pPr>
        <w:rPr>
          <w:lang w:val="en-GB" w:eastAsia="en-AU"/>
        </w:rPr>
      </w:pPr>
      <w:r w:rsidRPr="00EB1BF9">
        <w:rPr>
          <w:lang w:val="en-GB" w:eastAsia="en-AU"/>
        </w:rPr>
        <w:t>Archer, G. S., and J. A. Mench. 2014. Natural incubation patterns and the effects of exposing eggs to light at various times during incubation on post-hatch fear and stress responses in broiler (meat) chickens. Applied Animal Behaviour Science 152:44-51. doi 10.1016/j.applanim.2013.12.010</w:t>
      </w:r>
    </w:p>
    <w:p w14:paraId="60E7DE46" w14:textId="77777777" w:rsidR="00EB1BF9" w:rsidRPr="00EB1BF9" w:rsidRDefault="00EB1BF9" w:rsidP="00EB1BF9">
      <w:pPr>
        <w:rPr>
          <w:lang w:val="en-GB" w:eastAsia="en-AU"/>
        </w:rPr>
      </w:pPr>
      <w:r w:rsidRPr="00EB1BF9">
        <w:rPr>
          <w:lang w:val="en-GB" w:eastAsia="en-AU"/>
        </w:rPr>
        <w:t>Archer, G. S., and J. A. Mench. 2017. Exposing avian embryos to light affects post-hatch anti-predator fear responses. Applied Animal Behaviour Science 186:80-84. doi 10.1016/j.applanim.2016.10.014</w:t>
      </w:r>
    </w:p>
    <w:p w14:paraId="3A4706F0" w14:textId="77777777" w:rsidR="00EB1BF9" w:rsidRPr="00EB1BF9" w:rsidRDefault="00EB1BF9" w:rsidP="00EB1BF9">
      <w:pPr>
        <w:rPr>
          <w:lang w:val="en-GB" w:eastAsia="en-AU"/>
        </w:rPr>
      </w:pPr>
      <w:r w:rsidRPr="00EB1BF9">
        <w:rPr>
          <w:lang w:val="en-GB" w:eastAsia="en-AU"/>
        </w:rPr>
        <w:t>Archer, G. S., H. L. Shivaprasad, and J. A. Mench. 2009. Effect of providing light during incubation on the health, productivity, and behavior of broiler chickens. Poultry Science 88:29-37. doi 10.3382/ps.2008-00221</w:t>
      </w:r>
    </w:p>
    <w:p w14:paraId="51E1EC85" w14:textId="77777777" w:rsidR="00EB1BF9" w:rsidRPr="00EB1BF9" w:rsidRDefault="00EB1BF9" w:rsidP="00EB1BF9">
      <w:pPr>
        <w:rPr>
          <w:lang w:val="en-GB" w:eastAsia="en-AU"/>
        </w:rPr>
      </w:pPr>
      <w:r w:rsidRPr="00EB1BF9">
        <w:rPr>
          <w:lang w:val="en-GB" w:eastAsia="en-AU"/>
        </w:rPr>
        <w:t>Arnould, C., and J. M. Faure. 2004. Use of pen space and activity of broiler chickens reared at two different densities (</w:t>
      </w:r>
      <w:r w:rsidR="00924082">
        <w:rPr>
          <w:lang w:val="en-GB" w:eastAsia="en-AU"/>
        </w:rPr>
        <w:t>refers to V</w:t>
      </w:r>
      <w:r w:rsidRPr="00EB1BF9">
        <w:rPr>
          <w:lang w:val="en-GB" w:eastAsia="en-AU"/>
        </w:rPr>
        <w:t>ol 84</w:t>
      </w:r>
      <w:r w:rsidR="00924082">
        <w:rPr>
          <w:lang w:val="en-GB" w:eastAsia="en-AU"/>
        </w:rPr>
        <w:t>, page 281,</w:t>
      </w:r>
      <w:r w:rsidRPr="00EB1BF9">
        <w:rPr>
          <w:lang w:val="en-GB" w:eastAsia="en-AU"/>
        </w:rPr>
        <w:t xml:space="preserve"> 2003). Applied Animal Behaviour Science 87:153-170. doi 10.1016/j.applanim.2003.11.001</w:t>
      </w:r>
    </w:p>
    <w:p w14:paraId="633B8128" w14:textId="77777777" w:rsidR="00EB1BF9" w:rsidRPr="00EB1BF9" w:rsidRDefault="00EB1BF9" w:rsidP="00EB1BF9">
      <w:pPr>
        <w:rPr>
          <w:lang w:val="en-GB" w:eastAsia="en-AU"/>
        </w:rPr>
      </w:pPr>
      <w:r w:rsidRPr="00EB1BF9">
        <w:rPr>
          <w:lang w:val="en-GB" w:eastAsia="en-AU"/>
        </w:rPr>
        <w:t>Arnould, C., D. Bizeray, J. M. Faure, and C. Leterrier. 2004. Effects of the addition of sand and string to pens on use of space, activity, tarsal angulations and bone composition in broiler chi</w:t>
      </w:r>
      <w:r w:rsidR="0052514E">
        <w:rPr>
          <w:lang w:val="en-GB" w:eastAsia="en-AU"/>
        </w:rPr>
        <w:t>ckens. Animal Welfare 13:87-94.</w:t>
      </w:r>
    </w:p>
    <w:p w14:paraId="7CD6C95F" w14:textId="77777777" w:rsidR="00EB1BF9" w:rsidRPr="00EB1BF9" w:rsidRDefault="00EB1BF9" w:rsidP="00EB1BF9">
      <w:pPr>
        <w:rPr>
          <w:lang w:val="en-GB" w:eastAsia="en-AU"/>
        </w:rPr>
      </w:pPr>
      <w:r w:rsidRPr="00EB1BF9">
        <w:rPr>
          <w:lang w:val="en-GB" w:eastAsia="en-AU"/>
        </w:rPr>
        <w:t>Arruda, J. N. T., A. S. Mendes, E. Guirro, M. Schneider, R. R. Sikorski, L. Sausen, E. R. Dias, and D. V. Bonamigo. 2016. Live Performance, Carcass Yield, and Welfare of Broilers of Different Genetic Strains Reared at Different Housing Densities. Brazilian Journal of Poultry Science 18:141-151. doi 10.1590/18069061-2015-0092</w:t>
      </w:r>
    </w:p>
    <w:p w14:paraId="56F84CA7" w14:textId="77777777" w:rsidR="00EB1BF9" w:rsidRPr="00EB1BF9" w:rsidRDefault="00EB1BF9" w:rsidP="00EB1BF9">
      <w:pPr>
        <w:rPr>
          <w:lang w:val="en-GB" w:eastAsia="en-AU"/>
        </w:rPr>
      </w:pPr>
      <w:r w:rsidRPr="00EB1BF9">
        <w:rPr>
          <w:lang w:val="en-GB" w:eastAsia="en-AU"/>
        </w:rPr>
        <w:t>Ask, B. 2010. Genetic variation of contact dermatitis in broilers. Poultry Science 89:866-875. doi 10.3382/ps.2009-00496</w:t>
      </w:r>
    </w:p>
    <w:p w14:paraId="0EA18859" w14:textId="77777777" w:rsidR="00EB1BF9" w:rsidRPr="00EB1BF9" w:rsidRDefault="00EB1BF9" w:rsidP="00EB1BF9">
      <w:pPr>
        <w:rPr>
          <w:lang w:val="en-GB" w:eastAsia="en-AU"/>
        </w:rPr>
      </w:pPr>
      <w:r w:rsidRPr="00EB1BF9">
        <w:rPr>
          <w:lang w:val="en-GB" w:eastAsia="en-AU"/>
        </w:rPr>
        <w:t>Aydin, A., C. Bahr, and D. Berckmans. 2015. Automatic classification of measures of lying to assess the lameness of broilers. Animal Welfare 24:335-343. doi 10.7120/09627286.24.3.335</w:t>
      </w:r>
    </w:p>
    <w:p w14:paraId="65F88477" w14:textId="77777777" w:rsidR="00EB1BF9" w:rsidRPr="00EB1BF9" w:rsidRDefault="00EB1BF9" w:rsidP="00EB1BF9">
      <w:pPr>
        <w:rPr>
          <w:lang w:val="en-GB" w:eastAsia="en-AU"/>
        </w:rPr>
      </w:pPr>
      <w:r w:rsidRPr="00EB1BF9">
        <w:rPr>
          <w:lang w:val="en-GB" w:eastAsia="en-AU"/>
        </w:rPr>
        <w:t>Azad, K. M. A., M. Kikusato, A. M. Hoque, and M. Toyomizu. 2010. Effect of Chronic Heat Stress on Performance and Oxidative Damage in Different Strains of Chickens. Journal of Poultry Science 47:333-337. doi 10.2141/jpsa.010025</w:t>
      </w:r>
    </w:p>
    <w:p w14:paraId="09FEA3AC" w14:textId="77777777" w:rsidR="00EB1BF9" w:rsidRPr="00EB1BF9" w:rsidRDefault="00EB1BF9" w:rsidP="00EB1BF9">
      <w:pPr>
        <w:rPr>
          <w:lang w:val="en-GB" w:eastAsia="en-AU"/>
        </w:rPr>
      </w:pPr>
      <w:r w:rsidRPr="00EB1BF9">
        <w:rPr>
          <w:lang w:val="en-GB" w:eastAsia="en-AU"/>
        </w:rPr>
        <w:t>Baeza, E., C. Arnould, M. Jlali, P. Chartrin, V. Gigaud, F. Mercerand, C. Durand, K. Meteau, E. Le Bihan-Duval, and C. Berri. 2012. Influence of increasing slaughter age of chickens on meat quality, welfare, and technical and economic results. Journal of Animal Science 90:2003-2013. doi 10.2527/jas.2011-4192</w:t>
      </w:r>
    </w:p>
    <w:p w14:paraId="08D9BA2E" w14:textId="77777777" w:rsidR="00EB1BF9" w:rsidRPr="00EB1BF9" w:rsidRDefault="00EB1BF9" w:rsidP="00EB1BF9">
      <w:pPr>
        <w:rPr>
          <w:lang w:val="en-GB" w:eastAsia="en-AU"/>
        </w:rPr>
      </w:pPr>
      <w:r w:rsidRPr="00EB1BF9">
        <w:rPr>
          <w:lang w:val="en-GB" w:eastAsia="en-AU"/>
        </w:rPr>
        <w:t>Bailie, C. L., and N. E. O'Connell. 2014. The effect of level of straw bale provision on the behaviour and leg health of commercial broiler chickens. Animal 8:1715-1721. doi 10.1017/s1751731114001529</w:t>
      </w:r>
    </w:p>
    <w:p w14:paraId="23C82F22" w14:textId="77777777" w:rsidR="00EB1BF9" w:rsidRPr="00EB1BF9" w:rsidRDefault="00EB1BF9" w:rsidP="00EB1BF9">
      <w:pPr>
        <w:rPr>
          <w:lang w:val="en-GB" w:eastAsia="en-AU"/>
        </w:rPr>
      </w:pPr>
      <w:r w:rsidRPr="00EB1BF9">
        <w:rPr>
          <w:lang w:val="en-GB" w:eastAsia="en-AU"/>
        </w:rPr>
        <w:t>Bailie, C. L., and N. E. O'Connell. 2015. The influence of providing perches and string on activity levels, fearfulness and leg health in commercial broiler chickens. Animal 9:660-668. doi 10.1017/s1751731114002821</w:t>
      </w:r>
    </w:p>
    <w:p w14:paraId="51C4FC93" w14:textId="77777777" w:rsidR="00EB1BF9" w:rsidRPr="00EB1BF9" w:rsidRDefault="00EB1BF9" w:rsidP="00EB1BF9">
      <w:pPr>
        <w:rPr>
          <w:lang w:val="en-GB" w:eastAsia="en-AU"/>
        </w:rPr>
      </w:pPr>
      <w:r w:rsidRPr="00EB1BF9">
        <w:rPr>
          <w:lang w:val="en-GB" w:eastAsia="en-AU"/>
        </w:rPr>
        <w:t>Bailie, C. L., M. E. E. Ball, and N. E. O'Connell. 2013. Influence of the provision of natural light and straw bales on activity levels and leg health in commercial broiler chickens. Animal 7:618-626. doi 10.1017/s1751731112002108</w:t>
      </w:r>
    </w:p>
    <w:p w14:paraId="0D1A6959" w14:textId="77777777" w:rsidR="00EB1BF9" w:rsidRPr="00EB1BF9" w:rsidRDefault="00EB1BF9" w:rsidP="00EB1BF9">
      <w:pPr>
        <w:rPr>
          <w:lang w:val="en-GB" w:eastAsia="en-AU"/>
        </w:rPr>
      </w:pPr>
      <w:r w:rsidRPr="00EB1BF9">
        <w:rPr>
          <w:lang w:val="en-GB" w:eastAsia="en-AU"/>
        </w:rPr>
        <w:t>Banhazi, T. M., J. Seedorf, M. Laffrique, and D. L. Rutley. 2008. Identification of the risk factors for high airborne particle concentrations in broiler buildings using statistical modelling. Biosystems Engineering 101:100-110. doi 10.1016/j.biosystemseng.2008.06.007</w:t>
      </w:r>
    </w:p>
    <w:p w14:paraId="49483BEC" w14:textId="77777777" w:rsidR="00EB1BF9" w:rsidRPr="00EB1BF9" w:rsidRDefault="00EB1BF9" w:rsidP="00EB1BF9">
      <w:pPr>
        <w:rPr>
          <w:lang w:val="en-GB" w:eastAsia="en-AU"/>
        </w:rPr>
      </w:pPr>
      <w:r w:rsidRPr="00EB1BF9">
        <w:rPr>
          <w:lang w:val="en-GB" w:eastAsia="en-AU"/>
        </w:rPr>
        <w:t>Baracho, M. S., I. A. Naas, L. G. F. Bueno, G. R. Nascimento, and D. J. Moura. 2012. Broiler Walking Ability and Toe Asymmetry Under Harsh Rearing Conditions. Brazilian Journal</w:t>
      </w:r>
      <w:r w:rsidR="0052514E">
        <w:rPr>
          <w:lang w:val="en-GB" w:eastAsia="en-AU"/>
        </w:rPr>
        <w:t xml:space="preserve"> of Poultry Science 14:217-222.</w:t>
      </w:r>
    </w:p>
    <w:p w14:paraId="732F963C" w14:textId="77777777" w:rsidR="00EB1BF9" w:rsidRPr="00EB1BF9" w:rsidRDefault="00EB1BF9" w:rsidP="00EB1BF9">
      <w:pPr>
        <w:rPr>
          <w:lang w:val="en-GB" w:eastAsia="en-AU"/>
        </w:rPr>
      </w:pPr>
      <w:r w:rsidRPr="00EB1BF9">
        <w:rPr>
          <w:lang w:val="en-GB" w:eastAsia="en-AU"/>
        </w:rPr>
        <w:t>Bassler, A. W., C. Arnould, A. Butterworth, L. Colin, I. C. De Jong, V. Ferrante, P. Ferrari, S. Haslam, F. Wemelsfelder, and H. J. Blokhuis. 2013. Potential risk factors associated with contact dermatitis, lameness, negative emotional state, and fear of humans in broiler chicken flocks. Poultry Science 92:2811-2826. doi 10.3382/ps.2013-03208</w:t>
      </w:r>
    </w:p>
    <w:p w14:paraId="03A38345" w14:textId="77777777" w:rsidR="00EB1BF9" w:rsidRPr="00EB1BF9" w:rsidRDefault="00EB1BF9" w:rsidP="00EB1BF9">
      <w:pPr>
        <w:rPr>
          <w:lang w:val="en-GB" w:eastAsia="en-AU"/>
        </w:rPr>
      </w:pPr>
      <w:r w:rsidRPr="00EB1BF9">
        <w:rPr>
          <w:lang w:val="en-GB" w:eastAsia="en-AU"/>
        </w:rPr>
        <w:t>Bayraktar, H., A. Altan, and C. Seremet. 2012. The Effects of Spot Lighting on Broiler Performance and Welfare. Journal of Animal and Ve</w:t>
      </w:r>
      <w:r w:rsidR="0052514E">
        <w:rPr>
          <w:lang w:val="en-GB" w:eastAsia="en-AU"/>
        </w:rPr>
        <w:t>terinary Advances 11:1139-1144.</w:t>
      </w:r>
    </w:p>
    <w:p w14:paraId="32EFB121" w14:textId="77777777" w:rsidR="00EB1BF9" w:rsidRPr="00EB1BF9" w:rsidRDefault="00EB1BF9" w:rsidP="00EB1BF9">
      <w:pPr>
        <w:rPr>
          <w:lang w:val="en-GB" w:eastAsia="en-AU"/>
        </w:rPr>
      </w:pPr>
      <w:r w:rsidRPr="00EB1BF9">
        <w:rPr>
          <w:lang w:val="en-GB" w:eastAsia="en-AU"/>
        </w:rPr>
        <w:t xml:space="preserve">Bayram, A., and S. </w:t>
      </w:r>
      <w:r w:rsidR="00446673" w:rsidRPr="00446673">
        <w:rPr>
          <w:lang w:val="en-GB" w:eastAsia="en-AU"/>
        </w:rPr>
        <w:t>Özkan</w:t>
      </w:r>
      <w:r w:rsidRPr="00EB1BF9">
        <w:rPr>
          <w:lang w:val="en-GB" w:eastAsia="en-AU"/>
        </w:rPr>
        <w:t>. 2010. Effects of a 16-hour light, 8-hour dark lighting schedule on behavioral traits and performance in male broiler chickens. Journal of Applied Poultry Research 19:263-273. doi 10.3382/japr.2009-00026</w:t>
      </w:r>
    </w:p>
    <w:p w14:paraId="306B0845" w14:textId="77777777" w:rsidR="00EB1BF9" w:rsidRPr="00EB1BF9" w:rsidRDefault="00EB1BF9" w:rsidP="00EB1BF9">
      <w:pPr>
        <w:rPr>
          <w:lang w:val="en-GB" w:eastAsia="en-AU"/>
        </w:rPr>
      </w:pPr>
      <w:r w:rsidRPr="00EB1BF9">
        <w:rPr>
          <w:lang w:val="en-GB" w:eastAsia="en-AU"/>
        </w:rPr>
        <w:t>Bedanova, I., J. Chloupek, P. Chloupek, Z. Knotkova, E. Voslarova, V. Pistekova, and V. Vecerek. 2010a. Responses of peripheral blood leukocytes to chronic intermittent noise exposure in broilers. Berliner Und Munchener Tierarztliche Wochenschrift 123:186-191. doi 10.2376/0005-9366-123-186</w:t>
      </w:r>
    </w:p>
    <w:p w14:paraId="15290B45" w14:textId="77777777" w:rsidR="00EB1BF9" w:rsidRPr="00EB1BF9" w:rsidRDefault="00EB1BF9" w:rsidP="00EB1BF9">
      <w:pPr>
        <w:rPr>
          <w:lang w:val="en-GB" w:eastAsia="en-AU"/>
        </w:rPr>
      </w:pPr>
      <w:r w:rsidRPr="00EB1BF9">
        <w:rPr>
          <w:lang w:val="en-GB" w:eastAsia="en-AU"/>
        </w:rPr>
        <w:t>Bedanova, I., P. Chloupek, P. Vosmerova, J. Chloupek, and V. Vecerek. 2010b. Time Course Changes in Selected Biochemical Stress Indices in Broilers Exposed to Short-term Noise. Acta Veterinaria Brno 79:S35-S40. doi 10.2754/avb201079S9S035</w:t>
      </w:r>
    </w:p>
    <w:p w14:paraId="62A2257D" w14:textId="77777777" w:rsidR="00EB1BF9" w:rsidRPr="00EB1BF9" w:rsidRDefault="00EB1BF9" w:rsidP="00EB1BF9">
      <w:pPr>
        <w:rPr>
          <w:lang w:val="en-GB" w:eastAsia="en-AU"/>
        </w:rPr>
      </w:pPr>
      <w:r w:rsidRPr="00EB1BF9">
        <w:rPr>
          <w:lang w:val="en-GB" w:eastAsia="en-AU"/>
        </w:rPr>
        <w:t>Beker, A., S. L. Vanhooser, J. H. Swartlzander, and R. G. Teeter. 2004. Atmospheric ammonia concentration effects on broiler growth and performance. Journal of A</w:t>
      </w:r>
      <w:r w:rsidR="0052514E">
        <w:rPr>
          <w:lang w:val="en-GB" w:eastAsia="en-AU"/>
        </w:rPr>
        <w:t>pplied Poultry Research 13:5-9.</w:t>
      </w:r>
    </w:p>
    <w:p w14:paraId="01851AEF" w14:textId="77777777" w:rsidR="00EB1BF9" w:rsidRPr="00EB1BF9" w:rsidRDefault="00EB1BF9" w:rsidP="00EB1BF9">
      <w:pPr>
        <w:rPr>
          <w:lang w:val="en-GB" w:eastAsia="en-AU"/>
        </w:rPr>
      </w:pPr>
      <w:r w:rsidRPr="00EB1BF9">
        <w:rPr>
          <w:lang w:val="en-GB" w:eastAsia="en-AU"/>
        </w:rPr>
        <w:t>Beloor, J., H. K. Kang, Y. J. Kim, V. K. Subramani, I. S. Jang, S. H. Sohn, and Y. S. Moon. 2010. The Effect of Stocking Density on Stress Related Genes and Telomeric Length in Broiler Chickens. Asian-Australasian Journal</w:t>
      </w:r>
      <w:r w:rsidR="0052514E">
        <w:rPr>
          <w:lang w:val="en-GB" w:eastAsia="en-AU"/>
        </w:rPr>
        <w:t xml:space="preserve"> of Animal Sciences 23:437-443.</w:t>
      </w:r>
    </w:p>
    <w:p w14:paraId="6A66F33A" w14:textId="77777777" w:rsidR="00EB1BF9" w:rsidRPr="00EB1BF9" w:rsidRDefault="00EB1BF9" w:rsidP="00EB1BF9">
      <w:pPr>
        <w:rPr>
          <w:lang w:val="en-GB" w:eastAsia="en-AU"/>
        </w:rPr>
      </w:pPr>
      <w:r w:rsidRPr="00EB1BF9">
        <w:rPr>
          <w:lang w:val="en-GB" w:eastAsia="en-AU"/>
        </w:rPr>
        <w:t>Berg, C., and G. S. Sanotra. 2003. Can a modified latency-to-lie test be used to validate gait-scoring results in commercial broiler flo</w:t>
      </w:r>
      <w:r w:rsidR="0052514E">
        <w:rPr>
          <w:lang w:val="en-GB" w:eastAsia="en-AU"/>
        </w:rPr>
        <w:t>cks? Animal Welfare 12:655-659.</w:t>
      </w:r>
    </w:p>
    <w:p w14:paraId="0A8DDEF4" w14:textId="77777777" w:rsidR="00EB1BF9" w:rsidRPr="00EB1BF9" w:rsidRDefault="00EB1BF9" w:rsidP="00EB1BF9">
      <w:pPr>
        <w:rPr>
          <w:lang w:val="en-GB" w:eastAsia="en-AU"/>
        </w:rPr>
      </w:pPr>
      <w:r w:rsidRPr="00EB1BF9">
        <w:rPr>
          <w:lang w:val="en-GB" w:eastAsia="en-AU"/>
        </w:rPr>
        <w:t>Bergmann, S., H. Louton, C. Westermaier, K. Wilutzky, A. Bender, J. Bachmeier, M. H. Erhard, and E. Rauch. 2016. Field trial on animal-based measures for animal welfare in slow growing broilers reared under an alternative concept suitable for the German market. Berliner Und Munchener Tierarztliche Wochenschrift 129:453-461. doi 10.2376/0005-9366-16035</w:t>
      </w:r>
    </w:p>
    <w:p w14:paraId="7FAEDE46" w14:textId="77777777" w:rsidR="00EB1BF9" w:rsidRPr="00EB1BF9" w:rsidRDefault="00EB1BF9" w:rsidP="00EB1BF9">
      <w:pPr>
        <w:rPr>
          <w:lang w:val="en-GB" w:eastAsia="en-AU"/>
        </w:rPr>
      </w:pPr>
      <w:r w:rsidRPr="00EB1BF9">
        <w:rPr>
          <w:lang w:val="en-GB" w:eastAsia="en-AU"/>
        </w:rPr>
        <w:t>Berk, J. 2009. Effect of litter type on prevalence and severity of pododermatitis in male broilers. Berliner Und Munchener Tierarztliche Wochenschrift 122:257-263. doi 10.2376/0005-9366-122-257</w:t>
      </w:r>
    </w:p>
    <w:p w14:paraId="72922700" w14:textId="77777777" w:rsidR="00EB1BF9" w:rsidRPr="00EB1BF9" w:rsidRDefault="00EB1BF9" w:rsidP="00EB1BF9">
      <w:pPr>
        <w:rPr>
          <w:lang w:val="en-GB" w:eastAsia="en-AU"/>
        </w:rPr>
      </w:pPr>
      <w:r w:rsidRPr="00EB1BF9">
        <w:rPr>
          <w:lang w:val="en-GB" w:eastAsia="en-AU"/>
        </w:rPr>
        <w:t>Bilgili, S. F., M. A. Alley, J. B. Hess, and M. Nagaraj. 2006. Influence of age and sex on footpad quality and yield in broiler chickens reared on low and high density diets. Journal of Appli</w:t>
      </w:r>
      <w:r w:rsidR="0052514E">
        <w:rPr>
          <w:lang w:val="en-GB" w:eastAsia="en-AU"/>
        </w:rPr>
        <w:t>ed Poultry Research 15:433-441.</w:t>
      </w:r>
    </w:p>
    <w:p w14:paraId="6BEF29B4" w14:textId="77777777" w:rsidR="00EB1BF9" w:rsidRPr="00EB1BF9" w:rsidRDefault="00EB1BF9" w:rsidP="00EB1BF9">
      <w:pPr>
        <w:rPr>
          <w:lang w:val="en-GB" w:eastAsia="en-AU"/>
        </w:rPr>
      </w:pPr>
      <w:r w:rsidRPr="00EB1BF9">
        <w:rPr>
          <w:lang w:val="en-GB" w:eastAsia="en-AU"/>
        </w:rPr>
        <w:t>Bilgili, S. F., J. B. Hess, J. P. Blake, K. S. Macklin, B. Saenmahayak, and J. L. Sibley. 2009. Influence of bedding material on footpad dermatitis in broiler chickens. Journal of Applied Poultry Research 18:583-589. doi 10.3382/japr.2009-00023</w:t>
      </w:r>
    </w:p>
    <w:p w14:paraId="511FBE39" w14:textId="77777777" w:rsidR="00EB1BF9" w:rsidRPr="00EB1BF9" w:rsidRDefault="00EB1BF9" w:rsidP="00EB1BF9">
      <w:pPr>
        <w:rPr>
          <w:lang w:val="en-GB" w:eastAsia="en-AU"/>
        </w:rPr>
      </w:pPr>
      <w:r w:rsidRPr="00EB1BF9">
        <w:rPr>
          <w:lang w:val="en-GB" w:eastAsia="en-AU"/>
        </w:rPr>
        <w:t>Birgul, O. B., S. Mutaf, and S. Alkan. 2012. Effects of different angled perches on leg disorders in broilers. Arc</w:t>
      </w:r>
      <w:r w:rsidR="0052514E">
        <w:rPr>
          <w:lang w:val="en-GB" w:eastAsia="en-AU"/>
        </w:rPr>
        <w:t>hiv Fur Geflugelkunde 76:44-48.</w:t>
      </w:r>
    </w:p>
    <w:p w14:paraId="49D176D6" w14:textId="77777777" w:rsidR="00EB1BF9" w:rsidRPr="00EB1BF9" w:rsidRDefault="00EB1BF9" w:rsidP="00EB1BF9">
      <w:pPr>
        <w:rPr>
          <w:lang w:val="en-GB" w:eastAsia="en-AU"/>
        </w:rPr>
      </w:pPr>
      <w:r w:rsidRPr="00EB1BF9">
        <w:rPr>
          <w:lang w:val="en-GB" w:eastAsia="en-AU"/>
        </w:rPr>
        <w:t>Bizeray, D., C. Leterrier, P. Constantin, M. Picard, and J. M. Faure. 2000. Early locomotor behaviour in genetic stocks of chickens with different growth rates. Applied Animal Behaviour Science 68:231-242. doi 10.1016/s0168-1591(00)00105-2</w:t>
      </w:r>
    </w:p>
    <w:p w14:paraId="03C8B953" w14:textId="77777777" w:rsidR="00EB1BF9" w:rsidRPr="00EB1BF9" w:rsidRDefault="00EB1BF9" w:rsidP="00EB1BF9">
      <w:pPr>
        <w:rPr>
          <w:lang w:val="en-GB" w:eastAsia="en-AU"/>
        </w:rPr>
      </w:pPr>
      <w:r w:rsidRPr="00EB1BF9">
        <w:rPr>
          <w:lang w:val="en-GB" w:eastAsia="en-AU"/>
        </w:rPr>
        <w:t>Bizeray, D., C. Leterrier, P. Constantin, M. Picard, and J. M. Faure. 2002a. Sequential feeding can increase activity and improve gait score in meat-type chickens</w:t>
      </w:r>
      <w:r w:rsidR="0052514E">
        <w:rPr>
          <w:lang w:val="en-GB" w:eastAsia="en-AU"/>
        </w:rPr>
        <w:t>. Poultry Science 81:1798-1806.</w:t>
      </w:r>
    </w:p>
    <w:p w14:paraId="467A66DD" w14:textId="77777777" w:rsidR="00EB1BF9" w:rsidRPr="00EB1BF9" w:rsidRDefault="00EB1BF9" w:rsidP="00EB1BF9">
      <w:pPr>
        <w:rPr>
          <w:lang w:val="en-GB" w:eastAsia="en-AU"/>
        </w:rPr>
      </w:pPr>
      <w:r w:rsidRPr="00EB1BF9">
        <w:rPr>
          <w:lang w:val="en-GB" w:eastAsia="en-AU"/>
        </w:rPr>
        <w:t>Bizeray, D., I. Estevez, C. Leterrier, and J. M. Faure. 2002b. Effects of increasing environmental complexity on the physical activity of broiler chickens. Applied Animal Behaviour Science 79:27-41. doi 10.1016/s0168-1591(02)00083-7</w:t>
      </w:r>
    </w:p>
    <w:p w14:paraId="60C91196" w14:textId="77777777" w:rsidR="00EB1BF9" w:rsidRPr="00EB1BF9" w:rsidRDefault="00EB1BF9" w:rsidP="00EB1BF9">
      <w:pPr>
        <w:rPr>
          <w:lang w:val="en-GB" w:eastAsia="en-AU"/>
        </w:rPr>
      </w:pPr>
      <w:r w:rsidRPr="00EB1BF9">
        <w:rPr>
          <w:lang w:val="en-GB" w:eastAsia="en-AU"/>
        </w:rPr>
        <w:t>Bizeray, D., I. Estevez, C. Leterrier, and J. M. Faure. 2002c. Influence of increased environmental complexity on leg condition, performance, and level of fearfulness in broile</w:t>
      </w:r>
      <w:r w:rsidR="0052514E">
        <w:rPr>
          <w:lang w:val="en-GB" w:eastAsia="en-AU"/>
        </w:rPr>
        <w:t>rs. Poultry Science 81:767-773.</w:t>
      </w:r>
    </w:p>
    <w:p w14:paraId="1CB49783" w14:textId="77777777" w:rsidR="00EB1BF9" w:rsidRPr="00EB1BF9" w:rsidRDefault="00EB1BF9" w:rsidP="00EB1BF9">
      <w:pPr>
        <w:rPr>
          <w:lang w:val="en-GB" w:eastAsia="en-AU"/>
        </w:rPr>
      </w:pPr>
      <w:r w:rsidRPr="00EB1BF9">
        <w:rPr>
          <w:lang w:val="en-GB" w:eastAsia="en-AU"/>
        </w:rPr>
        <w:t>Bizeray, D., C. Leterrier, P. Constantin, G. Le Pape, and J. M. Faure. 2002d. Typology of activity bouts and effect of fearfulness on behaviour in meat-type chickens. Behavioural Processes 58:45-55. doi 10.1016/s0376-6357(01)00210-8</w:t>
      </w:r>
    </w:p>
    <w:p w14:paraId="57254545" w14:textId="77777777" w:rsidR="00EB1BF9" w:rsidRPr="00EB1BF9" w:rsidRDefault="00EB1BF9" w:rsidP="00EB1BF9">
      <w:pPr>
        <w:rPr>
          <w:lang w:val="en-GB" w:eastAsia="en-AU"/>
        </w:rPr>
      </w:pPr>
      <w:r w:rsidRPr="00EB1BF9">
        <w:rPr>
          <w:lang w:val="en-GB" w:eastAsia="en-AU"/>
        </w:rPr>
        <w:t>Blatchford, R. A., K. C. Klasing, H. L. Shivaprasad, P. S. Wakenell, G. S. Archer, and J. A. Mench. 2009. The effect of light intensity on the behavior, eye and leg health, and immune function of broiler chickens. Poultry Science 88:20-28. doi 10.3382/ps.2008-00177</w:t>
      </w:r>
    </w:p>
    <w:p w14:paraId="4BDF493F" w14:textId="77777777" w:rsidR="00EB1BF9" w:rsidRPr="00EB1BF9" w:rsidRDefault="00EB1BF9" w:rsidP="00EB1BF9">
      <w:pPr>
        <w:rPr>
          <w:lang w:val="en-GB" w:eastAsia="en-AU"/>
        </w:rPr>
      </w:pPr>
      <w:r w:rsidRPr="00EB1BF9">
        <w:rPr>
          <w:lang w:val="en-GB" w:eastAsia="en-AU"/>
        </w:rPr>
        <w:t>Blatchford, R. A., G. S. Archer, and J. A. Mench. 2012. Contrast in light intensity, rather than day length, influences the behavior and health of broiler chickens. Poultry Science 91:1768-1774. doi 10.3382/ps.2011-02051</w:t>
      </w:r>
    </w:p>
    <w:p w14:paraId="5009E647" w14:textId="77777777" w:rsidR="00EB1BF9" w:rsidRPr="00EB1BF9" w:rsidRDefault="00EB1BF9" w:rsidP="00EB1BF9">
      <w:pPr>
        <w:rPr>
          <w:lang w:val="en-GB" w:eastAsia="en-AU"/>
        </w:rPr>
      </w:pPr>
      <w:r w:rsidRPr="00EB1BF9">
        <w:rPr>
          <w:lang w:val="en-GB" w:eastAsia="en-AU"/>
        </w:rPr>
        <w:t>Bokkers, E. A. M., and P. Koene. 2003a. Behaviour of fast- and slow growing broilers to 12 weeks of age and the physical consequences. Applied Animal Behaviour Science 81:59-72. doi 10.1016/s0168-1591(02)00251-4</w:t>
      </w:r>
    </w:p>
    <w:p w14:paraId="26D41D51" w14:textId="77777777" w:rsidR="00EB1BF9" w:rsidRPr="00EB1BF9" w:rsidRDefault="00EB1BF9" w:rsidP="00EB1BF9">
      <w:pPr>
        <w:rPr>
          <w:lang w:val="en-GB" w:eastAsia="en-AU"/>
        </w:rPr>
      </w:pPr>
      <w:r w:rsidRPr="00EB1BF9">
        <w:rPr>
          <w:lang w:val="en-GB" w:eastAsia="en-AU"/>
        </w:rPr>
        <w:t>Bokkers, E. A. M., and P. Koene. 2003b. Eating behaviour, and preprandial and postprandial correlations in male broiler and layer chickens. British Poultry Science 44:538-544. doi 10.1080/00071660310001616165</w:t>
      </w:r>
    </w:p>
    <w:p w14:paraId="32757901" w14:textId="77777777" w:rsidR="00EB1BF9" w:rsidRPr="00EB1BF9" w:rsidRDefault="00EB1BF9" w:rsidP="00EB1BF9">
      <w:pPr>
        <w:rPr>
          <w:lang w:val="en-GB" w:eastAsia="en-AU"/>
        </w:rPr>
      </w:pPr>
      <w:r w:rsidRPr="00EB1BF9">
        <w:rPr>
          <w:lang w:val="en-GB" w:eastAsia="en-AU"/>
        </w:rPr>
        <w:t>Bokkers, E. A. M., and P. Koene. 2004. Motivation and ability to walk for a food reward in fast- and slow-growing broilers to 12 weeks of age. Behavioural Processes 67:121-130. doi 10.1016/j.beproc.2004.03.015</w:t>
      </w:r>
    </w:p>
    <w:p w14:paraId="5FAFE744" w14:textId="77777777" w:rsidR="00EB1BF9" w:rsidRPr="00EB1BF9" w:rsidRDefault="00EB1BF9" w:rsidP="00EB1BF9">
      <w:pPr>
        <w:rPr>
          <w:lang w:val="en-GB" w:eastAsia="en-AU"/>
        </w:rPr>
      </w:pPr>
      <w:r w:rsidRPr="00EB1BF9">
        <w:rPr>
          <w:lang w:val="en-GB" w:eastAsia="en-AU"/>
        </w:rPr>
        <w:t>Bokkers, E. A. M., P. H. Zimmerman, T. B. Rodenburg, and P. Koene. 2007. Walking behaviour of heavy and light broilers in an operant runway test with varying durations of feed deprivation and feed access. Applied Animal Behaviour Science 108:129-142. doi 10.1016/j.applanim.2006.10.011</w:t>
      </w:r>
    </w:p>
    <w:p w14:paraId="7A47F59D" w14:textId="77777777" w:rsidR="00EB1BF9" w:rsidRPr="00EB1BF9" w:rsidRDefault="00EB1BF9" w:rsidP="00EB1BF9">
      <w:pPr>
        <w:rPr>
          <w:lang w:val="en-GB" w:eastAsia="en-AU"/>
        </w:rPr>
      </w:pPr>
      <w:r w:rsidRPr="00EB1BF9">
        <w:rPr>
          <w:lang w:val="en-GB" w:eastAsia="en-AU"/>
        </w:rPr>
        <w:t>Bokkers, E. A. M., I. J. M. de Boer, and P. Koene. 2011. Space needs of broil</w:t>
      </w:r>
      <w:r w:rsidR="0052514E">
        <w:rPr>
          <w:lang w:val="en-GB" w:eastAsia="en-AU"/>
        </w:rPr>
        <w:t>ers. Animal Welfare 20:623-632.</w:t>
      </w:r>
    </w:p>
    <w:p w14:paraId="35A6870A" w14:textId="77777777" w:rsidR="00EB1BF9" w:rsidRPr="00EB1BF9" w:rsidRDefault="00EB1BF9" w:rsidP="00EB1BF9">
      <w:pPr>
        <w:rPr>
          <w:lang w:val="en-GB" w:eastAsia="en-AU"/>
        </w:rPr>
      </w:pPr>
      <w:r w:rsidRPr="00EB1BF9">
        <w:rPr>
          <w:lang w:val="en-GB" w:eastAsia="en-AU"/>
        </w:rPr>
        <w:t>Boostani, A., A. Ashayerizadeh, H. R. M. Fard, and A. Kamalzadeh. 2010. Comparison of The Effects of Several Feed Restriction Periods to Control Ascites on Performance, Carcass Characteristics and Hematological Indices of Broiler Chickens. Brazilian Journal of</w:t>
      </w:r>
      <w:r w:rsidR="0052514E">
        <w:rPr>
          <w:lang w:val="en-GB" w:eastAsia="en-AU"/>
        </w:rPr>
        <w:t xml:space="preserve"> Poultry Science 12:171-177.</w:t>
      </w:r>
    </w:p>
    <w:p w14:paraId="50975FFA" w14:textId="77777777" w:rsidR="00EB1BF9" w:rsidRPr="00EB1BF9" w:rsidRDefault="00EB1BF9" w:rsidP="00EB1BF9">
      <w:pPr>
        <w:rPr>
          <w:lang w:val="en-GB" w:eastAsia="en-AU"/>
        </w:rPr>
      </w:pPr>
      <w:r w:rsidRPr="00EB1BF9">
        <w:rPr>
          <w:lang w:val="en-AU" w:eastAsia="en-AU"/>
        </w:rPr>
        <w:t xml:space="preserve">Bozkurt, M., </w:t>
      </w:r>
      <w:r w:rsidR="0052514E">
        <w:rPr>
          <w:lang w:val="en-AU" w:eastAsia="en-AU"/>
        </w:rPr>
        <w:t xml:space="preserve">N. </w:t>
      </w:r>
      <w:r w:rsidRPr="00EB1BF9">
        <w:rPr>
          <w:lang w:val="en-AU" w:eastAsia="en-AU"/>
        </w:rPr>
        <w:t xml:space="preserve">Aysul, </w:t>
      </w:r>
      <w:r w:rsidR="0052514E">
        <w:rPr>
          <w:lang w:val="en-AU" w:eastAsia="en-AU"/>
        </w:rPr>
        <w:t xml:space="preserve">K. </w:t>
      </w:r>
      <w:r w:rsidRPr="00EB1BF9">
        <w:rPr>
          <w:lang w:val="en-AU" w:eastAsia="en-AU"/>
        </w:rPr>
        <w:t xml:space="preserve">Küçükyilmaz, </w:t>
      </w:r>
      <w:r w:rsidR="0052514E">
        <w:rPr>
          <w:lang w:val="en-AU" w:eastAsia="en-AU"/>
        </w:rPr>
        <w:t xml:space="preserve">S. </w:t>
      </w:r>
      <w:r w:rsidRPr="00EB1BF9">
        <w:rPr>
          <w:lang w:val="en-AU" w:eastAsia="en-AU"/>
        </w:rPr>
        <w:t xml:space="preserve">Aypak, </w:t>
      </w:r>
      <w:r w:rsidR="0052514E">
        <w:rPr>
          <w:lang w:val="en-AU" w:eastAsia="en-AU"/>
        </w:rPr>
        <w:t xml:space="preserve">G. </w:t>
      </w:r>
      <w:r w:rsidRPr="00EB1BF9">
        <w:rPr>
          <w:lang w:val="en-AU" w:eastAsia="en-AU"/>
        </w:rPr>
        <w:t xml:space="preserve">Ege, </w:t>
      </w:r>
      <w:r w:rsidR="0052514E">
        <w:rPr>
          <w:lang w:val="en-AU" w:eastAsia="en-AU"/>
        </w:rPr>
        <w:t xml:space="preserve">A. U. </w:t>
      </w:r>
      <w:r w:rsidRPr="00EB1BF9">
        <w:rPr>
          <w:lang w:val="en-AU" w:eastAsia="en-AU"/>
        </w:rPr>
        <w:t xml:space="preserve">Catli, and </w:t>
      </w:r>
      <w:r w:rsidR="0052514E">
        <w:rPr>
          <w:lang w:val="en-AU" w:eastAsia="en-AU"/>
        </w:rPr>
        <w:t xml:space="preserve">M. </w:t>
      </w:r>
      <w:r w:rsidRPr="00EB1BF9">
        <w:rPr>
          <w:lang w:val="en-AU" w:eastAsia="en-AU"/>
        </w:rPr>
        <w:t xml:space="preserve">Çınar. 2014. Efficacy of in-feed preparations of an anticoccidial, multienzyme, prebiotic, probiotic, and herbal essential oil mixture in healthy and </w:t>
      </w:r>
      <w:r w:rsidRPr="0052514E">
        <w:rPr>
          <w:i/>
          <w:lang w:val="en-AU" w:eastAsia="en-AU"/>
        </w:rPr>
        <w:t>Eimeria</w:t>
      </w:r>
      <w:r w:rsidRPr="00EB1BF9">
        <w:rPr>
          <w:lang w:val="en-AU" w:eastAsia="en-AU"/>
        </w:rPr>
        <w:t xml:space="preserve"> spp.-infected broilers. </w:t>
      </w:r>
      <w:r w:rsidRPr="00EB1BF9">
        <w:rPr>
          <w:iCs/>
          <w:lang w:val="en-AU" w:eastAsia="en-AU"/>
        </w:rPr>
        <w:t>Poultry Science</w:t>
      </w:r>
      <w:r w:rsidRPr="00EB1BF9">
        <w:rPr>
          <w:lang w:val="en-AU" w:eastAsia="en-AU"/>
        </w:rPr>
        <w:t xml:space="preserve"> </w:t>
      </w:r>
      <w:r w:rsidRPr="00EB1BF9">
        <w:rPr>
          <w:iCs/>
          <w:lang w:val="en-AU" w:eastAsia="en-AU"/>
        </w:rPr>
        <w:t>93</w:t>
      </w:r>
      <w:r w:rsidR="0052514E">
        <w:rPr>
          <w:iCs/>
          <w:lang w:val="en-AU" w:eastAsia="en-AU"/>
        </w:rPr>
        <w:t>:</w:t>
      </w:r>
      <w:r w:rsidRPr="00EB1BF9">
        <w:rPr>
          <w:lang w:val="en-AU" w:eastAsia="en-AU"/>
        </w:rPr>
        <w:t>389-399</w:t>
      </w:r>
      <w:r w:rsidR="001E3ECE">
        <w:rPr>
          <w:lang w:val="en-AU" w:eastAsia="en-AU"/>
        </w:rPr>
        <w:t>.</w:t>
      </w:r>
    </w:p>
    <w:p w14:paraId="5A49CF63" w14:textId="77777777" w:rsidR="00EB1BF9" w:rsidRPr="00EB1BF9" w:rsidRDefault="00EB1BF9" w:rsidP="00EB1BF9">
      <w:pPr>
        <w:rPr>
          <w:lang w:val="en-GB" w:eastAsia="en-AU"/>
        </w:rPr>
      </w:pPr>
      <w:r w:rsidRPr="00EB1BF9">
        <w:rPr>
          <w:lang w:val="en-GB" w:eastAsia="en-AU"/>
        </w:rPr>
        <w:t>Bradbury, E. J., S. J. Wilkinson, G. M. Cronin, P. C. Thomson, M. R. Bedford, and A. J. Cowieson. 2014. Nutritional geometry of calcium and phosphorus nutrition in broiler chicks. Growth performance, skeletal health and intake arrays. Animal 8:1071-1079. doi 10.1017/s1751731114001037</w:t>
      </w:r>
    </w:p>
    <w:p w14:paraId="5CA5F370" w14:textId="77777777" w:rsidR="00EB1BF9" w:rsidRPr="00EB1BF9" w:rsidRDefault="00EB1BF9" w:rsidP="00EB1BF9">
      <w:pPr>
        <w:rPr>
          <w:lang w:val="en-GB" w:eastAsia="en-AU"/>
        </w:rPr>
      </w:pPr>
      <w:r w:rsidRPr="00EB1BF9">
        <w:rPr>
          <w:lang w:val="en-GB" w:eastAsia="en-AU"/>
        </w:rPr>
        <w:t>Bradshaw, R. H., R. D. Kirkden, and D. M. Broom. 2002. A review of the aetiology and pathology of leg weakness in broilers in relation to welfare. Avian and Poultry Biology Reviews 13:45-103. doi 10.3184/147020602783698421</w:t>
      </w:r>
    </w:p>
    <w:p w14:paraId="6578EDCC" w14:textId="77777777" w:rsidR="00EB1BF9" w:rsidRPr="00EB1BF9" w:rsidRDefault="00EB1BF9" w:rsidP="00EB1BF9">
      <w:pPr>
        <w:rPr>
          <w:lang w:val="en-GB" w:eastAsia="en-AU"/>
        </w:rPr>
      </w:pPr>
      <w:r w:rsidRPr="00EB1BF9">
        <w:rPr>
          <w:lang w:val="en-GB" w:eastAsia="en-AU"/>
        </w:rPr>
        <w:t>Brickett, K. E., J. P. Dahiya, H. L. Classen, C. B. Annett, and S. Gomis. 2007. The impact of nutrient density, feed form, and photoperiod on the walking ability and skeletal quality of broiler chickens. Poultry Science 8</w:t>
      </w:r>
      <w:r w:rsidR="0052514E">
        <w:rPr>
          <w:lang w:val="en-GB" w:eastAsia="en-AU"/>
        </w:rPr>
        <w:t>6:2117-2125.</w:t>
      </w:r>
    </w:p>
    <w:p w14:paraId="6B478A57" w14:textId="77777777" w:rsidR="00EB1BF9" w:rsidRPr="00EB1BF9" w:rsidRDefault="00EB1BF9" w:rsidP="00EB1BF9">
      <w:pPr>
        <w:rPr>
          <w:lang w:val="en-GB" w:eastAsia="en-AU"/>
        </w:rPr>
      </w:pPr>
      <w:r w:rsidRPr="00EB1BF9">
        <w:rPr>
          <w:lang w:val="en-GB" w:eastAsia="en-AU"/>
        </w:rPr>
        <w:t>Broom, D. M., and N. Reefmann. 2005. Chicken welfare as indicated by lesions on carcases in supermarkets. British Poultry Science 46:407-414. doi 10.1080/00071660500181149</w:t>
      </w:r>
    </w:p>
    <w:p w14:paraId="329326A4" w14:textId="77777777" w:rsidR="00EB1BF9" w:rsidRPr="00EB1BF9" w:rsidRDefault="00EB1BF9" w:rsidP="00EB1BF9">
      <w:pPr>
        <w:rPr>
          <w:lang w:val="en-GB" w:eastAsia="en-AU"/>
        </w:rPr>
      </w:pPr>
      <w:r w:rsidRPr="00EB1BF9">
        <w:rPr>
          <w:lang w:val="en-GB" w:eastAsia="en-AU"/>
        </w:rPr>
        <w:t>Bruno, L. D. G., B. C. Luquetti, R. L. Furlan, and M. Macari. 2007. Influence of early qualitative feed restriction and environmental temperature on long bone development of broiler chickens. Journal of Thermal Biology 32:349-354. doi 10.1016/j.jtherbio.2007.04.005</w:t>
      </w:r>
    </w:p>
    <w:p w14:paraId="523E1EF2" w14:textId="77777777" w:rsidR="00EB1BF9" w:rsidRPr="00EB1BF9" w:rsidRDefault="00EB1BF9" w:rsidP="00EB1BF9">
      <w:pPr>
        <w:rPr>
          <w:lang w:val="en-GB" w:eastAsia="en-AU"/>
        </w:rPr>
      </w:pPr>
      <w:r w:rsidRPr="00EB1BF9">
        <w:rPr>
          <w:lang w:val="en-GB" w:eastAsia="en-AU"/>
        </w:rPr>
        <w:t>Bruzual, J. J., S. D. Peak, J. Brake, and E. D. Peebles. 2000. Effects of relative humidity during the last five days of incubation and brooding temperature on performance of broiler chicks from young broiler breeders</w:t>
      </w:r>
      <w:r w:rsidR="0052514E">
        <w:rPr>
          <w:lang w:val="en-GB" w:eastAsia="en-AU"/>
        </w:rPr>
        <w:t>. Poultry Science 79:1385-1391.</w:t>
      </w:r>
    </w:p>
    <w:p w14:paraId="3435FAB0" w14:textId="77777777" w:rsidR="00EB1BF9" w:rsidRPr="00EB1BF9" w:rsidRDefault="00EB1BF9" w:rsidP="00EB1BF9">
      <w:pPr>
        <w:rPr>
          <w:lang w:val="en-GB" w:eastAsia="en-AU"/>
        </w:rPr>
      </w:pPr>
      <w:r w:rsidRPr="00EB1BF9">
        <w:rPr>
          <w:lang w:val="en-GB" w:eastAsia="en-AU"/>
        </w:rPr>
        <w:t>Buijs, S., L. Keeling, S. Rettenbacher, E. Van Poucke, and F. A. M. Tuyttens. 2009. Stocking density effects on broiler welfare: Identifying sensitive ranges for different indicators. Poultry Science 88:1536-1543. doi 10.3382/ps.2009-00007</w:t>
      </w:r>
    </w:p>
    <w:p w14:paraId="15DF0470" w14:textId="77777777" w:rsidR="00EB1BF9" w:rsidRPr="00EB1BF9" w:rsidRDefault="00EB1BF9" w:rsidP="00EB1BF9">
      <w:pPr>
        <w:rPr>
          <w:lang w:val="en-GB" w:eastAsia="en-AU"/>
        </w:rPr>
      </w:pPr>
      <w:r w:rsidRPr="00EB1BF9">
        <w:rPr>
          <w:lang w:val="en-GB" w:eastAsia="en-AU"/>
        </w:rPr>
        <w:t>Buijs, S., L. J. Keeling, C. Vangestel, J. Baert, and F. A. M. Tuyttens. 2011a. Neighbourhood analysis as an indicator of spatial requirements of broiler chickens. Applied Animal Behaviour Science 129:111-120. doi 10.1016/j.applanim.2010.11.017</w:t>
      </w:r>
    </w:p>
    <w:p w14:paraId="27B9EFA4" w14:textId="77777777" w:rsidR="00EB1BF9" w:rsidRPr="00EB1BF9" w:rsidRDefault="00EB1BF9" w:rsidP="00EB1BF9">
      <w:pPr>
        <w:rPr>
          <w:lang w:val="en-GB" w:eastAsia="en-AU"/>
        </w:rPr>
      </w:pPr>
      <w:r w:rsidRPr="00EB1BF9">
        <w:rPr>
          <w:lang w:val="en-GB" w:eastAsia="en-AU"/>
        </w:rPr>
        <w:t>Buijs, S., L. J. Keeling, and F. A. M. Tuyttens. 2011b. Using motivation to feed as a way to assess the importance of space for broiler chickens. Animal Behaviour 81:145-151. doi 10.1016/j.anbehav.2010.09.027</w:t>
      </w:r>
    </w:p>
    <w:p w14:paraId="232B2DD6" w14:textId="77777777" w:rsidR="00EB1BF9" w:rsidRPr="00EB1BF9" w:rsidRDefault="00EB1BF9" w:rsidP="00EB1BF9">
      <w:pPr>
        <w:rPr>
          <w:lang w:val="en-GB" w:eastAsia="en-AU"/>
        </w:rPr>
      </w:pPr>
      <w:r w:rsidRPr="00EB1BF9">
        <w:rPr>
          <w:lang w:val="en-GB" w:eastAsia="en-AU"/>
        </w:rPr>
        <w:t>Buijs, S., E. Van Poucke, S. Van Dongen, L. Lens, J. Baert, and F. A. M. Tuyttens. 2012. The influence of stocking density on broiler chicken bone quality and fluctuating asymmetry. Poultry Science 91:1759-1767. doi 10.3382/ps.2011-01859</w:t>
      </w:r>
    </w:p>
    <w:p w14:paraId="4A8A3A9E" w14:textId="77777777" w:rsidR="00EB1BF9" w:rsidRPr="00EB1BF9" w:rsidRDefault="00EB1BF9" w:rsidP="00EB1BF9">
      <w:pPr>
        <w:rPr>
          <w:lang w:val="en-GB" w:eastAsia="en-AU"/>
        </w:rPr>
      </w:pPr>
      <w:r w:rsidRPr="00EB1BF9">
        <w:rPr>
          <w:lang w:val="en-GB" w:eastAsia="en-AU"/>
        </w:rPr>
        <w:t xml:space="preserve">Bull, S. A., A. Thomas, T. Humphrey, J. Ellis-Iversen, A. J. Cook, R. Lovell, and F. Jorgensen. 2008. Flock health indicators and </w:t>
      </w:r>
      <w:r w:rsidRPr="0052514E">
        <w:rPr>
          <w:i/>
          <w:lang w:val="en-GB" w:eastAsia="en-AU"/>
        </w:rPr>
        <w:t>Campylobacter</w:t>
      </w:r>
      <w:r w:rsidRPr="00EB1BF9">
        <w:rPr>
          <w:lang w:val="en-GB" w:eastAsia="en-AU"/>
        </w:rPr>
        <w:t xml:space="preserve"> spp. in commercial housed broilers reared in Great Britain. Applied and Environmental Microbiology 74:5408-5413. doi 10.1128/aem.00462-08</w:t>
      </w:r>
    </w:p>
    <w:p w14:paraId="33F78B01" w14:textId="77777777" w:rsidR="00EB1BF9" w:rsidRPr="00EB1BF9" w:rsidRDefault="00EB1BF9" w:rsidP="00EB1BF9">
      <w:pPr>
        <w:rPr>
          <w:lang w:val="en-GB" w:eastAsia="en-AU"/>
        </w:rPr>
      </w:pPr>
      <w:r w:rsidRPr="00EB1BF9">
        <w:rPr>
          <w:lang w:val="en-GB" w:eastAsia="en-AU"/>
        </w:rPr>
        <w:t xml:space="preserve">Burkholder, K. M., K. L. Thompson, M. E. Einstein, T. J. Applegate, and J. A. Patterson. 2008. Influence of stressors on normal intestinal microbiota, intestinal morphology, and susceptibility to </w:t>
      </w:r>
      <w:r w:rsidRPr="0052514E">
        <w:rPr>
          <w:i/>
          <w:lang w:val="en-GB" w:eastAsia="en-AU"/>
        </w:rPr>
        <w:t>Salmonella</w:t>
      </w:r>
      <w:r w:rsidRPr="00EB1BF9">
        <w:rPr>
          <w:lang w:val="en-GB" w:eastAsia="en-AU"/>
        </w:rPr>
        <w:t xml:space="preserve"> Enteritidis colonization in broilers. Poultry Science 87:1734-1741. doi 10.3382/ps.2008-00107</w:t>
      </w:r>
    </w:p>
    <w:p w14:paraId="3A9C6368" w14:textId="77777777" w:rsidR="00EB1BF9" w:rsidRPr="00EB1BF9" w:rsidRDefault="00EB1BF9" w:rsidP="00EB1BF9">
      <w:pPr>
        <w:rPr>
          <w:lang w:val="en-GB" w:eastAsia="en-AU"/>
        </w:rPr>
      </w:pPr>
      <w:r w:rsidRPr="00EB1BF9">
        <w:rPr>
          <w:lang w:val="en-GB" w:eastAsia="en-AU"/>
        </w:rPr>
        <w:t xml:space="preserve">Butterworth, A., C. A. Weeks, P. R. Crea, and S. C. Kestin. 2002. Dehydration and lameness in a broiler </w:t>
      </w:r>
      <w:r w:rsidR="0052514E">
        <w:rPr>
          <w:lang w:val="en-GB" w:eastAsia="en-AU"/>
        </w:rPr>
        <w:t>flock. Animal Welfare 11:89-94.</w:t>
      </w:r>
    </w:p>
    <w:p w14:paraId="1C9E4F8B" w14:textId="77777777" w:rsidR="00EB1BF9" w:rsidRPr="00EB1BF9" w:rsidRDefault="00EB1BF9" w:rsidP="00EB1BF9">
      <w:pPr>
        <w:rPr>
          <w:lang w:val="en-GB" w:eastAsia="en-AU"/>
        </w:rPr>
      </w:pPr>
      <w:r w:rsidRPr="00EB1BF9">
        <w:rPr>
          <w:lang w:val="en-GB" w:eastAsia="en-AU"/>
        </w:rPr>
        <w:t>Camacho-Escobar, M. A., J. C. Garcia-Lopez, M. E. Suarez-Oporta, J. M. Pinos-Rodriguez, J. A. Arroyo-Ledezma, and E. I. Sanchez-Bernal. 2011. Effects of feed intake restriction and micronutrients supplementation on ascites mortality and leg characteristics of broilers. Journal of Applied Animal Research 39:97-100. doi 10.1080/09712119.2011.558614</w:t>
      </w:r>
    </w:p>
    <w:p w14:paraId="005E5B45" w14:textId="77777777" w:rsidR="00EB1BF9" w:rsidRPr="00EB1BF9" w:rsidRDefault="00EB1BF9" w:rsidP="00EB1BF9">
      <w:pPr>
        <w:rPr>
          <w:lang w:val="en-GB" w:eastAsia="en-AU"/>
        </w:rPr>
      </w:pPr>
      <w:r w:rsidRPr="00EB1BF9">
        <w:rPr>
          <w:lang w:val="en-GB" w:eastAsia="en-AU"/>
        </w:rPr>
        <w:t xml:space="preserve">Caplen, G., B. Hothersall, J. C. Murrell, C. J. Nicol, A. E. Waterman-Pearson, C. A. Weeks, and G. R. Colborne. 2012. Kinematic Analysis Quantifies Gait Abnormalities Associated with Lameness in Broiler Chickens and Identifies Evolutionary Gait Differences. </w:t>
      </w:r>
      <w:r w:rsidR="00601DC5">
        <w:rPr>
          <w:lang w:val="en-GB" w:eastAsia="en-AU"/>
        </w:rPr>
        <w:t>PLoS</w:t>
      </w:r>
      <w:r w:rsidR="00997550">
        <w:rPr>
          <w:lang w:val="en-GB" w:eastAsia="en-AU"/>
        </w:rPr>
        <w:t xml:space="preserve"> ONE</w:t>
      </w:r>
      <w:r w:rsidRPr="00EB1BF9">
        <w:rPr>
          <w:lang w:val="en-GB" w:eastAsia="en-AU"/>
        </w:rPr>
        <w:t xml:space="preserve"> 7. doi 10.1371/journal.pone.0040800</w:t>
      </w:r>
    </w:p>
    <w:p w14:paraId="3EE01C64" w14:textId="77777777" w:rsidR="00EB1BF9" w:rsidRPr="00EB1BF9" w:rsidRDefault="00EB1BF9" w:rsidP="00EB1BF9">
      <w:pPr>
        <w:rPr>
          <w:lang w:val="en-GB" w:eastAsia="en-AU"/>
        </w:rPr>
      </w:pPr>
      <w:r w:rsidRPr="00EB1BF9">
        <w:rPr>
          <w:lang w:val="en-GB" w:eastAsia="en-AU"/>
        </w:rPr>
        <w:t>Caplen, G., G. R. Colborne, B. Hothersall, C. J. Nicol, A. E. Waterman-Pearson, C. A. Weeks, and J. C. Murrell. 2013a. Lame broiler chickens respond to non-steroidal anti-inflammatory drugs with objective changes in gait function: A controlled clinical trial. Veterinary Journal 196:477-482. doi 10.1016/j.tvjl.2012.12.007</w:t>
      </w:r>
    </w:p>
    <w:p w14:paraId="36ADF642" w14:textId="77777777" w:rsidR="00EB1BF9" w:rsidRPr="00EB1BF9" w:rsidRDefault="00EB1BF9" w:rsidP="00EB1BF9">
      <w:pPr>
        <w:rPr>
          <w:lang w:val="en-GB" w:eastAsia="en-AU"/>
        </w:rPr>
      </w:pPr>
      <w:r w:rsidRPr="00EB1BF9">
        <w:rPr>
          <w:lang w:val="en-GB" w:eastAsia="en-AU"/>
        </w:rPr>
        <w:t>Caplen, G., L. Baker, B. Hothersall, D. E. F. McKeegan, V. Sandilands, N. H. C. Sparks, A. E. Waterman-Pearson, and J. C. Murrell. 2013b. Thermal nociception as a measure of non-steroidal anti-inflammatory drug effectiveness in broiler chickens with articular pain. Veterinary Journal 198:616-619. doi 10.1016/j.tvjl.2013.09.013</w:t>
      </w:r>
    </w:p>
    <w:p w14:paraId="4ACD003E" w14:textId="77777777" w:rsidR="00EB1BF9" w:rsidRPr="00EB1BF9" w:rsidRDefault="00EB1BF9" w:rsidP="00EB1BF9">
      <w:pPr>
        <w:rPr>
          <w:lang w:val="en-GB" w:eastAsia="en-AU"/>
        </w:rPr>
      </w:pPr>
      <w:r w:rsidRPr="00EB1BF9">
        <w:rPr>
          <w:lang w:val="en-GB" w:eastAsia="en-AU"/>
        </w:rPr>
        <w:t>Caplen, G., B. Hothersall, C. J. Nicol, R. M. A. Parker, A. E. Waterman-Pearson, C. A. Weeks, and J. C. Murrell. 2014. Lameness is consistently better at predicting broiler chicken performance in mobility tests than other broiler characteristics. Animal Welfare 23:179-187. doi 10.7120/09627286.23.2.179</w:t>
      </w:r>
    </w:p>
    <w:p w14:paraId="358F2231" w14:textId="77777777" w:rsidR="00EB1BF9" w:rsidRPr="00EB1BF9" w:rsidRDefault="00EB1BF9" w:rsidP="00EB1BF9">
      <w:pPr>
        <w:rPr>
          <w:lang w:val="en-GB" w:eastAsia="en-AU"/>
        </w:rPr>
      </w:pPr>
      <w:r w:rsidRPr="00EB1BF9">
        <w:rPr>
          <w:lang w:val="en-GB" w:eastAsia="en-AU"/>
        </w:rPr>
        <w:t>Carvalho, C. M. C., F. H. Litz, E. A. Fernandes, M. M. Silveira, J. M. D. Martins, L. A. Fonseca, and J. A. Zanardo. 2014. Litter Characteristics and Pododermatitis Incidence in Broilers Fed a Sorghum-Based Diet. Brazilian Journal of Poultry Science 16:291-295. doi 10.1590/1516-635x1603291-296</w:t>
      </w:r>
    </w:p>
    <w:p w14:paraId="4F1F7935" w14:textId="77777777" w:rsidR="00EB1BF9" w:rsidRPr="00EB1BF9" w:rsidRDefault="00EB1BF9" w:rsidP="00EB1BF9">
      <w:pPr>
        <w:rPr>
          <w:lang w:val="en-GB" w:eastAsia="en-AU"/>
        </w:rPr>
      </w:pPr>
      <w:r w:rsidRPr="00EB1BF9">
        <w:rPr>
          <w:lang w:val="en-GB" w:eastAsia="en-AU"/>
        </w:rPr>
        <w:t>Castellini, C., C. Mugnai, L. Moscati, S. Mattioli, M. G. Amato, A. C. Mancinelli, and A. Dal Bosco. 2016. Adaptation to organic rearing system of eight different chicken genotypes: behaviour, welfare and performance. Italian Journal of Animal Science 15:37-46. doi 10.1080/1828051x.2015.1131893</w:t>
      </w:r>
    </w:p>
    <w:p w14:paraId="0579C411" w14:textId="77777777" w:rsidR="00EB1BF9" w:rsidRPr="00EB1BF9" w:rsidRDefault="00EB1BF9" w:rsidP="00EB1BF9">
      <w:pPr>
        <w:rPr>
          <w:lang w:val="en-GB" w:eastAsia="en-AU"/>
        </w:rPr>
      </w:pPr>
      <w:r w:rsidRPr="00EB1BF9">
        <w:rPr>
          <w:lang w:val="en-GB" w:eastAsia="en-AU"/>
        </w:rPr>
        <w:t>Cengiz, O., J. B. Hess, and S. F. Bilgili. 2011. Effect of bedding type and transient wetness on footpad dermatitis in broiler chickens. Journal of Applied Poultry Research 20:554-560. doi 10.3382/japr.2011-00368</w:t>
      </w:r>
    </w:p>
    <w:p w14:paraId="2B63838A" w14:textId="77777777" w:rsidR="00EB1BF9" w:rsidRPr="00EB1BF9" w:rsidRDefault="00EB1BF9" w:rsidP="00EB1BF9">
      <w:pPr>
        <w:rPr>
          <w:lang w:val="en-GB" w:eastAsia="en-AU"/>
        </w:rPr>
      </w:pPr>
      <w:r w:rsidRPr="00EB1BF9">
        <w:rPr>
          <w:lang w:val="en-GB" w:eastAsia="en-AU"/>
        </w:rPr>
        <w:t>Cengiz, O., J. B. Hess, and S. F. Bilgili. 2012. Feed enzyme supplementation does not ameliorate foot pad dermatitis in broiler chickens fed on a corn-soyabean diet. British Poultry Science 53:401-407. doi 10.1080/00071668.2012.711467</w:t>
      </w:r>
    </w:p>
    <w:p w14:paraId="23BA03ED" w14:textId="77777777" w:rsidR="00EB1BF9" w:rsidRPr="00EB1BF9" w:rsidRDefault="00EB1BF9" w:rsidP="00EB1BF9">
      <w:pPr>
        <w:rPr>
          <w:lang w:val="en-GB" w:eastAsia="en-AU"/>
        </w:rPr>
      </w:pPr>
      <w:r w:rsidRPr="00EB1BF9">
        <w:rPr>
          <w:lang w:val="en-GB" w:eastAsia="en-AU"/>
        </w:rPr>
        <w:t>Cengiz, O., J. B. Hess, and S. F. Bilgili. 2013. Effect of protein source on the development of footpad dermatitis in broiler chickens reared on different flooring types. Archi</w:t>
      </w:r>
      <w:r w:rsidR="0052514E">
        <w:rPr>
          <w:lang w:val="en-GB" w:eastAsia="en-AU"/>
        </w:rPr>
        <w:t>v Fur Geflugelkunde 77:166-170.</w:t>
      </w:r>
    </w:p>
    <w:p w14:paraId="323556D1" w14:textId="77777777" w:rsidR="00EB1BF9" w:rsidRPr="00EB1BF9" w:rsidRDefault="00EB1BF9" w:rsidP="00EB1BF9">
      <w:pPr>
        <w:rPr>
          <w:lang w:val="en-GB" w:eastAsia="en-AU"/>
        </w:rPr>
      </w:pPr>
      <w:r w:rsidRPr="00EB1BF9">
        <w:rPr>
          <w:lang w:val="en-GB" w:eastAsia="en-AU"/>
        </w:rPr>
        <w:t>Cengiz, O., B. H. Koksal, O. Tath, O. Sevim, U. Ahsan, A. G. Uner, P. A. Ulutas, D. Beyaz, S. Buyukyoruk, A. Yakan, and A. G. Onol. 2015. Effect of dietary probiotic and high stocking density on the performance, carcass yield, gut microflora, and stress indicators of broilers. Poultry Science 94:2395-2403. doi 10.3382/ps/pev194</w:t>
      </w:r>
    </w:p>
    <w:p w14:paraId="435060D9" w14:textId="77777777" w:rsidR="00EB1BF9" w:rsidRPr="00EB1BF9" w:rsidRDefault="00EB1BF9" w:rsidP="00EB1BF9">
      <w:pPr>
        <w:rPr>
          <w:lang w:val="en-AU" w:eastAsia="en-AU"/>
        </w:rPr>
      </w:pPr>
      <w:r w:rsidRPr="00EB1BF9">
        <w:rPr>
          <w:lang w:val="en-AU" w:eastAsia="en-AU"/>
        </w:rPr>
        <w:t xml:space="preserve">Chapman, H. D., and </w:t>
      </w:r>
      <w:r w:rsidR="0052514E">
        <w:rPr>
          <w:lang w:val="en-AU" w:eastAsia="en-AU"/>
        </w:rPr>
        <w:t xml:space="preserve">T. K. </w:t>
      </w:r>
      <w:r w:rsidRPr="00EB1BF9">
        <w:rPr>
          <w:lang w:val="en-AU" w:eastAsia="en-AU"/>
        </w:rPr>
        <w:t xml:space="preserve">Jeffers. </w:t>
      </w:r>
      <w:r w:rsidR="0052514E">
        <w:rPr>
          <w:lang w:val="en-AU" w:eastAsia="en-AU"/>
        </w:rPr>
        <w:t>2015</w:t>
      </w:r>
      <w:r w:rsidRPr="00EB1BF9">
        <w:rPr>
          <w:lang w:val="en-AU" w:eastAsia="en-AU"/>
        </w:rPr>
        <w:t xml:space="preserve">. Restoration of sensitivity to salinomycin in </w:t>
      </w:r>
      <w:r w:rsidRPr="00EB1BF9">
        <w:rPr>
          <w:i/>
          <w:lang w:val="en-AU" w:eastAsia="en-AU"/>
        </w:rPr>
        <w:t xml:space="preserve">Eimeria </w:t>
      </w:r>
      <w:r w:rsidRPr="00EB1BF9">
        <w:rPr>
          <w:lang w:val="en-AU" w:eastAsia="en-AU"/>
        </w:rPr>
        <w:t xml:space="preserve">following 5 flocks of broiler chickens reared in floor-pens using drug programs and vaccination to control coccidiosis. </w:t>
      </w:r>
      <w:r w:rsidRPr="00EB1BF9">
        <w:rPr>
          <w:iCs/>
          <w:lang w:val="en-AU" w:eastAsia="en-AU"/>
        </w:rPr>
        <w:t>Poultry Science</w:t>
      </w:r>
      <w:r w:rsidRPr="00EB1BF9">
        <w:rPr>
          <w:lang w:val="en-AU" w:eastAsia="en-AU"/>
        </w:rPr>
        <w:t xml:space="preserve"> 94</w:t>
      </w:r>
      <w:r w:rsidR="0052514E">
        <w:rPr>
          <w:lang w:val="en-AU" w:eastAsia="en-AU"/>
        </w:rPr>
        <w:t>:</w:t>
      </w:r>
      <w:r w:rsidRPr="00EB1BF9">
        <w:rPr>
          <w:lang w:val="en-AU" w:eastAsia="en-AU"/>
        </w:rPr>
        <w:t>943-946</w:t>
      </w:r>
      <w:r w:rsidR="0052514E">
        <w:rPr>
          <w:lang w:val="en-AU" w:eastAsia="en-AU"/>
        </w:rPr>
        <w:t>.</w:t>
      </w:r>
    </w:p>
    <w:p w14:paraId="7DA04543" w14:textId="77777777" w:rsidR="00EB1BF9" w:rsidRPr="00EB1BF9" w:rsidRDefault="00EB1BF9" w:rsidP="00EB1BF9">
      <w:pPr>
        <w:rPr>
          <w:lang w:val="en-GB" w:eastAsia="en-AU"/>
        </w:rPr>
      </w:pPr>
      <w:r w:rsidRPr="00EB1BF9">
        <w:rPr>
          <w:lang w:val="en-GB" w:eastAsia="en-AU"/>
        </w:rPr>
        <w:t>Chloupek, P., E. Voslarova, J. Chloupek, I. Bedanova, V. Pistekova, and V. Vecerek. 2009. Stress in Broiler Chickens Due to Acute Noise Exposure. Acta Veterinaria Brno 78:93-98. doi 10.2754/avb200978010093</w:t>
      </w:r>
    </w:p>
    <w:p w14:paraId="088E12C7" w14:textId="77777777" w:rsidR="00EB1BF9" w:rsidRPr="00EB1BF9" w:rsidRDefault="00EB1BF9" w:rsidP="00EB1BF9">
      <w:pPr>
        <w:rPr>
          <w:lang w:val="en-GB" w:eastAsia="en-AU"/>
        </w:rPr>
      </w:pPr>
      <w:r w:rsidRPr="00EB1BF9">
        <w:rPr>
          <w:lang w:val="en-GB" w:eastAsia="en-AU"/>
        </w:rPr>
        <w:t>Chou, C. C., D. D. Jiang, and Y. P. Hung. 2004. Risk factors for cumulative mortality in broiler chicken flocks in the first week of life in Taiwan. British Poultry Science 45:573-577. doi 10.1080/000716604000006248</w:t>
      </w:r>
    </w:p>
    <w:p w14:paraId="4D732473" w14:textId="77777777" w:rsidR="00EB1BF9" w:rsidRPr="00EB1BF9" w:rsidRDefault="00EB1BF9" w:rsidP="00EB1BF9">
      <w:pPr>
        <w:rPr>
          <w:lang w:val="en-GB" w:eastAsia="en-AU"/>
        </w:rPr>
      </w:pPr>
      <w:r w:rsidRPr="00EB1BF9">
        <w:rPr>
          <w:lang w:val="en-GB" w:eastAsia="en-AU"/>
        </w:rPr>
        <w:t>Coban, O., E. Lacin, and M. Genc. 2014. The Effect of Photoperiod Length on Performance Parameters, Carcass Characteristics and Heterophil/Lymphocyte-Ratio in Broilers. Kafkas Universitesi Veteriner Fakultesi Dergisi 20:863-870. doi 10.9775/kvfd.2014.11186</w:t>
      </w:r>
    </w:p>
    <w:p w14:paraId="554A268B" w14:textId="77777777" w:rsidR="00EB1BF9" w:rsidRPr="00EB1BF9" w:rsidRDefault="00EB1BF9" w:rsidP="00EB1BF9">
      <w:pPr>
        <w:rPr>
          <w:lang w:val="en-GB" w:eastAsia="en-AU"/>
        </w:rPr>
      </w:pPr>
      <w:r w:rsidRPr="00EB1BF9">
        <w:rPr>
          <w:lang w:val="en-GB" w:eastAsia="en-AU"/>
        </w:rPr>
        <w:t xml:space="preserve">Collins, L. M. 2008. Non-intrusive tracking of commercial broiler chickens </w:t>
      </w:r>
      <w:r w:rsidRPr="0052514E">
        <w:rPr>
          <w:i/>
          <w:lang w:val="en-GB" w:eastAsia="en-AU"/>
        </w:rPr>
        <w:t>in situ</w:t>
      </w:r>
      <w:r w:rsidRPr="00EB1BF9">
        <w:rPr>
          <w:lang w:val="en-GB" w:eastAsia="en-AU"/>
        </w:rPr>
        <w:t xml:space="preserve"> at different stocking densities. Applied Animal Behaviour Science 112:94-105. doi 10.1016/j.applanim.2007.08.009</w:t>
      </w:r>
    </w:p>
    <w:p w14:paraId="18B58960" w14:textId="77777777" w:rsidR="00EB1BF9" w:rsidRPr="00EB1BF9" w:rsidRDefault="00EB1BF9" w:rsidP="00EB1BF9">
      <w:pPr>
        <w:rPr>
          <w:lang w:val="en-GB" w:eastAsia="en-AU"/>
        </w:rPr>
      </w:pPr>
      <w:r w:rsidRPr="00EB1BF9">
        <w:rPr>
          <w:lang w:val="en-GB" w:eastAsia="en-AU"/>
        </w:rPr>
        <w:t>Cornetto, T., and I. Estevez. 2001a. Behavior of the domestic fowl in the presence of vertical panels</w:t>
      </w:r>
      <w:r w:rsidR="0052514E">
        <w:rPr>
          <w:lang w:val="en-GB" w:eastAsia="en-AU"/>
        </w:rPr>
        <w:t>. Poultry Science 80:1455-1462.</w:t>
      </w:r>
    </w:p>
    <w:p w14:paraId="0763EA6A" w14:textId="77777777" w:rsidR="00EB1BF9" w:rsidRPr="00EB1BF9" w:rsidRDefault="00EB1BF9" w:rsidP="00EB1BF9">
      <w:pPr>
        <w:rPr>
          <w:lang w:val="en-GB" w:eastAsia="en-AU"/>
        </w:rPr>
      </w:pPr>
      <w:r w:rsidRPr="00EB1BF9">
        <w:rPr>
          <w:lang w:val="en-GB" w:eastAsia="en-AU"/>
        </w:rPr>
        <w:t>Cornetto, T., and I. Estevez. 2001b. Influence of vertical panels on use of space by domestic fowl. Applied Animal Behaviour Science 71:141-153. doi 10.1016/s0168-1591(00)00171-4</w:t>
      </w:r>
    </w:p>
    <w:p w14:paraId="1F24A360" w14:textId="77777777" w:rsidR="00EB1BF9" w:rsidRPr="00EB1BF9" w:rsidRDefault="00EB1BF9" w:rsidP="00EB1BF9">
      <w:pPr>
        <w:rPr>
          <w:lang w:val="en-GB" w:eastAsia="en-AU"/>
        </w:rPr>
      </w:pPr>
      <w:r w:rsidRPr="00EB1BF9">
        <w:rPr>
          <w:lang w:val="en-GB" w:eastAsia="en-AU"/>
        </w:rPr>
        <w:t>Cornetto, T., I. Estevez, and L. W. Douglass. 2002. Using artificial cover to reduce aggression and disturbances in domestic fowl. Applied Animal Behaviour Science 75:325-336. doi 10.1016/s0168-1591(01)00195-2</w:t>
      </w:r>
    </w:p>
    <w:p w14:paraId="5B9C5C8F" w14:textId="77777777" w:rsidR="00EB1BF9" w:rsidRPr="00EB1BF9" w:rsidRDefault="00EB1BF9" w:rsidP="00EB1BF9">
      <w:pPr>
        <w:rPr>
          <w:lang w:val="en-GB" w:eastAsia="en-AU"/>
        </w:rPr>
      </w:pPr>
      <w:r w:rsidRPr="00EB1BF9">
        <w:rPr>
          <w:lang w:val="en-GB" w:eastAsia="en-AU"/>
        </w:rPr>
        <w:t>Corr, S. A., M. J. Gentle, C. C. McCorquodale, and D. Bennett. 2003a. The effect of morphology on walking ability in the modern broiler: A gait analysis st</w:t>
      </w:r>
      <w:r w:rsidR="003B5351">
        <w:rPr>
          <w:lang w:val="en-GB" w:eastAsia="en-AU"/>
        </w:rPr>
        <w:t>udy. Animal Welfare 12:159-171.</w:t>
      </w:r>
    </w:p>
    <w:p w14:paraId="1897CD1E" w14:textId="77777777" w:rsidR="00EB1BF9" w:rsidRPr="00EB1BF9" w:rsidRDefault="00EB1BF9" w:rsidP="00EB1BF9">
      <w:pPr>
        <w:rPr>
          <w:lang w:val="en-GB" w:eastAsia="en-AU"/>
        </w:rPr>
      </w:pPr>
      <w:r w:rsidRPr="00EB1BF9">
        <w:rPr>
          <w:lang w:val="en-GB" w:eastAsia="en-AU"/>
        </w:rPr>
        <w:t xml:space="preserve">Corr, S. A., M. J. Gentle, C. C. McCorquodale, and D. Bennett. 2003b. The effect of morphology on the musculoskeletal system of the modern broiler. Animal Welfare 12:145-157. </w:t>
      </w:r>
    </w:p>
    <w:p w14:paraId="12A4B258" w14:textId="77777777" w:rsidR="00EB1BF9" w:rsidRPr="00EB1BF9" w:rsidRDefault="00EB1BF9" w:rsidP="00EB1BF9">
      <w:pPr>
        <w:rPr>
          <w:lang w:val="en-GB" w:eastAsia="en-AU"/>
        </w:rPr>
      </w:pPr>
      <w:r w:rsidRPr="00EB1BF9">
        <w:rPr>
          <w:lang w:val="en-GB" w:eastAsia="en-AU"/>
        </w:rPr>
        <w:t>Corr, S. A., M. Maxwell, M. J. Gentle, and D. Bennett. 2003c. Preliminary study of joint disease in poultry by the analysis of synovial flui</w:t>
      </w:r>
      <w:r w:rsidR="003B5351">
        <w:rPr>
          <w:lang w:val="en-GB" w:eastAsia="en-AU"/>
        </w:rPr>
        <w:t>d. Veterinary Record 152:549-</w:t>
      </w:r>
      <w:r w:rsidR="00A263AA">
        <w:rPr>
          <w:lang w:val="en-GB" w:eastAsia="en-AU"/>
        </w:rPr>
        <w:t>554</w:t>
      </w:r>
      <w:r w:rsidR="003B5351">
        <w:rPr>
          <w:lang w:val="en-GB" w:eastAsia="en-AU"/>
        </w:rPr>
        <w:t>.</w:t>
      </w:r>
    </w:p>
    <w:p w14:paraId="535AA785" w14:textId="77777777" w:rsidR="00EB1BF9" w:rsidRPr="00EB1BF9" w:rsidRDefault="00EB1BF9" w:rsidP="00EB1BF9">
      <w:pPr>
        <w:rPr>
          <w:lang w:val="en-GB" w:eastAsia="en-AU"/>
        </w:rPr>
      </w:pPr>
      <w:r w:rsidRPr="00EB1BF9">
        <w:rPr>
          <w:lang w:val="en-GB" w:eastAsia="en-AU"/>
        </w:rPr>
        <w:t>Coto, C., F. Yan, S. Cerrate, Z. Wang, P. Sacakli, P. Waldroup, J. Halley, C. Wiernusz, and A. Martinez. 2008. Effects of dietary levels of calcium and nonphytate P in broiler starter diets on live performance, bone development, and growth plate conditions in male broilers fed a corn-based di</w:t>
      </w:r>
      <w:r w:rsidR="003B5351">
        <w:rPr>
          <w:lang w:val="en-GB" w:eastAsia="en-AU"/>
        </w:rPr>
        <w:t>et. Poultry Science 87:113-113.</w:t>
      </w:r>
    </w:p>
    <w:p w14:paraId="57D97314" w14:textId="77777777" w:rsidR="00EB1BF9" w:rsidRPr="00EB1BF9" w:rsidRDefault="00EB1BF9" w:rsidP="00EB1BF9">
      <w:pPr>
        <w:rPr>
          <w:lang w:val="en-GB" w:eastAsia="en-AU"/>
        </w:rPr>
      </w:pPr>
      <w:r w:rsidRPr="00EB1BF9">
        <w:rPr>
          <w:lang w:val="en-GB" w:eastAsia="en-AU"/>
        </w:rPr>
        <w:t>Cransberg, P. H., P. H. Hemsworth, and G. J. Coleman. 2000. Human factors affecting the behaviour and productivity of commercial broiler chickens. British Poultry Science 41:272-279. doi 10.1080/713654939</w:t>
      </w:r>
    </w:p>
    <w:p w14:paraId="4C20B755" w14:textId="77777777" w:rsidR="00EB1BF9" w:rsidRPr="00EB1BF9" w:rsidRDefault="00EB1BF9" w:rsidP="00EB1BF9">
      <w:pPr>
        <w:rPr>
          <w:lang w:val="en-GB" w:eastAsia="en-AU"/>
        </w:rPr>
      </w:pPr>
      <w:r w:rsidRPr="00EB1BF9">
        <w:rPr>
          <w:lang w:val="en-GB" w:eastAsia="en-AU"/>
        </w:rPr>
        <w:t>Cravens, R. L., G. R. Goss, F. Chi, E. D. De Boer, S. W. Davis, S. M. Hendrix, J. A. Richardson, and S. L. Johnston. 2013. The effects of necrotic enteritis, aflatoxin B</w:t>
      </w:r>
      <w:r w:rsidRPr="003B5351">
        <w:rPr>
          <w:vertAlign w:val="subscript"/>
          <w:lang w:val="en-GB" w:eastAsia="en-AU"/>
        </w:rPr>
        <w:t>1</w:t>
      </w:r>
      <w:r w:rsidRPr="00EB1BF9">
        <w:rPr>
          <w:lang w:val="en-GB" w:eastAsia="en-AU"/>
        </w:rPr>
        <w:t>, and virginiamycin on growth performance, necrotic enteritis lesion scores, and mortality in young broilers. Poultry Science 92:1997-2004. doi 10.3382/ps.2013-03011</w:t>
      </w:r>
    </w:p>
    <w:p w14:paraId="1E261564" w14:textId="77777777" w:rsidR="00EB1BF9" w:rsidRPr="00EB1BF9" w:rsidRDefault="00EB1BF9" w:rsidP="00EB1BF9">
      <w:pPr>
        <w:rPr>
          <w:lang w:val="en-GB" w:eastAsia="en-AU"/>
        </w:rPr>
      </w:pPr>
      <w:r w:rsidRPr="00EB1BF9">
        <w:rPr>
          <w:lang w:val="en-GB" w:eastAsia="en-AU"/>
        </w:rPr>
        <w:t>Da Costa, M. J., E. O. Oviedo-Rondon, M. J. Wineland, K. Claassen, and J. Osborne. 2016. Effects of incubation temperatures and trace mineral sources on chicken live performance and footpad skin development. Poultry Science 95:749-759. doi 10.3382/ps/pev446</w:t>
      </w:r>
    </w:p>
    <w:p w14:paraId="360F6B2E" w14:textId="77777777" w:rsidR="00EB1BF9" w:rsidRPr="00EB1BF9" w:rsidRDefault="00EB1BF9" w:rsidP="00EB1BF9">
      <w:pPr>
        <w:rPr>
          <w:lang w:val="en-GB" w:eastAsia="en-AU"/>
        </w:rPr>
      </w:pPr>
      <w:r w:rsidRPr="00EB1BF9">
        <w:rPr>
          <w:lang w:val="en-GB" w:eastAsia="en-AU"/>
        </w:rPr>
        <w:t>Dai, S. F., F. Gao, W. H. Zhang, S. X. Song, X. L. Xu, and G. H. Zhou. 2011. Effects of dietary glutamine and gamma-aminobutyric acid on performance, carcass characteristics and serum parameters in broilers under circular heat stress. Animal Feed Science and Technology 168:51-60. doi 10.1016/j.anifeedsci.2011.03.005</w:t>
      </w:r>
    </w:p>
    <w:p w14:paraId="088F92FD" w14:textId="77777777" w:rsidR="00EB1BF9" w:rsidRPr="00EB1BF9" w:rsidRDefault="00EB1BF9" w:rsidP="00EB1BF9">
      <w:pPr>
        <w:rPr>
          <w:lang w:val="en-GB" w:eastAsia="en-AU"/>
        </w:rPr>
      </w:pPr>
      <w:r w:rsidRPr="00EB1BF9">
        <w:rPr>
          <w:lang w:val="en-GB" w:eastAsia="en-AU"/>
        </w:rPr>
        <w:t>Dal Bosco, A., C. Mugnai, M. G. Amato, L. Piottoli, A. Cartoni, and C. Castellini. 2014. Effect of slaughtering age in different commercial chicken genotypes reared according to the organic system: 1. Welfare, carcass and meat traits. Italian Journal of Animal Science 13. doi 10.4081/ijas.2014.3308</w:t>
      </w:r>
    </w:p>
    <w:p w14:paraId="0706AE22" w14:textId="77777777" w:rsidR="00EB1BF9" w:rsidRPr="00EB1BF9" w:rsidRDefault="00EB1BF9" w:rsidP="00EB1BF9">
      <w:pPr>
        <w:rPr>
          <w:lang w:val="en-GB" w:eastAsia="en-AU"/>
        </w:rPr>
      </w:pPr>
      <w:r w:rsidRPr="00EB1BF9">
        <w:rPr>
          <w:lang w:val="en-GB" w:eastAsia="en-AU"/>
        </w:rPr>
        <w:t>Danbury, T. C., C. A. Weeks, J. P. Chambers, A. E. Waterman-Pearson, and S. C. Kestin. 2000. Self-selection of the analgesic drug carprofen by lame broiler chicken</w:t>
      </w:r>
      <w:r w:rsidR="003B5351">
        <w:rPr>
          <w:lang w:val="en-GB" w:eastAsia="en-AU"/>
        </w:rPr>
        <w:t>s. Veterinary Record 146:307-311.</w:t>
      </w:r>
    </w:p>
    <w:p w14:paraId="26530700" w14:textId="77777777" w:rsidR="00EB1BF9" w:rsidRPr="00EB1BF9" w:rsidRDefault="00EB1BF9" w:rsidP="00EB1BF9">
      <w:pPr>
        <w:rPr>
          <w:lang w:val="en-GB" w:eastAsia="en-AU"/>
        </w:rPr>
      </w:pPr>
      <w:r w:rsidRPr="00EB1BF9">
        <w:rPr>
          <w:lang w:val="en-GB" w:eastAsia="en-AU"/>
        </w:rPr>
        <w:t xml:space="preserve">Das, H., and E. Lacin. 2014. The Effect of Different Photoperiods and Stocking Densities on Fattening Performance, Carcass and Some Stress Parameters in Broilers. Israel Journal of </w:t>
      </w:r>
      <w:r w:rsidR="003B5351">
        <w:rPr>
          <w:lang w:val="en-GB" w:eastAsia="en-AU"/>
        </w:rPr>
        <w:t>Veterinary Medicine 69:211-220.</w:t>
      </w:r>
    </w:p>
    <w:p w14:paraId="5A404AC3" w14:textId="77777777" w:rsidR="00EB1BF9" w:rsidRPr="00EB1BF9" w:rsidRDefault="00EB1BF9" w:rsidP="00EB1BF9">
      <w:pPr>
        <w:rPr>
          <w:lang w:val="en-GB" w:eastAsia="en-AU"/>
        </w:rPr>
      </w:pPr>
      <w:r w:rsidRPr="00EB1BF9">
        <w:rPr>
          <w:lang w:val="en-GB" w:eastAsia="en-AU"/>
        </w:rPr>
        <w:t xml:space="preserve">Dawkins, M. S., P. A. Cook, M. J. Whittingham, K. A. Mansell, and A. E. Harper. 2003. What makes free-range broiler chickens range? </w:t>
      </w:r>
      <w:r w:rsidRPr="00924082">
        <w:rPr>
          <w:i/>
          <w:lang w:val="en-GB" w:eastAsia="en-AU"/>
        </w:rPr>
        <w:t>In situ</w:t>
      </w:r>
      <w:r w:rsidRPr="00EB1BF9">
        <w:rPr>
          <w:lang w:val="en-GB" w:eastAsia="en-AU"/>
        </w:rPr>
        <w:t xml:space="preserve"> measurement of habitat preference. Animal Behaviour 66:151-160. doi 10.1006/anbe.2003.2172</w:t>
      </w:r>
    </w:p>
    <w:p w14:paraId="6F810AC8" w14:textId="77777777" w:rsidR="00EB1BF9" w:rsidRPr="00EB1BF9" w:rsidRDefault="00EB1BF9" w:rsidP="00EB1BF9">
      <w:pPr>
        <w:rPr>
          <w:lang w:val="en-GB" w:eastAsia="en-AU"/>
        </w:rPr>
      </w:pPr>
      <w:r w:rsidRPr="00EB1BF9">
        <w:rPr>
          <w:lang w:val="en-GB" w:eastAsia="en-AU"/>
        </w:rPr>
        <w:t>Dawkins, M. S., C. A. Donnelly, and T. A. Jones. 2004. Chicken welfare is influenced more by housing conditions than by stocking density. Nature 427:342-344. doi 10.1038/nature02226</w:t>
      </w:r>
    </w:p>
    <w:p w14:paraId="448782BB" w14:textId="77777777" w:rsidR="00EB1BF9" w:rsidRPr="00EB1BF9" w:rsidRDefault="00EB1BF9" w:rsidP="00EB1BF9">
      <w:pPr>
        <w:rPr>
          <w:lang w:val="en-GB" w:eastAsia="en-AU"/>
        </w:rPr>
      </w:pPr>
      <w:r w:rsidRPr="00EB1BF9">
        <w:rPr>
          <w:lang w:val="en-GB" w:eastAsia="en-AU"/>
        </w:rPr>
        <w:t>Dawkins, M. S., H. J. Lee, C. D. Waitt, and S. J. Roberts. 2009. Optical flow patterns in broiler chicken flocks as automated measures of behaviour and gait. Applied Animal Behaviour Science 119:203-209. doi 10.1016/j.applanim.2009.04.009</w:t>
      </w:r>
    </w:p>
    <w:p w14:paraId="1DAF2550" w14:textId="77777777" w:rsidR="00EB1BF9" w:rsidRPr="00EB1BF9" w:rsidRDefault="00EB1BF9" w:rsidP="00EB1BF9">
      <w:pPr>
        <w:rPr>
          <w:lang w:val="en-GB" w:eastAsia="en-AU"/>
        </w:rPr>
      </w:pPr>
      <w:r w:rsidRPr="00EB1BF9">
        <w:rPr>
          <w:lang w:val="en-GB" w:eastAsia="en-AU"/>
        </w:rPr>
        <w:t>Dawkins, M. S., R. Cain, K. Merelie, and S. J. Roberts. 2013. In search of the behavioural correlates of optical flow patterns in the automated assessment of broiler chicken welfare. Applied Animal Behaviour Science 145:44-50. doi 10.1016/j.applanim.2013.02.001</w:t>
      </w:r>
    </w:p>
    <w:p w14:paraId="63373EAF" w14:textId="77777777" w:rsidR="00EB1BF9" w:rsidRPr="00EB1BF9" w:rsidRDefault="00EB1BF9" w:rsidP="00EB1BF9">
      <w:pPr>
        <w:rPr>
          <w:lang w:val="en-GB" w:eastAsia="en-AU"/>
        </w:rPr>
      </w:pPr>
      <w:r w:rsidRPr="00EB1BF9">
        <w:rPr>
          <w:lang w:val="en-GB" w:eastAsia="en-AU"/>
        </w:rPr>
        <w:t xml:space="preserve">de Jong I. C., </w:t>
      </w:r>
      <w:r w:rsidR="00924082">
        <w:rPr>
          <w:lang w:val="en-GB" w:eastAsia="en-AU"/>
        </w:rPr>
        <w:t>C. Berg C</w:t>
      </w:r>
      <w:r w:rsidRPr="00EB1BF9">
        <w:rPr>
          <w:lang w:val="en-GB" w:eastAsia="en-AU"/>
        </w:rPr>
        <w:t xml:space="preserve">, </w:t>
      </w:r>
      <w:r w:rsidR="00924082">
        <w:rPr>
          <w:lang w:val="en-GB" w:eastAsia="en-AU"/>
        </w:rPr>
        <w:t xml:space="preserve">A. </w:t>
      </w:r>
      <w:r w:rsidRPr="00EB1BF9">
        <w:rPr>
          <w:lang w:val="en-GB" w:eastAsia="en-AU"/>
        </w:rPr>
        <w:t xml:space="preserve">Butterworth, </w:t>
      </w:r>
      <w:r w:rsidR="00924082">
        <w:rPr>
          <w:lang w:val="en-GB" w:eastAsia="en-AU"/>
        </w:rPr>
        <w:t xml:space="preserve">and I. </w:t>
      </w:r>
      <w:r w:rsidRPr="00EB1BF9">
        <w:rPr>
          <w:lang w:val="en-GB" w:eastAsia="en-AU"/>
        </w:rPr>
        <w:t>Estevéz</w:t>
      </w:r>
      <w:r w:rsidR="00924082">
        <w:rPr>
          <w:lang w:val="en-GB" w:eastAsia="en-AU"/>
        </w:rPr>
        <w:t>.</w:t>
      </w:r>
      <w:r w:rsidRPr="00EB1BF9">
        <w:rPr>
          <w:lang w:val="en-GB" w:eastAsia="en-AU"/>
        </w:rPr>
        <w:t xml:space="preserve"> 2012a. Scientific report updating the EFSA opinions on the welfare of broilers and broiler breeders. Support</w:t>
      </w:r>
      <w:r w:rsidR="009A6BA8">
        <w:rPr>
          <w:lang w:val="en-GB" w:eastAsia="en-AU"/>
        </w:rPr>
        <w:t>ing Publications:EN-295: 116</w:t>
      </w:r>
      <w:r w:rsidR="00100D7D">
        <w:rPr>
          <w:lang w:val="en-GB" w:eastAsia="en-AU"/>
        </w:rPr>
        <w:t xml:space="preserve"> pages</w:t>
      </w:r>
      <w:r w:rsidR="009A6BA8">
        <w:rPr>
          <w:lang w:val="en-GB" w:eastAsia="en-AU"/>
        </w:rPr>
        <w:t>.</w:t>
      </w:r>
      <w:r w:rsidRPr="00EB1BF9">
        <w:rPr>
          <w:lang w:val="en-GB" w:eastAsia="en-AU"/>
        </w:rPr>
        <w:t xml:space="preserve"> </w:t>
      </w:r>
      <w:hyperlink r:id="rId62" w:tooltip="This is a link to the publications webpage of the European Food Safety Authority." w:history="1">
        <w:r w:rsidRPr="00EB1BF9">
          <w:rPr>
            <w:rStyle w:val="Hyperlink"/>
            <w:lang w:val="en-GB" w:eastAsia="en-AU"/>
          </w:rPr>
          <w:t>www.efsa.europa.eu/publications</w:t>
        </w:r>
      </w:hyperlink>
      <w:r w:rsidR="005D7C40">
        <w:rPr>
          <w:lang w:val="en-GB" w:eastAsia="en-AU"/>
        </w:rPr>
        <w:t>. Accessed 20/05/2017.</w:t>
      </w:r>
    </w:p>
    <w:p w14:paraId="596CAA7F" w14:textId="77777777" w:rsidR="00EB1BF9" w:rsidRPr="00EB1BF9" w:rsidRDefault="00EB1BF9" w:rsidP="00EB1BF9">
      <w:pPr>
        <w:rPr>
          <w:lang w:val="en-GB" w:eastAsia="en-AU"/>
        </w:rPr>
      </w:pPr>
      <w:r w:rsidRPr="00EB1BF9">
        <w:rPr>
          <w:lang w:val="en-GB" w:eastAsia="en-AU"/>
        </w:rPr>
        <w:t>de Jong, I. C., J. van Harn, H. Gunnink, V. A. Hindle, and A. Lourens. 2012b. Footpad dermatitis in Dutch broiler flocks: Prevalence and factors of influence. Poultry Science 91:1569-1574. doi 10.3382/ps.2012-02156</w:t>
      </w:r>
    </w:p>
    <w:p w14:paraId="38D5ABB2" w14:textId="77777777" w:rsidR="00EB1BF9" w:rsidRPr="00EB1BF9" w:rsidRDefault="00EB1BF9" w:rsidP="00EB1BF9">
      <w:pPr>
        <w:rPr>
          <w:lang w:val="en-GB" w:eastAsia="en-AU"/>
        </w:rPr>
      </w:pPr>
      <w:r w:rsidRPr="00EB1BF9">
        <w:rPr>
          <w:lang w:val="en-GB" w:eastAsia="en-AU"/>
        </w:rPr>
        <w:t>de Jong, I. C., J. van Harn, H. Gunnink, A. Lourens, and J. W. van Riel. 2012c. Measuring foot-pad lesions in commercial broiler houses. Some aspects of methodology. Animal Welfare 21:325-330. doi 10.7120/09627286.21.3.325</w:t>
      </w:r>
    </w:p>
    <w:p w14:paraId="7828922B" w14:textId="77777777" w:rsidR="00EB1BF9" w:rsidRPr="00EB1BF9" w:rsidRDefault="00EB1BF9" w:rsidP="00EB1BF9">
      <w:pPr>
        <w:rPr>
          <w:lang w:val="en-GB" w:eastAsia="en-AU"/>
        </w:rPr>
      </w:pPr>
      <w:r w:rsidRPr="00EB1BF9">
        <w:rPr>
          <w:lang w:val="en-GB" w:eastAsia="en-AU"/>
        </w:rPr>
        <w:t>de Jong, I. C., H. Gunnink, and J. van Harn. 2014. Wet litter not only induces footpad dermatitis but also reduces overall welfare, technical performance, and carcass yield in broiler chickens. Journal of Applied Poultry Research 23:51-58. doi 10.3382/japr.2013-00803</w:t>
      </w:r>
    </w:p>
    <w:p w14:paraId="477C78E7" w14:textId="77777777" w:rsidR="00EB1BF9" w:rsidRPr="00EB1BF9" w:rsidRDefault="00EB1BF9" w:rsidP="00EB1BF9">
      <w:pPr>
        <w:rPr>
          <w:lang w:val="en-GB" w:eastAsia="en-AU"/>
        </w:rPr>
      </w:pPr>
      <w:r w:rsidRPr="00EB1BF9">
        <w:rPr>
          <w:lang w:val="en-GB" w:eastAsia="en-AU"/>
        </w:rPr>
        <w:t>de Jong, I. C., A. Lourens, and J. van Harn. 2015. Effect of hatch location and diet density on footpad dermatitis and growth performance in broiler chickens. Journal of Applied Poultry Research 24:105-114. doi 10.3382/japr/pfv014</w:t>
      </w:r>
    </w:p>
    <w:p w14:paraId="0D37045F" w14:textId="77777777" w:rsidR="00EB1BF9" w:rsidRPr="00EB1BF9" w:rsidRDefault="00EB1BF9" w:rsidP="00EB1BF9">
      <w:pPr>
        <w:rPr>
          <w:lang w:val="en-GB" w:eastAsia="en-AU"/>
        </w:rPr>
      </w:pPr>
      <w:r w:rsidRPr="00EB1BF9">
        <w:rPr>
          <w:lang w:val="en-GB" w:eastAsia="en-AU"/>
        </w:rPr>
        <w:t>de Oliveira, M. C., B. N. Goncalves, G. T. Padua, V. G. da Silva, D. V. da Silva, and A. I. M. Freitas. 2015. Treatment of poultry litter does not improve performance or carcass lesions in broilers. Revista Colombiana De Ciencias Pecuarias 28</w:t>
      </w:r>
      <w:r w:rsidR="003B5351">
        <w:rPr>
          <w:lang w:val="en-GB" w:eastAsia="en-AU"/>
        </w:rPr>
        <w:t>:331-338.</w:t>
      </w:r>
    </w:p>
    <w:p w14:paraId="12AF6ACF" w14:textId="77777777" w:rsidR="00EB1BF9" w:rsidRPr="00EB1BF9" w:rsidRDefault="00EB1BF9" w:rsidP="00EB1BF9">
      <w:pPr>
        <w:rPr>
          <w:lang w:val="en-GB" w:eastAsia="en-AU"/>
        </w:rPr>
      </w:pPr>
      <w:r w:rsidRPr="00EB1BF9">
        <w:rPr>
          <w:lang w:val="en-GB" w:eastAsia="en-AU"/>
        </w:rPr>
        <w:t>Deep, A., K. Schwean-Lardner, T. G. Crowe, B. I. Fancher, and H. L. Classen. 2010. Effect of light intensity on broiler production, processing characteristics, and welfare. Poultry Science 89:2326-2333. doi 10.3382/ps.2010-00964</w:t>
      </w:r>
    </w:p>
    <w:p w14:paraId="6EA146D0" w14:textId="77777777" w:rsidR="00EB1BF9" w:rsidRPr="00EB1BF9" w:rsidRDefault="00EB1BF9" w:rsidP="00EB1BF9">
      <w:pPr>
        <w:rPr>
          <w:lang w:val="en-GB" w:eastAsia="en-AU"/>
        </w:rPr>
      </w:pPr>
      <w:r w:rsidRPr="00EB1BF9">
        <w:rPr>
          <w:lang w:val="en-GB" w:eastAsia="en-AU"/>
        </w:rPr>
        <w:t>Deep, A., K. Schwean-Lardner, T. G. Crowe, B. I. Fancher, and H. L. Classen. 2012. Effect of light intensity on broiler behaviour and diurnal rhythms. Applied Animal Behaviour Science 136:50-56. doi 10.1016/j.applanim.2011.11.002</w:t>
      </w:r>
    </w:p>
    <w:p w14:paraId="3C267B92" w14:textId="77777777" w:rsidR="00EB1BF9" w:rsidRPr="00EB1BF9" w:rsidRDefault="00EB1BF9" w:rsidP="00EB1BF9">
      <w:pPr>
        <w:rPr>
          <w:lang w:val="en-GB" w:eastAsia="en-AU"/>
        </w:rPr>
      </w:pPr>
      <w:r w:rsidRPr="00EB1BF9">
        <w:rPr>
          <w:lang w:val="en-GB" w:eastAsia="en-AU"/>
        </w:rPr>
        <w:t>Deep, A., C. Raginski, K. Schwean-Lardner, B. I. Fancher, and H. L. Classen. 2013. Minimum light intensity threshold to prevent negative effects on broiler production and welfare. British Poultry Science 54:686-694. doi 10.1080/00071668.2013.847526</w:t>
      </w:r>
    </w:p>
    <w:p w14:paraId="2B5F59FF" w14:textId="77777777" w:rsidR="00EB1BF9" w:rsidRPr="00EB1BF9" w:rsidRDefault="00EB1BF9" w:rsidP="00EB1BF9">
      <w:pPr>
        <w:rPr>
          <w:lang w:val="en-GB" w:eastAsia="en-AU"/>
        </w:rPr>
      </w:pPr>
      <w:r w:rsidRPr="00EB1BF9">
        <w:rPr>
          <w:lang w:val="en-GB" w:eastAsia="en-AU"/>
        </w:rPr>
        <w:t>Delezie, E., D. Lips, R. Lips, and E. Decuypere. 2006. Is the mechanisation of catching broilers a welfare improvem</w:t>
      </w:r>
      <w:r w:rsidR="003B5351">
        <w:rPr>
          <w:lang w:val="en-GB" w:eastAsia="en-AU"/>
        </w:rPr>
        <w:t>ent? Animal Welfare 15:141-147.</w:t>
      </w:r>
    </w:p>
    <w:p w14:paraId="040C49D5" w14:textId="77777777" w:rsidR="00EB1BF9" w:rsidRPr="00EB1BF9" w:rsidRDefault="00EB1BF9" w:rsidP="00EB1BF9">
      <w:pPr>
        <w:rPr>
          <w:lang w:val="en-GB" w:eastAsia="en-AU"/>
        </w:rPr>
      </w:pPr>
      <w:r w:rsidRPr="00EB1BF9">
        <w:rPr>
          <w:lang w:val="en-GB" w:eastAsia="en-AU"/>
        </w:rPr>
        <w:t>Dereli Fidan, E., A. Nazligul, M. K. Turkyilmaz, S. Karaarslan, and M. Kaya. 2017. Effects of Photoperiod Length and Light Intensity on Performance, Carcass Characteristics and Heterophil to Lymphocyte Ratio in Broilers. Kafkas Universitesi Veteriner Fakultesi Dergisi 23:39-45. doi 10.9775/kvfd.2016.15723</w:t>
      </w:r>
    </w:p>
    <w:p w14:paraId="66791AB6" w14:textId="77777777" w:rsidR="00EB1BF9" w:rsidRPr="00EB1BF9" w:rsidRDefault="00EB1BF9" w:rsidP="00EB1BF9">
      <w:pPr>
        <w:rPr>
          <w:lang w:val="en-GB" w:eastAsia="en-AU"/>
        </w:rPr>
      </w:pPr>
      <w:r w:rsidRPr="00EB1BF9">
        <w:rPr>
          <w:lang w:val="en-GB" w:eastAsia="en-AU"/>
        </w:rPr>
        <w:t>Dersjant-Li, Y., K. van de Belt, J. D. van der Klis, H. Kettunen, T. Rinttila, and A. Awati. 2015. Effect of multi-enzymes in combination with a direct-fed microbial on performance and welfare parameters in broilers under commercial production settings. Journal of Applied Poultry Research 24:80-90. doi 10.3382/japr/pfv003</w:t>
      </w:r>
    </w:p>
    <w:p w14:paraId="4F02AA02" w14:textId="77777777" w:rsidR="00EB1BF9" w:rsidRPr="00EB1BF9" w:rsidRDefault="00EB1BF9" w:rsidP="00EB1BF9">
      <w:pPr>
        <w:rPr>
          <w:lang w:val="en-GB" w:eastAsia="en-AU"/>
        </w:rPr>
      </w:pPr>
      <w:r w:rsidRPr="00EB1BF9">
        <w:rPr>
          <w:lang w:val="en-GB" w:eastAsia="en-AU"/>
        </w:rPr>
        <w:t>Dinev, I. 2009. Clinical and morphological investigations on the prevalence of lameness associated with femoral head necrosis in broilers. British Poultry Science 50:284-290. doi 10.1080/00071660902942783</w:t>
      </w:r>
    </w:p>
    <w:p w14:paraId="3440EC2A" w14:textId="77777777" w:rsidR="00EB1BF9" w:rsidRPr="00EB1BF9" w:rsidRDefault="00EB1BF9" w:rsidP="00EB1BF9">
      <w:pPr>
        <w:rPr>
          <w:lang w:val="en-GB" w:eastAsia="en-AU"/>
        </w:rPr>
      </w:pPr>
      <w:r w:rsidRPr="00EB1BF9">
        <w:rPr>
          <w:lang w:val="en-GB" w:eastAsia="en-AU"/>
        </w:rPr>
        <w:t>Dinev, I., and D. Kanakov. 2011. Deep pectoral myopathy: prevalence in 7 weeks old broiler chickens in Bulgaria. Revue De Me</w:t>
      </w:r>
      <w:r w:rsidR="003B5351">
        <w:rPr>
          <w:lang w:val="en-GB" w:eastAsia="en-AU"/>
        </w:rPr>
        <w:t>decine Veterinaire 162:279-283.</w:t>
      </w:r>
    </w:p>
    <w:p w14:paraId="39B0CE24" w14:textId="77777777" w:rsidR="00EB1BF9" w:rsidRPr="00EB1BF9" w:rsidRDefault="00EB1BF9" w:rsidP="00EB1BF9">
      <w:pPr>
        <w:rPr>
          <w:lang w:val="en-GB" w:eastAsia="en-AU"/>
        </w:rPr>
      </w:pPr>
      <w:r w:rsidRPr="00EB1BF9">
        <w:rPr>
          <w:lang w:val="en-GB" w:eastAsia="en-AU"/>
        </w:rPr>
        <w:t>Dinev, I., S. A. Denev, and F. W. Edens. 2012. Comparative clinical and morphological studies on the incidence of tibial dyschondroplasia as a cause of lameness in three commercial lines of broiler chickens. Journal of Applied Poultry Research 21:637-644. doi 10.3382/japr.2010-00303</w:t>
      </w:r>
    </w:p>
    <w:p w14:paraId="4EE10E79" w14:textId="77777777" w:rsidR="00EB1BF9" w:rsidRPr="00EB1BF9" w:rsidRDefault="00EB1BF9" w:rsidP="00EB1BF9">
      <w:pPr>
        <w:rPr>
          <w:lang w:val="en-GB" w:eastAsia="en-AU"/>
        </w:rPr>
      </w:pPr>
      <w:r w:rsidRPr="00EB1BF9">
        <w:rPr>
          <w:lang w:val="en-GB" w:eastAsia="en-AU"/>
        </w:rPr>
        <w:t>Dozier, W. A., J. P. Thaxton, J. L. Purswell, H. A. Olanrewaju, S. L. Branton, and W. B. Roush. 2006. Stocking density effects on male broilers grown to 1.8 kilograms of body weig</w:t>
      </w:r>
      <w:r w:rsidR="003B5351">
        <w:rPr>
          <w:lang w:val="en-GB" w:eastAsia="en-AU"/>
        </w:rPr>
        <w:t>ht. Poultry Science 85:344-351.</w:t>
      </w:r>
    </w:p>
    <w:p w14:paraId="2AF5182B" w14:textId="77777777" w:rsidR="00EB1BF9" w:rsidRPr="00EB1BF9" w:rsidRDefault="00EB1BF9" w:rsidP="00EB1BF9">
      <w:pPr>
        <w:rPr>
          <w:lang w:val="en-GB" w:eastAsia="en-AU"/>
        </w:rPr>
      </w:pPr>
      <w:r w:rsidRPr="00EB1BF9">
        <w:rPr>
          <w:lang w:val="en-GB" w:eastAsia="en-AU"/>
        </w:rPr>
        <w:t>Druyan, S., Y. Hadad, and A. Cahaner. 2008. Growth rate of ascites-resistant versus ascites-susceptible broilers in commercial and experimental lines. Poultry Science 87:904-911. doi 10.3382/ps.2008-00003</w:t>
      </w:r>
    </w:p>
    <w:p w14:paraId="17ACE5CB" w14:textId="77777777" w:rsidR="00EB1BF9" w:rsidRDefault="003B5351" w:rsidP="00EB1BF9">
      <w:pPr>
        <w:rPr>
          <w:lang w:val="en-GB" w:eastAsia="en-AU"/>
        </w:rPr>
      </w:pPr>
      <w:r>
        <w:rPr>
          <w:lang w:val="en-GB" w:eastAsia="en-AU"/>
        </w:rPr>
        <w:t xml:space="preserve">Dukic </w:t>
      </w:r>
      <w:r w:rsidR="00EB1BF9" w:rsidRPr="00EB1BF9">
        <w:rPr>
          <w:lang w:val="en-GB" w:eastAsia="en-AU"/>
        </w:rPr>
        <w:t>Stojcic, M., S. Bjedov, D. Zikic, L. Peric, and N. Milosevic. 2016. Effect of straw size and microbial amendment of litter on certain litter quality parameters, ammonia emission, and footpad dermatitis in broilers. Archives Animal Breeding 59: 131-1</w:t>
      </w:r>
      <w:r>
        <w:rPr>
          <w:lang w:val="en-GB" w:eastAsia="en-AU"/>
        </w:rPr>
        <w:t>37. doi10.5194/aab-59-131-2016</w:t>
      </w:r>
    </w:p>
    <w:p w14:paraId="5EF84AC0" w14:textId="77777777" w:rsidR="00EB1BF9" w:rsidRPr="00EB1BF9" w:rsidRDefault="00924082" w:rsidP="00EB1BF9">
      <w:pPr>
        <w:rPr>
          <w:lang w:val="en-GB" w:eastAsia="en-AU"/>
        </w:rPr>
      </w:pPr>
      <w:r>
        <w:rPr>
          <w:lang w:val="en-GB" w:eastAsia="en-AU"/>
        </w:rPr>
        <w:t>EC (European Commission).</w:t>
      </w:r>
      <w:r w:rsidR="00EB1BF9" w:rsidRPr="00EB1BF9">
        <w:rPr>
          <w:lang w:val="en-GB" w:eastAsia="en-AU"/>
        </w:rPr>
        <w:t xml:space="preserve"> 2007. Council Directive 2007/43/EC of 28 June laying down minimum rules for the protection of chickens kept for meat production. Official Journal L 182</w:t>
      </w:r>
      <w:r>
        <w:rPr>
          <w:lang w:val="en-GB" w:eastAsia="en-AU"/>
        </w:rPr>
        <w:t>:</w:t>
      </w:r>
      <w:r w:rsidR="00EB1BF9" w:rsidRPr="00EB1BF9">
        <w:rPr>
          <w:lang w:val="en-GB" w:eastAsia="en-AU"/>
        </w:rPr>
        <w:t>19-28.</w:t>
      </w:r>
    </w:p>
    <w:p w14:paraId="765895D1" w14:textId="77777777" w:rsidR="00EB1BF9" w:rsidRPr="00EB1BF9" w:rsidRDefault="00EB1BF9" w:rsidP="00EB1BF9">
      <w:pPr>
        <w:rPr>
          <w:lang w:val="en-GB" w:eastAsia="en-AU"/>
        </w:rPr>
      </w:pPr>
      <w:r w:rsidRPr="00EB1BF9">
        <w:rPr>
          <w:lang w:val="en-GB" w:eastAsia="en-AU"/>
        </w:rPr>
        <w:t>Eichner, G., S. L. Vieira, C. A. Torres, J. L. B. Coneglian, D. M. Freitas, and O. A. Oyarzabal. 2007. Litter moisture and footpad dermatitis as affected by diets formulated on an all-vegetable basis or having the inclusion of poultry by-product. Journal of Applied Poultry Research 16:344-350</w:t>
      </w:r>
      <w:r w:rsidR="003A24DE">
        <w:rPr>
          <w:lang w:val="en-GB" w:eastAsia="en-AU"/>
        </w:rPr>
        <w:t>.</w:t>
      </w:r>
    </w:p>
    <w:p w14:paraId="3F786C9C" w14:textId="77777777" w:rsidR="00EB1BF9" w:rsidRDefault="00EB1BF9" w:rsidP="00EB1BF9">
      <w:pPr>
        <w:rPr>
          <w:lang w:val="en-GB" w:eastAsia="en-AU"/>
        </w:rPr>
      </w:pPr>
      <w:r w:rsidRPr="00EB1BF9">
        <w:rPr>
          <w:lang w:val="en-GB" w:eastAsia="en-AU"/>
        </w:rPr>
        <w:t>Enting, H., W. J. A. Boersma, J. Cornelissen, S. C. L. van Winden, M. W. A. Verstegen, and P. J. van der Aar. 2007. The effect of low-density broiler breeder diets on performance and immune status of their offspri</w:t>
      </w:r>
      <w:r w:rsidR="003A24DE">
        <w:rPr>
          <w:lang w:val="en-GB" w:eastAsia="en-AU"/>
        </w:rPr>
        <w:t>ng. Poultry Science 86:282-290.</w:t>
      </w:r>
    </w:p>
    <w:p w14:paraId="09EB75EA" w14:textId="77777777" w:rsidR="00EB1BF9" w:rsidRPr="00EB1BF9" w:rsidRDefault="00EB1BF9" w:rsidP="00EB1BF9">
      <w:pPr>
        <w:rPr>
          <w:lang w:val="en-GB" w:eastAsia="en-AU"/>
        </w:rPr>
      </w:pPr>
      <w:r w:rsidRPr="00EB1BF9">
        <w:rPr>
          <w:lang w:val="en-GB" w:eastAsia="en-AU"/>
        </w:rPr>
        <w:t>Eriksson, M., L. Waldenstedt, K. Elwinger, B. Engstrom, and O. Fossum. 2010. Behaviour, production and health of organically reared fast-growing broilers fed low crude protein diets including different amino acid contents at start. Acta Agriculturae Scandinavica Section a-Animal Science 60:112-124. doi 10.1080/09064702.2010.502243</w:t>
      </w:r>
    </w:p>
    <w:p w14:paraId="2917524C" w14:textId="77777777" w:rsidR="00EB1BF9" w:rsidRPr="00EB1BF9" w:rsidRDefault="00EB1BF9" w:rsidP="00EB1BF9">
      <w:pPr>
        <w:rPr>
          <w:lang w:val="en-GB" w:eastAsia="en-AU"/>
        </w:rPr>
      </w:pPr>
      <w:r w:rsidRPr="00EB1BF9">
        <w:rPr>
          <w:lang w:val="en-GB" w:eastAsia="en-AU"/>
        </w:rPr>
        <w:t>Estevez, I., N. Tablante, R. L. Pettit-Riley, and L. Carr. 2002. Use of cool perches by broiler chic</w:t>
      </w:r>
      <w:r w:rsidR="003A24DE">
        <w:rPr>
          <w:lang w:val="en-GB" w:eastAsia="en-AU"/>
        </w:rPr>
        <w:t>kens. Poultry Science 81:62-69.</w:t>
      </w:r>
    </w:p>
    <w:p w14:paraId="7EBD019A" w14:textId="77777777" w:rsidR="00EB1BF9" w:rsidRPr="00EB1BF9" w:rsidRDefault="00EB1BF9" w:rsidP="00EB1BF9">
      <w:pPr>
        <w:rPr>
          <w:lang w:val="en-GB" w:eastAsia="en-AU"/>
        </w:rPr>
      </w:pPr>
      <w:r w:rsidRPr="00EB1BF9">
        <w:rPr>
          <w:lang w:val="en-GB" w:eastAsia="en-AU"/>
        </w:rPr>
        <w:t>Eusebio-Balcazar, P., E. O. Oviedo-Rondon, M. J. Wineland, M. P. Serrano, and J. Brake. 2014. Effects of broiler breeder-feeding programme and feeder space change at photostimulation using maize- or wheat-based diets on eggshell properties and progeny bone development. British Poultry Science 55:380-390. doi 10.1080/00071668.2014.921665</w:t>
      </w:r>
    </w:p>
    <w:p w14:paraId="33F3628A" w14:textId="77777777" w:rsidR="00EB1BF9" w:rsidRPr="00EB1BF9" w:rsidRDefault="00EB1BF9" w:rsidP="00EB1BF9">
      <w:pPr>
        <w:rPr>
          <w:lang w:val="en-GB" w:eastAsia="en-AU"/>
        </w:rPr>
      </w:pPr>
      <w:r w:rsidRPr="00EB1BF9">
        <w:rPr>
          <w:lang w:val="en-GB" w:eastAsia="en-AU"/>
        </w:rPr>
        <w:t>Eusebio-Balcazar, P., E. O. Oviedo-Rondon, M. J. Wineland, J. Osborne, and J. Brake. 2015. Effect of broiler breeder feeding programme and feeder space change at photostimulation using maize- or wheat-based diets on broiler progeny growth performance and leg health. British Poultry Science 56:345-360. doi 10.1080/00071668.2015.1019830</w:t>
      </w:r>
    </w:p>
    <w:p w14:paraId="1B1809B3" w14:textId="77777777" w:rsidR="00EB1BF9" w:rsidRDefault="00EB1BF9" w:rsidP="00EB1BF9">
      <w:pPr>
        <w:rPr>
          <w:lang w:val="en-GB" w:eastAsia="en-AU"/>
        </w:rPr>
      </w:pPr>
      <w:r w:rsidRPr="00EB1BF9">
        <w:rPr>
          <w:lang w:val="en-GB" w:eastAsia="en-AU"/>
        </w:rPr>
        <w:t>Fanatico, A. C., J. A. Mench, G. S. Archer, Y. Liang, V. B. B. Gunsaulis, C. M. Owens, and A. M. Donoghue. 2016. Effect of outdoor structural enrichments on the performance, use of range area, and behavior of organic meat chickens. Poultry Science 95:1980-1988. doi 10.3382/ps/pew196</w:t>
      </w:r>
    </w:p>
    <w:p w14:paraId="0438C909" w14:textId="77777777" w:rsidR="00800609" w:rsidRDefault="00346578" w:rsidP="00EB1BF9">
      <w:pPr>
        <w:rPr>
          <w:lang w:val="en-GB" w:eastAsia="en-AU"/>
        </w:rPr>
      </w:pPr>
      <w:r>
        <w:rPr>
          <w:lang w:val="en-GB" w:eastAsia="en-AU"/>
        </w:rPr>
        <w:t>Fedd</w:t>
      </w:r>
      <w:r w:rsidR="00800609">
        <w:rPr>
          <w:lang w:val="en-GB" w:eastAsia="en-AU"/>
        </w:rPr>
        <w:t>es, J. J. R., E. J. Emmanuel, and M. J. Zuidhof. 2002. Broiler performance, body weight variance, feed and water intake, and carcass quality at different stocking densities. Poultry Science 81:774-779.</w:t>
      </w:r>
    </w:p>
    <w:p w14:paraId="118509CE" w14:textId="77777777" w:rsidR="00EB1BF9" w:rsidRPr="00EB1BF9" w:rsidRDefault="00EB1BF9" w:rsidP="00EB1BF9">
      <w:pPr>
        <w:rPr>
          <w:lang w:val="en-GB" w:eastAsia="en-AU"/>
        </w:rPr>
      </w:pPr>
      <w:r w:rsidRPr="00EB1BF9">
        <w:rPr>
          <w:lang w:val="en-GB" w:eastAsia="en-AU"/>
        </w:rPr>
        <w:t xml:space="preserve">Fernandes, B. C. D., M. Martins, A. A. Mendes, I. Paz, C. M. Komiyama, E. L. Milbradt, and B. B. Martins. 2012. Locomotion problems of broiler chickens and its relationship with the gait score. Revista Brasileira De Zootecnia-Brazilian Journal </w:t>
      </w:r>
      <w:r w:rsidR="003A24DE">
        <w:rPr>
          <w:lang w:val="en-GB" w:eastAsia="en-AU"/>
        </w:rPr>
        <w:t>of Animal Science 41:1951-1955.</w:t>
      </w:r>
    </w:p>
    <w:p w14:paraId="37D5EBC5" w14:textId="77777777" w:rsidR="00EB1BF9" w:rsidRPr="00EB1BF9" w:rsidRDefault="00EB1BF9" w:rsidP="00EB1BF9">
      <w:pPr>
        <w:rPr>
          <w:lang w:val="en-AU" w:eastAsia="en-AU"/>
        </w:rPr>
      </w:pPr>
      <w:r w:rsidRPr="00EB1BF9">
        <w:rPr>
          <w:lang w:val="en-AU" w:eastAsia="en-AU"/>
        </w:rPr>
        <w:t xml:space="preserve">Foreman, D., </w:t>
      </w:r>
      <w:r w:rsidR="003A24DE">
        <w:rPr>
          <w:lang w:val="en-AU" w:eastAsia="en-AU"/>
        </w:rPr>
        <w:t xml:space="preserve">D. M. </w:t>
      </w:r>
      <w:r w:rsidRPr="00EB1BF9">
        <w:rPr>
          <w:lang w:val="en-AU" w:eastAsia="en-AU"/>
        </w:rPr>
        <w:t xml:space="preserve">Evans, </w:t>
      </w:r>
      <w:r w:rsidR="003A24DE">
        <w:rPr>
          <w:lang w:val="en-AU" w:eastAsia="en-AU"/>
        </w:rPr>
        <w:t xml:space="preserve">D. L. </w:t>
      </w:r>
      <w:r w:rsidRPr="00EB1BF9">
        <w:rPr>
          <w:lang w:val="en-AU" w:eastAsia="en-AU"/>
        </w:rPr>
        <w:t xml:space="preserve">Mantooth, and </w:t>
      </w:r>
      <w:r w:rsidR="003A24DE">
        <w:rPr>
          <w:lang w:val="en-AU" w:eastAsia="en-AU"/>
        </w:rPr>
        <w:t>S.</w:t>
      </w:r>
      <w:r w:rsidRPr="00EB1BF9">
        <w:rPr>
          <w:lang w:val="en-AU" w:eastAsia="en-AU"/>
        </w:rPr>
        <w:t xml:space="preserve"> Brannan. </w:t>
      </w:r>
      <w:r w:rsidRPr="0015689F">
        <w:rPr>
          <w:lang w:val="en-AU" w:eastAsia="en-AU"/>
        </w:rPr>
        <w:t xml:space="preserve">2013. </w:t>
      </w:r>
      <w:r w:rsidRPr="0015689F">
        <w:rPr>
          <w:iCs/>
          <w:lang w:val="en-AU" w:eastAsia="en-AU"/>
        </w:rPr>
        <w:t>U.S. Patent Application No. 14/034,222</w:t>
      </w:r>
      <w:r w:rsidRPr="0015689F">
        <w:rPr>
          <w:lang w:val="en-AU" w:eastAsia="en-AU"/>
        </w:rPr>
        <w:t>.</w:t>
      </w:r>
    </w:p>
    <w:p w14:paraId="24C2A66E" w14:textId="77777777" w:rsidR="00EB1BF9" w:rsidRPr="00EB1BF9" w:rsidRDefault="00EB1BF9" w:rsidP="00EB1BF9">
      <w:pPr>
        <w:rPr>
          <w:lang w:val="en-GB" w:eastAsia="en-AU"/>
        </w:rPr>
      </w:pPr>
      <w:r w:rsidRPr="00EB1BF9">
        <w:rPr>
          <w:lang w:val="en-GB" w:eastAsia="en-AU"/>
        </w:rPr>
        <w:t>Fortomaris, P., G. Arsenos, A. Tserveni-Gousi, and A. Yannakopoulos. 2007. Performance and behaviour of broiler chickens as affected by the housing system. Arch</w:t>
      </w:r>
      <w:r w:rsidR="003A24DE">
        <w:rPr>
          <w:lang w:val="en-GB" w:eastAsia="en-AU"/>
        </w:rPr>
        <w:t>iv Fur Geflugelkunde 71:97-104.</w:t>
      </w:r>
    </w:p>
    <w:p w14:paraId="5A7796D6" w14:textId="77777777" w:rsidR="00EB1BF9" w:rsidRPr="00EB1BF9" w:rsidRDefault="00EB1BF9" w:rsidP="00EB1BF9">
      <w:pPr>
        <w:rPr>
          <w:lang w:val="en-GB" w:eastAsia="en-AU"/>
        </w:rPr>
      </w:pPr>
      <w:r w:rsidRPr="00EB1BF9">
        <w:rPr>
          <w:lang w:val="en-GB" w:eastAsia="en-AU"/>
        </w:rPr>
        <w:t>Fuhrmann, R., and J. Kamphues. 2016. Effects of fat content and source as well as of calcium and potassium content in the diet on fat excretion and saponification, litter quality and foot pad health in broilers. European Poultry Science 80. doi 10.1399/eps.2016.118</w:t>
      </w:r>
      <w:r w:rsidR="003A24DE">
        <w:rPr>
          <w:lang w:val="en-GB" w:eastAsia="en-AU"/>
        </w:rPr>
        <w:t>.</w:t>
      </w:r>
    </w:p>
    <w:p w14:paraId="38E27785" w14:textId="77777777" w:rsidR="00EB1BF9" w:rsidRPr="00EB1BF9" w:rsidRDefault="00EB1BF9" w:rsidP="00EB1BF9">
      <w:pPr>
        <w:rPr>
          <w:lang w:val="en-GB" w:eastAsia="en-AU"/>
        </w:rPr>
      </w:pPr>
      <w:r w:rsidRPr="00EB1BF9">
        <w:rPr>
          <w:lang w:val="en-GB" w:eastAsia="en-AU"/>
        </w:rPr>
        <w:t>Garcia, R. G., I. Paz, F. R. Caldara, I. A. Naas, L. G. F. Bueno, L. W. Freitas, J. D. Graciano, and S. Sim. 2012. Litter Materials and the Incidence of Carcass Lesions in Broilers Chickens. Brazilian Journ</w:t>
      </w:r>
      <w:r w:rsidR="003A24DE">
        <w:rPr>
          <w:lang w:val="en-GB" w:eastAsia="en-AU"/>
        </w:rPr>
        <w:t>al of Poultry Science 14:27-32.</w:t>
      </w:r>
    </w:p>
    <w:p w14:paraId="630FF2BF" w14:textId="77777777" w:rsidR="00EB1BF9" w:rsidRPr="00EB1BF9" w:rsidRDefault="00EB1BF9" w:rsidP="00EB1BF9">
      <w:pPr>
        <w:rPr>
          <w:lang w:val="en-GB" w:eastAsia="en-AU"/>
        </w:rPr>
      </w:pPr>
      <w:r w:rsidRPr="00EB1BF9">
        <w:rPr>
          <w:lang w:val="en-GB" w:eastAsia="en-AU"/>
        </w:rPr>
        <w:t>Garner, J. P., C. Falcone, P. Wakenell, M. Martin, and J. A. Mench. 2002. Reliability and validity of a modified gait scoring system and its use in assessing tibial dyschondroplasia in broilers. British Poultry Science 43:355-363. doi 10.1080/00071660120103620</w:t>
      </w:r>
    </w:p>
    <w:p w14:paraId="75E06386" w14:textId="77777777" w:rsidR="00EB1BF9" w:rsidRPr="00EB1BF9" w:rsidRDefault="00EB1BF9" w:rsidP="00EB1BF9">
      <w:pPr>
        <w:rPr>
          <w:lang w:val="en-GB" w:eastAsia="en-AU"/>
        </w:rPr>
      </w:pPr>
      <w:r w:rsidRPr="00EB1BF9">
        <w:rPr>
          <w:lang w:val="en-GB" w:eastAsia="en-AU"/>
        </w:rPr>
        <w:t>Gentle, M. J., V. Tilston, and D. E. F. McKeegan. 2001. Mechanothermal nociceptors in the scaly skin of the chicken leg. Neuroscience 106:643-652. doi 10.1016/s0306-4522(01)00318-9</w:t>
      </w:r>
    </w:p>
    <w:p w14:paraId="3C56F93A" w14:textId="77777777" w:rsidR="00EB1BF9" w:rsidRPr="00EB1BF9" w:rsidRDefault="00EB1BF9" w:rsidP="00EB1BF9">
      <w:pPr>
        <w:rPr>
          <w:lang w:val="en-GB" w:eastAsia="en-AU"/>
        </w:rPr>
      </w:pPr>
      <w:r w:rsidRPr="00EB1BF9">
        <w:rPr>
          <w:lang w:val="en-GB" w:eastAsia="en-AU"/>
        </w:rPr>
        <w:t xml:space="preserve">Ghareeb, K., W. A. Awad, O. E. Sid-Ahmed, and J. Bohm. 2014. Insights on the Host Stress, Fear and Growth Responses to the Deoxynivalenol Feed Contaminant in Broiler Chickens. </w:t>
      </w:r>
      <w:r w:rsidR="00601DC5">
        <w:rPr>
          <w:lang w:val="en-GB" w:eastAsia="en-AU"/>
        </w:rPr>
        <w:t>PLoS</w:t>
      </w:r>
      <w:r w:rsidR="00997550">
        <w:rPr>
          <w:lang w:val="en-GB" w:eastAsia="en-AU"/>
        </w:rPr>
        <w:t xml:space="preserve"> ONE</w:t>
      </w:r>
      <w:r w:rsidRPr="00EB1BF9">
        <w:rPr>
          <w:lang w:val="en-GB" w:eastAsia="en-AU"/>
        </w:rPr>
        <w:t xml:space="preserve"> 9. doi 10.1371/journal.pone.0087727</w:t>
      </w:r>
    </w:p>
    <w:p w14:paraId="6FA3EF1F" w14:textId="77777777" w:rsidR="00EB1BF9" w:rsidRPr="00EB1BF9" w:rsidRDefault="00EB1BF9" w:rsidP="00EB1BF9">
      <w:pPr>
        <w:rPr>
          <w:lang w:val="en-GB" w:eastAsia="en-AU"/>
        </w:rPr>
      </w:pPr>
      <w:r w:rsidRPr="00EB1BF9">
        <w:rPr>
          <w:lang w:val="en-GB" w:eastAsia="en-AU"/>
        </w:rPr>
        <w:t>Gomes, A. V. S., W. M. Quinteiro, A. Ribeiro, V. Ferraz-de-Paula, M. L. Pinheiro, E. Baskeville, A. T. Akamine, C. S. Astolfi-Ferreira, A. J. P. Ferreira, and J. Palermo-Neto. 2014. Overcrowding stress decrease</w:t>
      </w:r>
      <w:r w:rsidR="00E86258">
        <w:rPr>
          <w:lang w:val="en-GB" w:eastAsia="en-AU"/>
        </w:rPr>
        <w:t>d</w:t>
      </w:r>
      <w:r w:rsidRPr="00EB1BF9">
        <w:rPr>
          <w:lang w:val="en-GB" w:eastAsia="en-AU"/>
        </w:rPr>
        <w:t xml:space="preserve"> macrophage activity and increases </w:t>
      </w:r>
      <w:r w:rsidRPr="00E86258">
        <w:rPr>
          <w:i/>
          <w:lang w:val="en-GB" w:eastAsia="en-AU"/>
        </w:rPr>
        <w:t>Salmonella</w:t>
      </w:r>
      <w:r w:rsidRPr="00EB1BF9">
        <w:rPr>
          <w:lang w:val="en-GB" w:eastAsia="en-AU"/>
        </w:rPr>
        <w:t xml:space="preserve"> Enteritidis invasion in broiler chickens. Avian Pathology 43:82-90. doi 10.1080/03079457.2013.874006</w:t>
      </w:r>
    </w:p>
    <w:p w14:paraId="7F197C48" w14:textId="77777777" w:rsidR="00EB1BF9" w:rsidRPr="00EB1BF9" w:rsidRDefault="00EB1BF9" w:rsidP="00EB1BF9">
      <w:pPr>
        <w:rPr>
          <w:lang w:val="en-GB" w:eastAsia="en-AU"/>
        </w:rPr>
      </w:pPr>
      <w:r w:rsidRPr="00EB1BF9">
        <w:rPr>
          <w:lang w:val="en-GB" w:eastAsia="en-AU"/>
        </w:rPr>
        <w:t xml:space="preserve">Gouveia, K. G., P. Vaz-Pires, and P. M. da Costa. 2009. Welfare assessment of broilers through examination of haematomas, foot-pad dermatitis, scratches and breast blisters at processing. Animal Welfare 18:43-48. </w:t>
      </w:r>
    </w:p>
    <w:p w14:paraId="0FC1D876" w14:textId="77777777" w:rsidR="00EB1BF9" w:rsidRPr="00EB1BF9" w:rsidRDefault="00EB1BF9" w:rsidP="00EB1BF9">
      <w:pPr>
        <w:rPr>
          <w:lang w:val="en-GB" w:eastAsia="en-AU"/>
        </w:rPr>
      </w:pPr>
      <w:r w:rsidRPr="00EB1BF9">
        <w:rPr>
          <w:lang w:val="en-GB" w:eastAsia="en-AU"/>
        </w:rPr>
        <w:t xml:space="preserve">Groves, P. J., and W. I. Muir. 2014. A Meta-Analysis of Experiments Linking Incubation Conditions with Subsequent Leg Weakness in Broiler Chickens. </w:t>
      </w:r>
      <w:r w:rsidR="00601DC5">
        <w:rPr>
          <w:lang w:val="en-GB" w:eastAsia="en-AU"/>
        </w:rPr>
        <w:t>PLoS</w:t>
      </w:r>
      <w:r w:rsidR="00997550">
        <w:rPr>
          <w:lang w:val="en-GB" w:eastAsia="en-AU"/>
        </w:rPr>
        <w:t xml:space="preserve"> ONE</w:t>
      </w:r>
      <w:r w:rsidRPr="00EB1BF9">
        <w:rPr>
          <w:lang w:val="en-GB" w:eastAsia="en-AU"/>
        </w:rPr>
        <w:t xml:space="preserve"> 9. doi 10.1371/journal.pone.0102682</w:t>
      </w:r>
    </w:p>
    <w:p w14:paraId="1A99D58D" w14:textId="77777777" w:rsidR="00EB1BF9" w:rsidRPr="00EB1BF9" w:rsidRDefault="00EB1BF9" w:rsidP="00EB1BF9">
      <w:pPr>
        <w:rPr>
          <w:lang w:val="en-AU" w:eastAsia="en-AU"/>
        </w:rPr>
      </w:pPr>
      <w:r w:rsidRPr="00EB1BF9">
        <w:rPr>
          <w:lang w:val="en-AU" w:eastAsia="en-AU"/>
        </w:rPr>
        <w:t>Gueye, E.F. 1998. Village egg and fowl meat production in Africa. World</w:t>
      </w:r>
      <w:r w:rsidR="001E3ECE">
        <w:rPr>
          <w:lang w:val="en-AU" w:eastAsia="en-AU"/>
        </w:rPr>
        <w:t>’s Poultry Science Journal 54:</w:t>
      </w:r>
      <w:r w:rsidRPr="00EB1BF9">
        <w:rPr>
          <w:lang w:val="en-AU" w:eastAsia="en-AU"/>
        </w:rPr>
        <w:t>73-86</w:t>
      </w:r>
      <w:r w:rsidR="001E3ECE">
        <w:rPr>
          <w:lang w:val="en-AU" w:eastAsia="en-AU"/>
        </w:rPr>
        <w:t>.</w:t>
      </w:r>
    </w:p>
    <w:p w14:paraId="1AA23BEC" w14:textId="77777777" w:rsidR="00EB1BF9" w:rsidRPr="00EB1BF9" w:rsidRDefault="00EB1BF9" w:rsidP="00EB1BF9">
      <w:pPr>
        <w:rPr>
          <w:lang w:val="en-GB" w:eastAsia="en-AU"/>
        </w:rPr>
      </w:pPr>
      <w:r w:rsidRPr="00EB1BF9">
        <w:rPr>
          <w:lang w:val="en-GB" w:eastAsia="en-AU"/>
        </w:rPr>
        <w:t>Hall, A. L. 2001. The effect of stocking density on the welfare and behaviour of broiler chickens reared commerc</w:t>
      </w:r>
      <w:r w:rsidR="00E86258">
        <w:rPr>
          <w:lang w:val="en-GB" w:eastAsia="en-AU"/>
        </w:rPr>
        <w:t>ially. Animal Welfare 10:23-40.</w:t>
      </w:r>
    </w:p>
    <w:p w14:paraId="5CE17AF7" w14:textId="77777777" w:rsidR="00EB1BF9" w:rsidRPr="00EB1BF9" w:rsidRDefault="00EB1BF9" w:rsidP="00EB1BF9">
      <w:pPr>
        <w:rPr>
          <w:lang w:val="en-GB" w:eastAsia="en-AU"/>
        </w:rPr>
      </w:pPr>
      <w:r w:rsidRPr="00EB1BF9">
        <w:rPr>
          <w:lang w:val="en-GB" w:eastAsia="en-AU"/>
        </w:rPr>
        <w:t>Hashimoto, S., K. Yamazaki, T. Obi, and K. Takase. 2011. Footpad Dermatitis in Broiler Chickens in Japan. Journal of Veterin</w:t>
      </w:r>
      <w:r w:rsidR="00E86258">
        <w:rPr>
          <w:lang w:val="en-GB" w:eastAsia="en-AU"/>
        </w:rPr>
        <w:t>ary Medical Science 73:293-297.</w:t>
      </w:r>
    </w:p>
    <w:p w14:paraId="51373257" w14:textId="77777777" w:rsidR="00EB1BF9" w:rsidRPr="00EB1BF9" w:rsidRDefault="00EB1BF9" w:rsidP="00EB1BF9">
      <w:pPr>
        <w:rPr>
          <w:lang w:val="en-GB" w:eastAsia="en-AU"/>
        </w:rPr>
      </w:pPr>
      <w:r w:rsidRPr="00EB1BF9">
        <w:rPr>
          <w:lang w:val="en-GB" w:eastAsia="en-AU"/>
        </w:rPr>
        <w:t>Hashimoto, S., K. Yamazaki, T. Obi, and K. Takase. 2013. Relationship between Severity of Footpad Dermatitis and Carcass Performance in Broiler Chickens. Journal of Veterinary Medical Science 75:1547-1549. doi 10.1292/jvms.13-0031</w:t>
      </w:r>
    </w:p>
    <w:p w14:paraId="4D9320ED" w14:textId="77777777" w:rsidR="00EB1BF9" w:rsidRPr="00EB1BF9" w:rsidRDefault="00EB1BF9" w:rsidP="00EB1BF9">
      <w:pPr>
        <w:rPr>
          <w:lang w:val="en-GB" w:eastAsia="en-AU"/>
        </w:rPr>
      </w:pPr>
      <w:r w:rsidRPr="00EB1BF9">
        <w:rPr>
          <w:lang w:val="en-GB" w:eastAsia="en-AU"/>
        </w:rPr>
        <w:t>Haslam, S. M., S. N. Brown, L. J. Wilkins, S. C. Kestin, P. D. Warriss, and C. J. Nicol. 2006. Preliminary study to examine the utility of using foot burn or hock burn to assess aspects of housing conditions for broiler chicken. British Poultry Science 47:13-18. doi 10.1080/00071660500475046</w:t>
      </w:r>
    </w:p>
    <w:p w14:paraId="2062FE77" w14:textId="77777777" w:rsidR="00EB1BF9" w:rsidRPr="00EB1BF9" w:rsidRDefault="00EB1BF9" w:rsidP="00EB1BF9">
      <w:pPr>
        <w:rPr>
          <w:lang w:val="en-GB" w:eastAsia="en-AU"/>
        </w:rPr>
      </w:pPr>
      <w:r w:rsidRPr="00EB1BF9">
        <w:rPr>
          <w:lang w:val="en-GB" w:eastAsia="en-AU"/>
        </w:rPr>
        <w:t>Haslam, S. M., T. G. Knowles, S. N. Brown, L. J. Wilkins, S. C. Kestin, P. D. Warriss, and C. J. Nicol. 2007. Factors affecting the prevalence of foot pad dermatitis, hock burn and breast burn in broiler chicken. British Poultry Science 48:264-275. doi 10.1080/00071660701371341</w:t>
      </w:r>
    </w:p>
    <w:p w14:paraId="10C8D0F5" w14:textId="77777777" w:rsidR="00EB1BF9" w:rsidRPr="00EB1BF9" w:rsidRDefault="00EB1BF9" w:rsidP="00EB1BF9">
      <w:pPr>
        <w:rPr>
          <w:lang w:val="en-GB" w:eastAsia="en-AU"/>
        </w:rPr>
      </w:pPr>
      <w:r w:rsidRPr="00EB1BF9">
        <w:rPr>
          <w:lang w:val="en-GB" w:eastAsia="en-AU"/>
        </w:rPr>
        <w:t>Hassanzadeh, M., M. H. B. Fard, J. Buyse, and E. Decuypere. 2003. Beneficial effects of alternative lighting schedules on the incidence of ascites and on metabolic parameters of broiler chickens. Acta Veterinaria Hungarica 51:513-520. doi 10.1556/AVet.51.2003.4.9</w:t>
      </w:r>
    </w:p>
    <w:p w14:paraId="0305038D" w14:textId="77777777" w:rsidR="00EB1BF9" w:rsidRPr="00EB1BF9" w:rsidRDefault="00EB1BF9" w:rsidP="00EB1BF9">
      <w:pPr>
        <w:rPr>
          <w:lang w:val="en-GB" w:eastAsia="en-AU"/>
        </w:rPr>
      </w:pPr>
      <w:r w:rsidRPr="00EB1BF9">
        <w:rPr>
          <w:lang w:val="en-GB" w:eastAsia="en-AU"/>
        </w:rPr>
        <w:t>Havenstein, G. B., P. R. Ferket, and M. A. Qureshi. 2003. Growth, livability, and feed conversion of 1957 versus 2001 broilers when fed representative 1957 and 2001 broiler diets</w:t>
      </w:r>
      <w:r w:rsidR="00E86258">
        <w:rPr>
          <w:lang w:val="en-GB" w:eastAsia="en-AU"/>
        </w:rPr>
        <w:t>. Poultry Science 82:1500-1508.</w:t>
      </w:r>
    </w:p>
    <w:p w14:paraId="7265E2B4" w14:textId="77777777" w:rsidR="00EB1BF9" w:rsidRPr="00EB1BF9" w:rsidRDefault="00EB1BF9" w:rsidP="00EB1BF9">
      <w:pPr>
        <w:rPr>
          <w:lang w:val="en-GB" w:eastAsia="en-AU"/>
        </w:rPr>
      </w:pPr>
      <w:r w:rsidRPr="00EB1BF9">
        <w:rPr>
          <w:lang w:val="en-GB" w:eastAsia="en-AU"/>
        </w:rPr>
        <w:t>Heckert, R. A., I. Estevez, E. Russek-Cohen, and R. Pettit-Riley. 2002. Effects of density and perch availability on the immune status of broile</w:t>
      </w:r>
      <w:r w:rsidR="00E86258">
        <w:rPr>
          <w:lang w:val="en-GB" w:eastAsia="en-AU"/>
        </w:rPr>
        <w:t>rs. Poultry Science 81:451-457.</w:t>
      </w:r>
    </w:p>
    <w:p w14:paraId="49B71338" w14:textId="77777777" w:rsidR="00EB1BF9" w:rsidRPr="00EB1BF9" w:rsidRDefault="00EB1BF9" w:rsidP="00EB1BF9">
      <w:pPr>
        <w:rPr>
          <w:lang w:val="en-GB" w:eastAsia="en-AU"/>
        </w:rPr>
      </w:pPr>
      <w:r w:rsidRPr="00EB1BF9">
        <w:rPr>
          <w:lang w:val="en-GB" w:eastAsia="en-AU"/>
        </w:rPr>
        <w:t>Heier, B. T., H. R. Hogasen, and J. Jarp. 2002. Factors associated with mortality in Norwegian broiler flocks. Preventive Veterinary Medicine 53:147-</w:t>
      </w:r>
      <w:r w:rsidR="00490099">
        <w:rPr>
          <w:lang w:val="en-GB" w:eastAsia="en-AU"/>
        </w:rPr>
        <w:t>1</w:t>
      </w:r>
      <w:r w:rsidR="00924082">
        <w:rPr>
          <w:lang w:val="en-GB" w:eastAsia="en-AU"/>
        </w:rPr>
        <w:t>5</w:t>
      </w:r>
      <w:r w:rsidR="00490099">
        <w:rPr>
          <w:lang w:val="en-GB" w:eastAsia="en-AU"/>
        </w:rPr>
        <w:t>8</w:t>
      </w:r>
      <w:r w:rsidRPr="00EB1BF9">
        <w:rPr>
          <w:lang w:val="en-GB" w:eastAsia="en-AU"/>
        </w:rPr>
        <w:t>. doi 10.1016/s0167-5877(01)00266-5</w:t>
      </w:r>
    </w:p>
    <w:p w14:paraId="0F69379E" w14:textId="77777777" w:rsidR="00EB1BF9" w:rsidRPr="00EB1BF9" w:rsidRDefault="00EB1BF9" w:rsidP="00EB1BF9">
      <w:pPr>
        <w:rPr>
          <w:lang w:val="en-GB" w:eastAsia="en-AU"/>
        </w:rPr>
      </w:pPr>
      <w:r w:rsidRPr="00EB1BF9">
        <w:rPr>
          <w:lang w:val="en-GB" w:eastAsia="en-AU"/>
        </w:rPr>
        <w:t>Henriksen, S., T. Bilde, and A. B. Riber. 2016. Effects of post-hatch brooding temperature on broiler behavior, welfare, and growth. Poultry Science 95:2235-2243. doi 10.3382/ps/pew224</w:t>
      </w:r>
    </w:p>
    <w:p w14:paraId="52876DEE" w14:textId="77777777" w:rsidR="00EB1BF9" w:rsidRPr="00EB1BF9" w:rsidRDefault="00EB1BF9" w:rsidP="00EB1BF9">
      <w:pPr>
        <w:rPr>
          <w:lang w:val="en-GB" w:eastAsia="en-AU"/>
        </w:rPr>
      </w:pPr>
      <w:r w:rsidRPr="00EB1BF9">
        <w:rPr>
          <w:lang w:val="en-GB" w:eastAsia="en-AU"/>
        </w:rPr>
        <w:t>Hepworth, P. J., A. V. Nefedov, I. B. Muchnik, and K. L. Morgan. 2010. Early warning indicators for hock burn in broiler flocks. Avian Pathology 39:405-409. doi 10.1080/03079457.2010.510500</w:t>
      </w:r>
    </w:p>
    <w:p w14:paraId="309132E1" w14:textId="77777777" w:rsidR="00EB1BF9" w:rsidRPr="00EB1BF9" w:rsidRDefault="00EB1BF9" w:rsidP="00EB1BF9">
      <w:pPr>
        <w:rPr>
          <w:lang w:val="en-GB" w:eastAsia="en-AU"/>
        </w:rPr>
      </w:pPr>
      <w:r w:rsidRPr="00EB1BF9">
        <w:rPr>
          <w:lang w:val="en-GB" w:eastAsia="en-AU"/>
        </w:rPr>
        <w:t>Hepworth, P. J., A. V. Nefedov, I. B. Muchnik, and K. L. Morgan. 2011. Hock burn: an indicator of broiler flock health. Veterinary Record 168. doi 10.1136/vr.c6897</w:t>
      </w:r>
    </w:p>
    <w:p w14:paraId="4D59BF66" w14:textId="77777777" w:rsidR="00EB1BF9" w:rsidRPr="00EB1BF9" w:rsidRDefault="00EB1BF9" w:rsidP="00EB1BF9">
      <w:pPr>
        <w:rPr>
          <w:lang w:val="en-GB" w:eastAsia="en-AU"/>
        </w:rPr>
      </w:pPr>
      <w:r w:rsidRPr="00EB1BF9">
        <w:rPr>
          <w:lang w:val="en-GB" w:eastAsia="en-AU"/>
        </w:rPr>
        <w:t>Hermans, P. G., D. Fradkin, I. B. Muchnik, and K. L. Morgan. 2006. Prevalence of wet litter and the associated risk factors in broiler flocks in the United Kingdom.</w:t>
      </w:r>
      <w:r w:rsidR="00490099">
        <w:rPr>
          <w:lang w:val="en-GB" w:eastAsia="en-AU"/>
        </w:rPr>
        <w:t xml:space="preserve"> Veterinary Record 158:615-622.</w:t>
      </w:r>
    </w:p>
    <w:p w14:paraId="071087D8" w14:textId="77777777" w:rsidR="00EB1BF9" w:rsidRPr="00EB1BF9" w:rsidRDefault="00EB1BF9" w:rsidP="00EB1BF9">
      <w:pPr>
        <w:rPr>
          <w:lang w:val="en-GB" w:eastAsia="en-AU"/>
        </w:rPr>
      </w:pPr>
      <w:r w:rsidRPr="00EB1BF9">
        <w:rPr>
          <w:lang w:val="en-GB" w:eastAsia="en-AU"/>
        </w:rPr>
        <w:t>Hocking, P. M., and E. K. M. Jones. 2006. On-farm assessment of environmental enrichment for broiler breeders. British Poultry Science 47:418-425. doi 10.1080/00071660600825074</w:t>
      </w:r>
    </w:p>
    <w:p w14:paraId="20383081" w14:textId="77777777" w:rsidR="00EB1BF9" w:rsidRPr="00EB1BF9" w:rsidRDefault="00EB1BF9" w:rsidP="00EB1BF9">
      <w:pPr>
        <w:rPr>
          <w:lang w:val="en-GB" w:eastAsia="en-AU"/>
        </w:rPr>
      </w:pPr>
      <w:r w:rsidRPr="00EB1BF9">
        <w:rPr>
          <w:lang w:val="en-GB" w:eastAsia="en-AU"/>
        </w:rPr>
        <w:t xml:space="preserve">Homidan, A. A., J. F. Robertson, and A. M. Petchey. 2003. Review of the effect of ammonia and dust concentrations on broiler performance. </w:t>
      </w:r>
      <w:r w:rsidR="00E12232">
        <w:rPr>
          <w:lang w:val="en-GB" w:eastAsia="en-AU"/>
        </w:rPr>
        <w:t>World’s</w:t>
      </w:r>
      <w:r w:rsidRPr="00EB1BF9">
        <w:rPr>
          <w:lang w:val="en-GB" w:eastAsia="en-AU"/>
        </w:rPr>
        <w:t xml:space="preserve"> Poultry Science Journal 59:340-349. doi 10.1079/wps20030021</w:t>
      </w:r>
    </w:p>
    <w:p w14:paraId="26A97FD5" w14:textId="77777777" w:rsidR="00D2298E" w:rsidRDefault="00D2298E" w:rsidP="00EB1BF9">
      <w:pPr>
        <w:rPr>
          <w:lang w:val="en-GB" w:eastAsia="en-AU"/>
        </w:rPr>
      </w:pPr>
      <w:r w:rsidRPr="00D2298E">
        <w:rPr>
          <w:lang w:val="en-GB" w:eastAsia="en-AU"/>
        </w:rPr>
        <w:t>Hongchao J., Y. Jiang, Z. Song, J. Zhao, X. Wang, and H. Lin. 2013. Effect of perch type and stocking density on the behaviour and growth of broilers. Animal Production Science 54: 930-941. doi 10.1071/AN13184</w:t>
      </w:r>
    </w:p>
    <w:p w14:paraId="4F99E658" w14:textId="77777777" w:rsidR="00EB1BF9" w:rsidRPr="00EB1BF9" w:rsidRDefault="00EB1BF9" w:rsidP="00EB1BF9">
      <w:pPr>
        <w:rPr>
          <w:lang w:val="en-GB" w:eastAsia="en-AU"/>
        </w:rPr>
      </w:pPr>
      <w:r w:rsidRPr="00EB1BF9">
        <w:rPr>
          <w:lang w:val="en-GB" w:eastAsia="en-AU"/>
        </w:rPr>
        <w:t xml:space="preserve">Hothersall, B., G. Caplen, R. M. A. Parker, C. J. Nicol, A. E. Waterman-Pearson, C. A. Weeks, and J. C. Murrell. 2014. Thermal Nociceptive Threshold Testing Detects Altered Sensory Processing in Broiler Chickens with Spontaneous Lameness. </w:t>
      </w:r>
      <w:r w:rsidR="00601DC5">
        <w:rPr>
          <w:lang w:val="en-GB" w:eastAsia="en-AU"/>
        </w:rPr>
        <w:t>PLoS</w:t>
      </w:r>
      <w:r w:rsidR="00997550">
        <w:rPr>
          <w:lang w:val="en-GB" w:eastAsia="en-AU"/>
        </w:rPr>
        <w:t xml:space="preserve"> ONE</w:t>
      </w:r>
      <w:r w:rsidRPr="00EB1BF9">
        <w:rPr>
          <w:lang w:val="en-GB" w:eastAsia="en-AU"/>
        </w:rPr>
        <w:t xml:space="preserve"> 9. doi 10.1371/journal.pone.0097883</w:t>
      </w:r>
    </w:p>
    <w:p w14:paraId="5E26A13F" w14:textId="77777777" w:rsidR="00EB1BF9" w:rsidRPr="00EB1BF9" w:rsidRDefault="00EB1BF9" w:rsidP="00EB1BF9">
      <w:pPr>
        <w:rPr>
          <w:lang w:val="en-GB" w:eastAsia="en-AU"/>
        </w:rPr>
      </w:pPr>
      <w:r w:rsidRPr="00EB1BF9">
        <w:rPr>
          <w:lang w:val="en-GB" w:eastAsia="en-AU"/>
        </w:rPr>
        <w:t>Hothersall, B., G. Caplen, R. M. A. Parker, C. J. Nicol, A. E. Waterman-Pearson, C. A. Weeks, and J. C. Murrell. 2016. Effects of carprofen, meloxicam and butorphanol on broiler chickens' performance in mobility tests. Animal Welfare 25:55-67. doi 10.7120/09627286.25.1.055</w:t>
      </w:r>
    </w:p>
    <w:p w14:paraId="0B04E194" w14:textId="77777777" w:rsidR="00EB1BF9" w:rsidRPr="00EB1BF9" w:rsidRDefault="00EB1BF9" w:rsidP="00EB1BF9">
      <w:pPr>
        <w:rPr>
          <w:lang w:val="en-GB" w:eastAsia="en-AU"/>
        </w:rPr>
      </w:pPr>
      <w:r w:rsidRPr="00EB1BF9">
        <w:rPr>
          <w:lang w:val="en-GB" w:eastAsia="en-AU"/>
        </w:rPr>
        <w:t>Houldcroft, E., C. Smith, R. Mrowicki, L. Headland, S. Grieveson, T. A. Jones, and M. S. Dawkins. 2008. Welfare implications of nipple drinkers for broiler ch</w:t>
      </w:r>
      <w:r w:rsidR="00490099">
        <w:rPr>
          <w:lang w:val="en-GB" w:eastAsia="en-AU"/>
        </w:rPr>
        <w:t>ickens. Animal Welfare 17:1-10.</w:t>
      </w:r>
    </w:p>
    <w:p w14:paraId="554EAFA0" w14:textId="77777777" w:rsidR="00EB1BF9" w:rsidRPr="00EB1BF9" w:rsidRDefault="00EB1BF9" w:rsidP="00EB1BF9">
      <w:pPr>
        <w:rPr>
          <w:lang w:val="en-GB" w:eastAsia="en-AU"/>
        </w:rPr>
      </w:pPr>
      <w:r w:rsidRPr="00EB1BF9">
        <w:rPr>
          <w:lang w:val="en-GB" w:eastAsia="en-AU"/>
        </w:rPr>
        <w:t>Houshmand, M., K. Azhar, I. Zulkifli, M. H. Bejo, and A. Kamyab. 2012. Effects of prebiotic, protein level, and stocking density on performance, immunity, and stress indicators of broilers. Poultry Science 91:393-401. doi 10.3382/ps.2010-01050</w:t>
      </w:r>
    </w:p>
    <w:p w14:paraId="46B46431" w14:textId="77777777" w:rsidR="00EB1BF9" w:rsidRPr="00EB1BF9" w:rsidRDefault="00EB1BF9" w:rsidP="00EB1BF9">
      <w:pPr>
        <w:rPr>
          <w:lang w:val="en-GB" w:eastAsia="en-AU"/>
        </w:rPr>
      </w:pPr>
      <w:r w:rsidRPr="00EB1BF9">
        <w:rPr>
          <w:lang w:val="en-GB" w:eastAsia="en-AU"/>
        </w:rPr>
        <w:t>Howie, J. A., B. J. Tolkamp, S. Avendano, and I. Kyriazakis. 2009. The structure of feeding behavior in commercial broiler lines selected for different growth rates. Poultry Science 88:1143-1150. doi 10.3382/ps.2008-00441</w:t>
      </w:r>
    </w:p>
    <w:p w14:paraId="11748831" w14:textId="77777777" w:rsidR="00EB1BF9" w:rsidRPr="00EB1BF9" w:rsidRDefault="00EB1BF9" w:rsidP="00EB1BF9">
      <w:pPr>
        <w:rPr>
          <w:lang w:val="en-GB" w:eastAsia="en-AU"/>
        </w:rPr>
      </w:pPr>
      <w:r w:rsidRPr="00EB1BF9">
        <w:rPr>
          <w:lang w:val="en-GB" w:eastAsia="en-AU"/>
        </w:rPr>
        <w:t xml:space="preserve">Humphrey, S., G. Chaloner, K. Kemmett, N. Davidson, N. Williams, A. Kipar, T. Humphrey, and P. Wigley. 2014. </w:t>
      </w:r>
      <w:r w:rsidRPr="00490099">
        <w:rPr>
          <w:i/>
          <w:lang w:val="en-GB" w:eastAsia="en-AU"/>
        </w:rPr>
        <w:t>Campylobacter jejuni</w:t>
      </w:r>
      <w:r w:rsidRPr="00EB1BF9">
        <w:rPr>
          <w:lang w:val="en-GB" w:eastAsia="en-AU"/>
        </w:rPr>
        <w:t xml:space="preserve"> Is Not Merely a Commensal in Commercial Broiler Chick</w:t>
      </w:r>
      <w:r w:rsidR="00490099">
        <w:rPr>
          <w:lang w:val="en-GB" w:eastAsia="en-AU"/>
        </w:rPr>
        <w:t>ens and Affects Bird Welfare. MB</w:t>
      </w:r>
      <w:r w:rsidRPr="00EB1BF9">
        <w:rPr>
          <w:lang w:val="en-GB" w:eastAsia="en-AU"/>
        </w:rPr>
        <w:t>io 5. doi 10.1128/mBio.01364-14</w:t>
      </w:r>
    </w:p>
    <w:p w14:paraId="3E9971DA" w14:textId="77777777" w:rsidR="00EB1BF9" w:rsidRPr="00EB1BF9" w:rsidRDefault="00EB1BF9" w:rsidP="00EB1BF9">
      <w:pPr>
        <w:rPr>
          <w:lang w:val="en-GB" w:eastAsia="en-AU"/>
        </w:rPr>
      </w:pPr>
      <w:r w:rsidRPr="00EB1BF9">
        <w:rPr>
          <w:lang w:val="en-GB" w:eastAsia="en-AU"/>
        </w:rPr>
        <w:t>Huth, J. C., and G. S. Archer. 2015a. Comparison of Two LED Light Bulbs to a Dimmable CFL and their Effects on Broiler Chicken Growth, Stress, and Fear. Poultry Science 94:2027-2036. doi 10.3382/ps/pev215</w:t>
      </w:r>
    </w:p>
    <w:p w14:paraId="1FB19EED" w14:textId="77777777" w:rsidR="00EB1BF9" w:rsidRPr="00EB1BF9" w:rsidRDefault="00EB1BF9" w:rsidP="00EB1BF9">
      <w:pPr>
        <w:rPr>
          <w:lang w:val="en-GB" w:eastAsia="en-AU"/>
        </w:rPr>
      </w:pPr>
      <w:r w:rsidRPr="00EB1BF9">
        <w:rPr>
          <w:lang w:val="en-GB" w:eastAsia="en-AU"/>
        </w:rPr>
        <w:t>Huth, J. C., and G. S. Archer. 2015b. Effects of LED lighting during incubation on layer and broiler hatchability, chick quality, stress susceptibility and post-hatch growth. Poultry Science 94:3052-3058. doi 10.3382/ps/pev298</w:t>
      </w:r>
    </w:p>
    <w:p w14:paraId="7C2A9EB2" w14:textId="77777777" w:rsidR="00EB1BF9" w:rsidRPr="00EB1BF9" w:rsidRDefault="00EB1BF9" w:rsidP="00EB1BF9">
      <w:pPr>
        <w:rPr>
          <w:lang w:val="en-GB" w:eastAsia="en-AU"/>
        </w:rPr>
      </w:pPr>
      <w:r w:rsidRPr="00EB1BF9">
        <w:rPr>
          <w:lang w:val="en-GB" w:eastAsia="en-AU"/>
        </w:rPr>
        <w:t>Imaeda, N. 2000. Influence of the stocking density and rearing season on incidence of sudden death syndrome in broiler chicke</w:t>
      </w:r>
      <w:r w:rsidR="00490099">
        <w:rPr>
          <w:lang w:val="en-GB" w:eastAsia="en-AU"/>
        </w:rPr>
        <w:t>ns. Poultry Science 79:201-204.</w:t>
      </w:r>
    </w:p>
    <w:p w14:paraId="0A170023" w14:textId="77777777" w:rsidR="00EB1BF9" w:rsidRPr="00EB1BF9" w:rsidRDefault="00EB1BF9" w:rsidP="00EB1BF9">
      <w:pPr>
        <w:rPr>
          <w:lang w:val="en-GB" w:eastAsia="en-AU"/>
        </w:rPr>
      </w:pPr>
      <w:r w:rsidRPr="00EB1BF9">
        <w:rPr>
          <w:lang w:val="en-GB" w:eastAsia="en-AU"/>
        </w:rPr>
        <w:t>Ipek, A., and U. Sahan. 2006. Effects of cold stress on broiler performance and ascites susceptibility. Asian-Australasian Journal of Animal Sciences 19:734-738.</w:t>
      </w:r>
    </w:p>
    <w:p w14:paraId="2F6D00BA" w14:textId="77777777" w:rsidR="00EB1BF9" w:rsidRPr="00EB1BF9" w:rsidRDefault="00EB1BF9" w:rsidP="00EB1BF9">
      <w:pPr>
        <w:rPr>
          <w:lang w:val="en-GB" w:eastAsia="en-AU"/>
        </w:rPr>
      </w:pPr>
      <w:r w:rsidRPr="00EB1BF9">
        <w:rPr>
          <w:lang w:val="en-GB" w:eastAsia="en-AU"/>
        </w:rPr>
        <w:t>Ipek, A., and A. Sozcu. 2015. The effects of broiler breeder age on intestinal development during hatch window, chick quality and first week broiler performance. Journal of Applied Animal Research 43:402-408. doi 10.1080/09712119.2014.978783</w:t>
      </w:r>
    </w:p>
    <w:p w14:paraId="03C1BA63" w14:textId="77777777" w:rsidR="00EB1BF9" w:rsidRPr="00EB1BF9" w:rsidRDefault="00EB1BF9" w:rsidP="00EB1BF9">
      <w:pPr>
        <w:rPr>
          <w:lang w:val="en-GB" w:eastAsia="en-AU"/>
        </w:rPr>
      </w:pPr>
      <w:r w:rsidRPr="00EB1BF9">
        <w:rPr>
          <w:lang w:val="en-GB" w:eastAsia="en-AU"/>
        </w:rPr>
        <w:t>Ipek, A., and A. Sozcu. 2016. The effects of eggshell temperature fluctuations during incubation on welfare status and gait score of broilers. Poultry Science 95:1296-1303. doi 10.3382/ps/pew056</w:t>
      </w:r>
    </w:p>
    <w:p w14:paraId="3A182123" w14:textId="77777777" w:rsidR="00EB1BF9" w:rsidRPr="00EB1BF9" w:rsidRDefault="00EB1BF9" w:rsidP="00EB1BF9">
      <w:pPr>
        <w:rPr>
          <w:lang w:val="en-GB" w:eastAsia="en-AU"/>
        </w:rPr>
      </w:pPr>
      <w:r w:rsidRPr="00EB1BF9">
        <w:rPr>
          <w:lang w:val="en-GB" w:eastAsia="en-AU"/>
        </w:rPr>
        <w:t>Ipek, A., and A. Sozcu. 2017. The effects of access to pasture on growth performance, behavioural patterns, some blood parameters and carcass yield of a slow-growing broiler genotype. Journal of Applied Animal Research 45:464-469. doi 10.1080/09712119.2016.1214136</w:t>
      </w:r>
    </w:p>
    <w:p w14:paraId="4ABC05E5" w14:textId="77777777" w:rsidR="00EB1BF9" w:rsidRPr="00EB1BF9" w:rsidRDefault="00EB1BF9" w:rsidP="00EB1BF9">
      <w:pPr>
        <w:rPr>
          <w:lang w:val="en-GB" w:eastAsia="en-AU"/>
        </w:rPr>
      </w:pPr>
      <w:r w:rsidRPr="00EB1BF9">
        <w:rPr>
          <w:lang w:val="en-GB" w:eastAsia="en-AU"/>
        </w:rPr>
        <w:t>Ipek, A., A. Karabulut, U. Sahan, O. Canbolat, and B. Yilmaz-Dikmen. 2009. Effect of Different Diets on the Behaviour of Slow-growing Broiler Genotype. Journal of Ap</w:t>
      </w:r>
      <w:r w:rsidR="00990611">
        <w:rPr>
          <w:lang w:val="en-GB" w:eastAsia="en-AU"/>
        </w:rPr>
        <w:t>plied Animal Research 35:87-90.</w:t>
      </w:r>
    </w:p>
    <w:p w14:paraId="2A3AF54A" w14:textId="77777777" w:rsidR="00EB1BF9" w:rsidRPr="00EB1BF9" w:rsidRDefault="00EB1BF9" w:rsidP="00EB1BF9">
      <w:pPr>
        <w:rPr>
          <w:lang w:val="en-GB" w:eastAsia="en-AU"/>
        </w:rPr>
      </w:pPr>
      <w:r w:rsidRPr="00EB1BF9">
        <w:rPr>
          <w:lang w:val="en-GB" w:eastAsia="en-AU"/>
        </w:rPr>
        <w:t>Iqbal, J., S. H. Khan, N. Mukhtar, T. Ahmed, and R. A. Pasha. 2016. Effects of egg size (weight</w:t>
      </w:r>
      <w:r w:rsidR="00924082">
        <w:rPr>
          <w:lang w:val="en-GB" w:eastAsia="en-AU"/>
        </w:rPr>
        <w:t>)</w:t>
      </w:r>
      <w:r w:rsidRPr="00EB1BF9">
        <w:rPr>
          <w:lang w:val="en-GB" w:eastAsia="en-AU"/>
        </w:rPr>
        <w:t xml:space="preserve"> and age on hatching performance and chick quality of broiler breeder. Journal of Applied Animal Research 44:54-64. doi 10.1080/09712119.2014.987294</w:t>
      </w:r>
    </w:p>
    <w:p w14:paraId="32E0DC38" w14:textId="77777777" w:rsidR="00EB1BF9" w:rsidRPr="00EB1BF9" w:rsidRDefault="00EB1BF9" w:rsidP="00EB1BF9">
      <w:pPr>
        <w:rPr>
          <w:lang w:val="en-GB" w:eastAsia="en-AU"/>
        </w:rPr>
      </w:pPr>
      <w:r w:rsidRPr="00EB1BF9">
        <w:rPr>
          <w:lang w:val="en-GB" w:eastAsia="en-AU"/>
        </w:rPr>
        <w:t>Jacob, F. G., M. S. Baracho, I. A. Naas, N. S. D. Lima, D. D. Salgado, and R. Souza. 2016a. Risk of Incidence of Hock Burn and Pododermatitis in Broilers Reared under Commercial Conditions. Brazilian Journal of Poultry Science 18:357-361. doi 10.1590/1806-9061-2015-0183</w:t>
      </w:r>
    </w:p>
    <w:p w14:paraId="776D1CFE" w14:textId="77777777" w:rsidR="00EB1BF9" w:rsidRPr="00EB1BF9" w:rsidRDefault="00EB1BF9" w:rsidP="00EB1BF9">
      <w:pPr>
        <w:rPr>
          <w:lang w:val="en-GB" w:eastAsia="en-AU"/>
        </w:rPr>
      </w:pPr>
      <w:r w:rsidRPr="00EB1BF9">
        <w:rPr>
          <w:lang w:val="en-GB" w:eastAsia="en-AU"/>
        </w:rPr>
        <w:t>Jacob, F. G., M. S. Baracho, I. A. Naas, D. A. Salgado, and R. Souza. 2016b. Incidence of Pododermatitis in Broiler Reared under Two Types of Environment. Brazilian Journal of Poultry Science 18:247-253. doi 10.1590/1806-9061-2015-0047</w:t>
      </w:r>
    </w:p>
    <w:p w14:paraId="2FFE3582" w14:textId="77777777" w:rsidR="00EB1BF9" w:rsidRPr="00EB1BF9" w:rsidRDefault="00EB1BF9" w:rsidP="00EB1BF9">
      <w:pPr>
        <w:rPr>
          <w:lang w:val="en-GB" w:eastAsia="en-AU"/>
        </w:rPr>
      </w:pPr>
      <w:r w:rsidRPr="00EB1BF9">
        <w:rPr>
          <w:lang w:val="en-GB" w:eastAsia="en-AU"/>
        </w:rPr>
        <w:t>Jiao, H. C., Y. B. Jiang, Z. G. Song, J. P. Zhao, X. J. Wang, and H. Lin. 2014. Effect of perch type and stocking density on the behaviour and growth of broilers. Animal Production Science 54:930-941. doi 10.1071/an13184</w:t>
      </w:r>
    </w:p>
    <w:p w14:paraId="4657922B" w14:textId="77777777" w:rsidR="00EB1BF9" w:rsidRPr="00EB1BF9" w:rsidRDefault="00EB1BF9" w:rsidP="00EB1BF9">
      <w:pPr>
        <w:rPr>
          <w:lang w:val="en-GB" w:eastAsia="en-AU"/>
        </w:rPr>
      </w:pPr>
      <w:r w:rsidRPr="00EB1BF9">
        <w:rPr>
          <w:lang w:val="en-GB" w:eastAsia="en-AU"/>
        </w:rPr>
        <w:t>Jones, T. A., C. A. Donnelly, and M. S. Dawkins. 2005a. Environmental and management factors affecting the welfare of chickens on commercial farms in the United Kingdom and Denmark stocked at five densities</w:t>
      </w:r>
      <w:r w:rsidR="00990611">
        <w:rPr>
          <w:lang w:val="en-GB" w:eastAsia="en-AU"/>
        </w:rPr>
        <w:t>. Poultry Science 84:1155-1165.</w:t>
      </w:r>
    </w:p>
    <w:p w14:paraId="288F6293" w14:textId="77777777" w:rsidR="00EB1BF9" w:rsidRPr="00EB1BF9" w:rsidRDefault="00EB1BF9" w:rsidP="00EB1BF9">
      <w:pPr>
        <w:rPr>
          <w:lang w:val="en-GB" w:eastAsia="en-AU"/>
        </w:rPr>
      </w:pPr>
      <w:r w:rsidRPr="00EB1BF9">
        <w:rPr>
          <w:lang w:val="en-GB" w:eastAsia="en-AU"/>
        </w:rPr>
        <w:t>Jones, E. K. M., C. A. Wathes, and A. J. F. Webster. 2005b. Avoidance of atmospheric ammonia by domestic fowl and the effect of early experience. Applied Animal Behaviour Science 90:293-308. doi 10.1016/j.applanim.2004.08.009</w:t>
      </w:r>
    </w:p>
    <w:p w14:paraId="1FC56AE9" w14:textId="77777777" w:rsidR="00EB1BF9" w:rsidRPr="00EB1BF9" w:rsidRDefault="00EB1BF9" w:rsidP="00EB1BF9">
      <w:pPr>
        <w:rPr>
          <w:lang w:val="en-GB" w:eastAsia="en-AU"/>
        </w:rPr>
      </w:pPr>
      <w:r w:rsidRPr="00EB1BF9">
        <w:rPr>
          <w:lang w:val="en-GB" w:eastAsia="en-AU"/>
        </w:rPr>
        <w:t>Jones, T., R. Feber, G. Hemery, P. Cook, K. James, C. Lamberth, and M. Dawkins. 2007. Welfare and environmental benefits of integrating commercially viable free-range broiler chickens into newly planted woodland: A UK case study. Agricultural Systems 94:177-188. doi 10.1016/j.agsy.2006.08.007</w:t>
      </w:r>
    </w:p>
    <w:p w14:paraId="73A32763" w14:textId="77777777" w:rsidR="00EB1BF9" w:rsidRPr="00EB1BF9" w:rsidRDefault="00EB1BF9" w:rsidP="00EB1BF9">
      <w:pPr>
        <w:rPr>
          <w:lang w:val="en-GB" w:eastAsia="en-AU"/>
        </w:rPr>
      </w:pPr>
      <w:r w:rsidRPr="00EB1BF9">
        <w:rPr>
          <w:lang w:val="en-GB" w:eastAsia="en-AU"/>
        </w:rPr>
        <w:t xml:space="preserve">Jordan, D., I. Stuhec, and W. Bessei. 2011. Effect of whole wheat and feed pellets distribution in the litter on broilers' activity and performance. Archiv Fur Geflugelkunde 75:98-103. </w:t>
      </w:r>
    </w:p>
    <w:p w14:paraId="552AEA63" w14:textId="77777777" w:rsidR="00EB1BF9" w:rsidRPr="00EB1BF9" w:rsidRDefault="00EB1BF9" w:rsidP="00EB1BF9">
      <w:pPr>
        <w:rPr>
          <w:lang w:val="en-GB" w:eastAsia="en-AU"/>
        </w:rPr>
      </w:pPr>
      <w:r w:rsidRPr="00EB1BF9">
        <w:rPr>
          <w:lang w:val="en-GB" w:eastAsia="en-AU"/>
        </w:rPr>
        <w:t>Kapell, D., W. G. Hill, A. M. Neeteson, J. McAdam, A. N. M. Koerhuis, and S. Avendano. 2012. Genetic parameters of foot-pad dermatitis and body weight in purebred broiler lines in 2 contrasting environments. Poultry Science 91:565-574. doi 10.3382/ps.2011-01934</w:t>
      </w:r>
    </w:p>
    <w:p w14:paraId="6A6EC7AE" w14:textId="77777777" w:rsidR="00EB1BF9" w:rsidRPr="00EB1BF9" w:rsidRDefault="00EB1BF9" w:rsidP="00EB1BF9">
      <w:pPr>
        <w:rPr>
          <w:lang w:val="en-GB" w:eastAsia="en-AU"/>
        </w:rPr>
      </w:pPr>
      <w:r w:rsidRPr="00EB1BF9">
        <w:rPr>
          <w:lang w:val="en-GB" w:eastAsia="en-AU"/>
        </w:rPr>
        <w:t>Karabayir, A., and M. Mendes. 2008. Effect of different feed restriction programs in broilers on parameters of blood biochemistry. Asian Jou</w:t>
      </w:r>
      <w:r w:rsidR="00990611">
        <w:rPr>
          <w:lang w:val="en-GB" w:eastAsia="en-AU"/>
        </w:rPr>
        <w:t>rnal of Chemistry 20:5736-5740.</w:t>
      </w:r>
    </w:p>
    <w:p w14:paraId="36EF57BF" w14:textId="77777777" w:rsidR="00EB1BF9" w:rsidRPr="00EB1BF9" w:rsidRDefault="00EB1BF9" w:rsidP="00EB1BF9">
      <w:pPr>
        <w:rPr>
          <w:lang w:val="en-GB" w:eastAsia="en-AU"/>
        </w:rPr>
      </w:pPr>
      <w:r w:rsidRPr="00EB1BF9">
        <w:rPr>
          <w:lang w:val="en-GB" w:eastAsia="en-AU"/>
        </w:rPr>
        <w:t>Kells, A., M. S. Dawkins, and M. C. Borja. 2001. The effect of a 'freedom food' enrichment on the behaviour of broilers on commercial fa</w:t>
      </w:r>
      <w:r w:rsidR="00990611">
        <w:rPr>
          <w:lang w:val="en-GB" w:eastAsia="en-AU"/>
        </w:rPr>
        <w:t>rms. Animal Welfare 10:347-356.</w:t>
      </w:r>
    </w:p>
    <w:p w14:paraId="170605B1" w14:textId="77777777" w:rsidR="00EB1BF9" w:rsidRPr="00EB1BF9" w:rsidRDefault="00EB1BF9" w:rsidP="00EB1BF9">
      <w:pPr>
        <w:rPr>
          <w:lang w:val="en-GB" w:eastAsia="en-AU"/>
        </w:rPr>
      </w:pPr>
      <w:r w:rsidRPr="00EB1BF9">
        <w:rPr>
          <w:lang w:val="en-GB" w:eastAsia="en-AU"/>
        </w:rPr>
        <w:t xml:space="preserve">Kemmett, K., N. J. Williams, G. Chaloner, S. Humphrey, P. Wigley, and T. Humphrey. 2014. The contribution of systemic </w:t>
      </w:r>
      <w:r w:rsidRPr="00924082">
        <w:rPr>
          <w:i/>
          <w:lang w:val="en-GB" w:eastAsia="en-AU"/>
        </w:rPr>
        <w:t>Escherichia coli</w:t>
      </w:r>
      <w:r w:rsidRPr="00EB1BF9">
        <w:rPr>
          <w:lang w:val="en-GB" w:eastAsia="en-AU"/>
        </w:rPr>
        <w:t xml:space="preserve"> infection to the early mortalities of commercial broiler chickens. Avian Pathology 43:37-42. doi 10.1080/03079457.2013.866213</w:t>
      </w:r>
    </w:p>
    <w:p w14:paraId="5D151FD4" w14:textId="77777777" w:rsidR="00EB1BF9" w:rsidRPr="00EB1BF9" w:rsidRDefault="00EB1BF9" w:rsidP="00EB1BF9">
      <w:pPr>
        <w:rPr>
          <w:lang w:val="en-GB" w:eastAsia="en-AU"/>
        </w:rPr>
      </w:pPr>
      <w:r w:rsidRPr="00EB1BF9">
        <w:rPr>
          <w:lang w:val="en-GB" w:eastAsia="en-AU"/>
        </w:rPr>
        <w:t xml:space="preserve">Kestin, S. C., T. G. Knowles, A. E. Tinch, and N. G. Gregory. 1992. Prevalence of leg weakness in broiler-chickens and its relationship with genotype. Veterinary Record 131:190-194. </w:t>
      </w:r>
    </w:p>
    <w:p w14:paraId="0E7301A1" w14:textId="77777777" w:rsidR="00EB1BF9" w:rsidRPr="00EB1BF9" w:rsidRDefault="00EB1BF9" w:rsidP="00EB1BF9">
      <w:pPr>
        <w:rPr>
          <w:lang w:val="en-GB" w:eastAsia="en-AU"/>
        </w:rPr>
      </w:pPr>
      <w:r w:rsidRPr="00EB1BF9">
        <w:rPr>
          <w:lang w:val="en-GB" w:eastAsia="en-AU"/>
        </w:rPr>
        <w:t>Kestin, S. C., S. Gordon, G. Su, and P. Sorensen. 2001. Relationships in broiler chickens between lameness, liveweight, growth rate and age. Veterinary Record 148:1</w:t>
      </w:r>
      <w:r w:rsidR="00990611">
        <w:rPr>
          <w:lang w:val="en-GB" w:eastAsia="en-AU"/>
        </w:rPr>
        <w:t>95-197.</w:t>
      </w:r>
    </w:p>
    <w:p w14:paraId="6D122965" w14:textId="77777777" w:rsidR="00EB1BF9" w:rsidRPr="00EB1BF9" w:rsidRDefault="00EB1BF9" w:rsidP="00EB1BF9">
      <w:pPr>
        <w:rPr>
          <w:lang w:val="en-GB" w:eastAsia="en-AU"/>
        </w:rPr>
      </w:pPr>
      <w:r w:rsidRPr="00EB1BF9">
        <w:rPr>
          <w:lang w:val="en-GB" w:eastAsia="en-AU"/>
        </w:rPr>
        <w:t>Khosravinia, H. 2015. Effect of dietary supplementation of medium-chain fatty acids on growth performance and prevalence of carcass defects in broiler chickens raised in different stocking densities. Journal of Applied Poultry Research 24:1-9. doi 10.3382/japr/pfu001</w:t>
      </w:r>
    </w:p>
    <w:p w14:paraId="6CCAF276" w14:textId="77777777" w:rsidR="00EB1BF9" w:rsidRPr="00EB1BF9" w:rsidRDefault="00EB1BF9" w:rsidP="00EB1BF9">
      <w:pPr>
        <w:rPr>
          <w:lang w:val="en-AU" w:eastAsia="en-AU"/>
        </w:rPr>
      </w:pPr>
      <w:r w:rsidRPr="00EB1BF9">
        <w:rPr>
          <w:lang w:val="en-AU" w:eastAsia="en-AU"/>
        </w:rPr>
        <w:t xml:space="preserve">Kittelsen, K. E., </w:t>
      </w:r>
      <w:r w:rsidR="00990611">
        <w:rPr>
          <w:lang w:val="en-AU" w:eastAsia="en-AU"/>
        </w:rPr>
        <w:t xml:space="preserve">E. G. </w:t>
      </w:r>
      <w:r w:rsidRPr="00EB1BF9">
        <w:rPr>
          <w:lang w:val="en-AU" w:eastAsia="en-AU"/>
        </w:rPr>
        <w:t xml:space="preserve">Granquist, </w:t>
      </w:r>
      <w:r w:rsidR="00990611" w:rsidRPr="00EB1BF9">
        <w:rPr>
          <w:lang w:val="en-AU" w:eastAsia="en-AU"/>
        </w:rPr>
        <w:t>Ø</w:t>
      </w:r>
      <w:r w:rsidR="00990611">
        <w:rPr>
          <w:lang w:val="en-AU" w:eastAsia="en-AU"/>
        </w:rPr>
        <w:t>.</w:t>
      </w:r>
      <w:r w:rsidR="00990611" w:rsidRPr="00EB1BF9">
        <w:rPr>
          <w:lang w:val="en-AU" w:eastAsia="en-AU"/>
        </w:rPr>
        <w:t xml:space="preserve"> </w:t>
      </w:r>
      <w:r w:rsidRPr="00EB1BF9">
        <w:rPr>
          <w:lang w:val="en-AU" w:eastAsia="en-AU"/>
        </w:rPr>
        <w:t>Kolbjørnsen,</w:t>
      </w:r>
      <w:r w:rsidR="00990611">
        <w:rPr>
          <w:lang w:val="en-AU" w:eastAsia="en-AU"/>
        </w:rPr>
        <w:t xml:space="preserve"> O.</w:t>
      </w:r>
      <w:r w:rsidRPr="00EB1BF9">
        <w:rPr>
          <w:lang w:val="en-AU" w:eastAsia="en-AU"/>
        </w:rPr>
        <w:t xml:space="preserve"> Nafstad, and </w:t>
      </w:r>
      <w:r w:rsidR="00990611">
        <w:rPr>
          <w:lang w:val="en-AU" w:eastAsia="en-AU"/>
        </w:rPr>
        <w:t>R. O.</w:t>
      </w:r>
      <w:r w:rsidRPr="00EB1BF9">
        <w:rPr>
          <w:lang w:val="en-AU" w:eastAsia="en-AU"/>
        </w:rPr>
        <w:t xml:space="preserve"> Moe. 2015a. A comparison of post-mortem findings in broilers dead-on-farm and broilers dead-on-arrival at the abattoir. </w:t>
      </w:r>
      <w:r w:rsidR="008E103C">
        <w:rPr>
          <w:iCs/>
          <w:lang w:val="en-AU" w:eastAsia="en-AU"/>
        </w:rPr>
        <w:t>Poultry S</w:t>
      </w:r>
      <w:r w:rsidRPr="00EB1BF9">
        <w:rPr>
          <w:iCs/>
          <w:lang w:val="en-AU" w:eastAsia="en-AU"/>
        </w:rPr>
        <w:t>cience</w:t>
      </w:r>
      <w:r w:rsidRPr="00EB1BF9">
        <w:rPr>
          <w:lang w:val="en-AU" w:eastAsia="en-AU"/>
        </w:rPr>
        <w:t xml:space="preserve"> </w:t>
      </w:r>
      <w:r w:rsidRPr="00EB1BF9">
        <w:rPr>
          <w:iCs/>
          <w:lang w:val="en-AU" w:eastAsia="en-AU"/>
        </w:rPr>
        <w:t>94</w:t>
      </w:r>
      <w:r w:rsidRPr="00EB1BF9">
        <w:rPr>
          <w:lang w:val="en-AU" w:eastAsia="en-AU"/>
        </w:rPr>
        <w:t>:2622-2629.</w:t>
      </w:r>
    </w:p>
    <w:p w14:paraId="40C492ED" w14:textId="77777777" w:rsidR="00EB1BF9" w:rsidRPr="00EB1BF9" w:rsidRDefault="00EB1BF9" w:rsidP="00EB1BF9">
      <w:pPr>
        <w:rPr>
          <w:lang w:val="en-AU" w:eastAsia="en-AU"/>
        </w:rPr>
      </w:pPr>
      <w:r w:rsidRPr="00EB1BF9">
        <w:rPr>
          <w:lang w:val="en-AU" w:eastAsia="en-AU"/>
        </w:rPr>
        <w:t xml:space="preserve">Kittelsen, K. E., </w:t>
      </w:r>
      <w:r w:rsidR="00990611">
        <w:rPr>
          <w:lang w:val="en-AU" w:eastAsia="en-AU"/>
        </w:rPr>
        <w:t xml:space="preserve">E. G. </w:t>
      </w:r>
      <w:r w:rsidRPr="00EB1BF9">
        <w:rPr>
          <w:lang w:val="en-AU" w:eastAsia="en-AU"/>
        </w:rPr>
        <w:t xml:space="preserve">Granquist, </w:t>
      </w:r>
      <w:r w:rsidR="00990611">
        <w:rPr>
          <w:lang w:val="en-AU" w:eastAsia="en-AU"/>
        </w:rPr>
        <w:t xml:space="preserve">G. </w:t>
      </w:r>
      <w:r w:rsidRPr="00EB1BF9">
        <w:rPr>
          <w:lang w:val="en-AU" w:eastAsia="en-AU"/>
        </w:rPr>
        <w:t xml:space="preserve">Vasdal, </w:t>
      </w:r>
      <w:r w:rsidR="00990611">
        <w:rPr>
          <w:lang w:val="en-AU" w:eastAsia="en-AU"/>
        </w:rPr>
        <w:t>E.</w:t>
      </w:r>
      <w:r w:rsidRPr="00EB1BF9">
        <w:rPr>
          <w:lang w:val="en-AU" w:eastAsia="en-AU"/>
        </w:rPr>
        <w:t xml:space="preserve"> Tolo, and </w:t>
      </w:r>
      <w:r w:rsidR="00990611">
        <w:rPr>
          <w:lang w:val="en-AU" w:eastAsia="en-AU"/>
        </w:rPr>
        <w:t xml:space="preserve">R. O. </w:t>
      </w:r>
      <w:r w:rsidRPr="00EB1BF9">
        <w:rPr>
          <w:lang w:val="en-AU" w:eastAsia="en-AU"/>
        </w:rPr>
        <w:t xml:space="preserve">Moe. 2015b. Effects of catching and transportation versus pre-slaughter handling at the abattoir on the prevalence of wing fractures in broilers. </w:t>
      </w:r>
      <w:r w:rsidRPr="00EB1BF9">
        <w:rPr>
          <w:iCs/>
          <w:lang w:val="en-AU" w:eastAsia="en-AU"/>
        </w:rPr>
        <w:t>Animal Welfare</w:t>
      </w:r>
      <w:r w:rsidRPr="00EB1BF9">
        <w:rPr>
          <w:lang w:val="en-AU" w:eastAsia="en-AU"/>
        </w:rPr>
        <w:t xml:space="preserve"> </w:t>
      </w:r>
      <w:r w:rsidRPr="00EB1BF9">
        <w:rPr>
          <w:iCs/>
          <w:lang w:val="en-AU" w:eastAsia="en-AU"/>
        </w:rPr>
        <w:t>24</w:t>
      </w:r>
      <w:r w:rsidRPr="00EB1BF9">
        <w:rPr>
          <w:lang w:val="en-AU" w:eastAsia="en-AU"/>
        </w:rPr>
        <w:t>:387-389.</w:t>
      </w:r>
    </w:p>
    <w:p w14:paraId="504563E4" w14:textId="77777777" w:rsidR="00EB1BF9" w:rsidRPr="00EB1BF9" w:rsidRDefault="00EB1BF9" w:rsidP="00EB1BF9">
      <w:pPr>
        <w:rPr>
          <w:lang w:val="en-GB" w:eastAsia="en-AU"/>
        </w:rPr>
      </w:pPr>
      <w:r w:rsidRPr="00EB1BF9">
        <w:rPr>
          <w:lang w:val="en-GB" w:eastAsia="en-AU"/>
        </w:rPr>
        <w:t>Kiyma, Z., K. Kucukyilmaz, and A. Orojpour. 2016. Effects of perch availability on performance, carcass characteristics, and footpad lesions in broilers. Archives Animal Breeding 59:19-25. doi 10.5194/aab-59-19-2016</w:t>
      </w:r>
    </w:p>
    <w:p w14:paraId="1115FAD9" w14:textId="77777777" w:rsidR="00EB1BF9" w:rsidRPr="00EB1BF9" w:rsidRDefault="00EB1BF9" w:rsidP="00EB1BF9">
      <w:pPr>
        <w:rPr>
          <w:lang w:val="en-GB" w:eastAsia="en-AU"/>
        </w:rPr>
      </w:pPr>
      <w:r w:rsidRPr="00EB1BF9">
        <w:rPr>
          <w:lang w:val="en-GB" w:eastAsia="en-AU"/>
        </w:rPr>
        <w:t>Kjaer, J. B., G. Su, B. L. Nielsen, and P. Sorensen. 2006. Foot pad dermatitis and hock burn in broiler chickens and degree of inheritance</w:t>
      </w:r>
      <w:r w:rsidR="00990611">
        <w:rPr>
          <w:lang w:val="en-GB" w:eastAsia="en-AU"/>
        </w:rPr>
        <w:t>. Poultry Science 85:1342-1348.</w:t>
      </w:r>
    </w:p>
    <w:p w14:paraId="13450238" w14:textId="77777777" w:rsidR="00EB1BF9" w:rsidRPr="00EB1BF9" w:rsidRDefault="00EB1BF9" w:rsidP="00EB1BF9">
      <w:pPr>
        <w:rPr>
          <w:lang w:val="en-GB" w:eastAsia="en-AU"/>
        </w:rPr>
      </w:pPr>
      <w:r w:rsidRPr="00EB1BF9">
        <w:rPr>
          <w:lang w:val="en-GB" w:eastAsia="en-AU"/>
        </w:rPr>
        <w:t xml:space="preserve">Knierim, U., and A. Gocke. 2003. Effect of catching broilers by hand or machine on rates of injuries and dead-on-arrivals. Animal Welfare </w:t>
      </w:r>
      <w:r w:rsidR="00990611">
        <w:rPr>
          <w:lang w:val="en-GB" w:eastAsia="en-AU"/>
        </w:rPr>
        <w:t>12:63-73.</w:t>
      </w:r>
    </w:p>
    <w:p w14:paraId="5972D856" w14:textId="77777777" w:rsidR="00EB1BF9" w:rsidRPr="00EB1BF9" w:rsidRDefault="00EB1BF9" w:rsidP="00EB1BF9">
      <w:pPr>
        <w:rPr>
          <w:lang w:val="en-GB" w:eastAsia="en-AU"/>
        </w:rPr>
      </w:pPr>
      <w:r w:rsidRPr="00EB1BF9">
        <w:rPr>
          <w:lang w:val="en-GB" w:eastAsia="en-AU"/>
        </w:rPr>
        <w:t>Knowles, T. G., S. N. Brown, P. D. Warriss, A. Butterworth, and L. Hewitt. 2004. Welfare aspects of chick handling in broiler and laying hen hatcher</w:t>
      </w:r>
      <w:r w:rsidR="00990611">
        <w:rPr>
          <w:lang w:val="en-GB" w:eastAsia="en-AU"/>
        </w:rPr>
        <w:t>ies. Animal Welfare 13:409-418.</w:t>
      </w:r>
    </w:p>
    <w:p w14:paraId="25E24BB6" w14:textId="77777777" w:rsidR="00EB1BF9" w:rsidRPr="00EB1BF9" w:rsidRDefault="00EB1BF9" w:rsidP="00EB1BF9">
      <w:pPr>
        <w:rPr>
          <w:lang w:val="en-GB" w:eastAsia="en-AU"/>
        </w:rPr>
      </w:pPr>
      <w:r w:rsidRPr="00EB1BF9">
        <w:rPr>
          <w:lang w:val="en-GB" w:eastAsia="en-AU"/>
        </w:rPr>
        <w:t xml:space="preserve">Knowles, T. G., S. C. Kestin, S. M. Haslam, S. N. Brown, L. E. Green, A. Butterworth, S. J. Pope, D. Pfeiffer, and C. J. Nicol. 2008. Leg Disorders in Broiler Chickens: Prevalence, Risk Factors and Prevention. </w:t>
      </w:r>
      <w:r w:rsidR="00601DC5">
        <w:rPr>
          <w:lang w:val="en-GB" w:eastAsia="en-AU"/>
        </w:rPr>
        <w:t>PLoS</w:t>
      </w:r>
      <w:r w:rsidR="00997550">
        <w:rPr>
          <w:lang w:val="en-GB" w:eastAsia="en-AU"/>
        </w:rPr>
        <w:t xml:space="preserve"> ONE</w:t>
      </w:r>
      <w:r w:rsidRPr="00EB1BF9">
        <w:rPr>
          <w:lang w:val="en-GB" w:eastAsia="en-AU"/>
        </w:rPr>
        <w:t xml:space="preserve"> 3. doi 10.1371/journal.pone.0001545</w:t>
      </w:r>
    </w:p>
    <w:p w14:paraId="757F513E" w14:textId="77777777" w:rsidR="00EB1BF9" w:rsidRPr="00EB1BF9" w:rsidRDefault="00EB1BF9" w:rsidP="00EB1BF9">
      <w:pPr>
        <w:rPr>
          <w:lang w:val="en-GB" w:eastAsia="en-AU"/>
        </w:rPr>
      </w:pPr>
      <w:r w:rsidRPr="00EB1BF9">
        <w:rPr>
          <w:lang w:val="en-GB" w:eastAsia="en-AU"/>
        </w:rPr>
        <w:t>Konca, Y., E. Yaylak, and A. Onenc. 2008. Effects of meal-time feeding and protein restriction on walking ability and some bone and carcass properties in broilers. Animal 2:1324-1330. doi 10.1017/s1751731108002437</w:t>
      </w:r>
    </w:p>
    <w:p w14:paraId="305CA658" w14:textId="77777777" w:rsidR="00EB1BF9" w:rsidRPr="00EB1BF9" w:rsidRDefault="00EB1BF9" w:rsidP="00EB1BF9">
      <w:pPr>
        <w:rPr>
          <w:lang w:val="en-GB" w:eastAsia="en-AU"/>
        </w:rPr>
      </w:pPr>
      <w:r w:rsidRPr="00EB1BF9">
        <w:rPr>
          <w:lang w:val="en-GB" w:eastAsia="en-AU"/>
        </w:rPr>
        <w:t xml:space="preserve">Kristensen, H. H., and C. M. Wathes. 2000. Ammonia and poultry welfare: a review. </w:t>
      </w:r>
      <w:r w:rsidR="00E12232">
        <w:rPr>
          <w:lang w:val="en-GB" w:eastAsia="en-AU"/>
        </w:rPr>
        <w:t>World’s</w:t>
      </w:r>
      <w:r w:rsidRPr="00EB1BF9">
        <w:rPr>
          <w:lang w:val="en-GB" w:eastAsia="en-AU"/>
        </w:rPr>
        <w:t xml:space="preserve"> Poultry Science Journal 56:235-245. doi 10.1079/wps20000018</w:t>
      </w:r>
    </w:p>
    <w:p w14:paraId="6D664A51" w14:textId="77777777" w:rsidR="00EB1BF9" w:rsidRPr="00EB1BF9" w:rsidRDefault="00EB1BF9" w:rsidP="00EB1BF9">
      <w:pPr>
        <w:rPr>
          <w:lang w:val="en-GB" w:eastAsia="en-AU"/>
        </w:rPr>
      </w:pPr>
      <w:r w:rsidRPr="00EB1BF9">
        <w:rPr>
          <w:lang w:val="en-GB" w:eastAsia="en-AU"/>
        </w:rPr>
        <w:t>Kristensen, H. H., G. C. Perry, N. B. Prescott, J. Ladewig, A. K. Ersboll, and C. M. Wathes. 2006a. Leg health and performance of broiler chickens reared in different light environments. British Poultry Science 47:257-263. doi 10.1080/00071660600753557</w:t>
      </w:r>
    </w:p>
    <w:p w14:paraId="083E0927" w14:textId="77777777" w:rsidR="00EB1BF9" w:rsidRPr="00EB1BF9" w:rsidRDefault="00EB1BF9" w:rsidP="00EB1BF9">
      <w:pPr>
        <w:rPr>
          <w:lang w:val="en-GB" w:eastAsia="en-AU"/>
        </w:rPr>
      </w:pPr>
      <w:r w:rsidRPr="00EB1BF9">
        <w:rPr>
          <w:lang w:val="en-GB" w:eastAsia="en-AU"/>
        </w:rPr>
        <w:t>Kristensen, H. H., J. M. Aerts, T. Leroy, C. M. Wathes, and D. Berckmans. 2006b. Modelling the dynamic activity of broiler chickens in response to step-wise changes in light intensity. Applied Animal Behaviour Science 101:125-143. doi 10.1016/j.applanim.2006.01.007</w:t>
      </w:r>
    </w:p>
    <w:p w14:paraId="4EF1DD3B" w14:textId="77777777" w:rsidR="00EB1BF9" w:rsidRPr="00EB1BF9" w:rsidRDefault="00EB1BF9" w:rsidP="00EB1BF9">
      <w:pPr>
        <w:rPr>
          <w:lang w:val="en-GB" w:eastAsia="en-AU"/>
        </w:rPr>
      </w:pPr>
      <w:r w:rsidRPr="00EB1BF9">
        <w:rPr>
          <w:lang w:val="en-GB" w:eastAsia="en-AU"/>
        </w:rPr>
        <w:t>Kristensen, H. H., N. B. Prescott, G. C. Perry, J. Ladewig, A. K. Ersboll, K. C. Overvad, and C. M. Wathes. 2007. The behaviour of broiler chickens in different light sources and illuminances. Applied Animal Behaviour Science 103:75-89. doi 10.1016/j.applanim.2006.04.017</w:t>
      </w:r>
    </w:p>
    <w:p w14:paraId="2FC105E3" w14:textId="77777777" w:rsidR="00EB1BF9" w:rsidRPr="00EB1BF9" w:rsidRDefault="00EB1BF9" w:rsidP="00EB1BF9">
      <w:pPr>
        <w:rPr>
          <w:lang w:val="en-GB" w:eastAsia="en-AU"/>
        </w:rPr>
      </w:pPr>
      <w:r w:rsidRPr="00EB1BF9">
        <w:rPr>
          <w:lang w:val="en-GB" w:eastAsia="en-AU"/>
        </w:rPr>
        <w:t>Kyvsgaard, N. C., H. B. Jensen, T. Ambrosen, and N. Toft. 2013. Temporal changes and risk factors for foot-pad dermatitis in Danish broilers. Poultry Science 92:26-32. doi 10.3382/ps.2012-02433</w:t>
      </w:r>
    </w:p>
    <w:p w14:paraId="1B0BAD0F" w14:textId="77777777" w:rsidR="00EB1BF9" w:rsidRPr="00EB1BF9" w:rsidRDefault="00EB1BF9" w:rsidP="00EB1BF9">
      <w:pPr>
        <w:rPr>
          <w:lang w:val="en-GB" w:eastAsia="en-AU"/>
        </w:rPr>
      </w:pPr>
      <w:r w:rsidRPr="00EB1BF9">
        <w:rPr>
          <w:lang w:val="en-GB" w:eastAsia="en-AU"/>
        </w:rPr>
        <w:t>Langkabel, N., M. P. O. Baumann, A. Feiler, A. Sanguankiat, and R. Fries. 2015. Influence of two catching methods on the occurrence of lesions in broilers. Poultry Science 94:1735-1741. doi 10.3382/ps/pev164</w:t>
      </w:r>
    </w:p>
    <w:p w14:paraId="29FAD8E4" w14:textId="77777777" w:rsidR="00EB1BF9" w:rsidRPr="00EB1BF9" w:rsidRDefault="00EB1BF9" w:rsidP="00EB1BF9">
      <w:pPr>
        <w:rPr>
          <w:lang w:val="en-GB" w:eastAsia="en-AU"/>
        </w:rPr>
      </w:pPr>
      <w:r w:rsidRPr="00EB1BF9">
        <w:rPr>
          <w:lang w:val="en-GB" w:eastAsia="en-AU"/>
        </w:rPr>
        <w:t>Lazarevic, M., D. Zikic, and G. Uscebrka. 2000. The influence of long term sound stress on the blood leukocyte count, heterophil/lymphocyte ratio and cutaneous basophil hypersensitive reaction to phytohemagglutinin in broiler chickens. Act</w:t>
      </w:r>
      <w:r w:rsidR="00E8606F">
        <w:rPr>
          <w:lang w:val="en-GB" w:eastAsia="en-AU"/>
        </w:rPr>
        <w:t>a Veterinaria-Beograd 50:63-75.</w:t>
      </w:r>
    </w:p>
    <w:p w14:paraId="175F5E66" w14:textId="77777777" w:rsidR="00EB1BF9" w:rsidRPr="00EB1BF9" w:rsidRDefault="00EB1BF9" w:rsidP="00EB1BF9">
      <w:pPr>
        <w:rPr>
          <w:lang w:val="en-GB" w:eastAsia="en-AU"/>
        </w:rPr>
      </w:pPr>
      <w:r w:rsidRPr="00EB1BF9">
        <w:rPr>
          <w:lang w:val="en-GB" w:eastAsia="en-AU"/>
        </w:rPr>
        <w:t>Lee, Y. P., and T. L. Chen. 2007. Daytime behavioural patterns of slow-growing chickens in deep-litter pens with perches. British Poultry Science 48:113-120. doi 10.1080/00071660701261302</w:t>
      </w:r>
    </w:p>
    <w:p w14:paraId="40B5320A" w14:textId="77777777" w:rsidR="00EB1BF9" w:rsidRPr="00EB1BF9" w:rsidRDefault="00EB1BF9" w:rsidP="00EB1BF9">
      <w:pPr>
        <w:rPr>
          <w:lang w:val="en-AU" w:eastAsia="en-AU"/>
        </w:rPr>
      </w:pPr>
      <w:r w:rsidRPr="00EB1BF9">
        <w:rPr>
          <w:lang w:val="en-AU" w:eastAsia="en-AU"/>
        </w:rPr>
        <w:t xml:space="preserve">Lei, X., </w:t>
      </w:r>
      <w:r w:rsidR="00E8606F">
        <w:rPr>
          <w:lang w:val="en-AU" w:eastAsia="en-AU"/>
        </w:rPr>
        <w:t xml:space="preserve">X. </w:t>
      </w:r>
      <w:r w:rsidRPr="00EB1BF9">
        <w:rPr>
          <w:lang w:val="en-AU" w:eastAsia="en-AU"/>
        </w:rPr>
        <w:t xml:space="preserve">Piao, </w:t>
      </w:r>
      <w:r w:rsidR="00E8606F">
        <w:rPr>
          <w:lang w:val="en-AU" w:eastAsia="en-AU"/>
        </w:rPr>
        <w:t xml:space="preserve">Y. </w:t>
      </w:r>
      <w:r w:rsidRPr="00EB1BF9">
        <w:rPr>
          <w:lang w:val="en-AU" w:eastAsia="en-AU"/>
        </w:rPr>
        <w:t xml:space="preserve">Ru, </w:t>
      </w:r>
      <w:r w:rsidR="00E8606F">
        <w:rPr>
          <w:lang w:val="en-AU" w:eastAsia="en-AU"/>
        </w:rPr>
        <w:t xml:space="preserve">H. </w:t>
      </w:r>
      <w:r w:rsidRPr="00EB1BF9">
        <w:rPr>
          <w:lang w:val="en-AU" w:eastAsia="en-AU"/>
        </w:rPr>
        <w:t xml:space="preserve">Zhang, </w:t>
      </w:r>
      <w:r w:rsidR="00E8606F">
        <w:rPr>
          <w:lang w:val="en-AU" w:eastAsia="en-AU"/>
        </w:rPr>
        <w:t xml:space="preserve">A. </w:t>
      </w:r>
      <w:r w:rsidRPr="00EB1BF9">
        <w:rPr>
          <w:lang w:val="en-AU" w:eastAsia="en-AU"/>
        </w:rPr>
        <w:t xml:space="preserve">Péron, and </w:t>
      </w:r>
      <w:r w:rsidR="00E8606F">
        <w:rPr>
          <w:lang w:val="en-AU" w:eastAsia="en-AU"/>
        </w:rPr>
        <w:t>H.</w:t>
      </w:r>
      <w:r w:rsidRPr="00EB1BF9">
        <w:rPr>
          <w:lang w:val="en-AU" w:eastAsia="en-AU"/>
        </w:rPr>
        <w:t xml:space="preserve"> Zhang</w:t>
      </w:r>
      <w:r w:rsidR="00E8606F">
        <w:rPr>
          <w:lang w:val="en-AU" w:eastAsia="en-AU"/>
        </w:rPr>
        <w:t xml:space="preserve">. </w:t>
      </w:r>
      <w:r w:rsidRPr="00EB1BF9">
        <w:rPr>
          <w:lang w:val="en-AU" w:eastAsia="en-AU"/>
        </w:rPr>
        <w:t xml:space="preserve">2014. Effect of </w:t>
      </w:r>
      <w:r w:rsidRPr="00E8606F">
        <w:rPr>
          <w:i/>
          <w:lang w:val="en-AU" w:eastAsia="en-AU"/>
        </w:rPr>
        <w:t>Bacillus amyloliquefaciens</w:t>
      </w:r>
      <w:r w:rsidRPr="00EB1BF9">
        <w:rPr>
          <w:lang w:val="en-AU" w:eastAsia="en-AU"/>
        </w:rPr>
        <w:t xml:space="preserve">-based direct-fed microbial on performance, nutrient utilization, intestinal morphology and cecal microflora in broiler chickens. </w:t>
      </w:r>
      <w:r w:rsidRPr="00EB1BF9">
        <w:rPr>
          <w:iCs/>
          <w:lang w:val="en-AU" w:eastAsia="en-AU"/>
        </w:rPr>
        <w:t>Asian-Australasian Journal of Animal Sciences</w:t>
      </w:r>
      <w:r w:rsidRPr="00EB1BF9">
        <w:rPr>
          <w:lang w:val="en-AU" w:eastAsia="en-AU"/>
        </w:rPr>
        <w:t xml:space="preserve"> </w:t>
      </w:r>
      <w:r w:rsidRPr="00EB1BF9">
        <w:rPr>
          <w:iCs/>
          <w:lang w:val="en-AU" w:eastAsia="en-AU"/>
        </w:rPr>
        <w:t>28</w:t>
      </w:r>
      <w:r w:rsidRPr="00EB1BF9">
        <w:rPr>
          <w:lang w:val="en-AU" w:eastAsia="en-AU"/>
        </w:rPr>
        <w:t>:239-246.</w:t>
      </w:r>
    </w:p>
    <w:p w14:paraId="024D9250" w14:textId="77777777" w:rsidR="00EB1BF9" w:rsidRPr="00EB1BF9" w:rsidRDefault="00EB1BF9" w:rsidP="00EB1BF9">
      <w:pPr>
        <w:rPr>
          <w:lang w:val="en-GB" w:eastAsia="en-AU"/>
        </w:rPr>
      </w:pPr>
      <w:r w:rsidRPr="00EB1BF9">
        <w:rPr>
          <w:lang w:val="en-GB" w:eastAsia="en-AU"/>
        </w:rPr>
        <w:t>Leone, E. H., and I. Estevez. 2008. Use of space in the domestic fowl: separating the effects of enclosure size, group size and density. Animal Behaviour 76:1673-1682. doi 10.1016/j.anbehav.2008.08.004</w:t>
      </w:r>
    </w:p>
    <w:p w14:paraId="74F2B105" w14:textId="77777777" w:rsidR="00EB1BF9" w:rsidRPr="00EB1BF9" w:rsidRDefault="00EB1BF9" w:rsidP="00EB1BF9">
      <w:pPr>
        <w:rPr>
          <w:lang w:val="en-GB" w:eastAsia="en-AU"/>
        </w:rPr>
      </w:pPr>
      <w:r w:rsidRPr="00EB1BF9">
        <w:rPr>
          <w:lang w:val="en-GB" w:eastAsia="en-AU"/>
        </w:rPr>
        <w:t>Leterrier, C., C. Vallee, R. Constantin, A. M. Chagneau, M. Lessire, P. Lescoat, C. Berri, E. Baeza, D. Bizeray, and I. Bouvarel. 2008. Sequential feeding with variations in energy and protein levels improves gait score in meat-type chickens. Animal 2:1658-1665. doi 10.1017/s1751731108002875</w:t>
      </w:r>
    </w:p>
    <w:p w14:paraId="1D7E023C" w14:textId="77777777" w:rsidR="00EB1BF9" w:rsidRPr="00EB1BF9" w:rsidRDefault="00EB1BF9" w:rsidP="00EB1BF9">
      <w:pPr>
        <w:rPr>
          <w:lang w:val="en-GB" w:eastAsia="en-AU"/>
        </w:rPr>
      </w:pPr>
      <w:r w:rsidRPr="00EB1BF9">
        <w:rPr>
          <w:lang w:val="en-GB" w:eastAsia="en-AU"/>
        </w:rPr>
        <w:t>LeVan, N. F., I. Estevez, and W. R. Stricklin. 2000. Use of horizontal and angled perches by broiler chickens. Applied Animal Behaviour Science 65:349-365. doi 10.1016/s0168-1591(99)00059-3</w:t>
      </w:r>
    </w:p>
    <w:p w14:paraId="0628741E" w14:textId="77777777" w:rsidR="00EB1BF9" w:rsidRPr="00EB1BF9" w:rsidRDefault="00EB1BF9" w:rsidP="00EB1BF9">
      <w:pPr>
        <w:rPr>
          <w:lang w:val="en-GB" w:eastAsia="en-AU"/>
        </w:rPr>
      </w:pPr>
      <w:r w:rsidRPr="00EB1BF9">
        <w:rPr>
          <w:lang w:val="en-GB" w:eastAsia="en-AU"/>
        </w:rPr>
        <w:t>Lewis, P. D., and R. M. Gous. 2009. Photoperiodic responses of broilers. II. Ocular development. British Poultry Science 50:667-672. doi 10.1080/00071660903342066</w:t>
      </w:r>
    </w:p>
    <w:p w14:paraId="58FB5ED7" w14:textId="77777777" w:rsidR="00EB1BF9" w:rsidRPr="00EB1BF9" w:rsidRDefault="00EB1BF9" w:rsidP="00EB1BF9">
      <w:pPr>
        <w:rPr>
          <w:lang w:val="en-GB" w:eastAsia="en-AU"/>
        </w:rPr>
      </w:pPr>
      <w:r w:rsidRPr="00EB1BF9">
        <w:rPr>
          <w:lang w:val="en-GB" w:eastAsia="en-AU"/>
        </w:rPr>
        <w:t>Lewis, P. D., R. Danisman, and R. M. Gous. 2009a. Photoperiodic responses of broilers. III. Tibial breaking strength and ash content. British Poultry Science 50:673-679. doi 10.1080/00071660903365612</w:t>
      </w:r>
    </w:p>
    <w:p w14:paraId="3E7243EF" w14:textId="77777777" w:rsidR="00EB1BF9" w:rsidRPr="00EB1BF9" w:rsidRDefault="00EB1BF9" w:rsidP="00EB1BF9">
      <w:pPr>
        <w:rPr>
          <w:lang w:val="en-GB" w:eastAsia="en-AU"/>
        </w:rPr>
      </w:pPr>
      <w:r w:rsidRPr="00EB1BF9">
        <w:rPr>
          <w:lang w:val="en-GB" w:eastAsia="en-AU"/>
        </w:rPr>
        <w:t>Lewis, P. D., R. Danisman, and R. M. Gous. 2009b. Photoperiodic responses of broilers. I. Growth, feeding behaviour, breast meat yield, and testicular growth. British Poultry Science 50:657-666. doi 10.1080/00071660903338452</w:t>
      </w:r>
    </w:p>
    <w:p w14:paraId="40A4FBE5" w14:textId="77777777" w:rsidR="00EB1BF9" w:rsidRPr="00EB1BF9" w:rsidRDefault="00EB1BF9" w:rsidP="00EB1BF9">
      <w:pPr>
        <w:rPr>
          <w:lang w:val="en-GB" w:eastAsia="en-AU"/>
        </w:rPr>
      </w:pPr>
      <w:r w:rsidRPr="00EB1BF9">
        <w:rPr>
          <w:lang w:val="en-GB" w:eastAsia="en-AU"/>
        </w:rPr>
        <w:t>Lewis, P. D., R. Danisman, and R. M. Gous. 2010. Welfare-compliant lighting regimens for broilers. Archi</w:t>
      </w:r>
      <w:r w:rsidR="00E8606F">
        <w:rPr>
          <w:lang w:val="en-GB" w:eastAsia="en-AU"/>
        </w:rPr>
        <w:t>v Fur Geflugelkunde 74:265-268.</w:t>
      </w:r>
    </w:p>
    <w:p w14:paraId="14605264" w14:textId="77777777" w:rsidR="00EB1BF9" w:rsidRPr="00EB1BF9" w:rsidRDefault="00EB1BF9" w:rsidP="00EB1BF9">
      <w:pPr>
        <w:rPr>
          <w:lang w:val="en-GB" w:eastAsia="en-AU"/>
        </w:rPr>
      </w:pPr>
      <w:r w:rsidRPr="00EB1BF9">
        <w:rPr>
          <w:lang w:val="en-GB" w:eastAsia="en-AU"/>
        </w:rPr>
        <w:t>Lien, R. J., J. B. Hess, S. R. McKee, S. F. Bilgili, and J. C. Townsend. 2007. Effect of light intensity and photoperiod on live performance, heterophil-to-lymphocyte ratio, and processing yields of broilers</w:t>
      </w:r>
      <w:r w:rsidR="00E8606F">
        <w:rPr>
          <w:lang w:val="en-GB" w:eastAsia="en-AU"/>
        </w:rPr>
        <w:t>. Poultry Science 86:1287-1293.</w:t>
      </w:r>
    </w:p>
    <w:p w14:paraId="4E4583C5" w14:textId="77777777" w:rsidR="00EB1BF9" w:rsidRPr="00EB1BF9" w:rsidRDefault="00EB1BF9" w:rsidP="00EB1BF9">
      <w:pPr>
        <w:rPr>
          <w:lang w:val="en-GB" w:eastAsia="en-AU"/>
        </w:rPr>
      </w:pPr>
      <w:r w:rsidRPr="00EB1BF9">
        <w:rPr>
          <w:lang w:val="en-GB" w:eastAsia="en-AU"/>
        </w:rPr>
        <w:t>Lolli, S., W. Bessei, A. Cahaner, L. Yadgari, and V. Ferrante. 2010. The influence of stocking density on the behaviour of featherless and normally-feathered broilers under hot ambient temperature. Arc</w:t>
      </w:r>
      <w:r w:rsidR="00CF2A77">
        <w:rPr>
          <w:lang w:val="en-GB" w:eastAsia="en-AU"/>
        </w:rPr>
        <w:t>hiv Fur Geflugelkunde 74:73-80.</w:t>
      </w:r>
    </w:p>
    <w:p w14:paraId="5BDCF44E" w14:textId="77777777" w:rsidR="00EB1BF9" w:rsidRPr="00EB1BF9" w:rsidRDefault="00EB1BF9" w:rsidP="00EB1BF9">
      <w:pPr>
        <w:rPr>
          <w:lang w:val="en-GB" w:eastAsia="en-AU"/>
        </w:rPr>
      </w:pPr>
      <w:r w:rsidRPr="00EB1BF9">
        <w:rPr>
          <w:lang w:val="en-GB" w:eastAsia="en-AU"/>
        </w:rPr>
        <w:t>Mahmoud, K. Z., F. W. Edens, E. J. Eisen, and G. B. Havenstein. 2004. Ascorbic acid decreases heat shock protein 70 and plasma corticosterone response in broilers (</w:t>
      </w:r>
      <w:r w:rsidRPr="00CF2A77">
        <w:rPr>
          <w:i/>
          <w:lang w:val="en-GB" w:eastAsia="en-AU"/>
        </w:rPr>
        <w:t>Gallus gallus domesticus</w:t>
      </w:r>
      <w:r w:rsidRPr="00EB1BF9">
        <w:rPr>
          <w:lang w:val="en-GB" w:eastAsia="en-AU"/>
        </w:rPr>
        <w:t>) subjected to cyclic heat stress. Comparative Biochemistry and Physiology B-Biochemistry &amp; Molecular Biology 137:35-42. doi 10.1016/j.cbpc.2003.09.013</w:t>
      </w:r>
    </w:p>
    <w:p w14:paraId="46954913" w14:textId="77777777" w:rsidR="00EB1BF9" w:rsidRPr="00EB1BF9" w:rsidRDefault="00EB1BF9" w:rsidP="00EB1BF9">
      <w:pPr>
        <w:rPr>
          <w:lang w:val="en-GB" w:eastAsia="en-AU"/>
        </w:rPr>
      </w:pPr>
      <w:r w:rsidRPr="00EB1BF9">
        <w:rPr>
          <w:lang w:val="en-GB" w:eastAsia="en-AU"/>
        </w:rPr>
        <w:t>Malleau, A. E., I. J. H. Duncan, T. M. Widowski, and J. L. Atkinson. 2007. The importance of rest in young domestic fowl. Applied Animal Behaviour Science 106:52-69. doi 10.1016/j.applanim.2006.06.017</w:t>
      </w:r>
    </w:p>
    <w:p w14:paraId="68213797" w14:textId="77777777" w:rsidR="00EB1BF9" w:rsidRPr="00EB1BF9" w:rsidRDefault="00EB1BF9" w:rsidP="00EB1BF9">
      <w:pPr>
        <w:rPr>
          <w:lang w:val="en-GB" w:eastAsia="en-AU"/>
        </w:rPr>
      </w:pPr>
      <w:r w:rsidRPr="00EB1BF9">
        <w:rPr>
          <w:lang w:val="en-GB" w:eastAsia="en-AU"/>
        </w:rPr>
        <w:t>Manangi, M. K., M. Vazquez-Anon, J. D. Richards, S. Carter, R. E. Buresh, and K. D. Christensen. 2012. Impact of feeding lower levels of chelated trace minerals versus industry levels of inorganic trace minerals on broiler performance, yield, footpad health, and litter mineral concentration. Journal of Applied Poultry Research 21:881-890. doi 10.3382/japr.2012-00531</w:t>
      </w:r>
    </w:p>
    <w:p w14:paraId="5D5E85F4" w14:textId="77777777" w:rsidR="00EB1BF9" w:rsidRPr="00EB1BF9" w:rsidRDefault="00EB1BF9" w:rsidP="00EB1BF9">
      <w:pPr>
        <w:rPr>
          <w:lang w:val="en-GB" w:eastAsia="en-AU"/>
        </w:rPr>
      </w:pPr>
      <w:r w:rsidRPr="00EB1BF9">
        <w:rPr>
          <w:lang w:val="en-GB" w:eastAsia="en-AU"/>
        </w:rPr>
        <w:t xml:space="preserve">Manning, L., S. A. Chadd, and R. N. Baines. 2007. Water consumption in broiler chicken: A welfare indicator. </w:t>
      </w:r>
      <w:r w:rsidR="00E12232">
        <w:rPr>
          <w:lang w:val="en-GB" w:eastAsia="en-AU"/>
        </w:rPr>
        <w:t>World’s</w:t>
      </w:r>
      <w:r w:rsidRPr="00EB1BF9">
        <w:rPr>
          <w:lang w:val="en-GB" w:eastAsia="en-AU"/>
        </w:rPr>
        <w:t xml:space="preserve"> Poultry Science Journal 63:63-71. doi 10.1079/wps2006127</w:t>
      </w:r>
    </w:p>
    <w:p w14:paraId="0E45C347" w14:textId="77777777" w:rsidR="00EB1BF9" w:rsidRPr="00EB1BF9" w:rsidRDefault="00EB1BF9" w:rsidP="00EB1BF9">
      <w:pPr>
        <w:rPr>
          <w:lang w:val="en-GB" w:eastAsia="en-AU"/>
        </w:rPr>
      </w:pPr>
      <w:r w:rsidRPr="00EB1BF9">
        <w:rPr>
          <w:lang w:val="en-GB" w:eastAsia="en-AU"/>
        </w:rPr>
        <w:t>Marin, R. H., P. Freytes, D. Guzman, and R. B. Jones. 2001. Effects of an acute stressor on fear and on the social reinstatement responses of domestic chicks to cagemates and strangers. Applied Animal Behaviour Science 71:57-66. doi 10.1016/s0168-1591(00)00167-2</w:t>
      </w:r>
    </w:p>
    <w:p w14:paraId="256121E8" w14:textId="77777777" w:rsidR="00EB1BF9" w:rsidRPr="00EB1BF9" w:rsidRDefault="00EB1BF9" w:rsidP="00EB1BF9">
      <w:pPr>
        <w:rPr>
          <w:lang w:val="en-GB" w:eastAsia="en-AU"/>
        </w:rPr>
      </w:pPr>
      <w:r w:rsidRPr="00EB1BF9">
        <w:rPr>
          <w:lang w:val="en-GB" w:eastAsia="en-AU"/>
        </w:rPr>
        <w:t>Martins, R. S., M. J. Hotzel, and R. Poletto. 2013. Influence of in-house composting of reused litter on litter quality, ammonia volatilisation and incidence of broiler foot pad dermatitis. British Poultry Science 54:669-676. doi 10.1080/00071668.2013.838747</w:t>
      </w:r>
    </w:p>
    <w:p w14:paraId="1A5E9414" w14:textId="77777777" w:rsidR="00EB1BF9" w:rsidRPr="00EB1BF9" w:rsidRDefault="00EB1BF9" w:rsidP="00EB1BF9">
      <w:pPr>
        <w:rPr>
          <w:lang w:val="en-GB" w:eastAsia="en-AU"/>
        </w:rPr>
      </w:pPr>
      <w:r w:rsidRPr="00EB1BF9">
        <w:rPr>
          <w:lang w:val="en-GB" w:eastAsia="en-AU"/>
        </w:rPr>
        <w:t>Martins, B. B., M. Martins, A. A. Mendes, B. C. S. Fernandes, and E. F. Aguiar. 2016. Footpad Dermatitis in Broilers: Differences between Strains and Gender. Brazilian Journal of Poultry Science 18:461-466. doi 10.1590/1806-9061-2015-0105</w:t>
      </w:r>
    </w:p>
    <w:p w14:paraId="39639217" w14:textId="77777777" w:rsidR="00EB1BF9" w:rsidRPr="00EB1BF9" w:rsidRDefault="00EB1BF9" w:rsidP="00EB1BF9">
      <w:pPr>
        <w:rPr>
          <w:lang w:val="en-GB" w:eastAsia="en-AU"/>
        </w:rPr>
      </w:pPr>
      <w:r w:rsidRPr="00EB1BF9">
        <w:rPr>
          <w:lang w:val="en-GB" w:eastAsia="en-AU"/>
        </w:rPr>
        <w:t>Martrenchar, A., D. Huonnic, J. P. Cotte, E. Boilletot, and J. P. Morisse. 2000. Influence of stocking density, artificial dusk and group size on the perching behaviour of broilers. British Poultry Science 41:125-130. doi 10.1080/713654921</w:t>
      </w:r>
    </w:p>
    <w:p w14:paraId="3BE8597E" w14:textId="77777777" w:rsidR="00EB1BF9" w:rsidRPr="00EB1BF9" w:rsidRDefault="00EB1BF9" w:rsidP="00EB1BF9">
      <w:pPr>
        <w:rPr>
          <w:lang w:val="en-GB" w:eastAsia="en-AU"/>
        </w:rPr>
      </w:pPr>
      <w:r w:rsidRPr="00EB1BF9">
        <w:rPr>
          <w:lang w:val="en-GB" w:eastAsia="en-AU"/>
        </w:rPr>
        <w:t>Martrenchar, A., E. Boilletot, D. Huonnic, and F. Pol. 2002. Risk factors for foot-pad dermatitis in chicken and turkey broilers in France. Preventive Veterinary Medicine 52:213-226. doi 10.1016/s0167-5877(01)00259-8</w:t>
      </w:r>
    </w:p>
    <w:p w14:paraId="5BBE0825" w14:textId="77777777" w:rsidR="00EB1BF9" w:rsidRPr="00EB1BF9" w:rsidRDefault="00EB1BF9" w:rsidP="00EB1BF9">
      <w:pPr>
        <w:rPr>
          <w:lang w:val="en-GB" w:eastAsia="en-AU"/>
        </w:rPr>
      </w:pPr>
      <w:r w:rsidRPr="00EB1BF9">
        <w:rPr>
          <w:lang w:val="en-GB" w:eastAsia="en-AU"/>
        </w:rPr>
        <w:t>McLean, J. A., C. J. Savory, and N. H. C. Sparks. 2002. Welfare of male and female broiler chickens in relation to stocking density, as indicated by performance, health and beha</w:t>
      </w:r>
      <w:r w:rsidR="00CF2A77">
        <w:rPr>
          <w:lang w:val="en-GB" w:eastAsia="en-AU"/>
        </w:rPr>
        <w:t>viour. Animal Welfare 11:55-73.</w:t>
      </w:r>
    </w:p>
    <w:p w14:paraId="244B5753" w14:textId="77777777" w:rsidR="00EB1BF9" w:rsidRPr="00EB1BF9" w:rsidRDefault="00EB1BF9" w:rsidP="00EB1BF9">
      <w:pPr>
        <w:rPr>
          <w:lang w:val="en-GB" w:eastAsia="en-AU"/>
        </w:rPr>
      </w:pPr>
      <w:r w:rsidRPr="00EB1BF9">
        <w:rPr>
          <w:lang w:val="en-GB" w:eastAsia="en-AU"/>
        </w:rPr>
        <w:t>Meluzzi, A., C. Fabbri, E. Folegatti, and F. Sirri. 2008a. Effect of less intensive rearing conditions on litter characteristics, growth performance, carcase injuries and meat quality of broilers. British Poultry Science 49:509-515. doi 10.1080/00071660802290424</w:t>
      </w:r>
    </w:p>
    <w:p w14:paraId="7961C37F" w14:textId="77777777" w:rsidR="00EB1BF9" w:rsidRPr="00EB1BF9" w:rsidRDefault="00EB1BF9" w:rsidP="00EB1BF9">
      <w:pPr>
        <w:rPr>
          <w:lang w:val="en-GB" w:eastAsia="en-AU"/>
        </w:rPr>
      </w:pPr>
      <w:r w:rsidRPr="00EB1BF9">
        <w:rPr>
          <w:lang w:val="en-GB" w:eastAsia="en-AU"/>
        </w:rPr>
        <w:t>Meluzzi, A., C. Fabbri, E. Folegatti, and F. Sirri. 2008b. Survey of chicken rearing conditions in Italy: effects of litter quality and stocking density on productivity, foot dermatitis and carcase injuries. British Poultry Science 49:257-264. doi 10.1080/00071660802094156</w:t>
      </w:r>
    </w:p>
    <w:p w14:paraId="3695CFC1" w14:textId="77777777" w:rsidR="00EB1BF9" w:rsidRPr="00EB1BF9" w:rsidRDefault="00EB1BF9" w:rsidP="00EB1BF9">
      <w:pPr>
        <w:rPr>
          <w:lang w:val="en-GB" w:eastAsia="en-AU"/>
        </w:rPr>
      </w:pPr>
      <w:r w:rsidRPr="00EB1BF9">
        <w:rPr>
          <w:lang w:val="en-GB" w:eastAsia="en-AU"/>
        </w:rPr>
        <w:t>Mendes, M. 2008. Asymmetry measures and allometric growth parameter estimates for investigate effect of early feed restriction on deviation from bilateral symmetry in broiler chickens. Archiv Fur Tierzucht-Archives of Animal Breeding 51:611-61</w:t>
      </w:r>
      <w:r w:rsidR="00CF2A77">
        <w:rPr>
          <w:lang w:val="en-GB" w:eastAsia="en-AU"/>
        </w:rPr>
        <w:t>9.</w:t>
      </w:r>
    </w:p>
    <w:p w14:paraId="2C4FF941" w14:textId="77777777" w:rsidR="00EB1BF9" w:rsidRPr="00EB1BF9" w:rsidRDefault="00EB1BF9" w:rsidP="00EB1BF9">
      <w:pPr>
        <w:rPr>
          <w:lang w:val="en-GB" w:eastAsia="en-AU"/>
        </w:rPr>
      </w:pPr>
      <w:r w:rsidRPr="00EB1BF9">
        <w:rPr>
          <w:lang w:val="en-GB" w:eastAsia="en-AU"/>
        </w:rPr>
        <w:t>Mendes, A. S., S. J. Paixao, R. Restelatto, G. M. Morello, D. J. de Moura, and J. C. Possenti. 2013. Performance and preference of broiler chickens exposed to different lighting sources. Journal of Applied Poultry Research 22:62-70. doi 10.3382/japr.2012-00580</w:t>
      </w:r>
    </w:p>
    <w:p w14:paraId="1319F9CC" w14:textId="77777777" w:rsidR="00EB1BF9" w:rsidRPr="00EB1BF9" w:rsidRDefault="00EB1BF9" w:rsidP="00EB1BF9">
      <w:pPr>
        <w:rPr>
          <w:lang w:val="en-GB" w:eastAsia="en-AU"/>
        </w:rPr>
      </w:pPr>
      <w:r w:rsidRPr="00EB1BF9">
        <w:rPr>
          <w:lang w:val="en-GB" w:eastAsia="en-AU"/>
        </w:rPr>
        <w:t>Michel, V., E. Prampart, L. Mirabito, V. Allain, C. Arnould, D. Huonnic, S. Le Bouquin, and O. Albaric. 2012. Histologically-validated footpad dermatitis scoring system for use in chicken processing plants. British Poultry Science 53:275-281. doi 10.1080/00071668.2012.695336</w:t>
      </w:r>
    </w:p>
    <w:p w14:paraId="6690D003" w14:textId="77777777" w:rsidR="00EB1BF9" w:rsidRPr="00EB1BF9" w:rsidRDefault="00EB1BF9" w:rsidP="00EB1BF9">
      <w:pPr>
        <w:rPr>
          <w:lang w:val="en-GB" w:eastAsia="en-AU"/>
        </w:rPr>
      </w:pPr>
      <w:r w:rsidRPr="00EB1BF9">
        <w:rPr>
          <w:lang w:val="en-GB" w:eastAsia="en-AU"/>
        </w:rPr>
        <w:t xml:space="preserve">Miles, D. M., S. L. Branton, and B. D. Lott. 2004. Atmospheric ammonia is detrimental to the performance of modern commercial broilers. Poultry Science 83:1650-1654. </w:t>
      </w:r>
    </w:p>
    <w:p w14:paraId="5C88F92D" w14:textId="77777777" w:rsidR="00EB1BF9" w:rsidRPr="00EB1BF9" w:rsidRDefault="00EB1BF9" w:rsidP="00EB1BF9">
      <w:pPr>
        <w:rPr>
          <w:lang w:val="en-AU" w:eastAsia="en-AU"/>
        </w:rPr>
      </w:pPr>
      <w:r w:rsidRPr="00EB1BF9">
        <w:rPr>
          <w:lang w:val="en-AU" w:eastAsia="en-AU"/>
        </w:rPr>
        <w:t xml:space="preserve">Miles, D. M., </w:t>
      </w:r>
      <w:r w:rsidR="00CF2A77">
        <w:rPr>
          <w:lang w:val="en-AU" w:eastAsia="en-AU"/>
        </w:rPr>
        <w:t xml:space="preserve">J. P. </w:t>
      </w:r>
      <w:r w:rsidRPr="00EB1BF9">
        <w:rPr>
          <w:lang w:val="en-AU" w:eastAsia="en-AU"/>
        </w:rPr>
        <w:t xml:space="preserve">Brooks, </w:t>
      </w:r>
      <w:r w:rsidR="00CF2A77">
        <w:rPr>
          <w:lang w:val="en-AU" w:eastAsia="en-AU"/>
        </w:rPr>
        <w:t xml:space="preserve">M. R. </w:t>
      </w:r>
      <w:r w:rsidRPr="00EB1BF9">
        <w:rPr>
          <w:lang w:val="en-AU" w:eastAsia="en-AU"/>
        </w:rPr>
        <w:t xml:space="preserve">McLaughlin, and </w:t>
      </w:r>
      <w:r w:rsidR="00CF2A77">
        <w:rPr>
          <w:lang w:val="en-AU" w:eastAsia="en-AU"/>
        </w:rPr>
        <w:t>D. E.</w:t>
      </w:r>
      <w:r w:rsidRPr="00EB1BF9">
        <w:rPr>
          <w:lang w:val="en-AU" w:eastAsia="en-AU"/>
        </w:rPr>
        <w:t xml:space="preserve"> Rowe. 2013. Broiler litter ammonia emissions near sidewalls, feeders, and waterers. </w:t>
      </w:r>
      <w:r w:rsidRPr="00EB1BF9">
        <w:rPr>
          <w:iCs/>
          <w:lang w:val="en-AU" w:eastAsia="en-AU"/>
        </w:rPr>
        <w:t xml:space="preserve">Poultry </w:t>
      </w:r>
      <w:r w:rsidR="00CF2A77">
        <w:rPr>
          <w:iCs/>
          <w:lang w:val="en-AU" w:eastAsia="en-AU"/>
        </w:rPr>
        <w:t>S</w:t>
      </w:r>
      <w:r w:rsidRPr="00EB1BF9">
        <w:rPr>
          <w:iCs/>
          <w:lang w:val="en-AU" w:eastAsia="en-AU"/>
        </w:rPr>
        <w:t>cience</w:t>
      </w:r>
      <w:r w:rsidRPr="00EB1BF9">
        <w:rPr>
          <w:lang w:val="en-AU" w:eastAsia="en-AU"/>
        </w:rPr>
        <w:t xml:space="preserve"> </w:t>
      </w:r>
      <w:r w:rsidRPr="00EB1BF9">
        <w:rPr>
          <w:iCs/>
          <w:lang w:val="en-AU" w:eastAsia="en-AU"/>
        </w:rPr>
        <w:t>92</w:t>
      </w:r>
      <w:r w:rsidR="00CF2A77">
        <w:rPr>
          <w:lang w:val="en-AU" w:eastAsia="en-AU"/>
        </w:rPr>
        <w:t>:</w:t>
      </w:r>
      <w:r w:rsidRPr="00EB1BF9">
        <w:rPr>
          <w:lang w:val="en-AU" w:eastAsia="en-AU"/>
        </w:rPr>
        <w:t>1693-1698.</w:t>
      </w:r>
    </w:p>
    <w:p w14:paraId="0DCC1761" w14:textId="77777777" w:rsidR="00EB1BF9" w:rsidRPr="00EB1BF9" w:rsidRDefault="00EB1BF9" w:rsidP="00EB1BF9">
      <w:pPr>
        <w:rPr>
          <w:lang w:val="en-GB" w:eastAsia="en-AU"/>
        </w:rPr>
      </w:pPr>
      <w:r w:rsidRPr="00EB1BF9">
        <w:rPr>
          <w:lang w:val="en-GB" w:eastAsia="en-AU"/>
        </w:rPr>
        <w:t>Miles, D. M., D. E. Rowe, and T. C. Cathcart. 2011. Litter ammonia generation: Moisture content and organic versus inorganic bedding materials. Poultry Science 90:1162-1169. doi 10.3382/ps.2010-01113</w:t>
      </w:r>
    </w:p>
    <w:p w14:paraId="69A9AA85" w14:textId="77777777" w:rsidR="00EB1BF9" w:rsidRPr="00EB1BF9" w:rsidRDefault="00EB1BF9" w:rsidP="00EB1BF9">
      <w:pPr>
        <w:rPr>
          <w:lang w:val="en-GB" w:eastAsia="en-AU"/>
        </w:rPr>
      </w:pPr>
      <w:r w:rsidRPr="00EB1BF9">
        <w:rPr>
          <w:lang w:val="en-GB" w:eastAsia="en-AU"/>
        </w:rPr>
        <w:t>Mirtagioglu, H., A. Mollaogullari, S. Genc, and M. Mendes. 2013. Effect of stocking density on deviation from bilateral symmetry and slaughter weight in broilers. Journal of Animal and Plant Scie</w:t>
      </w:r>
      <w:r w:rsidR="00553483">
        <w:rPr>
          <w:lang w:val="en-GB" w:eastAsia="en-AU"/>
        </w:rPr>
        <w:t>nces 23:1247-1252.</w:t>
      </w:r>
    </w:p>
    <w:p w14:paraId="2CFF98B1" w14:textId="77777777" w:rsidR="00EB1BF9" w:rsidRPr="00EB1BF9" w:rsidRDefault="00EB1BF9" w:rsidP="00EB1BF9">
      <w:pPr>
        <w:rPr>
          <w:lang w:val="en-GB" w:eastAsia="en-AU"/>
        </w:rPr>
      </w:pPr>
      <w:r w:rsidRPr="00EB1BF9">
        <w:rPr>
          <w:lang w:val="en-GB" w:eastAsia="en-AU"/>
        </w:rPr>
        <w:t>Molenaar, R., R. Hulet, R. Meijerhof, C. M. Maatjens, B. Kemp, and H. van den Brand. 2011. High eggshell temperatures during incubation decrease growth performance and increase the incidence of ascites in broiler chickens. Poultry Science 90:624-632. doi 10.3382/ps.2010-00970</w:t>
      </w:r>
    </w:p>
    <w:p w14:paraId="6491991D" w14:textId="77777777" w:rsidR="00EB1BF9" w:rsidRPr="00EB1BF9" w:rsidRDefault="00EB1BF9" w:rsidP="00EB1BF9">
      <w:pPr>
        <w:rPr>
          <w:lang w:val="en-GB" w:eastAsia="en-AU"/>
        </w:rPr>
      </w:pPr>
      <w:r w:rsidRPr="00EB1BF9">
        <w:rPr>
          <w:lang w:val="en-GB" w:eastAsia="en-AU"/>
        </w:rPr>
        <w:t>Muller, B. R., H. A. S. Medeiros, R. S. de Sousa, and C. F. M. Molento. 2015. Chronic welfare restrictions and adrenal gland morphology in broiler chickens. Poultry Science 94:574-578. doi 10.3382/ps/pev026</w:t>
      </w:r>
    </w:p>
    <w:p w14:paraId="40ABCD12" w14:textId="77777777" w:rsidR="00EB1BF9" w:rsidRPr="00EB1BF9" w:rsidRDefault="00EB1BF9" w:rsidP="00EB1BF9">
      <w:pPr>
        <w:rPr>
          <w:lang w:val="en-GB" w:eastAsia="en-AU"/>
        </w:rPr>
      </w:pPr>
      <w:r w:rsidRPr="00EB1BF9">
        <w:rPr>
          <w:lang w:val="en-GB" w:eastAsia="en-AU"/>
        </w:rPr>
        <w:t>Naas, I. A., I. Paz, M. S. Baracho, A. G. Menezes, L. G. F. Bueno, I. C. L. Almeida, and D. J. Moura. 2009. Impact of lameness on broiler well-being. Journal of Applied Poultry Research 18:432-439. doi 10.3382/japr.2008-00061</w:t>
      </w:r>
    </w:p>
    <w:p w14:paraId="19E6F5B9" w14:textId="77777777" w:rsidR="00EB1BF9" w:rsidRPr="00EB1BF9" w:rsidRDefault="00EB1BF9" w:rsidP="00EB1BF9">
      <w:pPr>
        <w:rPr>
          <w:lang w:val="en-GB" w:eastAsia="en-AU"/>
        </w:rPr>
      </w:pPr>
      <w:r w:rsidRPr="00EB1BF9">
        <w:rPr>
          <w:lang w:val="en-GB" w:eastAsia="en-AU"/>
        </w:rPr>
        <w:t>Nagaraj, M., C. A. P. Wilson, J. B. Hess, and S. F. Bilgili. 2007. Effect of high-protein and all-vegetable diets on the incidence and severity of pododermatitis in broiler chickens. Journal of Appli</w:t>
      </w:r>
      <w:r w:rsidR="00553483">
        <w:rPr>
          <w:lang w:val="en-GB" w:eastAsia="en-AU"/>
        </w:rPr>
        <w:t>ed Poultry Research 16:304-312.</w:t>
      </w:r>
    </w:p>
    <w:p w14:paraId="4C6D66F0" w14:textId="77777777" w:rsidR="00EB1BF9" w:rsidRDefault="00EB1BF9" w:rsidP="00EB1BF9">
      <w:pPr>
        <w:rPr>
          <w:lang w:val="en-GB" w:eastAsia="en-AU"/>
        </w:rPr>
      </w:pPr>
      <w:r w:rsidRPr="00EB1BF9">
        <w:rPr>
          <w:lang w:val="en-GB" w:eastAsia="en-AU"/>
        </w:rPr>
        <w:t>Najafi, P., I. Zulkifli, N. A. Jajuli, A. S. Farjam, S. K. Ramiah, A. A. Amir, E. O'Reily, and D. Eckersall. 2015. Environmental temperature and stocking density effects on acute phase proteins, heat shock protein 70, circulating corticosterone and performance in broiler chickens. International Journal of Biometeorology 59:1577-1583. doi 10.1007/s00484-015-0964-3</w:t>
      </w:r>
    </w:p>
    <w:p w14:paraId="1C12EFE3" w14:textId="77777777" w:rsidR="00800609" w:rsidRDefault="00800609" w:rsidP="00EB1BF9">
      <w:pPr>
        <w:rPr>
          <w:lang w:val="en-GB" w:eastAsia="en-AU"/>
        </w:rPr>
      </w:pPr>
      <w:r w:rsidRPr="00800609">
        <w:rPr>
          <w:lang w:val="en-GB" w:eastAsia="en-AU"/>
        </w:rPr>
        <w:t>Nicol, C. J.</w:t>
      </w:r>
      <w:r w:rsidR="00924082">
        <w:rPr>
          <w:lang w:val="en-GB" w:eastAsia="en-AU"/>
        </w:rPr>
        <w:t>,</w:t>
      </w:r>
      <w:r w:rsidRPr="00800609">
        <w:rPr>
          <w:lang w:val="en-GB" w:eastAsia="en-AU"/>
        </w:rPr>
        <w:t xml:space="preserve"> and A. Davies. 2013. Poultry welfare in developing countries. In: Poultry Development Review. Food and Agriculture Organization of the United Nations, Rome, p</w:t>
      </w:r>
      <w:r w:rsidR="00100D7D">
        <w:rPr>
          <w:lang w:val="en-GB" w:eastAsia="en-AU"/>
        </w:rPr>
        <w:t>ages</w:t>
      </w:r>
      <w:r w:rsidRPr="00800609">
        <w:rPr>
          <w:lang w:val="en-GB" w:eastAsia="en-AU"/>
        </w:rPr>
        <w:t xml:space="preserve"> 110–120. </w:t>
      </w:r>
      <w:hyperlink r:id="rId63" w:tooltip="Link to pdf of article on poultry welfare in developing countries." w:history="1">
        <w:r w:rsidR="00CF022F" w:rsidRPr="004977AE">
          <w:rPr>
            <w:rStyle w:val="Hyperlink"/>
            <w:lang w:val="en-GB" w:eastAsia="en-AU"/>
          </w:rPr>
          <w:t>www.fao.org/docrep/013/al720e/al720e00.pdf</w:t>
        </w:r>
      </w:hyperlink>
      <w:r w:rsidR="000E44E6">
        <w:rPr>
          <w:lang w:val="en-GB" w:eastAsia="en-AU"/>
        </w:rPr>
        <w:t>. Accessed</w:t>
      </w:r>
      <w:r w:rsidRPr="00800609">
        <w:rPr>
          <w:lang w:val="en-GB" w:eastAsia="en-AU"/>
        </w:rPr>
        <w:t xml:space="preserve"> 19/05/2017.</w:t>
      </w:r>
    </w:p>
    <w:p w14:paraId="1D89A41E" w14:textId="77777777" w:rsidR="00EB1BF9" w:rsidRPr="00EB1BF9" w:rsidRDefault="00EB1BF9" w:rsidP="00EB1BF9">
      <w:pPr>
        <w:rPr>
          <w:lang w:val="en-GB" w:eastAsia="en-AU"/>
        </w:rPr>
      </w:pPr>
      <w:r w:rsidRPr="00EB1BF9">
        <w:rPr>
          <w:lang w:val="en-GB" w:eastAsia="en-AU"/>
        </w:rPr>
        <w:t>Nielsen, B. L. 2004. Breast blisters in groups of slow-growing broilers in relation to strain and the availability and use of perches. British Poultry Science 45:306-315. doi 10.1080/00071660410001730798</w:t>
      </w:r>
    </w:p>
    <w:p w14:paraId="4469E5C5" w14:textId="77777777" w:rsidR="00EB1BF9" w:rsidRPr="00EB1BF9" w:rsidRDefault="00EB1BF9" w:rsidP="00EB1BF9">
      <w:pPr>
        <w:rPr>
          <w:lang w:val="en-GB" w:eastAsia="en-AU"/>
        </w:rPr>
      </w:pPr>
      <w:r w:rsidRPr="00EB1BF9">
        <w:rPr>
          <w:lang w:val="en-GB" w:eastAsia="en-AU"/>
        </w:rPr>
        <w:t>Nielsen, B. L. 2012. Effects of ambient temperature and early open-field response on the behaviour, feed intake and growth of fast- and slow-growing broiler strains. Animal 6:1460-1468. doi 10.1017/s1751731112000353</w:t>
      </w:r>
    </w:p>
    <w:p w14:paraId="2DA08C5C" w14:textId="77777777" w:rsidR="00EB1BF9" w:rsidRPr="00EB1BF9" w:rsidRDefault="00EB1BF9" w:rsidP="00EB1BF9">
      <w:pPr>
        <w:rPr>
          <w:lang w:val="en-GB" w:eastAsia="en-AU"/>
        </w:rPr>
      </w:pPr>
      <w:r w:rsidRPr="00EB1BF9">
        <w:rPr>
          <w:lang w:val="en-GB" w:eastAsia="en-AU"/>
        </w:rPr>
        <w:t>Nielsen, B. L., M. Litherland, and F. Noddegaard. 2003a. Effects of qualitative and quantitative feed restriction on the activity of broiler chickens. Applied Animal Behaviour Science 83:309-323. doi 10.1016/s0168-1591(03)00137-0</w:t>
      </w:r>
    </w:p>
    <w:p w14:paraId="03357E71" w14:textId="77777777" w:rsidR="00EB1BF9" w:rsidRPr="00EB1BF9" w:rsidRDefault="00EB1BF9" w:rsidP="00EB1BF9">
      <w:pPr>
        <w:rPr>
          <w:lang w:val="en-GB" w:eastAsia="en-AU"/>
        </w:rPr>
      </w:pPr>
      <w:r w:rsidRPr="00EB1BF9">
        <w:rPr>
          <w:lang w:val="en-GB" w:eastAsia="en-AU"/>
        </w:rPr>
        <w:t>Nielsen, B. L., M. G. Thomsen, P. Sorensen, and J. F. Young. 2003b. Feed and strain effects on the use of outdoor areas by broilers. British Poultry Science 44:161-169. doi 10.1080/0007166031000088389</w:t>
      </w:r>
    </w:p>
    <w:p w14:paraId="3640606F" w14:textId="77777777" w:rsidR="00EB1BF9" w:rsidRPr="00EB1BF9" w:rsidRDefault="00EB1BF9" w:rsidP="00EB1BF9">
      <w:pPr>
        <w:rPr>
          <w:lang w:val="en-GB" w:eastAsia="en-AU"/>
        </w:rPr>
      </w:pPr>
      <w:r w:rsidRPr="00EB1BF9">
        <w:rPr>
          <w:lang w:val="en-GB" w:eastAsia="en-AU"/>
        </w:rPr>
        <w:t>Nijdam, E., E. Delezie, E. Larnbooij, M. J. A. Nabuurs, E. Decuypere, and J. A. Stegeman. 2005. Processing, products, and food safety - Comparison of bruises and mortality, stress parameters, and meat quality in manually and mechanically caught broile</w:t>
      </w:r>
      <w:r w:rsidR="00553483">
        <w:rPr>
          <w:lang w:val="en-GB" w:eastAsia="en-AU"/>
        </w:rPr>
        <w:t>rs. Poultry Science 84:467-474.</w:t>
      </w:r>
    </w:p>
    <w:p w14:paraId="5EC062AF" w14:textId="77777777" w:rsidR="00EB1BF9" w:rsidRPr="00EB1BF9" w:rsidRDefault="00EB1BF9" w:rsidP="00EB1BF9">
      <w:pPr>
        <w:rPr>
          <w:lang w:val="en-GB" w:eastAsia="en-AU"/>
        </w:rPr>
      </w:pPr>
      <w:r w:rsidRPr="00EB1BF9">
        <w:rPr>
          <w:lang w:val="en-GB" w:eastAsia="en-AU"/>
        </w:rPr>
        <w:t>Niu, Z. Y., F. Z. Liu, Q. L. Yan, and W. C. Li. 2009. Effects of different levels of vitamin E on growth performance and immune responses of broilers under heat stress. Poultry Science 88:2101-2107. doi 10.3382/ps.2009-00220</w:t>
      </w:r>
    </w:p>
    <w:p w14:paraId="1596B4AF" w14:textId="77777777" w:rsidR="00EB1BF9" w:rsidRPr="00EB1BF9" w:rsidRDefault="00EB1BF9" w:rsidP="00EB1BF9">
      <w:pPr>
        <w:rPr>
          <w:lang w:val="en-GB" w:eastAsia="en-AU"/>
        </w:rPr>
      </w:pPr>
      <w:r w:rsidRPr="00EB1BF9">
        <w:rPr>
          <w:lang w:val="en-GB" w:eastAsia="en-AU"/>
        </w:rPr>
        <w:t>Norring, M., E. Kaukonen, and A. Valros. 2016. The use of perches and platforms by broiler chickens. Applied Animal Behaviour Science 184:91-96. doi 10.1016/j.applanim.2016.07.012</w:t>
      </w:r>
    </w:p>
    <w:p w14:paraId="519E60A2" w14:textId="77777777" w:rsidR="00EB1BF9" w:rsidRPr="00EB1BF9" w:rsidRDefault="00EB1BF9" w:rsidP="00EB1BF9">
      <w:pPr>
        <w:rPr>
          <w:lang w:val="en-GB" w:eastAsia="en-AU"/>
        </w:rPr>
      </w:pPr>
      <w:r w:rsidRPr="00EB1BF9">
        <w:rPr>
          <w:lang w:val="en-GB" w:eastAsia="en-AU"/>
        </w:rPr>
        <w:t>Nowaczewski, S., A. Rosinski, M. Markiewicz, and H. Kontecka. 2011. Performance, foot-pad dermatitis and haemoglobin saturation in broiler chickens kept on different types of litter. Archiv Fur Geflugelku</w:t>
      </w:r>
      <w:r w:rsidR="00553483">
        <w:rPr>
          <w:lang w:val="en-GB" w:eastAsia="en-AU"/>
        </w:rPr>
        <w:t>nde 75:132-139.</w:t>
      </w:r>
    </w:p>
    <w:p w14:paraId="43EE167F" w14:textId="77777777" w:rsidR="00EB1BF9" w:rsidRPr="00EB1BF9" w:rsidRDefault="00EB1BF9" w:rsidP="00EB1BF9">
      <w:pPr>
        <w:rPr>
          <w:lang w:val="en-GB" w:eastAsia="en-AU"/>
        </w:rPr>
      </w:pPr>
      <w:r w:rsidRPr="00EB1BF9">
        <w:rPr>
          <w:lang w:val="en-GB" w:eastAsia="en-AU"/>
        </w:rPr>
        <w:t>Nowaczewski, S., M. Babuszkiewicz, and S. Kaczmarek. 2016. Effect of broiler breeders’ age on eggshell temperature, embryo viability and hatchability parameters. Annals of Animal Science 16:235-243. doi 10.1515/aoas-2015-0081</w:t>
      </w:r>
    </w:p>
    <w:p w14:paraId="1FE1D257" w14:textId="77777777" w:rsidR="00EB1BF9" w:rsidRPr="00EB1BF9" w:rsidRDefault="00EB1BF9" w:rsidP="00EB1BF9">
      <w:pPr>
        <w:rPr>
          <w:lang w:val="en-GB" w:eastAsia="en-AU"/>
        </w:rPr>
      </w:pPr>
      <w:r w:rsidRPr="00EB1BF9">
        <w:rPr>
          <w:lang w:val="en-GB" w:eastAsia="en-AU"/>
        </w:rPr>
        <w:t>Ohara, A., C. Oyakawa, Y. Yoshihara, S. Ninomiya, and S. Sato. 2015. Effect of Environmental Enrichment on the Behavior and Welfare of Japanese Broilers at a Commercial Farm. Journal of Poultry Science 52:323-330. doi 10.2141/jpsa.0150034</w:t>
      </w:r>
    </w:p>
    <w:p w14:paraId="354F2308" w14:textId="77777777" w:rsidR="00EB1BF9" w:rsidRPr="00EB1BF9" w:rsidRDefault="00EB1BF9" w:rsidP="00EB1BF9">
      <w:pPr>
        <w:rPr>
          <w:lang w:val="en-GB" w:eastAsia="en-AU"/>
        </w:rPr>
      </w:pPr>
      <w:r w:rsidRPr="00EB1BF9">
        <w:rPr>
          <w:lang w:val="en-GB" w:eastAsia="en-AU"/>
        </w:rPr>
        <w:t xml:space="preserve">Okelo, R. O., L. E. Carr, P. C. Harrison, L. W. Douglass, V. E. Byrd, C. W. Wabeck, P. D. Schreuders, F. W. Wheaton, and N. G. Zimmermann. 2003. Effectiveness of a novel method to reduce heat stress in broilers: A cool roost system. Transactions of the </w:t>
      </w:r>
      <w:r w:rsidR="0077095C">
        <w:rPr>
          <w:lang w:val="en-GB" w:eastAsia="en-AU"/>
        </w:rPr>
        <w:t>ASAE</w:t>
      </w:r>
      <w:r w:rsidR="00553483">
        <w:rPr>
          <w:lang w:val="en-GB" w:eastAsia="en-AU"/>
        </w:rPr>
        <w:t xml:space="preserve"> 46:1675-1683.</w:t>
      </w:r>
    </w:p>
    <w:p w14:paraId="37FFB210" w14:textId="77777777" w:rsidR="00EB1BF9" w:rsidRPr="00EB1BF9" w:rsidRDefault="00EB1BF9" w:rsidP="00EB1BF9">
      <w:pPr>
        <w:rPr>
          <w:lang w:val="en-GB" w:eastAsia="en-AU"/>
        </w:rPr>
      </w:pPr>
      <w:r w:rsidRPr="00EB1BF9">
        <w:rPr>
          <w:lang w:val="en-GB" w:eastAsia="en-AU"/>
        </w:rPr>
        <w:t>Olanrewaju, H. A., J. P. Thaxton, W. A. Dozier, J. Purswell, S. D. Collier, and S. L. Branton. 2008. Interactive effects of ammonia and light intensity on hematochemical variables in broiler chickens. Poultry Science 87:1407-1414. doi 10.3382/ps.2007-00486</w:t>
      </w:r>
    </w:p>
    <w:p w14:paraId="675EE694" w14:textId="77777777" w:rsidR="00EB1BF9" w:rsidRPr="00EB1BF9" w:rsidRDefault="00EB1BF9" w:rsidP="00EB1BF9">
      <w:pPr>
        <w:rPr>
          <w:lang w:val="en-GB" w:eastAsia="en-AU"/>
        </w:rPr>
      </w:pPr>
      <w:r w:rsidRPr="00EB1BF9">
        <w:rPr>
          <w:lang w:val="en-GB" w:eastAsia="en-AU"/>
        </w:rPr>
        <w:t>Olanrewaju, H. A., J. L. Purswell, and S. D. Collier, and S. L. Branton. 2009. Age-related effects of varying ammonia concentrations on hematophysiological variables in broiler chickens. International Journal of Poultry Science 8:138–144. doi 10.3923/ijps.2009.138.144</w:t>
      </w:r>
    </w:p>
    <w:p w14:paraId="3EC0A2A4" w14:textId="77777777" w:rsidR="00EB1BF9" w:rsidRPr="00EB1BF9" w:rsidRDefault="00EB1BF9" w:rsidP="00EB1BF9">
      <w:pPr>
        <w:rPr>
          <w:lang w:val="en-GB" w:eastAsia="en-AU"/>
        </w:rPr>
      </w:pPr>
      <w:r w:rsidRPr="00EB1BF9">
        <w:rPr>
          <w:lang w:val="en-GB" w:eastAsia="en-AU"/>
        </w:rPr>
        <w:t>Olanrewaju, H. A., J. L. Purswell, S. D. Collier, and S. L. Branton. 2010. Effect of ambient temperature and light intensity on physiological reactions of heavy broiler chickens. Poultry Science 89:2668-2677. doi 10.3382/ps.2010-00806</w:t>
      </w:r>
    </w:p>
    <w:p w14:paraId="7F2C5679" w14:textId="77777777" w:rsidR="00EB1BF9" w:rsidRPr="00EB1BF9" w:rsidRDefault="00EB1BF9" w:rsidP="00EB1BF9">
      <w:pPr>
        <w:rPr>
          <w:lang w:val="en-GB" w:eastAsia="en-AU"/>
        </w:rPr>
      </w:pPr>
      <w:r w:rsidRPr="00EB1BF9">
        <w:rPr>
          <w:lang w:val="en-GB" w:eastAsia="en-AU"/>
        </w:rPr>
        <w:t>Olanrewaju, H. A., J. L. Purswell, S. D. Collier, and S. L. Branton. 2013. Interactive effects of photoperiod and light intensity on blood physiological and biochemical reactions of broilers grown to heavy weights. Poultry Science 92:1029-1039. doi 10.3382/ps.2012-02792</w:t>
      </w:r>
    </w:p>
    <w:p w14:paraId="62FE6B8C" w14:textId="77777777" w:rsidR="00EB1BF9" w:rsidRPr="00EB1BF9" w:rsidRDefault="00EB1BF9" w:rsidP="00EB1BF9">
      <w:pPr>
        <w:rPr>
          <w:lang w:val="en-GB" w:eastAsia="en-AU"/>
        </w:rPr>
      </w:pPr>
      <w:r w:rsidRPr="00EB1BF9">
        <w:rPr>
          <w:lang w:val="en-GB" w:eastAsia="en-AU"/>
        </w:rPr>
        <w:t>Olanrewaju, H. A., J. L. Purswell, S. D. Collier, and S. L. Branton. 2014a. Effects of genetic strain and light intensity on blood physiological variables of broilers grown to heavy weights. Poultry Science 93:970-978. doi 10.3382/ps.2013-03613</w:t>
      </w:r>
    </w:p>
    <w:p w14:paraId="5570C2FC" w14:textId="77777777" w:rsidR="00EB1BF9" w:rsidRPr="00EB1BF9" w:rsidRDefault="00EB1BF9" w:rsidP="00EB1BF9">
      <w:pPr>
        <w:rPr>
          <w:lang w:val="en-GB" w:eastAsia="en-AU"/>
        </w:rPr>
      </w:pPr>
      <w:r w:rsidRPr="00EB1BF9">
        <w:rPr>
          <w:lang w:val="en-GB" w:eastAsia="en-AU"/>
        </w:rPr>
        <w:t>Olanrewaju, H. A., W. W. Miller, W. R. Maslin, S. D. Collier, J. L. Purswell, and S. L. Branton. 2014b. Effects of strain and light intensity on growth performance and carcass characteristics of broilers grown to heavy weights. Poultry Science 93:1890-1899. doi 10.3382/ps.2013-03806</w:t>
      </w:r>
    </w:p>
    <w:p w14:paraId="61F51151" w14:textId="77777777" w:rsidR="00EB1BF9" w:rsidRPr="00EB1BF9" w:rsidRDefault="00EB1BF9" w:rsidP="00EB1BF9">
      <w:pPr>
        <w:rPr>
          <w:lang w:val="en-GB" w:eastAsia="en-AU"/>
        </w:rPr>
      </w:pPr>
      <w:r w:rsidRPr="00EB1BF9">
        <w:rPr>
          <w:lang w:val="en-GB" w:eastAsia="en-AU"/>
        </w:rPr>
        <w:t>Olanrewaju, H. A., J. L. Purswell, S. D. Collier, and S. L. Branton. 2015a. Effects of color temperatures (Kelvin) of LED bulbs on blood physiological variables of broilers grown to heavy weights. Poultry Science 94:1721-1728. doi 10.3382/ps/pev139</w:t>
      </w:r>
    </w:p>
    <w:p w14:paraId="11A62D1D" w14:textId="77777777" w:rsidR="00EB1BF9" w:rsidRPr="00EB1BF9" w:rsidRDefault="00EB1BF9" w:rsidP="00EB1BF9">
      <w:pPr>
        <w:rPr>
          <w:lang w:val="en-GB" w:eastAsia="en-AU"/>
        </w:rPr>
      </w:pPr>
      <w:r w:rsidRPr="00EB1BF9">
        <w:rPr>
          <w:lang w:val="en-GB" w:eastAsia="en-AU"/>
        </w:rPr>
        <w:t>Olanrewaju, H. A., J. L. Purswell, W. R. Maslin, S. D. Collier, and S. L. Branton. 2015b. Effects of color temperatures (kelvin) of LED bulbs on growth performance, carcass characteristics, and ocular development indices of broilers grown to heavy weights. Poultry Science 94:338-344. doi 10.3382/ps/peu082</w:t>
      </w:r>
    </w:p>
    <w:p w14:paraId="2F1D7F76" w14:textId="77777777" w:rsidR="00EB1BF9" w:rsidRPr="00EB1BF9" w:rsidRDefault="00EB1BF9" w:rsidP="00EB1BF9">
      <w:pPr>
        <w:rPr>
          <w:lang w:val="en-GB" w:eastAsia="en-AU"/>
        </w:rPr>
      </w:pPr>
      <w:r w:rsidRPr="00EB1BF9">
        <w:rPr>
          <w:lang w:val="en-GB" w:eastAsia="en-AU"/>
        </w:rPr>
        <w:t>Olanrewaju, H. A., W. W. Miller, W. R. Maslin, S. D. Collier, J. L. Purswell, and S. L. Branton. 2016. Effects of light sources and intensity on broilers grown to heavy weights. Part 1: Growth performance, carcass characteristics, and welfare indices. Poultry Science 95:727-735. doi 10.3382/ps/pev360</w:t>
      </w:r>
    </w:p>
    <w:p w14:paraId="19AFA81D" w14:textId="77777777" w:rsidR="00EB1BF9" w:rsidRPr="00EB1BF9" w:rsidRDefault="00EB1BF9" w:rsidP="00EB1BF9">
      <w:pPr>
        <w:rPr>
          <w:lang w:val="en-GB" w:eastAsia="en-AU"/>
        </w:rPr>
      </w:pPr>
      <w:r w:rsidRPr="00EB1BF9">
        <w:rPr>
          <w:lang w:val="en-GB" w:eastAsia="en-AU"/>
        </w:rPr>
        <w:t>Olkowski, A. A., S. Nain, B. Laarveld, and C. Wojnarowicz. 2015. Changes in eggshell structure and predisposition of broilers to health problems: is there a common pathophysiology? British Poultry Science 56:267-274. doi 10.1080/00071668.2015.1008995</w:t>
      </w:r>
    </w:p>
    <w:p w14:paraId="02D116A3" w14:textId="77777777" w:rsidR="00EB1BF9" w:rsidRPr="00EB1BF9" w:rsidRDefault="00EB1BF9" w:rsidP="00EB1BF9">
      <w:pPr>
        <w:rPr>
          <w:lang w:val="en-GB" w:eastAsia="en-AU"/>
        </w:rPr>
      </w:pPr>
      <w:r w:rsidRPr="00EB1BF9">
        <w:rPr>
          <w:lang w:val="en-GB" w:eastAsia="en-AU"/>
        </w:rPr>
        <w:t>Olukosi, O. A., O. C. Daniyan, and O. Matanmi. 2002. Effects of feeder space allowance on agonistic behaviour and growth performance of broilers (short communication). Archiv Fur Tierzucht-Archives</w:t>
      </w:r>
      <w:r w:rsidR="00553483">
        <w:rPr>
          <w:lang w:val="en-GB" w:eastAsia="en-AU"/>
        </w:rPr>
        <w:t xml:space="preserve"> of Animal Breeding 45:205-209.</w:t>
      </w:r>
    </w:p>
    <w:p w14:paraId="2A5E243D" w14:textId="77777777" w:rsidR="00EB1BF9" w:rsidRPr="00EB1BF9" w:rsidRDefault="00EB1BF9" w:rsidP="00EB1BF9">
      <w:pPr>
        <w:rPr>
          <w:lang w:val="en-GB" w:eastAsia="en-AU"/>
        </w:rPr>
      </w:pPr>
      <w:r w:rsidRPr="00EB1BF9">
        <w:rPr>
          <w:bCs/>
          <w:lang w:val="en-AU" w:eastAsia="en-AU"/>
        </w:rPr>
        <w:t>Onbaşılar</w:t>
      </w:r>
      <w:r w:rsidRPr="00EB1BF9">
        <w:rPr>
          <w:lang w:val="en-GB" w:eastAsia="en-AU"/>
        </w:rPr>
        <w:t>, E. E., H. Erol, Z. Cantekin, and U. Kaya. 2007. Influence of intermittent lighting on broiler performance, incidence of tibial dyschondroplasia, tonic immobility, some blood parameters and antibody production. Asian-Australasian Journal of Anima</w:t>
      </w:r>
      <w:r w:rsidR="00553483">
        <w:rPr>
          <w:lang w:val="en-GB" w:eastAsia="en-AU"/>
        </w:rPr>
        <w:t>l Sciences 20:550-555.</w:t>
      </w:r>
    </w:p>
    <w:p w14:paraId="78A0F467" w14:textId="77777777" w:rsidR="00EB1BF9" w:rsidRPr="00EB1BF9" w:rsidRDefault="00EB1BF9" w:rsidP="00EB1BF9">
      <w:pPr>
        <w:rPr>
          <w:lang w:val="en-GB" w:eastAsia="en-AU"/>
        </w:rPr>
      </w:pPr>
      <w:r w:rsidRPr="00EB1BF9">
        <w:rPr>
          <w:bCs/>
          <w:lang w:val="en-AU" w:eastAsia="en-AU"/>
        </w:rPr>
        <w:t>Onbaşılar</w:t>
      </w:r>
      <w:r w:rsidRPr="00EB1BF9">
        <w:rPr>
          <w:lang w:val="en-GB" w:eastAsia="en-AU"/>
        </w:rPr>
        <w:t>, E. E., O. Poyraz, E. Erdem, and H. Ozturk. 2008. Influence of lighting periods and stocking densities on performance, carcass characteristics and some stress parameters in broilers. Archi</w:t>
      </w:r>
      <w:r w:rsidR="00553483">
        <w:rPr>
          <w:lang w:val="en-GB" w:eastAsia="en-AU"/>
        </w:rPr>
        <w:t>v Fur Geflugelkunde 72:193-201.</w:t>
      </w:r>
    </w:p>
    <w:p w14:paraId="51CD05C2" w14:textId="77777777" w:rsidR="00EB1BF9" w:rsidRPr="00EB1BF9" w:rsidRDefault="00EB1BF9" w:rsidP="00EB1BF9">
      <w:pPr>
        <w:rPr>
          <w:lang w:val="en-GB" w:eastAsia="en-AU"/>
        </w:rPr>
      </w:pPr>
      <w:r w:rsidRPr="00EB1BF9">
        <w:rPr>
          <w:lang w:val="en-GB" w:eastAsia="en-AU"/>
        </w:rPr>
        <w:t>Oso, A. O., A. A. Idowu, and O. T. Niameh. 2011. Growth response, nutrient and mineral retention, bone mineralisation and walking ability of broiler chickens fed with dietary inclusion of various unconventional mineral sources. Journal of Animal Physiology and Animal Nutrition 95:461-467. doi 10.1111/j.1439-0396.2010.01073.x</w:t>
      </w:r>
    </w:p>
    <w:p w14:paraId="4162C482" w14:textId="77777777" w:rsidR="00EB1BF9" w:rsidRPr="00EB1BF9" w:rsidRDefault="00EB1BF9" w:rsidP="00EB1BF9">
      <w:pPr>
        <w:rPr>
          <w:lang w:val="en-GB" w:eastAsia="en-AU"/>
        </w:rPr>
      </w:pPr>
      <w:r w:rsidRPr="00EB1BF9">
        <w:rPr>
          <w:lang w:val="en-GB" w:eastAsia="en-AU"/>
        </w:rPr>
        <w:t>Oviedo-Rondon, E. O., J. Small, M. J. Wineland, V. L. Christensen, P. S. Mozdziak, M. D. Koci, S. V. L. Funderburk, D. T. Ort, and K. M. Mann. 2008. Broiler embryo bone development is influenced by incubator temperature, oxygen concentration and eggshell conductance at the plateau stage in oxygen consumption. British Poultry Science 49:666-676. doi 10.1080/00071660802433149</w:t>
      </w:r>
    </w:p>
    <w:p w14:paraId="051991B0" w14:textId="77777777" w:rsidR="00EB1BF9" w:rsidRPr="00EB1BF9" w:rsidRDefault="00EB1BF9" w:rsidP="00EB1BF9">
      <w:pPr>
        <w:rPr>
          <w:lang w:val="en-GB" w:eastAsia="en-AU"/>
        </w:rPr>
      </w:pPr>
      <w:r w:rsidRPr="00EB1BF9">
        <w:rPr>
          <w:lang w:val="en-GB" w:eastAsia="en-AU"/>
        </w:rPr>
        <w:t>Oviedo-Rondon, E. O., M. J. Wineland, J. Small, H. Cutchin, A. McElroy, A. Barri, and S. Martin. 2009a. Effect of incubation temperatures and chick transportation conditions on bone development and leg health. Journal of Applied Poultry Research 18:671-678. doi 10.3382/japr.2008-00135</w:t>
      </w:r>
    </w:p>
    <w:p w14:paraId="40F6B3FA" w14:textId="77777777" w:rsidR="00EB1BF9" w:rsidRPr="00EB1BF9" w:rsidRDefault="00EB1BF9" w:rsidP="00EB1BF9">
      <w:pPr>
        <w:rPr>
          <w:lang w:val="en-GB" w:eastAsia="en-AU"/>
        </w:rPr>
      </w:pPr>
      <w:r w:rsidRPr="00EB1BF9">
        <w:rPr>
          <w:lang w:val="en-GB" w:eastAsia="en-AU"/>
        </w:rPr>
        <w:t>Oviedo-Rondon, E. O., M. J. Wineland, S. Funderburk, J. Small, H. Cutchin, and M. Mann. 2009b. Incubation conditions affect leg health in large, high-yield broilers. Journal of Applied Poultry Research 18:640-646. doi 10.3382/japr.2008-00127</w:t>
      </w:r>
    </w:p>
    <w:p w14:paraId="536349A6" w14:textId="77777777" w:rsidR="00EB1BF9" w:rsidRPr="00EB1BF9" w:rsidRDefault="00EB1BF9" w:rsidP="00EB1BF9">
      <w:pPr>
        <w:rPr>
          <w:lang w:val="en-GB" w:eastAsia="en-AU"/>
        </w:rPr>
      </w:pPr>
      <w:r w:rsidRPr="00EB1BF9">
        <w:rPr>
          <w:lang w:val="en-GB" w:eastAsia="en-AU"/>
        </w:rPr>
        <w:t xml:space="preserve">Ozhan, N., U. G. Simsek, and M. Ozcelik. 2016. Comparison of floor and cage housing systems in terms of some welfare assessments in broiler. Ankara Universitesi Veteriner Fakultesi Dergisi 63:317-322. </w:t>
      </w:r>
    </w:p>
    <w:p w14:paraId="230D3841" w14:textId="77777777" w:rsidR="00EB1BF9" w:rsidRPr="00EB1BF9" w:rsidRDefault="00446673" w:rsidP="00EB1BF9">
      <w:pPr>
        <w:rPr>
          <w:lang w:val="en-GB" w:eastAsia="en-AU"/>
        </w:rPr>
      </w:pPr>
      <w:r w:rsidRPr="00446673">
        <w:rPr>
          <w:lang w:val="en-GB" w:eastAsia="en-AU"/>
        </w:rPr>
        <w:t>Özkan</w:t>
      </w:r>
      <w:r w:rsidR="00EB1BF9" w:rsidRPr="00EB1BF9">
        <w:rPr>
          <w:lang w:val="en-GB" w:eastAsia="en-AU"/>
        </w:rPr>
        <w:t>, S., C. Takma, S. Yahav, B. Sogut, L. Turkmut, H. Erturun, and A. Cahaner. 2010. The effects of feed restriction and ambient temperature on growth and ascites mortality of broilers reared at high altitude. Poultry Science 89:974-985. doi 10.3382/ps.2009-00293</w:t>
      </w:r>
    </w:p>
    <w:p w14:paraId="4D33CC03" w14:textId="77777777" w:rsidR="00EB1BF9" w:rsidRPr="00EB1BF9" w:rsidRDefault="00446673" w:rsidP="00EB1BF9">
      <w:pPr>
        <w:rPr>
          <w:lang w:val="en-GB" w:eastAsia="en-AU"/>
        </w:rPr>
      </w:pPr>
      <w:r w:rsidRPr="00446673">
        <w:rPr>
          <w:lang w:val="en-GB" w:eastAsia="en-AU"/>
        </w:rPr>
        <w:t>Özkan</w:t>
      </w:r>
      <w:r w:rsidR="00EB1BF9" w:rsidRPr="00EB1BF9">
        <w:rPr>
          <w:lang w:val="en-GB" w:eastAsia="en-AU"/>
        </w:rPr>
        <w:t>, S., S. Yalcin, E. Babacanoglu, H. Kozanoglu, F. Karadas, and S. Uysal. 2012. Photoperiodic lighting (16 hours of light:8 hours of dark) programs during incubation: 1. Effects on growth and circadian physiological traits of embryos and early stress response of broiler chickens. Poultry Science 91:2912-2921. doi 10.3382/ps.2012-02426</w:t>
      </w:r>
    </w:p>
    <w:p w14:paraId="572663FC" w14:textId="77777777" w:rsidR="00EB1BF9" w:rsidRPr="00EB1BF9" w:rsidRDefault="00EB1BF9" w:rsidP="00EB1BF9">
      <w:pPr>
        <w:rPr>
          <w:lang w:val="en-GB" w:eastAsia="en-AU"/>
        </w:rPr>
      </w:pPr>
      <w:r w:rsidRPr="00EB1BF9">
        <w:rPr>
          <w:lang w:val="en-GB" w:eastAsia="en-AU"/>
        </w:rPr>
        <w:t>Oznurlu, Y., E. Sur, T. Ozaydin, I. Celik, and D. Uluisik. 2016. Histological and Histochemical Evaluations on the Effects of High Incubation Temperature on the Embryonic Development of Tibial Growth Plate in Broiler Chickens. Microscopy Research and Technique 79:106-110. doi 10.1002/jemt.22611</w:t>
      </w:r>
    </w:p>
    <w:p w14:paraId="76D68CAA" w14:textId="77777777" w:rsidR="00EB1BF9" w:rsidRPr="00EB1BF9" w:rsidRDefault="00EB1BF9" w:rsidP="00EB1BF9">
      <w:pPr>
        <w:rPr>
          <w:lang w:val="en-GB" w:eastAsia="en-AU"/>
        </w:rPr>
      </w:pPr>
      <w:r w:rsidRPr="00EB1BF9">
        <w:rPr>
          <w:lang w:val="en-GB" w:eastAsia="en-AU"/>
        </w:rPr>
        <w:t>Pagazaurtundua, A., and P. D. Warriss. 2006. Levels of foot pad dermatitis in broiler chickens reared in 5 different systems. British Poultry Science 47:529-532. doi 10.1080/00071660600963024</w:t>
      </w:r>
    </w:p>
    <w:p w14:paraId="1FDF58F6" w14:textId="77777777" w:rsidR="00EB1BF9" w:rsidRPr="00EB1BF9" w:rsidRDefault="00EB1BF9" w:rsidP="00EB1BF9">
      <w:pPr>
        <w:rPr>
          <w:lang w:val="en-GB" w:eastAsia="en-AU"/>
        </w:rPr>
      </w:pPr>
      <w:r w:rsidRPr="00EB1BF9">
        <w:rPr>
          <w:lang w:val="en-GB" w:eastAsia="en-AU"/>
        </w:rPr>
        <w:t>Pakdel, A., P. Bijma, B. J. Ducro, and H. Bovenhuis. 2005. Selection strategies for body weight and reduced ascites susceptibility in broile</w:t>
      </w:r>
      <w:r w:rsidR="00154080">
        <w:rPr>
          <w:lang w:val="en-GB" w:eastAsia="en-AU"/>
        </w:rPr>
        <w:t>rs. Poultry Science 84:528-535.</w:t>
      </w:r>
    </w:p>
    <w:p w14:paraId="56648AF1" w14:textId="77777777" w:rsidR="00EB1BF9" w:rsidRPr="00EB1BF9" w:rsidRDefault="00EB1BF9" w:rsidP="00EB1BF9">
      <w:pPr>
        <w:rPr>
          <w:lang w:val="en-AU" w:eastAsia="en-AU"/>
        </w:rPr>
      </w:pPr>
      <w:r w:rsidRPr="00EB1BF9">
        <w:rPr>
          <w:lang w:val="en-AU" w:eastAsia="en-AU"/>
        </w:rPr>
        <w:t xml:space="preserve">Palamidi, I., </w:t>
      </w:r>
      <w:r w:rsidR="00154080">
        <w:rPr>
          <w:lang w:val="en-AU" w:eastAsia="en-AU"/>
        </w:rPr>
        <w:t xml:space="preserve">K. </w:t>
      </w:r>
      <w:r w:rsidRPr="00EB1BF9">
        <w:rPr>
          <w:lang w:val="en-AU" w:eastAsia="en-AU"/>
        </w:rPr>
        <w:t xml:space="preserve">Fegeros, </w:t>
      </w:r>
      <w:r w:rsidR="00154080">
        <w:rPr>
          <w:lang w:val="en-AU" w:eastAsia="en-AU"/>
        </w:rPr>
        <w:t>M.</w:t>
      </w:r>
      <w:r w:rsidRPr="00EB1BF9">
        <w:rPr>
          <w:lang w:val="en-AU" w:eastAsia="en-AU"/>
        </w:rPr>
        <w:t xml:space="preserve"> Mohnl, </w:t>
      </w:r>
      <w:r w:rsidR="00154080">
        <w:rPr>
          <w:lang w:val="en-AU" w:eastAsia="en-AU"/>
        </w:rPr>
        <w:t>W. H. A.</w:t>
      </w:r>
      <w:r w:rsidRPr="00EB1BF9">
        <w:rPr>
          <w:lang w:val="en-AU" w:eastAsia="en-AU"/>
        </w:rPr>
        <w:t xml:space="preserve"> Abdelrahman, </w:t>
      </w:r>
      <w:r w:rsidR="00154080">
        <w:rPr>
          <w:lang w:val="en-AU" w:eastAsia="en-AU"/>
        </w:rPr>
        <w:t>G.</w:t>
      </w:r>
      <w:r w:rsidRPr="00EB1BF9">
        <w:rPr>
          <w:lang w:val="en-AU" w:eastAsia="en-AU"/>
        </w:rPr>
        <w:t xml:space="preserve"> Schatzmayr, G. Theodoropoulos, and </w:t>
      </w:r>
      <w:r w:rsidR="00154080">
        <w:rPr>
          <w:lang w:val="en-AU" w:eastAsia="en-AU"/>
        </w:rPr>
        <w:t>K. C.</w:t>
      </w:r>
      <w:r w:rsidRPr="00EB1BF9">
        <w:rPr>
          <w:lang w:val="en-AU" w:eastAsia="en-AU"/>
        </w:rPr>
        <w:t xml:space="preserve"> Mountzouris</w:t>
      </w:r>
      <w:r w:rsidR="00154080">
        <w:rPr>
          <w:lang w:val="en-AU" w:eastAsia="en-AU"/>
        </w:rPr>
        <w:t xml:space="preserve">. </w:t>
      </w:r>
      <w:r w:rsidRPr="00EB1BF9">
        <w:rPr>
          <w:lang w:val="en-AU" w:eastAsia="en-AU"/>
        </w:rPr>
        <w:t xml:space="preserve">2016. Probiotic form effects on growth performance, digestive function, and immune related biomarkers in broilers. </w:t>
      </w:r>
      <w:r w:rsidRPr="00EB1BF9">
        <w:rPr>
          <w:iCs/>
          <w:lang w:val="en-AU" w:eastAsia="en-AU"/>
        </w:rPr>
        <w:t>Poultry Science 95</w:t>
      </w:r>
      <w:r w:rsidR="00154080">
        <w:rPr>
          <w:iCs/>
          <w:lang w:val="en-AU" w:eastAsia="en-AU"/>
        </w:rPr>
        <w:t>:</w:t>
      </w:r>
      <w:r w:rsidRPr="00EB1BF9">
        <w:rPr>
          <w:iCs/>
          <w:lang w:val="en-AU" w:eastAsia="en-AU"/>
        </w:rPr>
        <w:t>1598-1608</w:t>
      </w:r>
      <w:r w:rsidR="00154080">
        <w:rPr>
          <w:iCs/>
          <w:lang w:val="en-AU" w:eastAsia="en-AU"/>
        </w:rPr>
        <w:t>.</w:t>
      </w:r>
    </w:p>
    <w:p w14:paraId="6A331484" w14:textId="77777777" w:rsidR="00EB1BF9" w:rsidRPr="00EB1BF9" w:rsidRDefault="00EB1BF9" w:rsidP="00EB1BF9">
      <w:pPr>
        <w:rPr>
          <w:lang w:val="en-GB" w:eastAsia="en-AU"/>
        </w:rPr>
      </w:pPr>
      <w:r w:rsidRPr="00EB1BF9">
        <w:rPr>
          <w:lang w:val="en-GB" w:eastAsia="en-AU"/>
        </w:rPr>
        <w:t>Part, C. E., P. Edwards, S. Hajat, and L. M. Collins. 2016. Prevalence rates of health and welfare conditions in broiler chickens change with weather in a temperate climate. Royal Society Open Science 3. doi 10.1098/rsos.160197</w:t>
      </w:r>
    </w:p>
    <w:p w14:paraId="44A70B68" w14:textId="77777777" w:rsidR="00EB1BF9" w:rsidRPr="00EB1BF9" w:rsidRDefault="00EB1BF9" w:rsidP="00EB1BF9">
      <w:pPr>
        <w:rPr>
          <w:lang w:val="en-GB" w:eastAsia="en-AU"/>
        </w:rPr>
      </w:pPr>
      <w:r w:rsidRPr="00EB1BF9">
        <w:rPr>
          <w:lang w:val="en-GB" w:eastAsia="en-AU"/>
        </w:rPr>
        <w:t>Paz, I., R. G. Garcia, R. Bernardi, L. D. Seno, I. D. Naas, and F. R. Caldara. 2013. Locomotor problems in broilers reared on new and re-used litter. Italian Journal of Animal Science 12. doi 10.4081/ijas.2013.e45</w:t>
      </w:r>
    </w:p>
    <w:p w14:paraId="576D6D7F" w14:textId="77777777" w:rsidR="00EB1BF9" w:rsidRPr="00EB1BF9" w:rsidRDefault="00EB1BF9" w:rsidP="00EB1BF9">
      <w:pPr>
        <w:rPr>
          <w:lang w:val="en-GB" w:eastAsia="en-AU"/>
        </w:rPr>
      </w:pPr>
      <w:r w:rsidRPr="00EB1BF9">
        <w:rPr>
          <w:lang w:val="en-GB" w:eastAsia="en-AU"/>
        </w:rPr>
        <w:t>Pedroso, A. A., M. A. Andrade, M. B. Cafe, N. S. M. Leandro, J. F. M. Menten, and J. H. Stringhini. 2005. Fertility and hatchability of eggs laid in the pullet-to-breeder transition period and in the initial production period. Animal Reproduction Science 90:355-364. doi 10.1016/j.anireprosci.2005.03.001</w:t>
      </w:r>
    </w:p>
    <w:p w14:paraId="1C0E7D60" w14:textId="77777777" w:rsidR="00EB1BF9" w:rsidRPr="00EB1BF9" w:rsidRDefault="00EB1BF9" w:rsidP="00EB1BF9">
      <w:pPr>
        <w:rPr>
          <w:lang w:val="en-GB" w:eastAsia="en-AU"/>
        </w:rPr>
      </w:pPr>
      <w:r w:rsidRPr="00EB1BF9">
        <w:rPr>
          <w:lang w:val="en-GB" w:eastAsia="en-AU"/>
        </w:rPr>
        <w:t>Pelhaitre, A., S. Mignon-Grasteau, and A. Bertin. 2012. Selection for wheat digestibility affects emotionality and feeding behaviours in broiler chicks. Applied Animal Behaviour Science 139:114-122. doi 10.1016/j.applanim.2012.03.007</w:t>
      </w:r>
    </w:p>
    <w:p w14:paraId="72EC965A" w14:textId="77777777" w:rsidR="00EB1BF9" w:rsidRPr="00EB1BF9" w:rsidRDefault="00EB1BF9" w:rsidP="00EB1BF9">
      <w:pPr>
        <w:rPr>
          <w:lang w:val="en-GB" w:eastAsia="en-AU"/>
        </w:rPr>
      </w:pPr>
      <w:r w:rsidRPr="00EB1BF9">
        <w:rPr>
          <w:lang w:val="en-GB" w:eastAsia="en-AU"/>
        </w:rPr>
        <w:t>Petek, M., G. Sonmez, H. Yildiz, and H. Baspinar. 2005. Effects of different management factors on broiler performance and incidence of tibial dyschondroplasia. British Poultry Science 46:16-21. doi 10.1080/00071660400023821</w:t>
      </w:r>
    </w:p>
    <w:p w14:paraId="7950E9A9" w14:textId="77777777" w:rsidR="00EB1BF9" w:rsidRPr="00EB1BF9" w:rsidRDefault="00EB1BF9" w:rsidP="00EB1BF9">
      <w:pPr>
        <w:rPr>
          <w:lang w:val="en-GB" w:eastAsia="en-AU"/>
        </w:rPr>
      </w:pPr>
      <w:r w:rsidRPr="00EB1BF9">
        <w:rPr>
          <w:lang w:val="en-GB" w:eastAsia="en-AU"/>
        </w:rPr>
        <w:t>Petek, M., R. Cibik, H. Yildiz, F. A. Sonat, S. S. Gezen, A. Orman, and C. Aydin. 2010. The influence of different lighting programs, stocking densities and litter amounts on the welfare and productivity traits of a commercial broiler line. Veteri</w:t>
      </w:r>
      <w:r w:rsidR="00154080">
        <w:rPr>
          <w:lang w:val="en-GB" w:eastAsia="en-AU"/>
        </w:rPr>
        <w:t>narija Ir Zootechnika 51:36-43.</w:t>
      </w:r>
    </w:p>
    <w:p w14:paraId="3020F90C" w14:textId="77777777" w:rsidR="00EB1BF9" w:rsidRPr="00EB1BF9" w:rsidRDefault="00EB1BF9" w:rsidP="00EB1BF9">
      <w:pPr>
        <w:rPr>
          <w:lang w:val="en-GB" w:eastAsia="en-AU"/>
        </w:rPr>
      </w:pPr>
      <w:r w:rsidRPr="00EB1BF9">
        <w:rPr>
          <w:lang w:val="en-GB" w:eastAsia="en-AU"/>
        </w:rPr>
        <w:t>Petek, M., H. Ustuner, and D. Yesilbag. 2014. Effects of Stocking Density and Litter Type on Litter Quality and Growth Performance of Broiler Chicken. Kafkas Universitesi Veteriner Fakultesi Dergisi 20:743-748. doi 10.9775/kvfd.2014.11016</w:t>
      </w:r>
    </w:p>
    <w:p w14:paraId="7BFF168D" w14:textId="77777777" w:rsidR="00EB1BF9" w:rsidRPr="00EB1BF9" w:rsidRDefault="00EB1BF9" w:rsidP="00EB1BF9">
      <w:pPr>
        <w:rPr>
          <w:lang w:val="en-GB" w:eastAsia="en-AU"/>
        </w:rPr>
      </w:pPr>
      <w:r w:rsidRPr="00EB1BF9">
        <w:rPr>
          <w:lang w:val="en-GB" w:eastAsia="en-AU"/>
        </w:rPr>
        <w:t>Pettit-Riley, R., and I. Estevez. 2001. Effects of density on perching behavior of broiler chickens. Applied Animal Behaviour Science 71:127-140. doi 10.1016/s0168-1591(00)00174-x</w:t>
      </w:r>
    </w:p>
    <w:p w14:paraId="04110D39" w14:textId="77777777" w:rsidR="00EB1BF9" w:rsidRPr="00EB1BF9" w:rsidRDefault="00EB1BF9" w:rsidP="00EB1BF9">
      <w:pPr>
        <w:rPr>
          <w:lang w:val="en-GB" w:eastAsia="en-AU"/>
        </w:rPr>
      </w:pPr>
      <w:r w:rsidRPr="00EB1BF9">
        <w:rPr>
          <w:lang w:val="en-GB" w:eastAsia="en-AU"/>
        </w:rPr>
        <w:t>Pettit-Riley, R., I. Estevez, and E. Russek-Cohen. 2002. Effects of crowding and access to perches on aggressive behaviour in broilers. Applied Animal Behaviour Science 79:11-25. doi 10.1016/s0168-1591(02)00116-8</w:t>
      </w:r>
    </w:p>
    <w:p w14:paraId="1D34E9B3" w14:textId="77777777" w:rsidR="00EB1BF9" w:rsidRPr="00EB1BF9" w:rsidRDefault="00EB1BF9" w:rsidP="00EB1BF9">
      <w:pPr>
        <w:rPr>
          <w:lang w:val="en-GB" w:eastAsia="en-AU"/>
        </w:rPr>
      </w:pPr>
      <w:r w:rsidRPr="00EB1BF9">
        <w:rPr>
          <w:lang w:val="en-GB" w:eastAsia="en-AU"/>
        </w:rPr>
        <w:t>Pichova, K., J. Nordgreen, C. Leterrier, L. Kostal, and R. O. Moe. 2016. The effects of food-related environmental complexity on litter directed behaviour, fear and exploration of novel stimuli in young broiler chickens. Applied Animal Behaviour Science 174:83-89. doi 10.1016/j.applanim.2015.11.007</w:t>
      </w:r>
    </w:p>
    <w:p w14:paraId="11F62F07" w14:textId="77777777" w:rsidR="00EB1BF9" w:rsidRPr="00EB1BF9" w:rsidRDefault="00EB1BF9" w:rsidP="00EB1BF9">
      <w:pPr>
        <w:rPr>
          <w:lang w:val="en-GB" w:eastAsia="en-AU"/>
        </w:rPr>
      </w:pPr>
      <w:r w:rsidRPr="00EB1BF9">
        <w:rPr>
          <w:lang w:val="en-GB" w:eastAsia="en-AU"/>
        </w:rPr>
        <w:t>Pilecco, M., I. Paz, L. A. Tabaldi, I. A. Naas, R. G. Garcia, F. R. Caldara, and G. O. Andrela. 2012. Multi-Criteria Analysis of the Influence of Rearing, Equipment, and Catching Management Practices on the Incidence of Back Scratches in Broilers. Brazilian Journal</w:t>
      </w:r>
      <w:r w:rsidR="00914AA2">
        <w:rPr>
          <w:lang w:val="en-GB" w:eastAsia="en-AU"/>
        </w:rPr>
        <w:t xml:space="preserve"> of Poultry Science 14:275-282.</w:t>
      </w:r>
    </w:p>
    <w:p w14:paraId="2C76DF75" w14:textId="77777777" w:rsidR="00EB1BF9" w:rsidRPr="00EB1BF9" w:rsidRDefault="00EB1BF9" w:rsidP="00EB1BF9">
      <w:pPr>
        <w:rPr>
          <w:lang w:val="en-GB" w:eastAsia="en-AU"/>
        </w:rPr>
      </w:pPr>
      <w:r w:rsidRPr="00EB1BF9">
        <w:rPr>
          <w:lang w:val="en-GB" w:eastAsia="en-AU"/>
        </w:rPr>
        <w:t>Qaid, M., H. Albatshan, T. Shafey, E. Hussein, and A. M. Abudabos. 2016. Effect of Stocking Density on the Performance and Immunity of 1-to 14-d- Old Broiler Chicks. Brazilian Journal of Poultry Science 18:683-691. doi 10.1590/1806-9061-2016-0289</w:t>
      </w:r>
    </w:p>
    <w:p w14:paraId="67676305" w14:textId="77777777" w:rsidR="00EB1BF9" w:rsidRPr="00EB1BF9" w:rsidRDefault="00EB1BF9" w:rsidP="00EB1BF9">
      <w:pPr>
        <w:rPr>
          <w:lang w:val="en-GB" w:eastAsia="en-AU"/>
        </w:rPr>
      </w:pPr>
      <w:r w:rsidRPr="00EB1BF9">
        <w:rPr>
          <w:lang w:val="en-GB" w:eastAsia="en-AU"/>
        </w:rPr>
        <w:t>Queiroz, M. L. D., J. A. D. Barbosa, L. M. Duarte, D. D. Brasil, and C. R. F. Gadelha. 2015. Environmental and Physiological Variables During the Catching of Broilers. Brazilian Journal of Poultry Science 17:37-43. doi 10.1590/1516-635x170137-44</w:t>
      </w:r>
    </w:p>
    <w:p w14:paraId="044E96A7" w14:textId="77777777" w:rsidR="00EB1BF9" w:rsidRPr="00EB1BF9" w:rsidRDefault="00EB1BF9" w:rsidP="00EB1BF9">
      <w:pPr>
        <w:rPr>
          <w:lang w:val="en-GB" w:eastAsia="en-AU"/>
        </w:rPr>
      </w:pPr>
      <w:r w:rsidRPr="00EB1BF9">
        <w:rPr>
          <w:lang w:val="en-GB" w:eastAsia="en-AU"/>
        </w:rPr>
        <w:t>Quinteiro, W. M., A. Ribeiro, V. Ferraz-de-Paula, M. L. Pinheiro, M. Sakai, L. R. M. Sa, A. J. P. Ferreira, and J. Palermo-Neto. 2010. Heat stress impairs performance parameters, induces intestinal injury, and decreases macrophage activity in broiler chickens. Poultry Science 89:1905-1914. doi 10.3382/ps.2010-00812</w:t>
      </w:r>
    </w:p>
    <w:p w14:paraId="55F6445B" w14:textId="77777777" w:rsidR="00EB1BF9" w:rsidRPr="00EB1BF9" w:rsidRDefault="00EB1BF9" w:rsidP="00EB1BF9">
      <w:pPr>
        <w:rPr>
          <w:lang w:val="en-GB" w:eastAsia="en-AU"/>
        </w:rPr>
      </w:pPr>
      <w:r w:rsidRPr="00EB1BF9">
        <w:rPr>
          <w:lang w:val="en-GB" w:eastAsia="en-AU"/>
        </w:rPr>
        <w:t>Rajkumar, U., M. R. Reddy, S. V. R. Rao, K. Radhika, and M. Shanmugam. 2011. Evaluation of Growth, Carcass, Immune Response and Stress Parameters in Naked Neck Chicken and Their Normal Siblings under Tropical Winter and Summer Temperatures. Asian-Australasian Journal</w:t>
      </w:r>
      <w:r w:rsidR="00914AA2">
        <w:rPr>
          <w:lang w:val="en-GB" w:eastAsia="en-AU"/>
        </w:rPr>
        <w:t xml:space="preserve"> of Animal Sciences 24:509-516.</w:t>
      </w:r>
    </w:p>
    <w:p w14:paraId="63A94008" w14:textId="77777777" w:rsidR="00EB1BF9" w:rsidRPr="00EB1BF9" w:rsidRDefault="00EB1BF9" w:rsidP="00EB1BF9">
      <w:pPr>
        <w:rPr>
          <w:lang w:val="en-GB" w:eastAsia="en-AU"/>
        </w:rPr>
      </w:pPr>
      <w:r w:rsidRPr="00EB1BF9">
        <w:rPr>
          <w:lang w:val="en-GB" w:eastAsia="en-AU"/>
        </w:rPr>
        <w:t>Ravindran, V., D. V. Thomas, D. G. Thomas, and P. C. H. Morel. 2006. Performance and welfare of broilers as affected by stocking density and zinc bacitracin supplementation. Animal Science Journal 77:110-116. doi 10.1111/j.1740-0029.2006.00327.x</w:t>
      </w:r>
    </w:p>
    <w:p w14:paraId="6F0A5F1A" w14:textId="77777777" w:rsidR="00EB1BF9" w:rsidRPr="00EB1BF9" w:rsidRDefault="00EB1BF9" w:rsidP="00EB1BF9">
      <w:pPr>
        <w:rPr>
          <w:lang w:val="en-GB" w:eastAsia="en-AU"/>
        </w:rPr>
      </w:pPr>
      <w:r w:rsidRPr="00EB1BF9">
        <w:rPr>
          <w:lang w:val="en-GB" w:eastAsia="en-AU"/>
        </w:rPr>
        <w:t>Reiter, K., and W. Bessei. 2000a. Effect of-stocking density of broilers on temperature in the litter and at bird level. Archiv</w:t>
      </w:r>
      <w:r w:rsidR="00914AA2">
        <w:rPr>
          <w:lang w:val="en-GB" w:eastAsia="en-AU"/>
        </w:rPr>
        <w:t xml:space="preserve"> Fur Geflugelkunde 64:204-206.</w:t>
      </w:r>
    </w:p>
    <w:p w14:paraId="7BEF4D5F" w14:textId="77777777" w:rsidR="00EB1BF9" w:rsidRPr="00EB1BF9" w:rsidRDefault="00EB1BF9" w:rsidP="00EB1BF9">
      <w:pPr>
        <w:rPr>
          <w:lang w:val="en-GB" w:eastAsia="en-AU"/>
        </w:rPr>
      </w:pPr>
      <w:r w:rsidRPr="00EB1BF9">
        <w:rPr>
          <w:lang w:val="en-GB" w:eastAsia="en-AU"/>
        </w:rPr>
        <w:t>Reiter, K., and W. Bessei. 2000b. The behaviour of broilers in response to group size and stocking density. Arc</w:t>
      </w:r>
      <w:r w:rsidR="00914AA2">
        <w:rPr>
          <w:lang w:val="en-GB" w:eastAsia="en-AU"/>
        </w:rPr>
        <w:t>hiv Fur Geflugelkunde 64:93-98.</w:t>
      </w:r>
    </w:p>
    <w:p w14:paraId="26782921" w14:textId="77777777" w:rsidR="00EB1BF9" w:rsidRPr="00EB1BF9" w:rsidRDefault="00EB1BF9" w:rsidP="00EB1BF9">
      <w:pPr>
        <w:rPr>
          <w:lang w:val="en-GB" w:eastAsia="en-AU"/>
        </w:rPr>
      </w:pPr>
      <w:r w:rsidRPr="00EB1BF9">
        <w:rPr>
          <w:lang w:val="en-GB" w:eastAsia="en-AU"/>
        </w:rPr>
        <w:t>Reiter, K., and W. Bessei. 2009. Effect of locomotor activity on leg disorder in fattening chicken. Berliner Und Munchener Tierarztliche Wochenschrift 122:264-270. doi 10.2376/0005-9366-122-264</w:t>
      </w:r>
    </w:p>
    <w:p w14:paraId="6ACE94F4" w14:textId="77777777" w:rsidR="00EB1BF9" w:rsidRPr="00EB1BF9" w:rsidRDefault="00EB1BF9" w:rsidP="00EB1BF9">
      <w:pPr>
        <w:rPr>
          <w:lang w:val="en-GB" w:eastAsia="en-AU"/>
        </w:rPr>
      </w:pPr>
      <w:r w:rsidRPr="00EB1BF9">
        <w:rPr>
          <w:lang w:val="en-GB" w:eastAsia="en-AU"/>
        </w:rPr>
        <w:t>Riber, A. B. 2015. Effects of color of light on preferences, performance, and welfare in broilers. Poultry Science 94:1767-1775. doi 10.3382/ps/pev174</w:t>
      </w:r>
    </w:p>
    <w:p w14:paraId="123536CD" w14:textId="77777777" w:rsidR="00EB1BF9" w:rsidRPr="00EB1BF9" w:rsidRDefault="00EB1BF9" w:rsidP="00EB1BF9">
      <w:pPr>
        <w:rPr>
          <w:lang w:val="en-AU" w:eastAsia="en-AU"/>
        </w:rPr>
      </w:pPr>
      <w:r w:rsidRPr="00EB1BF9">
        <w:rPr>
          <w:lang w:val="en-AU" w:eastAsia="en-AU"/>
        </w:rPr>
        <w:t xml:space="preserve">Ritzi, M. M., </w:t>
      </w:r>
      <w:r w:rsidR="00924082">
        <w:rPr>
          <w:lang w:val="en-AU" w:eastAsia="en-AU"/>
        </w:rPr>
        <w:t xml:space="preserve">W. </w:t>
      </w:r>
      <w:r w:rsidRPr="00EB1BF9">
        <w:rPr>
          <w:lang w:val="en-AU" w:eastAsia="en-AU"/>
        </w:rPr>
        <w:t xml:space="preserve">Abdelrahman, </w:t>
      </w:r>
      <w:r w:rsidR="00924082">
        <w:rPr>
          <w:lang w:val="en-AU" w:eastAsia="en-AU"/>
        </w:rPr>
        <w:t>M.</w:t>
      </w:r>
      <w:r w:rsidRPr="00EB1BF9">
        <w:rPr>
          <w:lang w:val="en-AU" w:eastAsia="en-AU"/>
        </w:rPr>
        <w:t xml:space="preserve"> Mohnl, </w:t>
      </w:r>
      <w:r w:rsidR="00924082">
        <w:rPr>
          <w:lang w:val="en-AU" w:eastAsia="en-AU"/>
        </w:rPr>
        <w:t>R. A.</w:t>
      </w:r>
      <w:r w:rsidRPr="00EB1BF9">
        <w:rPr>
          <w:lang w:val="en-AU" w:eastAsia="en-AU"/>
        </w:rPr>
        <w:t xml:space="preserve"> Dalloul, R. A. 2014. Effects of probiotics and application methods on performance and response of broiler chickens to an </w:t>
      </w:r>
      <w:r w:rsidRPr="00914AA2">
        <w:rPr>
          <w:i/>
          <w:lang w:val="en-AU" w:eastAsia="en-AU"/>
        </w:rPr>
        <w:t>Eimeria</w:t>
      </w:r>
      <w:r w:rsidRPr="00EB1BF9">
        <w:rPr>
          <w:lang w:val="en-AU" w:eastAsia="en-AU"/>
        </w:rPr>
        <w:t xml:space="preserve"> challenge. </w:t>
      </w:r>
      <w:r w:rsidR="00924082">
        <w:rPr>
          <w:iCs/>
          <w:lang w:val="en-AU" w:eastAsia="en-AU"/>
        </w:rPr>
        <w:t>Poultry Science</w:t>
      </w:r>
      <w:r w:rsidR="001E3ECE">
        <w:rPr>
          <w:iCs/>
          <w:lang w:val="en-AU" w:eastAsia="en-AU"/>
        </w:rPr>
        <w:t xml:space="preserve"> 93:</w:t>
      </w:r>
      <w:r w:rsidRPr="00EB1BF9">
        <w:rPr>
          <w:iCs/>
          <w:lang w:val="en-AU" w:eastAsia="en-AU"/>
        </w:rPr>
        <w:t>2772-2778</w:t>
      </w:r>
      <w:r w:rsidR="001E3ECE">
        <w:rPr>
          <w:iCs/>
          <w:lang w:val="en-AU" w:eastAsia="en-AU"/>
        </w:rPr>
        <w:t>.</w:t>
      </w:r>
    </w:p>
    <w:p w14:paraId="1E840827" w14:textId="77777777" w:rsidR="00EB1BF9" w:rsidRPr="00EB1BF9" w:rsidRDefault="00EB1BF9" w:rsidP="00EB1BF9">
      <w:pPr>
        <w:rPr>
          <w:lang w:val="en-GB" w:eastAsia="en-AU"/>
        </w:rPr>
      </w:pPr>
      <w:r w:rsidRPr="00EB1BF9">
        <w:rPr>
          <w:lang w:val="en-GB" w:eastAsia="en-AU"/>
        </w:rPr>
        <w:t>Roberts, S. J., R. Cain, and M. S. Dawkins. 2012. Prediction of welfare outcomes for broiler chickens using Bayesian regression on continuous optical flow data. Journal of the Royal Society Interface 9:3436-3443. doi 10.1098/rsif.2012.0594</w:t>
      </w:r>
    </w:p>
    <w:p w14:paraId="4A39840D" w14:textId="77777777" w:rsidR="00EB1BF9" w:rsidRPr="00EB1BF9" w:rsidRDefault="00EB1BF9" w:rsidP="00EB1BF9">
      <w:pPr>
        <w:rPr>
          <w:lang w:val="en-GB" w:eastAsia="en-AU"/>
        </w:rPr>
      </w:pPr>
      <w:r w:rsidRPr="00EB1BF9">
        <w:rPr>
          <w:lang w:val="en-GB" w:eastAsia="en-AU"/>
        </w:rPr>
        <w:t>Rodriguez-Aurrekoetxea, A., E. H. Leone, and I. Estevez. 2014. Environmental complexity and use of space in slow growing free range chickens. Applied Animal Behaviour Science 161:86-94. doi 10.1016/j.applanim.2014.09.014</w:t>
      </w:r>
    </w:p>
    <w:p w14:paraId="1B8BD64B" w14:textId="77777777" w:rsidR="00EB1BF9" w:rsidRPr="00EB1BF9" w:rsidRDefault="00EB1BF9" w:rsidP="00EB1BF9">
      <w:pPr>
        <w:rPr>
          <w:lang w:val="en-GB" w:eastAsia="en-AU"/>
        </w:rPr>
      </w:pPr>
      <w:r w:rsidRPr="00EB1BF9">
        <w:rPr>
          <w:lang w:val="en-GB" w:eastAsia="en-AU"/>
        </w:rPr>
        <w:t>Rodriguez-Aurrekoetxea, A., E. H. Leone, and I. Estevez. 2015. Effects of panels and perches on the behaviour of commercial slow-growing free-range meat chickens. Applied Animal Behaviour Science 165:103-111. doi 10.1016/j.applanim.2015.02.004</w:t>
      </w:r>
    </w:p>
    <w:p w14:paraId="5EA8C07A" w14:textId="77777777" w:rsidR="00EB1BF9" w:rsidRPr="00EB1BF9" w:rsidRDefault="00EB1BF9" w:rsidP="00EB1BF9">
      <w:pPr>
        <w:rPr>
          <w:lang w:val="en-GB" w:eastAsia="en-AU"/>
        </w:rPr>
      </w:pPr>
      <w:r w:rsidRPr="00EB1BF9">
        <w:rPr>
          <w:lang w:val="en-GB" w:eastAsia="en-AU"/>
        </w:rPr>
        <w:t>Rogers, A. G., E. M. Pritchett, R. L. Alphin, E. M. Brannick, and E. R. Benson. 2015. II. Evaluation of the impact of alternative light technology on male broiler chicken stress. Poultry Science 94:331-337. doi 10.3382/ps/peu046</w:t>
      </w:r>
    </w:p>
    <w:p w14:paraId="0AED023B" w14:textId="77777777" w:rsidR="00EB1BF9" w:rsidRDefault="00EB1BF9" w:rsidP="00EB1BF9">
      <w:pPr>
        <w:rPr>
          <w:lang w:val="en-GB" w:eastAsia="en-AU"/>
        </w:rPr>
      </w:pPr>
      <w:r w:rsidRPr="00EB1BF9">
        <w:rPr>
          <w:lang w:val="en-GB" w:eastAsia="en-AU"/>
        </w:rPr>
        <w:t xml:space="preserve">Rushton, S. P., T. J. Humphrey, M. D. F. Shirley, S. Bull, and F. Jorgensen. 2009. </w:t>
      </w:r>
      <w:r w:rsidRPr="00914AA2">
        <w:rPr>
          <w:i/>
          <w:lang w:val="en-GB" w:eastAsia="en-AU"/>
        </w:rPr>
        <w:t>Campylobacter</w:t>
      </w:r>
      <w:r w:rsidRPr="00EB1BF9">
        <w:rPr>
          <w:lang w:val="en-GB" w:eastAsia="en-AU"/>
        </w:rPr>
        <w:t xml:space="preserve"> in housed broiler chickens: a longitudinal study of risk factors. Epidemiology and Infection 137:1099-1110. doi 10.1017/s095026880800188x</w:t>
      </w:r>
    </w:p>
    <w:p w14:paraId="417B5937" w14:textId="77777777" w:rsidR="00EB1BF9" w:rsidRPr="00EB1BF9" w:rsidRDefault="00EB1BF9" w:rsidP="00EB1BF9">
      <w:pPr>
        <w:rPr>
          <w:lang w:val="en-GB" w:eastAsia="en-AU"/>
        </w:rPr>
      </w:pPr>
      <w:r w:rsidRPr="00EB1BF9">
        <w:rPr>
          <w:lang w:val="en-GB" w:eastAsia="en-AU"/>
        </w:rPr>
        <w:t>Rutten, M., C. Leterrier, P. Constantin, K. Reiter, and W. Bessei. 2002. Bone development and activity in chickens in response to reduced weight-load on legs. Animal Research 51:327-336. doi 10.1051/animres:2002027</w:t>
      </w:r>
    </w:p>
    <w:p w14:paraId="341A6D45" w14:textId="77777777" w:rsidR="00EB1BF9" w:rsidRDefault="00EB1BF9" w:rsidP="00EB1BF9">
      <w:pPr>
        <w:rPr>
          <w:lang w:val="en-AU" w:eastAsia="en-AU"/>
        </w:rPr>
      </w:pPr>
      <w:r w:rsidRPr="00EB1BF9">
        <w:rPr>
          <w:lang w:val="en-AU" w:eastAsia="en-AU"/>
        </w:rPr>
        <w:t xml:space="preserve">Salim, H. M., </w:t>
      </w:r>
      <w:r w:rsidR="00914AA2">
        <w:rPr>
          <w:lang w:val="en-AU" w:eastAsia="en-AU"/>
        </w:rPr>
        <w:t xml:space="preserve">H. K. </w:t>
      </w:r>
      <w:r w:rsidRPr="00EB1BF9">
        <w:rPr>
          <w:lang w:val="en-AU" w:eastAsia="en-AU"/>
        </w:rPr>
        <w:t xml:space="preserve">Kang, </w:t>
      </w:r>
      <w:r w:rsidR="00914AA2">
        <w:rPr>
          <w:lang w:val="en-AU" w:eastAsia="en-AU"/>
        </w:rPr>
        <w:t xml:space="preserve">N. </w:t>
      </w:r>
      <w:r w:rsidRPr="00EB1BF9">
        <w:rPr>
          <w:lang w:val="en-AU" w:eastAsia="en-AU"/>
        </w:rPr>
        <w:t xml:space="preserve">Akter, </w:t>
      </w:r>
      <w:r w:rsidR="00914AA2">
        <w:rPr>
          <w:lang w:val="en-AU" w:eastAsia="en-AU"/>
        </w:rPr>
        <w:t>D. W.</w:t>
      </w:r>
      <w:r w:rsidRPr="00EB1BF9">
        <w:rPr>
          <w:lang w:val="en-AU" w:eastAsia="en-AU"/>
        </w:rPr>
        <w:t xml:space="preserve"> Kim, </w:t>
      </w:r>
      <w:r w:rsidR="00914AA2">
        <w:rPr>
          <w:lang w:val="en-AU" w:eastAsia="en-AU"/>
        </w:rPr>
        <w:t>J. H.</w:t>
      </w:r>
      <w:r w:rsidRPr="00EB1BF9">
        <w:rPr>
          <w:lang w:val="en-AU" w:eastAsia="en-AU"/>
        </w:rPr>
        <w:t xml:space="preserve"> Kim, </w:t>
      </w:r>
      <w:r w:rsidR="00914AA2">
        <w:rPr>
          <w:lang w:val="en-AU" w:eastAsia="en-AU"/>
        </w:rPr>
        <w:t>M. J.</w:t>
      </w:r>
      <w:r w:rsidRPr="00EB1BF9">
        <w:rPr>
          <w:lang w:val="en-AU" w:eastAsia="en-AU"/>
        </w:rPr>
        <w:t xml:space="preserve"> Kim, </w:t>
      </w:r>
      <w:r w:rsidR="002E326A">
        <w:rPr>
          <w:lang w:val="en-AU" w:eastAsia="en-AU"/>
        </w:rPr>
        <w:t xml:space="preserve">J. C. Na, H. B. Jong, H. C. Choi, O. S. Suh, </w:t>
      </w:r>
      <w:r w:rsidR="006D5173">
        <w:rPr>
          <w:lang w:val="en-AU" w:eastAsia="en-AU"/>
        </w:rPr>
        <w:t>and</w:t>
      </w:r>
      <w:r w:rsidR="00914AA2">
        <w:rPr>
          <w:lang w:val="en-AU" w:eastAsia="en-AU"/>
        </w:rPr>
        <w:t xml:space="preserve">, W. K. </w:t>
      </w:r>
      <w:r w:rsidRPr="00EB1BF9">
        <w:rPr>
          <w:lang w:val="en-AU" w:eastAsia="en-AU"/>
        </w:rPr>
        <w:t>Kim</w:t>
      </w:r>
      <w:r w:rsidR="00914AA2">
        <w:rPr>
          <w:lang w:val="en-AU" w:eastAsia="en-AU"/>
        </w:rPr>
        <w:t xml:space="preserve">. </w:t>
      </w:r>
      <w:r w:rsidRPr="00EB1BF9">
        <w:rPr>
          <w:lang w:val="en-AU" w:eastAsia="en-AU"/>
        </w:rPr>
        <w:t xml:space="preserve">2013. Supplementation of direct-fed microbials as an alternative to antibiotic on growth performance, immune response, cecal microbial population, and ileal morphology of broiler chickens. </w:t>
      </w:r>
      <w:r w:rsidRPr="00EB1BF9">
        <w:rPr>
          <w:iCs/>
          <w:lang w:val="en-AU" w:eastAsia="en-AU"/>
        </w:rPr>
        <w:t>Poultry Science</w:t>
      </w:r>
      <w:r w:rsidRPr="00EB1BF9">
        <w:rPr>
          <w:lang w:val="en-AU" w:eastAsia="en-AU"/>
        </w:rPr>
        <w:t xml:space="preserve"> </w:t>
      </w:r>
      <w:r w:rsidRPr="00EB1BF9">
        <w:rPr>
          <w:iCs/>
          <w:lang w:val="en-AU" w:eastAsia="en-AU"/>
        </w:rPr>
        <w:t>92</w:t>
      </w:r>
      <w:r w:rsidRPr="00EB1BF9">
        <w:rPr>
          <w:lang w:val="en-AU" w:eastAsia="en-AU"/>
        </w:rPr>
        <w:t>:2084-2090.</w:t>
      </w:r>
    </w:p>
    <w:p w14:paraId="74DEC52F" w14:textId="77777777" w:rsidR="00EB1BF9" w:rsidRPr="00EB1BF9" w:rsidRDefault="00EB1BF9" w:rsidP="00EB1BF9">
      <w:pPr>
        <w:rPr>
          <w:lang w:val="en-GB" w:eastAsia="en-AU"/>
        </w:rPr>
      </w:pPr>
      <w:r w:rsidRPr="00EB1BF9">
        <w:rPr>
          <w:lang w:val="en-GB" w:eastAsia="en-AU"/>
        </w:rPr>
        <w:t>Sandercock, D. A., R. R. Hunter, M. A. Mitchell, and P. M. Hocking. 2006. Thermoregulatory capacity and muscle membrane integrity are compromised in broilers compared with layers at the same age or body weight. British Poultry Science 47:322-329. doi 10.1080/00071660600732346</w:t>
      </w:r>
    </w:p>
    <w:p w14:paraId="213F831A" w14:textId="77777777" w:rsidR="00EB1BF9" w:rsidRPr="00EB1BF9" w:rsidRDefault="007E3FBC" w:rsidP="00EB1BF9">
      <w:pPr>
        <w:rPr>
          <w:lang w:val="en-GB" w:eastAsia="en-AU"/>
        </w:rPr>
      </w:pPr>
      <w:r>
        <w:rPr>
          <w:lang w:val="en-GB" w:eastAsia="en-AU"/>
        </w:rPr>
        <w:t xml:space="preserve">Sandilands, V., </w:t>
      </w:r>
      <w:r w:rsidR="00EB1BF9" w:rsidRPr="00EB1BF9">
        <w:rPr>
          <w:lang w:val="en-GB" w:eastAsia="en-AU"/>
        </w:rPr>
        <w:t xml:space="preserve">S. Brocklehurst, N. Sparks, L. Baker, R. McGovern, B. Thorp, and D. Pearson. 2011. Assessing leg health in chickens using a force plate and gait scoring: how many birds is enough? </w:t>
      </w:r>
      <w:r>
        <w:rPr>
          <w:iCs/>
          <w:lang w:val="en-GB" w:eastAsia="en-AU"/>
        </w:rPr>
        <w:t xml:space="preserve">Veterinary Record </w:t>
      </w:r>
      <w:r w:rsidR="00EB1BF9" w:rsidRPr="00EB1BF9">
        <w:rPr>
          <w:bCs/>
          <w:lang w:val="en-GB" w:eastAsia="en-AU"/>
        </w:rPr>
        <w:t>168:</w:t>
      </w:r>
      <w:r w:rsidR="00EB1BF9" w:rsidRPr="00EB1BF9">
        <w:rPr>
          <w:lang w:val="en-GB" w:eastAsia="en-AU"/>
        </w:rPr>
        <w:t>77.</w:t>
      </w:r>
    </w:p>
    <w:p w14:paraId="1C954CFF" w14:textId="77777777" w:rsidR="00EB1BF9" w:rsidRPr="00EB1BF9" w:rsidRDefault="00EB1BF9" w:rsidP="00EB1BF9">
      <w:pPr>
        <w:rPr>
          <w:lang w:val="en-GB" w:eastAsia="en-AU"/>
        </w:rPr>
      </w:pPr>
      <w:r w:rsidRPr="00EB1BF9">
        <w:rPr>
          <w:lang w:val="en-GB" w:eastAsia="en-AU"/>
        </w:rPr>
        <w:t xml:space="preserve">Sanotra, G. S., J. D. Lund, A. K. Ersboll, J. S. Petersen, and K. S. Vestergaard. 2001. Monitoring leg problems in broilers: a survey of commercial broiler production in Denmark. </w:t>
      </w:r>
      <w:r w:rsidR="00E12232">
        <w:rPr>
          <w:lang w:val="en-GB" w:eastAsia="en-AU"/>
        </w:rPr>
        <w:t>World’s</w:t>
      </w:r>
      <w:r w:rsidRPr="00EB1BF9">
        <w:rPr>
          <w:lang w:val="en-GB" w:eastAsia="en-AU"/>
        </w:rPr>
        <w:t xml:space="preserve"> Poultry Science Journal 57:55-69. doi 10.1079/wps20010006</w:t>
      </w:r>
    </w:p>
    <w:p w14:paraId="26B7903B" w14:textId="77777777" w:rsidR="00EB1BF9" w:rsidRPr="00EB1BF9" w:rsidRDefault="00EB1BF9" w:rsidP="00EB1BF9">
      <w:pPr>
        <w:rPr>
          <w:lang w:val="en-GB" w:eastAsia="en-AU"/>
        </w:rPr>
      </w:pPr>
      <w:r w:rsidRPr="00EB1BF9">
        <w:rPr>
          <w:lang w:val="en-GB" w:eastAsia="en-AU"/>
        </w:rPr>
        <w:t>Sanotra, G. S., J. D. Lund, and K. S. Vestergaard. 2002. Influence of light-dark schedules and stocking density on behaviour, risk of leg problems and occurrence of chronic fear in broilers. British Poultry Science 43:344-354. doi 10.1080/000716601201036023611</w:t>
      </w:r>
    </w:p>
    <w:p w14:paraId="6B24E6BF" w14:textId="77777777" w:rsidR="00EB1BF9" w:rsidRPr="00EB1BF9" w:rsidRDefault="00EB1BF9" w:rsidP="00EB1BF9">
      <w:pPr>
        <w:rPr>
          <w:lang w:val="en-AU" w:eastAsia="en-AU"/>
        </w:rPr>
      </w:pPr>
      <w:r w:rsidRPr="00EB1BF9">
        <w:rPr>
          <w:lang w:val="en-AU" w:eastAsia="en-AU"/>
        </w:rPr>
        <w:t xml:space="preserve">Sans, E. C. O., </w:t>
      </w:r>
      <w:r w:rsidR="007E3FBC">
        <w:rPr>
          <w:lang w:val="en-AU" w:eastAsia="en-AU"/>
        </w:rPr>
        <w:t xml:space="preserve">J. F. </w:t>
      </w:r>
      <w:r w:rsidRPr="00EB1BF9">
        <w:rPr>
          <w:lang w:val="en-AU" w:eastAsia="en-AU"/>
        </w:rPr>
        <w:t xml:space="preserve">Federici, </w:t>
      </w:r>
      <w:r w:rsidR="007E3FBC">
        <w:rPr>
          <w:lang w:val="en-AU" w:eastAsia="en-AU"/>
        </w:rPr>
        <w:t>F.</w:t>
      </w:r>
      <w:r w:rsidRPr="00EB1BF9">
        <w:rPr>
          <w:lang w:val="en-AU" w:eastAsia="en-AU"/>
        </w:rPr>
        <w:t xml:space="preserve"> Dahlke, </w:t>
      </w:r>
      <w:r w:rsidR="007E3FBC">
        <w:rPr>
          <w:lang w:val="en-AU" w:eastAsia="en-AU"/>
        </w:rPr>
        <w:t>and C. F. M.</w:t>
      </w:r>
      <w:r w:rsidRPr="00EB1BF9">
        <w:rPr>
          <w:lang w:val="en-AU" w:eastAsia="en-AU"/>
        </w:rPr>
        <w:t xml:space="preserve"> Molento. 2014. Evaluation of Free-Range broilers using the welfare quality® protocol. </w:t>
      </w:r>
      <w:r w:rsidRPr="00EB1BF9">
        <w:rPr>
          <w:iCs/>
          <w:lang w:val="en-AU" w:eastAsia="en-AU"/>
        </w:rPr>
        <w:t>Revista Brasileira de Ciência Avícola</w:t>
      </w:r>
      <w:r w:rsidRPr="00EB1BF9">
        <w:rPr>
          <w:lang w:val="en-AU" w:eastAsia="en-AU"/>
        </w:rPr>
        <w:t xml:space="preserve"> </w:t>
      </w:r>
      <w:r w:rsidRPr="00EB1BF9">
        <w:rPr>
          <w:iCs/>
          <w:lang w:val="en-AU" w:eastAsia="en-AU"/>
        </w:rPr>
        <w:t>16</w:t>
      </w:r>
      <w:r w:rsidR="007E3FBC">
        <w:rPr>
          <w:iCs/>
          <w:lang w:val="en-AU" w:eastAsia="en-AU"/>
        </w:rPr>
        <w:t>:</w:t>
      </w:r>
      <w:r w:rsidRPr="00EB1BF9">
        <w:rPr>
          <w:lang w:val="en-AU" w:eastAsia="en-AU"/>
        </w:rPr>
        <w:t>297-306.</w:t>
      </w:r>
    </w:p>
    <w:p w14:paraId="01B519E3" w14:textId="77777777" w:rsidR="00EB1BF9" w:rsidRPr="00EB1BF9" w:rsidRDefault="00EB1BF9" w:rsidP="00EB1BF9">
      <w:pPr>
        <w:rPr>
          <w:lang w:val="en-GB" w:eastAsia="en-AU"/>
        </w:rPr>
      </w:pPr>
      <w:r w:rsidRPr="00EB1BF9">
        <w:rPr>
          <w:lang w:val="en-GB" w:eastAsia="en-AU"/>
        </w:rPr>
        <w:t>Santiago, H. L., K. H. Aponte, A. A. Rodriguez, J. A. Orama, and M. Arguelles. 2006. Paper products as litter materials for broilers: performance, carcass defects, footpad lesions. Journal of Agriculture of the Un</w:t>
      </w:r>
      <w:r w:rsidR="007E3FBC">
        <w:rPr>
          <w:lang w:val="en-GB" w:eastAsia="en-AU"/>
        </w:rPr>
        <w:t>iversity of Puerto Rico 90:1-8.</w:t>
      </w:r>
    </w:p>
    <w:p w14:paraId="1BAECD8B" w14:textId="77777777" w:rsidR="00EB1BF9" w:rsidRPr="00EB1BF9" w:rsidRDefault="00EB1BF9" w:rsidP="00EB1BF9">
      <w:pPr>
        <w:rPr>
          <w:lang w:val="en-GB" w:eastAsia="en-AU"/>
        </w:rPr>
      </w:pPr>
      <w:r w:rsidRPr="00EB1BF9">
        <w:rPr>
          <w:lang w:val="en-GB" w:eastAsia="en-AU"/>
        </w:rPr>
        <w:t>Sarica, M., U. S. Yamak, and M. A. Boz. 2014. Effect of production systems on foot pad dermatitis (FPD) levels among slow-, medium- and fast-growing broilers. European Poultry Science 78. doi 10.1399/eps.2014.52</w:t>
      </w:r>
    </w:p>
    <w:p w14:paraId="1C100A31" w14:textId="77777777" w:rsidR="00EB1BF9" w:rsidRPr="00EB1BF9" w:rsidRDefault="00EB1BF9" w:rsidP="00EB1BF9">
      <w:pPr>
        <w:rPr>
          <w:lang w:val="en-GB" w:eastAsia="en-AU"/>
        </w:rPr>
      </w:pPr>
      <w:r w:rsidRPr="00EB1BF9">
        <w:rPr>
          <w:lang w:val="en-GB" w:eastAsia="en-AU"/>
        </w:rPr>
        <w:t>Schwean-Lardner, K., J. P. Dahiya, A. A. Olkowski, E. M. Barber, C. Riddell, and H. L. Classen. 2009. Effect of adding ozone into an intensive broiler production unit on performance, mortality, ammonia levels, and bacterial levels as compared with a non-ozone-treated broiler unit. Journal of Applied Poultry Research 18:649-657. doi 10.3382/japr.2008-00049</w:t>
      </w:r>
    </w:p>
    <w:p w14:paraId="2E63C93A" w14:textId="77777777" w:rsidR="00EB1BF9" w:rsidRPr="00EB1BF9" w:rsidRDefault="00EB1BF9" w:rsidP="00EB1BF9">
      <w:pPr>
        <w:rPr>
          <w:lang w:val="en-GB" w:eastAsia="en-AU"/>
        </w:rPr>
      </w:pPr>
      <w:r w:rsidRPr="00EB1BF9">
        <w:rPr>
          <w:lang w:val="en-GB" w:eastAsia="en-AU"/>
        </w:rPr>
        <w:t>Schwean-Lardner, K., B. I. Fancher, and H. L. Classen. 2012. Impact of daylength on behavioural output in commercial broilers. Applied Animal Behaviour Science 137:43-52. doi 10.1016/j.applanim.2012.01.015</w:t>
      </w:r>
    </w:p>
    <w:p w14:paraId="452B7E3A" w14:textId="77777777" w:rsidR="00EB1BF9" w:rsidRPr="00EB1BF9" w:rsidRDefault="00EB1BF9" w:rsidP="00EB1BF9">
      <w:pPr>
        <w:rPr>
          <w:lang w:val="en-GB" w:eastAsia="en-AU"/>
        </w:rPr>
      </w:pPr>
      <w:r w:rsidRPr="00EB1BF9">
        <w:rPr>
          <w:lang w:val="en-GB" w:eastAsia="en-AU"/>
        </w:rPr>
        <w:t>Schwean-Lardner, K., B. I. Fancher, S. Gomis, A. Van Kessel, S. Dalal, and H. L. Classen. 2013. Effect of day length on cause of mortality, leg health, and ocular health in broilers. Poultry Science 92:1-11. doi 10.3382/ps.2011-01967</w:t>
      </w:r>
    </w:p>
    <w:p w14:paraId="30964DD7" w14:textId="77777777" w:rsidR="00EB1BF9" w:rsidRPr="00EB1BF9" w:rsidRDefault="00EB1BF9" w:rsidP="00EB1BF9">
      <w:pPr>
        <w:rPr>
          <w:lang w:val="en-GB" w:eastAsia="en-AU"/>
        </w:rPr>
      </w:pPr>
      <w:r w:rsidRPr="00EB1BF9">
        <w:rPr>
          <w:lang w:val="en-GB" w:eastAsia="en-AU"/>
        </w:rPr>
        <w:t>Schwean-Lardner, K., B. I. Fancher, B. Laarveld, and H. L. Classen. 2014. Effect of day length on flock behavioural patterns and melatonin rhythms in broilers. British Poultry Science 55:21-30. doi 10.1080/00071668.2013.860211</w:t>
      </w:r>
    </w:p>
    <w:p w14:paraId="1134F19F" w14:textId="77777777" w:rsidR="00EB1BF9" w:rsidRPr="00EB1BF9" w:rsidRDefault="00EB1BF9" w:rsidP="00EB1BF9">
      <w:pPr>
        <w:rPr>
          <w:lang w:val="en-GB" w:eastAsia="en-AU"/>
        </w:rPr>
      </w:pPr>
      <w:r w:rsidRPr="00EB1BF9">
        <w:rPr>
          <w:lang w:val="en-GB" w:eastAsia="en-AU"/>
        </w:rPr>
        <w:t>Scott, T. A. 2002. Evaluation of lighting programs, diet density, and short-term use of mash as compared to crumbled starter to reduce incidence of sudden death syndrome in broiler chicks to 35 days of age. Canadian Journal of Animal Science 82:37</w:t>
      </w:r>
      <w:r w:rsidR="006D5173">
        <w:rPr>
          <w:lang w:val="en-GB" w:eastAsia="en-AU"/>
        </w:rPr>
        <w:t>5-383.</w:t>
      </w:r>
    </w:p>
    <w:p w14:paraId="3726234D" w14:textId="77777777" w:rsidR="00EB1BF9" w:rsidRPr="00EB1BF9" w:rsidRDefault="00EB1BF9" w:rsidP="00EB1BF9">
      <w:pPr>
        <w:rPr>
          <w:lang w:val="en-GB" w:eastAsia="en-AU"/>
        </w:rPr>
      </w:pPr>
      <w:r w:rsidRPr="00EB1BF9">
        <w:rPr>
          <w:lang w:val="en-GB" w:eastAsia="en-AU"/>
        </w:rPr>
        <w:t xml:space="preserve">Sekeroglu, A., M. Sarica, M. S. Gulay, and M. Duman. 2011. Effect of Stocking Density on Chick Performance, Internal Organ Weights and Blood Parameters in Broilers. Journal of Animal and </w:t>
      </w:r>
      <w:r w:rsidR="006D5173">
        <w:rPr>
          <w:lang w:val="en-GB" w:eastAsia="en-AU"/>
        </w:rPr>
        <w:t>Veterinary Advances 10:246-250.</w:t>
      </w:r>
    </w:p>
    <w:p w14:paraId="4D24FFD6" w14:textId="77777777" w:rsidR="00EB1BF9" w:rsidRPr="00EB1BF9" w:rsidRDefault="00EB1BF9" w:rsidP="00EB1BF9">
      <w:pPr>
        <w:rPr>
          <w:lang w:val="en-AU" w:eastAsia="en-AU"/>
        </w:rPr>
      </w:pPr>
      <w:r w:rsidRPr="00EB1BF9">
        <w:rPr>
          <w:lang w:val="en-AU" w:eastAsia="en-AU"/>
        </w:rPr>
        <w:t xml:space="preserve">Sen, S., </w:t>
      </w:r>
      <w:r w:rsidR="006D5173">
        <w:rPr>
          <w:lang w:val="en-AU" w:eastAsia="en-AU"/>
        </w:rPr>
        <w:t xml:space="preserve">S. L. </w:t>
      </w:r>
      <w:r w:rsidRPr="00EB1BF9">
        <w:rPr>
          <w:lang w:val="en-AU" w:eastAsia="en-AU"/>
        </w:rPr>
        <w:t xml:space="preserve">Ingale, </w:t>
      </w:r>
      <w:r w:rsidR="006D5173">
        <w:rPr>
          <w:lang w:val="en-AU" w:eastAsia="en-AU"/>
        </w:rPr>
        <w:t>Y. W.</w:t>
      </w:r>
      <w:r w:rsidRPr="00EB1BF9">
        <w:rPr>
          <w:lang w:val="en-AU" w:eastAsia="en-AU"/>
        </w:rPr>
        <w:t xml:space="preserve"> Kim, </w:t>
      </w:r>
      <w:r w:rsidR="006D5173">
        <w:rPr>
          <w:lang w:val="en-AU" w:eastAsia="en-AU"/>
        </w:rPr>
        <w:t>J. S.</w:t>
      </w:r>
      <w:r w:rsidRPr="00EB1BF9">
        <w:rPr>
          <w:lang w:val="en-AU" w:eastAsia="en-AU"/>
        </w:rPr>
        <w:t xml:space="preserve"> Kim, </w:t>
      </w:r>
      <w:r w:rsidR="006D5173">
        <w:rPr>
          <w:lang w:val="en-AU" w:eastAsia="en-AU"/>
        </w:rPr>
        <w:t>K. H.</w:t>
      </w:r>
      <w:r w:rsidRPr="00EB1BF9">
        <w:rPr>
          <w:lang w:val="en-AU" w:eastAsia="en-AU"/>
        </w:rPr>
        <w:t xml:space="preserve"> </w:t>
      </w:r>
      <w:r w:rsidR="006D5173">
        <w:rPr>
          <w:lang w:val="en-AU" w:eastAsia="en-AU"/>
        </w:rPr>
        <w:t>Kim</w:t>
      </w:r>
      <w:r w:rsidRPr="00EB1BF9">
        <w:rPr>
          <w:lang w:val="en-AU" w:eastAsia="en-AU"/>
        </w:rPr>
        <w:t xml:space="preserve">, </w:t>
      </w:r>
      <w:r w:rsidR="006D5173">
        <w:rPr>
          <w:lang w:val="en-AU" w:eastAsia="en-AU"/>
        </w:rPr>
        <w:t xml:space="preserve">J. D. </w:t>
      </w:r>
      <w:r w:rsidRPr="00EB1BF9">
        <w:rPr>
          <w:lang w:val="en-AU" w:eastAsia="en-AU"/>
        </w:rPr>
        <w:t xml:space="preserve">Lohakare, </w:t>
      </w:r>
      <w:r w:rsidR="002E326A">
        <w:rPr>
          <w:lang w:val="en-AU" w:eastAsia="en-AU"/>
        </w:rPr>
        <w:t>E. K. Kim, H. S. Kim, M. H. Ryu, I. K. Kwon,</w:t>
      </w:r>
      <w:r w:rsidRPr="00EB1BF9">
        <w:rPr>
          <w:lang w:val="en-AU" w:eastAsia="en-AU"/>
        </w:rPr>
        <w:t xml:space="preserve"> and </w:t>
      </w:r>
      <w:r w:rsidR="006D5173">
        <w:rPr>
          <w:lang w:val="en-AU" w:eastAsia="en-AU"/>
        </w:rPr>
        <w:t xml:space="preserve">B. J. </w:t>
      </w:r>
      <w:r w:rsidRPr="00EB1BF9">
        <w:rPr>
          <w:lang w:val="en-AU" w:eastAsia="en-AU"/>
        </w:rPr>
        <w:t xml:space="preserve">Chae. 2012. Effect of supplementation of </w:t>
      </w:r>
      <w:r w:rsidRPr="002E326A">
        <w:rPr>
          <w:i/>
          <w:lang w:val="en-AU" w:eastAsia="en-AU"/>
        </w:rPr>
        <w:t>Bacillus subtilis</w:t>
      </w:r>
      <w:r w:rsidRPr="00EB1BF9">
        <w:rPr>
          <w:lang w:val="en-AU" w:eastAsia="en-AU"/>
        </w:rPr>
        <w:t xml:space="preserve"> LS 1-2 to broiler diets on growth performance, nutrient retention, caecal microbiology and small intestinal morphology. </w:t>
      </w:r>
      <w:r w:rsidRPr="00EB1BF9">
        <w:rPr>
          <w:iCs/>
          <w:lang w:val="en-AU" w:eastAsia="en-AU"/>
        </w:rPr>
        <w:t>Research in Veterinary Science</w:t>
      </w:r>
      <w:r w:rsidRPr="00EB1BF9">
        <w:rPr>
          <w:lang w:val="en-AU" w:eastAsia="en-AU"/>
        </w:rPr>
        <w:t xml:space="preserve"> </w:t>
      </w:r>
      <w:r w:rsidRPr="00EB1BF9">
        <w:rPr>
          <w:iCs/>
          <w:lang w:val="en-AU" w:eastAsia="en-AU"/>
        </w:rPr>
        <w:t>93</w:t>
      </w:r>
      <w:r w:rsidRPr="00EB1BF9">
        <w:rPr>
          <w:lang w:val="en-AU" w:eastAsia="en-AU"/>
        </w:rPr>
        <w:t>:264-268.</w:t>
      </w:r>
    </w:p>
    <w:p w14:paraId="1F779DCB" w14:textId="77777777" w:rsidR="00EB1BF9" w:rsidRPr="00EB1BF9" w:rsidRDefault="00EB1BF9" w:rsidP="00EB1BF9">
      <w:pPr>
        <w:rPr>
          <w:lang w:val="en-GB" w:eastAsia="en-AU"/>
        </w:rPr>
      </w:pPr>
      <w:r w:rsidRPr="00EB1BF9">
        <w:rPr>
          <w:lang w:val="en-GB" w:eastAsia="en-AU"/>
        </w:rPr>
        <w:t>Senaratna, D., T. S. Samarakone, and W. Gunawardena. 2016. Red Color Light at Different Intensities Affects the Performance, Behavioral Activities and Welfare of Broilers. Asian-Australasian Journal of Animal Sciences 29:1052-1059. doi 10.5713/ajas.15.0757</w:t>
      </w:r>
    </w:p>
    <w:p w14:paraId="4AED418C" w14:textId="77777777" w:rsidR="00EB1BF9" w:rsidRPr="00EB1BF9" w:rsidRDefault="00EB1BF9" w:rsidP="00EB1BF9">
      <w:pPr>
        <w:rPr>
          <w:lang w:val="en-GB" w:eastAsia="en-AU"/>
        </w:rPr>
      </w:pPr>
      <w:r w:rsidRPr="00EB1BF9">
        <w:rPr>
          <w:lang w:val="en-GB" w:eastAsia="en-AU"/>
        </w:rPr>
        <w:t>Shakeri, M., I. Zulkifli, A. F. Soleimani, E. L. O'Reilly, P. D. Eckersall, A. A. Anna, S. Kumari, and F. F. J. Abdullah. 2014. Response to dietary supplementation of L-glutamine and L-glutamate in broiler chickens reared at different stocking densities under hot, humid tropical conditions. Poultry Science 93:2700-2708. doi 10.3382/ps.2014-03910</w:t>
      </w:r>
    </w:p>
    <w:p w14:paraId="0AF878AC" w14:textId="77777777" w:rsidR="00EB1BF9" w:rsidRPr="00EB1BF9" w:rsidRDefault="00EB1BF9" w:rsidP="00EB1BF9">
      <w:pPr>
        <w:rPr>
          <w:lang w:val="en-GB" w:eastAsia="en-AU"/>
        </w:rPr>
      </w:pPr>
      <w:r w:rsidRPr="00EB1BF9">
        <w:rPr>
          <w:lang w:val="en-GB" w:eastAsia="en-AU"/>
        </w:rPr>
        <w:t>Sherlock, L., T. G. M. Demmers, A. E. Goodship, I. D. McCarthy, and C. M. Wathes. 2010. The relationship between physical activity and leg health in the broiler chicken. British Poultry Science 51:22-30. doi 10.1080/00071660903460637</w:t>
      </w:r>
    </w:p>
    <w:p w14:paraId="793A05AB" w14:textId="77777777" w:rsidR="00EB1BF9" w:rsidRPr="00EB1BF9" w:rsidRDefault="00EB1BF9" w:rsidP="00EB1BF9">
      <w:pPr>
        <w:rPr>
          <w:lang w:val="en-GB" w:eastAsia="en-AU"/>
        </w:rPr>
      </w:pPr>
      <w:r w:rsidRPr="00EB1BF9">
        <w:rPr>
          <w:lang w:val="en-GB" w:eastAsia="en-AU"/>
        </w:rPr>
        <w:t>Sherlock, L., D. E. F. McKeegan, Z. Cheng, C. M. Wathes, and D. C. Wathes. 2012. Effects of contact dermatitis on hepatic gene expression in broilers. British Poultry Science 53:439-452. doi 10.1080/00071668.2012.707310</w:t>
      </w:r>
    </w:p>
    <w:p w14:paraId="41F87140" w14:textId="77777777" w:rsidR="00EB1BF9" w:rsidRPr="00EB1BF9" w:rsidRDefault="00EB1BF9" w:rsidP="00EB1BF9">
      <w:pPr>
        <w:rPr>
          <w:lang w:val="en-GB" w:eastAsia="en-AU"/>
        </w:rPr>
      </w:pPr>
      <w:r w:rsidRPr="00EB1BF9">
        <w:rPr>
          <w:lang w:val="en-GB" w:eastAsia="en-AU"/>
        </w:rPr>
        <w:t>Shields, S. J., J. P. Garner, and J. A. Mench. 2004. Dustbathing by broiler chickens: a comparison of preference for four different substrates. Applied Animal Behaviour Science 87:69-82. doi 10.1016/s0168-1591(04)00019-x</w:t>
      </w:r>
    </w:p>
    <w:p w14:paraId="731D6F1A" w14:textId="77777777" w:rsidR="00EB1BF9" w:rsidRPr="00EB1BF9" w:rsidRDefault="00EB1BF9" w:rsidP="00EB1BF9">
      <w:pPr>
        <w:rPr>
          <w:lang w:val="en-GB" w:eastAsia="en-AU"/>
        </w:rPr>
      </w:pPr>
      <w:r w:rsidRPr="00EB1BF9">
        <w:rPr>
          <w:lang w:val="en-GB" w:eastAsia="en-AU"/>
        </w:rPr>
        <w:t>Shields, S. J., J. P. Garner, and J. A. Mench. 2005. Effect of sand and wood-shavings bedding on the behavior of broiler chickens</w:t>
      </w:r>
      <w:r w:rsidR="006D5173">
        <w:rPr>
          <w:lang w:val="en-GB" w:eastAsia="en-AU"/>
        </w:rPr>
        <w:t>. Poultry Science 84:1816-1824.</w:t>
      </w:r>
    </w:p>
    <w:p w14:paraId="4B3C23E4" w14:textId="77777777" w:rsidR="00EB1BF9" w:rsidRPr="00EB1BF9" w:rsidRDefault="00EB1BF9" w:rsidP="00EB1BF9">
      <w:pPr>
        <w:rPr>
          <w:lang w:val="en-GB" w:eastAsia="en-AU"/>
        </w:rPr>
      </w:pPr>
      <w:r w:rsidRPr="00EB1BF9">
        <w:rPr>
          <w:lang w:val="en-GB" w:eastAsia="en-AU"/>
        </w:rPr>
        <w:t>Shim, M. Y., A. B. Karnuah, N. B. Anthony, G. M. Pesti, and S. E. Aggrey. 2012a. The effects of broiler chicken growth rate on valgus, varus, and tibial dyschondroplasia. Poultry Science 91:62-65. doi 10.3382/ps.2011-01599</w:t>
      </w:r>
    </w:p>
    <w:p w14:paraId="5D39CDF3" w14:textId="77777777" w:rsidR="00EB1BF9" w:rsidRPr="00EB1BF9" w:rsidRDefault="00EB1BF9" w:rsidP="00EB1BF9">
      <w:pPr>
        <w:rPr>
          <w:lang w:val="en-GB" w:eastAsia="en-AU"/>
        </w:rPr>
      </w:pPr>
      <w:r w:rsidRPr="00EB1BF9">
        <w:rPr>
          <w:lang w:val="en-GB" w:eastAsia="en-AU"/>
        </w:rPr>
        <w:t>Shim, M. Y., A. B. Karnuah, A. D. Mitchell, N. B. Anthony, G. M. Pesti, and S. E. Aggrey. 2012b. The effects of growth rate on leg morphology and tibia breaking strength, mineral density, mineral content, and bone ash in broilers. Poultry Science 91:1790-1795. doi 10.3382/ps.2011-01968</w:t>
      </w:r>
    </w:p>
    <w:p w14:paraId="0D9EC13E" w14:textId="77777777" w:rsidR="00EB1BF9" w:rsidRPr="00EB1BF9" w:rsidRDefault="00EB1BF9" w:rsidP="00EB1BF9">
      <w:pPr>
        <w:rPr>
          <w:lang w:val="en-GB" w:eastAsia="en-AU"/>
        </w:rPr>
      </w:pPr>
      <w:r w:rsidRPr="00EB1BF9">
        <w:rPr>
          <w:lang w:val="en-GB" w:eastAsia="en-AU"/>
        </w:rPr>
        <w:t>Siegel, P. B., S. J. Gustin, and M. N. Katanbaf. 2011. Motor ability and self-selection of an analgesic drug by fast-growing chickens. Journal of Applied Poultry Research 20:249-252. doi 10.3382/japr.2009-00118</w:t>
      </w:r>
    </w:p>
    <w:p w14:paraId="1E681276" w14:textId="77777777" w:rsidR="00EB1BF9" w:rsidRPr="00EB1BF9" w:rsidRDefault="00EB1BF9" w:rsidP="00EB1BF9">
      <w:pPr>
        <w:rPr>
          <w:lang w:val="en-GB" w:eastAsia="en-AU"/>
        </w:rPr>
      </w:pPr>
      <w:r w:rsidRPr="00EB1BF9">
        <w:rPr>
          <w:lang w:val="en-GB" w:eastAsia="en-AU"/>
        </w:rPr>
        <w:t>Simitzis, P. E., E. Kalogeraki, M. Goliomytis, M. A. Charismiadou, K. Triantaphyllopoulos, A. Ayoutanti, K. Niforou, A. L. Hager-Theodorides, and S. G. Deligeorgis. 2012. Impact of stocking density on broiler growth performance, meat characteristics, behavioural components and indicators of physiological and oxidative stress. British Poultry Science 53:721-730. doi 10.1080/00071668.2012.745930</w:t>
      </w:r>
    </w:p>
    <w:p w14:paraId="1998EF6B" w14:textId="77777777" w:rsidR="00EB1BF9" w:rsidRPr="00EB1BF9" w:rsidRDefault="00EB1BF9" w:rsidP="00EB1BF9">
      <w:pPr>
        <w:rPr>
          <w:lang w:val="en-GB" w:eastAsia="en-AU"/>
        </w:rPr>
      </w:pPr>
      <w:r w:rsidRPr="00EB1BF9">
        <w:rPr>
          <w:lang w:val="en-GB" w:eastAsia="en-AU"/>
        </w:rPr>
        <w:t>Simsek, U. G., and N. Ozhan. 2015. Effects of flock size in broilers reared in a floor system on performance, some blood parameters, bone quality and musculus pectoralis pH level. Annals of Animal Science 15:505-516. doi 10.2478/aoas-2014-0076</w:t>
      </w:r>
    </w:p>
    <w:p w14:paraId="1B259857" w14:textId="77777777" w:rsidR="00EB1BF9" w:rsidRPr="00EB1BF9" w:rsidRDefault="00EB1BF9" w:rsidP="00EB1BF9">
      <w:pPr>
        <w:rPr>
          <w:lang w:val="en-GB" w:eastAsia="en-AU"/>
        </w:rPr>
      </w:pPr>
      <w:r w:rsidRPr="00EB1BF9">
        <w:rPr>
          <w:lang w:val="en-GB" w:eastAsia="en-AU"/>
        </w:rPr>
        <w:t>Simsek, U. G., B. Dalkilic, M. Ciftci, I. H. Cerci, and M. Bahsi. 2009a. Effects of Enriched Housing Design on Broiler Performance, Welfare, Chicken Meat Composition and Serum Cholesterol. Acta Veterinaria Brno 78:67-74. doi 10.2754/avb200978010067</w:t>
      </w:r>
    </w:p>
    <w:p w14:paraId="0C520B7D" w14:textId="77777777" w:rsidR="00EB1BF9" w:rsidRPr="00EB1BF9" w:rsidRDefault="00EB1BF9" w:rsidP="00EB1BF9">
      <w:pPr>
        <w:rPr>
          <w:lang w:val="en-GB" w:eastAsia="en-AU"/>
        </w:rPr>
      </w:pPr>
      <w:r w:rsidRPr="00EB1BF9">
        <w:rPr>
          <w:lang w:val="en-GB" w:eastAsia="en-AU"/>
        </w:rPr>
        <w:t>Simsek, U. G., B. Dalkilic, M. Ciftci, and A. Yuce. 2009b. The Influences of Different Stocking Densities on Some Welfare Indicators, Lipid Peroxidation (MDA) and Antioxidant Enzyme Activities (GSH, GSH-Px, CAT) in Broiler Chickens. Journal of Animal and V</w:t>
      </w:r>
      <w:r w:rsidR="002E326A">
        <w:rPr>
          <w:lang w:val="en-GB" w:eastAsia="en-AU"/>
        </w:rPr>
        <w:t>eterinary Advances 8:1568-1572.</w:t>
      </w:r>
    </w:p>
    <w:p w14:paraId="428F71A2" w14:textId="77777777" w:rsidR="00EB1BF9" w:rsidRPr="00EB1BF9" w:rsidRDefault="00EB1BF9" w:rsidP="00EB1BF9">
      <w:pPr>
        <w:rPr>
          <w:lang w:val="en-GB" w:eastAsia="en-AU"/>
        </w:rPr>
      </w:pPr>
      <w:r w:rsidRPr="00EB1BF9">
        <w:rPr>
          <w:lang w:val="en-GB" w:eastAsia="en-AU"/>
        </w:rPr>
        <w:t>Simsek, U. G., M. Ciftci, I. H. Cerci, M. Bayraktar, B. Dalkilic, O. Arslan, and T. A. Balci. 2011. Impact of stocking density and feeding regimen on broilers: performance, carcass traits and bone mineralisation. Journal of Applied Animal Research 39:230-233. doi 10.1080/09712119.2011.588394</w:t>
      </w:r>
    </w:p>
    <w:p w14:paraId="140728AC" w14:textId="77777777" w:rsidR="00EB1BF9" w:rsidRPr="00EB1BF9" w:rsidRDefault="00EB1BF9" w:rsidP="00EB1BF9">
      <w:pPr>
        <w:rPr>
          <w:lang w:val="en-GB" w:eastAsia="en-AU"/>
        </w:rPr>
      </w:pPr>
      <w:r w:rsidRPr="00EB1BF9">
        <w:rPr>
          <w:lang w:val="en-GB" w:eastAsia="en-AU"/>
        </w:rPr>
        <w:t>Simsek, U. G., M. Erisir, M. Ciftci, and P. Tatli Seven. 2014. Effects of Cage and Floor Housing Systems on Fattening Performance, Oxidative Stress and Carcass Defects in Broiler Chicken. Kafkas Universitesi Veteriner Fakultesi Dergisi 20:727-733. doi 10.9775/kvfd.2014.11008</w:t>
      </w:r>
    </w:p>
    <w:p w14:paraId="71B019A2" w14:textId="77777777" w:rsidR="00EB1BF9" w:rsidRPr="00EB1BF9" w:rsidRDefault="00EB1BF9" w:rsidP="00EB1BF9">
      <w:pPr>
        <w:rPr>
          <w:lang w:val="en-GB" w:eastAsia="en-AU"/>
        </w:rPr>
      </w:pPr>
      <w:r w:rsidRPr="00EB1BF9">
        <w:rPr>
          <w:lang w:val="en-GB" w:eastAsia="en-AU"/>
        </w:rPr>
        <w:t>Sirri, F., G. Minelli, E. Folegatti, S. Lolli, and A. Meluzzi. 2007. Foot dermatitis and productive traits in broiler chickens kept with different stocking densities, litter types and light regimen. Italian Journ</w:t>
      </w:r>
      <w:r w:rsidR="002E326A">
        <w:rPr>
          <w:lang w:val="en-GB" w:eastAsia="en-AU"/>
        </w:rPr>
        <w:t>al of Animal Science 6:734-736.</w:t>
      </w:r>
    </w:p>
    <w:p w14:paraId="0BD4632D" w14:textId="77777777" w:rsidR="00EB1BF9" w:rsidRPr="00EB1BF9" w:rsidRDefault="00EB1BF9" w:rsidP="00EB1BF9">
      <w:pPr>
        <w:rPr>
          <w:lang w:val="en-GB" w:eastAsia="en-AU"/>
        </w:rPr>
      </w:pPr>
      <w:r w:rsidRPr="00EB1BF9">
        <w:rPr>
          <w:lang w:val="en-GB" w:eastAsia="en-AU"/>
        </w:rPr>
        <w:t>Skinner-Noble, D. O., and R. G. Teeter. 2009. An examination of anatomic, physiologic, and metabolic factors associated with well-being of broilers differing in field gait score. Poultry Science 88:2-9. doi 10.3382/ps.2006-00450</w:t>
      </w:r>
    </w:p>
    <w:p w14:paraId="6DED6A9F" w14:textId="77777777" w:rsidR="00EB1BF9" w:rsidRPr="00EB1BF9" w:rsidRDefault="00EB1BF9" w:rsidP="00EB1BF9">
      <w:pPr>
        <w:rPr>
          <w:lang w:val="en-GB" w:eastAsia="en-AU"/>
        </w:rPr>
      </w:pPr>
      <w:r w:rsidRPr="00EB1BF9">
        <w:rPr>
          <w:lang w:val="en-GB" w:eastAsia="en-AU"/>
        </w:rPr>
        <w:t>Skomorucha, I., and R. Muchacka. 2007. Effect of stocking density and management system on the physiological response of broiler chickens. Anna</w:t>
      </w:r>
      <w:r w:rsidR="002E326A">
        <w:rPr>
          <w:lang w:val="en-GB" w:eastAsia="en-AU"/>
        </w:rPr>
        <w:t>ls of Animal Science 7:321-328.</w:t>
      </w:r>
    </w:p>
    <w:p w14:paraId="48203538" w14:textId="77777777" w:rsidR="00EB1BF9" w:rsidRPr="00EB1BF9" w:rsidRDefault="00EB1BF9" w:rsidP="00EB1BF9">
      <w:pPr>
        <w:rPr>
          <w:lang w:val="en-GB" w:eastAsia="en-AU"/>
        </w:rPr>
      </w:pPr>
      <w:r w:rsidRPr="00EB1BF9">
        <w:rPr>
          <w:lang w:val="en-GB" w:eastAsia="en-AU"/>
        </w:rPr>
        <w:t>Skomorucha, I., and E. Sosnowka-Czajka. 2013. Effect of water supplementation with herbal extracts on broiler chicken welfare. Annals of Animal Science 13:849-857. doi 10.2478/aoas-2013-0057</w:t>
      </w:r>
    </w:p>
    <w:p w14:paraId="16A68F12" w14:textId="77777777" w:rsidR="00EB1BF9" w:rsidRPr="00EB1BF9" w:rsidRDefault="00EB1BF9" w:rsidP="00EB1BF9">
      <w:pPr>
        <w:rPr>
          <w:lang w:val="en-GB" w:eastAsia="en-AU"/>
        </w:rPr>
      </w:pPr>
      <w:r w:rsidRPr="00EB1BF9">
        <w:rPr>
          <w:lang w:val="en-GB" w:eastAsia="en-AU"/>
        </w:rPr>
        <w:t>Skomorucha, I., E. Sosnowka-Czajka, E. Herbut, and R. Muchacka. 2007. Effect of management system on the productivity and welfare of broiler chickens from different commercial lines. Anna</w:t>
      </w:r>
      <w:r w:rsidR="002E326A">
        <w:rPr>
          <w:lang w:val="en-GB" w:eastAsia="en-AU"/>
        </w:rPr>
        <w:t>ls of Animal Science 7:141-151.</w:t>
      </w:r>
    </w:p>
    <w:p w14:paraId="0ECB6455" w14:textId="77777777" w:rsidR="00EB1BF9" w:rsidRPr="00EB1BF9" w:rsidRDefault="00EB1BF9" w:rsidP="00EB1BF9">
      <w:pPr>
        <w:rPr>
          <w:lang w:val="en-GB" w:eastAsia="en-AU"/>
        </w:rPr>
      </w:pPr>
      <w:r w:rsidRPr="00EB1BF9">
        <w:rPr>
          <w:lang w:val="en-GB" w:eastAsia="en-AU"/>
        </w:rPr>
        <w:t>Skomorucha, I., R. Muchacka, E. Sosnowka-Czajka, and E. Herbut. 2009. Response of broiler chickens from three genetic groups to different stocking densities. Anna</w:t>
      </w:r>
      <w:r w:rsidR="002E326A">
        <w:rPr>
          <w:lang w:val="en-GB" w:eastAsia="en-AU"/>
        </w:rPr>
        <w:t>ls of Animal Science 9:175-184.</w:t>
      </w:r>
    </w:p>
    <w:p w14:paraId="2BD4CC99" w14:textId="77777777" w:rsidR="00EB1BF9" w:rsidRPr="00EB1BF9" w:rsidRDefault="00EB1BF9" w:rsidP="00EB1BF9">
      <w:pPr>
        <w:rPr>
          <w:lang w:val="en-GB" w:eastAsia="en-AU"/>
        </w:rPr>
      </w:pPr>
      <w:r w:rsidRPr="00EB1BF9">
        <w:rPr>
          <w:lang w:val="en-GB" w:eastAsia="en-AU"/>
        </w:rPr>
        <w:t>Skomorucha, I., E. Sosnowka-Czajka, and R. Muchacka. 2010. Effect of thermal conditions on welfare of broiler chickens of different origin. Annals of Animal Science 10:489-49</w:t>
      </w:r>
      <w:r w:rsidR="002E326A">
        <w:rPr>
          <w:lang w:val="en-GB" w:eastAsia="en-AU"/>
        </w:rPr>
        <w:t>7.</w:t>
      </w:r>
    </w:p>
    <w:p w14:paraId="1DB9DA82" w14:textId="77777777" w:rsidR="00EB1BF9" w:rsidRPr="00EB1BF9" w:rsidRDefault="00EB1BF9" w:rsidP="00EB1BF9">
      <w:pPr>
        <w:rPr>
          <w:lang w:val="en-GB" w:eastAsia="en-AU"/>
        </w:rPr>
      </w:pPr>
      <w:r w:rsidRPr="00EB1BF9">
        <w:rPr>
          <w:lang w:val="en-GB" w:eastAsia="en-AU"/>
        </w:rPr>
        <w:t>Skrbic, Z., Z. Pavlovski, M. Lukic, and V. Petricevic. 2015. Incidence of footpad dermatitis and hock burns in broilers as affected by genotype, lighting program and litter type. Annals of Animal Science 15:433-445. doi 10.1515/aoas-2015-0005</w:t>
      </w:r>
    </w:p>
    <w:p w14:paraId="7E00674B" w14:textId="77777777" w:rsidR="00EB1BF9" w:rsidRPr="00EB1BF9" w:rsidRDefault="00EB1BF9" w:rsidP="00EB1BF9">
      <w:pPr>
        <w:rPr>
          <w:lang w:val="en-AU" w:eastAsia="en-AU"/>
        </w:rPr>
      </w:pPr>
      <w:r w:rsidRPr="00EB1BF9">
        <w:rPr>
          <w:lang w:val="en-AU" w:eastAsia="en-AU"/>
        </w:rPr>
        <w:t xml:space="preserve">Sohail, M. U., </w:t>
      </w:r>
      <w:r w:rsidR="002E326A">
        <w:rPr>
          <w:lang w:val="en-AU" w:eastAsia="en-AU"/>
        </w:rPr>
        <w:t xml:space="preserve">M. E. </w:t>
      </w:r>
      <w:r w:rsidRPr="00EB1BF9">
        <w:rPr>
          <w:lang w:val="en-AU" w:eastAsia="en-AU"/>
        </w:rPr>
        <w:t xml:space="preserve">Hume, </w:t>
      </w:r>
      <w:r w:rsidR="002E326A">
        <w:rPr>
          <w:lang w:val="en-AU" w:eastAsia="en-AU"/>
        </w:rPr>
        <w:t>J. A.</w:t>
      </w:r>
      <w:r w:rsidRPr="00EB1BF9">
        <w:rPr>
          <w:lang w:val="en-AU" w:eastAsia="en-AU"/>
        </w:rPr>
        <w:t xml:space="preserve"> Byrd, </w:t>
      </w:r>
      <w:r w:rsidR="002E326A">
        <w:rPr>
          <w:lang w:val="en-AU" w:eastAsia="en-AU"/>
        </w:rPr>
        <w:t>D. J.</w:t>
      </w:r>
      <w:r w:rsidRPr="00EB1BF9">
        <w:rPr>
          <w:lang w:val="en-AU" w:eastAsia="en-AU"/>
        </w:rPr>
        <w:t xml:space="preserve"> Nisbet, </w:t>
      </w:r>
      <w:r w:rsidR="002E326A">
        <w:rPr>
          <w:lang w:val="en-AU" w:eastAsia="en-AU"/>
        </w:rPr>
        <w:t>A.</w:t>
      </w:r>
      <w:r w:rsidRPr="00EB1BF9">
        <w:rPr>
          <w:lang w:val="en-AU" w:eastAsia="en-AU"/>
        </w:rPr>
        <w:t xml:space="preserve"> Ijaz, A. Sohail,</w:t>
      </w:r>
      <w:r w:rsidR="002E326A">
        <w:rPr>
          <w:lang w:val="en-AU" w:eastAsia="en-AU"/>
        </w:rPr>
        <w:t xml:space="preserve"> M. Z. Shabbir</w:t>
      </w:r>
      <w:r w:rsidRPr="00EB1BF9">
        <w:rPr>
          <w:lang w:val="en-AU" w:eastAsia="en-AU"/>
        </w:rPr>
        <w:t xml:space="preserve"> </w:t>
      </w:r>
      <w:r w:rsidR="002E326A">
        <w:rPr>
          <w:lang w:val="en-AU" w:eastAsia="en-AU"/>
        </w:rPr>
        <w:t xml:space="preserve">ad H. </w:t>
      </w:r>
      <w:r w:rsidRPr="00EB1BF9">
        <w:rPr>
          <w:lang w:val="en-AU" w:eastAsia="en-AU"/>
        </w:rPr>
        <w:t xml:space="preserve">Rehman. 2012. Effect of supplementation of prebiotic mannan-oligosaccharides and probiotic mixture on growth performance of broilers subjected to chronic heat stress. </w:t>
      </w:r>
      <w:r w:rsidRPr="00EB1BF9">
        <w:rPr>
          <w:iCs/>
          <w:lang w:val="en-AU" w:eastAsia="en-AU"/>
        </w:rPr>
        <w:t>Poultr</w:t>
      </w:r>
      <w:r w:rsidR="002E326A">
        <w:rPr>
          <w:iCs/>
          <w:lang w:val="en-AU" w:eastAsia="en-AU"/>
        </w:rPr>
        <w:t>y S</w:t>
      </w:r>
      <w:r w:rsidRPr="00EB1BF9">
        <w:rPr>
          <w:iCs/>
          <w:lang w:val="en-AU" w:eastAsia="en-AU"/>
        </w:rPr>
        <w:t>cience</w:t>
      </w:r>
      <w:r w:rsidRPr="00EB1BF9">
        <w:rPr>
          <w:lang w:val="en-AU" w:eastAsia="en-AU"/>
        </w:rPr>
        <w:t xml:space="preserve"> </w:t>
      </w:r>
      <w:r w:rsidRPr="00EB1BF9">
        <w:rPr>
          <w:iCs/>
          <w:lang w:val="en-AU" w:eastAsia="en-AU"/>
        </w:rPr>
        <w:t>91</w:t>
      </w:r>
      <w:r w:rsidRPr="00EB1BF9">
        <w:rPr>
          <w:lang w:val="en-AU" w:eastAsia="en-AU"/>
        </w:rPr>
        <w:t>:2235-2240.</w:t>
      </w:r>
    </w:p>
    <w:p w14:paraId="70879FAE" w14:textId="77777777" w:rsidR="00EB1BF9" w:rsidRPr="00EB1BF9" w:rsidRDefault="00EB1BF9" w:rsidP="00EB1BF9">
      <w:pPr>
        <w:rPr>
          <w:lang w:val="en-GB" w:eastAsia="en-AU"/>
        </w:rPr>
      </w:pPr>
      <w:r w:rsidRPr="00EB1BF9">
        <w:rPr>
          <w:lang w:val="en-GB" w:eastAsia="en-AU"/>
        </w:rPr>
        <w:t>Sorensen, P., G. Su, and S. C. Kestin. 2000. Effects of age and stocking density on leg weakness in broiler chicke</w:t>
      </w:r>
      <w:r w:rsidR="00BD6594">
        <w:rPr>
          <w:lang w:val="en-GB" w:eastAsia="en-AU"/>
        </w:rPr>
        <w:t>ns. Poultry Science 79:864-870.</w:t>
      </w:r>
    </w:p>
    <w:p w14:paraId="1E05C4BC" w14:textId="77777777" w:rsidR="00EB1BF9" w:rsidRPr="00EB1BF9" w:rsidRDefault="00EB1BF9" w:rsidP="00EB1BF9">
      <w:pPr>
        <w:rPr>
          <w:lang w:val="en-GB" w:eastAsia="en-AU"/>
        </w:rPr>
      </w:pPr>
      <w:r w:rsidRPr="00EB1BF9">
        <w:rPr>
          <w:lang w:val="en-GB" w:eastAsia="en-AU"/>
        </w:rPr>
        <w:t>Sosnowka-Czajka, E., I. Skomorucha, E. Herbut, and R. Muchacka. 2007. Effect of management system and flock size on the behaviour of broiler chickens. Anna</w:t>
      </w:r>
      <w:r w:rsidR="00BD6594">
        <w:rPr>
          <w:lang w:val="en-GB" w:eastAsia="en-AU"/>
        </w:rPr>
        <w:t>ls of Animal Science 7:329-335.</w:t>
      </w:r>
    </w:p>
    <w:p w14:paraId="5E5910C6" w14:textId="77777777" w:rsidR="00EB1BF9" w:rsidRPr="00EB1BF9" w:rsidRDefault="00EB1BF9" w:rsidP="00EB1BF9">
      <w:pPr>
        <w:rPr>
          <w:lang w:val="en-GB" w:eastAsia="en-AU"/>
        </w:rPr>
      </w:pPr>
      <w:r w:rsidRPr="00EB1BF9">
        <w:rPr>
          <w:lang w:val="en-GB" w:eastAsia="en-AU"/>
        </w:rPr>
        <w:t xml:space="preserve">Sparagano, O., A. Pavlicevic, T. Murano, A. Camarda, H. Sahibi, O. Kilpinen, M. Mul, R. van Emous, S. le Bouquin, K. Hoel, and M. A. Cafiero. 2009. Prevalence and key figures for the poultry red mite </w:t>
      </w:r>
      <w:r w:rsidRPr="00EB1BF9">
        <w:rPr>
          <w:i/>
          <w:lang w:val="en-GB" w:eastAsia="en-AU"/>
        </w:rPr>
        <w:t>Dermanyssus gallinae</w:t>
      </w:r>
      <w:r w:rsidRPr="00EB1BF9">
        <w:rPr>
          <w:lang w:val="en-GB" w:eastAsia="en-AU"/>
        </w:rPr>
        <w:t xml:space="preserve"> infections in poultry farm systems. Experimental and Applied Acarology 48:3-10. doi 10.1007/s10493-008-9233-z</w:t>
      </w:r>
    </w:p>
    <w:p w14:paraId="19E569C7" w14:textId="77777777" w:rsidR="00EB1BF9" w:rsidRPr="00EB1BF9" w:rsidRDefault="00EB1BF9" w:rsidP="00EB1BF9">
      <w:pPr>
        <w:rPr>
          <w:lang w:val="en-GB" w:eastAsia="en-AU"/>
        </w:rPr>
      </w:pPr>
      <w:r w:rsidRPr="00EB1BF9">
        <w:rPr>
          <w:lang w:val="en-GB" w:eastAsia="en-AU"/>
        </w:rPr>
        <w:t>Sprenger, M., C. Vangestel, and F. A. M. Tuyttens. 2009. Measuring thirst in broiler chick</w:t>
      </w:r>
      <w:r w:rsidR="00BD6594">
        <w:rPr>
          <w:lang w:val="en-GB" w:eastAsia="en-AU"/>
        </w:rPr>
        <w:t>ens. Animal Welfare 18:553-560.</w:t>
      </w:r>
    </w:p>
    <w:p w14:paraId="1117B5B6" w14:textId="77777777" w:rsidR="00EB1BF9" w:rsidRPr="00EB1BF9" w:rsidRDefault="00EB1BF9" w:rsidP="00EB1BF9">
      <w:pPr>
        <w:rPr>
          <w:lang w:val="en-GB" w:eastAsia="en-AU"/>
        </w:rPr>
      </w:pPr>
      <w:r w:rsidRPr="00EB1BF9">
        <w:rPr>
          <w:lang w:val="en-GB" w:eastAsia="en-AU"/>
        </w:rPr>
        <w:t>Su, G., P. Sorensen, and S. C. Kestin. 2000. A note on the effects of perches and litter substrate on leg weakness in broiler chickens</w:t>
      </w:r>
      <w:r w:rsidR="00BD6594">
        <w:rPr>
          <w:lang w:val="en-GB" w:eastAsia="en-AU"/>
        </w:rPr>
        <w:t>. Poultry Science 79:1259-1263.</w:t>
      </w:r>
    </w:p>
    <w:p w14:paraId="55A2C65B" w14:textId="77777777" w:rsidR="00EB1BF9" w:rsidRPr="00EB1BF9" w:rsidRDefault="00EB1BF9" w:rsidP="00EB1BF9">
      <w:pPr>
        <w:rPr>
          <w:lang w:val="en-GB" w:eastAsia="en-AU"/>
        </w:rPr>
      </w:pPr>
      <w:r w:rsidRPr="00EB1BF9">
        <w:rPr>
          <w:lang w:val="en-GB" w:eastAsia="en-AU"/>
        </w:rPr>
        <w:t>Sultana, S., M. R. Hassan, H. S. Choe, and K. S. Ryu. 2013. The effect of monochromatic and mixed LED light colour on the behaviour and fear responses of broiler chicken. Avian Biology Research 6:207-214. doi 10.3184/175815513x13739879772128</w:t>
      </w:r>
    </w:p>
    <w:p w14:paraId="60A07696" w14:textId="77777777" w:rsidR="00EB1BF9" w:rsidRPr="00EB1BF9" w:rsidRDefault="00EB1BF9" w:rsidP="00EB1BF9">
      <w:pPr>
        <w:rPr>
          <w:lang w:val="en-GB" w:eastAsia="en-AU"/>
        </w:rPr>
      </w:pPr>
      <w:r w:rsidRPr="00EB1BF9">
        <w:rPr>
          <w:lang w:val="en-GB" w:eastAsia="en-AU"/>
        </w:rPr>
        <w:t>Sun, Z. W., L. Yan, J. P. Zhao, H. Lin, and Y. M. Guo. 2013. Increasing dietary vitamin D-3 improves the walking ability and welfare status of broiler chickens reared at high stocking densities. Poultry Science 92:3071-3079. doi 10.3382/ps.2013-03278</w:t>
      </w:r>
    </w:p>
    <w:p w14:paraId="06F2370E" w14:textId="77777777" w:rsidR="00EB1BF9" w:rsidRPr="00EB1BF9" w:rsidRDefault="00EB1BF9" w:rsidP="00EB1BF9">
      <w:pPr>
        <w:rPr>
          <w:lang w:val="en-GB" w:eastAsia="en-AU"/>
        </w:rPr>
      </w:pPr>
      <w:r w:rsidRPr="00EB1BF9">
        <w:rPr>
          <w:lang w:val="en-GB" w:eastAsia="en-AU"/>
        </w:rPr>
        <w:t>Tablante, N. L., I. Estevez, and E. Russek-Cohen. 2003. Effect of perches and stocking density on tibial dyschondroplasia and bone mineralization as measured by bone ash in broiler chickens. Journal of App</w:t>
      </w:r>
      <w:r w:rsidR="00BD6594">
        <w:rPr>
          <w:lang w:val="en-GB" w:eastAsia="en-AU"/>
        </w:rPr>
        <w:t>lied Poultry Research 12:53-59.</w:t>
      </w:r>
    </w:p>
    <w:p w14:paraId="1536D068" w14:textId="77777777" w:rsidR="00EB1BF9" w:rsidRPr="00EB1BF9" w:rsidRDefault="00EB1BF9" w:rsidP="00EB1BF9">
      <w:pPr>
        <w:rPr>
          <w:lang w:val="en-GB" w:eastAsia="en-AU"/>
        </w:rPr>
      </w:pPr>
      <w:r w:rsidRPr="00EB1BF9">
        <w:rPr>
          <w:lang w:val="en-GB" w:eastAsia="en-AU"/>
        </w:rPr>
        <w:t>Taira, K., T. Nagai, T. Obi, and K. Takase. 2014. Effect of Litter Moisture on the Development of Footpad Dermatitis in Broiler Chickens. Journal of Veterinary Medical Science 76:583-586. doi 10.1292/jvms.13-0321</w:t>
      </w:r>
    </w:p>
    <w:p w14:paraId="72E5E1B9" w14:textId="77777777" w:rsidR="00EB1BF9" w:rsidRPr="00EB1BF9" w:rsidRDefault="00EB1BF9" w:rsidP="00EB1BF9">
      <w:pPr>
        <w:rPr>
          <w:lang w:val="en-GB" w:eastAsia="en-AU"/>
        </w:rPr>
      </w:pPr>
      <w:r w:rsidRPr="00EB1BF9">
        <w:rPr>
          <w:lang w:val="en-GB" w:eastAsia="en-AU"/>
        </w:rPr>
        <w:t>Thaxton, J. P., W. A. Dozier, S. L. Branton, G. W. Morgan, D. W. Miles, W. B. Roush, B. D. Lott, and Y. Vizzier-Thaxton. 2006. Stocking density and physiological adaptive responses of broile</w:t>
      </w:r>
      <w:r w:rsidR="00BD6594">
        <w:rPr>
          <w:lang w:val="en-GB" w:eastAsia="en-AU"/>
        </w:rPr>
        <w:t>rs. Poultry Science 85:819-824.</w:t>
      </w:r>
    </w:p>
    <w:p w14:paraId="78115C08" w14:textId="77777777" w:rsidR="00EB1BF9" w:rsidRPr="00EB1BF9" w:rsidRDefault="00EB1BF9" w:rsidP="00EB1BF9">
      <w:pPr>
        <w:rPr>
          <w:lang w:val="en-GB" w:eastAsia="en-AU"/>
        </w:rPr>
      </w:pPr>
      <w:r w:rsidRPr="00EB1BF9">
        <w:rPr>
          <w:lang w:val="en-GB" w:eastAsia="en-AU"/>
        </w:rPr>
        <w:t>Thomas, D. G., V. Ravindran, D. V. Thomas, B. J. Camden, Y. H. Cottam, P. C. H. Morel, and C. J. Cook. 2004. Influence of stocking density on the performance, carcass characteristics and selected welfare indicators of broiler chickens. New Zealand Veterinary Journal 52:76-81. doi 10.1080/00480169.2004.36408</w:t>
      </w:r>
    </w:p>
    <w:p w14:paraId="4D04996A" w14:textId="77777777" w:rsidR="00EB1BF9" w:rsidRPr="00EB1BF9" w:rsidRDefault="00EB1BF9" w:rsidP="00EB1BF9">
      <w:pPr>
        <w:rPr>
          <w:lang w:val="en-GB" w:eastAsia="en-AU"/>
        </w:rPr>
      </w:pPr>
      <w:r w:rsidRPr="00EB1BF9">
        <w:rPr>
          <w:lang w:val="en-GB" w:eastAsia="en-AU"/>
        </w:rPr>
        <w:t>Toghyani, M., A. Gheisari, M. Modaresi, and S. A. Tabeidian. 2010. Effect of different litter material on performance and behavior of broiler chickens. Applied Animal Behaviour Science 122:48-52. doi 10.1016/j.applanim.2009.11.008</w:t>
      </w:r>
    </w:p>
    <w:p w14:paraId="447E50BF" w14:textId="77777777" w:rsidR="00EB1BF9" w:rsidRPr="00EB1BF9" w:rsidRDefault="00EB1BF9" w:rsidP="00EB1BF9">
      <w:pPr>
        <w:rPr>
          <w:lang w:val="en-GB" w:eastAsia="en-AU"/>
        </w:rPr>
      </w:pPr>
      <w:r w:rsidRPr="00EB1BF9">
        <w:rPr>
          <w:lang w:val="en-GB" w:eastAsia="en-AU"/>
        </w:rPr>
        <w:t>Tona, K., O. Onagbesan, B. De Ketelaere, E. Decuypere, and V. Bruggeman. 2004. Effects of age of broiler breeders and egg storage on egg quality, hatchability, chick quality, chick weight, and chick posthatch growth to forty-two days. Journal of App</w:t>
      </w:r>
      <w:r w:rsidR="00BD6594">
        <w:rPr>
          <w:lang w:val="en-GB" w:eastAsia="en-AU"/>
        </w:rPr>
        <w:t>lied Poultry Research 13:10-18.</w:t>
      </w:r>
    </w:p>
    <w:p w14:paraId="3CEC960A" w14:textId="77777777" w:rsidR="00EB1BF9" w:rsidRPr="00EB1BF9" w:rsidRDefault="00EB1BF9" w:rsidP="00EB1BF9">
      <w:pPr>
        <w:rPr>
          <w:lang w:val="en-GB" w:eastAsia="en-AU"/>
        </w:rPr>
      </w:pPr>
      <w:r w:rsidRPr="00EB1BF9">
        <w:rPr>
          <w:lang w:val="en-GB" w:eastAsia="en-AU"/>
        </w:rPr>
        <w:t xml:space="preserve">Toplu, H. D. O., R. Tunca, S. U. Aypak, F. Coven, E. T. Epikmen, S. Karaarslan, and O. Yagin. 2014. Effects of Heat Conditioning and Dietary Ascorbic Acid Supplementation on Heat shock Protein 70 Expression, Blood Parameters and Fear-Related Behavior in Broilers Subjected to Heat Stress. </w:t>
      </w:r>
      <w:r w:rsidR="00BD6594">
        <w:rPr>
          <w:lang w:val="en-GB" w:eastAsia="en-AU"/>
        </w:rPr>
        <w:t>Acta Scientiae Veterinariae 42.</w:t>
      </w:r>
    </w:p>
    <w:p w14:paraId="5B44D1A0" w14:textId="77777777" w:rsidR="00EB1BF9" w:rsidRPr="00EB1BF9" w:rsidRDefault="00EB1BF9" w:rsidP="00EB1BF9">
      <w:pPr>
        <w:rPr>
          <w:lang w:val="en-GB" w:eastAsia="en-AU"/>
        </w:rPr>
      </w:pPr>
      <w:r w:rsidRPr="00EB1BF9">
        <w:rPr>
          <w:lang w:val="en-GB" w:eastAsia="en-AU"/>
        </w:rPr>
        <w:t>Toplu, H. D. O., A. Nazligul, S. U. Aypak, S. Karaarslan, and M. Kaya. 2016. Effects of lighting programme and early feed restriction on performance, some stress parameters and quality characteristics of breast meat in broilers. Indian Journal o</w:t>
      </w:r>
      <w:r w:rsidR="00BD6594">
        <w:rPr>
          <w:lang w:val="en-GB" w:eastAsia="en-AU"/>
        </w:rPr>
        <w:t>f Animal Sciences 86:1311-1317.</w:t>
      </w:r>
    </w:p>
    <w:p w14:paraId="7A2AD8B7" w14:textId="77777777" w:rsidR="00EB1BF9" w:rsidRPr="00EB1BF9" w:rsidRDefault="00EB1BF9" w:rsidP="00EB1BF9">
      <w:pPr>
        <w:rPr>
          <w:lang w:val="en-GB" w:eastAsia="en-AU"/>
        </w:rPr>
      </w:pPr>
      <w:r w:rsidRPr="00EB1BF9">
        <w:rPr>
          <w:lang w:val="en-GB" w:eastAsia="en-AU"/>
        </w:rPr>
        <w:t>Tsiouris, V., I. Georgopoulou, C. Batzios, N. Pappaioannou, R. Ducatelle, and P. Fortomaris. 2015. High stocking density as a predisposing factor for necrotic enteritis in broiler chicks. Avian Pathology 44:59-66. doi 10.1080/03079457.2014.1000820</w:t>
      </w:r>
    </w:p>
    <w:p w14:paraId="58C8CC68" w14:textId="77777777" w:rsidR="00EB1BF9" w:rsidRPr="00EB1BF9" w:rsidRDefault="00EB1BF9" w:rsidP="00EB1BF9">
      <w:pPr>
        <w:rPr>
          <w:lang w:val="en-GB" w:eastAsia="en-AU"/>
        </w:rPr>
      </w:pPr>
      <w:r w:rsidRPr="00EB1BF9">
        <w:rPr>
          <w:lang w:val="en-GB" w:eastAsia="en-AU"/>
        </w:rPr>
        <w:t>Turkyilmaz, M. K. 2008. The effect of stocking density on stress reaction in broiler chickens during summer. Turkish Journal of Veterin</w:t>
      </w:r>
      <w:r w:rsidR="00BD6594">
        <w:rPr>
          <w:lang w:val="en-GB" w:eastAsia="en-AU"/>
        </w:rPr>
        <w:t>ary &amp; Animal Sciences 32:31-36.</w:t>
      </w:r>
    </w:p>
    <w:p w14:paraId="2A568939" w14:textId="77777777" w:rsidR="00EB1BF9" w:rsidRPr="00EB1BF9" w:rsidRDefault="00EB1BF9" w:rsidP="00EB1BF9">
      <w:pPr>
        <w:rPr>
          <w:lang w:val="en-GB" w:eastAsia="en-AU"/>
        </w:rPr>
      </w:pPr>
      <w:r w:rsidRPr="00EB1BF9">
        <w:rPr>
          <w:lang w:val="en-GB" w:eastAsia="en-AU"/>
        </w:rPr>
        <w:t>Tuyttens, F., M. Heyndrickx, M. De Boeck, A. Moreels, A. Van Nuffel, E. Van Poucke, E. Van Coillie, S. Van Dongen, and L. Lens. 2008. Broiler chicken health, welfare and fluctuating asymmetry in organic versus conventional production systems. Livestock Science 113:123-132. doi 10.1010/j.livsci.2007.02.019</w:t>
      </w:r>
    </w:p>
    <w:p w14:paraId="54DB2892" w14:textId="77777777" w:rsidR="00EB1BF9" w:rsidRPr="00EB1BF9" w:rsidRDefault="00EB1BF9" w:rsidP="00EB1BF9">
      <w:pPr>
        <w:rPr>
          <w:lang w:val="en-GB" w:eastAsia="en-AU"/>
        </w:rPr>
      </w:pPr>
      <w:r w:rsidRPr="00EB1BF9">
        <w:rPr>
          <w:lang w:val="en-GB" w:eastAsia="en-AU"/>
        </w:rPr>
        <w:t xml:space="preserve">Tuyttens, F., F. Vanhonacker, and W. Verbeke. 2014. Broiler production in Flanders, Belgium: current situation and producers' opinions about animal welfare. </w:t>
      </w:r>
      <w:r w:rsidR="00E12232">
        <w:rPr>
          <w:lang w:val="en-GB" w:eastAsia="en-AU"/>
        </w:rPr>
        <w:t>World’s</w:t>
      </w:r>
      <w:r w:rsidRPr="00EB1BF9">
        <w:rPr>
          <w:lang w:val="en-GB" w:eastAsia="en-AU"/>
        </w:rPr>
        <w:t xml:space="preserve"> Poultry Science Journal 70:343-354. doi 10.1017/s004393391400035x</w:t>
      </w:r>
    </w:p>
    <w:p w14:paraId="76B05336" w14:textId="77777777" w:rsidR="00EB1BF9" w:rsidRPr="00EB1BF9" w:rsidRDefault="00EB1BF9" w:rsidP="00EB1BF9">
      <w:pPr>
        <w:rPr>
          <w:lang w:val="en-GB" w:eastAsia="en-AU"/>
        </w:rPr>
      </w:pPr>
      <w:r w:rsidRPr="00EB1BF9">
        <w:rPr>
          <w:lang w:val="en-GB" w:eastAsia="en-AU"/>
        </w:rPr>
        <w:t>Uzum, M. H., and H. D. O. Toplu. 2013. Effects of stocking density and feed restriction on performance, carcass, meat quality characteristics and some stress parameters in broilers under heat stress. Revue De Me</w:t>
      </w:r>
      <w:r w:rsidR="00BD6594">
        <w:rPr>
          <w:lang w:val="en-GB" w:eastAsia="en-AU"/>
        </w:rPr>
        <w:t>decine Veterinaire 164:546-554.</w:t>
      </w:r>
    </w:p>
    <w:p w14:paraId="65752737" w14:textId="77777777" w:rsidR="00EB1BF9" w:rsidRPr="00EB1BF9" w:rsidRDefault="00EB1BF9" w:rsidP="00EB1BF9">
      <w:pPr>
        <w:rPr>
          <w:lang w:val="en-GB" w:eastAsia="en-AU"/>
        </w:rPr>
      </w:pPr>
      <w:r w:rsidRPr="00EB1BF9">
        <w:rPr>
          <w:lang w:val="en-GB" w:eastAsia="en-AU"/>
        </w:rPr>
        <w:t>van de Ven, L. J. F., A. V. van Wagenberg, P. Koerkamp, B. Kemp, and H. van den Brand. 2009. Effects of a combined hatching and brooding system on hatchability, chick weight, and mortality in broilers. Poultry Science 88:2273-2279. doi 10.3382/ps.2009-00112</w:t>
      </w:r>
    </w:p>
    <w:p w14:paraId="5A6E58B2" w14:textId="77777777" w:rsidR="00EB1BF9" w:rsidRPr="00EB1BF9" w:rsidRDefault="00EB1BF9" w:rsidP="00EB1BF9">
      <w:pPr>
        <w:rPr>
          <w:lang w:val="en-GB" w:eastAsia="en-AU"/>
        </w:rPr>
      </w:pPr>
      <w:r w:rsidRPr="00EB1BF9">
        <w:rPr>
          <w:lang w:val="en-GB" w:eastAsia="en-AU"/>
        </w:rPr>
        <w:t>van der Pol, C. W., R. Molenaar, C. J. Buitink, I. A. M. van Roovert-Reijrink, C. M. Maatjens, H. van den Brand, and B. Kemp. 2015. Lighting schedule and dimming period in early life: consequences for broiler chicken leg bone development. Poultry Science 94:2980-2988. doi 10.3382/ps/pev276</w:t>
      </w:r>
    </w:p>
    <w:p w14:paraId="564D9E32" w14:textId="77777777" w:rsidR="00EB1BF9" w:rsidRPr="00EB1BF9" w:rsidRDefault="00EB1BF9" w:rsidP="00EB1BF9">
      <w:pPr>
        <w:rPr>
          <w:lang w:val="en-GB" w:eastAsia="en-AU"/>
        </w:rPr>
      </w:pPr>
      <w:r w:rsidRPr="00EB1BF9">
        <w:rPr>
          <w:lang w:val="en-GB" w:eastAsia="en-AU"/>
        </w:rPr>
        <w:t>Vanderhasselt, R. F., S. Buijs, M. Sprenger, K. Goethals, H. Willemsen, L. Duchateau, and F. A. M. Tuyttens. 2013. Dehydration indicators for broiler chickens at slaughter. Poultry Science 92:612-619. doi 10.3382/ps.2012-02715</w:t>
      </w:r>
    </w:p>
    <w:p w14:paraId="7ABAD5D4" w14:textId="77777777" w:rsidR="00EB1BF9" w:rsidRPr="00EB1BF9" w:rsidRDefault="00EB1BF9" w:rsidP="00EB1BF9">
      <w:pPr>
        <w:rPr>
          <w:lang w:val="en-GB" w:eastAsia="en-AU"/>
        </w:rPr>
      </w:pPr>
      <w:r w:rsidRPr="00EB1BF9">
        <w:rPr>
          <w:lang w:val="en-GB" w:eastAsia="en-AU"/>
        </w:rPr>
        <w:t>Vanderhasselt, R. F., K. Goethals, S. Buijs, J. F. Federici, E. C. O. Sans, C. F. M. Molento, L. Duchateau, and F. A. M. Tuyttens. 2014. Performance of an animal-based test of thirst in commercial broiler chicken farms. Poultry Science 93:1327-1336. doi 10.3382/ps.2013-03720</w:t>
      </w:r>
    </w:p>
    <w:p w14:paraId="6CAA14E8" w14:textId="77777777" w:rsidR="00EB1BF9" w:rsidRPr="00EB1BF9" w:rsidRDefault="00EB1BF9" w:rsidP="00EB1BF9">
      <w:pPr>
        <w:rPr>
          <w:lang w:val="en-GB" w:eastAsia="en-AU"/>
        </w:rPr>
      </w:pPr>
      <w:r w:rsidRPr="00EB1BF9">
        <w:rPr>
          <w:lang w:val="en-GB" w:eastAsia="en-AU"/>
        </w:rPr>
        <w:t>Venalainen, E., J. Valaja, and T. Jalava. 2006. Effects of dietary metabolisable energy, calcium and phosphorus on bone mineralisation, leg weakness and performance of broiler chickens. British Poultry Science 47:301-310. doi 10.1080/00071660600741776</w:t>
      </w:r>
    </w:p>
    <w:p w14:paraId="53F101E4" w14:textId="77777777" w:rsidR="00EB1BF9" w:rsidRPr="00EB1BF9" w:rsidRDefault="00EB1BF9" w:rsidP="00EB1BF9">
      <w:pPr>
        <w:rPr>
          <w:lang w:val="en-GB" w:eastAsia="en-AU"/>
        </w:rPr>
      </w:pPr>
      <w:r w:rsidRPr="00EB1BF9">
        <w:rPr>
          <w:lang w:val="en-GB" w:eastAsia="en-AU"/>
        </w:rPr>
        <w:t>Ventura, B. A., F. Siewerdt, and I. Estevez. 2010. Effects of barrier perches and density on broiler leg health, fear, and performance. Poultry Science 89:1574-1583. doi 10.3382/ps.2009-00576</w:t>
      </w:r>
    </w:p>
    <w:p w14:paraId="5FE25A2C" w14:textId="77777777" w:rsidR="00EB1BF9" w:rsidRPr="00EB1BF9" w:rsidRDefault="00EB1BF9" w:rsidP="00EB1BF9">
      <w:pPr>
        <w:rPr>
          <w:lang w:val="en-GB" w:eastAsia="en-AU"/>
        </w:rPr>
      </w:pPr>
      <w:r w:rsidRPr="00EB1BF9">
        <w:rPr>
          <w:lang w:val="en-GB" w:eastAsia="en-AU"/>
        </w:rPr>
        <w:t xml:space="preserve">Ventura, B. A., F. Siewerdt, and I. Estevez. 2012. Access to Barrier Perches Improves Behavior Repertoire in Broilers. </w:t>
      </w:r>
      <w:r w:rsidR="00601DC5">
        <w:rPr>
          <w:lang w:val="en-GB" w:eastAsia="en-AU"/>
        </w:rPr>
        <w:t>PLoS</w:t>
      </w:r>
      <w:r w:rsidR="00997550">
        <w:rPr>
          <w:lang w:val="en-GB" w:eastAsia="en-AU"/>
        </w:rPr>
        <w:t xml:space="preserve"> ONE</w:t>
      </w:r>
      <w:r w:rsidRPr="00EB1BF9">
        <w:rPr>
          <w:lang w:val="en-GB" w:eastAsia="en-AU"/>
        </w:rPr>
        <w:t xml:space="preserve"> 7. doi 10.1371/journal.pone.0029826</w:t>
      </w:r>
    </w:p>
    <w:p w14:paraId="09AA3BBB" w14:textId="77777777" w:rsidR="00EB1BF9" w:rsidRPr="00EB1BF9" w:rsidRDefault="00EB1BF9" w:rsidP="00EB1BF9">
      <w:pPr>
        <w:rPr>
          <w:lang w:val="en-GB" w:eastAsia="en-AU"/>
        </w:rPr>
      </w:pPr>
      <w:r w:rsidRPr="00EB1BF9">
        <w:rPr>
          <w:lang w:val="en-GB" w:eastAsia="en-AU"/>
        </w:rPr>
        <w:t>Villagra, A., J. L. R. de la Torre, G. Chacon, M. Lainez, A. Torres, and X. Manteca. 2009. Stocking density and stress induction affect production and stress parameters in broiler chick</w:t>
      </w:r>
      <w:r w:rsidR="0023337E">
        <w:rPr>
          <w:lang w:val="en-GB" w:eastAsia="en-AU"/>
        </w:rPr>
        <w:t>ens. Animal Welfare 18:189-197.</w:t>
      </w:r>
    </w:p>
    <w:p w14:paraId="62C21E11" w14:textId="77777777" w:rsidR="00EB1BF9" w:rsidRPr="00EB1BF9" w:rsidRDefault="00EB1BF9" w:rsidP="00EB1BF9">
      <w:pPr>
        <w:rPr>
          <w:lang w:val="en-GB" w:eastAsia="en-AU"/>
        </w:rPr>
      </w:pPr>
      <w:r w:rsidRPr="00EB1BF9">
        <w:rPr>
          <w:lang w:val="en-GB" w:eastAsia="en-AU"/>
        </w:rPr>
        <w:t>Villagra, A., I. Olivas, V. Benitez, and M. Lainez. 2011. Evaluation of sludge from paper recycling as bedding material for broilers. Poultry Science 90:953-957. doi 10.3382/ps.2010-00935</w:t>
      </w:r>
    </w:p>
    <w:p w14:paraId="4C0867AA" w14:textId="77777777" w:rsidR="00EB1BF9" w:rsidRPr="00EB1BF9" w:rsidRDefault="00EB1BF9" w:rsidP="00EB1BF9">
      <w:pPr>
        <w:rPr>
          <w:lang w:val="en-GB" w:eastAsia="en-AU"/>
        </w:rPr>
      </w:pPr>
      <w:r w:rsidRPr="00EB1BF9">
        <w:rPr>
          <w:lang w:val="en-GB" w:eastAsia="en-AU"/>
        </w:rPr>
        <w:t>Voslarova, E., P. Chloupek, J. Chloupek, I. Bedanova, V. Pistekova, and V. Vecerek. 2011. The effects of chronic intermittent noise exposure on broiler chicken performance. Animal Science Journal 82:601-606. doi 10.1111/j.1740-0929.2011.00877.x</w:t>
      </w:r>
    </w:p>
    <w:p w14:paraId="797DB767" w14:textId="77777777" w:rsidR="00EB1BF9" w:rsidRPr="00EB1BF9" w:rsidRDefault="00EB1BF9" w:rsidP="00EB1BF9">
      <w:pPr>
        <w:rPr>
          <w:lang w:val="en-GB" w:eastAsia="en-AU"/>
        </w:rPr>
      </w:pPr>
      <w:r w:rsidRPr="00EB1BF9">
        <w:rPr>
          <w:lang w:val="en-GB" w:eastAsia="en-AU"/>
        </w:rPr>
        <w:t xml:space="preserve">Wang, Y. M., Q. P. Meng, Y. M. Guo, Y. Z. Wang, Z. Wang, Z. L. Yao, and T. Z. Shan. 2010. Effect of Atmospheric Ammonia on Growth Performance and Immunological Response of Broiler Chickens. Journal of Animal and Veterinary Advances 9:2802-2806. </w:t>
      </w:r>
    </w:p>
    <w:p w14:paraId="66F1D1AB" w14:textId="77777777" w:rsidR="00EB1BF9" w:rsidRPr="00EB1BF9" w:rsidRDefault="00EB1BF9" w:rsidP="00EB1BF9">
      <w:pPr>
        <w:rPr>
          <w:lang w:val="en-GB" w:eastAsia="en-AU"/>
        </w:rPr>
      </w:pPr>
      <w:r w:rsidRPr="00EB1BF9">
        <w:rPr>
          <w:lang w:val="en-GB" w:eastAsia="en-AU"/>
        </w:rPr>
        <w:t xml:space="preserve">Wathes, C. M., J. B. Jones, H. H. Kristensen, E. K. M. Jones, and A. J. F. Webster. 2002. Aversion of pigs and domestic fowl to atmospheric ammonia. Transactions of the </w:t>
      </w:r>
      <w:r w:rsidR="0077095C">
        <w:rPr>
          <w:lang w:val="en-GB" w:eastAsia="en-AU"/>
        </w:rPr>
        <w:t>ASAE</w:t>
      </w:r>
      <w:r w:rsidRPr="00EB1BF9">
        <w:rPr>
          <w:lang w:val="en-GB" w:eastAsia="en-AU"/>
        </w:rPr>
        <w:t xml:space="preserve"> 45:1605-1610.</w:t>
      </w:r>
    </w:p>
    <w:p w14:paraId="660572A6" w14:textId="77777777" w:rsidR="00EB1BF9" w:rsidRPr="00EB1BF9" w:rsidRDefault="00EB1BF9" w:rsidP="00EB1BF9">
      <w:pPr>
        <w:rPr>
          <w:lang w:val="en-GB" w:eastAsia="en-AU"/>
        </w:rPr>
      </w:pPr>
      <w:r w:rsidRPr="00EB1BF9">
        <w:rPr>
          <w:lang w:val="en-GB" w:eastAsia="en-AU"/>
        </w:rPr>
        <w:t>Weeks, C. A., T. D. Danbury, H. C. Davies, P. Hunt, and S. C. Kestin. 2000. The behaviour of broiler chickens and its modification by lameness. Applied Animal Behaviour Science 67:111-125. doi 10.1016/s0168-1591(99)00102-1</w:t>
      </w:r>
    </w:p>
    <w:p w14:paraId="7A0C28DC" w14:textId="77777777" w:rsidR="00EB1BF9" w:rsidRPr="00EB1BF9" w:rsidRDefault="00EB1BF9" w:rsidP="00EB1BF9">
      <w:pPr>
        <w:rPr>
          <w:lang w:val="en-GB" w:eastAsia="en-AU"/>
        </w:rPr>
      </w:pPr>
      <w:r w:rsidRPr="00EB1BF9">
        <w:rPr>
          <w:lang w:val="en-GB" w:eastAsia="en-AU"/>
        </w:rPr>
        <w:t>Weeks, C. A., T. G. Knowles, R. G. Gordon, A. E. Kerr, S. T. Peyton, and N. T. Tilbrook. 2002. New method for objectively assessing lameness in broiler chickens.</w:t>
      </w:r>
      <w:r w:rsidR="0023337E">
        <w:rPr>
          <w:lang w:val="en-GB" w:eastAsia="en-AU"/>
        </w:rPr>
        <w:t xml:space="preserve"> Veterinary Record 151:762-764.</w:t>
      </w:r>
    </w:p>
    <w:p w14:paraId="3F8888F7" w14:textId="77777777" w:rsidR="00EB1BF9" w:rsidRPr="00EB1BF9" w:rsidRDefault="00EB1BF9" w:rsidP="00EB1BF9">
      <w:pPr>
        <w:rPr>
          <w:lang w:val="en-GB" w:eastAsia="en-AU"/>
        </w:rPr>
      </w:pPr>
      <w:r w:rsidRPr="00EB1BF9">
        <w:rPr>
          <w:lang w:val="en-GB" w:eastAsia="en-AU"/>
        </w:rPr>
        <w:t>Wei, F. X., B. Xu, X. F. Hu, S. Y. Li, F. Z. Liu, Q. Y. Sun, Y. P. Jiao, and L. Y. Wang. 2012. The Effect of Ammonia and Humidity in Poultry Houses on Intestinal Morphology and Function of Broilers. Journal of Animal and Ve</w:t>
      </w:r>
      <w:r w:rsidR="0023337E">
        <w:rPr>
          <w:lang w:val="en-GB" w:eastAsia="en-AU"/>
        </w:rPr>
        <w:t>terinary Advances 11:3641-3646.</w:t>
      </w:r>
    </w:p>
    <w:p w14:paraId="73FB4E1C" w14:textId="77777777" w:rsidR="00EB1BF9" w:rsidRPr="00EB1BF9" w:rsidRDefault="00EB1BF9" w:rsidP="00EB1BF9">
      <w:pPr>
        <w:rPr>
          <w:lang w:val="en-GB" w:eastAsia="en-AU"/>
        </w:rPr>
      </w:pPr>
      <w:r w:rsidRPr="00EB1BF9">
        <w:rPr>
          <w:lang w:val="en-GB" w:eastAsia="en-AU"/>
        </w:rPr>
        <w:t>Wei, F. X., X. F. Hu, B. Xu, M. H. Zhang, S. Y. Li, Q. Y. Sun, and P. Lin. 2015. Ammonia concentration and relative humidity in poultry houses affect the immune response of broilers. Genetics and Molecular Research 14:3160-3169. doi 10.4238/2015.April.10.27</w:t>
      </w:r>
    </w:p>
    <w:p w14:paraId="0AF074F9" w14:textId="77777777" w:rsidR="00EB1BF9" w:rsidRPr="00EB1BF9" w:rsidRDefault="00EB1BF9" w:rsidP="00EB1BF9">
      <w:pPr>
        <w:rPr>
          <w:lang w:val="en-GB" w:eastAsia="en-AU"/>
        </w:rPr>
      </w:pPr>
      <w:r w:rsidRPr="00EB1BF9">
        <w:rPr>
          <w:lang w:val="en-GB" w:eastAsia="en-AU"/>
        </w:rPr>
        <w:t>Welfare Quality. 2009. Welfare Quality</w:t>
      </w:r>
      <w:r w:rsidR="006F4BD9">
        <w:rPr>
          <w:rFonts w:cs="Arial"/>
          <w:lang w:val="en-GB" w:eastAsia="en-AU"/>
        </w:rPr>
        <w:t>®</w:t>
      </w:r>
      <w:r w:rsidRPr="00EB1BF9">
        <w:rPr>
          <w:lang w:val="en-GB" w:eastAsia="en-AU"/>
        </w:rPr>
        <w:t xml:space="preserve"> assessment protocol for poultry (broilers, laying hens). Welfare Quality</w:t>
      </w:r>
      <w:r w:rsidR="006F4BD9">
        <w:rPr>
          <w:rFonts w:cs="Arial"/>
          <w:lang w:val="en-GB" w:eastAsia="en-AU"/>
        </w:rPr>
        <w:t>®</w:t>
      </w:r>
      <w:r w:rsidRPr="00EB1BF9">
        <w:rPr>
          <w:lang w:val="en-GB" w:eastAsia="en-AU"/>
        </w:rPr>
        <w:t xml:space="preserve"> Consortium, Lelystad, The Netherlands. </w:t>
      </w:r>
      <w:hyperlink r:id="rId64" w:tooltip="This link opens a pdf of the Welfare Quality assessment protocol for broilers and laying hens." w:history="1">
        <w:r w:rsidR="0023337E" w:rsidRPr="003A6506">
          <w:rPr>
            <w:rStyle w:val="Hyperlink"/>
            <w:lang w:val="en-GB" w:eastAsia="en-AU"/>
          </w:rPr>
          <w:t>www.welfarequalitynetwork.net/downloadattachment/45627/21652/Poultry%20Protocol.pdf</w:t>
        </w:r>
      </w:hyperlink>
      <w:r w:rsidR="0023337E">
        <w:rPr>
          <w:lang w:val="en-GB" w:eastAsia="en-AU"/>
        </w:rPr>
        <w:t>.</w:t>
      </w:r>
      <w:r w:rsidRPr="00EB1BF9">
        <w:rPr>
          <w:lang w:val="en-GB" w:eastAsia="en-AU"/>
        </w:rPr>
        <w:t xml:space="preserve"> Accessed 20/05/2017.</w:t>
      </w:r>
    </w:p>
    <w:p w14:paraId="45C41E0B" w14:textId="77777777" w:rsidR="00EB1BF9" w:rsidRPr="00EB1BF9" w:rsidRDefault="00EB1BF9" w:rsidP="00EB1BF9">
      <w:pPr>
        <w:rPr>
          <w:lang w:val="en-GB" w:eastAsia="en-AU"/>
        </w:rPr>
      </w:pPr>
      <w:r w:rsidRPr="00EB1BF9">
        <w:rPr>
          <w:lang w:val="en-GB" w:eastAsia="en-AU"/>
        </w:rPr>
        <w:t>Wideman, R. F., A. Al-Rubaye, D. Reynolds, D. Yoho, H. Lester, C. Spencer, J. D. Hughes, and I. Y. Pevzner. 2014. Bacterial chondronecrosis with osteomyelitis in broilers: Influence of sires and straight-run versus sex-separate rearing. Poultry Science 93:1675-1687. doi 10.3382/ps.2014-03912</w:t>
      </w:r>
    </w:p>
    <w:p w14:paraId="0FC15E92" w14:textId="77777777" w:rsidR="00EB1BF9" w:rsidRPr="00EB1BF9" w:rsidRDefault="00EB1BF9" w:rsidP="00EB1BF9">
      <w:pPr>
        <w:rPr>
          <w:lang w:val="en-GB" w:eastAsia="en-AU"/>
        </w:rPr>
      </w:pPr>
      <w:r w:rsidRPr="00EB1BF9">
        <w:rPr>
          <w:lang w:val="en-GB" w:eastAsia="en-AU"/>
        </w:rPr>
        <w:t>Wijtten, P. J. A., E. Hangoor, J. Sparla, and M. W. A. Verstegen. 2010. Dietary amino acid levels and feed restriction affect small intestinal development, mortality, and weight gain of male broilers. Poultry Science 89:1424-1439. doi 10.3382/ps.2009-00626</w:t>
      </w:r>
    </w:p>
    <w:p w14:paraId="0855C0F6" w14:textId="77777777" w:rsidR="00EB1BF9" w:rsidRPr="00EB1BF9" w:rsidRDefault="00EB1BF9" w:rsidP="00EB1BF9">
      <w:pPr>
        <w:rPr>
          <w:lang w:val="en-GB" w:eastAsia="en-AU"/>
        </w:rPr>
      </w:pPr>
      <w:r w:rsidRPr="00EB1BF9">
        <w:rPr>
          <w:lang w:val="en-GB" w:eastAsia="en-AU"/>
        </w:rPr>
        <w:t>Xavier, D. B., D. M. Broom, C. M. P. McManus, C. Torres, and F. E. M. Bernal. 2010. Number of flocks on the same litter and carcase condemnations due to cellulitis, arthritis and contact foot-pad dermatitis in broilers. British Poultry Science 51:586-591. doi 10.1080/00071668.2010.508487</w:t>
      </w:r>
    </w:p>
    <w:p w14:paraId="5CD86080" w14:textId="77777777" w:rsidR="00EB1BF9" w:rsidRPr="00EB1BF9" w:rsidRDefault="00EB1BF9" w:rsidP="00EB1BF9">
      <w:pPr>
        <w:rPr>
          <w:lang w:val="en-GB" w:eastAsia="en-AU"/>
        </w:rPr>
      </w:pPr>
      <w:r w:rsidRPr="00EB1BF9">
        <w:rPr>
          <w:lang w:val="en-GB" w:eastAsia="en-AU"/>
        </w:rPr>
        <w:t>Yahav, S. 2004. Ammonia affects performance and thermoregulation of male broiler chickens. Animal Research 53: 289–293. doi 10.1051/animres:2004015</w:t>
      </w:r>
    </w:p>
    <w:p w14:paraId="73FB051C" w14:textId="77777777" w:rsidR="00EB1BF9" w:rsidRPr="00EB1BF9" w:rsidRDefault="00EB1BF9" w:rsidP="00EB1BF9">
      <w:pPr>
        <w:rPr>
          <w:lang w:val="en-GB" w:eastAsia="en-AU"/>
        </w:rPr>
      </w:pPr>
      <w:r w:rsidRPr="00EB1BF9">
        <w:rPr>
          <w:lang w:val="en-GB" w:eastAsia="en-AU"/>
        </w:rPr>
        <w:t xml:space="preserve">Yalcin, S., H. B. Molayoglu, M. Baka, O. Genin, and M. Pines. 2007. Effect of temperature during the incubation period on tibial growth plate chondrocyte differentiation and the incidence of tibial dyschondroplasia. Poultry Science 86:1772-1783. </w:t>
      </w:r>
      <w:r w:rsidR="00165823">
        <w:rPr>
          <w:lang w:val="en-GB" w:eastAsia="en-AU"/>
        </w:rPr>
        <w:t xml:space="preserve">doi </w:t>
      </w:r>
      <w:r w:rsidRPr="00EB1BF9">
        <w:rPr>
          <w:lang w:val="en-GB" w:eastAsia="en-AU"/>
        </w:rPr>
        <w:t>10.1093/ps/86.8.1772</w:t>
      </w:r>
    </w:p>
    <w:p w14:paraId="7FFFF19D" w14:textId="77777777" w:rsidR="00EB1BF9" w:rsidRPr="00EB1BF9" w:rsidRDefault="00EB1BF9" w:rsidP="00EB1BF9">
      <w:pPr>
        <w:rPr>
          <w:lang w:val="en-GB" w:eastAsia="en-AU"/>
        </w:rPr>
      </w:pPr>
      <w:r w:rsidRPr="00EB1BF9">
        <w:rPr>
          <w:lang w:val="en-GB" w:eastAsia="en-AU"/>
        </w:rPr>
        <w:t>Yamak, U. S., M. Sarica, M. A. Boz, and A. Ucar. 2016. Effect of Reusing Litter on Broiler Performance, Foot-Pad Dermatitis and Litter Quality in Chickens with Different Growth Rates. Kafkas Universitesi Veteriner Fakultesi Dergisi 22:85-91. doi 10.9775/kvfd.2015.13957</w:t>
      </w:r>
    </w:p>
    <w:p w14:paraId="18E50A5A" w14:textId="77777777" w:rsidR="00EB1BF9" w:rsidRPr="00EB1BF9" w:rsidRDefault="00EB1BF9" w:rsidP="00EB1BF9">
      <w:pPr>
        <w:rPr>
          <w:lang w:val="en-GB" w:eastAsia="en-AU"/>
        </w:rPr>
      </w:pPr>
      <w:r w:rsidRPr="00EB1BF9">
        <w:rPr>
          <w:lang w:val="en-GB" w:eastAsia="en-AU"/>
        </w:rPr>
        <w:t>Yang, H. M., H. Xing, Z. Y. Wang, J. L. Xia, Y. Wan, B. H. Hou, and J. D. Zhang. 2015. Effects of intermittent lighting on broiler growth performance, slaughter performance, serum biochemical parameters and tibia parameters. Italian Journal of Animal Science 14. doi 10.4081/ijas.2015.4143</w:t>
      </w:r>
    </w:p>
    <w:p w14:paraId="25CACAFB" w14:textId="77777777" w:rsidR="00EB1BF9" w:rsidRPr="00EB1BF9" w:rsidRDefault="00EB1BF9" w:rsidP="00EB1BF9">
      <w:pPr>
        <w:rPr>
          <w:lang w:val="en-GB" w:eastAsia="en-AU"/>
        </w:rPr>
      </w:pPr>
      <w:r w:rsidRPr="00EB1BF9">
        <w:rPr>
          <w:lang w:val="en-GB" w:eastAsia="en-AU"/>
        </w:rPr>
        <w:t>Yassin, H., A. G. J. Velthuis, M. Boerjan, and J. van Riel. 2009. Field study on broilers' first-week mortality. Poultry Science 88:798-804. doi 10.3382/ps.2008-00292</w:t>
      </w:r>
    </w:p>
    <w:p w14:paraId="6FD9C012" w14:textId="77777777" w:rsidR="00EB1BF9" w:rsidRPr="00EB1BF9" w:rsidRDefault="00EB1BF9" w:rsidP="00EB1BF9">
      <w:pPr>
        <w:rPr>
          <w:lang w:val="en-GB" w:eastAsia="en-AU"/>
        </w:rPr>
      </w:pPr>
      <w:r w:rsidRPr="00EB1BF9">
        <w:rPr>
          <w:lang w:val="en-GB" w:eastAsia="en-AU"/>
        </w:rPr>
        <w:t>Yildiz, A., K. Yildiz, and B. Apaydin. 2014. The Effect of Vermiculite as Litter Material on Some Health and Stress Parameters in Broilers. Kafkas Universitesi Veteriner Fakultesi Dergisi 20:129-134. doi 10.9775/kvfd.2013.9639</w:t>
      </w:r>
    </w:p>
    <w:p w14:paraId="0FAA57EC" w14:textId="77777777" w:rsidR="00EB1BF9" w:rsidRPr="00EB1BF9" w:rsidRDefault="00EB1BF9" w:rsidP="00EB1BF9">
      <w:pPr>
        <w:rPr>
          <w:lang w:val="en-GB" w:eastAsia="en-AU"/>
        </w:rPr>
      </w:pPr>
      <w:r w:rsidRPr="00EB1BF9">
        <w:rPr>
          <w:lang w:val="en-GB" w:eastAsia="en-AU"/>
        </w:rPr>
        <w:t>Zhang, H. F., H. C. Jiao, Z. G. Song, and H. Lin. 2011. Effect of alum-amended litter and stocking density on ammonia release and footpad and hock dermatitis of broilers. Agricultural Sciences in China 10:777-785. doi 10.1016/s1671-2927(11)60062-x</w:t>
      </w:r>
    </w:p>
    <w:p w14:paraId="14FBA312" w14:textId="77777777" w:rsidR="00EB1BF9" w:rsidRPr="00EB1BF9" w:rsidRDefault="00EB1BF9" w:rsidP="00EB1BF9">
      <w:pPr>
        <w:rPr>
          <w:lang w:val="en-GB" w:eastAsia="en-AU"/>
        </w:rPr>
      </w:pPr>
      <w:r w:rsidRPr="00EB1BF9">
        <w:rPr>
          <w:lang w:val="en-GB" w:eastAsia="en-AU"/>
        </w:rPr>
        <w:t>Zhang, J. Z., C. Li, X. F. Tang, Q. P. Lu, R. N. Sa, and H. F. Zhang. 2015. High Concentrations of Atmospheric Ammonia Induce Alterations in the Hepatic Proteome of Broilers (</w:t>
      </w:r>
      <w:r w:rsidRPr="0023337E">
        <w:rPr>
          <w:i/>
          <w:lang w:val="en-GB" w:eastAsia="en-AU"/>
        </w:rPr>
        <w:t>Gallus gallus</w:t>
      </w:r>
      <w:r w:rsidRPr="00EB1BF9">
        <w:rPr>
          <w:lang w:val="en-GB" w:eastAsia="en-AU"/>
        </w:rPr>
        <w:t xml:space="preserve">): An iTRAQ-Based Quantitative Proteomic Analysis. </w:t>
      </w:r>
      <w:r w:rsidR="00601DC5">
        <w:rPr>
          <w:lang w:val="en-GB" w:eastAsia="en-AU"/>
        </w:rPr>
        <w:t>PLoS</w:t>
      </w:r>
      <w:r w:rsidR="00997550">
        <w:rPr>
          <w:lang w:val="en-GB" w:eastAsia="en-AU"/>
        </w:rPr>
        <w:t xml:space="preserve"> ONE</w:t>
      </w:r>
      <w:r w:rsidRPr="00EB1BF9">
        <w:rPr>
          <w:lang w:val="en-GB" w:eastAsia="en-AU"/>
        </w:rPr>
        <w:t xml:space="preserve"> 10. doi 10.1371/journal.pone.0123596</w:t>
      </w:r>
    </w:p>
    <w:p w14:paraId="14ABB512" w14:textId="77777777" w:rsidR="00EB1BF9" w:rsidRPr="00EB1BF9" w:rsidRDefault="00EB1BF9" w:rsidP="00EB1BF9">
      <w:pPr>
        <w:rPr>
          <w:lang w:val="en-GB" w:eastAsia="en-AU"/>
        </w:rPr>
      </w:pPr>
      <w:r w:rsidRPr="00EB1BF9">
        <w:rPr>
          <w:lang w:val="en-GB" w:eastAsia="en-AU"/>
        </w:rPr>
        <w:t>Zhao, F. R., A. L. Geng, B. M. Li, Z. X. Shi, and Y. J. Zhao. 2009. Effects of environmental factors on breast blister incidence, growth performance, and some biochemical indexes in broilers. Journal of Applied Poultry Research 18:699-706. doi 10.3382/japr.2009-00018</w:t>
      </w:r>
    </w:p>
    <w:p w14:paraId="1A4E2A9D" w14:textId="77777777" w:rsidR="00EB1BF9" w:rsidRPr="00EB1BF9" w:rsidRDefault="00EB1BF9" w:rsidP="00EB1BF9">
      <w:pPr>
        <w:rPr>
          <w:lang w:val="en-GB" w:eastAsia="en-AU"/>
        </w:rPr>
      </w:pPr>
      <w:r w:rsidRPr="00EB1BF9">
        <w:rPr>
          <w:lang w:val="en-GB" w:eastAsia="en-AU"/>
        </w:rPr>
        <w:t>Zhao, J., R. B. Shirley, M. Vazquez-Anon, J. J. Dibner, J. D. Richards, P. Fisher, T. Hampton, K. D. Christensen, J. P. Allard, and A. F. Giesen. 2010. Effects of chelated trace minerals on growth performance, breast meat yield, and footpad health in commercial meat broilers. Journal of Applied Poultry Research 19:365-372. doi 10.3382/japr.2009-00020</w:t>
      </w:r>
    </w:p>
    <w:p w14:paraId="43C58FEB" w14:textId="77777777" w:rsidR="00EB1BF9" w:rsidRPr="00EB1BF9" w:rsidRDefault="00EB1BF9" w:rsidP="00EB1BF9">
      <w:pPr>
        <w:rPr>
          <w:lang w:val="en-GB" w:eastAsia="en-AU"/>
        </w:rPr>
      </w:pPr>
      <w:r w:rsidRPr="00EB1BF9">
        <w:rPr>
          <w:lang w:val="en-GB" w:eastAsia="en-AU"/>
        </w:rPr>
        <w:t>Zhao, J. P., H. C. Jiao, Y. B. Jiang, Z. G. Song, X. J. Wang, and H. Lin. 2012. Cool perch availability improves the performance and welfare status of broiler chickens in hot weather. Poultry Science 91:1775-1784. doi 10.3382/ps.2011-02058</w:t>
      </w:r>
    </w:p>
    <w:p w14:paraId="0D2EFDC5" w14:textId="77777777" w:rsidR="00EB1BF9" w:rsidRPr="00EB1BF9" w:rsidRDefault="00EB1BF9" w:rsidP="00EB1BF9">
      <w:pPr>
        <w:rPr>
          <w:lang w:val="en-GB" w:eastAsia="en-AU"/>
        </w:rPr>
      </w:pPr>
      <w:r w:rsidRPr="00EB1BF9">
        <w:rPr>
          <w:lang w:val="en-GB" w:eastAsia="en-AU"/>
        </w:rPr>
        <w:t>Zhao, J. P., H. C. Jiao, Y. B. Jiang, Z. G. Song, X. J. Wang, and H. Lin. 2013. Cool perches improve the growth performance and welfare status of broiler chickens reared at different stocking densities and high temperatures. Poultry Science 92:1962-1971. doi 10.3382/ps.2012-02933</w:t>
      </w:r>
    </w:p>
    <w:p w14:paraId="5ECA2869" w14:textId="77777777" w:rsidR="00EB1BF9" w:rsidRPr="00EB1BF9" w:rsidRDefault="00EB1BF9" w:rsidP="00EB1BF9">
      <w:pPr>
        <w:rPr>
          <w:lang w:val="en-GB" w:eastAsia="en-AU"/>
        </w:rPr>
      </w:pPr>
      <w:r w:rsidRPr="00EB1BF9">
        <w:rPr>
          <w:lang w:val="en-GB" w:eastAsia="en-AU"/>
        </w:rPr>
        <w:t>Zhao, Z. G., J. H. Li, X. Li, and J. Bao. 2014. Effects of Housing Systems on Behaviour, Performance and Welfare of Fast-growing Broilers. Asian-Australasian Journal of Animal Sciences 27:140-146. doi 10.5713/ajas.2013.13167</w:t>
      </w:r>
    </w:p>
    <w:p w14:paraId="0C7D26AE" w14:textId="77777777" w:rsidR="00EB1BF9" w:rsidRPr="00EB1BF9" w:rsidRDefault="00EB1BF9" w:rsidP="00EB1BF9">
      <w:pPr>
        <w:rPr>
          <w:lang w:val="en-GB" w:eastAsia="en-AU"/>
        </w:rPr>
      </w:pPr>
      <w:r w:rsidRPr="00EB1BF9">
        <w:rPr>
          <w:lang w:val="en-GB" w:eastAsia="en-AU"/>
        </w:rPr>
        <w:t>Ziaei, N., J. H. Guy, S. A. Edwards, P. J. Blanchard, J. Ward, and D. Feuerstein. 2008. Effect of reducing dietary mineral content on growth performance, water intake, excreta dry matter content and blood parameters of broilers. British Poultry Science 49:195-201. doi 10.1080/00071660801953238</w:t>
      </w:r>
    </w:p>
    <w:p w14:paraId="38418F38" w14:textId="77777777" w:rsidR="00EB1BF9" w:rsidRPr="00EB1BF9" w:rsidRDefault="00EB1BF9" w:rsidP="00EB1BF9">
      <w:pPr>
        <w:rPr>
          <w:lang w:val="en-GB" w:eastAsia="en-AU"/>
        </w:rPr>
      </w:pPr>
      <w:r w:rsidRPr="00EB1BF9">
        <w:rPr>
          <w:lang w:val="en-GB" w:eastAsia="en-AU"/>
        </w:rPr>
        <w:t>Zulkifli, I., and A. S. N. Azah. 2004. Fear and stress reactions, and the performance of commercial broiler chickens subjected to regular pleasant and unpleasant contacts with human being. Applied Animal Behaviour Science 88:77-87. doi 10.1016/j.applanim.2004.02.014</w:t>
      </w:r>
    </w:p>
    <w:p w14:paraId="46201F0D" w14:textId="77777777" w:rsidR="00EB1BF9" w:rsidRPr="00EB1BF9" w:rsidRDefault="00EB1BF9" w:rsidP="00EB1BF9">
      <w:pPr>
        <w:rPr>
          <w:lang w:val="en-GB" w:eastAsia="en-AU"/>
        </w:rPr>
      </w:pPr>
      <w:r w:rsidRPr="00EB1BF9">
        <w:rPr>
          <w:lang w:val="en-GB" w:eastAsia="en-AU"/>
        </w:rPr>
        <w:t>Zulkifli, I., J. Gilbert, P. K. Liew, and J. Ginsos. 2002. The effects of regular visual contact with human beings on fear, stress, antibody and growth responses in broiler chickens. Applied Animal Behaviour Science 79:103-112. doi 10.1016/s0168-1591(02)00135-1</w:t>
      </w:r>
    </w:p>
    <w:p w14:paraId="5954090B" w14:textId="77777777" w:rsidR="00EB1BF9" w:rsidRDefault="00EB1BF9" w:rsidP="00267465">
      <w:pPr>
        <w:rPr>
          <w:lang w:val="en-AU" w:eastAsia="en-AU"/>
        </w:rPr>
      </w:pPr>
    </w:p>
    <w:p w14:paraId="07EBC43D" w14:textId="77777777" w:rsidR="00286A88" w:rsidRPr="00286A88" w:rsidRDefault="003D1CC3" w:rsidP="00EB1BF9">
      <w:pPr>
        <w:pStyle w:val="Heading1"/>
        <w:rPr>
          <w:lang w:val="en-AU" w:eastAsia="en-AU"/>
        </w:rPr>
      </w:pPr>
      <w:r>
        <w:rPr>
          <w:lang w:val="en-AU" w:eastAsia="en-AU"/>
        </w:rPr>
        <w:br w:type="column"/>
      </w:r>
      <w:bookmarkStart w:id="135" w:name="_Toc495310604"/>
      <w:r w:rsidR="00286A88" w:rsidRPr="00286A88">
        <w:rPr>
          <w:lang w:val="en-AU" w:eastAsia="en-AU"/>
        </w:rPr>
        <w:t>Broiler Breeders</w:t>
      </w:r>
      <w:bookmarkEnd w:id="135"/>
    </w:p>
    <w:p w14:paraId="7AD41872" w14:textId="77777777" w:rsidR="00286A88" w:rsidRPr="00286A88" w:rsidRDefault="00286A88" w:rsidP="00982762">
      <w:pPr>
        <w:pStyle w:val="Heading2"/>
        <w:rPr>
          <w:lang w:val="en-AU" w:eastAsia="en-AU"/>
        </w:rPr>
      </w:pPr>
      <w:bookmarkStart w:id="136" w:name="_Toc495310605"/>
      <w:r w:rsidRPr="00286A88">
        <w:rPr>
          <w:lang w:val="en-AU" w:eastAsia="en-AU"/>
        </w:rPr>
        <w:t>BB1. Introduction</w:t>
      </w:r>
      <w:bookmarkEnd w:id="136"/>
    </w:p>
    <w:p w14:paraId="35BAC7C6" w14:textId="77777777" w:rsidR="00286A88" w:rsidRPr="00286A88" w:rsidRDefault="00286A88" w:rsidP="00982762">
      <w:pPr>
        <w:rPr>
          <w:lang w:val="en-GB"/>
        </w:rPr>
      </w:pPr>
      <w:r w:rsidRPr="00286A88">
        <w:rPr>
          <w:lang w:val="en-GB"/>
        </w:rPr>
        <w:t>The primary broiler breeding sector consists of three main genetics companies that breed pedigree (pure line) stock which is kept on extremely high level biosecure farms. Their progeny become the great grandparent and grandparent generations, which in turn produce parent stock hybrids (broiler breeders) which form the main production sector. The majority of broiler breeders are housed under production cycles that comprise two distinct phases within non-cage systems. Chicks are placed in a rearing house at day one, in single-sex groups, where they remain until 18-22 weeks of age (when they get transferred to a production unit). A standard group size during rearing is 2,500-3,000 birds; however, there can be several pens within the same house, totalling approximately 10,000-30,000 birds per house or farm (</w:t>
      </w:r>
      <w:r w:rsidR="00793ACC">
        <w:rPr>
          <w:lang w:val="en-GB"/>
        </w:rPr>
        <w:t>AHAW</w:t>
      </w:r>
      <w:r w:rsidRPr="00286A88">
        <w:rPr>
          <w:lang w:val="en-GB"/>
        </w:rPr>
        <w:t>, 2010). Males and females are transported to the production farm (or house) at 18-22 weeks, where they are housed together in mixed-sex flocks (at a ratio of approx. 1 male to 9 females) until 60-65 weeks when they are depopulated. The timing of sexual maturation is carefully controlled using photostimulation. Often the male birds will be placed in the production house a couple of days prior to the arrival of the hens. Average flock sizes are 3,000-8,000 birds, and several groups are often kept in the same house (approximately 10,000-30,000 birds per house or farm (</w:t>
      </w:r>
      <w:r w:rsidR="00793ACC">
        <w:rPr>
          <w:lang w:val="en-GB"/>
        </w:rPr>
        <w:t>AHAW</w:t>
      </w:r>
      <w:r w:rsidRPr="00286A88">
        <w:rPr>
          <w:lang w:val="en-GB"/>
        </w:rPr>
        <w:t>, 2010). During the production phase the hens produce fertile eggs to supply commercial broiler farms. Broiler breeder flocks are not readily accessible for scientific study (outside of the production companies); therefore, relatively little published data exists.</w:t>
      </w:r>
    </w:p>
    <w:p w14:paraId="598EC23B" w14:textId="77777777" w:rsidR="00286A88" w:rsidRPr="00286A88" w:rsidRDefault="00286A88" w:rsidP="00982762">
      <w:pPr>
        <w:pStyle w:val="Heading2"/>
        <w:rPr>
          <w:lang w:val="en-AU" w:eastAsia="en-AU"/>
        </w:rPr>
      </w:pPr>
      <w:bookmarkStart w:id="137" w:name="_Toc495310606"/>
      <w:r w:rsidRPr="00286A88">
        <w:rPr>
          <w:lang w:val="en-AU" w:eastAsia="en-AU"/>
        </w:rPr>
        <w:t>BB2. Feed and Water</w:t>
      </w:r>
      <w:bookmarkEnd w:id="137"/>
    </w:p>
    <w:p w14:paraId="54BE4054" w14:textId="77777777" w:rsidR="00286A88" w:rsidRPr="00286A88" w:rsidRDefault="00286A88" w:rsidP="00982762">
      <w:r w:rsidRPr="00286A88">
        <w:t xml:space="preserve">Chicks are fed a crumb starter diet </w:t>
      </w:r>
      <w:r w:rsidRPr="00286A88">
        <w:rPr>
          <w:i/>
          <w:iCs/>
        </w:rPr>
        <w:t xml:space="preserve">ad libitum </w:t>
      </w:r>
      <w:r w:rsidRPr="00286A88">
        <w:t>until 2-3 weeks of age, then they are either moved onto a second pelleted starter diet or transferred directly onto a grower diet, and the quantity of feed restricted (see BB2.1); between 15-18 weeks they transfer onto a breeder diet and the quantity of feed is increased to sustain the onset of egg production (</w:t>
      </w:r>
      <w:r w:rsidR="00793ACC">
        <w:t>AHAW</w:t>
      </w:r>
      <w:r w:rsidRPr="00286A88">
        <w:t>, 2010). Males and females follow separate feeding programmes, which is the main reason for housing them separately during rearing. During production they are co-housed and fed using separate feeding systems; males have feeder pans situated at a height that they can access but hens cannot reach, while grills prevent the wider-headed males from accessing the female feed, which is delivered via feed tracks or pans. The maximum feed distribution time for track feeders is recommended to be no more than 3-4 minutes (</w:t>
      </w:r>
      <w:r w:rsidR="00793ACC">
        <w:t>AHAW</w:t>
      </w:r>
      <w:r w:rsidRPr="00286A88">
        <w:t>, 2010). Spin feeders are also sometime used to deliver feed. Between 0-4 weeks of age 5 cm of feeding (trough) space per bird is recommended, which increases to 10 cm/bird from 5 weeks, and to 15 cm/bird from 10 weeks; during production 10-12 hens/pan and 8 males/pan is recommended (</w:t>
      </w:r>
      <w:r w:rsidR="00793ACC">
        <w:t>AHAW</w:t>
      </w:r>
      <w:r w:rsidRPr="00286A88">
        <w:t>, 2010). Rapid feed distribution and sufficient trough space should ensure that all birds receive their allocated ration of feed, and minimise the risk of aggressive behaviour and injuries occurring at meal-times.</w:t>
      </w:r>
    </w:p>
    <w:p w14:paraId="21B6A9C3" w14:textId="77777777" w:rsidR="00286A88" w:rsidRPr="00286A88" w:rsidRDefault="00286A88" w:rsidP="00982762">
      <w:pPr>
        <w:pStyle w:val="Heading3"/>
        <w:rPr>
          <w:lang w:val="en-AU" w:eastAsia="en-AU"/>
        </w:rPr>
      </w:pPr>
      <w:bookmarkStart w:id="138" w:name="_Toc495310607"/>
      <w:r w:rsidRPr="00286A88">
        <w:rPr>
          <w:lang w:val="en-AU" w:eastAsia="en-AU"/>
        </w:rPr>
        <w:t>BB2.1 Feed restriction</w:t>
      </w:r>
      <w:bookmarkEnd w:id="138"/>
    </w:p>
    <w:p w14:paraId="779B701C" w14:textId="77777777" w:rsidR="00286A88" w:rsidRPr="00982762" w:rsidRDefault="00286A88" w:rsidP="00982762">
      <w:pPr>
        <w:rPr>
          <w:rFonts w:cs="AdvTT1c473424.B"/>
          <w:i/>
          <w:lang w:val="en-AU" w:eastAsia="en-AU"/>
        </w:rPr>
      </w:pPr>
      <w:r w:rsidRPr="00982762">
        <w:rPr>
          <w:i/>
          <w:lang w:val="en-AU" w:eastAsia="en-AU"/>
        </w:rPr>
        <w:t xml:space="preserve">Selection for fast growth, high feed intake and high feed conversion negatively impacts upon broiler breeder reproductive success and mortality risk; birds are severely feed restricted to counteract these risks to bird health. In turn, the feed-restriction </w:t>
      </w:r>
      <w:r w:rsidRPr="00982762">
        <w:rPr>
          <w:rFonts w:cs="AdvTT1c473424.B"/>
          <w:i/>
          <w:lang w:val="en-AU" w:eastAsia="en-AU"/>
        </w:rPr>
        <w:t>induces chronic hunger and triggers physiological stress, abnormal behaviour, and frustration of feeding motivation (all alternative forms of reduced welfare).</w:t>
      </w:r>
    </w:p>
    <w:p w14:paraId="2128CCF2" w14:textId="77777777" w:rsidR="00286A88" w:rsidRPr="00286A88" w:rsidRDefault="00286A88" w:rsidP="00982762">
      <w:pPr>
        <w:rPr>
          <w:lang w:val="en-AU" w:eastAsia="en-AU"/>
        </w:rPr>
      </w:pPr>
      <w:r w:rsidRPr="00286A88">
        <w:rPr>
          <w:lang w:val="en-AU" w:eastAsia="en-AU"/>
        </w:rPr>
        <w:t xml:space="preserve">Owing to selection for fast growth and high breast muscle yields, with consequent high appetite, broiler breeders have a very high </w:t>
      </w:r>
      <w:r w:rsidRPr="00286A88">
        <w:rPr>
          <w:i/>
          <w:lang w:val="en-AU" w:eastAsia="en-AU"/>
        </w:rPr>
        <w:t>ad libitum</w:t>
      </w:r>
      <w:r w:rsidRPr="00286A88">
        <w:rPr>
          <w:lang w:val="en-AU" w:eastAsia="en-AU"/>
        </w:rPr>
        <w:t xml:space="preserve"> food intake to meet metabolic demands </w:t>
      </w:r>
      <w:r w:rsidRPr="00286A88">
        <w:rPr>
          <w:rFonts w:cs="AdvTT5843c571"/>
          <w:lang w:val="en-AU" w:eastAsia="en-AU"/>
        </w:rPr>
        <w:t xml:space="preserve">(Heck </w:t>
      </w:r>
      <w:r w:rsidRPr="00286A88">
        <w:rPr>
          <w:rFonts w:cs="AdvTTc1564962.I"/>
          <w:lang w:val="en-AU" w:eastAsia="en-AU"/>
        </w:rPr>
        <w:t>et al.</w:t>
      </w:r>
      <w:r w:rsidRPr="00286A88">
        <w:rPr>
          <w:rFonts w:cs="AdvTT5843c571"/>
          <w:lang w:val="en-AU" w:eastAsia="en-AU"/>
        </w:rPr>
        <w:t>, 2004). If allowed unrestricted feed birds show dramatic increase in bodyweight, and un</w:t>
      </w:r>
      <w:r w:rsidRPr="00286A88">
        <w:rPr>
          <w:lang w:val="en-AU" w:eastAsia="en-AU"/>
        </w:rPr>
        <w:t xml:space="preserve">restricted feeding increases the risk of several pathological conditions, including lameness, ascites and premature death in broiler breeders, all directly associated with high body mass. In addition, female broiler breeders fed </w:t>
      </w:r>
      <w:r w:rsidRPr="00286A88">
        <w:rPr>
          <w:i/>
          <w:lang w:val="en-AU" w:eastAsia="en-AU"/>
        </w:rPr>
        <w:t>ad libitum</w:t>
      </w:r>
      <w:r w:rsidRPr="00286A88">
        <w:rPr>
          <w:lang w:val="en-AU" w:eastAsia="en-AU"/>
        </w:rPr>
        <w:t xml:space="preserve"> often experience impaired reproduction, including adverse changes in ovarian function, leading to multiple ovulation and poor fertility (Hocking et al., 2002a). To maintain good health and fertility broiler breeders are routinely provided with severely restricted quantities of feed during both the rearing and laying period. Feed restriction initially delays sexual maturity, but increases reproductive capacity thereafter (Hocking et al., 2002a; Heck et al., 2004). Over the past 30 years optimum broiler breeder body weight targets have remained relatively unchanged, while the growth potential of broilers has steadily increased; the requirement for ever-increasing levels of food restriction continues (Renema et al., 2007).</w:t>
      </w:r>
    </w:p>
    <w:p w14:paraId="354B339C" w14:textId="77777777" w:rsidR="00286A88" w:rsidRPr="00286A88" w:rsidRDefault="00286A88" w:rsidP="00982762">
      <w:pPr>
        <w:rPr>
          <w:rFonts w:eastAsia="ComputerModern-Regular" w:cs="ComputerModern-Regular"/>
          <w:lang w:val="en-AU" w:eastAsia="en-AU"/>
        </w:rPr>
      </w:pPr>
      <w:r w:rsidRPr="00286A88">
        <w:rPr>
          <w:lang w:val="en-AU" w:eastAsia="en-AU"/>
        </w:rPr>
        <w:t xml:space="preserve">Feed allocations during rearing are currently about 25-33% of the feed intake of birds fed </w:t>
      </w:r>
      <w:r w:rsidRPr="00286A88">
        <w:rPr>
          <w:i/>
          <w:lang w:val="en-AU" w:eastAsia="en-AU"/>
        </w:rPr>
        <w:t>ad libitum</w:t>
      </w:r>
      <w:r w:rsidRPr="00286A88">
        <w:rPr>
          <w:lang w:val="en-AU" w:eastAsia="en-AU"/>
        </w:rPr>
        <w:t xml:space="preserve"> and this daily ration is often consumed in, as little as, 15 minutes (de Jong et al., 2002). Feed allocations during the breeding period are generally higher than provided during rearing, varying between 45-80% of the intake of </w:t>
      </w:r>
      <w:r w:rsidRPr="00286A88">
        <w:rPr>
          <w:i/>
          <w:lang w:val="en-AU" w:eastAsia="en-AU"/>
        </w:rPr>
        <w:t>ad libitum</w:t>
      </w:r>
      <w:r w:rsidRPr="00286A88">
        <w:rPr>
          <w:lang w:val="en-AU" w:eastAsia="en-AU"/>
        </w:rPr>
        <w:t xml:space="preserve"> fed birds of the same age (</w:t>
      </w:r>
      <w:r w:rsidRPr="00286A88">
        <w:rPr>
          <w:rFonts w:cs="Palatino-Roman"/>
          <w:lang w:val="en-AU" w:eastAsia="en-AU"/>
        </w:rPr>
        <w:t>Bruggeman et al., 1999</w:t>
      </w:r>
      <w:r w:rsidRPr="00286A88">
        <w:rPr>
          <w:lang w:val="en-AU" w:eastAsia="en-AU"/>
        </w:rPr>
        <w:t xml:space="preserve">). Males are less severely restricted than females during rearing, but during the production period males are more severely restricted than females (Renema et al., 2007). </w:t>
      </w:r>
      <w:r w:rsidRPr="00286A88">
        <w:rPr>
          <w:rFonts w:eastAsia="ComputerModern-Regular" w:cs="ComputerModern-Regular"/>
          <w:lang w:val="en-AU" w:eastAsia="en-AU"/>
        </w:rPr>
        <w:t>Feed is generally delivered as one small daily meal (‘daily fed’), but alternative feeding schedules, such as ‘skip-a-day’, whereby birds get fed twice their daily allocation once every other day, are commonly used in North America and parts of Europe as a means of increasing flock weight uniformity during rearing. Other skip-a-day programmes commonly used in Europe include 6/1 and 5/2 programmes, whereby birds may receive food for 5 or 6 days within a week and have feed withheld for 1 or 2 (non-consecutive) days. In several European countries, including the UK, Denmark, Sweden and Norway, a daily feeding regime is required as prolonged feed withdrawal is considered negative to welfare; however, Morrissey et al. (2014a) observed little evidence to show that daily feeding was more effective at reducing hunger than skip-a-day regimes when a quantitatively reduced diet is being supplied.</w:t>
      </w:r>
    </w:p>
    <w:p w14:paraId="2107BD64" w14:textId="77777777" w:rsidR="00286A88" w:rsidRPr="00286A88" w:rsidRDefault="00286A88" w:rsidP="00982762">
      <w:pPr>
        <w:rPr>
          <w:lang w:val="en-AU" w:eastAsia="en-AU"/>
        </w:rPr>
      </w:pPr>
      <w:r w:rsidRPr="00286A88">
        <w:rPr>
          <w:lang w:val="en-AU" w:eastAsia="en-AU"/>
        </w:rPr>
        <w:t>Although feed restriction of broiler breeders counteracts some of the negative side-effects of intensive selection for rapid meat production, there is substantial evidence for negative effects on their welfare. Breeders demonstrate high motivation to eat during the production period (where restriction levels are much lower than during rearing phase); hens will abandon the sitting phase of pre-laying behaviour (an important aspect of nesting behaviour) when feed is provided during nesting (Sheppard and Duncan, 2011). The consequences of severe feed restriction, especially during rear, include: the performance of stereotypic behaviour and over-drinking (BB2.1a), the performance of behaviour indicative of frustration and aggression (BB2.1c), and the upregulation of markers of physiological stress (BB2.1c). The evidence for chronic hunger is indubitable. It should be noted that research on the effects of feed restriction on the welfare of broiler breeders has focused mainly on females; remarkably little work has been done on broiler breeder males and more research is required.</w:t>
      </w:r>
    </w:p>
    <w:p w14:paraId="40F97760" w14:textId="77777777" w:rsidR="00286A88" w:rsidRPr="00286A88" w:rsidRDefault="00286A88" w:rsidP="00982762">
      <w:pPr>
        <w:pStyle w:val="Heading41"/>
      </w:pPr>
      <w:r w:rsidRPr="00286A88">
        <w:t>BB2.1a Stereotypic behaviour and over-drinking</w:t>
      </w:r>
    </w:p>
    <w:p w14:paraId="3D6573BE" w14:textId="77777777" w:rsidR="00286A88" w:rsidRPr="00286A88" w:rsidRDefault="00286A88" w:rsidP="00982762">
      <w:pPr>
        <w:rPr>
          <w:lang w:val="en-AU" w:eastAsia="en-AU"/>
        </w:rPr>
      </w:pPr>
      <w:r w:rsidRPr="00286A88">
        <w:rPr>
          <w:lang w:val="en-AU" w:eastAsia="en-AU"/>
        </w:rPr>
        <w:t xml:space="preserve">Restricted-fed broiler breeders are more active (they spend less time resting and more time foraging in the litter) and display high rates of stereotyped oral behaviour and pacing than birds fed </w:t>
      </w:r>
      <w:r w:rsidRPr="00286A88">
        <w:rPr>
          <w:i/>
          <w:lang w:val="en-AU" w:eastAsia="en-AU"/>
        </w:rPr>
        <w:t>ad libitum</w:t>
      </w:r>
      <w:r w:rsidRPr="00286A88">
        <w:rPr>
          <w:lang w:val="en-AU" w:eastAsia="en-AU"/>
        </w:rPr>
        <w:t xml:space="preserve"> (</w:t>
      </w:r>
      <w:r w:rsidRPr="00286A88">
        <w:rPr>
          <w:rFonts w:cs="AdvTT5843c571"/>
          <w:lang w:val="en-AU" w:eastAsia="en-AU"/>
        </w:rPr>
        <w:t>Savory and Lariviere, 2000;</w:t>
      </w:r>
      <w:r w:rsidRPr="00286A88">
        <w:rPr>
          <w:lang w:val="en-AU" w:eastAsia="en-AU"/>
        </w:rPr>
        <w:t xml:space="preserve"> </w:t>
      </w:r>
      <w:r w:rsidRPr="00286A88">
        <w:rPr>
          <w:rFonts w:cs="RealpageBAS19"/>
          <w:lang w:val="en-AU" w:eastAsia="en-AU"/>
        </w:rPr>
        <w:t xml:space="preserve">Hocking et al., 2001; </w:t>
      </w:r>
      <w:r w:rsidRPr="00286A88">
        <w:rPr>
          <w:rFonts w:cs="AdvTT5843c571"/>
          <w:lang w:val="en-AU" w:eastAsia="en-AU"/>
        </w:rPr>
        <w:t xml:space="preserve">Kubikova et al., 2001; </w:t>
      </w:r>
      <w:r w:rsidR="00DA5C9A" w:rsidRPr="00286A88">
        <w:rPr>
          <w:rFonts w:cs="AdvP41153C"/>
          <w:lang w:val="en-AU" w:eastAsia="en-AU"/>
        </w:rPr>
        <w:t>de Jong et al., 2002; 2005a</w:t>
      </w:r>
      <w:r w:rsidR="00DA5C9A">
        <w:rPr>
          <w:rFonts w:cs="AdvP41153C"/>
          <w:lang w:val="en-AU" w:eastAsia="en-AU"/>
        </w:rPr>
        <w:t>;</w:t>
      </w:r>
      <w:r w:rsidR="00DA5C9A" w:rsidRPr="00286A88">
        <w:rPr>
          <w:lang w:val="en-AU" w:eastAsia="en-AU"/>
        </w:rPr>
        <w:t xml:space="preserve"> </w:t>
      </w:r>
      <w:r w:rsidRPr="00286A88">
        <w:rPr>
          <w:lang w:val="en-AU" w:eastAsia="en-AU"/>
        </w:rPr>
        <w:t>Merlet et al.,</w:t>
      </w:r>
      <w:r w:rsidR="00DA5C9A">
        <w:rPr>
          <w:lang w:val="en-AU" w:eastAsia="en-AU"/>
        </w:rPr>
        <w:t xml:space="preserve"> 2005</w:t>
      </w:r>
      <w:r w:rsidRPr="00286A88">
        <w:rPr>
          <w:lang w:val="en-AU" w:eastAsia="en-AU"/>
        </w:rPr>
        <w:t xml:space="preserve">). </w:t>
      </w:r>
      <w:r w:rsidRPr="00286A88">
        <w:rPr>
          <w:rFonts w:cs="AdvP4CD4D0"/>
          <w:lang w:val="en-AU" w:eastAsia="en-AU"/>
        </w:rPr>
        <w:t xml:space="preserve">Resting was significantly lower in standard birds fed a restricted diet than in those fed a semi-restricted diet, or slow-grow birds fed </w:t>
      </w:r>
      <w:r w:rsidRPr="00286A88">
        <w:rPr>
          <w:rFonts w:cs="AdvP4CD4D0"/>
          <w:i/>
          <w:lang w:val="en-AU" w:eastAsia="en-AU"/>
        </w:rPr>
        <w:t>ad libitum</w:t>
      </w:r>
      <w:r w:rsidRPr="00286A88">
        <w:rPr>
          <w:rFonts w:cs="AdvP4CD4D0"/>
          <w:lang w:val="en-AU" w:eastAsia="en-AU"/>
        </w:rPr>
        <w:t xml:space="preserve">, indicating that activity is correlated to the food allowance and, thus, indicative of hunger (Jones et al., 2004). </w:t>
      </w:r>
      <w:r w:rsidRPr="00286A88">
        <w:rPr>
          <w:rFonts w:cs="AdvTT5843c571"/>
          <w:lang w:val="en-AU" w:eastAsia="en-AU"/>
        </w:rPr>
        <w:t xml:space="preserve">Stereotypic pecking or ‘spot pecking’ (directed at the empty feeder, litter, drinker, pen walls or at other birds) is commonly observed after feeding (De Jong </w:t>
      </w:r>
      <w:r w:rsidRPr="00286A88">
        <w:rPr>
          <w:rFonts w:cs="AdvTTc1564962.I"/>
          <w:lang w:val="en-AU" w:eastAsia="en-AU"/>
        </w:rPr>
        <w:t>et al.</w:t>
      </w:r>
      <w:r w:rsidRPr="00286A88">
        <w:rPr>
          <w:rFonts w:cs="AdvTT5843c571"/>
          <w:lang w:val="en-AU" w:eastAsia="en-AU"/>
        </w:rPr>
        <w:t xml:space="preserve">, 2002; Hocking </w:t>
      </w:r>
      <w:r w:rsidRPr="00286A88">
        <w:rPr>
          <w:rFonts w:cs="AdvTTc1564962.I"/>
          <w:lang w:val="en-AU" w:eastAsia="en-AU"/>
        </w:rPr>
        <w:t>et al.</w:t>
      </w:r>
      <w:r w:rsidRPr="00286A88">
        <w:rPr>
          <w:rFonts w:cs="AdvTT5843c571"/>
          <w:lang w:val="en-AU" w:eastAsia="en-AU"/>
        </w:rPr>
        <w:t>, 2002b), and</w:t>
      </w:r>
      <w:r w:rsidRPr="00286A88">
        <w:rPr>
          <w:lang w:val="en-AU" w:eastAsia="en-AU"/>
        </w:rPr>
        <w:t xml:space="preserve"> this increases with the level of restriction (</w:t>
      </w:r>
      <w:r w:rsidRPr="00286A88">
        <w:rPr>
          <w:rFonts w:cs="AdvP41153C"/>
          <w:lang w:val="en-AU" w:eastAsia="en-AU"/>
        </w:rPr>
        <w:t xml:space="preserve">Savory and Lariviere, 2000; Merlet et al., 2005; </w:t>
      </w:r>
      <w:r w:rsidRPr="00286A88">
        <w:rPr>
          <w:rFonts w:cs="AdvTT5843c571"/>
          <w:lang w:val="en-AU" w:eastAsia="en-AU"/>
        </w:rPr>
        <w:t>Sandilands et al., 2005).</w:t>
      </w:r>
      <w:r w:rsidRPr="00286A88">
        <w:rPr>
          <w:lang w:val="en-AU" w:eastAsia="en-AU"/>
        </w:rPr>
        <w:t xml:space="preserve"> Birds that were feed-restricted after peak-of-lay performed more stereotypic pecking at non-feed objects compared with birds fed </w:t>
      </w:r>
      <w:r w:rsidRPr="00286A88">
        <w:rPr>
          <w:i/>
          <w:lang w:val="en-AU" w:eastAsia="en-AU"/>
        </w:rPr>
        <w:t>ad libitum</w:t>
      </w:r>
      <w:r w:rsidRPr="00286A88">
        <w:rPr>
          <w:lang w:val="en-AU" w:eastAsia="en-AU"/>
        </w:rPr>
        <w:t xml:space="preserve">, although this increase was much less than that performed by birds feed-restricted during rearing (Hocking et al., 2002b). </w:t>
      </w:r>
      <w:r w:rsidRPr="00286A88">
        <w:rPr>
          <w:rFonts w:cs="AdvP4CD4D0"/>
          <w:lang w:val="en-AU" w:eastAsia="en-AU"/>
        </w:rPr>
        <w:t xml:space="preserve">Stereotypic behaviour is associated with opioid release and is considered to be de-arousing (Savory </w:t>
      </w:r>
      <w:r w:rsidRPr="00286A88">
        <w:rPr>
          <w:rFonts w:cs="AdvP4CD4D4"/>
          <w:lang w:val="en-AU" w:eastAsia="en-AU"/>
        </w:rPr>
        <w:t>et al</w:t>
      </w:r>
      <w:r w:rsidRPr="00286A88">
        <w:rPr>
          <w:rFonts w:cs="AdvP4CD4D0"/>
          <w:lang w:val="en-AU" w:eastAsia="en-AU"/>
        </w:rPr>
        <w:t xml:space="preserve">., 1992); it is hypothesised that the performance of stereotypic behaviour may represent a coping strategy for alleviating stress, in this case it is </w:t>
      </w:r>
      <w:r w:rsidRPr="00286A88">
        <w:rPr>
          <w:rFonts w:cs="AdvTT5843c571"/>
          <w:lang w:val="en-AU" w:eastAsia="en-AU"/>
        </w:rPr>
        <w:t xml:space="preserve">thought to denote hunger and represent </w:t>
      </w:r>
      <w:r w:rsidRPr="00286A88">
        <w:rPr>
          <w:lang w:val="en-AU" w:eastAsia="en-AU"/>
        </w:rPr>
        <w:t xml:space="preserve">frustration due to an unfulfilled feeding motivation </w:t>
      </w:r>
      <w:r w:rsidRPr="00286A88">
        <w:rPr>
          <w:rFonts w:cs="AdvTT5843c571"/>
          <w:lang w:val="en-AU" w:eastAsia="en-AU"/>
        </w:rPr>
        <w:t>(</w:t>
      </w:r>
      <w:r w:rsidRPr="00286A88">
        <w:rPr>
          <w:lang w:val="en-AU" w:eastAsia="en-AU"/>
        </w:rPr>
        <w:t>de Jong et al., 2002; 2005a).</w:t>
      </w:r>
    </w:p>
    <w:p w14:paraId="78162001" w14:textId="77777777" w:rsidR="00286A88" w:rsidRPr="00286A88" w:rsidRDefault="00286A88" w:rsidP="00982762">
      <w:pPr>
        <w:rPr>
          <w:rFonts w:cs="AdvP4CD4D0"/>
          <w:lang w:val="en-AU" w:eastAsia="en-AU"/>
        </w:rPr>
      </w:pPr>
      <w:r w:rsidRPr="00286A88">
        <w:rPr>
          <w:lang w:val="en-AU" w:eastAsia="en-AU"/>
        </w:rPr>
        <w:t>Over-drinking (polydipsia) is commonly observed in feed-restricted broiler breeders</w:t>
      </w:r>
      <w:r w:rsidRPr="00286A88">
        <w:rPr>
          <w:rFonts w:cs="RealpageBAS19"/>
          <w:lang w:val="en-AU" w:eastAsia="en-AU"/>
        </w:rPr>
        <w:t xml:space="preserve"> (Hocking et al., 2001; d</w:t>
      </w:r>
      <w:r w:rsidRPr="00286A88">
        <w:rPr>
          <w:rFonts w:cs="RealpageBAS6"/>
          <w:lang w:val="en-AU" w:eastAsia="en-AU"/>
        </w:rPr>
        <w:t xml:space="preserve">e Jong et al., 2002; Jones et al., 2004) and, </w:t>
      </w:r>
      <w:r w:rsidRPr="00286A88">
        <w:rPr>
          <w:lang w:val="en-AU" w:eastAsia="en-AU"/>
        </w:rPr>
        <w:t xml:space="preserve">consequently, water intake is often restricted in order to maintain litter quality. However, </w:t>
      </w:r>
      <w:r w:rsidRPr="00286A88">
        <w:rPr>
          <w:rFonts w:cs="AdvP4CD4D0"/>
          <w:lang w:val="en-AU" w:eastAsia="en-AU"/>
        </w:rPr>
        <w:t xml:space="preserve">Jones et al. (2004) observed that although restricted-fed standard birds performed more drinking behaviour than a slow-grow breed fed </w:t>
      </w:r>
      <w:r w:rsidRPr="00286A88">
        <w:rPr>
          <w:rFonts w:cs="AdvP4CD4D0"/>
          <w:i/>
          <w:lang w:val="en-AU" w:eastAsia="en-AU"/>
        </w:rPr>
        <w:t>ad libitum</w:t>
      </w:r>
      <w:r w:rsidRPr="00286A88">
        <w:rPr>
          <w:rFonts w:cs="AdvP4CD4D0"/>
          <w:lang w:val="en-AU" w:eastAsia="en-AU"/>
        </w:rPr>
        <w:t>, they had similar dry weights of digesta in each section of the gut (except the crop); this suggests that drinker-directed activity might be a substitute for foraging (providing an outlet for the motivation to perform appetitive and consummatory behaviour) rather than an attempt to increase gut fill.</w:t>
      </w:r>
    </w:p>
    <w:p w14:paraId="03D6BA5B" w14:textId="77777777" w:rsidR="00286A88" w:rsidRPr="00286A88" w:rsidRDefault="00286A88" w:rsidP="00982762">
      <w:pPr>
        <w:pStyle w:val="Heading41"/>
      </w:pPr>
      <w:r w:rsidRPr="00286A88">
        <w:t>BB2.1b Inter-bird pecking</w:t>
      </w:r>
    </w:p>
    <w:p w14:paraId="5FB7EF6D" w14:textId="77777777" w:rsidR="00286A88" w:rsidRPr="00286A88" w:rsidRDefault="00286A88" w:rsidP="00982762">
      <w:pPr>
        <w:rPr>
          <w:rFonts w:eastAsia="ComputerModern-Regular" w:cs="ComputerModern-Regular"/>
          <w:lang w:val="en-AU" w:eastAsia="en-AU"/>
        </w:rPr>
      </w:pPr>
      <w:r w:rsidRPr="00286A88">
        <w:rPr>
          <w:lang w:val="en-AU" w:eastAsia="en-AU"/>
        </w:rPr>
        <w:t xml:space="preserve">In broiler breeders, the restriction of food can trigger resource competition and aggression. The delivery of restricted ‘meals’ during rearing causes increased feeding competition. Aggressive pecking, triggered by competition at the feeder, is prevalent amongst feed-restricted males and females </w:t>
      </w:r>
      <w:r w:rsidRPr="00286A88">
        <w:rPr>
          <w:rFonts w:eastAsia="ComputerModern-Regular" w:cs="ComputerModern-Regular"/>
          <w:lang w:val="en-AU" w:eastAsia="en-AU"/>
        </w:rPr>
        <w:t xml:space="preserve">(Hocking et al., 2004; Jones et al., 2004; </w:t>
      </w:r>
      <w:r w:rsidRPr="00286A88">
        <w:rPr>
          <w:lang w:val="en-AU" w:eastAsia="en-AU"/>
        </w:rPr>
        <w:t xml:space="preserve">Hocking and Jones, 2006; </w:t>
      </w:r>
      <w:r w:rsidRPr="00286A88">
        <w:rPr>
          <w:rFonts w:eastAsia="ComputerModern-Regular" w:cs="ComputerModern-Regular"/>
          <w:lang w:val="en-AU" w:eastAsia="en-AU"/>
        </w:rPr>
        <w:t>De Jong and Guémené, 2011),</w:t>
      </w:r>
      <w:r w:rsidRPr="00286A88">
        <w:rPr>
          <w:lang w:val="en-AU" w:eastAsia="en-AU"/>
        </w:rPr>
        <w:t xml:space="preserve"> and is thought to be associated with hunger. Aggression at the feeder, as well as non-</w:t>
      </w:r>
      <w:r w:rsidRPr="00286A88">
        <w:rPr>
          <w:rFonts w:cs="AdvTT5843c571"/>
          <w:lang w:val="en-AU" w:eastAsia="en-AU"/>
        </w:rPr>
        <w:t xml:space="preserve">aggressive competition for food, may lead to minor skin damage (e.g. scratches) and possible infection. </w:t>
      </w:r>
      <w:r w:rsidRPr="00286A88">
        <w:rPr>
          <w:rFonts w:eastAsia="ComputerModern-Regular" w:cs="ComputerModern-Regular"/>
          <w:lang w:val="en-AU" w:eastAsia="en-AU"/>
        </w:rPr>
        <w:t>In addition, control ‘daily-fed’ birds displayed more object pecking and aggression than ‘skip-a-day’ fed birds, which may imply that having a larger volume of food less frequently improves welfare (Morrissey et al., 2014a).</w:t>
      </w:r>
    </w:p>
    <w:p w14:paraId="2E69158B" w14:textId="77777777" w:rsidR="00286A88" w:rsidRPr="00286A88" w:rsidRDefault="00286A88" w:rsidP="00982762">
      <w:pPr>
        <w:rPr>
          <w:rFonts w:cs="AdvTT5843c571"/>
          <w:lang w:val="en-AU" w:eastAsia="en-AU"/>
        </w:rPr>
      </w:pPr>
      <w:r w:rsidRPr="00286A88">
        <w:rPr>
          <w:rFonts w:eastAsia="ComputerModern-Regular" w:cs="ComputerModern-Regular"/>
          <w:lang w:val="en-AU" w:eastAsia="en-AU"/>
        </w:rPr>
        <w:t xml:space="preserve">Feather pecking can also occur in broiler breeders but it seems to have a closer relationship with aggressive behaviour than in laying hens with </w:t>
      </w:r>
      <w:r w:rsidRPr="00286A88">
        <w:rPr>
          <w:rFonts w:eastAsia="ComputerModern-Regular" w:cs="ComputerModern-Regular"/>
          <w:i/>
          <w:lang w:val="en-AU" w:eastAsia="en-AU"/>
        </w:rPr>
        <w:t>ad libitum</w:t>
      </w:r>
      <w:r w:rsidRPr="00286A88">
        <w:rPr>
          <w:rFonts w:eastAsia="ComputerModern-Regular" w:cs="ComputerModern-Regular"/>
          <w:lang w:val="en-AU" w:eastAsia="en-AU"/>
        </w:rPr>
        <w:t xml:space="preserve"> feed. Morrissey et al. (2014a) observed feather pecking to occur at higher frequencies in birds fed a control (quantitatively restricted) diet, especially after feeding bouts, than in birds fed a high fibre diet in combination with an appetite suppressant. </w:t>
      </w:r>
      <w:r w:rsidRPr="00286A88">
        <w:rPr>
          <w:rFonts w:cs="AdvP4CD4D0"/>
          <w:lang w:val="en-AU" w:eastAsia="en-AU"/>
        </w:rPr>
        <w:t>Hocking et al. (2004) reported lower levels of skin damage and cannibalism in birds given restricted diets supplemented with fibre (sugar beet) than in those receiving restricted control diets.</w:t>
      </w:r>
    </w:p>
    <w:p w14:paraId="106C5362" w14:textId="77777777" w:rsidR="00286A88" w:rsidRPr="00286A88" w:rsidRDefault="00286A88" w:rsidP="00982762">
      <w:pPr>
        <w:pStyle w:val="Heading41"/>
      </w:pPr>
      <w:r w:rsidRPr="00286A88">
        <w:t>BB2.1c Physiological markers of stress</w:t>
      </w:r>
    </w:p>
    <w:p w14:paraId="26C7A0EF" w14:textId="77777777" w:rsidR="00286A88" w:rsidRPr="00286A88" w:rsidRDefault="00286A88" w:rsidP="00982762">
      <w:pPr>
        <w:rPr>
          <w:rFonts w:cs="RealpageBAS6"/>
          <w:lang w:val="en-AU" w:eastAsia="en-AU"/>
        </w:rPr>
      </w:pPr>
      <w:r w:rsidRPr="00286A88">
        <w:rPr>
          <w:lang w:val="en-AU" w:eastAsia="en-AU"/>
        </w:rPr>
        <w:t xml:space="preserve">Elevated baseline plasma corticosterone concentrations are observed in feed-restricted broiler breeders during rear compared to birds fed </w:t>
      </w:r>
      <w:r w:rsidRPr="00286A88">
        <w:rPr>
          <w:i/>
          <w:lang w:val="en-AU" w:eastAsia="en-AU"/>
        </w:rPr>
        <w:t>ad libitum</w:t>
      </w:r>
      <w:r w:rsidRPr="00286A88">
        <w:rPr>
          <w:lang w:val="en-AU" w:eastAsia="en-AU"/>
        </w:rPr>
        <w:t xml:space="preserve"> (</w:t>
      </w:r>
      <w:r w:rsidRPr="00286A88">
        <w:rPr>
          <w:rFonts w:cs="AdvP41153C"/>
          <w:lang w:val="en-AU" w:eastAsia="en-AU"/>
        </w:rPr>
        <w:t xml:space="preserve">Hocking et al., 2001; Kubíková et al., 2001; </w:t>
      </w:r>
      <w:r w:rsidRPr="00286A88">
        <w:rPr>
          <w:lang w:val="en-AU" w:eastAsia="en-AU"/>
        </w:rPr>
        <w:t xml:space="preserve">de Jong et al., 2002; 2003; </w:t>
      </w:r>
      <w:r w:rsidRPr="00286A88">
        <w:rPr>
          <w:rFonts w:cs="AdvTT6120e2aa"/>
          <w:lang w:val="en-AU" w:eastAsia="en-AU"/>
        </w:rPr>
        <w:t>Rajman et al., 2006</w:t>
      </w:r>
      <w:r w:rsidRPr="00286A88">
        <w:rPr>
          <w:lang w:val="en-AU" w:eastAsia="en-AU"/>
        </w:rPr>
        <w:t xml:space="preserve">); a restriction level of more than 50% appears to trigger this response. </w:t>
      </w:r>
      <w:r w:rsidRPr="00286A88">
        <w:rPr>
          <w:rFonts w:cs="AdvTT5843c571"/>
          <w:lang w:val="en-AU" w:eastAsia="en-AU"/>
        </w:rPr>
        <w:t xml:space="preserve">De Jong et al. (2003) observed a positive relationship between the level of feed restriction and plasma corticosterone concentration. </w:t>
      </w:r>
      <w:r w:rsidRPr="00286A88">
        <w:rPr>
          <w:lang w:val="en-AU" w:eastAsia="en-AU"/>
        </w:rPr>
        <w:t>In addition, the restricted fed birds demonstrated an elevated corticosterone response to an acute stressor (5 minutes restraint) (de Jong et al., 2002). Although these results appear to indicate that the restricted broiler breeders are chronically psychologically stressed (</w:t>
      </w:r>
      <w:r w:rsidRPr="00286A88">
        <w:rPr>
          <w:rFonts w:cs="AdvTT5843c571"/>
          <w:lang w:val="en-AU" w:eastAsia="en-AU"/>
        </w:rPr>
        <w:t xml:space="preserve">i.e. are experiencing feelings of hunger or frustration) </w:t>
      </w:r>
      <w:r w:rsidRPr="00286A88">
        <w:rPr>
          <w:lang w:val="en-AU" w:eastAsia="en-AU"/>
        </w:rPr>
        <w:t xml:space="preserve">compared to </w:t>
      </w:r>
      <w:r w:rsidRPr="00286A88">
        <w:rPr>
          <w:i/>
          <w:lang w:val="en-AU" w:eastAsia="en-AU"/>
        </w:rPr>
        <w:t>ad libitum</w:t>
      </w:r>
      <w:r w:rsidRPr="00286A88">
        <w:rPr>
          <w:lang w:val="en-AU" w:eastAsia="en-AU"/>
        </w:rPr>
        <w:t xml:space="preserve"> fed birds, corticosterone upregulation is also likely to reflect metabolic stress arising as a direct consequence of food restriction since corticosterone has a key role in energy homeostasis and the regulation of blood glucose levels </w:t>
      </w:r>
      <w:r w:rsidRPr="00286A88">
        <w:rPr>
          <w:rFonts w:cs="RealpageBAS6"/>
          <w:lang w:val="en-AU" w:eastAsia="en-AU"/>
        </w:rPr>
        <w:t>(de Jong et al., 2002).</w:t>
      </w:r>
    </w:p>
    <w:p w14:paraId="5375AB7E" w14:textId="77777777" w:rsidR="00286A88" w:rsidRPr="00286A88" w:rsidRDefault="00286A88" w:rsidP="00982762">
      <w:pPr>
        <w:rPr>
          <w:rFonts w:cs="AdvTT5843c571"/>
          <w:lang w:val="en-AU" w:eastAsia="en-AU"/>
        </w:rPr>
      </w:pPr>
      <w:r w:rsidRPr="00286A88">
        <w:rPr>
          <w:rFonts w:cs="AdvTT5843c571"/>
          <w:lang w:val="en-AU" w:eastAsia="en-AU"/>
        </w:rPr>
        <w:t>The use of white blood cells as a sensitive indicator of chronic stress associated with food restriction has come under question, as although H:L ratios have been observed to increase following prolonged food removal (Altan et al., 2005), and following feed restriction (</w:t>
      </w:r>
      <w:r w:rsidRPr="00286A88">
        <w:rPr>
          <w:rFonts w:cs="AdvP41153C"/>
          <w:lang w:val="en-AU" w:eastAsia="en-AU"/>
        </w:rPr>
        <w:t xml:space="preserve">Hocking et al., 2001; </w:t>
      </w:r>
      <w:r w:rsidRPr="00286A88">
        <w:rPr>
          <w:rFonts w:cs="AdvTT5843c571"/>
          <w:lang w:val="en-AU" w:eastAsia="en-AU"/>
        </w:rPr>
        <w:t xml:space="preserve">de Jong et al., 2003; Jones et al., 2004), increased H:L ratios are not always observed in feed restriction studies (e.g. de Jong </w:t>
      </w:r>
      <w:r w:rsidRPr="00286A88">
        <w:rPr>
          <w:rFonts w:cs="AdvTTc1564962.I"/>
          <w:lang w:val="en-AU" w:eastAsia="en-AU"/>
        </w:rPr>
        <w:t>et al.</w:t>
      </w:r>
      <w:r w:rsidRPr="00286A88">
        <w:rPr>
          <w:rFonts w:cs="AdvTT5843c571"/>
          <w:lang w:val="en-AU" w:eastAsia="en-AU"/>
        </w:rPr>
        <w:t>, 2002; Sandilands et al., 2006). It may be that this particular index of stress is not a sensitive enough measure of hunger, unless there are also extreme differences in body weight (Hocking et al., 2001).</w:t>
      </w:r>
    </w:p>
    <w:p w14:paraId="6440E33A" w14:textId="77777777" w:rsidR="00286A88" w:rsidRPr="00286A88" w:rsidRDefault="00286A88" w:rsidP="007A0EDB">
      <w:pPr>
        <w:pStyle w:val="Heading3"/>
        <w:rPr>
          <w:lang w:val="en-AU" w:eastAsia="en-AU"/>
        </w:rPr>
      </w:pPr>
      <w:bookmarkStart w:id="139" w:name="_Toc495310608"/>
      <w:r w:rsidRPr="00286A88">
        <w:rPr>
          <w:lang w:val="en-AU" w:eastAsia="en-AU"/>
        </w:rPr>
        <w:t>BB2.2 Measuring hunger</w:t>
      </w:r>
      <w:bookmarkEnd w:id="139"/>
    </w:p>
    <w:p w14:paraId="285A1BD6" w14:textId="77777777" w:rsidR="00286A88" w:rsidRPr="007A0EDB" w:rsidRDefault="00286A88" w:rsidP="007A0EDB">
      <w:pPr>
        <w:rPr>
          <w:i/>
          <w:lang w:val="en-AU" w:eastAsia="en-AU"/>
        </w:rPr>
      </w:pPr>
      <w:r w:rsidRPr="007A0EDB">
        <w:rPr>
          <w:i/>
          <w:lang w:val="en-AU" w:eastAsia="en-AU"/>
        </w:rPr>
        <w:t>Although a definitive means of quantifying hunger has yet to be developed the measurement of ‘compensatory feed intake’ appears to correlate well with the level of feed restriction, and</w:t>
      </w:r>
      <w:r w:rsidRPr="007A0EDB">
        <w:rPr>
          <w:rFonts w:cs="AdvP403A40"/>
          <w:i/>
          <w:lang w:val="en-AU" w:eastAsia="en-AU"/>
        </w:rPr>
        <w:t xml:space="preserve"> feed restricted broiler breeders have been shown to work for the chance to perform exploratory and foraging behaviour (the appetitive phase of feeding) in the absence of a food reward.</w:t>
      </w:r>
    </w:p>
    <w:p w14:paraId="23EAAC92" w14:textId="77777777" w:rsidR="00286A88" w:rsidRPr="00286A88" w:rsidRDefault="00286A88" w:rsidP="007A0EDB">
      <w:pPr>
        <w:rPr>
          <w:rFonts w:eastAsia="Times New Roman" w:cs="Times New Roman"/>
          <w:lang w:val="en-AU" w:eastAsia="en-AU"/>
        </w:rPr>
      </w:pPr>
      <w:r w:rsidRPr="00286A88">
        <w:rPr>
          <w:lang w:val="en-AU" w:eastAsia="en-AU"/>
        </w:rPr>
        <w:t xml:space="preserve">Hunger is a subjective state and therefore difficult to monitor or quantify; a reliable definitive indicator of hunger does not yet exist. Behavioural estimators of hunger in current use include those thought to be indicative of frustration (pecking at non-food objects, increased general activity and aggression, excessive drinking, and increased feather pecking), while behaviours considered to be indicative of increased satiety (or reduced hunger) include: increased time spent dust bathing, preening, and resting (i.e. comfort behaviours). </w:t>
      </w:r>
      <w:r w:rsidRPr="00286A88">
        <w:rPr>
          <w:rFonts w:eastAsia="Times New Roman" w:cs="AdvTT5843c571"/>
          <w:lang w:val="en-AU" w:eastAsia="en-AU"/>
        </w:rPr>
        <w:t xml:space="preserve">Physiological measures of stress (e.g. corticosterone levels and H:L ratios) are used to monitor the impact of dietary compositions or modified feeding regimes, yet are likely to be confounded by metabolic influences (e.g. de Jong et al., 2002; 2003). A test of feed motivation has been developed that appears to provide a good index of hunger in broiler breeder pullets. De Jong </w:t>
      </w:r>
      <w:r w:rsidRPr="00286A88">
        <w:rPr>
          <w:rFonts w:eastAsia="Times New Roman" w:cs="AdvTTc1564962.I"/>
          <w:lang w:val="en-AU" w:eastAsia="en-AU"/>
        </w:rPr>
        <w:t>et al.</w:t>
      </w:r>
      <w:r w:rsidRPr="00286A88">
        <w:rPr>
          <w:rFonts w:eastAsia="Times New Roman" w:cs="AdvTT5843c571"/>
          <w:lang w:val="en-AU" w:eastAsia="en-AU"/>
        </w:rPr>
        <w:t xml:space="preserve"> (2003) demonstrated that compensatory feed intake (calculated by allowing birds that had previously been feed-restricted unrestricted access to food) on day 2 of the test was linearly related to the birds’ previous level of restriction (25-100% </w:t>
      </w:r>
      <w:r w:rsidRPr="00286A88">
        <w:rPr>
          <w:rFonts w:eastAsia="Times New Roman" w:cs="AdvTT5843c571"/>
          <w:i/>
          <w:lang w:val="en-AU" w:eastAsia="en-AU"/>
        </w:rPr>
        <w:t>ad libitum</w:t>
      </w:r>
      <w:r w:rsidRPr="00286A88">
        <w:rPr>
          <w:rFonts w:eastAsia="Times New Roman" w:cs="AdvTT5843c571"/>
          <w:lang w:val="en-AU" w:eastAsia="en-AU"/>
        </w:rPr>
        <w:t xml:space="preserve"> feed intake). They also determined that the relative compensatory feed intake (feed intake/g metabolic weight) was three times higher in pullets fed a commercial restriction programme than that of birds fed </w:t>
      </w:r>
      <w:r w:rsidRPr="00286A88">
        <w:rPr>
          <w:rFonts w:eastAsia="Times New Roman" w:cs="AdvTT5843c571"/>
          <w:i/>
          <w:lang w:val="en-AU" w:eastAsia="en-AU"/>
        </w:rPr>
        <w:t>ad libitum</w:t>
      </w:r>
      <w:r w:rsidRPr="00286A88">
        <w:rPr>
          <w:rFonts w:eastAsia="Times New Roman" w:cs="AdvTT5843c571"/>
          <w:lang w:val="en-AU" w:eastAsia="en-AU"/>
        </w:rPr>
        <w:t xml:space="preserve"> (de Jong </w:t>
      </w:r>
      <w:r w:rsidRPr="00286A88">
        <w:rPr>
          <w:rFonts w:eastAsia="Times New Roman" w:cs="AdvTTc1564962.I"/>
          <w:lang w:val="en-AU" w:eastAsia="en-AU"/>
        </w:rPr>
        <w:t>et al.</w:t>
      </w:r>
      <w:r w:rsidRPr="00286A88">
        <w:rPr>
          <w:rFonts w:eastAsia="Times New Roman" w:cs="AdvTT5843c571"/>
          <w:lang w:val="en-AU" w:eastAsia="en-AU"/>
        </w:rPr>
        <w:t xml:space="preserve">, 2003). </w:t>
      </w:r>
      <w:r w:rsidRPr="00286A88">
        <w:rPr>
          <w:rFonts w:eastAsia="Times New Roman" w:cs="AdvFrutiger-RC"/>
          <w:lang w:val="en-AU" w:eastAsia="en-AU"/>
        </w:rPr>
        <w:t xml:space="preserve">Nielsen et al. (2011) developed a ‘Novel Food Test’ to investigate the conflict between fear (neophobia) and hunger levels by presenting breeders with a novel food in a novel trough. </w:t>
      </w:r>
      <w:r w:rsidRPr="00286A88">
        <w:rPr>
          <w:rFonts w:eastAsia="Times New Roman" w:cs="AdvP403A40"/>
          <w:lang w:val="en-AU" w:eastAsia="en-AU"/>
        </w:rPr>
        <w:t>Dixon et al. (2014) report that feed restricted broiler breeders would work (traverse a water-filled runway to access a wood-shaving covered platform) for the chance to perform exploratory and foraging behaviour (the appetitive phase of feeding) in the absence of a food reward; the most severely feed-restricted control birds (receiving commercial restriction levels) made more successful crossings and crossed quicker than less severely restricted birds. The h</w:t>
      </w:r>
      <w:r w:rsidRPr="00286A88">
        <w:rPr>
          <w:rFonts w:eastAsia="Times New Roman" w:cs="AdvP49811"/>
          <w:lang w:val="en-AU" w:eastAsia="en-AU"/>
        </w:rPr>
        <w:t xml:space="preserve">igh level of foraging motivation, even in the absence of food, </w:t>
      </w:r>
      <w:r w:rsidRPr="00286A88">
        <w:rPr>
          <w:rFonts w:eastAsia="Times New Roman" w:cs="AdvP403A40"/>
          <w:lang w:val="en-AU" w:eastAsia="en-AU"/>
        </w:rPr>
        <w:t>provides additional evidence for commercial restriction levels inducing chronic hunger in broiler breeders.</w:t>
      </w:r>
      <w:r w:rsidRPr="00286A88">
        <w:rPr>
          <w:rFonts w:eastAsia="Times New Roman" w:cs="AdvP49811"/>
          <w:lang w:val="en-AU" w:eastAsia="en-AU"/>
        </w:rPr>
        <w:t xml:space="preserve"> </w:t>
      </w:r>
      <w:r w:rsidRPr="00286A88">
        <w:rPr>
          <w:rFonts w:eastAsia="Times New Roman" w:cs="Times New Roman"/>
          <w:lang w:val="en-AU" w:eastAsia="en-AU"/>
        </w:rPr>
        <w:t xml:space="preserve">Buckley et al. (2015) aimed to validate the use of state-dependent learning (SDL) as a novel welfare assessment tool to evaluate the hunger state of feed-restricted broiler breeders but reported limited evidence of an SDL preference between birds supplied alternatively with quantitative feed restriction and </w:t>
      </w:r>
      <w:r w:rsidRPr="00286A88">
        <w:rPr>
          <w:rFonts w:eastAsia="Times New Roman" w:cs="Times New Roman"/>
          <w:i/>
          <w:lang w:val="en-AU" w:eastAsia="en-AU"/>
        </w:rPr>
        <w:t>ad libitum</w:t>
      </w:r>
      <w:r w:rsidRPr="00286A88">
        <w:rPr>
          <w:rFonts w:eastAsia="Times New Roman" w:cs="Times New Roman"/>
          <w:lang w:val="en-AU" w:eastAsia="en-AU"/>
        </w:rPr>
        <w:t xml:space="preserve"> access to the same feed.</w:t>
      </w:r>
    </w:p>
    <w:p w14:paraId="7CEB2FFB" w14:textId="77777777" w:rsidR="00286A88" w:rsidRPr="00286A88" w:rsidRDefault="00286A88" w:rsidP="007A0EDB">
      <w:pPr>
        <w:pStyle w:val="Heading41"/>
      </w:pPr>
      <w:r w:rsidRPr="00286A88">
        <w:t>BB2.3 Alternatives to feed restriction</w:t>
      </w:r>
    </w:p>
    <w:p w14:paraId="659CB34E" w14:textId="77777777" w:rsidR="00286A88" w:rsidRPr="007A0EDB" w:rsidRDefault="00286A88" w:rsidP="007A0EDB">
      <w:pPr>
        <w:rPr>
          <w:i/>
          <w:lang w:val="en-AU" w:eastAsia="en-AU"/>
        </w:rPr>
      </w:pPr>
      <w:r w:rsidRPr="007A0EDB">
        <w:rPr>
          <w:i/>
          <w:lang w:val="en-AU" w:eastAsia="en-AU"/>
        </w:rPr>
        <w:t>Alternative feeding strategies (such as diet dilution and the use of appetite suppressants) do not clearly benefit breeder welfare, nor are they ‘preferred’ by the birds; although the inclusion of a high proportion of insoluble fibre may temporarily alleviate the physical sensation of hunger during rearing these diets do not fulfil long-term metabolic requirements. Genetic solutions are required since current breeding goals are unsustainable; the use of ‘dwarf’ genotypes reduces the need for feed restriction.</w:t>
      </w:r>
    </w:p>
    <w:p w14:paraId="4797B2BE" w14:textId="77777777" w:rsidR="00286A88" w:rsidRPr="007A0EDB" w:rsidRDefault="00286A88" w:rsidP="007A0EDB">
      <w:pPr>
        <w:pStyle w:val="Heading41"/>
      </w:pPr>
      <w:r w:rsidRPr="007A0EDB">
        <w:t>BB2.3a Use of different genotypes</w:t>
      </w:r>
    </w:p>
    <w:p w14:paraId="21B10315" w14:textId="77777777" w:rsidR="00286A88" w:rsidRPr="00286A88" w:rsidRDefault="00286A88" w:rsidP="007A0EDB">
      <w:pPr>
        <w:rPr>
          <w:rFonts w:cs="Times New Roman"/>
          <w:lang w:val="en-AU" w:eastAsia="en-AU"/>
        </w:rPr>
      </w:pPr>
      <w:r w:rsidRPr="00286A88">
        <w:rPr>
          <w:lang w:val="en-AU" w:eastAsia="en-AU"/>
        </w:rPr>
        <w:t xml:space="preserve">One possible alternative to feed restriction, to improve welfare, is to use breeder genotypes that can be fed </w:t>
      </w:r>
      <w:r w:rsidRPr="00286A88">
        <w:rPr>
          <w:i/>
          <w:lang w:val="en-AU" w:eastAsia="en-AU"/>
        </w:rPr>
        <w:t>ad libitum</w:t>
      </w:r>
      <w:r w:rsidRPr="00286A88">
        <w:rPr>
          <w:lang w:val="en-AU" w:eastAsia="en-AU"/>
        </w:rPr>
        <w:t>, or that require less feed restriction, and still maintain acceptable production (</w:t>
      </w:r>
      <w:r w:rsidRPr="00286A88">
        <w:rPr>
          <w:rFonts w:cs="Times New Roman"/>
          <w:lang w:val="en-AU" w:eastAsia="en-AU"/>
        </w:rPr>
        <w:t>Jones et al., 2004; Decuypere et al., 2006)</w:t>
      </w:r>
      <w:r w:rsidRPr="00286A88">
        <w:rPr>
          <w:lang w:val="en-AU" w:eastAsia="en-AU"/>
        </w:rPr>
        <w:t xml:space="preserve">. Slower growing chickens, such as ‘‘Label Rouge’’ breeders can be fed </w:t>
      </w:r>
      <w:r w:rsidRPr="00286A88">
        <w:rPr>
          <w:i/>
          <w:lang w:val="en-AU" w:eastAsia="en-AU"/>
        </w:rPr>
        <w:t>ad libitum</w:t>
      </w:r>
      <w:r w:rsidRPr="00286A88">
        <w:rPr>
          <w:lang w:val="en-AU" w:eastAsia="en-AU"/>
        </w:rPr>
        <w:t xml:space="preserve"> with excellent reproductive results. However, their offspring (broilers) have a lower feed efficiency and take twice as long to reach market weight than offspring from standard fast-growing broiler breeders; so, to be economically viable, they demand a higher retail price </w:t>
      </w:r>
      <w:r w:rsidRPr="00286A88">
        <w:rPr>
          <w:rFonts w:cs="Times New Roman"/>
          <w:lang w:val="en-AU" w:eastAsia="en-AU"/>
        </w:rPr>
        <w:t xml:space="preserve">(Puterflam et al., 2006). These slow-grow breeders </w:t>
      </w:r>
      <w:r w:rsidRPr="00286A88">
        <w:rPr>
          <w:lang w:val="en-AU" w:eastAsia="en-AU"/>
        </w:rPr>
        <w:t>can be crossed with standard male breeders to produce offspring with a grow-out period only 1-2 weeks more than standard birds (</w:t>
      </w:r>
      <w:r w:rsidRPr="00286A88">
        <w:rPr>
          <w:rFonts w:cs="Times New Roman"/>
          <w:lang w:val="en-AU" w:eastAsia="en-AU"/>
        </w:rPr>
        <w:t>Puterflam et al., 2006</w:t>
      </w:r>
      <w:r w:rsidRPr="00286A88">
        <w:rPr>
          <w:lang w:val="en-AU" w:eastAsia="en-AU"/>
        </w:rPr>
        <w:t xml:space="preserve">); however, the standard males will still require feed restriction. A dwarf genotype of broiler breeder (with a body mass two thirds that of a standard breeder) also exists; these can be fed low energy diets </w:t>
      </w:r>
      <w:r w:rsidRPr="00286A88">
        <w:rPr>
          <w:i/>
          <w:lang w:val="en-AU" w:eastAsia="en-AU"/>
        </w:rPr>
        <w:t>ad libitum</w:t>
      </w:r>
      <w:r w:rsidRPr="00286A88">
        <w:rPr>
          <w:lang w:val="en-AU" w:eastAsia="en-AU"/>
        </w:rPr>
        <w:t xml:space="preserve"> (i.e. receive qualitative food restriction) and achieve reproductive capabilities similar to standard feed-restricted breeders, and produce offspring with a growth period extended by only a few days (Heck et al., 2004; </w:t>
      </w:r>
      <w:r w:rsidRPr="00286A88">
        <w:rPr>
          <w:rFonts w:cs="Times New Roman"/>
          <w:lang w:val="en-AU" w:eastAsia="en-AU"/>
        </w:rPr>
        <w:t>Decuypere et al., 2006</w:t>
      </w:r>
      <w:r w:rsidRPr="00286A88">
        <w:rPr>
          <w:lang w:val="en-AU" w:eastAsia="en-AU"/>
        </w:rPr>
        <w:t xml:space="preserve">). Jones et al. (2004) observed qualitatively restricted dwarf breeders to perform less stereotypic (‘drinker-directed’) behaviour than quantitatively restricted standard breeders. Since </w:t>
      </w:r>
      <w:r w:rsidRPr="00286A88">
        <w:rPr>
          <w:rFonts w:cs="Times New Roman"/>
          <w:lang w:val="en-AU" w:eastAsia="en-AU"/>
        </w:rPr>
        <w:t>a genetic component exists regarding the degree of restriction necessary, it is recommended that birds requiring less feed restriction should be selected as future breeders even if this may involve a reduction in selection pressure for high growth rates.</w:t>
      </w:r>
    </w:p>
    <w:p w14:paraId="1ED0113A" w14:textId="77777777" w:rsidR="00286A88" w:rsidRPr="00286A88" w:rsidRDefault="00286A88" w:rsidP="007A0EDB">
      <w:pPr>
        <w:pStyle w:val="Heading41"/>
      </w:pPr>
      <w:r w:rsidRPr="00286A88">
        <w:t>BB2.3b Alternative feeding strategies: qualitative restriction</w:t>
      </w:r>
    </w:p>
    <w:p w14:paraId="2F319452" w14:textId="77777777" w:rsidR="00286A88" w:rsidRPr="00286A88" w:rsidRDefault="00286A88" w:rsidP="007A0EDB">
      <w:pPr>
        <w:rPr>
          <w:lang w:val="en-AU" w:eastAsia="en-AU"/>
        </w:rPr>
      </w:pPr>
      <w:r w:rsidRPr="00286A88">
        <w:rPr>
          <w:lang w:val="en-AU" w:eastAsia="en-AU"/>
        </w:rPr>
        <w:t xml:space="preserve">Several different management strategies have been applied in an attempt to reduce the negative effects of feed restriction (hunger) in broiler breeders while maintaining the suppression of growth. These broadly include dietary manipulations; especially the use of non-nutritive fillers to reduce the diet quality (i.e. low protein or high fibre) and/or the inclusion of appetite suppressants, as well as the modification of feeding programmes. </w:t>
      </w:r>
      <w:r w:rsidRPr="00286A88">
        <w:rPr>
          <w:rFonts w:cs="Times New Roman"/>
          <w:lang w:val="en-AU" w:eastAsia="en-AU"/>
        </w:rPr>
        <w:t>Almost all of the work on animal-based indicators of welfare relating to feed restriction has been carried out under experimental conditions.</w:t>
      </w:r>
    </w:p>
    <w:p w14:paraId="1C13D4C0" w14:textId="77777777" w:rsidR="00286A88" w:rsidRPr="00286A88" w:rsidRDefault="00286A88" w:rsidP="007A0EDB">
      <w:pPr>
        <w:rPr>
          <w:rFonts w:cs="Palatino-Roman"/>
          <w:lang w:val="en-AU" w:eastAsia="en-AU"/>
        </w:rPr>
      </w:pPr>
      <w:r w:rsidRPr="00286A88">
        <w:rPr>
          <w:rFonts w:cs="Palatino-Roman"/>
          <w:lang w:val="en-AU" w:eastAsia="en-AU"/>
        </w:rPr>
        <w:t>Feeding greater quantities of lower-density diets are thought to promote physical satiety, since larger feed rations increase gastrointestinal filling. Low-density and high-fibre diets increase feeding time and appear to reduce feeding frustration (less stereotypic object pecking) and hunger (compensatory feed intake was reduced) compared to quantitatively restricted diets (</w:t>
      </w:r>
      <w:r w:rsidRPr="00286A88">
        <w:rPr>
          <w:rFonts w:cs="Times New Roman"/>
          <w:lang w:val="en-AU" w:eastAsia="en-AU"/>
        </w:rPr>
        <w:t xml:space="preserve">Hocking et al., 2001; 2004; </w:t>
      </w:r>
      <w:r w:rsidRPr="00286A88">
        <w:rPr>
          <w:rFonts w:cs="Palatino-Roman"/>
          <w:lang w:val="en-AU" w:eastAsia="en-AU"/>
        </w:rPr>
        <w:t xml:space="preserve">de Jong et al., 2005b; Nielsen et al., 2011; </w:t>
      </w:r>
      <w:r w:rsidRPr="00286A88">
        <w:rPr>
          <w:rFonts w:cs="TimesNewRomanPSMT"/>
          <w:lang w:val="en-AU" w:eastAsia="en-AU"/>
        </w:rPr>
        <w:t>Moradi et al., 2013;</w:t>
      </w:r>
      <w:r w:rsidRPr="00286A88">
        <w:rPr>
          <w:rFonts w:cs="Times New Roman"/>
          <w:lang w:val="en-AU" w:eastAsia="en-AU"/>
        </w:rPr>
        <w:t xml:space="preserve"> Van Emous </w:t>
      </w:r>
      <w:r w:rsidRPr="00286A88">
        <w:rPr>
          <w:rFonts w:cs="Times New Roman"/>
          <w:iCs/>
          <w:lang w:val="en-AU" w:eastAsia="en-AU"/>
        </w:rPr>
        <w:t>et al</w:t>
      </w:r>
      <w:r w:rsidRPr="00286A88">
        <w:rPr>
          <w:rFonts w:cs="Times New Roman"/>
          <w:lang w:val="en-AU" w:eastAsia="en-AU"/>
        </w:rPr>
        <w:t>., 2014; 2015a; 2015b</w:t>
      </w:r>
      <w:r w:rsidRPr="00286A88">
        <w:rPr>
          <w:rFonts w:cs="Palatino-Roman"/>
          <w:lang w:val="en-AU" w:eastAsia="en-AU"/>
        </w:rPr>
        <w:t xml:space="preserve">). </w:t>
      </w:r>
      <w:r w:rsidRPr="00286A88">
        <w:rPr>
          <w:rFonts w:cs="AdvFrutiger-RC"/>
          <w:lang w:val="en-AU" w:eastAsia="en-AU"/>
        </w:rPr>
        <w:t>Dietary fibre type appears important.</w:t>
      </w:r>
      <w:r w:rsidRPr="00286A88">
        <w:rPr>
          <w:lang w:val="en-AU" w:eastAsia="en-AU"/>
        </w:rPr>
        <w:t xml:space="preserve"> The inclusion of high levels of insoluble </w:t>
      </w:r>
      <w:r w:rsidRPr="00286A88">
        <w:rPr>
          <w:rFonts w:cs="AdvTT5843c571+fb"/>
          <w:lang w:val="en-AU" w:eastAsia="en-AU"/>
        </w:rPr>
        <w:t>fi</w:t>
      </w:r>
      <w:r w:rsidRPr="00286A88">
        <w:rPr>
          <w:lang w:val="en-AU" w:eastAsia="en-AU"/>
        </w:rPr>
        <w:t>bre during the rearing period can reduce levels of injurious pecking and stereotypic pecking (i.e. negative welfare indicators), and increase dust-bathing, comfort behaviour and foraging (positive welfare indicators), compared to that observed under a control diet (</w:t>
      </w:r>
      <w:r w:rsidRPr="00286A88">
        <w:rPr>
          <w:rFonts w:cs="Palatino-Roman"/>
          <w:lang w:val="en-AU" w:eastAsia="en-AU"/>
        </w:rPr>
        <w:t xml:space="preserve">Hocking et al., 2004; </w:t>
      </w:r>
      <w:r w:rsidRPr="00286A88">
        <w:rPr>
          <w:rFonts w:cs="AdvFrutiger-RC"/>
          <w:lang w:val="en-AU" w:eastAsia="en-AU"/>
        </w:rPr>
        <w:t xml:space="preserve">Sandilands et al., 2006; </w:t>
      </w:r>
      <w:r w:rsidRPr="00286A88">
        <w:rPr>
          <w:lang w:val="en-AU" w:eastAsia="en-AU"/>
        </w:rPr>
        <w:t xml:space="preserve">Nielsen </w:t>
      </w:r>
      <w:r w:rsidRPr="00286A88">
        <w:rPr>
          <w:rFonts w:cs="AdvTTc1564962.I"/>
          <w:lang w:val="en-AU" w:eastAsia="en-AU"/>
        </w:rPr>
        <w:t xml:space="preserve">et al., </w:t>
      </w:r>
      <w:r w:rsidRPr="00286A88">
        <w:rPr>
          <w:lang w:val="en-AU" w:eastAsia="en-AU"/>
        </w:rPr>
        <w:t>2011).</w:t>
      </w:r>
      <w:r w:rsidRPr="00286A88">
        <w:rPr>
          <w:rFonts w:cs="AdvFrutiger-RC"/>
          <w:lang w:val="en-AU" w:eastAsia="en-AU"/>
        </w:rPr>
        <w:t xml:space="preserve"> The possibility of an increased food allowance with a diluted diet, in combination with rewarded foraging behaviour, may relieve some of the frustration associated with restricted feeding. </w:t>
      </w:r>
      <w:r w:rsidRPr="00286A88">
        <w:rPr>
          <w:lang w:val="en-AU" w:eastAsia="en-AU"/>
        </w:rPr>
        <w:t xml:space="preserve">Hocking et al. (2004) also observed a reduction in stereotypic pecking under a diet containing a low proportion of soluble fibre (sugar beet pulp), the high water holding capacity of which was hypothesised to (temporarily) increase the sense of satiety; however, </w:t>
      </w:r>
      <w:r w:rsidRPr="00286A88">
        <w:rPr>
          <w:rFonts w:cs="AdvFrutiger-RC"/>
          <w:lang w:val="en-AU" w:eastAsia="en-AU"/>
        </w:rPr>
        <w:t>Nielsen et al. (2011) observed that breeders fed a high proportion of soluble fibre displayed behavioural signs of intestinal discomfort (including prolonged standing with their necks retracted) and had degraded litter (see BB8.3).</w:t>
      </w:r>
    </w:p>
    <w:p w14:paraId="3FD57DC0" w14:textId="77777777" w:rsidR="00286A88" w:rsidRPr="00286A88" w:rsidRDefault="00286A88" w:rsidP="007A0EDB">
      <w:pPr>
        <w:rPr>
          <w:rFonts w:cs="RealpageBAS19"/>
          <w:lang w:val="en-AU" w:eastAsia="en-AU"/>
        </w:rPr>
      </w:pPr>
      <w:r w:rsidRPr="00286A88">
        <w:rPr>
          <w:lang w:val="en-AU" w:eastAsia="en-AU"/>
        </w:rPr>
        <w:t xml:space="preserve">Other studies found qualitative restriction to have no effect upon behavioural indexes of welfare (Savory </w:t>
      </w:r>
      <w:r w:rsidRPr="00286A88">
        <w:rPr>
          <w:rFonts w:cs="AdvTTc1564962.I"/>
          <w:lang w:val="en-AU" w:eastAsia="en-AU"/>
        </w:rPr>
        <w:t xml:space="preserve">and Lariviere </w:t>
      </w:r>
      <w:r w:rsidRPr="00286A88">
        <w:rPr>
          <w:lang w:val="en-AU" w:eastAsia="en-AU"/>
        </w:rPr>
        <w:t>2000;</w:t>
      </w:r>
      <w:r w:rsidRPr="00286A88">
        <w:rPr>
          <w:rFonts w:cs="Times New Roman"/>
          <w:lang w:val="en-AU" w:eastAsia="en-AU"/>
        </w:rPr>
        <w:t xml:space="preserve"> Hocking, 2006).</w:t>
      </w:r>
      <w:r w:rsidRPr="00286A88">
        <w:rPr>
          <w:rFonts w:cs="RealpageBAS19"/>
          <w:lang w:val="en-AU" w:eastAsia="en-AU"/>
        </w:rPr>
        <w:t xml:space="preserve"> </w:t>
      </w:r>
      <w:r w:rsidRPr="00286A88">
        <w:rPr>
          <w:rFonts w:cs="Times New Roman"/>
          <w:lang w:val="en-AU" w:eastAsia="en-AU"/>
        </w:rPr>
        <w:t xml:space="preserve">Savory and Lariviere (2000) observed that feeding motivation (determined using operant testing) and activity levels (likely to be indicative of hunger) were not altered following the provision of qualitatively restricted diets (achieved via dilution and appetite suppression) provided </w:t>
      </w:r>
      <w:r w:rsidRPr="00286A88">
        <w:rPr>
          <w:rFonts w:cs="Times New Roman"/>
          <w:i/>
          <w:lang w:val="en-AU" w:eastAsia="en-AU"/>
        </w:rPr>
        <w:t xml:space="preserve">ad libitum. </w:t>
      </w:r>
      <w:r w:rsidRPr="00286A88">
        <w:rPr>
          <w:rFonts w:cs="Times New Roman"/>
          <w:lang w:val="en-AU" w:eastAsia="en-AU"/>
        </w:rPr>
        <w:t xml:space="preserve">The birds appeared to have a similarly high motivation to feed as birds placed on quantitative restriction, and presumably they still experienced hunger. In addition, </w:t>
      </w:r>
      <w:r w:rsidRPr="00286A88">
        <w:rPr>
          <w:rFonts w:cs="AdvFrutiger-RC"/>
          <w:i/>
          <w:lang w:val="en-AU" w:eastAsia="en-AU"/>
        </w:rPr>
        <w:t>ad libitum</w:t>
      </w:r>
      <w:r w:rsidRPr="00286A88">
        <w:rPr>
          <w:rFonts w:cs="AdvFrutiger-RC"/>
          <w:lang w:val="en-AU" w:eastAsia="en-AU"/>
        </w:rPr>
        <w:t xml:space="preserve"> access to high-fibre diets produced higher growth rates than anticipated, indicating that some quantitative restriction is still required in addition to diet dilution (</w:t>
      </w:r>
      <w:r w:rsidRPr="00286A88">
        <w:rPr>
          <w:rFonts w:cs="Times New Roman"/>
          <w:lang w:val="en-AU" w:eastAsia="en-AU"/>
        </w:rPr>
        <w:t>Savory and Lariviere, 2000)</w:t>
      </w:r>
      <w:r w:rsidRPr="00286A88">
        <w:rPr>
          <w:rFonts w:cs="AdvFrutiger-RC"/>
          <w:lang w:val="en-AU" w:eastAsia="en-AU"/>
        </w:rPr>
        <w:t xml:space="preserve">. </w:t>
      </w:r>
      <w:r w:rsidRPr="00286A88">
        <w:rPr>
          <w:rFonts w:cs="RealpageBAS19"/>
          <w:lang w:val="en-AU" w:eastAsia="en-AU"/>
        </w:rPr>
        <w:t xml:space="preserve">Interestingly, Hocking et al. (2001) observed that (quantitative and qualitative) feed restricted birds were less fearful (assessed using tonic immobility) than birds fed </w:t>
      </w:r>
      <w:r w:rsidRPr="00286A88">
        <w:rPr>
          <w:rFonts w:cs="RealpageBAS2-Italic"/>
          <w:i/>
          <w:iCs/>
          <w:lang w:val="en-AU" w:eastAsia="en-AU"/>
        </w:rPr>
        <w:t>ad libitum</w:t>
      </w:r>
      <w:r w:rsidRPr="00286A88">
        <w:rPr>
          <w:rFonts w:cs="RealpageBAS19"/>
          <w:lang w:val="en-AU" w:eastAsia="en-AU"/>
        </w:rPr>
        <w:t>.</w:t>
      </w:r>
    </w:p>
    <w:p w14:paraId="7C460AD5" w14:textId="77777777" w:rsidR="00286A88" w:rsidRPr="00286A88" w:rsidRDefault="00286A88" w:rsidP="007A0EDB">
      <w:pPr>
        <w:rPr>
          <w:rFonts w:cs="AdvP41153C"/>
          <w:lang w:val="en-AU" w:eastAsia="en-AU"/>
        </w:rPr>
      </w:pPr>
      <w:r w:rsidRPr="00286A88">
        <w:rPr>
          <w:lang w:val="en-AU" w:eastAsia="en-AU"/>
        </w:rPr>
        <w:t xml:space="preserve">Use of an appetite suppressant (calcium propionate, CaP) and/or a diet diluent (oat hulls) during the rearing period has been successful in controlling growth rate and stereotypic pecking, and reducing feeding motivation (rate of eating), compared to a control group fed a quantitatively restricted diet (Sandilands </w:t>
      </w:r>
      <w:r w:rsidRPr="00286A88">
        <w:rPr>
          <w:rFonts w:cs="AdvTTc1564962.I"/>
          <w:lang w:val="en-AU" w:eastAsia="en-AU"/>
        </w:rPr>
        <w:t>et al.</w:t>
      </w:r>
      <w:r w:rsidRPr="00286A88">
        <w:rPr>
          <w:lang w:val="en-AU" w:eastAsia="en-AU"/>
        </w:rPr>
        <w:t>, 2005; 2006); however, as physiological indices of stress and activity levels did not differ between treatments it may indicate that the birds found the food unpleasant in some way (disagreeable taste or produced intestinal discomfort), rather than it producing a rewarding sensation of satiety</w:t>
      </w:r>
      <w:r w:rsidRPr="00286A88">
        <w:rPr>
          <w:rFonts w:cs="AdvFrutiger-RC"/>
          <w:lang w:val="en-AU" w:eastAsia="en-AU"/>
        </w:rPr>
        <w:t xml:space="preserve">. </w:t>
      </w:r>
      <w:r w:rsidRPr="00286A88">
        <w:rPr>
          <w:rFonts w:eastAsia="ComputerModern-Regular" w:cs="ComputerModern-Regular"/>
          <w:lang w:val="en-AU" w:eastAsia="en-AU"/>
        </w:rPr>
        <w:t>Morrissey et al. (2014a) observed a reduction in several behavioural indices of hunger (including increased resting time and decreases in feather pecking, object pecking and aggression), suggesting that a high-fibre diet, including CaP, can improve certain aspects of breeder welfare.</w:t>
      </w:r>
    </w:p>
    <w:p w14:paraId="261A96A6" w14:textId="77777777" w:rsidR="00286A88" w:rsidRPr="00286A88" w:rsidRDefault="00286A88" w:rsidP="007A0EDB">
      <w:pPr>
        <w:rPr>
          <w:rFonts w:cs="Times New Roman"/>
          <w:lang w:val="en-AU" w:eastAsia="en-AU"/>
        </w:rPr>
      </w:pPr>
      <w:r w:rsidRPr="00286A88">
        <w:rPr>
          <w:rFonts w:cs="RealpageBAS19"/>
          <w:lang w:val="en-AU" w:eastAsia="en-AU"/>
        </w:rPr>
        <w:t xml:space="preserve">Hocking et al. (2001) observed the H:L ratio to be higher in quantitatively restricted breeders at 6 weeks and lower at 24 weeks compared with birds fed </w:t>
      </w:r>
      <w:r w:rsidRPr="00286A88">
        <w:rPr>
          <w:rFonts w:cs="RealpageBAS2-Italic"/>
          <w:i/>
          <w:iCs/>
          <w:lang w:val="en-AU" w:eastAsia="en-AU"/>
        </w:rPr>
        <w:t>ad libitum</w:t>
      </w:r>
      <w:r w:rsidRPr="00286A88">
        <w:rPr>
          <w:rFonts w:cs="RealpageBAS19"/>
          <w:lang w:val="en-AU" w:eastAsia="en-AU"/>
        </w:rPr>
        <w:t xml:space="preserve">; this suggests that both feed suppression in young birds (with a high metabolic rate during the phase of high growth), and the consequences of additional body mass in older </w:t>
      </w:r>
      <w:r w:rsidRPr="00286A88">
        <w:rPr>
          <w:rFonts w:cs="RealpageBAS19"/>
          <w:i/>
          <w:lang w:val="en-AU" w:eastAsia="en-AU"/>
        </w:rPr>
        <w:t>ad libitum</w:t>
      </w:r>
      <w:r w:rsidRPr="00286A88">
        <w:rPr>
          <w:rFonts w:cs="RealpageBAS19"/>
          <w:lang w:val="en-AU" w:eastAsia="en-AU"/>
        </w:rPr>
        <w:t xml:space="preserve"> fed birds, are both stressful and, thus, both associated with low welfare.</w:t>
      </w:r>
      <w:r w:rsidRPr="00286A88">
        <w:rPr>
          <w:rFonts w:cs="Palatino-Roman"/>
          <w:lang w:val="en-AU" w:eastAsia="en-AU"/>
        </w:rPr>
        <w:t xml:space="preserve"> De Jong et al. (2005b) observed lower H:L ratios in birds fed an increased volume of low density restricted diets during the production phase (lay) compared to birds fed a standard restricted diet, indicating that the increased meal size lowers stress; although no difference was observed during rear (Jones et al., 2004; </w:t>
      </w:r>
      <w:r w:rsidRPr="00286A88">
        <w:rPr>
          <w:rFonts w:cs="Times New Roman"/>
          <w:lang w:val="en-AU" w:eastAsia="en-AU"/>
        </w:rPr>
        <w:t>Hocking, 2006</w:t>
      </w:r>
      <w:r w:rsidRPr="00286A88">
        <w:rPr>
          <w:rFonts w:cs="Palatino-Roman"/>
          <w:lang w:val="en-AU" w:eastAsia="en-AU"/>
        </w:rPr>
        <w:t xml:space="preserve">). </w:t>
      </w:r>
      <w:r w:rsidRPr="00286A88">
        <w:rPr>
          <w:rFonts w:eastAsia="TimesCE-Roman" w:cs="TimesCE-Roman"/>
          <w:lang w:val="en-AU" w:eastAsia="en-AU"/>
        </w:rPr>
        <w:t>Plasma corticosterone concentrations are elevated in breeder hens subjected to qualitative, as well as quantitative, food restriction, compared to unrestricted control diets</w:t>
      </w:r>
      <w:r w:rsidRPr="00286A88">
        <w:rPr>
          <w:rFonts w:cs="Palatino-Roman"/>
          <w:lang w:val="en-AU" w:eastAsia="en-AU"/>
        </w:rPr>
        <w:t xml:space="preserve"> during the rearing or laying period (</w:t>
      </w:r>
      <w:r w:rsidRPr="00286A88">
        <w:rPr>
          <w:lang w:val="en-AU" w:eastAsia="en-AU"/>
        </w:rPr>
        <w:t xml:space="preserve">Hocking et al., 2001; </w:t>
      </w:r>
      <w:r w:rsidRPr="00286A88">
        <w:rPr>
          <w:rFonts w:cs="AdvP41153C"/>
          <w:lang w:val="en-AU" w:eastAsia="en-AU"/>
        </w:rPr>
        <w:t xml:space="preserve">Kubíková et al., 2001; </w:t>
      </w:r>
      <w:r w:rsidRPr="00286A88">
        <w:rPr>
          <w:rFonts w:cs="Palatino-Roman"/>
          <w:lang w:val="en-AU" w:eastAsia="en-AU"/>
        </w:rPr>
        <w:t>de Jong et al., 2005b;</w:t>
      </w:r>
      <w:r w:rsidRPr="00286A88">
        <w:rPr>
          <w:lang w:val="en-AU" w:eastAsia="en-AU"/>
        </w:rPr>
        <w:t xml:space="preserve"> Sandilands et al., 2005). </w:t>
      </w:r>
      <w:r w:rsidRPr="00286A88">
        <w:rPr>
          <w:rFonts w:cs="AdvP41153C"/>
          <w:lang w:val="en-AU" w:eastAsia="en-AU"/>
        </w:rPr>
        <w:t xml:space="preserve">Sandilands et al. (2006) observed similar plasma corticosterone levels in quantitatively or qualitatively food restricted birds that achieved at least commercial target weight, while higher levels were associated with a treatment that produced above target growth suppression. This provides further evidence for corticosterone reflecting a direct metabolic effect of feed restriction (calorific stress), independent of feeding method or food allowance. </w:t>
      </w:r>
      <w:r w:rsidRPr="00286A88">
        <w:rPr>
          <w:lang w:val="en-AU" w:eastAsia="en-AU"/>
        </w:rPr>
        <w:t xml:space="preserve">Lower </w:t>
      </w:r>
      <w:r w:rsidRPr="00286A88">
        <w:rPr>
          <w:rFonts w:cs="RealpageBAS19"/>
          <w:lang w:val="en-AU" w:eastAsia="en-AU"/>
        </w:rPr>
        <w:t>corticosterone concentrations have been observed in birds fed diluted diets high in fibre (</w:t>
      </w:r>
      <w:r w:rsidRPr="00286A88">
        <w:rPr>
          <w:rFonts w:cs="TimesNewRomanPSMT"/>
          <w:lang w:val="en-AU" w:eastAsia="en-AU"/>
        </w:rPr>
        <w:t>Moradi et al., 2013) and low in p</w:t>
      </w:r>
      <w:r w:rsidRPr="00286A88">
        <w:rPr>
          <w:rFonts w:cs="RealpageBAS19"/>
          <w:lang w:val="en-AU" w:eastAsia="en-AU"/>
        </w:rPr>
        <w:t>rotein (</w:t>
      </w:r>
      <w:r w:rsidRPr="00286A88">
        <w:rPr>
          <w:lang w:val="en-AU" w:eastAsia="en-AU"/>
        </w:rPr>
        <w:t>Hocking et al., 2001) compared to quantitatively restricted control diets</w:t>
      </w:r>
      <w:r w:rsidRPr="00286A88">
        <w:rPr>
          <w:rFonts w:cs="RealpageBAS19"/>
          <w:lang w:val="en-AU" w:eastAsia="en-AU"/>
        </w:rPr>
        <w:t>, although the latter observation was not replicated in later studies (</w:t>
      </w:r>
      <w:r w:rsidRPr="00286A88">
        <w:rPr>
          <w:rFonts w:cs="Times New Roman"/>
          <w:lang w:val="en-AU" w:eastAsia="en-AU"/>
        </w:rPr>
        <w:t>Hocking, 2006; Van Emous et al., 2014).</w:t>
      </w:r>
    </w:p>
    <w:p w14:paraId="65122F26" w14:textId="77777777" w:rsidR="00286A88" w:rsidRPr="00286A88" w:rsidRDefault="00286A88" w:rsidP="007A0EDB">
      <w:pPr>
        <w:rPr>
          <w:rFonts w:cs="RealpageBAS19"/>
          <w:lang w:val="en-AU" w:eastAsia="en-AU"/>
        </w:rPr>
      </w:pPr>
    </w:p>
    <w:p w14:paraId="05A7C4A3" w14:textId="77777777" w:rsidR="00286A88" w:rsidRPr="00286A88" w:rsidRDefault="00286A88" w:rsidP="007A0EDB">
      <w:pPr>
        <w:rPr>
          <w:rFonts w:cs="Times New Roman"/>
          <w:lang w:val="en-AU" w:eastAsia="en-AU"/>
        </w:rPr>
      </w:pPr>
      <w:r w:rsidRPr="00286A88">
        <w:rPr>
          <w:lang w:val="en-AU" w:eastAsia="en-AU"/>
        </w:rPr>
        <w:t xml:space="preserve">A series of recent studies have failed to develop behavioural tests to determine the preference of broiler breeders for different diets. </w:t>
      </w:r>
      <w:r w:rsidRPr="00286A88">
        <w:rPr>
          <w:rFonts w:cs="GulliverRM"/>
          <w:lang w:val="en-AU" w:eastAsia="en-AU"/>
        </w:rPr>
        <w:t xml:space="preserve">Following the inability of a T-maze task to conclusively assess the dietary preference of broiler breeders between a quantitative (control) or qualitative (CaP: 3 g/kg; oat hulls: 300 g/kg) restricted diet, Buckley et al. (2011a) concluded that this outcome was likely to reflect task learning failure and not necessarily a lack of dietary preference. Consequently, </w:t>
      </w:r>
      <w:r w:rsidRPr="00286A88">
        <w:rPr>
          <w:rFonts w:cs="GillSans-Italic"/>
          <w:iCs/>
          <w:lang w:val="en-AU" w:eastAsia="en-AU"/>
        </w:rPr>
        <w:t xml:space="preserve">Buckley et al. (2011b) provided evidence for hunger (associated with feed restriction) to impair learning; feed restriction significantly reduced performance in a discrimination task (ability to associate colour cues with differences in a food quantity reward). The authors conclude that Y-maze choice tests are not an appropriate methodology for determining hungry broiler breeder dietary preferences, especially since some of the less severely feed-restricted birds also struggled to learn this task (Buckley et al., 2011b). </w:t>
      </w:r>
      <w:r w:rsidRPr="00286A88">
        <w:rPr>
          <w:rFonts w:cs="AdvP4CD4D0"/>
          <w:lang w:val="en-AU" w:eastAsia="en-AU"/>
        </w:rPr>
        <w:t xml:space="preserve">Buckley et al. (2012) successfully used a place preference task to demonstrate that broilers (as a model for broiler breeders) had a significant preference for an environment associated with </w:t>
      </w:r>
      <w:r w:rsidRPr="00286A88">
        <w:rPr>
          <w:rFonts w:cs="AdvP4CD4D0"/>
          <w:i/>
          <w:lang w:val="en-AU" w:eastAsia="en-AU"/>
        </w:rPr>
        <w:t xml:space="preserve">ad libitum </w:t>
      </w:r>
      <w:r w:rsidRPr="00286A88">
        <w:rPr>
          <w:rFonts w:cs="AdvP4CD4D0"/>
          <w:lang w:val="en-AU" w:eastAsia="en-AU"/>
        </w:rPr>
        <w:t>food (as opposed to an environment associated with quantitative feed restriction); however, this outcome was reliant upon a state-dependent effect, as it was only true when the birds were tested hungry. No preference was evident between environments associated with either a quantitative ration or a quality-adjusted diet (quantitative ration supplemented with a hunger suppressant); an absence of preference could have arisen because the net effect, in terms of affective state, may have been perceived as similar between environments (</w:t>
      </w:r>
      <w:r w:rsidRPr="00286A88">
        <w:rPr>
          <w:rFonts w:cs="AdvP4CD4D4"/>
          <w:lang w:val="en-AU" w:eastAsia="en-AU"/>
        </w:rPr>
        <w:t xml:space="preserve">e.g. </w:t>
      </w:r>
      <w:r w:rsidRPr="00286A88">
        <w:rPr>
          <w:rFonts w:cs="AdvP4CD4D0"/>
          <w:lang w:val="en-AU" w:eastAsia="en-AU"/>
        </w:rPr>
        <w:t>the control environment may have offered a more palatable diet than that containing the hunger suppressant, yet resulted in higher levels of hunger) (Buckley et al., 2012).</w:t>
      </w:r>
      <w:r w:rsidRPr="00286A88">
        <w:rPr>
          <w:rFonts w:cs="Times New Roman"/>
          <w:lang w:val="en-AU" w:eastAsia="en-AU"/>
        </w:rPr>
        <w:t xml:space="preserve"> Overall, the evidence suggests that qualitative restriction methods do not conclusively benefit breeder welfare.</w:t>
      </w:r>
    </w:p>
    <w:p w14:paraId="102F500C" w14:textId="77777777" w:rsidR="00286A88" w:rsidRPr="00286A88" w:rsidRDefault="00286A88" w:rsidP="007A0EDB">
      <w:pPr>
        <w:pStyle w:val="Heading41"/>
      </w:pPr>
      <w:r w:rsidRPr="00286A88">
        <w:t>BB2.3c Alternative feeding strategies: feeding management</w:t>
      </w:r>
    </w:p>
    <w:p w14:paraId="021EA3FF" w14:textId="77777777" w:rsidR="00286A88" w:rsidRPr="00286A88" w:rsidRDefault="00286A88" w:rsidP="007A0EDB">
      <w:pPr>
        <w:rPr>
          <w:rFonts w:cs="Times New Roman"/>
          <w:lang w:val="en-AU" w:eastAsia="en-AU"/>
        </w:rPr>
      </w:pPr>
      <w:r w:rsidRPr="00286A88">
        <w:rPr>
          <w:lang w:val="en-AU" w:eastAsia="en-AU"/>
        </w:rPr>
        <w:t xml:space="preserve">A high growth pattern (i.e. </w:t>
      </w:r>
      <w:r w:rsidRPr="00286A88">
        <w:rPr>
          <w:rFonts w:cs="Times New Roman"/>
          <w:lang w:val="en-AU" w:eastAsia="en-AU"/>
        </w:rPr>
        <w:t>rearing breeders to a higher 20-week bodyweight than that recommended by breeding companies</w:t>
      </w:r>
      <w:r w:rsidRPr="00286A88">
        <w:rPr>
          <w:lang w:val="en-AU" w:eastAsia="en-AU"/>
        </w:rPr>
        <w:t>) is seen to increase feed intake and eating time, but did not appear to improve bird welfare (i.e. did not reduce stereotypic object pecking)</w:t>
      </w:r>
      <w:r w:rsidRPr="00286A88">
        <w:rPr>
          <w:rFonts w:cs="Times New Roman"/>
          <w:lang w:val="en-AU" w:eastAsia="en-AU"/>
        </w:rPr>
        <w:t xml:space="preserve"> (Van Emous </w:t>
      </w:r>
      <w:r w:rsidRPr="00286A88">
        <w:rPr>
          <w:rFonts w:cs="Times New Roman"/>
          <w:iCs/>
          <w:lang w:val="en-AU" w:eastAsia="en-AU"/>
        </w:rPr>
        <w:t>et al</w:t>
      </w:r>
      <w:r w:rsidRPr="00286A88">
        <w:rPr>
          <w:rFonts w:cs="Times New Roman"/>
          <w:lang w:val="en-AU" w:eastAsia="en-AU"/>
        </w:rPr>
        <w:t>., 2013)</w:t>
      </w:r>
      <w:r w:rsidRPr="00286A88">
        <w:rPr>
          <w:lang w:val="en-AU" w:eastAsia="en-AU"/>
        </w:rPr>
        <w:t xml:space="preserve">. </w:t>
      </w:r>
      <w:r w:rsidRPr="00286A88">
        <w:rPr>
          <w:rFonts w:cs="AdvTT5843c571"/>
          <w:lang w:val="en-AU" w:eastAsia="en-AU"/>
        </w:rPr>
        <w:t xml:space="preserve">Altering the feeding management programme to increase feeding time, including scattered feeding </w:t>
      </w:r>
      <w:r w:rsidRPr="00286A88">
        <w:rPr>
          <w:rFonts w:cs="AdvP41153C"/>
          <w:lang w:val="en-AU" w:eastAsia="en-AU"/>
        </w:rPr>
        <w:t xml:space="preserve">and the provision of two meals per day (either in the litter or in a trough), did not reduce behavioural or physiological indicators of hunger (compensatory feed intake), frustration (general activity) or stress (plasma corticosterone) </w:t>
      </w:r>
      <w:r w:rsidRPr="00286A88">
        <w:rPr>
          <w:rFonts w:cs="AdvTT5843c571"/>
          <w:lang w:val="en-AU" w:eastAsia="en-AU"/>
        </w:rPr>
        <w:t xml:space="preserve">(de Jong </w:t>
      </w:r>
      <w:r w:rsidRPr="00286A88">
        <w:rPr>
          <w:rFonts w:cs="AdvTTc1564962.I"/>
          <w:lang w:val="en-AU" w:eastAsia="en-AU"/>
        </w:rPr>
        <w:t xml:space="preserve">et al., </w:t>
      </w:r>
      <w:r w:rsidRPr="00286A88">
        <w:rPr>
          <w:rFonts w:cs="AdvTT5843c571"/>
          <w:lang w:val="en-AU" w:eastAsia="en-AU"/>
        </w:rPr>
        <w:t>2005a)</w:t>
      </w:r>
      <w:r w:rsidRPr="00286A88">
        <w:rPr>
          <w:rFonts w:cs="AdvP41153C"/>
          <w:lang w:val="en-AU" w:eastAsia="en-AU"/>
        </w:rPr>
        <w:t xml:space="preserve">. Scattered feeding reduced the time breeders spent object pecking and increased the time spent foraging, while birds fed two meals a day walked more, which may indicate food searching-related activity or frustration of the feeding motivation </w:t>
      </w:r>
      <w:r w:rsidRPr="00286A88">
        <w:rPr>
          <w:rFonts w:cs="AdvTT5843c571"/>
          <w:lang w:val="en-AU" w:eastAsia="en-AU"/>
        </w:rPr>
        <w:t xml:space="preserve">(de Jong </w:t>
      </w:r>
      <w:r w:rsidRPr="00286A88">
        <w:rPr>
          <w:rFonts w:cs="AdvTTc1564962.I"/>
          <w:lang w:val="en-AU" w:eastAsia="en-AU"/>
        </w:rPr>
        <w:t xml:space="preserve">et al., </w:t>
      </w:r>
      <w:r w:rsidRPr="00286A88">
        <w:rPr>
          <w:rFonts w:cs="AdvTT5843c571"/>
          <w:lang w:val="en-AU" w:eastAsia="en-AU"/>
        </w:rPr>
        <w:t>2005a)</w:t>
      </w:r>
      <w:r w:rsidRPr="00286A88">
        <w:rPr>
          <w:rFonts w:cs="AdvP41153C"/>
          <w:lang w:val="en-AU" w:eastAsia="en-AU"/>
        </w:rPr>
        <w:t xml:space="preserve">. </w:t>
      </w:r>
      <w:r w:rsidRPr="00286A88">
        <w:rPr>
          <w:rFonts w:cs="Times New Roman"/>
          <w:lang w:val="en-AU" w:eastAsia="en-AU"/>
        </w:rPr>
        <w:t xml:space="preserve">Scatter feeding a diet with a high ratio of insoluble fibre did appear to alleviate the sensation of hunger and improve welfare in breeders during rearing, including increased foraging, dust bathing and comfort behaviours, and reduced tail pecking and stereotypic pecking (Nielsen et al., 2011); the </w:t>
      </w:r>
      <w:r w:rsidRPr="00286A88">
        <w:rPr>
          <w:rFonts w:cs="AdvFrutiger-RC"/>
          <w:lang w:val="en-AU" w:eastAsia="en-AU"/>
        </w:rPr>
        <w:t>combination of increased food allowance and rewarded foraging behaviour in this study appeared beneficial in reducing feeding frustration</w:t>
      </w:r>
      <w:r w:rsidRPr="00286A88">
        <w:rPr>
          <w:rFonts w:cs="Times New Roman"/>
          <w:lang w:val="en-AU" w:eastAsia="en-AU"/>
        </w:rPr>
        <w:t>. A step-up lighting programme (11-16 h over 10 weeks) and feeding a mash diet, instead of pellets, have both been found to reduce the rate of feed consumption; feeding breeders pellets is not advised as it increases time available to spend on stereotypical behaviour (Gous and Danisman, 2016).</w:t>
      </w:r>
    </w:p>
    <w:p w14:paraId="6C86139F" w14:textId="77777777" w:rsidR="00286A88" w:rsidRPr="00286A88" w:rsidRDefault="00286A88" w:rsidP="007A0EDB">
      <w:pPr>
        <w:rPr>
          <w:rFonts w:cs="AdvTT1c473424.B"/>
          <w:lang w:val="en-AU" w:eastAsia="en-AU"/>
        </w:rPr>
      </w:pPr>
      <w:r w:rsidRPr="00286A88">
        <w:rPr>
          <w:rFonts w:cs="Times New Roman"/>
          <w:lang w:val="en-AU" w:eastAsia="en-AU"/>
        </w:rPr>
        <w:t>The apparent impossibility of achieving optimal production requirements for broiler breeders (high reproductive performance, good health and low mortality) without resorting to severe feed restriction (and impaired welfare), has been termed the ‘Broiler Breeder Paradox’ (Decuypere et al., 2006).</w:t>
      </w:r>
      <w:r w:rsidRPr="00286A88">
        <w:rPr>
          <w:rFonts w:cs="AdvTT1c473424.B"/>
          <w:lang w:val="en-AU" w:eastAsia="en-AU"/>
        </w:rPr>
        <w:t xml:space="preserve"> It is clear that nutritional strategies, although sometimes helpful in alleviating adverse behaviour associated with hunger, do not fulfil long-term metabolic requirements and are not sustainable since current breeding goals remain on an upwards trajectory (towards ever better feed conversion and increased breast meat).</w:t>
      </w:r>
    </w:p>
    <w:p w14:paraId="6EABBE7C" w14:textId="77777777" w:rsidR="00286A88" w:rsidRPr="00286A88" w:rsidRDefault="00286A88" w:rsidP="007A0EDB">
      <w:pPr>
        <w:pStyle w:val="Heading3"/>
        <w:rPr>
          <w:lang w:val="en-AU" w:eastAsia="en-AU"/>
        </w:rPr>
      </w:pPr>
      <w:bookmarkStart w:id="140" w:name="_Toc495310609"/>
      <w:r w:rsidRPr="00286A88">
        <w:rPr>
          <w:lang w:val="en-AU" w:eastAsia="en-AU"/>
        </w:rPr>
        <w:t>BB2.</w:t>
      </w:r>
      <w:r w:rsidR="00F27114">
        <w:rPr>
          <w:lang w:val="en-AU" w:eastAsia="en-AU"/>
        </w:rPr>
        <w:t>3</w:t>
      </w:r>
      <w:r w:rsidRPr="00286A88">
        <w:rPr>
          <w:lang w:val="en-AU" w:eastAsia="en-AU"/>
        </w:rPr>
        <w:t xml:space="preserve"> Water</w:t>
      </w:r>
      <w:bookmarkEnd w:id="140"/>
    </w:p>
    <w:p w14:paraId="4DB79867" w14:textId="77777777" w:rsidR="00286A88" w:rsidRPr="007A0EDB" w:rsidRDefault="00286A88" w:rsidP="007A0EDB">
      <w:pPr>
        <w:rPr>
          <w:i/>
          <w:lang w:val="en-AU" w:eastAsia="en-AU"/>
        </w:rPr>
      </w:pPr>
      <w:r w:rsidRPr="007A0EDB">
        <w:rPr>
          <w:i/>
          <w:lang w:val="en-AU" w:eastAsia="en-AU"/>
        </w:rPr>
        <w:t>Access to water is often restricted to preserve litter quality; however, this may have additional welfare implications for broiler breeders by creating prolonged periods of thirst, as well as hunger.</w:t>
      </w:r>
    </w:p>
    <w:p w14:paraId="175E7CEA" w14:textId="77777777" w:rsidR="00286A88" w:rsidRPr="00286A88" w:rsidRDefault="00286A88" w:rsidP="007A0EDB">
      <w:pPr>
        <w:rPr>
          <w:lang w:val="en-AU" w:eastAsia="en-AU"/>
        </w:rPr>
      </w:pPr>
      <w:r w:rsidRPr="00286A88">
        <w:rPr>
          <w:lang w:val="en-AU" w:eastAsia="en-AU"/>
        </w:rPr>
        <w:t>In temperate climates drinker recommendations are generally 8-10 birds/nipple, 15 birds/cup or 60-80 birds/bell drinker (1.5-2.5 cm/bird); more space will be required in hotter climates (</w:t>
      </w:r>
      <w:r w:rsidR="00793ACC">
        <w:rPr>
          <w:lang w:val="en-AU" w:eastAsia="en-AU"/>
        </w:rPr>
        <w:t>AHAW</w:t>
      </w:r>
      <w:r w:rsidRPr="00286A88">
        <w:rPr>
          <w:lang w:val="en-AU" w:eastAsia="en-AU"/>
        </w:rPr>
        <w:t xml:space="preserve">, 2010). During the first few weeks chicks usually have </w:t>
      </w:r>
      <w:r w:rsidRPr="00286A88">
        <w:rPr>
          <w:i/>
          <w:lang w:val="en-AU" w:eastAsia="en-AU"/>
        </w:rPr>
        <w:t>ad libitum</w:t>
      </w:r>
      <w:r w:rsidRPr="00286A88">
        <w:rPr>
          <w:lang w:val="en-AU" w:eastAsia="en-AU"/>
        </w:rPr>
        <w:t xml:space="preserve"> access to water, however, limiting access to water is common management practice in some countries during the rear and production periods when it may only be available for a couple of hours around feeding time, and possibly at other times in the day (e.g. one hour in the evening prior to lights out). Although water is restricted to conserve litter quality, i.e. to prevent excessive water spillage from stereotypic drinker manipulations and to avoid excessive drinking (Hocking et al., 1993), this is likely to create extended periods of thirst.</w:t>
      </w:r>
      <w:r w:rsidRPr="00286A88">
        <w:rPr>
          <w:rFonts w:eastAsia="ComputerModern-Regular" w:cs="ComputerModern-Regular"/>
          <w:lang w:val="en-AU" w:eastAsia="en-AU"/>
        </w:rPr>
        <w:t xml:space="preserve"> In some systems the drinkers are located on the slats, which should limit litter damage from water spillage. Freedom of (prolonged) thirst is of paramount importance for animal welfare yet animal-based measures of thirst are currently absent from animal welfare monitoring schemes due to the difficulties associated with quantifying a subjective state. </w:t>
      </w:r>
      <w:r w:rsidRPr="00286A88">
        <w:rPr>
          <w:lang w:val="en-AU" w:eastAsia="en-GB"/>
        </w:rPr>
        <w:t xml:space="preserve">Voluntary water consumption over time may offer a potential means of assessing thirst in broilers on-farm as it has been shown to increase with the length of water deprivation (see B2.8). </w:t>
      </w:r>
      <w:r w:rsidRPr="00286A88">
        <w:rPr>
          <w:lang w:val="en-AU" w:eastAsia="en-AU"/>
        </w:rPr>
        <w:t>Although the consequences of water withdrawal on breeder welfare have not yet been studied it is obvious that water restriction should not be employed under warmer climates. In addition, it is important that water access is not too restricted as water consumption is an important means of automatically monitoring flock health.</w:t>
      </w:r>
    </w:p>
    <w:p w14:paraId="1EEADA27" w14:textId="77777777" w:rsidR="00286A88" w:rsidRPr="00286A88" w:rsidRDefault="00494BC4" w:rsidP="007A0EDB">
      <w:pPr>
        <w:pStyle w:val="Heading2"/>
        <w:rPr>
          <w:lang w:val="en-AU" w:eastAsia="en-AU"/>
        </w:rPr>
      </w:pPr>
      <w:r>
        <w:rPr>
          <w:lang w:val="en-AU" w:eastAsia="en-AU"/>
        </w:rPr>
        <w:br w:type="column"/>
      </w:r>
      <w:bookmarkStart w:id="141" w:name="_Toc495310610"/>
      <w:r w:rsidR="00286A88" w:rsidRPr="00286A88">
        <w:rPr>
          <w:lang w:val="en-AU" w:eastAsia="en-AU"/>
        </w:rPr>
        <w:t>BB3. Risk Management</w:t>
      </w:r>
      <w:bookmarkEnd w:id="141"/>
    </w:p>
    <w:p w14:paraId="32BFC609" w14:textId="77777777" w:rsidR="00286A88" w:rsidRPr="00286A88" w:rsidRDefault="00286A88" w:rsidP="007A0EDB">
      <w:pPr>
        <w:pStyle w:val="Heading3"/>
        <w:rPr>
          <w:lang w:val="en-AU" w:eastAsia="en-AU"/>
        </w:rPr>
      </w:pPr>
      <w:bookmarkStart w:id="142" w:name="_Toc495310611"/>
      <w:r w:rsidRPr="00286A88">
        <w:rPr>
          <w:lang w:val="en-AU" w:eastAsia="en-AU"/>
        </w:rPr>
        <w:t>BB3.1 Mortality</w:t>
      </w:r>
      <w:bookmarkEnd w:id="142"/>
    </w:p>
    <w:p w14:paraId="021D2622" w14:textId="77777777" w:rsidR="00286A88" w:rsidRPr="007A0EDB" w:rsidRDefault="00286A88" w:rsidP="007A0EDB">
      <w:pPr>
        <w:rPr>
          <w:i/>
          <w:lang w:val="en-AU" w:eastAsia="en-AU"/>
        </w:rPr>
      </w:pPr>
      <w:r w:rsidRPr="007A0EDB">
        <w:rPr>
          <w:i/>
          <w:lang w:val="en-AU" w:eastAsia="en-AU"/>
        </w:rPr>
        <w:t>The majority of mortality in broiler breeder flocks occurs as a result of focused culling for particular selection criteria throughout the production cycle; males are subject to heavier culls, while dwarf breeds appear to display an improved viability. Mortality during the production phase is high, particularly for male birds.</w:t>
      </w:r>
    </w:p>
    <w:p w14:paraId="334C982E" w14:textId="77777777" w:rsidR="00286A88" w:rsidRPr="00286A88" w:rsidRDefault="00286A88" w:rsidP="007A0EDB">
      <w:pPr>
        <w:pStyle w:val="Heading41"/>
      </w:pPr>
      <w:r w:rsidRPr="00286A88">
        <w:t>BB3.1a Focused culling</w:t>
      </w:r>
    </w:p>
    <w:p w14:paraId="1C76EE8A" w14:textId="77777777" w:rsidR="00286A88" w:rsidRPr="00286A88" w:rsidRDefault="00286A88" w:rsidP="007A0EDB">
      <w:pPr>
        <w:rPr>
          <w:lang w:val="en-AU" w:eastAsia="en-AU"/>
        </w:rPr>
      </w:pPr>
      <w:r w:rsidRPr="00286A88">
        <w:rPr>
          <w:lang w:val="en-AU" w:eastAsia="en-AU"/>
        </w:rPr>
        <w:t>At the hatchery, poor quality (rejected) chicks are separated from good quality chicks, and culled, commonly using CO</w:t>
      </w:r>
      <w:r w:rsidRPr="00286A88">
        <w:rPr>
          <w:vertAlign w:val="subscript"/>
          <w:lang w:val="en-AU" w:eastAsia="en-AU"/>
        </w:rPr>
        <w:t>2</w:t>
      </w:r>
      <w:r w:rsidRPr="00286A88">
        <w:rPr>
          <w:lang w:val="en-AU" w:eastAsia="en-AU"/>
        </w:rPr>
        <w:t xml:space="preserve"> gas or instantaneous mechanical destruction. The good quality chicks are then sexed and the female chicks from the female line, and the male chicks from the male line, are transferred to the rearing farm as breeder (and grandparent) stock; the male chicks from the female line and female chicks from the male line go off to be reared separately for meat as standard broilers. Focused culling occurs during the rearing period, e.g., to correct sexing errors (estimated at 1-2%), and to remove any runts, or individuals with leg problems or post-trimming beak deformities (</w:t>
      </w:r>
      <w:r w:rsidR="00793ACC">
        <w:rPr>
          <w:lang w:val="en-AU" w:eastAsia="en-AU"/>
        </w:rPr>
        <w:t>AHAW</w:t>
      </w:r>
      <w:r w:rsidRPr="00286A88">
        <w:rPr>
          <w:lang w:val="en-AU" w:eastAsia="en-AU"/>
        </w:rPr>
        <w:t>, 2010). Selection continues throughout the production period. Approximately 15-25% of males will be culled due to low reproductive activity, extreme body weight and poor leg condition, while the culling of hens is much lower, approximately 1-2% (</w:t>
      </w:r>
      <w:r w:rsidR="00793ACC">
        <w:rPr>
          <w:lang w:val="en-AU" w:eastAsia="en-AU"/>
        </w:rPr>
        <w:t>AHAW</w:t>
      </w:r>
      <w:r w:rsidRPr="00286A88">
        <w:rPr>
          <w:lang w:val="en-AU" w:eastAsia="en-AU"/>
        </w:rPr>
        <w:t>, 2010).</w:t>
      </w:r>
    </w:p>
    <w:p w14:paraId="19A9D5BD" w14:textId="77777777" w:rsidR="00286A88" w:rsidRPr="00286A88" w:rsidRDefault="00286A88" w:rsidP="007A0EDB">
      <w:pPr>
        <w:pStyle w:val="Heading41"/>
      </w:pPr>
      <w:r w:rsidRPr="00286A88">
        <w:t>BB3.1b Total mortality</w:t>
      </w:r>
    </w:p>
    <w:p w14:paraId="23797094" w14:textId="77777777" w:rsidR="00286A88" w:rsidRPr="00286A88" w:rsidRDefault="00286A88" w:rsidP="007A0EDB">
      <w:pPr>
        <w:rPr>
          <w:lang w:val="en-AU" w:eastAsia="en-AU"/>
        </w:rPr>
      </w:pPr>
      <w:r w:rsidRPr="00286A88">
        <w:rPr>
          <w:lang w:val="en-AU" w:eastAsia="en-AU"/>
        </w:rPr>
        <w:t>Due to continuous selection over the last few decades natural mortality levels in grandparent and breeder lines have undergone a decline and hatching egg production has increased (Hocking and McCo</w:t>
      </w:r>
      <w:r w:rsidR="00100BBA">
        <w:rPr>
          <w:lang w:val="en-AU" w:eastAsia="en-AU"/>
        </w:rPr>
        <w:t>r</w:t>
      </w:r>
      <w:r w:rsidRPr="00286A88">
        <w:rPr>
          <w:lang w:val="en-AU" w:eastAsia="en-AU"/>
        </w:rPr>
        <w:t>quodale, 2008). The expected mortality during rearing (i.e. from day-old until they are transferred at 16-21 weeks), including culling, is approximately 5-7% for females (5% for dwarf females) and 8% for males (</w:t>
      </w:r>
      <w:r w:rsidR="00793ACC">
        <w:rPr>
          <w:lang w:val="en-AU" w:eastAsia="en-AU"/>
        </w:rPr>
        <w:t>AHAW</w:t>
      </w:r>
      <w:r w:rsidRPr="00286A88">
        <w:rPr>
          <w:lang w:val="en-AU" w:eastAsia="en-AU"/>
        </w:rPr>
        <w:t>, 2010). During the production phase total male mortality, including culls is about 25-35%, while total female mortality varies between 4-14% (6-7% for dwarf females) (Hocking and McCo</w:t>
      </w:r>
      <w:r w:rsidR="00100BBA">
        <w:rPr>
          <w:lang w:val="en-AU" w:eastAsia="en-AU"/>
        </w:rPr>
        <w:t>r</w:t>
      </w:r>
      <w:r w:rsidRPr="00286A88">
        <w:rPr>
          <w:lang w:val="en-AU" w:eastAsia="en-AU"/>
        </w:rPr>
        <w:t xml:space="preserve">quodale, 2008; </w:t>
      </w:r>
      <w:r w:rsidR="00793ACC">
        <w:rPr>
          <w:lang w:val="en-AU" w:eastAsia="en-AU"/>
        </w:rPr>
        <w:t>AHAW</w:t>
      </w:r>
      <w:r w:rsidRPr="00286A88">
        <w:rPr>
          <w:lang w:val="en-AU" w:eastAsia="en-AU"/>
        </w:rPr>
        <w:t>, 2010). Mortality in grandparent lines ranges between 10-13% (Hocking and McCo</w:t>
      </w:r>
      <w:r w:rsidR="00100BBA">
        <w:rPr>
          <w:lang w:val="en-AU" w:eastAsia="en-AU"/>
        </w:rPr>
        <w:t>r</w:t>
      </w:r>
      <w:r w:rsidRPr="00286A88">
        <w:rPr>
          <w:lang w:val="en-AU" w:eastAsia="en-AU"/>
        </w:rPr>
        <w:t>quodale, 2008); this is fairly high due to rigorous selection criteria. A recent study reported normal mortality rates of 22.4% and 13.9% respectively on two broiler breeder farms in the Netherlands (Landman and van Eck, 2015). These figures, particularly for male birds are high in comparison with mortality rates seen in broiler and laying hen flocks (see B3.1 and LH3.1).</w:t>
      </w:r>
    </w:p>
    <w:p w14:paraId="04E0AB18" w14:textId="77777777" w:rsidR="00286A88" w:rsidRPr="00286A88" w:rsidRDefault="00286A88" w:rsidP="007A0EDB">
      <w:pPr>
        <w:pStyle w:val="Heading3"/>
        <w:rPr>
          <w:lang w:val="en-AU" w:eastAsia="en-AU"/>
        </w:rPr>
      </w:pPr>
      <w:bookmarkStart w:id="143" w:name="_Toc495310612"/>
      <w:r w:rsidRPr="00286A88">
        <w:rPr>
          <w:lang w:val="en-AU" w:eastAsia="en-AU"/>
        </w:rPr>
        <w:t>BB3.2 Causes of mortality</w:t>
      </w:r>
      <w:bookmarkEnd w:id="143"/>
    </w:p>
    <w:p w14:paraId="3A107C94" w14:textId="77777777" w:rsidR="00286A88" w:rsidRPr="00E144DF" w:rsidRDefault="00286A88" w:rsidP="00E144DF">
      <w:pPr>
        <w:rPr>
          <w:i/>
          <w:lang w:val="en-AU" w:eastAsia="en-AU"/>
        </w:rPr>
      </w:pPr>
      <w:r w:rsidRPr="00E144DF">
        <w:rPr>
          <w:i/>
          <w:lang w:val="en-AU" w:eastAsia="en-AU"/>
        </w:rPr>
        <w:t>Injuries resulting from aggressive (sexual and non-sexual) interactions are likely to contribute to mortality in some flocks, but leg problems and infectious disease appear to managed well; there is little data on specific mortality issues in broiler breeders.</w:t>
      </w:r>
    </w:p>
    <w:p w14:paraId="258810D6" w14:textId="77777777" w:rsidR="00286A88" w:rsidRPr="00286A88" w:rsidRDefault="00286A88" w:rsidP="007A0EDB">
      <w:pPr>
        <w:rPr>
          <w:lang w:val="en-AU" w:eastAsia="en-AU"/>
        </w:rPr>
      </w:pPr>
      <w:r w:rsidRPr="00286A88">
        <w:rPr>
          <w:lang w:val="en-AU" w:eastAsia="en-AU"/>
        </w:rPr>
        <w:t xml:space="preserve">As seen in section BB3.1, the majority of mortalities in restricted-fed breeder flocks can be attributed to focused culling. In a study by Heck et al. (2004) mortality was dramatically increased in broiler breeder females fed </w:t>
      </w:r>
      <w:r w:rsidRPr="00286A88">
        <w:rPr>
          <w:i/>
          <w:lang w:val="en-AU" w:eastAsia="en-AU"/>
        </w:rPr>
        <w:t>ad libitum</w:t>
      </w:r>
      <w:r w:rsidRPr="00286A88">
        <w:rPr>
          <w:lang w:val="en-AU" w:eastAsia="en-AU"/>
        </w:rPr>
        <w:t xml:space="preserve"> (approximately 40%) at 40-49 weeks of age, compared to approximately 6% in restricted fed </w:t>
      </w:r>
      <w:r w:rsidRPr="00286A88">
        <w:rPr>
          <w:rFonts w:cs="AdvTT5843c571"/>
          <w:lang w:val="en-AU" w:eastAsia="en-AU"/>
        </w:rPr>
        <w:t xml:space="preserve">hens. </w:t>
      </w:r>
      <w:r w:rsidRPr="00286A88">
        <w:rPr>
          <w:lang w:val="en-AU" w:eastAsia="en-AU"/>
        </w:rPr>
        <w:t xml:space="preserve">High mortality in breeders fed </w:t>
      </w:r>
      <w:r w:rsidRPr="00286A88">
        <w:rPr>
          <w:i/>
          <w:lang w:val="en-AU" w:eastAsia="en-AU"/>
        </w:rPr>
        <w:t>ad libitum</w:t>
      </w:r>
      <w:r w:rsidRPr="00286A88">
        <w:rPr>
          <w:lang w:val="en-AU" w:eastAsia="en-AU"/>
        </w:rPr>
        <w:t xml:space="preserve"> is largely related to culling for lameness; however, leg weakness problems are not commonly observed in broiler breeders due to the management of growth via feed restriction. Peritonitis is a fairly common reproductive disorder that can be fatal if not treated with antibiotics. Although the cause is unknown, it is thought to be related to immuno-suppression following the rapid rise in plasma oestrogen at the onset of lay and subsequent </w:t>
      </w:r>
      <w:r w:rsidRPr="00286A88">
        <w:rPr>
          <w:i/>
          <w:lang w:val="en-AU" w:eastAsia="en-AU"/>
        </w:rPr>
        <w:t>Escherichia coli</w:t>
      </w:r>
      <w:r w:rsidRPr="00286A88">
        <w:rPr>
          <w:lang w:val="en-AU" w:eastAsia="en-AU"/>
        </w:rPr>
        <w:t xml:space="preserve"> and viral infections (Hocking and Bernard 2000). Metabolic disorders such as sudden death syndrome are occasionally observed in breeder hens. Infectious disease, in general, is not a major cause of mortality in broiler breeders or grandparent lines (see BB3.10). As the maintenance of a high health status is critical (for the grandparents and breeders themselves, and their offspring), rigorous biosecurity measures, intensive vaccination programmes and health monitoring are standard. The uptake of food and water are usually constantly monitored to provide an early warning of possible disease. There are fewer restrictions for medicating breeder flocks than for laying hens, since no withdrawal periods are required for hatching eggs in regard to consumer protection; this enables wider use of antibiotics.</w:t>
      </w:r>
    </w:p>
    <w:p w14:paraId="6FFA97C3" w14:textId="77777777" w:rsidR="00286A88" w:rsidRPr="00286A88" w:rsidRDefault="00286A88" w:rsidP="007A0EDB">
      <w:pPr>
        <w:rPr>
          <w:rFonts w:cs="AdvOT6af9549b"/>
          <w:lang w:val="en-AU" w:eastAsia="en-AU"/>
        </w:rPr>
      </w:pPr>
      <w:r w:rsidRPr="00286A88">
        <w:rPr>
          <w:lang w:val="en-AU" w:eastAsia="en-AU"/>
        </w:rPr>
        <w:t xml:space="preserve">Male aggression during mating can inflict severe skin lesions on females which may prove fatal (see BB3.6), especially if they become infected; not mutilating males (see BB8.4a and 8.4b) would, therefore, likely lead to higher female mortality. </w:t>
      </w:r>
      <w:r w:rsidRPr="00286A88">
        <w:rPr>
          <w:rFonts w:cs="AdvOT6af9549b"/>
          <w:lang w:val="en-AU" w:eastAsia="en-AU"/>
        </w:rPr>
        <w:t xml:space="preserve">When female breeders were provided with a greater feeder space allowance during lay (as occurs commercially in the USA) greater mortality (and lower egg production) was observed than seen in birds which had access to the larger feeder allowance throughout both rear and lay (Leksrisompong </w:t>
      </w:r>
      <w:r w:rsidRPr="00286A88">
        <w:rPr>
          <w:rFonts w:cs="AdvOTa109402e.I"/>
          <w:lang w:val="en-AU" w:eastAsia="en-AU"/>
        </w:rPr>
        <w:t xml:space="preserve">et al., </w:t>
      </w:r>
      <w:r w:rsidRPr="00286A88">
        <w:rPr>
          <w:rFonts w:cs="AdvOT6af9549b"/>
          <w:lang w:val="en-AU" w:eastAsia="en-AU"/>
        </w:rPr>
        <w:t xml:space="preserve">2014). As most fatalities occurred early in the production period this mortality may have resulted from more pronounced social assertions within the flock, i.e. more aggressive pullets occupying the extra feeder space when it became available, drastically reducing feed availability for less dominant hens and causing them stress (Leksrisompong </w:t>
      </w:r>
      <w:r w:rsidRPr="00286A88">
        <w:rPr>
          <w:rFonts w:cs="AdvOTa109402e.I"/>
          <w:lang w:val="en-AU" w:eastAsia="en-AU"/>
        </w:rPr>
        <w:t xml:space="preserve">et al., </w:t>
      </w:r>
      <w:r w:rsidRPr="00286A88">
        <w:rPr>
          <w:rFonts w:cs="AdvOT6af9549b"/>
          <w:lang w:val="en-AU" w:eastAsia="en-AU"/>
        </w:rPr>
        <w:t>2014).</w:t>
      </w:r>
    </w:p>
    <w:p w14:paraId="7B9D129D" w14:textId="77777777" w:rsidR="00286A88" w:rsidRPr="00286A88" w:rsidRDefault="00286A88" w:rsidP="007A0EDB">
      <w:pPr>
        <w:rPr>
          <w:lang w:val="en-AU" w:eastAsia="en-AU"/>
        </w:rPr>
      </w:pPr>
      <w:r w:rsidRPr="00286A88">
        <w:rPr>
          <w:rFonts w:eastAsia="ComputerModern-Regular" w:cs="ComputerModern-Regular"/>
          <w:lang w:val="en-AU" w:eastAsia="en-AU"/>
        </w:rPr>
        <w:t xml:space="preserve">Presumably breeders are more susceptible to the effects of </w:t>
      </w:r>
      <w:r w:rsidRPr="00286A88">
        <w:rPr>
          <w:lang w:val="en-AU" w:eastAsia="en-AU"/>
        </w:rPr>
        <w:t xml:space="preserve">nutrient malabsorption, (e.g. vitamin D, calcium, and phosphorus deficiencies following intestinal disease), or inadequate nutrition (e.g. as a result of dietary errors) due to their qualitatively restricted diets. </w:t>
      </w:r>
      <w:r w:rsidRPr="00286A88">
        <w:rPr>
          <w:rFonts w:eastAsia="ComputerModern-Regular" w:cs="ComputerModern-Regular"/>
          <w:lang w:val="en-AU" w:eastAsia="en-AU"/>
        </w:rPr>
        <w:t>Ekmay et al. (2012) observed that reducing dietary</w:t>
      </w:r>
      <w:r w:rsidRPr="00286A88">
        <w:rPr>
          <w:rFonts w:cs="Arial-BoldMT"/>
          <w:b/>
          <w:bCs/>
          <w:lang w:val="en-AU" w:eastAsia="en-AU"/>
        </w:rPr>
        <w:t xml:space="preserve"> </w:t>
      </w:r>
      <w:r w:rsidRPr="00286A88">
        <w:rPr>
          <w:rFonts w:cs="Arial-BoldMT"/>
          <w:bCs/>
          <w:lang w:val="en-AU" w:eastAsia="en-AU"/>
        </w:rPr>
        <w:t>nonpyhtate phosphorus</w:t>
      </w:r>
      <w:r w:rsidRPr="00286A88">
        <w:rPr>
          <w:rFonts w:eastAsia="ComputerModern-Regular" w:cs="ComputerModern-Regular"/>
          <w:lang w:val="en-AU" w:eastAsia="en-AU"/>
        </w:rPr>
        <w:t xml:space="preserve"> to 0.15% (compared to 0.40%) reduced skeletal quality and increased breeder mortality. </w:t>
      </w:r>
      <w:r w:rsidRPr="00286A88">
        <w:rPr>
          <w:lang w:val="en-AU" w:eastAsia="en-AU"/>
        </w:rPr>
        <w:t>Although uncommon, commercial breeders can experience mortality because of impactions of the digestive tract, ultimately leading to starvation or traumatic digestive lesions, as a result of litter-eating; many factors can prompt poultry to eat litter, including over-crowding, systemic toxins, fibre or vitamin deficiencies, limited feed or feed access, parasitism, transfer of birds into unfamiliar surroundings, or changes in feeding regimens (Roza et al., 2006).</w:t>
      </w:r>
    </w:p>
    <w:p w14:paraId="53E01E20" w14:textId="77777777" w:rsidR="00286A88" w:rsidRPr="00286A88" w:rsidRDefault="00286A88" w:rsidP="007A0EDB">
      <w:pPr>
        <w:pStyle w:val="Heading3"/>
        <w:rPr>
          <w:lang w:val="en-AU" w:eastAsia="en-AU"/>
        </w:rPr>
      </w:pPr>
      <w:bookmarkStart w:id="144" w:name="_Toc495310613"/>
      <w:r w:rsidRPr="00286A88">
        <w:rPr>
          <w:lang w:val="en-AU" w:eastAsia="en-AU"/>
        </w:rPr>
        <w:t>BB3.3 Musculoskeletal disorders (lameness)</w:t>
      </w:r>
      <w:bookmarkEnd w:id="144"/>
    </w:p>
    <w:p w14:paraId="57F08CA9" w14:textId="77777777" w:rsidR="00286A88" w:rsidRPr="007A0EDB" w:rsidRDefault="00286A88" w:rsidP="007A0EDB">
      <w:pPr>
        <w:rPr>
          <w:i/>
          <w:lang w:val="en-AU" w:eastAsia="en-AU"/>
        </w:rPr>
      </w:pPr>
      <w:r w:rsidRPr="007A0EDB">
        <w:rPr>
          <w:i/>
          <w:lang w:val="en-AU" w:eastAsia="en-AU"/>
        </w:rPr>
        <w:t>Leg disorders are generally associated with high growth rates and high body mass, both of which are controlled in broiler breeders by restrictive feeding regimes; no data on lameness in modern breeders is available.</w:t>
      </w:r>
    </w:p>
    <w:p w14:paraId="425123D5" w14:textId="77777777" w:rsidR="00286A88" w:rsidRPr="00286A88" w:rsidRDefault="00286A88" w:rsidP="007A0EDB">
      <w:pPr>
        <w:rPr>
          <w:lang w:val="en-AU" w:eastAsia="en-AU"/>
        </w:rPr>
      </w:pPr>
      <w:r w:rsidRPr="00286A88">
        <w:rPr>
          <w:lang w:val="en-AU" w:eastAsia="en-AU"/>
        </w:rPr>
        <w:t>Data on health issues, such as leg disorders, are not systematically collected for broiler breeders, so their prevalence is not known. Although the same musculoskeletal lesions that are commonplace in broilers (including tibial dyschondroplasia, femoral head necrosis, bone deformities, ligament and tendon rupture, see B3.3) have also been reported in broiler breeders (</w:t>
      </w:r>
      <w:r w:rsidR="00793ACC">
        <w:rPr>
          <w:lang w:val="en-AU" w:eastAsia="en-AU"/>
        </w:rPr>
        <w:t>AHAW</w:t>
      </w:r>
      <w:r w:rsidRPr="00286A88">
        <w:rPr>
          <w:lang w:val="en-AU" w:eastAsia="en-AU"/>
        </w:rPr>
        <w:t>, 2010), modern breeders generally display good leg health due to feed restriction. Tendon rupture is a non-infectious disorder that can cause lameness in 1-5% of breeder hens within a flock, usually between 23-35 weeks of life; there is no treatment and birds are culled as soon as possible (</w:t>
      </w:r>
      <w:r w:rsidR="00793ACC">
        <w:rPr>
          <w:lang w:val="en-AU" w:eastAsia="en-AU"/>
        </w:rPr>
        <w:t>AHAW</w:t>
      </w:r>
      <w:r w:rsidRPr="00286A88">
        <w:rPr>
          <w:lang w:val="en-AU" w:eastAsia="en-AU"/>
        </w:rPr>
        <w:t>, 2010). Crespo and Shivaprasad (2011) hypothesise that a cause of gastrocnemius tendon rupture could be aggression (and presumably increased forced matings) following the introduction (‘spike’) of new males into the flock (see BB8.4e). Lameness in broilers is usually assessed by standardised gait scoring systems (see B3.3d) and similar methodologies could be applied to assess leg weakness in breeders.</w:t>
      </w:r>
    </w:p>
    <w:p w14:paraId="3DD8868F" w14:textId="77777777" w:rsidR="00286A88" w:rsidRPr="00286A88" w:rsidRDefault="00286A88" w:rsidP="001E6383">
      <w:pPr>
        <w:pStyle w:val="Heading3"/>
        <w:rPr>
          <w:lang w:val="en-AU" w:eastAsia="en-AU"/>
        </w:rPr>
      </w:pPr>
      <w:bookmarkStart w:id="145" w:name="_Toc495310614"/>
      <w:r w:rsidRPr="00286A88">
        <w:rPr>
          <w:lang w:val="en-AU" w:eastAsia="en-AU"/>
        </w:rPr>
        <w:t>BB3.4 Bone strength and osteoporosis</w:t>
      </w:r>
      <w:bookmarkEnd w:id="145"/>
    </w:p>
    <w:p w14:paraId="36AEF02B" w14:textId="77777777" w:rsidR="00286A88" w:rsidRPr="001E6383" w:rsidRDefault="00286A88" w:rsidP="001E6383">
      <w:pPr>
        <w:rPr>
          <w:i/>
          <w:lang w:val="en-GB"/>
        </w:rPr>
      </w:pPr>
      <w:r w:rsidRPr="001E6383">
        <w:rPr>
          <w:i/>
          <w:lang w:val="en-GB"/>
        </w:rPr>
        <w:t>High egg production may negatively impact upon bone (femur) mass density in broiler breeder hens; no data on osteoporosis in modern breeders is available.</w:t>
      </w:r>
    </w:p>
    <w:p w14:paraId="704081C0" w14:textId="77777777" w:rsidR="00286A88" w:rsidRPr="00286A88" w:rsidRDefault="00286A88" w:rsidP="001E6383">
      <w:pPr>
        <w:rPr>
          <w:rFonts w:cs="MSTT31c2eb"/>
          <w:lang w:val="en-GB"/>
        </w:rPr>
      </w:pPr>
      <w:r w:rsidRPr="00286A88">
        <w:rPr>
          <w:lang w:val="en-GB"/>
        </w:rPr>
        <w:t xml:space="preserve">Very little research has been conducted on bone strength in broiler breeders and no data on prevalence of osteoporosis in breeder hens is available; although, as breeder hens demonstrate high rates of egg production, osteoporosis is likely to occur within older flocks. </w:t>
      </w:r>
      <w:r w:rsidRPr="00286A88">
        <w:rPr>
          <w:rFonts w:cs="MSTT31c2eb"/>
          <w:lang w:val="en-GB"/>
        </w:rPr>
        <w:t>Almeida-Paz et al. (2006) observed egg production to have little influence on bone mineral density (BMD) in broiler breeders producing at a lower rate than occurs under commercial conditions. BMD values in breeders were higher than values previously reported in broilers and increased with age, until 30 weeks when birds started to lay; a 9% increase in egg production at 47 weeks was associated with a significant decrease in femur BMD, which may indicate that this bone is responsible for calcium (Ca) supply for eggshell formation, when needed (Almeida-Paz et al., 2006).</w:t>
      </w:r>
    </w:p>
    <w:p w14:paraId="75BEA4AC" w14:textId="77777777" w:rsidR="00286A88" w:rsidRPr="00286A88" w:rsidRDefault="00286A88" w:rsidP="001E6383">
      <w:pPr>
        <w:rPr>
          <w:rFonts w:eastAsia="Times New Roman" w:cs="Franklin Gothic Medium"/>
          <w:lang w:val="en-AU" w:eastAsia="en-AU"/>
        </w:rPr>
      </w:pPr>
      <w:r w:rsidRPr="00286A88">
        <w:rPr>
          <w:rFonts w:eastAsia="Times New Roman" w:cs="Franklin Gothic Medium"/>
          <w:iCs/>
          <w:lang w:val="en-AU" w:eastAsia="en-AU"/>
        </w:rPr>
        <w:t xml:space="preserve">Broiler breeder pullets fed </w:t>
      </w:r>
      <w:r w:rsidRPr="00286A88">
        <w:rPr>
          <w:rFonts w:eastAsia="Times New Roman" w:cs="Franklin Gothic Medium"/>
          <w:i/>
          <w:iCs/>
          <w:lang w:val="en-AU" w:eastAsia="en-AU"/>
        </w:rPr>
        <w:t>ad libitum</w:t>
      </w:r>
      <w:r w:rsidRPr="00286A88">
        <w:rPr>
          <w:rFonts w:eastAsia="Times New Roman" w:cs="Franklin Gothic Medium"/>
          <w:iCs/>
          <w:lang w:val="en-AU" w:eastAsia="en-AU"/>
        </w:rPr>
        <w:t xml:space="preserve"> were found to have greater bone dimensions and breaking strength than feed-restricted birds; however, their bones required less stress to break which is indicative of lower mineralisation </w:t>
      </w:r>
      <w:r w:rsidRPr="00286A88">
        <w:rPr>
          <w:rFonts w:eastAsia="Times New Roman" w:cs="Franklin Gothic Medium"/>
          <w:lang w:val="en-AU" w:eastAsia="en-AU"/>
        </w:rPr>
        <w:t xml:space="preserve">(Moreki et al., 2011). According to bone length and breaking strength values, bone development of feed-restricted breeder pullets becomes fixed at 12 weeks of age (Moreki et al., 2011). </w:t>
      </w:r>
      <w:r w:rsidRPr="00286A88">
        <w:rPr>
          <w:rFonts w:eastAsia="Times New Roman" w:cs="Franklin Gothic Medium"/>
          <w:iCs/>
          <w:lang w:val="en-AU" w:eastAsia="en-AU"/>
        </w:rPr>
        <w:t xml:space="preserve">Dietary Ca (range: 1-2%) had little effect on bone formation in feed-restricted breeder pullets up until 18 weeks of age, although bone breaking strength was positively associated with the percentage of dietary Ca; </w:t>
      </w:r>
      <w:r w:rsidRPr="00286A88">
        <w:rPr>
          <w:rFonts w:eastAsia="Times New Roman" w:cs="Franklin Gothic Medium"/>
          <w:lang w:val="en-AU" w:eastAsia="en-AU"/>
        </w:rPr>
        <w:t>increasing levels of dietary Ca above 1% does not appear to optimise bone formation in feed-restricted breeders during rear (Moreki et al., 2011).</w:t>
      </w:r>
    </w:p>
    <w:p w14:paraId="2DC0597D" w14:textId="77777777" w:rsidR="00286A88" w:rsidRPr="00286A88" w:rsidRDefault="00286A88" w:rsidP="001E6383">
      <w:pPr>
        <w:pStyle w:val="Heading3"/>
        <w:rPr>
          <w:lang w:val="en-AU" w:eastAsia="en-AU"/>
        </w:rPr>
      </w:pPr>
      <w:bookmarkStart w:id="146" w:name="_Toc495310615"/>
      <w:r w:rsidRPr="00286A88">
        <w:rPr>
          <w:lang w:val="en-AU" w:eastAsia="en-AU"/>
        </w:rPr>
        <w:t>BB3.5 Injurious (severe) feather pecking</w:t>
      </w:r>
      <w:bookmarkEnd w:id="146"/>
    </w:p>
    <w:p w14:paraId="4735E5C1" w14:textId="77777777" w:rsidR="00286A88" w:rsidRPr="001E6383" w:rsidRDefault="00286A88" w:rsidP="001E6383">
      <w:pPr>
        <w:rPr>
          <w:i/>
          <w:lang w:val="en-AU" w:eastAsia="en-AU"/>
        </w:rPr>
      </w:pPr>
      <w:r w:rsidRPr="001E6383">
        <w:rPr>
          <w:i/>
          <w:lang w:val="en-AU" w:eastAsia="en-AU"/>
        </w:rPr>
        <w:t>Injurious feather pecking is a welfare issue directly associated with feed restriction in broiler breeders; further research is needed: (a) to reduce hunger experienced by modern breeders, and (b) to develop commercially viable environmental enrichment for inclusion within breeder houses.</w:t>
      </w:r>
    </w:p>
    <w:p w14:paraId="79BBF2AE" w14:textId="77777777" w:rsidR="00286A88" w:rsidRPr="00286A88" w:rsidRDefault="00286A88" w:rsidP="001E6383">
      <w:pPr>
        <w:rPr>
          <w:lang w:val="en-AU" w:eastAsia="en-AU"/>
        </w:rPr>
      </w:pPr>
      <w:r w:rsidRPr="00286A88">
        <w:rPr>
          <w:lang w:val="en-AU" w:eastAsia="en-AU"/>
        </w:rPr>
        <w:t>Good feather cover protects females from skin damage caused by rough mating behaviour (see BB3.6); however, during the reproductive phase breeder hens often display skin lesions as a result of feather pecking (Millman et al., 2000). Feed restriction causes welfare problems associated with hunger and leads to increased competition around feeding time.</w:t>
      </w:r>
      <w:r w:rsidRPr="00286A88">
        <w:rPr>
          <w:rFonts w:cs="TT270O00"/>
          <w:lang w:val="en-AU" w:eastAsia="en-AU"/>
        </w:rPr>
        <w:t xml:space="preserve"> Pereira et al. (2007) observed breeders to perform m</w:t>
      </w:r>
      <w:r w:rsidRPr="00286A88">
        <w:rPr>
          <w:rFonts w:cs="TT27EO00"/>
          <w:lang w:val="en-AU" w:eastAsia="en-AU"/>
        </w:rPr>
        <w:t xml:space="preserve">ore chasing and feather pecking in the morning, following feeding. </w:t>
      </w:r>
      <w:r w:rsidRPr="00286A88">
        <w:rPr>
          <w:rFonts w:eastAsia="ComputerModern-Regular" w:cs="ComputerModern-Regular"/>
          <w:lang w:val="en-AU" w:eastAsia="en-AU"/>
        </w:rPr>
        <w:t xml:space="preserve">Feather pecking appears to be improved via dietary manipulation (see BB2.3b). Experimental qualitatively restricted diets (containing the appetite suppressant CaP and diluted with soybean hulls) were associated with better feather condition than a control (quantitatively restricted) diet, indicating that these alternative diets reduce stereotypic feather pecking and increase satiety (Morrissey et al., 2014b). In addition, breeders fed on a skip-a-day basis had better feather scores than daily-fed birds, indicating a reduction in stereotypic feather pecking under the former feeding regime (Morrissey et al., 2014b). </w:t>
      </w:r>
      <w:r w:rsidRPr="00286A88">
        <w:rPr>
          <w:lang w:val="en-AU" w:eastAsia="en-AU"/>
        </w:rPr>
        <w:t>Van Emous et al. (2014; 2015b) report that the provision of breeder pullets with a low protein diet during rearing increased feather pecking (as reflected by a reduction in feather cover).</w:t>
      </w:r>
    </w:p>
    <w:p w14:paraId="3A59E7AF" w14:textId="77777777" w:rsidR="00286A88" w:rsidRPr="00286A88" w:rsidRDefault="00286A88" w:rsidP="001E6383">
      <w:pPr>
        <w:rPr>
          <w:lang w:val="en-AU" w:eastAsia="en-AU"/>
        </w:rPr>
      </w:pPr>
      <w:r w:rsidRPr="00286A88">
        <w:rPr>
          <w:lang w:val="en-AU" w:eastAsia="en-AU"/>
        </w:rPr>
        <w:t>Laying hens are often provided with environmental enrichment, such as pecking devices, mirrors, balls, string, or bales of straw or wood shavings, with the aim of reducing the incidence of adverse behaviour such as injurious pecking, cannibalism and aggression (see LH3.5). In general, commercial broiler breeder farms do not use any environmental enrichment during rearing or production. In one study breeders were not observed to pay much attention to bunches of st</w:t>
      </w:r>
      <w:r w:rsidR="007A5DFA">
        <w:rPr>
          <w:lang w:val="en-AU" w:eastAsia="en-AU"/>
        </w:rPr>
        <w:t>r</w:t>
      </w:r>
      <w:r w:rsidRPr="00286A88">
        <w:rPr>
          <w:lang w:val="en-AU" w:eastAsia="en-AU"/>
        </w:rPr>
        <w:t>ing but appeared to find bales of wood-shavings attractive; however, neither form of enrichment reduced feather damage or adverse behaviour associated with feed restriction, including aggression (Hocking and Jones, 2006).</w:t>
      </w:r>
      <w:r w:rsidRPr="00286A88">
        <w:rPr>
          <w:rFonts w:cs="AdvP4CD4D0"/>
          <w:lang w:val="en-AU" w:eastAsia="en-AU"/>
        </w:rPr>
        <w:t xml:space="preserve"> More injurious feather pecking (severe feather pecks and feather pulls) has been reported in broiler breeders kept entirely on slats than in birds housed on litter; this suggests that the availability of good quality litter for foraging diminishes the effects of stress associated with feed restriction, and that this undesirable behaviour will be minimised if good litter conditions are maintained (Hocking et al., 2005). </w:t>
      </w:r>
      <w:r w:rsidRPr="00286A88">
        <w:rPr>
          <w:rFonts w:cs="Palatino-Roman"/>
          <w:lang w:val="en-AU" w:eastAsia="en-AU"/>
        </w:rPr>
        <w:t>Breeder males display significantly more aggression (both male-to-male and non-sexual male-to-female) than layer strain males; this general a</w:t>
      </w:r>
      <w:r w:rsidRPr="00286A88">
        <w:rPr>
          <w:rFonts w:cs="TimesNewRomanPSMT"/>
          <w:lang w:val="en-AU" w:eastAsia="en-AU"/>
        </w:rPr>
        <w:t>ggressiveness appears to be associated with genetic differences in breeders, rather than arising as a consequence of feed restriction (Millman and Dun</w:t>
      </w:r>
      <w:r w:rsidR="00E06569">
        <w:rPr>
          <w:rFonts w:cs="TimesNewRomanPSMT"/>
          <w:lang w:val="en-AU" w:eastAsia="en-AU"/>
        </w:rPr>
        <w:t>can, 2000a; Millman et al., 2000</w:t>
      </w:r>
      <w:r w:rsidRPr="00286A88">
        <w:rPr>
          <w:rFonts w:cs="TimesNewRomanPSMT"/>
          <w:lang w:val="en-AU" w:eastAsia="en-AU"/>
        </w:rPr>
        <w:t>).</w:t>
      </w:r>
      <w:r w:rsidRPr="00286A88">
        <w:rPr>
          <w:lang w:val="en-AU" w:eastAsia="en-AU"/>
        </w:rPr>
        <w:t xml:space="preserve"> Increased aggression between males should be anticipated in flocks that have been spiked (see BB8.4e).</w:t>
      </w:r>
    </w:p>
    <w:p w14:paraId="261A02C3" w14:textId="77777777" w:rsidR="00286A88" w:rsidRPr="00286A88" w:rsidRDefault="00286A88" w:rsidP="001E6383">
      <w:pPr>
        <w:pStyle w:val="Heading3"/>
        <w:rPr>
          <w:lang w:val="en-AU" w:eastAsia="en-AU"/>
        </w:rPr>
      </w:pPr>
      <w:bookmarkStart w:id="147" w:name="_Toc495310616"/>
      <w:r w:rsidRPr="00286A88">
        <w:rPr>
          <w:lang w:val="en-AU" w:eastAsia="en-AU"/>
        </w:rPr>
        <w:t>BB3.6 Sexual aggression</w:t>
      </w:r>
      <w:bookmarkEnd w:id="147"/>
    </w:p>
    <w:p w14:paraId="4EE8B2AE" w14:textId="77777777" w:rsidR="00286A88" w:rsidRPr="001E6383" w:rsidRDefault="00286A88" w:rsidP="001E6383">
      <w:pPr>
        <w:rPr>
          <w:i/>
          <w:lang w:val="en-AU" w:eastAsia="en-AU"/>
        </w:rPr>
      </w:pPr>
      <w:r w:rsidRPr="001E6383">
        <w:rPr>
          <w:i/>
          <w:lang w:val="en-AU" w:eastAsia="en-AU"/>
        </w:rPr>
        <w:t>Sexual aggression poses a severe problem as it directly reduces female welfare and indirectly compromises male welfare due to the requirement for ‘preventative’ mutilations; ideally this trait should be selected against in breeding programmes, but simple remedial actions such as the provision of alternative lighting or mesh panels within the breeder house (to increase environmental complexity), may be beneficial in the short-term.</w:t>
      </w:r>
    </w:p>
    <w:p w14:paraId="501B8DC2" w14:textId="77777777" w:rsidR="00286A88" w:rsidRPr="00286A88" w:rsidRDefault="00286A88" w:rsidP="001E6383">
      <w:pPr>
        <w:rPr>
          <w:rFonts w:cs="Times New Roman"/>
          <w:lang w:val="en-AU" w:eastAsia="en-AU"/>
        </w:rPr>
      </w:pPr>
      <w:r w:rsidRPr="00286A88">
        <w:rPr>
          <w:lang w:val="en-AU" w:eastAsia="en-AU"/>
        </w:rPr>
        <w:t>Broiler breeders are commonly reared separately under commercial conditions and then brought together at 20 weeks of age; soon after mixing males demonstrate high levels of aggression towards females in both a sexual and non-sexual context and this increases during early lay (</w:t>
      </w:r>
      <w:r w:rsidRPr="00286A88">
        <w:rPr>
          <w:rFonts w:cs="Palatino-Roman"/>
          <w:lang w:val="en-AU" w:eastAsia="en-AU"/>
        </w:rPr>
        <w:t>de Jong et al., 2009).</w:t>
      </w:r>
      <w:r w:rsidRPr="00286A88">
        <w:rPr>
          <w:lang w:val="en-AU" w:eastAsia="en-AU"/>
        </w:rPr>
        <w:t xml:space="preserve"> </w:t>
      </w:r>
      <w:r w:rsidRPr="00286A88">
        <w:rPr>
          <w:rFonts w:cs="Times New Roman"/>
          <w:lang w:val="en-AU" w:eastAsia="en-AU"/>
        </w:rPr>
        <w:t>Males and females generally become sexually mature between 18-23 weeks of age. Inadequate (lighting) management may lead to male breeders reaching sexual maturity earlier than females; this can lead to forced copulations, resulting in distress and injury in the females (Leone and Estevez, 2008). It is important that males and females are equally mature at introduction to reduce the risk of females being over-mated or the occurrence of extreme aggression towards females or inactive males; for this reason immature males should not be transferred into an established production house (</w:t>
      </w:r>
      <w:r w:rsidR="00793ACC">
        <w:rPr>
          <w:rFonts w:cs="Times New Roman"/>
          <w:lang w:val="en-AU" w:eastAsia="en-AU"/>
        </w:rPr>
        <w:t>AHAW</w:t>
      </w:r>
      <w:r w:rsidRPr="00286A88">
        <w:rPr>
          <w:rFonts w:cs="Times New Roman"/>
          <w:lang w:val="en-AU" w:eastAsia="en-AU"/>
        </w:rPr>
        <w:t xml:space="preserve">, 2010). However, even when both sexes mature at a similar time breeder males still display high levels of female-directed aggression, principally during the performance of sexual behaviour. Sexual behaviour of males is generally described as rough, with males chasing and pecking females, pulling their combs and often forcing copulation; courtship behaviour is usually absent (Jones and Prescott, 2000; Millman and Duncan, 2000a; 2000b; Millman et al., 2000; Jones et al., 2001; de Jong et al., 2009). </w:t>
      </w:r>
      <w:r w:rsidRPr="00286A88">
        <w:rPr>
          <w:rFonts w:cs="Palatino-Roman"/>
          <w:lang w:val="en-AU" w:eastAsia="en-AU"/>
        </w:rPr>
        <w:t xml:space="preserve">Breeder males display significantly less courtship behaviour than layer-strain males </w:t>
      </w:r>
      <w:r w:rsidRPr="00286A88">
        <w:rPr>
          <w:rFonts w:cs="TimesNewRomanPSMT"/>
          <w:lang w:val="en-AU" w:eastAsia="en-AU"/>
        </w:rPr>
        <w:t>(Millman and Duncan, 2000b; Millman et al., 2000)</w:t>
      </w:r>
      <w:r w:rsidRPr="00286A88">
        <w:rPr>
          <w:rFonts w:cs="Palatino-Roman"/>
          <w:lang w:val="en-AU" w:eastAsia="en-AU"/>
        </w:rPr>
        <w:t xml:space="preserve">. </w:t>
      </w:r>
      <w:r w:rsidRPr="00286A88">
        <w:rPr>
          <w:rFonts w:cs="Times New Roman"/>
          <w:lang w:val="en-AU" w:eastAsia="en-AU"/>
        </w:rPr>
        <w:t>As a result of rough sexual behaviour females may have severe skin lacerations to the back of their heads and necks where males peck and grab them with their beaks, as well as under their wings and on their body where the male’s claws rip the skin during forced mounts (</w:t>
      </w:r>
      <w:r w:rsidRPr="00286A88">
        <w:rPr>
          <w:rFonts w:cs="TimesNewRomanPSMT"/>
          <w:lang w:val="en-AU" w:eastAsia="en-AU"/>
        </w:rPr>
        <w:t xml:space="preserve">Millman and Duncan, 2000a; </w:t>
      </w:r>
      <w:r w:rsidRPr="00286A88">
        <w:rPr>
          <w:rFonts w:cs="Times New Roman"/>
          <w:lang w:val="en-AU" w:eastAsia="en-AU"/>
        </w:rPr>
        <w:t>Millman et al., 2000;</w:t>
      </w:r>
      <w:r w:rsidRPr="00286A88">
        <w:rPr>
          <w:rFonts w:cs="TimesNewRomanPSMT"/>
          <w:lang w:val="en-AU" w:eastAsia="en-AU"/>
        </w:rPr>
        <w:t xml:space="preserve"> Jones et al., 2001; </w:t>
      </w:r>
      <w:r w:rsidRPr="00286A88">
        <w:rPr>
          <w:rFonts w:cs="Palatino-Roman"/>
          <w:lang w:val="en-AU" w:eastAsia="en-AU"/>
        </w:rPr>
        <w:t xml:space="preserve">de Jong et al., 2009; </w:t>
      </w:r>
      <w:r w:rsidRPr="00286A88">
        <w:rPr>
          <w:rFonts w:cs="TimesNewRomanPSMT"/>
          <w:lang w:val="en-AU" w:eastAsia="en-AU"/>
        </w:rPr>
        <w:t xml:space="preserve">Moyle et al., 2010). </w:t>
      </w:r>
      <w:r w:rsidRPr="00286A88">
        <w:rPr>
          <w:rFonts w:cs="Times New Roman"/>
          <w:lang w:val="en-AU" w:eastAsia="en-AU"/>
        </w:rPr>
        <w:t>Preventive measures, in the form of male mutilations, are commonly performed (see BB8.4a and 8.4b).</w:t>
      </w:r>
    </w:p>
    <w:p w14:paraId="4C1A2F6E" w14:textId="77777777" w:rsidR="00286A88" w:rsidRPr="00286A88" w:rsidRDefault="00286A88" w:rsidP="001E6383">
      <w:pPr>
        <w:rPr>
          <w:rFonts w:cs="Times New Roman"/>
          <w:lang w:val="en-AU" w:eastAsia="en-AU"/>
        </w:rPr>
      </w:pPr>
      <w:r w:rsidRPr="00286A88">
        <w:rPr>
          <w:rFonts w:cs="Palatino-Roman"/>
          <w:lang w:val="en-AU" w:eastAsia="en-AU"/>
        </w:rPr>
        <w:t>F</w:t>
      </w:r>
      <w:r w:rsidRPr="00286A88">
        <w:rPr>
          <w:rFonts w:cs="TimesNewRomanPSMT"/>
          <w:lang w:val="en-AU" w:eastAsia="en-AU"/>
        </w:rPr>
        <w:t>emales will huddle, stand alert, and alarm call</w:t>
      </w:r>
      <w:r w:rsidRPr="00286A88">
        <w:rPr>
          <w:rFonts w:cs="Times New Roman"/>
          <w:lang w:val="en-AU" w:eastAsia="en-AU"/>
        </w:rPr>
        <w:t xml:space="preserve"> in </w:t>
      </w:r>
      <w:r w:rsidRPr="00286A88">
        <w:rPr>
          <w:rFonts w:cs="Palatino-Roman"/>
          <w:lang w:val="en-AU" w:eastAsia="en-AU"/>
        </w:rPr>
        <w:t>pens with high levels of male aggression</w:t>
      </w:r>
      <w:r w:rsidRPr="00286A88">
        <w:rPr>
          <w:rFonts w:cs="Times New Roman"/>
          <w:lang w:val="en-AU" w:eastAsia="en-AU"/>
        </w:rPr>
        <w:t xml:space="preserve"> </w:t>
      </w:r>
      <w:r w:rsidRPr="00286A88">
        <w:rPr>
          <w:rFonts w:cs="Palatino-Roman"/>
          <w:lang w:val="en-AU" w:eastAsia="en-AU"/>
        </w:rPr>
        <w:t>(</w:t>
      </w:r>
      <w:r w:rsidRPr="00286A88">
        <w:rPr>
          <w:rFonts w:cs="TimesNewRomanPSMT"/>
          <w:lang w:val="en-AU" w:eastAsia="en-AU"/>
        </w:rPr>
        <w:t xml:space="preserve">Millman et al., 2000); females </w:t>
      </w:r>
      <w:r w:rsidRPr="00286A88">
        <w:rPr>
          <w:rFonts w:cs="Times New Roman"/>
          <w:lang w:val="en-AU" w:eastAsia="en-AU"/>
        </w:rPr>
        <w:t xml:space="preserve">often remain on the raised slatted area or within the nests, while the males spend most of their time upon the litter area (Leone and Estevez, 2008). A study that initially assumed females with less feathering on their backs to have been subject to more frequent matings actually observed that these females received fewer mounts and completed fewer matings; there was a trend for more male aggression towards females with less back feathering, which may have been a response to frustration following sexual rejection by the hens, or an attempt to intimidate the hens into mating (Moyle et al., 2010). Female breeders often fail to perform ‘normal’ responses following a male approach; instead of crouching they will often not respond, then struggle or attempt to escape from the male during mating (Jones et al., 2001; de Jong et al., 2009). It is hypothesised that </w:t>
      </w:r>
      <w:r w:rsidRPr="00286A88">
        <w:rPr>
          <w:rFonts w:cs="Palatino-Roman"/>
          <w:lang w:val="en-AU" w:eastAsia="en-AU"/>
        </w:rPr>
        <w:t>deficiencies in courtship behaviour may play a part in this female rejection (</w:t>
      </w:r>
      <w:r w:rsidRPr="00286A88">
        <w:rPr>
          <w:rFonts w:cs="TimesNewRomanPSMT"/>
          <w:lang w:val="en-AU" w:eastAsia="en-AU"/>
        </w:rPr>
        <w:t>Jones et al., 2001</w:t>
      </w:r>
      <w:r w:rsidRPr="00286A88">
        <w:rPr>
          <w:rFonts w:cs="Palatino-Roman"/>
          <w:lang w:val="en-AU" w:eastAsia="en-AU"/>
        </w:rPr>
        <w:t xml:space="preserve">). Although McGary et al. (2003) observed </w:t>
      </w:r>
      <w:r w:rsidRPr="00286A88">
        <w:rPr>
          <w:rFonts w:cs="AdvP41153C"/>
          <w:lang w:val="en-AU" w:eastAsia="en-AU"/>
        </w:rPr>
        <w:t xml:space="preserve">a decline </w:t>
      </w:r>
      <w:r w:rsidRPr="00286A88">
        <w:rPr>
          <w:rFonts w:cs="Palatino-Roman"/>
          <w:lang w:val="en-AU" w:eastAsia="en-AU"/>
        </w:rPr>
        <w:t xml:space="preserve">in forced mating behaviour with age </w:t>
      </w:r>
      <w:r w:rsidRPr="00286A88">
        <w:rPr>
          <w:rFonts w:cs="AdvP41153C"/>
          <w:lang w:val="en-AU" w:eastAsia="en-AU"/>
        </w:rPr>
        <w:t xml:space="preserve">(30-51 weeks), </w:t>
      </w:r>
      <w:r w:rsidRPr="00286A88">
        <w:rPr>
          <w:rFonts w:cs="Palatino-Roman"/>
          <w:lang w:val="en-AU" w:eastAsia="en-AU"/>
        </w:rPr>
        <w:t>as would be expected if the hens became habituated to the males’ sexual advances, the same was not observed in younger breeders (20-28 weeks: de Jong et al., 2009)</w:t>
      </w:r>
      <w:r w:rsidRPr="00286A88">
        <w:rPr>
          <w:rFonts w:cs="AdvP41153C"/>
          <w:lang w:val="en-AU" w:eastAsia="en-AU"/>
        </w:rPr>
        <w:t xml:space="preserve">. </w:t>
      </w:r>
      <w:r w:rsidRPr="00286A88">
        <w:rPr>
          <w:rFonts w:cs="Times New Roman"/>
          <w:lang w:val="en-AU" w:eastAsia="en-AU"/>
        </w:rPr>
        <w:t>Sexual aggressiveness does not appear to be a consequence of feed restriction (Millman and Duncan, 2000a; 2000b); however, it does appear to be triggered by female evasive behaviour (Moyle et al., 2010) and there may be a genetic component (Millman and Duncan, 2000b). As such, mating aggressiveness could be one of the selection points for breeders, since this trait is likely to be linked to fertility (</w:t>
      </w:r>
      <w:r w:rsidR="00793ACC">
        <w:rPr>
          <w:rFonts w:cs="Times New Roman"/>
          <w:lang w:val="en-AU" w:eastAsia="en-AU"/>
        </w:rPr>
        <w:t>AHAW</w:t>
      </w:r>
      <w:r w:rsidRPr="00286A88">
        <w:rPr>
          <w:rFonts w:cs="Times New Roman"/>
          <w:lang w:val="en-AU" w:eastAsia="en-AU"/>
        </w:rPr>
        <w:t>, 2010).</w:t>
      </w:r>
    </w:p>
    <w:p w14:paraId="239A74A4" w14:textId="77777777" w:rsidR="00286A88" w:rsidRPr="00286A88" w:rsidRDefault="00286A88" w:rsidP="001E6383">
      <w:pPr>
        <w:rPr>
          <w:rFonts w:cs="Times New Roman"/>
          <w:lang w:val="en-AU" w:eastAsia="en-AU"/>
        </w:rPr>
      </w:pPr>
      <w:r w:rsidRPr="00286A88">
        <w:rPr>
          <w:rFonts w:cs="Times New Roman"/>
          <w:lang w:val="en-AU" w:eastAsia="en-AU"/>
        </w:rPr>
        <w:t>Separate sex rearing, large group sizes, and high stocking density may also play a role in impeding the development and recognition of sexual behaviour, in turn, decreasing the likelihood of receiving an appropriate response from the other sex (de Jong et al., 2009). Mating behaviour is improved (increased courtship behaviour and more completed matings) when broiler breeders are housed at low stocking density during production (see BB8.1). Leone and Estevez (2008) report that the provision of vertical panels within the central litter area improved overall reproductive performance in broiler breeders; the panels attracted females to the litter floor, thereby decreasing male-male competition for females and over-mating. Presumably the cover afforded by these panels would also provide a means by which females could avoid the attention of certain males. Jones et al. (2001) demonstrated that UV</w:t>
      </w:r>
      <w:r w:rsidRPr="00286A88">
        <w:rPr>
          <w:rFonts w:cs="Times New Roman"/>
          <w:vertAlign w:val="subscript"/>
          <w:lang w:val="en-AU" w:eastAsia="en-AU"/>
        </w:rPr>
        <w:t>A</w:t>
      </w:r>
      <w:r w:rsidRPr="00286A88">
        <w:rPr>
          <w:rFonts w:cs="Times New Roman"/>
          <w:lang w:val="en-AU" w:eastAsia="en-AU"/>
        </w:rPr>
        <w:t xml:space="preserve"> light </w:t>
      </w:r>
      <w:r w:rsidRPr="00286A88">
        <w:rPr>
          <w:rFonts w:cs="RealpageBAS6"/>
          <w:lang w:val="en-AU" w:eastAsia="en-AU"/>
        </w:rPr>
        <w:t>(320&lt;</w:t>
      </w:r>
      <w:r w:rsidRPr="00286A88">
        <w:rPr>
          <w:rFonts w:cs="RealpageSYM1"/>
          <w:lang w:val="en-AU" w:eastAsia="en-AU"/>
        </w:rPr>
        <w:t>λ</w:t>
      </w:r>
      <w:r w:rsidRPr="00286A88">
        <w:rPr>
          <w:rFonts w:cs="RealpageBAS6"/>
          <w:lang w:val="en-AU" w:eastAsia="en-AU"/>
        </w:rPr>
        <w:t xml:space="preserve">&lt;400 nm) </w:t>
      </w:r>
      <w:r w:rsidRPr="00286A88">
        <w:rPr>
          <w:rFonts w:cs="Times New Roman"/>
          <w:lang w:val="en-AU" w:eastAsia="en-AU"/>
        </w:rPr>
        <w:t>increased mating behaviour, and the proportion of successful matings in broiler breeders; the authors conclude that UV</w:t>
      </w:r>
      <w:r w:rsidRPr="00286A88">
        <w:rPr>
          <w:rFonts w:cs="Times New Roman"/>
          <w:vertAlign w:val="subscript"/>
          <w:lang w:val="en-AU" w:eastAsia="en-AU"/>
        </w:rPr>
        <w:t>A</w:t>
      </w:r>
      <w:r w:rsidRPr="00286A88">
        <w:rPr>
          <w:rFonts w:cs="RealpageBAS6"/>
          <w:lang w:val="en-AU" w:eastAsia="en-AU"/>
        </w:rPr>
        <w:t xml:space="preserve"> is clearly implicated in the transmission of sexual signals and, as such, may have welfare implications. </w:t>
      </w:r>
      <w:r w:rsidRPr="00286A88">
        <w:rPr>
          <w:rFonts w:cs="Times New Roman"/>
          <w:lang w:val="en-AU" w:eastAsia="en-AU"/>
        </w:rPr>
        <w:t>A further increase in forced copulations should be anticipated in flocks that have been spiked (see BB8.4e).</w:t>
      </w:r>
    </w:p>
    <w:p w14:paraId="77797DB5" w14:textId="77777777" w:rsidR="00286A88" w:rsidRPr="00286A88" w:rsidRDefault="00286A88" w:rsidP="001E6383">
      <w:pPr>
        <w:rPr>
          <w:rFonts w:cs="Times New Roman"/>
          <w:lang w:val="en-AU" w:eastAsia="en-AU"/>
        </w:rPr>
      </w:pPr>
      <w:r w:rsidRPr="00286A88">
        <w:rPr>
          <w:rFonts w:cs="Times New Roman"/>
          <w:lang w:val="en-AU" w:eastAsia="en-AU"/>
        </w:rPr>
        <w:t>There is a pressing need for animal-based welfare outcome indicators relating to feather and injury scoring to be developed and used to assess the level of damage related to aggression during mating (see BB3.6), feed competition (see BB3.5) and following spiking (see BB8.4e) in broiler breeders. Although focal observations of aggressive interactions are not feasible on farm several scoring systems have already been developed for use in laying hens which could be adapted for use in breeders.</w:t>
      </w:r>
    </w:p>
    <w:p w14:paraId="0AD8898F" w14:textId="77777777" w:rsidR="00286A88" w:rsidRPr="00286A88" w:rsidRDefault="00286A88" w:rsidP="001E6383">
      <w:pPr>
        <w:pStyle w:val="Heading3"/>
        <w:rPr>
          <w:lang w:val="en-AU" w:eastAsia="en-AU"/>
        </w:rPr>
      </w:pPr>
      <w:bookmarkStart w:id="148" w:name="_Toc495310617"/>
      <w:r w:rsidRPr="00286A88">
        <w:rPr>
          <w:lang w:val="en-AU" w:eastAsia="en-AU"/>
        </w:rPr>
        <w:t>BB3.7 Feather loss</w:t>
      </w:r>
      <w:bookmarkEnd w:id="148"/>
    </w:p>
    <w:p w14:paraId="3021EFB8" w14:textId="77777777" w:rsidR="00286A88" w:rsidRPr="001E6383" w:rsidRDefault="00286A88" w:rsidP="001E6383">
      <w:pPr>
        <w:rPr>
          <w:i/>
          <w:lang w:val="en-AU" w:eastAsia="en-AU"/>
        </w:rPr>
      </w:pPr>
      <w:r w:rsidRPr="001E6383">
        <w:rPr>
          <w:i/>
          <w:lang w:val="en-AU" w:eastAsia="en-AU"/>
        </w:rPr>
        <w:t>Feather loss arising from frequent mating reduces the hen’s ability to efficiently maintain her body temperature and leaves her more at risk of sustaining skin damage from subsequent matings.</w:t>
      </w:r>
    </w:p>
    <w:p w14:paraId="20F6253C" w14:textId="77777777" w:rsidR="00286A88" w:rsidRPr="00286A88" w:rsidRDefault="00286A88" w:rsidP="001E6383">
      <w:pPr>
        <w:rPr>
          <w:lang w:val="en-AU" w:eastAsia="en-AU"/>
        </w:rPr>
      </w:pPr>
      <w:r w:rsidRPr="00286A88">
        <w:rPr>
          <w:lang w:val="en-AU" w:eastAsia="en-AU"/>
        </w:rPr>
        <w:t>Feather cover quality differs with genotype</w:t>
      </w:r>
      <w:r w:rsidRPr="00286A88">
        <w:rPr>
          <w:color w:val="auto"/>
          <w:lang w:val="en-AU" w:eastAsia="en-AU"/>
        </w:rPr>
        <w:t xml:space="preserve"> (</w:t>
      </w:r>
      <w:r w:rsidR="00446673" w:rsidRPr="00446673">
        <w:rPr>
          <w:color w:val="auto"/>
          <w:lang w:val="en-AU" w:eastAsia="en-AU"/>
        </w:rPr>
        <w:t>Özkan</w:t>
      </w:r>
      <w:r w:rsidRPr="00286A88">
        <w:rPr>
          <w:color w:val="auto"/>
          <w:lang w:val="en-AU" w:eastAsia="en-AU"/>
        </w:rPr>
        <w:t xml:space="preserve"> et al., 2002)</w:t>
      </w:r>
      <w:r w:rsidRPr="00286A88">
        <w:rPr>
          <w:lang w:val="en-AU" w:eastAsia="en-AU"/>
        </w:rPr>
        <w:t>. From the second half of the laying period onwards, the feather cover of the female breeders often deteriorates due to feather pecking and (predominantly) mating behaviour; this creates a welfare issue as it reduces the capacity for efficient thermal regulation and increases the risk of obtaining skin damage (</w:t>
      </w:r>
      <w:r w:rsidR="00793ACC">
        <w:rPr>
          <w:lang w:val="en-AU" w:eastAsia="en-AU"/>
        </w:rPr>
        <w:t>AHAW</w:t>
      </w:r>
      <w:r w:rsidRPr="00286A88">
        <w:rPr>
          <w:lang w:val="en-AU" w:eastAsia="en-AU"/>
        </w:rPr>
        <w:t>, 2010). Renema et al. (2007) observed that the heaviest hens (at the end of the production cycle) had the best feather cover, suggesting that hens with lower body weight were mated more.</w:t>
      </w:r>
    </w:p>
    <w:p w14:paraId="1DFF3BE7" w14:textId="77777777" w:rsidR="00286A88" w:rsidRPr="001E6383" w:rsidRDefault="00286A88" w:rsidP="001E6383">
      <w:pPr>
        <w:pStyle w:val="Heading3"/>
      </w:pPr>
      <w:bookmarkStart w:id="149" w:name="_Toc495310618"/>
      <w:r w:rsidRPr="001E6383">
        <w:t>BB3.8 Leg and foot health</w:t>
      </w:r>
      <w:bookmarkEnd w:id="149"/>
    </w:p>
    <w:p w14:paraId="63A9BCDF" w14:textId="77777777" w:rsidR="00286A88" w:rsidRPr="001E6383" w:rsidRDefault="00286A88" w:rsidP="001E6383">
      <w:pPr>
        <w:rPr>
          <w:i/>
          <w:lang w:val="en-AU" w:eastAsia="en-AU"/>
        </w:rPr>
      </w:pPr>
      <w:r w:rsidRPr="001E6383">
        <w:rPr>
          <w:i/>
          <w:lang w:val="en-AU" w:eastAsia="en-AU"/>
        </w:rPr>
        <w:t xml:space="preserve">Although contact dermatitis, especially </w:t>
      </w:r>
      <w:r w:rsidR="00FC573C">
        <w:rPr>
          <w:i/>
          <w:lang w:val="en-AU" w:eastAsia="en-AU"/>
        </w:rPr>
        <w:t>foot pad</w:t>
      </w:r>
      <w:r w:rsidRPr="001E6383">
        <w:rPr>
          <w:i/>
          <w:lang w:val="en-AU" w:eastAsia="en-AU"/>
        </w:rPr>
        <w:t xml:space="preserve"> dermatitis (FPD), does occur in a severe form in broiler breeders and, thus, poses a significant welfare concern, this pathology has received little attention from the scientific community and its prevalence is not currently known; in breeders FPD is likely to arise as a result of poor litter quality, slat</w:t>
      </w:r>
      <w:r w:rsidR="001E6383" w:rsidRPr="001E6383">
        <w:rPr>
          <w:i/>
          <w:lang w:val="en-AU" w:eastAsia="en-AU"/>
        </w:rPr>
        <w:t xml:space="preserve"> characteristics and slat usage.</w:t>
      </w:r>
    </w:p>
    <w:p w14:paraId="01BF9A72" w14:textId="77777777" w:rsidR="00286A88" w:rsidRPr="00286A88" w:rsidRDefault="00286A88" w:rsidP="001E6383">
      <w:pPr>
        <w:pStyle w:val="Heading41"/>
      </w:pPr>
      <w:r w:rsidRPr="00286A88">
        <w:t>BB3.8a Foot pad dermatitis</w:t>
      </w:r>
    </w:p>
    <w:p w14:paraId="2E94BC51" w14:textId="77777777" w:rsidR="00286A88" w:rsidRPr="00286A88" w:rsidRDefault="00286A88" w:rsidP="001E6383">
      <w:pPr>
        <w:rPr>
          <w:lang w:val="en-AU" w:eastAsia="en-AU"/>
        </w:rPr>
      </w:pPr>
      <w:r w:rsidRPr="00286A88">
        <w:rPr>
          <w:lang w:val="en-AU" w:eastAsia="en-AU"/>
        </w:rPr>
        <w:t xml:space="preserve">Foot pad dermatitis (FPD), or pododermatitis, is a skin condition of the feet associated with prolonged contact with irritating material. It occurs </w:t>
      </w:r>
      <w:r w:rsidRPr="00286A88">
        <w:rPr>
          <w:rFonts w:cs="Times-Roman"/>
          <w:lang w:val="en-AU" w:eastAsia="en-AU"/>
        </w:rPr>
        <w:t xml:space="preserve">on the plantar surface of the foot, most commonly on the central pad, but it can also affect the skin of the toes. FPD can range in severity from mild skin discolouration and superficial erosions to </w:t>
      </w:r>
      <w:r w:rsidRPr="00286A88">
        <w:rPr>
          <w:lang w:val="en-AU" w:eastAsia="en-AU"/>
        </w:rPr>
        <w:t>inflammatory reactions of the subcutaneous tissue, and deep n</w:t>
      </w:r>
      <w:r w:rsidRPr="00286A88">
        <w:rPr>
          <w:rFonts w:cs="Times-Roman"/>
          <w:lang w:val="en-AU" w:eastAsia="en-AU"/>
        </w:rPr>
        <w:t>ecrotic lesions</w:t>
      </w:r>
      <w:r w:rsidRPr="00286A88">
        <w:rPr>
          <w:rFonts w:cs="AdvP4CD4D0"/>
          <w:lang w:val="en-AU" w:eastAsia="en-AU"/>
        </w:rPr>
        <w:t xml:space="preserve">. FPD is a common welfare issue for commercial broilers, associated with poor litter quality (high moisture, pH and compaction), and </w:t>
      </w:r>
      <w:r w:rsidRPr="00286A88">
        <w:rPr>
          <w:lang w:val="en-AU" w:eastAsia="en-AU"/>
        </w:rPr>
        <w:t xml:space="preserve">ineffective </w:t>
      </w:r>
      <w:r w:rsidRPr="00286A88">
        <w:rPr>
          <w:rFonts w:cs="AdvP4CD4D0"/>
          <w:lang w:val="en-AU" w:eastAsia="en-AU"/>
        </w:rPr>
        <w:t xml:space="preserve">control of environmental conditions, more-so than stocking density; high ventilation rates, and the maintenance of appropriate air temperature and relative humidity, appear </w:t>
      </w:r>
      <w:r w:rsidRPr="00286A88">
        <w:rPr>
          <w:lang w:val="en-AU" w:eastAsia="en-AU"/>
        </w:rPr>
        <w:t>to be the most important factors in maintaining good litter (see B3.4a).</w:t>
      </w:r>
      <w:r w:rsidRPr="00286A88">
        <w:rPr>
          <w:rFonts w:cs="Times-Roman"/>
          <w:lang w:val="en-AU" w:eastAsia="en-AU"/>
        </w:rPr>
        <w:t xml:space="preserve"> Since the cause and pathogenesis are likely to be similar it is, therefore, unsurprising that FPD is also observed in broiler breeders, even although these birds are stocked at much lower density than broilers; however, the prevalence and severity of FPD within breeder flocks remains relatively unstudied. </w:t>
      </w:r>
      <w:r w:rsidRPr="00286A88">
        <w:rPr>
          <w:rFonts w:cs="AdvOT46dcae81"/>
          <w:lang w:val="en-AU" w:eastAsia="en-AU"/>
        </w:rPr>
        <w:t xml:space="preserve">Kaukonen et al. (2016) observed foot pad condition to deteriorate towards slaughter age in breeder hens, at which point the majority (64%) of birds had severe FPD lesions (scored 4 on a 5-point severity scale). FPD score was positively associated with </w:t>
      </w:r>
      <w:r w:rsidRPr="00286A88">
        <w:rPr>
          <w:rFonts w:cs="AdvOT1ef757c0"/>
          <w:lang w:val="en-AU" w:eastAsia="en-AU"/>
        </w:rPr>
        <w:t>litter moisture, pH, and percentage slatted area; interestingly, litter condition in breeder houses did not appear to fully explain foot pad deterioration, since the maintenance of dry, friable litter over the whole production period did not guarantee foot health</w:t>
      </w:r>
      <w:r w:rsidRPr="00286A88">
        <w:rPr>
          <w:rFonts w:cs="AdvOT46dcae81"/>
          <w:lang w:val="en-AU" w:eastAsia="en-AU"/>
        </w:rPr>
        <w:t xml:space="preserve"> (Kaukonen</w:t>
      </w:r>
      <w:r w:rsidR="003A4918">
        <w:rPr>
          <w:rFonts w:cs="AdvOT46dcae81"/>
          <w:lang w:val="en-AU" w:eastAsia="en-AU"/>
        </w:rPr>
        <w:t xml:space="preserve"> </w:t>
      </w:r>
      <w:r w:rsidRPr="00286A88">
        <w:rPr>
          <w:rFonts w:cs="AdvOT46dcae81"/>
          <w:lang w:val="en-AU" w:eastAsia="en-AU"/>
        </w:rPr>
        <w:t>et al., 2016).</w:t>
      </w:r>
      <w:r w:rsidRPr="00286A88">
        <w:rPr>
          <w:rFonts w:cs="AdvOT1ef757c0"/>
          <w:lang w:val="en-AU" w:eastAsia="en-AU"/>
        </w:rPr>
        <w:t xml:space="preserve"> Unlike broilers, the feet of breeders make contact with plastic slats in addition to litter, and the elevated slats are often used for roosting; bird mass, time spent on the slatted areas, and slat design may all be important factors in determining FPD prevalence and severity in broiler breeders. </w:t>
      </w:r>
      <w:r w:rsidRPr="00286A88">
        <w:rPr>
          <w:rFonts w:cs="Times-Roman"/>
          <w:lang w:val="en-AU" w:eastAsia="en-AU"/>
        </w:rPr>
        <w:t>Renema et al. (2007) report that breeder hens with severe FPD lesions (scored using a 3-point system) suffered compromised health, including poor body condition (less abdominal fat) and reduced fertility (28% of birds with severe lesions were classified as out of lay, compared with 15% for hens with no lesions). I</w:t>
      </w:r>
      <w:r w:rsidRPr="00286A88">
        <w:rPr>
          <w:rFonts w:cs="AdvP4CD4D0"/>
          <w:lang w:val="en-AU" w:eastAsia="en-AU"/>
        </w:rPr>
        <w:t xml:space="preserve">t </w:t>
      </w:r>
      <w:r w:rsidRPr="00286A88">
        <w:rPr>
          <w:lang w:val="en-AU" w:eastAsia="en-AU"/>
        </w:rPr>
        <w:t xml:space="preserve">is strongly believed that severe lesions can cause pain, whether infected or not, which constitutes a welfare issue; furthermore, lesions can be a gateway for </w:t>
      </w:r>
      <w:r w:rsidRPr="00286A88">
        <w:rPr>
          <w:rFonts w:cs="Times-Roman"/>
          <w:lang w:val="en-AU" w:eastAsia="en-AU"/>
        </w:rPr>
        <w:t>se</w:t>
      </w:r>
      <w:r w:rsidRPr="00286A88">
        <w:rPr>
          <w:rFonts w:cs="AdvP4CD4D0"/>
          <w:lang w:val="en-AU" w:eastAsia="en-AU"/>
        </w:rPr>
        <w:t>condary bacterial infections</w:t>
      </w:r>
      <w:r w:rsidRPr="00286A88">
        <w:rPr>
          <w:lang w:val="en-AU" w:eastAsia="en-AU"/>
        </w:rPr>
        <w:t xml:space="preserve"> which can lead to joint inflammation (see B3.4d). A 5-point scoring system for FPD already provides a useful welfare indicator in broilers </w:t>
      </w:r>
      <w:r w:rsidRPr="00286A88">
        <w:rPr>
          <w:rFonts w:cs="AdvP4CD4D0"/>
          <w:lang w:val="en-AU" w:eastAsia="en-AU"/>
        </w:rPr>
        <w:t xml:space="preserve">(Welfare Quality®, 2009), and this system </w:t>
      </w:r>
      <w:r w:rsidRPr="00286A88">
        <w:rPr>
          <w:lang w:val="en-AU" w:eastAsia="en-AU"/>
        </w:rPr>
        <w:t xml:space="preserve">could also be routinely used to assess FPD in breeders. Contact dermatitis has been shown to have a moderate degree of genetic heritability and a </w:t>
      </w:r>
      <w:r w:rsidRPr="00286A88">
        <w:rPr>
          <w:rFonts w:eastAsia="ComputerModern-Regular" w:cs="ComputerModern-Regular"/>
          <w:lang w:val="en-AU" w:eastAsia="en-AU"/>
        </w:rPr>
        <w:t>low genetic correlation with body weight; this means that it should be possible to select against susceptibility to FPD without compromising production traits (see B3.4a).</w:t>
      </w:r>
    </w:p>
    <w:p w14:paraId="1B092C0C" w14:textId="77777777" w:rsidR="00286A88" w:rsidRPr="00286A88" w:rsidRDefault="00286A88" w:rsidP="001E6383">
      <w:pPr>
        <w:pStyle w:val="Heading41"/>
      </w:pPr>
      <w:r w:rsidRPr="00286A88">
        <w:t>BB3.8b Hockburn</w:t>
      </w:r>
    </w:p>
    <w:p w14:paraId="49EB90D1" w14:textId="77777777" w:rsidR="00286A88" w:rsidRPr="00286A88" w:rsidRDefault="00286A88" w:rsidP="001E6383">
      <w:pPr>
        <w:rPr>
          <w:rFonts w:cs="AdvOT46dcae81"/>
          <w:lang w:val="en-AU" w:eastAsia="en-AU"/>
        </w:rPr>
      </w:pPr>
      <w:r w:rsidRPr="00286A88">
        <w:rPr>
          <w:lang w:val="en-AU" w:eastAsia="en-AU"/>
        </w:rPr>
        <w:t>The hock is the ankle joint of the chicken, and hock burn (HB) is a form of contact dermatitis affecting the skin of the caudal (back) part of the hock joint.</w:t>
      </w:r>
      <w:r w:rsidRPr="00286A88">
        <w:rPr>
          <w:rFonts w:cs="Times-Roman"/>
          <w:lang w:val="en-AU" w:eastAsia="en-AU"/>
        </w:rPr>
        <w:t xml:space="preserve"> As with FPD, the prevalence and severity of HB within breeder flocks remains unstudied. </w:t>
      </w:r>
      <w:r w:rsidRPr="00286A88">
        <w:rPr>
          <w:rFonts w:cs="AdvOT46dcae81"/>
          <w:lang w:val="en-AU" w:eastAsia="en-AU"/>
        </w:rPr>
        <w:t>Kaukonen et al. (2016) report the prevalence of hock lesions in Finland as ‘rare’. This is unsurprising as HB is associated with leg weakness in commercial broilers (i.e. high levels of inactive behaviour, sat with hocks in contact with poor quality litter), and breeders have a fairly low incidence of leg problems.</w:t>
      </w:r>
    </w:p>
    <w:p w14:paraId="6D1F6E33" w14:textId="77777777" w:rsidR="00286A88" w:rsidRPr="00286A88" w:rsidRDefault="00286A88" w:rsidP="001E6383">
      <w:pPr>
        <w:pStyle w:val="Heading41"/>
      </w:pPr>
      <w:r w:rsidRPr="00286A88">
        <w:t>BB3.8c Toe pecking</w:t>
      </w:r>
    </w:p>
    <w:p w14:paraId="69D39748" w14:textId="77777777" w:rsidR="00286A88" w:rsidRPr="00286A88" w:rsidRDefault="00286A88" w:rsidP="001E6383">
      <w:pPr>
        <w:rPr>
          <w:rFonts w:cs="Arial"/>
          <w:lang w:val="en-AU" w:eastAsia="en-AU"/>
        </w:rPr>
      </w:pPr>
      <w:r w:rsidRPr="00286A88">
        <w:rPr>
          <w:lang w:val="en-AU" w:eastAsia="en-AU"/>
        </w:rPr>
        <w:t>Sandilands et al. (2006) observed toe-pecking in an experimental pen of birds fed a qualitatively restricted diet.</w:t>
      </w:r>
      <w:r w:rsidRPr="00286A88">
        <w:rPr>
          <w:rFonts w:cs="Arial"/>
          <w:lang w:val="en-AU" w:eastAsia="en-AU"/>
        </w:rPr>
        <w:t xml:space="preserve"> This has obvious consequences for foot health and has also been reported in laying hens (see LH3.8).</w:t>
      </w:r>
    </w:p>
    <w:p w14:paraId="755F8FA0" w14:textId="77777777" w:rsidR="00286A88" w:rsidRPr="00286A88" w:rsidRDefault="00286A88" w:rsidP="001E6383">
      <w:pPr>
        <w:pStyle w:val="Heading3"/>
        <w:rPr>
          <w:lang w:val="en-AU" w:eastAsia="en-AU"/>
        </w:rPr>
      </w:pPr>
      <w:bookmarkStart w:id="150" w:name="_Toc495310619"/>
      <w:r w:rsidRPr="00286A88">
        <w:rPr>
          <w:lang w:val="en-AU" w:eastAsia="en-AU"/>
        </w:rPr>
        <w:t>BB3.9 Parasitic infections</w:t>
      </w:r>
      <w:bookmarkEnd w:id="150"/>
    </w:p>
    <w:p w14:paraId="6E15F199" w14:textId="77777777" w:rsidR="00286A88" w:rsidRPr="001E6383" w:rsidRDefault="00286A88" w:rsidP="001E6383">
      <w:pPr>
        <w:rPr>
          <w:i/>
          <w:lang w:val="en-AU" w:eastAsia="en-AU"/>
        </w:rPr>
      </w:pPr>
      <w:r w:rsidRPr="001E6383">
        <w:rPr>
          <w:i/>
          <w:lang w:val="en-AU" w:eastAsia="en-AU"/>
        </w:rPr>
        <w:t>Parasitic infections are predicted to have a low impact upon broiler breeder welfare due to low prevalence as a result of high biosecurity measures.</w:t>
      </w:r>
    </w:p>
    <w:p w14:paraId="5AE259D1" w14:textId="77777777" w:rsidR="00286A88" w:rsidRPr="00286A88" w:rsidRDefault="00286A88" w:rsidP="001E6383">
      <w:pPr>
        <w:rPr>
          <w:lang w:val="en-AU" w:eastAsia="en-AU"/>
        </w:rPr>
      </w:pPr>
      <w:r w:rsidRPr="00286A88">
        <w:rPr>
          <w:lang w:val="en-AU" w:eastAsia="en-AU"/>
        </w:rPr>
        <w:t>Very little data is available regarding any parasitic infection in broiler breeders. Due to the production companies needing to maintain a high health status for economic reasons it would be anticipated that parasitic infections are pro-actively managed against, occur rarely, and are rapidly treated when they do arise.</w:t>
      </w:r>
    </w:p>
    <w:p w14:paraId="389C7BAC" w14:textId="77777777" w:rsidR="00286A88" w:rsidRPr="00286A88" w:rsidRDefault="00286A88" w:rsidP="001E6383">
      <w:pPr>
        <w:pStyle w:val="Heading41"/>
      </w:pPr>
      <w:r w:rsidRPr="00286A88">
        <w:t>BB3.9a Mites</w:t>
      </w:r>
    </w:p>
    <w:p w14:paraId="664139AB" w14:textId="77777777" w:rsidR="00286A88" w:rsidRPr="00286A88" w:rsidRDefault="00286A88" w:rsidP="001E6383">
      <w:pPr>
        <w:rPr>
          <w:rFonts w:cs="Franklin Gothic Medium"/>
          <w:lang w:val="en-AU" w:eastAsia="en-AU"/>
        </w:rPr>
      </w:pPr>
      <w:r w:rsidRPr="00286A88">
        <w:rPr>
          <w:lang w:val="en-AU" w:eastAsia="en-AU"/>
        </w:rPr>
        <w:t>Red mite (</w:t>
      </w:r>
      <w:r w:rsidRPr="00286A88">
        <w:rPr>
          <w:i/>
          <w:lang w:val="en-AU" w:eastAsia="en-AU"/>
        </w:rPr>
        <w:t>Dermanyssus gallinae</w:t>
      </w:r>
      <w:r w:rsidRPr="00286A88">
        <w:rPr>
          <w:lang w:val="en-AU" w:eastAsia="en-AU"/>
        </w:rPr>
        <w:t>) and Northern fowl mite (</w:t>
      </w:r>
      <w:r w:rsidRPr="00286A88">
        <w:rPr>
          <w:i/>
          <w:iCs/>
          <w:shd w:val="clear" w:color="auto" w:fill="FFFFFF"/>
          <w:lang w:val="en-AU" w:eastAsia="en-AU"/>
        </w:rPr>
        <w:t>Ornithonyssus sylviarum</w:t>
      </w:r>
      <w:r w:rsidRPr="00286A88">
        <w:rPr>
          <w:lang w:val="en-AU" w:eastAsia="en-AU"/>
        </w:rPr>
        <w:t xml:space="preserve">) are known to cause significant welfare problems for laying hens (see LH3.11a) and since control of either is difficult, even using synthetic acaricides, it is likely that at least some free-range broiler breeder flocks will be negatively affected by these ectoparasites. If left untreated, mite infestations of either species will cause birds to become anaemic and less productive. </w:t>
      </w:r>
      <w:r w:rsidRPr="00286A88">
        <w:rPr>
          <w:rFonts w:cs="Times New Roman"/>
          <w:lang w:val="en-AU" w:eastAsia="en-AU"/>
        </w:rPr>
        <w:t>Kaoud and El-Dahshan (2010) report that red mite infestations cause immunosuppression in broiler breeders and have deleterious impacts upon performance (reducing egg production, and increasing mortality); the authors also hypothesise that a red mite infestation may also decrease the transfer of maternal immunity to any offspring.</w:t>
      </w:r>
    </w:p>
    <w:p w14:paraId="6F4E3A32" w14:textId="77777777" w:rsidR="00286A88" w:rsidRPr="00286A88" w:rsidRDefault="00286A88" w:rsidP="001E6383">
      <w:pPr>
        <w:pStyle w:val="Heading41"/>
      </w:pPr>
      <w:r w:rsidRPr="00286A88">
        <w:t>BB3.9b Coccidiosis</w:t>
      </w:r>
    </w:p>
    <w:p w14:paraId="271B91A4" w14:textId="77777777" w:rsidR="00286A88" w:rsidRPr="00286A88" w:rsidRDefault="00286A88" w:rsidP="001E6383">
      <w:pPr>
        <w:rPr>
          <w:rFonts w:cs="Franklin Gothic Medium"/>
          <w:lang w:val="en-AU" w:eastAsia="en-AU"/>
        </w:rPr>
      </w:pPr>
      <w:r w:rsidRPr="00286A88">
        <w:rPr>
          <w:shd w:val="clear" w:color="auto" w:fill="FFFFFF"/>
          <w:lang w:val="en-AU" w:eastAsia="en-AU"/>
        </w:rPr>
        <w:t xml:space="preserve">Coccidiosis is a common parasitic disease of broiler breeders caused by single-celled protozoan parasites of the genus </w:t>
      </w:r>
      <w:r w:rsidRPr="00286A88">
        <w:rPr>
          <w:i/>
          <w:shd w:val="clear" w:color="auto" w:fill="FFFFFF"/>
          <w:lang w:val="en-AU" w:eastAsia="en-AU"/>
        </w:rPr>
        <w:t>Eimeria</w:t>
      </w:r>
      <w:r w:rsidRPr="00286A88">
        <w:rPr>
          <w:shd w:val="clear" w:color="auto" w:fill="FFFFFF"/>
          <w:lang w:val="en-AU" w:eastAsia="en-AU"/>
        </w:rPr>
        <w:t xml:space="preserve">. Although </w:t>
      </w:r>
      <w:r w:rsidRPr="00286A88">
        <w:rPr>
          <w:rFonts w:cs="AdvPS_TINI"/>
          <w:i/>
          <w:lang w:val="en-AU" w:eastAsia="en-AU"/>
        </w:rPr>
        <w:t>Eimeria</w:t>
      </w:r>
      <w:r w:rsidRPr="00286A88">
        <w:rPr>
          <w:rFonts w:cs="AdvPS_TINI"/>
          <w:lang w:val="en-AU" w:eastAsia="en-AU"/>
        </w:rPr>
        <w:t xml:space="preserve"> has developed drug resistance against most anticoccidials in use today, several effective vaccines have now been developed, including some whereby vaccination of breeder hens leads to the protection of broiler offspring (Sharman et al., 2010). Further research to develop fully effective vaccines continues (see LH3.11b).</w:t>
      </w:r>
    </w:p>
    <w:p w14:paraId="67AF159F" w14:textId="77777777" w:rsidR="00286A88" w:rsidRPr="00286A88" w:rsidRDefault="00286A88" w:rsidP="001E6383">
      <w:pPr>
        <w:pStyle w:val="Heading41"/>
      </w:pPr>
      <w:r w:rsidRPr="00286A88">
        <w:t>BB3.9c Worms</w:t>
      </w:r>
    </w:p>
    <w:p w14:paraId="42DD54D2" w14:textId="77777777" w:rsidR="00286A88" w:rsidRPr="00286A88" w:rsidRDefault="00286A88" w:rsidP="001E6383">
      <w:pPr>
        <w:rPr>
          <w:lang w:val="en-AU" w:eastAsia="en-AU"/>
        </w:rPr>
      </w:pPr>
      <w:r w:rsidRPr="00286A88">
        <w:rPr>
          <w:rFonts w:cs="Franklin Gothic Medium"/>
          <w:lang w:val="en-AU" w:eastAsia="en-AU"/>
        </w:rPr>
        <w:t>B</w:t>
      </w:r>
      <w:r w:rsidRPr="00286A88">
        <w:rPr>
          <w:lang w:val="en-AU" w:eastAsia="en-AU"/>
        </w:rPr>
        <w:t>roiler breeders housed within a system with outside access are at risk of acquiring a variety of parasitic worm infections since they will have contact with the droppings of wild birds; the consequences of infection are similar to those seen in laying hens (see LH3.11c), including suppressed productivity and compromised welfare.</w:t>
      </w:r>
    </w:p>
    <w:p w14:paraId="400BD0E2" w14:textId="77777777" w:rsidR="00286A88" w:rsidRPr="00286A88" w:rsidRDefault="00286A88" w:rsidP="001E6383">
      <w:pPr>
        <w:pStyle w:val="Heading3"/>
        <w:rPr>
          <w:lang w:val="en-AU" w:eastAsia="en-AU"/>
        </w:rPr>
      </w:pPr>
      <w:bookmarkStart w:id="151" w:name="_Toc495310620"/>
      <w:r w:rsidRPr="00286A88">
        <w:rPr>
          <w:lang w:val="en-AU" w:eastAsia="en-AU"/>
        </w:rPr>
        <w:t>BB3.10 Infectious disease</w:t>
      </w:r>
      <w:bookmarkEnd w:id="151"/>
    </w:p>
    <w:p w14:paraId="20594AB7" w14:textId="77777777" w:rsidR="00286A88" w:rsidRPr="001E6383" w:rsidRDefault="00286A88" w:rsidP="001E6383">
      <w:pPr>
        <w:rPr>
          <w:i/>
          <w:lang w:val="en-AU" w:eastAsia="en-AU"/>
        </w:rPr>
      </w:pPr>
      <w:r w:rsidRPr="001E6383">
        <w:rPr>
          <w:i/>
          <w:lang w:val="en-AU" w:eastAsia="en-AU"/>
        </w:rPr>
        <w:t>As a consequence of high biosecurity measures and comprehensive treatment regimes infectious disease has less of an impact upon breeder welfare than is seen in broilers; E. coli remains a main cause of poor health.</w:t>
      </w:r>
    </w:p>
    <w:p w14:paraId="1C941571" w14:textId="77777777" w:rsidR="00286A88" w:rsidRPr="00286A88" w:rsidRDefault="00286A88" w:rsidP="001E6383">
      <w:pPr>
        <w:rPr>
          <w:rFonts w:eastAsia="MinionPro-Regular" w:cs="MinionPro-Regular"/>
          <w:lang w:val="en-AU" w:eastAsia="en-AU"/>
        </w:rPr>
      </w:pPr>
      <w:r w:rsidRPr="00286A88">
        <w:rPr>
          <w:rFonts w:cs="MSTT31c2eb"/>
          <w:lang w:val="en-AU" w:eastAsia="en-AU"/>
        </w:rPr>
        <w:t>Since the majority of cage and non-cage systems have very high standards of biosecurity, infectious disease is, generally,</w:t>
      </w:r>
      <w:r w:rsidRPr="00286A88">
        <w:rPr>
          <w:lang w:val="en-AU" w:eastAsia="en-AU"/>
        </w:rPr>
        <w:t xml:space="preserve"> not a major cause of mortality in broiler breeders or grandparent lines. An exception is </w:t>
      </w:r>
      <w:r w:rsidR="003A4918">
        <w:rPr>
          <w:i/>
          <w:lang w:val="en-AU" w:eastAsia="en-AU"/>
        </w:rPr>
        <w:t>E. c</w:t>
      </w:r>
      <w:r w:rsidRPr="00286A88">
        <w:rPr>
          <w:i/>
          <w:lang w:val="en-AU" w:eastAsia="en-AU"/>
        </w:rPr>
        <w:t>oli</w:t>
      </w:r>
      <w:r w:rsidRPr="00286A88">
        <w:rPr>
          <w:lang w:val="en-AU" w:eastAsia="en-AU"/>
        </w:rPr>
        <w:t xml:space="preserve"> peritonitis syndrome (EPS) which causes more acute and serious infection and mortality than the more commonly described salpingoperitoniti</w:t>
      </w:r>
      <w:r w:rsidR="00054BD3">
        <w:rPr>
          <w:lang w:val="en-AU" w:eastAsia="en-AU"/>
        </w:rPr>
        <w:t>s or ‘</w:t>
      </w:r>
      <w:r w:rsidRPr="00286A88">
        <w:rPr>
          <w:lang w:val="en-AU" w:eastAsia="en-AU"/>
        </w:rPr>
        <w:t>egg peritonitis</w:t>
      </w:r>
      <w:r w:rsidR="00054BD3">
        <w:rPr>
          <w:lang w:val="en-AU" w:eastAsia="en-AU"/>
        </w:rPr>
        <w:t>’</w:t>
      </w:r>
      <w:r w:rsidRPr="00286A88">
        <w:rPr>
          <w:lang w:val="en-AU" w:eastAsia="en-AU"/>
        </w:rPr>
        <w:t xml:space="preserve">, and is a condition to which broiler breeders appear particularly susceptible regardless of housing system (Landman and van Eck, 2015). Broiler breeder flocks in the Netherlands had a farm-level incidence of EPS of 35%, much higher than the incidence seen in flocks of layer breeders (7%), free-range laying hens (12%) or caged laying hens (1%); the severe welfare and economic impact of this condition suggests a need for further research (Landman and van Eck, 2015). Other infectious diseases that may cause ill health in broiler breeders include: (a) navel/yolk sac infections caused by </w:t>
      </w:r>
      <w:r w:rsidRPr="00286A88">
        <w:rPr>
          <w:i/>
          <w:lang w:val="en-AU" w:eastAsia="en-AU"/>
        </w:rPr>
        <w:t>E. coli</w:t>
      </w:r>
      <w:r w:rsidRPr="00286A88">
        <w:rPr>
          <w:lang w:val="en-AU" w:eastAsia="en-AU"/>
        </w:rPr>
        <w:t xml:space="preserve">, (b) systemic infections with </w:t>
      </w:r>
      <w:r w:rsidRPr="00286A88">
        <w:rPr>
          <w:i/>
          <w:lang w:val="en-AU" w:eastAsia="en-AU"/>
        </w:rPr>
        <w:t>Staphylococcus aureus</w:t>
      </w:r>
      <w:r w:rsidRPr="00E144DF">
        <w:rPr>
          <w:lang w:val="en-AU" w:eastAsia="en-AU"/>
        </w:rPr>
        <w:t xml:space="preserve"> and </w:t>
      </w:r>
      <w:r w:rsidRPr="00286A88">
        <w:rPr>
          <w:i/>
          <w:lang w:val="en-AU" w:eastAsia="en-AU"/>
        </w:rPr>
        <w:t xml:space="preserve">S. tendovaginitis </w:t>
      </w:r>
      <w:r w:rsidRPr="00286A88">
        <w:rPr>
          <w:lang w:val="en-AU" w:eastAsia="en-AU"/>
        </w:rPr>
        <w:t>(affecting 10-30% of flocks)</w:t>
      </w:r>
      <w:r w:rsidRPr="00E144DF">
        <w:rPr>
          <w:lang w:val="en-AU" w:eastAsia="en-AU"/>
        </w:rPr>
        <w:t xml:space="preserve"> and </w:t>
      </w:r>
      <w:r w:rsidRPr="00286A88">
        <w:rPr>
          <w:lang w:val="en-AU" w:eastAsia="en-AU"/>
        </w:rPr>
        <w:t>(c)</w:t>
      </w:r>
      <w:r w:rsidR="00054BD3">
        <w:rPr>
          <w:lang w:val="en-AU" w:eastAsia="en-AU"/>
        </w:rPr>
        <w:t> </w:t>
      </w:r>
      <w:r w:rsidRPr="00286A88">
        <w:rPr>
          <w:i/>
          <w:lang w:val="en-AU" w:eastAsia="en-AU"/>
        </w:rPr>
        <w:t>Erysipelothrix rhusiopathiae</w:t>
      </w:r>
      <w:r w:rsidRPr="00286A88">
        <w:rPr>
          <w:lang w:val="en-AU" w:eastAsia="en-AU"/>
        </w:rPr>
        <w:t>s (affecting less than 1% of flocks) (</w:t>
      </w:r>
      <w:r w:rsidR="00793ACC">
        <w:rPr>
          <w:lang w:val="en-AU" w:eastAsia="en-AU"/>
        </w:rPr>
        <w:t>AHAW</w:t>
      </w:r>
      <w:r w:rsidRPr="00286A88">
        <w:rPr>
          <w:lang w:val="en-AU" w:eastAsia="en-AU"/>
        </w:rPr>
        <w:t xml:space="preserve">, 2010). Treatment with antibiotics is effective for some but not all of these conditions, and is expensive (Landman and van Eck, 2015). </w:t>
      </w:r>
      <w:r w:rsidRPr="00286A88">
        <w:rPr>
          <w:rFonts w:cs="MinionPro-Bold"/>
          <w:bCs/>
          <w:lang w:val="en-AU" w:eastAsia="en-AU"/>
        </w:rPr>
        <w:t>A</w:t>
      </w:r>
      <w:r w:rsidRPr="00286A88">
        <w:rPr>
          <w:lang w:val="en-AU" w:eastAsia="en-AU"/>
        </w:rPr>
        <w:t xml:space="preserve">n outbreak of </w:t>
      </w:r>
      <w:r w:rsidRPr="00286A88">
        <w:rPr>
          <w:rFonts w:cs="MinionPro-Bold"/>
          <w:bCs/>
          <w:lang w:val="en-AU" w:eastAsia="en-AU"/>
        </w:rPr>
        <w:t>infectious bursal disease</w:t>
      </w:r>
      <w:r w:rsidRPr="00286A88">
        <w:rPr>
          <w:rFonts w:eastAsia="MinionPro-Regular" w:cs="MinionPro-Regular"/>
          <w:lang w:val="en-AU" w:eastAsia="en-AU"/>
        </w:rPr>
        <w:t xml:space="preserve"> in a broiler breeder flock in Iran was reported to increase the male mortality rate, compared to a non-infected flock, at 12 weeks (</w:t>
      </w:r>
      <w:r w:rsidRPr="00286A88">
        <w:rPr>
          <w:rFonts w:cs="MinionPro-Bold"/>
          <w:bCs/>
          <w:lang w:val="en-AU" w:eastAsia="en-AU"/>
        </w:rPr>
        <w:t>Salahi et al., 2014).</w:t>
      </w:r>
    </w:p>
    <w:p w14:paraId="7807440C" w14:textId="77777777" w:rsidR="00286A88" w:rsidRPr="00286A88" w:rsidRDefault="00286A88" w:rsidP="001E6383">
      <w:pPr>
        <w:pStyle w:val="Heading3"/>
        <w:rPr>
          <w:lang w:val="en-AU" w:eastAsia="en-AU"/>
        </w:rPr>
      </w:pPr>
      <w:bookmarkStart w:id="152" w:name="_Toc495310621"/>
      <w:r w:rsidRPr="00286A88">
        <w:rPr>
          <w:lang w:val="en-AU" w:eastAsia="en-AU"/>
        </w:rPr>
        <w:t>BB3.11 Immune function</w:t>
      </w:r>
      <w:bookmarkEnd w:id="152"/>
    </w:p>
    <w:p w14:paraId="49CA82CF" w14:textId="77777777" w:rsidR="00286A88" w:rsidRPr="001E6383" w:rsidRDefault="00286A88" w:rsidP="001E6383">
      <w:pPr>
        <w:rPr>
          <w:i/>
          <w:lang w:val="en-AU" w:eastAsia="en-AU"/>
        </w:rPr>
      </w:pPr>
      <w:r w:rsidRPr="001E6383">
        <w:rPr>
          <w:i/>
          <w:lang w:val="en-AU" w:eastAsia="en-AU"/>
        </w:rPr>
        <w:t>Broiler breeder immunity becomes suppressed following chronic stress and/or mite infection, and may be compromised following exposure to outdoor ranges, high ammonia, high temperatures and fungal feed contamination; lowered immunity increases the risk of secondary infections and poor welfare.</w:t>
      </w:r>
    </w:p>
    <w:p w14:paraId="7909222D" w14:textId="77777777" w:rsidR="00286A88" w:rsidRPr="00286A88" w:rsidRDefault="00286A88" w:rsidP="001E6383">
      <w:pPr>
        <w:rPr>
          <w:rFonts w:cs="Times-Roman"/>
          <w:lang w:val="en-AU" w:eastAsia="en-AU"/>
        </w:rPr>
      </w:pPr>
      <w:r w:rsidRPr="00286A88">
        <w:rPr>
          <w:lang w:val="en-AU" w:eastAsia="en-AU"/>
        </w:rPr>
        <w:t xml:space="preserve">There is very little data relating aspects of husbandry to broiler breeder immunity; however, since exposure to </w:t>
      </w:r>
      <w:r w:rsidRPr="00286A88">
        <w:rPr>
          <w:rFonts w:cs="TimesNewRomanPS-BoldMT"/>
          <w:bCs/>
          <w:lang w:val="en-AU" w:eastAsia="en-AU"/>
        </w:rPr>
        <w:t>chronic stress is often seen to suppress immunity</w:t>
      </w:r>
      <w:r w:rsidRPr="00286A88">
        <w:rPr>
          <w:lang w:val="en-AU" w:eastAsia="en-AU"/>
        </w:rPr>
        <w:t xml:space="preserve"> (Shini et al., 2010) we can assume that severe dietary restrictions and exposure to prolonged aggression must take their toll. We know that red mite infestations suppress immunity in breeders (see BB3.9a), and p</w:t>
      </w:r>
      <w:r w:rsidRPr="00286A88">
        <w:rPr>
          <w:rFonts w:cs="Times New Roman"/>
          <w:lang w:val="en-AU" w:eastAsia="en-AU"/>
        </w:rPr>
        <w:t xml:space="preserve">eritonitis is linked to immunosuppression following the rapid rise in plasma oestrogen at the onset of lay (Hocking and Bernard, 2000). Evidence gleaned from broiler studies can help us infer that organic free-range broiler breeder flocks will be subjected to greater </w:t>
      </w:r>
      <w:r w:rsidRPr="00286A88">
        <w:rPr>
          <w:lang w:val="en-AU" w:eastAsia="en-AU"/>
        </w:rPr>
        <w:t xml:space="preserve">immunological challenges than the high-biosecurity flocks housed indoors, and that exposure to </w:t>
      </w:r>
      <w:r w:rsidRPr="00286A88">
        <w:rPr>
          <w:rFonts w:cs="Times-Italic"/>
          <w:iCs/>
          <w:lang w:val="en-AU" w:eastAsia="en-AU"/>
        </w:rPr>
        <w:t>high levels of ammonia,</w:t>
      </w:r>
      <w:r w:rsidRPr="00286A88">
        <w:rPr>
          <w:rFonts w:cs="Times New Roman"/>
          <w:lang w:val="en-AU" w:eastAsia="en-AU"/>
        </w:rPr>
        <w:t xml:space="preserve"> high temperatures, and mycotoxins (food contamination) will </w:t>
      </w:r>
      <w:r w:rsidRPr="00286A88">
        <w:rPr>
          <w:rFonts w:cs="Times-Roman"/>
          <w:lang w:val="en-AU" w:eastAsia="en-AU"/>
        </w:rPr>
        <w:t>suppress broiler breeder immune systems (see B9.2, B9.4 and B2.4). In addition, b</w:t>
      </w:r>
      <w:r w:rsidRPr="00286A88">
        <w:rPr>
          <w:rFonts w:cs="ComputerModern-Regular"/>
          <w:lang w:val="en-AU" w:eastAsia="en-AU"/>
        </w:rPr>
        <w:t>roilers that were incubated in the dark have been seen to demonstrate greater immunosuppression following crating (as grown birds) than broilers incubated under light, and r</w:t>
      </w:r>
      <w:r w:rsidRPr="00286A88">
        <w:rPr>
          <w:rFonts w:cs="Arial"/>
          <w:shd w:val="clear" w:color="auto" w:fill="FFFFFF"/>
          <w:lang w:val="en-AU" w:eastAsia="en-AU"/>
        </w:rPr>
        <w:t xml:space="preserve">egular human (visual) contact between 1-21 days of age was sufficient to maintain a higher antibody response in broilers following handling and crating, compared to broilers that had never had human visual contact </w:t>
      </w:r>
      <w:r w:rsidRPr="00286A88">
        <w:rPr>
          <w:rFonts w:cs="Times-Roman"/>
          <w:lang w:val="en-AU" w:eastAsia="en-AU"/>
        </w:rPr>
        <w:t>(see B7.2).</w:t>
      </w:r>
    </w:p>
    <w:p w14:paraId="6E711686" w14:textId="77777777" w:rsidR="00286A88" w:rsidRPr="00286A88" w:rsidRDefault="00286A88" w:rsidP="001E6383">
      <w:pPr>
        <w:pStyle w:val="Heading2"/>
        <w:rPr>
          <w:lang w:val="en-AU" w:eastAsia="en-AU"/>
        </w:rPr>
      </w:pPr>
      <w:bookmarkStart w:id="153" w:name="_Toc495310622"/>
      <w:r w:rsidRPr="00286A88">
        <w:rPr>
          <w:lang w:val="en-AU" w:eastAsia="en-AU"/>
        </w:rPr>
        <w:t>BB4. Facilities and Equipment: Behavioural Needs</w:t>
      </w:r>
      <w:bookmarkEnd w:id="153"/>
    </w:p>
    <w:p w14:paraId="037A0E64" w14:textId="77777777" w:rsidR="00286A88" w:rsidRPr="00286A88" w:rsidRDefault="00286A88" w:rsidP="001E6383">
      <w:pPr>
        <w:rPr>
          <w:lang w:val="en-AU" w:eastAsia="en-AU"/>
        </w:rPr>
      </w:pPr>
      <w:r w:rsidRPr="00286A88">
        <w:rPr>
          <w:lang w:val="en-AU" w:eastAsia="en-AU"/>
        </w:rPr>
        <w:t xml:space="preserve">The majority of studies that have documented behaviour in broiler breeders have focused upon stereotypic pecking associated with feed restriction, have observed birds in housing without enrichment and, subsequently, have analysed behaviour using relatively basic ethograms, e.g. </w:t>
      </w:r>
      <w:r w:rsidRPr="00286A88">
        <w:rPr>
          <w:rFonts w:cs="AdvP41153C"/>
          <w:lang w:val="en-AU" w:eastAsia="en-AU"/>
        </w:rPr>
        <w:t xml:space="preserve">walk, stand, rest, eat, drink, preen, peck feeder, peck litter, peck drinker, peck flock-mate </w:t>
      </w:r>
      <w:r w:rsidRPr="00286A88">
        <w:rPr>
          <w:lang w:val="en-AU" w:eastAsia="en-AU"/>
        </w:rPr>
        <w:t>(de Jong et al., 2002; Merlet et al., 2005; Puterflam et al., 2006; Hocking et al., 2007). Apart from identifying an obvious requirement for more food, these studies provide very little information regarding the behavioural needs of breeders. Hocking et al. (1993) demonstrated that the time spent on different behaviours was similar for restricted fed broiler breeders and laying hens. In the absence of data for broiler breeders we may assume that their motivation to perch, forage, dust-bathe and perform social and comfort behaviours is similar for that reported for laying hens (see LH4).</w:t>
      </w:r>
    </w:p>
    <w:p w14:paraId="7C86C19B" w14:textId="77777777" w:rsidR="00286A88" w:rsidRPr="00286A88" w:rsidRDefault="00286A88" w:rsidP="001E6383">
      <w:pPr>
        <w:pStyle w:val="Heading3"/>
        <w:rPr>
          <w:lang w:val="en-AU" w:eastAsia="en-AU"/>
        </w:rPr>
      </w:pPr>
      <w:bookmarkStart w:id="154" w:name="_Toc495310623"/>
      <w:r w:rsidRPr="00286A88">
        <w:rPr>
          <w:lang w:val="en-AU" w:eastAsia="en-AU"/>
        </w:rPr>
        <w:t>BB4.1 Behavioural need for a nest</w:t>
      </w:r>
      <w:bookmarkEnd w:id="154"/>
    </w:p>
    <w:p w14:paraId="58BE48C0" w14:textId="77777777" w:rsidR="00286A88" w:rsidRPr="001E6383" w:rsidRDefault="00286A88" w:rsidP="001E6383">
      <w:pPr>
        <w:rPr>
          <w:i/>
          <w:lang w:val="en-AU" w:eastAsia="en-AU"/>
        </w:rPr>
      </w:pPr>
      <w:r w:rsidRPr="001E6383">
        <w:rPr>
          <w:i/>
          <w:lang w:val="en-AU" w:eastAsia="en-AU"/>
        </w:rPr>
        <w:t>Broiler breeders appear to be motivated to nest within nest-boxes so a sufficient number of an appropriate design should be provided.</w:t>
      </w:r>
    </w:p>
    <w:p w14:paraId="16F9C7E4" w14:textId="77777777" w:rsidR="00286A88" w:rsidRPr="00286A88" w:rsidRDefault="00286A88" w:rsidP="001E6383">
      <w:pPr>
        <w:rPr>
          <w:lang w:val="en-AU" w:eastAsia="en-AU"/>
        </w:rPr>
      </w:pPr>
      <w:r w:rsidRPr="00286A88">
        <w:rPr>
          <w:rFonts w:cs="AdvP4CD4D0"/>
          <w:lang w:val="en-AU" w:eastAsia="en-AU"/>
        </w:rPr>
        <w:t xml:space="preserve">Very few studies have been conducted on nesting behaviour in broiler breeders. </w:t>
      </w:r>
      <w:r w:rsidRPr="00286A88">
        <w:rPr>
          <w:lang w:val="en-AU" w:eastAsia="en-AU"/>
        </w:rPr>
        <w:t xml:space="preserve">Laying hens demonstrate a strong innate motivation to nest (see LH4.1), and it is safe to assume that breeders share the same drive to lay their eggs within a suitable nest site with </w:t>
      </w:r>
      <w:r w:rsidRPr="00286A88">
        <w:rPr>
          <w:rFonts w:cs="AdvP4CD4D0"/>
          <w:lang w:val="en-AU" w:eastAsia="en-AU"/>
        </w:rPr>
        <w:t>minimum stress for the sitting hen (i.e. away from flock-mate disturbances). Breeder hens certainly use nest-boxes when provided, although they tend to lay more floor eggs than laying hens; in a study by Holcman et al. (2007) 5</w:t>
      </w:r>
      <w:r w:rsidRPr="00286A88">
        <w:rPr>
          <w:rFonts w:cs="AdvMT_SY"/>
          <w:lang w:val="en-AU" w:eastAsia="en-AU"/>
        </w:rPr>
        <w:t>.</w:t>
      </w:r>
      <w:r w:rsidRPr="00286A88">
        <w:rPr>
          <w:rFonts w:cs="AdvP4CD4D0"/>
          <w:lang w:val="en-AU" w:eastAsia="en-AU"/>
        </w:rPr>
        <w:t>1% of all eggs were laid on the floor, but this percentage was seen to decrease over time. In this study some subordinate hens were excluded from certain nests, so the number of floor eggs may have been lower if these subordinates had had access to their preferred nest sites at the time of oviposition. Further evidence for breeders to demonstrate motivation to lay within nest-boxes is provided by Sheppard and Duncan (2011). They hypothesised that feeding birds during the morning nesting period was causing the hungry hens to lay their eggs on the floor; however, although the hens did leave their nests to eat, the vast majority returned after the meal and proceeded to lay in the nest-boxes (Sheppard and Duncan, 2011).</w:t>
      </w:r>
    </w:p>
    <w:p w14:paraId="07763D04" w14:textId="77777777" w:rsidR="00286A88" w:rsidRPr="00286A88" w:rsidRDefault="00286A88" w:rsidP="001E6383">
      <w:pPr>
        <w:pStyle w:val="Heading3"/>
        <w:rPr>
          <w:lang w:val="en-AU" w:eastAsia="en-AU"/>
        </w:rPr>
      </w:pPr>
      <w:bookmarkStart w:id="155" w:name="_Toc495310624"/>
      <w:r w:rsidRPr="00286A88">
        <w:rPr>
          <w:lang w:val="en-AU" w:eastAsia="en-AU"/>
        </w:rPr>
        <w:t>BB4.2 Behavioural need to perch</w:t>
      </w:r>
      <w:bookmarkEnd w:id="155"/>
    </w:p>
    <w:p w14:paraId="5E0F64FE" w14:textId="77777777" w:rsidR="00286A88" w:rsidRPr="001E6383" w:rsidRDefault="00286A88" w:rsidP="001E6383">
      <w:pPr>
        <w:rPr>
          <w:i/>
          <w:lang w:val="en-GB"/>
        </w:rPr>
      </w:pPr>
      <w:r w:rsidRPr="001E6383">
        <w:rPr>
          <w:i/>
          <w:lang w:val="en-GB"/>
        </w:rPr>
        <w:t>Perching (and roosting) motivation in broiler breeders is likely to be similar to that of laying hens, and much greater than that demonstrated by broilers due to the restricted mass imposed by feed restriction.</w:t>
      </w:r>
    </w:p>
    <w:p w14:paraId="0FA25A5D" w14:textId="77777777" w:rsidR="00286A88" w:rsidRPr="00286A88" w:rsidRDefault="00286A88" w:rsidP="001E6383">
      <w:pPr>
        <w:rPr>
          <w:lang w:val="en-GB"/>
        </w:rPr>
      </w:pPr>
      <w:r w:rsidRPr="00286A88">
        <w:rPr>
          <w:lang w:val="en-GB"/>
        </w:rPr>
        <w:t xml:space="preserve">Although perches are an obvious environmental enrichment for broiler breeders, raised slatted areas and/or platforms are often used as an alternative in broiler breeder houses. Breeders have a requirement for a comfortable secure physical environment that allows undisturbed rest, and facilitates the avoidance of undue aggression. Perches and platforms would make a positive contribution towards providing this but there is scarce data regarding the design or use of perches and platforms for breeders. </w:t>
      </w:r>
      <w:r w:rsidRPr="00286A88">
        <w:rPr>
          <w:noProof/>
          <w:lang w:val="en-GB" w:eastAsia="en-GB"/>
        </w:rPr>
        <w:t xml:space="preserve">The provision of breeder pullets with perches during rearing has been seen to attenuate fear, as measured by tonic immobility (Brake et al., 1994) </w:t>
      </w:r>
      <w:r w:rsidRPr="00286A88">
        <w:rPr>
          <w:lang w:val="en-GB"/>
        </w:rPr>
        <w:t>Since laying hens demonstrate a high motivation to reach an elevated area, at least, at night (see LH4.2a) it may be assumed that breeders have a similar ‘need’ to roost and, as such, sufficient perch/platform space should be provided.</w:t>
      </w:r>
    </w:p>
    <w:p w14:paraId="62715F73" w14:textId="77777777" w:rsidR="00286A88" w:rsidRPr="00286A88" w:rsidRDefault="00286A88" w:rsidP="001E6383">
      <w:pPr>
        <w:rPr>
          <w:rFonts w:eastAsia="Times New Roman"/>
          <w:lang w:val="en-AU" w:eastAsia="en-GB"/>
        </w:rPr>
      </w:pPr>
      <w:r w:rsidRPr="00286A88">
        <w:rPr>
          <w:rFonts w:eastAsia="Times New Roman"/>
          <w:lang w:val="en-AU" w:eastAsia="en-GB"/>
        </w:rPr>
        <w:t xml:space="preserve">As for layers, broiler breeders should be provided with perches from an early age to meet the behavioural needs of the birds, to assist in the development of mobility and spatio-cognitive skills (ability to navigate through a three-dimensional environment), to assist in accessing resources, and to maximise the potential use of elevated structures during the production period (i.e. perches, platforms and raised nest-boxes). The opportunity to learn perching behaviour during rearing appears to influence laying and nesting behaviour in broiler breeders. Brake (1987) observed that breeder hens reared in the presence of perches exhibited a significantly reduced incidence of floor-laid eggs compared with hens reared without perches. Providing broilers with elevated enrichment, including straw bales and perches, has been shown to encourage increased physical activity, stimulate a greater variety of motor patterns, and improve leg health (see B5.6). Although broiler breeders are more active and likely to perch than broilers perch provision during rear may also benefit their leg strength. </w:t>
      </w:r>
      <w:r w:rsidRPr="00286A88">
        <w:rPr>
          <w:rFonts w:eastAsia="Times New Roman" w:cs="AdvP4CD4D0"/>
          <w:lang w:val="en-AU" w:eastAsia="en-GB"/>
        </w:rPr>
        <w:t xml:space="preserve">Breeders housed with wood-shaving bales during rear went on to maintain better eggshell quality with age compared to birds housed without enrichment, although there was no difference in egg production; the authors hypothesise that early access to perches may have improved bone quality, which in turn may have increased the Ca source available for sustained eggshell production (Edmond et al., 2005). </w:t>
      </w:r>
      <w:r w:rsidRPr="00286A88">
        <w:rPr>
          <w:rFonts w:eastAsia="Times New Roman"/>
          <w:lang w:val="en-AU" w:eastAsia="en-GB"/>
        </w:rPr>
        <w:t>European legislation concerning minimum standards for the protection of laying hens states that adequate perches should be provided in enriched cages as well as in alternative systems for laying hens (</w:t>
      </w:r>
      <w:r w:rsidR="00793ACC">
        <w:rPr>
          <w:rFonts w:eastAsia="Times New Roman"/>
          <w:lang w:val="en-AU" w:eastAsia="en-GB"/>
        </w:rPr>
        <w:t>AHAW</w:t>
      </w:r>
      <w:r w:rsidRPr="00286A88">
        <w:rPr>
          <w:rFonts w:eastAsia="Times New Roman"/>
          <w:lang w:val="en-AU" w:eastAsia="en-GB"/>
        </w:rPr>
        <w:t>, 2010), and there is every reason that similar recommendations should also apply to broiler breeders.</w:t>
      </w:r>
    </w:p>
    <w:p w14:paraId="3267AB6D" w14:textId="77777777" w:rsidR="00286A88" w:rsidRPr="00286A88" w:rsidRDefault="00286A88" w:rsidP="001E6383">
      <w:pPr>
        <w:pStyle w:val="Heading3"/>
        <w:rPr>
          <w:lang w:val="en-AU" w:eastAsia="en-AU"/>
        </w:rPr>
      </w:pPr>
      <w:bookmarkStart w:id="156" w:name="_Toc495310625"/>
      <w:r w:rsidRPr="00286A88">
        <w:rPr>
          <w:lang w:val="en-AU" w:eastAsia="en-AU"/>
        </w:rPr>
        <w:t>BB4.3 Behavioural need to forage</w:t>
      </w:r>
      <w:bookmarkEnd w:id="156"/>
    </w:p>
    <w:p w14:paraId="4E28369C" w14:textId="77777777" w:rsidR="00286A88" w:rsidRPr="001E6383" w:rsidRDefault="00286A88" w:rsidP="001E6383">
      <w:pPr>
        <w:rPr>
          <w:i/>
          <w:lang w:val="en-GB"/>
        </w:rPr>
      </w:pPr>
      <w:r w:rsidRPr="001E6383">
        <w:rPr>
          <w:i/>
          <w:lang w:val="en-GB"/>
        </w:rPr>
        <w:t>Since broiler breeders demonstrate an innate drive to perform foraging (litter-pecking) activity a suitable substrate (good quality litter) should be made available.</w:t>
      </w:r>
    </w:p>
    <w:p w14:paraId="77C3D97B" w14:textId="77777777" w:rsidR="00286A88" w:rsidRPr="00286A88" w:rsidRDefault="00286A88" w:rsidP="001E6383">
      <w:pPr>
        <w:rPr>
          <w:rFonts w:cs="AdvP4CD4D0"/>
          <w:lang w:val="en-GB"/>
        </w:rPr>
      </w:pPr>
      <w:r w:rsidRPr="00286A88">
        <w:rPr>
          <w:lang w:val="en-GB"/>
        </w:rPr>
        <w:t xml:space="preserve">Broiler breeders, like layers, spend a large proportion of their day performing active foraging behaviour (litter pecking and ground scratching). This is highlighted by a study which compared time-budgets of standard and dwarf breeders fed </w:t>
      </w:r>
      <w:r w:rsidRPr="00286A88">
        <w:rPr>
          <w:i/>
          <w:lang w:val="en-GB"/>
        </w:rPr>
        <w:t>ad libitum</w:t>
      </w:r>
      <w:r w:rsidRPr="00286A88">
        <w:rPr>
          <w:lang w:val="en-GB"/>
        </w:rPr>
        <w:t xml:space="preserve"> and standard breeders subjected to quantitative feed restriction; 10-12% of all behaviour performed was foraging (litter-pecking), regardless of diet and, presumably, hunger (see Figure BB1: Puterflam et al., 2006).</w:t>
      </w:r>
    </w:p>
    <w:p w14:paraId="2F7B4995" w14:textId="77777777" w:rsidR="00286A88" w:rsidRPr="00286A88" w:rsidRDefault="00286A88" w:rsidP="001E6383">
      <w:pPr>
        <w:rPr>
          <w:rFonts w:eastAsia="Times New Roman" w:cs="AdvP4CD4D0"/>
          <w:lang w:val="en-AU" w:eastAsia="en-AU"/>
        </w:rPr>
      </w:pPr>
    </w:p>
    <w:p w14:paraId="27C2A362" w14:textId="77777777" w:rsidR="00286A88" w:rsidRPr="00864384" w:rsidRDefault="00286A88" w:rsidP="00286A88">
      <w:pPr>
        <w:autoSpaceDE w:val="0"/>
        <w:autoSpaceDN w:val="0"/>
        <w:adjustRightInd w:val="0"/>
        <w:spacing w:after="0" w:line="240" w:lineRule="auto"/>
        <w:contextualSpacing/>
        <w:jc w:val="both"/>
        <w:rPr>
          <w:rFonts w:eastAsia="Times New Roman" w:cs="Arial"/>
          <w:color w:val="000000"/>
          <w:sz w:val="22"/>
          <w:szCs w:val="22"/>
          <w:lang w:val="en-AU" w:eastAsia="en-AU"/>
        </w:rPr>
      </w:pPr>
      <w:r w:rsidRPr="00864384">
        <w:rPr>
          <w:rFonts w:eastAsia="Times New Roman" w:cs="Arial"/>
          <w:noProof/>
          <w:color w:val="000000"/>
          <w:sz w:val="22"/>
          <w:szCs w:val="22"/>
          <w:lang w:val="en-AU" w:eastAsia="en-AU"/>
        </w:rPr>
        <w:drawing>
          <wp:inline distT="0" distB="0" distL="0" distR="0" wp14:anchorId="75E8DAD4" wp14:editId="011FEB15">
            <wp:extent cx="5731510" cy="1992630"/>
            <wp:effectExtent l="0" t="0" r="2540" b="7620"/>
            <wp:docPr id="23" name="Picture 5" descr="This figure shows three pie charts, of the time budgets of broiler breeders. The pie chart on the left hand side shows the time budget of ad libitum fed standard broiler breeders. The middle pie chart shows the time budget of feed-restricted standard broiler breeders. The pie chart on the right shows the time budget of ad libitum fed slow-growing dwarf broiler breeders. The activities shown in the pie charts are walk, stand, rest, eat, drink, preen, peck feeder, peck litter. The data in these pie charts is from a scientific paper by Puterflam et al. (2006)." title="Figure BB1: Time budget (%) during the rearing phase of ad libitum fed standard breeders, restricted-fed standard breeders and ad libitum fed dwarf breeders, 1 hour prior to fee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2.png"/>
                    <pic:cNvPicPr/>
                  </pic:nvPicPr>
                  <pic:blipFill>
                    <a:blip r:embed="rId65" cstate="print"/>
                    <a:stretch>
                      <a:fillRect/>
                    </a:stretch>
                  </pic:blipFill>
                  <pic:spPr>
                    <a:xfrm>
                      <a:off x="0" y="0"/>
                      <a:ext cx="5731510" cy="1992630"/>
                    </a:xfrm>
                    <a:prstGeom prst="rect">
                      <a:avLst/>
                    </a:prstGeom>
                  </pic:spPr>
                </pic:pic>
              </a:graphicData>
            </a:graphic>
          </wp:inline>
        </w:drawing>
      </w:r>
    </w:p>
    <w:p w14:paraId="7102C0AA" w14:textId="77777777" w:rsidR="00286A88" w:rsidRPr="00286A88" w:rsidRDefault="00286A88" w:rsidP="001E6383">
      <w:pPr>
        <w:spacing w:before="240" w:after="240"/>
        <w:rPr>
          <w:rFonts w:cs="AdvP4CD4D0"/>
          <w:b/>
          <w:lang w:val="en-AU" w:eastAsia="en-AU"/>
        </w:rPr>
      </w:pPr>
      <w:r w:rsidRPr="00286A88">
        <w:rPr>
          <w:rFonts w:cs="AdvP4CD4D0"/>
          <w:b/>
          <w:lang w:val="en-AU" w:eastAsia="en-AU"/>
        </w:rPr>
        <w:t xml:space="preserve">Figure BB1: Time-budget (%) during the rearing phase of </w:t>
      </w:r>
      <w:r w:rsidRPr="00286A88">
        <w:rPr>
          <w:rFonts w:cs="AdvP4CD4D0"/>
          <w:b/>
          <w:i/>
          <w:lang w:val="en-AU" w:eastAsia="en-AU"/>
        </w:rPr>
        <w:t xml:space="preserve">ad libitum </w:t>
      </w:r>
      <w:r w:rsidRPr="00286A88">
        <w:rPr>
          <w:rFonts w:cs="AdvP4CD4D0"/>
          <w:b/>
          <w:lang w:val="en-AU" w:eastAsia="en-AU"/>
        </w:rPr>
        <w:t xml:space="preserve">fed standard breeders, restricted-fed standard breeders and </w:t>
      </w:r>
      <w:r w:rsidRPr="00286A88">
        <w:rPr>
          <w:rFonts w:cs="AdvP4CD4D0"/>
          <w:b/>
          <w:i/>
          <w:lang w:val="en-AU" w:eastAsia="en-AU"/>
        </w:rPr>
        <w:t>ad libitum</w:t>
      </w:r>
      <w:r w:rsidRPr="00286A88">
        <w:rPr>
          <w:rFonts w:cs="AdvP4CD4D0"/>
          <w:b/>
          <w:lang w:val="en-AU" w:eastAsia="en-AU"/>
        </w:rPr>
        <w:t xml:space="preserve"> fed dwarf breeders, 1 hour prior to feeding (data from Puterflam et al., 2006)</w:t>
      </w:r>
    </w:p>
    <w:p w14:paraId="11A62056" w14:textId="77777777" w:rsidR="00286A88" w:rsidRPr="00286A88" w:rsidRDefault="00286A88" w:rsidP="001E6383">
      <w:pPr>
        <w:rPr>
          <w:lang w:val="en-AU" w:eastAsia="en-AU"/>
        </w:rPr>
      </w:pPr>
      <w:r w:rsidRPr="00286A88">
        <w:rPr>
          <w:lang w:val="en-AU" w:eastAsia="en-AU"/>
        </w:rPr>
        <w:t xml:space="preserve">Hocking </w:t>
      </w:r>
      <w:r w:rsidRPr="00286A88">
        <w:rPr>
          <w:rFonts w:cs="AdvP4CD4D4"/>
          <w:lang w:val="en-AU" w:eastAsia="en-AU"/>
        </w:rPr>
        <w:t>et al</w:t>
      </w:r>
      <w:r w:rsidRPr="00286A88">
        <w:rPr>
          <w:lang w:val="en-AU" w:eastAsia="en-AU"/>
        </w:rPr>
        <w:t xml:space="preserve">. (1996) observed that breeders restricted to different proportions of </w:t>
      </w:r>
      <w:r w:rsidRPr="00286A88">
        <w:rPr>
          <w:rFonts w:cs="AdvP4CD4D4"/>
          <w:i/>
          <w:lang w:val="en-AU" w:eastAsia="en-AU"/>
        </w:rPr>
        <w:t>ad libitum</w:t>
      </w:r>
      <w:r w:rsidRPr="00286A88">
        <w:rPr>
          <w:rFonts w:cs="AdvP4CD4D4"/>
          <w:lang w:val="en-AU" w:eastAsia="en-AU"/>
        </w:rPr>
        <w:t xml:space="preserve"> </w:t>
      </w:r>
      <w:r w:rsidRPr="00286A88">
        <w:rPr>
          <w:lang w:val="en-AU" w:eastAsia="en-AU"/>
        </w:rPr>
        <w:t xml:space="preserve">body weight spent similar proportions of time in total pecking activity. Breeders housed completely on slats were observed to spend proportionally more time standing, pecking the pen walls and other birds, and less time foraging and litter pecking than with birds housed completely on litter (Hocking et al., 2005). These results suggest that broiler breeders have an in-built drive for foraging activity that might be directed at inappropriate targets if suitable litter, or space for foraging, is not available. </w:t>
      </w:r>
      <w:r w:rsidRPr="00286A88">
        <w:rPr>
          <w:rFonts w:cs="AdvP403A40"/>
          <w:lang w:val="en-AU" w:eastAsia="en-AU"/>
        </w:rPr>
        <w:t>In addition, feed-restricted broiler breeders will work for the chance to perform exploratory and foraging behaviour (the appetitive phase of feeding) in the absence of a food reward (Dixon et al., 2014). The h</w:t>
      </w:r>
      <w:r w:rsidRPr="00286A88">
        <w:rPr>
          <w:rFonts w:cs="AdvP49811"/>
          <w:lang w:val="en-AU" w:eastAsia="en-AU"/>
        </w:rPr>
        <w:t>igh level of foraging motivation, even in the absence of food, is consistent with the suggestion that foraging behaviour in feed-restricted birds has de-arousing (stress reducing) properties (</w:t>
      </w:r>
      <w:r w:rsidRPr="00286A88">
        <w:rPr>
          <w:lang w:val="en-AU" w:eastAsia="en-AU"/>
        </w:rPr>
        <w:t xml:space="preserve">Savory </w:t>
      </w:r>
      <w:r w:rsidRPr="00286A88">
        <w:rPr>
          <w:rFonts w:cs="AdvP4CD4D4"/>
          <w:lang w:val="en-AU" w:eastAsia="en-AU"/>
        </w:rPr>
        <w:t>et al</w:t>
      </w:r>
      <w:r w:rsidRPr="00286A88">
        <w:rPr>
          <w:lang w:val="en-AU" w:eastAsia="en-AU"/>
        </w:rPr>
        <w:t>., 1992)</w:t>
      </w:r>
      <w:r w:rsidRPr="00286A88">
        <w:rPr>
          <w:rFonts w:cs="AdvP49811"/>
          <w:lang w:val="en-AU" w:eastAsia="en-AU"/>
        </w:rPr>
        <w:t xml:space="preserve">, and this </w:t>
      </w:r>
      <w:r w:rsidRPr="00286A88">
        <w:rPr>
          <w:rFonts w:cs="AdvP403A40"/>
          <w:lang w:val="en-AU" w:eastAsia="en-AU"/>
        </w:rPr>
        <w:t>provides additional evidence for the fundamental need for the provision of a suitable substrate (i.e. good quality, dry friable litter) in which breeders are able to perform this activity.</w:t>
      </w:r>
    </w:p>
    <w:p w14:paraId="2D335058" w14:textId="77777777" w:rsidR="00286A88" w:rsidRPr="00286A88" w:rsidRDefault="00286A88" w:rsidP="001E6383">
      <w:pPr>
        <w:pStyle w:val="Heading3"/>
        <w:rPr>
          <w:lang w:val="en-AU" w:eastAsia="en-AU"/>
        </w:rPr>
      </w:pPr>
      <w:bookmarkStart w:id="157" w:name="_Toc495310626"/>
      <w:r w:rsidRPr="00286A88">
        <w:rPr>
          <w:lang w:val="en-AU" w:eastAsia="en-AU"/>
        </w:rPr>
        <w:t>BB4.4 Social behaviour</w:t>
      </w:r>
      <w:bookmarkEnd w:id="157"/>
    </w:p>
    <w:p w14:paraId="249E164A" w14:textId="77777777" w:rsidR="00286A88" w:rsidRPr="001E6383" w:rsidRDefault="00286A88" w:rsidP="001E6383">
      <w:pPr>
        <w:rPr>
          <w:i/>
          <w:lang w:val="en-AU" w:eastAsia="en-AU"/>
        </w:rPr>
      </w:pPr>
      <w:r w:rsidRPr="001E6383">
        <w:rPr>
          <w:i/>
          <w:lang w:val="en-AU" w:eastAsia="en-AU"/>
        </w:rPr>
        <w:t>Although flock synchrony can be predicted, very little is known regarding social behaviour in broiler breeders</w:t>
      </w:r>
      <w:r w:rsidR="00054BD3">
        <w:rPr>
          <w:i/>
          <w:lang w:val="en-AU" w:eastAsia="en-AU"/>
        </w:rPr>
        <w:t>. Th</w:t>
      </w:r>
      <w:r w:rsidRPr="001E6383">
        <w:rPr>
          <w:i/>
          <w:lang w:val="en-AU" w:eastAsia="en-AU"/>
        </w:rPr>
        <w:t>e provision of artificial cover could help alleviate aggressive interactions.</w:t>
      </w:r>
    </w:p>
    <w:p w14:paraId="5FC9D1F3" w14:textId="77777777" w:rsidR="00286A88" w:rsidRDefault="00286A88" w:rsidP="001E6383">
      <w:pPr>
        <w:rPr>
          <w:rFonts w:cs="Times New Roman"/>
          <w:lang w:val="en-AU" w:eastAsia="en-AU"/>
        </w:rPr>
      </w:pPr>
      <w:r w:rsidRPr="00286A88">
        <w:rPr>
          <w:lang w:val="en-AU" w:eastAsia="en-AU"/>
        </w:rPr>
        <w:t xml:space="preserve">Very little data is available regarding social behaviour in broiler breeders, other than the tendency for breeders to perform incomplete courtship behaviour, and the associations of this with aggressive mating (see BB3.6). Marin et al. (2001) provided evidence for broilers to distinguish between familiar and unfamiliar individuals in novel environments; however, studies on laying hens suggest that once the group </w:t>
      </w:r>
      <w:r w:rsidRPr="00286A88">
        <w:rPr>
          <w:rFonts w:cs="Times New Roman"/>
          <w:lang w:val="en-AU" w:eastAsia="en-AU"/>
        </w:rPr>
        <w:t>size exceeds around 100 individuals, laying hens cannot distinguish between familiar and unfamiliar birds (see LH4.5). In both small and large flocks of chickens synchrony in the performance of behaviours such as feeding, dust-bathing and resting is commonly observed, and this is also likely to occur within breeder flocks, especially at meal-time. Facilities must, therefore, account for the tendencies of breeders to cluster; for example, the length of feed troughs should be sufficient to enable all birds to feed at once. Not only could the provision of vertical mesh panels within the central litter area provide a means for females to escape unwanted attention from males, as seen in the study of Leone and Estevez (2008), but such cover could also offer subordinate males a means of avoiding aggressive male-male interactions.</w:t>
      </w:r>
    </w:p>
    <w:p w14:paraId="5C88328A" w14:textId="77777777" w:rsidR="00286A88" w:rsidRPr="00286A88" w:rsidRDefault="00BA51E1" w:rsidP="00BA51E1">
      <w:pPr>
        <w:pStyle w:val="Heading2"/>
        <w:rPr>
          <w:lang w:val="en-AU" w:eastAsia="en-AU"/>
        </w:rPr>
      </w:pPr>
      <w:r>
        <w:rPr>
          <w:rFonts w:cs="Times New Roman"/>
          <w:lang w:val="en-AU" w:eastAsia="en-AU"/>
        </w:rPr>
        <w:br w:type="column"/>
      </w:r>
      <w:bookmarkStart w:id="158" w:name="_Toc495310627"/>
      <w:r w:rsidR="00286A88" w:rsidRPr="00286A88">
        <w:rPr>
          <w:lang w:val="en-AU" w:eastAsia="en-AU"/>
        </w:rPr>
        <w:t>BB5. Facilities and Equipment: Behavioural Usage</w:t>
      </w:r>
      <w:bookmarkEnd w:id="158"/>
    </w:p>
    <w:p w14:paraId="7007BB1C" w14:textId="77777777" w:rsidR="00286A88" w:rsidRPr="00286A88" w:rsidRDefault="00286A88" w:rsidP="001E6383">
      <w:pPr>
        <w:rPr>
          <w:lang w:val="en-AU" w:eastAsia="en-AU"/>
        </w:rPr>
      </w:pPr>
      <w:r w:rsidRPr="00286A88">
        <w:rPr>
          <w:lang w:val="en-AU" w:eastAsia="en-AU"/>
        </w:rPr>
        <w:t>No comprehensive data are available regarding husbandry and management systems of broiler breeders and little research has been conducted to study broiler breeder behaviour in any specific system. The health of the broiler breeders has the potential to affect the health of large numbers of commercial broilers so, to provide healthy chicks for production, it is considered crucial to manage their environment to be as disease-free as possible. Biosecurity, hygiene, and disease control are essential criteria in the design of breeder houses and their management. Grandparent stock are usually housed and managed in a similar manner to broiler breeders, but at lower stocking rates and with even greater biosecurity.</w:t>
      </w:r>
    </w:p>
    <w:p w14:paraId="73A21F59" w14:textId="77777777" w:rsidR="00286A88" w:rsidRPr="00286A88" w:rsidRDefault="00286A88" w:rsidP="001E6383">
      <w:pPr>
        <w:pStyle w:val="Heading3"/>
        <w:rPr>
          <w:lang w:val="en-AU" w:eastAsia="en-AU"/>
        </w:rPr>
      </w:pPr>
      <w:bookmarkStart w:id="159" w:name="_Toc495310628"/>
      <w:r w:rsidRPr="00286A88">
        <w:rPr>
          <w:lang w:val="en-AU" w:eastAsia="en-AU"/>
        </w:rPr>
        <w:t>BB5.1 Conventional cages</w:t>
      </w:r>
      <w:bookmarkEnd w:id="159"/>
    </w:p>
    <w:p w14:paraId="2D99950A" w14:textId="77777777" w:rsidR="00286A88" w:rsidRPr="001E6383" w:rsidRDefault="00286A88" w:rsidP="001E6383">
      <w:pPr>
        <w:rPr>
          <w:i/>
          <w:lang w:val="en-AU" w:eastAsia="en-AU"/>
        </w:rPr>
      </w:pPr>
      <w:r w:rsidRPr="001E6383">
        <w:rPr>
          <w:i/>
          <w:lang w:val="en-AU" w:eastAsia="en-AU"/>
        </w:rPr>
        <w:t>Conventional cages are not appropriate for housing broiler breeders as they do not fulfil the behavioural needs of the birds.</w:t>
      </w:r>
    </w:p>
    <w:p w14:paraId="77F77646" w14:textId="77777777" w:rsidR="00286A88" w:rsidRPr="00286A88" w:rsidRDefault="00286A88" w:rsidP="001E6383">
      <w:pPr>
        <w:rPr>
          <w:rFonts w:cs="Times New Roman"/>
          <w:lang w:val="en-AU" w:eastAsia="en-AU"/>
        </w:rPr>
      </w:pPr>
      <w:r w:rsidRPr="00286A88">
        <w:rPr>
          <w:lang w:val="en-AU" w:eastAsia="en-AU"/>
        </w:rPr>
        <w:t>In broiler breeding programs, a lot of selection criteria have to be measured individually and some of them can only be measured in speci</w:t>
      </w:r>
      <w:r w:rsidRPr="00286A88">
        <w:rPr>
          <w:rFonts w:cs="AdvTT5843c571+fb"/>
          <w:lang w:val="en-AU" w:eastAsia="en-AU"/>
        </w:rPr>
        <w:t>fi</w:t>
      </w:r>
      <w:r w:rsidRPr="00286A88">
        <w:rPr>
          <w:lang w:val="en-AU" w:eastAsia="en-AU"/>
        </w:rPr>
        <w:t>c environments such as individual cages or challenging conditions (</w:t>
      </w:r>
      <w:r w:rsidRPr="00286A88">
        <w:rPr>
          <w:rFonts w:cs="AdvTTc1564962.I"/>
          <w:lang w:val="en-AU" w:eastAsia="en-AU"/>
        </w:rPr>
        <w:t xml:space="preserve">e.g. </w:t>
      </w:r>
      <w:r w:rsidRPr="00286A88">
        <w:rPr>
          <w:lang w:val="en-AU" w:eastAsia="en-AU"/>
        </w:rPr>
        <w:t xml:space="preserve">robustness in a poor environment); as a consequence, some </w:t>
      </w:r>
      <w:r w:rsidRPr="00286A88">
        <w:rPr>
          <w:rFonts w:cs="Times New Roman"/>
          <w:lang w:val="en-AU" w:eastAsia="en-AU"/>
        </w:rPr>
        <w:t>grandparent</w:t>
      </w:r>
      <w:r w:rsidRPr="00286A88">
        <w:rPr>
          <w:lang w:val="en-AU" w:eastAsia="en-AU"/>
        </w:rPr>
        <w:t xml:space="preserve"> lines </w:t>
      </w:r>
      <w:r w:rsidRPr="00286A88">
        <w:rPr>
          <w:rFonts w:cs="Times New Roman"/>
          <w:lang w:val="en-AU" w:eastAsia="en-AU"/>
        </w:rPr>
        <w:t>are housed in conventional group cages (without any enrichment) and artificial insemination is used for breeding</w:t>
      </w:r>
      <w:r w:rsidRPr="00286A88">
        <w:rPr>
          <w:lang w:val="en-AU" w:eastAsia="en-AU"/>
        </w:rPr>
        <w:t xml:space="preserve"> (de Jong and G</w:t>
      </w:r>
      <w:r w:rsidRPr="00286A88">
        <w:rPr>
          <w:rFonts w:eastAsia="MS Mincho"/>
          <w:lang w:val="en-AU" w:eastAsia="en-AU"/>
        </w:rPr>
        <w:t>uémené, 2011).</w:t>
      </w:r>
      <w:r w:rsidRPr="00286A88">
        <w:rPr>
          <w:rFonts w:cs="Times New Roman"/>
          <w:lang w:val="en-AU" w:eastAsia="en-AU"/>
        </w:rPr>
        <w:t xml:space="preserve"> A small proportion of breeder hens (equivalent to 1-2% of all European breeding stock) are also single or group housed in conventional cage systems (</w:t>
      </w:r>
      <w:r w:rsidR="00793ACC">
        <w:rPr>
          <w:rFonts w:cs="Times New Roman"/>
          <w:lang w:val="en-AU" w:eastAsia="en-AU"/>
        </w:rPr>
        <w:t>AHAW</w:t>
      </w:r>
      <w:r w:rsidRPr="00286A88">
        <w:rPr>
          <w:rFonts w:cs="Times New Roman"/>
          <w:lang w:val="en-AU" w:eastAsia="en-AU"/>
        </w:rPr>
        <w:t>, 2010). There is no literature on the effect of cage housing on broiler breeder welfare; however, since restricted-fed breeders and laying hens demonstrate similar behaviour (Hocking et al., 1993), we can assume that the effect of barren conventional cage housing on breeder welfare will not differ significantly from that of layers. Since laying hen studies have demonstrated that barren cages (without perches, litter and nest boxes) do not fulfil the behavioural needs of the hens (see LH5.1), this system is also unlikely to fulfil the behavioural needs of broiler breeders, and will, thus, severely compromise their welfare.</w:t>
      </w:r>
    </w:p>
    <w:p w14:paraId="6B814CDE" w14:textId="77777777" w:rsidR="00286A88" w:rsidRPr="00286A88" w:rsidRDefault="00286A88" w:rsidP="001E6383">
      <w:pPr>
        <w:pStyle w:val="Heading3"/>
        <w:rPr>
          <w:lang w:val="en-AU" w:eastAsia="en-AU"/>
        </w:rPr>
      </w:pPr>
      <w:bookmarkStart w:id="160" w:name="_Toc495310629"/>
      <w:r w:rsidRPr="00286A88">
        <w:rPr>
          <w:lang w:val="en-AU" w:eastAsia="en-AU"/>
        </w:rPr>
        <w:t>BB5.2 Furnished (enriched, colony) cages</w:t>
      </w:r>
      <w:bookmarkEnd w:id="160"/>
    </w:p>
    <w:p w14:paraId="5A6EE126" w14:textId="77777777" w:rsidR="00286A88" w:rsidRPr="001E6383" w:rsidRDefault="00286A88" w:rsidP="001E6383">
      <w:pPr>
        <w:rPr>
          <w:i/>
          <w:lang w:val="en-AU" w:eastAsia="en-AU"/>
        </w:rPr>
      </w:pPr>
      <w:r w:rsidRPr="001E6383">
        <w:rPr>
          <w:i/>
          <w:lang w:val="en-AU" w:eastAsia="en-AU"/>
        </w:rPr>
        <w:t>Furnished cages for use with broiler breeders should be of the same standard currently used to house laying hens, i.e. contain litter to facilitate foraging and dust-bathing behaviour.</w:t>
      </w:r>
    </w:p>
    <w:p w14:paraId="6AC05C6C" w14:textId="77777777" w:rsidR="00286A88" w:rsidRPr="00286A88" w:rsidRDefault="00286A88" w:rsidP="001E6383">
      <w:pPr>
        <w:rPr>
          <w:lang w:val="en-AU" w:eastAsia="en-AU"/>
        </w:rPr>
      </w:pPr>
      <w:r w:rsidRPr="00286A88">
        <w:rPr>
          <w:rFonts w:cs="AdvTT5843c571"/>
          <w:lang w:val="en-AU" w:eastAsia="en-AU"/>
        </w:rPr>
        <w:t xml:space="preserve">A </w:t>
      </w:r>
      <w:r w:rsidRPr="00286A88">
        <w:rPr>
          <w:lang w:val="en-AU" w:eastAsia="en-AU"/>
        </w:rPr>
        <w:t>limited number of farms house broiler breeders within multi-tier (‘colony’) cage systems during the production period. Each cage houses about 60-100 birds, allows natural mating, and is furnished with nests and perches, but without litter; less than 5% of European parent stock are housed within such systems (</w:t>
      </w:r>
      <w:r w:rsidR="00793ACC">
        <w:rPr>
          <w:lang w:val="en-AU" w:eastAsia="en-AU"/>
        </w:rPr>
        <w:t>AHAW</w:t>
      </w:r>
      <w:r w:rsidRPr="00286A88">
        <w:rPr>
          <w:lang w:val="en-AU" w:eastAsia="en-AU"/>
        </w:rPr>
        <w:t>, 2010). Behaviour within this cage-type may be hypothesised to be similar to that observed in layers maintained within enriched cages (see LH5.2); however, since breeder cages do not have litter they are not completely comparable. Dust-bathing and foraging behaviours are known to be important for chickens in general, and are also likely to be highly-motivated behaviours for broiler breeders (see BB4.3). Space restrictions within the cages and the inability to fully perform motivated behaviours within this housing system will have a negative impact upon the welfare of these birds.</w:t>
      </w:r>
    </w:p>
    <w:p w14:paraId="70A69178" w14:textId="77777777" w:rsidR="00286A88" w:rsidRPr="00286A88" w:rsidRDefault="00286A88" w:rsidP="001E6383">
      <w:pPr>
        <w:pStyle w:val="Heading3"/>
        <w:rPr>
          <w:lang w:val="en-AU" w:eastAsia="en-AU"/>
        </w:rPr>
      </w:pPr>
      <w:bookmarkStart w:id="161" w:name="_Toc495310630"/>
      <w:r w:rsidRPr="00286A88">
        <w:rPr>
          <w:lang w:val="en-AU" w:eastAsia="en-AU"/>
        </w:rPr>
        <w:t>BB5.3 Non-cage systems</w:t>
      </w:r>
      <w:bookmarkEnd w:id="161"/>
    </w:p>
    <w:p w14:paraId="41279A8F" w14:textId="77777777" w:rsidR="00286A88" w:rsidRPr="001E6383" w:rsidRDefault="00286A88" w:rsidP="001E6383">
      <w:pPr>
        <w:rPr>
          <w:i/>
          <w:lang w:val="en-AU" w:eastAsia="en-AU"/>
        </w:rPr>
      </w:pPr>
      <w:r w:rsidRPr="001E6383">
        <w:rPr>
          <w:i/>
          <w:lang w:val="en-AU" w:eastAsia="en-AU"/>
        </w:rPr>
        <w:t>The provision of females with elevated structures from a young age increases mobility and promotes access to the nest-boxes later on; modern nest-box design is optimum for egg collection but not ideal for the birds themselves. Good quality dry litter is essential for maximising constructive, and minimising aversive, behaviour; however, behaviour within these systems remains largely unstudied.</w:t>
      </w:r>
    </w:p>
    <w:p w14:paraId="2761446E" w14:textId="77777777" w:rsidR="00286A88" w:rsidRPr="00286A88" w:rsidRDefault="00286A88" w:rsidP="001E6383">
      <w:pPr>
        <w:rPr>
          <w:lang w:val="en-AU" w:eastAsia="en-AU"/>
        </w:rPr>
      </w:pPr>
      <w:r w:rsidRPr="00286A88">
        <w:rPr>
          <w:lang w:val="en-AU" w:eastAsia="en-AU"/>
        </w:rPr>
        <w:t>Two types of standard non-cage indoor housing system operate for broiler breeders; birds are either reared and lay within a single facility or, as per the American system, birds are transferred from rearing quarters to a production unit (laying house) with greater feeder space.</w:t>
      </w:r>
    </w:p>
    <w:p w14:paraId="598AF9B0" w14:textId="77777777" w:rsidR="00286A88" w:rsidRPr="00286A88" w:rsidRDefault="00286A88" w:rsidP="001E6383">
      <w:pPr>
        <w:pStyle w:val="Heading41"/>
      </w:pPr>
      <w:r w:rsidRPr="00286A88">
        <w:t>BB5.3a Ho</w:t>
      </w:r>
      <w:r w:rsidR="00E144DF">
        <w:t>using during the rearing period</w:t>
      </w:r>
    </w:p>
    <w:p w14:paraId="4399CAF3" w14:textId="77777777" w:rsidR="00286A88" w:rsidRPr="00286A88" w:rsidRDefault="00286A88" w:rsidP="001E6383">
      <w:pPr>
        <w:rPr>
          <w:rFonts w:cs="AdvP4CD4D0"/>
          <w:lang w:val="en-GB"/>
        </w:rPr>
      </w:pPr>
      <w:r w:rsidRPr="00286A88">
        <w:rPr>
          <w:lang w:val="en-GB"/>
        </w:rPr>
        <w:t xml:space="preserve">Standard breeder rearing houses are usually window-less as light exposure (photoperiod) is strictly managed to control sexual maturation; however, in Sweden it is a legal requirement to provide windows. During rearing litter (usually wood-shavings, peat or straw) usually covers the entire floor area. Perches or raised platforms are sometimes provided for the female groups at rear, to accustom the hens to different levels, and enable them to acquire balance and improve their mobility (develop jumping skills, etc.) to facilitate nesting behaviour later (Estevez, 2009, cited by </w:t>
      </w:r>
      <w:r w:rsidR="00793ACC">
        <w:rPr>
          <w:lang w:val="en-GB"/>
        </w:rPr>
        <w:t>AHAW</w:t>
      </w:r>
      <w:r w:rsidRPr="00286A88">
        <w:rPr>
          <w:lang w:val="en-GB"/>
        </w:rPr>
        <w:t xml:space="preserve">, 2010). Pelleted feed may be scattered on the floor manually, or via ‘spin feeders’, to encourage foraging behaviour, decrease food competition, and improve uniformity of body weight </w:t>
      </w:r>
      <w:r w:rsidRPr="00286A88">
        <w:rPr>
          <w:rFonts w:cs="AdvP4CD4D0"/>
          <w:lang w:val="en-GB"/>
        </w:rPr>
        <w:t xml:space="preserve">(Hocking et al., 2004); </w:t>
      </w:r>
      <w:r w:rsidRPr="00286A88">
        <w:rPr>
          <w:lang w:val="en-GB"/>
        </w:rPr>
        <w:t>grain, grit or oyster shell may be distributed in a similar manner as additional enrichment.</w:t>
      </w:r>
    </w:p>
    <w:p w14:paraId="7E0BA956" w14:textId="77777777" w:rsidR="00286A88" w:rsidRPr="00286A88" w:rsidRDefault="00286A88" w:rsidP="001E6383">
      <w:pPr>
        <w:pStyle w:val="Heading41"/>
      </w:pPr>
      <w:r w:rsidRPr="00286A88">
        <w:t>BB5.3b Housi</w:t>
      </w:r>
      <w:r w:rsidR="00E144DF">
        <w:t>ng during the production period</w:t>
      </w:r>
    </w:p>
    <w:p w14:paraId="206C3903" w14:textId="77777777" w:rsidR="00286A88" w:rsidRPr="00286A88" w:rsidRDefault="00286A88" w:rsidP="001E6383">
      <w:pPr>
        <w:rPr>
          <w:rFonts w:cs="AdvP4CD4D0"/>
          <w:lang w:val="en-AU" w:eastAsia="en-AU"/>
        </w:rPr>
      </w:pPr>
      <w:r w:rsidRPr="00286A88">
        <w:rPr>
          <w:lang w:val="en-AU" w:eastAsia="en-AU"/>
        </w:rPr>
        <w:t xml:space="preserve">Usually, houses have a littered scratch area (50-80%) and a raised slatted area (20-50%) positioned at a height of ≤60 cm above the litter surface. </w:t>
      </w:r>
      <w:r w:rsidRPr="00286A88">
        <w:rPr>
          <w:rFonts w:cs="Arial"/>
          <w:lang w:val="en-AU" w:eastAsia="en-AU"/>
        </w:rPr>
        <w:t xml:space="preserve">Non-cage systems provide space and resources for the birds to perform a wide range of active behaviours, including locomotor and comfort behaviours, nesting, dust-bathing and foraging. </w:t>
      </w:r>
      <w:r w:rsidRPr="00286A88">
        <w:rPr>
          <w:lang w:val="en-AU" w:eastAsia="en-AU"/>
        </w:rPr>
        <w:t xml:space="preserve">Enrichment is not commonly used in production houses, although sometimes perches and elevated platforms (required by legislation in Sweden and Norway) are present. There are no data on the use of these elevated structures (proportion of birds using them, or whether they are predominantly used at night or day). Maintaining good quality dry litter (often wood shavings or straw) is essential for keeping the nests and eggs clean and preventing FPD (see BB3.8). </w:t>
      </w:r>
      <w:r w:rsidRPr="00286A88">
        <w:rPr>
          <w:rFonts w:cs="Arial"/>
          <w:lang w:val="en-AU" w:eastAsia="en-AU"/>
        </w:rPr>
        <w:t xml:space="preserve">However, with insufficient ventilation litter areas can become wet and compacted (see BB8.3). </w:t>
      </w:r>
      <w:r w:rsidRPr="00286A88">
        <w:rPr>
          <w:rFonts w:cs="AdvP4CD4D0"/>
          <w:lang w:val="en-AU" w:eastAsia="en-AU"/>
        </w:rPr>
        <w:t>Hocking et al. (2005) observed less floor pecking and higher injurious feather pecking in breeders housed on just slats; this highlights the need to maintain good litter conditions to facilitate natural foraging in feed-restricted birds and minimise adverse behaviour.</w:t>
      </w:r>
    </w:p>
    <w:p w14:paraId="72D3E9CD" w14:textId="77777777" w:rsidR="00286A88" w:rsidRPr="00286A88" w:rsidRDefault="00286A88" w:rsidP="001E6383">
      <w:pPr>
        <w:rPr>
          <w:lang w:val="en-AU" w:eastAsia="en-AU"/>
        </w:rPr>
      </w:pPr>
      <w:r w:rsidRPr="00286A88">
        <w:rPr>
          <w:lang w:val="en-AU" w:eastAsia="en-AU"/>
        </w:rPr>
        <w:t>Natural mating is used in non-cage systems and aggression by males to females during mating can cause severe welfare problems (see BB3.6); however, the range and prevalence of typical injury severity within commercial production systems remains unknown. Nest-boxes are positioned on the slats and can either be individual boxes containing litter (wood-shavings or straw) with manual egg collection or, more commonly, collective nests with an automated collection belt. The industry in Europe recommends 4-5 hens per individual nest-box, or 40-90 hens/m for automatic collective nests (</w:t>
      </w:r>
      <w:r w:rsidR="00793ACC">
        <w:rPr>
          <w:lang w:val="en-AU" w:eastAsia="en-AU"/>
        </w:rPr>
        <w:t>AHAW</w:t>
      </w:r>
      <w:r w:rsidRPr="00286A88">
        <w:rPr>
          <w:lang w:val="en-AU" w:eastAsia="en-AU"/>
        </w:rPr>
        <w:t xml:space="preserve">, 2010). </w:t>
      </w:r>
      <w:r w:rsidRPr="00286A88">
        <w:rPr>
          <w:rFonts w:cs="Arial"/>
          <w:lang w:val="en-AU" w:eastAsia="en-AU"/>
        </w:rPr>
        <w:t>If some hens do not use the nest boxes then the resultant floor eggs are difficult to collect and likely to be dirty or broken (causing economic loss).</w:t>
      </w:r>
      <w:r w:rsidRPr="00286A88">
        <w:rPr>
          <w:lang w:val="en-AU" w:eastAsia="en-AU"/>
        </w:rPr>
        <w:t xml:space="preserve"> Hens may lay outside the nest-box due to competition for a preferred nest-site or a sub-optimal nest-box design. The majority of automated collection nest-boxes in use contain astro-turf or rubber matting (to minimise egg contact with the nest-box floor) and have an angled floor that allows the egg to roll onto a conveyor belt at the back of the nest-box. However, breeder hens appear to ‘prefer’ metal nest-boxes containing litter (63% of all eggs laid); less than half this number of eggs were laid in larger wooden nests with litter (30%), and only a very small number were laid in metal nest-boxes with rubber matting (2%) (Holcman et al., 2007).</w:t>
      </w:r>
    </w:p>
    <w:p w14:paraId="46BD42C7" w14:textId="77777777" w:rsidR="00286A88" w:rsidRPr="00286A88" w:rsidRDefault="00286A88" w:rsidP="001E6383">
      <w:pPr>
        <w:pStyle w:val="Heading3"/>
        <w:rPr>
          <w:lang w:val="en-AU" w:eastAsia="en-AU"/>
        </w:rPr>
      </w:pPr>
      <w:bookmarkStart w:id="162" w:name="_Toc495310631"/>
      <w:r w:rsidRPr="00286A88">
        <w:rPr>
          <w:lang w:val="en-AU" w:eastAsia="en-AU"/>
        </w:rPr>
        <w:t>BB5.4 Free-range systems</w:t>
      </w:r>
      <w:bookmarkEnd w:id="162"/>
    </w:p>
    <w:p w14:paraId="65B795F2" w14:textId="77777777" w:rsidR="00286A88" w:rsidRPr="001E6383" w:rsidRDefault="00286A88" w:rsidP="001E6383">
      <w:pPr>
        <w:rPr>
          <w:i/>
          <w:lang w:val="en-AU" w:eastAsia="en-AU"/>
        </w:rPr>
      </w:pPr>
      <w:r w:rsidRPr="001E6383">
        <w:rPr>
          <w:i/>
          <w:lang w:val="en-AU" w:eastAsia="en-AU"/>
        </w:rPr>
        <w:t>Access to outdoor space will provide broiler breeders with the potential to perform a wide range of behaviours, but will carry a greater risk of exposure to infections and disease than indoor systems.</w:t>
      </w:r>
    </w:p>
    <w:p w14:paraId="4F0053F5" w14:textId="77777777" w:rsidR="00286A88" w:rsidRPr="00286A88" w:rsidRDefault="00286A88" w:rsidP="001E6383">
      <w:pPr>
        <w:rPr>
          <w:lang w:val="en-AU" w:eastAsia="en-AU"/>
        </w:rPr>
      </w:pPr>
      <w:r w:rsidRPr="00286A88">
        <w:rPr>
          <w:lang w:val="en-AU" w:eastAsia="en-AU"/>
        </w:rPr>
        <w:t>A very small number of organic broiler breeders are reared in free-range systems, but there is no specific data relating to their associated health and welfare issues. Although these birds have access to outdoor space and are able to demonstrate a full repertoire of natural behaviours, they may be at an increased risk of contracting infections and disease (see LH3.11b; LH3.12; B6.2), and will be exposed to ambient temperature and photoperiod. It has been suggested that the outdoor ranges of broiler flocks could be planted with nutritious forage as well as larger bushes and trees (see B6.1), and this is something that may benefit feed-restricted breeders and encourage them to forage outdoors and make full use of the outdoor space.</w:t>
      </w:r>
    </w:p>
    <w:p w14:paraId="5AA1BF2F" w14:textId="77777777" w:rsidR="00286A88" w:rsidRPr="00286A88" w:rsidRDefault="00286A88" w:rsidP="001E6383">
      <w:pPr>
        <w:pStyle w:val="Heading2"/>
        <w:rPr>
          <w:lang w:val="en-AU" w:eastAsia="en-AU"/>
        </w:rPr>
      </w:pPr>
      <w:bookmarkStart w:id="163" w:name="_Toc495310632"/>
      <w:r w:rsidRPr="00286A88">
        <w:rPr>
          <w:lang w:val="en-AU" w:eastAsia="en-AU"/>
        </w:rPr>
        <w:t>BB6. Fear and Distress</w:t>
      </w:r>
      <w:bookmarkEnd w:id="163"/>
    </w:p>
    <w:p w14:paraId="0A305E78" w14:textId="77777777" w:rsidR="00286A88" w:rsidRPr="00286A88" w:rsidRDefault="00286A88" w:rsidP="001E6383">
      <w:pPr>
        <w:pStyle w:val="Heading3"/>
        <w:rPr>
          <w:lang w:val="en-AU" w:eastAsia="en-AU"/>
        </w:rPr>
      </w:pPr>
      <w:bookmarkStart w:id="164" w:name="_Toc495310633"/>
      <w:r w:rsidRPr="00286A88">
        <w:rPr>
          <w:lang w:val="en-AU" w:eastAsia="en-AU"/>
        </w:rPr>
        <w:t>BB6.1 Stress</w:t>
      </w:r>
      <w:bookmarkEnd w:id="164"/>
    </w:p>
    <w:p w14:paraId="7CA4E6C0" w14:textId="77777777" w:rsidR="00286A88" w:rsidRPr="001E6383" w:rsidRDefault="00286A88" w:rsidP="001E6383">
      <w:pPr>
        <w:rPr>
          <w:i/>
          <w:lang w:val="en-AU" w:eastAsia="en-AU"/>
        </w:rPr>
      </w:pPr>
      <w:r w:rsidRPr="001E6383">
        <w:rPr>
          <w:i/>
          <w:lang w:val="en-AU" w:eastAsia="en-AU"/>
        </w:rPr>
        <w:t>The use of markers of physiological stress to denote psychological stress in feed-restricted broiler breeders is confounded by the influence of metabolic stress</w:t>
      </w:r>
      <w:r w:rsidR="00D95F19">
        <w:rPr>
          <w:i/>
          <w:lang w:val="en-AU" w:eastAsia="en-AU"/>
        </w:rPr>
        <w:t>. C</w:t>
      </w:r>
      <w:r w:rsidRPr="001E6383">
        <w:rPr>
          <w:i/>
          <w:lang w:val="en-AU" w:eastAsia="en-AU"/>
        </w:rPr>
        <w:t>hronic male aggression is likely to be a key stressor in non-cage housed systems.</w:t>
      </w:r>
    </w:p>
    <w:p w14:paraId="5D3546B0" w14:textId="77777777" w:rsidR="00286A88" w:rsidRPr="00286A88" w:rsidRDefault="00286A88" w:rsidP="001E6383">
      <w:pPr>
        <w:rPr>
          <w:rFonts w:cs="HIECB B+ Gulliver RM"/>
          <w:lang w:val="en-AU" w:eastAsia="en-AU"/>
        </w:rPr>
      </w:pPr>
      <w:r w:rsidRPr="00286A88">
        <w:rPr>
          <w:rFonts w:cs="TimesNewRomanPS-BoldMT"/>
          <w:bCs/>
          <w:lang w:val="en-AU" w:eastAsia="en-AU"/>
        </w:rPr>
        <w:t>Incubation conditions influence the post-hatch stress response of broilers; the</w:t>
      </w:r>
      <w:r w:rsidRPr="00286A88">
        <w:rPr>
          <w:lang w:val="en-AU" w:eastAsia="en-AU"/>
        </w:rPr>
        <w:t xml:space="preserve"> provision of light during incubation reduces corticosterone levels in chicks following handling, and in grown broilers following crating, compared to broilers incubated in darkness</w:t>
      </w:r>
      <w:r w:rsidRPr="00286A88">
        <w:rPr>
          <w:rFonts w:cs="RealpageBAS4"/>
          <w:lang w:val="en-AU" w:eastAsia="en-AU"/>
        </w:rPr>
        <w:t xml:space="preserve"> (see B7.2); this is also likely to apply to breeders.</w:t>
      </w:r>
    </w:p>
    <w:p w14:paraId="5FE5C05A" w14:textId="77777777" w:rsidR="00286A88" w:rsidRPr="00286A88" w:rsidRDefault="00286A88" w:rsidP="001E6383">
      <w:pPr>
        <w:rPr>
          <w:rFonts w:cs="Times New Roman"/>
          <w:lang w:val="en-AU" w:eastAsia="en-AU"/>
        </w:rPr>
      </w:pPr>
      <w:r w:rsidRPr="00286A88">
        <w:rPr>
          <w:rFonts w:cs="Times New Roman"/>
          <w:lang w:val="en-AU" w:eastAsia="en-AU"/>
        </w:rPr>
        <w:t xml:space="preserve">Plasma corticosterone is elevated in feed-restricted broiler breeders during rear compared to birds fed </w:t>
      </w:r>
      <w:r w:rsidRPr="00286A88">
        <w:rPr>
          <w:rFonts w:cs="Times New Roman"/>
          <w:i/>
          <w:lang w:val="en-AU" w:eastAsia="en-AU"/>
        </w:rPr>
        <w:t xml:space="preserve">ad libitum </w:t>
      </w:r>
      <w:r w:rsidRPr="00286A88">
        <w:rPr>
          <w:rFonts w:cs="Times New Roman"/>
          <w:lang w:val="en-AU" w:eastAsia="en-AU"/>
        </w:rPr>
        <w:t xml:space="preserve">and there is </w:t>
      </w:r>
      <w:r w:rsidRPr="00286A88">
        <w:rPr>
          <w:rFonts w:cs="AdvTT5843c571"/>
          <w:lang w:val="en-AU" w:eastAsia="en-AU"/>
        </w:rPr>
        <w:t xml:space="preserve">a positive relationship between the level of feed restriction and corticosterone (see BB2.1c). </w:t>
      </w:r>
      <w:r w:rsidRPr="00286A88">
        <w:rPr>
          <w:rFonts w:cs="Times New Roman"/>
          <w:lang w:val="en-AU" w:eastAsia="en-AU"/>
        </w:rPr>
        <w:t>Although these results may indicate that restricted breeders are chronically psychologically stressed (</w:t>
      </w:r>
      <w:r w:rsidRPr="00286A88">
        <w:rPr>
          <w:rFonts w:cs="AdvTT5843c571"/>
          <w:lang w:val="en-AU" w:eastAsia="en-AU"/>
        </w:rPr>
        <w:t xml:space="preserve">i.e. are experiencing feelings of hunger or frustration) </w:t>
      </w:r>
      <w:r w:rsidRPr="00286A88">
        <w:rPr>
          <w:rFonts w:cs="Times New Roman"/>
          <w:lang w:val="en-AU" w:eastAsia="en-AU"/>
        </w:rPr>
        <w:t xml:space="preserve">they are also likely to be subject to metabolic stress since corticosterone has a key role in energy homeostasis and the regulation of blood glucose levels. However, feed restricted birds also demonstrate an elevated corticosterone response to an acute stressor (i.e. they are more responsive to stress; see BB2.1c). </w:t>
      </w:r>
      <w:r w:rsidRPr="00286A88">
        <w:rPr>
          <w:rFonts w:cs="AdvTT5843c571"/>
          <w:lang w:val="en-AU" w:eastAsia="en-AU"/>
        </w:rPr>
        <w:t xml:space="preserve">The use of white blood cells as an index of chronic stress associated with food restriction has come under question, as although H:L ratios do increase following feed restriction, extreme differences in body weight appear necessary </w:t>
      </w:r>
      <w:r w:rsidRPr="00286A88">
        <w:rPr>
          <w:rFonts w:cs="Times New Roman"/>
          <w:lang w:val="en-AU" w:eastAsia="en-AU"/>
        </w:rPr>
        <w:t>(see BB2.1c).</w:t>
      </w:r>
      <w:r w:rsidRPr="00286A88">
        <w:rPr>
          <w:rFonts w:cs="Times New Roman"/>
          <w:b/>
          <w:lang w:val="en-AU" w:eastAsia="en-AU"/>
        </w:rPr>
        <w:t xml:space="preserve"> </w:t>
      </w:r>
      <w:r w:rsidRPr="00286A88">
        <w:rPr>
          <w:rFonts w:cs="Times New Roman"/>
          <w:lang w:val="en-AU" w:eastAsia="en-AU"/>
        </w:rPr>
        <w:t>During rearing, feed may be provided every day or via skip-a-day feeding programmes; however, neither behavioural measurements, nor H:L ratios, have demonstrated differences in stress indices between these two feeding regimes (Skinner-Noble and Teeter, 2009). Scatter-feeding and feeding twice daily during rearing increased eating time but had no positive effect upon physiological measures of stress and hunger (de Jong et al., 2005b). Research in this area remains very limited and more studies will be necessary to draw firm conclusions about feeding programmes in relation to bird welfare.</w:t>
      </w:r>
    </w:p>
    <w:p w14:paraId="0C11248D" w14:textId="77777777" w:rsidR="00286A88" w:rsidRPr="00286A88" w:rsidRDefault="00286A88" w:rsidP="001E6383">
      <w:pPr>
        <w:rPr>
          <w:rFonts w:cs="AdvP4CD4D0"/>
          <w:lang w:val="en-AU" w:eastAsia="en-AU"/>
        </w:rPr>
      </w:pPr>
      <w:r w:rsidRPr="00286A88">
        <w:rPr>
          <w:rFonts w:cs="AdvP4CD4D2"/>
          <w:lang w:val="en-AU" w:eastAsia="en-AU"/>
        </w:rPr>
        <w:t xml:space="preserve">Stocking rate </w:t>
      </w:r>
      <w:r w:rsidRPr="00286A88">
        <w:rPr>
          <w:rFonts w:cs="AdvP4CD4D0"/>
          <w:lang w:val="en-AU" w:eastAsia="en-AU"/>
        </w:rPr>
        <w:t>(5-11 breeders/m</w:t>
      </w:r>
      <w:r w:rsidRPr="00286A88">
        <w:rPr>
          <w:rFonts w:cs="AdvP4CD4D0"/>
          <w:vertAlign w:val="superscript"/>
          <w:lang w:val="en-AU" w:eastAsia="en-AU"/>
        </w:rPr>
        <w:t>2</w:t>
      </w:r>
      <w:r w:rsidRPr="00286A88">
        <w:rPr>
          <w:rFonts w:cs="AdvP4CD4D0"/>
          <w:lang w:val="en-AU" w:eastAsia="en-AU"/>
        </w:rPr>
        <w:t xml:space="preserve">) </w:t>
      </w:r>
      <w:r w:rsidRPr="00286A88">
        <w:rPr>
          <w:rFonts w:cs="AdvP4CD4D2"/>
          <w:lang w:val="en-AU" w:eastAsia="en-AU"/>
        </w:rPr>
        <w:t xml:space="preserve">was not seen to influence H:L ratio (Spinu et al., 2003). </w:t>
      </w:r>
      <w:r w:rsidRPr="00286A88">
        <w:rPr>
          <w:rFonts w:cs="AdvP4CD4D0"/>
          <w:lang w:val="en-AU" w:eastAsia="en-AU"/>
        </w:rPr>
        <w:t xml:space="preserve">Housing feed-restricted broiler breeders under low or high ambient temperatures (annual range: 7-33 °C) did not appear to affect H:L ratios either; however, increased basophil numbers were observed at low temperatures </w:t>
      </w:r>
      <w:r w:rsidRPr="00286A88">
        <w:rPr>
          <w:rFonts w:cs="AdvP4CD4D2"/>
          <w:lang w:val="en-AU" w:eastAsia="en-AU"/>
        </w:rPr>
        <w:t>(Spinu et al., 2003)</w:t>
      </w:r>
      <w:r w:rsidRPr="00286A88">
        <w:rPr>
          <w:rFonts w:cs="AdvP4CD4D0"/>
          <w:lang w:val="en-AU" w:eastAsia="en-AU"/>
        </w:rPr>
        <w:t xml:space="preserve">; unlike the H:L ratio, which is often seen to return to baseline over time, basophil levels tend to remain elevated, and can thus be indicative of prolonged stress (Maxwell </w:t>
      </w:r>
      <w:r w:rsidRPr="00286A88">
        <w:rPr>
          <w:rFonts w:cs="AdvP4CD4D4"/>
          <w:lang w:val="en-AU" w:eastAsia="en-AU"/>
        </w:rPr>
        <w:t>et al</w:t>
      </w:r>
      <w:r w:rsidRPr="00286A88">
        <w:rPr>
          <w:rFonts w:cs="AdvP4CD4D0"/>
          <w:lang w:val="en-AU" w:eastAsia="en-AU"/>
        </w:rPr>
        <w:t>., 1990, cited by Spinu et al., 2003). Breeders housed on litter for 0-4 weeks and then moved onto a slatted area without litter had higher corticosterone concentrations than groups continuously housed on either litter or slats, or slats then litter; this suggests that the birds found the removal of this resource stressful (Hocking et al., 2005).</w:t>
      </w:r>
    </w:p>
    <w:p w14:paraId="08B3DF43" w14:textId="77777777" w:rsidR="00286A88" w:rsidRPr="00286A88" w:rsidRDefault="00286A88" w:rsidP="001E6383">
      <w:pPr>
        <w:rPr>
          <w:rFonts w:cs="Times New Roman"/>
          <w:lang w:val="en-AU" w:eastAsia="en-AU"/>
        </w:rPr>
      </w:pPr>
      <w:r w:rsidRPr="00286A88">
        <w:rPr>
          <w:rFonts w:cs="HIECB B+ Gulliver RM"/>
          <w:lang w:val="en-AU" w:eastAsia="en-AU"/>
        </w:rPr>
        <w:t>Male aggression is a prime cause for high stress levels in breeder flocks as both males and females can be subjected to harassment and sustain injuries (sexual and non-sexual)</w:t>
      </w:r>
      <w:r w:rsidRPr="00286A88">
        <w:rPr>
          <w:rFonts w:cs="Times New Roman"/>
          <w:lang w:val="en-AU" w:eastAsia="en-AU"/>
        </w:rPr>
        <w:t xml:space="preserve"> (see BB2.1b, BB3.5 and BB3.6); </w:t>
      </w:r>
      <w:r w:rsidRPr="00286A88">
        <w:rPr>
          <w:rFonts w:cs="HIECB B+ Gulliver RM"/>
          <w:lang w:val="en-AU" w:eastAsia="en-AU"/>
        </w:rPr>
        <w:t xml:space="preserve">environmental enrichment, such as vertical mesh-covered panels, could be used to reduce stress and fearfulness and improve bird welfare </w:t>
      </w:r>
      <w:r w:rsidRPr="00286A88">
        <w:rPr>
          <w:rFonts w:cs="Times New Roman"/>
          <w:lang w:val="en-AU" w:eastAsia="en-AU"/>
        </w:rPr>
        <w:t>(Leone and Estevez, 2008). Cage-housed breeders are likely to suffer from distress due to the restraint and handling associated with artificial insemination procedures (</w:t>
      </w:r>
      <w:r w:rsidR="00793ACC">
        <w:rPr>
          <w:rFonts w:cs="Times New Roman"/>
          <w:lang w:val="en-AU" w:eastAsia="en-AU"/>
        </w:rPr>
        <w:t>AHAW</w:t>
      </w:r>
      <w:r w:rsidRPr="00286A88">
        <w:rPr>
          <w:rFonts w:cs="Times New Roman"/>
          <w:lang w:val="en-AU" w:eastAsia="en-AU"/>
        </w:rPr>
        <w:t>, 2010).</w:t>
      </w:r>
    </w:p>
    <w:p w14:paraId="7788BCFE" w14:textId="77777777" w:rsidR="00286A88" w:rsidRPr="00286A88" w:rsidRDefault="00286A88" w:rsidP="001E6383">
      <w:pPr>
        <w:rPr>
          <w:rFonts w:eastAsia="ComputerModern-Regular"/>
          <w:lang w:val="en-AU" w:eastAsia="en-AU"/>
        </w:rPr>
      </w:pPr>
      <w:r w:rsidRPr="00286A88">
        <w:rPr>
          <w:rFonts w:cs="AdvP41153C"/>
          <w:lang w:val="en-AU" w:eastAsia="en-AU"/>
        </w:rPr>
        <w:t>Regular, positive, stockman contact appears to be useful in reducing stress reactivity in broilers; r</w:t>
      </w:r>
      <w:r w:rsidRPr="00286A88">
        <w:rPr>
          <w:rFonts w:cs="Arial"/>
          <w:shd w:val="clear" w:color="auto" w:fill="FFFFFF"/>
          <w:lang w:val="en-AU" w:eastAsia="en-AU"/>
        </w:rPr>
        <w:t xml:space="preserve">egular human (visual) contact within the first 3 weeks reduced stress reactions (H:L ratio) to handling and crating, compared to broilers that had never had human visual contact. </w:t>
      </w:r>
      <w:r w:rsidRPr="00286A88">
        <w:rPr>
          <w:rFonts w:eastAsia="ComputerModern-Regular"/>
          <w:lang w:val="en-AU" w:eastAsia="en-AU"/>
        </w:rPr>
        <w:t>Subjecting broilers to ‘pleasant’ human contact (gentle stroking) has also been reported to reduce stress reactions (H:L ratio and corticosterone) to transportation compared to a control treatment (no contact); broilers subjected to unpleasant handling (inverted swinging and aversive noise) had similar stress responses to the control group)</w:t>
      </w:r>
      <w:r w:rsidRPr="00286A88">
        <w:rPr>
          <w:rFonts w:cs="RealpageBAS4"/>
          <w:lang w:val="en-AU" w:eastAsia="en-AU"/>
        </w:rPr>
        <w:t xml:space="preserve"> (see B7.4).</w:t>
      </w:r>
    </w:p>
    <w:p w14:paraId="53C74A31" w14:textId="77777777" w:rsidR="00286A88" w:rsidRPr="00286A88" w:rsidRDefault="00286A88" w:rsidP="001E6383">
      <w:pPr>
        <w:pStyle w:val="Heading3"/>
        <w:rPr>
          <w:lang w:val="en-AU" w:eastAsia="en-AU"/>
        </w:rPr>
      </w:pPr>
      <w:bookmarkStart w:id="165" w:name="_Toc495310634"/>
      <w:r w:rsidRPr="00286A88">
        <w:rPr>
          <w:lang w:val="en-AU" w:eastAsia="en-AU"/>
        </w:rPr>
        <w:t>BB6.2 Fear</w:t>
      </w:r>
      <w:bookmarkEnd w:id="165"/>
    </w:p>
    <w:p w14:paraId="1F7625A0" w14:textId="77777777" w:rsidR="00286A88" w:rsidRPr="001E6383" w:rsidRDefault="00286A88" w:rsidP="001E6383">
      <w:pPr>
        <w:rPr>
          <w:i/>
          <w:lang w:val="en-AU" w:eastAsia="en-AU"/>
        </w:rPr>
      </w:pPr>
      <w:r w:rsidRPr="001E6383">
        <w:rPr>
          <w:i/>
          <w:lang w:val="en-AU" w:eastAsia="en-AU"/>
        </w:rPr>
        <w:t>Fearfulness triggered by male aggression may be alleviated via the provision of enrichment (especially elevated structures); as observed with broilers, the provision of light during incubation could also produce less fearful and stress-responsive breeder chicks.</w:t>
      </w:r>
    </w:p>
    <w:p w14:paraId="128E2D37" w14:textId="77777777" w:rsidR="00286A88" w:rsidRPr="00286A88" w:rsidRDefault="00286A88" w:rsidP="001E6383">
      <w:pPr>
        <w:rPr>
          <w:rFonts w:eastAsia="ComputerModern-Regular" w:cs="ComputerModern-Regular"/>
          <w:lang w:val="en-AU" w:eastAsia="en-AU"/>
        </w:rPr>
      </w:pPr>
      <w:r w:rsidRPr="00286A88">
        <w:rPr>
          <w:lang w:val="en-AU" w:eastAsia="en-AU"/>
        </w:rPr>
        <w:t xml:space="preserve">Parental effects and incubation conditions have been shown to be important in influencing the fear response in broilers, and these factors may also apply to broiler breeders themselves. Broilers produced by young breeders </w:t>
      </w:r>
      <w:r w:rsidRPr="00286A88">
        <w:rPr>
          <w:rFonts w:cs="TimesNewRomanPSMT"/>
          <w:lang w:val="en-AU" w:eastAsia="en-AU"/>
        </w:rPr>
        <w:t>are more fearful than broilers produced by older breeders (</w:t>
      </w:r>
      <w:r w:rsidRPr="00286A88">
        <w:rPr>
          <w:rFonts w:cs="RealpageBAS4"/>
          <w:lang w:val="en-AU" w:eastAsia="en-AU"/>
        </w:rPr>
        <w:t xml:space="preserve">see B7.2). </w:t>
      </w:r>
      <w:r w:rsidRPr="00286A88">
        <w:rPr>
          <w:rFonts w:eastAsia="ComputerModern-Regular" w:cs="ComputerModern-Regular"/>
          <w:lang w:val="en-AU" w:eastAsia="en-AU"/>
        </w:rPr>
        <w:t xml:space="preserve">Since broilers exposed to light during incubation were also shown to be less fearful </w:t>
      </w:r>
      <w:r w:rsidRPr="00286A88">
        <w:rPr>
          <w:rFonts w:eastAsia="GulliverRM" w:cs="GulliverRM"/>
          <w:lang w:val="en-AU" w:eastAsia="en-AU"/>
        </w:rPr>
        <w:t xml:space="preserve">than birds incubated in darkness, </w:t>
      </w:r>
      <w:r w:rsidRPr="00286A88">
        <w:rPr>
          <w:rFonts w:cs="JBDJD D+ Gulliver RM"/>
          <w:lang w:val="en-AU" w:eastAsia="en-AU"/>
        </w:rPr>
        <w:t xml:space="preserve">this suggests that </w:t>
      </w:r>
      <w:r w:rsidRPr="00286A88">
        <w:rPr>
          <w:rFonts w:eastAsia="ComputerModern-Regular" w:cs="ComputerModern-Regular"/>
          <w:lang w:val="en-AU" w:eastAsia="en-AU"/>
        </w:rPr>
        <w:t>light stimulation during embryogenesis produces chicks that are better adapted to the hatchery environment (indicated by long-term reductions in fearfulness and stress) and, as such, have improved post-hatch welfare (</w:t>
      </w:r>
      <w:r w:rsidRPr="00286A88">
        <w:rPr>
          <w:rFonts w:cs="RealpageBAS4"/>
          <w:lang w:val="en-AU" w:eastAsia="en-AU"/>
        </w:rPr>
        <w:t>see B7.3); this is also likely to apply to breeders.</w:t>
      </w:r>
    </w:p>
    <w:p w14:paraId="73695265" w14:textId="77777777" w:rsidR="00286A88" w:rsidRPr="00286A88" w:rsidRDefault="00286A88" w:rsidP="001E6383">
      <w:pPr>
        <w:rPr>
          <w:rFonts w:cs="Times New Roman"/>
          <w:lang w:val="en-AU" w:eastAsia="en-AU"/>
        </w:rPr>
      </w:pPr>
      <w:r w:rsidRPr="00286A88">
        <w:rPr>
          <w:rFonts w:cs="AdvP41153C"/>
          <w:lang w:val="en-AU" w:eastAsia="en-AU"/>
        </w:rPr>
        <w:t>Regular, positive, stockman contact appears to be useful in allaying fear in broilers. Even brief physical restraint can elevate underlying fear levels in broilers, and this effect can persist for at least one hour after the event; however, r</w:t>
      </w:r>
      <w:r w:rsidRPr="00286A88">
        <w:rPr>
          <w:rFonts w:cs="Arial"/>
          <w:shd w:val="clear" w:color="auto" w:fill="FFFFFF"/>
          <w:lang w:val="en-AU" w:eastAsia="en-AU"/>
        </w:rPr>
        <w:t xml:space="preserve">egular human (visual) contact during the first 3 weeks reduced fear to handling and crating, compared to broilers that had never received human contact. </w:t>
      </w:r>
      <w:r w:rsidRPr="00286A88">
        <w:rPr>
          <w:rFonts w:eastAsia="ComputerModern-Regular" w:cs="ComputerModern-Regular"/>
          <w:lang w:val="en-AU" w:eastAsia="en-AU"/>
        </w:rPr>
        <w:t xml:space="preserve">Subjecting broilers to ‘pleasant’ human contact (gentle stroking) has also been reported to reduce fear reactions to transportation compared to a control treatment (no contact); broilers subjected to unpleasant handling (inverted swinging and aversive noise) had similar fear responses to the control group. </w:t>
      </w:r>
      <w:r w:rsidRPr="00286A88">
        <w:rPr>
          <w:rFonts w:cs="RealpageBAS4"/>
          <w:lang w:val="en-AU" w:eastAsia="en-AU"/>
        </w:rPr>
        <w:t>Correlations between negative stockman attitudes, broiler fear of humans and mortality have also been identified (see B7.4).</w:t>
      </w:r>
    </w:p>
    <w:p w14:paraId="2A8AEE78" w14:textId="77777777" w:rsidR="00286A88" w:rsidRPr="00286A88" w:rsidRDefault="00286A88" w:rsidP="001E6383">
      <w:pPr>
        <w:rPr>
          <w:rFonts w:cs="Times New Roman"/>
          <w:noProof/>
          <w:lang w:val="en-AU" w:eastAsia="en-GB"/>
        </w:rPr>
      </w:pPr>
      <w:r w:rsidRPr="00286A88">
        <w:rPr>
          <w:rFonts w:cs="TimesNewRomanPSMT"/>
          <w:lang w:val="en-AU" w:eastAsia="en-AU"/>
        </w:rPr>
        <w:t>Aggression by male birds (sexual and non-sexual) is common during the production period (see BB</w:t>
      </w:r>
      <w:r w:rsidRPr="00286A88">
        <w:rPr>
          <w:rFonts w:cs="Times New Roman"/>
          <w:lang w:val="en-AU" w:eastAsia="en-AU"/>
        </w:rPr>
        <w:t>2.1b and</w:t>
      </w:r>
      <w:r w:rsidRPr="00286A88">
        <w:rPr>
          <w:rFonts w:cs="TimesNewRomanPSMT"/>
          <w:lang w:val="en-AU" w:eastAsia="en-AU"/>
        </w:rPr>
        <w:t xml:space="preserve"> BB3.6). Millman et al. (2000) observed broiler breeder hens to demonstrate behaviour associated with fear (including huddling, standing alert and alarm calling) </w:t>
      </w:r>
      <w:r w:rsidRPr="00286A88">
        <w:rPr>
          <w:rFonts w:cs="Palatino-Roman"/>
          <w:lang w:val="en-AU" w:eastAsia="en-AU"/>
        </w:rPr>
        <w:t xml:space="preserve">in pens where males displayed high levels of aggression. </w:t>
      </w:r>
      <w:r w:rsidRPr="00286A88">
        <w:rPr>
          <w:rFonts w:cs="Times New Roman"/>
          <w:noProof/>
          <w:lang w:val="en-AU" w:eastAsia="en-GB"/>
        </w:rPr>
        <w:t>Broiler breeder pullets display an increase in fear responses (as assessed by tonic immobility) with age; however, the provision of enrichment (perches) during rearing has been seen to attenuate this increase in fear (Brake et al., 1994).</w:t>
      </w:r>
    </w:p>
    <w:p w14:paraId="2EEB3C26" w14:textId="77777777" w:rsidR="00286A88" w:rsidRPr="00286A88" w:rsidRDefault="00286A88" w:rsidP="001E6383">
      <w:pPr>
        <w:pStyle w:val="Heading3"/>
        <w:rPr>
          <w:lang w:val="en-AU" w:eastAsia="en-AU"/>
        </w:rPr>
      </w:pPr>
      <w:bookmarkStart w:id="166" w:name="_Toc495310635"/>
      <w:r w:rsidRPr="00286A88">
        <w:rPr>
          <w:lang w:val="en-AU" w:eastAsia="en-AU"/>
        </w:rPr>
        <w:t>BB6.3 Impact upon production</w:t>
      </w:r>
      <w:bookmarkEnd w:id="166"/>
    </w:p>
    <w:p w14:paraId="116F4D62" w14:textId="77777777" w:rsidR="00286A88" w:rsidRPr="001E6383" w:rsidRDefault="00286A88" w:rsidP="001E6383">
      <w:pPr>
        <w:rPr>
          <w:i/>
          <w:lang w:val="en-AU" w:eastAsia="en-AU"/>
        </w:rPr>
      </w:pPr>
      <w:r w:rsidRPr="001E6383">
        <w:rPr>
          <w:i/>
          <w:lang w:val="en-AU" w:eastAsia="en-AU"/>
        </w:rPr>
        <w:t>Fear and stress are linked with reduced reproduction and production parameters (including eggshell quality and hatchability)</w:t>
      </w:r>
      <w:r w:rsidR="0011245E">
        <w:rPr>
          <w:i/>
          <w:lang w:val="en-AU" w:eastAsia="en-AU"/>
        </w:rPr>
        <w:t>. The</w:t>
      </w:r>
      <w:r w:rsidRPr="001E6383">
        <w:rPr>
          <w:i/>
          <w:lang w:val="en-AU" w:eastAsia="en-AU"/>
        </w:rPr>
        <w:t xml:space="preserve"> provision of enrichment (especially panels to provide ‘cover’) has been reported as helpful in reducing female fearfulness and stress.</w:t>
      </w:r>
    </w:p>
    <w:p w14:paraId="75F85854" w14:textId="77777777" w:rsidR="00286A88" w:rsidRDefault="00286A88" w:rsidP="00B509BB">
      <w:pPr>
        <w:rPr>
          <w:rFonts w:cs="Times New Roman"/>
          <w:lang w:val="en-AU" w:eastAsia="en-AU"/>
        </w:rPr>
      </w:pPr>
      <w:r w:rsidRPr="00286A88">
        <w:rPr>
          <w:lang w:val="en-AU" w:eastAsia="en-AU"/>
        </w:rPr>
        <w:t xml:space="preserve">Jones (1996) suggested that both eggshell quality and hatchability are reduced in fearful birds. Thus, it could be hypothesised that, birds reared within an enriched environment will be less aggressive, and hence less fearful, within the production period (lay) and will, as a consequence, produce better quality eggs. </w:t>
      </w:r>
      <w:r w:rsidRPr="00286A88">
        <w:rPr>
          <w:rFonts w:cs="Times New Roman"/>
          <w:lang w:val="en-AU" w:eastAsia="en-AU"/>
        </w:rPr>
        <w:t>The provision of vertical mesh-covered panels to provide artificial cover within the litter area of breeder sheds was seen to improve the flock reproductive performance, for reasons presumed to include reduced levels of female stress (Leone and Estevez, 2008).</w:t>
      </w:r>
    </w:p>
    <w:p w14:paraId="53618367" w14:textId="77777777" w:rsidR="00286A88" w:rsidRPr="00286A88" w:rsidRDefault="00BA51E1" w:rsidP="00B509BB">
      <w:pPr>
        <w:pStyle w:val="Heading2"/>
        <w:rPr>
          <w:lang w:val="en-AU" w:eastAsia="en-AU"/>
        </w:rPr>
      </w:pPr>
      <w:r>
        <w:rPr>
          <w:b w:val="0"/>
          <w:caps w:val="0"/>
          <w:color w:val="000000" w:themeColor="text1"/>
          <w:sz w:val="18"/>
          <w:szCs w:val="52"/>
          <w:lang w:val="en-AU" w:eastAsia="en-AU"/>
        </w:rPr>
        <w:br w:type="column"/>
      </w:r>
      <w:bookmarkStart w:id="167" w:name="_Toc495310636"/>
      <w:r w:rsidR="00286A88" w:rsidRPr="00286A88">
        <w:rPr>
          <w:lang w:val="en-AU" w:eastAsia="en-AU"/>
        </w:rPr>
        <w:t>BB7. Sensory Environment</w:t>
      </w:r>
      <w:bookmarkEnd w:id="167"/>
    </w:p>
    <w:p w14:paraId="5EFAEE0B" w14:textId="77777777" w:rsidR="00286A88" w:rsidRPr="00286A88" w:rsidRDefault="00286A88" w:rsidP="00B509BB">
      <w:pPr>
        <w:pStyle w:val="Heading3"/>
        <w:rPr>
          <w:lang w:val="en-AU" w:eastAsia="en-AU"/>
        </w:rPr>
      </w:pPr>
      <w:bookmarkStart w:id="168" w:name="_Toc495310637"/>
      <w:r w:rsidRPr="00286A88">
        <w:rPr>
          <w:lang w:val="en-AU" w:eastAsia="en-AU"/>
        </w:rPr>
        <w:t>BB7.1 Light and vision</w:t>
      </w:r>
      <w:bookmarkEnd w:id="168"/>
    </w:p>
    <w:p w14:paraId="5B8AFDDA" w14:textId="77777777" w:rsidR="00286A88" w:rsidRPr="00B509BB" w:rsidRDefault="00286A88" w:rsidP="00B509BB">
      <w:pPr>
        <w:rPr>
          <w:i/>
          <w:lang w:val="en-AU" w:eastAsia="en-AU"/>
        </w:rPr>
      </w:pPr>
      <w:r w:rsidRPr="00B509BB">
        <w:rPr>
          <w:i/>
          <w:lang w:val="en-AU" w:eastAsia="en-AU"/>
        </w:rPr>
        <w:t>Photostimulatory lighting regimes need to be carefully synchronised to prevent undesirable male sexual activity before the females are receptive; courtship behaviour is not improved, nor forced matings reduced following the provision of UV</w:t>
      </w:r>
      <w:r w:rsidRPr="00B509BB">
        <w:rPr>
          <w:i/>
          <w:vertAlign w:val="subscript"/>
          <w:lang w:val="en-AU" w:eastAsia="en-AU"/>
        </w:rPr>
        <w:t xml:space="preserve">A </w:t>
      </w:r>
      <w:r w:rsidRPr="00B509BB">
        <w:rPr>
          <w:i/>
          <w:lang w:val="en-AU" w:eastAsia="en-AU"/>
        </w:rPr>
        <w:t>light. A photoperiod of 16L:8D and light intensity of 600 lux appears to be appropriate during the production period (lay).</w:t>
      </w:r>
    </w:p>
    <w:p w14:paraId="7E397693" w14:textId="77777777" w:rsidR="00286A88" w:rsidRPr="00286A88" w:rsidRDefault="00286A88" w:rsidP="00B509BB">
      <w:pPr>
        <w:rPr>
          <w:lang w:val="en-AU" w:eastAsia="en-AU"/>
        </w:rPr>
      </w:pPr>
      <w:r w:rsidRPr="00286A88">
        <w:rPr>
          <w:lang w:val="en-AU" w:eastAsia="en-AU"/>
        </w:rPr>
        <w:t>The majority of research concerning broiler breeders and lighting has focused upon photoperiod, sexual development, and egg production. Lighting programmes for breeders are very similar to those recommended for laying hens, yet very different from those recommended for broilers. These usually comprise an 8 hour photoperiod during rear, then a transfer to a mildly stimulatory day length of 11-12 h at approximately 20 weeks, followed by a series of weekly increases in day-length to reach 15-16 h by 28 weeks (</w:t>
      </w:r>
      <w:r w:rsidR="00793ACC">
        <w:rPr>
          <w:lang w:val="en-AU" w:eastAsia="en-AU"/>
        </w:rPr>
        <w:t>AHAW</w:t>
      </w:r>
      <w:r w:rsidRPr="00286A88">
        <w:rPr>
          <w:lang w:val="en-AU" w:eastAsia="en-AU"/>
        </w:rPr>
        <w:t>, 2010). From a welfare perspective the timing of sexual maturation in males and females is important and should be synchronised (i.e. males should not be exposed to longer photostimulatory lighting regimes before 20 weeks) to prevent undesirable sexual activity before the females are receptive (see BB3.6).</w:t>
      </w:r>
    </w:p>
    <w:p w14:paraId="7D86D232" w14:textId="77777777" w:rsidR="00286A88" w:rsidRPr="00286A88" w:rsidRDefault="00286A88" w:rsidP="00B509BB">
      <w:pPr>
        <w:rPr>
          <w:rFonts w:cs="AdvP4CD4D0"/>
          <w:lang w:val="en-AU" w:eastAsia="en-AU"/>
        </w:rPr>
      </w:pPr>
      <w:r w:rsidRPr="00286A88">
        <w:rPr>
          <w:lang w:val="en-AU" w:eastAsia="en-AU"/>
        </w:rPr>
        <w:t>Lewis (2006) suggests that 12 h days during production are perfectly adequate for optimising egg production and shell quality, and the step-up lighting regime is not necessary; day-length does not appear to influence the prevalence of floor laid eggs. Broiler breeders respond to light, in particular photoperiod, differently from modern laying breeds because they still exhibit photorefractoriness (a natural phenomenon that prevents animals becoming sexually active when subsequent environmental conditions are likely to be sub-optimal for rearing offspring) (Lewis, 2006). Typical broiler breeding companies recommend a bright light intensity of around 20-100 lux for the first 2 days in the brooding area, which is then gradually reduced to 10-20 lux between 7-21 days (and maintained until around 20 weeks), and then increased to 40-60 lux for the duration of the laying period (</w:t>
      </w:r>
      <w:r w:rsidR="00793ACC">
        <w:rPr>
          <w:lang w:val="en-AU" w:eastAsia="en-AU"/>
        </w:rPr>
        <w:t>AHAW</w:t>
      </w:r>
      <w:r w:rsidRPr="00286A88">
        <w:rPr>
          <w:lang w:val="en-AU" w:eastAsia="en-AU"/>
        </w:rPr>
        <w:t xml:space="preserve">, 2010). Light intensities of 20-40 lux may be used for non-beak-trimmed birds, to prevent injurious pecking. Lewis et al. (2009) verified that these recommendations were appropriate for non-cage systems; they determined biological optima for egg production as </w:t>
      </w:r>
      <w:r w:rsidRPr="00286A88">
        <w:rPr>
          <w:rFonts w:cs="AdvP4CD4D0"/>
          <w:lang w:val="en-AU" w:eastAsia="en-AU"/>
        </w:rPr>
        <w:t>15 lux during rear and 7 lux in the laying period; hens illuminated at 25 lux in the laying period laid more floor eggs than at either 55 or 70 lux.</w:t>
      </w:r>
    </w:p>
    <w:p w14:paraId="383ABE7A" w14:textId="77777777" w:rsidR="00286A88" w:rsidRPr="00286A88" w:rsidRDefault="00286A88" w:rsidP="00B509BB">
      <w:pPr>
        <w:rPr>
          <w:rFonts w:cs="RealpageBAS6"/>
          <w:lang w:val="en-AU" w:eastAsia="en-AU"/>
        </w:rPr>
      </w:pPr>
      <w:r w:rsidRPr="00286A88">
        <w:rPr>
          <w:lang w:val="en-AU" w:eastAsia="en-AU"/>
        </w:rPr>
        <w:t>It is known that layer hens have a well-developed colour vision and have the ability to see in the ultraviolet (UV) range (see LH7.1). Jones et al. (2001) hypothesised that the absence of UV</w:t>
      </w:r>
      <w:r w:rsidRPr="00286A88">
        <w:rPr>
          <w:vertAlign w:val="subscript"/>
          <w:lang w:val="en-AU" w:eastAsia="en-AU"/>
        </w:rPr>
        <w:t xml:space="preserve">A </w:t>
      </w:r>
      <w:r w:rsidRPr="00286A88">
        <w:rPr>
          <w:lang w:val="en-AU" w:eastAsia="en-AU"/>
        </w:rPr>
        <w:t xml:space="preserve">light </w:t>
      </w:r>
      <w:r w:rsidRPr="00286A88">
        <w:rPr>
          <w:rFonts w:cs="RealpageBAS6"/>
          <w:lang w:val="en-AU" w:eastAsia="en-AU"/>
        </w:rPr>
        <w:t>(320&lt;</w:t>
      </w:r>
      <w:r w:rsidRPr="00286A88">
        <w:rPr>
          <w:rFonts w:cs="RealpageSYM1"/>
          <w:lang w:val="en-AU" w:eastAsia="en-AU"/>
        </w:rPr>
        <w:t>λ</w:t>
      </w:r>
      <w:r w:rsidRPr="00286A88">
        <w:rPr>
          <w:rFonts w:cs="RealpageBAS6"/>
          <w:lang w:val="en-AU" w:eastAsia="en-AU"/>
        </w:rPr>
        <w:t xml:space="preserve">&lt;400 nm) </w:t>
      </w:r>
      <w:r w:rsidRPr="00286A88">
        <w:rPr>
          <w:lang w:val="en-AU" w:eastAsia="en-AU"/>
        </w:rPr>
        <w:t xml:space="preserve">provision to commercially reared sexually-mature broiler breeders may potentially explain </w:t>
      </w:r>
      <w:r w:rsidRPr="00286A88">
        <w:rPr>
          <w:rFonts w:cs="RealpageBAS6"/>
          <w:lang w:val="en-AU" w:eastAsia="en-AU"/>
        </w:rPr>
        <w:t>why forced and aggressive matings</w:t>
      </w:r>
      <w:r w:rsidRPr="00286A88">
        <w:rPr>
          <w:lang w:val="en-AU" w:eastAsia="en-AU"/>
        </w:rPr>
        <w:t xml:space="preserve"> are commonplace; if sub-optimal light sources hinder effective social signalling, then this could alter behavioural patterns and reduce mating cues. Breeders generally exhibit limited courtship displays (see BB3.6). Under experimental conditions b</w:t>
      </w:r>
      <w:r w:rsidRPr="00286A88">
        <w:rPr>
          <w:rFonts w:cs="RealpageBAS6"/>
          <w:lang w:val="en-AU" w:eastAsia="en-AU"/>
        </w:rPr>
        <w:t>irds were seen to demonstrate a consistent preference for 14·6% UV</w:t>
      </w:r>
      <w:r w:rsidRPr="00286A88">
        <w:rPr>
          <w:rFonts w:cs="RealpageBAS6"/>
          <w:vertAlign w:val="subscript"/>
          <w:lang w:val="en-AU" w:eastAsia="en-AU"/>
        </w:rPr>
        <w:t>A</w:t>
      </w:r>
      <w:r w:rsidRPr="00286A88">
        <w:rPr>
          <w:rFonts w:cs="RealpageBAS6"/>
          <w:lang w:val="en-AU" w:eastAsia="en-AU"/>
        </w:rPr>
        <w:t>, corresponding with natural sunlight (and the light environment to which the birds are genetically adapted); however, although a UV</w:t>
      </w:r>
      <w:r w:rsidRPr="00286A88">
        <w:rPr>
          <w:rFonts w:cs="RealpageBAS6"/>
          <w:vertAlign w:val="subscript"/>
          <w:lang w:val="en-AU" w:eastAsia="en-AU"/>
        </w:rPr>
        <w:t>A</w:t>
      </w:r>
      <w:r w:rsidRPr="00286A88">
        <w:rPr>
          <w:rFonts w:cs="RealpageBAS6"/>
          <w:lang w:val="en-AU" w:eastAsia="en-AU"/>
        </w:rPr>
        <w:t>-enriched environment improved sexual selection and increased mating frequency, courtship behaviour was still infrequent and the majority of matings remained forced (Jones et al., 2001).</w:t>
      </w:r>
    </w:p>
    <w:p w14:paraId="40AA20F7" w14:textId="77777777" w:rsidR="00286A88" w:rsidRDefault="00286A88" w:rsidP="00B509BB">
      <w:pPr>
        <w:rPr>
          <w:lang w:val="en-AU" w:eastAsia="en-AU"/>
        </w:rPr>
      </w:pPr>
      <w:r w:rsidRPr="00286A88">
        <w:rPr>
          <w:lang w:val="en-AU" w:eastAsia="en-AU"/>
        </w:rPr>
        <w:t xml:space="preserve">There is no literature specifically documenting the relationship between light intensity and feather pecking in broiler breeders, although </w:t>
      </w:r>
      <w:r w:rsidRPr="00286A88">
        <w:rPr>
          <w:rFonts w:cs="AdvP4CD4D0"/>
          <w:lang w:val="en-AU" w:eastAsia="en-AU"/>
        </w:rPr>
        <w:t>Hocking et al. (2004) r</w:t>
      </w:r>
      <w:r w:rsidRPr="00286A88">
        <w:rPr>
          <w:lang w:val="en-AU" w:eastAsia="en-AU"/>
        </w:rPr>
        <w:t xml:space="preserve">eport an incidence of injurious pecking and cannibalism in experimental </w:t>
      </w:r>
      <w:r w:rsidRPr="00286A88">
        <w:rPr>
          <w:rFonts w:cs="AdvP4CD4D0"/>
          <w:lang w:val="en-AU" w:eastAsia="en-AU"/>
        </w:rPr>
        <w:t xml:space="preserve">flocks from 4 weeks of age, which was presumed to be caused by conditions of relatively high and variable light intensity. </w:t>
      </w:r>
      <w:r w:rsidRPr="00286A88">
        <w:rPr>
          <w:lang w:val="en-AU" w:eastAsia="en-AU"/>
        </w:rPr>
        <w:t>Laying hens are often maintained at low light intensities commercially to reduce the risk of feather pecking; however, low light intensities (&lt; 10 lux) have been shown to have negative effects upon broiler eye health (see B8.1b). At very low light intensities (≤1 lux) laying hens’ mobility is impaired, they are no longer able to jump between horizontal perches and move freely around the house; in addition, social evaluations and communication may also be disrupted (see LH7.1</w:t>
      </w:r>
      <w:r w:rsidRPr="00286A88">
        <w:rPr>
          <w:rFonts w:cs="Garamond"/>
          <w:lang w:val="en-AU" w:eastAsia="en-AU"/>
        </w:rPr>
        <w:t xml:space="preserve">). </w:t>
      </w:r>
      <w:r w:rsidRPr="00286A88">
        <w:rPr>
          <w:lang w:val="en-AU" w:eastAsia="en-AU"/>
        </w:rPr>
        <w:t>Because laying hens and broiler breeders are fundamentally biologically similar, it can be assumed that very low light intensity will also affect these behaviours in broiler breeders.</w:t>
      </w:r>
    </w:p>
    <w:p w14:paraId="59BF8AFB" w14:textId="77777777" w:rsidR="00286A88" w:rsidRPr="00286A88" w:rsidRDefault="00286A88" w:rsidP="00B509BB">
      <w:pPr>
        <w:pStyle w:val="Heading3"/>
        <w:rPr>
          <w:lang w:val="en-AU" w:eastAsia="en-AU"/>
        </w:rPr>
      </w:pPr>
      <w:bookmarkStart w:id="169" w:name="_Toc495310638"/>
      <w:r w:rsidRPr="00286A88">
        <w:rPr>
          <w:lang w:val="en-AU" w:eastAsia="en-AU"/>
        </w:rPr>
        <w:t>BB7.2 Thermal comfort</w:t>
      </w:r>
      <w:bookmarkEnd w:id="169"/>
    </w:p>
    <w:p w14:paraId="2443A490" w14:textId="77777777" w:rsidR="00286A88" w:rsidRPr="00B509BB" w:rsidRDefault="00286A88" w:rsidP="00B509BB">
      <w:pPr>
        <w:rPr>
          <w:i/>
          <w:lang w:val="en-AU" w:eastAsia="en-AU"/>
        </w:rPr>
      </w:pPr>
      <w:r w:rsidRPr="00B509BB">
        <w:rPr>
          <w:i/>
          <w:lang w:val="en-AU" w:eastAsia="en-AU"/>
        </w:rPr>
        <w:t>It is important to maintain broiler breeders within the thermoneutral zone since dietary restrictions leave them less able to meet raised metabolic requirements associated with extreme temperatures; deviations in air temperature may lower welfare further by inducing further hunger and stress, and potentially triggering further aggression as a consequence.</w:t>
      </w:r>
    </w:p>
    <w:p w14:paraId="520CF8EF" w14:textId="77777777" w:rsidR="00286A88" w:rsidRPr="00286A88" w:rsidRDefault="00286A88" w:rsidP="00B509BB">
      <w:pPr>
        <w:rPr>
          <w:rFonts w:cs="AdvP4CD4D0"/>
          <w:lang w:val="en-AU" w:eastAsia="en-AU"/>
        </w:rPr>
      </w:pPr>
      <w:r w:rsidRPr="00286A88">
        <w:rPr>
          <w:lang w:val="en-AU" w:eastAsia="en-AU"/>
        </w:rPr>
        <w:t xml:space="preserve">The rearing house temperature is adjusted to approximately 30 °C on the first day of placement, and is then gradually decreased to 18-22 °C. </w:t>
      </w:r>
      <w:r w:rsidRPr="00286A88">
        <w:rPr>
          <w:rFonts w:cs="Arial"/>
          <w:lang w:val="en-AU" w:eastAsia="en-AU"/>
        </w:rPr>
        <w:t xml:space="preserve">For economic reasons the majority of broiler breeders will be housed within the temperature range required to keep them comfortably warm, the thermoneutral zone (20-25 °C), as temperatures below and above this range are likely to impact upon egg production, especially when dietary restrictions leave them less able to meet raised metabolic requirements associated with extreme temperatures. The small number of breeders housed within free-range systems with outside access will encounter variations in temperature and humidity, which is a disadvantage of these systems for breeders. Evidence for increased hunger, frustration and stress following exposure to low ambient temperatures has been provided. </w:t>
      </w:r>
      <w:r w:rsidRPr="00286A88">
        <w:rPr>
          <w:rFonts w:cs="AdvP4CD4D2"/>
          <w:lang w:val="en-AU" w:eastAsia="en-AU"/>
        </w:rPr>
        <w:t xml:space="preserve">Spinu et al. (2003) observed an increase in stereotypic object pecking, </w:t>
      </w:r>
      <w:r w:rsidRPr="00286A88">
        <w:rPr>
          <w:rFonts w:cs="AdvP4CD4D0"/>
          <w:lang w:val="en-AU" w:eastAsia="en-AU"/>
        </w:rPr>
        <w:t>ground pecking, walking, preening and drinking</w:t>
      </w:r>
      <w:r w:rsidRPr="00286A88">
        <w:rPr>
          <w:rFonts w:cs="AdvP4CD4D2"/>
          <w:lang w:val="en-AU" w:eastAsia="en-AU"/>
        </w:rPr>
        <w:t xml:space="preserve"> during the cold season</w:t>
      </w:r>
      <w:r w:rsidRPr="00286A88">
        <w:rPr>
          <w:rFonts w:cs="AdvP4CD4D0"/>
          <w:lang w:val="en-AU" w:eastAsia="en-AU"/>
        </w:rPr>
        <w:t xml:space="preserve"> in breeder hens housed at ambient temperature (annual range: 7-33 °C), while during the hot season more time was spent lying (presumably to minimise heat production) and feeding (i.e. they consumed their feed ration slower than under cold ambient temperatures).</w:t>
      </w:r>
      <w:r w:rsidRPr="00286A88">
        <w:rPr>
          <w:rFonts w:cs="AdvP4CD4D2"/>
          <w:lang w:val="en-AU" w:eastAsia="en-AU"/>
        </w:rPr>
        <w:t xml:space="preserve"> Higher </w:t>
      </w:r>
      <w:r w:rsidRPr="00286A88">
        <w:rPr>
          <w:rFonts w:cs="AdvP4CD4D0"/>
          <w:lang w:val="en-AU" w:eastAsia="en-AU"/>
        </w:rPr>
        <w:t xml:space="preserve">basophil numbers under low air temperatures indicated prolonged physiological stress </w:t>
      </w:r>
      <w:r w:rsidRPr="00286A88">
        <w:rPr>
          <w:rFonts w:cs="AdvP4CD4D2"/>
          <w:lang w:val="en-AU" w:eastAsia="en-AU"/>
        </w:rPr>
        <w:t xml:space="preserve">(Spinu et al., 2003). </w:t>
      </w:r>
      <w:r w:rsidRPr="00286A88">
        <w:rPr>
          <w:rFonts w:cs="TT270O00"/>
          <w:lang w:val="en-AU" w:eastAsia="en-AU"/>
        </w:rPr>
        <w:t>Pereira et al. (2007) observed breeders housed in small groups to demonstrate m</w:t>
      </w:r>
      <w:r w:rsidRPr="00286A88">
        <w:rPr>
          <w:rFonts w:cs="TT27EO00"/>
          <w:lang w:val="en-AU" w:eastAsia="en-AU"/>
        </w:rPr>
        <w:t>ore chasing, feather pecking and foraging (ground-pecking and litter-scratching) at low ambient temperatures (13 °C); this is likely to reflect feeding competition as energy requirements increase at temperatures below the thermoneutral zone. During warmer ambient temperatures (35 °C) breeders, again, decreased their locomotory activities and spent more time resting</w:t>
      </w:r>
      <w:r w:rsidRPr="00286A88">
        <w:rPr>
          <w:rFonts w:cs="TT270O00"/>
          <w:lang w:val="en-AU" w:eastAsia="en-AU"/>
        </w:rPr>
        <w:t xml:space="preserve"> (Pereira et al., 2007)</w:t>
      </w:r>
      <w:r w:rsidRPr="00286A88">
        <w:rPr>
          <w:rFonts w:cs="AdvP4CD4D0"/>
          <w:lang w:val="en-AU" w:eastAsia="en-AU"/>
        </w:rPr>
        <w:t>.</w:t>
      </w:r>
    </w:p>
    <w:p w14:paraId="56B6D3BF" w14:textId="77777777" w:rsidR="00286A88" w:rsidRPr="00286A88" w:rsidRDefault="00286A88" w:rsidP="00B509BB">
      <w:pPr>
        <w:pStyle w:val="Heading2"/>
        <w:rPr>
          <w:lang w:val="en-AU" w:eastAsia="en-AU"/>
        </w:rPr>
      </w:pPr>
      <w:bookmarkStart w:id="170" w:name="_Toc495310639"/>
      <w:r w:rsidRPr="00286A88">
        <w:rPr>
          <w:lang w:val="en-AU" w:eastAsia="en-AU"/>
        </w:rPr>
        <w:t>BB8. Handling and Management</w:t>
      </w:r>
      <w:bookmarkEnd w:id="170"/>
    </w:p>
    <w:p w14:paraId="3EE627F2" w14:textId="77777777" w:rsidR="00286A88" w:rsidRPr="00286A88" w:rsidRDefault="00286A88" w:rsidP="00B509BB">
      <w:pPr>
        <w:pStyle w:val="Heading3"/>
        <w:rPr>
          <w:lang w:val="en-AU" w:eastAsia="en-AU"/>
        </w:rPr>
      </w:pPr>
      <w:bookmarkStart w:id="171" w:name="_Toc495310640"/>
      <w:r w:rsidRPr="00286A88">
        <w:rPr>
          <w:lang w:val="en-AU" w:eastAsia="en-AU"/>
        </w:rPr>
        <w:t>BB8.1 Stocking density and group size</w:t>
      </w:r>
      <w:bookmarkEnd w:id="171"/>
    </w:p>
    <w:p w14:paraId="1E97356D" w14:textId="77777777" w:rsidR="00286A88" w:rsidRPr="00B509BB" w:rsidRDefault="00286A88" w:rsidP="00B509BB">
      <w:pPr>
        <w:rPr>
          <w:i/>
          <w:lang w:val="en-AU" w:eastAsia="en-AU"/>
        </w:rPr>
      </w:pPr>
      <w:r w:rsidRPr="00B509BB">
        <w:rPr>
          <w:i/>
          <w:lang w:val="en-AU" w:eastAsia="en-AU"/>
        </w:rPr>
        <w:t>A reduction in stocking density may reduce feather damage and have positive effects on sexua</w:t>
      </w:r>
      <w:r w:rsidR="00B509BB" w:rsidRPr="00B509BB">
        <w:rPr>
          <w:i/>
          <w:lang w:val="en-AU" w:eastAsia="en-AU"/>
        </w:rPr>
        <w:t xml:space="preserve">l behaviour and </w:t>
      </w:r>
      <w:r w:rsidR="0011245E">
        <w:rPr>
          <w:i/>
          <w:lang w:val="en-AU" w:eastAsia="en-AU"/>
        </w:rPr>
        <w:t xml:space="preserve">broiler </w:t>
      </w:r>
      <w:r w:rsidR="00B509BB" w:rsidRPr="00B509BB">
        <w:rPr>
          <w:i/>
          <w:lang w:val="en-AU" w:eastAsia="en-AU"/>
        </w:rPr>
        <w:t>hen performance</w:t>
      </w:r>
      <w:r w:rsidRPr="00B509BB">
        <w:rPr>
          <w:i/>
          <w:lang w:val="en-AU" w:eastAsia="en-AU"/>
        </w:rPr>
        <w:t>.</w:t>
      </w:r>
    </w:p>
    <w:p w14:paraId="29E94727" w14:textId="77777777" w:rsidR="00286A88" w:rsidRPr="00286A88" w:rsidRDefault="00286A88" w:rsidP="00B509BB">
      <w:pPr>
        <w:rPr>
          <w:lang w:val="en-AU" w:eastAsia="en-AU"/>
        </w:rPr>
      </w:pPr>
      <w:r w:rsidRPr="00286A88">
        <w:rPr>
          <w:lang w:val="en-AU" w:eastAsia="en-AU"/>
        </w:rPr>
        <w:t>Stocking rate may vary considerably between farms and countries. In most countries the stocking rate of broiler breeder flocks during the rearing period is not limited by legislation. Stocking rate in EU countries generally ranges between 5-8.5 breeders/m</w:t>
      </w:r>
      <w:r w:rsidRPr="00286A88">
        <w:rPr>
          <w:vertAlign w:val="superscript"/>
          <w:lang w:val="en-AU" w:eastAsia="en-AU"/>
        </w:rPr>
        <w:t>2</w:t>
      </w:r>
      <w:r w:rsidRPr="00286A88">
        <w:rPr>
          <w:lang w:val="en-AU" w:eastAsia="en-AU"/>
        </w:rPr>
        <w:t xml:space="preserve"> (approximately 20-34 kg/m</w:t>
      </w:r>
      <w:r w:rsidRPr="00286A88">
        <w:rPr>
          <w:vertAlign w:val="superscript"/>
          <w:lang w:val="en-AU" w:eastAsia="en-AU"/>
        </w:rPr>
        <w:t>2</w:t>
      </w:r>
      <w:r w:rsidRPr="00286A88">
        <w:rPr>
          <w:lang w:val="en-AU" w:eastAsia="en-AU"/>
        </w:rPr>
        <w:t xml:space="preserve"> at 60 weeks), while grandparent stock are housed at lower stocking rates during both the rearing (6 males/m</w:t>
      </w:r>
      <w:r w:rsidRPr="00286A88">
        <w:rPr>
          <w:vertAlign w:val="superscript"/>
          <w:lang w:val="en-AU" w:eastAsia="en-AU"/>
        </w:rPr>
        <w:t>2</w:t>
      </w:r>
      <w:r w:rsidRPr="00286A88">
        <w:rPr>
          <w:lang w:val="en-AU" w:eastAsia="en-AU"/>
        </w:rPr>
        <w:t xml:space="preserve"> and 8 females/m</w:t>
      </w:r>
      <w:r w:rsidRPr="00286A88">
        <w:rPr>
          <w:vertAlign w:val="superscript"/>
          <w:lang w:val="en-AU" w:eastAsia="en-AU"/>
        </w:rPr>
        <w:t>2</w:t>
      </w:r>
      <w:r w:rsidRPr="00286A88">
        <w:rPr>
          <w:lang w:val="en-AU" w:eastAsia="en-AU"/>
        </w:rPr>
        <w:t>) and production (6.5 birds/m</w:t>
      </w:r>
      <w:r w:rsidRPr="00286A88">
        <w:rPr>
          <w:vertAlign w:val="superscript"/>
          <w:lang w:val="en-AU" w:eastAsia="en-AU"/>
        </w:rPr>
        <w:t>2</w:t>
      </w:r>
      <w:r w:rsidRPr="00286A88">
        <w:rPr>
          <w:lang w:val="en-AU" w:eastAsia="en-AU"/>
        </w:rPr>
        <w:t>) period (</w:t>
      </w:r>
      <w:r w:rsidR="00793ACC">
        <w:rPr>
          <w:lang w:val="en-AU" w:eastAsia="en-AU"/>
        </w:rPr>
        <w:t>AHAW</w:t>
      </w:r>
      <w:r w:rsidRPr="00286A88">
        <w:rPr>
          <w:lang w:val="en-AU" w:eastAsia="en-AU"/>
        </w:rPr>
        <w:t>, 2010). The percentage of males placed in the production house at the age of transfer varies between 8-11%, with the aim to have a maximum of 7-9.5% males at 23 weeks of age when egg production starts and 6% at 60 weeks of age (</w:t>
      </w:r>
      <w:r w:rsidR="00793ACC">
        <w:rPr>
          <w:lang w:val="en-AU" w:eastAsia="en-AU"/>
        </w:rPr>
        <w:t>AHAW</w:t>
      </w:r>
      <w:r w:rsidRPr="00286A88">
        <w:rPr>
          <w:lang w:val="en-AU" w:eastAsia="en-AU"/>
        </w:rPr>
        <w:t>, 2010).</w:t>
      </w:r>
    </w:p>
    <w:p w14:paraId="755B719D" w14:textId="77777777" w:rsidR="00286A88" w:rsidRPr="00286A88" w:rsidRDefault="00286A88" w:rsidP="00B509BB">
      <w:pPr>
        <w:rPr>
          <w:rFonts w:cs="AdvP4CD4D0"/>
          <w:lang w:val="en-AU" w:eastAsia="en-AU"/>
        </w:rPr>
      </w:pPr>
      <w:r w:rsidRPr="00286A88">
        <w:rPr>
          <w:lang w:val="en-AU" w:eastAsia="en-AU"/>
        </w:rPr>
        <w:t>There are few data available on the effect of stocking rate on broiler breeder welfare. Reducing the stocking rate of broiler breeders during the rearing phase (standard: 14.5 hens or 8.0 males/m</w:t>
      </w:r>
      <w:r w:rsidRPr="00286A88">
        <w:rPr>
          <w:vertAlign w:val="superscript"/>
          <w:lang w:val="en-AU" w:eastAsia="en-AU"/>
        </w:rPr>
        <w:t>2</w:t>
      </w:r>
      <w:r w:rsidRPr="00286A88">
        <w:rPr>
          <w:lang w:val="en-AU" w:eastAsia="en-AU"/>
        </w:rPr>
        <w:t>; low: 7.25 hens or 5.5 males/m</w:t>
      </w:r>
      <w:r w:rsidRPr="00286A88">
        <w:rPr>
          <w:vertAlign w:val="superscript"/>
          <w:lang w:val="en-AU" w:eastAsia="en-AU"/>
        </w:rPr>
        <w:t>2</w:t>
      </w:r>
      <w:r w:rsidRPr="00286A88">
        <w:rPr>
          <w:lang w:val="en-AU" w:eastAsia="en-AU"/>
        </w:rPr>
        <w:t>) was seen to alter behaviour; females performed more foraging and males performed more walking at the lower stocking rate; feather and skin damage was comparatively less in both males and females at the low stocking rate (de Jong et al., 2011). Lowering stocking rate of breeders during the production phase improved their production performance as well as their feather condition (de Jong et al., 2011). Reducing the stocking rate during production (standard: 8.0 birds/m</w:t>
      </w:r>
      <w:r w:rsidRPr="00286A88">
        <w:rPr>
          <w:vertAlign w:val="superscript"/>
          <w:lang w:val="en-AU" w:eastAsia="en-AU"/>
        </w:rPr>
        <w:t>2</w:t>
      </w:r>
      <w:r w:rsidRPr="00286A88">
        <w:rPr>
          <w:lang w:val="en-AU" w:eastAsia="en-AU"/>
        </w:rPr>
        <w:t>; low: 4.75 birds/m</w:t>
      </w:r>
      <w:r w:rsidRPr="00286A88">
        <w:rPr>
          <w:vertAlign w:val="superscript"/>
          <w:lang w:val="en-AU" w:eastAsia="en-AU"/>
        </w:rPr>
        <w:t>2</w:t>
      </w:r>
      <w:r w:rsidRPr="00286A88">
        <w:rPr>
          <w:lang w:val="en-AU" w:eastAsia="en-AU"/>
        </w:rPr>
        <w:t xml:space="preserve">, 10% males) led to more courtship behaviour and a higher proportion of completed matings, as well as fewer forced matings and less hen struggling; less feather damage in the hens at the low stocking rate was probably due to more appropriate mating behaviour (de Jong et al., 2011). </w:t>
      </w:r>
      <w:r w:rsidRPr="00286A88">
        <w:rPr>
          <w:rFonts w:cs="AdvP4CD4D2"/>
          <w:lang w:val="en-AU" w:eastAsia="en-AU"/>
        </w:rPr>
        <w:t xml:space="preserve">Spinu et al. (2003) observed stereotypic object pecking to increase with increased stocking rate </w:t>
      </w:r>
      <w:r w:rsidRPr="00286A88">
        <w:rPr>
          <w:rFonts w:cs="AdvP4CD4D0"/>
          <w:lang w:val="en-AU" w:eastAsia="en-AU"/>
        </w:rPr>
        <w:t>(5 vs 11 birds/m</w:t>
      </w:r>
      <w:r w:rsidRPr="00286A88">
        <w:rPr>
          <w:rFonts w:cs="AdvP4CD4D0"/>
          <w:vertAlign w:val="superscript"/>
          <w:lang w:val="en-AU" w:eastAsia="en-AU"/>
        </w:rPr>
        <w:t>2</w:t>
      </w:r>
      <w:r w:rsidRPr="00286A88">
        <w:rPr>
          <w:rFonts w:cs="AdvP4CD4D0"/>
          <w:lang w:val="en-AU" w:eastAsia="en-AU"/>
        </w:rPr>
        <w:t>).</w:t>
      </w:r>
    </w:p>
    <w:p w14:paraId="50229B0E" w14:textId="77777777" w:rsidR="00286A88" w:rsidRPr="00286A88" w:rsidRDefault="00286A88" w:rsidP="00B509BB">
      <w:pPr>
        <w:pStyle w:val="Heading3"/>
        <w:rPr>
          <w:lang w:val="en-AU" w:eastAsia="en-AU"/>
        </w:rPr>
      </w:pPr>
      <w:bookmarkStart w:id="172" w:name="_Toc495310641"/>
      <w:r w:rsidRPr="00286A88">
        <w:rPr>
          <w:lang w:val="en-AU" w:eastAsia="en-AU"/>
        </w:rPr>
        <w:t>BB8.2 Air quality and biosecurity</w:t>
      </w:r>
      <w:bookmarkEnd w:id="172"/>
    </w:p>
    <w:p w14:paraId="5AA34E36" w14:textId="77777777" w:rsidR="00286A88" w:rsidRPr="00B509BB" w:rsidRDefault="00286A88" w:rsidP="00B509BB">
      <w:pPr>
        <w:rPr>
          <w:i/>
          <w:lang w:val="en-AU" w:eastAsia="en-AU"/>
        </w:rPr>
      </w:pPr>
      <w:r w:rsidRPr="00B509BB">
        <w:rPr>
          <w:i/>
          <w:lang w:val="en-AU" w:eastAsia="en-AU"/>
        </w:rPr>
        <w:t>High levels of ammonia and dust (including disease-causing organisms) can have adverse affects upon broiler breeder health, but can be controlled via the use of adequate ventilation and air purification systems</w:t>
      </w:r>
      <w:r w:rsidR="0011245E">
        <w:rPr>
          <w:i/>
          <w:lang w:val="en-AU" w:eastAsia="en-AU"/>
        </w:rPr>
        <w:t>. A</w:t>
      </w:r>
      <w:r w:rsidRPr="00B509BB">
        <w:rPr>
          <w:i/>
          <w:lang w:val="en-AU" w:eastAsia="en-AU"/>
        </w:rPr>
        <w:t xml:space="preserve"> maximum ammonia concentration of 20 ppm is recommended to maintain bird health and comfort.</w:t>
      </w:r>
    </w:p>
    <w:p w14:paraId="45FC5D8F" w14:textId="77777777" w:rsidR="00286A88" w:rsidRPr="00286A88" w:rsidRDefault="00286A88" w:rsidP="00B509BB">
      <w:pPr>
        <w:rPr>
          <w:rFonts w:cs="Times New Roman"/>
          <w:lang w:val="en-AU" w:eastAsia="en-AU"/>
        </w:rPr>
      </w:pPr>
      <w:r w:rsidRPr="00286A88">
        <w:rPr>
          <w:lang w:val="en-AU" w:eastAsia="en-AU"/>
        </w:rPr>
        <w:t>The air quality in broiler breeder houses is dependent upon many factors including air temperature, relative humidity, ammonia, dust, micro-organisms, stocking rate, ventilation rate, litter type and quality, and bird age.</w:t>
      </w:r>
      <w:r w:rsidRPr="00286A88">
        <w:rPr>
          <w:rFonts w:cs="Times New Roman"/>
          <w:lang w:val="en-AU" w:eastAsia="en-AU"/>
        </w:rPr>
        <w:t xml:space="preserve"> The main sources of aerial pollutants are the feed, the litter and the birds themselves. During the course of lay broiler breeders are usually housed on a combination of litter (scratch area) and slats; as with layer houses a deep pit under the slatted floor area collects manure until the house is cleaned at the end of the production period. Modern broiler breeder houses generally utilise negative pressure ventilation, whereby exhaust fans pull air out of the house, which creates a partial vacuum inside the house, and this then draws in fresh air through air inlets. Many older laying houses operate mainly via natural ventilation, opening curtains and employing tunnel ventilation during hotter weather.</w:t>
      </w:r>
    </w:p>
    <w:p w14:paraId="7D9E1F05" w14:textId="77777777" w:rsidR="00286A88" w:rsidRPr="00286A88" w:rsidRDefault="00286A88" w:rsidP="00B509BB">
      <w:pPr>
        <w:rPr>
          <w:rFonts w:cs="Times New Roman"/>
          <w:lang w:val="en-AU" w:eastAsia="en-AU"/>
        </w:rPr>
      </w:pPr>
      <w:r w:rsidRPr="00286A88">
        <w:rPr>
          <w:lang w:val="en-AU" w:eastAsia="en-AU"/>
        </w:rPr>
        <w:t xml:space="preserve">The majority of airborne particles in poultry houses are organic in origin, with bedding, faeces, skin, feathers, feed and micro-organisms contributing to the inhalable and respirable particles (Banhazi et al., 2008). </w:t>
      </w:r>
      <w:r w:rsidRPr="00286A88">
        <w:rPr>
          <w:rFonts w:cs="Times New Roman"/>
          <w:lang w:val="en-AU" w:eastAsia="en-AU"/>
        </w:rPr>
        <w:t>Very dry litter may lead to high dust concentrations which can irritate the respiratory tract of birds; dust in broiler houses can be minimised through the use of proper ventilation, by keeping relative humidity at recommended levels, by performing thorough cleaning between batches of birds, reducing stocking rate, and using low-dust litter materials (</w:t>
      </w:r>
      <w:r w:rsidRPr="00286A88">
        <w:rPr>
          <w:lang w:val="en-AU" w:eastAsia="en-AU"/>
        </w:rPr>
        <w:t xml:space="preserve">see B9.2). </w:t>
      </w:r>
      <w:r w:rsidRPr="00286A88">
        <w:rPr>
          <w:rFonts w:cs="Times New Roman"/>
          <w:lang w:val="en-AU" w:eastAsia="en-AU"/>
        </w:rPr>
        <w:t>Airborne dust is one of the primary means by which disease-causing organisms are spread throughout a poultry house; reducing airborne dust levels by 50% can reduce airborne bacteria by 100 fold or more (Madelin and Wathes, 198</w:t>
      </w:r>
      <w:r w:rsidR="0011245E">
        <w:rPr>
          <w:rFonts w:cs="Times New Roman"/>
          <w:lang w:val="en-AU" w:eastAsia="en-AU"/>
        </w:rPr>
        <w:t>9</w:t>
      </w:r>
      <w:r w:rsidRPr="00286A88">
        <w:rPr>
          <w:rFonts w:cs="Times New Roman"/>
          <w:lang w:val="en-AU" w:eastAsia="en-AU"/>
        </w:rPr>
        <w:t xml:space="preserve">, cited by Mitchell et al., 2004). Airborne transmission of </w:t>
      </w:r>
      <w:r w:rsidRPr="00286A88">
        <w:rPr>
          <w:rFonts w:cs="Times New Roman"/>
          <w:i/>
          <w:lang w:val="en-AU" w:eastAsia="en-AU"/>
        </w:rPr>
        <w:t>Salmonella</w:t>
      </w:r>
      <w:r w:rsidRPr="00286A88">
        <w:rPr>
          <w:rFonts w:cs="Times New Roman"/>
          <w:lang w:val="en-AU" w:eastAsia="en-AU"/>
        </w:rPr>
        <w:t xml:space="preserve"> is a major factor for its spread between birds and contamination of hatching eggs in breeder houses. Interventions, in addition to improved biosecurity, include the use of Filtered-Air Positive-Pressure (FAPP) housing to produce specific pathogen free eggs, or air ionisation systems (e.g. Electrostatic Space Charge, ESC, system) to reduce airborne dust and kill micro-organisms (Mitchell et al., 2004); however, the cost of constructing and operating a FAPP production facility only makes it economically viable for use with valuable grandparent stock. Mitchell et al. (2004) observed airborne dust concentrations within a commercial breeder house, with a slat and litter scratch area, to increase over time during the production period (range: 2 to 6.5 mg/m³); however, use of an ESC system was seen to decrease dust by over 60%. Similarly, airborne bacteria (range: &lt;50-550 CFU/plate under control conditions) were reduced by almost 70% (Mitchell et al., 2004).</w:t>
      </w:r>
    </w:p>
    <w:p w14:paraId="36190E7C" w14:textId="77777777" w:rsidR="00286A88" w:rsidRPr="00286A88" w:rsidRDefault="00286A88" w:rsidP="00B509BB">
      <w:pPr>
        <w:rPr>
          <w:rFonts w:cs="Times New Roman"/>
          <w:lang w:val="en-AU" w:eastAsia="en-AU"/>
        </w:rPr>
      </w:pPr>
      <w:r w:rsidRPr="00286A88">
        <w:rPr>
          <w:rFonts w:cs="TimesNewRomanPSMT"/>
          <w:lang w:val="en-AU" w:eastAsia="en-AU"/>
        </w:rPr>
        <w:t xml:space="preserve">Ammonia is produced in the litter or manure pits by microbial decomposition of the birds’ faecal waste. </w:t>
      </w:r>
      <w:r w:rsidRPr="00286A88">
        <w:rPr>
          <w:rFonts w:cs="Palatino-Roman"/>
          <w:lang w:val="en-AU" w:eastAsia="en-AU"/>
        </w:rPr>
        <w:t>Although no recent studies have investigated the adverse health effects of ammonia on broiler breeders, in broilers there is evidence that concentrations above 25 ppm can cause irritation to the respiratory system and the mucous membranes of the eyes, induce corneal lesions, suppress certain aspects of immunity while stimulating pro-inflammation, and suppress food intake and growth rate (see B9.2). Choice tests have been used to demonstrate that broilers ‘prefer’ to be housed in ammonia concentrations &lt;10 ppm and find concentrations above 20 ppm aversive (see B8.3).</w:t>
      </w:r>
      <w:r w:rsidRPr="00286A88">
        <w:rPr>
          <w:rFonts w:cs="Times New Roman"/>
          <w:lang w:val="en-AU" w:eastAsia="en-AU"/>
        </w:rPr>
        <w:t xml:space="preserve"> Maintaining ammonia levels in broiler breeder houses below 20 ppm appears to be realistic as Mitchell et al. (2004) report concentrations between 5 and 20 ppm in a commercial breeder house with a slat and litter scratch area; these concentrations were reduced by 56% with the use of an ESC system.</w:t>
      </w:r>
    </w:p>
    <w:p w14:paraId="7A4D74B3" w14:textId="77777777" w:rsidR="00286A88" w:rsidRPr="00286A88" w:rsidRDefault="00286A88" w:rsidP="00B509BB">
      <w:pPr>
        <w:pStyle w:val="Heading3"/>
        <w:rPr>
          <w:lang w:val="en-AU" w:eastAsia="en-AU"/>
        </w:rPr>
      </w:pPr>
      <w:bookmarkStart w:id="173" w:name="_Toc495310642"/>
      <w:r w:rsidRPr="00286A88">
        <w:rPr>
          <w:lang w:val="en-AU" w:eastAsia="en-AU"/>
        </w:rPr>
        <w:t>BB8.3 Litter quality</w:t>
      </w:r>
      <w:bookmarkEnd w:id="173"/>
    </w:p>
    <w:p w14:paraId="0882E613" w14:textId="77777777" w:rsidR="00286A88" w:rsidRPr="00B509BB" w:rsidRDefault="00286A88" w:rsidP="00B509BB">
      <w:pPr>
        <w:rPr>
          <w:i/>
          <w:lang w:val="en-AU" w:eastAsia="en-AU"/>
        </w:rPr>
      </w:pPr>
      <w:r w:rsidRPr="00B509BB">
        <w:rPr>
          <w:i/>
          <w:lang w:val="en-AU" w:eastAsia="en-AU"/>
        </w:rPr>
        <w:t xml:space="preserve">Poor litter quality (high moisture, pH and compacted) can negatively impact upon breeder welfare by increasing the risk of </w:t>
      </w:r>
      <w:r w:rsidR="00FC573C">
        <w:rPr>
          <w:i/>
          <w:lang w:val="en-AU" w:eastAsia="en-AU"/>
        </w:rPr>
        <w:t>foot pad</w:t>
      </w:r>
      <w:r w:rsidRPr="00B509BB">
        <w:rPr>
          <w:i/>
          <w:lang w:val="en-AU" w:eastAsia="en-AU"/>
        </w:rPr>
        <w:t xml:space="preserve"> dermatitis and limiting highly motivated behaviours such as dust-bathing and ground-scratching; risk factors include insufficient ventilation (especially during colder months), diet (high protein or high in soluble fibre), and stereotypic drinker manipulation associated with feed-motivated frustration.</w:t>
      </w:r>
    </w:p>
    <w:p w14:paraId="20C121E0" w14:textId="77777777" w:rsidR="00286A88" w:rsidRPr="00286A88" w:rsidRDefault="00286A88" w:rsidP="00B509BB">
      <w:pPr>
        <w:rPr>
          <w:lang w:val="en-AU" w:eastAsia="en-AU"/>
        </w:rPr>
      </w:pPr>
      <w:r w:rsidRPr="00286A88">
        <w:rPr>
          <w:lang w:val="en-AU" w:eastAsia="en-AU"/>
        </w:rPr>
        <w:t xml:space="preserve">Litter (bedding) quality impacts upon broiler breeders’ welfare by influencing ammonia levels, dust levels, and relative humidity (see BB8.2 and BB7.4), </w:t>
      </w:r>
      <w:r w:rsidR="00FC573C">
        <w:rPr>
          <w:lang w:val="en-AU" w:eastAsia="en-AU"/>
        </w:rPr>
        <w:t>foot pad</w:t>
      </w:r>
      <w:r w:rsidRPr="00286A88">
        <w:rPr>
          <w:lang w:val="en-AU" w:eastAsia="en-AU"/>
        </w:rPr>
        <w:t xml:space="preserve"> skin health (see BB3.8a), and the potential for the birds to perform litter-directed behaviours including dust-bathing and ground-scratching. Litter moisture levels may be affected by a combination of litter material and quantity, drinkers (number and type), water consumption (including water spillage), ambient temperature (i.e. season), stocking rate, ventilation system, bird age, bird health (diarrhoea), and dietary composition. Season has a marked influence upon litter moisture in commercial broiler houses, which is usually higher during colder months due to increases in relative humidity associated with a reduction in</w:t>
      </w:r>
      <w:r w:rsidRPr="00286A88">
        <w:rPr>
          <w:rFonts w:cs="AdvP4CD4D0"/>
          <w:lang w:val="en-AU" w:eastAsia="en-AU"/>
        </w:rPr>
        <w:t xml:space="preserve"> ventilation rates, in an attempt to maintain temperature levels </w:t>
      </w:r>
      <w:r w:rsidRPr="00286A88">
        <w:rPr>
          <w:lang w:val="en-AU" w:eastAsia="en-AU"/>
        </w:rPr>
        <w:t>(see B9.3).</w:t>
      </w:r>
    </w:p>
    <w:p w14:paraId="2C3D3FFB" w14:textId="77777777" w:rsidR="00286A88" w:rsidRPr="00286A88" w:rsidRDefault="00286A88" w:rsidP="00B509BB">
      <w:pPr>
        <w:rPr>
          <w:rFonts w:cs="AdvFrutiger-RC"/>
          <w:lang w:val="en-AU" w:eastAsia="en-AU"/>
        </w:rPr>
      </w:pPr>
      <w:r w:rsidRPr="00286A88">
        <w:rPr>
          <w:rFonts w:cs="RealpageBAS19"/>
          <w:lang w:val="en-AU" w:eastAsia="en-AU"/>
        </w:rPr>
        <w:t xml:space="preserve">Hocking et al. (2001) observed that water intake was greater for feed-restricted birds on a control (high protein) diet compared with a low-protein diet and concluded that feeding rations with lower crude protein concentrations may assist in maintaining litter quality. </w:t>
      </w:r>
      <w:r w:rsidRPr="00286A88">
        <w:rPr>
          <w:rFonts w:cs="AdvTT5843c571"/>
          <w:lang w:val="en-AU" w:eastAsia="en-AU"/>
        </w:rPr>
        <w:t xml:space="preserve">A diet high in insoluble fibre (oat hulls) has been associated with </w:t>
      </w:r>
      <w:r w:rsidRPr="00286A88">
        <w:rPr>
          <w:rFonts w:cs="AdvFrutiger-RC"/>
          <w:lang w:val="en-AU" w:eastAsia="en-AU"/>
        </w:rPr>
        <w:t xml:space="preserve">dry friable litter and breeders maintained on this diet demonstrated a low water intake </w:t>
      </w:r>
      <w:r w:rsidRPr="00286A88">
        <w:rPr>
          <w:rFonts w:cs="AdvTT5843c571"/>
          <w:lang w:val="en-AU" w:eastAsia="en-AU"/>
        </w:rPr>
        <w:t xml:space="preserve">and high levels of dust bathing, while birds provided with a diet high in soluble </w:t>
      </w:r>
      <w:r w:rsidRPr="00286A88">
        <w:rPr>
          <w:rFonts w:cs="AdvTT5843c571+fb"/>
          <w:lang w:val="en-AU" w:eastAsia="en-AU"/>
        </w:rPr>
        <w:t>fi</w:t>
      </w:r>
      <w:r w:rsidRPr="00286A88">
        <w:rPr>
          <w:rFonts w:cs="AdvTT5843c571"/>
          <w:lang w:val="en-AU" w:eastAsia="en-AU"/>
        </w:rPr>
        <w:t xml:space="preserve">bre (sugar beet pulp) had a high water intake, which consequently reduced litter friability and comfort behaviour (Nielsen </w:t>
      </w:r>
      <w:r w:rsidRPr="00286A88">
        <w:rPr>
          <w:rFonts w:cs="AdvTTc1564962.I"/>
          <w:lang w:val="en-AU" w:eastAsia="en-AU"/>
        </w:rPr>
        <w:t>et al.</w:t>
      </w:r>
      <w:r w:rsidRPr="00286A88">
        <w:rPr>
          <w:rFonts w:cs="AdvTT5843c571"/>
          <w:lang w:val="en-AU" w:eastAsia="en-AU"/>
        </w:rPr>
        <w:t xml:space="preserve">, 2011). </w:t>
      </w:r>
      <w:r w:rsidRPr="00286A88">
        <w:rPr>
          <w:rFonts w:cs="AdvFrutiger-RC"/>
          <w:lang w:val="en-AU" w:eastAsia="en-AU"/>
        </w:rPr>
        <w:t>Birds provided with a quantitatively restricted standard diet were also observed to use more water than expected and experienced litter degradation (Nielsen et al., 2011); the authors hypothesise that redirected foraging behaviour at the drinker may have been to blame. Jones et al. (2004) also suggest that manipulation of the nipple drinkers may become part of a stereotypic behaviour associated with feed-motivated frustration.</w:t>
      </w:r>
    </w:p>
    <w:p w14:paraId="44CC3D1A" w14:textId="77777777" w:rsidR="00286A88" w:rsidRPr="00286A88" w:rsidRDefault="00286A88" w:rsidP="00B509BB">
      <w:pPr>
        <w:pStyle w:val="Heading3"/>
        <w:rPr>
          <w:lang w:val="en-AU" w:eastAsia="en-AU"/>
        </w:rPr>
      </w:pPr>
      <w:bookmarkStart w:id="174" w:name="_Toc495310643"/>
      <w:r w:rsidRPr="00286A88">
        <w:rPr>
          <w:lang w:val="en-AU" w:eastAsia="en-AU"/>
        </w:rPr>
        <w:t>BB8.4 Procedures</w:t>
      </w:r>
      <w:bookmarkEnd w:id="174"/>
    </w:p>
    <w:p w14:paraId="6A50DBC5" w14:textId="77777777" w:rsidR="00286A88" w:rsidRPr="00B509BB" w:rsidRDefault="00286A88" w:rsidP="00B509BB">
      <w:pPr>
        <w:rPr>
          <w:i/>
          <w:lang w:val="en-AU" w:eastAsia="en-AU"/>
        </w:rPr>
      </w:pPr>
      <w:r w:rsidRPr="00B509BB">
        <w:rPr>
          <w:i/>
          <w:lang w:val="en-AU" w:eastAsia="en-AU"/>
        </w:rPr>
        <w:t>The majority of mutilations are carried out on males to prevent them from injuring females during mating, although both sexes are beak trimmed to avoid injurious pecking</w:t>
      </w:r>
      <w:r w:rsidR="0011245E">
        <w:rPr>
          <w:i/>
          <w:lang w:val="en-AU" w:eastAsia="en-AU"/>
        </w:rPr>
        <w:t>. A</w:t>
      </w:r>
      <w:r w:rsidRPr="00B509BB">
        <w:rPr>
          <w:i/>
          <w:lang w:val="en-AU" w:eastAsia="en-AU"/>
        </w:rPr>
        <w:t>ll mutilations are associated with restraint, pain and poor welfare, and must, therefore, be performed by highly trained personnel, and be essential in the alleviation of a greater, unavoidable, welfare issue.</w:t>
      </w:r>
    </w:p>
    <w:p w14:paraId="3B0BFFCA" w14:textId="77777777" w:rsidR="00286A88" w:rsidRPr="00286A88" w:rsidRDefault="00286A88" w:rsidP="00B509BB">
      <w:pPr>
        <w:rPr>
          <w:lang w:val="en-AU" w:eastAsia="en-AU"/>
        </w:rPr>
      </w:pPr>
      <w:r w:rsidRPr="00286A88">
        <w:rPr>
          <w:lang w:val="en-AU" w:eastAsia="en-AU"/>
        </w:rPr>
        <w:t>In many countries mutilations like beak trimming, de-toeing, and de-spurring are carried out as routine commercial procedures in order to prevent injuries later in life. There is little data on the prevalence of each mutilation, but since all surgical procedures are carried out without any anaesthetic or postoperative analgesia they are all likely to inflict pain and, therefore, have a negative effect on broiler breeder welfare.</w:t>
      </w:r>
    </w:p>
    <w:p w14:paraId="5660BF73" w14:textId="77777777" w:rsidR="00286A88" w:rsidRPr="00286A88" w:rsidRDefault="00286A88" w:rsidP="00B509BB">
      <w:pPr>
        <w:pStyle w:val="Heading41"/>
      </w:pPr>
      <w:r w:rsidRPr="00286A88">
        <w:t>BB8.4a Beak trimming</w:t>
      </w:r>
    </w:p>
    <w:p w14:paraId="589D7B2A" w14:textId="77777777" w:rsidR="00286A88" w:rsidRPr="00286A88" w:rsidRDefault="00286A88" w:rsidP="00B509BB">
      <w:pPr>
        <w:rPr>
          <w:rFonts w:eastAsia="Times New Roman" w:cs="Times New Roman"/>
          <w:lang w:val="en-AU" w:eastAsia="en-AU"/>
        </w:rPr>
      </w:pPr>
      <w:r w:rsidRPr="00286A88">
        <w:rPr>
          <w:lang w:val="en-AU" w:eastAsia="en-AU"/>
        </w:rPr>
        <w:t xml:space="preserve">Broiler breeder females are routinely beak trimmed to avoid damage caused by injurious pecking (including feather pecking, aggression, and cannibalism) even though there have only been a few reports of serious injurious pecking documented in experimental studies (Hocking et al., 2005) or commercial breeder flocks (Hocking and Jones, 2006; Morrissey et al., 2014a). </w:t>
      </w:r>
      <w:r w:rsidRPr="00286A88">
        <w:rPr>
          <w:rFonts w:eastAsia="Times New Roman" w:cs="Times New Roman"/>
          <w:lang w:val="en-AU" w:eastAsia="en-AU"/>
        </w:rPr>
        <w:t>Males are beak trimmed mainly to prevent them from injuring females; males tend to peck and grab the back of the female heads during mating (Gentle and McKeegan, 2007; Henderson et al., 2009). Beak trimming needs to be performed within the first 10 days of life to prevent the formation of (chronically) painful neuromas (Cheng, 2006).</w:t>
      </w:r>
    </w:p>
    <w:p w14:paraId="2C8AD2AD" w14:textId="77777777" w:rsidR="00286A88" w:rsidRPr="00286A88" w:rsidRDefault="00286A88" w:rsidP="00B509BB">
      <w:pPr>
        <w:rPr>
          <w:rFonts w:eastAsia="Times New Roman" w:cs="Times New Roman"/>
          <w:lang w:val="en-AU" w:eastAsia="en-AU"/>
        </w:rPr>
      </w:pPr>
      <w:r w:rsidRPr="00286A88">
        <w:rPr>
          <w:rFonts w:eastAsia="Times New Roman" w:cs="Times New Roman"/>
          <w:lang w:val="en-AU" w:eastAsia="en-AU"/>
        </w:rPr>
        <w:t xml:space="preserve">When an automated infra-red method is used for beak trimming, this is usually carried out at the hatchery; however, other methods, such as the traditional hot or cold blade, may be performed on the farm (Henderson et al., 2009). </w:t>
      </w:r>
      <w:r w:rsidRPr="00286A88">
        <w:rPr>
          <w:rFonts w:eastAsia="Times New Roman" w:cs="Formata-Medium"/>
          <w:bCs/>
          <w:lang w:val="en-AU" w:eastAsia="en-AU"/>
        </w:rPr>
        <w:t>No effect on behaviour was observed in broiler breeder chicks that had been beak trimmed by the traditional hot blade method or by an automated infra-red treatment during six weeks following trimming; however, both beak-trimming methods were associated with significant reductions in bodyweight compared to non-trimmed chicks, the hot-blade-trimmed birds being affected</w:t>
      </w:r>
      <w:r w:rsidRPr="00286A88">
        <w:rPr>
          <w:rFonts w:eastAsia="Times New Roman" w:cs="Times New Roman"/>
          <w:lang w:val="en-AU" w:eastAsia="en-AU"/>
        </w:rPr>
        <w:t xml:space="preserve"> the most (Gentle and McKeegan, 2007). In a similar study, Henderson et al. (2009) observed a </w:t>
      </w:r>
      <w:r w:rsidRPr="00286A88">
        <w:rPr>
          <w:lang w:val="en-AU" w:eastAsia="en-AU"/>
        </w:rPr>
        <w:t xml:space="preserve">transient reduction in body weight gain 14 days after beak trim by hot blade compared to chicks either subjected to infra-red beak trimming or untrimmed (control group). </w:t>
      </w:r>
      <w:r w:rsidRPr="00286A88">
        <w:rPr>
          <w:rFonts w:eastAsia="Times New Roman" w:cs="Times New Roman"/>
          <w:lang w:val="en-AU" w:eastAsia="en-AU"/>
        </w:rPr>
        <w:t>Although physiological measures of stress were not measured as part of these studies, there is a large volume of published research on laying hens to indicate that the procedure is painful and deprives the birds of important sensory feedback from their beaks (see LH8.3b); it can reasonably be assumed that broiler breeders share the same negative welfare implications of beak trimming.</w:t>
      </w:r>
    </w:p>
    <w:p w14:paraId="64C0F736" w14:textId="77777777" w:rsidR="00286A88" w:rsidRPr="00286A88" w:rsidRDefault="00286A88" w:rsidP="00B509BB">
      <w:pPr>
        <w:pStyle w:val="Heading41"/>
      </w:pPr>
      <w:r w:rsidRPr="00286A88">
        <w:t>BB8.4b Toe clipping and de-spurring</w:t>
      </w:r>
    </w:p>
    <w:p w14:paraId="59D8AD94" w14:textId="77777777" w:rsidR="00286A88" w:rsidRPr="00286A88" w:rsidRDefault="00286A88" w:rsidP="00B509BB">
      <w:pPr>
        <w:rPr>
          <w:lang w:val="en-AU" w:eastAsia="en-AU"/>
        </w:rPr>
      </w:pPr>
      <w:r w:rsidRPr="00286A88">
        <w:rPr>
          <w:lang w:val="en-AU" w:eastAsia="en-AU"/>
        </w:rPr>
        <w:t>Toe clipping and de-spurring are carried out on males to prevent the inside claws and spurs from causing feather damage and severe skin lesions to the females during mating; de-spurring also reduces the risk of damage to other males during fighting. Toe clipping may also be utilised for identification of grandparent chicks (</w:t>
      </w:r>
      <w:r w:rsidR="00793ACC">
        <w:rPr>
          <w:lang w:val="en-AU" w:eastAsia="en-AU"/>
        </w:rPr>
        <w:t>AHAW</w:t>
      </w:r>
      <w:r w:rsidRPr="00286A88">
        <w:rPr>
          <w:lang w:val="en-AU" w:eastAsia="en-AU"/>
        </w:rPr>
        <w:t xml:space="preserve">, 2010). Although some of these mutilations may have long-term benefits, the procedure will, at least transiently, compromise bird welfare. Removal of toes (usually the toe that points backwards or inwards) is performed using a hot blade or hot wire, while de-spurring is carried out by thermo-cautery (holding the spurs against a hot metal surface). Even brief </w:t>
      </w:r>
      <w:r w:rsidRPr="00286A88">
        <w:rPr>
          <w:rFonts w:cs="AdvP41153C"/>
          <w:lang w:val="en-AU" w:eastAsia="en-AU"/>
        </w:rPr>
        <w:t xml:space="preserve">physical restraint can elevate underlying fear levels in broilers (Marin et al., 2001), </w:t>
      </w:r>
      <w:r w:rsidRPr="00286A88">
        <w:rPr>
          <w:lang w:val="en-AU" w:eastAsia="en-AU"/>
        </w:rPr>
        <w:t>while the mutilation itself will induce acute and/or chronic pain since these tissues are well innervated (Gentle and Hunter, 1988). De-toeing may lead to the formation of small neuromas, the welfare implications of which are difficult to predict (Gentle and Hunter, 1988) although, if associated with chronic discomfort, may impact upon perching behaviour. No studies describe the long-term impact of de-toeing or de-spurring on male chicken welfare. If improvements in housing conditions, management or genetic breeding programmes can alter male breeder mating behaviour then the requirement for mutilations may become redundant.</w:t>
      </w:r>
    </w:p>
    <w:p w14:paraId="6887F43C" w14:textId="77777777" w:rsidR="00286A88" w:rsidRPr="00286A88" w:rsidRDefault="00286A88" w:rsidP="00B509BB">
      <w:pPr>
        <w:pStyle w:val="Heading41"/>
      </w:pPr>
      <w:r w:rsidRPr="00286A88">
        <w:t>BB8.4c Comb trimming</w:t>
      </w:r>
    </w:p>
    <w:p w14:paraId="42B18A19" w14:textId="77777777" w:rsidR="00286A88" w:rsidRPr="00286A88" w:rsidRDefault="00286A88" w:rsidP="00B509BB">
      <w:pPr>
        <w:rPr>
          <w:lang w:val="en-AU" w:eastAsia="en-AU"/>
        </w:rPr>
      </w:pPr>
      <w:r w:rsidRPr="00286A88">
        <w:rPr>
          <w:lang w:val="en-AU" w:eastAsia="en-AU"/>
        </w:rPr>
        <w:t>Dubbing the comb (cutting off the comb with a pair of scissors) used to be performed on broiler breeder males at the hatchery to reduce the comb size, to prevent damage to the comb (during fighting or from rubbing on the wire roof of conventional cages) and to improve visibility (and thus increase sexual activity). The comb sizes of modern breeder males are much smaller and dubbing is no longer a standard procedure (although it is still performed); it is estimated that &lt;10% of males currently undergo this procedure and only upon customer request (</w:t>
      </w:r>
      <w:r w:rsidR="00793ACC">
        <w:rPr>
          <w:lang w:val="en-AU" w:eastAsia="en-AU"/>
        </w:rPr>
        <w:t>AHAW</w:t>
      </w:r>
      <w:r w:rsidRPr="00286A88">
        <w:rPr>
          <w:lang w:val="en-AU" w:eastAsia="en-AU"/>
        </w:rPr>
        <w:t xml:space="preserve">, 2010). Dubbing is also likely to cause distress from restraint and handling </w:t>
      </w:r>
      <w:r w:rsidRPr="00286A88">
        <w:rPr>
          <w:rFonts w:cs="AdvP41153C"/>
          <w:lang w:val="en-AU" w:eastAsia="en-AU"/>
        </w:rPr>
        <w:t>(Marin et al., 2001)</w:t>
      </w:r>
      <w:r w:rsidRPr="00286A88">
        <w:rPr>
          <w:lang w:val="en-AU" w:eastAsia="en-AU"/>
        </w:rPr>
        <w:t>, and acute pain will result as a consequence of the procedure. There are no studies describing either the acute or long-term effects of comb cutting or the welfare consequences.</w:t>
      </w:r>
    </w:p>
    <w:p w14:paraId="300BB4EE" w14:textId="77777777" w:rsidR="00286A88" w:rsidRPr="00286A88" w:rsidRDefault="00286A88" w:rsidP="00B509BB">
      <w:pPr>
        <w:pStyle w:val="Heading41"/>
      </w:pPr>
      <w:r w:rsidRPr="00286A88">
        <w:t>BB8.4d Artificial Insemination</w:t>
      </w:r>
    </w:p>
    <w:p w14:paraId="4C28CBC0" w14:textId="77777777" w:rsidR="00286A88" w:rsidRPr="00286A88" w:rsidRDefault="00286A88" w:rsidP="00B509BB">
      <w:pPr>
        <w:rPr>
          <w:lang w:val="en-AU" w:eastAsia="en-AU"/>
        </w:rPr>
      </w:pPr>
      <w:r w:rsidRPr="00286A88">
        <w:rPr>
          <w:lang w:val="en-AU" w:eastAsia="en-AU"/>
        </w:rPr>
        <w:t xml:space="preserve">Artificial insemination is occasionally used in specific breeding lines to avoid rough mating; however the males have to be individually cage housed, with associated consequences for bird welfare (see B5.1), and the procedure requires a period of restraint, which is likely to cause distress </w:t>
      </w:r>
      <w:r w:rsidRPr="00286A88">
        <w:rPr>
          <w:rFonts w:cs="AdvP41153C"/>
          <w:lang w:val="en-AU" w:eastAsia="en-AU"/>
        </w:rPr>
        <w:t>(Marin et al., 2001)</w:t>
      </w:r>
      <w:r w:rsidRPr="00286A88">
        <w:rPr>
          <w:lang w:val="en-AU" w:eastAsia="en-AU"/>
        </w:rPr>
        <w:t>. In addition, artificial insemination enables the selection of extra-heavy male lines (following the removal of risk for female damage during mating), which poses further consequences for male welfare, especially with regard to the necessity for ever-greater feed restrictions (see BB2.1).</w:t>
      </w:r>
    </w:p>
    <w:p w14:paraId="541D74EB" w14:textId="77777777" w:rsidR="00286A88" w:rsidRPr="00286A88" w:rsidRDefault="00286A88" w:rsidP="00B509BB">
      <w:pPr>
        <w:pStyle w:val="Heading41"/>
      </w:pPr>
      <w:r w:rsidRPr="00286A88">
        <w:t>BB8.4e Spiking</w:t>
      </w:r>
    </w:p>
    <w:p w14:paraId="091B31FE" w14:textId="77777777" w:rsidR="00286A88" w:rsidRPr="00286A88" w:rsidRDefault="00286A88" w:rsidP="00B509BB">
      <w:pPr>
        <w:rPr>
          <w:lang w:val="en-AU" w:eastAsia="en-AU"/>
        </w:rPr>
      </w:pPr>
      <w:r w:rsidRPr="00286A88">
        <w:rPr>
          <w:lang w:val="en-AU" w:eastAsia="en-AU"/>
        </w:rPr>
        <w:t>‘Spiking’ is a common management practice in some countries whereby, at around 40 weeks, some of the older males are replaced with younger males, to maintain fertility levels within breeder flocks (</w:t>
      </w:r>
      <w:r w:rsidR="00793ACC">
        <w:rPr>
          <w:lang w:val="en-AU" w:eastAsia="en-AU"/>
        </w:rPr>
        <w:t>AHAW</w:t>
      </w:r>
      <w:r w:rsidRPr="00286A88">
        <w:rPr>
          <w:lang w:val="en-AU" w:eastAsia="en-AU"/>
        </w:rPr>
        <w:t xml:space="preserve">, 2010). ‘Double </w:t>
      </w:r>
      <w:r w:rsidRPr="00286A88">
        <w:rPr>
          <w:rFonts w:cs="TimesNewRomanPSMT"/>
          <w:lang w:val="en-AU" w:eastAsia="en-AU"/>
        </w:rPr>
        <w:t xml:space="preserve">interspiking’ involves swapping males between flocks to disrupt the established pecking order and trigger an increase in sexual behaviour. Despite the </w:t>
      </w:r>
      <w:r w:rsidRPr="00286A88">
        <w:rPr>
          <w:lang w:val="en-AU" w:eastAsia="en-AU"/>
        </w:rPr>
        <w:t xml:space="preserve">positive effects on fertility, spiking, unsurprisingly, leads to increased aggression between males and potentially increases the prevalence of forced copulations (see BB3.6), with associated injuries to both males and females. </w:t>
      </w:r>
      <w:r w:rsidRPr="00286A88">
        <w:rPr>
          <w:rFonts w:cs="TimesNewRomanPSMT"/>
          <w:lang w:val="en-AU" w:eastAsia="en-AU"/>
        </w:rPr>
        <w:t>Chung et al. (2012) describe an increase in male-to-male aggression following ‘double interspiking’; the authors do not report information relating to male-to-female aggression nor do they report mortality levels prior to, or following, this practice, but there are obvious deleterious welfare implications. In addition, s</w:t>
      </w:r>
      <w:r w:rsidRPr="00286A88">
        <w:rPr>
          <w:lang w:val="en-AU" w:eastAsia="en-AU"/>
        </w:rPr>
        <w:t>piking increases the risk of pathogen introduction to the flock and strict biosecurity conditions are therefore necessary.</w:t>
      </w:r>
    </w:p>
    <w:p w14:paraId="73598FD9" w14:textId="77777777" w:rsidR="00286A88" w:rsidRPr="00286A88" w:rsidRDefault="00286A88" w:rsidP="00B509BB">
      <w:pPr>
        <w:pStyle w:val="Heading2"/>
        <w:rPr>
          <w:lang w:val="en-AU" w:eastAsia="en-AU"/>
        </w:rPr>
      </w:pPr>
      <w:bookmarkStart w:id="175" w:name="_Toc495310644"/>
      <w:r w:rsidRPr="00286A88">
        <w:rPr>
          <w:lang w:val="en-AU" w:eastAsia="en-AU"/>
        </w:rPr>
        <w:t>BB9. Welfare Considerations: Overview</w:t>
      </w:r>
      <w:bookmarkEnd w:id="175"/>
    </w:p>
    <w:p w14:paraId="4DF068F9" w14:textId="77777777" w:rsidR="00286A88" w:rsidRPr="00286A88" w:rsidRDefault="00286A88" w:rsidP="00B509BB">
      <w:pPr>
        <w:rPr>
          <w:lang w:val="en-AU" w:eastAsia="en-AU"/>
        </w:rPr>
      </w:pPr>
      <w:r w:rsidRPr="00286A88">
        <w:rPr>
          <w:lang w:val="en-AU" w:eastAsia="en-AU"/>
        </w:rPr>
        <w:t xml:space="preserve">When broiler breeders are fed </w:t>
      </w:r>
      <w:r w:rsidRPr="00286A88">
        <w:rPr>
          <w:i/>
          <w:lang w:val="en-AU" w:eastAsia="en-AU"/>
        </w:rPr>
        <w:t>ad libitum</w:t>
      </w:r>
      <w:r w:rsidRPr="00286A88">
        <w:rPr>
          <w:lang w:val="en-AU" w:eastAsia="en-AU"/>
        </w:rPr>
        <w:t xml:space="preserve"> they become overweight which has negative consequences for their health (including a risk of premature death) and reproductive capacity. To counteract this they are subjected to severe feed restriction (especially during the rearing phase, before the birds become sexually mature). This feed restriction leads to chronic hunger, stereotypic behaviour, aggression and injurious pecking, and has clear negative effects upon broiler breeder welfare. Attempts to increase meal size by diluting the diet with ‘fillers’ (qualitative restriction) and the use of appetite suppressants do not clearly benefit breeder welfare, nor are these alternative feeding strategies preferred by the birds, since a metabolic ‘hunger’ remains. A full solution to this paradox is not readily available. Genetics appears to hold the key in addressing many of these issues. The selection of birds requiring less feed restriction as future breeders should be a priority, even if this may involve a compromise in growth rate; the use of different (dwarf) genotypes that require less feed restriction than standard breeders has already been successfully explored.</w:t>
      </w:r>
    </w:p>
    <w:p w14:paraId="1AF7FD17" w14:textId="77777777" w:rsidR="00286A88" w:rsidRPr="00286A88" w:rsidRDefault="00286A88" w:rsidP="00B509BB">
      <w:pPr>
        <w:rPr>
          <w:lang w:val="en-AU" w:eastAsia="en-AU"/>
        </w:rPr>
      </w:pPr>
      <w:r w:rsidRPr="00286A88">
        <w:rPr>
          <w:lang w:val="en-AU" w:eastAsia="en-AU"/>
        </w:rPr>
        <w:t>The majority of mortality in broiler breeders occurs as a result of culling based upon selection criteria; large numb</w:t>
      </w:r>
      <w:r w:rsidR="00E644D8">
        <w:rPr>
          <w:lang w:val="en-AU" w:eastAsia="en-AU"/>
        </w:rPr>
        <w:t>ers of males are culled through</w:t>
      </w:r>
      <w:r w:rsidRPr="00286A88">
        <w:rPr>
          <w:lang w:val="en-AU" w:eastAsia="en-AU"/>
        </w:rPr>
        <w:t>out the production (laying) period for poor breeding potential or health issues. Severe foot pad dermatitis has been reported from breeder flocks and steps should be taken (as above) to maintain litter quality.</w:t>
      </w:r>
    </w:p>
    <w:p w14:paraId="36B50CA9" w14:textId="77777777" w:rsidR="00286A88" w:rsidRPr="00286A88" w:rsidRDefault="00286A88" w:rsidP="00B509BB">
      <w:pPr>
        <w:rPr>
          <w:lang w:val="en-AU" w:eastAsia="en-AU"/>
        </w:rPr>
      </w:pPr>
      <w:r w:rsidRPr="00286A88">
        <w:rPr>
          <w:lang w:val="en-AU" w:eastAsia="en-AU"/>
        </w:rPr>
        <w:t>Sexual aggression is a direct threat to female welfare. Males demonstrate aggression to females in both a sexual and non-sexual context; however, rough mating behaviour, forced copulation and over-mating can leave females wounded and fearful of males. Mating aggressiveness also appears to have genetic origins and could be targeted in breeding programmes. If this could be decreased then the requirement to mutilate would also be lessened. The provision of environmental enrichment may prove beneficial in the short-term. Elevated structures and vertical panels in particular would provide cover and offer a means for subordinate males or females to escape conflict and unwanted sexual attention. The ratio of male to female birds must also be considered.</w:t>
      </w:r>
    </w:p>
    <w:p w14:paraId="5AB376CD" w14:textId="77777777" w:rsidR="00286A88" w:rsidRPr="00286A88" w:rsidRDefault="00286A88" w:rsidP="00B509BB">
      <w:pPr>
        <w:rPr>
          <w:lang w:val="en-AU" w:eastAsia="en-AU"/>
        </w:rPr>
      </w:pPr>
      <w:r w:rsidRPr="00286A88">
        <w:rPr>
          <w:lang w:val="en-AU" w:eastAsia="en-AU"/>
        </w:rPr>
        <w:t>Males and females are routinely beak trimmed to reduce injurious pecking, while males are often subjected to additional mutilations, such as toe and spur removal, to limit the physical damage inflicted upon other males and females. However, these procedures are conducted in the absence of good quantitative evidence about their potential beneficial effects.</w:t>
      </w:r>
    </w:p>
    <w:p w14:paraId="31E17449" w14:textId="77777777" w:rsidR="00286A88" w:rsidRDefault="00286A88" w:rsidP="00B509BB">
      <w:pPr>
        <w:rPr>
          <w:lang w:val="en-AU" w:eastAsia="en-AU"/>
        </w:rPr>
      </w:pPr>
      <w:r w:rsidRPr="00286A88">
        <w:rPr>
          <w:lang w:val="en-AU" w:eastAsia="en-AU"/>
        </w:rPr>
        <w:t xml:space="preserve">Since so little data exists there is a pressing need for research to establish the prevalence of specific welfare issues, including feather pecking, aggression, skeletal injuries and FPD prevalence in broiler breeder flocks. </w:t>
      </w:r>
    </w:p>
    <w:p w14:paraId="3136D7E2" w14:textId="77777777" w:rsidR="00EB1BF9" w:rsidRDefault="00EB1BF9" w:rsidP="00B509BB">
      <w:pPr>
        <w:rPr>
          <w:lang w:val="en-AU" w:eastAsia="en-AU"/>
        </w:rPr>
      </w:pPr>
    </w:p>
    <w:p w14:paraId="2004B7E5" w14:textId="77777777" w:rsidR="00EB1BF9" w:rsidRDefault="00EB1BF9" w:rsidP="00EB1BF9">
      <w:pPr>
        <w:pStyle w:val="Heading2"/>
        <w:rPr>
          <w:lang w:val="en-AU" w:eastAsia="en-AU"/>
        </w:rPr>
      </w:pPr>
      <w:r>
        <w:rPr>
          <w:lang w:val="en-AU" w:eastAsia="en-AU"/>
        </w:rPr>
        <w:br w:type="column"/>
      </w:r>
      <w:bookmarkStart w:id="176" w:name="_Toc495310645"/>
      <w:r w:rsidR="00276571">
        <w:rPr>
          <w:lang w:val="en-AU" w:eastAsia="en-AU"/>
        </w:rPr>
        <w:t xml:space="preserve">BB10. </w:t>
      </w:r>
      <w:r>
        <w:rPr>
          <w:lang w:val="en-AU" w:eastAsia="en-AU"/>
        </w:rPr>
        <w:t>References</w:t>
      </w:r>
      <w:bookmarkEnd w:id="176"/>
    </w:p>
    <w:p w14:paraId="700F87E8" w14:textId="77777777" w:rsidR="00793ACC" w:rsidRDefault="00793ACC" w:rsidP="00EB1BF9">
      <w:pPr>
        <w:rPr>
          <w:bCs/>
          <w:lang w:val="en-GB" w:eastAsia="en-AU"/>
        </w:rPr>
      </w:pPr>
      <w:r w:rsidRPr="00793ACC">
        <w:rPr>
          <w:bCs/>
          <w:lang w:val="en-GB" w:eastAsia="en-AU"/>
        </w:rPr>
        <w:t xml:space="preserve">AHAW. 2010. EFSA Panel on Animal Health and Welfare (AHAW): Scientific Opinion on welfare aspects of the management and housing of the grand-parent and parent stocks raised and kept for breeding purposes. EFSA Journal 8(7):1667. [81 pp.]. doi:10.2903/j.efsa.2010.1667. Available online: </w:t>
      </w:r>
      <w:hyperlink r:id="rId66" w:tooltip="This is a link to the website of the European Food Safety Authority." w:history="1">
        <w:r w:rsidRPr="00FD6211">
          <w:rPr>
            <w:rStyle w:val="Hyperlink"/>
            <w:bCs/>
            <w:lang w:val="en-GB" w:eastAsia="en-AU"/>
          </w:rPr>
          <w:t>www.efsa.europa.eu</w:t>
        </w:r>
      </w:hyperlink>
    </w:p>
    <w:p w14:paraId="1EDDC692" w14:textId="77777777" w:rsidR="00EB1BF9" w:rsidRDefault="00EB1BF9" w:rsidP="00EB1BF9">
      <w:pPr>
        <w:rPr>
          <w:lang w:val="en-GB" w:eastAsia="en-AU"/>
        </w:rPr>
      </w:pPr>
      <w:r w:rsidRPr="00EB1BF9">
        <w:rPr>
          <w:bCs/>
          <w:lang w:val="en-GB" w:eastAsia="en-AU"/>
        </w:rPr>
        <w:t xml:space="preserve">Almeida Paz, I. C. L, A. A. Mendes, R. R. Quinterio, L. C. Vulcano, S. E. Takahashi, R. G. Garcia, C. M. Komiyama, A. Balog, K. Pelícia, F. S. Wescheler, P. S. O. Scudeller, and A. Piccinin, 2006. Bone </w:t>
      </w:r>
      <w:r w:rsidRPr="00EB1BF9">
        <w:rPr>
          <w:lang w:val="en-GB" w:eastAsia="en-AU"/>
        </w:rPr>
        <w:t>m</w:t>
      </w:r>
      <w:r w:rsidRPr="00EB1BF9">
        <w:rPr>
          <w:bCs/>
          <w:lang w:val="en-GB" w:eastAsia="en-AU"/>
        </w:rPr>
        <w:t xml:space="preserve">ineral </w:t>
      </w:r>
      <w:r w:rsidRPr="00EB1BF9">
        <w:rPr>
          <w:lang w:val="en-GB" w:eastAsia="en-AU"/>
        </w:rPr>
        <w:t>d</w:t>
      </w:r>
      <w:r w:rsidRPr="00EB1BF9">
        <w:rPr>
          <w:bCs/>
          <w:lang w:val="en-GB" w:eastAsia="en-AU"/>
        </w:rPr>
        <w:t xml:space="preserve">ensity of </w:t>
      </w:r>
      <w:r w:rsidRPr="00EB1BF9">
        <w:rPr>
          <w:lang w:val="en-GB" w:eastAsia="en-AU"/>
        </w:rPr>
        <w:t>t</w:t>
      </w:r>
      <w:r w:rsidRPr="00EB1BF9">
        <w:rPr>
          <w:bCs/>
          <w:lang w:val="en-GB" w:eastAsia="en-AU"/>
        </w:rPr>
        <w:t xml:space="preserve">ibae and </w:t>
      </w:r>
      <w:r w:rsidRPr="00EB1BF9">
        <w:rPr>
          <w:lang w:val="en-GB" w:eastAsia="en-AU"/>
        </w:rPr>
        <w:t>f</w:t>
      </w:r>
      <w:r w:rsidRPr="00EB1BF9">
        <w:rPr>
          <w:bCs/>
          <w:lang w:val="en-GB" w:eastAsia="en-AU"/>
        </w:rPr>
        <w:t xml:space="preserve">emura of </w:t>
      </w:r>
      <w:r w:rsidRPr="00EB1BF9">
        <w:rPr>
          <w:lang w:val="en-GB" w:eastAsia="en-AU"/>
        </w:rPr>
        <w:t>b</w:t>
      </w:r>
      <w:r w:rsidRPr="00EB1BF9">
        <w:rPr>
          <w:bCs/>
          <w:lang w:val="en-GB" w:eastAsia="en-AU"/>
        </w:rPr>
        <w:t xml:space="preserve">roiler </w:t>
      </w:r>
      <w:r w:rsidRPr="00EB1BF9">
        <w:rPr>
          <w:lang w:val="en-GB" w:eastAsia="en-AU"/>
        </w:rPr>
        <w:t>b</w:t>
      </w:r>
      <w:r w:rsidRPr="00EB1BF9">
        <w:rPr>
          <w:bCs/>
          <w:lang w:val="en-GB" w:eastAsia="en-AU"/>
        </w:rPr>
        <w:t xml:space="preserve">reeders: </w:t>
      </w:r>
      <w:r w:rsidRPr="00EB1BF9">
        <w:rPr>
          <w:lang w:val="en-GB" w:eastAsia="en-AU"/>
        </w:rPr>
        <w:t>g</w:t>
      </w:r>
      <w:r w:rsidRPr="00EB1BF9">
        <w:rPr>
          <w:bCs/>
          <w:lang w:val="en-GB" w:eastAsia="en-AU"/>
        </w:rPr>
        <w:t xml:space="preserve">rowth, </w:t>
      </w:r>
      <w:r w:rsidRPr="00EB1BF9">
        <w:rPr>
          <w:lang w:val="en-GB" w:eastAsia="en-AU"/>
        </w:rPr>
        <w:t>d</w:t>
      </w:r>
      <w:r w:rsidRPr="00EB1BF9">
        <w:rPr>
          <w:bCs/>
          <w:lang w:val="en-GB" w:eastAsia="en-AU"/>
        </w:rPr>
        <w:t xml:space="preserve">evelopment and </w:t>
      </w:r>
      <w:r w:rsidRPr="00EB1BF9">
        <w:rPr>
          <w:lang w:val="en-GB" w:eastAsia="en-AU"/>
        </w:rPr>
        <w:t>p</w:t>
      </w:r>
      <w:r w:rsidRPr="00EB1BF9">
        <w:rPr>
          <w:bCs/>
          <w:lang w:val="en-GB" w:eastAsia="en-AU"/>
        </w:rPr>
        <w:t>roduction. Brazilian Journal of Poultry Science, 8: 75-82.</w:t>
      </w:r>
      <w:r w:rsidRPr="00EB1BF9">
        <w:rPr>
          <w:lang w:val="en-GB" w:eastAsia="en-AU"/>
        </w:rPr>
        <w:t xml:space="preserve"> </w:t>
      </w:r>
      <w:r w:rsidR="00165823">
        <w:rPr>
          <w:lang w:val="en-GB" w:eastAsia="en-AU"/>
        </w:rPr>
        <w:t>doi</w:t>
      </w:r>
      <w:r w:rsidR="00111E11">
        <w:rPr>
          <w:lang w:val="en-GB" w:eastAsia="en-AU"/>
        </w:rPr>
        <w:t>10.1590/S1516-635X2006000200002</w:t>
      </w:r>
    </w:p>
    <w:p w14:paraId="3D17891C" w14:textId="77777777" w:rsidR="00800609" w:rsidRPr="00EB1BF9" w:rsidRDefault="00800609" w:rsidP="00EB1BF9">
      <w:pPr>
        <w:rPr>
          <w:lang w:val="en-GB" w:eastAsia="en-AU"/>
        </w:rPr>
      </w:pPr>
      <w:r w:rsidRPr="00800609">
        <w:rPr>
          <w:lang w:val="en-GB" w:eastAsia="en-AU"/>
        </w:rPr>
        <w:t>Altan, O., I. Oguz, Z. Erbayraktar, O. Yimaz, H. Bayraktarl, and B. Sis. 2005. The effect of prolonged fasting and refeeding on GSH-Px activity, plasma glucose and cholesterol levels and welfare of older hens from different genotypes. Archiv Fur Geflugelkunde 69:185-191.</w:t>
      </w:r>
    </w:p>
    <w:p w14:paraId="4AF3C83E" w14:textId="77777777" w:rsidR="00EB1BF9" w:rsidRPr="00EB1BF9" w:rsidRDefault="00EB1BF9" w:rsidP="00EB1BF9">
      <w:pPr>
        <w:rPr>
          <w:lang w:val="en-GB" w:eastAsia="en-AU"/>
        </w:rPr>
      </w:pPr>
      <w:r w:rsidRPr="00EB1BF9">
        <w:rPr>
          <w:lang w:val="en-GB" w:eastAsia="en-AU"/>
        </w:rPr>
        <w:t>Banhazi, T. M., J. Seedorf, M. Laffrique, and D. L. Rutley. 2008. Identification of the risk factors for high airborne particle concentrations in broiler buildings using statistical modelling. Biosystems Engineering 101:100-110. doi 10.1016/j.biosystemseng.2008.06.007</w:t>
      </w:r>
    </w:p>
    <w:p w14:paraId="0555E0E6" w14:textId="77777777" w:rsidR="00EB1BF9" w:rsidRPr="00EB1BF9" w:rsidRDefault="00EB1BF9" w:rsidP="00EB1BF9">
      <w:pPr>
        <w:rPr>
          <w:lang w:val="en-GB" w:eastAsia="en-AU"/>
        </w:rPr>
      </w:pPr>
      <w:r w:rsidRPr="00EB1BF9">
        <w:rPr>
          <w:lang w:val="en-GB" w:eastAsia="en-AU"/>
        </w:rPr>
        <w:t>Brake, J. 1987. Influence of presence of perches during rearing on incidence of floor laying in broiler breeders</w:t>
      </w:r>
      <w:r w:rsidR="00111E11">
        <w:rPr>
          <w:lang w:val="en-GB" w:eastAsia="en-AU"/>
        </w:rPr>
        <w:t>. Poultry Science 66:1587-1589.</w:t>
      </w:r>
    </w:p>
    <w:p w14:paraId="4AA17A05" w14:textId="77777777" w:rsidR="00EB1BF9" w:rsidRPr="00EB1BF9" w:rsidRDefault="00EB1BF9" w:rsidP="00EB1BF9">
      <w:pPr>
        <w:rPr>
          <w:lang w:val="en-GB" w:eastAsia="en-AU"/>
        </w:rPr>
      </w:pPr>
      <w:r w:rsidRPr="00EB1BF9">
        <w:rPr>
          <w:lang w:val="en-GB" w:eastAsia="en-AU"/>
        </w:rPr>
        <w:t>Brake, J., T. P. Keeley, and R. B. Jones. 1994. Effect of age and presence of perches during rearing on tonic immobility fear reactions of broiler breeder pullets</w:t>
      </w:r>
      <w:r w:rsidR="00111E11">
        <w:rPr>
          <w:lang w:val="en-GB" w:eastAsia="en-AU"/>
        </w:rPr>
        <w:t>. Poultry Science 73:1470-1474.</w:t>
      </w:r>
    </w:p>
    <w:p w14:paraId="2FD300F0" w14:textId="77777777" w:rsidR="00EB1BF9" w:rsidRPr="00EB1BF9" w:rsidRDefault="00EB1BF9" w:rsidP="00EB1BF9">
      <w:pPr>
        <w:rPr>
          <w:lang w:val="en-GB" w:eastAsia="en-AU"/>
        </w:rPr>
      </w:pPr>
      <w:r w:rsidRPr="00EB1BF9">
        <w:rPr>
          <w:lang w:val="en-GB" w:eastAsia="en-AU"/>
        </w:rPr>
        <w:t>Bruggeman, V., O. Onagbesan, E. D'Hondt, N. Buys, M. Safi, D. Vanmontfort, L. Berghman, F. Vandesande, and E. Decuypere. 1999. Effects of timing and duration of feed restriction during rearing on reproductive characteristics in broiler breeder females</w:t>
      </w:r>
      <w:r w:rsidR="00111E11">
        <w:rPr>
          <w:lang w:val="en-GB" w:eastAsia="en-AU"/>
        </w:rPr>
        <w:t>. Poultry Science 78:1424-1434.</w:t>
      </w:r>
    </w:p>
    <w:p w14:paraId="4CD7B8F9" w14:textId="77777777" w:rsidR="00EB1BF9" w:rsidRPr="00EB1BF9" w:rsidRDefault="00EB1BF9" w:rsidP="00EB1BF9">
      <w:pPr>
        <w:rPr>
          <w:lang w:val="en-GB" w:eastAsia="en-AU"/>
        </w:rPr>
      </w:pPr>
      <w:r w:rsidRPr="00EB1BF9">
        <w:rPr>
          <w:lang w:val="en-GB" w:eastAsia="en-AU"/>
        </w:rPr>
        <w:t>Buckley, L. A., V. Sandilands, B. J. Tolkamp, and R. B. D'Eath. 2011a. Quantifying hungry broiler breeder dietary preferences using a closed economy T-maze task. Applied Animal Behaviour Science 133:216-227. doi 10.1016/j.applanim.2011.06.003</w:t>
      </w:r>
    </w:p>
    <w:p w14:paraId="0AE014BB" w14:textId="77777777" w:rsidR="00EB1BF9" w:rsidRPr="00EB1BF9" w:rsidRDefault="00EB1BF9" w:rsidP="00EB1BF9">
      <w:pPr>
        <w:rPr>
          <w:lang w:val="en-GB" w:eastAsia="en-AU"/>
        </w:rPr>
      </w:pPr>
      <w:r w:rsidRPr="00EB1BF9">
        <w:rPr>
          <w:lang w:val="en-GB" w:eastAsia="en-AU"/>
        </w:rPr>
        <w:t>Buckley, L. A., L. M. McMillan, V. Sandilands, B. J. Tolkamp, P. M. Hocking, and R. B. D'Eath. 2011b. Too hungry to learn? Hungry broiler breeders fail to learn a Y-maze food quantity discrimination t</w:t>
      </w:r>
      <w:r w:rsidR="00111E11">
        <w:rPr>
          <w:lang w:val="en-GB" w:eastAsia="en-AU"/>
        </w:rPr>
        <w:t>ask. Animal Welfare 20:469-481.</w:t>
      </w:r>
    </w:p>
    <w:p w14:paraId="51880F77" w14:textId="77777777" w:rsidR="00EB1BF9" w:rsidRPr="00EB1BF9" w:rsidRDefault="00EB1BF9" w:rsidP="00EB1BF9">
      <w:pPr>
        <w:rPr>
          <w:lang w:val="en-GB" w:eastAsia="en-AU"/>
        </w:rPr>
      </w:pPr>
      <w:r w:rsidRPr="00EB1BF9">
        <w:rPr>
          <w:lang w:val="en-GB" w:eastAsia="en-AU"/>
        </w:rPr>
        <w:t>Buckley, L. A., V. Sandilands, P. M. Hocking, B. J. Tolkamp, and R. B. D'Eath. 2012. The use of conditioned place preference to determine broiler preferences for quantitative or qualitative dietary restriction. British Poultry Science 53:291-306. doi 10.1080/00071668.2012.698727</w:t>
      </w:r>
    </w:p>
    <w:p w14:paraId="6BC637A6" w14:textId="77777777" w:rsidR="00EB1BF9" w:rsidRDefault="00EB1BF9" w:rsidP="00EB1BF9">
      <w:pPr>
        <w:rPr>
          <w:lang w:val="en-GB" w:eastAsia="en-AU"/>
        </w:rPr>
      </w:pPr>
      <w:r w:rsidRPr="00EB1BF9">
        <w:rPr>
          <w:lang w:val="en-GB" w:eastAsia="en-AU"/>
        </w:rPr>
        <w:t>Buckley, L. A., V. Sandilands, P. M. Hocking, B. J. Tolkamp, and R. B. D'Eath. 2015. Feed-restricted broiler breeders: State-dependent learning as a novel welfare assessment tool to evaluate their hunger state? Applied Animal Behaviour Science 165:124-132. doi 10.1016/j.applanim.2015.01.006</w:t>
      </w:r>
    </w:p>
    <w:p w14:paraId="2E51B8F7" w14:textId="77777777" w:rsidR="00800609" w:rsidRPr="00EB1BF9" w:rsidRDefault="00800609" w:rsidP="00EB1BF9">
      <w:pPr>
        <w:rPr>
          <w:lang w:val="en-GB" w:eastAsia="en-AU"/>
        </w:rPr>
      </w:pPr>
      <w:r w:rsidRPr="00800609">
        <w:rPr>
          <w:lang w:val="en-GB" w:eastAsia="en-AU"/>
        </w:rPr>
        <w:t>Cheng, H. 2006. Morphopathological changes and pain in beak trimmed laying hens. Worl</w:t>
      </w:r>
      <w:r>
        <w:rPr>
          <w:lang w:val="en-GB" w:eastAsia="en-AU"/>
        </w:rPr>
        <w:t>d’s Poultry Science Journal 62:</w:t>
      </w:r>
      <w:r w:rsidRPr="00800609">
        <w:rPr>
          <w:lang w:val="en-GB" w:eastAsia="en-AU"/>
        </w:rPr>
        <w:t>41-52</w:t>
      </w:r>
      <w:r>
        <w:rPr>
          <w:lang w:val="en-GB" w:eastAsia="en-AU"/>
        </w:rPr>
        <w:t>.</w:t>
      </w:r>
    </w:p>
    <w:p w14:paraId="1031B7AC" w14:textId="77777777" w:rsidR="00EB1BF9" w:rsidRPr="00EB1BF9" w:rsidRDefault="00EB1BF9" w:rsidP="00EB1BF9">
      <w:pPr>
        <w:rPr>
          <w:lang w:val="en-GB" w:eastAsia="en-AU"/>
        </w:rPr>
      </w:pPr>
      <w:r w:rsidRPr="00EB1BF9">
        <w:rPr>
          <w:lang w:val="en-GB" w:eastAsia="en-AU"/>
        </w:rPr>
        <w:t>Chung, K. M., M. O. Smith, and H. G. Kattesh. 2012. The influence of double interspiking on production and behavior in broiler breeder flocks in elevated temperature conditions. Journal of Applied Poultry Research 21:63-69. doi 10.3382/japr.2011-00347</w:t>
      </w:r>
    </w:p>
    <w:p w14:paraId="5E5FF017" w14:textId="77777777" w:rsidR="00EB1BF9" w:rsidRPr="00EB1BF9" w:rsidRDefault="00EB1BF9" w:rsidP="00EB1BF9">
      <w:pPr>
        <w:rPr>
          <w:lang w:val="en-GB" w:eastAsia="en-AU"/>
        </w:rPr>
      </w:pPr>
      <w:r w:rsidRPr="00EB1BF9">
        <w:rPr>
          <w:lang w:val="en-GB" w:eastAsia="en-AU"/>
        </w:rPr>
        <w:t>Crespo, R., and H. L. Shivaprasad. 2011. Rupture of Gastrocnemius Tendon in Broiler Breeder H</w:t>
      </w:r>
      <w:r w:rsidR="00111E11">
        <w:rPr>
          <w:lang w:val="en-GB" w:eastAsia="en-AU"/>
        </w:rPr>
        <w:t>ens. Avian Diseases 55:495-498.</w:t>
      </w:r>
    </w:p>
    <w:p w14:paraId="218A7B73" w14:textId="77777777" w:rsidR="00EB1BF9" w:rsidRPr="00EB1BF9" w:rsidRDefault="00EB1BF9" w:rsidP="00EB1BF9">
      <w:pPr>
        <w:rPr>
          <w:lang w:val="en-GB" w:eastAsia="en-AU"/>
        </w:rPr>
      </w:pPr>
      <w:r w:rsidRPr="00EB1BF9">
        <w:rPr>
          <w:lang w:val="en-GB" w:eastAsia="en-AU"/>
        </w:rPr>
        <w:t xml:space="preserve">de Jong, I. C., and D. </w:t>
      </w:r>
      <w:r w:rsidR="003F3E9F" w:rsidRPr="00286A88">
        <w:rPr>
          <w:lang w:val="en-AU" w:eastAsia="en-AU"/>
        </w:rPr>
        <w:t>Guémené</w:t>
      </w:r>
      <w:r w:rsidRPr="00EB1BF9">
        <w:rPr>
          <w:lang w:val="en-GB" w:eastAsia="en-AU"/>
        </w:rPr>
        <w:t xml:space="preserve">. 2011. Major welfare issues in broiler breeders. </w:t>
      </w:r>
      <w:r w:rsidR="00E12232">
        <w:rPr>
          <w:lang w:val="en-GB" w:eastAsia="en-AU"/>
        </w:rPr>
        <w:t>World’s</w:t>
      </w:r>
      <w:r w:rsidRPr="00EB1BF9">
        <w:rPr>
          <w:lang w:val="en-GB" w:eastAsia="en-AU"/>
        </w:rPr>
        <w:t xml:space="preserve"> Poultry Science Journal 67:73-81. doi 10.1017/s0043933911000067</w:t>
      </w:r>
    </w:p>
    <w:p w14:paraId="58AE9D21" w14:textId="77777777" w:rsidR="00EB1BF9" w:rsidRPr="00EB1BF9" w:rsidRDefault="00EB1BF9" w:rsidP="00EB1BF9">
      <w:pPr>
        <w:rPr>
          <w:lang w:val="en-GB" w:eastAsia="en-AU"/>
        </w:rPr>
      </w:pPr>
      <w:r w:rsidRPr="00EB1BF9">
        <w:rPr>
          <w:lang w:val="en-GB" w:eastAsia="en-AU"/>
        </w:rPr>
        <w:t>de Jong, I. C., S. van Voorst, D. A. Ehlhardt, and H. J. Blokhuis. 2002. Effects of restricted feeding on physiological stress parameters in growing broiler breeders. British Poultry Science 43:157-168. doi 10.1080/00071660120121355</w:t>
      </w:r>
    </w:p>
    <w:p w14:paraId="3DCED73A" w14:textId="77777777" w:rsidR="00EB1BF9" w:rsidRPr="00EB1BF9" w:rsidRDefault="00EB1BF9" w:rsidP="00EB1BF9">
      <w:pPr>
        <w:rPr>
          <w:lang w:val="en-GB" w:eastAsia="en-AU"/>
        </w:rPr>
      </w:pPr>
      <w:r w:rsidRPr="00EB1BF9">
        <w:rPr>
          <w:lang w:val="en-GB" w:eastAsia="en-AU"/>
        </w:rPr>
        <w:t>de Jong, I. C., A. S. van Voorst, and H. J. Blokhuis. 2003. Parameters for quantification of hunger in broiler breeders. Physiology &amp; Behavior 78:773-783. doi 10.1016/s0031-9384(03)00058-1</w:t>
      </w:r>
    </w:p>
    <w:p w14:paraId="4323968D" w14:textId="77777777" w:rsidR="00EB1BF9" w:rsidRPr="00EB1BF9" w:rsidRDefault="00EB1BF9" w:rsidP="00EB1BF9">
      <w:pPr>
        <w:rPr>
          <w:lang w:val="en-GB" w:eastAsia="en-AU"/>
        </w:rPr>
      </w:pPr>
      <w:r w:rsidRPr="00EB1BF9">
        <w:rPr>
          <w:lang w:val="en-GB" w:eastAsia="en-AU"/>
        </w:rPr>
        <w:t>de Jong, I. C., M. Fillerup, and H. J. Blokhuis. 2005a. Effect of scattered feeding and feeding twice a day during rearing on indicators of hunger and frustration in broiler breeders. Applied Animal Behaviour Science 92:61-76. doi 10.1016/j.applanim.2004.10.022</w:t>
      </w:r>
    </w:p>
    <w:p w14:paraId="475367D4" w14:textId="77777777" w:rsidR="00EB1BF9" w:rsidRPr="00EB1BF9" w:rsidRDefault="00EB1BF9" w:rsidP="00EB1BF9">
      <w:pPr>
        <w:rPr>
          <w:lang w:val="en-GB" w:eastAsia="en-AU"/>
        </w:rPr>
      </w:pPr>
      <w:r w:rsidRPr="00EB1BF9">
        <w:rPr>
          <w:lang w:val="en-GB" w:eastAsia="en-AU"/>
        </w:rPr>
        <w:t>de Jong, I. C., H. Enting, A. van Voorst, and H. J. Blokhuis. 2005b. Do low-density diets improve broiler breeder welfare during rearing and layi</w:t>
      </w:r>
      <w:r w:rsidR="00111E11">
        <w:rPr>
          <w:lang w:val="en-GB" w:eastAsia="en-AU"/>
        </w:rPr>
        <w:t>ng? Poultry Science 84:194-203.</w:t>
      </w:r>
    </w:p>
    <w:p w14:paraId="65C30A3A" w14:textId="77777777" w:rsidR="00EB1BF9" w:rsidRPr="00EB1BF9" w:rsidRDefault="00EB1BF9" w:rsidP="00EB1BF9">
      <w:pPr>
        <w:rPr>
          <w:lang w:val="en-GB" w:eastAsia="en-AU"/>
        </w:rPr>
      </w:pPr>
      <w:r w:rsidRPr="00EB1BF9">
        <w:rPr>
          <w:lang w:val="en-GB" w:eastAsia="en-AU"/>
        </w:rPr>
        <w:t>de Jong, I. C., M. Wolthuis-Fillerup, and R. A. Van Emous. 2009. Development of sexual behaviour in commercially-housed broiler breeders after mixing. British Poultry Science 50:151-160. doi 10.1080/00071660802710124</w:t>
      </w:r>
    </w:p>
    <w:p w14:paraId="066C4796" w14:textId="77777777" w:rsidR="00EB1BF9" w:rsidRPr="00EB1BF9" w:rsidRDefault="00EB1BF9" w:rsidP="00EB1BF9">
      <w:pPr>
        <w:rPr>
          <w:lang w:val="en-GB" w:eastAsia="en-AU"/>
        </w:rPr>
      </w:pPr>
      <w:r w:rsidRPr="00EB1BF9">
        <w:rPr>
          <w:lang w:val="en-GB" w:eastAsia="en-AU"/>
        </w:rPr>
        <w:t>de Jong, I.C., A. Lourens, H. Gunnink, L.  Workel, and R. Van Emous. 2011. Effect of stocking density on (the development of) sexual behaviour and technical performance in broiler breeders. Wageningen UR Livestock Research, report 457.</w:t>
      </w:r>
      <w:r w:rsidR="00784C93">
        <w:rPr>
          <w:lang w:val="en-GB" w:eastAsia="en-AU"/>
        </w:rPr>
        <w:t xml:space="preserve"> </w:t>
      </w:r>
      <w:hyperlink r:id="rId67" w:tooltip="This is a web link to this report. The report is in Dutch and has an English summary." w:history="1">
        <w:r w:rsidR="00784C93" w:rsidRPr="008D16A0">
          <w:rPr>
            <w:rStyle w:val="Hyperlink"/>
            <w:lang w:val="en-GB" w:eastAsia="en-AU"/>
          </w:rPr>
          <w:t>http://edepot.wur.nl/172544</w:t>
        </w:r>
      </w:hyperlink>
      <w:r w:rsidR="00784C93">
        <w:rPr>
          <w:lang w:val="en-GB" w:eastAsia="en-AU"/>
        </w:rPr>
        <w:t>. Accessed</w:t>
      </w:r>
      <w:r w:rsidRPr="00EB1BF9">
        <w:rPr>
          <w:lang w:val="en-GB" w:eastAsia="en-AU"/>
        </w:rPr>
        <w:t xml:space="preserve"> 22/05/2017.</w:t>
      </w:r>
    </w:p>
    <w:p w14:paraId="03030A48" w14:textId="77777777" w:rsidR="00EB1BF9" w:rsidRPr="00EB1BF9" w:rsidRDefault="00EB1BF9" w:rsidP="00EB1BF9">
      <w:pPr>
        <w:rPr>
          <w:lang w:val="en-GB" w:eastAsia="en-AU"/>
        </w:rPr>
      </w:pPr>
      <w:r w:rsidRPr="00EB1BF9">
        <w:rPr>
          <w:lang w:val="en-GB" w:eastAsia="en-AU"/>
        </w:rPr>
        <w:t xml:space="preserve">Decuypere, E., P. M. Hocking, K. Tona, O. Onagbesan, V. Bruggeman, E. K. M. Jones, S. Cassy, N. Rideau, S. Metayer, Y. Jego, J. Putterflam, S. Tesseraud, A. Collin, M. Duclos, J. J. Trevidy, and J. Williams. 2006. Broiler breeder paradox: a project report. </w:t>
      </w:r>
      <w:r w:rsidR="00E12232">
        <w:rPr>
          <w:lang w:val="en-GB" w:eastAsia="en-AU"/>
        </w:rPr>
        <w:t>World’s</w:t>
      </w:r>
      <w:r w:rsidRPr="00EB1BF9">
        <w:rPr>
          <w:lang w:val="en-GB" w:eastAsia="en-AU"/>
        </w:rPr>
        <w:t xml:space="preserve"> Poultry Science Journal 62:443-453. doi 10.1079/wps2005107</w:t>
      </w:r>
    </w:p>
    <w:p w14:paraId="26AE15E5" w14:textId="77777777" w:rsidR="00EB1BF9" w:rsidRPr="00EB1BF9" w:rsidRDefault="00EB1BF9" w:rsidP="00EB1BF9">
      <w:pPr>
        <w:rPr>
          <w:lang w:val="en-GB" w:eastAsia="en-AU"/>
        </w:rPr>
      </w:pPr>
      <w:r w:rsidRPr="00EB1BF9">
        <w:rPr>
          <w:lang w:val="en-GB" w:eastAsia="en-AU"/>
        </w:rPr>
        <w:t xml:space="preserve">Dixon, L. M., S. Brocklehurst, V. Sandilands, M. Bateson, B. J. Tolkamp, and R. B. D'Eath. 2014. Measuring Motivation for Appetitive Behaviour: Food-Restricted Broiler Breeder Chickens Cross a Water Barrier to Forage in an Area of Wood Shavings without Food. </w:t>
      </w:r>
      <w:r w:rsidR="00601DC5">
        <w:rPr>
          <w:lang w:val="en-GB" w:eastAsia="en-AU"/>
        </w:rPr>
        <w:t>PLoS</w:t>
      </w:r>
      <w:r w:rsidR="00997550">
        <w:rPr>
          <w:lang w:val="en-GB" w:eastAsia="en-AU"/>
        </w:rPr>
        <w:t xml:space="preserve"> ONE</w:t>
      </w:r>
      <w:r w:rsidRPr="00EB1BF9">
        <w:rPr>
          <w:lang w:val="en-GB" w:eastAsia="en-AU"/>
        </w:rPr>
        <w:t xml:space="preserve"> 9. doi 10.1371/journal.pone.0102322</w:t>
      </w:r>
    </w:p>
    <w:p w14:paraId="7F8AAC56" w14:textId="77777777" w:rsidR="00EB1BF9" w:rsidRDefault="00EB1BF9" w:rsidP="00EB1BF9">
      <w:pPr>
        <w:rPr>
          <w:lang w:val="en-GB" w:eastAsia="en-AU"/>
        </w:rPr>
      </w:pPr>
      <w:r w:rsidRPr="00EB1BF9">
        <w:rPr>
          <w:lang w:val="en-GB" w:eastAsia="en-AU"/>
        </w:rPr>
        <w:t>Edmond, A., L. A. King, S. E. Solomon, and M. M. Bain. 2005. Effect of environmental enrichment during the rearing phase on subsequent eggshell quality in broiler breeders. British Poultry Science 46:182-189. doi 10.1080/00071660500065565</w:t>
      </w:r>
    </w:p>
    <w:p w14:paraId="06024E4A" w14:textId="77777777" w:rsidR="00EB1BF9" w:rsidRDefault="00EB1BF9" w:rsidP="00EB1BF9">
      <w:pPr>
        <w:rPr>
          <w:lang w:val="en-GB" w:eastAsia="en-AU"/>
        </w:rPr>
      </w:pPr>
      <w:r w:rsidRPr="00EB1BF9">
        <w:rPr>
          <w:lang w:val="en-GB" w:eastAsia="en-AU"/>
        </w:rPr>
        <w:t>Ekmay, R. D., C. Salas, J. England, S. Cerrate, and C. N. Coon. 2012. The effects of pullet body weight, dietary nonpyhtate phosphorus intake, and breeder feeding regimen on production performance, chick quality, and bone remodeling in broiler breeders. Poultry Science 91:948-964. doi 10.3382/ps.2011-01931</w:t>
      </w:r>
    </w:p>
    <w:p w14:paraId="218227DB" w14:textId="77777777" w:rsidR="00800609" w:rsidRDefault="00800609" w:rsidP="00EB1BF9">
      <w:pPr>
        <w:rPr>
          <w:lang w:val="en-GB" w:eastAsia="en-AU"/>
        </w:rPr>
      </w:pPr>
      <w:r w:rsidRPr="00800609">
        <w:rPr>
          <w:lang w:val="en-GB" w:eastAsia="en-AU"/>
        </w:rPr>
        <w:t>Gentle,</w:t>
      </w:r>
      <w:r>
        <w:rPr>
          <w:lang w:val="en-GB" w:eastAsia="en-AU"/>
        </w:rPr>
        <w:t xml:space="preserve"> </w:t>
      </w:r>
      <w:r w:rsidRPr="00800609">
        <w:rPr>
          <w:lang w:val="en-GB" w:eastAsia="en-AU"/>
        </w:rPr>
        <w:t>M.</w:t>
      </w:r>
      <w:r>
        <w:rPr>
          <w:lang w:val="en-GB" w:eastAsia="en-AU"/>
        </w:rPr>
        <w:t xml:space="preserve"> </w:t>
      </w:r>
      <w:r w:rsidRPr="00800609">
        <w:rPr>
          <w:lang w:val="en-GB" w:eastAsia="en-AU"/>
        </w:rPr>
        <w:t>J.</w:t>
      </w:r>
      <w:r w:rsidR="00346578">
        <w:rPr>
          <w:lang w:val="en-GB" w:eastAsia="en-AU"/>
        </w:rPr>
        <w:t>,</w:t>
      </w:r>
      <w:r w:rsidRPr="00800609">
        <w:rPr>
          <w:lang w:val="en-GB" w:eastAsia="en-AU"/>
        </w:rPr>
        <w:t xml:space="preserve"> and </w:t>
      </w:r>
      <w:r>
        <w:rPr>
          <w:lang w:val="en-GB" w:eastAsia="en-AU"/>
        </w:rPr>
        <w:t xml:space="preserve">L. H. </w:t>
      </w:r>
      <w:r w:rsidR="00346578">
        <w:rPr>
          <w:lang w:val="en-GB" w:eastAsia="en-AU"/>
        </w:rPr>
        <w:t xml:space="preserve">Hunter. </w:t>
      </w:r>
      <w:r w:rsidRPr="00800609">
        <w:rPr>
          <w:lang w:val="en-GB" w:eastAsia="en-AU"/>
        </w:rPr>
        <w:t>1998. Neural consequences of partial toe amputation in chickens. Res</w:t>
      </w:r>
      <w:r w:rsidR="00346578">
        <w:rPr>
          <w:lang w:val="en-GB" w:eastAsia="en-AU"/>
        </w:rPr>
        <w:t>earch in Veterinary Science 45:</w:t>
      </w:r>
      <w:r w:rsidRPr="00800609">
        <w:rPr>
          <w:lang w:val="en-GB" w:eastAsia="en-AU"/>
        </w:rPr>
        <w:t>374-376</w:t>
      </w:r>
      <w:r w:rsidR="00346578">
        <w:rPr>
          <w:lang w:val="en-GB" w:eastAsia="en-AU"/>
        </w:rPr>
        <w:t>.</w:t>
      </w:r>
    </w:p>
    <w:p w14:paraId="193FAE2A" w14:textId="77777777" w:rsidR="00EB1BF9" w:rsidRPr="00EB1BF9" w:rsidRDefault="00EB1BF9" w:rsidP="00EB1BF9">
      <w:pPr>
        <w:rPr>
          <w:lang w:val="en-GB" w:eastAsia="en-AU"/>
        </w:rPr>
      </w:pPr>
      <w:r w:rsidRPr="00EB1BF9">
        <w:rPr>
          <w:lang w:val="en-GB" w:eastAsia="en-AU"/>
        </w:rPr>
        <w:t>Gentle, M. J., and D. E. F. McKeegan. 2007. Evaluation of the effects of infrared beak trimming in broiler breeder chicks.</w:t>
      </w:r>
      <w:r w:rsidR="00111E11">
        <w:rPr>
          <w:lang w:val="en-GB" w:eastAsia="en-AU"/>
        </w:rPr>
        <w:t xml:space="preserve"> Veterinary Record 160:145-148.</w:t>
      </w:r>
    </w:p>
    <w:p w14:paraId="3B093E2D" w14:textId="77777777" w:rsidR="00EB1BF9" w:rsidRPr="00EB1BF9" w:rsidRDefault="00EB1BF9" w:rsidP="00EB1BF9">
      <w:pPr>
        <w:rPr>
          <w:lang w:val="en-GB" w:eastAsia="en-AU"/>
        </w:rPr>
      </w:pPr>
      <w:r w:rsidRPr="00EB1BF9">
        <w:rPr>
          <w:lang w:val="en-GB" w:eastAsia="en-AU"/>
        </w:rPr>
        <w:t>Gous, R. M., and R. Danisman. 2016. Age, lighting treatment, feed allocation and feed form influence broiler breeder feeding time. South African Journal of Animal Science 46:29-34. doi 10.4314/sajas.v46i1.4</w:t>
      </w:r>
    </w:p>
    <w:p w14:paraId="6CA311AC" w14:textId="77777777" w:rsidR="00EB1BF9" w:rsidRPr="00EB1BF9" w:rsidRDefault="00EB1BF9" w:rsidP="00EB1BF9">
      <w:pPr>
        <w:rPr>
          <w:lang w:val="en-GB" w:eastAsia="en-AU"/>
        </w:rPr>
      </w:pPr>
      <w:r w:rsidRPr="00EB1BF9">
        <w:rPr>
          <w:lang w:val="en-GB" w:eastAsia="en-AU"/>
        </w:rPr>
        <w:t xml:space="preserve">Heck, A., O. Onagbesan, K. Tona, S. Metayer, J. Putterflam, Y. Jego, J. J. Trevidy, E. Decuypere, J. Williams, M. Picard, and V. Bruggeman. 2004. Effects of </w:t>
      </w:r>
      <w:r w:rsidRPr="000928BE">
        <w:rPr>
          <w:i/>
          <w:lang w:val="en-GB" w:eastAsia="en-AU"/>
        </w:rPr>
        <w:t>ad libitum</w:t>
      </w:r>
      <w:r w:rsidRPr="00EB1BF9">
        <w:rPr>
          <w:lang w:val="en-GB" w:eastAsia="en-AU"/>
        </w:rPr>
        <w:t xml:space="preserve"> feeding on performance of different strains of broiler breeders. British Poultry Science 45:695-703. doi 10.1080/00071660400006537</w:t>
      </w:r>
    </w:p>
    <w:p w14:paraId="46E9DEB5" w14:textId="77777777" w:rsidR="00EB1BF9" w:rsidRPr="00EB1BF9" w:rsidRDefault="00EB1BF9" w:rsidP="00EB1BF9">
      <w:pPr>
        <w:rPr>
          <w:lang w:val="en-GB" w:eastAsia="en-AU"/>
        </w:rPr>
      </w:pPr>
      <w:r w:rsidRPr="00EB1BF9">
        <w:rPr>
          <w:lang w:val="en-GB" w:eastAsia="en-AU"/>
        </w:rPr>
        <w:t>Henderson, S. N., J. T. Barton, A. D. Wolfenden, S. E. Higgins, J. P. Higgins, W. J. Kuenzel, C. A. Lester, G. Tellez, and B. M. Hargis. 2009. Comparison of beak-trimming methods on early broiler breeder performance. Poultry Science 88:57-60. doi 10.3382/ps.2008-00104</w:t>
      </w:r>
    </w:p>
    <w:p w14:paraId="15119CE6" w14:textId="77777777" w:rsidR="00EB1BF9" w:rsidRPr="00EB1BF9" w:rsidRDefault="00EB1BF9" w:rsidP="00EB1BF9">
      <w:pPr>
        <w:rPr>
          <w:lang w:val="en-GB" w:eastAsia="en-AU"/>
        </w:rPr>
      </w:pPr>
      <w:r w:rsidRPr="00EB1BF9">
        <w:rPr>
          <w:lang w:val="en-GB" w:eastAsia="en-AU"/>
        </w:rPr>
        <w:t>Hocking, P. M. 2006. High-fibre pelleted rations decrease water intake but do not improve physiological indexes of welfare in food-restricted female broiler breeders. British Poultry Science 47:19-23. doi 10.1080/00071660500468041</w:t>
      </w:r>
    </w:p>
    <w:p w14:paraId="5FBCE08B" w14:textId="77777777" w:rsidR="00EB1BF9" w:rsidRPr="00EB1BF9" w:rsidRDefault="00EB1BF9" w:rsidP="00EB1BF9">
      <w:pPr>
        <w:rPr>
          <w:lang w:val="en-GB" w:eastAsia="en-AU"/>
        </w:rPr>
      </w:pPr>
      <w:r w:rsidRPr="00EB1BF9">
        <w:rPr>
          <w:lang w:val="en-GB" w:eastAsia="en-AU"/>
        </w:rPr>
        <w:t>Hocking, P. M., and R. Bernard. 2000. Effects of the age of male and female broiler breeders on sexual behaviour, fertility and hatchability of eggs. British Poultry Science 41:370-376. doi 10.1080/713654925</w:t>
      </w:r>
    </w:p>
    <w:p w14:paraId="6BFF2F27" w14:textId="77777777" w:rsidR="00EB1BF9" w:rsidRPr="00EB1BF9" w:rsidRDefault="00EB1BF9" w:rsidP="00EB1BF9">
      <w:pPr>
        <w:rPr>
          <w:lang w:val="en-GB" w:eastAsia="en-AU"/>
        </w:rPr>
      </w:pPr>
      <w:r w:rsidRPr="00EB1BF9">
        <w:rPr>
          <w:lang w:val="en-GB" w:eastAsia="en-AU"/>
        </w:rPr>
        <w:t>Hocking, P. M., and E. K. M. Jones. 2006. On-farm assessment of environmental enrichment for broiler breeders. British Poultry Science 47:418-425. doi 10.1080/00071660600825074</w:t>
      </w:r>
    </w:p>
    <w:p w14:paraId="37C0D245" w14:textId="77777777" w:rsidR="00EB1BF9" w:rsidRPr="00EB1BF9" w:rsidRDefault="00EB1BF9" w:rsidP="00EB1BF9">
      <w:pPr>
        <w:rPr>
          <w:lang w:val="en-GB" w:eastAsia="en-AU"/>
        </w:rPr>
      </w:pPr>
      <w:r w:rsidRPr="00EB1BF9">
        <w:rPr>
          <w:lang w:val="en-GB" w:eastAsia="en-AU"/>
        </w:rPr>
        <w:t>Hocking, P. M., and C. C. McCorquodale. 2008. Similar improvements in reproductive performance of male line, female line and parent stock broiler breeders genetically selected in the UK or in South America. British Poultry Science 49:282-289. doi 10.1080/00071660802129853</w:t>
      </w:r>
    </w:p>
    <w:p w14:paraId="7B4F7881" w14:textId="77777777" w:rsidR="00EB1BF9" w:rsidRPr="00EB1BF9" w:rsidRDefault="00EB1BF9" w:rsidP="00EB1BF9">
      <w:pPr>
        <w:rPr>
          <w:lang w:val="en-GB" w:eastAsia="en-AU"/>
        </w:rPr>
      </w:pPr>
      <w:r w:rsidRPr="00EB1BF9">
        <w:rPr>
          <w:lang w:val="en-GB" w:eastAsia="en-AU"/>
        </w:rPr>
        <w:t>Hocking, P. M., M. H. Maxwell, and M. A. Mitchell. 1993. Welfare assessment of broiler breeder and layer females subjected to food restriction and limited access to water during rearing. British Poultry Science 34:443-458. doi 10.1080/00071669308417600</w:t>
      </w:r>
    </w:p>
    <w:p w14:paraId="32CEEC18" w14:textId="77777777" w:rsidR="00EB1BF9" w:rsidRPr="00EB1BF9" w:rsidRDefault="00EB1BF9" w:rsidP="00EB1BF9">
      <w:pPr>
        <w:rPr>
          <w:lang w:val="en-GB" w:eastAsia="en-AU"/>
        </w:rPr>
      </w:pPr>
      <w:r w:rsidRPr="00EB1BF9">
        <w:rPr>
          <w:lang w:val="en-GB" w:eastAsia="en-AU"/>
        </w:rPr>
        <w:t>Hocking, P.M., M. H. Maxwell, and M. A. Mitchell. 1996. Relationships between the degree of food restriction and welfare indices in broiler breeder females. Brit</w:t>
      </w:r>
      <w:r w:rsidR="00111E11">
        <w:rPr>
          <w:lang w:val="en-GB" w:eastAsia="en-AU"/>
        </w:rPr>
        <w:t>ish Poultry Science 37:263-278.</w:t>
      </w:r>
    </w:p>
    <w:p w14:paraId="474418AE" w14:textId="77777777" w:rsidR="00EB1BF9" w:rsidRPr="00EB1BF9" w:rsidRDefault="00EB1BF9" w:rsidP="00EB1BF9">
      <w:pPr>
        <w:rPr>
          <w:lang w:val="en-GB" w:eastAsia="en-AU"/>
        </w:rPr>
      </w:pPr>
      <w:r w:rsidRPr="00EB1BF9">
        <w:rPr>
          <w:lang w:val="en-GB" w:eastAsia="en-AU"/>
        </w:rPr>
        <w:t>Hocking, P. M., M. H. Maxwell, G. W. Robertson, and M. A. Mitchell. 2001. Welfare assessment of modified rearing programmes for broiler breeders. Brit</w:t>
      </w:r>
      <w:r w:rsidR="00111E11">
        <w:rPr>
          <w:lang w:val="en-GB" w:eastAsia="en-AU"/>
        </w:rPr>
        <w:t>ish Poultry Science 42:424-432.</w:t>
      </w:r>
    </w:p>
    <w:p w14:paraId="1A739B63" w14:textId="77777777" w:rsidR="00EB1BF9" w:rsidRPr="00EB1BF9" w:rsidRDefault="00EB1BF9" w:rsidP="00EB1BF9">
      <w:pPr>
        <w:rPr>
          <w:lang w:val="en-GB" w:eastAsia="en-AU"/>
        </w:rPr>
      </w:pPr>
      <w:r w:rsidRPr="00EB1BF9">
        <w:rPr>
          <w:lang w:val="en-GB" w:eastAsia="en-AU"/>
        </w:rPr>
        <w:t>Hocking, P. M., R. Bernard, and G. W. Robertson. 2002a. Effects of low dietary protein and different allocations of food during rearing and restricted feeding after peak rate of lay on egg production, fertility and hatchability in female broiler breeders. British Poultry Science 43:94-103. doi 10.1080/00071660120109908</w:t>
      </w:r>
    </w:p>
    <w:p w14:paraId="601CE613" w14:textId="77777777" w:rsidR="00EB1BF9" w:rsidRPr="00EB1BF9" w:rsidRDefault="00EB1BF9" w:rsidP="00EB1BF9">
      <w:pPr>
        <w:rPr>
          <w:lang w:val="en-GB" w:eastAsia="en-AU"/>
        </w:rPr>
      </w:pPr>
      <w:r w:rsidRPr="00EB1BF9">
        <w:rPr>
          <w:lang w:val="en-GB" w:eastAsia="en-AU"/>
        </w:rPr>
        <w:t>Hocking, P. M., M. H. Maxwell, G. W. Robertson, and M. A. Mitchell. 2002b. Welfare assessment of broiler breeders that are food restricted after peak rate of lay. British Poultry Science 43:5-15. doi 10.1080/00071660120109818</w:t>
      </w:r>
    </w:p>
    <w:p w14:paraId="4FB3612F" w14:textId="77777777" w:rsidR="00EB1BF9" w:rsidRPr="00EB1BF9" w:rsidRDefault="00EB1BF9" w:rsidP="00EB1BF9">
      <w:pPr>
        <w:rPr>
          <w:lang w:val="en-GB" w:eastAsia="en-AU"/>
        </w:rPr>
      </w:pPr>
      <w:r w:rsidRPr="00EB1BF9">
        <w:rPr>
          <w:lang w:val="en-GB" w:eastAsia="en-AU"/>
        </w:rPr>
        <w:t>Hocking, P. M., V. Zaczek, E. K. M. Jones, and M. G. Macleod. 2004. Different concentrations and sources of dietary fibre may improve the welfare of female broiler breeders. British Poultry Science 45:9-19. doi 10.1080/00071660410001668806</w:t>
      </w:r>
    </w:p>
    <w:p w14:paraId="2FA432B3" w14:textId="77777777" w:rsidR="00EB1BF9" w:rsidRPr="00EB1BF9" w:rsidRDefault="00EB1BF9" w:rsidP="00EB1BF9">
      <w:pPr>
        <w:rPr>
          <w:lang w:val="en-GB" w:eastAsia="en-AU"/>
        </w:rPr>
      </w:pPr>
      <w:r w:rsidRPr="00EB1BF9">
        <w:rPr>
          <w:lang w:val="en-GB" w:eastAsia="en-AU"/>
        </w:rPr>
        <w:t>Hocking, P. M., E. K. M. Jones, and M. Picard. 2005. Assessing the welfare consequences of providing litter for feed-restricted broiler breeders. British Poultry Science 46:545-552. doi 10.1080/00071660500254813</w:t>
      </w:r>
    </w:p>
    <w:p w14:paraId="4939C2B6" w14:textId="77777777" w:rsidR="00EB1BF9" w:rsidRPr="00EB1BF9" w:rsidRDefault="00EB1BF9" w:rsidP="00EB1BF9">
      <w:pPr>
        <w:rPr>
          <w:lang w:val="en-GB" w:eastAsia="en-AU"/>
        </w:rPr>
      </w:pPr>
      <w:r w:rsidRPr="00EB1BF9">
        <w:rPr>
          <w:lang w:val="en-GB" w:eastAsia="en-AU"/>
        </w:rPr>
        <w:t>Hocking, P. M., K. M. D. Rutherford, and M. Picard. 2007. Comparison of time-based frequencies, fractal analysis and T-patterns for assessing behavioural changes in broiler breeders fed on two diets at two levels of feed restriction: A case study. Applied Animal Behaviour Science 104:37-48. doi 10.1016/j.applanim.2006.04.023</w:t>
      </w:r>
    </w:p>
    <w:p w14:paraId="47EF971C" w14:textId="77777777" w:rsidR="00EB1BF9" w:rsidRPr="00EB1BF9" w:rsidRDefault="00EB1BF9" w:rsidP="00EB1BF9">
      <w:pPr>
        <w:rPr>
          <w:lang w:val="en-GB" w:eastAsia="en-AU"/>
        </w:rPr>
      </w:pPr>
      <w:r w:rsidRPr="00EB1BF9">
        <w:rPr>
          <w:lang w:val="en-GB" w:eastAsia="en-AU"/>
        </w:rPr>
        <w:t>Holcman, A., S. Malovrh, and I. Stuhec. 2007. Choice of nest types by hens of three lines of broiler breeders. British Poultry Science 48:284-290. doi 10.1080/00071660701370475</w:t>
      </w:r>
    </w:p>
    <w:p w14:paraId="4D84E297" w14:textId="77777777" w:rsidR="00EB1BF9" w:rsidRPr="00EB1BF9" w:rsidRDefault="00EB1BF9" w:rsidP="00EB1BF9">
      <w:pPr>
        <w:rPr>
          <w:lang w:val="en-GB" w:eastAsia="en-AU"/>
        </w:rPr>
      </w:pPr>
      <w:r w:rsidRPr="00EB1BF9">
        <w:rPr>
          <w:lang w:val="en-GB" w:eastAsia="en-AU"/>
        </w:rPr>
        <w:t xml:space="preserve">Jones, R. B. 1996. Fear and adaptability in poultry: Insights, implications and imperatives. </w:t>
      </w:r>
      <w:r w:rsidR="00E12232">
        <w:rPr>
          <w:lang w:val="en-GB" w:eastAsia="en-AU"/>
        </w:rPr>
        <w:t>World’s</w:t>
      </w:r>
      <w:r w:rsidRPr="00EB1BF9">
        <w:rPr>
          <w:lang w:val="en-GB" w:eastAsia="en-AU"/>
        </w:rPr>
        <w:t xml:space="preserve"> Poultry Science Journal 52:131-174. doi 10.1079/wps19960013</w:t>
      </w:r>
    </w:p>
    <w:p w14:paraId="7DF59763" w14:textId="77777777" w:rsidR="00EB1BF9" w:rsidRPr="00EB1BF9" w:rsidRDefault="00EB1BF9" w:rsidP="00EB1BF9">
      <w:pPr>
        <w:rPr>
          <w:lang w:val="en-GB" w:eastAsia="en-AU"/>
        </w:rPr>
      </w:pPr>
      <w:r w:rsidRPr="00EB1BF9">
        <w:rPr>
          <w:lang w:val="en-GB" w:eastAsia="en-AU"/>
        </w:rPr>
        <w:t>Jones, E. K. M. and N. B. Prescott. 2000. Visual cues used in the choice of mate by fowl and their potential importance for the breeder industry. World's Poul</w:t>
      </w:r>
      <w:r w:rsidR="00111E11">
        <w:rPr>
          <w:lang w:val="en-GB" w:eastAsia="en-AU"/>
        </w:rPr>
        <w:t>try Science Journal 56:127-138.</w:t>
      </w:r>
    </w:p>
    <w:p w14:paraId="51BDBDAE" w14:textId="77777777" w:rsidR="00EB1BF9" w:rsidRPr="00EB1BF9" w:rsidRDefault="00EB1BF9" w:rsidP="00EB1BF9">
      <w:pPr>
        <w:rPr>
          <w:lang w:val="en-GB" w:eastAsia="en-AU"/>
        </w:rPr>
      </w:pPr>
      <w:r w:rsidRPr="00EB1BF9">
        <w:rPr>
          <w:lang w:val="en-GB" w:eastAsia="en-AU"/>
        </w:rPr>
        <w:t>Jones, E. K. M., N. B. Prescott, P. Cook, R. P. White, and C. M. Wathes. 2001. Ultraviolet light and mating behaviour in domestic broiler breeders. British Poultry Science 42:23-32. doi 10.1080/713655008</w:t>
      </w:r>
    </w:p>
    <w:p w14:paraId="77229AD8" w14:textId="77777777" w:rsidR="00EB1BF9" w:rsidRPr="00EB1BF9" w:rsidRDefault="00EB1BF9" w:rsidP="00EB1BF9">
      <w:pPr>
        <w:rPr>
          <w:lang w:val="en-GB" w:eastAsia="en-AU"/>
        </w:rPr>
      </w:pPr>
      <w:r w:rsidRPr="00EB1BF9">
        <w:rPr>
          <w:lang w:val="en-GB" w:eastAsia="en-AU"/>
        </w:rPr>
        <w:t>Jones, E. K. M., V. Zaczek, M. MacLeod, and P. M. Hocking. 2004. Genotype, dietary manipulation and food allocation affect indices of welfare in broiler breeders. British Poultry Science 45:725-737. doi 10.1080/00071660400014226</w:t>
      </w:r>
    </w:p>
    <w:p w14:paraId="059B3A1F" w14:textId="77777777" w:rsidR="00EB1BF9" w:rsidRDefault="00EB1BF9" w:rsidP="00EB1BF9">
      <w:pPr>
        <w:rPr>
          <w:lang w:val="en-GB" w:eastAsia="en-AU"/>
        </w:rPr>
      </w:pPr>
      <w:r w:rsidRPr="00EB1BF9">
        <w:rPr>
          <w:lang w:val="en-GB" w:eastAsia="en-AU"/>
        </w:rPr>
        <w:t xml:space="preserve">Kaoud, H. A. and A.R. El-Dahshan. 2010. </w:t>
      </w:r>
      <w:r w:rsidRPr="00EB1BF9">
        <w:rPr>
          <w:bCs/>
          <w:lang w:val="en-GB" w:eastAsia="en-AU"/>
        </w:rPr>
        <w:t>Effect of Red Mite (</w:t>
      </w:r>
      <w:r w:rsidRPr="00EB1BF9">
        <w:rPr>
          <w:bCs/>
          <w:i/>
          <w:iCs/>
          <w:lang w:val="en-GB" w:eastAsia="en-AU"/>
        </w:rPr>
        <w:t xml:space="preserve">Dermanyssus gallinae) </w:t>
      </w:r>
      <w:r w:rsidRPr="00EB1BF9">
        <w:rPr>
          <w:bCs/>
          <w:lang w:val="en-GB" w:eastAsia="en-AU"/>
        </w:rPr>
        <w:t xml:space="preserve">Infestation on the Performance and Immune Profile in Vaccinated broiler breeder flocks. </w:t>
      </w:r>
      <w:r w:rsidRPr="00EB1BF9">
        <w:rPr>
          <w:lang w:val="en-GB" w:eastAsia="en-AU"/>
        </w:rPr>
        <w:t>Journal of American Science 6(8):72-78. doi</w:t>
      </w:r>
      <w:r w:rsidR="00BB145D">
        <w:rPr>
          <w:lang w:val="en-GB" w:eastAsia="en-AU"/>
        </w:rPr>
        <w:t xml:space="preserve"> </w:t>
      </w:r>
      <w:r w:rsidRPr="00EB1BF9">
        <w:rPr>
          <w:lang w:val="en-GB" w:eastAsia="en-AU"/>
        </w:rPr>
        <w:t>10.7537/marsjas060810.10</w:t>
      </w:r>
    </w:p>
    <w:p w14:paraId="2F116F3C" w14:textId="77777777" w:rsidR="00EB1BF9" w:rsidRPr="00EB1BF9" w:rsidRDefault="00EB1BF9" w:rsidP="00EB1BF9">
      <w:pPr>
        <w:rPr>
          <w:lang w:val="en-GB" w:eastAsia="en-AU"/>
        </w:rPr>
      </w:pPr>
      <w:r w:rsidRPr="00EB1BF9">
        <w:rPr>
          <w:lang w:val="en-GB" w:eastAsia="en-AU"/>
        </w:rPr>
        <w:t>Kaukonen, E., M. Norring, and A. Valros. 2016. Effect of litter quality on foot pad dermatitis, hock burns and breast blisters in broiler breeders during the production period. Avian Pathology 45:667-673. doi 10.1080/03079457.2016.1197377</w:t>
      </w:r>
    </w:p>
    <w:p w14:paraId="4AE51E92" w14:textId="77777777" w:rsidR="00EB1BF9" w:rsidRPr="00EB1BF9" w:rsidRDefault="00EB1BF9" w:rsidP="00EB1BF9">
      <w:pPr>
        <w:rPr>
          <w:lang w:val="en-GB" w:eastAsia="en-AU"/>
        </w:rPr>
      </w:pPr>
      <w:r w:rsidRPr="00EB1BF9">
        <w:rPr>
          <w:lang w:val="en-GB" w:eastAsia="en-AU"/>
        </w:rPr>
        <w:t>Kubikova, L., P. Vyboh, and L. Kostal. 2001. Behavioural, endocrine and metabolic effects of food restriction in broiler breeder hens. Acta Veterinaria Brno 70:247-257. doi 10.2754/avb200170030247</w:t>
      </w:r>
    </w:p>
    <w:p w14:paraId="52D2B5B5" w14:textId="77777777" w:rsidR="00EB1BF9" w:rsidRPr="00EB1BF9" w:rsidRDefault="00EB1BF9" w:rsidP="00EB1BF9">
      <w:pPr>
        <w:rPr>
          <w:lang w:val="en-GB" w:eastAsia="en-AU"/>
        </w:rPr>
      </w:pPr>
      <w:r w:rsidRPr="00EB1BF9">
        <w:rPr>
          <w:lang w:val="en-GB" w:eastAsia="en-AU"/>
        </w:rPr>
        <w:t xml:space="preserve">Landman, W. J. M., and J. H. H. van Eck. 2015. The incidence and economic impact of the </w:t>
      </w:r>
      <w:r w:rsidRPr="00111E11">
        <w:rPr>
          <w:i/>
          <w:lang w:val="en-GB" w:eastAsia="en-AU"/>
        </w:rPr>
        <w:t>Escherichia coli</w:t>
      </w:r>
      <w:r w:rsidRPr="00EB1BF9">
        <w:rPr>
          <w:lang w:val="en-GB" w:eastAsia="en-AU"/>
        </w:rPr>
        <w:t xml:space="preserve"> peritonitis syndrome in Dutch poultry farming. Avian Pathology 44:370-378. doi 10.1080/03079457.2015.1060584</w:t>
      </w:r>
    </w:p>
    <w:p w14:paraId="7891C574" w14:textId="77777777" w:rsidR="00EB1BF9" w:rsidRPr="00EB1BF9" w:rsidRDefault="00EB1BF9" w:rsidP="00EB1BF9">
      <w:pPr>
        <w:rPr>
          <w:lang w:val="en-GB" w:eastAsia="en-AU"/>
        </w:rPr>
      </w:pPr>
      <w:r w:rsidRPr="00EB1BF9">
        <w:rPr>
          <w:lang w:val="en-GB" w:eastAsia="en-AU"/>
        </w:rPr>
        <w:t>Leksrisompong, N., H. Romero-Sanchez, E. O. Oviedo-Rondon, and J. Brake. 2014. Effect of feeder space during the growing and laying periods and the rate of feed increase at the onset of lay on broiler breeder female reproductive function. Poultry Science 93:1599-1607. doi 10.3382/ps.2013-03277</w:t>
      </w:r>
    </w:p>
    <w:p w14:paraId="0B50F824" w14:textId="77777777" w:rsidR="00EB1BF9" w:rsidRPr="00EB1BF9" w:rsidRDefault="00EB1BF9" w:rsidP="00EB1BF9">
      <w:pPr>
        <w:rPr>
          <w:lang w:val="en-GB" w:eastAsia="en-AU"/>
        </w:rPr>
      </w:pPr>
      <w:r w:rsidRPr="00EB1BF9">
        <w:rPr>
          <w:lang w:val="en-GB" w:eastAsia="en-AU"/>
        </w:rPr>
        <w:t>Leone, E. H., and I. Estevez. 2008. Economic and welfare benefits of environmental enrichment for broiler breeders. Poultry Science 87:14-21. doi 10.3382/ps.2007-00154</w:t>
      </w:r>
    </w:p>
    <w:p w14:paraId="3C4C4070" w14:textId="77777777" w:rsidR="00EB1BF9" w:rsidRDefault="00EB1BF9" w:rsidP="00EB1BF9">
      <w:pPr>
        <w:rPr>
          <w:lang w:val="en-GB" w:eastAsia="en-AU"/>
        </w:rPr>
      </w:pPr>
      <w:r w:rsidRPr="00EB1BF9">
        <w:rPr>
          <w:lang w:val="en-GB" w:eastAsia="en-AU"/>
        </w:rPr>
        <w:t>Lewis, P. D. 2006. A review of lighting for broiler breeders. British Poultry Science 47:393-404. doi 10.1080/00071660600829092</w:t>
      </w:r>
    </w:p>
    <w:p w14:paraId="5450EDD7" w14:textId="77777777" w:rsidR="00F16F5D" w:rsidRDefault="00F16F5D" w:rsidP="00EB1BF9">
      <w:pPr>
        <w:rPr>
          <w:lang w:val="en-GB" w:eastAsia="en-AU"/>
        </w:rPr>
      </w:pPr>
      <w:r w:rsidRPr="00F16F5D">
        <w:rPr>
          <w:lang w:val="en-GB" w:eastAsia="en-AU"/>
        </w:rPr>
        <w:t xml:space="preserve">Lewis, P.D., </w:t>
      </w:r>
      <w:r>
        <w:rPr>
          <w:lang w:val="en-GB" w:eastAsia="en-AU"/>
        </w:rPr>
        <w:t xml:space="preserve">R. Danisman, and R. M. </w:t>
      </w:r>
      <w:r w:rsidRPr="00F16F5D">
        <w:rPr>
          <w:lang w:val="en-GB" w:eastAsia="en-AU"/>
        </w:rPr>
        <w:t>Gous. 2009. Illuminance and egg production in broiler breeders. British Poultry Science 50:171-174</w:t>
      </w:r>
      <w:r>
        <w:rPr>
          <w:lang w:val="en-GB" w:eastAsia="en-AU"/>
        </w:rPr>
        <w:t>.</w:t>
      </w:r>
    </w:p>
    <w:p w14:paraId="3FC13330" w14:textId="77777777" w:rsidR="00EB1BF9" w:rsidRDefault="00EB1BF9" w:rsidP="00EB1BF9">
      <w:pPr>
        <w:rPr>
          <w:lang w:val="en-GB" w:eastAsia="en-AU"/>
        </w:rPr>
      </w:pPr>
      <w:r w:rsidRPr="00EB1BF9">
        <w:rPr>
          <w:lang w:val="en-GB" w:eastAsia="en-AU"/>
        </w:rPr>
        <w:t>Marin, R. H., P. Freytes, D. Guzman, and R. B. Jones. 2001. Effects of an acute stressor on fear and on the social reinstatement responses of domestic chicks to cagemates and strangers. Applied Animal Behaviour Science 71:57-66. doi 10.1016/s0168-1591(00)00167-2</w:t>
      </w:r>
    </w:p>
    <w:p w14:paraId="71D5895B" w14:textId="77777777" w:rsidR="00EB1BF9" w:rsidRPr="00EB1BF9" w:rsidRDefault="00EB1BF9" w:rsidP="00EB1BF9">
      <w:pPr>
        <w:rPr>
          <w:lang w:val="en-GB" w:eastAsia="en-AU"/>
        </w:rPr>
      </w:pPr>
      <w:r w:rsidRPr="00EB1BF9">
        <w:rPr>
          <w:lang w:val="en-GB" w:eastAsia="en-AU"/>
        </w:rPr>
        <w:t>McGary, S., I. Estevez, and E. Russek-Cohen. 2003. Reproductive and aggressive behavior in male broiler breeders with varying fertility levels. Applied Animal Behaviour Science 82:29-44. doi 10.1016/s0168-1591(03)00038-8</w:t>
      </w:r>
    </w:p>
    <w:p w14:paraId="28036EDB" w14:textId="77777777" w:rsidR="00EB1BF9" w:rsidRPr="00EB1BF9" w:rsidRDefault="00EB1BF9" w:rsidP="00EB1BF9">
      <w:pPr>
        <w:rPr>
          <w:lang w:val="en-GB" w:eastAsia="en-AU"/>
        </w:rPr>
      </w:pPr>
      <w:r w:rsidRPr="00EB1BF9">
        <w:rPr>
          <w:lang w:val="en-GB" w:eastAsia="en-AU"/>
        </w:rPr>
        <w:t xml:space="preserve">Merlet, F., J. Puterflam, J. M. Faure, P. M. Hocking, M. S. Magnusson, and M. Picard. 2005. Detection and comparison of time patterns of behaviours of two broiler breeder genotypes fed </w:t>
      </w:r>
      <w:r w:rsidRPr="000928BE">
        <w:rPr>
          <w:i/>
          <w:lang w:val="en-GB" w:eastAsia="en-AU"/>
        </w:rPr>
        <w:t>ad libitum</w:t>
      </w:r>
      <w:r w:rsidRPr="00EB1BF9">
        <w:rPr>
          <w:lang w:val="en-GB" w:eastAsia="en-AU"/>
        </w:rPr>
        <w:t xml:space="preserve"> and two levels of feed restriction. Applied Animal Behaviour Science 94:255-271. doi 10.1016/j.applanim.2005.02.014</w:t>
      </w:r>
    </w:p>
    <w:p w14:paraId="26C098B5" w14:textId="77777777" w:rsidR="00EB1BF9" w:rsidRPr="00EB1BF9" w:rsidRDefault="00EB1BF9" w:rsidP="00EB1BF9">
      <w:pPr>
        <w:rPr>
          <w:lang w:val="en-GB" w:eastAsia="en-AU"/>
        </w:rPr>
      </w:pPr>
      <w:r w:rsidRPr="00EB1BF9">
        <w:rPr>
          <w:lang w:val="en-GB" w:eastAsia="en-AU"/>
        </w:rPr>
        <w:t>Millman, S. T., and I. J. H. Duncan. 2000a. Effect of male-to-male aggressiveness and feed-restriction during rearing on sexual behaviour and aggressiveness towards females by male domestic fowl. Applied Animal Behaviour Science 70:63-82. doi 10.1016/s0168-1591(00)00141-6</w:t>
      </w:r>
    </w:p>
    <w:p w14:paraId="45AF26BA" w14:textId="77777777" w:rsidR="00EB1BF9" w:rsidRPr="00EB1BF9" w:rsidRDefault="00EB1BF9" w:rsidP="00EB1BF9">
      <w:pPr>
        <w:rPr>
          <w:lang w:val="en-GB" w:eastAsia="en-AU"/>
        </w:rPr>
      </w:pPr>
      <w:r w:rsidRPr="00EB1BF9">
        <w:rPr>
          <w:lang w:val="en-GB" w:eastAsia="en-AU"/>
        </w:rPr>
        <w:t>Millman, S. T., and I. J. H. Duncan. 2000b. Strain differences in aggressiveness of male domestic fowl in response to a male model. Applied Animal Behaviour Science 66:217-233. doi 10.1016/s0168-1591(99)00082-9</w:t>
      </w:r>
    </w:p>
    <w:p w14:paraId="6B6D98A4" w14:textId="77777777" w:rsidR="00EB1BF9" w:rsidRPr="00EB1BF9" w:rsidRDefault="00EB1BF9" w:rsidP="00EB1BF9">
      <w:pPr>
        <w:rPr>
          <w:lang w:val="en-GB" w:eastAsia="en-AU"/>
        </w:rPr>
      </w:pPr>
      <w:r w:rsidRPr="00EB1BF9">
        <w:rPr>
          <w:lang w:val="en-GB" w:eastAsia="en-AU"/>
        </w:rPr>
        <w:t>Millman, S. T., I. J. H. Duncan, and T. M. Widowski. 2000. Male broiler breeder fowl display high levels of aggression toward females</w:t>
      </w:r>
      <w:r w:rsidR="00111E11">
        <w:rPr>
          <w:lang w:val="en-GB" w:eastAsia="en-AU"/>
        </w:rPr>
        <w:t>. Poultry Science 79:1233-1241.</w:t>
      </w:r>
    </w:p>
    <w:p w14:paraId="6685BB12" w14:textId="77777777" w:rsidR="00EB1BF9" w:rsidRPr="00EB1BF9" w:rsidRDefault="00EB1BF9" w:rsidP="00EB1BF9">
      <w:pPr>
        <w:rPr>
          <w:lang w:val="en-GB" w:eastAsia="en-AU"/>
        </w:rPr>
      </w:pPr>
      <w:r w:rsidRPr="00EB1BF9">
        <w:rPr>
          <w:lang w:val="en-GB" w:eastAsia="en-AU"/>
        </w:rPr>
        <w:t>Mitchell, B. W., J. Richardson, J. Wilson, and C. Hofacre. 2004. Application of an electrostatic space charge system for dust and pathogen reduction in a broiler breeder house. Applied Engineering in Agriculture 20:87-93.</w:t>
      </w:r>
    </w:p>
    <w:p w14:paraId="3366862B" w14:textId="77777777" w:rsidR="00EB1BF9" w:rsidRPr="00EB1BF9" w:rsidRDefault="00EB1BF9" w:rsidP="00EB1BF9">
      <w:pPr>
        <w:rPr>
          <w:lang w:val="en-GB" w:eastAsia="en-AU"/>
        </w:rPr>
      </w:pPr>
      <w:r w:rsidRPr="00EB1BF9">
        <w:rPr>
          <w:lang w:val="en-GB" w:eastAsia="en-AU"/>
        </w:rPr>
        <w:t>Moradi, S., M. Zaghari, M. Shivazad, R. Osfoori, and M. Mardi. 2013. Response of female broiler breeders to qualitative feed restriction with inclusion of soluble and insoluble fiber sources. Journal of Applied Poultry Research 22:370-381. doi 10.3382/japr.2012-00504</w:t>
      </w:r>
    </w:p>
    <w:p w14:paraId="7F35F749" w14:textId="77777777" w:rsidR="00EB1BF9" w:rsidRPr="00EB1BF9" w:rsidRDefault="00EB1BF9" w:rsidP="00EB1BF9">
      <w:pPr>
        <w:rPr>
          <w:lang w:val="en-GB" w:eastAsia="en-AU"/>
        </w:rPr>
      </w:pPr>
      <w:r w:rsidRPr="00EB1BF9">
        <w:rPr>
          <w:lang w:val="en-GB" w:eastAsia="en-AU"/>
        </w:rPr>
        <w:t>Moreki, J.C., H.J.Van Der Merwe, and J.P. Hayes. 2011. Influence of dietary calcium levels on bone development in broiler breeder pullets up to 18 weeks of age. Online Journal of Animal and Feed Research 1:28-39.</w:t>
      </w:r>
    </w:p>
    <w:p w14:paraId="545C994A" w14:textId="77777777" w:rsidR="00EB1BF9" w:rsidRPr="00EB1BF9" w:rsidRDefault="00EB1BF9" w:rsidP="00EB1BF9">
      <w:pPr>
        <w:rPr>
          <w:lang w:val="en-GB" w:eastAsia="en-AU"/>
        </w:rPr>
      </w:pPr>
      <w:r w:rsidRPr="00EB1BF9">
        <w:rPr>
          <w:lang w:val="en-GB" w:eastAsia="en-AU"/>
        </w:rPr>
        <w:t>Morrissey, K. L. H., T. Widowski, S. Leeson, V. Sandilands, A. Arnone, and S. Torrey. 2014a. The effect of dietary alterations during rearing on growth, productivity, and behavior in broiler breeder females. Poultry Science 93:285-295. doi 10.3382/ps.2013-03265</w:t>
      </w:r>
    </w:p>
    <w:p w14:paraId="7F7189C4" w14:textId="77777777" w:rsidR="00EB1BF9" w:rsidRPr="00EB1BF9" w:rsidRDefault="00EB1BF9" w:rsidP="00EB1BF9">
      <w:pPr>
        <w:rPr>
          <w:lang w:val="en-GB" w:eastAsia="en-AU"/>
        </w:rPr>
      </w:pPr>
      <w:r w:rsidRPr="00EB1BF9">
        <w:rPr>
          <w:lang w:val="en-GB" w:eastAsia="en-AU"/>
        </w:rPr>
        <w:t>Morrissey, K. L. H., T. Widowski, S. Leeson, V. Sandilands, A. Arnone, and S. Torrey. 2014b. The effect of dietary alterations during rearing on feather condition in broiler breeder females. Poultry Science 93:1636-1643. doi 10.3382/ps.2013-03822</w:t>
      </w:r>
    </w:p>
    <w:p w14:paraId="41BF14E5" w14:textId="77777777" w:rsidR="00EB1BF9" w:rsidRPr="00EB1BF9" w:rsidRDefault="00EB1BF9" w:rsidP="00EB1BF9">
      <w:pPr>
        <w:rPr>
          <w:lang w:val="en-GB" w:eastAsia="en-AU"/>
        </w:rPr>
      </w:pPr>
      <w:r w:rsidRPr="00EB1BF9">
        <w:rPr>
          <w:lang w:val="en-GB" w:eastAsia="en-AU"/>
        </w:rPr>
        <w:t>Moyle, J. R., D. E. Yoho, R. S. Harper, and R. K. Bramwell. 2010. Mating behavior in commercial broiler breeders: Female effects. Journal of Applied Poultry Research 19:24-29. doi 10.3382/japr.2009-00061</w:t>
      </w:r>
    </w:p>
    <w:p w14:paraId="5A917639" w14:textId="77777777" w:rsidR="00EB1BF9" w:rsidRPr="00EB1BF9" w:rsidRDefault="00EB1BF9" w:rsidP="00EB1BF9">
      <w:pPr>
        <w:rPr>
          <w:lang w:val="en-GB" w:eastAsia="en-AU"/>
        </w:rPr>
      </w:pPr>
      <w:r w:rsidRPr="00EB1BF9">
        <w:rPr>
          <w:lang w:val="en-GB" w:eastAsia="en-AU"/>
        </w:rPr>
        <w:t>Nielsen, B. L., K. Thodberg, J. Malmkvist, and S. Steenfeldt. 2011. Proportion of insoluble fibre in the diet affects behaviour and hunger in broiler breeders growing at similar rates. Animal 5:1247-1258. doi 10.1017/s1751731111000218</w:t>
      </w:r>
    </w:p>
    <w:p w14:paraId="19714B2A" w14:textId="77777777" w:rsidR="00EB1BF9" w:rsidRPr="00EB1BF9" w:rsidRDefault="00446673" w:rsidP="00EB1BF9">
      <w:pPr>
        <w:rPr>
          <w:lang w:val="en-GB" w:eastAsia="en-AU"/>
        </w:rPr>
      </w:pPr>
      <w:r w:rsidRPr="00446673">
        <w:rPr>
          <w:lang w:val="en-GB" w:eastAsia="en-AU"/>
        </w:rPr>
        <w:t>Özkan</w:t>
      </w:r>
      <w:r w:rsidR="00EB1BF9" w:rsidRPr="00EB1BF9">
        <w:rPr>
          <w:lang w:val="en-GB" w:eastAsia="en-AU"/>
        </w:rPr>
        <w:t>, S., W.K. Smith, and H.M. Bath, 2002. The development of thermal resistance of the feather coat in broilers with different feathering genotypes and feeding regimes. British Poultry Science 43: 472-481.</w:t>
      </w:r>
    </w:p>
    <w:p w14:paraId="2A5D57A9" w14:textId="77777777" w:rsidR="00EB1BF9" w:rsidRPr="00EB1BF9" w:rsidRDefault="00EB1BF9" w:rsidP="00EB1BF9">
      <w:pPr>
        <w:rPr>
          <w:lang w:val="en-GB" w:eastAsia="en-AU"/>
        </w:rPr>
      </w:pPr>
      <w:r w:rsidRPr="00EB1BF9">
        <w:rPr>
          <w:lang w:val="en-GB" w:eastAsia="en-AU"/>
        </w:rPr>
        <w:t xml:space="preserve">Pereira, D. F., I. A. Naas, C. E. B. Romanini, D. D. Salgado, and G. O. T. Pereira. 2007. Broiler breeder behavior and egg production as function of environmental temperature. Brazilian Journal of Poultry Science 9:9-16. </w:t>
      </w:r>
    </w:p>
    <w:p w14:paraId="59F8BA39" w14:textId="77777777" w:rsidR="00EB1BF9" w:rsidRPr="00EB1BF9" w:rsidRDefault="00EB1BF9" w:rsidP="00EB1BF9">
      <w:pPr>
        <w:rPr>
          <w:lang w:val="en-GB" w:eastAsia="en-AU"/>
        </w:rPr>
      </w:pPr>
      <w:r w:rsidRPr="00EB1BF9">
        <w:rPr>
          <w:lang w:val="en-GB" w:eastAsia="en-AU"/>
        </w:rPr>
        <w:t>Puterflam, J., F. Merlet, J. M. Faure, P. M. Hocking, and M. Picard. 2006. Effects of genotype and feed restriction on the time-budgets of broiler breeders at different ages. Applied Animal Behaviour Science 98:100-113. doi 10.1016/j.applanim.2005.08.013</w:t>
      </w:r>
    </w:p>
    <w:p w14:paraId="360CEFA7" w14:textId="77777777" w:rsidR="00EB1BF9" w:rsidRPr="00EB1BF9" w:rsidRDefault="00EB1BF9" w:rsidP="00EB1BF9">
      <w:pPr>
        <w:rPr>
          <w:lang w:val="en-GB" w:eastAsia="en-AU"/>
        </w:rPr>
      </w:pPr>
      <w:r w:rsidRPr="00EB1BF9">
        <w:rPr>
          <w:lang w:val="en-GB" w:eastAsia="en-AU"/>
        </w:rPr>
        <w:t>Rajman, M., M. Jurani, D. Lamosova, M. Macajova, M. Sedlackova, L. Kost'al, D. Jezova, and P. Vyboh. 2006. The effects of feed restriction on plasma biochemistry in growing meat type chickens (</w:t>
      </w:r>
      <w:r w:rsidRPr="00111E11">
        <w:rPr>
          <w:i/>
          <w:lang w:val="en-GB" w:eastAsia="en-AU"/>
        </w:rPr>
        <w:t>Gallus gallus</w:t>
      </w:r>
      <w:r w:rsidRPr="00EB1BF9">
        <w:rPr>
          <w:lang w:val="en-GB" w:eastAsia="en-AU"/>
        </w:rPr>
        <w:t>). Comparative Biochemistry and Physiology a-Molecular &amp; Integrative Physiology 145:363-371. doi 10.1016/j.cbpa.2006.07.004</w:t>
      </w:r>
    </w:p>
    <w:p w14:paraId="2952B66E" w14:textId="77777777" w:rsidR="00EB1BF9" w:rsidRPr="00EB1BF9" w:rsidRDefault="00EB1BF9" w:rsidP="00EB1BF9">
      <w:pPr>
        <w:rPr>
          <w:lang w:val="en-GB" w:eastAsia="en-AU"/>
        </w:rPr>
      </w:pPr>
      <w:r w:rsidRPr="00EB1BF9">
        <w:rPr>
          <w:lang w:val="en-GB" w:eastAsia="en-AU"/>
        </w:rPr>
        <w:t xml:space="preserve">Renema, R. A., and F. E. Robinson. 2004. Defining normal: comparison of feed restriction and full feeding of female broiler breeders. </w:t>
      </w:r>
      <w:r w:rsidR="00E12232">
        <w:rPr>
          <w:lang w:val="en-GB" w:eastAsia="en-AU"/>
        </w:rPr>
        <w:t>World’s</w:t>
      </w:r>
      <w:r w:rsidRPr="00EB1BF9">
        <w:rPr>
          <w:lang w:val="en-GB" w:eastAsia="en-AU"/>
        </w:rPr>
        <w:t xml:space="preserve"> Poultry Science Journal 60:508-522. doi 10.1079/wps200434</w:t>
      </w:r>
    </w:p>
    <w:p w14:paraId="652D6EDA" w14:textId="77777777" w:rsidR="00EB1BF9" w:rsidRPr="00EB1BF9" w:rsidRDefault="00EB1BF9" w:rsidP="00EB1BF9">
      <w:pPr>
        <w:rPr>
          <w:lang w:val="en-GB" w:eastAsia="en-AU"/>
        </w:rPr>
      </w:pPr>
      <w:r w:rsidRPr="00EB1BF9">
        <w:rPr>
          <w:lang w:val="en-GB" w:eastAsia="en-AU"/>
        </w:rPr>
        <w:t>Renema, R. A., F. E. Robinson, R. M. Beliveau, H. C. Davis, and E. A. Lindquist. 2007. Relationships of body weight, feathering, and footpad condition with reproductive and carcass morphology of end-of-season commercial broiler breeder hens. Journal of Applied Poultry Research 16:2</w:t>
      </w:r>
      <w:r w:rsidR="00111E11">
        <w:rPr>
          <w:lang w:val="en-GB" w:eastAsia="en-AU"/>
        </w:rPr>
        <w:t>7-38.</w:t>
      </w:r>
    </w:p>
    <w:p w14:paraId="1B0299AF" w14:textId="77777777" w:rsidR="00EB1BF9" w:rsidRPr="00EB1BF9" w:rsidRDefault="00EB1BF9" w:rsidP="00EB1BF9">
      <w:pPr>
        <w:rPr>
          <w:lang w:val="en-GB" w:eastAsia="en-AU"/>
        </w:rPr>
      </w:pPr>
      <w:r w:rsidRPr="00EB1BF9">
        <w:rPr>
          <w:lang w:val="en-GB" w:eastAsia="en-AU"/>
        </w:rPr>
        <w:t>Roza, K., M. Martin, and H. J. Barnes. 2006. Litter impaction of the lower intestinal tract in male broiler breeders. Avian Diseases 50:460-462. doi 10.1637/7500-010906r.1</w:t>
      </w:r>
    </w:p>
    <w:p w14:paraId="4DCE850C" w14:textId="77777777" w:rsidR="00EB1BF9" w:rsidRPr="00EB1BF9" w:rsidRDefault="00EB1BF9" w:rsidP="00EB1BF9">
      <w:pPr>
        <w:rPr>
          <w:lang w:val="en-GB" w:eastAsia="en-AU"/>
        </w:rPr>
      </w:pPr>
      <w:r w:rsidRPr="00EB1BF9">
        <w:rPr>
          <w:lang w:val="en-GB" w:eastAsia="en-AU"/>
        </w:rPr>
        <w:t>Salahi, A., M. M. Khabisi, and A. Anissian. 2014. Effects of infectious bursal disease (IBD) on shank length and diameter, body weight and mortality in broiler breeder at rearing period. Turkish Journal of Veterinary &amp; Animal Sciences 38:34-39. doi 10.3906/vet-1111-5</w:t>
      </w:r>
    </w:p>
    <w:p w14:paraId="06D2F93A" w14:textId="77777777" w:rsidR="00EB1BF9" w:rsidRPr="00EB1BF9" w:rsidRDefault="00EB1BF9" w:rsidP="00EB1BF9">
      <w:pPr>
        <w:rPr>
          <w:lang w:val="en-GB" w:eastAsia="en-AU"/>
        </w:rPr>
      </w:pPr>
      <w:r w:rsidRPr="00EB1BF9">
        <w:rPr>
          <w:lang w:val="en-GB" w:eastAsia="en-AU"/>
        </w:rPr>
        <w:t>Sandilands, V., B. J. Tolkamp, and I. Kyriazakis. 2005. Behaviour of food restricted broilers during rearing and lay - effects of an alternative feeding method. Physiology &amp; Behavior 85:115-123. doi 10.1016/j.physbeh.2005.03.001</w:t>
      </w:r>
    </w:p>
    <w:p w14:paraId="66AFCDB5" w14:textId="77777777" w:rsidR="00EB1BF9" w:rsidRPr="00EB1BF9" w:rsidRDefault="00EB1BF9" w:rsidP="00EB1BF9">
      <w:pPr>
        <w:rPr>
          <w:lang w:val="en-GB" w:eastAsia="en-AU"/>
        </w:rPr>
      </w:pPr>
      <w:r w:rsidRPr="00EB1BF9">
        <w:rPr>
          <w:lang w:val="en-GB" w:eastAsia="en-AU"/>
        </w:rPr>
        <w:t>Sandilands, V., B. J. Tolkamp, C. J. Savory, and I. Kyriazakis. 2006. Behaviour and welfare of broiler breeders fed qualitatively restricted diets during rearing: Are there viable alternatives to quantitative restriction? Applied Animal Behaviour Science 96:53-67. doi 10.1016/j.applanim.2005.04.017</w:t>
      </w:r>
    </w:p>
    <w:p w14:paraId="017375F8" w14:textId="77777777" w:rsidR="00EB1BF9" w:rsidRPr="00EB1BF9" w:rsidRDefault="00EB1BF9" w:rsidP="00EB1BF9">
      <w:pPr>
        <w:rPr>
          <w:lang w:val="en-GB" w:eastAsia="en-AU"/>
        </w:rPr>
      </w:pPr>
      <w:r w:rsidRPr="00EB1BF9">
        <w:rPr>
          <w:lang w:val="en-GB" w:eastAsia="en-AU"/>
        </w:rPr>
        <w:t>Savory, C. J., and J. M. Lariviere. 2000. Effects of qualitative and quantitative food restriction treatments on feeding motivational state and general activity level of growing broiler breeders. Applied Animal Behaviour Science 69:135-147. doi 10.1016/s0168-1591(00)00123-4</w:t>
      </w:r>
    </w:p>
    <w:p w14:paraId="45815D12" w14:textId="77777777" w:rsidR="00EB1BF9" w:rsidRPr="00EB1BF9" w:rsidRDefault="00EB1BF9" w:rsidP="00EB1BF9">
      <w:pPr>
        <w:rPr>
          <w:lang w:val="en-GB" w:eastAsia="en-AU"/>
        </w:rPr>
      </w:pPr>
      <w:r w:rsidRPr="00EB1BF9">
        <w:rPr>
          <w:lang w:val="en-GB" w:eastAsia="en-AU"/>
        </w:rPr>
        <w:t>Savory, C. J., E. Seawright, and A. Watson. 1992. Stereotyped behaviour in broiler breeders in relation to husbandry and opioid receptor blockade. Applied Animal Behaviour Science 32:349-360. doi 10.1016/s0168-1591(05)80027-9</w:t>
      </w:r>
    </w:p>
    <w:p w14:paraId="0EDC5B4D" w14:textId="77777777" w:rsidR="00EB1BF9" w:rsidRPr="00EB1BF9" w:rsidRDefault="00EB1BF9" w:rsidP="00EB1BF9">
      <w:pPr>
        <w:rPr>
          <w:lang w:val="en-GB" w:eastAsia="en-AU"/>
        </w:rPr>
      </w:pPr>
      <w:r w:rsidRPr="00EB1BF9">
        <w:rPr>
          <w:lang w:val="en-GB" w:eastAsia="en-AU"/>
        </w:rPr>
        <w:t>Sharman, P. A., N. C. Smith, M. G. Wallach, and M. Katrib. 2010. Chasing the golden egg: vaccination against poultry coccidiosis. Parasite Immunology 32:590-598. doi 10.1111/j.1365-3024.2010.01209.x</w:t>
      </w:r>
    </w:p>
    <w:p w14:paraId="36A75D29" w14:textId="77777777" w:rsidR="00EB1BF9" w:rsidRPr="00EB1BF9" w:rsidRDefault="00EB1BF9" w:rsidP="00EB1BF9">
      <w:pPr>
        <w:rPr>
          <w:lang w:val="en-GB" w:eastAsia="en-AU"/>
        </w:rPr>
      </w:pPr>
      <w:r w:rsidRPr="00EB1BF9">
        <w:rPr>
          <w:lang w:val="en-GB" w:eastAsia="en-AU"/>
        </w:rPr>
        <w:t>Sheppard, K. C., and I. J. H. Duncan. 2011. Feeding motivation on the incidence of floor eggs and extraneously calcified eggs laid by broiler breeder hens. British Poultry Science 52:20-29. doi 10.1080/00071668.2010.550600</w:t>
      </w:r>
    </w:p>
    <w:p w14:paraId="4DADAC9C" w14:textId="77777777" w:rsidR="00EB1BF9" w:rsidRDefault="00EB1BF9" w:rsidP="00EB1BF9">
      <w:pPr>
        <w:rPr>
          <w:lang w:val="en-GB" w:eastAsia="en-AU"/>
        </w:rPr>
      </w:pPr>
      <w:r w:rsidRPr="00EB1BF9">
        <w:rPr>
          <w:lang w:val="en-GB" w:eastAsia="en-AU"/>
        </w:rPr>
        <w:t xml:space="preserve">Shini , G., R. Huff , A. Shini , and P. Kaiser. 2010. </w:t>
      </w:r>
      <w:r w:rsidRPr="00EB1BF9">
        <w:rPr>
          <w:bCs/>
          <w:lang w:val="en-GB" w:eastAsia="en-AU"/>
        </w:rPr>
        <w:t xml:space="preserve">Understanding stress-induced immunosuppression: Exploration of cytokine and chemokine gene profiles in chicken peripheral leukocytes. </w:t>
      </w:r>
      <w:r w:rsidRPr="00EB1BF9">
        <w:rPr>
          <w:lang w:val="en-GB" w:eastAsia="en-AU"/>
        </w:rPr>
        <w:t>Poultry Science 89:841–8</w:t>
      </w:r>
      <w:r w:rsidR="001F4917">
        <w:rPr>
          <w:lang w:val="en-GB" w:eastAsia="en-AU"/>
        </w:rPr>
        <w:t>51. doi 10.3382/ps.2009-00483S</w:t>
      </w:r>
    </w:p>
    <w:p w14:paraId="1AC3B7CA" w14:textId="77777777" w:rsidR="00F16F5D" w:rsidRPr="00EB1BF9" w:rsidRDefault="00F16F5D" w:rsidP="00EB1BF9">
      <w:pPr>
        <w:rPr>
          <w:lang w:val="en-GB" w:eastAsia="en-AU"/>
        </w:rPr>
      </w:pPr>
      <w:r w:rsidRPr="00F16F5D">
        <w:rPr>
          <w:lang w:val="en-GB" w:eastAsia="en-AU"/>
        </w:rPr>
        <w:t>Skinner-Noble, D. O., and R. G. Teeter. 2009. An examination of anatomic, physiologic, and metabolic factors associated with well-being of broilers differing in field gait score. Poultry Science 88:2-9. doi 10.3382/ps.2006-00450</w:t>
      </w:r>
    </w:p>
    <w:p w14:paraId="616E6F10" w14:textId="77777777" w:rsidR="00EB1BF9" w:rsidRDefault="00EB1BF9" w:rsidP="00EB1BF9">
      <w:pPr>
        <w:rPr>
          <w:lang w:val="en-GB" w:eastAsia="en-AU"/>
        </w:rPr>
      </w:pPr>
      <w:r w:rsidRPr="00EB1BF9">
        <w:rPr>
          <w:lang w:val="en-GB" w:eastAsia="en-AU"/>
        </w:rPr>
        <w:t>Spinu, M., S. Benveneste, and A. A. Degen. 2003. Effect of density and season on stress and behaviour in broiler breeder hens. British Poultry Science 44:170-174. doi 10.1080/0007166031000088342</w:t>
      </w:r>
    </w:p>
    <w:p w14:paraId="64A798DE" w14:textId="77777777" w:rsidR="00F16F5D" w:rsidRPr="00EB1BF9" w:rsidRDefault="00F16F5D" w:rsidP="00EB1BF9">
      <w:pPr>
        <w:rPr>
          <w:lang w:val="en-GB" w:eastAsia="en-AU"/>
        </w:rPr>
      </w:pPr>
      <w:r>
        <w:rPr>
          <w:lang w:val="en-GB" w:eastAsia="en-AU"/>
        </w:rPr>
        <w:t>v</w:t>
      </w:r>
      <w:r w:rsidRPr="00F16F5D">
        <w:rPr>
          <w:lang w:val="en-GB" w:eastAsia="en-AU"/>
        </w:rPr>
        <w:t>am Emous, R.</w:t>
      </w:r>
      <w:r w:rsidR="000928BE">
        <w:rPr>
          <w:lang w:val="en-GB" w:eastAsia="en-AU"/>
        </w:rPr>
        <w:t xml:space="preserve"> </w:t>
      </w:r>
      <w:r w:rsidRPr="00F16F5D">
        <w:rPr>
          <w:lang w:val="en-GB" w:eastAsia="en-AU"/>
        </w:rPr>
        <w:t xml:space="preserve">A., </w:t>
      </w:r>
      <w:r>
        <w:rPr>
          <w:lang w:val="en-GB" w:eastAsia="en-AU"/>
        </w:rPr>
        <w:t xml:space="preserve">R. P. </w:t>
      </w:r>
      <w:r w:rsidRPr="00F16F5D">
        <w:rPr>
          <w:lang w:val="en-GB" w:eastAsia="en-AU"/>
        </w:rPr>
        <w:t xml:space="preserve">Kwakkel, </w:t>
      </w:r>
      <w:r>
        <w:rPr>
          <w:lang w:val="en-GB" w:eastAsia="en-AU"/>
        </w:rPr>
        <w:t xml:space="preserve">M. M. </w:t>
      </w:r>
      <w:r w:rsidRPr="00F16F5D">
        <w:rPr>
          <w:lang w:val="en-GB" w:eastAsia="en-AU"/>
        </w:rPr>
        <w:t xml:space="preserve">van Krimpen, and </w:t>
      </w:r>
      <w:r>
        <w:rPr>
          <w:lang w:val="en-GB" w:eastAsia="en-AU"/>
        </w:rPr>
        <w:t xml:space="preserve">W. H. </w:t>
      </w:r>
      <w:r w:rsidRPr="00F16F5D">
        <w:rPr>
          <w:lang w:val="en-GB" w:eastAsia="en-AU"/>
        </w:rPr>
        <w:t xml:space="preserve">Hendriks. 2013. Effects of growth patterns and dietary crude protein levels during rearing on body composition and performance in broiler breeder females during the rearing and laying </w:t>
      </w:r>
      <w:r>
        <w:rPr>
          <w:lang w:val="en-GB" w:eastAsia="en-AU"/>
        </w:rPr>
        <w:t>period. Poultry Science 92:</w:t>
      </w:r>
      <w:r w:rsidRPr="00F16F5D">
        <w:rPr>
          <w:lang w:val="en-GB" w:eastAsia="en-AU"/>
        </w:rPr>
        <w:t>2091-2100</w:t>
      </w:r>
      <w:r>
        <w:rPr>
          <w:lang w:val="en-GB" w:eastAsia="en-AU"/>
        </w:rPr>
        <w:t>.</w:t>
      </w:r>
    </w:p>
    <w:p w14:paraId="0CA0779C" w14:textId="77777777" w:rsidR="00EB1BF9" w:rsidRPr="00EB1BF9" w:rsidRDefault="00EB1BF9" w:rsidP="00EB1BF9">
      <w:pPr>
        <w:rPr>
          <w:lang w:val="en-GB" w:eastAsia="en-AU"/>
        </w:rPr>
      </w:pPr>
      <w:r w:rsidRPr="00EB1BF9">
        <w:rPr>
          <w:lang w:val="en-GB" w:eastAsia="en-AU"/>
        </w:rPr>
        <w:t>van Emous, R. A., R. Kwakkel, M. van Krimpen, and W. Hendriks. 2014. Effects of growth pattern and dietary protein level during rearing on feed intake, eating time, eating rate, behavior, plasma corticosterone concentration, and feather cover in broiler breeder females during the rearing and laying period. Applied Animal Behaviour Science 150:44-54. doi 10.1016/j.applanim.2013.10.005</w:t>
      </w:r>
    </w:p>
    <w:p w14:paraId="031951ED" w14:textId="77777777" w:rsidR="00EB1BF9" w:rsidRPr="00EB1BF9" w:rsidRDefault="00EB1BF9" w:rsidP="00EB1BF9">
      <w:pPr>
        <w:rPr>
          <w:lang w:val="en-GB" w:eastAsia="en-AU"/>
        </w:rPr>
      </w:pPr>
      <w:r w:rsidRPr="00EB1BF9">
        <w:rPr>
          <w:lang w:val="en-GB" w:eastAsia="en-AU"/>
        </w:rPr>
        <w:t>van Emous, R. A., R. P. Kwakkel, M. M. van Krimpen, H. van den Brand, and W. H. Hendriks. 2015a. Effects of growth patterns and dietary protein levels during rearing of broiler breeders on fertility, hatchability, embryonic mortality, and offspring performance. Poultry Science 94:681-691. doi 10.3382/ps/pev024</w:t>
      </w:r>
    </w:p>
    <w:p w14:paraId="7D6891B0" w14:textId="77777777" w:rsidR="00EB1BF9" w:rsidRPr="00EB1BF9" w:rsidRDefault="00EB1BF9" w:rsidP="00EB1BF9">
      <w:pPr>
        <w:rPr>
          <w:lang w:val="en-GB" w:eastAsia="en-AU"/>
        </w:rPr>
      </w:pPr>
      <w:r w:rsidRPr="00EB1BF9">
        <w:rPr>
          <w:lang w:val="en-GB" w:eastAsia="en-AU"/>
        </w:rPr>
        <w:t>van Emous, R. A., R. Kwakkel, M. van Krimpen, and W. Hendriks. 2015b. Effects of different dietary protein levels during rearing and different dietary energy levels during lay on behaviour and feather cover in broiler breeder females. Applied Animal Behaviour Science 168:45-55. doi 10.1016/j.applanim.2015.04.005</w:t>
      </w:r>
    </w:p>
    <w:p w14:paraId="2FAA0DAB" w14:textId="77777777" w:rsidR="00EB1BF9" w:rsidRPr="00EB1BF9" w:rsidRDefault="00EB1BF9" w:rsidP="00EB1BF9">
      <w:pPr>
        <w:rPr>
          <w:lang w:val="en-GB" w:eastAsia="en-AU"/>
        </w:rPr>
      </w:pPr>
      <w:r w:rsidRPr="00EB1BF9">
        <w:rPr>
          <w:lang w:val="en-GB" w:eastAsia="en-AU"/>
        </w:rPr>
        <w:t>Welfare Quality. 2009. Welfare Quality</w:t>
      </w:r>
      <w:r w:rsidR="0070792C">
        <w:rPr>
          <w:rFonts w:cs="Arial"/>
          <w:lang w:val="en-GB" w:eastAsia="en-AU"/>
        </w:rPr>
        <w:t>®</w:t>
      </w:r>
      <w:r w:rsidRPr="00EB1BF9">
        <w:rPr>
          <w:lang w:val="en-GB" w:eastAsia="en-AU"/>
        </w:rPr>
        <w:t xml:space="preserve"> assessment protocol for poultry (broilers, laying hens). Welfare Quality Consortium</w:t>
      </w:r>
      <w:r w:rsidR="0070792C">
        <w:rPr>
          <w:rFonts w:cs="Arial"/>
          <w:lang w:val="en-GB" w:eastAsia="en-AU"/>
        </w:rPr>
        <w:t>®</w:t>
      </w:r>
      <w:r w:rsidRPr="00EB1BF9">
        <w:rPr>
          <w:lang w:val="en-GB" w:eastAsia="en-AU"/>
        </w:rPr>
        <w:t xml:space="preserve">, Lelystad, The Netherlands. </w:t>
      </w:r>
      <w:hyperlink r:id="rId68" w:tooltip="This link opens a pdf of the Welfare Quality assessment protocol for broilers and laying hens." w:history="1">
        <w:r w:rsidR="0070792C" w:rsidRPr="008D16A0">
          <w:rPr>
            <w:rStyle w:val="Hyperlink"/>
            <w:lang w:val="en-GB" w:eastAsia="en-AU"/>
          </w:rPr>
          <w:t>www.welfarequalitynetwork.net/downloadattachment/45627/21652/Poultry%20Protocol.pdf</w:t>
        </w:r>
      </w:hyperlink>
      <w:r w:rsidR="001F4917">
        <w:rPr>
          <w:lang w:val="en-GB" w:eastAsia="en-AU"/>
        </w:rPr>
        <w:t>.</w:t>
      </w:r>
      <w:r w:rsidRPr="00EB1BF9">
        <w:rPr>
          <w:lang w:val="en-GB" w:eastAsia="en-AU"/>
        </w:rPr>
        <w:t xml:space="preserve"> Accessed 20/05/2017.</w:t>
      </w:r>
    </w:p>
    <w:p w14:paraId="29DB25ED" w14:textId="77777777" w:rsidR="00EB1BF9" w:rsidRPr="00286A88" w:rsidRDefault="00EB1BF9" w:rsidP="00B509BB">
      <w:pPr>
        <w:rPr>
          <w:lang w:val="en-AU" w:eastAsia="en-AU"/>
        </w:rPr>
      </w:pPr>
    </w:p>
    <w:p w14:paraId="574AAF8A" w14:textId="77777777" w:rsidR="00286A88" w:rsidRPr="00286A88" w:rsidRDefault="00B509BB" w:rsidP="00B509BB">
      <w:pPr>
        <w:pStyle w:val="Heading1"/>
        <w:rPr>
          <w:lang w:val="en-AU" w:eastAsia="en-AU"/>
        </w:rPr>
      </w:pPr>
      <w:r>
        <w:rPr>
          <w:color w:val="000000"/>
          <w:lang w:val="en-AU" w:eastAsia="en-AU"/>
        </w:rPr>
        <w:br w:type="column"/>
      </w:r>
      <w:bookmarkStart w:id="177" w:name="_Toc495310646"/>
      <w:r w:rsidR="00286A88" w:rsidRPr="00286A88">
        <w:rPr>
          <w:lang w:val="en-AU" w:eastAsia="en-AU"/>
        </w:rPr>
        <w:t>Ducks</w:t>
      </w:r>
      <w:bookmarkEnd w:id="177"/>
    </w:p>
    <w:p w14:paraId="673D350B" w14:textId="77777777" w:rsidR="00286A88" w:rsidRPr="00286A88" w:rsidRDefault="00286A88" w:rsidP="00B509BB">
      <w:pPr>
        <w:pStyle w:val="Heading2"/>
        <w:rPr>
          <w:lang w:val="en-AU" w:eastAsia="en-AU"/>
        </w:rPr>
      </w:pPr>
      <w:bookmarkStart w:id="178" w:name="_Toc495310647"/>
      <w:r w:rsidRPr="00286A88">
        <w:rPr>
          <w:lang w:val="en-AU" w:eastAsia="en-AU"/>
        </w:rPr>
        <w:t>D1. Introduction</w:t>
      </w:r>
      <w:bookmarkEnd w:id="178"/>
    </w:p>
    <w:p w14:paraId="3228E720" w14:textId="77777777" w:rsidR="00286A88" w:rsidRPr="00286A88" w:rsidRDefault="00286A88" w:rsidP="00B509BB">
      <w:pPr>
        <w:pStyle w:val="Heading3"/>
        <w:rPr>
          <w:lang w:val="en-AU" w:eastAsia="en-AU"/>
        </w:rPr>
      </w:pPr>
      <w:bookmarkStart w:id="179" w:name="_Toc495310648"/>
      <w:r w:rsidRPr="00286A88">
        <w:rPr>
          <w:lang w:val="en-AU" w:eastAsia="en-AU"/>
        </w:rPr>
        <w:t>D1.1 Life history</w:t>
      </w:r>
      <w:bookmarkEnd w:id="179"/>
    </w:p>
    <w:p w14:paraId="66378154" w14:textId="77777777" w:rsidR="00286A88" w:rsidRPr="00286A88" w:rsidRDefault="00286A88" w:rsidP="00B509BB">
      <w:pPr>
        <w:rPr>
          <w:color w:val="000000"/>
          <w:lang w:val="en-AU" w:eastAsia="en-AU"/>
        </w:rPr>
      </w:pPr>
      <w:r w:rsidRPr="00286A88">
        <w:rPr>
          <w:lang w:val="en-AU" w:eastAsia="en-AU"/>
        </w:rPr>
        <w:t xml:space="preserve">Ducks have been domesticated for thousands of years for their eggs, meat and down feathers. Ducks form part of the family Anatidae, sub-family Anatinae and with the exception of the Muscovy </w:t>
      </w:r>
      <w:r w:rsidRPr="00286A88">
        <w:rPr>
          <w:shd w:val="clear" w:color="auto" w:fill="FFFFFF"/>
          <w:lang w:val="en-AU" w:eastAsia="en-AU"/>
        </w:rPr>
        <w:t>(</w:t>
      </w:r>
      <w:r w:rsidRPr="00286A88">
        <w:rPr>
          <w:i/>
          <w:iCs/>
          <w:shd w:val="clear" w:color="auto" w:fill="FFFFFF"/>
          <w:lang w:val="en-AU" w:eastAsia="en-AU"/>
        </w:rPr>
        <w:t>Cairina moschata</w:t>
      </w:r>
      <w:r w:rsidRPr="00286A88">
        <w:rPr>
          <w:shd w:val="clear" w:color="auto" w:fill="FFFFFF"/>
          <w:lang w:val="en-AU" w:eastAsia="en-AU"/>
        </w:rPr>
        <w:t>), a</w:t>
      </w:r>
      <w:r w:rsidRPr="00286A88">
        <w:rPr>
          <w:lang w:val="en-AU" w:eastAsia="en-AU"/>
        </w:rPr>
        <w:t>ll domestic breeds originate from the Northern Mallard (</w:t>
      </w:r>
      <w:r w:rsidRPr="00286A88">
        <w:rPr>
          <w:i/>
          <w:lang w:val="en-AU" w:eastAsia="en-AU"/>
        </w:rPr>
        <w:t>Anas platyrhynchos</w:t>
      </w:r>
      <w:r w:rsidRPr="00286A88">
        <w:rPr>
          <w:lang w:val="en-AU" w:eastAsia="en-AU"/>
        </w:rPr>
        <w:t xml:space="preserve">). Despite their common ancestry, independent domestication of the Mallard around the world has resulted in a large amount of phenotypic variation between common domestic breeds. Different breeds are therefore preferred for egg-laying and meat production purposes on duck farms. The Pekin is the most commonly reared breed for meat and can be crossed with the Muscovy to produce the mulard (or mule), which is used for foie gras production in some </w:t>
      </w:r>
      <w:r w:rsidRPr="00286A88">
        <w:rPr>
          <w:color w:val="000000"/>
          <w:lang w:val="en-AU" w:eastAsia="en-AU"/>
        </w:rPr>
        <w:t>countries (Ashton and Ashton, 2001). The Indian Runner and Campbell are productive egg-laying breeds.</w:t>
      </w:r>
    </w:p>
    <w:p w14:paraId="7A695106" w14:textId="77777777" w:rsidR="00286A88" w:rsidRPr="00286A88" w:rsidRDefault="00286A88" w:rsidP="00B509BB">
      <w:pPr>
        <w:rPr>
          <w:color w:val="000000"/>
          <w:lang w:val="en-AU" w:eastAsia="en-AU"/>
        </w:rPr>
      </w:pPr>
      <w:r w:rsidRPr="00286A88">
        <w:rPr>
          <w:color w:val="000000"/>
          <w:lang w:val="en-AU" w:eastAsia="en-AU"/>
        </w:rPr>
        <w:t>The Mallard is a Palaearctic migratory dabbling species which is found across North America, Europe and Asia, whereas the Muscovy inhabits forested swamps or lakes and is indigenous to central and South America (Appleby et al., 2004). Both ancestral species are largely aquatic and omnivorous, feeding on a broad range of matter including seeds, plants, crustaceans, worms, insects and larvae. They are active and forage most during the early morning and dusk (Ashton and Ashton, 2001). Although their feet are webbed, Muscovies have sharp claws enabling them to roost in trees (Raud and Faure, 1994). This is much less common in the Mallard.</w:t>
      </w:r>
    </w:p>
    <w:p w14:paraId="35564765" w14:textId="77777777" w:rsidR="00286A88" w:rsidRPr="00286A88" w:rsidRDefault="00286A88" w:rsidP="00B509BB">
      <w:pPr>
        <w:rPr>
          <w:color w:val="000000"/>
          <w:lang w:val="en-AU" w:eastAsia="en-AU"/>
        </w:rPr>
      </w:pPr>
      <w:r w:rsidRPr="00286A88">
        <w:rPr>
          <w:color w:val="000000"/>
          <w:lang w:val="en-AU" w:eastAsia="en-AU"/>
        </w:rPr>
        <w:t>Wild ducks spend a large proportion of their time preening. Preening is essential for maintaining feather condition for insulation, flight and water-proofing and for removing parasites (Ashton and Ashton, 2001). Preening bouts are usually preceded by immersive bathing behaviours (Rodenburg et al., 2005), making open water of great importance for the performance of a full repertoire of behaviours. In the wild, Mallards also undergo a biannual moult to ensure feather condition is maintained.</w:t>
      </w:r>
    </w:p>
    <w:p w14:paraId="49FDBD0A" w14:textId="77777777" w:rsidR="00286A88" w:rsidRPr="00286A88" w:rsidRDefault="00286A88" w:rsidP="00B509BB">
      <w:pPr>
        <w:rPr>
          <w:color w:val="000000"/>
          <w:lang w:val="en-AU" w:eastAsia="en-AU"/>
        </w:rPr>
      </w:pPr>
      <w:r w:rsidRPr="00286A88">
        <w:rPr>
          <w:color w:val="000000"/>
          <w:lang w:val="en-AU" w:eastAsia="en-AU"/>
        </w:rPr>
        <w:t>Whilst the Mallard is a more vocal species using alarm calling as an anti-predator response, Muscovy ducks are a quieter breed. Muscovies can be aggressive, particularly during the breeding season when males use their claws and beaks in agonistic encounters to secure a mate (Rodenburg et al., 2005). In contrast, Mallards use social courtship displays (Miller, 1977) and pair-up in autumn. The pair will remain together (feeding, resting and swimming) for the rest of the breeding season, until a clutch of eggs has been laid. Female Mallards nest on the ground, making a shallow scrape which is lined with insulating material including down feathers (Ashton and Ashton, 2001). Muscovy ducks however, typically nest in tree cavities (Markum and Baldassarre, 1989).</w:t>
      </w:r>
    </w:p>
    <w:p w14:paraId="264A1030" w14:textId="77777777" w:rsidR="00286A88" w:rsidRPr="00286A88" w:rsidRDefault="00286A88" w:rsidP="00B509BB">
      <w:pPr>
        <w:rPr>
          <w:color w:val="000000"/>
          <w:lang w:val="en-AU" w:eastAsia="en-AU"/>
        </w:rPr>
      </w:pPr>
      <w:r w:rsidRPr="00286A88">
        <w:rPr>
          <w:color w:val="000000"/>
          <w:lang w:val="en-AU" w:eastAsia="en-AU"/>
        </w:rPr>
        <w:t>Ducks are closely related to geese, suggesting some of the literature on the welfare of farmed geese is also relevant to ducks. Although chickens are in a different phylogenetic family to ducks, they do share some behavioural similarities, allowing the extrapolation of some information from chickens to ducks. There are some areas in which they differ quite remarkably. Unlike chickens, ducks do not perch (except Muscovy ducks that have sharp claws enabling them to do so) or dust bathe. Instead, they rely on clean water sources for preening and maintaining feather condition.</w:t>
      </w:r>
    </w:p>
    <w:p w14:paraId="025BB5F7" w14:textId="77777777" w:rsidR="00286A88" w:rsidRPr="00286A88" w:rsidRDefault="00286A88" w:rsidP="00B509BB">
      <w:pPr>
        <w:pStyle w:val="Heading2"/>
        <w:rPr>
          <w:lang w:val="en-AU" w:eastAsia="en-AU"/>
        </w:rPr>
      </w:pPr>
      <w:bookmarkStart w:id="180" w:name="_Toc495310649"/>
      <w:r w:rsidRPr="00286A88">
        <w:rPr>
          <w:lang w:val="en-AU" w:eastAsia="en-AU"/>
        </w:rPr>
        <w:t>D2. Feed and Water</w:t>
      </w:r>
      <w:bookmarkEnd w:id="180"/>
    </w:p>
    <w:p w14:paraId="136084DF" w14:textId="77777777" w:rsidR="00286A88" w:rsidRPr="00B509BB" w:rsidRDefault="00286A88" w:rsidP="00B509BB">
      <w:pPr>
        <w:rPr>
          <w:i/>
          <w:lang w:val="en-AU" w:eastAsia="en-AU"/>
        </w:rPr>
      </w:pPr>
      <w:r w:rsidRPr="00B509BB">
        <w:rPr>
          <w:i/>
          <w:lang w:val="en-AU" w:eastAsia="en-AU"/>
        </w:rPr>
        <w:t>Food deprivation in early life can slow the development of the small intestine, leading to a reduced body weight. Ducks prefer drinking water from baths over bell drinkers, but only when the water is sufficiently clean. This highlights the importance of providing separate drinking and preening water sources for ducks.</w:t>
      </w:r>
    </w:p>
    <w:p w14:paraId="78D62512" w14:textId="77777777" w:rsidR="00286A88" w:rsidRPr="00286A88" w:rsidRDefault="00286A88" w:rsidP="00B509BB">
      <w:pPr>
        <w:rPr>
          <w:lang w:val="en-AU" w:eastAsia="en-AU"/>
        </w:rPr>
      </w:pPr>
      <w:r w:rsidRPr="00286A88">
        <w:rPr>
          <w:lang w:val="en-AU" w:eastAsia="en-AU"/>
        </w:rPr>
        <w:t xml:space="preserve">The nutritional requirements of ducks are far less documented than for chickens. In commercial housing, food and water are generally provided </w:t>
      </w:r>
      <w:r w:rsidRPr="00286A88">
        <w:rPr>
          <w:i/>
          <w:lang w:val="en-AU" w:eastAsia="en-AU"/>
        </w:rPr>
        <w:t>ad libitum</w:t>
      </w:r>
      <w:r w:rsidRPr="00286A88">
        <w:rPr>
          <w:lang w:val="en-AU" w:eastAsia="en-AU"/>
        </w:rPr>
        <w:t>. Early feeding practices and diets can have a profound effect on the development of the digestive system. In some poultry production systems, food and water aren’t provided for birds for up to 48 hours, whilst birds are in the hatchery. The impact of delayed access to feed and water for ducklings was investigated in a study which compared food provision 6- and 48- hours post-hatching (Peng et al., 2010). Body weight was adversely affected by 48-hours deprivation and this difference was still observed when birds reached market age at 35 days old. The results suggest that delayed access to food and water initially affected the metabolism and may have caused dehydration, but also slowed the development of the small intestine.</w:t>
      </w:r>
    </w:p>
    <w:p w14:paraId="4A590E03" w14:textId="77777777" w:rsidR="00286A88" w:rsidRPr="00286A88" w:rsidRDefault="00286A88" w:rsidP="00B509BB">
      <w:pPr>
        <w:rPr>
          <w:lang w:val="en-AU" w:eastAsia="en-AU"/>
        </w:rPr>
      </w:pPr>
      <w:r w:rsidRPr="00286A88">
        <w:rPr>
          <w:lang w:val="en-AU" w:eastAsia="en-AU"/>
        </w:rPr>
        <w:t xml:space="preserve">A variety of drinker systems can be used within duck housing systems, ranging from nipple lines to troughs. Unlike other poultry species, ducks not only require water for drinking, but they also have a strong motivation to dabble and use water during preening (Cooper et al., 2002). It can therefore be challenging for producers to supply water sources that satisfy all requirements whilst maintaining sufficient drinking water quality (Liste et al., 2013). Ducks showed a preference for drinking from water baths over bell drinkers when given the choice, but only when the water was sufficiently clean (Liste et al., 2012b). This suggests that different water sources are required to adequately satisfy all behaviours whilst maintaining hygiene. The provision of water for bathing and preening is discussed in more detail in section </w:t>
      </w:r>
      <w:r w:rsidR="00C63879">
        <w:rPr>
          <w:lang w:val="en-AU" w:eastAsia="en-AU"/>
        </w:rPr>
        <w:t>D</w:t>
      </w:r>
      <w:r w:rsidRPr="00286A88">
        <w:rPr>
          <w:lang w:val="en-AU" w:eastAsia="en-AU"/>
        </w:rPr>
        <w:t>3.6.</w:t>
      </w:r>
    </w:p>
    <w:p w14:paraId="557B6746" w14:textId="77777777" w:rsidR="00286A88" w:rsidRPr="00286A88" w:rsidRDefault="00286A88" w:rsidP="00B509BB">
      <w:pPr>
        <w:pStyle w:val="Heading3"/>
        <w:rPr>
          <w:lang w:val="en-AU" w:eastAsia="en-AU"/>
        </w:rPr>
      </w:pPr>
      <w:bookmarkStart w:id="181" w:name="_Toc495310650"/>
      <w:r w:rsidRPr="00286A88">
        <w:rPr>
          <w:lang w:val="en-AU" w:eastAsia="en-AU"/>
        </w:rPr>
        <w:t>D2.1 Force feeding and foie gras production</w:t>
      </w:r>
      <w:bookmarkEnd w:id="181"/>
    </w:p>
    <w:p w14:paraId="7A35CEA1" w14:textId="77777777" w:rsidR="00286A88" w:rsidRPr="00B509BB" w:rsidRDefault="00286A88" w:rsidP="00B509BB">
      <w:pPr>
        <w:rPr>
          <w:i/>
          <w:lang w:val="en-AU" w:eastAsia="en-AU"/>
        </w:rPr>
      </w:pPr>
      <w:r w:rsidRPr="00B509BB">
        <w:rPr>
          <w:i/>
          <w:lang w:val="en-AU" w:eastAsia="en-AU"/>
        </w:rPr>
        <w:t>The production of foie gras involves a period of force-feeding which increases the size of the liver by up to 10-times. The capture and restraint of ducks for force-feeding is stressful.</w:t>
      </w:r>
    </w:p>
    <w:p w14:paraId="7D44ED65" w14:textId="77777777" w:rsidR="00286A88" w:rsidRPr="00286A88" w:rsidRDefault="00286A88" w:rsidP="00B509BB">
      <w:pPr>
        <w:rPr>
          <w:lang w:val="en-AU" w:eastAsia="en-AU"/>
        </w:rPr>
      </w:pPr>
      <w:r w:rsidRPr="00286A88">
        <w:rPr>
          <w:lang w:val="en-AU" w:eastAsia="en-AU"/>
        </w:rPr>
        <w:t>The production of foie gras (fatty liver) is illegal in many countries worldwide, including Australia, but the product is widely imported. In general, male mulard ducks are reared for this purpose as they yield better quality product than females. Although more productive for foie gras, the mulard is a fearful genotype that can be prone to panic in the presence of humans (Rochlitz and Broom, 2017).</w:t>
      </w:r>
    </w:p>
    <w:p w14:paraId="58544615" w14:textId="77777777" w:rsidR="00286A88" w:rsidRPr="00286A88" w:rsidRDefault="00286A88" w:rsidP="00B509BB">
      <w:pPr>
        <w:rPr>
          <w:lang w:val="en-AU" w:eastAsia="en-AU"/>
        </w:rPr>
      </w:pPr>
      <w:r w:rsidRPr="00286A88">
        <w:rPr>
          <w:lang w:val="en-AU" w:eastAsia="en-AU"/>
        </w:rPr>
        <w:t>The production of foie gras has been described in detail elsewhere (e.g. SCAHAW, 1998; Guémené and Guy, 2004), but briefly, it involves a period of food restriction during the early growing stage (3-5 weeks from 9 weeks of age), followed by an intense two-week period of force-feeding (from 12 weeks of age) using a pneumatic or hydraulic pump twice daily. Birds are forced to ingest more food than they would do voluntarily. During this process, ducks are fed a high-fat mash which results in an increase in liver weight (up to 10 times the size of a normal liver (Skippon, 2013) and an increased fat content (Rochlitz and Broom, 2017). The procedure causes both discomfort and ill health (Rochlitz and Broom, 2017).</w:t>
      </w:r>
    </w:p>
    <w:p w14:paraId="3411805A" w14:textId="77777777" w:rsidR="00286A88" w:rsidRPr="00286A88" w:rsidRDefault="00286A88" w:rsidP="00B509BB">
      <w:pPr>
        <w:rPr>
          <w:lang w:val="en-AU" w:eastAsia="en-AU"/>
        </w:rPr>
      </w:pPr>
      <w:r w:rsidRPr="00286A88">
        <w:rPr>
          <w:lang w:val="en-AU" w:eastAsia="en-AU"/>
        </w:rPr>
        <w:t>Traditionally, ducks were housed individually in cages during the force-feeding period to ease the procedure for the producer (Guémené and Guy, 2004), but these have more recently been replaced by collective housing systems. Group housing however, involves the capture and restraint of individuals for force-feeding which has been found to be stressful for ducks (Guémené et al., 2006).</w:t>
      </w:r>
    </w:p>
    <w:p w14:paraId="1E75C5AE" w14:textId="77777777" w:rsidR="00286A88" w:rsidRPr="00286A88" w:rsidRDefault="00286A88" w:rsidP="00B509BB">
      <w:pPr>
        <w:rPr>
          <w:lang w:val="en-AU" w:eastAsia="en-AU"/>
        </w:rPr>
      </w:pPr>
      <w:r w:rsidRPr="00286A88">
        <w:rPr>
          <w:lang w:val="en-AU" w:eastAsia="en-AU"/>
        </w:rPr>
        <w:t>There have been some attempts to identify whether force-feeding itself is stressful by examining aspects of duck physiology. In one study, force-feeding caused an increase in serum corticosterone and a decrease in thyroid hormones in Muscovy ducks compared with control values (Mohammed et al., 2014). Other studies however, have observed no significant difference in corticosterone or ACTH before or after force-feeding (Guémené et al., 2001; 2006; Flament et al., 2012). This conflicting evidence is likely to be caused by methodological differences between studies (Rochlitz and Broom, 2017).</w:t>
      </w:r>
    </w:p>
    <w:p w14:paraId="272D548B" w14:textId="77777777" w:rsidR="00286A88" w:rsidRPr="00286A88" w:rsidRDefault="00286A88" w:rsidP="00B509BB">
      <w:pPr>
        <w:rPr>
          <w:lang w:val="en-AU" w:eastAsia="en-AU"/>
        </w:rPr>
      </w:pPr>
      <w:r w:rsidRPr="00286A88">
        <w:rPr>
          <w:lang w:val="en-AU" w:eastAsia="en-AU"/>
        </w:rPr>
        <w:t>The degree of aversiveness of force-feeding ducks was investigated by Faure et al. (2001). Ducks showed some signs of aversion to a test pen in which they had previously been force fed, but not always. Additionally, in the second experiment ducks showed increased flight distances from an unfamiliar person, rather than the force-feeder. The authors concluded that the force-feeding procedure was not aversive, but the experiments have been convincingly described as poorly controlled (Rochlitz and Broom, 2017), and the results could be explained by learned helplessness, a behaviour adopted by an animal when experiencing an aversive situation it has learned it is unable to escape. Rochlitz and Broom (2017) state that ducks initially struggle and resist force feeding, suggesting that it is a strongly aversive practice, but there is a need for further research in this area, drawing on a range of methodologies.</w:t>
      </w:r>
    </w:p>
    <w:p w14:paraId="1111120B" w14:textId="77777777" w:rsidR="00286A88" w:rsidRPr="00286A88" w:rsidRDefault="00286A88" w:rsidP="00B509BB">
      <w:pPr>
        <w:pStyle w:val="Heading2"/>
        <w:rPr>
          <w:lang w:val="en-AU" w:eastAsia="en-AU"/>
        </w:rPr>
      </w:pPr>
      <w:bookmarkStart w:id="182" w:name="_Toc495310651"/>
      <w:r w:rsidRPr="00286A88">
        <w:rPr>
          <w:lang w:val="en-AU" w:eastAsia="en-AU"/>
        </w:rPr>
        <w:t>D3. Risk Management</w:t>
      </w:r>
      <w:bookmarkEnd w:id="182"/>
    </w:p>
    <w:p w14:paraId="56EDF6A7" w14:textId="77777777" w:rsidR="00286A88" w:rsidRPr="00286A88" w:rsidRDefault="00286A88" w:rsidP="00F74E59">
      <w:pPr>
        <w:pStyle w:val="Heading3"/>
        <w:rPr>
          <w:lang w:val="en-AU" w:eastAsia="en-AU"/>
        </w:rPr>
      </w:pPr>
      <w:bookmarkStart w:id="183" w:name="_Toc495310652"/>
      <w:r w:rsidRPr="00286A88">
        <w:rPr>
          <w:lang w:val="en-AU" w:eastAsia="en-AU"/>
        </w:rPr>
        <w:t>D3.1 Mortality</w:t>
      </w:r>
      <w:bookmarkEnd w:id="183"/>
    </w:p>
    <w:p w14:paraId="021C4987" w14:textId="77777777" w:rsidR="00286A88" w:rsidRPr="00F74E59" w:rsidRDefault="00286A88" w:rsidP="00F74E59">
      <w:pPr>
        <w:rPr>
          <w:i/>
          <w:lang w:val="en-AU" w:eastAsia="en-AU"/>
        </w:rPr>
      </w:pPr>
      <w:r w:rsidRPr="00F74E59">
        <w:rPr>
          <w:i/>
          <w:lang w:val="en-AU" w:eastAsia="en-AU"/>
        </w:rPr>
        <w:t>Higher environmental temperatures in commercial housing systems are associated with higher levels of flock mortality. The age of the parental breeding flock also influences duckling mortality.</w:t>
      </w:r>
    </w:p>
    <w:p w14:paraId="123D5FE4" w14:textId="77777777" w:rsidR="00286A88" w:rsidRPr="00286A88" w:rsidRDefault="00286A88" w:rsidP="00F74E59">
      <w:pPr>
        <w:rPr>
          <w:lang w:val="en-AU" w:eastAsia="en-AU"/>
        </w:rPr>
      </w:pPr>
      <w:r w:rsidRPr="00286A88">
        <w:rPr>
          <w:lang w:val="en-AU" w:eastAsia="en-AU"/>
        </w:rPr>
        <w:t>In a study on the impact of management system on duck welfare, 46 flocks were monitored in 23 differing housing systems (Jones and Dawkins, 2010a; 2010b). Across all flocks, the average mortality was 5.2% by 48 days (Jones et al., 2010a). High environmental temperatures were associated with higher levels of flock mortality. Temperatures were higher in houses which operated a whole-house brooding system and these conditions were therefore also associated with higher mortality. The type of drinker provided can also affect mortality. In one study, mortality in older ducklings (over 14 days) was higher in houses containing large trough drinkers (</w:t>
      </w:r>
      <w:r w:rsidR="00C63879">
        <w:rPr>
          <w:lang w:val="en-AU" w:eastAsia="en-AU"/>
        </w:rPr>
        <w:t>approx.</w:t>
      </w:r>
      <w:r w:rsidRPr="00286A88">
        <w:rPr>
          <w:lang w:val="en-AU" w:eastAsia="en-AU"/>
        </w:rPr>
        <w:t xml:space="preserve"> dimension: length 183 x width 20 x depth 13cm) rather than a nipple line (Schenk et al., 2016). This may have been due to increased water contamination in the troughs.</w:t>
      </w:r>
    </w:p>
    <w:p w14:paraId="579468DF" w14:textId="77777777" w:rsidR="00286A88" w:rsidRPr="00286A88" w:rsidRDefault="00286A88" w:rsidP="00F74E59">
      <w:pPr>
        <w:rPr>
          <w:lang w:val="en-AU" w:eastAsia="en-AU"/>
        </w:rPr>
      </w:pPr>
      <w:r w:rsidRPr="00286A88">
        <w:rPr>
          <w:lang w:val="en-AU" w:eastAsia="en-AU"/>
        </w:rPr>
        <w:t>Force-feeding during the production of foie gras has also been found to adversely affect mortality. During the two-week period, mortality increased to between 2 – 4%, compared with approximately 0.2% in non-force fed drakes (Skippon, 2013).</w:t>
      </w:r>
    </w:p>
    <w:p w14:paraId="738828F2" w14:textId="77777777" w:rsidR="00286A88" w:rsidRPr="00286A88" w:rsidRDefault="00286A88" w:rsidP="00F74E59">
      <w:pPr>
        <w:rPr>
          <w:lang w:val="en-AU" w:eastAsia="en-AU"/>
        </w:rPr>
      </w:pPr>
      <w:r w:rsidRPr="00286A88">
        <w:rPr>
          <w:lang w:val="en-AU" w:eastAsia="en-AU"/>
        </w:rPr>
        <w:t>An additional factor which is associated with mortality in ducklings is the parent age (Braun et al., 2002). Ducklings from older breeder flocks (31-47 weeks old, rather than 24 weeks old) grew better and mortality was higher in eggs hatched from the younger breeders.</w:t>
      </w:r>
    </w:p>
    <w:p w14:paraId="4997C85F" w14:textId="77777777" w:rsidR="00286A88" w:rsidRPr="00286A88" w:rsidRDefault="00494BC4" w:rsidP="00F74E59">
      <w:pPr>
        <w:pStyle w:val="Heading3"/>
        <w:rPr>
          <w:lang w:val="en-AU" w:eastAsia="en-AU"/>
        </w:rPr>
      </w:pPr>
      <w:r>
        <w:rPr>
          <w:lang w:val="en-AU" w:eastAsia="en-AU"/>
        </w:rPr>
        <w:br w:type="column"/>
      </w:r>
      <w:bookmarkStart w:id="184" w:name="_Toc495310653"/>
      <w:r w:rsidR="00286A88" w:rsidRPr="00286A88">
        <w:rPr>
          <w:lang w:val="en-AU" w:eastAsia="en-AU"/>
        </w:rPr>
        <w:t>D3.2 Self-directed feather picking, injurious pecking and cannibalism</w:t>
      </w:r>
      <w:bookmarkEnd w:id="184"/>
    </w:p>
    <w:p w14:paraId="5EEEB31C" w14:textId="77777777" w:rsidR="00286A88" w:rsidRPr="00F74E59" w:rsidRDefault="00286A88" w:rsidP="00F74E59">
      <w:pPr>
        <w:rPr>
          <w:i/>
          <w:lang w:val="en-AU" w:eastAsia="en-AU"/>
        </w:rPr>
      </w:pPr>
      <w:r w:rsidRPr="00F74E59">
        <w:rPr>
          <w:i/>
          <w:lang w:val="en-AU" w:eastAsia="en-AU"/>
        </w:rPr>
        <w:t>Ducks can perform self-directed feather-picking which involves the excessive removal of feathers. This can lead to injurious pecking of other birds within the flock. The provision of open water and an outdoor run reduced the amount of feather picking performed and environmental enrichment devices generally improve feather condition.</w:t>
      </w:r>
    </w:p>
    <w:p w14:paraId="065A27C5" w14:textId="77777777" w:rsidR="00286A88" w:rsidRPr="00286A88" w:rsidRDefault="00286A88" w:rsidP="00F74E59">
      <w:pPr>
        <w:rPr>
          <w:lang w:val="en-AU" w:eastAsia="en-AU"/>
        </w:rPr>
      </w:pPr>
      <w:r w:rsidRPr="00286A88">
        <w:rPr>
          <w:lang w:val="en-AU" w:eastAsia="en-AU"/>
        </w:rPr>
        <w:t>Ducks can show an auto-mutilation behaviour known as self-directed feather-picking, which involves the excessive removal of feathers during preening. In some cases, this can lead to injurious pecking by conspecifics that are attracted by the altered appearance of pen mates (e.g. a bald patch or a spot of blood), which is also observed in other species of poultry. It has been suggested that feather picking in Muscovy ducks was reduced in housing systems that provided open water sources and outdoor runs and it has been hypothesised that environmental enrichment may reduce the incidences of both self-directed and conspecific feather removal. Colton and Fraley (2014) investigated whether the provision of environmental enrichment devices (coloured plastic balls) in commercial duck housing was associated with improved body and feather condition. They found that at 21 days old, ducks housed with enrichment devices were in better physical condition (feather quality and skin lesions) than those in control groups. Significantly fewer incidences of self-directed feather picking, or conspecific-directed feather pecking were also observed in houses containing environmental enrichment. In the same study, the preferred environmental enrichment colour was also investigated. Significantly more ducks were observed pecking at, or oriented towards the green/blue device compared with red or white devices. The authors suggest the colour preference may relate to the pigmentation of the mallard ancestor and additional work is needed to investigate this further.</w:t>
      </w:r>
    </w:p>
    <w:p w14:paraId="4BB467F0" w14:textId="77777777" w:rsidR="00286A88" w:rsidRPr="00286A88" w:rsidRDefault="00286A88" w:rsidP="00F74E59">
      <w:pPr>
        <w:rPr>
          <w:lang w:val="en-AU" w:eastAsia="en-AU"/>
        </w:rPr>
      </w:pPr>
      <w:r w:rsidRPr="00286A88">
        <w:rPr>
          <w:lang w:val="en-AU" w:eastAsia="en-AU"/>
        </w:rPr>
        <w:t>Severe injurious pecking can result in cannibalism, which is an issue with farmed Muscovy ducks. Cannibalism can occur early in the rearing cycle and little is known about the reasons for development and preventative measures. To reduce injurious pecking producers may lower housing light levels or trim the bills of birds (see sections D7.1 and D8.2a), but these practices have their own welfare implications. One suggestion is that cannibalism arises when ducks have a strong and unfulfilled motivation for foraging. Riber and Mench (2008) tested this hypothesis, by monitoring the effect of water- and feed- based enrichment on the behaviour of Muscovy ducklings and the development of cannibalism. Overall, enriched ducklings spent more time foraging and less time inactive than control ducklings, but water enriched ducklings used their resources more than the feed-enriched birds. However, regardless of enrichment provision, cannibalism developed in all treatments and began between 15-17 days of age. Additional work is required to investigate the motivation to feather peck and cannibalise.</w:t>
      </w:r>
    </w:p>
    <w:p w14:paraId="630444F1" w14:textId="77777777" w:rsidR="00286A88" w:rsidRPr="00F74E59" w:rsidRDefault="00286A88" w:rsidP="00F74E59">
      <w:pPr>
        <w:pStyle w:val="Heading3"/>
      </w:pPr>
      <w:bookmarkStart w:id="185" w:name="_Toc495310654"/>
      <w:r w:rsidRPr="00F74E59">
        <w:t>D3.3 Foot health</w:t>
      </w:r>
      <w:bookmarkEnd w:id="185"/>
    </w:p>
    <w:p w14:paraId="35D5BAD3" w14:textId="77777777" w:rsidR="00286A88" w:rsidRPr="00F74E59" w:rsidRDefault="00286A88" w:rsidP="00F74E59">
      <w:pPr>
        <w:rPr>
          <w:i/>
          <w:lang w:val="en-AU" w:eastAsia="en-AU"/>
        </w:rPr>
      </w:pPr>
      <w:r w:rsidRPr="00F74E59">
        <w:rPr>
          <w:i/>
          <w:lang w:val="en-AU" w:eastAsia="en-AU"/>
        </w:rPr>
        <w:t>Foot condition can be influenced by several factors. Poor quality litter can result in increased foot problems including foot pad dermatitis. Foot pad dermatitis is worse in houses with high relative humidity and ammonia levels. Some drinker types may be associated with increased foot pad dermatitis development, but results are varied. Foot condition was generally good in houses containing open water.</w:t>
      </w:r>
    </w:p>
    <w:p w14:paraId="636D125B" w14:textId="77777777" w:rsidR="00286A88" w:rsidRPr="00286A88" w:rsidRDefault="00286A88" w:rsidP="00F74E59">
      <w:pPr>
        <w:rPr>
          <w:lang w:val="en-AU" w:eastAsia="en-AU"/>
        </w:rPr>
      </w:pPr>
      <w:r w:rsidRPr="00286A88">
        <w:rPr>
          <w:lang w:val="en-AU" w:eastAsia="en-AU"/>
        </w:rPr>
        <w:t>As with other species of poultry, ducks can be susceptible to foot health problems if housed in systems which cause discomfort and injury. The floor substrate used should be appropriate, with sufficient drainage to avoid the build-up of dirt on the foot pads. In a study on the impact of housing and management systems on 46 duck farms in the UK on duck welfare, the quality of straw litter was found to influence the condition of the feet (Jones and Dawkins, 2010a; 2010b). Overall, at slaughter (between 40—56 days old) almost 40% of ducks (from 46 flocks) had raised papillae on the feet and in 13% of cases moderate or severe lesions had formed (foot pad dermatitis - FPD) and 32% of birds had calloused toes (Jones and Dawkins, 2010a). In this study, it was found that high relative humidity and ammonia levels were associated with increased incidences of FPD. The drinker system also influenced the development of FPD, which was worse when ducks were reared in houses with nipple drinkers rather than troughs or bell drinkers. Interestingly, Schenk et al. (2016) found varied results regarding the association between drinker type and the incidence of FPD. At 9 weeks of age, ducks housed with nipple drinkers had significantly worse foot pad scores than those housed with water troughs. By 33 weeks of age the relationship had reversed, with significantly worse foot pads seen in houses with troughs. Although the foot pad condition was comparatively worse, it was not as severe as at 9 weeks in the nipple housed ducks, suggesting that the condition improved with age. An improvement in foot condition during the production cycle was also seen in a study comparing the condition of birds reared on plastic slats and litter (Karcher et al., 2013). Other studies have found that levels of FPD were generally low when birds were housed with open water sources (Jones and Dawkins, 2010a</w:t>
      </w:r>
      <w:r w:rsidR="00C63879">
        <w:rPr>
          <w:lang w:val="en-AU" w:eastAsia="en-AU"/>
        </w:rPr>
        <w:t xml:space="preserve">; </w:t>
      </w:r>
      <w:r w:rsidR="00C63879" w:rsidRPr="00286A88">
        <w:rPr>
          <w:lang w:val="en-AU" w:eastAsia="en-AU"/>
        </w:rPr>
        <w:t>O’Driscoll and Broom, 2011</w:t>
      </w:r>
      <w:r w:rsidRPr="00286A88">
        <w:rPr>
          <w:lang w:val="en-AU" w:eastAsia="en-AU"/>
        </w:rPr>
        <w:t>).</w:t>
      </w:r>
    </w:p>
    <w:p w14:paraId="6A6627DD" w14:textId="77777777" w:rsidR="00286A88" w:rsidRPr="00286A88" w:rsidRDefault="00286A88" w:rsidP="00F74E59">
      <w:pPr>
        <w:rPr>
          <w:lang w:val="en-AU" w:eastAsia="en-AU"/>
        </w:rPr>
      </w:pPr>
      <w:r w:rsidRPr="00286A88">
        <w:rPr>
          <w:lang w:val="en-AU" w:eastAsia="en-AU"/>
        </w:rPr>
        <w:t>There is evidence to indicate that supplementary dietary biotin, which is a coenzyme involved in the metabolism of amino acids, glucose and fatty acids can lead to a decreased incidence of FPD in ducks (Zhu et al., 2012). Additionally, it has been suggested that reduced egg shell conductivity and increased temperature during incubation is associated with an increased risk of post-hatching FPD development (Da Costa et al., 2015).</w:t>
      </w:r>
    </w:p>
    <w:p w14:paraId="6C143E52" w14:textId="77777777" w:rsidR="00286A88" w:rsidRPr="00286A88" w:rsidRDefault="00494BC4" w:rsidP="00F74E59">
      <w:pPr>
        <w:pStyle w:val="Heading3"/>
        <w:rPr>
          <w:lang w:val="en-AU" w:eastAsia="en-AU"/>
        </w:rPr>
      </w:pPr>
      <w:r>
        <w:rPr>
          <w:lang w:val="en-AU" w:eastAsia="en-AU"/>
        </w:rPr>
        <w:br w:type="column"/>
      </w:r>
      <w:bookmarkStart w:id="186" w:name="_Toc495310655"/>
      <w:r w:rsidR="00286A88" w:rsidRPr="00286A88">
        <w:rPr>
          <w:lang w:val="en-AU" w:eastAsia="en-AU"/>
        </w:rPr>
        <w:t>D3.4 Leg health</w:t>
      </w:r>
      <w:bookmarkEnd w:id="186"/>
    </w:p>
    <w:p w14:paraId="5FA7C55A" w14:textId="77777777" w:rsidR="00286A88" w:rsidRPr="00F74E59" w:rsidRDefault="00286A88" w:rsidP="00F74E59">
      <w:pPr>
        <w:rPr>
          <w:i/>
          <w:lang w:val="en-AU" w:eastAsia="en-AU"/>
        </w:rPr>
      </w:pPr>
      <w:r w:rsidRPr="00F74E59">
        <w:rPr>
          <w:i/>
          <w:lang w:val="en-AU" w:eastAsia="en-AU"/>
        </w:rPr>
        <w:t>Genetic selection has led to skeletal alterations in ducks. This can influence their walking ability and the prevalence of walking difficulties in commercial duck systems is high. Ducks can also suffer from fatigued walking condition which generally becomes apparent when birds are being transported. Both leg bone and heart development have been suggested to be important in the occurrence of this condition.</w:t>
      </w:r>
    </w:p>
    <w:p w14:paraId="424AE762" w14:textId="77777777" w:rsidR="00286A88" w:rsidRPr="00286A88" w:rsidRDefault="00286A88" w:rsidP="00F74E59">
      <w:pPr>
        <w:rPr>
          <w:lang w:val="en-AU" w:eastAsia="en-AU"/>
        </w:rPr>
      </w:pPr>
      <w:r w:rsidRPr="00286A88">
        <w:rPr>
          <w:lang w:val="en-AU" w:eastAsia="en-AU"/>
        </w:rPr>
        <w:t>Genetic selection of commercial poultry for increased breast muscle mass has resulted in major changes in leg morphology compared with ancestral species (Duggan et al., 2015; 2016). In some breeds, adaptations have led to gait (walking ability) alterations. Unlike other species of poultry, the leg adaptations of ducks need to be appropriate for both swimming and walking, which can make the assessment of appropriate morphology difficult (Duggan et al., 2015). In a study of 46 duck flocks, it was reported that at 23 days old 14% suffered moderate or severe gait abnormalities (Jones and Dawkins, 2010a). By 41 days old, this had increased to 21%. Some work has focused on the impact of altered gait in broiler chickens, some of which is likely to be relevant for ducks, but more work is needed to assess the impact of genetic alterations in gait on the welfare of ducks.</w:t>
      </w:r>
    </w:p>
    <w:p w14:paraId="4E9B84B3" w14:textId="77777777" w:rsidR="00286A88" w:rsidRPr="00286A88" w:rsidRDefault="00286A88" w:rsidP="00F74E59">
      <w:pPr>
        <w:rPr>
          <w:lang w:val="en-AU" w:eastAsia="en-AU"/>
        </w:rPr>
      </w:pPr>
      <w:r w:rsidRPr="00286A88">
        <w:rPr>
          <w:lang w:val="en-AU" w:eastAsia="en-AU"/>
        </w:rPr>
        <w:t>Fatigued walking condition becomes apparent when birds are being loaded into transport for slaughter. Ducks are unable to walk correctly and resort to sitting rather than standing. Little is known about the aetiology of this condition, but it has been suggested that both leg bone and heart development (which can be influenced by egg incubation temperature) both play a role (Da Costa et al., 2016).</w:t>
      </w:r>
    </w:p>
    <w:p w14:paraId="3F3EA8A9" w14:textId="77777777" w:rsidR="00286A88" w:rsidRPr="00286A88" w:rsidRDefault="00286A88" w:rsidP="00F74E59">
      <w:pPr>
        <w:pStyle w:val="Heading3"/>
        <w:rPr>
          <w:lang w:val="en-AU" w:eastAsia="en-AU"/>
        </w:rPr>
      </w:pPr>
      <w:bookmarkStart w:id="187" w:name="_Toc495310656"/>
      <w:r w:rsidRPr="00286A88">
        <w:rPr>
          <w:lang w:val="en-AU" w:eastAsia="en-AU"/>
        </w:rPr>
        <w:t>D3.5 Infectious disease</w:t>
      </w:r>
      <w:bookmarkEnd w:id="187"/>
    </w:p>
    <w:p w14:paraId="61D928DE" w14:textId="77777777" w:rsidR="00286A88" w:rsidRPr="00F74E59" w:rsidRDefault="00286A88" w:rsidP="00F74E59">
      <w:pPr>
        <w:rPr>
          <w:i/>
          <w:lang w:val="en-AU" w:eastAsia="en-AU"/>
        </w:rPr>
      </w:pPr>
      <w:r w:rsidRPr="00F74E59">
        <w:rPr>
          <w:i/>
          <w:lang w:val="en-AU" w:eastAsia="en-AU"/>
        </w:rPr>
        <w:t>Ducks are susceptible to a number of diseases which can cause high mortality including avian influenza, amyloidosis, duck viral enteritis, muscular dystrophy, and goose parvovirus. Higher concentrations of airborne microorganisms in houses can reduce duck immunity, leading to increased susceptibility to disease.</w:t>
      </w:r>
    </w:p>
    <w:p w14:paraId="6301C5CE" w14:textId="77777777" w:rsidR="00286A88" w:rsidRPr="00286A88" w:rsidRDefault="00286A88" w:rsidP="00F74E59">
      <w:pPr>
        <w:rPr>
          <w:lang w:val="en-AU" w:eastAsia="en-AU"/>
        </w:rPr>
      </w:pPr>
      <w:r w:rsidRPr="00286A88">
        <w:rPr>
          <w:lang w:val="en-AU" w:eastAsia="en-AU"/>
        </w:rPr>
        <w:t>As with other species of poultry, ducks that have access to the outdoors are likely to be more at risk of contracting infectious diseases. Wild ducks are a vector for avian influenza so there is potential for transmission where duck housing allows contact with wild birds. Avian influenza can cause pancreatic and central nervous system damage (Capua and Mutinelli</w:t>
      </w:r>
      <w:r w:rsidR="00E74962">
        <w:rPr>
          <w:lang w:val="en-AU" w:eastAsia="en-AU"/>
        </w:rPr>
        <w:t>,</w:t>
      </w:r>
      <w:r w:rsidRPr="00286A88">
        <w:rPr>
          <w:lang w:val="en-AU" w:eastAsia="en-AU"/>
        </w:rPr>
        <w:t xml:space="preserve"> 2001).</w:t>
      </w:r>
    </w:p>
    <w:p w14:paraId="560E6506" w14:textId="77777777" w:rsidR="00286A88" w:rsidRPr="00286A88" w:rsidRDefault="00286A88" w:rsidP="00F74E59">
      <w:pPr>
        <w:rPr>
          <w:lang w:val="en-AU" w:eastAsia="en-AU"/>
        </w:rPr>
      </w:pPr>
      <w:r w:rsidRPr="00286A88">
        <w:rPr>
          <w:lang w:val="en-AU" w:eastAsia="en-AU"/>
        </w:rPr>
        <w:t>Ducks are particularly susceptible to the development of amyloidosis, which is a pathological chronic hepatic disease. Dinev et al. (2011) conducted pathomorphological investigations on 85 Pekin ducks from a breeder flock between 51-68 weeks of age, to determine the incidence of chronic liver lesions. Microscopic lesions were found in 80% of the livers examined, 56% of which were specifically attributable to amyloidosis. More than half the birds affected also showed signs of ascites, an accumulation of fluid in the abdominal cavity. It is thought that the disease is exacerbated by environmental or physiological stressors (e.g. the onset of lay).</w:t>
      </w:r>
    </w:p>
    <w:p w14:paraId="01467452" w14:textId="77777777" w:rsidR="00286A88" w:rsidRPr="00286A88" w:rsidRDefault="00286A88" w:rsidP="00F74E59">
      <w:pPr>
        <w:rPr>
          <w:lang w:val="en-AU" w:eastAsia="en-AU"/>
        </w:rPr>
      </w:pPr>
      <w:r w:rsidRPr="00286A88">
        <w:rPr>
          <w:lang w:val="en-AU" w:eastAsia="en-AU"/>
        </w:rPr>
        <w:t>Domestic poultry species can be affected by a metabolic disease known as muscular dystrophy. The disease, which also affects ducks can be caused by amino acid and vitamin deficiencies and can be exacerbated by stress. One study found that subclinical muscle dystrophy altered duck behaviour resulting in increased lying and decreased movement, swimming, bathing and feather cleaning compared to healthy ducks (Bozakova et al., 2012). Environmental stress (high ammonia, ambient air temperature and humidity) further influenced behaviour causing decreased standing, moving and feather cleaning. Stress also impeded behavioural recovery following treatment.</w:t>
      </w:r>
    </w:p>
    <w:p w14:paraId="06E918CD" w14:textId="77777777" w:rsidR="00286A88" w:rsidRPr="00286A88" w:rsidRDefault="00286A88" w:rsidP="00F74E59">
      <w:pPr>
        <w:rPr>
          <w:lang w:val="en-AU" w:eastAsia="en-AU"/>
        </w:rPr>
      </w:pPr>
      <w:r w:rsidRPr="00286A88">
        <w:rPr>
          <w:lang w:val="en-AU" w:eastAsia="en-AU"/>
        </w:rPr>
        <w:t xml:space="preserve">In some duck housing systems, particularly in cold climates, the ventilation system may be reduced to maintain the temperature. This can affect the microbial aerosol concentration within the environment. High microbial aerosol concentrations (which were associated with poorer hygiene) were found to adversely affect duck welfare and susceptibility to disease (Yu et al., 2016a). Specifically, higher levels of ACTH (which is associated with the stress response) were found in plasma serum and the walking ability of ducks deteriorated in poorer hygiene conditions. Additionally, increasing levels of conditional pathogens such as </w:t>
      </w:r>
      <w:r w:rsidRPr="00286A88">
        <w:rPr>
          <w:i/>
          <w:lang w:val="en-AU" w:eastAsia="en-AU"/>
        </w:rPr>
        <w:t>E. coli</w:t>
      </w:r>
      <w:r w:rsidRPr="00286A88">
        <w:rPr>
          <w:lang w:val="en-AU" w:eastAsia="en-AU"/>
        </w:rPr>
        <w:t xml:space="preserve"> and </w:t>
      </w:r>
      <w:r w:rsidRPr="00286A88">
        <w:rPr>
          <w:i/>
          <w:lang w:val="en-AU" w:eastAsia="en-AU"/>
        </w:rPr>
        <w:t>Salmonella</w:t>
      </w:r>
      <w:r w:rsidRPr="00286A88">
        <w:rPr>
          <w:lang w:val="en-AU" w:eastAsia="en-AU"/>
        </w:rPr>
        <w:t xml:space="preserve"> in the caecum increased, whilst probiotics such as </w:t>
      </w:r>
      <w:r w:rsidRPr="00286A88">
        <w:rPr>
          <w:i/>
          <w:lang w:val="en-AU" w:eastAsia="en-AU"/>
        </w:rPr>
        <w:t xml:space="preserve">Lactobacillus </w:t>
      </w:r>
      <w:r w:rsidRPr="00286A88">
        <w:rPr>
          <w:lang w:val="en-AU" w:eastAsia="en-AU"/>
        </w:rPr>
        <w:t>decreased in housing conditions with poorer hygiene. In a separate study, it was found that higher concentrations of microbial aerosol in the housing environment also reduced duck immunity, making them more susceptible to disease (Yu et al., 2016b).</w:t>
      </w:r>
    </w:p>
    <w:p w14:paraId="37692DFE" w14:textId="77777777" w:rsidR="00286A88" w:rsidRPr="00286A88" w:rsidRDefault="00286A88" w:rsidP="00E62407">
      <w:pPr>
        <w:rPr>
          <w:lang w:val="en-AU" w:eastAsia="en-AU"/>
        </w:rPr>
      </w:pPr>
      <w:r w:rsidRPr="00286A88">
        <w:rPr>
          <w:lang w:val="en-AU" w:eastAsia="en-AU"/>
        </w:rPr>
        <w:t>Ducks are also susceptible to duck viral enteritis and goose parvovirus, both of which can cause high levels of mortality (</w:t>
      </w:r>
      <w:r w:rsidR="00E74962" w:rsidRPr="00286A88">
        <w:rPr>
          <w:lang w:val="en-AU" w:eastAsia="en-AU"/>
        </w:rPr>
        <w:t xml:space="preserve">Gough </w:t>
      </w:r>
      <w:r w:rsidR="00E74962">
        <w:rPr>
          <w:lang w:val="en-AU" w:eastAsia="en-AU"/>
        </w:rPr>
        <w:t>and Hansen</w:t>
      </w:r>
      <w:r w:rsidR="00E74962" w:rsidRPr="00286A88">
        <w:rPr>
          <w:lang w:val="en-AU" w:eastAsia="en-AU"/>
        </w:rPr>
        <w:t>, 2000</w:t>
      </w:r>
      <w:r w:rsidR="00E74962">
        <w:rPr>
          <w:lang w:val="en-AU" w:eastAsia="en-AU"/>
        </w:rPr>
        <w:t xml:space="preserve">; </w:t>
      </w:r>
      <w:r w:rsidRPr="00286A88">
        <w:rPr>
          <w:lang w:val="en-AU" w:eastAsia="en-AU"/>
        </w:rPr>
        <w:t>Irvine and Holmes, 2010).</w:t>
      </w:r>
    </w:p>
    <w:p w14:paraId="59162D1F" w14:textId="77777777" w:rsidR="00286A88" w:rsidRPr="00286A88" w:rsidRDefault="00286A88" w:rsidP="00E62407">
      <w:pPr>
        <w:pStyle w:val="Heading3"/>
        <w:rPr>
          <w:lang w:val="en-AU" w:eastAsia="en-AU"/>
        </w:rPr>
      </w:pPr>
      <w:bookmarkStart w:id="188" w:name="_Toc495310657"/>
      <w:r w:rsidRPr="00286A88">
        <w:rPr>
          <w:lang w:val="en-AU" w:eastAsia="en-AU"/>
        </w:rPr>
        <w:t>D3.6 Provision of water</w:t>
      </w:r>
      <w:bookmarkEnd w:id="188"/>
    </w:p>
    <w:p w14:paraId="42CDD720" w14:textId="77777777" w:rsidR="00286A88" w:rsidRPr="00E62407" w:rsidRDefault="00286A88" w:rsidP="00E62407">
      <w:pPr>
        <w:rPr>
          <w:i/>
          <w:lang w:val="en-AU" w:eastAsia="en-AU"/>
        </w:rPr>
      </w:pPr>
      <w:r w:rsidRPr="00E62407">
        <w:rPr>
          <w:i/>
          <w:lang w:val="en-AU" w:eastAsia="en-AU"/>
        </w:rPr>
        <w:t>The provision of clean water sources such as shallow troughs and drinkers in intensive housing systems (which give ducks the opportunity to dip their heads and splash water onto their body), improves body condition, plumage, foot condition and eye and nostril cleanliness, but to a lesser extent than those allowing full-body access (e.g. showers, baths and deeper troughs). Ducks spend equal amounts of time using troughs, showers and baths but preferred to dabble in the shower and bathe in the bath. When given the choice ducks spend more time in shallower depths (10 and 20 cm) than deeper pools (30 cm), but perform different behaviours at each depth. Placing water sources directly onto litter adversely affects the welfare of ducks and adequate drainage, maintenance and cleaning is essential.</w:t>
      </w:r>
    </w:p>
    <w:p w14:paraId="6DC2D0CC" w14:textId="77777777" w:rsidR="00286A88" w:rsidRPr="00286A88" w:rsidRDefault="00286A88" w:rsidP="00E62407">
      <w:pPr>
        <w:pStyle w:val="Heading41"/>
      </w:pPr>
      <w:r w:rsidRPr="00286A88">
        <w:t>D3.6a Physical health</w:t>
      </w:r>
    </w:p>
    <w:p w14:paraId="65D10AB5" w14:textId="77777777" w:rsidR="00286A88" w:rsidRPr="00286A88" w:rsidRDefault="00286A88" w:rsidP="00E62407">
      <w:pPr>
        <w:rPr>
          <w:lang w:val="en-AU" w:eastAsia="en-AU"/>
        </w:rPr>
      </w:pPr>
      <w:r w:rsidRPr="00286A88">
        <w:rPr>
          <w:lang w:val="en-AU" w:eastAsia="en-AU"/>
        </w:rPr>
        <w:t>Erisir et al. (2009) monitored the growth and welfare of Pekin ducks in intensive housing conditions (indoor only and indoor with an outdoor run) that were provided with and without swimming pools. Body weight was higher at 6 weeks of age when birds were reared with an outdoor run and a pool than those reared without a pool. Food consumption was higher and feed conversion ratio was lower in the indoor, no pool condition. In other studies, the provision of bathing water (i.e. the opportunity to dip their heads and splash water onto their bodies) improved body and plumage condition, along with eye and nostril cleanliness (fewer blocked nostrils) (Jones et al., 2009; O’Driscoll and Broom, 2011). Additionally, foot pad lesions were more severe when ducks were housed with nipple drinkers compared with troughs or bell drinkers (Jones and Dawkins 2010a; O’Driscoll and Broom, 2011). Conversely, one study found that eye, nostril, feather and foot condition was worse when ducks were housed with troughs rather than pin-metered water lines (nipple drinkers) (Schenk et al., 2016). Higher levels of bacteria were found in the water troughs, suggesting poor hygiene could account for the differences between studies.</w:t>
      </w:r>
    </w:p>
    <w:p w14:paraId="1F94B179" w14:textId="77777777" w:rsidR="00286A88" w:rsidRPr="00286A88" w:rsidRDefault="00286A88" w:rsidP="00E62407">
      <w:pPr>
        <w:pStyle w:val="Heading41"/>
      </w:pPr>
      <w:r w:rsidRPr="00286A88">
        <w:t>D3.6b Characteristics of water source</w:t>
      </w:r>
    </w:p>
    <w:p w14:paraId="26694221" w14:textId="77777777" w:rsidR="00286A88" w:rsidRPr="00286A88" w:rsidRDefault="00286A88" w:rsidP="00E62407">
      <w:pPr>
        <w:rPr>
          <w:lang w:val="en-AU" w:eastAsia="en-AU"/>
        </w:rPr>
      </w:pPr>
      <w:r w:rsidRPr="00286A88">
        <w:rPr>
          <w:lang w:val="en-AU" w:eastAsia="en-AU"/>
        </w:rPr>
        <w:t>Water sources within duck housing systems include nipple or bell drinkers, troughs, pools, baths and showers. In hot conditions, misters can be used to cool ducks but no peer-reviewed studies were found on the broader welfare implications of this practice. Several studies have documented the effect of the other water sources on the welfare of the birds. In addition to nipple drinkers, Jones et al. (2009) provided groups of ducks with either: a bath in which they had full body access and could swim; a trough in which they could dip their heads and splash water over their bodies; an overhead shower that covered their bodies with a spray; nipple drinkers for the first 5 weeks and a bath thereafter; or nipple drinkers only (control group). Plumage condition was best and the eyes and nostrils were cleaner in treatments which allowed full body access to water (i.e. the bath and shower) and there was no difference in the proportion of time birds spent bathing in baths, showers and troughs, suggesting that troughs and showers provided sufficient bathing opportunities. Similarly, in a study by Waitt et al. (2009) there was no difference in the amount of time ducks spent at most resources (bath, trough, shower) during a bathing bout, except at the nipple at which they spent less time. In this same study however, the behavioural bathing sequence was more variable in the bath or under the shower than at the nipple.</w:t>
      </w:r>
    </w:p>
    <w:p w14:paraId="2F1AB74B" w14:textId="77777777" w:rsidR="00286A88" w:rsidRPr="00286A88" w:rsidRDefault="00286A88" w:rsidP="00E62407">
      <w:pPr>
        <w:rPr>
          <w:lang w:val="en-AU" w:eastAsia="en-AU"/>
        </w:rPr>
      </w:pPr>
      <w:r w:rsidRPr="00286A88">
        <w:rPr>
          <w:lang w:val="en-AU" w:eastAsia="en-AU"/>
        </w:rPr>
        <w:t>When ducks were given access to all resources simultaneously, they spent most time resting, drinking and dabbling under the shower and preferred to bathe in the bath (although they spent less than 5% of their time doing so) (Jones et al., 2009). In a different study, fewer ducks were found at the water bath than at other resources (trough or bell drinkers), but the authors noted that the bath was used more effectively and efficiently for preening, hence ducks spent less time in it (O’Driscoll and Broom, 2012). It is also possible that as ducks grew, fewer could fit inside the bath at any one time reducing their usage. Overall, ducks were more active in the bath and trough and spent more time idling at bell drinkers.</w:t>
      </w:r>
    </w:p>
    <w:p w14:paraId="2EF680C7" w14:textId="77777777" w:rsidR="00286A88" w:rsidRPr="00286A88" w:rsidRDefault="00286A88" w:rsidP="00E62407">
      <w:pPr>
        <w:rPr>
          <w:lang w:val="en-AU" w:eastAsia="en-AU"/>
        </w:rPr>
      </w:pPr>
      <w:r w:rsidRPr="00286A88">
        <w:rPr>
          <w:lang w:val="en-AU" w:eastAsia="en-AU"/>
        </w:rPr>
        <w:t xml:space="preserve">The importance of the size of the water source provided has been investigated to some extent. Three different sized water troughs (narrow: 15 cm wide and 8 cm deep; intermediate: 20 cm wide and 12 cm deep; wide: 50 cm wide and 8 cm deep) were provided for groups of ducks housed in commercial systems (Liste et al., 2012a). No differences in the health condition of the birds were observed between troughs, except that foot condition was poorer when ducks were given wider troughs. Higher levels of </w:t>
      </w:r>
      <w:r w:rsidRPr="00286A88">
        <w:rPr>
          <w:i/>
          <w:lang w:val="en-AU" w:eastAsia="en-AU"/>
        </w:rPr>
        <w:t>E. coli</w:t>
      </w:r>
      <w:r w:rsidRPr="00286A88">
        <w:rPr>
          <w:lang w:val="en-AU" w:eastAsia="en-AU"/>
        </w:rPr>
        <w:t xml:space="preserve"> bacteria were found in the wider troughs which may have exacerbated any foot lesions (Liste et al., 2013). In a separate study, the preferred depth of water pools for bathing was investigated, by giving ducks the choice between: a shallow pool (10 cm deep – ducks could stand but not swim); an intermediate pool (20 cm deep – ducks could stand and swim); and a deep pool (30 cm deep – ducks could swim but not stand) (Liste et al., 2012b). Ducks used the 10 c</w:t>
      </w:r>
      <w:r w:rsidR="00757908">
        <w:rPr>
          <w:lang w:val="en-AU" w:eastAsia="en-AU"/>
        </w:rPr>
        <w:t>m pool more than the 30 cm pool</w:t>
      </w:r>
      <w:r w:rsidRPr="00286A88">
        <w:rPr>
          <w:lang w:val="en-AU" w:eastAsia="en-AU"/>
        </w:rPr>
        <w:t xml:space="preserve"> (64% and 16% of bathing bouts respectively), but there was no difference in their use of the 10 and 20 cm pools. Ducks carried out different activities at different depths, with the deep water being used predominantly for swimming or floating and the shallower water being used for dabbling. Ducks in this study were also reared with shallower water which may have influenced their preferences. The amount of wet preening displayed by ducks was also influenced by the amount of available space at the water source (Jones and Dawkins, 2010b).</w:t>
      </w:r>
    </w:p>
    <w:p w14:paraId="41B7258A" w14:textId="77777777" w:rsidR="00286A88" w:rsidRPr="00286A88" w:rsidRDefault="00286A88" w:rsidP="00E62407">
      <w:pPr>
        <w:pStyle w:val="Heading41"/>
      </w:pPr>
      <w:r w:rsidRPr="00286A88">
        <w:t>D3.6c Management and hygiene</w:t>
      </w:r>
    </w:p>
    <w:p w14:paraId="2A27F168" w14:textId="77777777" w:rsidR="00286A88" w:rsidRPr="00286A88" w:rsidRDefault="00286A88" w:rsidP="00E62407">
      <w:pPr>
        <w:rPr>
          <w:lang w:val="en-AU" w:eastAsia="en-AU"/>
        </w:rPr>
      </w:pPr>
      <w:r w:rsidRPr="00286A88">
        <w:rPr>
          <w:lang w:val="en-AU" w:eastAsia="en-AU"/>
        </w:rPr>
        <w:t>The management of the water source within a duck housing system can have a big impact on welfare. Placement of water resources directly on or over litter can adversely affect both welfare (Jones et al., 2009; O’Driscoll and Broom 2011; Liste et al., 2012a) and production (Allison, 2009, cited by Liste et al., 2012a; Erisir et al., 2009). Even relatively low yielding water sources like nipple and bell drinkers have been shown to result in high levels of litter moisture when placed directly above it (Jones and Dawkins 2010a; O’Driscoll and Broom 2011). Drinkers should therefore be placed in a well-drained area (Allison, 2009, cited by Liste et al., 2012a).</w:t>
      </w:r>
    </w:p>
    <w:p w14:paraId="5964E731" w14:textId="77777777" w:rsidR="00286A88" w:rsidRPr="00286A88" w:rsidRDefault="00286A88" w:rsidP="00E62407">
      <w:pPr>
        <w:rPr>
          <w:lang w:val="en-AU" w:eastAsia="en-AU"/>
        </w:rPr>
      </w:pPr>
      <w:r w:rsidRPr="00286A88">
        <w:rPr>
          <w:lang w:val="en-AU" w:eastAsia="en-AU"/>
        </w:rPr>
        <w:t>As previously mentioned (section D3.6b) wider troughs were found to have the worst water quality and bacterial content was high, when compared with narrow or intermediate sized troughs (Liste et al., 2013). Cleaning and emptying water facilities at least twice daily may be important for maintaining hygiene levels, but in one study following this routine, troughs were dirty again within 15 minutes of being cleaned (Schenk et al., 2016). The volume of water and space provided is likely to determine how successful the maintenance schedule is, with smaller volumes becoming dirty more quickly.</w:t>
      </w:r>
    </w:p>
    <w:p w14:paraId="0F06166D" w14:textId="77777777" w:rsidR="00286A88" w:rsidRPr="00286A88" w:rsidRDefault="00286A88" w:rsidP="00E62407">
      <w:pPr>
        <w:rPr>
          <w:lang w:val="en-AU" w:eastAsia="en-AU"/>
        </w:rPr>
      </w:pPr>
      <w:r w:rsidRPr="00286A88">
        <w:rPr>
          <w:lang w:val="en-AU" w:eastAsia="en-AU"/>
        </w:rPr>
        <w:t>Although the provision of open water has generally been found to be better for duck welfare, and to satisfy behavioural requirements, increased mortality in older ducklings provided with large open troughs has been ascribed to contamination (Schenk et al., 2016). Maintaining hygienic conditions remains a significant challenge.</w:t>
      </w:r>
    </w:p>
    <w:p w14:paraId="7796FBFB" w14:textId="77777777" w:rsidR="00286A88" w:rsidRPr="00286A88" w:rsidRDefault="00286A88" w:rsidP="00E62407">
      <w:pPr>
        <w:pStyle w:val="Heading2"/>
        <w:rPr>
          <w:lang w:val="en-AU" w:eastAsia="en-AU"/>
        </w:rPr>
      </w:pPr>
      <w:bookmarkStart w:id="189" w:name="_Toc495310658"/>
      <w:r w:rsidRPr="00286A88">
        <w:rPr>
          <w:lang w:val="en-AU" w:eastAsia="en-AU"/>
        </w:rPr>
        <w:t>D4. Facilities and Equipment: Behavioural Needs</w:t>
      </w:r>
      <w:bookmarkEnd w:id="189"/>
    </w:p>
    <w:p w14:paraId="764DC8B6" w14:textId="77777777" w:rsidR="00286A88" w:rsidRPr="00286A88" w:rsidRDefault="00286A88" w:rsidP="00E62407">
      <w:pPr>
        <w:rPr>
          <w:lang w:val="en-AU" w:eastAsia="en-AU"/>
        </w:rPr>
      </w:pPr>
      <w:r w:rsidRPr="00286A88">
        <w:rPr>
          <w:lang w:val="en-AU" w:eastAsia="en-AU"/>
        </w:rPr>
        <w:t>One study has documented the behavioural time budget of ducks housed in different commercial systems and found that on average at 41 days old they spent 1.5% of their time feeding, 6.7% drinking, 4.2% rooting, 4.6% walking, 15.5% dry preening and 1.8% wet preening (Jones and Dawkins, 2010b). They spent 43.5% of their time relatively inactive and 22% of their time alert. It is important to note that these values represent the average behaviour across all housing systems and that each housing condition may have provided different levels of behavioural opportunity.</w:t>
      </w:r>
    </w:p>
    <w:p w14:paraId="2119EA20" w14:textId="77777777" w:rsidR="00286A88" w:rsidRPr="00286A88" w:rsidRDefault="00286A88" w:rsidP="00E62407">
      <w:pPr>
        <w:pStyle w:val="Heading3"/>
        <w:rPr>
          <w:lang w:val="en-AU" w:eastAsia="en-AU"/>
        </w:rPr>
      </w:pPr>
      <w:bookmarkStart w:id="190" w:name="_Toc495310659"/>
      <w:r w:rsidRPr="00286A88">
        <w:rPr>
          <w:lang w:val="en-AU" w:eastAsia="en-AU"/>
        </w:rPr>
        <w:t>D4.1 Behavioural need for a nest</w:t>
      </w:r>
      <w:bookmarkEnd w:id="190"/>
    </w:p>
    <w:p w14:paraId="7A3798C6" w14:textId="77777777" w:rsidR="00286A88" w:rsidRPr="00E62407" w:rsidRDefault="00286A88" w:rsidP="00E62407">
      <w:pPr>
        <w:rPr>
          <w:i/>
          <w:lang w:val="en-AU" w:eastAsia="en-AU"/>
        </w:rPr>
      </w:pPr>
      <w:r w:rsidRPr="00E62407">
        <w:rPr>
          <w:i/>
          <w:lang w:val="en-AU" w:eastAsia="en-AU"/>
        </w:rPr>
        <w:t>Ducks prefer to lay their eggs in enclosed boxes with a roof and an entrance curtain. The presence of another egg also increases the likelihood of ducks laying within a nest box.</w:t>
      </w:r>
    </w:p>
    <w:p w14:paraId="41ECEB40" w14:textId="77777777" w:rsidR="00286A88" w:rsidRPr="00286A88" w:rsidRDefault="00286A88" w:rsidP="00E62407">
      <w:pPr>
        <w:rPr>
          <w:lang w:val="en-AU" w:eastAsia="en-AU"/>
        </w:rPr>
      </w:pPr>
      <w:r w:rsidRPr="00286A88">
        <w:rPr>
          <w:lang w:val="en-AU" w:eastAsia="en-AU"/>
        </w:rPr>
        <w:t>Relatively few studies have focused on the nesting behaviour and requirements of commercially reared ducks. The preferred nesting material of ducks is likely to be different from that of chickens because they naturally inhabit different environments. Most nesting birds however chose a secluded and safe position to lay eggs. In an experimental study, it was found that ducks significantly prefer enclosed nest boxes, opting for those with a closed top and an entrance curtain (Makagon et al., 2011). In the same experiment, ducks showed consistency in their laying pattern across days. It has also been found that ducks are more likely to lay in a nest-box containing an egg (Makagon and Mench, 2011; Makagon et al., 2011). It has been suggested that insufficient nest boxes in duck housing may contribute to increased floor laying (Makagon and Mench, 2011).</w:t>
      </w:r>
    </w:p>
    <w:p w14:paraId="3909D1E3" w14:textId="77777777" w:rsidR="00286A88" w:rsidRPr="00286A88" w:rsidRDefault="00286A88" w:rsidP="00E62407">
      <w:pPr>
        <w:pStyle w:val="Heading3"/>
        <w:rPr>
          <w:lang w:val="en-AU" w:eastAsia="en-AU"/>
        </w:rPr>
      </w:pPr>
      <w:bookmarkStart w:id="191" w:name="_Toc495310660"/>
      <w:r w:rsidRPr="00286A88">
        <w:rPr>
          <w:lang w:val="en-AU" w:eastAsia="en-AU"/>
        </w:rPr>
        <w:t>D4.2 Social behaviour</w:t>
      </w:r>
      <w:bookmarkEnd w:id="191"/>
    </w:p>
    <w:p w14:paraId="48C5D0EC" w14:textId="77777777" w:rsidR="00286A88" w:rsidRPr="00E62407" w:rsidRDefault="00286A88" w:rsidP="00E62407">
      <w:pPr>
        <w:rPr>
          <w:i/>
          <w:lang w:val="en-AU" w:eastAsia="en-AU"/>
        </w:rPr>
      </w:pPr>
      <w:r w:rsidRPr="00E62407">
        <w:rPr>
          <w:i/>
          <w:lang w:val="en-AU" w:eastAsia="en-AU"/>
        </w:rPr>
        <w:t>Ducks are a social species and when given the opportunity, prefer to perform water-related activities (e.g. preening and dabbling) with other individuals.</w:t>
      </w:r>
    </w:p>
    <w:p w14:paraId="67ECD74E" w14:textId="77777777" w:rsidR="00286A88" w:rsidRPr="00286A88" w:rsidRDefault="00286A88" w:rsidP="00E62407">
      <w:pPr>
        <w:rPr>
          <w:lang w:val="en-AU" w:eastAsia="en-AU"/>
        </w:rPr>
      </w:pPr>
      <w:r w:rsidRPr="00286A88">
        <w:rPr>
          <w:lang w:val="en-AU" w:eastAsia="en-AU"/>
        </w:rPr>
        <w:t xml:space="preserve">Few studies have focused on the social behaviour of ducks within commercial systems. The </w:t>
      </w:r>
      <w:r w:rsidR="00757908">
        <w:rPr>
          <w:lang w:val="en-AU" w:eastAsia="en-AU"/>
        </w:rPr>
        <w:t>M</w:t>
      </w:r>
      <w:r w:rsidRPr="00286A88">
        <w:rPr>
          <w:lang w:val="en-AU" w:eastAsia="en-AU"/>
        </w:rPr>
        <w:t>allard however is a gregarious species and there is some evidence that domestic ducks prefer performing certain behaviours with conspecifics. Waitt et al. (2009) examined behavioural synchrony in ducks whilst they performed water-related activities. When given the appropriate space and resource (i.e. troughs, baths and showers), ducks used the resources more socially than when they were provided with only nipple drinkers.</w:t>
      </w:r>
    </w:p>
    <w:p w14:paraId="040CC8EB" w14:textId="77777777" w:rsidR="00286A88" w:rsidRPr="00286A88" w:rsidRDefault="00286A88" w:rsidP="00E62407">
      <w:pPr>
        <w:pStyle w:val="Heading3"/>
        <w:rPr>
          <w:lang w:val="en-AU" w:eastAsia="en-AU"/>
        </w:rPr>
      </w:pPr>
      <w:bookmarkStart w:id="192" w:name="_Toc495310661"/>
      <w:r w:rsidRPr="00286A88">
        <w:rPr>
          <w:lang w:val="en-AU" w:eastAsia="en-AU"/>
        </w:rPr>
        <w:t>D4.3 Behavioural need for water</w:t>
      </w:r>
      <w:bookmarkEnd w:id="192"/>
    </w:p>
    <w:p w14:paraId="7984A354" w14:textId="77777777" w:rsidR="00286A88" w:rsidRPr="00E62407" w:rsidRDefault="00286A88" w:rsidP="00E62407">
      <w:pPr>
        <w:rPr>
          <w:i/>
          <w:lang w:val="en-AU" w:eastAsia="en-AU"/>
        </w:rPr>
      </w:pPr>
      <w:r w:rsidRPr="00E62407">
        <w:rPr>
          <w:i/>
          <w:lang w:val="en-AU" w:eastAsia="en-AU"/>
        </w:rPr>
        <w:t>Ducks are a semi-aquatic species and water is essential for the performance of certain behaviours such as dabbling, bathing and preening. Preening ensures feathers are kept clean and involves the distribution of water all over the body. Ducks show a preference for water sources which allow increased immersion.</w:t>
      </w:r>
    </w:p>
    <w:p w14:paraId="707AC40D" w14:textId="77777777" w:rsidR="00286A88" w:rsidRPr="00286A88" w:rsidRDefault="00286A88" w:rsidP="00E62407">
      <w:pPr>
        <w:rPr>
          <w:lang w:val="en-AU" w:eastAsia="en-AU"/>
        </w:rPr>
      </w:pPr>
      <w:r w:rsidRPr="00286A88">
        <w:rPr>
          <w:lang w:val="en-AU" w:eastAsia="en-AU"/>
        </w:rPr>
        <w:t>The provision of open water allows ducks to perform multiple behaviours such as dabbling, swimming, head-dipping and bathing, therefore preventing access to open water can have welfare consequences (Rodenburg et al., 2005). Ducks are highly motivated to access open water and will “pay a higher cost” (cross a higher barrier) to access a trough, rather than a nipple or bell drinker (Cooper et al., 2002). Jones et al. (2009) found that when ducks were only provided with nipple drinker lines, they showed compensatory rebound (used the bath significantly more than ducks that had always had access to the bath) when they were provided with a water bath after 7 weeks.</w:t>
      </w:r>
    </w:p>
    <w:p w14:paraId="30C00E5A" w14:textId="77777777" w:rsidR="00286A88" w:rsidRPr="00286A88" w:rsidRDefault="00286A88" w:rsidP="00E62407">
      <w:pPr>
        <w:rPr>
          <w:lang w:val="en-AU" w:eastAsia="en-AU"/>
        </w:rPr>
      </w:pPr>
      <w:r w:rsidRPr="00286A88">
        <w:rPr>
          <w:lang w:val="en-AU" w:eastAsia="en-AU"/>
        </w:rPr>
        <w:t>During bathing, ducks will regularly preen their feathers to maintain condition and remove foreign bodies (O’Driscoll and Broom, 2011). Whilst chickens use dry, dust-like material for bathing, ducks require water to ensure a full and effective preening repertoire. Ducks begin a preening bout by immersing the head and wings in water, shaking water over the body and distributing oil (from the uropygial gland) through the feathers. During bathing in pools, it was reported that ducks spent the longest periods of time performing wet preening, followed by drinking and dabbling (although this was performed more frequently) (Waitt et al., 2009).</w:t>
      </w:r>
    </w:p>
    <w:p w14:paraId="52F34E43" w14:textId="77777777" w:rsidR="00286A88" w:rsidRPr="00286A88" w:rsidRDefault="00286A88" w:rsidP="00E62407">
      <w:pPr>
        <w:rPr>
          <w:lang w:val="en-AU" w:eastAsia="en-AU"/>
        </w:rPr>
      </w:pPr>
      <w:r w:rsidRPr="00286A88">
        <w:rPr>
          <w:lang w:val="en-AU" w:eastAsia="en-AU"/>
        </w:rPr>
        <w:t>There is some variation in the amount of time that ducks engage in water-related activities. Jones et al. (2009) found that Pekin ducks spend an average of between 15-22% of their time either bathing, resting on water, drinking or dabbling, whilst Jones and Dawkins (2010b) found that preening alone accounted for more than 17% of the total time budget. In another study, Pekin ducks spent an average of 8.5 hours per day (36% of their time) engaged in water-related activities (including at pool sides and drinker areas) (Liste et al., 2012b). There is some evidence to suggest that when resources are large enough (i.e. in troughs, baths and under showers), ducks engage in social bathing (Waitt et al., 2009).</w:t>
      </w:r>
    </w:p>
    <w:p w14:paraId="5B0E49B0" w14:textId="77777777" w:rsidR="00286A88" w:rsidRPr="00286A88" w:rsidRDefault="00286A88" w:rsidP="00E62407">
      <w:pPr>
        <w:pStyle w:val="Heading2"/>
        <w:rPr>
          <w:lang w:val="en-AU" w:eastAsia="en-AU"/>
        </w:rPr>
      </w:pPr>
      <w:bookmarkStart w:id="193" w:name="_Toc495310662"/>
      <w:r w:rsidRPr="00286A88">
        <w:rPr>
          <w:lang w:val="en-AU" w:eastAsia="en-AU"/>
        </w:rPr>
        <w:t>D5. Facilities and Equipment: Behavioural Usage</w:t>
      </w:r>
      <w:bookmarkEnd w:id="193"/>
    </w:p>
    <w:p w14:paraId="4E2DCD9D" w14:textId="77777777" w:rsidR="00286A88" w:rsidRPr="00286A88" w:rsidRDefault="00286A88" w:rsidP="00E62407">
      <w:pPr>
        <w:pStyle w:val="Heading3"/>
        <w:rPr>
          <w:lang w:val="en-AU" w:eastAsia="en-AU"/>
        </w:rPr>
      </w:pPr>
      <w:bookmarkStart w:id="194" w:name="_Toc495310663"/>
      <w:r w:rsidRPr="00286A88">
        <w:rPr>
          <w:lang w:val="en-AU" w:eastAsia="en-AU"/>
        </w:rPr>
        <w:t>D5.1 System type</w:t>
      </w:r>
      <w:bookmarkEnd w:id="194"/>
    </w:p>
    <w:p w14:paraId="4E35D05C" w14:textId="77777777" w:rsidR="00286A88" w:rsidRPr="00E62407" w:rsidRDefault="00286A88" w:rsidP="00E62407">
      <w:pPr>
        <w:rPr>
          <w:i/>
          <w:lang w:val="en-AU" w:eastAsia="en-AU"/>
        </w:rPr>
      </w:pPr>
      <w:r w:rsidRPr="00E62407">
        <w:rPr>
          <w:i/>
          <w:lang w:val="en-AU" w:eastAsia="en-AU"/>
        </w:rPr>
        <w:t>The welfare of ducks in commercial systems can be influenced by environmental factors as much as the system itself. Ducklings may be more sensitive to fluctuations in their housing environment than older ducks. Outdoor systems may provide additional behavioural opportunities for ducks.</w:t>
      </w:r>
    </w:p>
    <w:p w14:paraId="0187287A" w14:textId="77777777" w:rsidR="00286A88" w:rsidRPr="00286A88" w:rsidRDefault="00286A88" w:rsidP="00E62407">
      <w:pPr>
        <w:rPr>
          <w:lang w:val="en-AU" w:eastAsia="en-AU"/>
        </w:rPr>
      </w:pPr>
      <w:r w:rsidRPr="00286A88">
        <w:rPr>
          <w:lang w:val="en-AU" w:eastAsia="en-AU"/>
        </w:rPr>
        <w:t>In a study on the impact of housing conditions on the behaviour and welfare of ducks, it was found that the biggest influencing factors were the environmental measures taken within the house, rather than the housing type or system itself (Jones and Dawkins 2010a; 2010b). In houses where the relative humidity, ammonia and air and litter temperatures were lower, ducks were in better physical condition and had better walking abilities (Jones and Dawkins, 2010a). Additionally, increased panting and wet preening was observed when air temperatures were higher and fewer ducks were seen feeding when litter temperatures increased (Jones and Dawkins, 2010b). Higher relative humidity was associated with increased rest and dry preening. Increased atmospheric ammonia was associated with panting, dry preening and increased activity at the drinker when ducks were at a young age.</w:t>
      </w:r>
    </w:p>
    <w:p w14:paraId="392875A3" w14:textId="77777777" w:rsidR="00286A88" w:rsidRPr="00286A88" w:rsidRDefault="00286A88" w:rsidP="00E62407">
      <w:pPr>
        <w:rPr>
          <w:lang w:val="en-AU" w:eastAsia="en-AU"/>
        </w:rPr>
      </w:pPr>
      <w:r w:rsidRPr="00286A88">
        <w:rPr>
          <w:lang w:val="en-AU" w:eastAsia="en-AU"/>
        </w:rPr>
        <w:t>Karcher et al. (2013) compared the physical condition of ducks when reared on different flooring during winter; it was found that after 32 days the feathers of ducks housed on raised plastic flooring were in better condition than those reared on litter-flooring. At 32 days, the relative humidity in the litter housing system was higher than in the slatted system and this increased moisture may have contributed to the decrease in feather cleanliness. A similar study was repeated in the summer months and found no differences in feather condition between the two housing systems (Fraley et al., 2013). In contrast, at 7 days of age ducks housed on litter had clearer eyes than those housed on plastic slatted flooring. This may indicate that ducklings are more sensitive to fluctuations in their housing at a younger age.</w:t>
      </w:r>
    </w:p>
    <w:p w14:paraId="6035B339" w14:textId="77777777" w:rsidR="00286A88" w:rsidRPr="00286A88" w:rsidRDefault="00286A88" w:rsidP="00E62407">
      <w:pPr>
        <w:rPr>
          <w:lang w:val="en-AU" w:eastAsia="en-AU"/>
        </w:rPr>
      </w:pPr>
      <w:r w:rsidRPr="00286A88">
        <w:rPr>
          <w:lang w:val="en-AU" w:eastAsia="en-AU"/>
        </w:rPr>
        <w:t>In a study which compared the growth and welfare of ducks in three different production systems, it was found that ducks engaged in longer preening bouts when reared on plastic net on a bamboo bed compared to those reared with litter flooring (Chen et al., 2015). As a consequence, the feather condition of ducks in the plastic net system was improved. Consideration should be given to the motivation behind the increased preening in the net system, as this may be indicative of a displacement activity in an environment which lacked foraging material.</w:t>
      </w:r>
    </w:p>
    <w:p w14:paraId="0729822E" w14:textId="77777777" w:rsidR="00286A88" w:rsidRPr="00286A88" w:rsidRDefault="00286A88" w:rsidP="00E62407">
      <w:pPr>
        <w:rPr>
          <w:lang w:val="en-AU" w:eastAsia="en-AU"/>
        </w:rPr>
      </w:pPr>
      <w:r w:rsidRPr="00286A88">
        <w:rPr>
          <w:lang w:val="en-AU" w:eastAsia="en-AU"/>
        </w:rPr>
        <w:t>One study has compared the effect of indoor and outdoor housing systems, with and without a swimming pool, on ducks (Erisir et al., 2009). Ducks that were raised with both a swimming pool and an outdoor area had gained more weight by 6 weeks of age than those reared in alternative conditions. In another study, ducks that were housed indoors spent more time standing, preening, wing and leg stretching, panting, exploring and behaving aggressively, than those that had access to the outdoors (El-Edel et al., 2015).</w:t>
      </w:r>
    </w:p>
    <w:p w14:paraId="5E73C479" w14:textId="77777777" w:rsidR="00286A88" w:rsidRPr="00286A88" w:rsidRDefault="00286A88" w:rsidP="00E62407">
      <w:pPr>
        <w:pStyle w:val="Heading2"/>
        <w:rPr>
          <w:lang w:val="en-AU" w:eastAsia="en-AU"/>
        </w:rPr>
      </w:pPr>
      <w:bookmarkStart w:id="195" w:name="_Toc495310664"/>
      <w:r w:rsidRPr="00286A88">
        <w:rPr>
          <w:lang w:val="en-AU" w:eastAsia="en-AU"/>
        </w:rPr>
        <w:t>D6. Fear and Distress</w:t>
      </w:r>
      <w:bookmarkEnd w:id="195"/>
    </w:p>
    <w:p w14:paraId="1A4544C7" w14:textId="77777777" w:rsidR="00286A88" w:rsidRPr="00E62407" w:rsidRDefault="00286A88" w:rsidP="00E62407">
      <w:pPr>
        <w:rPr>
          <w:i/>
          <w:lang w:val="en-AU" w:eastAsia="en-AU"/>
        </w:rPr>
      </w:pPr>
      <w:r w:rsidRPr="00E62407">
        <w:rPr>
          <w:i/>
          <w:lang w:val="en-AU" w:eastAsia="en-AU"/>
        </w:rPr>
        <w:t>Ducks generally find handling and human presence aversive, particularly if the person is unfamiliar. Muscovy ducks are less susceptible to stress than Pekin ducks, but their fear manifests in different ways. Muscovies show increased avoidance responses, whilst Pekins show increased behavioural and physiological activity. Mule ducks are more prone to panicking than the other two strains.</w:t>
      </w:r>
    </w:p>
    <w:p w14:paraId="6E6C5291" w14:textId="77777777" w:rsidR="00286A88" w:rsidRPr="00286A88" w:rsidRDefault="00286A88" w:rsidP="00E62407">
      <w:pPr>
        <w:rPr>
          <w:lang w:val="en-AU" w:eastAsia="en-AU"/>
        </w:rPr>
      </w:pPr>
      <w:r w:rsidRPr="00286A88">
        <w:rPr>
          <w:lang w:val="en-AU" w:eastAsia="en-AU"/>
        </w:rPr>
        <w:t>The behavioural and physiological fear response of various duck genotypes has been investigated to some extent. Faure et al. (2003) compared the fear response of the mule duck (a cross between a Muscovy male and a Pekin female) with the responses of their parental genotypes. In this study, tonic immobility tests were conducted and the human flight zone was calculated (as indicators of fearfulness of humans) for all three genotypes. Plasma corticosterone concentration was also measured shortly after tonic immobility testing and before and after restraint in a net. Muscovy ducks generally appeared to be less fearful and less susceptible to stress (had lower levels of corticosterone) than the Pekin duck across most tests. Mule ducks showed intermediate responses for some tests, but were more fearful of humans than both parental genotypes. In similar studies, both parental genotypes were highly fearful, but the fear manifested in different ways (Arnaud et al., 2008; 2010). Pekin ducks showed increased behavioural and physiological activity and Muscovy ducks showed an increased avoidance of humans. Mule ducks panicked and avoided humans more (Arnaud et al., 2008) and were also more sensitive to the social environment compared with the parental genotypes.</w:t>
      </w:r>
    </w:p>
    <w:p w14:paraId="4CA8816E" w14:textId="77777777" w:rsidR="00286A88" w:rsidRPr="00286A88" w:rsidRDefault="00286A88" w:rsidP="00E62407">
      <w:pPr>
        <w:rPr>
          <w:lang w:val="en-AU" w:eastAsia="en-AU"/>
        </w:rPr>
      </w:pPr>
      <w:r w:rsidRPr="00286A88">
        <w:rPr>
          <w:lang w:val="en-AU" w:eastAsia="en-AU"/>
        </w:rPr>
        <w:t>Evidence suggests that ducks generally find handling and human presence aversive (Guémené et al., 2006; Flament et al., 2012). Experimental studies have highlighted the importance of ducks becoming habituated to human handlers (Faure et al., 2001), with ducks appearing to perceive an approaching human as a greater threat than an approaching vehicle (Henderson et al., 2001).</w:t>
      </w:r>
    </w:p>
    <w:p w14:paraId="777A436E" w14:textId="77777777" w:rsidR="00286A88" w:rsidRPr="00286A88" w:rsidRDefault="00286A88" w:rsidP="00E62407">
      <w:pPr>
        <w:pStyle w:val="Heading2"/>
        <w:rPr>
          <w:lang w:val="en-AU" w:eastAsia="en-AU"/>
        </w:rPr>
      </w:pPr>
      <w:bookmarkStart w:id="196" w:name="_Toc495310665"/>
      <w:r w:rsidRPr="00286A88">
        <w:rPr>
          <w:lang w:val="en-AU" w:eastAsia="en-AU"/>
        </w:rPr>
        <w:t>D7. Sensory Environment</w:t>
      </w:r>
      <w:bookmarkEnd w:id="196"/>
    </w:p>
    <w:p w14:paraId="2879D770" w14:textId="77777777" w:rsidR="00286A88" w:rsidRPr="00286A88" w:rsidRDefault="00286A88" w:rsidP="00E62407">
      <w:pPr>
        <w:pStyle w:val="Heading3"/>
        <w:rPr>
          <w:lang w:val="en-AU" w:eastAsia="en-AU"/>
        </w:rPr>
      </w:pPr>
      <w:bookmarkStart w:id="197" w:name="_Toc495310666"/>
      <w:r w:rsidRPr="00286A88">
        <w:rPr>
          <w:lang w:val="en-AU" w:eastAsia="en-AU"/>
        </w:rPr>
        <w:t>D7.1 Light and vision</w:t>
      </w:r>
      <w:bookmarkEnd w:id="197"/>
    </w:p>
    <w:p w14:paraId="654A9C8E" w14:textId="77777777" w:rsidR="00286A88" w:rsidRPr="00E62407" w:rsidRDefault="00286A88" w:rsidP="00E62407">
      <w:pPr>
        <w:rPr>
          <w:i/>
          <w:lang w:val="en-AU" w:eastAsia="en-AU"/>
        </w:rPr>
      </w:pPr>
      <w:r w:rsidRPr="00E62407">
        <w:rPr>
          <w:i/>
          <w:lang w:val="en-AU" w:eastAsia="en-AU"/>
        </w:rPr>
        <w:t>Lighting within duck housing can have a huge impact on welfare and a range of wavelengths may be important for welfare. Ducklings prefer bright lighting conditions in the range of 6-100 lux and welfare may be adversely affected if ducks are kept in very low lighting (&lt;1 lux).</w:t>
      </w:r>
    </w:p>
    <w:p w14:paraId="7A64EE9D" w14:textId="77777777" w:rsidR="00286A88" w:rsidRPr="00286A88" w:rsidRDefault="00286A88" w:rsidP="00E62407">
      <w:pPr>
        <w:rPr>
          <w:lang w:val="en-AU" w:eastAsia="en-AU"/>
        </w:rPr>
      </w:pPr>
      <w:r w:rsidRPr="00286A88">
        <w:rPr>
          <w:lang w:val="en-AU" w:eastAsia="en-AU"/>
        </w:rPr>
        <w:t>The lighting used in poultry housing can have a large impact on welfare and production, particularly if birds are continuously housed indoors. It has been suggested that ultra-violet A radiation (320-400 nm) may be of importance (perhaps for migration and orientation) for ducks, given their sensitivity in this wavelength range (Parrish et al., 1981). Different species are likely to have varying lighting preferences and requirements due to their anatomical and natural habitat differences. Unlike chickens, ducks naturally forage underwater and can adjust the refractive power of the eye accordingly (Prescott et al., 2003). Although the specific lighting preferences and requirements of ducks are likely to differ from chickens, a lighting pattern that mimics a natural photoperiod is likely to be preferred (e.g. using dusk-dawn dimming).</w:t>
      </w:r>
    </w:p>
    <w:p w14:paraId="0D2306FB" w14:textId="77777777" w:rsidR="00286A88" w:rsidRPr="00286A88" w:rsidRDefault="00286A88" w:rsidP="00E62407">
      <w:pPr>
        <w:rPr>
          <w:lang w:val="en-AU" w:eastAsia="en-AU"/>
        </w:rPr>
      </w:pPr>
      <w:r w:rsidRPr="00286A88">
        <w:rPr>
          <w:lang w:val="en-AU" w:eastAsia="en-AU"/>
        </w:rPr>
        <w:t>Some work has aimed to identify the behaviour of ducks when housed in lighting conditions of different wavelengths and illuminances. Campbell et al. (2015) reared ducks in blue (approximately 425 nm), red (approximately 625 nm) and white light at a standardised intensity and measured aspects of duck behaviour, physiology and condition throughout this period. Few differences were found between ducks raised under red or white light. Ducks reared in blue light however, were more active, had increased plasma corticosterone, and decreased body weight compared with those reared under white light. The authors suggest that ducks reared under blue wavelengths experienced increased stress and that blue light can be detrimental to duck welfare. Conversely, Sultana et al. (2013) found reduced activity and significantly shorter tonic immobility latencies (a potential indicator of their fear response) in ducks in blue light compared with those reared in yellow or white light. These contradictory findings suggest that additional work is required before specific wavelengths can be recommended for ducks.</w:t>
      </w:r>
    </w:p>
    <w:p w14:paraId="13CF8E19" w14:textId="77777777" w:rsidR="00286A88" w:rsidRPr="00286A88" w:rsidRDefault="00286A88" w:rsidP="00E62407">
      <w:pPr>
        <w:rPr>
          <w:lang w:val="en-AU" w:eastAsia="en-AU"/>
        </w:rPr>
      </w:pPr>
      <w:r w:rsidRPr="00286A88">
        <w:rPr>
          <w:lang w:val="en-AU" w:eastAsia="en-AU"/>
        </w:rPr>
        <w:t>In another study, the preferences of ducks for different illuminances were investigated. The amount of time ducklings spent in four different light levels was investigated (&lt;1, 6, 20, 200 lux). It was found that ducklings spent most of their time in the three brightest environments (Barber et al., 2004). This suggests that either 6 lux is the minimum preferred light level for ducklings, or that ducklings prefer certain light wavelengths for performing specific behaviours. In some housing systems, it is common practice for producers to reduce lighting levels to avoid outbreaks of feather pecking and cannibalism. The above findings indicate that dim lighting could have adverse effects on welfare and pose behavioural restrictions.</w:t>
      </w:r>
    </w:p>
    <w:p w14:paraId="1C8B106D" w14:textId="77777777" w:rsidR="00286A88" w:rsidRPr="00286A88" w:rsidRDefault="00286A88" w:rsidP="00E62407">
      <w:pPr>
        <w:pStyle w:val="Heading3"/>
        <w:rPr>
          <w:lang w:val="en-AU" w:eastAsia="en-AU"/>
        </w:rPr>
      </w:pPr>
      <w:bookmarkStart w:id="198" w:name="_Toc495310667"/>
      <w:r w:rsidRPr="00286A88">
        <w:rPr>
          <w:lang w:val="en-AU" w:eastAsia="en-AU"/>
        </w:rPr>
        <w:t>D7.2 Thermal comfort</w:t>
      </w:r>
      <w:bookmarkEnd w:id="198"/>
    </w:p>
    <w:p w14:paraId="1E01FA0B" w14:textId="77777777" w:rsidR="00286A88" w:rsidRPr="00E62407" w:rsidRDefault="00286A88" w:rsidP="00E62407">
      <w:pPr>
        <w:rPr>
          <w:i/>
          <w:lang w:val="en-AU" w:eastAsia="en-AU"/>
        </w:rPr>
      </w:pPr>
      <w:r w:rsidRPr="00E62407">
        <w:rPr>
          <w:i/>
          <w:lang w:val="en-AU" w:eastAsia="en-AU"/>
        </w:rPr>
        <w:t>Ducks can be susceptible to heat stress if they are not able to regulate their body temperature. Water is important for temperature control in ducks and a lack of bathing opportunities can increase the risk of heat stress in hot climates. Duckling incubation temperature can have a profound impact on stress responses in later life.</w:t>
      </w:r>
    </w:p>
    <w:p w14:paraId="4CE246AC" w14:textId="77777777" w:rsidR="00286A88" w:rsidRPr="00286A88" w:rsidRDefault="00286A88" w:rsidP="00E62407">
      <w:pPr>
        <w:rPr>
          <w:lang w:val="en-AU" w:eastAsia="en-AU"/>
        </w:rPr>
      </w:pPr>
      <w:r w:rsidRPr="00286A88">
        <w:rPr>
          <w:lang w:val="en-AU" w:eastAsia="en-AU"/>
        </w:rPr>
        <w:t>As with chickens, ducks can be susceptible to heat stress if they are not able to thermoregulate effectively in their housing environment. Ducks use water to assist thermoregulation (Liste et al., 2012b) and a lack of water can be associated with an increased risk of heat stress, particularly in hot climates. The thermoneutral zone for optimal production of Pekin ducks is between approximately 8-22 °C (Cherry and Morris 2008). In a study on the effects of high environmental temperatures on ducks, it was found that a sudden 3-hour increase in brooder temperature from 19 to 37 °C resulted in an increased respiratory rate and body temperature (Zhu et al., 2014). They also found that some internal organs (liver, spleen, bursa of fabricius) were lighter when compared with a control group.</w:t>
      </w:r>
    </w:p>
    <w:p w14:paraId="1FBE03B0" w14:textId="77777777" w:rsidR="00286A88" w:rsidRPr="00286A88" w:rsidRDefault="00286A88" w:rsidP="00E62407">
      <w:pPr>
        <w:rPr>
          <w:lang w:val="en-AU" w:eastAsia="en-AU"/>
        </w:rPr>
      </w:pPr>
      <w:r w:rsidRPr="00286A88">
        <w:rPr>
          <w:lang w:val="en-AU" w:eastAsia="en-AU"/>
        </w:rPr>
        <w:t>Subtle changes in the incubation environment can also influence physiological processes later in life. DuRant et al. (2010) found that when ducklings were incubated at 35.9 and 37 °C they had higher growth rates than those incubated at 35 °C. In addition, ducklings incubated at the lower temperature had higher basal and stress-induced corticosterone levels.</w:t>
      </w:r>
    </w:p>
    <w:p w14:paraId="57A02A30" w14:textId="77777777" w:rsidR="00286A88" w:rsidRPr="00286A88" w:rsidRDefault="00286A88" w:rsidP="00E62407">
      <w:pPr>
        <w:pStyle w:val="Heading2"/>
        <w:rPr>
          <w:lang w:val="en-AU" w:eastAsia="en-AU"/>
        </w:rPr>
      </w:pPr>
      <w:bookmarkStart w:id="199" w:name="_Toc495310668"/>
      <w:r w:rsidRPr="00286A88">
        <w:rPr>
          <w:lang w:val="en-AU" w:eastAsia="en-AU"/>
        </w:rPr>
        <w:t>D8. Management and Handling</w:t>
      </w:r>
      <w:bookmarkEnd w:id="199"/>
    </w:p>
    <w:p w14:paraId="367F5692" w14:textId="77777777" w:rsidR="00286A88" w:rsidRPr="00286A88" w:rsidRDefault="00286A88" w:rsidP="00E62407">
      <w:pPr>
        <w:pStyle w:val="Heading3"/>
        <w:rPr>
          <w:lang w:val="en-AU" w:eastAsia="en-AU"/>
        </w:rPr>
      </w:pPr>
      <w:bookmarkStart w:id="200" w:name="_Toc495310669"/>
      <w:r w:rsidRPr="00286A88">
        <w:rPr>
          <w:lang w:val="en-AU" w:eastAsia="en-AU"/>
        </w:rPr>
        <w:t>D8.1 Stocking density</w:t>
      </w:r>
      <w:bookmarkEnd w:id="200"/>
    </w:p>
    <w:p w14:paraId="4E28DE6E" w14:textId="77777777" w:rsidR="00286A88" w:rsidRPr="00E62407" w:rsidRDefault="00286A88" w:rsidP="00E62407">
      <w:pPr>
        <w:rPr>
          <w:i/>
          <w:lang w:val="en-AU" w:eastAsia="en-AU"/>
        </w:rPr>
      </w:pPr>
      <w:r w:rsidRPr="00E62407">
        <w:rPr>
          <w:i/>
          <w:lang w:val="en-AU" w:eastAsia="en-AU"/>
        </w:rPr>
        <w:t xml:space="preserve">High stocking densities can result in reduced body weight and increased feather damage. </w:t>
      </w:r>
    </w:p>
    <w:p w14:paraId="10E9EF11" w14:textId="77777777" w:rsidR="00286A88" w:rsidRPr="00286A88" w:rsidRDefault="00286A88" w:rsidP="00E62407">
      <w:pPr>
        <w:rPr>
          <w:lang w:val="en-AU" w:eastAsia="en-AU"/>
        </w:rPr>
      </w:pPr>
      <w:r w:rsidRPr="00286A88">
        <w:rPr>
          <w:lang w:val="en-AU" w:eastAsia="en-AU"/>
        </w:rPr>
        <w:t>The stocking density of birds can influence welfare in several ways. One study found that when reared on plastic and wire flooring, a stocking density of 9 ducks/m</w:t>
      </w:r>
      <w:r w:rsidRPr="00286A88">
        <w:rPr>
          <w:vertAlign w:val="superscript"/>
          <w:lang w:val="en-AU" w:eastAsia="en-AU"/>
        </w:rPr>
        <w:t>2</w:t>
      </w:r>
      <w:r w:rsidRPr="00286A88">
        <w:rPr>
          <w:lang w:val="en-AU" w:eastAsia="en-AU"/>
        </w:rPr>
        <w:t xml:space="preserve"> resulted in decreased weight gain compared with those kept at lower densities (Xie et al., 2014). The authors suggested that </w:t>
      </w:r>
      <w:r w:rsidRPr="00286A88">
        <w:rPr>
          <w:rFonts w:cs="Times New Roman"/>
          <w:lang w:val="en-AU" w:eastAsia="en-AU"/>
        </w:rPr>
        <w:t>from day 0-14 and from day 14-42, stocking density should not exceed 19 and 8 birds/m</w:t>
      </w:r>
      <w:r w:rsidRPr="00286A88">
        <w:rPr>
          <w:rFonts w:cs="Times New Roman"/>
          <w:vertAlign w:val="superscript"/>
          <w:lang w:val="en-AU" w:eastAsia="en-AU"/>
        </w:rPr>
        <w:t>2</w:t>
      </w:r>
      <w:r w:rsidRPr="00286A88">
        <w:rPr>
          <w:rFonts w:cs="Times New Roman"/>
          <w:lang w:val="en-AU" w:eastAsia="en-AU"/>
        </w:rPr>
        <w:t xml:space="preserve"> respectively. </w:t>
      </w:r>
      <w:r w:rsidRPr="00286A88">
        <w:rPr>
          <w:lang w:val="en-AU" w:eastAsia="en-AU"/>
        </w:rPr>
        <w:t>In a different study, feather damage (which may be the result of feather pecking) was worse when ducks were kept at 8 ducks/m</w:t>
      </w:r>
      <w:r w:rsidRPr="00286A88">
        <w:rPr>
          <w:vertAlign w:val="superscript"/>
          <w:lang w:val="en-AU" w:eastAsia="en-AU"/>
        </w:rPr>
        <w:t>2</w:t>
      </w:r>
      <w:r w:rsidRPr="00286A88">
        <w:rPr>
          <w:lang w:val="en-AU" w:eastAsia="en-AU"/>
        </w:rPr>
        <w:t xml:space="preserve"> compared with densities of 5, 6 and 7 birds/m</w:t>
      </w:r>
      <w:r w:rsidRPr="00286A88">
        <w:rPr>
          <w:vertAlign w:val="superscript"/>
          <w:lang w:val="en-AU" w:eastAsia="en-AU"/>
        </w:rPr>
        <w:t>2</w:t>
      </w:r>
      <w:r w:rsidRPr="00286A88">
        <w:rPr>
          <w:lang w:val="en-AU" w:eastAsia="en-AU"/>
        </w:rPr>
        <w:t xml:space="preserve"> (De Buisonjé, 2001, cited by Rodenburg et al., 2005). Conversely, when comparing stocking densities of 7, 9 and 11 ducks/m</w:t>
      </w:r>
      <w:r w:rsidRPr="00286A88">
        <w:rPr>
          <w:vertAlign w:val="superscript"/>
          <w:lang w:val="en-AU" w:eastAsia="en-AU"/>
        </w:rPr>
        <w:t>2</w:t>
      </w:r>
      <w:r w:rsidRPr="00286A88">
        <w:rPr>
          <w:lang w:val="en-AU" w:eastAsia="en-AU"/>
        </w:rPr>
        <w:t>, it was the intermediate density that gave the best welfare, behaviour, and performance outcomes (Baéza et al., 2003, cited by Rodenburg et al., 2005). This was a small-scale study though and different results may be obtained for commercial flock sizes.</w:t>
      </w:r>
    </w:p>
    <w:p w14:paraId="79850F20" w14:textId="77777777" w:rsidR="00286A88" w:rsidRPr="00286A88" w:rsidRDefault="00286A88" w:rsidP="00E62407">
      <w:pPr>
        <w:rPr>
          <w:rFonts w:cs="Times New Roman"/>
          <w:lang w:val="en-AU" w:eastAsia="en-AU"/>
        </w:rPr>
      </w:pPr>
      <w:r w:rsidRPr="00286A88">
        <w:rPr>
          <w:lang w:val="en-AU" w:eastAsia="en-AU"/>
        </w:rPr>
        <w:t xml:space="preserve">Liu et al. (2015) suggested that dietary tryptophan supplementation </w:t>
      </w:r>
      <w:r w:rsidRPr="00286A88">
        <w:rPr>
          <w:rFonts w:cs="Times New Roman"/>
          <w:lang w:val="en-AU" w:eastAsia="en-AU"/>
        </w:rPr>
        <w:t>at no more than 0.78% could reduce stress at high stocking densities (11 birds/m</w:t>
      </w:r>
      <w:r w:rsidRPr="00286A88">
        <w:rPr>
          <w:rFonts w:cs="Times New Roman"/>
          <w:vertAlign w:val="superscript"/>
          <w:lang w:val="en-AU" w:eastAsia="en-AU"/>
        </w:rPr>
        <w:t>2</w:t>
      </w:r>
      <w:r w:rsidRPr="00286A88">
        <w:rPr>
          <w:rFonts w:cs="Times New Roman"/>
          <w:lang w:val="en-AU" w:eastAsia="en-AU"/>
        </w:rPr>
        <w:t>). They found higher weight gains when ducks were supplemented with tryptophan but did not measure other indicators of welfare or behaviour.</w:t>
      </w:r>
    </w:p>
    <w:p w14:paraId="00A2486C" w14:textId="77777777" w:rsidR="00286A88" w:rsidRPr="00286A88" w:rsidRDefault="00286A88" w:rsidP="00E62407">
      <w:pPr>
        <w:pStyle w:val="Heading3"/>
        <w:rPr>
          <w:lang w:val="en-AU" w:eastAsia="en-AU"/>
        </w:rPr>
      </w:pPr>
      <w:bookmarkStart w:id="201" w:name="_Toc495310670"/>
      <w:r w:rsidRPr="00286A88">
        <w:rPr>
          <w:lang w:val="en-AU" w:eastAsia="en-AU"/>
        </w:rPr>
        <w:t>D8.2 Procedures</w:t>
      </w:r>
      <w:bookmarkEnd w:id="201"/>
    </w:p>
    <w:p w14:paraId="6CC10C35" w14:textId="77777777" w:rsidR="00286A88" w:rsidRPr="00286A88" w:rsidRDefault="00286A88" w:rsidP="00E62407">
      <w:pPr>
        <w:pStyle w:val="Heading41"/>
      </w:pPr>
      <w:r w:rsidRPr="00286A88">
        <w:t>D8.2a Bill trimming</w:t>
      </w:r>
    </w:p>
    <w:p w14:paraId="44FE3734" w14:textId="77777777" w:rsidR="00286A88" w:rsidRPr="00E62407" w:rsidRDefault="00286A88" w:rsidP="00E62407">
      <w:pPr>
        <w:rPr>
          <w:i/>
          <w:lang w:val="en-AU" w:eastAsia="en-AU"/>
        </w:rPr>
      </w:pPr>
      <w:r w:rsidRPr="00E62407">
        <w:rPr>
          <w:i/>
          <w:lang w:val="en-AU" w:eastAsia="en-AU"/>
        </w:rPr>
        <w:t>Bill trimming, which involves the removal of a portion of the bill, is conducted to reduce feather-pecking within commercial systems. Trimming generally results in ducks engaging in reduced bill-related activities in the first few weeks after, suggesting the procedure may cause pain and damage to the bill. The methods used are variable but tip-searing the bill against a cautery blade may cause less tissue damage than other methods.</w:t>
      </w:r>
    </w:p>
    <w:p w14:paraId="6798A51F" w14:textId="77777777" w:rsidR="00286A88" w:rsidRPr="00286A88" w:rsidRDefault="00286A88" w:rsidP="00E62407">
      <w:pPr>
        <w:rPr>
          <w:lang w:val="en-AU" w:eastAsia="en-AU"/>
        </w:rPr>
      </w:pPr>
      <w:r w:rsidRPr="00286A88">
        <w:rPr>
          <w:lang w:val="en-AU" w:eastAsia="en-AU"/>
        </w:rPr>
        <w:t>Bill-trimming is carried out in some countries to reduce the prevalence of feather-pecking and cannibalism in commercial duck systems. Bill-trimming involves the removal of a portion of the bill using one of the following methods: cold cutting with scissors; tip-searing the bill against a cautery blade for several seconds; or cutting the bill with a hot blade to cauterise the stump (Gustafson et al., 2007a; 2007b). The age and method used across production systems is variable. A few studies have been conducted to compare the impact of different methods, and the age at which it is carried out, on the welfare of the birds (both the impact of the procedure and whether a subsequent improvement in feather quality was seen). In one study, Pekin duck welfare and activity was measured when bills were trimmed (at the hatchery) using the tip-searing and hot-blade methods and compared with a control group in which no trimming took place (Gustafson et al., 2007a). In general, trimmed ducks engaged in fewer bill-related activities and rested more than non-trimmed ducks in the first two weeks post-trim, suggesting that trimming caused acute persistent pain. Both trimming methods resulted in connective tissue proliferation in the bill, but the hot-blade method caused thicker scar tissue and fewer nerve fibres remained in the stump than with the tip-searing method. Additionally, ducks that were bill-trimmed using the hot-blade method were slower to gain weight in the first week after trimming took place. Although duck behaviour suggests that both trimming methods caused acute pain, the feather condition scores of birds in the untrimmed group were worse by 18 days and continued to deteriorate.</w:t>
      </w:r>
    </w:p>
    <w:p w14:paraId="6603914B" w14:textId="77777777" w:rsidR="00286A88" w:rsidRPr="00286A88" w:rsidRDefault="00286A88" w:rsidP="00E62407">
      <w:pPr>
        <w:rPr>
          <w:lang w:val="en-AU" w:eastAsia="en-AU"/>
        </w:rPr>
      </w:pPr>
      <w:r w:rsidRPr="00286A88">
        <w:rPr>
          <w:lang w:val="en-AU" w:eastAsia="en-AU"/>
        </w:rPr>
        <w:t>The effect of bill-trimming (by cutting without cautery) Muscovy ducks at 20-days post-hatch was investigated by Gustafson et al. (2007b). As was seen for Pekin ducks, in the days following trimming birds spent significantly less time engaging in beak-related activities such as preening, feeding, drinking and exploring and more time resting than non-trimmed birds. After one week, the behavioural differences were no longer apparent, but trimmed birds weighed less than non-trimmed birds suggesting it was painful to feed. No differences in behaviour or weight were observed between treatments at 2 weeks post-trim. The differences in recovery time between Pekin and Muscovy ducks may reflect the different trimming methods used, but might also be due to differences in beak morphology between genotypes. Although beak morphology is remarkably different between species of poultry, similarities exist between the somatosensory systems and it is likely that neural projections are similar (Kuenzel, 2007). Extrapolation of results obtained for other species of poultry may therefore be appropriate (see section LH8.3b).</w:t>
      </w:r>
    </w:p>
    <w:p w14:paraId="31E9CDD4" w14:textId="77777777" w:rsidR="00286A88" w:rsidRPr="00286A88" w:rsidRDefault="00286A88" w:rsidP="00E62407">
      <w:pPr>
        <w:pStyle w:val="Heading41"/>
      </w:pPr>
      <w:r w:rsidRPr="00286A88">
        <w:t>D8.2b Moulting</w:t>
      </w:r>
    </w:p>
    <w:p w14:paraId="718A00D9" w14:textId="77777777" w:rsidR="00286A88" w:rsidRPr="00E62407" w:rsidRDefault="00286A88" w:rsidP="00E62407">
      <w:pPr>
        <w:rPr>
          <w:i/>
          <w:lang w:val="en-AU" w:eastAsia="en-AU"/>
        </w:rPr>
      </w:pPr>
      <w:r w:rsidRPr="00E62407">
        <w:rPr>
          <w:i/>
          <w:lang w:val="en-AU" w:eastAsia="en-AU"/>
        </w:rPr>
        <w:t>Ducks reared outdoors complete their moult more quickly and fully than those reared indoors. This may have implications for feather quality if birds are reared in the absence of natural light.</w:t>
      </w:r>
    </w:p>
    <w:p w14:paraId="564F85EF" w14:textId="77777777" w:rsidR="00286A88" w:rsidRPr="00286A88" w:rsidRDefault="00286A88" w:rsidP="00E62407">
      <w:pPr>
        <w:rPr>
          <w:lang w:val="en-AU" w:eastAsia="en-AU"/>
        </w:rPr>
      </w:pPr>
      <w:r w:rsidRPr="00286A88">
        <w:rPr>
          <w:lang w:val="en-AU" w:eastAsia="en-AU"/>
        </w:rPr>
        <w:t>Moulting is a process which allows birds to replace old feathers with new ones, to maintain their condition. Moulting occurs naturally in wild ducks and feathers are replaced approximately once per year. It has been found that environmental rearing conditions can affect the moulting process. In a study by Butler and McGraw (2009), ducks that were reared outdoors completed their moult more quickly and fully than birds that were housed indoors in high or low quality lighting. Natural, outdoor lighting might therefore be required to regulate moulting and indoor lighting may adversely affect feather condition if moulting is not completed fully.</w:t>
      </w:r>
    </w:p>
    <w:p w14:paraId="43D1FA77" w14:textId="77777777" w:rsidR="00286A88" w:rsidRPr="00286A88" w:rsidRDefault="00286A88" w:rsidP="00E62407">
      <w:pPr>
        <w:pStyle w:val="Heading2"/>
        <w:rPr>
          <w:lang w:val="en-AU" w:eastAsia="en-AU"/>
        </w:rPr>
      </w:pPr>
      <w:bookmarkStart w:id="202" w:name="_Toc495310671"/>
      <w:r w:rsidRPr="00286A88">
        <w:rPr>
          <w:lang w:val="en-AU" w:eastAsia="en-AU"/>
        </w:rPr>
        <w:t>D9. Rearing</w:t>
      </w:r>
      <w:bookmarkEnd w:id="202"/>
    </w:p>
    <w:p w14:paraId="69827C7F" w14:textId="77777777" w:rsidR="00286A88" w:rsidRPr="00E62407" w:rsidRDefault="00286A88" w:rsidP="00E62407">
      <w:pPr>
        <w:rPr>
          <w:i/>
          <w:lang w:val="en-AU" w:eastAsia="en-AU"/>
        </w:rPr>
      </w:pPr>
      <w:r w:rsidRPr="00E62407">
        <w:rPr>
          <w:i/>
          <w:lang w:val="en-AU" w:eastAsia="en-AU"/>
        </w:rPr>
        <w:t>Ducks can be reared in a variety of housing systems ranging from slatted indoor units to organic or free-range systems. Ducks are more active when environmental enrichment (e.g. litter, perches, balloons, ribbons) are provided.</w:t>
      </w:r>
    </w:p>
    <w:p w14:paraId="4DEF0919" w14:textId="77777777" w:rsidR="00286A88" w:rsidRPr="00286A88" w:rsidRDefault="00286A88" w:rsidP="00E62407">
      <w:pPr>
        <w:rPr>
          <w:lang w:val="en-AU" w:eastAsia="en-AU"/>
        </w:rPr>
      </w:pPr>
      <w:r w:rsidRPr="00286A88">
        <w:rPr>
          <w:lang w:val="en-AU" w:eastAsia="en-AU"/>
        </w:rPr>
        <w:t>There is a large variety in the housing systems used for rearing ducks, ranging from (generally plastic) slatted indoor units to organic or free-range systems which provide access to an outdoor area. A few studies have been conducted on the impact of the rearing environment on the welfare of ducks, but more studies are required on a commercial scale. In an experimental study looking at the effect of rearing system on production and welfare, ducklings moved and “played” more in a system which provided both sawdust litter and environmental enrichment (perches, balloons and ribbons), compared with those that provided only sawdust or plastic netting over a bamboo bed (no additional details of these housing systems were provided) (Chen et al., 2015). This perhaps reflects the increased behavioural opportunities afforded by the provision of enrichment. In this study, the duration of bathing and feather pecking bouts were longer, but overall feather condition and gait scores were better when birds were net-reared compared with the litter only and enrichment systems. As previously mentioned in sections D3.3 and D3.4, litter quality can influence foot and leg health and may have contributed to the gait differences between the systems.</w:t>
      </w:r>
    </w:p>
    <w:p w14:paraId="663CF2AD" w14:textId="77777777" w:rsidR="00286A88" w:rsidRPr="00286A88" w:rsidRDefault="00286A88" w:rsidP="00E62407">
      <w:pPr>
        <w:rPr>
          <w:lang w:val="en-AU" w:eastAsia="en-AU"/>
        </w:rPr>
      </w:pPr>
      <w:r w:rsidRPr="00286A88">
        <w:rPr>
          <w:lang w:val="en-AU" w:eastAsia="en-AU"/>
        </w:rPr>
        <w:t>As has been suggested for laying hens, consistency between rearing and adult housing is likely to be important for ducks. Presenting birds with completely novel resources in their adult environment may increase stress and has the potential to cause injury as individuals may panic or poorly adapt.</w:t>
      </w:r>
    </w:p>
    <w:p w14:paraId="4B36B495" w14:textId="77777777" w:rsidR="00286A88" w:rsidRPr="00286A88" w:rsidRDefault="00286A88" w:rsidP="00E62407">
      <w:pPr>
        <w:pStyle w:val="Heading2"/>
        <w:rPr>
          <w:lang w:val="en-AU" w:eastAsia="en-AU"/>
        </w:rPr>
      </w:pPr>
      <w:bookmarkStart w:id="203" w:name="_Toc495310672"/>
      <w:r w:rsidRPr="00286A88">
        <w:rPr>
          <w:lang w:val="en-AU" w:eastAsia="en-AU"/>
        </w:rPr>
        <w:t>D10. Breed Effects</w:t>
      </w:r>
      <w:bookmarkEnd w:id="203"/>
    </w:p>
    <w:p w14:paraId="0CBA9AE3" w14:textId="77777777" w:rsidR="00286A88" w:rsidRPr="00E62407" w:rsidRDefault="00286A88" w:rsidP="00E62407">
      <w:pPr>
        <w:rPr>
          <w:i/>
          <w:lang w:val="en-AU" w:eastAsia="en-AU"/>
        </w:rPr>
      </w:pPr>
      <w:r w:rsidRPr="00E62407">
        <w:rPr>
          <w:i/>
          <w:lang w:val="en-AU" w:eastAsia="en-AU"/>
        </w:rPr>
        <w:t>Some breeds of duck cope differently under certain housing conditions. Different fear responses are displayed by Muscovy and Pekin ducks.</w:t>
      </w:r>
    </w:p>
    <w:p w14:paraId="6DD4B960" w14:textId="77777777" w:rsidR="00286A88" w:rsidRPr="00286A88" w:rsidRDefault="00286A88" w:rsidP="00E62407">
      <w:pPr>
        <w:rPr>
          <w:lang w:val="en-AU" w:eastAsia="en-AU"/>
        </w:rPr>
      </w:pPr>
      <w:r w:rsidRPr="00286A88">
        <w:rPr>
          <w:lang w:val="en-AU" w:eastAsia="en-AU"/>
        </w:rPr>
        <w:t>In a study conducted by El-Edel et al. (2015), differences between three genotypes of duck were documented when they were housed in indoor and outdoor housing systems. Mulard ducks spent more time lying and less time standing, preening and panting. The authors suggest that the difference in behaviour may be an indicator of the higher fear level that has been reported for the mulard genotype. Mulards however, were more explorative in the outdoor housing condition compared with those reared indoors. Conversely, ducks of the Cherry Valley genotype were more explorative in the indoor rather than the outdoor housing. This may reflect the ability of different genotypes to adapt to different housing conditions.</w:t>
      </w:r>
    </w:p>
    <w:p w14:paraId="14D87996" w14:textId="77777777" w:rsidR="00286A88" w:rsidRPr="00286A88" w:rsidRDefault="00286A88" w:rsidP="00E62407">
      <w:pPr>
        <w:rPr>
          <w:lang w:val="en-AU" w:eastAsia="en-AU"/>
        </w:rPr>
      </w:pPr>
      <w:r w:rsidRPr="00286A88">
        <w:rPr>
          <w:lang w:val="en-AU" w:eastAsia="en-AU"/>
        </w:rPr>
        <w:t>It has also been shown that Muscovy and Pekin ducks differ in their response to fearful stimuli. In one study, Muscovy ducks generally showed reduced fear and stress responses compared with the Pekin genotype across a range of behavioural tests (Faure et al., 2003). Other studies suggest that Pekin ducks respond to fear and stress with a general increase in behavioural and physiological activity, whilst Muscovy ducks show increased avoidance behaviour (Arnaud et al., 2008; 2010).</w:t>
      </w:r>
    </w:p>
    <w:p w14:paraId="4FBD1D93" w14:textId="77777777" w:rsidR="00286A88" w:rsidRPr="00286A88" w:rsidRDefault="00286A88" w:rsidP="00E62407">
      <w:pPr>
        <w:pStyle w:val="Heading2"/>
        <w:rPr>
          <w:lang w:val="en-AU" w:eastAsia="en-AU"/>
        </w:rPr>
      </w:pPr>
      <w:bookmarkStart w:id="204" w:name="_Toc495310673"/>
      <w:r w:rsidRPr="00286A88">
        <w:rPr>
          <w:lang w:val="en-AU" w:eastAsia="en-AU"/>
        </w:rPr>
        <w:t>D11. Welfare Considerations: Overview</w:t>
      </w:r>
      <w:bookmarkEnd w:id="204"/>
    </w:p>
    <w:p w14:paraId="25245F14" w14:textId="77777777" w:rsidR="00286A88" w:rsidRPr="00286A88" w:rsidRDefault="00286A88" w:rsidP="00E62407">
      <w:pPr>
        <w:rPr>
          <w:shd w:val="clear" w:color="auto" w:fill="FFFFFF"/>
          <w:lang w:val="en-AU" w:eastAsia="en-AU"/>
        </w:rPr>
      </w:pPr>
      <w:r w:rsidRPr="00286A88">
        <w:rPr>
          <w:shd w:val="clear" w:color="auto" w:fill="FFFFFF"/>
          <w:lang w:val="en-AU" w:eastAsia="en-AU"/>
        </w:rPr>
        <w:t>Access to a clean water source which allows full (or at least partial) immersion enables ducks to wet preen. Water is also important in hot climates to allow ducks to thermoregulate effectively. Ducks perform different behaviours in different types of water sources (e.g. showers and troughs), thus providing a range of sources is beneficial. A separate drinking source (e.g. nipple line) must be provided. It is also essential that the area surrounding water sources is adequately drained to avoid wet litter which can lead to foot health problems. A high standard of biosecurity is essential as ducks are susceptible to many infectious diseases which may be exacerbated in the presence of open water-sources.</w:t>
      </w:r>
    </w:p>
    <w:p w14:paraId="7F605176" w14:textId="77777777" w:rsidR="00286A88" w:rsidRPr="00286A88" w:rsidRDefault="00286A88" w:rsidP="00E62407">
      <w:pPr>
        <w:rPr>
          <w:shd w:val="clear" w:color="auto" w:fill="FFFFFF"/>
          <w:lang w:val="en-AU" w:eastAsia="en-AU"/>
        </w:rPr>
      </w:pPr>
      <w:r w:rsidRPr="00286A88">
        <w:rPr>
          <w:shd w:val="clear" w:color="auto" w:fill="FFFFFF"/>
          <w:lang w:val="en-AU" w:eastAsia="en-AU"/>
        </w:rPr>
        <w:t>A litter area allows ducks to root and forage but litter quality should be monitored closely to avoid foot health problems.</w:t>
      </w:r>
    </w:p>
    <w:p w14:paraId="2D221BD9" w14:textId="77777777" w:rsidR="00286A88" w:rsidRPr="00286A88" w:rsidRDefault="00286A88" w:rsidP="00E62407">
      <w:pPr>
        <w:rPr>
          <w:shd w:val="clear" w:color="auto" w:fill="FFFFFF"/>
          <w:lang w:val="en-AU" w:eastAsia="en-AU"/>
        </w:rPr>
      </w:pPr>
      <w:r w:rsidRPr="00286A88">
        <w:rPr>
          <w:shd w:val="clear" w:color="auto" w:fill="FFFFFF"/>
          <w:lang w:val="en-AU" w:eastAsia="en-AU"/>
        </w:rPr>
        <w:t>Ducks are susceptible to stress and can panic easily. Reducing levels of fear within the flock can be aided by walking through the housing regularly. Producers should consider the genotype they are using as some strains are more susceptible to stress.</w:t>
      </w:r>
    </w:p>
    <w:p w14:paraId="1093109A" w14:textId="77777777" w:rsidR="00286A88" w:rsidRPr="00286A88" w:rsidRDefault="00286A88" w:rsidP="00E62407">
      <w:pPr>
        <w:rPr>
          <w:shd w:val="clear" w:color="auto" w:fill="FFFFFF"/>
          <w:lang w:val="en-AU" w:eastAsia="en-AU"/>
        </w:rPr>
      </w:pPr>
      <w:r w:rsidRPr="00286A88">
        <w:rPr>
          <w:shd w:val="clear" w:color="auto" w:fill="FFFFFF"/>
          <w:lang w:val="en-AU" w:eastAsia="en-AU"/>
        </w:rPr>
        <w:t xml:space="preserve">Ducks are a social species and should not be housed in individual cages. </w:t>
      </w:r>
      <w:r w:rsidRPr="00286A88">
        <w:rPr>
          <w:rFonts w:cs="Times New Roman"/>
          <w:lang w:val="en-AU" w:eastAsia="en-AU"/>
        </w:rPr>
        <w:t>Higher stocking densities have been associated with an increased risk of feather damage and with reduced weight gain, but further research is needed to establish recommended stocking densities, group sizes and sex ratios to ensure good welfare.</w:t>
      </w:r>
    </w:p>
    <w:p w14:paraId="74F0A355" w14:textId="77777777" w:rsidR="00286A88" w:rsidRPr="00286A88" w:rsidRDefault="00286A88" w:rsidP="00E62407">
      <w:pPr>
        <w:rPr>
          <w:shd w:val="clear" w:color="auto" w:fill="FFFFFF"/>
          <w:lang w:val="en-AU" w:eastAsia="en-AU"/>
        </w:rPr>
      </w:pPr>
      <w:r w:rsidRPr="00286A88">
        <w:rPr>
          <w:shd w:val="clear" w:color="auto" w:fill="FFFFFF"/>
          <w:lang w:val="en-AU" w:eastAsia="en-AU"/>
        </w:rPr>
        <w:t>Force-feeding for foie gras production causes discomfort, ill-health and increased mortality, and is a serious welfare concern in those countries where it is conducted. The practice is not permitted in Australia.</w:t>
      </w:r>
    </w:p>
    <w:p w14:paraId="4EB6E758" w14:textId="77777777" w:rsidR="00286A88" w:rsidRPr="00286A88" w:rsidRDefault="00286A88" w:rsidP="00E62407">
      <w:pPr>
        <w:rPr>
          <w:shd w:val="clear" w:color="auto" w:fill="FFFFFF"/>
          <w:lang w:val="en-AU" w:eastAsia="en-AU"/>
        </w:rPr>
      </w:pPr>
      <w:r w:rsidRPr="00286A88">
        <w:rPr>
          <w:shd w:val="clear" w:color="auto" w:fill="FFFFFF"/>
          <w:lang w:val="en-AU" w:eastAsia="en-AU"/>
        </w:rPr>
        <w:t>No scientific literature on the welfare consequences of feather collection in ducks was found but based on their similarities with geese, the collection of feathers from live ducks would be a serious welfare concern. This practice is not permitted for ducks in Australia.</w:t>
      </w:r>
    </w:p>
    <w:p w14:paraId="59D5F15C" w14:textId="77777777" w:rsidR="00286A88" w:rsidRPr="00286A88" w:rsidRDefault="00286A88" w:rsidP="00E62407">
      <w:pPr>
        <w:rPr>
          <w:shd w:val="clear" w:color="auto" w:fill="FFFFFF"/>
          <w:lang w:val="en-AU" w:eastAsia="en-AU"/>
        </w:rPr>
      </w:pPr>
      <w:r w:rsidRPr="00286A88">
        <w:rPr>
          <w:shd w:val="clear" w:color="auto" w:fill="FFFFFF"/>
          <w:lang w:val="en-AU" w:eastAsia="en-AU"/>
        </w:rPr>
        <w:t>Bill trimming should be avoided unless absolutely necessary. Studies have shown that trimming reduces bill use for up to one week. This suggests the procedure causes pain. Alternative strategies to reduce inter-bird pecking damage including the provision of opportunities for natural foraging behaviour can be implemented to avoid the need for bill trimming.</w:t>
      </w:r>
    </w:p>
    <w:p w14:paraId="7F9940D1" w14:textId="77777777" w:rsidR="00286A88" w:rsidRDefault="00286A88" w:rsidP="00E62407">
      <w:pPr>
        <w:rPr>
          <w:shd w:val="clear" w:color="auto" w:fill="FFFFFF"/>
          <w:lang w:val="en-AU" w:eastAsia="en-AU"/>
        </w:rPr>
      </w:pPr>
      <w:r w:rsidRPr="00286A88">
        <w:rPr>
          <w:shd w:val="clear" w:color="auto" w:fill="FFFFFF"/>
          <w:lang w:val="en-AU" w:eastAsia="en-AU"/>
        </w:rPr>
        <w:t>The provision of natural light (in addition to artificial light) within housing is ideal, but if not possible, a range of light intensities should be provided. Ducks showed a preference for at least 6 lux.</w:t>
      </w:r>
    </w:p>
    <w:p w14:paraId="35588F6F" w14:textId="77777777" w:rsidR="00EB1BF9" w:rsidRDefault="00363A83" w:rsidP="00EB1BF9">
      <w:pPr>
        <w:pStyle w:val="Heading2"/>
        <w:rPr>
          <w:shd w:val="clear" w:color="auto" w:fill="FFFFFF"/>
          <w:lang w:val="en-AU" w:eastAsia="en-AU"/>
        </w:rPr>
      </w:pPr>
      <w:bookmarkStart w:id="205" w:name="_Toc495310674"/>
      <w:r>
        <w:rPr>
          <w:shd w:val="clear" w:color="auto" w:fill="FFFFFF"/>
          <w:lang w:val="en-AU" w:eastAsia="en-AU"/>
        </w:rPr>
        <w:t xml:space="preserve">D12. </w:t>
      </w:r>
      <w:r w:rsidR="00EB1BF9">
        <w:rPr>
          <w:shd w:val="clear" w:color="auto" w:fill="FFFFFF"/>
          <w:lang w:val="en-AU" w:eastAsia="en-AU"/>
        </w:rPr>
        <w:t>References</w:t>
      </w:r>
      <w:bookmarkEnd w:id="205"/>
    </w:p>
    <w:p w14:paraId="21835265" w14:textId="77777777" w:rsidR="00EB1BF9" w:rsidRPr="00EB1BF9" w:rsidRDefault="00EB1BF9" w:rsidP="00EB1BF9">
      <w:pPr>
        <w:rPr>
          <w:shd w:val="clear" w:color="auto" w:fill="FFFFFF"/>
          <w:lang w:eastAsia="en-AU"/>
        </w:rPr>
      </w:pPr>
      <w:r w:rsidRPr="00EB1BF9">
        <w:rPr>
          <w:shd w:val="clear" w:color="auto" w:fill="FFFFFF"/>
          <w:lang w:eastAsia="en-AU"/>
        </w:rPr>
        <w:t>Appleby, M. C., J. A. Mench, and B. O. Hughes. 2004. Poultry behaviour and welfare. CABI.</w:t>
      </w:r>
    </w:p>
    <w:p w14:paraId="45FCA197" w14:textId="77777777" w:rsidR="00EB1BF9" w:rsidRPr="00EB1BF9" w:rsidRDefault="00EB1BF9" w:rsidP="00EB1BF9">
      <w:pPr>
        <w:rPr>
          <w:shd w:val="clear" w:color="auto" w:fill="FFFFFF"/>
          <w:lang w:eastAsia="en-AU"/>
        </w:rPr>
      </w:pPr>
      <w:r w:rsidRPr="00EB1BF9">
        <w:rPr>
          <w:shd w:val="clear" w:color="auto" w:fill="FFFFFF"/>
          <w:lang w:eastAsia="en-AU"/>
        </w:rPr>
        <w:t xml:space="preserve">Arnaud, I., S. Mignon-Grasteau, C. Larzul, G. Guy, J. M. Faure, and D. </w:t>
      </w:r>
      <w:r w:rsidR="003F3E9F" w:rsidRPr="00286A88">
        <w:rPr>
          <w:lang w:val="en-AU" w:eastAsia="en-AU"/>
        </w:rPr>
        <w:t>Guémené</w:t>
      </w:r>
      <w:r w:rsidRPr="00EB1BF9">
        <w:rPr>
          <w:shd w:val="clear" w:color="auto" w:fill="FFFFFF"/>
          <w:lang w:eastAsia="en-AU"/>
        </w:rPr>
        <w:t>. 2008. Behavioural and physiological fear responses in ducks: genetic cross effects. Animal 2:1518-1525. doi 10.1017/s1751731108002784</w:t>
      </w:r>
    </w:p>
    <w:p w14:paraId="07D000D7" w14:textId="77777777" w:rsidR="00EB1BF9" w:rsidRPr="00EB1BF9" w:rsidRDefault="00EB1BF9" w:rsidP="00EB1BF9">
      <w:pPr>
        <w:rPr>
          <w:shd w:val="clear" w:color="auto" w:fill="FFFFFF"/>
          <w:lang w:eastAsia="en-AU"/>
        </w:rPr>
      </w:pPr>
      <w:r w:rsidRPr="00EB1BF9">
        <w:rPr>
          <w:shd w:val="clear" w:color="auto" w:fill="FFFFFF"/>
          <w:lang w:eastAsia="en-AU"/>
        </w:rPr>
        <w:t xml:space="preserve">Arnaud, I., E. Gardin, E. Sauvage, M. D. Bernadet, M. Couty, G. Guy, and D. </w:t>
      </w:r>
      <w:r w:rsidR="003F3E9F" w:rsidRPr="00286A88">
        <w:rPr>
          <w:lang w:val="en-AU" w:eastAsia="en-AU"/>
        </w:rPr>
        <w:t>Guémené</w:t>
      </w:r>
      <w:r w:rsidRPr="00EB1BF9">
        <w:rPr>
          <w:shd w:val="clear" w:color="auto" w:fill="FFFFFF"/>
          <w:lang w:eastAsia="en-AU"/>
        </w:rPr>
        <w:t>. 2010. Behavioral and adrenal responses to various stressors in mule ducks from different commercial genetic selection schemes and their respective parental genotypes. Poultry Science 89:1097-1109. doi 10.3382/ps.2009-00553</w:t>
      </w:r>
    </w:p>
    <w:p w14:paraId="51BCE98F" w14:textId="77777777" w:rsidR="00EB1BF9" w:rsidRPr="00EB1BF9" w:rsidRDefault="00EB1BF9" w:rsidP="00EB1BF9">
      <w:pPr>
        <w:rPr>
          <w:shd w:val="clear" w:color="auto" w:fill="FFFFFF"/>
          <w:lang w:eastAsia="en-AU"/>
        </w:rPr>
      </w:pPr>
      <w:r w:rsidRPr="00EB1BF9">
        <w:rPr>
          <w:shd w:val="clear" w:color="auto" w:fill="FFFFFF"/>
          <w:lang w:eastAsia="en-AU"/>
        </w:rPr>
        <w:t>Ashton, C., and M. Ashton. 2001. The Domestic Duck.The Crowood Press, Marlborough, UK.</w:t>
      </w:r>
    </w:p>
    <w:p w14:paraId="5758E84B" w14:textId="77777777" w:rsidR="00EB1BF9" w:rsidRPr="00EB1BF9" w:rsidRDefault="00EB1BF9" w:rsidP="00EB1BF9">
      <w:pPr>
        <w:rPr>
          <w:shd w:val="clear" w:color="auto" w:fill="FFFFFF"/>
          <w:lang w:eastAsia="en-AU"/>
        </w:rPr>
      </w:pPr>
      <w:r w:rsidRPr="00EB1BF9">
        <w:rPr>
          <w:shd w:val="clear" w:color="auto" w:fill="FFFFFF"/>
          <w:lang w:eastAsia="en-AU"/>
        </w:rPr>
        <w:t>Barber, C. L., N. B. Prescott, C. M. Wathes, C. Le Sueur, and G. Perry. 2004. Preferences of growing ducklings and turkey poults for illumina</w:t>
      </w:r>
      <w:r w:rsidR="001F4917">
        <w:rPr>
          <w:shd w:val="clear" w:color="auto" w:fill="FFFFFF"/>
          <w:lang w:eastAsia="en-AU"/>
        </w:rPr>
        <w:t>nce. Animal Welfare 13:211-224.</w:t>
      </w:r>
    </w:p>
    <w:p w14:paraId="08D45AD1" w14:textId="77777777" w:rsidR="00EB1BF9" w:rsidRPr="00EB1BF9" w:rsidRDefault="00EB1BF9" w:rsidP="00EB1BF9">
      <w:pPr>
        <w:rPr>
          <w:shd w:val="clear" w:color="auto" w:fill="FFFFFF"/>
          <w:lang w:eastAsia="en-AU"/>
        </w:rPr>
      </w:pPr>
      <w:r w:rsidRPr="00EB1BF9">
        <w:rPr>
          <w:shd w:val="clear" w:color="auto" w:fill="FFFFFF"/>
          <w:lang w:eastAsia="en-AU"/>
        </w:rPr>
        <w:t>Bozakova, N. A., K. T. Stoyanchev, S. Popova-Ralcheva, N. V. Georgieva, V. T. Gerzilov, and E. B. Valkova. 2012. Behavioral study of mule ducks with subclinical muscular dystrophy under ecological comfort and stress conditions. Bulgarian Journal of A</w:t>
      </w:r>
      <w:r w:rsidR="001F4917">
        <w:rPr>
          <w:shd w:val="clear" w:color="auto" w:fill="FFFFFF"/>
          <w:lang w:eastAsia="en-AU"/>
        </w:rPr>
        <w:t>gricultural Science 18:511-518.</w:t>
      </w:r>
    </w:p>
    <w:p w14:paraId="55ACC809" w14:textId="77777777" w:rsidR="00EB1BF9" w:rsidRPr="00EB1BF9" w:rsidRDefault="00EB1BF9" w:rsidP="00EB1BF9">
      <w:pPr>
        <w:rPr>
          <w:shd w:val="clear" w:color="auto" w:fill="FFFFFF"/>
          <w:lang w:eastAsia="en-AU"/>
        </w:rPr>
      </w:pPr>
      <w:r w:rsidRPr="00EB1BF9">
        <w:rPr>
          <w:shd w:val="clear" w:color="auto" w:fill="FFFFFF"/>
          <w:lang w:eastAsia="en-AU"/>
        </w:rPr>
        <w:t>Braun, C. M., S. Neuman, P. Y. Hester, and M. A. Latour. 2002. Breeder age alters offspring performance in the Pekin duck. Journal of Appli</w:t>
      </w:r>
      <w:r w:rsidR="001F4917">
        <w:rPr>
          <w:shd w:val="clear" w:color="auto" w:fill="FFFFFF"/>
          <w:lang w:eastAsia="en-AU"/>
        </w:rPr>
        <w:t>ed Poultry Research 11:270-274.</w:t>
      </w:r>
    </w:p>
    <w:p w14:paraId="6082DF61" w14:textId="77777777" w:rsidR="00EB1BF9" w:rsidRPr="00EB1BF9" w:rsidRDefault="00EB1BF9" w:rsidP="00EB1BF9">
      <w:pPr>
        <w:rPr>
          <w:shd w:val="clear" w:color="auto" w:fill="FFFFFF"/>
          <w:lang w:eastAsia="en-AU"/>
        </w:rPr>
      </w:pPr>
      <w:r w:rsidRPr="00EB1BF9">
        <w:rPr>
          <w:shd w:val="clear" w:color="auto" w:fill="FFFFFF"/>
          <w:lang w:eastAsia="en-AU"/>
        </w:rPr>
        <w:t>Butler, M. W., and K. J. McGraw. 2009. Indoor housing during development affects moult, carotenoid circulation and beak colouration of mallard ducks (</w:t>
      </w:r>
      <w:r w:rsidRPr="001F4917">
        <w:rPr>
          <w:i/>
          <w:shd w:val="clear" w:color="auto" w:fill="FFFFFF"/>
          <w:lang w:eastAsia="en-AU"/>
        </w:rPr>
        <w:t>Anas platyrhynchos</w:t>
      </w:r>
      <w:r w:rsidRPr="00EB1BF9">
        <w:rPr>
          <w:shd w:val="clear" w:color="auto" w:fill="FFFFFF"/>
          <w:lang w:eastAsia="en-AU"/>
        </w:rPr>
        <w:t>). Avian Biology Research 2:203-211. doi 10.3184/175815509x12570082777157</w:t>
      </w:r>
    </w:p>
    <w:p w14:paraId="17C06B7A" w14:textId="77777777" w:rsidR="00EB1BF9" w:rsidRPr="00EB1BF9" w:rsidRDefault="00EB1BF9" w:rsidP="00EB1BF9">
      <w:pPr>
        <w:rPr>
          <w:shd w:val="clear" w:color="auto" w:fill="FFFFFF"/>
          <w:lang w:eastAsia="en-AU"/>
        </w:rPr>
      </w:pPr>
      <w:r w:rsidRPr="00EB1BF9">
        <w:rPr>
          <w:shd w:val="clear" w:color="auto" w:fill="FFFFFF"/>
          <w:lang w:eastAsia="en-AU"/>
        </w:rPr>
        <w:t>Campbell, C. L., S. Colton, R. Haas, M. Rice, A. Porter, A. Schenk, A. Meelker, S. M. Fraley, and G. S. Fraley. 2015. Effects of different wavelengths of light on the biology, behavior, and production of grow-out Pekin ducks. Poultry Science 94:1751-1757. doi 10.3382/ps/pev166</w:t>
      </w:r>
    </w:p>
    <w:p w14:paraId="4BE7D5A0" w14:textId="77777777" w:rsidR="00EB1BF9" w:rsidRPr="00EB1BF9" w:rsidRDefault="00EB1BF9" w:rsidP="00EB1BF9">
      <w:pPr>
        <w:rPr>
          <w:shd w:val="clear" w:color="auto" w:fill="FFFFFF"/>
          <w:lang w:eastAsia="en-AU"/>
        </w:rPr>
      </w:pPr>
      <w:r w:rsidRPr="00EB1BF9">
        <w:rPr>
          <w:shd w:val="clear" w:color="auto" w:fill="FFFFFF"/>
          <w:lang w:eastAsia="en-AU"/>
        </w:rPr>
        <w:t>Capua, I., and F. Mutinelli. 2001. Mortality in Muscovy ducks (</w:t>
      </w:r>
      <w:r w:rsidRPr="001F4917">
        <w:rPr>
          <w:i/>
          <w:shd w:val="clear" w:color="auto" w:fill="FFFFFF"/>
          <w:lang w:eastAsia="en-AU"/>
        </w:rPr>
        <w:t>Cairina moschata</w:t>
      </w:r>
      <w:r w:rsidRPr="00EB1BF9">
        <w:rPr>
          <w:shd w:val="clear" w:color="auto" w:fill="FFFFFF"/>
          <w:lang w:eastAsia="en-AU"/>
        </w:rPr>
        <w:t>) and domestic geese (</w:t>
      </w:r>
      <w:r w:rsidRPr="001F4917">
        <w:rPr>
          <w:i/>
          <w:shd w:val="clear" w:color="auto" w:fill="FFFFFF"/>
          <w:lang w:eastAsia="en-AU"/>
        </w:rPr>
        <w:t>Anser anser</w:t>
      </w:r>
      <w:r w:rsidRPr="00EB1BF9">
        <w:rPr>
          <w:shd w:val="clear" w:color="auto" w:fill="FFFFFF"/>
          <w:lang w:eastAsia="en-AU"/>
        </w:rPr>
        <w:t xml:space="preserve"> var. </w:t>
      </w:r>
      <w:r w:rsidRPr="001F4917">
        <w:rPr>
          <w:i/>
          <w:shd w:val="clear" w:color="auto" w:fill="FFFFFF"/>
          <w:lang w:eastAsia="en-AU"/>
        </w:rPr>
        <w:t>domestica</w:t>
      </w:r>
      <w:r w:rsidRPr="00EB1BF9">
        <w:rPr>
          <w:shd w:val="clear" w:color="auto" w:fill="FFFFFF"/>
          <w:lang w:eastAsia="en-AU"/>
        </w:rPr>
        <w:t>) associated with natural infection with a highly pathogenic avian influenza virus of H7N1 subty</w:t>
      </w:r>
      <w:r w:rsidR="001F4917">
        <w:rPr>
          <w:shd w:val="clear" w:color="auto" w:fill="FFFFFF"/>
          <w:lang w:eastAsia="en-AU"/>
        </w:rPr>
        <w:t>pe. Avian Pathology 30:179-183.</w:t>
      </w:r>
    </w:p>
    <w:p w14:paraId="17FB3EB5" w14:textId="77777777" w:rsidR="00EB1BF9" w:rsidRPr="00EB1BF9" w:rsidRDefault="00EB1BF9" w:rsidP="00EB1BF9">
      <w:pPr>
        <w:rPr>
          <w:shd w:val="clear" w:color="auto" w:fill="FFFFFF"/>
          <w:lang w:eastAsia="en-AU"/>
        </w:rPr>
      </w:pPr>
      <w:r w:rsidRPr="00EB1BF9">
        <w:rPr>
          <w:shd w:val="clear" w:color="auto" w:fill="FFFFFF"/>
          <w:lang w:eastAsia="en-AU"/>
        </w:rPr>
        <w:t>Chen, Y. J., C. Aorigele, F. Yan, Y. Li, P. Cheng, and Z. L. Qi. 2015. Effect of production system on welfare traits, growth performance and meat quality of ducks. South African Journal of Animal Science 45:173-179. doi 10.4314/sajas.v45i2.8</w:t>
      </w:r>
    </w:p>
    <w:p w14:paraId="1CA16898" w14:textId="77777777" w:rsidR="00EB1BF9" w:rsidRPr="00EB1BF9" w:rsidRDefault="00EB1BF9" w:rsidP="00EB1BF9">
      <w:pPr>
        <w:rPr>
          <w:shd w:val="clear" w:color="auto" w:fill="FFFFFF"/>
          <w:lang w:eastAsia="en-AU"/>
        </w:rPr>
      </w:pPr>
      <w:r w:rsidRPr="00EB1BF9">
        <w:rPr>
          <w:shd w:val="clear" w:color="auto" w:fill="FFFFFF"/>
          <w:lang w:eastAsia="en-AU"/>
        </w:rPr>
        <w:t>Cherry, P., and T. R. Morris. 2008. Domestic duck production: science and practice. CABI.</w:t>
      </w:r>
    </w:p>
    <w:p w14:paraId="77364397" w14:textId="77777777" w:rsidR="00EB1BF9" w:rsidRPr="00EB1BF9" w:rsidRDefault="00EB1BF9" w:rsidP="00EB1BF9">
      <w:pPr>
        <w:rPr>
          <w:shd w:val="clear" w:color="auto" w:fill="FFFFFF"/>
          <w:lang w:eastAsia="en-AU"/>
        </w:rPr>
      </w:pPr>
      <w:r w:rsidRPr="00EB1BF9">
        <w:rPr>
          <w:shd w:val="clear" w:color="auto" w:fill="FFFFFF"/>
          <w:lang w:eastAsia="en-AU"/>
        </w:rPr>
        <w:t>Colton, S., and G. S. Fraley. 2014. The effects of environmental enrichment devices on feather picking in commercially housed Pekin ducks. Poultry Science 93:2143-2150. doi 10.3382/ps.2014-03885</w:t>
      </w:r>
    </w:p>
    <w:p w14:paraId="77CBF6C8" w14:textId="77777777" w:rsidR="00EB1BF9" w:rsidRPr="00EB1BF9" w:rsidRDefault="00EB1BF9" w:rsidP="00EB1BF9">
      <w:pPr>
        <w:rPr>
          <w:shd w:val="clear" w:color="auto" w:fill="FFFFFF"/>
          <w:lang w:eastAsia="en-AU"/>
        </w:rPr>
      </w:pPr>
      <w:r w:rsidRPr="00EB1BF9">
        <w:rPr>
          <w:shd w:val="clear" w:color="auto" w:fill="FFFFFF"/>
          <w:lang w:eastAsia="en-AU"/>
        </w:rPr>
        <w:t>Cooper, J. J., L. McAfee, and H. Skinn. 2002. Behavioural responses of domestic ducks to nipple drinkers, bell drinkers and water troughs. Brit</w:t>
      </w:r>
      <w:r w:rsidR="001F4917">
        <w:rPr>
          <w:shd w:val="clear" w:color="auto" w:fill="FFFFFF"/>
          <w:lang w:eastAsia="en-AU"/>
        </w:rPr>
        <w:t>ish Poultry Science 43:S17-S18.</w:t>
      </w:r>
    </w:p>
    <w:p w14:paraId="66C74B78" w14:textId="77777777" w:rsidR="00EB1BF9" w:rsidRPr="00EB1BF9" w:rsidRDefault="00EB1BF9" w:rsidP="00EB1BF9">
      <w:pPr>
        <w:rPr>
          <w:shd w:val="clear" w:color="auto" w:fill="FFFFFF"/>
          <w:lang w:eastAsia="en-AU"/>
        </w:rPr>
      </w:pPr>
      <w:r w:rsidRPr="00EB1BF9">
        <w:rPr>
          <w:shd w:val="clear" w:color="auto" w:fill="FFFFFF"/>
          <w:lang w:eastAsia="en-AU"/>
        </w:rPr>
        <w:t>Da Costa, M. J., E. O. Oviedo-Rondon, M. Wineland, and D. Jeffrey. 2015. Effects of eggshell conductance and incubation temperatures on duck footpad development. Journal of Applied Poultry Research 24:536-546. doi 10.3382/japr/pfv056</w:t>
      </w:r>
    </w:p>
    <w:p w14:paraId="06A71B54" w14:textId="77777777" w:rsidR="00EB1BF9" w:rsidRPr="00EB1BF9" w:rsidRDefault="00EB1BF9" w:rsidP="00EB1BF9">
      <w:pPr>
        <w:rPr>
          <w:shd w:val="clear" w:color="auto" w:fill="FFFFFF"/>
          <w:lang w:eastAsia="en-AU"/>
        </w:rPr>
      </w:pPr>
      <w:r w:rsidRPr="00EB1BF9">
        <w:rPr>
          <w:shd w:val="clear" w:color="auto" w:fill="FFFFFF"/>
          <w:lang w:eastAsia="en-AU"/>
        </w:rPr>
        <w:t xml:space="preserve">Da Costa, M. J., E. O. Oviedo-Rondon, M. Wineland, and D. Jeffrey. 2016. Pathogeny of fatigued walking condition in Pekin ducks. Avian Diseases 60:731-738. </w:t>
      </w:r>
    </w:p>
    <w:p w14:paraId="53D02C19" w14:textId="77777777" w:rsidR="00EB1BF9" w:rsidRPr="00EB1BF9" w:rsidRDefault="00EB1BF9" w:rsidP="00EB1BF9">
      <w:pPr>
        <w:rPr>
          <w:shd w:val="clear" w:color="auto" w:fill="FFFFFF"/>
          <w:lang w:eastAsia="en-AU"/>
        </w:rPr>
      </w:pPr>
      <w:r w:rsidRPr="00EB1BF9">
        <w:rPr>
          <w:shd w:val="clear" w:color="auto" w:fill="FFFFFF"/>
          <w:lang w:eastAsia="en-AU"/>
        </w:rPr>
        <w:t>Dinev, I., K. Koev, and M. Lutzkanov. 2011. Pathomorphological investigations on the incidence of chronic liver lesions and their association with welfare in White Pekin ducks. Revue De Me</w:t>
      </w:r>
      <w:r w:rsidR="001F4917">
        <w:rPr>
          <w:shd w:val="clear" w:color="auto" w:fill="FFFFFF"/>
          <w:lang w:eastAsia="en-AU"/>
        </w:rPr>
        <w:t>decine Veterinaire 162:284-288.</w:t>
      </w:r>
    </w:p>
    <w:p w14:paraId="743898F7" w14:textId="77777777" w:rsidR="00EB1BF9" w:rsidRPr="00EB1BF9" w:rsidRDefault="00EB1BF9" w:rsidP="00EB1BF9">
      <w:pPr>
        <w:rPr>
          <w:shd w:val="clear" w:color="auto" w:fill="FFFFFF"/>
          <w:lang w:eastAsia="en-AU"/>
        </w:rPr>
      </w:pPr>
      <w:r w:rsidRPr="00EB1BF9">
        <w:rPr>
          <w:shd w:val="clear" w:color="auto" w:fill="FFFFFF"/>
          <w:lang w:eastAsia="en-AU"/>
        </w:rPr>
        <w:t>Duggan, B. M., P. M. Hocking, T. Schwarz, and D. N. Clements. 2015. Differences in hindlimb morphology of ducks and chickens: effects of domestication and selection. Genetics Selection Evolution 47. doi 10.1186/s12711-015-0166-9</w:t>
      </w:r>
    </w:p>
    <w:p w14:paraId="3A512C6C" w14:textId="77777777" w:rsidR="00EB1BF9" w:rsidRPr="00EB1BF9" w:rsidRDefault="00EB1BF9" w:rsidP="00EB1BF9">
      <w:pPr>
        <w:rPr>
          <w:shd w:val="clear" w:color="auto" w:fill="FFFFFF"/>
          <w:lang w:eastAsia="en-AU"/>
        </w:rPr>
      </w:pPr>
      <w:r w:rsidRPr="00EB1BF9">
        <w:rPr>
          <w:shd w:val="clear" w:color="auto" w:fill="FFFFFF"/>
          <w:lang w:eastAsia="en-AU"/>
        </w:rPr>
        <w:t>Duggan, B. M., P. M. Hocking, and D. N. Clements. 2016. Gait in ducks (</w:t>
      </w:r>
      <w:r w:rsidRPr="001F4917">
        <w:rPr>
          <w:i/>
          <w:shd w:val="clear" w:color="auto" w:fill="FFFFFF"/>
          <w:lang w:eastAsia="en-AU"/>
        </w:rPr>
        <w:t>Anas platyrhynchos</w:t>
      </w:r>
      <w:r w:rsidRPr="00EB1BF9">
        <w:rPr>
          <w:shd w:val="clear" w:color="auto" w:fill="FFFFFF"/>
          <w:lang w:eastAsia="en-AU"/>
        </w:rPr>
        <w:t>) and chickens (</w:t>
      </w:r>
      <w:r w:rsidRPr="001F4917">
        <w:rPr>
          <w:i/>
          <w:shd w:val="clear" w:color="auto" w:fill="FFFFFF"/>
          <w:lang w:eastAsia="en-AU"/>
        </w:rPr>
        <w:t>Gallus gallus</w:t>
      </w:r>
      <w:r w:rsidRPr="00EB1BF9">
        <w:rPr>
          <w:shd w:val="clear" w:color="auto" w:fill="FFFFFF"/>
          <w:lang w:eastAsia="en-AU"/>
        </w:rPr>
        <w:t>) - similarities in adaptation to high growth rate. Biology Open 5:1077-1085. doi 10.1242/bio.018614</w:t>
      </w:r>
    </w:p>
    <w:p w14:paraId="57220C44" w14:textId="77777777" w:rsidR="00EB1BF9" w:rsidRPr="00EB1BF9" w:rsidRDefault="00EB1BF9" w:rsidP="00EB1BF9">
      <w:pPr>
        <w:rPr>
          <w:shd w:val="clear" w:color="auto" w:fill="FFFFFF"/>
          <w:lang w:eastAsia="en-AU"/>
        </w:rPr>
      </w:pPr>
      <w:r w:rsidRPr="00EB1BF9">
        <w:rPr>
          <w:shd w:val="clear" w:color="auto" w:fill="FFFFFF"/>
          <w:lang w:eastAsia="en-AU"/>
        </w:rPr>
        <w:t>DuRant, S. E., G. R. Hepp, I. T. Moore, B. C. Hopkins, and W. A. Hopkins. 2010. Slight differences in incubation temperature affect early growth and stress endocrinology of wood duck (</w:t>
      </w:r>
      <w:r w:rsidRPr="001F4917">
        <w:rPr>
          <w:i/>
          <w:shd w:val="clear" w:color="auto" w:fill="FFFFFF"/>
          <w:lang w:eastAsia="en-AU"/>
        </w:rPr>
        <w:t>Aix sponsa</w:t>
      </w:r>
      <w:r w:rsidRPr="00EB1BF9">
        <w:rPr>
          <w:shd w:val="clear" w:color="auto" w:fill="FFFFFF"/>
          <w:lang w:eastAsia="en-AU"/>
        </w:rPr>
        <w:t>) ducklings. Journal of Experimental Biology 213:45-51. doi 10.1242/jeb.034488</w:t>
      </w:r>
    </w:p>
    <w:p w14:paraId="503D6F29" w14:textId="77777777" w:rsidR="00EB1BF9" w:rsidRPr="00EB1BF9" w:rsidRDefault="00EB1BF9" w:rsidP="00EB1BF9">
      <w:pPr>
        <w:rPr>
          <w:shd w:val="clear" w:color="auto" w:fill="FFFFFF"/>
          <w:lang w:eastAsia="en-AU"/>
        </w:rPr>
      </w:pPr>
      <w:r w:rsidRPr="00EB1BF9">
        <w:rPr>
          <w:shd w:val="clear" w:color="auto" w:fill="FFFFFF"/>
          <w:lang w:eastAsia="en-AU"/>
        </w:rPr>
        <w:t>El-Edel, M., S. El-Kholya, and U. Abou-Ismail. 2015. The effects of housing systems on behaviour, productive performance and immune response to avian influenza vaccine in three breeds of ducks. International Journal of Agriculture Innovations and Research 3:2319-1473.</w:t>
      </w:r>
    </w:p>
    <w:p w14:paraId="5FDE454B" w14:textId="77777777" w:rsidR="00EB1BF9" w:rsidRPr="00EB1BF9" w:rsidRDefault="00EB1BF9" w:rsidP="00EB1BF9">
      <w:pPr>
        <w:rPr>
          <w:shd w:val="clear" w:color="auto" w:fill="FFFFFF"/>
          <w:lang w:eastAsia="en-AU"/>
        </w:rPr>
      </w:pPr>
      <w:r w:rsidRPr="00EB1BF9">
        <w:rPr>
          <w:shd w:val="clear" w:color="auto" w:fill="FFFFFF"/>
          <w:lang w:eastAsia="en-AU"/>
        </w:rPr>
        <w:t xml:space="preserve">Erisir, Z., O. Poyraz, E. E. </w:t>
      </w:r>
      <w:r w:rsidRPr="00EB1BF9">
        <w:rPr>
          <w:bCs/>
          <w:shd w:val="clear" w:color="auto" w:fill="FFFFFF"/>
          <w:lang w:val="en-AU" w:eastAsia="en-AU"/>
        </w:rPr>
        <w:t>Onbaşılar</w:t>
      </w:r>
      <w:r w:rsidRPr="00EB1BF9">
        <w:rPr>
          <w:shd w:val="clear" w:color="auto" w:fill="FFFFFF"/>
          <w:lang w:eastAsia="en-AU"/>
        </w:rPr>
        <w:t>, E. Erdem, and O. Kandemir. 2009. Effect of Different Housing Systems on Growth and Welfare of Pekin Ducks. Journal of Animal and</w:t>
      </w:r>
      <w:r w:rsidR="001F4917">
        <w:rPr>
          <w:shd w:val="clear" w:color="auto" w:fill="FFFFFF"/>
          <w:lang w:eastAsia="en-AU"/>
        </w:rPr>
        <w:t xml:space="preserve"> Veterinary Advances 8:235-239.</w:t>
      </w:r>
    </w:p>
    <w:p w14:paraId="6D15406F" w14:textId="77777777" w:rsidR="00EB1BF9" w:rsidRPr="00EB1BF9" w:rsidRDefault="00EB1BF9" w:rsidP="00EB1BF9">
      <w:pPr>
        <w:rPr>
          <w:shd w:val="clear" w:color="auto" w:fill="FFFFFF"/>
          <w:lang w:eastAsia="en-AU"/>
        </w:rPr>
      </w:pPr>
      <w:r w:rsidRPr="00EB1BF9">
        <w:rPr>
          <w:shd w:val="clear" w:color="auto" w:fill="FFFFFF"/>
          <w:lang w:eastAsia="en-AU"/>
        </w:rPr>
        <w:t xml:space="preserve">Faure, J. M., D. </w:t>
      </w:r>
      <w:r w:rsidR="003F3E9F" w:rsidRPr="00286A88">
        <w:rPr>
          <w:lang w:val="en-AU" w:eastAsia="en-AU"/>
        </w:rPr>
        <w:t>Guémené</w:t>
      </w:r>
      <w:r w:rsidRPr="00EB1BF9">
        <w:rPr>
          <w:shd w:val="clear" w:color="auto" w:fill="FFFFFF"/>
          <w:lang w:eastAsia="en-AU"/>
        </w:rPr>
        <w:t>, and G. Guy. 2001. Is there avoidance of the force feeding procedure in ducks and gee</w:t>
      </w:r>
      <w:r w:rsidR="001F4917">
        <w:rPr>
          <w:shd w:val="clear" w:color="auto" w:fill="FFFFFF"/>
          <w:lang w:eastAsia="en-AU"/>
        </w:rPr>
        <w:t>se? Animal Research 50:157-164.</w:t>
      </w:r>
    </w:p>
    <w:p w14:paraId="6355DBA2" w14:textId="77777777" w:rsidR="00EB1BF9" w:rsidRPr="00EB1BF9" w:rsidRDefault="00EB1BF9" w:rsidP="00EB1BF9">
      <w:pPr>
        <w:rPr>
          <w:shd w:val="clear" w:color="auto" w:fill="FFFFFF"/>
          <w:lang w:eastAsia="en-AU"/>
        </w:rPr>
      </w:pPr>
      <w:r w:rsidRPr="00EB1BF9">
        <w:rPr>
          <w:shd w:val="clear" w:color="auto" w:fill="FFFFFF"/>
          <w:lang w:eastAsia="en-AU"/>
        </w:rPr>
        <w:t xml:space="preserve">Faure, J. M., D. Val-Laillet, G. Guy, M. D. Bernadet, and D. </w:t>
      </w:r>
      <w:r w:rsidR="003F3E9F" w:rsidRPr="00286A88">
        <w:rPr>
          <w:lang w:val="en-AU" w:eastAsia="en-AU"/>
        </w:rPr>
        <w:t>Guémené</w:t>
      </w:r>
      <w:r w:rsidRPr="00EB1BF9">
        <w:rPr>
          <w:shd w:val="clear" w:color="auto" w:fill="FFFFFF"/>
          <w:lang w:eastAsia="en-AU"/>
        </w:rPr>
        <w:t>. 2003. Fear and stress reactions in two species of duck and their hybrid. Hormones and Behavior 43:568-572. doi 10.1016/s0018-506x(03)00062-x</w:t>
      </w:r>
    </w:p>
    <w:p w14:paraId="6FD7B2AF" w14:textId="77777777" w:rsidR="00EB1BF9" w:rsidRPr="00EB1BF9" w:rsidRDefault="00EB1BF9" w:rsidP="00EB1BF9">
      <w:pPr>
        <w:rPr>
          <w:shd w:val="clear" w:color="auto" w:fill="FFFFFF"/>
          <w:lang w:eastAsia="en-AU"/>
        </w:rPr>
      </w:pPr>
      <w:r w:rsidRPr="00EB1BF9">
        <w:rPr>
          <w:shd w:val="clear" w:color="auto" w:fill="FFFFFF"/>
          <w:lang w:eastAsia="en-AU"/>
        </w:rPr>
        <w:t>Flament, A., V. Delleur, A. Poulipoulis, and D. Marlier. 2012. Corticosterone, cortisol, triglycerides, aspartate aminotransferase and uric acid plasma concentrations during foie gras production in male mule ducks (</w:t>
      </w:r>
      <w:r w:rsidRPr="001F4917">
        <w:rPr>
          <w:i/>
          <w:shd w:val="clear" w:color="auto" w:fill="FFFFFF"/>
          <w:lang w:eastAsia="en-AU"/>
        </w:rPr>
        <w:t>Anas platyrhynchos</w:t>
      </w:r>
      <w:r w:rsidRPr="00EB1BF9">
        <w:rPr>
          <w:shd w:val="clear" w:color="auto" w:fill="FFFFFF"/>
          <w:lang w:eastAsia="en-AU"/>
        </w:rPr>
        <w:t xml:space="preserve"> x </w:t>
      </w:r>
      <w:r w:rsidRPr="001F4917">
        <w:rPr>
          <w:i/>
          <w:shd w:val="clear" w:color="auto" w:fill="FFFFFF"/>
          <w:lang w:eastAsia="en-AU"/>
        </w:rPr>
        <w:t>Cairina moschata</w:t>
      </w:r>
      <w:r w:rsidRPr="00EB1BF9">
        <w:rPr>
          <w:shd w:val="clear" w:color="auto" w:fill="FFFFFF"/>
          <w:lang w:eastAsia="en-AU"/>
        </w:rPr>
        <w:t>). British Poultry Science 53:408-413. doi 10.1080/00071668.2012.711468</w:t>
      </w:r>
    </w:p>
    <w:p w14:paraId="40EEE5CD" w14:textId="77777777" w:rsidR="00EB1BF9" w:rsidRPr="00EB1BF9" w:rsidRDefault="00EB1BF9" w:rsidP="00EB1BF9">
      <w:pPr>
        <w:rPr>
          <w:shd w:val="clear" w:color="auto" w:fill="FFFFFF"/>
          <w:lang w:eastAsia="en-AU"/>
        </w:rPr>
      </w:pPr>
      <w:r w:rsidRPr="00EB1BF9">
        <w:rPr>
          <w:shd w:val="clear" w:color="auto" w:fill="FFFFFF"/>
          <w:lang w:eastAsia="en-AU"/>
        </w:rPr>
        <w:t>Fraley, S. M., G. S. Fraley, D. M. Karcher, M. M. Makagon, and M. S. Lilburn. 2013. Influence of plastic slatted floors compared with pine shaving litter on Pekin Duck condition during the summer months. Poultry Science 92:1706-1711. doi 10.3382/ps.2012-02992</w:t>
      </w:r>
    </w:p>
    <w:p w14:paraId="27F2B7A0" w14:textId="77777777" w:rsidR="00EB1BF9" w:rsidRPr="00EB1BF9" w:rsidRDefault="00EB1BF9" w:rsidP="00EB1BF9">
      <w:pPr>
        <w:rPr>
          <w:shd w:val="clear" w:color="auto" w:fill="FFFFFF"/>
          <w:lang w:eastAsia="en-AU"/>
        </w:rPr>
      </w:pPr>
      <w:r w:rsidRPr="00EB1BF9">
        <w:rPr>
          <w:shd w:val="clear" w:color="auto" w:fill="FFFFFF"/>
          <w:lang w:eastAsia="en-AU"/>
        </w:rPr>
        <w:t>Gough, R. E., and W. R. Hansen. 2000. Characterization of a herpesvirus isolated from domestic geese in Austral</w:t>
      </w:r>
      <w:r w:rsidR="001F4917">
        <w:rPr>
          <w:shd w:val="clear" w:color="auto" w:fill="FFFFFF"/>
          <w:lang w:eastAsia="en-AU"/>
        </w:rPr>
        <w:t>ia. Avian Pathology 29:417-422.</w:t>
      </w:r>
    </w:p>
    <w:p w14:paraId="257B39E9" w14:textId="77777777" w:rsidR="00EB1BF9" w:rsidRPr="00EB1BF9" w:rsidRDefault="003F3E9F" w:rsidP="00EB1BF9">
      <w:pPr>
        <w:rPr>
          <w:shd w:val="clear" w:color="auto" w:fill="FFFFFF"/>
          <w:lang w:eastAsia="en-AU"/>
        </w:rPr>
      </w:pPr>
      <w:r w:rsidRPr="00286A88">
        <w:rPr>
          <w:lang w:val="en-AU" w:eastAsia="en-AU"/>
        </w:rPr>
        <w:t>Guémené</w:t>
      </w:r>
      <w:r w:rsidR="00EB1BF9" w:rsidRPr="00EB1BF9">
        <w:rPr>
          <w:shd w:val="clear" w:color="auto" w:fill="FFFFFF"/>
          <w:lang w:eastAsia="en-AU"/>
        </w:rPr>
        <w:t>, D., G. Guy, J. Noirault, M. Garreau-Mills, P. Gouraud, and J. M. Faure. 2001. Force-feeding procedure and physiological indicators of stress in male mule ducks. Brit</w:t>
      </w:r>
      <w:r w:rsidR="001F4917">
        <w:rPr>
          <w:shd w:val="clear" w:color="auto" w:fill="FFFFFF"/>
          <w:lang w:eastAsia="en-AU"/>
        </w:rPr>
        <w:t>ish Poultry Science 42:650-657.</w:t>
      </w:r>
    </w:p>
    <w:p w14:paraId="03696FBF" w14:textId="77777777" w:rsidR="00EB1BF9" w:rsidRPr="00EB1BF9" w:rsidRDefault="003F3E9F" w:rsidP="00EB1BF9">
      <w:pPr>
        <w:rPr>
          <w:shd w:val="clear" w:color="auto" w:fill="FFFFFF"/>
          <w:lang w:eastAsia="en-AU"/>
        </w:rPr>
      </w:pPr>
      <w:r w:rsidRPr="00286A88">
        <w:rPr>
          <w:lang w:val="en-AU" w:eastAsia="en-AU"/>
        </w:rPr>
        <w:t>Guémené</w:t>
      </w:r>
      <w:r w:rsidR="00EB1BF9" w:rsidRPr="00EB1BF9">
        <w:rPr>
          <w:shd w:val="clear" w:color="auto" w:fill="FFFFFF"/>
          <w:lang w:eastAsia="en-AU"/>
        </w:rPr>
        <w:t xml:space="preserve">, D., and G. Guy. 2004. The past, present and future of force-feeding and "foie gras" production. </w:t>
      </w:r>
      <w:r w:rsidR="00E12232">
        <w:rPr>
          <w:shd w:val="clear" w:color="auto" w:fill="FFFFFF"/>
          <w:lang w:eastAsia="en-AU"/>
        </w:rPr>
        <w:t>World’s</w:t>
      </w:r>
      <w:r w:rsidR="00EB1BF9" w:rsidRPr="00EB1BF9">
        <w:rPr>
          <w:shd w:val="clear" w:color="auto" w:fill="FFFFFF"/>
          <w:lang w:eastAsia="en-AU"/>
        </w:rPr>
        <w:t xml:space="preserve"> Poultry Science Journal 60:210-222. doi 10.1079/wps200314</w:t>
      </w:r>
    </w:p>
    <w:p w14:paraId="7EF0AC87" w14:textId="77777777" w:rsidR="00EB1BF9" w:rsidRPr="00EB1BF9" w:rsidRDefault="003F3E9F" w:rsidP="00EB1BF9">
      <w:pPr>
        <w:rPr>
          <w:shd w:val="clear" w:color="auto" w:fill="FFFFFF"/>
          <w:lang w:eastAsia="en-AU"/>
        </w:rPr>
      </w:pPr>
      <w:r w:rsidRPr="00286A88">
        <w:rPr>
          <w:lang w:val="en-AU" w:eastAsia="en-AU"/>
        </w:rPr>
        <w:t>Guémené</w:t>
      </w:r>
      <w:r w:rsidR="00EB1BF9" w:rsidRPr="00EB1BF9">
        <w:rPr>
          <w:shd w:val="clear" w:color="auto" w:fill="FFFFFF"/>
          <w:lang w:eastAsia="en-AU"/>
        </w:rPr>
        <w:t>, D., G. Guy, J. Noirault, N. Destombes, and J. M. Faure. 2006. Rearing conditions during the force-feeding period in male mule ducks and their impact upon stress and welfare. Animal Research 55:443-458. doi 10.1051/animres:2006028</w:t>
      </w:r>
    </w:p>
    <w:p w14:paraId="7217B572" w14:textId="77777777" w:rsidR="00EB1BF9" w:rsidRPr="00EB1BF9" w:rsidRDefault="00EB1BF9" w:rsidP="00EB1BF9">
      <w:pPr>
        <w:rPr>
          <w:shd w:val="clear" w:color="auto" w:fill="FFFFFF"/>
          <w:lang w:eastAsia="en-AU"/>
        </w:rPr>
      </w:pPr>
      <w:r w:rsidRPr="00EB1BF9">
        <w:rPr>
          <w:shd w:val="clear" w:color="auto" w:fill="FFFFFF"/>
          <w:lang w:eastAsia="en-AU"/>
        </w:rPr>
        <w:t>Gustafson, L. A., H. W. Cheng, J. P. Garner, E. A. Pajor, and J. A. Mench. 2007a. The effects of different bill-trimming methods on the well-being of pekin ducks. Poultry Science</w:t>
      </w:r>
      <w:r w:rsidR="001F4917">
        <w:rPr>
          <w:shd w:val="clear" w:color="auto" w:fill="FFFFFF"/>
          <w:lang w:eastAsia="en-AU"/>
        </w:rPr>
        <w:t xml:space="preserve"> 86:1831-1839.</w:t>
      </w:r>
    </w:p>
    <w:p w14:paraId="1298C0BE" w14:textId="77777777" w:rsidR="00EB1BF9" w:rsidRPr="00EB1BF9" w:rsidRDefault="00EB1BF9" w:rsidP="00EB1BF9">
      <w:pPr>
        <w:rPr>
          <w:shd w:val="clear" w:color="auto" w:fill="FFFFFF"/>
          <w:lang w:eastAsia="en-AU"/>
        </w:rPr>
      </w:pPr>
      <w:r w:rsidRPr="00EB1BF9">
        <w:rPr>
          <w:shd w:val="clear" w:color="auto" w:fill="FFFFFF"/>
          <w:lang w:eastAsia="en-AU"/>
        </w:rPr>
        <w:t>Gustafson, L. A., H. W. Cheng, J. P. Garner, E. A. Pajor, and J. A. Mench. 2007b. Effects of bill-trimming Muscovy ducks on behavior, body weight gain, and bill morphopathology. Applied Animal Behaviour Science 103:59-74. doi 10.1016/j.applanim.2006.04.003</w:t>
      </w:r>
    </w:p>
    <w:p w14:paraId="0926E2E9" w14:textId="77777777" w:rsidR="00EB1BF9" w:rsidRPr="00EB1BF9" w:rsidRDefault="00EB1BF9" w:rsidP="00EB1BF9">
      <w:pPr>
        <w:rPr>
          <w:shd w:val="clear" w:color="auto" w:fill="FFFFFF"/>
          <w:lang w:eastAsia="en-AU"/>
        </w:rPr>
      </w:pPr>
      <w:r w:rsidRPr="00EB1BF9">
        <w:rPr>
          <w:shd w:val="clear" w:color="auto" w:fill="FFFFFF"/>
          <w:lang w:eastAsia="en-AU"/>
        </w:rPr>
        <w:t xml:space="preserve">Henderson, J., C. Nicol, J. Lines, R. White, and C. Wathes. 2001. Behaviour of domestic ducks exposed to mobile predator stimuli. 1. Flock responses. British </w:t>
      </w:r>
      <w:r w:rsidR="002F50C0">
        <w:rPr>
          <w:shd w:val="clear" w:color="auto" w:fill="FFFFFF"/>
          <w:lang w:eastAsia="en-AU"/>
        </w:rPr>
        <w:t>Poultry Science 42:433-438.</w:t>
      </w:r>
    </w:p>
    <w:p w14:paraId="33DBCCBA" w14:textId="77777777" w:rsidR="00EB1BF9" w:rsidRPr="00EB1BF9" w:rsidRDefault="00EB1BF9" w:rsidP="00EB1BF9">
      <w:pPr>
        <w:rPr>
          <w:shd w:val="clear" w:color="auto" w:fill="FFFFFF"/>
          <w:lang w:eastAsia="en-AU"/>
        </w:rPr>
      </w:pPr>
      <w:r w:rsidRPr="00EB1BF9">
        <w:rPr>
          <w:shd w:val="clear" w:color="auto" w:fill="FFFFFF"/>
          <w:lang w:eastAsia="en-AU"/>
        </w:rPr>
        <w:t>Irvine, R., and P. Holmes. 2010. Diagnosis and control of goose parvovirus. In Practice 32:382-386. doi 10.1136/inp.c4573</w:t>
      </w:r>
    </w:p>
    <w:p w14:paraId="1249CB5F" w14:textId="77777777" w:rsidR="00EB1BF9" w:rsidRPr="00EB1BF9" w:rsidRDefault="00EB1BF9" w:rsidP="00EB1BF9">
      <w:pPr>
        <w:rPr>
          <w:shd w:val="clear" w:color="auto" w:fill="FFFFFF"/>
          <w:lang w:eastAsia="en-AU"/>
        </w:rPr>
      </w:pPr>
      <w:r w:rsidRPr="00EB1BF9">
        <w:rPr>
          <w:shd w:val="clear" w:color="auto" w:fill="FFFFFF"/>
          <w:lang w:eastAsia="en-AU"/>
        </w:rPr>
        <w:t>Jones, T. A., C. D. Waitt, and M. S. Dawkins. 2009. Water off a duck's back: Showers and troughs match ponds for improving duck welfare. Applied Animal Behaviour Science 116:52-57. doi 10.1016/j.applanim.2008.07.008</w:t>
      </w:r>
    </w:p>
    <w:p w14:paraId="340BC026" w14:textId="77777777" w:rsidR="00EB1BF9" w:rsidRPr="00EB1BF9" w:rsidRDefault="00EB1BF9" w:rsidP="00EB1BF9">
      <w:pPr>
        <w:rPr>
          <w:shd w:val="clear" w:color="auto" w:fill="FFFFFF"/>
          <w:lang w:eastAsia="en-AU"/>
        </w:rPr>
      </w:pPr>
      <w:r w:rsidRPr="00EB1BF9">
        <w:rPr>
          <w:shd w:val="clear" w:color="auto" w:fill="FFFFFF"/>
          <w:lang w:eastAsia="en-AU"/>
        </w:rPr>
        <w:t>Jones, T. A., and M. S. Dawkins. 2010a. Environment and management factors affecting Pekin duck production and welfare on commercial farms in the UK. British Poultry Science 51:12-21. doi 10.1080/00071660903421159</w:t>
      </w:r>
    </w:p>
    <w:p w14:paraId="41D733F7" w14:textId="77777777" w:rsidR="00EB1BF9" w:rsidRPr="00EB1BF9" w:rsidRDefault="00EB1BF9" w:rsidP="00EB1BF9">
      <w:pPr>
        <w:rPr>
          <w:shd w:val="clear" w:color="auto" w:fill="FFFFFF"/>
          <w:lang w:eastAsia="en-AU"/>
        </w:rPr>
      </w:pPr>
      <w:r w:rsidRPr="00EB1BF9">
        <w:rPr>
          <w:shd w:val="clear" w:color="auto" w:fill="FFFFFF"/>
          <w:lang w:eastAsia="en-AU"/>
        </w:rPr>
        <w:t>Jones, T. A., and M. S. Dawkins. 2010b. Effect of environment on Pekin duck behaviour and its correlation with body condition on commercial farms in the UK. British Poultry Science 51:319-325. doi 10.1080/00071668.2010.499143</w:t>
      </w:r>
    </w:p>
    <w:p w14:paraId="77F1737A" w14:textId="77777777" w:rsidR="00EB1BF9" w:rsidRPr="00EB1BF9" w:rsidRDefault="00EB1BF9" w:rsidP="00EB1BF9">
      <w:pPr>
        <w:rPr>
          <w:shd w:val="clear" w:color="auto" w:fill="FFFFFF"/>
          <w:lang w:eastAsia="en-AU"/>
        </w:rPr>
      </w:pPr>
      <w:r w:rsidRPr="00EB1BF9">
        <w:rPr>
          <w:shd w:val="clear" w:color="auto" w:fill="FFFFFF"/>
          <w:lang w:eastAsia="en-AU"/>
        </w:rPr>
        <w:t>Karcher, D. M., M. M. Makagon, G. S. Fraley, S. M. Fraley, and M. S. Lilburn. 2013. Influence of raised plastic floors compared with pine shaving litter on environment and Pekin duck condition. Poultry Science 92:583-590. doi 10.3382/ps.2012-02215</w:t>
      </w:r>
    </w:p>
    <w:p w14:paraId="04E80CFB" w14:textId="77777777" w:rsidR="00EB1BF9" w:rsidRPr="00EB1BF9" w:rsidRDefault="00EB1BF9" w:rsidP="00EB1BF9">
      <w:pPr>
        <w:rPr>
          <w:shd w:val="clear" w:color="auto" w:fill="FFFFFF"/>
          <w:lang w:eastAsia="en-AU"/>
        </w:rPr>
      </w:pPr>
      <w:r w:rsidRPr="00EB1BF9">
        <w:rPr>
          <w:shd w:val="clear" w:color="auto" w:fill="FFFFFF"/>
          <w:lang w:eastAsia="en-AU"/>
        </w:rPr>
        <w:t xml:space="preserve">Kuenzel, W. J. 2007. Neurobiological basis of sensory perception: Welfare implications of beak trimming. Poultry Science 86:1273-1282. </w:t>
      </w:r>
    </w:p>
    <w:p w14:paraId="55469DD3" w14:textId="77777777" w:rsidR="00EB1BF9" w:rsidRPr="00EB1BF9" w:rsidRDefault="00EB1BF9" w:rsidP="00EB1BF9">
      <w:pPr>
        <w:rPr>
          <w:shd w:val="clear" w:color="auto" w:fill="FFFFFF"/>
          <w:lang w:eastAsia="en-AU"/>
        </w:rPr>
      </w:pPr>
      <w:r w:rsidRPr="00EB1BF9">
        <w:rPr>
          <w:shd w:val="clear" w:color="auto" w:fill="FFFFFF"/>
          <w:lang w:eastAsia="en-AU"/>
        </w:rPr>
        <w:t>Liste, G., R. D. Kirkden, and D. M. Broom. 2012a. A commercial trial evaluating three open water sources for farmed ducks: effects on health and production. British Poultry Science 53:576-584. doi 10.1080/00071668.2012.736613</w:t>
      </w:r>
    </w:p>
    <w:p w14:paraId="11217AAD" w14:textId="77777777" w:rsidR="00EB1BF9" w:rsidRPr="00EB1BF9" w:rsidRDefault="00EB1BF9" w:rsidP="00EB1BF9">
      <w:pPr>
        <w:rPr>
          <w:shd w:val="clear" w:color="auto" w:fill="FFFFFF"/>
          <w:lang w:eastAsia="en-AU"/>
        </w:rPr>
      </w:pPr>
      <w:r w:rsidRPr="00EB1BF9">
        <w:rPr>
          <w:shd w:val="clear" w:color="auto" w:fill="FFFFFF"/>
          <w:lang w:eastAsia="en-AU"/>
        </w:rPr>
        <w:t>Liste, G., R. D. Kirkden, and D. M. Broom. 2012b. Effect of water depth on pool choice and bathing behaviour in commercial Pekin ducks. Applied Animal Behaviour Science 139:123-133. doi 10.1016/j.applanim.2012.03.005</w:t>
      </w:r>
    </w:p>
    <w:p w14:paraId="4C6BFC37" w14:textId="77777777" w:rsidR="00EB1BF9" w:rsidRPr="00EB1BF9" w:rsidRDefault="00EB1BF9" w:rsidP="00EB1BF9">
      <w:pPr>
        <w:rPr>
          <w:shd w:val="clear" w:color="auto" w:fill="FFFFFF"/>
          <w:lang w:eastAsia="en-AU"/>
        </w:rPr>
      </w:pPr>
      <w:r w:rsidRPr="00EB1BF9">
        <w:rPr>
          <w:shd w:val="clear" w:color="auto" w:fill="FFFFFF"/>
          <w:lang w:eastAsia="en-AU"/>
        </w:rPr>
        <w:t>Liste, G., R. D. Kirkden, and D. M. Broom. 2013. A commercial trial evaluating three open water sources for farmed ducks: effects on water usage and water quality. British Poultry Science 54:24-32. doi 10.1080/00071668.2013.763900</w:t>
      </w:r>
    </w:p>
    <w:p w14:paraId="65B79AC0" w14:textId="77777777" w:rsidR="00EB1BF9" w:rsidRPr="00EB1BF9" w:rsidRDefault="00EB1BF9" w:rsidP="00EB1BF9">
      <w:pPr>
        <w:rPr>
          <w:shd w:val="clear" w:color="auto" w:fill="FFFFFF"/>
          <w:lang w:eastAsia="en-AU"/>
        </w:rPr>
      </w:pPr>
      <w:r w:rsidRPr="00EB1BF9">
        <w:rPr>
          <w:shd w:val="clear" w:color="auto" w:fill="FFFFFF"/>
          <w:lang w:eastAsia="en-AU"/>
        </w:rPr>
        <w:t>Liu, Y., J. M. Yuan, L. S. Zhang, Y. R. Zhang, S. M. Cai, J. H. Yu, and Z. F. Xia. 2015. Effects of tryptophan supplementation on growth performance, antioxidative activity, and meat quality of ducks under high stocking density. Poultry Science 94:1894-1901. doi 10.3382/ps/pev155</w:t>
      </w:r>
    </w:p>
    <w:p w14:paraId="4FB8B09C" w14:textId="77777777" w:rsidR="00EB1BF9" w:rsidRPr="00EB1BF9" w:rsidRDefault="00EB1BF9" w:rsidP="00EB1BF9">
      <w:pPr>
        <w:rPr>
          <w:shd w:val="clear" w:color="auto" w:fill="FFFFFF"/>
          <w:lang w:eastAsia="en-AU"/>
        </w:rPr>
      </w:pPr>
      <w:r w:rsidRPr="00EB1BF9">
        <w:rPr>
          <w:shd w:val="clear" w:color="auto" w:fill="FFFFFF"/>
          <w:lang w:eastAsia="en-AU"/>
        </w:rPr>
        <w:t>Makagon, M. M., and J. A. Mench. 2011. Floor laying by Pekin ducks: Effects of nest box ratio and design. Poultry Science 90:1179-1184. doi 10.3382/ps.2010-01287</w:t>
      </w:r>
    </w:p>
    <w:p w14:paraId="7B5C29FC" w14:textId="77777777" w:rsidR="00EB1BF9" w:rsidRPr="00EB1BF9" w:rsidRDefault="00EB1BF9" w:rsidP="00EB1BF9">
      <w:pPr>
        <w:rPr>
          <w:shd w:val="clear" w:color="auto" w:fill="FFFFFF"/>
          <w:lang w:eastAsia="en-AU"/>
        </w:rPr>
      </w:pPr>
      <w:r w:rsidRPr="00EB1BF9">
        <w:rPr>
          <w:shd w:val="clear" w:color="auto" w:fill="FFFFFF"/>
          <w:lang w:eastAsia="en-AU"/>
        </w:rPr>
        <w:t>Makagon, M. M., C. B. Tucker, and J. A. Mench. 2011. Factors affecting nest choice by Pekin ducks. Applied Animal Behaviour Science 129:121-128. doi 10.1016/j.applanim.2010.10.008</w:t>
      </w:r>
    </w:p>
    <w:p w14:paraId="19C3962B" w14:textId="77777777" w:rsidR="00EB1BF9" w:rsidRPr="00EB1BF9" w:rsidRDefault="00EB1BF9" w:rsidP="00EB1BF9">
      <w:pPr>
        <w:rPr>
          <w:shd w:val="clear" w:color="auto" w:fill="FFFFFF"/>
          <w:lang w:eastAsia="en-AU"/>
        </w:rPr>
      </w:pPr>
      <w:r w:rsidRPr="00EB1BF9">
        <w:rPr>
          <w:shd w:val="clear" w:color="auto" w:fill="FFFFFF"/>
          <w:lang w:eastAsia="en-AU"/>
        </w:rPr>
        <w:t>Markum, D. E., and G. A. Baldassarre. 1989. Breeding biology of muscovy ducks using nest boxes in Mexic</w:t>
      </w:r>
      <w:r w:rsidR="001F4917">
        <w:rPr>
          <w:shd w:val="clear" w:color="auto" w:fill="FFFFFF"/>
          <w:lang w:eastAsia="en-AU"/>
        </w:rPr>
        <w:t>o. Wilson Bulletin 101:621-626.</w:t>
      </w:r>
    </w:p>
    <w:p w14:paraId="7F64BF91" w14:textId="77777777" w:rsidR="00EB1BF9" w:rsidRPr="00EB1BF9" w:rsidRDefault="00EB1BF9" w:rsidP="00EB1BF9">
      <w:pPr>
        <w:rPr>
          <w:shd w:val="clear" w:color="auto" w:fill="FFFFFF"/>
          <w:lang w:eastAsia="en-AU"/>
        </w:rPr>
      </w:pPr>
      <w:r w:rsidRPr="00EB1BF9">
        <w:rPr>
          <w:shd w:val="clear" w:color="auto" w:fill="FFFFFF"/>
          <w:lang w:eastAsia="en-AU"/>
        </w:rPr>
        <w:t>Miller, D. B. 1977. Social displays of mallard ducks (anas-platyrhynchos) - effects of domestication. Journal of Comparative and Physiological Psychology 91:221-232. doi 10.1037/h0077320</w:t>
      </w:r>
    </w:p>
    <w:p w14:paraId="5716169C" w14:textId="77777777" w:rsidR="00EB1BF9" w:rsidRPr="00EB1BF9" w:rsidRDefault="00EB1BF9" w:rsidP="00EB1BF9">
      <w:pPr>
        <w:rPr>
          <w:shd w:val="clear" w:color="auto" w:fill="FFFFFF"/>
          <w:lang w:eastAsia="en-AU"/>
        </w:rPr>
      </w:pPr>
      <w:r w:rsidRPr="00EB1BF9">
        <w:rPr>
          <w:shd w:val="clear" w:color="auto" w:fill="FFFFFF"/>
          <w:lang w:eastAsia="en-AU"/>
        </w:rPr>
        <w:t>Mohammed, A. A., M. A. Abdel-Rahman, and M. H. Darwish. 2014. Force feeding as a Stress Factor on Muscovy Ducks. Journal of Advanced</w:t>
      </w:r>
      <w:r w:rsidR="001F4917">
        <w:rPr>
          <w:shd w:val="clear" w:color="auto" w:fill="FFFFFF"/>
          <w:lang w:eastAsia="en-AU"/>
        </w:rPr>
        <w:t xml:space="preserve"> Veterinary Research 4:166-173.</w:t>
      </w:r>
    </w:p>
    <w:p w14:paraId="056E3F1C" w14:textId="77777777" w:rsidR="00EB1BF9" w:rsidRPr="00EB1BF9" w:rsidRDefault="00EB1BF9" w:rsidP="00EB1BF9">
      <w:pPr>
        <w:rPr>
          <w:shd w:val="clear" w:color="auto" w:fill="FFFFFF"/>
          <w:lang w:eastAsia="en-AU"/>
        </w:rPr>
      </w:pPr>
      <w:r w:rsidRPr="00EB1BF9">
        <w:rPr>
          <w:shd w:val="clear" w:color="auto" w:fill="FFFFFF"/>
          <w:lang w:eastAsia="en-AU"/>
        </w:rPr>
        <w:t>O'Driscoll, K. K. M., and D. M. Broom. 2011. Does access to open water affect the health of Pekin ducks (</w:t>
      </w:r>
      <w:r w:rsidRPr="001F4917">
        <w:rPr>
          <w:i/>
          <w:shd w:val="clear" w:color="auto" w:fill="FFFFFF"/>
          <w:lang w:eastAsia="en-AU"/>
        </w:rPr>
        <w:t>Anas platyrhynchos</w:t>
      </w:r>
      <w:r w:rsidRPr="00EB1BF9">
        <w:rPr>
          <w:shd w:val="clear" w:color="auto" w:fill="FFFFFF"/>
          <w:lang w:eastAsia="en-AU"/>
        </w:rPr>
        <w:t>)? Poultry Science 90:299-307. doi 10.3382/ps.2010-00883</w:t>
      </w:r>
    </w:p>
    <w:p w14:paraId="7177BFE1" w14:textId="77777777" w:rsidR="00EB1BF9" w:rsidRPr="00EB1BF9" w:rsidRDefault="00EB1BF9" w:rsidP="00EB1BF9">
      <w:pPr>
        <w:rPr>
          <w:shd w:val="clear" w:color="auto" w:fill="FFFFFF"/>
          <w:lang w:eastAsia="en-AU"/>
        </w:rPr>
      </w:pPr>
      <w:r w:rsidRPr="00EB1BF9">
        <w:rPr>
          <w:shd w:val="clear" w:color="auto" w:fill="FFFFFF"/>
          <w:lang w:eastAsia="en-AU"/>
        </w:rPr>
        <w:t>O'Driscoll, K. K. M., and D. M. Broom. 2012. Does access to open water affect the behaviour of Pekin ducks (</w:t>
      </w:r>
      <w:r w:rsidRPr="001F4917">
        <w:rPr>
          <w:i/>
          <w:shd w:val="clear" w:color="auto" w:fill="FFFFFF"/>
          <w:lang w:eastAsia="en-AU"/>
        </w:rPr>
        <w:t>Anas platyrhynchos</w:t>
      </w:r>
      <w:r w:rsidRPr="00EB1BF9">
        <w:rPr>
          <w:shd w:val="clear" w:color="auto" w:fill="FFFFFF"/>
          <w:lang w:eastAsia="en-AU"/>
        </w:rPr>
        <w:t>)? Applied Animal Behaviour Science 136:156-165. doi 10.1016/j.applanim.2011.11.008</w:t>
      </w:r>
    </w:p>
    <w:p w14:paraId="1A09091C" w14:textId="77777777" w:rsidR="00EB1BF9" w:rsidRPr="00EB1BF9" w:rsidRDefault="00EB1BF9" w:rsidP="00EB1BF9">
      <w:pPr>
        <w:rPr>
          <w:shd w:val="clear" w:color="auto" w:fill="FFFFFF"/>
          <w:lang w:eastAsia="en-AU"/>
        </w:rPr>
      </w:pPr>
      <w:r w:rsidRPr="00EB1BF9">
        <w:rPr>
          <w:shd w:val="clear" w:color="auto" w:fill="FFFFFF"/>
          <w:lang w:eastAsia="en-AU"/>
        </w:rPr>
        <w:t xml:space="preserve">Parrish, J., R. Benjamin, and R. Smith. 1981. Near-ultraviolet light reception </w:t>
      </w:r>
      <w:r w:rsidR="001F4917">
        <w:rPr>
          <w:shd w:val="clear" w:color="auto" w:fill="FFFFFF"/>
          <w:lang w:eastAsia="en-AU"/>
        </w:rPr>
        <w:t>in the mallard. Auk 98:627-628.</w:t>
      </w:r>
    </w:p>
    <w:p w14:paraId="67AF4013" w14:textId="77777777" w:rsidR="00EB1BF9" w:rsidRPr="00EB1BF9" w:rsidRDefault="00EB1BF9" w:rsidP="00EB1BF9">
      <w:pPr>
        <w:rPr>
          <w:shd w:val="clear" w:color="auto" w:fill="FFFFFF"/>
          <w:lang w:eastAsia="en-AU"/>
        </w:rPr>
      </w:pPr>
      <w:r w:rsidRPr="00EB1BF9">
        <w:rPr>
          <w:shd w:val="clear" w:color="auto" w:fill="FFFFFF"/>
          <w:lang w:eastAsia="en-AU"/>
        </w:rPr>
        <w:t>Peng, P., J. Xu, W. Chen, M. Tangara, Z. L. Qi, and J. Peng. 2010. Effects of early feeding and exogenous putrescine on growth and small intestinal development in posthatch ducks. British Poultry Science 51:101-108. doi 10.1080/00071660903563554</w:t>
      </w:r>
    </w:p>
    <w:p w14:paraId="493A0EFD" w14:textId="77777777" w:rsidR="00EB1BF9" w:rsidRPr="00EB1BF9" w:rsidRDefault="00EB1BF9" w:rsidP="00EB1BF9">
      <w:pPr>
        <w:rPr>
          <w:shd w:val="clear" w:color="auto" w:fill="FFFFFF"/>
          <w:lang w:eastAsia="en-AU"/>
        </w:rPr>
      </w:pPr>
      <w:r w:rsidRPr="00EB1BF9">
        <w:rPr>
          <w:shd w:val="clear" w:color="auto" w:fill="FFFFFF"/>
          <w:lang w:eastAsia="en-AU"/>
        </w:rPr>
        <w:t>Prescott, N. B., C. M. Wathes, and J. R. Jarvis. 2003. Light, vision and the welfare of poul</w:t>
      </w:r>
      <w:r w:rsidR="001F4917">
        <w:rPr>
          <w:shd w:val="clear" w:color="auto" w:fill="FFFFFF"/>
          <w:lang w:eastAsia="en-AU"/>
        </w:rPr>
        <w:t>try. Animal Welfare 12:269-288.</w:t>
      </w:r>
    </w:p>
    <w:p w14:paraId="535DE3F0" w14:textId="77777777" w:rsidR="00EB1BF9" w:rsidRPr="00EB1BF9" w:rsidRDefault="00EB1BF9" w:rsidP="00EB1BF9">
      <w:pPr>
        <w:rPr>
          <w:shd w:val="clear" w:color="auto" w:fill="FFFFFF"/>
          <w:lang w:eastAsia="en-AU"/>
        </w:rPr>
      </w:pPr>
      <w:r w:rsidRPr="00EB1BF9">
        <w:rPr>
          <w:shd w:val="clear" w:color="auto" w:fill="FFFFFF"/>
          <w:lang w:eastAsia="en-AU"/>
        </w:rPr>
        <w:t>Raud, H., and J. M. Faure. 1994. Welfare of ducks in intensive units. Revue scientifique et technique de l office internati</w:t>
      </w:r>
      <w:r w:rsidR="001F4917">
        <w:rPr>
          <w:shd w:val="clear" w:color="auto" w:fill="FFFFFF"/>
          <w:lang w:eastAsia="en-AU"/>
        </w:rPr>
        <w:t>onal des epizooties 13:125-129.</w:t>
      </w:r>
    </w:p>
    <w:p w14:paraId="53FE5AD5" w14:textId="77777777" w:rsidR="00EB1BF9" w:rsidRPr="00EB1BF9" w:rsidRDefault="00EB1BF9" w:rsidP="00EB1BF9">
      <w:pPr>
        <w:rPr>
          <w:shd w:val="clear" w:color="auto" w:fill="FFFFFF"/>
          <w:lang w:eastAsia="en-AU"/>
        </w:rPr>
      </w:pPr>
      <w:r w:rsidRPr="00EB1BF9">
        <w:rPr>
          <w:shd w:val="clear" w:color="auto" w:fill="FFFFFF"/>
          <w:lang w:eastAsia="en-AU"/>
        </w:rPr>
        <w:t>Riber, A. B., and J. A. Mench. 2008. Effects of feed- and water-based enrichment on activity and cannibalism in Muscovy ducklings. Applied Animal Behaviour Science 114:429-440. doi 10.1016/j.applanim.2008.03.005</w:t>
      </w:r>
    </w:p>
    <w:p w14:paraId="5FEF85C1" w14:textId="77777777" w:rsidR="00EB1BF9" w:rsidRPr="00EB1BF9" w:rsidRDefault="00EB1BF9" w:rsidP="00EB1BF9">
      <w:pPr>
        <w:rPr>
          <w:shd w:val="clear" w:color="auto" w:fill="FFFFFF"/>
          <w:lang w:eastAsia="en-AU"/>
        </w:rPr>
      </w:pPr>
      <w:r w:rsidRPr="00EB1BF9">
        <w:rPr>
          <w:shd w:val="clear" w:color="auto" w:fill="FFFFFF"/>
          <w:lang w:eastAsia="en-AU"/>
        </w:rPr>
        <w:t>Rochlitz, I., and D. Broom. 2017. The welfare of ducks during foie gras product</w:t>
      </w:r>
      <w:r w:rsidR="001F4917">
        <w:rPr>
          <w:shd w:val="clear" w:color="auto" w:fill="FFFFFF"/>
          <w:lang w:eastAsia="en-AU"/>
        </w:rPr>
        <w:t>ion. Animal Welfare 26:135-149.</w:t>
      </w:r>
    </w:p>
    <w:p w14:paraId="02EB17EE" w14:textId="77777777" w:rsidR="00EB1BF9" w:rsidRPr="00EB1BF9" w:rsidRDefault="00EB1BF9" w:rsidP="00EB1BF9">
      <w:pPr>
        <w:rPr>
          <w:shd w:val="clear" w:color="auto" w:fill="FFFFFF"/>
          <w:lang w:eastAsia="en-AU"/>
        </w:rPr>
      </w:pPr>
      <w:r w:rsidRPr="00EB1BF9">
        <w:rPr>
          <w:shd w:val="clear" w:color="auto" w:fill="FFFFFF"/>
          <w:lang w:eastAsia="en-AU"/>
        </w:rPr>
        <w:t xml:space="preserve">Rodenburg, T. B., M. B. M. Bracke, J. Berk, J. Cooper, J. M. Faure, D. </w:t>
      </w:r>
      <w:r w:rsidR="003F3E9F" w:rsidRPr="00286A88">
        <w:rPr>
          <w:lang w:val="en-AU" w:eastAsia="en-AU"/>
        </w:rPr>
        <w:t>Guémené</w:t>
      </w:r>
      <w:r w:rsidRPr="00EB1BF9">
        <w:rPr>
          <w:shd w:val="clear" w:color="auto" w:fill="FFFFFF"/>
          <w:lang w:eastAsia="en-AU"/>
        </w:rPr>
        <w:t xml:space="preserve">, G. Guy, A. Harlander, T. Jones, U. Knierim, K. Kuhnt, H. Pingel, K. Reiter, J. Serviere, and M. A. W. Ruis. 2005. Welfare of ducks in European duck husbandry systems. </w:t>
      </w:r>
      <w:r w:rsidR="00E12232">
        <w:rPr>
          <w:shd w:val="clear" w:color="auto" w:fill="FFFFFF"/>
          <w:lang w:eastAsia="en-AU"/>
        </w:rPr>
        <w:t>World’s</w:t>
      </w:r>
      <w:r w:rsidRPr="00EB1BF9">
        <w:rPr>
          <w:shd w:val="clear" w:color="auto" w:fill="FFFFFF"/>
          <w:lang w:eastAsia="en-AU"/>
        </w:rPr>
        <w:t xml:space="preserve"> Poultry Science Journal 61:633-646. doi 10.1079/wps200574</w:t>
      </w:r>
    </w:p>
    <w:p w14:paraId="1001BEA2" w14:textId="77777777" w:rsidR="00EB1BF9" w:rsidRPr="00EB1BF9" w:rsidRDefault="00EB1BF9" w:rsidP="00EB1BF9">
      <w:pPr>
        <w:rPr>
          <w:shd w:val="clear" w:color="auto" w:fill="FFFFFF"/>
          <w:lang w:eastAsia="en-AU"/>
        </w:rPr>
      </w:pPr>
      <w:r w:rsidRPr="00EB1BF9">
        <w:rPr>
          <w:shd w:val="clear" w:color="auto" w:fill="FFFFFF"/>
          <w:lang w:eastAsia="en-AU"/>
        </w:rPr>
        <w:t>Scientific Committee on Animal Health and Welfare (SCAHAW). 1998. Welfare aspects of the production of foie gras in ducks and geese.</w:t>
      </w:r>
    </w:p>
    <w:p w14:paraId="2DFB1709" w14:textId="77777777" w:rsidR="00EB1BF9" w:rsidRPr="00EB1BF9" w:rsidRDefault="00EB1BF9" w:rsidP="00EB1BF9">
      <w:pPr>
        <w:rPr>
          <w:shd w:val="clear" w:color="auto" w:fill="FFFFFF"/>
          <w:lang w:eastAsia="en-AU"/>
        </w:rPr>
      </w:pPr>
      <w:r w:rsidRPr="00EB1BF9">
        <w:rPr>
          <w:shd w:val="clear" w:color="auto" w:fill="FFFFFF"/>
          <w:lang w:eastAsia="en-AU"/>
        </w:rPr>
        <w:t>Schenk, A., A. L. Porter, E. Alenciks, K. Frazier, A. A. Best, S. M. Fraley, and G. S. Fraley. 2016. Increased water contamination and grow-out Pekin duck mortality when raised with water troughs compared to pin-metered water lines using a United States management system. Poultry Science 95:736-748. doi 10.3382/ps/pev381</w:t>
      </w:r>
    </w:p>
    <w:p w14:paraId="14AF7802" w14:textId="77777777" w:rsidR="00EB1BF9" w:rsidRPr="00EB1BF9" w:rsidRDefault="00EB1BF9" w:rsidP="00EB1BF9">
      <w:pPr>
        <w:rPr>
          <w:shd w:val="clear" w:color="auto" w:fill="FFFFFF"/>
          <w:lang w:eastAsia="en-AU"/>
        </w:rPr>
      </w:pPr>
      <w:r w:rsidRPr="00EB1BF9">
        <w:rPr>
          <w:shd w:val="clear" w:color="auto" w:fill="FFFFFF"/>
          <w:lang w:eastAsia="en-AU"/>
        </w:rPr>
        <w:t xml:space="preserve">Skippon, W. 2013. The animal health and welfare consequences of foie gras production. Canadian Veterinary Journal-Revue Veterinaire Canadienne 54:403-404. </w:t>
      </w:r>
    </w:p>
    <w:p w14:paraId="2A9B9FFF" w14:textId="77777777" w:rsidR="00EB1BF9" w:rsidRPr="00EB1BF9" w:rsidRDefault="00EB1BF9" w:rsidP="00EB1BF9">
      <w:pPr>
        <w:rPr>
          <w:shd w:val="clear" w:color="auto" w:fill="FFFFFF"/>
          <w:lang w:eastAsia="en-AU"/>
        </w:rPr>
      </w:pPr>
      <w:r w:rsidRPr="00EB1BF9">
        <w:rPr>
          <w:shd w:val="clear" w:color="auto" w:fill="FFFFFF"/>
          <w:lang w:eastAsia="en-AU"/>
        </w:rPr>
        <w:t>Sultana, S., M. R. Hassan, H. S. Choe, and K. S. Ryu. 2013. Impact of different monochromatic LED light colours and bird age on the behavioural output and fear response in ducks. Italian Journal of Animal Science 12. doi 10.4081/ijas.2013.e94</w:t>
      </w:r>
    </w:p>
    <w:p w14:paraId="2F55C71D" w14:textId="77777777" w:rsidR="00EB1BF9" w:rsidRPr="00EB1BF9" w:rsidRDefault="00EB1BF9" w:rsidP="00EB1BF9">
      <w:pPr>
        <w:rPr>
          <w:shd w:val="clear" w:color="auto" w:fill="FFFFFF"/>
          <w:lang w:eastAsia="en-AU"/>
        </w:rPr>
      </w:pPr>
      <w:r w:rsidRPr="00EB1BF9">
        <w:rPr>
          <w:shd w:val="clear" w:color="auto" w:fill="FFFFFF"/>
          <w:lang w:eastAsia="en-AU"/>
        </w:rPr>
        <w:t>Waitt, C., T. Jones, and M. S. Dawkins. 2009. Behaviour, synchrony and welfare of Pekin ducks in relation to water use. Applied Animal Behaviour Science 121:184-189. doi 10.1016/j.applanim.2009.09.009</w:t>
      </w:r>
    </w:p>
    <w:p w14:paraId="08C47656" w14:textId="77777777" w:rsidR="00EB1BF9" w:rsidRPr="00EB1BF9" w:rsidRDefault="00EB1BF9" w:rsidP="00EB1BF9">
      <w:pPr>
        <w:rPr>
          <w:shd w:val="clear" w:color="auto" w:fill="FFFFFF"/>
          <w:lang w:eastAsia="en-AU"/>
        </w:rPr>
      </w:pPr>
      <w:r w:rsidRPr="00EB1BF9">
        <w:rPr>
          <w:shd w:val="clear" w:color="auto" w:fill="FFFFFF"/>
          <w:lang w:eastAsia="en-AU"/>
        </w:rPr>
        <w:t>Xie, M., Y. Jiang, J. Tang, Z. G. Wen, W. Huang, and S. S. Hou. 2014. Effects of stocking density on growth performance, carcass traits, and foot pad lesions of White Pekin ducks. Poultry Science 93:1644-1648. doi 10.3382/ps.2013-03741</w:t>
      </w:r>
    </w:p>
    <w:p w14:paraId="73FC69B3" w14:textId="77777777" w:rsidR="00EB1BF9" w:rsidRPr="00EB1BF9" w:rsidRDefault="00EB1BF9" w:rsidP="00EB1BF9">
      <w:pPr>
        <w:rPr>
          <w:shd w:val="clear" w:color="auto" w:fill="FFFFFF"/>
          <w:lang w:eastAsia="en-AU"/>
        </w:rPr>
      </w:pPr>
      <w:r w:rsidRPr="00EB1BF9">
        <w:rPr>
          <w:shd w:val="clear" w:color="auto" w:fill="FFFFFF"/>
          <w:lang w:eastAsia="en-AU"/>
        </w:rPr>
        <w:t>Yu, G. L., L. M. Wei, Y. Y. Liu, J. Y. Liu, Y. Wang, J. Gao, T. J. Chai, and Y. M. Cai. 2016a. Influence of indoor microbial aerosol on the welfare of meat ducks. British Poultry Science 57:12-22. doi 10.1080/00071668.2015.1122739</w:t>
      </w:r>
    </w:p>
    <w:p w14:paraId="356FFB87" w14:textId="77777777" w:rsidR="00EB1BF9" w:rsidRPr="00EB1BF9" w:rsidRDefault="00EB1BF9" w:rsidP="00EB1BF9">
      <w:pPr>
        <w:rPr>
          <w:shd w:val="clear" w:color="auto" w:fill="FFFFFF"/>
          <w:lang w:eastAsia="en-AU"/>
        </w:rPr>
      </w:pPr>
      <w:r w:rsidRPr="00EB1BF9">
        <w:rPr>
          <w:shd w:val="clear" w:color="auto" w:fill="FFFFFF"/>
          <w:lang w:eastAsia="en-AU"/>
        </w:rPr>
        <w:t>Yu, G. L., Y. Wang, S. G. Wang, C. M. Duan, L. M. Wei, J. Gao, T. J. Chai, and Y. M. Cai. 2016b. Effects of Microbial Aerosol in Poultry House on Meat Ducks' Immune Function. Frontiers in Microbiology 7. doi 10.3389/fmcb.2016.01245</w:t>
      </w:r>
    </w:p>
    <w:p w14:paraId="24113B7E" w14:textId="77777777" w:rsidR="00EB1BF9" w:rsidRPr="00EB1BF9" w:rsidRDefault="00EB1BF9" w:rsidP="00EB1BF9">
      <w:pPr>
        <w:rPr>
          <w:shd w:val="clear" w:color="auto" w:fill="FFFFFF"/>
          <w:lang w:eastAsia="en-AU"/>
        </w:rPr>
      </w:pPr>
      <w:r w:rsidRPr="00EB1BF9">
        <w:rPr>
          <w:shd w:val="clear" w:color="auto" w:fill="FFFFFF"/>
          <w:lang w:eastAsia="en-AU"/>
        </w:rPr>
        <w:t>Zhu, W., W. Jiang, and L. Y. Wu. 2014. Dietary L-arginine supplement alleviates hepatic heat stress and improves feed conversion ratio of Pekin ducks exposed to high environmental temperature. Journal of Animal Physiology and Animal Nutrition 98:1124-1131. doi 10.1111/jpn.12195</w:t>
      </w:r>
    </w:p>
    <w:p w14:paraId="44241542" w14:textId="77777777" w:rsidR="00EB1BF9" w:rsidRPr="00A143E5" w:rsidRDefault="00EB1BF9" w:rsidP="00EB1BF9">
      <w:pPr>
        <w:rPr>
          <w:shd w:val="clear" w:color="auto" w:fill="FFFFFF"/>
          <w:lang w:eastAsia="en-AU"/>
        </w:rPr>
      </w:pPr>
      <w:r w:rsidRPr="00EB1BF9">
        <w:rPr>
          <w:shd w:val="clear" w:color="auto" w:fill="FFFFFF"/>
          <w:lang w:eastAsia="en-AU"/>
        </w:rPr>
        <w:t>Zhu, Y. W., M. Xie, W. Huang, L. Yang, and S. S. Hou. 2012. Effects of biotin on growth performance and foot pad dermatitis of starter White Pekin ducklings. British Poultry Science 53:646-650. doi 10.1080/00071668.2012.722607</w:t>
      </w:r>
    </w:p>
    <w:p w14:paraId="37505F91" w14:textId="77777777" w:rsidR="00286A88" w:rsidRPr="00286A88" w:rsidRDefault="00E62407" w:rsidP="00E62407">
      <w:pPr>
        <w:pStyle w:val="Heading1"/>
        <w:rPr>
          <w:lang w:val="en-AU" w:eastAsia="en-AU"/>
        </w:rPr>
      </w:pPr>
      <w:r>
        <w:rPr>
          <w:sz w:val="22"/>
          <w:szCs w:val="22"/>
          <w:lang w:val="en-AU" w:eastAsia="en-AU"/>
        </w:rPr>
        <w:br w:type="column"/>
      </w:r>
      <w:bookmarkStart w:id="206" w:name="_Toc495310675"/>
      <w:r w:rsidR="00286A88" w:rsidRPr="00286A88">
        <w:rPr>
          <w:lang w:val="en-AU" w:eastAsia="en-AU"/>
        </w:rPr>
        <w:t>Geese</w:t>
      </w:r>
      <w:bookmarkEnd w:id="206"/>
    </w:p>
    <w:p w14:paraId="216F084E" w14:textId="77777777" w:rsidR="00286A88" w:rsidRPr="00286A88" w:rsidRDefault="00286A88" w:rsidP="00E62407">
      <w:pPr>
        <w:pStyle w:val="Heading2"/>
        <w:rPr>
          <w:lang w:val="en-AU" w:eastAsia="en-AU"/>
        </w:rPr>
      </w:pPr>
      <w:bookmarkStart w:id="207" w:name="_Toc495310676"/>
      <w:r w:rsidRPr="00286A88">
        <w:rPr>
          <w:lang w:val="en-AU" w:eastAsia="en-AU"/>
        </w:rPr>
        <w:t>G1. Introduction</w:t>
      </w:r>
      <w:bookmarkEnd w:id="207"/>
    </w:p>
    <w:p w14:paraId="3B9E6EE1" w14:textId="77777777" w:rsidR="00286A88" w:rsidRPr="00286A88" w:rsidRDefault="00286A88" w:rsidP="00A02C68">
      <w:pPr>
        <w:pStyle w:val="Heading3"/>
        <w:rPr>
          <w:lang w:val="en-AU" w:eastAsia="en-AU"/>
        </w:rPr>
      </w:pPr>
      <w:bookmarkStart w:id="208" w:name="_Toc495310677"/>
      <w:r w:rsidRPr="00286A88">
        <w:rPr>
          <w:lang w:val="en-AU" w:eastAsia="en-AU"/>
        </w:rPr>
        <w:t>G1.1 Life history</w:t>
      </w:r>
      <w:bookmarkEnd w:id="208"/>
    </w:p>
    <w:p w14:paraId="48107FB6" w14:textId="77777777" w:rsidR="00286A88" w:rsidRPr="00286A88" w:rsidRDefault="00286A88" w:rsidP="00A02C68">
      <w:pPr>
        <w:rPr>
          <w:lang w:val="en-AU" w:eastAsia="en-AU"/>
        </w:rPr>
      </w:pPr>
      <w:r w:rsidRPr="00286A88">
        <w:rPr>
          <w:lang w:val="en-AU" w:eastAsia="en-AU"/>
        </w:rPr>
        <w:t xml:space="preserve">It has been suggested that geese were one of the first animals to be domesticated. Along with ducks and swans, geese are in the family </w:t>
      </w:r>
      <w:r w:rsidRPr="00286A88">
        <w:rPr>
          <w:i/>
          <w:lang w:val="en-AU" w:eastAsia="en-AU"/>
        </w:rPr>
        <w:t>Anatidae</w:t>
      </w:r>
      <w:r w:rsidRPr="00286A88">
        <w:rPr>
          <w:lang w:val="en-AU" w:eastAsia="en-AU"/>
        </w:rPr>
        <w:t xml:space="preserve"> and are reared for meat, eggs and down feathers. Domestic geese are largely descended from two species: the Greylag goose (</w:t>
      </w:r>
      <w:r w:rsidRPr="00286A88">
        <w:rPr>
          <w:i/>
          <w:lang w:val="en-AU" w:eastAsia="en-AU"/>
        </w:rPr>
        <w:t>Anser anser</w:t>
      </w:r>
      <w:r w:rsidRPr="00286A88">
        <w:rPr>
          <w:lang w:val="en-AU" w:eastAsia="en-AU"/>
        </w:rPr>
        <w:t>) and the Swan goose (</w:t>
      </w:r>
      <w:r w:rsidRPr="00286A88">
        <w:rPr>
          <w:i/>
          <w:lang w:val="en-AU" w:eastAsia="en-AU"/>
        </w:rPr>
        <w:t>Anser cygnoides</w:t>
      </w:r>
      <w:r w:rsidRPr="00286A88">
        <w:rPr>
          <w:lang w:val="en-AU" w:eastAsia="en-AU"/>
        </w:rPr>
        <w:t>). The Greylag goose has a widespread distribution from Europe to parts of Asia and Africa. The Swan goose however is limited to specific parts of Asia, hence the majority of breeds are derived from the Greylag. The domestic goose has retained much of the behavioural and morphological characteristics of its wild ancestor (Riddell, 1943).</w:t>
      </w:r>
    </w:p>
    <w:p w14:paraId="3C003804" w14:textId="77777777" w:rsidR="00286A88" w:rsidRPr="00286A88" w:rsidRDefault="00286A88" w:rsidP="00A02C68">
      <w:pPr>
        <w:rPr>
          <w:lang w:val="en-AU" w:eastAsia="en-AU"/>
        </w:rPr>
      </w:pPr>
      <w:r w:rsidRPr="00286A88">
        <w:rPr>
          <w:lang w:val="en-AU" w:eastAsia="en-AU"/>
        </w:rPr>
        <w:t>The Greylag goose is a migratory, semi-aquatic species. The availability of water is important for effective bathing and preening. Their preening routine is elaborate and similar in composition to that of the duck. Whilst some breeds of geese feed on insects, animal and vegetable matter, the Greylag is herbivorous (although goslings may consume a variety of foods including insects) and largely grazes on grass (Ives, 1947). Geese are gregarious and form large vigilant flocks which remain together until the breeding season, when they form long-term monogamous pairs for mating. Mating takes place on open water and geese show strong preferences for nest sites used in previous years (Romanov, 1999). Domestic geese lay larger clutches of eggs compared with their wild counterparts and tend to lay every other day. Whilst wild geese are generally monogamous, domestic geese can be promiscuous if given the opportunity to breed (Appleby et al., 2004).</w:t>
      </w:r>
    </w:p>
    <w:p w14:paraId="6F71D58E" w14:textId="77777777" w:rsidR="00286A88" w:rsidRPr="00286A88" w:rsidRDefault="00286A88" w:rsidP="00A02C68">
      <w:pPr>
        <w:rPr>
          <w:lang w:val="en-AU" w:eastAsia="en-AU"/>
        </w:rPr>
      </w:pPr>
      <w:r w:rsidRPr="00286A88">
        <w:rPr>
          <w:lang w:val="en-AU" w:eastAsia="en-AU"/>
        </w:rPr>
        <w:t>Geese have a complex social structure and form long-term parent-offspring bonds (Lorenz, 1988, cited by Hemetsberger et al., 2010; Scheiber et al., 2005). Within the flock, a dominance hierarchy exists with family groups out-ranking pairs and individuals (Frigerio et al., 2003). Agonistic interactions (fighting and vocalising) within and between flocks can be frequent.</w:t>
      </w:r>
    </w:p>
    <w:p w14:paraId="7D1A9C32" w14:textId="77777777" w:rsidR="00286A88" w:rsidRPr="00286A88" w:rsidRDefault="00286A88" w:rsidP="00A02C68">
      <w:pPr>
        <w:rPr>
          <w:lang w:val="en-AU" w:eastAsia="en-AU"/>
        </w:rPr>
      </w:pPr>
      <w:r w:rsidRPr="00286A88">
        <w:rPr>
          <w:lang w:val="en-AU" w:eastAsia="en-AU"/>
        </w:rPr>
        <w:t>There is a limited amount of research on many aspects of goose welfare. Geese are closely related to ducks, suggesting a large proportion of the duck welfare literature is also relevant for geese. In some respects, goose behaviour differs from chicken behaviour, for example domestic geese don’t typically dust bathe and require water for effective preening. Their behavioural needs in other regards however, are likely to be similar to chickens. Both geese and chickens are natural foragers, roost (Schmitt, 1994) and have complex social groups (Frigerio et al., 2003).</w:t>
      </w:r>
    </w:p>
    <w:p w14:paraId="00E734DC" w14:textId="77777777" w:rsidR="00286A88" w:rsidRPr="00286A88" w:rsidRDefault="00286A88" w:rsidP="00A02C68">
      <w:pPr>
        <w:rPr>
          <w:lang w:val="en-AU" w:eastAsia="en-AU"/>
        </w:rPr>
      </w:pPr>
      <w:r w:rsidRPr="00286A88">
        <w:rPr>
          <w:lang w:val="en-AU" w:eastAsia="en-AU"/>
        </w:rPr>
        <w:t>Domestic geese are kept in a variety of housing systems world-wide, ranging from intensive indoor slatted systems to extensive systems providing access to open water.</w:t>
      </w:r>
    </w:p>
    <w:p w14:paraId="40E397CA" w14:textId="77777777" w:rsidR="00286A88" w:rsidRPr="00286A88" w:rsidRDefault="00286A88" w:rsidP="00A02C68">
      <w:pPr>
        <w:pStyle w:val="Heading2"/>
        <w:rPr>
          <w:lang w:val="en-AU" w:eastAsia="en-AU"/>
        </w:rPr>
      </w:pPr>
      <w:bookmarkStart w:id="209" w:name="_Toc495310678"/>
      <w:r w:rsidRPr="00286A88">
        <w:rPr>
          <w:lang w:val="en-AU" w:eastAsia="en-AU"/>
        </w:rPr>
        <w:t>G2. Feed and Water</w:t>
      </w:r>
      <w:bookmarkEnd w:id="209"/>
    </w:p>
    <w:p w14:paraId="7642FF3D" w14:textId="77777777" w:rsidR="00286A88" w:rsidRPr="00A02C68" w:rsidRDefault="00286A88" w:rsidP="00A02C68">
      <w:pPr>
        <w:rPr>
          <w:i/>
          <w:lang w:val="en-AU" w:eastAsia="en-AU"/>
        </w:rPr>
      </w:pPr>
      <w:r w:rsidRPr="00A02C68">
        <w:rPr>
          <w:i/>
          <w:lang w:val="en-AU" w:eastAsia="en-AU"/>
        </w:rPr>
        <w:t>Geese are natural grazers and good quality fibre and protein are important dietary constituents. Geese may prefer a loose seed-pellet mix over a high-energy pelleted diet. Diet in early life may influence the stress response in later life.</w:t>
      </w:r>
    </w:p>
    <w:p w14:paraId="0346D12F" w14:textId="77777777" w:rsidR="00286A88" w:rsidRPr="00286A88" w:rsidRDefault="00286A88" w:rsidP="00A02C68">
      <w:pPr>
        <w:rPr>
          <w:lang w:val="en-AU" w:eastAsia="en-AU"/>
        </w:rPr>
      </w:pPr>
      <w:r w:rsidRPr="00286A88">
        <w:rPr>
          <w:lang w:val="en-AU" w:eastAsia="en-AU"/>
        </w:rPr>
        <w:t>Geese are a rapidly growing species, with goslings reaching almost 3 kg in their first four weeks of life (Farrell, 2004). Greylag geese are primarily a grazing species and little is known about the nutritional requirements of geese in a commercial environment. The influence of the dietary condition in early life on the behavioural and physiological sensitivity of the stress response in later life has been investigated (He et al., 2016). Geese that were fed corn straw silage had a higher post-stress (fasting, catching, transport for 30 minutes) level of methane dicarboxylic aldehyde (a measure of physiological stress response), than geese that were fed steam-exploded corn straw. Although geese have a large caecum, it is suggested that they have a limited ability to digest fibre, particularly if it is of poor quality (Farrell, 2004). The authors indicated that dietary fibre content may have affected the physiological responses of the geese to stress (He et al., 2016). It is suggested that protein is a particularly important dietary constituent for geese (Farrell, 2004).</w:t>
      </w:r>
    </w:p>
    <w:p w14:paraId="4ED39BAA" w14:textId="77777777" w:rsidR="00286A88" w:rsidRPr="00286A88" w:rsidRDefault="00286A88" w:rsidP="00A02C68">
      <w:pPr>
        <w:rPr>
          <w:lang w:val="en-AU" w:eastAsia="en-AU"/>
        </w:rPr>
      </w:pPr>
      <w:r w:rsidRPr="00286A88">
        <w:rPr>
          <w:lang w:val="en-AU" w:eastAsia="en-AU"/>
        </w:rPr>
        <w:t>As geese are natural grazers, the method of feeding in commercial systems may influence their behaviour and welfare. The behaviour of geese was measured when they were fed either a uniform pelleted diet or a diet consisting of a loose mixture of pellets and sorghum whole seeds (Arroyo et al., 2013). The composition of the diets was identical, but feed intake of the loose mixture increased when the amount of time they could access the food was reduced, suggesting they preferred this diet. Consequently, geese fed the mixed diet had a higher body weight at the end of rear.</w:t>
      </w:r>
    </w:p>
    <w:p w14:paraId="2707AD51" w14:textId="77777777" w:rsidR="00286A88" w:rsidRPr="00286A88" w:rsidRDefault="00286A88" w:rsidP="00A02C68">
      <w:pPr>
        <w:pStyle w:val="Heading3"/>
        <w:rPr>
          <w:lang w:val="en-AU" w:eastAsia="en-AU"/>
        </w:rPr>
      </w:pPr>
      <w:bookmarkStart w:id="210" w:name="_Toc495310679"/>
      <w:r w:rsidRPr="00286A88">
        <w:rPr>
          <w:lang w:val="en-AU" w:eastAsia="en-AU"/>
        </w:rPr>
        <w:t>G2.1 Force feeding for foie gras production</w:t>
      </w:r>
      <w:bookmarkEnd w:id="210"/>
    </w:p>
    <w:p w14:paraId="6C90BDC3" w14:textId="77777777" w:rsidR="00286A88" w:rsidRPr="00A02C68" w:rsidRDefault="00286A88" w:rsidP="00A02C68">
      <w:pPr>
        <w:rPr>
          <w:i/>
          <w:lang w:val="en-AU" w:eastAsia="en-AU"/>
        </w:rPr>
      </w:pPr>
      <w:r w:rsidRPr="00A02C68">
        <w:rPr>
          <w:i/>
          <w:lang w:val="en-AU" w:eastAsia="en-AU"/>
        </w:rPr>
        <w:t>Geese that are reared to produce foie gras are subjected to a period of force-feeding which causes metabolic and hormonal changes. The procedure, which may involve geese being housed in individual crates is associated with the development of pressure sores on the sternum and increased mortality.</w:t>
      </w:r>
    </w:p>
    <w:p w14:paraId="07CCCAAB" w14:textId="77777777" w:rsidR="00286A88" w:rsidRPr="00286A88" w:rsidRDefault="00286A88" w:rsidP="00A02C68">
      <w:pPr>
        <w:rPr>
          <w:lang w:val="en-AU" w:eastAsia="en-AU"/>
        </w:rPr>
      </w:pPr>
      <w:r w:rsidRPr="00286A88">
        <w:rPr>
          <w:lang w:val="en-AU" w:eastAsia="en-AU"/>
        </w:rPr>
        <w:t xml:space="preserve">In some countries, geese are reared to produce foie gras (fatty liver), although this practice is less common for geese than ducks (Guémené and Guy 2004). Force feeding of geese is prohibited in Australia. The procedure has been described in detail elsewhere (e.g. SCAHAW 1998; Guémené and Guy 2004). Foie gras production involves a period of force-feeding using an oesophageal tube to enlarge the liver up to 10 times the normal size and is associated with a change in metabolism, thyroid hormone release and decreased hepatic blood flow (Bogin et al., 1984, cited by Skippon, 2013; Janan et al., 2000). This process often involves geese being housed in individual pens during force-feeding to make it easier for the handler to perform the procedure. This can result in the occurrence of pressure sores on the sternum (Skippon, 2013). Increased mortality rates are also associated with force-feeding. In an experiment designed to assess whether geese avoided the force-feeding pen, it was found that geese showed no obvious signs of aversion (Faure et al., 2001). It is possible that geese had developed learned helplessness, which is a state an animal can enter if it has learned </w:t>
      </w:r>
      <w:r w:rsidR="00197DAF">
        <w:rPr>
          <w:lang w:val="en-AU" w:eastAsia="en-AU"/>
        </w:rPr>
        <w:t>i</w:t>
      </w:r>
      <w:r w:rsidRPr="00286A88">
        <w:rPr>
          <w:lang w:val="en-AU" w:eastAsia="en-AU"/>
        </w:rPr>
        <w:t xml:space="preserve">t </w:t>
      </w:r>
      <w:r w:rsidR="00197DAF">
        <w:rPr>
          <w:lang w:val="en-AU" w:eastAsia="en-AU"/>
        </w:rPr>
        <w:t xml:space="preserve">is </w:t>
      </w:r>
      <w:r w:rsidRPr="00286A88">
        <w:rPr>
          <w:lang w:val="en-AU" w:eastAsia="en-AU"/>
        </w:rPr>
        <w:t>unable to avoid something aversive.</w:t>
      </w:r>
    </w:p>
    <w:p w14:paraId="5687BA17" w14:textId="77777777" w:rsidR="00286A88" w:rsidRPr="00286A88" w:rsidRDefault="00286A88" w:rsidP="00A02C68">
      <w:pPr>
        <w:pStyle w:val="Heading2"/>
        <w:rPr>
          <w:lang w:val="en-AU" w:eastAsia="en-AU"/>
        </w:rPr>
      </w:pPr>
      <w:bookmarkStart w:id="211" w:name="_Toc495310680"/>
      <w:r w:rsidRPr="00286A88">
        <w:rPr>
          <w:lang w:val="en-AU" w:eastAsia="en-AU"/>
        </w:rPr>
        <w:t>G3. Risk Management</w:t>
      </w:r>
      <w:bookmarkEnd w:id="211"/>
    </w:p>
    <w:p w14:paraId="2FFAF87F" w14:textId="77777777" w:rsidR="00286A88" w:rsidRPr="00A02C68" w:rsidRDefault="00286A88" w:rsidP="00A02C68">
      <w:pPr>
        <w:rPr>
          <w:i/>
          <w:lang w:val="en-AU" w:eastAsia="en-AU"/>
        </w:rPr>
      </w:pPr>
      <w:r w:rsidRPr="00A02C68">
        <w:rPr>
          <w:i/>
          <w:lang w:val="en-AU" w:eastAsia="en-AU"/>
        </w:rPr>
        <w:t>Skeletal problems, which are associated with rapid growth can be seen in domestic geese. Geese are susceptible to several parasitic and infectious diseases, including avian influenza, haemorrhagic nephritis enteritis and parvovirus.</w:t>
      </w:r>
    </w:p>
    <w:p w14:paraId="4A1BE871" w14:textId="77777777" w:rsidR="00286A88" w:rsidRPr="00286A88" w:rsidRDefault="00286A88" w:rsidP="00A02C68">
      <w:pPr>
        <w:pStyle w:val="Heading3"/>
        <w:rPr>
          <w:lang w:val="en-AU" w:eastAsia="en-AU"/>
        </w:rPr>
      </w:pPr>
      <w:bookmarkStart w:id="212" w:name="_Toc495310681"/>
      <w:r w:rsidRPr="00286A88">
        <w:rPr>
          <w:lang w:val="en-AU" w:eastAsia="en-AU"/>
        </w:rPr>
        <w:t>G3.1 Bone fractures and damage</w:t>
      </w:r>
      <w:bookmarkEnd w:id="212"/>
    </w:p>
    <w:p w14:paraId="2BB11BC2" w14:textId="77777777" w:rsidR="00286A88" w:rsidRPr="00286A88" w:rsidRDefault="00286A88" w:rsidP="00A02C68">
      <w:pPr>
        <w:rPr>
          <w:lang w:val="en-AU" w:eastAsia="en-AU"/>
        </w:rPr>
      </w:pPr>
      <w:r w:rsidRPr="00286A88">
        <w:rPr>
          <w:lang w:val="en-AU" w:eastAsia="en-AU"/>
        </w:rPr>
        <w:t>Skeletal problems are found in some species of poultry because of genetic changes and rapid growth. In modern production systems geese are susceptible to tibial deformations and fractures, which generally occur between 6-8 weeks of age (Charuta et al., 2014). In a very small sample of 20 birds, tibial deformations were found in 20% of males and 10% of females (Charuta et al., 2014).</w:t>
      </w:r>
    </w:p>
    <w:p w14:paraId="448299BF" w14:textId="77777777" w:rsidR="00286A88" w:rsidRPr="00286A88" w:rsidRDefault="00286A88" w:rsidP="00A02C68">
      <w:pPr>
        <w:pStyle w:val="Heading3"/>
        <w:rPr>
          <w:lang w:val="en-AU" w:eastAsia="en-AU"/>
        </w:rPr>
      </w:pPr>
      <w:bookmarkStart w:id="213" w:name="_Toc495310682"/>
      <w:r w:rsidRPr="00286A88">
        <w:rPr>
          <w:lang w:val="en-AU" w:eastAsia="en-AU"/>
        </w:rPr>
        <w:t>G3.2 Parasitic infections</w:t>
      </w:r>
      <w:bookmarkEnd w:id="213"/>
    </w:p>
    <w:p w14:paraId="61511E09" w14:textId="77777777" w:rsidR="00286A88" w:rsidRPr="00286A88" w:rsidRDefault="00286A88" w:rsidP="00A02C68">
      <w:pPr>
        <w:rPr>
          <w:lang w:val="en-AU" w:eastAsia="en-AU"/>
        </w:rPr>
      </w:pPr>
      <w:r w:rsidRPr="00286A88">
        <w:rPr>
          <w:lang w:val="en-AU" w:eastAsia="en-AU"/>
        </w:rPr>
        <w:t>Myiasis is a parasitic infection caused by fly larvae feeding on wound sites (Farkas et al., 2001). In one study 0.1% geese were infected. Plucking of feathers, along with other skin injuries is likely to increase the risk of infection.</w:t>
      </w:r>
    </w:p>
    <w:p w14:paraId="7FFA1D73" w14:textId="77777777" w:rsidR="00286A88" w:rsidRPr="00286A88" w:rsidRDefault="00286A88" w:rsidP="00A02C68">
      <w:pPr>
        <w:pStyle w:val="Heading3"/>
        <w:rPr>
          <w:lang w:val="en-AU" w:eastAsia="en-AU"/>
        </w:rPr>
      </w:pPr>
      <w:bookmarkStart w:id="214" w:name="_Toc495310683"/>
      <w:r w:rsidRPr="00286A88">
        <w:rPr>
          <w:lang w:val="en-AU" w:eastAsia="en-AU"/>
        </w:rPr>
        <w:t>G3.3 Infectious diseases</w:t>
      </w:r>
      <w:bookmarkEnd w:id="214"/>
    </w:p>
    <w:p w14:paraId="3948D158" w14:textId="77777777" w:rsidR="00286A88" w:rsidRPr="00286A88" w:rsidRDefault="00286A88" w:rsidP="00A02C68">
      <w:pPr>
        <w:rPr>
          <w:lang w:val="en-AU" w:eastAsia="en-AU"/>
        </w:rPr>
      </w:pPr>
      <w:r w:rsidRPr="00286A88">
        <w:rPr>
          <w:lang w:val="en-AU" w:eastAsia="en-AU"/>
        </w:rPr>
        <w:t>Geese are susceptible to a number of infectious diseases. As with other species of poultry, access to the outdoors may increase the risk of contact with wild birds that may be carrying infectious diseases such as avian influenza. Haemorrhagic Nephritis Enteritis is a viral disease to which growing goslings are particularly vulnerable and is one the major diseases affecting geese in Europe (Gawel et al., 2014). Goose parvovirus (goose hepatitis) can be fatal and causes high mortality in flocks (Gough</w:t>
      </w:r>
      <w:r w:rsidR="00F16F5D">
        <w:rPr>
          <w:lang w:val="en-AU" w:eastAsia="en-AU"/>
        </w:rPr>
        <w:t xml:space="preserve"> and Hansen</w:t>
      </w:r>
      <w:r w:rsidRPr="00286A88">
        <w:rPr>
          <w:lang w:val="en-AU" w:eastAsia="en-AU"/>
        </w:rPr>
        <w:t>, 2000; Irvine and Holmes, 2010). Clinical signs include weakness, loss of appetite, diarrhoea and swelling of the eyelids. Similarly to ducks, amyloidosis, a build-up of protein in the internal organs can affect geese and can cause high mortality in infected flocks (Szabo et al., 2000</w:t>
      </w:r>
      <w:r w:rsidR="00F302D1">
        <w:rPr>
          <w:lang w:val="en-AU" w:eastAsia="en-AU"/>
        </w:rPr>
        <w:t>,</w:t>
      </w:r>
      <w:r w:rsidR="005C053B">
        <w:rPr>
          <w:lang w:val="en-AU" w:eastAsia="en-AU"/>
        </w:rPr>
        <w:t xml:space="preserve"> full </w:t>
      </w:r>
      <w:r w:rsidRPr="00286A88">
        <w:rPr>
          <w:lang w:val="en-AU" w:eastAsia="en-AU"/>
        </w:rPr>
        <w:t>text not available).</w:t>
      </w:r>
    </w:p>
    <w:p w14:paraId="3993ED84" w14:textId="77777777" w:rsidR="00286A88" w:rsidRPr="00286A88" w:rsidRDefault="00286A88" w:rsidP="00A02C68">
      <w:pPr>
        <w:pStyle w:val="Heading2"/>
        <w:rPr>
          <w:lang w:val="en-AU" w:eastAsia="en-AU"/>
        </w:rPr>
      </w:pPr>
      <w:bookmarkStart w:id="215" w:name="_Toc495310684"/>
      <w:r w:rsidRPr="00286A88">
        <w:rPr>
          <w:lang w:val="en-AU" w:eastAsia="en-AU"/>
        </w:rPr>
        <w:t>G4. Facilities and Equipment: Behavioural Needs</w:t>
      </w:r>
      <w:bookmarkEnd w:id="215"/>
    </w:p>
    <w:p w14:paraId="7B0BC4E7" w14:textId="77777777" w:rsidR="00286A88" w:rsidRPr="00A02C68" w:rsidRDefault="00286A88" w:rsidP="00A02C68">
      <w:pPr>
        <w:rPr>
          <w:i/>
          <w:lang w:val="en-AU" w:eastAsia="en-AU"/>
        </w:rPr>
      </w:pPr>
      <w:r w:rsidRPr="00A02C68">
        <w:rPr>
          <w:i/>
          <w:lang w:val="en-AU" w:eastAsia="en-AU"/>
        </w:rPr>
        <w:t>Geese have a complex social structure and form strong bonds with individuals within their flock (generally family members). They engage in between- and within- flock agonistic interactions, which they can find stressful.</w:t>
      </w:r>
    </w:p>
    <w:p w14:paraId="0D8DDDF6" w14:textId="77777777" w:rsidR="00286A88" w:rsidRPr="00286A88" w:rsidRDefault="00286A88" w:rsidP="00A02C68">
      <w:pPr>
        <w:pStyle w:val="Heading3"/>
        <w:rPr>
          <w:lang w:val="en-AU" w:eastAsia="en-AU"/>
        </w:rPr>
      </w:pPr>
      <w:bookmarkStart w:id="216" w:name="_Toc495310685"/>
      <w:r w:rsidRPr="00286A88">
        <w:rPr>
          <w:lang w:val="en-AU" w:eastAsia="en-AU"/>
        </w:rPr>
        <w:t>G4.1 Social behaviour</w:t>
      </w:r>
      <w:bookmarkEnd w:id="216"/>
    </w:p>
    <w:p w14:paraId="1688EC94" w14:textId="77777777" w:rsidR="00286A88" w:rsidRPr="00286A88" w:rsidRDefault="00286A88" w:rsidP="00A02C68">
      <w:pPr>
        <w:rPr>
          <w:lang w:val="en-AU" w:eastAsia="en-AU"/>
        </w:rPr>
      </w:pPr>
      <w:r w:rsidRPr="00286A88">
        <w:rPr>
          <w:lang w:val="en-AU" w:eastAsia="en-AU"/>
        </w:rPr>
        <w:t>Geese have a complex social organisation and engage in agonistic interactions (fighting and vocalising) to maintain the structure. Evidence suggests that geese can find these social interactions stressful (Wascher et al., 2008; 2009; 2010). The housing type and stocking density of geese within a commercial system therefore has the potential to hugely affect flock dynamics and goose welfare. In the wild, geese form strong bonds with other individuals and a disruption to the pair bond through predation has been found to induce a long-term (several months) decrease in heart-rate in the surviving partner (Wascher et al., 2012a). In a study a semi-feral population of 120, adult female siblings (that were raised together), rested closer to each other than male siblings or unrelated adults (Frigerio et al., 2001). The authors suggest the bonds might be important for stress reduction through social support.</w:t>
      </w:r>
    </w:p>
    <w:p w14:paraId="1DE8A4D0" w14:textId="77777777" w:rsidR="00286A88" w:rsidRPr="00286A88" w:rsidRDefault="00494BC4" w:rsidP="00A02C68">
      <w:pPr>
        <w:pStyle w:val="Heading2"/>
        <w:rPr>
          <w:lang w:val="en-AU" w:eastAsia="en-AU"/>
        </w:rPr>
      </w:pPr>
      <w:r>
        <w:rPr>
          <w:lang w:val="en-AU" w:eastAsia="en-AU"/>
        </w:rPr>
        <w:br w:type="column"/>
      </w:r>
      <w:bookmarkStart w:id="217" w:name="_Toc495310686"/>
      <w:r w:rsidR="00286A88" w:rsidRPr="00286A88">
        <w:rPr>
          <w:lang w:val="en-AU" w:eastAsia="en-AU"/>
        </w:rPr>
        <w:t>G5. Fear and Distress</w:t>
      </w:r>
      <w:bookmarkEnd w:id="217"/>
    </w:p>
    <w:p w14:paraId="01077823" w14:textId="77777777" w:rsidR="00286A88" w:rsidRPr="00A02C68" w:rsidRDefault="00286A88" w:rsidP="00A02C68">
      <w:pPr>
        <w:rPr>
          <w:i/>
          <w:lang w:val="en-AU" w:eastAsia="en-AU"/>
        </w:rPr>
      </w:pPr>
      <w:r w:rsidRPr="00A02C68">
        <w:rPr>
          <w:i/>
          <w:lang w:val="en-AU" w:eastAsia="en-AU"/>
        </w:rPr>
        <w:t>Geese find human interactions during catching, handling and transport stressful, particularly if approached by an unfamiliar person. Captive geese were found to have higher stress levels than their wild counterparts, but hand-rearing may reduce the impact of human interactions in later life.</w:t>
      </w:r>
    </w:p>
    <w:p w14:paraId="16988F83" w14:textId="77777777" w:rsidR="00286A88" w:rsidRPr="00286A88" w:rsidRDefault="00286A88" w:rsidP="00A02C68">
      <w:pPr>
        <w:rPr>
          <w:lang w:val="en-AU" w:eastAsia="en-AU"/>
        </w:rPr>
      </w:pPr>
      <w:r w:rsidRPr="00286A88">
        <w:rPr>
          <w:lang w:val="en-AU" w:eastAsia="en-AU"/>
        </w:rPr>
        <w:t>Measures of chronic stress include changes in glucocorticoid hormone metabolites and a decreased immunity. In a study which aimed to identify chronic stress in greylag geese, captive geese had elevated levels of corticosterone and ectoparasites in their droppings, compared with groups of wild geese in a similar location (Scheiber et al., 2015). The level of ectoparasites found in the faeces is thought to reflect a decreased immunity. Despite the comparative difference in corticosterone levels, values were still relatively low in all geese and were not, as described by the authors, at a pathological level. The geese were housed in fairly low numbers and had outdoor areas with pools, so different results may be observed for geese housed in intensive commercial systems.</w:t>
      </w:r>
    </w:p>
    <w:p w14:paraId="75C6624A" w14:textId="77777777" w:rsidR="00286A88" w:rsidRPr="00286A88" w:rsidRDefault="00286A88" w:rsidP="00A02C68">
      <w:pPr>
        <w:rPr>
          <w:lang w:val="en-AU" w:eastAsia="en-AU"/>
        </w:rPr>
      </w:pPr>
      <w:r w:rsidRPr="00286A88">
        <w:rPr>
          <w:lang w:val="en-AU" w:eastAsia="en-AU"/>
        </w:rPr>
        <w:t>Agonistic encounters have been shown to induce an elevated heart-rate in geese compared with other behaviours such as feeding or preening, despite displaying similar activity levels (Wascher et al., 2008; 2009). In addition, heart rate increases were found to be greater when interactions were more intense and when repeated agonistic interactions occurred with a specific individual (Wascher et al., 2009) and they induced stress-related behaviours such as body shaking, increased vigilance and auto-preening (Wascher et al., 2010). These results suggest that agonistic social interactions may induce acute stress responses in geese and that group composition might influence the intensity of the response. In another study, it was found that faecal parasite load was higher in geese that were goose-reared, rather than those that were hand-reared and then raised in an experimental housing system (Wascher et al., 2012b). In a different experiment, hand-reared goslings also had lower levels of faecal glucocorticoid metabolites (associated with the stress response) following exposure to three potential stressors: a high social-density feeding situation; predator exposure; and handling (Hemetsberger et al., 2010). Both results suggest that hand-reared geese coped better with stressors encountered in a managed system.</w:t>
      </w:r>
    </w:p>
    <w:p w14:paraId="56B5A416" w14:textId="77777777" w:rsidR="00286A88" w:rsidRPr="00286A88" w:rsidRDefault="00286A88" w:rsidP="00A02C68">
      <w:pPr>
        <w:rPr>
          <w:lang w:val="en-AU" w:eastAsia="en-AU"/>
        </w:rPr>
      </w:pPr>
      <w:r w:rsidRPr="00286A88">
        <w:rPr>
          <w:lang w:val="en-AU" w:eastAsia="en-AU"/>
        </w:rPr>
        <w:t>In addition to social interactions, geese experience heart-rate changes, which might be indicative of an acute stress response in other challenging situations. Catching and handling, a model predator and approach by a human have all been found to evoke an elevated heart rate (Wascher et al., 2011; Toth et al., 2012</w:t>
      </w:r>
      <w:r w:rsidR="00F302D1">
        <w:rPr>
          <w:lang w:val="en-AU" w:eastAsia="en-AU"/>
        </w:rPr>
        <w:t>,</w:t>
      </w:r>
      <w:r w:rsidR="007103C8">
        <w:rPr>
          <w:lang w:val="en-AU" w:eastAsia="en-AU"/>
        </w:rPr>
        <w:t xml:space="preserve"> full </w:t>
      </w:r>
      <w:r w:rsidRPr="00286A88">
        <w:rPr>
          <w:lang w:val="en-AU" w:eastAsia="en-AU"/>
        </w:rPr>
        <w:t>text not available). The greatest increase was seen when geese were approached by an unfamiliar human, indicating the importance of habituation to humans prior to handling.</w:t>
      </w:r>
    </w:p>
    <w:p w14:paraId="1164B125" w14:textId="77777777" w:rsidR="00286A88" w:rsidRPr="00286A88" w:rsidRDefault="00286A88" w:rsidP="00A02C68">
      <w:pPr>
        <w:rPr>
          <w:lang w:val="en-AU" w:eastAsia="en-AU"/>
        </w:rPr>
      </w:pPr>
      <w:r w:rsidRPr="00286A88">
        <w:rPr>
          <w:shd w:val="clear" w:color="auto" w:fill="FFFFFF"/>
          <w:lang w:val="en-AU" w:eastAsia="en-AU"/>
        </w:rPr>
        <w:t>In a study which measured the behavioural and physiological effect of catching and transporting geese to slaughter the blood concentration of superoxide dismutase dropped by 14% and creatine kinase levels increased (both are associated with the stress response) by 186% after stress (post-stress vs. pre-stress), which suggests the process was stressful (He et al., 2016).</w:t>
      </w:r>
    </w:p>
    <w:p w14:paraId="5EEC810D" w14:textId="77777777" w:rsidR="00286A88" w:rsidRPr="00286A88" w:rsidRDefault="00286A88" w:rsidP="00A02C68">
      <w:pPr>
        <w:pStyle w:val="Heading2"/>
        <w:rPr>
          <w:lang w:val="en-AU" w:eastAsia="en-AU"/>
        </w:rPr>
      </w:pPr>
      <w:bookmarkStart w:id="218" w:name="_Toc495310687"/>
      <w:r w:rsidRPr="00286A88">
        <w:rPr>
          <w:lang w:val="en-AU" w:eastAsia="en-AU"/>
        </w:rPr>
        <w:t>G6. Management and Handling</w:t>
      </w:r>
      <w:bookmarkEnd w:id="218"/>
    </w:p>
    <w:p w14:paraId="321FBACC" w14:textId="77777777" w:rsidR="00286A88" w:rsidRPr="00A02C68" w:rsidRDefault="00286A88" w:rsidP="00A02C68">
      <w:pPr>
        <w:rPr>
          <w:i/>
          <w:lang w:val="en-AU" w:eastAsia="en-AU"/>
        </w:rPr>
      </w:pPr>
      <w:r w:rsidRPr="00A02C68">
        <w:rPr>
          <w:i/>
          <w:lang w:val="en-AU" w:eastAsia="en-AU"/>
        </w:rPr>
        <w:t>High stocking densities may lead to an increase in bone deformations, hence lower densities are better for welfare. Feather plucking from live birds takes place in some countries and can cause severe welfare issues.</w:t>
      </w:r>
    </w:p>
    <w:p w14:paraId="064DED3E" w14:textId="77777777" w:rsidR="00286A88" w:rsidRPr="00286A88" w:rsidRDefault="00286A88" w:rsidP="00A02C68">
      <w:pPr>
        <w:pStyle w:val="Heading3"/>
        <w:rPr>
          <w:lang w:val="en-AU" w:eastAsia="en-AU"/>
        </w:rPr>
      </w:pPr>
      <w:bookmarkStart w:id="219" w:name="_Toc495310688"/>
      <w:r w:rsidRPr="00286A88">
        <w:rPr>
          <w:lang w:val="en-AU" w:eastAsia="en-AU"/>
        </w:rPr>
        <w:t>G6.1 Stocking density and group size</w:t>
      </w:r>
      <w:bookmarkEnd w:id="219"/>
    </w:p>
    <w:p w14:paraId="769321C9" w14:textId="77777777" w:rsidR="00286A88" w:rsidRDefault="00286A88" w:rsidP="00A02C68">
      <w:pPr>
        <w:rPr>
          <w:lang w:val="en-AU" w:eastAsia="en-AU"/>
        </w:rPr>
      </w:pPr>
      <w:r w:rsidRPr="00286A88">
        <w:rPr>
          <w:lang w:val="en-AU" w:eastAsia="en-AU"/>
        </w:rPr>
        <w:t>A few studies have investigated the effects of stocking density on geese. In one study, geese were reared on slatted flooring at stocking densities of 4, 6 or 8 geese/5 m</w:t>
      </w:r>
      <w:r w:rsidRPr="00286A88">
        <w:rPr>
          <w:vertAlign w:val="superscript"/>
          <w:lang w:val="en-AU" w:eastAsia="en-AU"/>
        </w:rPr>
        <w:t xml:space="preserve">2 </w:t>
      </w:r>
      <w:r w:rsidRPr="00286A88">
        <w:rPr>
          <w:lang w:val="en-AU" w:eastAsia="en-AU"/>
        </w:rPr>
        <w:t>and it was found that body weight was higher when geese were kept at the lowest stocking density (Chang et al., 2010</w:t>
      </w:r>
      <w:r w:rsidR="00F302D1">
        <w:rPr>
          <w:lang w:val="en-AU" w:eastAsia="en-AU"/>
        </w:rPr>
        <w:t>,</w:t>
      </w:r>
      <w:r w:rsidR="007103C8">
        <w:rPr>
          <w:lang w:val="en-AU" w:eastAsia="en-AU"/>
        </w:rPr>
        <w:t xml:space="preserve"> full </w:t>
      </w:r>
      <w:r w:rsidRPr="00286A88">
        <w:rPr>
          <w:lang w:val="en-AU" w:eastAsia="en-AU"/>
        </w:rPr>
        <w:t>text not available). This finding was replicated in another study, but the differences were particularly marked when geese were less than 4 weeks of age (Lin et al., 2016). This study also reported the incidence of a condition known as angel wing. Angel wing is a deformation of the carpometacarpus or the joint between the third and fourth metacarpals in the wing, causing the bone to twist away from the body. This condition may be influenced by several factors, including the amount of space provided for movement and stretching of wings for healthy development. In the aforementioned study, angel wing was observed at all stocking densities tested and averaged 42% across treatments by 14 weeks of age. The authors suggest that alternative stocking densities may reduce angel wing in geese, but that other factors such as genetics and nutrition also play a role.</w:t>
      </w:r>
    </w:p>
    <w:p w14:paraId="05841A0E" w14:textId="77777777" w:rsidR="00286A88" w:rsidRPr="00286A88" w:rsidRDefault="00BA51E1" w:rsidP="00BA51E1">
      <w:pPr>
        <w:pStyle w:val="Heading3"/>
        <w:rPr>
          <w:lang w:val="en-AU" w:eastAsia="en-AU"/>
        </w:rPr>
      </w:pPr>
      <w:r>
        <w:rPr>
          <w:lang w:val="en-AU" w:eastAsia="en-AU"/>
        </w:rPr>
        <w:br w:type="column"/>
      </w:r>
      <w:bookmarkStart w:id="220" w:name="_Toc495310689"/>
      <w:r w:rsidR="00286A88" w:rsidRPr="00286A88">
        <w:rPr>
          <w:lang w:val="en-AU" w:eastAsia="en-AU"/>
        </w:rPr>
        <w:t>G6.2 Procedures</w:t>
      </w:r>
      <w:bookmarkEnd w:id="220"/>
    </w:p>
    <w:p w14:paraId="37E82C48" w14:textId="77777777" w:rsidR="00286A88" w:rsidRPr="00286A88" w:rsidRDefault="00286A88" w:rsidP="00A02C68">
      <w:pPr>
        <w:pStyle w:val="Heading41"/>
      </w:pPr>
      <w:r w:rsidRPr="00286A88">
        <w:t>6.2a Moulting, feather gathering and live plucking</w:t>
      </w:r>
    </w:p>
    <w:p w14:paraId="60F78B8A" w14:textId="77777777" w:rsidR="00286A88" w:rsidRPr="00286A88" w:rsidRDefault="00286A88" w:rsidP="00A02C68">
      <w:pPr>
        <w:rPr>
          <w:lang w:val="en-AU" w:eastAsia="en-AU"/>
        </w:rPr>
      </w:pPr>
      <w:r w:rsidRPr="00286A88">
        <w:rPr>
          <w:lang w:val="en-AU" w:eastAsia="en-AU"/>
        </w:rPr>
        <w:t>Feathers from geese are used in the down industry and are either collected at slaughter or, in some countries (where legal), are collected from live birds. EFSA (2010) drew a distinction between feather gathering where feathers that are loose due to natural moulting are removed using a brushing or combing action, and plucking where at least parts of the targeted feathers are pulled out from the breast, belly, flanks and back.</w:t>
      </w:r>
    </w:p>
    <w:p w14:paraId="13B10E9E" w14:textId="77777777" w:rsidR="00286A88" w:rsidRPr="00286A88" w:rsidRDefault="00286A88" w:rsidP="00A02C68">
      <w:pPr>
        <w:rPr>
          <w:lang w:val="en-AU" w:eastAsia="en-AU"/>
        </w:rPr>
      </w:pPr>
      <w:r w:rsidRPr="00286A88">
        <w:rPr>
          <w:lang w:val="en-AU" w:eastAsia="en-AU"/>
        </w:rPr>
        <w:t>Domestic geese moult more regularly than their wild counterparts and the feathers are mature by 10 weeks, after which the first moult begins (Kozak, 2010). Feathers may be collected for commercial purposes up to 3 times during the first year of rear, and can be collected from birds kept for egg, meat or foie gras production. Very careful feather gathering at the time of each natural moult may not cause substantial pain or distress (Kozak, 2010) but live plucking leads invariably to bleeding follicles, and is most likely (based on work on feather removal in laying hens) accompanied by a sensation of pain (EFSA, 2010). Live plucking can also result in significant wounds and bruising (Farkas et al., 2001; EFSA, 2010). Live plucking is also a risk factor for fly-borne infections (Farkas et al., 2001). There have been many exposés of live bird plucking that show birds sustaining significant skin wounds during rough manual plucking or (in some non-European countries, e.g. China) during machine plucking of feathers (Kozak, 2010). EFSA (2010) concluded that, under commercial conditions, feather gathering could not be fully distinguished from feather plucking. Feathers ripen at different times on different body regions and between different individuals. Thus, whilst some ripe feathers can be gathered, the pressure to harvest all useable feathers at one time will necessarily mean that many feathers are plucked. EFSA (2010) concluded that the catching, handling and restraint of birds for feather collection was also likely to cause stress (geese are more susceptible to stress during moulting periods) and had the potential to cause injuries, including dislocations, and suffocation. Live plucking is not permitted in the EU, but feathers can be collected from birds at the slaughterhouse.</w:t>
      </w:r>
    </w:p>
    <w:p w14:paraId="0A8A82F1" w14:textId="77777777" w:rsidR="00286A88" w:rsidRPr="00286A88" w:rsidRDefault="00286A88" w:rsidP="0047386D">
      <w:pPr>
        <w:pStyle w:val="Heading2"/>
        <w:rPr>
          <w:lang w:val="en-AU" w:eastAsia="en-AU"/>
        </w:rPr>
      </w:pPr>
      <w:bookmarkStart w:id="221" w:name="_Toc495310690"/>
      <w:r w:rsidRPr="00286A88">
        <w:rPr>
          <w:lang w:val="en-AU" w:eastAsia="en-AU"/>
        </w:rPr>
        <w:t>G7. Rearing</w:t>
      </w:r>
      <w:bookmarkEnd w:id="221"/>
    </w:p>
    <w:p w14:paraId="7ECE0C39" w14:textId="77777777" w:rsidR="00286A88" w:rsidRPr="0047386D" w:rsidRDefault="00286A88" w:rsidP="0047386D">
      <w:pPr>
        <w:rPr>
          <w:i/>
          <w:lang w:val="en-AU" w:eastAsia="en-AU"/>
        </w:rPr>
      </w:pPr>
      <w:r w:rsidRPr="0047386D">
        <w:rPr>
          <w:i/>
          <w:lang w:val="en-AU" w:eastAsia="en-AU"/>
        </w:rPr>
        <w:t>Increased body weight may be found in more intensive housing systems, but this may be reflective of reduced behavioural opportunities.</w:t>
      </w:r>
    </w:p>
    <w:p w14:paraId="41B7DB25" w14:textId="77777777" w:rsidR="00286A88" w:rsidRPr="00286A88" w:rsidRDefault="00286A88" w:rsidP="0047386D">
      <w:pPr>
        <w:rPr>
          <w:lang w:val="en-AU" w:eastAsia="en-AU"/>
        </w:rPr>
      </w:pPr>
      <w:r w:rsidRPr="00286A88">
        <w:rPr>
          <w:lang w:val="en-AU" w:eastAsia="en-AU"/>
        </w:rPr>
        <w:t>In some countries, geese can be either naturally- or artificially-hatched. A study found no effect of rearing system (intensive or free-range) or hatching condition on the body weight of geese (Boz et al., 2017). In contrast, it has been found that the body weight of geese was higher in a wire-floored, intensive system compared to other systems, including free-range (Liu et al., 2011; El-Hanoun et al., 2012). Body weight is not a definitive marker of welfare however, and it is likely that intensive systems result in increased body weight as a consequence of reduced behavioural opportunities. These studies measured few other physical and behavioural indicators of welfare. In one study, more wounds were found on geese that were reared indoors, compared with those in a free-range system (Boz et al., 2017).</w:t>
      </w:r>
    </w:p>
    <w:p w14:paraId="455EFEC5" w14:textId="77777777" w:rsidR="00286A88" w:rsidRPr="00286A88" w:rsidRDefault="00286A88" w:rsidP="0047386D">
      <w:pPr>
        <w:pStyle w:val="Heading2"/>
        <w:rPr>
          <w:lang w:val="en-AU" w:eastAsia="en-AU"/>
        </w:rPr>
      </w:pPr>
      <w:bookmarkStart w:id="222" w:name="_Toc495310691"/>
      <w:r w:rsidRPr="00286A88">
        <w:rPr>
          <w:lang w:val="en-AU" w:eastAsia="en-AU"/>
        </w:rPr>
        <w:t>G8. Breed Effects</w:t>
      </w:r>
      <w:bookmarkEnd w:id="222"/>
    </w:p>
    <w:p w14:paraId="6860ADB8" w14:textId="77777777" w:rsidR="00286A88" w:rsidRPr="0047386D" w:rsidRDefault="00286A88" w:rsidP="0047386D">
      <w:pPr>
        <w:rPr>
          <w:i/>
          <w:lang w:val="en-AU" w:eastAsia="en-AU"/>
        </w:rPr>
      </w:pPr>
      <w:r w:rsidRPr="0047386D">
        <w:rPr>
          <w:i/>
          <w:lang w:val="en-AU" w:eastAsia="en-AU"/>
        </w:rPr>
        <w:t>Certain breeds or genetic lines might be more likely to develop bone deformities.</w:t>
      </w:r>
    </w:p>
    <w:p w14:paraId="5FF56A19" w14:textId="77777777" w:rsidR="00286A88" w:rsidRPr="00286A88" w:rsidRDefault="00286A88" w:rsidP="0047386D">
      <w:pPr>
        <w:rPr>
          <w:lang w:val="en-AU" w:eastAsia="en-AU"/>
        </w:rPr>
      </w:pPr>
      <w:r w:rsidRPr="00286A88">
        <w:rPr>
          <w:lang w:val="en-AU" w:eastAsia="en-AU"/>
        </w:rPr>
        <w:t>Angel wing is a condition which prevents normal wing development. Some species of geese are more susceptible to developing this condition, but certain lines within a breed (e.g. White Roman geese) have also been found to be at an increased risk (Lin et al., 2016).</w:t>
      </w:r>
    </w:p>
    <w:p w14:paraId="64F41D64" w14:textId="77777777" w:rsidR="00286A88" w:rsidRPr="00286A88" w:rsidRDefault="00286A88" w:rsidP="0047386D">
      <w:pPr>
        <w:pStyle w:val="Heading2"/>
        <w:rPr>
          <w:lang w:val="en-AU" w:eastAsia="en-AU"/>
        </w:rPr>
      </w:pPr>
      <w:bookmarkStart w:id="223" w:name="_Toc495310692"/>
      <w:r w:rsidRPr="00286A88">
        <w:rPr>
          <w:lang w:val="en-AU" w:eastAsia="en-AU"/>
        </w:rPr>
        <w:t>G9. Welfare Considerations: Overview</w:t>
      </w:r>
      <w:bookmarkEnd w:id="223"/>
    </w:p>
    <w:p w14:paraId="04187D24" w14:textId="77777777" w:rsidR="00286A88" w:rsidRPr="00286A88" w:rsidRDefault="00286A88" w:rsidP="0047386D">
      <w:pPr>
        <w:rPr>
          <w:lang w:val="en-AU" w:eastAsia="en-AU"/>
        </w:rPr>
      </w:pPr>
      <w:r w:rsidRPr="00286A88">
        <w:rPr>
          <w:lang w:val="en-AU" w:eastAsia="en-AU"/>
        </w:rPr>
        <w:t>Geese are adapted to eat a varied diet with a large component of fresh material obtained via grazing. They should be fed a diet that provides some variety and provided with a litter area that enables foraging behaviour. Diets should be provided that enable healthy, but not excessive growth rates to avoid musculo-skeletal problems.</w:t>
      </w:r>
    </w:p>
    <w:p w14:paraId="3A859290" w14:textId="77777777" w:rsidR="00286A88" w:rsidRPr="00286A88" w:rsidRDefault="00286A88" w:rsidP="0047386D">
      <w:pPr>
        <w:rPr>
          <w:lang w:val="en-AU" w:eastAsia="en-AU"/>
        </w:rPr>
      </w:pPr>
      <w:r w:rsidRPr="00286A88">
        <w:rPr>
          <w:lang w:val="en-AU" w:eastAsia="en-AU"/>
        </w:rPr>
        <w:t xml:space="preserve">Research is needed to establish minimum stocking densities that promote health and avoid the occurrence of conditions such as angel wing. Research is also needed to establish group compositions that ensure welfare, because adult geese (unlike the chicken) form strong bonds with specific individuals. </w:t>
      </w:r>
      <w:r w:rsidRPr="00286A88">
        <w:rPr>
          <w:rFonts w:cs="Arial"/>
          <w:shd w:val="clear" w:color="auto" w:fill="FFFFFF"/>
          <w:lang w:val="en-AU" w:eastAsia="en-AU"/>
        </w:rPr>
        <w:t>Geese are a species with a complex social structure and should not be housed in individual cages.</w:t>
      </w:r>
    </w:p>
    <w:p w14:paraId="315478E7" w14:textId="77777777" w:rsidR="00286A88" w:rsidRPr="00286A88" w:rsidRDefault="00286A88" w:rsidP="0047386D">
      <w:pPr>
        <w:rPr>
          <w:rFonts w:cs="Arial"/>
          <w:shd w:val="clear" w:color="auto" w:fill="FFFFFF"/>
          <w:lang w:val="en-AU" w:eastAsia="en-AU"/>
        </w:rPr>
      </w:pPr>
      <w:r w:rsidRPr="00286A88">
        <w:rPr>
          <w:rFonts w:cs="Arial"/>
          <w:shd w:val="clear" w:color="auto" w:fill="FFFFFF"/>
          <w:lang w:val="en-AU" w:eastAsia="en-AU"/>
        </w:rPr>
        <w:t>Geese are susceptible to stress and can panic easily. Producers can reduce levels of fear within the flock by positive early handling and rearing strategies, and by regular gentle walking to allow flocks to habituate to human presence. Producers should consider the genotype they are using as some strains are more susceptible to stress than others.</w:t>
      </w:r>
    </w:p>
    <w:p w14:paraId="10AF008D" w14:textId="77777777" w:rsidR="00286A88" w:rsidRPr="00286A88" w:rsidRDefault="00286A88" w:rsidP="0047386D">
      <w:pPr>
        <w:rPr>
          <w:lang w:val="en-AU" w:eastAsia="en-AU"/>
        </w:rPr>
      </w:pPr>
      <w:r w:rsidRPr="00286A88">
        <w:rPr>
          <w:rFonts w:cs="Arial"/>
          <w:shd w:val="clear" w:color="auto" w:fill="FFFFFF"/>
          <w:lang w:val="en-AU" w:eastAsia="en-AU"/>
        </w:rPr>
        <w:t>Research is needed to establish whether water should be provided to allow geese (as for ducks) the opportunity of wet preening.</w:t>
      </w:r>
    </w:p>
    <w:p w14:paraId="24B4D167" w14:textId="77777777" w:rsidR="00286A88" w:rsidRPr="00286A88" w:rsidRDefault="00286A88" w:rsidP="0047386D">
      <w:pPr>
        <w:rPr>
          <w:rFonts w:cs="Arial"/>
          <w:shd w:val="clear" w:color="auto" w:fill="FFFFFF"/>
          <w:lang w:val="en-AU" w:eastAsia="en-AU"/>
        </w:rPr>
      </w:pPr>
      <w:r w:rsidRPr="00286A88">
        <w:rPr>
          <w:rFonts w:cs="Arial"/>
          <w:shd w:val="clear" w:color="auto" w:fill="FFFFFF"/>
          <w:lang w:val="en-AU" w:eastAsia="en-AU"/>
        </w:rPr>
        <w:t>Force-feeding for foie gras production causes discomfort and ill-health and raises serious welfare concerns in those countries where it is conducted. Geese that are individually crated will be unable to express any of their behavioural needs.This practice is not permitted in Australia.</w:t>
      </w:r>
    </w:p>
    <w:p w14:paraId="47D22E64" w14:textId="77777777" w:rsidR="00286A88" w:rsidRDefault="00286A88" w:rsidP="0047386D">
      <w:pPr>
        <w:rPr>
          <w:rFonts w:cs="Arial"/>
          <w:shd w:val="clear" w:color="auto" w:fill="FFFFFF"/>
          <w:lang w:val="en-AU" w:eastAsia="en-AU"/>
        </w:rPr>
      </w:pPr>
      <w:r w:rsidRPr="00286A88">
        <w:rPr>
          <w:rFonts w:cs="Arial"/>
          <w:shd w:val="clear" w:color="auto" w:fill="FFFFFF"/>
          <w:lang w:val="en-AU" w:eastAsia="en-AU"/>
        </w:rPr>
        <w:t>The plucking of feathers from live geese causes injury and increases susceptibility to infection and is a serious welfare concern. Since it is difficult to distinguish feather gathering from plucking, to ensure bird welfare feathers should be collected only from dead birds at the slaughterhouse.</w:t>
      </w:r>
    </w:p>
    <w:p w14:paraId="654A813A" w14:textId="77777777" w:rsidR="00861B1A" w:rsidRDefault="00861B1A" w:rsidP="0047386D">
      <w:pPr>
        <w:rPr>
          <w:rFonts w:cs="Arial"/>
          <w:shd w:val="clear" w:color="auto" w:fill="FFFFFF"/>
          <w:lang w:val="en-AU" w:eastAsia="en-AU"/>
        </w:rPr>
      </w:pPr>
    </w:p>
    <w:p w14:paraId="764C722C" w14:textId="77777777" w:rsidR="00861B1A" w:rsidRDefault="00861B1A" w:rsidP="00861B1A">
      <w:pPr>
        <w:pStyle w:val="Heading2"/>
        <w:rPr>
          <w:shd w:val="clear" w:color="auto" w:fill="FFFFFF"/>
          <w:lang w:val="en-AU" w:eastAsia="en-AU"/>
        </w:rPr>
      </w:pPr>
      <w:r>
        <w:rPr>
          <w:shd w:val="clear" w:color="auto" w:fill="FFFFFF"/>
          <w:lang w:val="en-AU" w:eastAsia="en-AU"/>
        </w:rPr>
        <w:br w:type="column"/>
      </w:r>
      <w:bookmarkStart w:id="224" w:name="_Toc495310693"/>
      <w:r w:rsidR="00363A83">
        <w:rPr>
          <w:shd w:val="clear" w:color="auto" w:fill="FFFFFF"/>
          <w:lang w:val="en-AU" w:eastAsia="en-AU"/>
        </w:rPr>
        <w:t xml:space="preserve">G10. </w:t>
      </w:r>
      <w:r>
        <w:rPr>
          <w:shd w:val="clear" w:color="auto" w:fill="FFFFFF"/>
          <w:lang w:val="en-AU" w:eastAsia="en-AU"/>
        </w:rPr>
        <w:t>References</w:t>
      </w:r>
      <w:bookmarkEnd w:id="224"/>
    </w:p>
    <w:p w14:paraId="6DC4F599" w14:textId="77777777" w:rsidR="00861B1A" w:rsidRPr="00861B1A" w:rsidRDefault="00861B1A" w:rsidP="00861B1A">
      <w:pPr>
        <w:rPr>
          <w:rFonts w:cs="Arial"/>
          <w:color w:val="000000"/>
          <w:shd w:val="clear" w:color="auto" w:fill="FFFFFF"/>
          <w:lang w:eastAsia="en-AU"/>
        </w:rPr>
      </w:pPr>
      <w:bookmarkStart w:id="225" w:name="_Hlk483500417"/>
      <w:r w:rsidRPr="00861B1A">
        <w:rPr>
          <w:rFonts w:cs="Arial"/>
          <w:color w:val="000000"/>
          <w:shd w:val="clear" w:color="auto" w:fill="FFFFFF"/>
          <w:lang w:eastAsia="en-AU"/>
        </w:rPr>
        <w:t>Appleby, M. C., J. A. Mench, and B. O. Hughes. 2004. Poultry behaviour and welfare. CABI.</w:t>
      </w:r>
    </w:p>
    <w:p w14:paraId="380ED2E9" w14:textId="77777777" w:rsidR="00861B1A" w:rsidRPr="00861B1A" w:rsidRDefault="00861B1A" w:rsidP="00861B1A">
      <w:pPr>
        <w:rPr>
          <w:rFonts w:cs="Arial"/>
          <w:color w:val="000000"/>
          <w:shd w:val="clear" w:color="auto" w:fill="FFFFFF"/>
          <w:lang w:eastAsia="en-AU"/>
        </w:rPr>
      </w:pPr>
      <w:r w:rsidRPr="00861B1A">
        <w:rPr>
          <w:rFonts w:cs="Arial"/>
          <w:color w:val="000000"/>
          <w:shd w:val="clear" w:color="auto" w:fill="FFFFFF"/>
          <w:lang w:eastAsia="en-AU"/>
        </w:rPr>
        <w:t>Arroyo, J., A. Auvergne, J. Dubois, F. Lavigne, M. Bijja, C. Bannelier, and L. Fortun-Lamothe. 2013. The influence of loose-mix feeding on behavior, feed intake, and body we</w:t>
      </w:r>
      <w:r w:rsidR="008E103C">
        <w:rPr>
          <w:rFonts w:cs="Arial"/>
          <w:color w:val="000000"/>
          <w:shd w:val="clear" w:color="auto" w:fill="FFFFFF"/>
          <w:lang w:eastAsia="en-AU"/>
        </w:rPr>
        <w:t>ight of growing geese. Poultry S</w:t>
      </w:r>
      <w:r w:rsidRPr="00861B1A">
        <w:rPr>
          <w:rFonts w:cs="Arial"/>
          <w:color w:val="000000"/>
          <w:shd w:val="clear" w:color="auto" w:fill="FFFFFF"/>
          <w:lang w:eastAsia="en-AU"/>
        </w:rPr>
        <w:t>cience 92:1454-1460.</w:t>
      </w:r>
    </w:p>
    <w:p w14:paraId="2BBE16E1" w14:textId="77777777" w:rsidR="00861B1A" w:rsidRPr="00861B1A" w:rsidRDefault="00861B1A" w:rsidP="00861B1A">
      <w:pPr>
        <w:rPr>
          <w:rFonts w:cs="Arial"/>
          <w:color w:val="000000"/>
          <w:shd w:val="clear" w:color="auto" w:fill="FFFFFF"/>
          <w:lang w:eastAsia="en-AU"/>
        </w:rPr>
      </w:pPr>
      <w:r w:rsidRPr="00861B1A">
        <w:rPr>
          <w:rFonts w:cs="Arial"/>
          <w:color w:val="000000"/>
          <w:shd w:val="clear" w:color="auto" w:fill="FFFFFF"/>
          <w:lang w:eastAsia="en-AU"/>
        </w:rPr>
        <w:t>Boz, M. A., M. Sarica, and U. S. Yamak. 2017. Production traits of artificially and naturally hatched geese in intensive and free-range systems: I. Growth traits. British Poultry Science 58:132-138. doi 10.1080/00071668.2016.1261997</w:t>
      </w:r>
    </w:p>
    <w:p w14:paraId="36806E3C" w14:textId="77777777" w:rsidR="00861B1A" w:rsidRPr="00861B1A" w:rsidRDefault="00861B1A" w:rsidP="00861B1A">
      <w:pPr>
        <w:rPr>
          <w:rFonts w:cs="Arial"/>
          <w:color w:val="000000"/>
          <w:shd w:val="clear" w:color="auto" w:fill="FFFFFF"/>
          <w:lang w:eastAsia="en-AU"/>
        </w:rPr>
      </w:pPr>
      <w:r w:rsidRPr="00861B1A">
        <w:rPr>
          <w:rFonts w:cs="Arial"/>
          <w:color w:val="000000"/>
          <w:shd w:val="clear" w:color="auto" w:fill="FFFFFF"/>
          <w:lang w:eastAsia="en-AU"/>
        </w:rPr>
        <w:t>Chang, Y.C., C.M. Wang, P.C. Nien, C.L. Hu, and Y.S. Jea. 2010. The effects of stocking density on the growth performance of growing geese raised in a slat floor house. Journal of Taiw</w:t>
      </w:r>
      <w:r w:rsidR="00542228">
        <w:rPr>
          <w:rFonts w:cs="Arial"/>
          <w:color w:val="000000"/>
          <w:shd w:val="clear" w:color="auto" w:fill="FFFFFF"/>
          <w:lang w:eastAsia="en-AU"/>
        </w:rPr>
        <w:t>an Livestock Research 43:51-58.</w:t>
      </w:r>
    </w:p>
    <w:p w14:paraId="7811CBFC" w14:textId="77777777" w:rsidR="00861B1A" w:rsidRPr="00861B1A" w:rsidRDefault="00861B1A" w:rsidP="00861B1A">
      <w:pPr>
        <w:rPr>
          <w:rFonts w:cs="Arial"/>
          <w:color w:val="000000"/>
          <w:shd w:val="clear" w:color="auto" w:fill="FFFFFF"/>
          <w:lang w:eastAsia="en-AU"/>
        </w:rPr>
      </w:pPr>
      <w:r w:rsidRPr="00861B1A">
        <w:rPr>
          <w:rFonts w:cs="Arial"/>
          <w:color w:val="000000"/>
          <w:shd w:val="clear" w:color="auto" w:fill="FFFFFF"/>
          <w:lang w:eastAsia="en-AU"/>
        </w:rPr>
        <w:t>Charuta, A., M. R. Tatara, A. Gruzewska, M. Pierzchala, L. Kalinowski, M. Trusewicz, and I. Luszczewska-Sierakowska. 2014. Morphological and densitometric research of the tibial bone in the post-natal development in domestic geese. Animal Science</w:t>
      </w:r>
      <w:r w:rsidR="00542228">
        <w:rPr>
          <w:rFonts w:cs="Arial"/>
          <w:color w:val="000000"/>
          <w:shd w:val="clear" w:color="auto" w:fill="FFFFFF"/>
          <w:lang w:eastAsia="en-AU"/>
        </w:rPr>
        <w:t xml:space="preserve"> Papers and Reports 32:251-260.</w:t>
      </w:r>
    </w:p>
    <w:p w14:paraId="5DCB7ABB" w14:textId="77777777" w:rsidR="00861B1A" w:rsidRPr="00861B1A" w:rsidRDefault="00861B1A" w:rsidP="00861B1A">
      <w:pPr>
        <w:rPr>
          <w:rFonts w:cs="Arial"/>
          <w:color w:val="000000"/>
          <w:shd w:val="clear" w:color="auto" w:fill="FFFFFF"/>
          <w:lang w:eastAsia="en-AU"/>
        </w:rPr>
      </w:pPr>
      <w:r w:rsidRPr="00861B1A">
        <w:rPr>
          <w:rFonts w:cs="Arial"/>
          <w:color w:val="000000"/>
          <w:shd w:val="clear" w:color="auto" w:fill="FFFFFF"/>
          <w:lang w:eastAsia="en-AU"/>
        </w:rPr>
        <w:t>EFSA. 2010. Scientific opinion on the practice of harvesting (collecting) feathers from live geese for down production. EFSA Journal 8</w:t>
      </w:r>
      <w:r w:rsidR="0015689F">
        <w:rPr>
          <w:rFonts w:cs="Arial"/>
          <w:color w:val="000000"/>
          <w:shd w:val="clear" w:color="auto" w:fill="FFFFFF"/>
          <w:lang w:eastAsia="en-AU"/>
        </w:rPr>
        <w:t>:</w:t>
      </w:r>
      <w:r w:rsidR="00542228">
        <w:rPr>
          <w:rFonts w:cs="Arial"/>
          <w:color w:val="000000"/>
          <w:shd w:val="clear" w:color="auto" w:fill="FFFFFF"/>
          <w:lang w:eastAsia="en-AU"/>
        </w:rPr>
        <w:t>1886.</w:t>
      </w:r>
    </w:p>
    <w:p w14:paraId="62303F42" w14:textId="77777777" w:rsidR="00861B1A" w:rsidRPr="00861B1A" w:rsidRDefault="00861B1A" w:rsidP="00861B1A">
      <w:pPr>
        <w:rPr>
          <w:rFonts w:cs="Arial"/>
          <w:color w:val="000000"/>
          <w:shd w:val="clear" w:color="auto" w:fill="FFFFFF"/>
          <w:lang w:eastAsia="en-AU"/>
        </w:rPr>
      </w:pPr>
      <w:r w:rsidRPr="00861B1A">
        <w:rPr>
          <w:rFonts w:cs="Arial"/>
          <w:color w:val="000000"/>
          <w:shd w:val="clear" w:color="auto" w:fill="FFFFFF"/>
          <w:lang w:eastAsia="en-AU"/>
        </w:rPr>
        <w:t>El-Hanoun, A., Y. Attia, H. Gad, and M. Abdella. 2012. Effect of different managerial systems on productive and reproductive traits, blood plasma hormones and serum biochemical constituent</w:t>
      </w:r>
      <w:r w:rsidR="00542228">
        <w:rPr>
          <w:rFonts w:cs="Arial"/>
          <w:color w:val="000000"/>
          <w:shd w:val="clear" w:color="auto" w:fill="FFFFFF"/>
          <w:lang w:eastAsia="en-AU"/>
        </w:rPr>
        <w:t>s of geese. animal 6:1795-1802.</w:t>
      </w:r>
    </w:p>
    <w:p w14:paraId="6FF7B352" w14:textId="77777777" w:rsidR="00861B1A" w:rsidRPr="00861B1A" w:rsidRDefault="00861B1A" w:rsidP="00861B1A">
      <w:pPr>
        <w:rPr>
          <w:rFonts w:cs="Arial"/>
          <w:color w:val="000000"/>
          <w:shd w:val="clear" w:color="auto" w:fill="FFFFFF"/>
          <w:lang w:eastAsia="en-AU"/>
        </w:rPr>
      </w:pPr>
      <w:r w:rsidRPr="00861B1A">
        <w:rPr>
          <w:rFonts w:cs="Arial"/>
          <w:color w:val="000000"/>
          <w:shd w:val="clear" w:color="auto" w:fill="FFFFFF"/>
          <w:lang w:eastAsia="en-AU"/>
        </w:rPr>
        <w:t>Farkas, R., Z. Szanto, and M. Hall. 2001. Traumatic myiasis of geese in Hungary. Veterinary Parasitology 95:45-52. doi 10.1016/s0304-4017(00)00409-x</w:t>
      </w:r>
    </w:p>
    <w:p w14:paraId="0CA743A8" w14:textId="77777777" w:rsidR="00861B1A" w:rsidRPr="00861B1A" w:rsidRDefault="00861B1A" w:rsidP="00861B1A">
      <w:pPr>
        <w:rPr>
          <w:rFonts w:cs="Arial"/>
          <w:color w:val="000000"/>
          <w:shd w:val="clear" w:color="auto" w:fill="FFFFFF"/>
          <w:lang w:eastAsia="en-AU"/>
        </w:rPr>
      </w:pPr>
      <w:r w:rsidRPr="00861B1A">
        <w:rPr>
          <w:rFonts w:cs="Arial"/>
          <w:color w:val="000000"/>
          <w:shd w:val="clear" w:color="auto" w:fill="FFFFFF"/>
          <w:lang w:eastAsia="en-AU"/>
        </w:rPr>
        <w:t>Farrell, D. 2004. Management, nutrition and products of domestic geese: a review. Proceedings of the Australian Poultry Science Symposium 139-144.</w:t>
      </w:r>
    </w:p>
    <w:p w14:paraId="07DB490B" w14:textId="77777777" w:rsidR="00861B1A" w:rsidRPr="00861B1A" w:rsidRDefault="00861B1A" w:rsidP="00861B1A">
      <w:pPr>
        <w:rPr>
          <w:rFonts w:cs="Arial"/>
          <w:color w:val="000000"/>
          <w:shd w:val="clear" w:color="auto" w:fill="FFFFFF"/>
          <w:lang w:eastAsia="en-AU"/>
        </w:rPr>
      </w:pPr>
      <w:r w:rsidRPr="00861B1A">
        <w:rPr>
          <w:rFonts w:cs="Arial"/>
          <w:color w:val="000000"/>
          <w:shd w:val="clear" w:color="auto" w:fill="FFFFFF"/>
          <w:lang w:eastAsia="en-AU"/>
        </w:rPr>
        <w:t xml:space="preserve">Faure, J. M., D. </w:t>
      </w:r>
      <w:r w:rsidR="003F3E9F" w:rsidRPr="00286A88">
        <w:rPr>
          <w:lang w:val="en-AU" w:eastAsia="en-AU"/>
        </w:rPr>
        <w:t>Guémené</w:t>
      </w:r>
      <w:r w:rsidRPr="00861B1A">
        <w:rPr>
          <w:rFonts w:cs="Arial"/>
          <w:color w:val="000000"/>
          <w:shd w:val="clear" w:color="auto" w:fill="FFFFFF"/>
          <w:lang w:eastAsia="en-AU"/>
        </w:rPr>
        <w:t>, and G. Guy. 2001. Is there avoidance of the force feeding procedure in ducks and gee</w:t>
      </w:r>
      <w:r w:rsidR="00542228">
        <w:rPr>
          <w:rFonts w:cs="Arial"/>
          <w:color w:val="000000"/>
          <w:shd w:val="clear" w:color="auto" w:fill="FFFFFF"/>
          <w:lang w:eastAsia="en-AU"/>
        </w:rPr>
        <w:t>se? Animal Research 50:157-164.</w:t>
      </w:r>
    </w:p>
    <w:p w14:paraId="028DE9A4" w14:textId="77777777" w:rsidR="00861B1A" w:rsidRPr="00861B1A" w:rsidRDefault="00861B1A" w:rsidP="00861B1A">
      <w:pPr>
        <w:rPr>
          <w:rFonts w:cs="Arial"/>
          <w:color w:val="000000"/>
          <w:shd w:val="clear" w:color="auto" w:fill="FFFFFF"/>
          <w:lang w:eastAsia="en-AU"/>
        </w:rPr>
      </w:pPr>
      <w:r w:rsidRPr="00861B1A">
        <w:rPr>
          <w:rFonts w:cs="Arial"/>
          <w:color w:val="000000"/>
          <w:shd w:val="clear" w:color="auto" w:fill="FFFFFF"/>
          <w:lang w:eastAsia="en-AU"/>
        </w:rPr>
        <w:t>Frigerio, D., B. Weiss, and K. Kotrschal. 2001. Spatial proximity among adult siblings in greylag geese (Anser anser): evidence for female bond</w:t>
      </w:r>
      <w:r w:rsidR="00542228">
        <w:rPr>
          <w:rFonts w:cs="Arial"/>
          <w:color w:val="000000"/>
          <w:shd w:val="clear" w:color="auto" w:fill="FFFFFF"/>
          <w:lang w:eastAsia="en-AU"/>
        </w:rPr>
        <w:t>ing? Acta ethologica 3:121-125.</w:t>
      </w:r>
    </w:p>
    <w:p w14:paraId="1948E65D" w14:textId="77777777" w:rsidR="00861B1A" w:rsidRPr="00861B1A" w:rsidRDefault="00861B1A" w:rsidP="00861B1A">
      <w:pPr>
        <w:rPr>
          <w:rFonts w:cs="Arial"/>
          <w:color w:val="000000"/>
          <w:shd w:val="clear" w:color="auto" w:fill="FFFFFF"/>
          <w:lang w:eastAsia="en-AU"/>
        </w:rPr>
      </w:pPr>
      <w:r w:rsidRPr="00861B1A">
        <w:rPr>
          <w:rFonts w:cs="Arial"/>
          <w:color w:val="000000"/>
          <w:shd w:val="clear" w:color="auto" w:fill="FFFFFF"/>
          <w:lang w:eastAsia="en-AU"/>
        </w:rPr>
        <w:t>Frigerio, D., B. Weiss, J. Dittami, and K. Kotrschal. 2003. Social allies modulate corticosterone excretion and increase success in agonistic interactions in juvenile hand-raised graylag geese (</w:t>
      </w:r>
      <w:r w:rsidRPr="00542228">
        <w:rPr>
          <w:rFonts w:cs="Arial"/>
          <w:i/>
          <w:color w:val="000000"/>
          <w:shd w:val="clear" w:color="auto" w:fill="FFFFFF"/>
          <w:lang w:eastAsia="en-AU"/>
        </w:rPr>
        <w:t>Anser anser</w:t>
      </w:r>
      <w:r w:rsidRPr="00861B1A">
        <w:rPr>
          <w:rFonts w:cs="Arial"/>
          <w:color w:val="000000"/>
          <w:shd w:val="clear" w:color="auto" w:fill="FFFFFF"/>
          <w:lang w:eastAsia="en-AU"/>
        </w:rPr>
        <w:t xml:space="preserve">). Canadian Journal of Zoology 81:1746-1754. </w:t>
      </w:r>
    </w:p>
    <w:p w14:paraId="1CBA3097" w14:textId="77777777" w:rsidR="00861B1A" w:rsidRPr="00861B1A" w:rsidRDefault="00861B1A" w:rsidP="00861B1A">
      <w:pPr>
        <w:rPr>
          <w:rFonts w:cs="Arial"/>
          <w:color w:val="000000"/>
          <w:shd w:val="clear" w:color="auto" w:fill="FFFFFF"/>
          <w:lang w:eastAsia="en-AU"/>
        </w:rPr>
      </w:pPr>
      <w:r w:rsidRPr="00861B1A">
        <w:rPr>
          <w:rFonts w:cs="Arial"/>
          <w:color w:val="000000"/>
          <w:shd w:val="clear" w:color="auto" w:fill="FFFFFF"/>
          <w:lang w:eastAsia="en-AU"/>
        </w:rPr>
        <w:t xml:space="preserve">Gawel, A., K. Bobrek, and K. Bobusia. 2014. Haemorrhagic nephritis enteritis of geese. </w:t>
      </w:r>
      <w:r w:rsidR="00E12232">
        <w:rPr>
          <w:rFonts w:cs="Arial"/>
          <w:color w:val="000000"/>
          <w:shd w:val="clear" w:color="auto" w:fill="FFFFFF"/>
          <w:lang w:eastAsia="en-AU"/>
        </w:rPr>
        <w:t>World’s</w:t>
      </w:r>
      <w:r w:rsidRPr="00861B1A">
        <w:rPr>
          <w:rFonts w:cs="Arial"/>
          <w:color w:val="000000"/>
          <w:shd w:val="clear" w:color="auto" w:fill="FFFFFF"/>
          <w:lang w:eastAsia="en-AU"/>
        </w:rPr>
        <w:t xml:space="preserve"> Poultry Science Journal 70:487-492. doi 10.1017/s0043933914000543</w:t>
      </w:r>
    </w:p>
    <w:p w14:paraId="2DE6E12E" w14:textId="77777777" w:rsidR="00861B1A" w:rsidRPr="00861B1A" w:rsidRDefault="00861B1A" w:rsidP="00861B1A">
      <w:pPr>
        <w:rPr>
          <w:rFonts w:cs="Arial"/>
          <w:color w:val="000000"/>
          <w:shd w:val="clear" w:color="auto" w:fill="FFFFFF"/>
          <w:lang w:eastAsia="en-AU"/>
        </w:rPr>
      </w:pPr>
      <w:r w:rsidRPr="00861B1A">
        <w:rPr>
          <w:rFonts w:cs="Arial"/>
          <w:color w:val="000000"/>
          <w:shd w:val="clear" w:color="auto" w:fill="FFFFFF"/>
          <w:lang w:eastAsia="en-AU"/>
        </w:rPr>
        <w:t>Gough, R. E., and W. R. Hansen. 2000. Characterization of a herpesvirus isolated from domestic geese in Austral</w:t>
      </w:r>
      <w:r w:rsidR="00542228">
        <w:rPr>
          <w:rFonts w:cs="Arial"/>
          <w:color w:val="000000"/>
          <w:shd w:val="clear" w:color="auto" w:fill="FFFFFF"/>
          <w:lang w:eastAsia="en-AU"/>
        </w:rPr>
        <w:t>ia. Avian Pathology 29:417-422.</w:t>
      </w:r>
    </w:p>
    <w:p w14:paraId="0D5970C4" w14:textId="77777777" w:rsidR="00861B1A" w:rsidRPr="00861B1A" w:rsidRDefault="003F3E9F" w:rsidP="00861B1A">
      <w:pPr>
        <w:rPr>
          <w:rFonts w:cs="Arial"/>
          <w:color w:val="000000"/>
          <w:shd w:val="clear" w:color="auto" w:fill="FFFFFF"/>
          <w:lang w:eastAsia="en-AU"/>
        </w:rPr>
      </w:pPr>
      <w:r w:rsidRPr="00286A88">
        <w:rPr>
          <w:lang w:val="en-AU" w:eastAsia="en-AU"/>
        </w:rPr>
        <w:t>Guémené</w:t>
      </w:r>
      <w:r w:rsidR="00861B1A" w:rsidRPr="00861B1A">
        <w:rPr>
          <w:rFonts w:cs="Arial"/>
          <w:color w:val="000000"/>
          <w:shd w:val="clear" w:color="auto" w:fill="FFFFFF"/>
          <w:lang w:eastAsia="en-AU"/>
        </w:rPr>
        <w:t xml:space="preserve">, D., and G. Guy. 2004. The past, present and future of force-feeding and "foie gras" production. </w:t>
      </w:r>
      <w:r w:rsidR="00E12232">
        <w:rPr>
          <w:rFonts w:cs="Arial"/>
          <w:color w:val="000000"/>
          <w:shd w:val="clear" w:color="auto" w:fill="FFFFFF"/>
          <w:lang w:eastAsia="en-AU"/>
        </w:rPr>
        <w:t>World’s</w:t>
      </w:r>
      <w:r w:rsidR="00861B1A" w:rsidRPr="00861B1A">
        <w:rPr>
          <w:rFonts w:cs="Arial"/>
          <w:color w:val="000000"/>
          <w:shd w:val="clear" w:color="auto" w:fill="FFFFFF"/>
          <w:lang w:eastAsia="en-AU"/>
        </w:rPr>
        <w:t xml:space="preserve"> Poultry Science Journal 60:210-222. doi 10.1079/wps200314</w:t>
      </w:r>
    </w:p>
    <w:p w14:paraId="3B47B485" w14:textId="77777777" w:rsidR="00861B1A" w:rsidRPr="00861B1A" w:rsidRDefault="00861B1A" w:rsidP="00861B1A">
      <w:pPr>
        <w:rPr>
          <w:rFonts w:cs="Arial"/>
          <w:color w:val="000000"/>
          <w:shd w:val="clear" w:color="auto" w:fill="FFFFFF"/>
          <w:lang w:eastAsia="en-AU"/>
        </w:rPr>
      </w:pPr>
      <w:r w:rsidRPr="00861B1A">
        <w:rPr>
          <w:rFonts w:cs="Arial"/>
          <w:color w:val="000000"/>
          <w:shd w:val="clear" w:color="auto" w:fill="FFFFFF"/>
          <w:lang w:eastAsia="en-AU"/>
        </w:rPr>
        <w:t>He, L. W., Q. X. Meng, D. Y. Li, Y. W. Zhang, and L. P. Ren. 2016. Influence of dietary fiber sources on the physiological and behavioral stress responses of Greylag geese (</w:t>
      </w:r>
      <w:r w:rsidRPr="00542228">
        <w:rPr>
          <w:rFonts w:cs="Arial"/>
          <w:i/>
          <w:color w:val="000000"/>
          <w:shd w:val="clear" w:color="auto" w:fill="FFFFFF"/>
          <w:lang w:eastAsia="en-AU"/>
        </w:rPr>
        <w:t>Anser anser</w:t>
      </w:r>
      <w:r w:rsidRPr="00861B1A">
        <w:rPr>
          <w:rFonts w:cs="Arial"/>
          <w:color w:val="000000"/>
          <w:shd w:val="clear" w:color="auto" w:fill="FFFFFF"/>
          <w:lang w:eastAsia="en-AU"/>
        </w:rPr>
        <w:t>). Journal of Applied Poultry Research 25:389-395. doi 10.3382/japr/pfw023</w:t>
      </w:r>
    </w:p>
    <w:p w14:paraId="48E51753" w14:textId="77777777" w:rsidR="00861B1A" w:rsidRPr="00861B1A" w:rsidRDefault="00861B1A" w:rsidP="00861B1A">
      <w:pPr>
        <w:rPr>
          <w:rFonts w:cs="Arial"/>
          <w:color w:val="000000"/>
          <w:shd w:val="clear" w:color="auto" w:fill="FFFFFF"/>
          <w:lang w:eastAsia="en-AU"/>
        </w:rPr>
      </w:pPr>
      <w:r w:rsidRPr="00861B1A">
        <w:rPr>
          <w:rFonts w:cs="Arial"/>
          <w:color w:val="000000"/>
          <w:shd w:val="clear" w:color="auto" w:fill="FFFFFF"/>
          <w:lang w:eastAsia="en-AU"/>
        </w:rPr>
        <w:t xml:space="preserve">Hemetsberger, J., I. B. Scheiber, B. M. Weiß, D. Frigerio, and K. Kotrschal. 2010. Influence of socially involved hand-raising on life history and stress responses in greylag geese. </w:t>
      </w:r>
      <w:r w:rsidR="00542228">
        <w:rPr>
          <w:rFonts w:cs="Arial"/>
          <w:color w:val="000000"/>
          <w:shd w:val="clear" w:color="auto" w:fill="FFFFFF"/>
          <w:lang w:eastAsia="en-AU"/>
        </w:rPr>
        <w:t>Interaction studies 11:380-395.</w:t>
      </w:r>
    </w:p>
    <w:p w14:paraId="17BCB029" w14:textId="77777777" w:rsidR="00861B1A" w:rsidRPr="00861B1A" w:rsidRDefault="00861B1A" w:rsidP="00861B1A">
      <w:pPr>
        <w:rPr>
          <w:rFonts w:cs="Arial"/>
          <w:color w:val="000000"/>
          <w:shd w:val="clear" w:color="auto" w:fill="FFFFFF"/>
          <w:lang w:eastAsia="en-AU"/>
        </w:rPr>
      </w:pPr>
      <w:r w:rsidRPr="00861B1A">
        <w:rPr>
          <w:rFonts w:cs="Arial"/>
          <w:color w:val="000000"/>
          <w:shd w:val="clear" w:color="auto" w:fill="FFFFFF"/>
          <w:lang w:eastAsia="en-AU"/>
        </w:rPr>
        <w:t>Irvine, R., and P. Holmes. 2010. Diagnosis and control of goose parvovirus. In Practice 32:382-386. doi 10.1136/inp.c4573</w:t>
      </w:r>
    </w:p>
    <w:p w14:paraId="3CBEC2AD" w14:textId="77777777" w:rsidR="00861B1A" w:rsidRPr="00861B1A" w:rsidRDefault="00861B1A" w:rsidP="00861B1A">
      <w:pPr>
        <w:rPr>
          <w:rFonts w:cs="Arial"/>
          <w:color w:val="000000"/>
          <w:shd w:val="clear" w:color="auto" w:fill="FFFFFF"/>
          <w:lang w:eastAsia="en-AU"/>
        </w:rPr>
      </w:pPr>
      <w:r w:rsidRPr="00861B1A">
        <w:rPr>
          <w:rFonts w:cs="Arial"/>
          <w:color w:val="000000"/>
          <w:shd w:val="clear" w:color="auto" w:fill="FFFFFF"/>
          <w:lang w:eastAsia="en-AU"/>
        </w:rPr>
        <w:t>Ives, P. P. 1947. Domestic geese and ducks. Orang</w:t>
      </w:r>
      <w:r w:rsidR="00542228">
        <w:rPr>
          <w:rFonts w:cs="Arial"/>
          <w:color w:val="000000"/>
          <w:shd w:val="clear" w:color="auto" w:fill="FFFFFF"/>
          <w:lang w:eastAsia="en-AU"/>
        </w:rPr>
        <w:t>e Judd Publishing Co. New York.</w:t>
      </w:r>
    </w:p>
    <w:p w14:paraId="7D3F4002" w14:textId="77777777" w:rsidR="00861B1A" w:rsidRPr="00861B1A" w:rsidRDefault="00861B1A" w:rsidP="00861B1A">
      <w:pPr>
        <w:rPr>
          <w:rFonts w:cs="Arial"/>
          <w:color w:val="000000"/>
          <w:shd w:val="clear" w:color="auto" w:fill="FFFFFF"/>
          <w:lang w:eastAsia="en-AU"/>
        </w:rPr>
      </w:pPr>
      <w:r w:rsidRPr="00861B1A">
        <w:rPr>
          <w:rFonts w:cs="Arial"/>
          <w:color w:val="000000"/>
          <w:shd w:val="clear" w:color="auto" w:fill="FFFFFF"/>
          <w:lang w:eastAsia="en-AU"/>
        </w:rPr>
        <w:t>Janan, J., L. Bodi, G. Agota, L. Bardos, P. Rudas, J. Kozak, and M. Karsai. 2000. Relationships between force-feeding and some physiological parameters in geese bred for fatty liver. Acta Veterinaria Hungarica 48:89-97. doi 10.1556/AVet.48.2000.1.10</w:t>
      </w:r>
    </w:p>
    <w:p w14:paraId="7E8792C5" w14:textId="77777777" w:rsidR="00861B1A" w:rsidRPr="00861B1A" w:rsidRDefault="00861B1A" w:rsidP="00861B1A">
      <w:pPr>
        <w:rPr>
          <w:rFonts w:cs="Arial"/>
          <w:color w:val="000000"/>
          <w:shd w:val="clear" w:color="auto" w:fill="FFFFFF"/>
          <w:lang w:eastAsia="en-AU"/>
        </w:rPr>
      </w:pPr>
      <w:r w:rsidRPr="00861B1A">
        <w:rPr>
          <w:rFonts w:cs="Arial"/>
          <w:color w:val="000000"/>
          <w:shd w:val="clear" w:color="auto" w:fill="FFFFFF"/>
          <w:lang w:eastAsia="en-AU"/>
        </w:rPr>
        <w:t xml:space="preserve">Kozak, J., I. Gara, and T. Kawada. 2010. Production and welfare aspects of goose down and feather harvesting. </w:t>
      </w:r>
      <w:r w:rsidR="00E12232">
        <w:rPr>
          <w:rFonts w:cs="Arial"/>
          <w:color w:val="000000"/>
          <w:shd w:val="clear" w:color="auto" w:fill="FFFFFF"/>
          <w:lang w:eastAsia="en-AU"/>
        </w:rPr>
        <w:t>World’s</w:t>
      </w:r>
      <w:r w:rsidRPr="00861B1A">
        <w:rPr>
          <w:rFonts w:cs="Arial"/>
          <w:color w:val="000000"/>
          <w:shd w:val="clear" w:color="auto" w:fill="FFFFFF"/>
          <w:lang w:eastAsia="en-AU"/>
        </w:rPr>
        <w:t xml:space="preserve"> Poultry Science Journal 66:767-777. doi 10.1017/s0043933910000723</w:t>
      </w:r>
    </w:p>
    <w:p w14:paraId="32168E1F" w14:textId="77777777" w:rsidR="00861B1A" w:rsidRPr="00861B1A" w:rsidRDefault="00861B1A" w:rsidP="00861B1A">
      <w:pPr>
        <w:rPr>
          <w:rFonts w:cs="Arial"/>
          <w:color w:val="000000"/>
          <w:shd w:val="clear" w:color="auto" w:fill="FFFFFF"/>
          <w:lang w:eastAsia="en-AU"/>
        </w:rPr>
      </w:pPr>
      <w:r w:rsidRPr="00861B1A">
        <w:rPr>
          <w:rFonts w:cs="Arial"/>
          <w:color w:val="000000"/>
          <w:shd w:val="clear" w:color="auto" w:fill="FFFFFF"/>
          <w:lang w:eastAsia="en-AU"/>
        </w:rPr>
        <w:t>Lin, M. J., S. C. Chang, T. Y. Lin, Y. S. Cheng, Y. P. Lee, and Y. K. Fan. 2016. Factors Affecting the Incidence of Angel Wing in White Roman Geese: Stocking Density and Genetic Selection. Asian-Australasian Journal of Animal Sciences 29:901-907. doi 10.5713/ajas.15.0456</w:t>
      </w:r>
    </w:p>
    <w:p w14:paraId="26570D29" w14:textId="77777777" w:rsidR="00861B1A" w:rsidRPr="00861B1A" w:rsidRDefault="00861B1A" w:rsidP="00861B1A">
      <w:pPr>
        <w:rPr>
          <w:rFonts w:cs="Arial"/>
          <w:color w:val="000000"/>
          <w:shd w:val="clear" w:color="auto" w:fill="FFFFFF"/>
          <w:lang w:eastAsia="en-AU"/>
        </w:rPr>
      </w:pPr>
      <w:r w:rsidRPr="00861B1A">
        <w:rPr>
          <w:rFonts w:cs="Arial"/>
          <w:color w:val="000000"/>
          <w:shd w:val="clear" w:color="auto" w:fill="FFFFFF"/>
          <w:lang w:eastAsia="en-AU"/>
        </w:rPr>
        <w:t>Liu, B., Z. Wang, H. Yang, J. Wang, D. Xu, R. Zhang, and Q. Wang. 2011. Influence of rearing system on growth performance, carcass traits, and meat quality of Yangzhou gee</w:t>
      </w:r>
      <w:r w:rsidR="008E103C">
        <w:rPr>
          <w:rFonts w:cs="Arial"/>
          <w:color w:val="000000"/>
          <w:shd w:val="clear" w:color="auto" w:fill="FFFFFF"/>
          <w:lang w:eastAsia="en-AU"/>
        </w:rPr>
        <w:t>se. Poultry S</w:t>
      </w:r>
      <w:r w:rsidR="00542228">
        <w:rPr>
          <w:rFonts w:cs="Arial"/>
          <w:color w:val="000000"/>
          <w:shd w:val="clear" w:color="auto" w:fill="FFFFFF"/>
          <w:lang w:eastAsia="en-AU"/>
        </w:rPr>
        <w:t>cience 90:653-659.</w:t>
      </w:r>
    </w:p>
    <w:p w14:paraId="74A0A5D3" w14:textId="77777777" w:rsidR="00861B1A" w:rsidRPr="00861B1A" w:rsidRDefault="00861B1A" w:rsidP="00861B1A">
      <w:pPr>
        <w:rPr>
          <w:rFonts w:cs="Arial"/>
          <w:color w:val="000000"/>
          <w:shd w:val="clear" w:color="auto" w:fill="FFFFFF"/>
          <w:lang w:eastAsia="en-AU"/>
        </w:rPr>
      </w:pPr>
      <w:r w:rsidRPr="00861B1A">
        <w:rPr>
          <w:rFonts w:cs="Arial"/>
          <w:color w:val="000000"/>
          <w:shd w:val="clear" w:color="auto" w:fill="FFFFFF"/>
          <w:lang w:eastAsia="en-AU"/>
        </w:rPr>
        <w:t>Riddell, W. 1943. The domest</w:t>
      </w:r>
      <w:r w:rsidR="00542228">
        <w:rPr>
          <w:rFonts w:cs="Arial"/>
          <w:color w:val="000000"/>
          <w:shd w:val="clear" w:color="auto" w:fill="FFFFFF"/>
          <w:lang w:eastAsia="en-AU"/>
        </w:rPr>
        <w:t>ic goose. Antiquity 17:148-155.</w:t>
      </w:r>
    </w:p>
    <w:p w14:paraId="520677E0" w14:textId="77777777" w:rsidR="00861B1A" w:rsidRPr="00861B1A" w:rsidRDefault="00861B1A" w:rsidP="00861B1A">
      <w:pPr>
        <w:rPr>
          <w:rFonts w:cs="Arial"/>
          <w:color w:val="000000"/>
          <w:shd w:val="clear" w:color="auto" w:fill="FFFFFF"/>
          <w:lang w:eastAsia="en-AU"/>
        </w:rPr>
      </w:pPr>
      <w:r w:rsidRPr="00861B1A">
        <w:rPr>
          <w:rFonts w:cs="Arial"/>
          <w:color w:val="000000"/>
          <w:shd w:val="clear" w:color="auto" w:fill="FFFFFF"/>
          <w:lang w:eastAsia="en-AU"/>
        </w:rPr>
        <w:t xml:space="preserve">Romanov, M. N. 1999. Goose production efficiency as influenced by genotype, nutrition and production systems. </w:t>
      </w:r>
      <w:r w:rsidR="00E12232">
        <w:rPr>
          <w:rFonts w:cs="Arial"/>
          <w:color w:val="000000"/>
          <w:shd w:val="clear" w:color="auto" w:fill="FFFFFF"/>
          <w:lang w:eastAsia="en-AU"/>
        </w:rPr>
        <w:t>World’s</w:t>
      </w:r>
      <w:r w:rsidRPr="00861B1A">
        <w:rPr>
          <w:rFonts w:cs="Arial"/>
          <w:color w:val="000000"/>
          <w:shd w:val="clear" w:color="auto" w:fill="FFFFFF"/>
          <w:lang w:eastAsia="en-AU"/>
        </w:rPr>
        <w:t xml:space="preserve"> Poultry Science Journal 55:281-294. doi 10.1079/wps19990021</w:t>
      </w:r>
    </w:p>
    <w:p w14:paraId="5D31BFB0" w14:textId="77777777" w:rsidR="00861B1A" w:rsidRPr="00861B1A" w:rsidRDefault="00861B1A" w:rsidP="00861B1A">
      <w:pPr>
        <w:rPr>
          <w:rFonts w:cs="Arial"/>
          <w:color w:val="000000"/>
          <w:shd w:val="clear" w:color="auto" w:fill="FFFFFF"/>
          <w:lang w:eastAsia="en-AU"/>
        </w:rPr>
      </w:pPr>
      <w:r w:rsidRPr="00861B1A">
        <w:rPr>
          <w:rFonts w:cs="Arial"/>
          <w:color w:val="000000"/>
          <w:shd w:val="clear" w:color="auto" w:fill="FFFFFF"/>
          <w:lang w:eastAsia="en-AU"/>
        </w:rPr>
        <w:t>Scientific Committee on Animal Health and Welfare (SCAHAW). 1998. Welfare aspects of the production of foie gras in ducks and geese.</w:t>
      </w:r>
    </w:p>
    <w:p w14:paraId="5893B1AE" w14:textId="77777777" w:rsidR="00861B1A" w:rsidRPr="00861B1A" w:rsidRDefault="00861B1A" w:rsidP="00861B1A">
      <w:pPr>
        <w:rPr>
          <w:rFonts w:cs="Arial"/>
          <w:color w:val="000000"/>
          <w:shd w:val="clear" w:color="auto" w:fill="FFFFFF"/>
          <w:lang w:eastAsia="en-AU"/>
        </w:rPr>
      </w:pPr>
      <w:r w:rsidRPr="00861B1A">
        <w:rPr>
          <w:rFonts w:cs="Arial"/>
          <w:color w:val="000000"/>
          <w:shd w:val="clear" w:color="auto" w:fill="FFFFFF"/>
          <w:lang w:eastAsia="en-AU"/>
        </w:rPr>
        <w:t>Scheiber, I. B. R., B. M. Weiss, D. Frigerio, and K. Kotrschal. 2005. Active and passive social support in families of greylag geese (</w:t>
      </w:r>
      <w:r w:rsidRPr="00542228">
        <w:rPr>
          <w:rFonts w:cs="Arial"/>
          <w:i/>
          <w:color w:val="000000"/>
          <w:shd w:val="clear" w:color="auto" w:fill="FFFFFF"/>
          <w:lang w:eastAsia="en-AU"/>
        </w:rPr>
        <w:t>Anser anser</w:t>
      </w:r>
      <w:r w:rsidRPr="00861B1A">
        <w:rPr>
          <w:rFonts w:cs="Arial"/>
          <w:color w:val="000000"/>
          <w:shd w:val="clear" w:color="auto" w:fill="FFFFFF"/>
          <w:lang w:eastAsia="en-AU"/>
        </w:rPr>
        <w:t>). Pat. No. 11-2.</w:t>
      </w:r>
    </w:p>
    <w:p w14:paraId="35144BE2" w14:textId="77777777" w:rsidR="00861B1A" w:rsidRPr="00861B1A" w:rsidRDefault="00861B1A" w:rsidP="00861B1A">
      <w:pPr>
        <w:rPr>
          <w:rFonts w:cs="Arial"/>
          <w:color w:val="000000"/>
          <w:shd w:val="clear" w:color="auto" w:fill="FFFFFF"/>
          <w:lang w:eastAsia="en-AU"/>
        </w:rPr>
      </w:pPr>
      <w:r w:rsidRPr="00861B1A">
        <w:rPr>
          <w:rFonts w:cs="Arial"/>
          <w:color w:val="000000"/>
          <w:shd w:val="clear" w:color="auto" w:fill="FFFFFF"/>
          <w:lang w:eastAsia="en-AU"/>
        </w:rPr>
        <w:t>Scheiber, I. B. R., M. Sterenborg, and J. Komdeur. 2015. Stress assessment in captive greylag geese (</w:t>
      </w:r>
      <w:r w:rsidRPr="00542228">
        <w:rPr>
          <w:rFonts w:cs="Arial"/>
          <w:i/>
          <w:color w:val="000000"/>
          <w:shd w:val="clear" w:color="auto" w:fill="FFFFFF"/>
          <w:lang w:eastAsia="en-AU"/>
        </w:rPr>
        <w:t>Anser anser</w:t>
      </w:r>
      <w:r w:rsidRPr="00861B1A">
        <w:rPr>
          <w:rFonts w:cs="Arial"/>
          <w:color w:val="000000"/>
          <w:shd w:val="clear" w:color="auto" w:fill="FFFFFF"/>
          <w:lang w:eastAsia="en-AU"/>
        </w:rPr>
        <w:t>). Journal of Animal Science 93:2124-2133. doi 10.2527/jas.2014-8523</w:t>
      </w:r>
    </w:p>
    <w:p w14:paraId="66AFF79D" w14:textId="77777777" w:rsidR="00861B1A" w:rsidRPr="00861B1A" w:rsidRDefault="00861B1A" w:rsidP="00861B1A">
      <w:pPr>
        <w:rPr>
          <w:rFonts w:cs="Arial"/>
          <w:color w:val="000000"/>
          <w:shd w:val="clear" w:color="auto" w:fill="FFFFFF"/>
          <w:lang w:eastAsia="en-AU"/>
        </w:rPr>
      </w:pPr>
      <w:r w:rsidRPr="00861B1A">
        <w:rPr>
          <w:rFonts w:cs="Arial"/>
          <w:color w:val="000000"/>
          <w:shd w:val="clear" w:color="auto" w:fill="FFFFFF"/>
          <w:lang w:eastAsia="en-AU"/>
        </w:rPr>
        <w:t>Schmitt, A. 1994. Influence of abiotic factors on preroosting behavior of Greylag Geese (</w:t>
      </w:r>
      <w:r w:rsidRPr="00542228">
        <w:rPr>
          <w:rFonts w:cs="Arial"/>
          <w:i/>
          <w:color w:val="000000"/>
          <w:shd w:val="clear" w:color="auto" w:fill="FFFFFF"/>
          <w:lang w:eastAsia="en-AU"/>
        </w:rPr>
        <w:t>Anser anser</w:t>
      </w:r>
      <w:r w:rsidR="00542228">
        <w:rPr>
          <w:rFonts w:cs="Arial"/>
          <w:color w:val="000000"/>
          <w:shd w:val="clear" w:color="auto" w:fill="FFFFFF"/>
          <w:lang w:eastAsia="en-AU"/>
        </w:rPr>
        <w:t>). The Auk 111:759-764.</w:t>
      </w:r>
    </w:p>
    <w:p w14:paraId="07BB2C10" w14:textId="77777777" w:rsidR="00861B1A" w:rsidRPr="00861B1A" w:rsidRDefault="00861B1A" w:rsidP="00861B1A">
      <w:pPr>
        <w:rPr>
          <w:rFonts w:cs="Arial"/>
          <w:color w:val="000000"/>
          <w:shd w:val="clear" w:color="auto" w:fill="FFFFFF"/>
          <w:lang w:eastAsia="en-AU"/>
        </w:rPr>
      </w:pPr>
      <w:r w:rsidRPr="00861B1A">
        <w:rPr>
          <w:rFonts w:cs="Arial"/>
          <w:color w:val="000000"/>
          <w:shd w:val="clear" w:color="auto" w:fill="FFFFFF"/>
          <w:lang w:eastAsia="en-AU"/>
        </w:rPr>
        <w:t>Skippon, W. 2013. The animal health and welfare consequences of foie gras production. Canadian Veterinary Journal-Revue Vet</w:t>
      </w:r>
      <w:r w:rsidR="00542228">
        <w:rPr>
          <w:rFonts w:cs="Arial"/>
          <w:color w:val="000000"/>
          <w:shd w:val="clear" w:color="auto" w:fill="FFFFFF"/>
          <w:lang w:eastAsia="en-AU"/>
        </w:rPr>
        <w:t>erinaire Canadienne 54:403-404.</w:t>
      </w:r>
    </w:p>
    <w:p w14:paraId="3296161D" w14:textId="77777777" w:rsidR="00861B1A" w:rsidRPr="00861B1A" w:rsidRDefault="00861B1A" w:rsidP="00861B1A">
      <w:pPr>
        <w:rPr>
          <w:rFonts w:cs="Arial"/>
          <w:color w:val="000000"/>
          <w:shd w:val="clear" w:color="auto" w:fill="FFFFFF"/>
          <w:lang w:eastAsia="en-AU"/>
        </w:rPr>
      </w:pPr>
      <w:r w:rsidRPr="00861B1A">
        <w:rPr>
          <w:rFonts w:cs="Arial"/>
          <w:color w:val="000000"/>
          <w:shd w:val="clear" w:color="auto" w:fill="FFFFFF"/>
          <w:lang w:eastAsia="en-AU"/>
        </w:rPr>
        <w:t xml:space="preserve">Szabo, K., J. Janan, L. Bodi, and P. Rudas. 2000. Amyloidosis in geese. Magyar </w:t>
      </w:r>
      <w:r w:rsidR="00542228">
        <w:rPr>
          <w:rFonts w:cs="Arial"/>
          <w:color w:val="000000"/>
          <w:shd w:val="clear" w:color="auto" w:fill="FFFFFF"/>
          <w:lang w:eastAsia="en-AU"/>
        </w:rPr>
        <w:t>Allatorvosok Lapja 122:336-340.</w:t>
      </w:r>
    </w:p>
    <w:p w14:paraId="42DB2822" w14:textId="77777777" w:rsidR="00861B1A" w:rsidRPr="00861B1A" w:rsidRDefault="00861B1A" w:rsidP="00861B1A">
      <w:pPr>
        <w:rPr>
          <w:rFonts w:cs="Arial"/>
          <w:color w:val="000000"/>
          <w:shd w:val="clear" w:color="auto" w:fill="FFFFFF"/>
          <w:lang w:eastAsia="en-AU"/>
        </w:rPr>
      </w:pPr>
      <w:r w:rsidRPr="00861B1A">
        <w:rPr>
          <w:rFonts w:cs="Arial"/>
          <w:color w:val="000000"/>
          <w:shd w:val="clear" w:color="auto" w:fill="FFFFFF"/>
          <w:lang w:eastAsia="en-AU"/>
        </w:rPr>
        <w:t>Toth, P., L. Bodi, K. Maros, E. Szucs, and J. Janan. 2012. Blood corticosterone levels in growing geese around feather gathering. Acta Veterinaria Hungarica 60:477-487. doi 10.1556/AVet.2012.042</w:t>
      </w:r>
    </w:p>
    <w:p w14:paraId="6C9F72C5" w14:textId="77777777" w:rsidR="00861B1A" w:rsidRPr="00861B1A" w:rsidRDefault="00861B1A" w:rsidP="00861B1A">
      <w:pPr>
        <w:rPr>
          <w:rFonts w:cs="Arial"/>
          <w:color w:val="000000"/>
          <w:shd w:val="clear" w:color="auto" w:fill="FFFFFF"/>
          <w:lang w:eastAsia="en-AU"/>
        </w:rPr>
      </w:pPr>
      <w:r w:rsidRPr="00861B1A">
        <w:rPr>
          <w:rFonts w:cs="Arial"/>
          <w:color w:val="000000"/>
          <w:shd w:val="clear" w:color="auto" w:fill="FFFFFF"/>
          <w:lang w:eastAsia="en-AU"/>
        </w:rPr>
        <w:t>Wascher, C. A. F., W. Amold, and K. Kotrschal. 2008. Heart rate modulation by social contexts in greylag geese (</w:t>
      </w:r>
      <w:r w:rsidRPr="00542228">
        <w:rPr>
          <w:rFonts w:cs="Arial"/>
          <w:i/>
          <w:color w:val="000000"/>
          <w:shd w:val="clear" w:color="auto" w:fill="FFFFFF"/>
          <w:lang w:eastAsia="en-AU"/>
        </w:rPr>
        <w:t>Anser anser</w:t>
      </w:r>
      <w:r w:rsidRPr="00861B1A">
        <w:rPr>
          <w:rFonts w:cs="Arial"/>
          <w:color w:val="000000"/>
          <w:shd w:val="clear" w:color="auto" w:fill="FFFFFF"/>
          <w:lang w:eastAsia="en-AU"/>
        </w:rPr>
        <w:t>). Journal of Comparative Psychology 122:100-107. doi 10.1037/0735-7036.122.1.100</w:t>
      </w:r>
    </w:p>
    <w:p w14:paraId="3C02E847" w14:textId="77777777" w:rsidR="00861B1A" w:rsidRPr="00861B1A" w:rsidRDefault="00861B1A" w:rsidP="00861B1A">
      <w:pPr>
        <w:rPr>
          <w:rFonts w:cs="Arial"/>
          <w:color w:val="000000"/>
          <w:shd w:val="clear" w:color="auto" w:fill="FFFFFF"/>
          <w:lang w:eastAsia="en-AU"/>
        </w:rPr>
      </w:pPr>
      <w:r w:rsidRPr="00861B1A">
        <w:rPr>
          <w:rFonts w:cs="Arial"/>
          <w:color w:val="000000"/>
          <w:shd w:val="clear" w:color="auto" w:fill="FFFFFF"/>
          <w:lang w:eastAsia="en-AU"/>
        </w:rPr>
        <w:t xml:space="preserve">Wascher, C. A. F., I. B. R. Scheiber, B. M. Weiss, and K. Kotrschal. 2009. Heart rate responses to agonistic encounters in greylag geese, </w:t>
      </w:r>
      <w:r w:rsidRPr="00542228">
        <w:rPr>
          <w:rFonts w:cs="Arial"/>
          <w:i/>
          <w:color w:val="000000"/>
          <w:shd w:val="clear" w:color="auto" w:fill="FFFFFF"/>
          <w:lang w:eastAsia="en-AU"/>
        </w:rPr>
        <w:t>Anser anser</w:t>
      </w:r>
      <w:r w:rsidRPr="00861B1A">
        <w:rPr>
          <w:rFonts w:cs="Arial"/>
          <w:color w:val="000000"/>
          <w:shd w:val="clear" w:color="auto" w:fill="FFFFFF"/>
          <w:lang w:eastAsia="en-AU"/>
        </w:rPr>
        <w:t>. Animal Behaviour 77:955-961. doi 10.1016/j.anbehav.2009.01.013</w:t>
      </w:r>
    </w:p>
    <w:p w14:paraId="5695B73F" w14:textId="77777777" w:rsidR="00861B1A" w:rsidRPr="00861B1A" w:rsidRDefault="00861B1A" w:rsidP="00861B1A">
      <w:pPr>
        <w:rPr>
          <w:rFonts w:cs="Arial"/>
          <w:color w:val="000000"/>
          <w:shd w:val="clear" w:color="auto" w:fill="FFFFFF"/>
          <w:lang w:eastAsia="en-AU"/>
        </w:rPr>
      </w:pPr>
      <w:r w:rsidRPr="00861B1A">
        <w:rPr>
          <w:rFonts w:cs="Arial"/>
          <w:color w:val="000000"/>
          <w:shd w:val="clear" w:color="auto" w:fill="FFFFFF"/>
          <w:lang w:eastAsia="en-AU"/>
        </w:rPr>
        <w:t xml:space="preserve">Wascher, C. A. F., O. N. Fraser, and K. Kotrschal. 2010. Heart Rate during Conflicts Predicts Post-Conflict Stress-Related Behavior in Greylag Geese. </w:t>
      </w:r>
      <w:r w:rsidR="00601DC5">
        <w:rPr>
          <w:rFonts w:cs="Arial"/>
          <w:color w:val="000000"/>
          <w:shd w:val="clear" w:color="auto" w:fill="FFFFFF"/>
          <w:lang w:eastAsia="en-AU"/>
        </w:rPr>
        <w:t>PLoS</w:t>
      </w:r>
      <w:r w:rsidR="00AD6B9F">
        <w:rPr>
          <w:rFonts w:cs="Arial"/>
          <w:color w:val="000000"/>
          <w:shd w:val="clear" w:color="auto" w:fill="FFFFFF"/>
          <w:lang w:eastAsia="en-AU"/>
        </w:rPr>
        <w:t xml:space="preserve"> ONE</w:t>
      </w:r>
      <w:r w:rsidRPr="00861B1A">
        <w:rPr>
          <w:rFonts w:cs="Arial"/>
          <w:color w:val="000000"/>
          <w:shd w:val="clear" w:color="auto" w:fill="FFFFFF"/>
          <w:lang w:eastAsia="en-AU"/>
        </w:rPr>
        <w:t xml:space="preserve"> 5. doi 10.1371/journal.pone.0015751</w:t>
      </w:r>
    </w:p>
    <w:p w14:paraId="48A3C25B" w14:textId="77777777" w:rsidR="00861B1A" w:rsidRPr="00861B1A" w:rsidRDefault="00861B1A" w:rsidP="00861B1A">
      <w:pPr>
        <w:rPr>
          <w:rFonts w:cs="Arial"/>
          <w:color w:val="000000"/>
          <w:shd w:val="clear" w:color="auto" w:fill="FFFFFF"/>
          <w:lang w:eastAsia="en-AU"/>
        </w:rPr>
      </w:pPr>
      <w:r w:rsidRPr="00861B1A">
        <w:rPr>
          <w:rFonts w:cs="Arial"/>
          <w:color w:val="000000"/>
          <w:shd w:val="clear" w:color="auto" w:fill="FFFFFF"/>
          <w:lang w:eastAsia="en-AU"/>
        </w:rPr>
        <w:t>Wascher, C. A. F., I. B. R. Scheiber, A. Braun, and K. Kotrschal. 2011. Heart rate responses to induced challenge situations in greylag geese (</w:t>
      </w:r>
      <w:r w:rsidRPr="00861B1A">
        <w:rPr>
          <w:rFonts w:cs="Arial"/>
          <w:i/>
          <w:color w:val="000000"/>
          <w:shd w:val="clear" w:color="auto" w:fill="FFFFFF"/>
          <w:lang w:eastAsia="en-AU"/>
        </w:rPr>
        <w:t>Anser anser</w:t>
      </w:r>
      <w:r w:rsidRPr="00861B1A">
        <w:rPr>
          <w:rFonts w:cs="Arial"/>
          <w:color w:val="000000"/>
          <w:shd w:val="clear" w:color="auto" w:fill="FFFFFF"/>
          <w:lang w:eastAsia="en-AU"/>
        </w:rPr>
        <w:t>). Journal of Comparative Psychology 125:116-119. doi 10.1037/a0021188</w:t>
      </w:r>
    </w:p>
    <w:p w14:paraId="4D63E810" w14:textId="77777777" w:rsidR="00861B1A" w:rsidRPr="00861B1A" w:rsidRDefault="00861B1A" w:rsidP="00861B1A">
      <w:pPr>
        <w:rPr>
          <w:rFonts w:cs="Arial"/>
          <w:color w:val="000000"/>
          <w:shd w:val="clear" w:color="auto" w:fill="FFFFFF"/>
          <w:lang w:eastAsia="en-AU"/>
        </w:rPr>
      </w:pPr>
      <w:r w:rsidRPr="00861B1A">
        <w:rPr>
          <w:rFonts w:cs="Arial"/>
          <w:color w:val="000000"/>
          <w:shd w:val="clear" w:color="auto" w:fill="FFFFFF"/>
          <w:lang w:eastAsia="en-AU"/>
        </w:rPr>
        <w:t>Wascher, C. A. F., B. M. Weiss, W. Arnold, and K. Kotrschal. 2012a. Physiological implications of pair-bond status in greylag geese. Biology Letters 8:347-350. doi 10.1098/rsbl.2011.0917</w:t>
      </w:r>
    </w:p>
    <w:p w14:paraId="0CCA80D6" w14:textId="77777777" w:rsidR="00861B1A" w:rsidRPr="00861B1A" w:rsidRDefault="00861B1A" w:rsidP="00861B1A">
      <w:pPr>
        <w:rPr>
          <w:rFonts w:cs="Arial"/>
          <w:color w:val="000000"/>
          <w:shd w:val="clear" w:color="auto" w:fill="FFFFFF"/>
          <w:lang w:eastAsia="en-AU"/>
        </w:rPr>
      </w:pPr>
      <w:r w:rsidRPr="00861B1A">
        <w:rPr>
          <w:rFonts w:cs="Arial"/>
          <w:color w:val="000000"/>
          <w:shd w:val="clear" w:color="auto" w:fill="FFFFFF"/>
          <w:lang w:eastAsia="en-AU"/>
        </w:rPr>
        <w:t>Wascher, C. A. F., A. C. Bauer, A. R. Holtmann, and K. Kotrschal. 2012b. Environmental and social factors affecting the excretion of intestinal parasite eggs in graylag geese. Behavioral Ecology 23:1276-1283. doi 10.1093/beheco/ars113</w:t>
      </w:r>
    </w:p>
    <w:bookmarkEnd w:id="225"/>
    <w:p w14:paraId="4FBD4F1C" w14:textId="77777777" w:rsidR="00861B1A" w:rsidRPr="00286A88" w:rsidRDefault="00861B1A" w:rsidP="0047386D">
      <w:pPr>
        <w:rPr>
          <w:rFonts w:cs="Arial"/>
          <w:color w:val="000000"/>
          <w:shd w:val="clear" w:color="auto" w:fill="FFFFFF"/>
          <w:lang w:val="en-AU" w:eastAsia="en-AU"/>
        </w:rPr>
      </w:pPr>
    </w:p>
    <w:p w14:paraId="2C90B5F2" w14:textId="77777777" w:rsidR="00286A88" w:rsidRPr="00286A88" w:rsidRDefault="0047386D" w:rsidP="0047386D">
      <w:pPr>
        <w:pStyle w:val="Heading1"/>
        <w:rPr>
          <w:lang w:val="en-AU" w:eastAsia="en-AU"/>
        </w:rPr>
      </w:pPr>
      <w:r>
        <w:rPr>
          <w:sz w:val="22"/>
          <w:szCs w:val="22"/>
          <w:lang w:val="en-AU" w:eastAsia="en-AU"/>
        </w:rPr>
        <w:br w:type="column"/>
      </w:r>
      <w:bookmarkStart w:id="226" w:name="_Toc495310694"/>
      <w:r w:rsidR="00286A88" w:rsidRPr="00286A88">
        <w:rPr>
          <w:lang w:val="en-AU" w:eastAsia="en-AU"/>
        </w:rPr>
        <w:t>Turkeys</w:t>
      </w:r>
      <w:bookmarkEnd w:id="226"/>
    </w:p>
    <w:p w14:paraId="46A0D769" w14:textId="77777777" w:rsidR="00286A88" w:rsidRPr="00286A88" w:rsidRDefault="00286A88" w:rsidP="0047386D">
      <w:pPr>
        <w:pStyle w:val="Heading2"/>
        <w:rPr>
          <w:lang w:val="en-AU" w:eastAsia="en-AU"/>
        </w:rPr>
      </w:pPr>
      <w:bookmarkStart w:id="227" w:name="_Toc495310695"/>
      <w:r w:rsidRPr="00286A88">
        <w:rPr>
          <w:lang w:val="en-AU" w:eastAsia="en-AU"/>
        </w:rPr>
        <w:t>T1. Introduction</w:t>
      </w:r>
      <w:bookmarkEnd w:id="227"/>
    </w:p>
    <w:p w14:paraId="2374B076" w14:textId="77777777" w:rsidR="00286A88" w:rsidRPr="0047386D" w:rsidRDefault="00286A88" w:rsidP="0047386D">
      <w:pPr>
        <w:rPr>
          <w:i/>
          <w:lang w:val="en-AU" w:eastAsia="en-AU"/>
        </w:rPr>
      </w:pPr>
      <w:r w:rsidRPr="0047386D">
        <w:rPr>
          <w:i/>
          <w:lang w:val="en-AU" w:eastAsia="en-AU"/>
        </w:rPr>
        <w:t>Turkeys are omnivorous birds with complex social structures maintained by aggression. Despite their larger size they are similar in behaviour to their smaller poultry counterparts, engaging in nest building behaviour, dust-bathing, foraging, perching and roosting.</w:t>
      </w:r>
    </w:p>
    <w:p w14:paraId="4EA26620" w14:textId="77777777" w:rsidR="00286A88" w:rsidRPr="00286A88" w:rsidRDefault="00286A88" w:rsidP="0047386D">
      <w:pPr>
        <w:pStyle w:val="Heading3"/>
        <w:rPr>
          <w:lang w:val="en-AU" w:eastAsia="en-AU"/>
        </w:rPr>
      </w:pPr>
      <w:bookmarkStart w:id="228" w:name="_Toc495310696"/>
      <w:r w:rsidRPr="00286A88">
        <w:rPr>
          <w:lang w:val="en-AU" w:eastAsia="en-AU"/>
        </w:rPr>
        <w:t>T1.1 Life history</w:t>
      </w:r>
      <w:bookmarkEnd w:id="228"/>
    </w:p>
    <w:p w14:paraId="4734A980" w14:textId="77777777" w:rsidR="00286A88" w:rsidRPr="00286A88" w:rsidRDefault="00286A88" w:rsidP="0047386D">
      <w:pPr>
        <w:rPr>
          <w:lang w:val="en-AU" w:eastAsia="en-AU"/>
        </w:rPr>
      </w:pPr>
      <w:r w:rsidRPr="00286A88">
        <w:rPr>
          <w:lang w:val="en-AU" w:eastAsia="en-AU"/>
        </w:rPr>
        <w:t>Wild turkeys were abundant in North America when the first Europeans arrived approximately 500 years ago (Brant, 1998). The seven varieties, from two species, present then still survive wild in the US today and are popularly hunted gamebirds in most states (Brant, 1998). Wild turkeys eat a combination of animal matter and vegetable matter with the largest proportion of their diet being plant based in origin (Dalke et al., 1942). Food choice varies over seasons to reflect food availability: the animal matter consumed is predominantly insects, typically beetles, grasshopper</w:t>
      </w:r>
      <w:r w:rsidR="00AD5A96">
        <w:rPr>
          <w:lang w:val="en-AU" w:eastAsia="en-AU"/>
        </w:rPr>
        <w:t>s</w:t>
      </w:r>
      <w:r w:rsidRPr="00286A88">
        <w:rPr>
          <w:lang w:val="en-AU" w:eastAsia="en-AU"/>
        </w:rPr>
        <w:t xml:space="preserve"> and ants, while the vegetable matter encompasses a range of fruit and seeds, with grass seeds and blades and acorns being most important (Dalke et al., 1942).</w:t>
      </w:r>
    </w:p>
    <w:p w14:paraId="4A575F1A" w14:textId="77777777" w:rsidR="00286A88" w:rsidRPr="00286A88" w:rsidRDefault="00286A88" w:rsidP="0047386D">
      <w:pPr>
        <w:rPr>
          <w:lang w:val="en-AU" w:eastAsia="en-AU"/>
        </w:rPr>
      </w:pPr>
      <w:r w:rsidRPr="00286A88">
        <w:rPr>
          <w:lang w:val="en-AU" w:eastAsia="en-AU"/>
        </w:rPr>
        <w:t>Wild turkeys live in flocks with a highly competitive social system; the males form a strict hierarchy, established by aggressive interactions, which is contested throughout the year (Buchholz, 1997; Buchwalder and Huber-Eicher, 2003). Agonistic interactions between males start when they are juveniles establishing dominance hierarchies amongst their siblings and age cohorts and continue throughout their lives (Buchholz, 1997). Male sibling groups display at traditional lekking (competitive display) sites during the breeding season, with the dominant male of the dominant group doing most of the mating (Buchwalder and Huber-Eicher, 2005</w:t>
      </w:r>
      <w:r w:rsidR="00CA0BFD">
        <w:rPr>
          <w:lang w:val="en-AU" w:eastAsia="en-AU"/>
        </w:rPr>
        <w:t>a</w:t>
      </w:r>
      <w:r w:rsidRPr="00286A88">
        <w:rPr>
          <w:lang w:val="en-AU" w:eastAsia="en-AU"/>
        </w:rPr>
        <w:t>).</w:t>
      </w:r>
    </w:p>
    <w:p w14:paraId="14E84CDA" w14:textId="77777777" w:rsidR="00286A88" w:rsidRPr="00286A88" w:rsidRDefault="00286A88" w:rsidP="0047386D">
      <w:pPr>
        <w:rPr>
          <w:lang w:val="en-AU" w:eastAsia="en-AU"/>
        </w:rPr>
      </w:pPr>
      <w:r w:rsidRPr="00286A88">
        <w:rPr>
          <w:lang w:val="en-AU" w:eastAsia="en-AU"/>
        </w:rPr>
        <w:t>Female turkeys prefer cover that is complex and highly variable in habitat structure (Badyaev, 1995). As nest predation is a common source of breeding failure in some wild turkey populations, wild turkeys select nest sites with dense understory (shrubs and grasses) and visual obstruction (logs and rocks), however, such sites are often limited in availability (Badyaev, 1995). Nests are often located at forest edges or alongside roads, probably because of the variety of resources these sites offer incubating females as well as the increased understory density (Badyaev, 1995).</w:t>
      </w:r>
    </w:p>
    <w:p w14:paraId="2ED909F5" w14:textId="77777777" w:rsidR="00286A88" w:rsidRPr="00286A88" w:rsidRDefault="00286A88" w:rsidP="0047386D">
      <w:pPr>
        <w:rPr>
          <w:lang w:val="en-AU" w:eastAsia="en-AU"/>
        </w:rPr>
      </w:pPr>
      <w:r w:rsidRPr="00286A88">
        <w:rPr>
          <w:lang w:val="en-AU" w:eastAsia="en-AU"/>
        </w:rPr>
        <w:t>Like other poultry species, wild turkeys can fly (although their range is limited), engage in frequent dust-bathing (</w:t>
      </w:r>
      <w:r w:rsidR="009C0BB5">
        <w:rPr>
          <w:lang w:val="en-AU" w:eastAsia="en-AU"/>
        </w:rPr>
        <w:t>Sainsbury and Sherwin, 2001</w:t>
      </w:r>
      <w:r w:rsidR="00CA0BFD">
        <w:rPr>
          <w:lang w:val="en-AU" w:eastAsia="en-AU"/>
        </w:rPr>
        <w:t>)</w:t>
      </w:r>
      <w:r w:rsidRPr="00286A88">
        <w:rPr>
          <w:lang w:val="en-AU" w:eastAsia="en-AU"/>
        </w:rPr>
        <w:t>, and make use of environmental perches, particularly to roost on at night (Bessei, 1999, cited by Martrenchar et al., 2001).</w:t>
      </w:r>
    </w:p>
    <w:p w14:paraId="575FCFC6" w14:textId="77777777" w:rsidR="00286A88" w:rsidRPr="00286A88" w:rsidRDefault="00286A88" w:rsidP="0047386D">
      <w:pPr>
        <w:rPr>
          <w:lang w:val="en-AU" w:eastAsia="en-AU"/>
        </w:rPr>
      </w:pPr>
      <w:r w:rsidRPr="00286A88">
        <w:rPr>
          <w:lang w:val="en-AU" w:eastAsia="en-AU"/>
        </w:rPr>
        <w:t>During the 500 years of their domestication, a number of new varieties of turkey have been developed, however, until recently these were selected for aesthetic characteristics rather than for meat production and conformation (Brant, 1998). Since production became a greater focus of breeding efforts, two major changes have been seen within the commercial flock. Firstly, consumer demand has led to the majority of commercial flocks being bred to have white feathers instead of the turkeys’ naturally darker plumage, to prevent dark spots on the carcase (Brant, 1998). Secondly, the selection for big breasted birds has resulted in fertility issues with their size impeding their ability to successfully mate; consequently commercial flocks are routinely bred by artificial insemination (Appleby et al., 2004).</w:t>
      </w:r>
    </w:p>
    <w:p w14:paraId="11B2BB9E" w14:textId="77777777" w:rsidR="00286A88" w:rsidRPr="00286A88" w:rsidRDefault="00286A88" w:rsidP="0047386D">
      <w:pPr>
        <w:rPr>
          <w:lang w:val="en-AU" w:eastAsia="en-AU"/>
        </w:rPr>
      </w:pPr>
      <w:r w:rsidRPr="00286A88">
        <w:rPr>
          <w:lang w:val="en-AU" w:eastAsia="en-AU"/>
        </w:rPr>
        <w:t>Turkeys have been the subject of intense (and ongoing) selection pressure for increased growth rate. Each year new, faster-growing strains are available meaning that research findings relating to nutritional requirements and musculoskeletal health (in particular) can rapidly become outdated. Commercial breeds such as the Aviagen ‘B.U.T. 6’ and the Hendrix XL attain weights of approx. 10.</w:t>
      </w:r>
      <w:r w:rsidR="003662B6">
        <w:rPr>
          <w:lang w:val="en-AU" w:eastAsia="en-AU"/>
        </w:rPr>
        <w:t>5</w:t>
      </w:r>
      <w:r w:rsidRPr="00286A88">
        <w:rPr>
          <w:lang w:val="en-AU" w:eastAsia="en-AU"/>
        </w:rPr>
        <w:t xml:space="preserve"> kg at 15 weeks (females) and </w:t>
      </w:r>
      <w:r w:rsidR="003662B6">
        <w:rPr>
          <w:lang w:val="en-AU" w:eastAsia="en-AU"/>
        </w:rPr>
        <w:t>24.0</w:t>
      </w:r>
      <w:r w:rsidRPr="00286A88">
        <w:rPr>
          <w:lang w:val="en-AU" w:eastAsia="en-AU"/>
        </w:rPr>
        <w:t xml:space="preserve"> kg at 2</w:t>
      </w:r>
      <w:r w:rsidR="003662B6">
        <w:rPr>
          <w:lang w:val="en-AU" w:eastAsia="en-AU"/>
        </w:rPr>
        <w:t>2</w:t>
      </w:r>
      <w:r w:rsidRPr="00286A88">
        <w:rPr>
          <w:lang w:val="en-AU" w:eastAsia="en-AU"/>
        </w:rPr>
        <w:t xml:space="preserve"> weeks (males).</w:t>
      </w:r>
    </w:p>
    <w:p w14:paraId="10D46A54" w14:textId="77777777" w:rsidR="00D01D23" w:rsidRPr="008D16A0" w:rsidRDefault="00D01D23" w:rsidP="0047386D">
      <w:pPr>
        <w:rPr>
          <w:rStyle w:val="Hyperlink"/>
        </w:rPr>
      </w:pPr>
      <w:r>
        <w:rPr>
          <w:lang w:val="en-AU" w:eastAsia="en-AU"/>
        </w:rPr>
        <w:fldChar w:fldCharType="begin"/>
      </w:r>
      <w:r w:rsidR="00ED55F4">
        <w:rPr>
          <w:lang w:val="en-AU" w:eastAsia="en-AU"/>
        </w:rPr>
        <w:instrText>HYPERLINK "http://www.aviagenturkeys.com/en-gb/products/b-u-t-6" \o "This is a link to Aviagen's webpage with information on B.U.T. 6 turkeys"</w:instrText>
      </w:r>
      <w:r>
        <w:rPr>
          <w:lang w:val="en-AU" w:eastAsia="en-AU"/>
        </w:rPr>
        <w:fldChar w:fldCharType="separate"/>
      </w:r>
      <w:r w:rsidRPr="008D16A0">
        <w:rPr>
          <w:rStyle w:val="Hyperlink"/>
          <w:lang w:val="en-AU" w:eastAsia="en-AU"/>
        </w:rPr>
        <w:t>www.aviagenturkeys.com/en-gb/products/b-u-t-6</w:t>
      </w:r>
    </w:p>
    <w:p w14:paraId="3FFFC865" w14:textId="77777777" w:rsidR="00286A88" w:rsidRDefault="00D01D23" w:rsidP="0047386D">
      <w:pPr>
        <w:rPr>
          <w:lang w:val="en-AU" w:eastAsia="en-AU"/>
        </w:rPr>
      </w:pPr>
      <w:r>
        <w:rPr>
          <w:lang w:val="en-AU" w:eastAsia="en-AU"/>
        </w:rPr>
        <w:fldChar w:fldCharType="end"/>
      </w:r>
      <w:hyperlink r:id="rId69" w:tooltip="This is a link to Hybrid Turkey's webpage with information on Hendrix XL type turkeys." w:history="1">
        <w:r w:rsidR="00D96C72" w:rsidRPr="00F33C5E">
          <w:rPr>
            <w:rStyle w:val="Hyperlink"/>
            <w:lang w:val="en-AU" w:eastAsia="en-AU"/>
          </w:rPr>
          <w:t>www.hybridturkeys.com/en/</w:t>
        </w:r>
      </w:hyperlink>
    </w:p>
    <w:p w14:paraId="52B7A727" w14:textId="77777777" w:rsidR="00286A88" w:rsidRPr="00286A88" w:rsidRDefault="00286A88" w:rsidP="0047386D">
      <w:pPr>
        <w:rPr>
          <w:lang w:val="en-AU" w:eastAsia="en-AU"/>
        </w:rPr>
      </w:pPr>
      <w:r w:rsidRPr="00286A88">
        <w:rPr>
          <w:lang w:val="en-AU" w:eastAsia="en-AU"/>
        </w:rPr>
        <w:t>More recently the focus has been on feed efficiency rather than fast growth which may result in emerging welfare problems, for example hunger may become more prevalent.</w:t>
      </w:r>
    </w:p>
    <w:p w14:paraId="6A94628D" w14:textId="77777777" w:rsidR="00286A88" w:rsidRPr="00286A88" w:rsidRDefault="00286A88" w:rsidP="0047386D">
      <w:pPr>
        <w:rPr>
          <w:color w:val="000000"/>
          <w:lang w:val="en-AU" w:eastAsia="en-AU"/>
        </w:rPr>
      </w:pPr>
      <w:r w:rsidRPr="00286A88">
        <w:rPr>
          <w:color w:val="000000"/>
          <w:lang w:val="en-AU" w:eastAsia="en-AU"/>
        </w:rPr>
        <w:t>Domestic turkeys are primarily farmed for their meat, with turkey breeding establishments supplying poults for the meat rearing systems. Scientific research has focused on meat rather than breeding birds. Consequently, this review will focus on the welfare of meat turkeys unless otherwise stated. Unlike the broiler industry, the meat turkey industry has a large seasonal component and this can greatly impact the environment the birds are kept in, their husbandry, and consequently their welfare.</w:t>
      </w:r>
    </w:p>
    <w:p w14:paraId="59959DD4" w14:textId="77777777" w:rsidR="00286A88" w:rsidRPr="00286A88" w:rsidRDefault="00494BC4" w:rsidP="0047386D">
      <w:pPr>
        <w:pStyle w:val="Heading2"/>
        <w:rPr>
          <w:lang w:val="en-AU" w:eastAsia="en-AU"/>
        </w:rPr>
      </w:pPr>
      <w:r>
        <w:rPr>
          <w:lang w:val="en-AU" w:eastAsia="en-AU"/>
        </w:rPr>
        <w:br w:type="column"/>
      </w:r>
      <w:bookmarkStart w:id="229" w:name="_Toc495310697"/>
      <w:r w:rsidR="00286A88" w:rsidRPr="00286A88">
        <w:rPr>
          <w:lang w:val="en-AU" w:eastAsia="en-AU"/>
        </w:rPr>
        <w:t>T2. Feed and Water</w:t>
      </w:r>
      <w:bookmarkEnd w:id="229"/>
    </w:p>
    <w:p w14:paraId="5BD4A95A" w14:textId="77777777" w:rsidR="00286A88" w:rsidRPr="0047386D" w:rsidRDefault="00286A88" w:rsidP="0047386D">
      <w:pPr>
        <w:rPr>
          <w:i/>
          <w:lang w:val="en-AU" w:eastAsia="en-AU"/>
        </w:rPr>
      </w:pPr>
      <w:r w:rsidRPr="0047386D">
        <w:rPr>
          <w:i/>
          <w:lang w:val="en-AU" w:eastAsia="en-AU"/>
        </w:rPr>
        <w:t>The diet of commercially reared turkeys has received a lot of research attention, principally in relation to the effects of various constituents and mineral supplements on performance and their association with common diseases in meat turkey production.</w:t>
      </w:r>
    </w:p>
    <w:p w14:paraId="0871CBA6" w14:textId="77777777" w:rsidR="00286A88" w:rsidRPr="00286A88" w:rsidRDefault="00286A88" w:rsidP="0047386D">
      <w:pPr>
        <w:rPr>
          <w:lang w:val="en-AU" w:eastAsia="en-AU"/>
        </w:rPr>
      </w:pPr>
      <w:r w:rsidRPr="00286A88">
        <w:rPr>
          <w:lang w:val="en-AU" w:eastAsia="en-AU"/>
        </w:rPr>
        <w:t>Turkeys are highly social birds and feeding and drinking, along with many other behaviours, are socially facilitated (Sainsbury and Sherwin, 2001). This tendency means that it is important to ensure that there is sufficient space at troughs and drinkers to allow multiple birds to use these together.</w:t>
      </w:r>
    </w:p>
    <w:p w14:paraId="109E4CA4" w14:textId="77777777" w:rsidR="00286A88" w:rsidRPr="00286A88" w:rsidRDefault="00286A88" w:rsidP="0047386D">
      <w:pPr>
        <w:rPr>
          <w:lang w:val="en-AU" w:eastAsia="en-AU"/>
        </w:rPr>
      </w:pPr>
      <w:r w:rsidRPr="00286A88">
        <w:rPr>
          <w:lang w:val="en-AU" w:eastAsia="en-AU"/>
        </w:rPr>
        <w:t>Turkey poults receive successive changes in diet during rearing as their beak size and nutritional requirements change. One of the biggest dietary changes they experience is the transition from crumbs to pelleted food. Initially this change is accompanied by a reduction in feed intake and an increase in exploratory behaviour, with different individuals showing differing levels of sensitivity to feed change (Lecuelle et al., 2010).</w:t>
      </w:r>
    </w:p>
    <w:p w14:paraId="23EEDEEF" w14:textId="77777777" w:rsidR="00286A88" w:rsidRPr="00286A88" w:rsidRDefault="00286A88" w:rsidP="0047386D">
      <w:pPr>
        <w:rPr>
          <w:lang w:val="en-AU" w:eastAsia="en-AU"/>
        </w:rPr>
      </w:pPr>
      <w:r w:rsidRPr="00286A88">
        <w:rPr>
          <w:lang w:val="en-AU" w:eastAsia="en-AU"/>
        </w:rPr>
        <w:t xml:space="preserve">Soybean meal is the main source of dietary protein for commercial turkeys </w:t>
      </w:r>
      <w:r w:rsidRPr="00286A88">
        <w:rPr>
          <w:noProof/>
          <w:lang w:val="en-AU" w:eastAsia="en-AU"/>
        </w:rPr>
        <w:t>(Youssef et al., 2011a)</w:t>
      </w:r>
      <w:r w:rsidRPr="00286A88">
        <w:rPr>
          <w:lang w:val="en-AU" w:eastAsia="en-AU"/>
        </w:rPr>
        <w:t xml:space="preserve">. Protein provision was previously considered a risk factor for foot pad dermatitis (FPD), although this has now been proved unfounded </w:t>
      </w:r>
      <w:r w:rsidRPr="00286A88">
        <w:rPr>
          <w:noProof/>
          <w:lang w:val="en-AU" w:eastAsia="en-AU"/>
        </w:rPr>
        <w:t>(Youssef et al, 2011a)</w:t>
      </w:r>
      <w:r w:rsidRPr="00286A88">
        <w:rPr>
          <w:lang w:val="en-AU" w:eastAsia="en-AU"/>
        </w:rPr>
        <w:t>.</w:t>
      </w:r>
    </w:p>
    <w:p w14:paraId="1DEB48E0" w14:textId="77777777" w:rsidR="00286A88" w:rsidRPr="00286A88" w:rsidRDefault="00286A88" w:rsidP="0047386D">
      <w:pPr>
        <w:rPr>
          <w:lang w:val="en-AU" w:eastAsia="en-AU"/>
        </w:rPr>
      </w:pPr>
      <w:r w:rsidRPr="00286A88">
        <w:rPr>
          <w:lang w:val="en-AU" w:eastAsia="en-AU"/>
        </w:rPr>
        <w:t xml:space="preserve">The impact of feeding different dietary constituents on the health and welfare of turkeys has received research attention since commercial production began. Feeding whole grains as part of the commercial diet appears to generate conflicting results and the impact the whole grain constituent has on the bird’s growth and well-being depends on the level at which it is fed. Growth rate shows little or no depression when birds are fed 20% whole barley, however, once this increases to 35% an adjustment period is required during which there is a reduction in growth and feed efficiency </w:t>
      </w:r>
      <w:r w:rsidRPr="00286A88">
        <w:rPr>
          <w:noProof/>
          <w:lang w:val="en-AU" w:eastAsia="en-AU"/>
        </w:rPr>
        <w:t>(Bennett et al., 2002)</w:t>
      </w:r>
      <w:r w:rsidR="006528FD">
        <w:rPr>
          <w:noProof/>
          <w:lang w:val="en-AU" w:eastAsia="en-AU"/>
        </w:rPr>
        <w:t>.</w:t>
      </w:r>
      <w:r w:rsidRPr="00286A88">
        <w:rPr>
          <w:lang w:val="en-AU" w:eastAsia="en-AU"/>
        </w:rPr>
        <w:t xml:space="preserve"> However, if a high level of whole barley is fed before 40 days of age, turkey toms show improved livability and skeletal health due to the reduction in early growth rate </w:t>
      </w:r>
      <w:r w:rsidRPr="00286A88">
        <w:rPr>
          <w:noProof/>
          <w:lang w:val="en-AU" w:eastAsia="en-AU"/>
        </w:rPr>
        <w:t>(Bennett et al., 2002)</w:t>
      </w:r>
      <w:r w:rsidRPr="00286A88">
        <w:rPr>
          <w:lang w:val="en-AU" w:eastAsia="en-AU"/>
        </w:rPr>
        <w:t xml:space="preserve">. Diluting standard diets with whole grain wheat was found to have no influence on proportions of breast muscles, leg muscles and fat in turkey carcases; however, feeding low levels was associated with less severe symptoms of FPD and increased the dry matter concentration of excreta </w:t>
      </w:r>
      <w:r w:rsidRPr="00286A88">
        <w:rPr>
          <w:noProof/>
          <w:lang w:val="en-AU" w:eastAsia="en-AU"/>
        </w:rPr>
        <w:t>(Jankowski et al., 2012b; 2013)</w:t>
      </w:r>
      <w:r w:rsidRPr="00286A88">
        <w:rPr>
          <w:lang w:val="en-AU" w:eastAsia="en-AU"/>
        </w:rPr>
        <w:t xml:space="preserve">. Feeding higher levels of whole wheat may negatively impact body weight gains and feed conversion ratios </w:t>
      </w:r>
      <w:r w:rsidRPr="00286A88">
        <w:rPr>
          <w:noProof/>
          <w:lang w:val="en-AU" w:eastAsia="en-AU"/>
        </w:rPr>
        <w:t xml:space="preserve">(Jankowski et al., 2013). </w:t>
      </w:r>
      <w:r w:rsidRPr="00286A88">
        <w:rPr>
          <w:lang w:val="en-AU" w:eastAsia="en-AU"/>
        </w:rPr>
        <w:t xml:space="preserve">Feeding grit does not seem to be essential if birds are being fed whole grains </w:t>
      </w:r>
      <w:r w:rsidRPr="00286A88">
        <w:rPr>
          <w:noProof/>
          <w:lang w:val="en-AU" w:eastAsia="en-AU"/>
        </w:rPr>
        <w:t>(Bennett et al., 2002)</w:t>
      </w:r>
      <w:r w:rsidRPr="00286A88">
        <w:rPr>
          <w:lang w:val="en-AU" w:eastAsia="en-AU"/>
        </w:rPr>
        <w:t>. Hocking et al. (2013) explored the growth and skeletal responses of supplementing turkeys with riboflavin and biotin. Poults with no supplemental riboflavin had poor gait scores and higher cull rates, as did those only supplemented with biotin. Bones of poults on both supplements were larger, stronger and denser, but riboflavin deficiency was more detrimental.</w:t>
      </w:r>
    </w:p>
    <w:p w14:paraId="665768E1" w14:textId="77777777" w:rsidR="00286A88" w:rsidRPr="00286A88" w:rsidRDefault="00286A88" w:rsidP="0047386D">
      <w:pPr>
        <w:rPr>
          <w:lang w:val="en-AU" w:eastAsia="en-AU"/>
        </w:rPr>
      </w:pPr>
      <w:r w:rsidRPr="00286A88">
        <w:rPr>
          <w:lang w:val="en-AU" w:eastAsia="en-AU"/>
        </w:rPr>
        <w:t>Maintaining high litter quality is of particular importance in turkey production (</w:t>
      </w:r>
      <w:r w:rsidR="006528FD">
        <w:rPr>
          <w:lang w:val="en-AU" w:eastAsia="en-AU"/>
        </w:rPr>
        <w:t xml:space="preserve">see </w:t>
      </w:r>
      <w:r w:rsidRPr="00286A88">
        <w:rPr>
          <w:lang w:val="en-AU" w:eastAsia="en-AU"/>
        </w:rPr>
        <w:t xml:space="preserve">T5.1a), and dietary adjustments have been explored to see if litter improvements can be made through dietary interventions. Litter quality can be indirectly improved by feeding supplements such as silicon dioxide, which has also been demonstrated to improve turkey body weight and the efficiency of feed conversion </w:t>
      </w:r>
      <w:r w:rsidRPr="00286A88">
        <w:rPr>
          <w:noProof/>
          <w:lang w:val="en-AU" w:eastAsia="en-AU"/>
        </w:rPr>
        <w:t>(Tran et al., 2015)</w:t>
      </w:r>
      <w:r w:rsidRPr="00286A88">
        <w:rPr>
          <w:lang w:val="en-AU" w:eastAsia="en-AU"/>
        </w:rPr>
        <w:t xml:space="preserve">. However, some feed ingredients, such as distillers dried grains with solubles, canola meal and chloride have been found to increase litter moisture content </w:t>
      </w:r>
      <w:r w:rsidRPr="00286A88">
        <w:rPr>
          <w:noProof/>
          <w:lang w:val="en-AU" w:eastAsia="en-AU"/>
        </w:rPr>
        <w:t>(Farahat et al., 2013b)</w:t>
      </w:r>
      <w:r w:rsidRPr="00286A88">
        <w:rPr>
          <w:lang w:val="en-AU" w:eastAsia="en-AU"/>
        </w:rPr>
        <w:t xml:space="preserve">, and it is likely that the effect of chloride on litter moisture accounts for the relationship seen between chloride and foot pad score </w:t>
      </w:r>
      <w:r w:rsidRPr="00286A88">
        <w:rPr>
          <w:noProof/>
          <w:lang w:val="en-AU" w:eastAsia="en-AU"/>
        </w:rPr>
        <w:t>(Farahat et al., 2013a)</w:t>
      </w:r>
      <w:r w:rsidRPr="00286A88">
        <w:rPr>
          <w:lang w:val="en-AU" w:eastAsia="en-AU"/>
        </w:rPr>
        <w:t>. These ingredients should be avoided or minimised where possible to maintain high litter quality.</w:t>
      </w:r>
    </w:p>
    <w:p w14:paraId="425F5FB9" w14:textId="77777777" w:rsidR="00286A88" w:rsidRPr="00286A88" w:rsidRDefault="00286A88" w:rsidP="0047386D">
      <w:pPr>
        <w:rPr>
          <w:lang w:val="en-AU" w:eastAsia="en-AU"/>
        </w:rPr>
      </w:pPr>
      <w:r w:rsidRPr="00286A88">
        <w:rPr>
          <w:lang w:val="en-AU" w:eastAsia="en-AU"/>
        </w:rPr>
        <w:t xml:space="preserve">Aflatoxins are common contaminants of poultry feed and feedstuffs and turkeys are one of the most sensitive poultry species towards this group of fungi produced mycotoxin </w:t>
      </w:r>
      <w:r w:rsidRPr="00286A88">
        <w:rPr>
          <w:noProof/>
          <w:lang w:val="en-AU" w:eastAsia="en-AU"/>
        </w:rPr>
        <w:t>(Diaz et al., 2009)</w:t>
      </w:r>
      <w:r w:rsidRPr="00286A88">
        <w:rPr>
          <w:lang w:val="en-AU" w:eastAsia="en-AU"/>
        </w:rPr>
        <w:t xml:space="preserve">. Mycotoxin exposure can compromise immune response, weight gain and therefore productivity, and may lead to death in some instances </w:t>
      </w:r>
      <w:r w:rsidRPr="00286A88">
        <w:rPr>
          <w:noProof/>
          <w:lang w:val="en-AU" w:eastAsia="en-AU"/>
        </w:rPr>
        <w:t>(Diaz et al., 2009)</w:t>
      </w:r>
      <w:r w:rsidRPr="00286A88">
        <w:rPr>
          <w:lang w:val="en-AU" w:eastAsia="en-AU"/>
        </w:rPr>
        <w:t xml:space="preserve">. Feed additives are available that can successfully ameliorate the adverse effect of aflatoxins, suppressing mortality and correcting the immunological alterations that arise through aflatoxin exposure </w:t>
      </w:r>
      <w:r w:rsidRPr="00286A88">
        <w:rPr>
          <w:noProof/>
          <w:lang w:val="en-AU" w:eastAsia="en-AU"/>
        </w:rPr>
        <w:t>(Diaz et al., 2009)</w:t>
      </w:r>
      <w:r w:rsidRPr="00286A88">
        <w:rPr>
          <w:lang w:val="en-AU" w:eastAsia="en-AU"/>
        </w:rPr>
        <w:t>.</w:t>
      </w:r>
    </w:p>
    <w:p w14:paraId="5FE809D5" w14:textId="77777777" w:rsidR="00286A88" w:rsidRPr="00286A88" w:rsidRDefault="00286A88" w:rsidP="0047386D">
      <w:pPr>
        <w:rPr>
          <w:lang w:val="en-AU" w:eastAsia="en-AU"/>
        </w:rPr>
      </w:pPr>
      <w:r w:rsidRPr="00286A88">
        <w:rPr>
          <w:lang w:val="en-AU" w:eastAsia="en-AU"/>
        </w:rPr>
        <w:t xml:space="preserve">Given the restrictions on antibiotic usage, nutritional and non-nutritional approaches to counteract the debilitating effects of stress and infection are being explored as alternative solutions </w:t>
      </w:r>
      <w:r w:rsidRPr="00286A88">
        <w:rPr>
          <w:noProof/>
          <w:lang w:val="en-AU" w:eastAsia="en-AU"/>
        </w:rPr>
        <w:t>(Huff et al., 2004)</w:t>
      </w:r>
      <w:r w:rsidRPr="00286A88">
        <w:rPr>
          <w:lang w:val="en-AU" w:eastAsia="en-AU"/>
        </w:rPr>
        <w:t xml:space="preserve">. Providing vitamin E or sodium salicylate can modulate the inflammatory response, reducing the effects of bacterial exposure in challenged birds; however the negative effect on body weight of non-challenged birds suggests their use should be limited to predictable times of stress in the production cycle e.g. moving, handling or disease outbreaks </w:t>
      </w:r>
      <w:r w:rsidRPr="00286A88">
        <w:rPr>
          <w:noProof/>
          <w:lang w:val="en-AU" w:eastAsia="en-AU"/>
        </w:rPr>
        <w:t>(Huff et al., 2004)</w:t>
      </w:r>
      <w:r w:rsidRPr="00286A88">
        <w:rPr>
          <w:lang w:val="en-AU" w:eastAsia="en-AU"/>
        </w:rPr>
        <w:t xml:space="preserve">. Yeast supplementation may provide protection against clostridial dermatitis (CD) when CD risk increases at the latter stages of production </w:t>
      </w:r>
      <w:r w:rsidRPr="00286A88">
        <w:rPr>
          <w:noProof/>
          <w:lang w:val="en-AU" w:eastAsia="en-AU"/>
        </w:rPr>
        <w:t>(Huff et al., 2014)</w:t>
      </w:r>
      <w:r w:rsidRPr="00286A88">
        <w:rPr>
          <w:lang w:val="en-AU" w:eastAsia="en-AU"/>
        </w:rPr>
        <w:t>. Antibiotic usage can also have negative effects on gut health in turkeys, but probiotics have been suggested as a viable alternative to subtherapeutic antibiotic use (Danzeisen et al., 2015).</w:t>
      </w:r>
    </w:p>
    <w:p w14:paraId="63CE111C" w14:textId="77777777" w:rsidR="00286A88" w:rsidRPr="00286A88" w:rsidRDefault="00286A88" w:rsidP="0047386D">
      <w:pPr>
        <w:rPr>
          <w:lang w:val="en-AU" w:eastAsia="en-AU"/>
        </w:rPr>
      </w:pPr>
      <w:r w:rsidRPr="00286A88">
        <w:rPr>
          <w:lang w:val="en-AU" w:eastAsia="en-AU"/>
        </w:rPr>
        <w:t xml:space="preserve">Poults appear to drink more water in the morning (7-10am) compared to other times of day, and drinking behaviour accounts for approximately 2% of the time budget </w:t>
      </w:r>
      <w:r w:rsidRPr="00286A88">
        <w:rPr>
          <w:noProof/>
          <w:lang w:val="en-AU" w:eastAsia="en-AU"/>
        </w:rPr>
        <w:t>(Busayi et al., 2006)</w:t>
      </w:r>
      <w:r w:rsidRPr="00286A88">
        <w:rPr>
          <w:lang w:val="en-AU" w:eastAsia="en-AU"/>
        </w:rPr>
        <w:t xml:space="preserve">. Water consumption appears to be unaffected by the humidity of the environment or the foot health status </w:t>
      </w:r>
      <w:r w:rsidRPr="00286A88">
        <w:rPr>
          <w:noProof/>
          <w:lang w:val="en-AU" w:eastAsia="en-AU"/>
        </w:rPr>
        <w:t>(Hocking and Wu, 2013)</w:t>
      </w:r>
      <w:r w:rsidRPr="00286A88">
        <w:rPr>
          <w:lang w:val="en-AU" w:eastAsia="en-AU"/>
        </w:rPr>
        <w:t xml:space="preserve">. Type and density of water providing equipment may cause crowding and spillages in some areas, especially if birds need to compete for access </w:t>
      </w:r>
      <w:r w:rsidRPr="00286A88">
        <w:rPr>
          <w:noProof/>
          <w:lang w:val="en-AU" w:eastAsia="en-AU"/>
        </w:rPr>
        <w:t>(Martrenchar et al., 2002)</w:t>
      </w:r>
      <w:r w:rsidRPr="00286A88">
        <w:rPr>
          <w:lang w:val="en-AU" w:eastAsia="en-AU"/>
        </w:rPr>
        <w:t>. In a study of French turkey flocks, 79% of houses were equipped with bell drinkers and 21% with nipple drinkers with drip cups underneath. These were provided at low densities of &lt;0.05 bell/m</w:t>
      </w:r>
      <w:r w:rsidRPr="00286A88">
        <w:rPr>
          <w:vertAlign w:val="superscript"/>
          <w:lang w:val="en-AU" w:eastAsia="en-AU"/>
        </w:rPr>
        <w:t>2</w:t>
      </w:r>
      <w:r w:rsidRPr="00286A88">
        <w:rPr>
          <w:lang w:val="en-AU" w:eastAsia="en-AU"/>
        </w:rPr>
        <w:t xml:space="preserve"> or &lt;0.2 nipple/m</w:t>
      </w:r>
      <w:r w:rsidRPr="00286A88">
        <w:rPr>
          <w:vertAlign w:val="superscript"/>
          <w:lang w:val="en-AU" w:eastAsia="en-AU"/>
        </w:rPr>
        <w:t>2</w:t>
      </w:r>
      <w:r w:rsidRPr="00286A88">
        <w:rPr>
          <w:lang w:val="en-AU" w:eastAsia="en-AU"/>
        </w:rPr>
        <w:t xml:space="preserve"> (44%), intermediate densities of 0.05 to 0.2 bell/m</w:t>
      </w:r>
      <w:r w:rsidRPr="00286A88">
        <w:rPr>
          <w:vertAlign w:val="superscript"/>
          <w:lang w:val="en-AU" w:eastAsia="en-AU"/>
        </w:rPr>
        <w:t>2</w:t>
      </w:r>
      <w:r w:rsidRPr="00286A88">
        <w:rPr>
          <w:lang w:val="en-AU" w:eastAsia="en-AU"/>
        </w:rPr>
        <w:t xml:space="preserve"> (28%), or high densities of &gt;0.2 bell/m</w:t>
      </w:r>
      <w:r w:rsidRPr="00286A88">
        <w:rPr>
          <w:vertAlign w:val="superscript"/>
          <w:lang w:val="en-AU" w:eastAsia="en-AU"/>
        </w:rPr>
        <w:t>2</w:t>
      </w:r>
      <w:r w:rsidRPr="00286A88">
        <w:rPr>
          <w:lang w:val="en-AU" w:eastAsia="en-AU"/>
        </w:rPr>
        <w:t xml:space="preserve"> or &gt;0.8 nipple/m</w:t>
      </w:r>
      <w:r w:rsidRPr="00286A88">
        <w:rPr>
          <w:vertAlign w:val="superscript"/>
          <w:lang w:val="en-AU" w:eastAsia="en-AU"/>
        </w:rPr>
        <w:t>2</w:t>
      </w:r>
      <w:r w:rsidRPr="00286A88">
        <w:rPr>
          <w:lang w:val="en-AU" w:eastAsia="en-AU"/>
        </w:rPr>
        <w:t>( 28%). Problems with foot health were increased at the lowest densities of water equipment (Martrenchar et al., 2002) (see T3.7).</w:t>
      </w:r>
    </w:p>
    <w:p w14:paraId="73734C1D" w14:textId="77777777" w:rsidR="00286A88" w:rsidRPr="00286A88" w:rsidRDefault="00286A88" w:rsidP="0047386D">
      <w:pPr>
        <w:rPr>
          <w:lang w:val="en-AU" w:eastAsia="en-AU"/>
        </w:rPr>
      </w:pPr>
      <w:r w:rsidRPr="00286A88">
        <w:rPr>
          <w:lang w:val="en-AU" w:eastAsia="en-AU"/>
        </w:rPr>
        <w:t>Turkey breeder birds are subject to restricted feeding practices to the same extent as broiler breeders, and consequently their welfare will be similarly compromised. Restricted feeding practices in turkey breeder birds do not appear to have received a great amount of research attention since the early 1990s.</w:t>
      </w:r>
    </w:p>
    <w:p w14:paraId="293BF8C9" w14:textId="77777777" w:rsidR="00286A88" w:rsidRPr="00286A88" w:rsidRDefault="00BA6724" w:rsidP="0047386D">
      <w:pPr>
        <w:pStyle w:val="Heading3"/>
        <w:rPr>
          <w:lang w:val="en-AU" w:eastAsia="en-AU"/>
        </w:rPr>
      </w:pPr>
      <w:bookmarkStart w:id="230" w:name="_Toc495310698"/>
      <w:r>
        <w:rPr>
          <w:lang w:val="en-AU" w:eastAsia="en-AU"/>
        </w:rPr>
        <w:t>T2.1 Relationships with i</w:t>
      </w:r>
      <w:r w:rsidR="00286A88" w:rsidRPr="00286A88">
        <w:rPr>
          <w:lang w:val="en-AU" w:eastAsia="en-AU"/>
        </w:rPr>
        <w:t xml:space="preserve">njurious </w:t>
      </w:r>
      <w:r>
        <w:rPr>
          <w:lang w:val="en-AU" w:eastAsia="en-AU"/>
        </w:rPr>
        <w:t>p</w:t>
      </w:r>
      <w:r w:rsidR="00286A88" w:rsidRPr="00286A88">
        <w:rPr>
          <w:lang w:val="en-AU" w:eastAsia="en-AU"/>
        </w:rPr>
        <w:t>ecking</w:t>
      </w:r>
      <w:bookmarkEnd w:id="230"/>
    </w:p>
    <w:p w14:paraId="7CC4016C" w14:textId="77777777" w:rsidR="00286A88" w:rsidRPr="00286A88" w:rsidRDefault="00286A88" w:rsidP="0047386D">
      <w:pPr>
        <w:rPr>
          <w:lang w:val="en-AU" w:eastAsia="en-AU"/>
        </w:rPr>
      </w:pPr>
      <w:r w:rsidRPr="00286A88">
        <w:rPr>
          <w:lang w:val="en-AU" w:eastAsia="en-AU"/>
        </w:rPr>
        <w:t>Insufficient dietary fibre and a lack of foraging opportunities have been implicated in feather pecking and cannibalism in turkeys (Dalton et al., 2013). Increasing the fibre content of feed and converting from pellets to mash has been shown to increase the proportion of time spent feeding and reduce the proportion of birds with damaged feathers (Hale and Schein, 1962, cited by Hughes and Grigor, 1996). There is also evidence that providing high fibre foraging substrates, such as rough cut wheat straw reduced the number of pecking injuries seen on the wing, tail and head (Sherwin et al., 1999). In terms of the relationship between diet and injurious pecking, the emphasis seems to be on increasing the time spent eating and providing foraging opportunities, rather than addressing nutritional imbalances through dietary adjustments. For turkeys at least, it appears that other factors such as light quality and intensity may have a greater influence on this behaviour than food content.</w:t>
      </w:r>
    </w:p>
    <w:p w14:paraId="0677743D" w14:textId="77777777" w:rsidR="00286A88" w:rsidRPr="0047386D" w:rsidRDefault="00BA6724" w:rsidP="0047386D">
      <w:pPr>
        <w:pStyle w:val="Heading3"/>
      </w:pPr>
      <w:bookmarkStart w:id="231" w:name="_Toc495310699"/>
      <w:r>
        <w:t>T2.2 Relationship with skeletal h</w:t>
      </w:r>
      <w:r w:rsidR="00286A88" w:rsidRPr="0047386D">
        <w:t>ealth</w:t>
      </w:r>
      <w:bookmarkEnd w:id="231"/>
    </w:p>
    <w:p w14:paraId="2FB30022" w14:textId="77777777" w:rsidR="00286A88" w:rsidRPr="00286A88" w:rsidRDefault="00286A88" w:rsidP="0047386D">
      <w:pPr>
        <w:rPr>
          <w:lang w:val="en-AU" w:eastAsia="en-AU"/>
        </w:rPr>
      </w:pPr>
      <w:r w:rsidRPr="00286A88">
        <w:rPr>
          <w:lang w:val="en-AU" w:eastAsia="en-AU"/>
        </w:rPr>
        <w:t xml:space="preserve">The contribution various feed supplements can make to skeletal strength and bone health has been investigated extensively. The biomechanical properties of bone can be improved by mineral supplementation, and increased bone strength should result in fewer broken bones in commercial turkey production </w:t>
      </w:r>
      <w:r w:rsidRPr="00286A88">
        <w:rPr>
          <w:noProof/>
          <w:lang w:val="en-AU" w:eastAsia="en-AU"/>
        </w:rPr>
        <w:t>(Ferket et al., 2009)</w:t>
      </w:r>
      <w:r w:rsidRPr="00286A88">
        <w:rPr>
          <w:lang w:val="en-AU" w:eastAsia="en-AU"/>
        </w:rPr>
        <w:t>.</w:t>
      </w:r>
    </w:p>
    <w:p w14:paraId="0118E622" w14:textId="77777777" w:rsidR="00286A88" w:rsidRPr="00286A88" w:rsidRDefault="00286A88" w:rsidP="0047386D">
      <w:pPr>
        <w:rPr>
          <w:lang w:val="en-AU" w:eastAsia="en-AU"/>
        </w:rPr>
      </w:pPr>
      <w:r w:rsidRPr="00286A88">
        <w:rPr>
          <w:lang w:val="en-AU" w:eastAsia="en-AU"/>
        </w:rPr>
        <w:t xml:space="preserve">The occurrence of leg problems in toms grown to a heavy market weight (&gt;18 kg) may be influenced by dietary levels of calcium and nonphytate phosphorus (nPP) </w:t>
      </w:r>
      <w:r w:rsidRPr="00286A88">
        <w:rPr>
          <w:noProof/>
          <w:lang w:val="en-AU" w:eastAsia="en-AU"/>
        </w:rPr>
        <w:t>(Roberson, 2009)</w:t>
      </w:r>
      <w:r w:rsidRPr="00286A88">
        <w:rPr>
          <w:lang w:val="en-AU" w:eastAsia="en-AU"/>
        </w:rPr>
        <w:t xml:space="preserve">. There is a lack of published data on which to base recommendations for dietary calcium and non-phytate phosphorus (nPP) (the phosphorus that is potentially utilisable by the turkey) for modern fast growing commercial breeds and data are often conflicting </w:t>
      </w:r>
      <w:r w:rsidRPr="00286A88">
        <w:rPr>
          <w:noProof/>
          <w:lang w:val="en-AU" w:eastAsia="en-AU"/>
        </w:rPr>
        <w:t>(Roberson, 2009)</w:t>
      </w:r>
      <w:r w:rsidRPr="00286A88">
        <w:rPr>
          <w:lang w:val="en-AU" w:eastAsia="en-AU"/>
        </w:rPr>
        <w:t>.</w:t>
      </w:r>
    </w:p>
    <w:p w14:paraId="3341484C" w14:textId="77777777" w:rsidR="00286A88" w:rsidRPr="00286A88" w:rsidRDefault="00286A88" w:rsidP="0047386D">
      <w:pPr>
        <w:rPr>
          <w:lang w:val="en-AU" w:eastAsia="en-AU"/>
        </w:rPr>
      </w:pPr>
      <w:r w:rsidRPr="00286A88">
        <w:rPr>
          <w:lang w:val="en-AU" w:eastAsia="en-AU"/>
        </w:rPr>
        <w:t xml:space="preserve">Phosphorous, and to a lesser extent calcium, requirements in turkey production are believed to be considerably greater than the </w:t>
      </w:r>
      <w:r w:rsidR="00456E7E">
        <w:rPr>
          <w:lang w:val="en-AU" w:eastAsia="en-AU"/>
        </w:rPr>
        <w:t xml:space="preserve">USA’s </w:t>
      </w:r>
      <w:r w:rsidRPr="00286A88">
        <w:rPr>
          <w:lang w:val="en-AU" w:eastAsia="en-AU"/>
        </w:rPr>
        <w:t xml:space="preserve">National Research Council </w:t>
      </w:r>
      <w:r w:rsidR="00456E7E">
        <w:rPr>
          <w:lang w:val="en-AU" w:eastAsia="en-AU"/>
        </w:rPr>
        <w:t>(</w:t>
      </w:r>
      <w:r w:rsidRPr="00286A88">
        <w:rPr>
          <w:lang w:val="en-AU" w:eastAsia="en-AU"/>
        </w:rPr>
        <w:t>NRC</w:t>
      </w:r>
      <w:r w:rsidR="00456E7E">
        <w:rPr>
          <w:lang w:val="en-AU" w:eastAsia="en-AU"/>
        </w:rPr>
        <w:t xml:space="preserve">) </w:t>
      </w:r>
      <w:r w:rsidRPr="00286A88">
        <w:rPr>
          <w:lang w:val="en-AU" w:eastAsia="en-AU"/>
        </w:rPr>
        <w:t>recommendations</w:t>
      </w:r>
      <w:r w:rsidR="00456E7E">
        <w:rPr>
          <w:lang w:val="en-AU" w:eastAsia="en-AU"/>
        </w:rPr>
        <w:t xml:space="preserve"> in 1994</w:t>
      </w:r>
      <w:r w:rsidRPr="00286A88">
        <w:rPr>
          <w:lang w:val="en-AU" w:eastAsia="en-AU"/>
        </w:rPr>
        <w:t xml:space="preserve"> </w:t>
      </w:r>
      <w:r w:rsidRPr="00286A88">
        <w:rPr>
          <w:noProof/>
          <w:lang w:val="en-AU" w:eastAsia="en-AU"/>
        </w:rPr>
        <w:t>(Atia et al., 2000)</w:t>
      </w:r>
      <w:r w:rsidRPr="00286A88">
        <w:rPr>
          <w:lang w:val="en-AU" w:eastAsia="en-AU"/>
        </w:rPr>
        <w:t xml:space="preserve">. Roberson (2009) examined the effects of feeding NRC recommendations of dietary calcium and varying levels of nonphytate phosphorus (nPP) in four treatments (LOW, ending with 0.25% nPP at 19 weeks of age and formulated according to NRC guidelines; MED, 0.06% units above LOW; HIGH, 0.10% units above MED; VERY HIGH, 0.10% units above HIGH). Bone integrity (and growth) was greatest for the birds fed the HIGH and VERY HIGH diets </w:t>
      </w:r>
      <w:r w:rsidRPr="00286A88">
        <w:rPr>
          <w:noProof/>
          <w:lang w:val="en-AU" w:eastAsia="en-AU"/>
        </w:rPr>
        <w:t>(Roberson, 2009)</w:t>
      </w:r>
      <w:r w:rsidRPr="00286A88">
        <w:rPr>
          <w:lang w:val="en-AU" w:eastAsia="en-AU"/>
        </w:rPr>
        <w:t xml:space="preserve">. Reported increases in spontaneous femur fractures in commercially grown toms illustrates the need for further research to be conducted </w:t>
      </w:r>
      <w:r w:rsidRPr="00286A88">
        <w:rPr>
          <w:noProof/>
          <w:lang w:val="en-AU" w:eastAsia="en-AU"/>
        </w:rPr>
        <w:t>(Roberson, 2009)</w:t>
      </w:r>
      <w:r w:rsidRPr="00286A88">
        <w:rPr>
          <w:lang w:val="en-AU" w:eastAsia="en-AU"/>
        </w:rPr>
        <w:t xml:space="preserve">. Diets insufficient in phosphorus can result in hypophosphatemia which can lead to foot problems and fractures in the extremities in the fast growing period (to 16 weeks of age) of turkeys </w:t>
      </w:r>
      <w:r w:rsidRPr="00286A88">
        <w:rPr>
          <w:noProof/>
          <w:lang w:val="en-AU" w:eastAsia="en-AU"/>
        </w:rPr>
        <w:t>(</w:t>
      </w:r>
      <w:r w:rsidR="00446673" w:rsidRPr="00446673">
        <w:rPr>
          <w:noProof/>
          <w:lang w:val="en-AU" w:eastAsia="en-AU"/>
        </w:rPr>
        <w:t>Özkan</w:t>
      </w:r>
      <w:r w:rsidRPr="00286A88">
        <w:rPr>
          <w:noProof/>
          <w:lang w:val="en-AU" w:eastAsia="en-AU"/>
        </w:rPr>
        <w:t xml:space="preserve"> et al., 2012)</w:t>
      </w:r>
      <w:r w:rsidRPr="00286A88">
        <w:rPr>
          <w:lang w:val="en-AU" w:eastAsia="en-AU"/>
        </w:rPr>
        <w:t xml:space="preserve">. Adding phosphorus and vitamin D3 to the food or water of turkeys at approx. 14 weeks of age had beneficial effects on biochemical parameters and partially relieved symptoms of hypophosphatemia </w:t>
      </w:r>
      <w:r w:rsidRPr="00286A88">
        <w:rPr>
          <w:noProof/>
          <w:lang w:val="en-AU" w:eastAsia="en-AU"/>
        </w:rPr>
        <w:t>(</w:t>
      </w:r>
      <w:r w:rsidR="00446673" w:rsidRPr="00446673">
        <w:rPr>
          <w:noProof/>
          <w:lang w:val="en-AU" w:eastAsia="en-AU"/>
        </w:rPr>
        <w:t>Özkan</w:t>
      </w:r>
      <w:r w:rsidRPr="00286A88">
        <w:rPr>
          <w:noProof/>
          <w:lang w:val="en-AU" w:eastAsia="en-AU"/>
        </w:rPr>
        <w:t xml:space="preserve"> et al., 2012)</w:t>
      </w:r>
      <w:r w:rsidRPr="00286A88">
        <w:rPr>
          <w:lang w:val="en-AU" w:eastAsia="en-AU"/>
        </w:rPr>
        <w:t>. However, to ensure turkey welfare it is far better to adopt a preventive approach and ensure adequate nutrition throughout life. The importance of adequate phosphorus and calcium intakes for modern, fast-growing strains has been recognised by some commercial breeding companies and revised guidelines were published in 2015 by Aviagen. However, there are also pressures to reduce feed costs and litter moisture and for these reasons, Hendrix reduced the recommended calcium and phosphorus concentrations in their nutrient guidelines for turkeys by 5-10% in 2013.</w:t>
      </w:r>
    </w:p>
    <w:p w14:paraId="6A7F49F3" w14:textId="77777777" w:rsidR="00286A88" w:rsidRPr="00286A88" w:rsidRDefault="00286A88" w:rsidP="0047386D">
      <w:pPr>
        <w:rPr>
          <w:lang w:val="en-AU" w:eastAsia="en-AU"/>
        </w:rPr>
      </w:pPr>
      <w:r w:rsidRPr="00286A88">
        <w:rPr>
          <w:lang w:val="en-AU" w:eastAsia="en-AU"/>
        </w:rPr>
        <w:t>Dietary supplementation of organic trace minerals (Zn, Mn and Cu) as complexed with methione hydroxy analog along with selenium yeast (Mintrex P</w:t>
      </w:r>
      <w:r w:rsidRPr="00286A88">
        <w:rPr>
          <w:vertAlign w:val="subscript"/>
          <w:lang w:val="en-AU" w:eastAsia="en-AU"/>
        </w:rPr>
        <w:t>Se</w:t>
      </w:r>
      <w:r w:rsidRPr="00286A88">
        <w:rPr>
          <w:lang w:val="en-AU" w:eastAsia="en-AU"/>
        </w:rPr>
        <w:t xml:space="preserve">) can reduce the incidence of leg abnormalities associated with rapid growth, such as varus, valgus and shaky leg </w:t>
      </w:r>
      <w:r w:rsidRPr="00286A88">
        <w:rPr>
          <w:noProof/>
          <w:lang w:val="en-AU" w:eastAsia="en-AU"/>
        </w:rPr>
        <w:t>(Ferket et al., 2009)</w:t>
      </w:r>
      <w:r w:rsidRPr="00286A88">
        <w:rPr>
          <w:lang w:val="en-AU" w:eastAsia="en-AU"/>
        </w:rPr>
        <w:t xml:space="preserve">. However, results are not always consistent, with one study finding no strong relationship between dietary calcium and bio-available phosphorus concentrations and the prevalence of tibial dyschondroplasia (TD) </w:t>
      </w:r>
      <w:r w:rsidRPr="00286A88">
        <w:rPr>
          <w:noProof/>
          <w:lang w:val="en-AU" w:eastAsia="en-AU"/>
        </w:rPr>
        <w:t>(Hocking et al., 2002)</w:t>
      </w:r>
      <w:r w:rsidRPr="00286A88">
        <w:rPr>
          <w:lang w:val="en-AU" w:eastAsia="en-AU"/>
        </w:rPr>
        <w:t>.</w:t>
      </w:r>
    </w:p>
    <w:p w14:paraId="3044D96A" w14:textId="77777777" w:rsidR="00286A88" w:rsidRPr="00286A88" w:rsidRDefault="00286A88" w:rsidP="0047386D">
      <w:pPr>
        <w:rPr>
          <w:lang w:val="en-AU" w:eastAsia="en-AU"/>
        </w:rPr>
      </w:pPr>
      <w:r w:rsidRPr="00286A88">
        <w:rPr>
          <w:lang w:val="en-AU" w:eastAsia="en-AU"/>
        </w:rPr>
        <w:t xml:space="preserve">Dietary deficiency of riboflavin and biotin has been associated with growth retardation, neurological, skeletal and skin abnormalities in turkey poults </w:t>
      </w:r>
      <w:r w:rsidRPr="00286A88">
        <w:rPr>
          <w:noProof/>
          <w:lang w:val="en-AU" w:eastAsia="en-AU"/>
        </w:rPr>
        <w:t>(Hocking et al., 2013)</w:t>
      </w:r>
      <w:r w:rsidRPr="00286A88">
        <w:rPr>
          <w:lang w:val="en-AU" w:eastAsia="en-AU"/>
        </w:rPr>
        <w:t xml:space="preserve">. Peripheral nerve disruption in riboflavin deficient poults ultimately leads to an inability to walk </w:t>
      </w:r>
      <w:r w:rsidRPr="00286A88">
        <w:rPr>
          <w:noProof/>
          <w:lang w:val="en-AU" w:eastAsia="en-AU"/>
        </w:rPr>
        <w:t>(Hocking et al., 2013)</w:t>
      </w:r>
      <w:r w:rsidRPr="00286A88">
        <w:rPr>
          <w:lang w:val="en-AU" w:eastAsia="en-AU"/>
        </w:rPr>
        <w:t xml:space="preserve">. Increasing supplementary biotin when no supplementary riboflavin was provided was associated with a reduction in tibia weight, density, strength and stiffness; all poults fed on diets without supplementary riboflavin were prematurely culled on welfare grounds before the end of the study </w:t>
      </w:r>
      <w:r w:rsidRPr="00286A88">
        <w:rPr>
          <w:noProof/>
          <w:lang w:val="en-AU" w:eastAsia="en-AU"/>
        </w:rPr>
        <w:t>(Hocking et al., 2013)</w:t>
      </w:r>
      <w:r w:rsidRPr="00286A88">
        <w:rPr>
          <w:lang w:val="en-AU" w:eastAsia="en-AU"/>
        </w:rPr>
        <w:t xml:space="preserve">. Biotin supplementation to reduce FPD has shown mixed results and may only be effective if litter quality is also maintained </w:t>
      </w:r>
      <w:r w:rsidRPr="00286A88">
        <w:rPr>
          <w:noProof/>
          <w:lang w:val="en-AU" w:eastAsia="en-AU"/>
        </w:rPr>
        <w:t>(Mayne et al., 2007</w:t>
      </w:r>
      <w:r w:rsidR="00CA0BFD">
        <w:rPr>
          <w:noProof/>
          <w:lang w:val="en-AU" w:eastAsia="en-AU"/>
        </w:rPr>
        <w:t>a</w:t>
      </w:r>
      <w:r w:rsidRPr="00286A88">
        <w:rPr>
          <w:noProof/>
          <w:lang w:val="en-AU" w:eastAsia="en-AU"/>
        </w:rPr>
        <w:t>; Youssef et al., 2012)</w:t>
      </w:r>
      <w:r w:rsidRPr="00286A88">
        <w:rPr>
          <w:lang w:val="en-AU" w:eastAsia="en-AU"/>
        </w:rPr>
        <w:t>.</w:t>
      </w:r>
    </w:p>
    <w:p w14:paraId="5C55897A" w14:textId="77777777" w:rsidR="00286A88" w:rsidRPr="00286A88" w:rsidRDefault="00286A88" w:rsidP="0047386D">
      <w:pPr>
        <w:rPr>
          <w:lang w:val="en-AU" w:eastAsia="en-AU"/>
        </w:rPr>
      </w:pPr>
      <w:r w:rsidRPr="00286A88">
        <w:rPr>
          <w:lang w:val="en-AU" w:eastAsia="en-AU"/>
        </w:rPr>
        <w:t xml:space="preserve">The dietary intake of sodium chloride (salt) needs to be carefully balanced in turkeys; receiving too little can result in reduced tibia strength, while receiving too much can negatively affect caecal metabolism </w:t>
      </w:r>
      <w:r w:rsidRPr="00286A88">
        <w:rPr>
          <w:noProof/>
          <w:lang w:val="en-AU" w:eastAsia="en-AU"/>
        </w:rPr>
        <w:t>(Jankowski et al., 2012c)</w:t>
      </w:r>
      <w:r w:rsidRPr="00286A88">
        <w:rPr>
          <w:lang w:val="en-AU" w:eastAsia="en-AU"/>
        </w:rPr>
        <w:t xml:space="preserve">. Low sodium can also impede growth and feed utilisation </w:t>
      </w:r>
      <w:r w:rsidRPr="00286A88">
        <w:rPr>
          <w:noProof/>
          <w:lang w:val="en-AU" w:eastAsia="en-AU"/>
        </w:rPr>
        <w:t>(Jankowski et al., 2012a).</w:t>
      </w:r>
    </w:p>
    <w:p w14:paraId="58880295" w14:textId="77777777" w:rsidR="00286A88" w:rsidRPr="00286A88" w:rsidRDefault="00286A88" w:rsidP="0047386D">
      <w:pPr>
        <w:rPr>
          <w:lang w:val="en-AU" w:eastAsia="en-AU"/>
        </w:rPr>
      </w:pPr>
      <w:r w:rsidRPr="00286A88">
        <w:rPr>
          <w:lang w:val="en-AU" w:eastAsia="en-AU"/>
        </w:rPr>
        <w:t>These findings highlight the complexity of using diet to address musculoskeletal issues. The interactions that can arise internally between individual nutritional supplements, and externally with environmental factors such as litter quality indicate the potential consequences for the welfare of the turkey should any of these factors be suboptimal or out of balance.</w:t>
      </w:r>
    </w:p>
    <w:p w14:paraId="74D7F23B" w14:textId="77777777" w:rsidR="00286A88" w:rsidRPr="00286A88" w:rsidRDefault="00286A88" w:rsidP="0047386D">
      <w:pPr>
        <w:pStyle w:val="Heading3"/>
        <w:rPr>
          <w:lang w:val="en-AU" w:eastAsia="en-AU"/>
        </w:rPr>
      </w:pPr>
      <w:bookmarkStart w:id="232" w:name="_Toc495310700"/>
      <w:r w:rsidRPr="00286A88">
        <w:rPr>
          <w:lang w:val="en-AU" w:eastAsia="en-AU"/>
        </w:rPr>
        <w:t>T2.3 Free range and organic diets</w:t>
      </w:r>
      <w:bookmarkEnd w:id="232"/>
    </w:p>
    <w:p w14:paraId="1B74B50D" w14:textId="77777777" w:rsidR="00286A88" w:rsidRPr="00286A88" w:rsidRDefault="00286A88" w:rsidP="0047386D">
      <w:pPr>
        <w:rPr>
          <w:lang w:val="en-AU" w:eastAsia="en-AU"/>
        </w:rPr>
      </w:pPr>
      <w:r w:rsidRPr="00286A88">
        <w:rPr>
          <w:lang w:val="en-AU" w:eastAsia="en-AU"/>
        </w:rPr>
        <w:t xml:space="preserve">Turkeys on pasture spend the majority of their time grazing </w:t>
      </w:r>
      <w:r w:rsidRPr="00286A88">
        <w:rPr>
          <w:noProof/>
          <w:lang w:val="en-AU" w:eastAsia="en-AU"/>
        </w:rPr>
        <w:t>(Karabayir et al., 2008). High performing birds such as turkeys can be difficult to feed in organic systems. This is primarily because the restrictions defined by organic production schemes make it very hard to feed the birds the amino acid content they need to support their growth requirements (Zollitsch and Baumung, 2004). Organically grown turkeys deficient in amino acids may display severe growth depression, variable body condition and ultimately feed refusal (Zollitsch and Baumung, 2004). Conventionally fed growing turkeys have their protein needs met through the addition of soybean, potato protein and yeast to their compound feed, but these protein sources are not always available from organic sources and may be perceived as too costly to include if they are available (Zollitsch and Baumung, 2004).</w:t>
      </w:r>
    </w:p>
    <w:p w14:paraId="675271B0" w14:textId="77777777" w:rsidR="00286A88" w:rsidRPr="00286A88" w:rsidRDefault="00286A88" w:rsidP="0047386D">
      <w:pPr>
        <w:pStyle w:val="Heading2"/>
        <w:rPr>
          <w:lang w:val="en-AU" w:eastAsia="en-AU"/>
        </w:rPr>
      </w:pPr>
      <w:bookmarkStart w:id="233" w:name="_Toc495310701"/>
      <w:r w:rsidRPr="00286A88">
        <w:rPr>
          <w:lang w:val="en-AU" w:eastAsia="en-AU"/>
        </w:rPr>
        <w:t>T3. Risk Management</w:t>
      </w:r>
      <w:bookmarkEnd w:id="233"/>
    </w:p>
    <w:p w14:paraId="60E04F18" w14:textId="77777777" w:rsidR="00286A88" w:rsidRPr="0047386D" w:rsidRDefault="00286A88" w:rsidP="0047386D">
      <w:pPr>
        <w:rPr>
          <w:i/>
          <w:lang w:val="en-AU" w:eastAsia="en-AU"/>
        </w:rPr>
      </w:pPr>
      <w:r w:rsidRPr="0047386D">
        <w:rPr>
          <w:i/>
          <w:lang w:val="en-AU" w:eastAsia="en-AU"/>
        </w:rPr>
        <w:t>Farmed turkeys are at risk from numerous sources of welfare compromise. Some of these, for example musculoskeletal disorders, arise from the extreme selection pressures that have been applied to commercial birds for disproportionally large breasts and excessive growth rates. Others may arise due to the way they are managed within the farm system, for example foot pad dermatitis, injurious pecking, and breast blisters and buttons.</w:t>
      </w:r>
    </w:p>
    <w:p w14:paraId="1847239D" w14:textId="77777777" w:rsidR="00286A88" w:rsidRPr="00286A88" w:rsidRDefault="00286A88" w:rsidP="0047386D">
      <w:pPr>
        <w:pStyle w:val="Heading3"/>
        <w:rPr>
          <w:lang w:val="en-AU" w:eastAsia="en-AU"/>
        </w:rPr>
      </w:pPr>
      <w:bookmarkStart w:id="234" w:name="_Toc495310702"/>
      <w:r w:rsidRPr="00286A88">
        <w:rPr>
          <w:lang w:val="en-AU" w:eastAsia="en-AU"/>
        </w:rPr>
        <w:t>T3.1 Mortality</w:t>
      </w:r>
      <w:bookmarkEnd w:id="234"/>
    </w:p>
    <w:p w14:paraId="7C2DF3FB" w14:textId="77777777" w:rsidR="00286A88" w:rsidRPr="00286A88" w:rsidRDefault="00286A88" w:rsidP="0047386D">
      <w:pPr>
        <w:rPr>
          <w:noProof/>
          <w:lang w:val="en-AU" w:eastAsia="en-AU"/>
        </w:rPr>
      </w:pPr>
      <w:r w:rsidRPr="00286A88">
        <w:rPr>
          <w:lang w:val="en-AU" w:eastAsia="en-AU"/>
        </w:rPr>
        <w:t xml:space="preserve">Poult mortality is a costly problem to the turkey industry, particularly for poult suppliers </w:t>
      </w:r>
      <w:r w:rsidRPr="00286A88">
        <w:rPr>
          <w:noProof/>
          <w:lang w:val="en-AU" w:eastAsia="en-AU"/>
        </w:rPr>
        <w:t>(Carver et al., 2000; 2002a)</w:t>
      </w:r>
      <w:r w:rsidRPr="00286A88">
        <w:rPr>
          <w:lang w:val="en-AU" w:eastAsia="en-AU"/>
        </w:rPr>
        <w:t xml:space="preserve">. For the first 14 days of life, the patterns of mortality in hen and tom poult flocks are similar with greater mortality in the first 7 days than in the second week, although the levels of mortality are different with toms experiencing higher mortality levels (median mortality across companies 1.27 to 5.76%) than hens (median mortality across companies 0.98 to 2.11%) by day 13 </w:t>
      </w:r>
      <w:r w:rsidRPr="00286A88">
        <w:rPr>
          <w:noProof/>
          <w:lang w:val="en-AU" w:eastAsia="en-AU"/>
        </w:rPr>
        <w:t>(Carver et al., 2000)</w:t>
      </w:r>
      <w:r w:rsidRPr="00286A88">
        <w:rPr>
          <w:lang w:val="en-AU" w:eastAsia="en-AU"/>
        </w:rPr>
        <w:t xml:space="preserve">. Causes of poult mortality are multifactorial, with effects differing across strains and between sexes and hatcheries amongst other factors, making addressing these issues a complex task </w:t>
      </w:r>
      <w:r w:rsidRPr="00286A88">
        <w:rPr>
          <w:noProof/>
          <w:lang w:val="en-AU" w:eastAsia="en-AU"/>
        </w:rPr>
        <w:t>(Carver et al., 2000).</w:t>
      </w:r>
    </w:p>
    <w:p w14:paraId="09F5DBFF" w14:textId="77777777" w:rsidR="00286A88" w:rsidRPr="00286A88" w:rsidRDefault="00286A88" w:rsidP="0047386D">
      <w:pPr>
        <w:pStyle w:val="Heading3"/>
        <w:rPr>
          <w:lang w:val="en-AU" w:eastAsia="en-AU"/>
        </w:rPr>
      </w:pPr>
      <w:bookmarkStart w:id="235" w:name="_Toc495310703"/>
      <w:r w:rsidRPr="00286A88">
        <w:rPr>
          <w:lang w:val="en-AU" w:eastAsia="en-AU"/>
        </w:rPr>
        <w:t>T3.2 Causes of mortality</w:t>
      </w:r>
      <w:bookmarkEnd w:id="235"/>
    </w:p>
    <w:p w14:paraId="38058A32" w14:textId="77777777" w:rsidR="00286A88" w:rsidRPr="00286A88" w:rsidRDefault="00286A88" w:rsidP="0047386D">
      <w:pPr>
        <w:rPr>
          <w:lang w:val="en-AU" w:eastAsia="en-AU"/>
        </w:rPr>
      </w:pPr>
      <w:r w:rsidRPr="00286A88">
        <w:rPr>
          <w:lang w:val="en-AU" w:eastAsia="en-AU"/>
        </w:rPr>
        <w:t xml:space="preserve">One observational study identified hatchery associated risk factors for poult mortality </w:t>
      </w:r>
      <w:r w:rsidRPr="00286A88">
        <w:rPr>
          <w:noProof/>
          <w:lang w:val="en-AU" w:eastAsia="en-AU"/>
        </w:rPr>
        <w:t>(Carver et al., 2002a)</w:t>
      </w:r>
      <w:r w:rsidRPr="00286A88">
        <w:rPr>
          <w:lang w:val="en-AU" w:eastAsia="en-AU"/>
        </w:rPr>
        <w:t xml:space="preserve">. For hen flocks mortality risk factors included the truck on which poults were shipped, truck temperature (low temperatures increasing the odds of mortality) and the number of poults dead on arrival at the placement farm (higher odds of mortality associated with higher numbers of dead on arrival) </w:t>
      </w:r>
      <w:r w:rsidRPr="00286A88">
        <w:rPr>
          <w:noProof/>
          <w:lang w:val="en-AU" w:eastAsia="en-AU"/>
        </w:rPr>
        <w:t>(Carver et al., 2002a)</w:t>
      </w:r>
      <w:r w:rsidRPr="00286A88">
        <w:rPr>
          <w:lang w:val="en-AU" w:eastAsia="en-AU"/>
        </w:rPr>
        <w:t xml:space="preserve">. In contrast, risk factors for tom flocks included desnooding (lower risk associated with birds with snoods removed), truck temperature and shipping time (an increase of both temperature and time associated with higher odds of mortality), and weather conditions at placement (placement during icy weather reduced the odds of mortality, while placement on a cloudy day raised them </w:t>
      </w:r>
      <w:r w:rsidRPr="00286A88">
        <w:rPr>
          <w:noProof/>
          <w:lang w:val="en-AU" w:eastAsia="en-AU"/>
        </w:rPr>
        <w:t>(Carver et al., 2002a)</w:t>
      </w:r>
      <w:r w:rsidRPr="00286A88">
        <w:rPr>
          <w:lang w:val="en-AU" w:eastAsia="en-AU"/>
        </w:rPr>
        <w:t>. Intervention studies are required to fully understand and interpret these complex relationships.</w:t>
      </w:r>
    </w:p>
    <w:p w14:paraId="479381B8" w14:textId="77777777" w:rsidR="00286A88" w:rsidRPr="00286A88" w:rsidRDefault="00286A88" w:rsidP="0047386D">
      <w:pPr>
        <w:pStyle w:val="Heading3"/>
        <w:rPr>
          <w:lang w:val="en-AU" w:eastAsia="en-AU"/>
        </w:rPr>
      </w:pPr>
      <w:bookmarkStart w:id="236" w:name="_Toc495310704"/>
      <w:r w:rsidRPr="00286A88">
        <w:rPr>
          <w:lang w:val="en-AU" w:eastAsia="en-AU"/>
        </w:rPr>
        <w:t>T3.3 Musculoskeletal disorders</w:t>
      </w:r>
      <w:bookmarkEnd w:id="236"/>
      <w:r w:rsidRPr="00286A88">
        <w:rPr>
          <w:lang w:val="en-AU" w:eastAsia="en-AU"/>
        </w:rPr>
        <w:t xml:space="preserve"> </w:t>
      </w:r>
    </w:p>
    <w:p w14:paraId="00E45CB8" w14:textId="77777777" w:rsidR="00286A88" w:rsidRPr="00286A88" w:rsidRDefault="00286A88" w:rsidP="0047386D">
      <w:pPr>
        <w:pStyle w:val="Heading41"/>
      </w:pPr>
      <w:r w:rsidRPr="00286A88">
        <w:t>T3.3a Musculoskeletal disorders and growth</w:t>
      </w:r>
    </w:p>
    <w:p w14:paraId="53C5AF65" w14:textId="77777777" w:rsidR="00286A88" w:rsidRPr="00286A88" w:rsidRDefault="00286A88" w:rsidP="0047386D">
      <w:pPr>
        <w:rPr>
          <w:lang w:val="en-AU" w:eastAsia="en-AU"/>
        </w:rPr>
      </w:pPr>
      <w:r w:rsidRPr="00286A88">
        <w:rPr>
          <w:lang w:val="en-AU" w:eastAsia="en-AU"/>
        </w:rPr>
        <w:t xml:space="preserve">The bodyweight of modern broad-breasted turkeys increases considerably within a very short space of time during the growing period (see T1.1), with a disproportionate increase in the breast muscles (Buchwalder and Huber-Eicher, 2005b). This high growth rate has been associated with an increased incidence of musculoskeletal and other structural and physiological imbalances in modern commercial breeds </w:t>
      </w:r>
      <w:r w:rsidRPr="00286A88">
        <w:rPr>
          <w:noProof/>
          <w:lang w:val="en-AU" w:eastAsia="en-AU"/>
        </w:rPr>
        <w:t>(Da Costa et al., 2014)</w:t>
      </w:r>
      <w:r w:rsidRPr="00286A88">
        <w:rPr>
          <w:lang w:val="en-AU" w:eastAsia="en-AU"/>
        </w:rPr>
        <w:t xml:space="preserve">, as the selection for higher body mass has been made without the corresponding increases in musculoskeletal integrity </w:t>
      </w:r>
      <w:r w:rsidRPr="00286A88">
        <w:rPr>
          <w:noProof/>
          <w:lang w:val="en-AU" w:eastAsia="en-AU"/>
        </w:rPr>
        <w:t>(Dalton et al., 2016)</w:t>
      </w:r>
      <w:r w:rsidRPr="00286A88">
        <w:rPr>
          <w:lang w:val="en-AU" w:eastAsia="en-AU"/>
        </w:rPr>
        <w:t xml:space="preserve">. Due to their faster growth rate and heavier final weights, toms are more greatly impacted by growth related disorders then turkey hens </w:t>
      </w:r>
      <w:r w:rsidRPr="00286A88">
        <w:rPr>
          <w:noProof/>
          <w:lang w:val="en-AU" w:eastAsia="en-AU"/>
        </w:rPr>
        <w:t>(Vermette et al., 2016)</w:t>
      </w:r>
      <w:r w:rsidRPr="00286A88">
        <w:rPr>
          <w:lang w:val="en-AU" w:eastAsia="en-AU"/>
        </w:rPr>
        <w:t>. Male turkeys show a biphasic pattern of growth caused by the differential growth of different organs (bone and tissue in the first phase, and mainly muscle tissue and the reproductive systems in the second (Hurwitz et al., 1991, cited by Yahav et al., 2008).</w:t>
      </w:r>
    </w:p>
    <w:p w14:paraId="61E6AA81" w14:textId="77777777" w:rsidR="00286A88" w:rsidRPr="00286A88" w:rsidRDefault="00286A88" w:rsidP="0047386D">
      <w:pPr>
        <w:rPr>
          <w:lang w:val="en-AU" w:eastAsia="en-AU"/>
        </w:rPr>
      </w:pPr>
      <w:r w:rsidRPr="00286A88">
        <w:rPr>
          <w:lang w:val="en-AU" w:eastAsia="en-AU"/>
        </w:rPr>
        <w:t xml:space="preserve">Disorders of the skeletal system in turkeys cause significant economic losses and impact on the bird’s quality of life </w:t>
      </w:r>
      <w:r w:rsidRPr="00286A88">
        <w:rPr>
          <w:noProof/>
          <w:lang w:val="en-AU" w:eastAsia="en-AU"/>
        </w:rPr>
        <w:t>(</w:t>
      </w:r>
      <w:r w:rsidR="00446673" w:rsidRPr="00446673">
        <w:rPr>
          <w:noProof/>
          <w:lang w:val="en-AU" w:eastAsia="en-AU"/>
        </w:rPr>
        <w:t>Özkan</w:t>
      </w:r>
      <w:r w:rsidRPr="00286A88">
        <w:rPr>
          <w:noProof/>
          <w:lang w:val="en-AU" w:eastAsia="en-AU"/>
        </w:rPr>
        <w:t xml:space="preserve"> et al., 2012)</w:t>
      </w:r>
      <w:r w:rsidRPr="00286A88">
        <w:rPr>
          <w:lang w:val="en-AU" w:eastAsia="en-AU"/>
        </w:rPr>
        <w:t xml:space="preserve">. The proper function of the skeletal system plays an essential role in animal welfare </w:t>
      </w:r>
      <w:r w:rsidRPr="00286A88">
        <w:rPr>
          <w:noProof/>
          <w:lang w:val="en-AU" w:eastAsia="en-AU"/>
        </w:rPr>
        <w:t>(Tatara et al., 2006)</w:t>
      </w:r>
      <w:r w:rsidRPr="00286A88">
        <w:rPr>
          <w:lang w:val="en-AU" w:eastAsia="en-AU"/>
        </w:rPr>
        <w:t xml:space="preserve">. Leg problems, including lameness, bone developmental disorders and bone breakage, are a primary concern for turkey producers worldwide </w:t>
      </w:r>
      <w:r w:rsidRPr="00286A88">
        <w:rPr>
          <w:noProof/>
          <w:lang w:val="en-AU" w:eastAsia="en-AU"/>
        </w:rPr>
        <w:t>(Ferket et al., 2009)</w:t>
      </w:r>
      <w:r w:rsidRPr="00286A88">
        <w:rPr>
          <w:lang w:val="en-AU" w:eastAsia="en-AU"/>
        </w:rPr>
        <w:t xml:space="preserve">. The change in body conformation as modern commercial turkeys have been selectively bred for large breast muscles has shifted their centre of gravity forward, affecting gait and subjecting the femur and tibia bones to considerable stress and strain, affecting bone development (growth and mineralisation) and increasing the risk of fractures </w:t>
      </w:r>
      <w:r w:rsidRPr="00286A88">
        <w:rPr>
          <w:noProof/>
          <w:lang w:val="en-AU" w:eastAsia="en-AU"/>
        </w:rPr>
        <w:t>(Tatara et al., 2006; Ferket et al., 2009)</w:t>
      </w:r>
      <w:r w:rsidRPr="00286A88">
        <w:rPr>
          <w:lang w:val="en-AU" w:eastAsia="en-AU"/>
        </w:rPr>
        <w:t>. In the mid-1960s the market weight of a 16 week old turkey was 6</w:t>
      </w:r>
      <w:r w:rsidR="00456E7E">
        <w:rPr>
          <w:lang w:val="en-AU" w:eastAsia="en-AU"/>
        </w:rPr>
        <w:t xml:space="preserve"> </w:t>
      </w:r>
      <w:r w:rsidRPr="00286A88">
        <w:rPr>
          <w:lang w:val="en-AU" w:eastAsia="en-AU"/>
        </w:rPr>
        <w:t xml:space="preserve">kg, this increased to nearly 13 kg by the end of the 1990s and by the mid 2000s market weight of commercial toms could exceed 26 kg </w:t>
      </w:r>
      <w:r w:rsidRPr="00286A88">
        <w:rPr>
          <w:noProof/>
          <w:lang w:val="en-AU" w:eastAsia="en-AU"/>
        </w:rPr>
        <w:t>(Tatara et al., 2006)</w:t>
      </w:r>
      <w:r w:rsidRPr="00286A88">
        <w:rPr>
          <w:lang w:val="en-AU" w:eastAsia="en-AU"/>
        </w:rPr>
        <w:t xml:space="preserve">. In the past decade, breeding goals appear to have been adjusted with a reduced focus on further increases </w:t>
      </w:r>
      <w:r w:rsidR="00456E7E">
        <w:rPr>
          <w:lang w:val="en-AU" w:eastAsia="en-AU"/>
        </w:rPr>
        <w:t xml:space="preserve">in </w:t>
      </w:r>
      <w:r w:rsidRPr="00286A88">
        <w:rPr>
          <w:lang w:val="en-AU" w:eastAsia="en-AU"/>
        </w:rPr>
        <w:t>target weights (see T1.1) but more emphasis on other factors such as feed efficiency.</w:t>
      </w:r>
    </w:p>
    <w:p w14:paraId="692802FC" w14:textId="77777777" w:rsidR="00286A88" w:rsidRPr="00286A88" w:rsidRDefault="00286A88" w:rsidP="0047386D">
      <w:pPr>
        <w:pStyle w:val="Heading41"/>
      </w:pPr>
      <w:r w:rsidRPr="00286A88">
        <w:t>T3.3b Musculoskeletal disorders and lameness</w:t>
      </w:r>
    </w:p>
    <w:p w14:paraId="3F075B82" w14:textId="77777777" w:rsidR="00286A88" w:rsidRPr="00286A88" w:rsidRDefault="00286A88" w:rsidP="0047386D">
      <w:pPr>
        <w:rPr>
          <w:sz w:val="24"/>
          <w:szCs w:val="24"/>
          <w:lang w:val="en-AU" w:eastAsia="en-AU"/>
        </w:rPr>
      </w:pPr>
      <w:r w:rsidRPr="00286A88">
        <w:rPr>
          <w:lang w:val="en-AU" w:eastAsia="en-AU"/>
        </w:rPr>
        <w:t xml:space="preserve">In commercial flocks, lameness is a leading cause of reduced productivity and welfare </w:t>
      </w:r>
      <w:r w:rsidRPr="00286A88">
        <w:rPr>
          <w:noProof/>
          <w:lang w:val="en-AU" w:eastAsia="en-AU"/>
        </w:rPr>
        <w:t>(Dalton et al., 2016)</w:t>
      </w:r>
      <w:r w:rsidRPr="00286A88">
        <w:rPr>
          <w:lang w:val="en-AU" w:eastAsia="en-AU"/>
        </w:rPr>
        <w:t>. As turkeys age, their activity levels decrease and their time-budget changes, thought to be due in part to increasing musculoskeletal weakness (Sherwin and Kelland, 1998). There are numerous musculoskeletal disorders that can lead to impaired movement and lameness in turkeys</w:t>
      </w:r>
      <w:r w:rsidR="00456E7E">
        <w:rPr>
          <w:lang w:val="en-AU" w:eastAsia="en-AU"/>
        </w:rPr>
        <w:t>;</w:t>
      </w:r>
      <w:r w:rsidRPr="00286A88">
        <w:rPr>
          <w:lang w:val="en-AU" w:eastAsia="en-AU"/>
        </w:rPr>
        <w:t xml:space="preserve"> these include crooked/deviated toes, inflamed or infected leg joints, fractures and deformities of the leg bone and associated cartilage, tissue lesions and contact dermatitis of the hocks or foot pads </w:t>
      </w:r>
      <w:r w:rsidRPr="00286A88">
        <w:rPr>
          <w:noProof/>
          <w:lang w:val="en-AU" w:eastAsia="en-AU"/>
        </w:rPr>
        <w:t>(Dalton et al., 2016)</w:t>
      </w:r>
      <w:r w:rsidRPr="00286A88">
        <w:rPr>
          <w:lang w:val="en-AU" w:eastAsia="en-AU"/>
        </w:rPr>
        <w:t>. The genetic contribution to these problems was highlighted in a study by Eusebio-Balcazar et al. (2015). Four strains of turkeys (two proprietary Aviagen lines, and two commercial strains, Nicholas 85 and Nicholas 88) were examined for differences in long bone development. Each strain had different leg problems ranging from twisted legs, to valgus and crooked toes, but the gait scores among the strains at 15 and 18 weeks were not different.</w:t>
      </w:r>
    </w:p>
    <w:p w14:paraId="184E5B87" w14:textId="77777777" w:rsidR="00286A88" w:rsidRPr="00286A88" w:rsidRDefault="00286A88" w:rsidP="0047386D">
      <w:pPr>
        <w:rPr>
          <w:lang w:val="en-AU" w:eastAsia="en-AU"/>
        </w:rPr>
      </w:pPr>
      <w:r w:rsidRPr="00286A88">
        <w:rPr>
          <w:lang w:val="en-AU" w:eastAsia="en-AU"/>
        </w:rPr>
        <w:t xml:space="preserve">A comparison of the behaviour of birds treated with the analgesic butorphanol and control birds found that treated birds spent significantly more time putting weight on their legs than control birds which spent more than half the observation time lying on the floor (Buchwalder and Huber-Eicher, 2005b). This and other evidence suggests that affected turkeys are likely to experience chronic pain </w:t>
      </w:r>
      <w:r w:rsidRPr="00286A88">
        <w:rPr>
          <w:noProof/>
          <w:lang w:val="en-AU" w:eastAsia="en-AU"/>
        </w:rPr>
        <w:t>(Dalton et al., 2016)</w:t>
      </w:r>
      <w:r w:rsidRPr="00286A88">
        <w:rPr>
          <w:lang w:val="en-AU" w:eastAsia="en-AU"/>
        </w:rPr>
        <w:t xml:space="preserve"> and compromised access to resources such as food and water </w:t>
      </w:r>
      <w:r w:rsidRPr="00286A88">
        <w:rPr>
          <w:noProof/>
          <w:lang w:val="en-AU" w:eastAsia="en-AU"/>
        </w:rPr>
        <w:t>(Vermette et al., 2016)</w:t>
      </w:r>
      <w:r w:rsidRPr="00286A88">
        <w:rPr>
          <w:lang w:val="en-AU" w:eastAsia="en-AU"/>
        </w:rPr>
        <w:t>.</w:t>
      </w:r>
    </w:p>
    <w:p w14:paraId="111A0098" w14:textId="77777777" w:rsidR="00286A88" w:rsidRPr="00286A88" w:rsidRDefault="00286A88" w:rsidP="0047386D">
      <w:pPr>
        <w:pStyle w:val="Heading41"/>
      </w:pPr>
      <w:r w:rsidRPr="00286A88">
        <w:t>T3.3c Tibial dyschondroplasia (TD)</w:t>
      </w:r>
    </w:p>
    <w:p w14:paraId="2D9583B0" w14:textId="77777777" w:rsidR="00286A88" w:rsidRPr="00286A88" w:rsidRDefault="00286A88" w:rsidP="0047386D">
      <w:pPr>
        <w:rPr>
          <w:lang w:val="en-AU" w:eastAsia="en-AU"/>
        </w:rPr>
      </w:pPr>
      <w:r w:rsidRPr="00286A88">
        <w:rPr>
          <w:lang w:val="en-AU" w:eastAsia="en-AU"/>
        </w:rPr>
        <w:t xml:space="preserve">Tibial dyschondroplasia (TD) is a metabolic disease affecting the growth of bone and cartilage in young poultry. There is evidence that TD can be widespread within a flock without being visible through gait abnormalities </w:t>
      </w:r>
      <w:r w:rsidRPr="00286A88">
        <w:rPr>
          <w:noProof/>
          <w:lang w:val="en-AU" w:eastAsia="en-AU"/>
        </w:rPr>
        <w:t>(Hocking et al., 2002)</w:t>
      </w:r>
      <w:r w:rsidRPr="00286A88">
        <w:rPr>
          <w:lang w:val="en-AU" w:eastAsia="en-AU"/>
        </w:rPr>
        <w:t xml:space="preserve">. Experimentally, TD was rare in poults from a commercial heavy male line prior to 10 weeks of age, but incidence increased to 71% by 13 weeks, with the most severe lesions and highest TD incidence in those birds fed diets most closely resembling the calcium and phosphorus concentrations of commercial rations </w:t>
      </w:r>
      <w:r w:rsidRPr="00286A88">
        <w:rPr>
          <w:noProof/>
          <w:lang w:val="en-AU" w:eastAsia="en-AU"/>
        </w:rPr>
        <w:t>(Hocking et al., 2002)</w:t>
      </w:r>
      <w:r w:rsidRPr="00286A88">
        <w:rPr>
          <w:lang w:val="en-AU" w:eastAsia="en-AU"/>
        </w:rPr>
        <w:t xml:space="preserve">. The relevance of high TD incidence on the welfare of turkey requires further investigation. The absence of visible gait abnormalities may reflect limitations in the assessments used </w:t>
      </w:r>
      <w:r w:rsidRPr="00286A88">
        <w:rPr>
          <w:noProof/>
          <w:lang w:val="en-AU" w:eastAsia="en-AU"/>
        </w:rPr>
        <w:t>(Hocking et al.,</w:t>
      </w:r>
      <w:r w:rsidRPr="00286A88" w:rsidDel="000A11E2">
        <w:rPr>
          <w:noProof/>
          <w:lang w:val="en-AU" w:eastAsia="en-AU"/>
        </w:rPr>
        <w:t xml:space="preserve"> </w:t>
      </w:r>
      <w:r w:rsidRPr="00286A88">
        <w:rPr>
          <w:noProof/>
          <w:lang w:val="en-AU" w:eastAsia="en-AU"/>
        </w:rPr>
        <w:t>2002)</w:t>
      </w:r>
      <w:r w:rsidRPr="00286A88">
        <w:rPr>
          <w:lang w:val="en-AU" w:eastAsia="en-AU"/>
        </w:rPr>
        <w:t>. Furthermore, evidence suggests that TD lesions function as foci for the development of osteomyelitis (Wyers et al., 1991, cited by Hocking et al., 2002)</w:t>
      </w:r>
      <w:r w:rsidR="00456E7E">
        <w:rPr>
          <w:lang w:val="en-AU" w:eastAsia="en-AU"/>
        </w:rPr>
        <w:t>,</w:t>
      </w:r>
      <w:r w:rsidRPr="00286A88">
        <w:rPr>
          <w:lang w:val="en-AU" w:eastAsia="en-AU"/>
        </w:rPr>
        <w:t xml:space="preserve"> a common cause of long bone necrosis in turkeys.</w:t>
      </w:r>
    </w:p>
    <w:p w14:paraId="5BE9C0D1" w14:textId="77777777" w:rsidR="00286A88" w:rsidRPr="00286A88" w:rsidRDefault="00286A88" w:rsidP="0047386D">
      <w:pPr>
        <w:pStyle w:val="Heading3"/>
        <w:rPr>
          <w:lang w:val="en-AU" w:eastAsia="en-AU"/>
        </w:rPr>
      </w:pPr>
      <w:bookmarkStart w:id="237" w:name="_Toc495310705"/>
      <w:r w:rsidRPr="00286A88">
        <w:rPr>
          <w:lang w:val="en-AU" w:eastAsia="en-AU"/>
        </w:rPr>
        <w:t>T3.4 Injurious (severe) feather pecking</w:t>
      </w:r>
      <w:bookmarkEnd w:id="237"/>
    </w:p>
    <w:p w14:paraId="3196EF83" w14:textId="77777777" w:rsidR="00286A88" w:rsidRPr="00286A88" w:rsidRDefault="00286A88" w:rsidP="0047386D">
      <w:pPr>
        <w:rPr>
          <w:lang w:val="en-AU" w:eastAsia="en-AU"/>
        </w:rPr>
      </w:pPr>
      <w:r w:rsidRPr="00286A88">
        <w:rPr>
          <w:lang w:val="en-AU" w:eastAsia="en-AU"/>
        </w:rPr>
        <w:t xml:space="preserve">In contrast to the body of information available on injurious pecking in laying hen (see LH3.5), far less information exists on feather and head pecking in turkey flocks, particularly in a commercial setting </w:t>
      </w:r>
      <w:r w:rsidRPr="00286A88">
        <w:rPr>
          <w:noProof/>
          <w:lang w:val="en-AU" w:eastAsia="en-AU"/>
        </w:rPr>
        <w:t>(Duggan et al., 2014)</w:t>
      </w:r>
      <w:r w:rsidRPr="00286A88">
        <w:rPr>
          <w:lang w:val="en-AU" w:eastAsia="en-AU"/>
        </w:rPr>
        <w:t xml:space="preserve">. Injurious pecking in turkeys can be classified into three distinct forms: head pecking, severe feather pecking and cannibalism based on how these behaviours differ in their development, causation and targeted areas </w:t>
      </w:r>
      <w:r w:rsidRPr="00286A88">
        <w:rPr>
          <w:noProof/>
          <w:lang w:val="en-AU" w:eastAsia="en-AU"/>
        </w:rPr>
        <w:t>(Dalton et al., 2016)</w:t>
      </w:r>
      <w:r w:rsidRPr="00286A88">
        <w:rPr>
          <w:lang w:val="en-AU" w:eastAsia="en-AU"/>
        </w:rPr>
        <w:t xml:space="preserve">. Head pecking is typically directed at the head, snood and neck of the targeted turkey and is considered an act of aggression </w:t>
      </w:r>
      <w:r w:rsidRPr="00286A88">
        <w:rPr>
          <w:noProof/>
          <w:lang w:val="en-AU" w:eastAsia="en-AU"/>
        </w:rPr>
        <w:t>(Buchwalder and Huber-Eicher, 2003; Duggan et al., 2014</w:t>
      </w:r>
      <w:r w:rsidR="00456E7E">
        <w:rPr>
          <w:noProof/>
          <w:lang w:val="en-AU" w:eastAsia="en-AU"/>
        </w:rPr>
        <w:t>; Dalton et al., 2016</w:t>
      </w:r>
      <w:r w:rsidRPr="00286A88">
        <w:rPr>
          <w:noProof/>
          <w:lang w:val="en-AU" w:eastAsia="en-AU"/>
        </w:rPr>
        <w:t>)</w:t>
      </w:r>
      <w:r w:rsidRPr="00286A88">
        <w:rPr>
          <w:lang w:val="en-AU" w:eastAsia="en-AU"/>
        </w:rPr>
        <w:t xml:space="preserve"> (see T3.5 and T4.5). Severe feather pecking and cannibalism are thought to have a different aetiology, representing re-directed foraging due to a lack of environmental complexity </w:t>
      </w:r>
      <w:r w:rsidRPr="00286A88">
        <w:rPr>
          <w:noProof/>
          <w:lang w:val="en-AU" w:eastAsia="en-AU"/>
        </w:rPr>
        <w:t>(Martrenchar, 1999; Sherwin et al., 1999; Duggan et al., 2014; Dalton et al., 2016)</w:t>
      </w:r>
      <w:r w:rsidRPr="00286A88">
        <w:rPr>
          <w:lang w:val="en-AU" w:eastAsia="en-AU"/>
        </w:rPr>
        <w:t>. It has been suggested that both feather pecking and cannibalism occur due to deficiencies of the environment in which turkeys are housed and their inherent tendency to peck (Dalton et al., 2013). Environmental deficiencies, for example a lack of appropriate substrate for foraging or investigating, nutritionally unsuitable diet or inappropriate feed form, mean that the turkeys are unable to perform their full behavioural repertoire (Dalton et al., 2013) and their motivation to peck is redirected.</w:t>
      </w:r>
    </w:p>
    <w:p w14:paraId="066F496A" w14:textId="77777777" w:rsidR="00286A88" w:rsidRPr="00286A88" w:rsidRDefault="00286A88" w:rsidP="0047386D">
      <w:pPr>
        <w:rPr>
          <w:lang w:val="en-AU" w:eastAsia="en-AU"/>
        </w:rPr>
      </w:pPr>
      <w:r w:rsidRPr="00286A88">
        <w:rPr>
          <w:lang w:val="en-AU" w:eastAsia="en-AU"/>
        </w:rPr>
        <w:t xml:space="preserve">Feather pecking that results in significant bodily injury resulting in carcase damage or downgrading or even death is a significant economic and welfare problem in the commercial turkey sector </w:t>
      </w:r>
      <w:r w:rsidRPr="00286A88">
        <w:rPr>
          <w:noProof/>
          <w:lang w:val="en-AU" w:eastAsia="en-AU"/>
        </w:rPr>
        <w:t>(Busayi et al., 2006)</w:t>
      </w:r>
      <w:r w:rsidRPr="00286A88">
        <w:rPr>
          <w:lang w:val="en-AU" w:eastAsia="en-AU"/>
        </w:rPr>
        <w:t xml:space="preserve">. There appears to be a sex difference, with female birds showing a reduced prevalence of this behaviour in comparison with male birds </w:t>
      </w:r>
      <w:r w:rsidRPr="00286A88">
        <w:rPr>
          <w:noProof/>
          <w:lang w:val="en-AU" w:eastAsia="en-AU"/>
        </w:rPr>
        <w:t>(Busayi et al., 2006)</w:t>
      </w:r>
      <w:r w:rsidRPr="00286A88">
        <w:rPr>
          <w:lang w:val="en-AU" w:eastAsia="en-AU"/>
        </w:rPr>
        <w:t>.</w:t>
      </w:r>
    </w:p>
    <w:p w14:paraId="76600C4B" w14:textId="77777777" w:rsidR="00286A88" w:rsidRPr="00286A88" w:rsidRDefault="00286A88" w:rsidP="0047386D">
      <w:pPr>
        <w:rPr>
          <w:lang w:val="en-AU" w:eastAsia="en-AU"/>
        </w:rPr>
      </w:pPr>
      <w:r w:rsidRPr="00286A88">
        <w:rPr>
          <w:lang w:val="en-AU" w:eastAsia="en-AU"/>
        </w:rPr>
        <w:t>The relationship between the lighting environment of farmed turkeys and injurious pecking is complex. Turkey poults have plumage markings that are visible under UV light. The age and sites at which these marks first occur corresponds to the onset and location of pecking commonly observed amongst commercial turkey poults, leading to the hypothesis that the restrictions in the birds’ lighting environment (see T7.1) and hence their distorted perception of these markings has led to the development of this behaviour (Sherwin and Devereux, 1999). The intensity of the light environment as well as its spectral range may also have an influence on feather pecking. Commercial turkeys are typically maintained at low light intensities to reduce the risk of feather pecking which is observed at greater levels in birds exposed to daylight or bright artificial lighting (Barber et al., 2004). However, effective enrichments can reduce the incidence of injurious pecking even when turkeys are kept under fluorescent lights at 10 lux (Moinard et al., 2001).</w:t>
      </w:r>
    </w:p>
    <w:p w14:paraId="5DC4A091" w14:textId="77777777" w:rsidR="00286A88" w:rsidRPr="00286A88" w:rsidRDefault="00286A88" w:rsidP="0047386D">
      <w:pPr>
        <w:rPr>
          <w:lang w:val="en-AU" w:eastAsia="en-AU"/>
        </w:rPr>
      </w:pPr>
      <w:r w:rsidRPr="00286A88">
        <w:rPr>
          <w:lang w:val="en-AU" w:eastAsia="en-AU"/>
        </w:rPr>
        <w:t xml:space="preserve">There is an intriguing relationship between feather pecking propensity and genetic line. One study found a higher level of strong feather pecks and pulls in a traditional line than a selected male line, however, there were no injuries in the traditional birds in contrast to the selected line </w:t>
      </w:r>
      <w:r w:rsidRPr="00286A88">
        <w:rPr>
          <w:noProof/>
          <w:lang w:val="en-AU" w:eastAsia="en-AU"/>
        </w:rPr>
        <w:t>(Busayi et al., 2006)</w:t>
      </w:r>
      <w:r w:rsidRPr="00286A88">
        <w:rPr>
          <w:lang w:val="en-AU" w:eastAsia="en-AU"/>
        </w:rPr>
        <w:t xml:space="preserve">. This indicates that traditional birds are physically and/or behaviourally more able to cope with the threat of feather pecking either through their feathers being harder to remove or break, or by moving away from the pecking bird or submitting to it more quickly </w:t>
      </w:r>
      <w:r w:rsidRPr="00286A88">
        <w:rPr>
          <w:noProof/>
          <w:lang w:val="en-AU" w:eastAsia="en-AU"/>
        </w:rPr>
        <w:t>(Busayi et al., 2006).</w:t>
      </w:r>
    </w:p>
    <w:p w14:paraId="5B50B650" w14:textId="77777777" w:rsidR="00286A88" w:rsidRPr="00286A88" w:rsidRDefault="00286A88" w:rsidP="0047386D">
      <w:pPr>
        <w:rPr>
          <w:lang w:val="en-AU" w:eastAsia="en-AU"/>
        </w:rPr>
      </w:pPr>
      <w:r w:rsidRPr="00286A88">
        <w:rPr>
          <w:lang w:val="en-AU" w:eastAsia="en-AU"/>
        </w:rPr>
        <w:t>As discussed in T2.1, investigations of the relationship between dietary factors and feather pecking in turkeys has revealed correlations between diet form, frequency and content, and feather pecking behaviour (Dalton et al., 2013). But the discrepancies between studies demonstrate the importance of providing dietary forage and foraging opportunities in an appropriate format for the turkeys or no improvement in feather pecking is seen (Sherwin et al., 1999; Dalton et al., 2013).</w:t>
      </w:r>
    </w:p>
    <w:p w14:paraId="426EFA85" w14:textId="77777777" w:rsidR="00286A88" w:rsidRPr="00286A88" w:rsidRDefault="00286A88" w:rsidP="0047386D">
      <w:pPr>
        <w:rPr>
          <w:lang w:val="en-AU" w:eastAsia="en-AU"/>
        </w:rPr>
      </w:pPr>
      <w:r w:rsidRPr="00286A88">
        <w:rPr>
          <w:lang w:val="en-AU" w:eastAsia="en-AU"/>
        </w:rPr>
        <w:t xml:space="preserve">Limited information on the use of environmental enrichment to reduce feather pecking in turkeys exists </w:t>
      </w:r>
      <w:r w:rsidR="00CA0BFD">
        <w:rPr>
          <w:noProof/>
          <w:lang w:val="en-AU" w:eastAsia="en-AU"/>
        </w:rPr>
        <w:t>(Duggan et al., 2014</w:t>
      </w:r>
      <w:r w:rsidRPr="00286A88">
        <w:rPr>
          <w:noProof/>
          <w:lang w:val="en-AU" w:eastAsia="en-AU"/>
        </w:rPr>
        <w:t>)</w:t>
      </w:r>
      <w:r w:rsidRPr="00286A88">
        <w:rPr>
          <w:lang w:val="en-AU" w:eastAsia="en-AU"/>
        </w:rPr>
        <w:t xml:space="preserve">. If used, the success of such enrichment may be dependent on the novelty of the item and the age at which it is introduced; turkey poults as young as 2-4 weeks of age have been observed with pecking injuries suggesting that providing enrichment to poults rather than in the grower barns may be more effective </w:t>
      </w:r>
      <w:r w:rsidRPr="00286A88">
        <w:rPr>
          <w:noProof/>
          <w:lang w:val="en-AU" w:eastAsia="en-AU"/>
        </w:rPr>
        <w:t>(Duggan et al., 2014)</w:t>
      </w:r>
      <w:r w:rsidRPr="00286A88">
        <w:rPr>
          <w:lang w:val="en-AU" w:eastAsia="en-AU"/>
        </w:rPr>
        <w:t xml:space="preserve">. One study did not detect a reduction of pecking straw and enrichment objects with age, suggesting that changing enrichment items to maintain novelty, and consequently attract redirected pecks, is not always necessary </w:t>
      </w:r>
      <w:r w:rsidRPr="00286A88">
        <w:rPr>
          <w:noProof/>
          <w:lang w:val="en-AU" w:eastAsia="en-AU"/>
        </w:rPr>
        <w:t>(Martrenchar et al., 2001)</w:t>
      </w:r>
      <w:r w:rsidRPr="00286A88">
        <w:rPr>
          <w:lang w:val="en-AU" w:eastAsia="en-AU"/>
        </w:rPr>
        <w:t xml:space="preserve">. The studies that have been conducted suggest that providing environmental enrichment can improve turkey well-being through a reduction of injurious pecking activity </w:t>
      </w:r>
      <w:r w:rsidRPr="00286A88">
        <w:rPr>
          <w:noProof/>
          <w:lang w:val="en-AU" w:eastAsia="en-AU"/>
        </w:rPr>
        <w:t>(Martrenchar et al., 2001)</w:t>
      </w:r>
      <w:r w:rsidRPr="00286A88">
        <w:rPr>
          <w:lang w:val="en-AU" w:eastAsia="en-AU"/>
        </w:rPr>
        <w:t>.</w:t>
      </w:r>
    </w:p>
    <w:p w14:paraId="368DA9E4" w14:textId="77777777" w:rsidR="00286A88" w:rsidRPr="00286A88" w:rsidRDefault="00286A88" w:rsidP="0047386D">
      <w:pPr>
        <w:rPr>
          <w:lang w:val="en-AU" w:eastAsia="en-AU"/>
        </w:rPr>
      </w:pPr>
      <w:r w:rsidRPr="00286A88">
        <w:rPr>
          <w:lang w:val="en-AU" w:eastAsia="en-AU"/>
        </w:rPr>
        <w:t xml:space="preserve">It has been observed that birds that behave differently to the rest of the flock, for example because they are ill or lame, may become preferred targets for injurious pecking activity (Dalton et al., 2013). Lameness and pecking injuries both increase over time in commercial turkey flocks, however it is unknown whether this represents a causal relationship or is simply a temporal association </w:t>
      </w:r>
      <w:r w:rsidRPr="00286A88">
        <w:rPr>
          <w:noProof/>
          <w:lang w:val="en-AU" w:eastAsia="en-AU"/>
        </w:rPr>
        <w:t>(Dalton et al., 2016) and certainly warrents further investigation.</w:t>
      </w:r>
    </w:p>
    <w:p w14:paraId="73BB670B" w14:textId="77777777" w:rsidR="00286A88" w:rsidRPr="00286A88" w:rsidRDefault="00286A88" w:rsidP="0047386D">
      <w:pPr>
        <w:pStyle w:val="Heading3"/>
        <w:rPr>
          <w:lang w:val="en-AU" w:eastAsia="en-AU"/>
        </w:rPr>
      </w:pPr>
      <w:bookmarkStart w:id="238" w:name="_Toc495310706"/>
      <w:r w:rsidRPr="00286A88">
        <w:rPr>
          <w:lang w:val="en-AU" w:eastAsia="en-AU"/>
        </w:rPr>
        <w:t>T3.5 Aggression</w:t>
      </w:r>
      <w:bookmarkEnd w:id="238"/>
    </w:p>
    <w:p w14:paraId="776CFB51" w14:textId="77777777" w:rsidR="00286A88" w:rsidRPr="00286A88" w:rsidRDefault="00286A88" w:rsidP="0047386D">
      <w:pPr>
        <w:rPr>
          <w:lang w:val="en-AU" w:eastAsia="en-AU"/>
        </w:rPr>
      </w:pPr>
      <w:r w:rsidRPr="00286A88">
        <w:rPr>
          <w:lang w:val="en-AU" w:eastAsia="en-AU"/>
        </w:rPr>
        <w:t xml:space="preserve">The severity of aggressive encounters and injuries due to head pecking can result in death or mandatory culling in commercial fattening units </w:t>
      </w:r>
      <w:r w:rsidRPr="00286A88">
        <w:rPr>
          <w:noProof/>
          <w:lang w:val="en-AU" w:eastAsia="en-AU"/>
        </w:rPr>
        <w:t>(Buchwalder and Huber-Eicher, 2003)</w:t>
      </w:r>
      <w:r w:rsidRPr="00286A88">
        <w:rPr>
          <w:lang w:val="en-AU" w:eastAsia="en-AU"/>
        </w:rPr>
        <w:t xml:space="preserve"> and is consequently a serious economic and animal welfare concern </w:t>
      </w:r>
      <w:r w:rsidRPr="00286A88">
        <w:rPr>
          <w:noProof/>
          <w:lang w:val="en-AU" w:eastAsia="en-AU"/>
        </w:rPr>
        <w:t>(Buchwalder and Huber-Eicher, 2004)</w:t>
      </w:r>
      <w:r w:rsidRPr="00286A88">
        <w:rPr>
          <w:lang w:val="en-AU" w:eastAsia="en-AU"/>
        </w:rPr>
        <w:t>.</w:t>
      </w:r>
    </w:p>
    <w:p w14:paraId="2AF2490A" w14:textId="77777777" w:rsidR="00286A88" w:rsidRPr="00286A88" w:rsidRDefault="00286A88" w:rsidP="0047386D">
      <w:pPr>
        <w:rPr>
          <w:lang w:val="en-AU" w:eastAsia="en-AU"/>
        </w:rPr>
      </w:pPr>
      <w:r w:rsidRPr="00286A88">
        <w:rPr>
          <w:lang w:val="en-AU" w:eastAsia="en-AU"/>
        </w:rPr>
        <w:t xml:space="preserve">Wild turkeys establish their dominance hierarchies by aggressive encounters, however unlike in domestic settings, fights between wild birds typically end without serious injury occurring </w:t>
      </w:r>
      <w:r w:rsidRPr="00286A88">
        <w:rPr>
          <w:noProof/>
          <w:lang w:val="en-AU" w:eastAsia="en-AU"/>
        </w:rPr>
        <w:t>(Buchwalder and Huber-Eicher, 2004)</w:t>
      </w:r>
      <w:r w:rsidRPr="00286A88">
        <w:rPr>
          <w:lang w:val="en-AU" w:eastAsia="en-AU"/>
        </w:rPr>
        <w:t xml:space="preserve">. Consequently, environmental factors such as feeding, management and housing, and endogenous factors such as genetic disposition linked to domestication have been suggested to explain the difference between the behaviour of wild and domesticated turkeys, kept in commercial fattening units </w:t>
      </w:r>
      <w:r w:rsidRPr="00286A88">
        <w:rPr>
          <w:noProof/>
          <w:lang w:val="en-AU" w:eastAsia="en-AU"/>
        </w:rPr>
        <w:t>(Buchwalder and Huber-Eicher, 2004)</w:t>
      </w:r>
      <w:r w:rsidRPr="00286A88">
        <w:rPr>
          <w:lang w:val="en-AU" w:eastAsia="en-AU"/>
        </w:rPr>
        <w:t>.</w:t>
      </w:r>
    </w:p>
    <w:p w14:paraId="2BE8CCCA" w14:textId="77777777" w:rsidR="00286A88" w:rsidRPr="00286A88" w:rsidRDefault="00286A88" w:rsidP="0047386D">
      <w:pPr>
        <w:rPr>
          <w:lang w:val="en-AU" w:eastAsia="en-AU"/>
        </w:rPr>
      </w:pPr>
      <w:r w:rsidRPr="00286A88">
        <w:rPr>
          <w:lang w:val="en-AU" w:eastAsia="en-AU"/>
        </w:rPr>
        <w:t xml:space="preserve">The high injury rates seen in commercial settings may be because the high stocking densities mean that there is insufficient room for birds to retreat far enough away to avoid aggressive encounters </w:t>
      </w:r>
      <w:r w:rsidRPr="00286A88">
        <w:rPr>
          <w:noProof/>
          <w:lang w:val="en-AU" w:eastAsia="en-AU"/>
        </w:rPr>
        <w:t>(Buchwalder and Huber-Eicher, 2004)</w:t>
      </w:r>
      <w:r w:rsidRPr="00286A88">
        <w:rPr>
          <w:lang w:val="en-AU" w:eastAsia="en-AU"/>
        </w:rPr>
        <w:t>.</w:t>
      </w:r>
    </w:p>
    <w:p w14:paraId="1D053827" w14:textId="77777777" w:rsidR="00286A88" w:rsidRPr="00286A88" w:rsidRDefault="00286A88" w:rsidP="0047386D">
      <w:pPr>
        <w:rPr>
          <w:noProof/>
          <w:lang w:val="en-AU" w:eastAsia="en-AU"/>
        </w:rPr>
      </w:pPr>
      <w:r w:rsidRPr="00286A88">
        <w:rPr>
          <w:lang w:val="en-AU" w:eastAsia="en-AU"/>
        </w:rPr>
        <w:t xml:space="preserve">Levels of aggressive pecking in turkeys on pasture is low in both bronze and white turkeys, although the level seen in the white birds was significantly higher than that observed in the bronze </w:t>
      </w:r>
      <w:r w:rsidRPr="00286A88">
        <w:rPr>
          <w:noProof/>
          <w:lang w:val="en-AU" w:eastAsia="en-AU"/>
        </w:rPr>
        <w:t>(Karabayir et al., 2008), suggesting that increased aggression may have been bred into modern strain along with the change in plumage colouration.</w:t>
      </w:r>
    </w:p>
    <w:p w14:paraId="6C47F0AE" w14:textId="77777777" w:rsidR="00286A88" w:rsidRPr="00286A88" w:rsidRDefault="00BA6724" w:rsidP="0047386D">
      <w:pPr>
        <w:pStyle w:val="Heading3"/>
        <w:rPr>
          <w:lang w:val="en-AU" w:eastAsia="en-AU"/>
        </w:rPr>
      </w:pPr>
      <w:bookmarkStart w:id="239" w:name="_Toc495310707"/>
      <w:r>
        <w:rPr>
          <w:lang w:val="en-AU" w:eastAsia="en-AU"/>
        </w:rPr>
        <w:t>T3.6 Breast b</w:t>
      </w:r>
      <w:r w:rsidR="00286A88" w:rsidRPr="00286A88">
        <w:rPr>
          <w:lang w:val="en-AU" w:eastAsia="en-AU"/>
        </w:rPr>
        <w:t>listers and breast buttons</w:t>
      </w:r>
      <w:bookmarkEnd w:id="239"/>
    </w:p>
    <w:p w14:paraId="1EE92C1D" w14:textId="77777777" w:rsidR="00286A88" w:rsidRPr="00286A88" w:rsidRDefault="00286A88" w:rsidP="0047386D">
      <w:pPr>
        <w:rPr>
          <w:lang w:val="en-AU" w:eastAsia="en-AU"/>
        </w:rPr>
      </w:pPr>
      <w:r w:rsidRPr="00286A88">
        <w:rPr>
          <w:lang w:val="en-AU" w:eastAsia="en-AU"/>
        </w:rPr>
        <w:t xml:space="preserve">Breast skin alterations in turkeys can occur in numerous forms </w:t>
      </w:r>
      <w:r w:rsidRPr="00286A88">
        <w:rPr>
          <w:noProof/>
          <w:lang w:val="en-AU" w:eastAsia="en-AU"/>
        </w:rPr>
        <w:t>(Mitterer-Istyagin et al., 2011)</w:t>
      </w:r>
      <w:r w:rsidRPr="00286A88">
        <w:rPr>
          <w:lang w:val="en-AU" w:eastAsia="en-AU"/>
        </w:rPr>
        <w:t xml:space="preserve">. ‘Breast blisters’ are encapsulated areas of swelling which may be filled with serous fluids (hygroma) or pus (bursitis sternalis) and are associated with staphylococcus and coliform infection; in contrast breast buttons are a sign of focal ulcerative dermatitis </w:t>
      </w:r>
      <w:r w:rsidRPr="00286A88">
        <w:rPr>
          <w:noProof/>
          <w:lang w:val="en-AU" w:eastAsia="en-AU"/>
        </w:rPr>
        <w:t>(Mitterer-Istyagin et al., 2011)</w:t>
      </w:r>
      <w:r w:rsidRPr="00286A88">
        <w:rPr>
          <w:lang w:val="en-AU" w:eastAsia="en-AU"/>
        </w:rPr>
        <w:t xml:space="preserve">. The presence of these skin alterations is an economic concern as affected areas, or even entire carcases may be discarded depending on the level of associated inflammation </w:t>
      </w:r>
      <w:r w:rsidRPr="00286A88">
        <w:rPr>
          <w:noProof/>
          <w:lang w:val="en-AU" w:eastAsia="en-AU"/>
        </w:rPr>
        <w:t>(Mitterer-Istyagin et al., 2011)</w:t>
      </w:r>
      <w:r w:rsidRPr="00286A88">
        <w:rPr>
          <w:lang w:val="en-AU" w:eastAsia="en-AU"/>
        </w:rPr>
        <w:t>. The presence of inflammation is also likely to reflect some degree of pain in affected birds, further reducing welfare.</w:t>
      </w:r>
    </w:p>
    <w:p w14:paraId="724E1366" w14:textId="77777777" w:rsidR="00286A88" w:rsidRPr="00286A88" w:rsidRDefault="00286A88" w:rsidP="0047386D">
      <w:pPr>
        <w:rPr>
          <w:lang w:val="en-AU" w:eastAsia="en-AU"/>
        </w:rPr>
      </w:pPr>
      <w:r w:rsidRPr="00286A88">
        <w:rPr>
          <w:lang w:val="en-AU" w:eastAsia="en-AU"/>
        </w:rPr>
        <w:t xml:space="preserve">Male birds are more frequently diagnosed with breast skin alterations, perhaps due to their greater body weight leading to greater pressure on the breast when lying and longer lying times </w:t>
      </w:r>
      <w:r w:rsidRPr="00286A88">
        <w:rPr>
          <w:noProof/>
          <w:lang w:val="en-AU" w:eastAsia="en-AU"/>
        </w:rPr>
        <w:t>(Mitterer-Istyagin et al., 2011)</w:t>
      </w:r>
      <w:r w:rsidRPr="00286A88">
        <w:rPr>
          <w:lang w:val="en-AU" w:eastAsia="en-AU"/>
        </w:rPr>
        <w:t xml:space="preserve">. There is also evidence of a breed difference in propensity to develop breast alterations </w:t>
      </w:r>
      <w:r w:rsidRPr="00286A88">
        <w:rPr>
          <w:noProof/>
          <w:lang w:val="en-AU" w:eastAsia="en-AU"/>
        </w:rPr>
        <w:t>(Mitterer-Istyagin et al., 2011)</w:t>
      </w:r>
      <w:r w:rsidRPr="00286A88">
        <w:rPr>
          <w:lang w:val="en-AU" w:eastAsia="en-AU"/>
        </w:rPr>
        <w:t>.</w:t>
      </w:r>
    </w:p>
    <w:p w14:paraId="384B191B" w14:textId="77777777" w:rsidR="00286A88" w:rsidRPr="00286A88" w:rsidRDefault="00286A88" w:rsidP="0047386D">
      <w:pPr>
        <w:rPr>
          <w:noProof/>
          <w:lang w:val="en-AU" w:eastAsia="en-AU"/>
        </w:rPr>
      </w:pPr>
      <w:r w:rsidRPr="00286A88">
        <w:rPr>
          <w:lang w:val="en-AU" w:eastAsia="en-AU"/>
        </w:rPr>
        <w:t xml:space="preserve">The aetiology of these pathological skin alterations is multifactorial, and health status seems to be determined by a complex interaction of different management factors </w:t>
      </w:r>
      <w:r w:rsidRPr="00286A88">
        <w:rPr>
          <w:noProof/>
          <w:lang w:val="en-AU" w:eastAsia="en-AU"/>
        </w:rPr>
        <w:t>(Mitterer-Istyagin et al., 2011).</w:t>
      </w:r>
    </w:p>
    <w:p w14:paraId="340EEDC3" w14:textId="77777777" w:rsidR="00286A88" w:rsidRPr="00941FF0" w:rsidRDefault="00286A88" w:rsidP="00941FF0">
      <w:pPr>
        <w:pStyle w:val="Heading3"/>
      </w:pPr>
      <w:bookmarkStart w:id="240" w:name="_Toc495310708"/>
      <w:r w:rsidRPr="00941FF0">
        <w:t>T3.7 Foot pad dermatitis (FPD)</w:t>
      </w:r>
      <w:bookmarkEnd w:id="240"/>
    </w:p>
    <w:p w14:paraId="3BC41A39" w14:textId="77777777" w:rsidR="00286A88" w:rsidRPr="00286A88" w:rsidRDefault="00286A88" w:rsidP="0047386D">
      <w:pPr>
        <w:rPr>
          <w:lang w:val="en-AU" w:eastAsia="en-AU"/>
        </w:rPr>
      </w:pPr>
      <w:r w:rsidRPr="00286A88">
        <w:rPr>
          <w:lang w:val="en-AU" w:eastAsia="en-AU"/>
        </w:rPr>
        <w:t xml:space="preserve">Foot pad dermatitis (FPD) is a type of contact dermatitis affecting the plantar region of the feet </w:t>
      </w:r>
      <w:r w:rsidRPr="00286A88">
        <w:rPr>
          <w:noProof/>
          <w:lang w:val="en-AU" w:eastAsia="en-AU"/>
        </w:rPr>
        <w:t>(Wyneken et al., 2015)</w:t>
      </w:r>
      <w:r w:rsidRPr="00286A88">
        <w:rPr>
          <w:lang w:val="en-AU" w:eastAsia="en-AU"/>
        </w:rPr>
        <w:t xml:space="preserve">. The skin of the foot pad becomes hard, scaly, necrotic and frequently splits </w:t>
      </w:r>
      <w:r w:rsidRPr="00286A88">
        <w:rPr>
          <w:noProof/>
          <w:lang w:val="en-AU" w:eastAsia="en-AU"/>
        </w:rPr>
        <w:t>(Mayne et al., 2007a; Sarica and Yamak, 2010)</w:t>
      </w:r>
      <w:r w:rsidRPr="00286A88">
        <w:rPr>
          <w:lang w:val="en-AU" w:eastAsia="en-AU"/>
        </w:rPr>
        <w:t xml:space="preserve">. The resulting lesions can provide an entry point for bacteria which may then spread through the bloodstream and compromise product quality </w:t>
      </w:r>
      <w:r w:rsidRPr="00286A88">
        <w:rPr>
          <w:noProof/>
          <w:lang w:val="en-AU" w:eastAsia="en-AU"/>
        </w:rPr>
        <w:t>(Abd El-Wahab et al., 2011)</w:t>
      </w:r>
      <w:r w:rsidRPr="00286A88">
        <w:rPr>
          <w:lang w:val="en-AU" w:eastAsia="en-AU"/>
        </w:rPr>
        <w:t xml:space="preserve">. External signs of FPD are preceded by histopathological evidence of an inflammatory immune response, although poor associations have been found between external and histopathological foot pad scores </w:t>
      </w:r>
      <w:r w:rsidRPr="00286A88">
        <w:rPr>
          <w:noProof/>
          <w:lang w:val="en-AU" w:eastAsia="en-AU"/>
        </w:rPr>
        <w:t>(Mayne et al., 2007a)</w:t>
      </w:r>
      <w:r w:rsidRPr="00286A88">
        <w:rPr>
          <w:lang w:val="en-AU" w:eastAsia="en-AU"/>
        </w:rPr>
        <w:t xml:space="preserve">. The inflammation resulting from FPD represents a potential source of pain and is a significant welfare concern for affected birds </w:t>
      </w:r>
      <w:r w:rsidRPr="00286A88">
        <w:rPr>
          <w:noProof/>
          <w:lang w:val="en-AU" w:eastAsia="en-AU"/>
        </w:rPr>
        <w:t>(Mayne et al., 2007a; Sarica and Yamak, 2010; Sinclair et al., 2015)</w:t>
      </w:r>
      <w:r w:rsidRPr="00286A88">
        <w:rPr>
          <w:lang w:val="en-AU" w:eastAsia="en-AU"/>
        </w:rPr>
        <w:t>.</w:t>
      </w:r>
    </w:p>
    <w:p w14:paraId="6D2EC203" w14:textId="77777777" w:rsidR="00286A88" w:rsidRPr="00286A88" w:rsidRDefault="00286A88" w:rsidP="0047386D">
      <w:pPr>
        <w:rPr>
          <w:noProof/>
          <w:lang w:val="en-AU" w:eastAsia="en-AU"/>
        </w:rPr>
      </w:pPr>
      <w:r w:rsidRPr="00286A88">
        <w:rPr>
          <w:lang w:val="en-AU" w:eastAsia="en-AU"/>
        </w:rPr>
        <w:t xml:space="preserve">Prevalence of FPD can reach levels of 91-100% in commercial flocks and is gaining recognition as an indicator of well-being </w:t>
      </w:r>
      <w:r w:rsidRPr="00286A88">
        <w:rPr>
          <w:noProof/>
          <w:lang w:val="en-AU" w:eastAsia="en-AU"/>
        </w:rPr>
        <w:t>(Abd El-Wahab et al., 2011)</w:t>
      </w:r>
      <w:r w:rsidRPr="00286A88">
        <w:rPr>
          <w:lang w:val="en-AU" w:eastAsia="en-AU"/>
        </w:rPr>
        <w:t xml:space="preserve">. The occurrence of FPD is used as part of welfare assessment audits of poultry production systems in Europe and the US </w:t>
      </w:r>
      <w:r w:rsidRPr="00286A88">
        <w:rPr>
          <w:noProof/>
          <w:lang w:val="en-AU" w:eastAsia="en-AU"/>
        </w:rPr>
        <w:t>(Abd El-Wahab et al., 2012b; Da Costa et al., 2014)</w:t>
      </w:r>
      <w:r w:rsidRPr="00286A88">
        <w:rPr>
          <w:lang w:val="en-AU" w:eastAsia="en-AU"/>
        </w:rPr>
        <w:t xml:space="preserve">. A large survey of 60 tom turkey flocks in France examined the various lesions present on carcases at 13 different abattoirs (Allain et al., 2013). All flocks had a high proportion of </w:t>
      </w:r>
      <w:r w:rsidR="00FC573C">
        <w:rPr>
          <w:lang w:val="en-AU" w:eastAsia="en-AU"/>
        </w:rPr>
        <w:t>foot pad</w:t>
      </w:r>
      <w:r w:rsidRPr="00286A88">
        <w:rPr>
          <w:lang w:val="en-AU" w:eastAsia="en-AU"/>
        </w:rPr>
        <w:t xml:space="preserve"> lesions, with 40.7% exhibiting severe FPD and 60% </w:t>
      </w:r>
      <w:r w:rsidR="00FC573C">
        <w:rPr>
          <w:lang w:val="en-AU" w:eastAsia="en-AU"/>
        </w:rPr>
        <w:t>foot pad</w:t>
      </w:r>
      <w:r w:rsidRPr="00286A88">
        <w:rPr>
          <w:lang w:val="en-AU" w:eastAsia="en-AU"/>
        </w:rPr>
        <w:t xml:space="preserve"> swelling, suggesting that foot lesions of all types should be monitored. However, as feet have no economic value and mobility does not tend to be impaired sufficiently to hinder feeding, FPD is often perceived only as an animal wellbeing concern rather than a production issue </w:t>
      </w:r>
      <w:r w:rsidRPr="00286A88">
        <w:rPr>
          <w:noProof/>
          <w:lang w:val="en-AU" w:eastAsia="en-AU"/>
        </w:rPr>
        <w:t>(Martrenchar et al., 2002)</w:t>
      </w:r>
      <w:r w:rsidRPr="00286A88">
        <w:rPr>
          <w:lang w:val="en-AU" w:eastAsia="en-AU"/>
        </w:rPr>
        <w:t xml:space="preserve">, reducing the likelihood that action is taken to addresses this issue unless penalties from welfare audits are in place. However, unlike external foot pad scores, high pathological foot pad scores are associated with lower body weights, and therefore economic consequences, as well as providing some evidence of discomfort during locomotion </w:t>
      </w:r>
      <w:r w:rsidRPr="00286A88">
        <w:rPr>
          <w:noProof/>
          <w:lang w:val="en-AU" w:eastAsia="en-AU"/>
        </w:rPr>
        <w:t>(Mayne et al., 2007a).</w:t>
      </w:r>
    </w:p>
    <w:p w14:paraId="35D5EDF8" w14:textId="77777777" w:rsidR="00286A88" w:rsidRPr="00286A88" w:rsidRDefault="00286A88" w:rsidP="0047386D">
      <w:pPr>
        <w:rPr>
          <w:lang w:val="en-AU" w:eastAsia="en-AU"/>
        </w:rPr>
      </w:pPr>
      <w:r w:rsidRPr="00286A88">
        <w:rPr>
          <w:lang w:val="en-AU" w:eastAsia="en-AU"/>
        </w:rPr>
        <w:t xml:space="preserve">The aetiology of FPD is a complex interaction of different factors </w:t>
      </w:r>
      <w:r w:rsidRPr="00286A88">
        <w:rPr>
          <w:noProof/>
          <w:lang w:val="en-AU" w:eastAsia="en-AU"/>
        </w:rPr>
        <w:t>(Abd El-Wahab et al., 2013a)</w:t>
      </w:r>
      <w:r w:rsidRPr="00286A88">
        <w:rPr>
          <w:lang w:val="en-AU" w:eastAsia="en-AU"/>
        </w:rPr>
        <w:t xml:space="preserve">. Within commercial flocks, FPD originates in the early rearing phase </w:t>
      </w:r>
      <w:r w:rsidRPr="00286A88">
        <w:rPr>
          <w:noProof/>
          <w:lang w:val="en-AU" w:eastAsia="en-AU"/>
        </w:rPr>
        <w:t>(Bergmann et al., 2013)</w:t>
      </w:r>
      <w:r w:rsidRPr="00286A88">
        <w:rPr>
          <w:lang w:val="en-AU" w:eastAsia="en-AU"/>
        </w:rPr>
        <w:t xml:space="preserve">. The prevalence and severity of foot pad alterations increases with age and sex differences have been found, with female poults at higher risk of developing these changes </w:t>
      </w:r>
      <w:r w:rsidRPr="00286A88">
        <w:rPr>
          <w:noProof/>
          <w:lang w:val="en-AU" w:eastAsia="en-AU"/>
        </w:rPr>
        <w:t>(Krautwald-Junghanns et al., 2011; Bergmann et al., 2013)</w:t>
      </w:r>
      <w:r w:rsidRPr="00286A88">
        <w:rPr>
          <w:lang w:val="en-AU" w:eastAsia="en-AU"/>
        </w:rPr>
        <w:t xml:space="preserve">. High stocking densities in the first 3-5 days of rear have also been associated with an increased risk of foot pad alterations and as such even mild reductions in foot pad conditions can indicate that the rearing environment is suboptimal </w:t>
      </w:r>
      <w:r w:rsidRPr="00286A88">
        <w:rPr>
          <w:noProof/>
          <w:lang w:val="en-AU" w:eastAsia="en-AU"/>
        </w:rPr>
        <w:t>(Bergmann et al., 2013).</w:t>
      </w:r>
    </w:p>
    <w:p w14:paraId="6B1706C0" w14:textId="77777777" w:rsidR="00286A88" w:rsidRPr="00286A88" w:rsidRDefault="00286A88" w:rsidP="0047386D">
      <w:pPr>
        <w:rPr>
          <w:lang w:val="en-AU" w:eastAsia="en-AU"/>
        </w:rPr>
      </w:pPr>
      <w:r w:rsidRPr="00286A88">
        <w:rPr>
          <w:lang w:val="en-AU" w:eastAsia="en-AU"/>
        </w:rPr>
        <w:t xml:space="preserve">The integrity of the foot pad and walking ability are affected by several parameters present during the production cycles, most notably litter quality </w:t>
      </w:r>
      <w:r w:rsidRPr="00286A88">
        <w:rPr>
          <w:noProof/>
          <w:lang w:val="en-AU" w:eastAsia="en-AU"/>
        </w:rPr>
        <w:t>(Da Costa et al., 2014)</w:t>
      </w:r>
      <w:r w:rsidRPr="00286A88">
        <w:rPr>
          <w:lang w:val="en-AU" w:eastAsia="en-AU"/>
        </w:rPr>
        <w:t xml:space="preserve">. High litter moisture content alone appears sufficient to cause FPD in young turkeys </w:t>
      </w:r>
      <w:r w:rsidRPr="00286A88">
        <w:rPr>
          <w:noProof/>
          <w:lang w:val="en-AU" w:eastAsia="en-AU"/>
        </w:rPr>
        <w:t>(Youssef et al., 2011b)</w:t>
      </w:r>
      <w:r w:rsidRPr="00286A88">
        <w:rPr>
          <w:lang w:val="en-AU" w:eastAsia="en-AU"/>
        </w:rPr>
        <w:t xml:space="preserve">, although there is dispute over the threshold value (30% </w:t>
      </w:r>
      <w:r w:rsidRPr="00286A88">
        <w:rPr>
          <w:noProof/>
          <w:lang w:val="en-AU" w:eastAsia="en-AU"/>
        </w:rPr>
        <w:t>(Wu and Hocking, 2011)</w:t>
      </w:r>
      <w:r w:rsidRPr="00286A88">
        <w:rPr>
          <w:lang w:val="en-AU" w:eastAsia="en-AU"/>
        </w:rPr>
        <w:t xml:space="preserve">; 35% </w:t>
      </w:r>
      <w:r w:rsidRPr="00286A88">
        <w:rPr>
          <w:noProof/>
          <w:lang w:val="en-AU" w:eastAsia="en-AU"/>
        </w:rPr>
        <w:t>(Abd El-Wahab et al., 2012a)</w:t>
      </w:r>
      <w:r w:rsidRPr="00286A88">
        <w:rPr>
          <w:lang w:val="en-AU" w:eastAsia="en-AU"/>
        </w:rPr>
        <w:t xml:space="preserve">; 49% </w:t>
      </w:r>
      <w:r w:rsidRPr="00286A88">
        <w:rPr>
          <w:noProof/>
          <w:lang w:val="en-AU" w:eastAsia="en-AU"/>
        </w:rPr>
        <w:t>(Wyneken et al., 2015)</w:t>
      </w:r>
      <w:r w:rsidRPr="00286A88">
        <w:rPr>
          <w:lang w:val="en-AU" w:eastAsia="en-AU"/>
        </w:rPr>
        <w:t xml:space="preserve">; maintaining dry litter is therefore a priority in the control of FPD </w:t>
      </w:r>
      <w:r w:rsidRPr="00286A88">
        <w:rPr>
          <w:noProof/>
          <w:lang w:val="en-AU" w:eastAsia="en-AU"/>
        </w:rPr>
        <w:t>(Mayne et al., 2007b; Wu and Hocking, 2011)</w:t>
      </w:r>
      <w:r w:rsidRPr="00286A88">
        <w:rPr>
          <w:lang w:val="en-AU" w:eastAsia="en-AU"/>
        </w:rPr>
        <w:t xml:space="preserve">. No evidence has been found that litter pH </w:t>
      </w:r>
      <w:r w:rsidRPr="00286A88">
        <w:rPr>
          <w:noProof/>
          <w:lang w:val="en-AU" w:eastAsia="en-AU"/>
        </w:rPr>
        <w:t>(Wu and Hocking, 2011)</w:t>
      </w:r>
      <w:r w:rsidRPr="00286A88">
        <w:rPr>
          <w:lang w:val="en-AU" w:eastAsia="en-AU"/>
        </w:rPr>
        <w:t xml:space="preserve">, or the presence of ammonia or uric acid </w:t>
      </w:r>
      <w:r w:rsidRPr="00286A88">
        <w:rPr>
          <w:noProof/>
          <w:lang w:val="en-AU" w:eastAsia="en-AU"/>
        </w:rPr>
        <w:t>(Youssef et al., 2011b)</w:t>
      </w:r>
      <w:r w:rsidRPr="00286A88">
        <w:rPr>
          <w:lang w:val="en-AU" w:eastAsia="en-AU"/>
        </w:rPr>
        <w:t xml:space="preserve"> have a role in the pathogenesis of FPD. High macronutrient content of feed has only a marginal effect in comparison with the very strong influence of litter moisture (Youssef et al., 2011c). FPD can develop very rapidly in commercial flocks, with full foot pad lesions present after 48 hours of being exposed to wet litter </w:t>
      </w:r>
      <w:r w:rsidRPr="00286A88">
        <w:rPr>
          <w:noProof/>
          <w:lang w:val="en-AU" w:eastAsia="en-AU"/>
        </w:rPr>
        <w:t>(Mayne et al., 2007b)</w:t>
      </w:r>
      <w:r w:rsidRPr="00286A88">
        <w:rPr>
          <w:lang w:val="en-AU" w:eastAsia="en-AU"/>
        </w:rPr>
        <w:t xml:space="preserve">. Females have a thinner epidermis than males and therefore appear to be at higher risk of developing FPD </w:t>
      </w:r>
      <w:r w:rsidRPr="00286A88">
        <w:rPr>
          <w:noProof/>
          <w:lang w:val="en-AU" w:eastAsia="en-AU"/>
        </w:rPr>
        <w:t xml:space="preserve">(Vermette et al., 2016). </w:t>
      </w:r>
      <w:r w:rsidRPr="00286A88">
        <w:rPr>
          <w:lang w:val="en-AU" w:eastAsia="en-AU"/>
        </w:rPr>
        <w:t xml:space="preserve">Factors that increase water excretion, for example intestinal infections such as coccidiosis </w:t>
      </w:r>
      <w:r w:rsidRPr="00286A88">
        <w:rPr>
          <w:noProof/>
          <w:lang w:val="en-AU" w:eastAsia="en-AU"/>
        </w:rPr>
        <w:t>(Abd El-Wahab et al., 2012b)</w:t>
      </w:r>
      <w:r w:rsidRPr="00286A88">
        <w:rPr>
          <w:lang w:val="en-AU" w:eastAsia="en-AU"/>
        </w:rPr>
        <w:t xml:space="preserve"> and dietary concentrations of nutritional factors and electrolytes such as sodium and potassium </w:t>
      </w:r>
      <w:r w:rsidRPr="00286A88">
        <w:rPr>
          <w:noProof/>
          <w:lang w:val="en-AU" w:eastAsia="en-AU"/>
        </w:rPr>
        <w:t>(</w:t>
      </w:r>
      <w:r w:rsidR="00456E7E" w:rsidRPr="00286A88">
        <w:rPr>
          <w:noProof/>
          <w:lang w:val="en-AU" w:eastAsia="en-AU"/>
        </w:rPr>
        <w:t>Youssef et al., 2011a</w:t>
      </w:r>
      <w:r w:rsidR="00456E7E">
        <w:rPr>
          <w:noProof/>
          <w:lang w:val="en-AU" w:eastAsia="en-AU"/>
        </w:rPr>
        <w:t>;</w:t>
      </w:r>
      <w:r w:rsidR="00456E7E" w:rsidRPr="00286A88">
        <w:rPr>
          <w:noProof/>
          <w:lang w:val="en-AU" w:eastAsia="en-AU"/>
        </w:rPr>
        <w:t xml:space="preserve"> </w:t>
      </w:r>
      <w:r w:rsidRPr="00286A88">
        <w:rPr>
          <w:noProof/>
          <w:lang w:val="en-AU" w:eastAsia="en-AU"/>
        </w:rPr>
        <w:t>A</w:t>
      </w:r>
      <w:r w:rsidR="00456E7E">
        <w:rPr>
          <w:noProof/>
          <w:lang w:val="en-AU" w:eastAsia="en-AU"/>
        </w:rPr>
        <w:t>bd El-Wahab et al., 2013a</w:t>
      </w:r>
      <w:r w:rsidRPr="00286A88">
        <w:rPr>
          <w:noProof/>
          <w:lang w:val="en-AU" w:eastAsia="en-AU"/>
        </w:rPr>
        <w:t>)</w:t>
      </w:r>
      <w:r w:rsidRPr="00286A88">
        <w:rPr>
          <w:lang w:val="en-AU" w:eastAsia="en-AU"/>
        </w:rPr>
        <w:t xml:space="preserve"> can also predispose birds to FPD through their effect on the moisture content of the litter.</w:t>
      </w:r>
    </w:p>
    <w:p w14:paraId="6D6AF4C6" w14:textId="77777777" w:rsidR="00286A88" w:rsidRPr="00286A88" w:rsidRDefault="00286A88" w:rsidP="0047386D">
      <w:pPr>
        <w:rPr>
          <w:lang w:val="en-AU" w:eastAsia="en-AU"/>
        </w:rPr>
      </w:pPr>
      <w:r w:rsidRPr="00286A88">
        <w:rPr>
          <w:lang w:val="en-AU" w:eastAsia="en-AU"/>
        </w:rPr>
        <w:t xml:space="preserve">Floor heating has been found to reduce the severity of FPD, regardless of whether the litter is wet (35% moisture) or dry; however, it has been argued that if the birds are provided with well-balanced diets, proper stocking density and are in good health providing floor heating is not necessary </w:t>
      </w:r>
      <w:r w:rsidRPr="00286A88">
        <w:rPr>
          <w:noProof/>
          <w:lang w:val="en-AU" w:eastAsia="en-AU"/>
        </w:rPr>
        <w:t>(Abd El-Wahab et al., 2011)</w:t>
      </w:r>
      <w:r w:rsidRPr="00286A88">
        <w:rPr>
          <w:lang w:val="en-AU" w:eastAsia="en-AU"/>
        </w:rPr>
        <w:t xml:space="preserve">. The type of litter used during different stages of the production cycle may also have an effect on FPD occurrence, possibly due to their differing capacities to absorb moisture </w:t>
      </w:r>
      <w:r w:rsidRPr="00286A88">
        <w:rPr>
          <w:noProof/>
          <w:lang w:val="en-AU" w:eastAsia="en-AU"/>
        </w:rPr>
        <w:t>(Mayne et al., 2007b)</w:t>
      </w:r>
      <w:r w:rsidRPr="00286A88">
        <w:rPr>
          <w:lang w:val="en-AU" w:eastAsia="en-AU"/>
        </w:rPr>
        <w:t>. FPD was lower when lignocellulose (e.g. Soft Cell</w:t>
      </w:r>
      <w:r w:rsidRPr="00286A88">
        <w:rPr>
          <w:rFonts w:cs="AdvP7CAC"/>
          <w:lang w:val="en-AU" w:eastAsia="en-AU"/>
        </w:rPr>
        <w:t xml:space="preserve">®) was used as a litter material in comparison to wood shavings </w:t>
      </w:r>
      <w:r w:rsidRPr="00286A88">
        <w:rPr>
          <w:rFonts w:cs="AdvP7CAC"/>
          <w:noProof/>
          <w:lang w:val="en-AU" w:eastAsia="en-AU"/>
        </w:rPr>
        <w:t>(Abd El-Wahab et al., 2011)</w:t>
      </w:r>
      <w:r w:rsidRPr="00286A88">
        <w:rPr>
          <w:rFonts w:cs="AdvP7CAC"/>
          <w:lang w:val="en-AU" w:eastAsia="en-AU"/>
        </w:rPr>
        <w:t xml:space="preserve">. The cost involved in providing lignocellulose throughout the entire fattening period is prohibitive and consequently </w:t>
      </w:r>
      <w:r w:rsidR="00456E7E">
        <w:rPr>
          <w:rFonts w:cs="AdvP7CAC"/>
          <w:lang w:val="en-AU" w:eastAsia="en-AU"/>
        </w:rPr>
        <w:t xml:space="preserve">it </w:t>
      </w:r>
      <w:r w:rsidRPr="00286A88">
        <w:rPr>
          <w:rFonts w:cs="AdvP7CAC"/>
          <w:lang w:val="en-AU" w:eastAsia="en-AU"/>
        </w:rPr>
        <w:t xml:space="preserve">is never likely to be used to this extent in practice, however, providing birds with lignocellulose in the rearing period may be sufficient to facilitate foot health for the subsequent fattening period littered on wood shavings </w:t>
      </w:r>
      <w:r w:rsidRPr="00286A88">
        <w:rPr>
          <w:rFonts w:cs="AdvP7CAC"/>
          <w:noProof/>
          <w:lang w:val="en-AU" w:eastAsia="en-AU"/>
        </w:rPr>
        <w:t xml:space="preserve">(Abd El-Wahab et al., 2011). Whatever type of litter is used, it is clear that </w:t>
      </w:r>
      <w:r w:rsidRPr="00286A88">
        <w:rPr>
          <w:lang w:val="en-AU" w:eastAsia="en-AU"/>
        </w:rPr>
        <w:t xml:space="preserve">litter should be maintained as dry as possible to reduce the severity and prevalence of FPD in turkeys </w:t>
      </w:r>
      <w:r w:rsidRPr="00286A88">
        <w:rPr>
          <w:noProof/>
          <w:lang w:val="en-AU" w:eastAsia="en-AU"/>
        </w:rPr>
        <w:t>(Youssef et al., 2011b; 2012).</w:t>
      </w:r>
      <w:r w:rsidRPr="00286A88">
        <w:rPr>
          <w:lang w:val="en-AU" w:eastAsia="en-AU"/>
        </w:rPr>
        <w:t xml:space="preserve"> As FPD is associated with higher feed intake but lower weight gains, the improvements seen in feed conversion efficiency when improving litter quality represents a potential saving that may offset the costs of taking action on FPD in commercial flocks </w:t>
      </w:r>
      <w:r w:rsidRPr="00286A88">
        <w:rPr>
          <w:noProof/>
          <w:lang w:val="en-AU" w:eastAsia="en-AU"/>
        </w:rPr>
        <w:t>(Hocking and Wu, 2013).</w:t>
      </w:r>
    </w:p>
    <w:p w14:paraId="3B3D480A" w14:textId="77777777" w:rsidR="00286A88" w:rsidRPr="00286A88" w:rsidRDefault="00286A88" w:rsidP="0047386D">
      <w:pPr>
        <w:rPr>
          <w:lang w:val="en-AU" w:eastAsia="en-AU"/>
        </w:rPr>
      </w:pPr>
      <w:r w:rsidRPr="00286A88">
        <w:rPr>
          <w:lang w:val="en-AU" w:eastAsia="en-AU"/>
        </w:rPr>
        <w:t xml:space="preserve">There is a positive correlation between FPD and the percentage of moisture in the air, meaning that there is a seasonal effect </w:t>
      </w:r>
      <w:r w:rsidRPr="00286A88">
        <w:rPr>
          <w:noProof/>
          <w:lang w:val="en-AU" w:eastAsia="en-AU"/>
        </w:rPr>
        <w:t>(Martrenchar et al., 2002). This correlation also demonstrates the important role the ventilation system plays in controlling the moisture content of the air, and consequently the moisture content of the litter and the likelihood of FPD occurring (Mayne et al., 2007b)</w:t>
      </w:r>
      <w:r w:rsidRPr="00286A88">
        <w:rPr>
          <w:lang w:val="en-AU" w:eastAsia="en-AU"/>
        </w:rPr>
        <w:t>.</w:t>
      </w:r>
    </w:p>
    <w:p w14:paraId="39018811" w14:textId="77777777" w:rsidR="00286A88" w:rsidRPr="00286A88" w:rsidRDefault="00286A88" w:rsidP="0047386D">
      <w:pPr>
        <w:rPr>
          <w:lang w:val="en-AU" w:eastAsia="en-AU"/>
        </w:rPr>
      </w:pPr>
      <w:r w:rsidRPr="00286A88">
        <w:rPr>
          <w:lang w:val="en-AU" w:eastAsia="en-AU"/>
        </w:rPr>
        <w:t xml:space="preserve">Turkeys with FPD show limited activity levels and behavioural repertoire, consistent with experiencing pain associated with the inflammatory response </w:t>
      </w:r>
      <w:r w:rsidRPr="00286A88">
        <w:rPr>
          <w:noProof/>
          <w:lang w:val="en-AU" w:eastAsia="en-AU"/>
        </w:rPr>
        <w:t>(Hocking and Wu, 2013; Sinclair et al., 2015; Dalton et al., 2016)</w:t>
      </w:r>
      <w:r w:rsidRPr="00286A88">
        <w:rPr>
          <w:lang w:val="en-AU" w:eastAsia="en-AU"/>
        </w:rPr>
        <w:t xml:space="preserve">. Stance time is longer in turkeys on wet litter which may be interpreted as birds taking more care with their foot placement due to associated pain </w:t>
      </w:r>
      <w:r w:rsidRPr="00286A88">
        <w:rPr>
          <w:noProof/>
          <w:lang w:val="en-AU" w:eastAsia="en-AU"/>
        </w:rPr>
        <w:t xml:space="preserve">(Wyneken et al., 2015). </w:t>
      </w:r>
      <w:r w:rsidRPr="00286A88">
        <w:rPr>
          <w:lang w:val="en-AU" w:eastAsia="en-AU"/>
        </w:rPr>
        <w:t xml:space="preserve">FPD and gait score are positively correlated and increase with age; while this may due to the corresponding increase in body weight </w:t>
      </w:r>
      <w:r w:rsidRPr="00286A88">
        <w:rPr>
          <w:noProof/>
          <w:lang w:val="en-AU" w:eastAsia="en-AU"/>
        </w:rPr>
        <w:t>(Da Costa et al., 2014), it could also be attributed to the pain asscoiated with both conditions.</w:t>
      </w:r>
      <w:r w:rsidRPr="00286A88">
        <w:rPr>
          <w:lang w:val="en-AU" w:eastAsia="en-AU"/>
        </w:rPr>
        <w:t xml:space="preserve"> It has been suggested that litter quality does not simply have a causative relationship with FPD. The finding that birds have compromised welfare on wet litter alone, even without the presence of FPD, suggests that wet litter may induce a negative affective state in growing turkeys and if this is the case this may affect how pain is perceived, compounding the welfare implications of poor litter quality </w:t>
      </w:r>
      <w:r w:rsidRPr="00286A88">
        <w:rPr>
          <w:noProof/>
          <w:lang w:val="en-AU" w:eastAsia="en-AU"/>
        </w:rPr>
        <w:t>(Sinclair et al., 2015)</w:t>
      </w:r>
      <w:r w:rsidRPr="00286A88">
        <w:rPr>
          <w:lang w:val="en-AU" w:eastAsia="en-AU"/>
        </w:rPr>
        <w:t>. This is an area that requires further research attention.</w:t>
      </w:r>
    </w:p>
    <w:p w14:paraId="0ACDC540" w14:textId="77777777" w:rsidR="00286A88" w:rsidRPr="00286A88" w:rsidRDefault="00286A88" w:rsidP="0047386D">
      <w:pPr>
        <w:rPr>
          <w:lang w:val="en-AU" w:eastAsia="en-AU"/>
        </w:rPr>
      </w:pPr>
      <w:r w:rsidRPr="00286A88">
        <w:rPr>
          <w:lang w:val="en-AU" w:eastAsia="en-AU"/>
        </w:rPr>
        <w:t xml:space="preserve">While it is possible to achieve low prevalence of FPD in chicken broilers under high commercial stocking densities, this does not appear to be the case for turkeys, which require greatly reduced stocking densities or improved floor drainage to control prevalence of FPD </w:t>
      </w:r>
      <w:r w:rsidRPr="00286A88">
        <w:rPr>
          <w:noProof/>
          <w:lang w:val="en-AU" w:eastAsia="en-AU"/>
        </w:rPr>
        <w:t>(Martrenchar et al., 2002). This suggests that under current production systems FPD is unlikely to be brought under control unless significant changes are made to the way turkeys are commercially farmed.</w:t>
      </w:r>
    </w:p>
    <w:p w14:paraId="1314F042" w14:textId="77777777" w:rsidR="00286A88" w:rsidRPr="00286A88" w:rsidRDefault="00286A88" w:rsidP="0047386D">
      <w:pPr>
        <w:rPr>
          <w:lang w:val="en-AU" w:eastAsia="en-AU"/>
        </w:rPr>
      </w:pPr>
      <w:r w:rsidRPr="00286A88">
        <w:rPr>
          <w:lang w:val="en-AU" w:eastAsia="en-AU"/>
        </w:rPr>
        <w:t xml:space="preserve">Substantial phenotypic variation in susceptibility to FPD exists </w:t>
      </w:r>
      <w:r w:rsidRPr="00286A88">
        <w:rPr>
          <w:noProof/>
          <w:lang w:val="en-AU" w:eastAsia="en-AU"/>
        </w:rPr>
        <w:t>(Wu and Hocking, 2011).</w:t>
      </w:r>
      <w:r w:rsidRPr="00286A88">
        <w:rPr>
          <w:lang w:val="en-AU" w:eastAsia="en-AU"/>
        </w:rPr>
        <w:t xml:space="preserve">The evidence for an inherited component of FPD suggests that genetic selection will be effective in reducing both the severity and the prevalence of FPD in turkey flocks </w:t>
      </w:r>
      <w:r w:rsidRPr="00286A88">
        <w:rPr>
          <w:noProof/>
          <w:lang w:val="en-AU" w:eastAsia="en-AU"/>
        </w:rPr>
        <w:t>(Hocking and Wu, 2013).</w:t>
      </w:r>
    </w:p>
    <w:p w14:paraId="2551DCCF" w14:textId="77777777" w:rsidR="00286A88" w:rsidRPr="00286A88" w:rsidRDefault="00286A88" w:rsidP="0047386D">
      <w:pPr>
        <w:pStyle w:val="Heading3"/>
        <w:rPr>
          <w:lang w:val="en-AU" w:eastAsia="en-AU"/>
        </w:rPr>
      </w:pPr>
      <w:bookmarkStart w:id="241" w:name="_Toc495310709"/>
      <w:r w:rsidRPr="00286A88">
        <w:rPr>
          <w:lang w:val="en-AU" w:eastAsia="en-AU"/>
        </w:rPr>
        <w:t>T3.8 Cellulitis/clostridial dermatitis (CD)</w:t>
      </w:r>
      <w:bookmarkEnd w:id="241"/>
    </w:p>
    <w:p w14:paraId="5090B9F4" w14:textId="77777777" w:rsidR="00286A88" w:rsidRPr="00286A88" w:rsidRDefault="00286A88" w:rsidP="0047386D">
      <w:pPr>
        <w:rPr>
          <w:lang w:val="en-AU" w:eastAsia="en-AU"/>
        </w:rPr>
      </w:pPr>
      <w:r w:rsidRPr="00286A88">
        <w:rPr>
          <w:lang w:val="en-AU" w:eastAsia="en-AU"/>
        </w:rPr>
        <w:t xml:space="preserve">Cellulitis is a major meat hygiene and economic problem in the broiler industry primarily affecting adolescent and adult male turkeys </w:t>
      </w:r>
      <w:r w:rsidRPr="00286A88">
        <w:rPr>
          <w:noProof/>
          <w:lang w:val="en-AU" w:eastAsia="en-AU"/>
        </w:rPr>
        <w:t>(Gomis et al., 2002; Huff et al., 2013)</w:t>
      </w:r>
      <w:r w:rsidRPr="00286A88">
        <w:rPr>
          <w:lang w:val="en-AU" w:eastAsia="en-AU"/>
        </w:rPr>
        <w:t xml:space="preserve">. Cellulitis is an inflammation of the skin and subcutaneous tissue, characterised by an accumulation of frothy sanguineous exudates under the skin of the breast and tail regions </w:t>
      </w:r>
      <w:r w:rsidRPr="00286A88">
        <w:rPr>
          <w:noProof/>
          <w:lang w:val="en-AU" w:eastAsia="en-AU"/>
        </w:rPr>
        <w:t>(Thachil et al., 2012)</w:t>
      </w:r>
      <w:r w:rsidRPr="00286A88">
        <w:rPr>
          <w:lang w:val="en-AU" w:eastAsia="en-AU"/>
        </w:rPr>
        <w:t xml:space="preserve">. Lesions associated with cellulitis start appearing in affected turkeys around 7 weeks of age and may continue to 18 weeks or older </w:t>
      </w:r>
      <w:r w:rsidRPr="00286A88">
        <w:rPr>
          <w:noProof/>
          <w:lang w:val="en-AU" w:eastAsia="en-AU"/>
        </w:rPr>
        <w:t>(Thachil et al., 2012)</w:t>
      </w:r>
      <w:r w:rsidRPr="00286A88">
        <w:rPr>
          <w:lang w:val="en-AU" w:eastAsia="en-AU"/>
        </w:rPr>
        <w:t xml:space="preserve">. Unlike in the broiler industry </w:t>
      </w:r>
      <w:r w:rsidRPr="00286A88">
        <w:rPr>
          <w:i/>
          <w:lang w:val="en-AU" w:eastAsia="en-AU"/>
        </w:rPr>
        <w:t>Escherichia coli</w:t>
      </w:r>
      <w:r w:rsidRPr="00286A88">
        <w:rPr>
          <w:lang w:val="en-AU" w:eastAsia="en-AU"/>
        </w:rPr>
        <w:t xml:space="preserve"> is not the predominant infectious agent, rather Clostridium species, particularly </w:t>
      </w:r>
      <w:r w:rsidRPr="00286A88">
        <w:rPr>
          <w:i/>
          <w:lang w:val="en-AU" w:eastAsia="en-AU"/>
        </w:rPr>
        <w:t xml:space="preserve">C. septicum </w:t>
      </w:r>
      <w:r w:rsidRPr="00286A88">
        <w:rPr>
          <w:lang w:val="en-AU" w:eastAsia="en-AU"/>
        </w:rPr>
        <w:t xml:space="preserve">is thought to be the primary cause </w:t>
      </w:r>
      <w:r w:rsidRPr="00286A88">
        <w:rPr>
          <w:noProof/>
          <w:lang w:val="en-AU" w:eastAsia="en-AU"/>
        </w:rPr>
        <w:t>(Thachil et al., 2012; Huff et al., 2013)</w:t>
      </w:r>
      <w:r w:rsidRPr="00286A88">
        <w:rPr>
          <w:lang w:val="en-AU" w:eastAsia="en-AU"/>
        </w:rPr>
        <w:t xml:space="preserve">. Prevalence and severity of cellulitis have increased since it was first reported in 1939, and mortality can now be as high as 1-2% in affected flocks </w:t>
      </w:r>
      <w:r w:rsidRPr="00286A88">
        <w:rPr>
          <w:noProof/>
          <w:lang w:val="en-AU" w:eastAsia="en-AU"/>
        </w:rPr>
        <w:t>(Thachil et al., 2012)</w:t>
      </w:r>
      <w:r w:rsidRPr="00286A88">
        <w:rPr>
          <w:lang w:val="en-AU" w:eastAsia="en-AU"/>
        </w:rPr>
        <w:t>.</w:t>
      </w:r>
    </w:p>
    <w:p w14:paraId="5B3AADCA" w14:textId="77777777" w:rsidR="00286A88" w:rsidRPr="00286A88" w:rsidRDefault="00286A88" w:rsidP="0047386D">
      <w:pPr>
        <w:rPr>
          <w:lang w:val="en-AU" w:eastAsia="en-AU"/>
        </w:rPr>
      </w:pPr>
      <w:r w:rsidRPr="00286A88">
        <w:rPr>
          <w:lang w:val="en-AU" w:eastAsia="en-AU"/>
        </w:rPr>
        <w:t xml:space="preserve">While there is no consensus on the risk factors and causes of CD, reducing drinker spillages and improving wet litter management have been identified as important for control </w:t>
      </w:r>
      <w:r w:rsidRPr="00286A88">
        <w:rPr>
          <w:noProof/>
          <w:lang w:val="en-AU" w:eastAsia="en-AU"/>
        </w:rPr>
        <w:t>(Huff et al., 2014)</w:t>
      </w:r>
      <w:r w:rsidRPr="00286A88">
        <w:rPr>
          <w:lang w:val="en-AU" w:eastAsia="en-AU"/>
        </w:rPr>
        <w:t xml:space="preserve">. Huff et al. </w:t>
      </w:r>
      <w:r w:rsidRPr="00286A88">
        <w:rPr>
          <w:noProof/>
          <w:lang w:val="en-AU" w:eastAsia="en-AU"/>
        </w:rPr>
        <w:t>(2013)</w:t>
      </w:r>
      <w:r w:rsidRPr="00286A88">
        <w:rPr>
          <w:lang w:val="en-AU" w:eastAsia="en-AU"/>
        </w:rPr>
        <w:t xml:space="preserve"> hypothesised that severe stress, such as the social and psychological stress induced by overcrowding, may undermine resistance to opportunistic pathogens like </w:t>
      </w:r>
      <w:r w:rsidRPr="00286A88">
        <w:rPr>
          <w:i/>
          <w:lang w:val="en-AU" w:eastAsia="en-AU"/>
        </w:rPr>
        <w:t>C. septicum</w:t>
      </w:r>
      <w:r w:rsidRPr="00286A88">
        <w:rPr>
          <w:lang w:val="en-AU" w:eastAsia="en-AU"/>
        </w:rPr>
        <w:t>, by increasing bacterial translocation from the gut and compromising the skin’s antimicrobial barrier.</w:t>
      </w:r>
    </w:p>
    <w:p w14:paraId="752A0AA7" w14:textId="77777777" w:rsidR="00286A88" w:rsidRPr="00286A88" w:rsidRDefault="00286A88" w:rsidP="0047386D">
      <w:pPr>
        <w:rPr>
          <w:lang w:val="en-AU" w:eastAsia="en-AU"/>
        </w:rPr>
      </w:pPr>
      <w:r w:rsidRPr="00286A88">
        <w:rPr>
          <w:lang w:val="en-AU" w:eastAsia="en-AU"/>
        </w:rPr>
        <w:t xml:space="preserve">In half the cases examined in one study bacteria were not the causative agent at all, rather the unopened lesions observed were thought to be a form of contact dermatitis and consequently their aetiology is more likely to lie in poor management practices, for example wet litter, sharp objects and improper toe trimming </w:t>
      </w:r>
      <w:r w:rsidRPr="00286A88">
        <w:rPr>
          <w:noProof/>
          <w:lang w:val="en-AU" w:eastAsia="en-AU"/>
        </w:rPr>
        <w:t>(Gomis et al., 2002).</w:t>
      </w:r>
    </w:p>
    <w:p w14:paraId="68E79490" w14:textId="77777777" w:rsidR="00286A88" w:rsidRPr="00286A88" w:rsidRDefault="00286A88" w:rsidP="0047386D">
      <w:pPr>
        <w:rPr>
          <w:lang w:val="en-AU" w:eastAsia="en-AU"/>
        </w:rPr>
      </w:pPr>
      <w:r w:rsidRPr="00286A88">
        <w:rPr>
          <w:lang w:val="en-AU" w:eastAsia="en-AU"/>
        </w:rPr>
        <w:t xml:space="preserve">Cellulitis has traditionally been controlled preventatively by administering antimicrobials in feed and water, however the use of antimicrobials as a preventative strategy is increasingly criticised and the practice has been banned in some countries </w:t>
      </w:r>
      <w:r w:rsidRPr="00286A88">
        <w:rPr>
          <w:noProof/>
          <w:lang w:val="en-AU" w:eastAsia="en-AU"/>
        </w:rPr>
        <w:t>(Thachil et al., 2012)</w:t>
      </w:r>
      <w:r w:rsidRPr="00286A88">
        <w:rPr>
          <w:lang w:val="en-AU" w:eastAsia="en-AU"/>
        </w:rPr>
        <w:t>.</w:t>
      </w:r>
    </w:p>
    <w:p w14:paraId="173B47BC" w14:textId="77777777" w:rsidR="00286A88" w:rsidRPr="00286A88" w:rsidRDefault="00286A88" w:rsidP="0047386D">
      <w:pPr>
        <w:pStyle w:val="Heading3"/>
        <w:rPr>
          <w:lang w:val="en-AU" w:eastAsia="en-AU"/>
        </w:rPr>
      </w:pPr>
      <w:bookmarkStart w:id="242" w:name="_Toc495310710"/>
      <w:r w:rsidRPr="00286A88">
        <w:rPr>
          <w:lang w:val="en-AU" w:eastAsia="en-AU"/>
        </w:rPr>
        <w:t>T3.9 Eye abnormalities</w:t>
      </w:r>
      <w:bookmarkEnd w:id="242"/>
    </w:p>
    <w:p w14:paraId="583BAE98" w14:textId="77777777" w:rsidR="00286A88" w:rsidRPr="00286A88" w:rsidRDefault="00286A88" w:rsidP="0047386D">
      <w:pPr>
        <w:rPr>
          <w:lang w:val="en-AU" w:eastAsia="en-AU"/>
        </w:rPr>
      </w:pPr>
      <w:r w:rsidRPr="00286A88">
        <w:rPr>
          <w:lang w:val="en-AU" w:eastAsia="en-AU"/>
        </w:rPr>
        <w:t xml:space="preserve">Birds are highly sensitive to ammonia and exposure to high levels (50-100 </w:t>
      </w:r>
      <w:r w:rsidRPr="00286A88">
        <w:rPr>
          <w:rFonts w:cs="Calibri"/>
          <w:lang w:val="en-AU" w:eastAsia="en-AU"/>
        </w:rPr>
        <w:t>µ</w:t>
      </w:r>
      <w:r w:rsidRPr="00286A88">
        <w:rPr>
          <w:lang w:val="en-AU" w:eastAsia="en-AU"/>
        </w:rPr>
        <w:t xml:space="preserve">g/g) can result in blindness </w:t>
      </w:r>
      <w:r w:rsidRPr="00286A88">
        <w:rPr>
          <w:noProof/>
          <w:lang w:val="en-AU" w:eastAsia="en-AU"/>
        </w:rPr>
        <w:t>(Tran et al., 2015)</w:t>
      </w:r>
      <w:r w:rsidRPr="00286A88">
        <w:rPr>
          <w:lang w:val="en-AU" w:eastAsia="en-AU"/>
        </w:rPr>
        <w:t xml:space="preserve">. Turkeys reared in constant or near constant lighting programs exhibit increased eye weights, enlarged eye size, corneal flattening and thinning of the retina and choroid </w:t>
      </w:r>
      <w:r w:rsidRPr="00286A88">
        <w:rPr>
          <w:noProof/>
          <w:lang w:val="en-AU" w:eastAsia="en-AU"/>
        </w:rPr>
        <w:t>(Vermette et al., 2016)</w:t>
      </w:r>
      <w:r w:rsidRPr="00286A88">
        <w:rPr>
          <w:lang w:val="en-AU" w:eastAsia="en-AU"/>
        </w:rPr>
        <w:t xml:space="preserve">. Such eye abnormalities can greatly impede the birds’ ability to perceive their surroundings, especially as the conditions progress, having significant welfare implications </w:t>
      </w:r>
      <w:r w:rsidRPr="00286A88">
        <w:rPr>
          <w:noProof/>
          <w:lang w:val="en-AU" w:eastAsia="en-AU"/>
        </w:rPr>
        <w:t>(Vermette et al., 2016).</w:t>
      </w:r>
    </w:p>
    <w:p w14:paraId="04A5D903" w14:textId="77777777" w:rsidR="00286A88" w:rsidRPr="00286A88" w:rsidRDefault="00286A88" w:rsidP="0047386D">
      <w:pPr>
        <w:pStyle w:val="Heading3"/>
        <w:rPr>
          <w:lang w:val="en-AU" w:eastAsia="en-AU"/>
        </w:rPr>
      </w:pPr>
      <w:bookmarkStart w:id="243" w:name="_Toc495310711"/>
      <w:r w:rsidRPr="00286A88">
        <w:rPr>
          <w:lang w:val="en-AU" w:eastAsia="en-AU"/>
        </w:rPr>
        <w:t>T3.10 Parasitic infections</w:t>
      </w:r>
      <w:bookmarkEnd w:id="243"/>
    </w:p>
    <w:p w14:paraId="6982E8C2" w14:textId="77777777" w:rsidR="00286A88" w:rsidRPr="00286A88" w:rsidRDefault="00286A88" w:rsidP="0047386D">
      <w:pPr>
        <w:pStyle w:val="Heading41"/>
      </w:pPr>
      <w:r w:rsidRPr="00286A88">
        <w:t>T3.10a Mites</w:t>
      </w:r>
    </w:p>
    <w:p w14:paraId="5E283BCF" w14:textId="77777777" w:rsidR="00286A88" w:rsidRPr="00286A88" w:rsidRDefault="00286A88" w:rsidP="0047386D">
      <w:pPr>
        <w:rPr>
          <w:lang w:val="en-AU" w:eastAsia="en-AU"/>
        </w:rPr>
      </w:pPr>
      <w:r w:rsidRPr="00286A88">
        <w:rPr>
          <w:lang w:val="en-AU" w:eastAsia="en-AU"/>
        </w:rPr>
        <w:t>Free-range turkeys in the USA may acquire bites from chiggers (</w:t>
      </w:r>
      <w:r w:rsidRPr="00286A88">
        <w:rPr>
          <w:i/>
          <w:lang w:val="en-AU" w:eastAsia="en-AU"/>
        </w:rPr>
        <w:t>Neoschongastia</w:t>
      </w:r>
      <w:r w:rsidRPr="00286A88">
        <w:rPr>
          <w:lang w:val="en-AU" w:eastAsia="en-AU"/>
        </w:rPr>
        <w:t xml:space="preserve"> </w:t>
      </w:r>
      <w:r w:rsidRPr="001C205B">
        <w:rPr>
          <w:lang w:val="en-AU" w:eastAsia="en-AU"/>
        </w:rPr>
        <w:t>spp.</w:t>
      </w:r>
      <w:r w:rsidRPr="00286A88">
        <w:rPr>
          <w:lang w:val="en-AU" w:eastAsia="en-AU"/>
        </w:rPr>
        <w:t>) but mites do not appear to be a significant problem in indoor housed turkey flocks. A survey of the arthropod fauna present in the litter in commercial turkey farms in the US identified mites belonging to two orders and nine families in the growing shed litter and the litter in the brooder shed, but these were not commercially-relevant ectoparasites (Rueda and Axtell, 1997).</w:t>
      </w:r>
    </w:p>
    <w:p w14:paraId="488B4C2A" w14:textId="77777777" w:rsidR="00286A88" w:rsidRPr="00286A88" w:rsidRDefault="00286A88" w:rsidP="0047386D">
      <w:pPr>
        <w:pStyle w:val="Heading41"/>
      </w:pPr>
      <w:r w:rsidRPr="00286A88">
        <w:t>T3.10b Coccidiosis</w:t>
      </w:r>
    </w:p>
    <w:p w14:paraId="22F5CA8A" w14:textId="77777777" w:rsidR="00286A88" w:rsidRPr="00286A88" w:rsidRDefault="00286A88" w:rsidP="0047386D">
      <w:pPr>
        <w:rPr>
          <w:lang w:val="en-AU" w:eastAsia="en-AU"/>
        </w:rPr>
      </w:pPr>
      <w:r w:rsidRPr="00286A88">
        <w:rPr>
          <w:lang w:val="en-AU" w:eastAsia="en-AU"/>
        </w:rPr>
        <w:t xml:space="preserve">Clinical signs of coccidiosis in turkeys are not disease specific (pathognomonic) and include appetite loss, listlessness, huddling, diarrhoea, drooping wings and ruffled feathers </w:t>
      </w:r>
      <w:r w:rsidRPr="00286A88">
        <w:rPr>
          <w:noProof/>
          <w:lang w:val="en-AU" w:eastAsia="en-AU"/>
        </w:rPr>
        <w:t>(Abd El-Wahab et al., 2012b)</w:t>
      </w:r>
      <w:r w:rsidRPr="00286A88">
        <w:rPr>
          <w:lang w:val="en-AU" w:eastAsia="en-AU"/>
        </w:rPr>
        <w:t xml:space="preserve">. Watery excreta is one of the most important signs characterising coccidial infection </w:t>
      </w:r>
      <w:r w:rsidRPr="00286A88">
        <w:rPr>
          <w:noProof/>
          <w:lang w:val="en-AU" w:eastAsia="en-AU"/>
        </w:rPr>
        <w:t>(Abd El-Wahab et al., 2012b)</w:t>
      </w:r>
      <w:r w:rsidRPr="00286A88">
        <w:rPr>
          <w:lang w:val="en-AU" w:eastAsia="en-AU"/>
        </w:rPr>
        <w:t xml:space="preserve">. The process of sporulation appears to be affected by the moisture content and temperature of the litter </w:t>
      </w:r>
      <w:r w:rsidRPr="00286A88">
        <w:rPr>
          <w:noProof/>
          <w:lang w:val="en-AU" w:eastAsia="en-AU"/>
        </w:rPr>
        <w:t>(Abd El-Wahab et al., 2013b)</w:t>
      </w:r>
      <w:r w:rsidRPr="00286A88">
        <w:rPr>
          <w:lang w:val="en-AU" w:eastAsia="en-AU"/>
        </w:rPr>
        <w:t>. Increased litter moisture resulting from coccidial infection also acts as a risk factor for other diseases such as FPD. Pressure to replace the use of anti-coccidial drugs means that many commercial turkeys are now vaccinated at day old (see also LH3.11b and B3.5b).</w:t>
      </w:r>
    </w:p>
    <w:p w14:paraId="4A67DD75" w14:textId="77777777" w:rsidR="00286A88" w:rsidRPr="00286A88" w:rsidRDefault="00286A88" w:rsidP="0047386D">
      <w:pPr>
        <w:pStyle w:val="Heading41"/>
      </w:pPr>
      <w:r w:rsidRPr="00286A88">
        <w:t>T3.10c Worms</w:t>
      </w:r>
    </w:p>
    <w:p w14:paraId="0DA7BCBB" w14:textId="77777777" w:rsidR="00286A88" w:rsidRPr="00286A88" w:rsidRDefault="00286A88" w:rsidP="0047386D">
      <w:pPr>
        <w:rPr>
          <w:lang w:val="en-AU" w:eastAsia="en-AU"/>
        </w:rPr>
      </w:pPr>
      <w:r w:rsidRPr="00286A88">
        <w:rPr>
          <w:lang w:val="en-AU" w:eastAsia="en-AU"/>
        </w:rPr>
        <w:t xml:space="preserve">Turkeys are susceptible to helminth infections.The nematode </w:t>
      </w:r>
      <w:r w:rsidRPr="00286A88">
        <w:rPr>
          <w:i/>
          <w:lang w:val="en-AU" w:eastAsia="en-AU"/>
        </w:rPr>
        <w:t>Heterakis gallinarum</w:t>
      </w:r>
      <w:r w:rsidRPr="00286A88">
        <w:rPr>
          <w:lang w:val="en-AU" w:eastAsia="en-AU"/>
        </w:rPr>
        <w:t xml:space="preserve"> occurred at a prevalence of 70% in Brazilian flocks and infection was associated with chronic inflammatory processes in the ceca detected by histological examination (Brener et al., 2006).</w:t>
      </w:r>
    </w:p>
    <w:p w14:paraId="770002A2" w14:textId="77777777" w:rsidR="00286A88" w:rsidRPr="00286A88" w:rsidRDefault="00286A88" w:rsidP="0047386D">
      <w:pPr>
        <w:pStyle w:val="Heading41"/>
      </w:pPr>
      <w:r w:rsidRPr="00286A88">
        <w:t>T3.10d Protozoa</w:t>
      </w:r>
    </w:p>
    <w:p w14:paraId="5672039A" w14:textId="77777777" w:rsidR="00286A88" w:rsidRPr="00286A88" w:rsidRDefault="00286A88" w:rsidP="0047386D">
      <w:pPr>
        <w:rPr>
          <w:lang w:val="en-AU" w:eastAsia="en-AU"/>
        </w:rPr>
      </w:pPr>
      <w:r w:rsidRPr="00286A88">
        <w:rPr>
          <w:lang w:val="en-AU" w:eastAsia="en-AU"/>
        </w:rPr>
        <w:t xml:space="preserve">The protozoan </w:t>
      </w:r>
      <w:r w:rsidRPr="00286A88">
        <w:rPr>
          <w:i/>
          <w:lang w:val="en-AU" w:eastAsia="en-AU"/>
        </w:rPr>
        <w:t>Histomonas meleagridis</w:t>
      </w:r>
      <w:r w:rsidRPr="00286A88">
        <w:rPr>
          <w:lang w:val="en-AU" w:eastAsia="en-AU"/>
        </w:rPr>
        <w:t xml:space="preserve">, is the cause of enterohepatitis or blackhead in turkeys. It causes severe liver and caecal lesions in infected birds. Contaminated eggs of </w:t>
      </w:r>
      <w:r w:rsidRPr="00286A88">
        <w:rPr>
          <w:i/>
          <w:lang w:val="en-AU" w:eastAsia="en-AU"/>
        </w:rPr>
        <w:t>H</w:t>
      </w:r>
      <w:r w:rsidR="00456E7E">
        <w:rPr>
          <w:i/>
          <w:lang w:val="en-AU" w:eastAsia="en-AU"/>
        </w:rPr>
        <w:t>eterakis</w:t>
      </w:r>
      <w:r w:rsidRPr="00286A88">
        <w:rPr>
          <w:i/>
          <w:lang w:val="en-AU" w:eastAsia="en-AU"/>
        </w:rPr>
        <w:t xml:space="preserve"> gallinarum</w:t>
      </w:r>
      <w:r w:rsidRPr="00286A88">
        <w:rPr>
          <w:lang w:val="en-AU" w:eastAsia="en-AU"/>
        </w:rPr>
        <w:t xml:space="preserve"> act as a vector, hence the two pathogens are found in association (Brener et al., 2006).</w:t>
      </w:r>
    </w:p>
    <w:p w14:paraId="6F01036F" w14:textId="77777777" w:rsidR="00286A88" w:rsidRPr="00286A88" w:rsidRDefault="00286A88" w:rsidP="0047386D">
      <w:pPr>
        <w:pStyle w:val="Heading3"/>
        <w:rPr>
          <w:lang w:val="en-AU" w:eastAsia="en-AU"/>
        </w:rPr>
      </w:pPr>
      <w:bookmarkStart w:id="244" w:name="_Toc495310712"/>
      <w:r w:rsidRPr="00286A88">
        <w:rPr>
          <w:lang w:val="en-AU" w:eastAsia="en-AU"/>
        </w:rPr>
        <w:t>T3.11 Infectious diseases</w:t>
      </w:r>
      <w:bookmarkEnd w:id="244"/>
    </w:p>
    <w:p w14:paraId="14EDA706" w14:textId="77777777" w:rsidR="00286A88" w:rsidRPr="00286A88" w:rsidRDefault="00286A88" w:rsidP="0047386D">
      <w:pPr>
        <w:pStyle w:val="Heading41"/>
      </w:pPr>
      <w:r w:rsidRPr="00286A88">
        <w:t>T3.11a Turkey reoviruses (TRV)</w:t>
      </w:r>
    </w:p>
    <w:p w14:paraId="7C2D41A8" w14:textId="77777777" w:rsidR="00286A88" w:rsidRPr="00286A88" w:rsidRDefault="00286A88" w:rsidP="0047386D">
      <w:pPr>
        <w:rPr>
          <w:lang w:val="en-AU" w:eastAsia="en-AU"/>
        </w:rPr>
      </w:pPr>
      <w:r w:rsidRPr="00286A88">
        <w:rPr>
          <w:lang w:val="en-AU" w:eastAsia="en-AU"/>
        </w:rPr>
        <w:t xml:space="preserve">Turkey reoviruses </w:t>
      </w:r>
      <w:r w:rsidR="00456E7E">
        <w:rPr>
          <w:lang w:val="en-AU" w:eastAsia="en-AU"/>
        </w:rPr>
        <w:t xml:space="preserve">(TRV) </w:t>
      </w:r>
      <w:r w:rsidRPr="00286A88">
        <w:rPr>
          <w:lang w:val="en-AU" w:eastAsia="en-AU"/>
        </w:rPr>
        <w:t xml:space="preserve">can cause arthritis, tenosynovitis and enteric diseases in turkeys, resulting in large economic losses </w:t>
      </w:r>
      <w:r w:rsidRPr="00286A88">
        <w:rPr>
          <w:noProof/>
          <w:lang w:val="en-AU" w:eastAsia="en-AU"/>
        </w:rPr>
        <w:t>(Mor et al., 2015)</w:t>
      </w:r>
      <w:r w:rsidRPr="00286A88">
        <w:rPr>
          <w:lang w:val="en-AU" w:eastAsia="en-AU"/>
        </w:rPr>
        <w:t xml:space="preserve">. In a laboratory study, Mor et al. </w:t>
      </w:r>
      <w:r w:rsidRPr="00286A88">
        <w:rPr>
          <w:noProof/>
          <w:lang w:val="en-AU" w:eastAsia="en-AU"/>
        </w:rPr>
        <w:t>(2015)</w:t>
      </w:r>
      <w:r w:rsidRPr="00286A88">
        <w:rPr>
          <w:lang w:val="en-AU" w:eastAsia="en-AU"/>
        </w:rPr>
        <w:t xml:space="preserve"> found that TRVs were able to survive 9-12 weeks in autoclaved water and 5-7 weeks in autoclaved litter. However, in commercial conditions infected birds will shed virus continuously and the virus may therefore survive the whole life cycle of the flock </w:t>
      </w:r>
      <w:r w:rsidRPr="00286A88">
        <w:rPr>
          <w:noProof/>
          <w:lang w:val="en-AU" w:eastAsia="en-AU"/>
        </w:rPr>
        <w:t>(Mor et al., 2015).</w:t>
      </w:r>
    </w:p>
    <w:p w14:paraId="6F3CB7E0" w14:textId="77777777" w:rsidR="00286A88" w:rsidRPr="00286A88" w:rsidRDefault="00286A88" w:rsidP="0047386D">
      <w:pPr>
        <w:pStyle w:val="Heading41"/>
      </w:pPr>
      <w:r w:rsidRPr="00286A88">
        <w:t>T3.11b Poult enteritis mortality syndrome (PEMS)</w:t>
      </w:r>
    </w:p>
    <w:p w14:paraId="0766F14F" w14:textId="77777777" w:rsidR="00286A88" w:rsidRPr="00286A88" w:rsidRDefault="00286A88" w:rsidP="0047386D">
      <w:pPr>
        <w:rPr>
          <w:lang w:val="en-AU" w:eastAsia="en-AU"/>
        </w:rPr>
      </w:pPr>
      <w:r w:rsidRPr="00286A88">
        <w:rPr>
          <w:lang w:val="en-AU" w:eastAsia="en-AU"/>
        </w:rPr>
        <w:t xml:space="preserve">Poult Enteritis Mortality Syndrome (PEMS) is a clinical syndrome characterised by excess (mortality greater than 2% for any 3 week period during the brooding phase of production) and spiking (mortality greater than 9% for any 3 week period during the brooding phase of production) mortality and is positively associated with turkey coronavirus </w:t>
      </w:r>
      <w:r w:rsidRPr="00286A88">
        <w:rPr>
          <w:noProof/>
          <w:lang w:val="en-AU" w:eastAsia="en-AU"/>
        </w:rPr>
        <w:t>(Carver et al., 2002b)</w:t>
      </w:r>
      <w:r w:rsidRPr="00286A88">
        <w:rPr>
          <w:lang w:val="en-AU" w:eastAsia="en-AU"/>
        </w:rPr>
        <w:t xml:space="preserve">. PEMS had a significant impact on turkey farming in North Carolina, USA, during the 1990s </w:t>
      </w:r>
      <w:r w:rsidRPr="00286A88">
        <w:rPr>
          <w:noProof/>
          <w:lang w:val="en-AU" w:eastAsia="en-AU"/>
        </w:rPr>
        <w:t>(Carver et al., 2002b)</w:t>
      </w:r>
      <w:r w:rsidRPr="00286A88">
        <w:rPr>
          <w:lang w:val="en-AU" w:eastAsia="en-AU"/>
        </w:rPr>
        <w:t xml:space="preserve">. A negative association has been found between PEMS and enhanced rodent control practices with a 10-fold reduction in disease risk if enhanced control practices were in place </w:t>
      </w:r>
      <w:r w:rsidRPr="00286A88">
        <w:rPr>
          <w:noProof/>
          <w:lang w:val="en-AU" w:eastAsia="en-AU"/>
        </w:rPr>
        <w:t>(Carver et al., 2002b)</w:t>
      </w:r>
      <w:r w:rsidRPr="00286A88">
        <w:rPr>
          <w:lang w:val="en-AU" w:eastAsia="en-AU"/>
        </w:rPr>
        <w:t xml:space="preserve">. As this study was based on observational data, causality could not be determined, so it is unknown whether rodents carry PEMS or whether enhanced rodent control is a proxy for other improved management practices </w:t>
      </w:r>
      <w:r w:rsidRPr="00286A88">
        <w:rPr>
          <w:noProof/>
          <w:lang w:val="en-AU" w:eastAsia="en-AU"/>
        </w:rPr>
        <w:t>(Carver et al., 2002b)</w:t>
      </w:r>
      <w:r w:rsidRPr="00286A88">
        <w:rPr>
          <w:lang w:val="en-AU" w:eastAsia="en-AU"/>
        </w:rPr>
        <w:t>. Empirical studies are required to investigate this relationship further.</w:t>
      </w:r>
    </w:p>
    <w:p w14:paraId="13440A97" w14:textId="77777777" w:rsidR="00286A88" w:rsidRPr="00286A88" w:rsidRDefault="00BA6724" w:rsidP="006C7146">
      <w:pPr>
        <w:pStyle w:val="Heading2"/>
        <w:rPr>
          <w:lang w:val="en-AU" w:eastAsia="en-AU"/>
        </w:rPr>
      </w:pPr>
      <w:bookmarkStart w:id="245" w:name="_Toc495310713"/>
      <w:r>
        <w:rPr>
          <w:lang w:val="en-AU" w:eastAsia="en-AU"/>
        </w:rPr>
        <w:t>T4. Facilities and E</w:t>
      </w:r>
      <w:r w:rsidR="00286A88" w:rsidRPr="00286A88">
        <w:rPr>
          <w:lang w:val="en-AU" w:eastAsia="en-AU"/>
        </w:rPr>
        <w:t xml:space="preserve">quipment: Behavioural </w:t>
      </w:r>
      <w:r>
        <w:rPr>
          <w:lang w:val="en-AU" w:eastAsia="en-AU"/>
        </w:rPr>
        <w:t>N</w:t>
      </w:r>
      <w:r w:rsidR="00286A88" w:rsidRPr="00286A88">
        <w:rPr>
          <w:lang w:val="en-AU" w:eastAsia="en-AU"/>
        </w:rPr>
        <w:t>eeds</w:t>
      </w:r>
      <w:bookmarkEnd w:id="245"/>
    </w:p>
    <w:p w14:paraId="345700BF" w14:textId="77777777" w:rsidR="00286A88" w:rsidRPr="006C7146" w:rsidRDefault="00286A88" w:rsidP="006C7146">
      <w:pPr>
        <w:rPr>
          <w:i/>
          <w:lang w:val="en-AU" w:eastAsia="en-AU"/>
        </w:rPr>
      </w:pPr>
      <w:r w:rsidRPr="006C7146">
        <w:rPr>
          <w:i/>
          <w:lang w:val="en-AU" w:eastAsia="en-AU"/>
        </w:rPr>
        <w:t>Unlike domestic chickens, the behavioural needs of domestic turkeys have received very little research attention. The evidence that does exist suggests that like their chicken counterparts, domestic turkeys require the ability to nest, perch, dust-bathe and forage; however the strength of their motivation to perform these behaviours is currently untested.</w:t>
      </w:r>
    </w:p>
    <w:p w14:paraId="08C47A94" w14:textId="77777777" w:rsidR="00286A88" w:rsidRPr="00286A88" w:rsidRDefault="00286A88" w:rsidP="006C7146">
      <w:pPr>
        <w:pStyle w:val="Heading3"/>
        <w:rPr>
          <w:lang w:val="en-AU" w:eastAsia="en-AU"/>
        </w:rPr>
      </w:pPr>
      <w:bookmarkStart w:id="246" w:name="_Toc495310714"/>
      <w:r w:rsidRPr="00286A88">
        <w:rPr>
          <w:lang w:val="en-AU" w:eastAsia="en-AU"/>
        </w:rPr>
        <w:t>T4.1 Behavioural need for a nest</w:t>
      </w:r>
      <w:bookmarkEnd w:id="246"/>
    </w:p>
    <w:p w14:paraId="749F3569" w14:textId="77777777" w:rsidR="00286A88" w:rsidRPr="00286A88" w:rsidRDefault="00286A88" w:rsidP="006C7146">
      <w:pPr>
        <w:rPr>
          <w:lang w:val="en-AU" w:eastAsia="en-AU"/>
        </w:rPr>
      </w:pPr>
      <w:r w:rsidRPr="00286A88">
        <w:rPr>
          <w:lang w:val="en-AU" w:eastAsia="en-AU"/>
        </w:rPr>
        <w:t>Wild turkey hens build nests on which to incubate and raise their chicks.</w:t>
      </w:r>
    </w:p>
    <w:p w14:paraId="1AD0FF73" w14:textId="77777777" w:rsidR="00286A88" w:rsidRPr="00286A88" w:rsidRDefault="00286A88" w:rsidP="006C7146">
      <w:pPr>
        <w:rPr>
          <w:lang w:val="en-AU" w:eastAsia="en-AU"/>
        </w:rPr>
      </w:pPr>
      <w:r w:rsidRPr="00286A88">
        <w:rPr>
          <w:lang w:val="en-AU" w:eastAsia="en-AU"/>
        </w:rPr>
        <w:t>An experimental study comparing incubation behaviour and hormonal parameters in turkey hens exposed to different rearing environments (battery cage without a nest box, individual floor pens with a nestbox and group floor pens with nestboxes), found that environment had a significant influence on both hormones and incubation behaviour (B</w:t>
      </w:r>
      <w:r w:rsidRPr="00286A88">
        <w:rPr>
          <w:rFonts w:cs="Calibri"/>
          <w:lang w:val="en-AU" w:eastAsia="en-AU"/>
        </w:rPr>
        <w:t>é</w:t>
      </w:r>
      <w:r w:rsidRPr="00286A88">
        <w:rPr>
          <w:lang w:val="en-AU" w:eastAsia="en-AU"/>
        </w:rPr>
        <w:t>d</w:t>
      </w:r>
      <w:r w:rsidRPr="00286A88">
        <w:rPr>
          <w:rFonts w:cs="Calibri"/>
          <w:lang w:val="en-AU" w:eastAsia="en-AU"/>
        </w:rPr>
        <w:t>é</w:t>
      </w:r>
      <w:r w:rsidRPr="00286A88">
        <w:rPr>
          <w:lang w:val="en-AU" w:eastAsia="en-AU"/>
        </w:rPr>
        <w:t>carrats et al., 1997). The hens housed in the group pens expressed higher levels of incubation behaviour, higher prolactin levels and laid more eggs in their nestboxes and the authors hypothesised that the greater visual and tactile exposure to eggs and nestboxes may have facilitated this difference (B</w:t>
      </w:r>
      <w:r w:rsidRPr="00286A88">
        <w:rPr>
          <w:rFonts w:cs="Calibri"/>
          <w:lang w:val="en-AU" w:eastAsia="en-AU"/>
        </w:rPr>
        <w:t>é</w:t>
      </w:r>
      <w:r w:rsidRPr="00286A88">
        <w:rPr>
          <w:lang w:val="en-AU" w:eastAsia="en-AU"/>
        </w:rPr>
        <w:t>d</w:t>
      </w:r>
      <w:r w:rsidRPr="00286A88">
        <w:rPr>
          <w:rFonts w:cs="Calibri"/>
          <w:lang w:val="en-AU" w:eastAsia="en-AU"/>
        </w:rPr>
        <w:t>é</w:t>
      </w:r>
      <w:r w:rsidRPr="00286A88">
        <w:rPr>
          <w:lang w:val="en-AU" w:eastAsia="en-AU"/>
        </w:rPr>
        <w:t>carrats et al., 1997). Empirical evidence on turkeys’ need for a nest appears to be lacking. However, given that wild turkey hens place considerable importance on nest site and that experimental studies have demonstrated that turkey hens will use nest boxes if they are provided, this would indicate that turkey breeder hens should have access to some form of nest.</w:t>
      </w:r>
    </w:p>
    <w:p w14:paraId="5EE48D75" w14:textId="77777777" w:rsidR="00286A88" w:rsidRPr="00286A88" w:rsidRDefault="00286A88" w:rsidP="006C7146">
      <w:pPr>
        <w:pStyle w:val="Heading3"/>
        <w:rPr>
          <w:lang w:val="en-AU" w:eastAsia="en-AU"/>
        </w:rPr>
      </w:pPr>
      <w:bookmarkStart w:id="247" w:name="_Toc495310715"/>
      <w:r w:rsidRPr="00286A88">
        <w:rPr>
          <w:lang w:val="en-AU" w:eastAsia="en-AU"/>
        </w:rPr>
        <w:t>T4.2 Behavioural need to perch</w:t>
      </w:r>
      <w:bookmarkEnd w:id="247"/>
    </w:p>
    <w:p w14:paraId="0113A191" w14:textId="77777777" w:rsidR="00286A88" w:rsidRPr="00286A88" w:rsidRDefault="00286A88" w:rsidP="006C7146">
      <w:pPr>
        <w:rPr>
          <w:lang w:val="en-AU" w:eastAsia="en-AU"/>
        </w:rPr>
      </w:pPr>
      <w:r w:rsidRPr="00286A88">
        <w:rPr>
          <w:lang w:val="en-AU" w:eastAsia="en-AU"/>
        </w:rPr>
        <w:t xml:space="preserve">Turkeys are known to roost in the wild </w:t>
      </w:r>
      <w:r w:rsidR="002C6866">
        <w:rPr>
          <w:lang w:val="en-AU" w:eastAsia="en-AU"/>
        </w:rPr>
        <w:t>(Bessei, 1999, cited by Martren</w:t>
      </w:r>
      <w:r w:rsidRPr="00286A88">
        <w:rPr>
          <w:lang w:val="en-AU" w:eastAsia="en-AU"/>
        </w:rPr>
        <w:t>c</w:t>
      </w:r>
      <w:r w:rsidR="002C6866">
        <w:rPr>
          <w:lang w:val="en-AU" w:eastAsia="en-AU"/>
        </w:rPr>
        <w:t>h</w:t>
      </w:r>
      <w:r w:rsidRPr="00286A88">
        <w:rPr>
          <w:lang w:val="en-AU" w:eastAsia="en-AU"/>
        </w:rPr>
        <w:t xml:space="preserve">ar et al., 2001), yet domestic turkeys are not typically provided with any means of performing this behaviour in a commercial setting </w:t>
      </w:r>
      <w:r w:rsidRPr="00286A88">
        <w:rPr>
          <w:noProof/>
          <w:lang w:val="en-AU" w:eastAsia="en-AU"/>
        </w:rPr>
        <w:t>(Martrenchar et al., 2001)</w:t>
      </w:r>
      <w:r w:rsidRPr="00286A88">
        <w:rPr>
          <w:lang w:val="en-AU" w:eastAsia="en-AU"/>
        </w:rPr>
        <w:t xml:space="preserve">. However, when perches are provided, the use of elevated levels as a perching place was significantly higher in the dark periods </w:t>
      </w:r>
      <w:r w:rsidRPr="00286A88">
        <w:rPr>
          <w:noProof/>
          <w:lang w:val="en-AU" w:eastAsia="en-AU"/>
        </w:rPr>
        <w:t>(Berk and Hahn, 2000) suggesting that commercial turkeys will use perches or elevated levels to roost</w:t>
      </w:r>
      <w:r w:rsidRPr="00286A88">
        <w:rPr>
          <w:lang w:val="en-AU" w:eastAsia="en-AU"/>
        </w:rPr>
        <w:t>.</w:t>
      </w:r>
    </w:p>
    <w:p w14:paraId="6929E5E8" w14:textId="77777777" w:rsidR="00286A88" w:rsidRPr="00286A88" w:rsidRDefault="00286A88" w:rsidP="006C7146">
      <w:pPr>
        <w:rPr>
          <w:lang w:val="en-AU" w:eastAsia="en-AU"/>
        </w:rPr>
      </w:pPr>
      <w:r w:rsidRPr="00286A88">
        <w:rPr>
          <w:lang w:val="en-AU" w:eastAsia="en-AU"/>
        </w:rPr>
        <w:t xml:space="preserve">Use of perches and elevated structures by fattening turkeys varies with age, stocking density, light period and the genetic line of the turkey </w:t>
      </w:r>
      <w:r w:rsidRPr="00286A88">
        <w:rPr>
          <w:noProof/>
          <w:lang w:val="en-AU" w:eastAsia="en-AU"/>
        </w:rPr>
        <w:t>(Berk and Hahn, 2000)</w:t>
      </w:r>
      <w:r w:rsidRPr="00286A88">
        <w:rPr>
          <w:lang w:val="en-AU" w:eastAsia="en-AU"/>
        </w:rPr>
        <w:t xml:space="preserve">. However, a higher incidence of hygroma and breast blisters in birds using perches suggests that the compression of this area when perching can negatively impact on bird health, especially in heavy birds </w:t>
      </w:r>
      <w:r w:rsidRPr="00286A88">
        <w:rPr>
          <w:noProof/>
          <w:lang w:val="en-AU" w:eastAsia="en-AU"/>
        </w:rPr>
        <w:t>(Berk and Hahn, 2000)</w:t>
      </w:r>
      <w:r w:rsidRPr="00286A88">
        <w:rPr>
          <w:lang w:val="en-AU" w:eastAsia="en-AU"/>
        </w:rPr>
        <w:t xml:space="preserve">. Consequently, the use of elevated levels rather than perches </w:t>
      </w:r>
      <w:r w:rsidRPr="00286A88">
        <w:rPr>
          <w:i/>
          <w:lang w:val="en-AU" w:eastAsia="en-AU"/>
        </w:rPr>
        <w:t>per se</w:t>
      </w:r>
      <w:r w:rsidRPr="00286A88">
        <w:rPr>
          <w:lang w:val="en-AU" w:eastAsia="en-AU"/>
        </w:rPr>
        <w:t xml:space="preserve"> may be more appropriate for fattening turkeys </w:t>
      </w:r>
      <w:r w:rsidRPr="00286A88">
        <w:rPr>
          <w:noProof/>
          <w:lang w:val="en-AU" w:eastAsia="en-AU"/>
        </w:rPr>
        <w:t>(Berk and Hahn, 2000)</w:t>
      </w:r>
      <w:r w:rsidRPr="00286A88">
        <w:rPr>
          <w:lang w:val="en-AU" w:eastAsia="en-AU"/>
        </w:rPr>
        <w:t>.</w:t>
      </w:r>
    </w:p>
    <w:p w14:paraId="0765D1E6" w14:textId="77777777" w:rsidR="00286A88" w:rsidRPr="00286A88" w:rsidRDefault="00286A88" w:rsidP="006C7146">
      <w:pPr>
        <w:rPr>
          <w:lang w:val="en-AU" w:eastAsia="en-AU"/>
        </w:rPr>
      </w:pPr>
      <w:r w:rsidRPr="00286A88">
        <w:rPr>
          <w:lang w:val="en-AU" w:eastAsia="en-AU"/>
        </w:rPr>
        <w:t xml:space="preserve">Perching activity peaks around 5-7 weeks of age, after which use decreases, most likely due to the increased weight of the birds impacting their mobility </w:t>
      </w:r>
      <w:r w:rsidRPr="00286A88">
        <w:rPr>
          <w:noProof/>
          <w:lang w:val="en-AU" w:eastAsia="en-AU"/>
        </w:rPr>
        <w:t>(Berk and Hahn, 2000)</w:t>
      </w:r>
      <w:r w:rsidRPr="00286A88">
        <w:rPr>
          <w:lang w:val="en-AU" w:eastAsia="en-AU"/>
        </w:rPr>
        <w:t xml:space="preserve">. While a reduction in motivation to perch as age increases cannot be discounted </w:t>
      </w:r>
      <w:r w:rsidRPr="00286A88">
        <w:rPr>
          <w:noProof/>
          <w:lang w:val="en-AU" w:eastAsia="en-AU"/>
        </w:rPr>
        <w:t>(Martrenchar et al., 2001), evidence that older birds will still climb on to straw bales or use wider, lower perches suggests that the motivation persists with age (Sainsbury and Sherwin, 2001). It seems to be the physical constraints imposed by the heavy weight of modern strains that restricts the use of perches in commercial turkeys (</w:t>
      </w:r>
      <w:r w:rsidR="002C6866">
        <w:rPr>
          <w:lang w:val="en-AU" w:eastAsia="en-AU"/>
        </w:rPr>
        <w:t>Bessei, 1999, cited by Martren</w:t>
      </w:r>
      <w:r w:rsidR="00C80942" w:rsidRPr="00286A88">
        <w:rPr>
          <w:lang w:val="en-AU" w:eastAsia="en-AU"/>
        </w:rPr>
        <w:t>char et al., 2001</w:t>
      </w:r>
      <w:r w:rsidRPr="00286A88">
        <w:rPr>
          <w:noProof/>
          <w:lang w:val="en-AU" w:eastAsia="en-AU"/>
        </w:rPr>
        <w:t>)</w:t>
      </w:r>
      <w:r w:rsidRPr="00286A88">
        <w:rPr>
          <w:lang w:val="en-AU" w:eastAsia="en-AU"/>
        </w:rPr>
        <w:t>.</w:t>
      </w:r>
    </w:p>
    <w:p w14:paraId="6832109C" w14:textId="77777777" w:rsidR="00286A88" w:rsidRPr="00286A88" w:rsidRDefault="00286A88" w:rsidP="006C7146">
      <w:pPr>
        <w:pStyle w:val="Heading3"/>
        <w:rPr>
          <w:lang w:val="en-AU" w:eastAsia="en-AU"/>
        </w:rPr>
      </w:pPr>
      <w:bookmarkStart w:id="248" w:name="_Toc495310716"/>
      <w:r w:rsidRPr="00286A88">
        <w:rPr>
          <w:lang w:val="en-AU" w:eastAsia="en-AU"/>
        </w:rPr>
        <w:t>T4.3 Behavioural need to forage</w:t>
      </w:r>
      <w:bookmarkEnd w:id="248"/>
    </w:p>
    <w:p w14:paraId="63B42961" w14:textId="77777777" w:rsidR="00286A88" w:rsidRPr="00286A88" w:rsidRDefault="00286A88" w:rsidP="006C7146">
      <w:pPr>
        <w:rPr>
          <w:lang w:val="en-AU" w:eastAsia="en-AU"/>
        </w:rPr>
      </w:pPr>
      <w:r w:rsidRPr="00286A88">
        <w:rPr>
          <w:lang w:val="en-AU" w:eastAsia="en-AU"/>
        </w:rPr>
        <w:t xml:space="preserve">In commercial systems, the investigative and foraging behaviour of turkeys appears to be almost entirely beak based, rather than the ground scratching observed in other poultry species and in wild turkeys (Hughes and Grigor, 1996). Although environmental pecking reportedly decreases with age (Sherwin and Kelland, 1998), foraging does appear to be a highly motivated behaviour. Indeed, turkeys given access to a pasture on which to forage spend most of their time grazing </w:t>
      </w:r>
      <w:r w:rsidRPr="00286A88">
        <w:rPr>
          <w:noProof/>
          <w:lang w:val="en-AU" w:eastAsia="en-AU"/>
        </w:rPr>
        <w:t>(Karabayir et al., 2008). Lack of foraging opportunities in commercial systems has been associated with the performance of injurious pecking (Dalton et al., 2013).</w:t>
      </w:r>
    </w:p>
    <w:p w14:paraId="11A45FFC" w14:textId="77777777" w:rsidR="00286A88" w:rsidRPr="00286A88" w:rsidRDefault="00286A88" w:rsidP="006C7146">
      <w:pPr>
        <w:rPr>
          <w:lang w:val="en-AU" w:eastAsia="en-AU"/>
        </w:rPr>
      </w:pPr>
      <w:r w:rsidRPr="00286A88">
        <w:rPr>
          <w:lang w:val="en-AU" w:eastAsia="en-AU"/>
        </w:rPr>
        <w:t>One thing that should be noted is that the restrictions imposed by the physical conformation of modern turkey strains has greatly changed their daily time budgets in comparison to lighter strains and their wild counterparts. Only light strains are able to respond to the opportunities provided by free range systems and increase their locomotion and foraging activities (</w:t>
      </w:r>
      <w:r w:rsidR="002C6866">
        <w:rPr>
          <w:lang w:val="en-AU" w:eastAsia="en-AU"/>
        </w:rPr>
        <w:t>Bessei, 1999, cited by Martren</w:t>
      </w:r>
      <w:r w:rsidR="00C80942" w:rsidRPr="00286A88">
        <w:rPr>
          <w:lang w:val="en-AU" w:eastAsia="en-AU"/>
        </w:rPr>
        <w:t>char et al., 2001</w:t>
      </w:r>
      <w:r w:rsidRPr="00286A88">
        <w:rPr>
          <w:lang w:val="en-AU" w:eastAsia="en-AU"/>
        </w:rPr>
        <w:t>).</w:t>
      </w:r>
    </w:p>
    <w:p w14:paraId="6A02EFAE" w14:textId="77777777" w:rsidR="00286A88" w:rsidRPr="00286A88" w:rsidRDefault="00286A88" w:rsidP="006C7146">
      <w:pPr>
        <w:pStyle w:val="Heading3"/>
        <w:rPr>
          <w:lang w:val="en-AU" w:eastAsia="en-AU"/>
        </w:rPr>
      </w:pPr>
      <w:bookmarkStart w:id="249" w:name="_Toc495310717"/>
      <w:r w:rsidRPr="00286A88">
        <w:rPr>
          <w:lang w:val="en-AU" w:eastAsia="en-AU"/>
        </w:rPr>
        <w:t>T4.4 Behavioural need to dust-bathe</w:t>
      </w:r>
      <w:bookmarkEnd w:id="249"/>
    </w:p>
    <w:p w14:paraId="0DB1DBB4" w14:textId="77777777" w:rsidR="00286A88" w:rsidRPr="00286A88" w:rsidRDefault="00286A88" w:rsidP="006C7146">
      <w:pPr>
        <w:rPr>
          <w:lang w:val="en-AU" w:eastAsia="en-AU"/>
        </w:rPr>
      </w:pPr>
      <w:r w:rsidRPr="00286A88">
        <w:rPr>
          <w:lang w:val="en-AU" w:eastAsia="en-AU"/>
        </w:rPr>
        <w:t>When provided with appropriate conditions, for example, fresh shavings, domestic turkeys will engage in dust-bathing (Sherwin and Kelland, 1998) and this behaviour appears to be socially facilitated (Sainsbury and Sherwin, 2001). It is likely that turkeys are unable to perform this behaviour in typical commercial systems due to the formation of a non-friable crust on the litter. The strength of motivation to perform this behaviour in farmed turkeys has yet to be investigated.</w:t>
      </w:r>
    </w:p>
    <w:p w14:paraId="7B4634AC" w14:textId="77777777" w:rsidR="00286A88" w:rsidRPr="00286A88" w:rsidRDefault="00286A88" w:rsidP="006C7146">
      <w:pPr>
        <w:pStyle w:val="Heading3"/>
        <w:rPr>
          <w:lang w:val="en-AU" w:eastAsia="en-AU"/>
        </w:rPr>
      </w:pPr>
      <w:bookmarkStart w:id="250" w:name="_Toc495310718"/>
      <w:r w:rsidRPr="00286A88">
        <w:rPr>
          <w:lang w:val="en-AU" w:eastAsia="en-AU"/>
        </w:rPr>
        <w:t>T4.5 Social behaviour</w:t>
      </w:r>
      <w:bookmarkEnd w:id="250"/>
    </w:p>
    <w:p w14:paraId="4F5F91BC" w14:textId="77777777" w:rsidR="00286A88" w:rsidRPr="00286A88" w:rsidRDefault="00286A88" w:rsidP="006C7146">
      <w:pPr>
        <w:rPr>
          <w:lang w:val="en-AU" w:eastAsia="en-AU"/>
        </w:rPr>
      </w:pPr>
      <w:r w:rsidRPr="00286A88">
        <w:rPr>
          <w:lang w:val="en-AU" w:eastAsia="en-AU"/>
        </w:rPr>
        <w:t xml:space="preserve">Turkeys are highly social birds. In experimental studies turkeys have been found to discriminate against unfamiliar birds, spending more time in close proximity to familiar group members and showing increased aggressive interactions towards unfamiliar birds </w:t>
      </w:r>
      <w:r w:rsidRPr="00286A88">
        <w:rPr>
          <w:noProof/>
          <w:lang w:val="en-AU" w:eastAsia="en-AU"/>
        </w:rPr>
        <w:t>(Buchwalder and Huber-Eicher, 2003; 2005</w:t>
      </w:r>
      <w:r w:rsidR="00CA0BFD">
        <w:rPr>
          <w:noProof/>
          <w:lang w:val="en-AU" w:eastAsia="en-AU"/>
        </w:rPr>
        <w:t>a</w:t>
      </w:r>
      <w:r w:rsidRPr="00286A88">
        <w:rPr>
          <w:noProof/>
          <w:lang w:val="en-AU" w:eastAsia="en-AU"/>
        </w:rPr>
        <w:t>)</w:t>
      </w:r>
      <w:r w:rsidRPr="00286A88">
        <w:rPr>
          <w:lang w:val="en-AU" w:eastAsia="en-AU"/>
        </w:rPr>
        <w:t xml:space="preserve">. Data on the number of individuals that turkeys are capable of recognising is limited, but observations of wild turkeys fighting as groups of 2-20 individuals indicated that non-group members were recognised and rejected (Watts and Stokes, 1971; Williams, 1981; both cited by Buchwalder and Huber-Eicher, 2003). Experimentally, turkeys housed in large groups of 30 showed significantly less aggression to a newly introduced unfamiliar individual than turkeys housed in small groups of 6, suggesting that in larger groups the turkeys are unable to distinguish between familiar and unfamiliar individuals </w:t>
      </w:r>
      <w:r w:rsidRPr="00286A88">
        <w:rPr>
          <w:noProof/>
          <w:lang w:val="en-AU" w:eastAsia="en-AU"/>
        </w:rPr>
        <w:t>(Buchwalder and Huber-Eicher, 2005</w:t>
      </w:r>
      <w:r w:rsidR="00CA0BFD">
        <w:rPr>
          <w:noProof/>
          <w:lang w:val="en-AU" w:eastAsia="en-AU"/>
        </w:rPr>
        <w:t>a</w:t>
      </w:r>
      <w:r w:rsidRPr="00286A88">
        <w:rPr>
          <w:noProof/>
          <w:lang w:val="en-AU" w:eastAsia="en-AU"/>
        </w:rPr>
        <w:t>)</w:t>
      </w:r>
      <w:r w:rsidRPr="00286A88">
        <w:rPr>
          <w:lang w:val="en-AU" w:eastAsia="en-AU"/>
        </w:rPr>
        <w:t xml:space="preserve">. This would imply that distinction between conspecifics is based on individual recognition rather than uniform group characteristics that allow birds to identify group and non-group members </w:t>
      </w:r>
      <w:r w:rsidRPr="00286A88">
        <w:rPr>
          <w:noProof/>
          <w:lang w:val="en-AU" w:eastAsia="en-AU"/>
        </w:rPr>
        <w:t>(Buchwalder and Huber-Eicher, 2005</w:t>
      </w:r>
      <w:r w:rsidR="00CA0BFD">
        <w:rPr>
          <w:noProof/>
          <w:lang w:val="en-AU" w:eastAsia="en-AU"/>
        </w:rPr>
        <w:t>a</w:t>
      </w:r>
      <w:r w:rsidRPr="00286A88">
        <w:rPr>
          <w:noProof/>
          <w:lang w:val="en-AU" w:eastAsia="en-AU"/>
        </w:rPr>
        <w:t>)</w:t>
      </w:r>
      <w:r w:rsidRPr="00286A88">
        <w:rPr>
          <w:lang w:val="en-AU" w:eastAsia="en-AU"/>
        </w:rPr>
        <w:t xml:space="preserve">. The smaller groups of 6 birds established a stable dominance hierarchy based on individual recognition and therefore reacted more aggressively to the introduction of an unfamiliar individual </w:t>
      </w:r>
      <w:r w:rsidRPr="00286A88">
        <w:rPr>
          <w:noProof/>
          <w:lang w:val="en-AU" w:eastAsia="en-AU"/>
        </w:rPr>
        <w:t>(Buchwalder and Huber-Eicher, 2005</w:t>
      </w:r>
      <w:r w:rsidR="00CA0BFD">
        <w:rPr>
          <w:noProof/>
          <w:lang w:val="en-AU" w:eastAsia="en-AU"/>
        </w:rPr>
        <w:t>a</w:t>
      </w:r>
      <w:r w:rsidRPr="00286A88">
        <w:rPr>
          <w:noProof/>
          <w:lang w:val="en-AU" w:eastAsia="en-AU"/>
        </w:rPr>
        <w:t>)</w:t>
      </w:r>
      <w:r w:rsidRPr="00286A88">
        <w:rPr>
          <w:lang w:val="en-AU" w:eastAsia="en-AU"/>
        </w:rPr>
        <w:t>.</w:t>
      </w:r>
    </w:p>
    <w:p w14:paraId="2066BED4" w14:textId="77777777" w:rsidR="00286A88" w:rsidRPr="00286A88" w:rsidRDefault="00286A88" w:rsidP="006C7146">
      <w:pPr>
        <w:rPr>
          <w:lang w:val="en-AU" w:eastAsia="en-AU"/>
        </w:rPr>
      </w:pPr>
      <w:r w:rsidRPr="00286A88">
        <w:rPr>
          <w:lang w:val="en-AU" w:eastAsia="en-AU"/>
        </w:rPr>
        <w:t xml:space="preserve">The distance at which a turkey is no longer able to discriminate conspecifics has been used to explain the relationship between stocking density and aggressive behaviour; birds that are able to retreat a sufficient distance are no longer targeted by the aggressor, hypothetically because they can no longer be individually recognised at this distance </w:t>
      </w:r>
      <w:r w:rsidRPr="00286A88">
        <w:rPr>
          <w:noProof/>
          <w:lang w:val="en-AU" w:eastAsia="en-AU"/>
        </w:rPr>
        <w:t>(Buchwalder and Huber-Eicher, 2004)</w:t>
      </w:r>
      <w:r w:rsidRPr="00286A88">
        <w:rPr>
          <w:lang w:val="en-AU" w:eastAsia="en-AU"/>
        </w:rPr>
        <w:t>. This hypothesis has yet to be substantiated experimentally.</w:t>
      </w:r>
    </w:p>
    <w:p w14:paraId="20B38337" w14:textId="77777777" w:rsidR="00286A88" w:rsidRPr="00286A88" w:rsidRDefault="00286A88" w:rsidP="006C7146">
      <w:pPr>
        <w:rPr>
          <w:lang w:val="en-AU" w:eastAsia="en-AU"/>
        </w:rPr>
      </w:pPr>
      <w:r w:rsidRPr="00286A88">
        <w:rPr>
          <w:lang w:val="en-AU" w:eastAsia="en-AU"/>
        </w:rPr>
        <w:t xml:space="preserve">Under commercial conditions turkeys live in much larger group sizes than their ancestors and it is likely that the increased aggression seen in commercial systems reflects attempts by the birds to establish stable dominance hierarchies within a group that is too large for successful individual recognition </w:t>
      </w:r>
      <w:r w:rsidRPr="00286A88">
        <w:rPr>
          <w:noProof/>
          <w:lang w:val="en-AU" w:eastAsia="en-AU"/>
        </w:rPr>
        <w:t>(Buchwalder and Huber-Eicher, 2005</w:t>
      </w:r>
      <w:r w:rsidR="00CA0BFD">
        <w:rPr>
          <w:noProof/>
          <w:lang w:val="en-AU" w:eastAsia="en-AU"/>
        </w:rPr>
        <w:t>a</w:t>
      </w:r>
      <w:r w:rsidRPr="00286A88">
        <w:rPr>
          <w:noProof/>
          <w:lang w:val="en-AU" w:eastAsia="en-AU"/>
        </w:rPr>
        <w:t>).</w:t>
      </w:r>
    </w:p>
    <w:p w14:paraId="21BD914D" w14:textId="77777777" w:rsidR="00286A88" w:rsidRPr="00286A88" w:rsidRDefault="00286A88" w:rsidP="006C7146">
      <w:pPr>
        <w:pStyle w:val="Heading2"/>
        <w:rPr>
          <w:lang w:val="en-AU" w:eastAsia="en-AU"/>
        </w:rPr>
      </w:pPr>
      <w:bookmarkStart w:id="251" w:name="_Toc495310719"/>
      <w:r w:rsidRPr="00286A88">
        <w:rPr>
          <w:lang w:val="en-AU" w:eastAsia="en-AU"/>
        </w:rPr>
        <w:t xml:space="preserve">T5. Facilities and </w:t>
      </w:r>
      <w:r w:rsidR="00BA6724">
        <w:rPr>
          <w:lang w:val="en-AU" w:eastAsia="en-AU"/>
        </w:rPr>
        <w:t>E</w:t>
      </w:r>
      <w:r w:rsidRPr="00286A88">
        <w:rPr>
          <w:lang w:val="en-AU" w:eastAsia="en-AU"/>
        </w:rPr>
        <w:t xml:space="preserve">quipment: Behavioural </w:t>
      </w:r>
      <w:r w:rsidR="00BA6724">
        <w:rPr>
          <w:lang w:val="en-AU" w:eastAsia="en-AU"/>
        </w:rPr>
        <w:t>U</w:t>
      </w:r>
      <w:r w:rsidRPr="00286A88">
        <w:rPr>
          <w:lang w:val="en-AU" w:eastAsia="en-AU"/>
        </w:rPr>
        <w:t>sage</w:t>
      </w:r>
      <w:bookmarkEnd w:id="251"/>
    </w:p>
    <w:p w14:paraId="007BF2EB" w14:textId="77777777" w:rsidR="00286A88" w:rsidRPr="006C7146" w:rsidRDefault="00286A88" w:rsidP="006C7146">
      <w:pPr>
        <w:rPr>
          <w:i/>
          <w:lang w:val="en-AU" w:eastAsia="en-AU"/>
        </w:rPr>
      </w:pPr>
      <w:r w:rsidRPr="006C7146">
        <w:rPr>
          <w:i/>
          <w:lang w:val="en-AU" w:eastAsia="en-AU"/>
        </w:rPr>
        <w:t>The type of turkey rearing system used has limited impact on behavioural usage as the behaviour of commercial birds is so fundamentally compromised by their fast growth and conformation that they are unable to take full advantage of perches, ranges or other facilities offered. The most critical feature of commercial turkey facilities is litter quality which has a significant impact on the aetiology and severity of painful pathological conditions.</w:t>
      </w:r>
    </w:p>
    <w:p w14:paraId="2E22E0D6" w14:textId="77777777" w:rsidR="00286A88" w:rsidRPr="00286A88" w:rsidRDefault="00286A88" w:rsidP="006C7146">
      <w:pPr>
        <w:rPr>
          <w:lang w:val="en-AU" w:eastAsia="en-AU"/>
        </w:rPr>
      </w:pPr>
      <w:r w:rsidRPr="00286A88">
        <w:rPr>
          <w:lang w:val="en-AU" w:eastAsia="en-AU"/>
        </w:rPr>
        <w:t xml:space="preserve">It has been suggested that the behavioural needs of turkeys cannot be fulfilled while the heavy broad breasted strains are so significantly limited by their conformation (Hirt, 1998, cited by Berk and Hahn, 2000). No continuous influence of housing system on the physical and chemical composition of breast and thigh meat was observed when the carcases of birds with access to perches, free range or neither of these facilities were compared </w:t>
      </w:r>
      <w:r w:rsidRPr="00286A88">
        <w:rPr>
          <w:noProof/>
          <w:lang w:val="en-AU" w:eastAsia="en-AU"/>
        </w:rPr>
        <w:t>(Berk and Hahn, 2000), possibly because the strains compared were unable to make full use of the features offered in the different systems</w:t>
      </w:r>
      <w:r w:rsidRPr="00286A88">
        <w:rPr>
          <w:lang w:val="en-AU" w:eastAsia="en-AU"/>
        </w:rPr>
        <w:t>.</w:t>
      </w:r>
    </w:p>
    <w:p w14:paraId="0B1845D1" w14:textId="77777777" w:rsidR="00286A88" w:rsidRPr="00286A88" w:rsidRDefault="00286A88" w:rsidP="006C7146">
      <w:pPr>
        <w:pStyle w:val="Heading3"/>
        <w:rPr>
          <w:lang w:val="en-AU" w:eastAsia="en-AU"/>
        </w:rPr>
      </w:pPr>
      <w:bookmarkStart w:id="252" w:name="_Toc495310720"/>
      <w:r w:rsidRPr="00286A88">
        <w:rPr>
          <w:lang w:val="en-AU" w:eastAsia="en-AU"/>
        </w:rPr>
        <w:t>T5.1 Indoor systems</w:t>
      </w:r>
      <w:bookmarkEnd w:id="252"/>
    </w:p>
    <w:p w14:paraId="3D3B1A43" w14:textId="77777777" w:rsidR="00286A88" w:rsidRPr="00286A88" w:rsidRDefault="00286A88" w:rsidP="006C7146">
      <w:pPr>
        <w:rPr>
          <w:lang w:val="en-AU" w:eastAsia="en-AU"/>
        </w:rPr>
      </w:pPr>
      <w:r w:rsidRPr="00286A88">
        <w:rPr>
          <w:lang w:val="en-AU" w:eastAsia="en-AU"/>
        </w:rPr>
        <w:t xml:space="preserve">Turkeys are typically reared commercially in either fully enclosed or curtain-sided/pole barns </w:t>
      </w:r>
      <w:r w:rsidRPr="00286A88">
        <w:rPr>
          <w:noProof/>
          <w:lang w:val="en-AU" w:eastAsia="en-AU"/>
        </w:rPr>
        <w:t>(Duggan et al., 2014)</w:t>
      </w:r>
      <w:r w:rsidRPr="00286A88">
        <w:rPr>
          <w:lang w:val="en-AU" w:eastAsia="en-AU"/>
        </w:rPr>
        <w:t xml:space="preserve">. Fully enclosed barns enable greater control over the birds’ environment, while curtain-sided barns allow the birds some exposure to outdoor conditions and natural sunlight </w:t>
      </w:r>
      <w:r w:rsidRPr="00286A88">
        <w:rPr>
          <w:noProof/>
          <w:lang w:val="en-AU" w:eastAsia="en-AU"/>
        </w:rPr>
        <w:t>(Duggan et al., 2014)</w:t>
      </w:r>
      <w:r w:rsidRPr="00286A88">
        <w:rPr>
          <w:lang w:val="en-AU" w:eastAsia="en-AU"/>
        </w:rPr>
        <w:t xml:space="preserve">. Curtain-sided barns have been associated with higher levels of cull and mortality rates and worse feather condition than levels seen in fully enclosed barns </w:t>
      </w:r>
      <w:r w:rsidRPr="00286A88">
        <w:rPr>
          <w:noProof/>
          <w:lang w:val="en-AU" w:eastAsia="en-AU"/>
        </w:rPr>
        <w:t>(Duggan et al., 2014). It should be remembered that the turkey industry has a seasonal component, with some producers only raising turkeys at certain times of year. Turkeys raised for the seasonal market are more frequently housed in pole barns. This is likely to have an impact on the welfare of turkeys in these transient systems as they may lack the investment, for example in ventilation systems, seen in turkey systems used for continuous production and there is a lack of environmental control. This issue does not appear to have received research attention to date.</w:t>
      </w:r>
    </w:p>
    <w:p w14:paraId="1F6B486F" w14:textId="77777777" w:rsidR="00286A88" w:rsidRPr="00286A88" w:rsidRDefault="00286A88" w:rsidP="006C7146">
      <w:pPr>
        <w:pStyle w:val="Heading41"/>
      </w:pPr>
      <w:r w:rsidRPr="00286A88">
        <w:t>T5.1a Litter</w:t>
      </w:r>
    </w:p>
    <w:p w14:paraId="71C67C13" w14:textId="77777777" w:rsidR="00286A88" w:rsidRPr="00286A88" w:rsidRDefault="00286A88" w:rsidP="006C7146">
      <w:pPr>
        <w:rPr>
          <w:lang w:val="en-AU" w:eastAsia="en-AU"/>
        </w:rPr>
      </w:pPr>
      <w:r w:rsidRPr="00286A88">
        <w:rPr>
          <w:lang w:val="en-AU" w:eastAsia="en-AU"/>
        </w:rPr>
        <w:t xml:space="preserve">The quality of the litter in indoor housing systems can greatly impact on the health and welfare of turkeys </w:t>
      </w:r>
      <w:r w:rsidRPr="00286A88">
        <w:rPr>
          <w:noProof/>
          <w:lang w:val="en-AU" w:eastAsia="en-AU"/>
        </w:rPr>
        <w:t>(Slobodzian-Ksenicz et al., 2010; Abd El-Wahab et al., 2011)</w:t>
      </w:r>
      <w:r w:rsidRPr="00286A88">
        <w:rPr>
          <w:lang w:val="en-AU" w:eastAsia="en-AU"/>
        </w:rPr>
        <w:t xml:space="preserve"> and poor quality litter can greatly impede the birds’ ability to perform to their genetic potential </w:t>
      </w:r>
      <w:r w:rsidRPr="00286A88">
        <w:rPr>
          <w:noProof/>
          <w:lang w:val="en-AU" w:eastAsia="en-AU"/>
        </w:rPr>
        <w:t>(Tran et al., 2015)</w:t>
      </w:r>
      <w:r w:rsidRPr="00286A88">
        <w:rPr>
          <w:lang w:val="en-AU" w:eastAsia="en-AU"/>
        </w:rPr>
        <w:t>.</w:t>
      </w:r>
    </w:p>
    <w:p w14:paraId="6692D61E" w14:textId="77777777" w:rsidR="00286A88" w:rsidRPr="00286A88" w:rsidRDefault="00286A88" w:rsidP="006C7146">
      <w:pPr>
        <w:rPr>
          <w:noProof/>
          <w:lang w:val="en-AU" w:eastAsia="en-AU"/>
        </w:rPr>
      </w:pPr>
      <w:r w:rsidRPr="00286A88">
        <w:rPr>
          <w:lang w:val="en-AU" w:eastAsia="en-AU"/>
        </w:rPr>
        <w:t xml:space="preserve">The impact of litter quality on foot pad health is significant since foot pads are in constant contact with the litter throughout the production cycle </w:t>
      </w:r>
      <w:r w:rsidRPr="00286A88">
        <w:rPr>
          <w:noProof/>
          <w:lang w:val="en-AU" w:eastAsia="en-AU"/>
        </w:rPr>
        <w:t xml:space="preserve">(Tran et al., 2015). </w:t>
      </w:r>
      <w:r w:rsidRPr="00286A88">
        <w:rPr>
          <w:lang w:val="en-AU" w:eastAsia="en-AU"/>
        </w:rPr>
        <w:t xml:space="preserve">Turkeys with impaired mobility spend more time sitting, increasing their litter contact time and consequently their risk of skin lesions like breast blisters </w:t>
      </w:r>
      <w:r w:rsidRPr="00286A88">
        <w:rPr>
          <w:noProof/>
          <w:lang w:val="en-AU" w:eastAsia="en-AU"/>
        </w:rPr>
        <w:t>(Vermette et al., 2016). As previously discussed in section T3.7 the moisture content of the litter has particular relevance when it come to foot health.</w:t>
      </w:r>
      <w:r w:rsidRPr="00286A88">
        <w:rPr>
          <w:lang w:val="en-AU" w:eastAsia="en-AU"/>
        </w:rPr>
        <w:t xml:space="preserve"> Even without the added negative implications of FPD, there is evidence that wet litter alone can reduce the welfare of growing turkeys </w:t>
      </w:r>
      <w:r w:rsidRPr="00286A88">
        <w:rPr>
          <w:noProof/>
          <w:lang w:val="en-AU" w:eastAsia="en-AU"/>
        </w:rPr>
        <w:t>(Sinclair et al., 2015)</w:t>
      </w:r>
      <w:r w:rsidRPr="00286A88">
        <w:rPr>
          <w:lang w:val="en-AU" w:eastAsia="en-AU"/>
        </w:rPr>
        <w:t xml:space="preserve">. This finding suggests that wet litter and pain from FPD are confounding factors and this should be considered in future studies </w:t>
      </w:r>
      <w:r w:rsidRPr="00286A88">
        <w:rPr>
          <w:noProof/>
          <w:lang w:val="en-AU" w:eastAsia="en-AU"/>
        </w:rPr>
        <w:t>(Sinclai et al., 2015).</w:t>
      </w:r>
    </w:p>
    <w:p w14:paraId="2A2D286C" w14:textId="77777777" w:rsidR="00286A88" w:rsidRPr="00286A88" w:rsidRDefault="00286A88" w:rsidP="006C7146">
      <w:pPr>
        <w:rPr>
          <w:lang w:val="en-AU" w:eastAsia="en-AU"/>
        </w:rPr>
      </w:pPr>
      <w:r w:rsidRPr="00286A88">
        <w:rPr>
          <w:lang w:val="en-AU" w:eastAsia="en-AU"/>
        </w:rPr>
        <w:t xml:space="preserve">Litter moisture can be affected by a number of factors, including, but not limited to, stocking density, ventilation and drinker design </w:t>
      </w:r>
      <w:r w:rsidRPr="00286A88">
        <w:rPr>
          <w:noProof/>
          <w:lang w:val="en-AU" w:eastAsia="en-AU"/>
        </w:rPr>
        <w:t>(Abd El-Wahab et al., 2012b)</w:t>
      </w:r>
      <w:r w:rsidRPr="00286A88">
        <w:rPr>
          <w:lang w:val="en-AU" w:eastAsia="en-AU"/>
        </w:rPr>
        <w:t xml:space="preserve">, the physical properties of the bedding material including its capacity for water retention, seasonality and nutritional parameters that affect the consistency of excreta </w:t>
      </w:r>
      <w:r w:rsidRPr="00286A88">
        <w:rPr>
          <w:noProof/>
          <w:lang w:val="en-AU" w:eastAsia="en-AU"/>
        </w:rPr>
        <w:t>(Farahat et al., 2013b; Da Costa et al., 2014)</w:t>
      </w:r>
      <w:r w:rsidRPr="00286A88">
        <w:rPr>
          <w:lang w:val="en-AU" w:eastAsia="en-AU"/>
        </w:rPr>
        <w:t xml:space="preserve">. Diarrhoea, for example due to coccidiosis infection, is one of the leading causes of wet litter </w:t>
      </w:r>
      <w:r w:rsidRPr="00286A88">
        <w:rPr>
          <w:noProof/>
          <w:lang w:val="en-AU" w:eastAsia="en-AU"/>
        </w:rPr>
        <w:t>(Abd El-Wahab et al., 2012b)</w:t>
      </w:r>
      <w:r w:rsidRPr="00286A88">
        <w:rPr>
          <w:lang w:val="en-AU" w:eastAsia="en-AU"/>
        </w:rPr>
        <w:t xml:space="preserve">. The critical litter moisture content for the development of FPD lesions is about 35% </w:t>
      </w:r>
      <w:r w:rsidRPr="00286A88">
        <w:rPr>
          <w:noProof/>
          <w:lang w:val="en-AU" w:eastAsia="en-AU"/>
        </w:rPr>
        <w:t>(Abd El-Wahab et al., 2012a).</w:t>
      </w:r>
    </w:p>
    <w:p w14:paraId="217483D0" w14:textId="77777777" w:rsidR="00286A88" w:rsidRPr="00286A88" w:rsidRDefault="00286A88" w:rsidP="006C7146">
      <w:pPr>
        <w:rPr>
          <w:lang w:val="en-AU" w:eastAsia="en-AU"/>
        </w:rPr>
      </w:pPr>
      <w:r w:rsidRPr="00286A88">
        <w:rPr>
          <w:lang w:val="en-AU" w:eastAsia="en-AU"/>
        </w:rPr>
        <w:t xml:space="preserve">In temperate climates wood shavings and cereal straw are commonly provided as litter, rice hulls are often used in tropical climates </w:t>
      </w:r>
      <w:r w:rsidRPr="00286A88">
        <w:rPr>
          <w:noProof/>
          <w:lang w:val="en-AU" w:eastAsia="en-AU"/>
        </w:rPr>
        <w:t>(Mayne et al., 2007b)</w:t>
      </w:r>
      <w:r w:rsidRPr="00286A88">
        <w:rPr>
          <w:lang w:val="en-AU" w:eastAsia="en-AU"/>
        </w:rPr>
        <w:t xml:space="preserve">. Alternate litter materials made from recycled or waste materials from other industries, for example newspaper, cardboard </w:t>
      </w:r>
      <w:r w:rsidRPr="00286A88">
        <w:rPr>
          <w:noProof/>
          <w:lang w:val="en-AU" w:eastAsia="en-AU"/>
        </w:rPr>
        <w:t>(Mayne et al., 2007b)</w:t>
      </w:r>
      <w:r w:rsidRPr="00286A88">
        <w:rPr>
          <w:lang w:val="en-AU" w:eastAsia="en-AU"/>
        </w:rPr>
        <w:t xml:space="preserve"> and dairy waste may also be used </w:t>
      </w:r>
      <w:r w:rsidRPr="00286A88">
        <w:rPr>
          <w:noProof/>
          <w:lang w:val="en-AU" w:eastAsia="en-AU"/>
        </w:rPr>
        <w:t xml:space="preserve">(Frame et al., 2004). </w:t>
      </w:r>
      <w:r w:rsidRPr="00286A88">
        <w:rPr>
          <w:lang w:val="en-AU" w:eastAsia="en-AU"/>
        </w:rPr>
        <w:t xml:space="preserve">Pelletised newspaper was associated with greater moisture absorbency, fewer foot pad abnormalities, lower fungal count, and lower litter associated mortality (thought to be due to birds more easily distinguishing between the dark coloured pellets and light coloured food) in one study </w:t>
      </w:r>
      <w:r w:rsidRPr="00286A88">
        <w:rPr>
          <w:noProof/>
          <w:lang w:val="en-AU" w:eastAsia="en-AU"/>
        </w:rPr>
        <w:t>(Frame et al., 2002)</w:t>
      </w:r>
      <w:r w:rsidRPr="00286A88">
        <w:rPr>
          <w:lang w:val="en-AU" w:eastAsia="en-AU"/>
        </w:rPr>
        <w:t xml:space="preserve">. In contrast composted dairy waste was associated with more foot pad problems by 35 days of age, although there were no subsequent significant differences in mortality or walking ability compared with turkeys kept on pine wood shavings litter for the first 35 days </w:t>
      </w:r>
      <w:r w:rsidRPr="00286A88">
        <w:rPr>
          <w:noProof/>
          <w:lang w:val="en-AU" w:eastAsia="en-AU"/>
        </w:rPr>
        <w:t>(Frame et al., 2004).</w:t>
      </w:r>
    </w:p>
    <w:p w14:paraId="0DF18E78" w14:textId="77777777" w:rsidR="00286A88" w:rsidRPr="00286A88" w:rsidRDefault="00286A88" w:rsidP="006C7146">
      <w:pPr>
        <w:rPr>
          <w:lang w:val="en-AU" w:eastAsia="en-AU"/>
        </w:rPr>
      </w:pPr>
      <w:r w:rsidRPr="00286A88">
        <w:rPr>
          <w:lang w:val="en-AU" w:eastAsia="en-AU"/>
        </w:rPr>
        <w:t xml:space="preserve">Behavioural differences have been observed between turkeys on wet and dry litter, with the poults on wet litter spending a very high proportion of the time sleeping or preening while standing, while birds on dry litter spent more time walking and sitting, the lack of activity on wet litter perhaps reflecting a response to pain arising from inflamed foot pads </w:t>
      </w:r>
      <w:r w:rsidRPr="00286A88">
        <w:rPr>
          <w:noProof/>
          <w:lang w:val="en-AU" w:eastAsia="en-AU"/>
        </w:rPr>
        <w:t>(Hocking and Wu, 2013)</w:t>
      </w:r>
      <w:r w:rsidRPr="00286A88">
        <w:rPr>
          <w:lang w:val="en-AU" w:eastAsia="en-AU"/>
        </w:rPr>
        <w:t xml:space="preserve">. Poults on dry litter exhibited a greater range and complexity of behaviour while the limited range of behaviour seen by the poults on wet litter is similar to the behavioural disruption seen when exposed to stressful situations such as food restriction and disease </w:t>
      </w:r>
      <w:r w:rsidRPr="00286A88">
        <w:rPr>
          <w:noProof/>
          <w:lang w:val="en-AU" w:eastAsia="en-AU"/>
        </w:rPr>
        <w:t>(Hocking and Wu, 2013).</w:t>
      </w:r>
      <w:r w:rsidRPr="00286A88">
        <w:rPr>
          <w:lang w:val="en-AU" w:eastAsia="en-AU"/>
        </w:rPr>
        <w:t xml:space="preserve"> Poults on wet litter also show increased feed intake but lower weight gain, combined with less active behaviour, suggesting that the increased feed intake is not sufficient to compensate for the energy lost maintaining body temperature and mounting an inflammatory response </w:t>
      </w:r>
      <w:r w:rsidRPr="00286A88">
        <w:rPr>
          <w:noProof/>
          <w:lang w:val="en-AU" w:eastAsia="en-AU"/>
        </w:rPr>
        <w:t>(Hocking and Wu, 2013)</w:t>
      </w:r>
      <w:r w:rsidRPr="00286A88">
        <w:rPr>
          <w:lang w:val="en-AU" w:eastAsia="en-AU"/>
        </w:rPr>
        <w:t xml:space="preserve">. Consequently, keeping poults on wet litter not only compromises bird health and welfare but reduces feed conversion efficiency thereby raising production costs </w:t>
      </w:r>
      <w:r w:rsidRPr="00286A88">
        <w:rPr>
          <w:noProof/>
          <w:lang w:val="en-AU" w:eastAsia="en-AU"/>
        </w:rPr>
        <w:t>(Hocking and Wu, 2013).</w:t>
      </w:r>
    </w:p>
    <w:p w14:paraId="06F34526" w14:textId="77777777" w:rsidR="00286A88" w:rsidRPr="00286A88" w:rsidRDefault="00286A88" w:rsidP="006C7146">
      <w:pPr>
        <w:rPr>
          <w:lang w:val="en-AU" w:eastAsia="en-AU"/>
        </w:rPr>
      </w:pPr>
      <w:r w:rsidRPr="00286A88">
        <w:rPr>
          <w:lang w:val="en-AU" w:eastAsia="en-AU"/>
        </w:rPr>
        <w:t xml:space="preserve">Commercial turkeys have a longer period of rearing than commercial chicken broilers </w:t>
      </w:r>
      <w:r w:rsidRPr="00286A88">
        <w:rPr>
          <w:noProof/>
          <w:lang w:val="en-AU" w:eastAsia="en-AU"/>
        </w:rPr>
        <w:t>(Martrenchar et al., 2002)</w:t>
      </w:r>
      <w:r w:rsidRPr="00286A88">
        <w:rPr>
          <w:lang w:val="en-AU" w:eastAsia="en-AU"/>
        </w:rPr>
        <w:t xml:space="preserve">, consequently remaining in contact with suboptimal environmental features like wet litter for a longer duration, therefore litter management has a great bearing on the welfare of turkeys. Although sheds are not cleaned out during the production cycle, or even between production cycles in some cases </w:t>
      </w:r>
      <w:r w:rsidRPr="00286A88">
        <w:rPr>
          <w:noProof/>
          <w:lang w:val="en-AU" w:eastAsia="en-AU"/>
        </w:rPr>
        <w:t>(Thachil et al., 2012)</w:t>
      </w:r>
      <w:r w:rsidRPr="00286A88">
        <w:rPr>
          <w:lang w:val="en-AU" w:eastAsia="en-AU"/>
        </w:rPr>
        <w:t xml:space="preserve">, many farmers add extra litter material. The added depth of litter may retain moisture while a thinner litter layer may be easier to keep dry and maintain, although may provide challenges to meet the thermal requirements of young poults early in production </w:t>
      </w:r>
      <w:r w:rsidRPr="00286A88">
        <w:rPr>
          <w:noProof/>
          <w:lang w:val="en-AU" w:eastAsia="en-AU"/>
        </w:rPr>
        <w:t>(Martrenchar et al., 2002)</w:t>
      </w:r>
      <w:r w:rsidRPr="00286A88">
        <w:rPr>
          <w:lang w:val="en-AU" w:eastAsia="en-AU"/>
        </w:rPr>
        <w:t xml:space="preserve">. Handling and disposing of used litter is becoming increasingly challenging and it has reportedly resulted in many turkey producers reusing litter for more than a year of production </w:t>
      </w:r>
      <w:r w:rsidRPr="00286A88">
        <w:rPr>
          <w:noProof/>
          <w:lang w:val="en-AU" w:eastAsia="en-AU"/>
        </w:rPr>
        <w:t>(Tran et al., 2015), increasing disease risk.</w:t>
      </w:r>
      <w:r w:rsidRPr="00286A88">
        <w:rPr>
          <w:lang w:val="en-AU" w:eastAsia="en-AU"/>
        </w:rPr>
        <w:t xml:space="preserve"> The microbiological load of litter builds up over time and is increased in poor quality litter, exposing birds to health challenges from parasites such as coccidian, other protozoa, fungi, enteric viruses and environmental bacteria (Ritz et al., 2009, cited by Tran et al., 2015).</w:t>
      </w:r>
    </w:p>
    <w:p w14:paraId="3DB07515" w14:textId="77777777" w:rsidR="00286A88" w:rsidRPr="00286A88" w:rsidRDefault="00286A88" w:rsidP="006C7146">
      <w:pPr>
        <w:rPr>
          <w:lang w:val="en-AU" w:eastAsia="en-AU"/>
        </w:rPr>
      </w:pPr>
      <w:r w:rsidRPr="00286A88">
        <w:rPr>
          <w:lang w:val="en-AU" w:eastAsia="en-AU"/>
        </w:rPr>
        <w:t xml:space="preserve">Additives can be used to improve the quality of the litter and the microclimate of the growing shed, and in doing so the health and welfare status of the turkeys </w:t>
      </w:r>
      <w:r w:rsidRPr="00286A88">
        <w:rPr>
          <w:noProof/>
          <w:lang w:val="en-AU" w:eastAsia="en-AU"/>
        </w:rPr>
        <w:t>(Slobodzian-Ksenicz et al., 2008)</w:t>
      </w:r>
      <w:r w:rsidRPr="00286A88">
        <w:rPr>
          <w:lang w:val="en-AU" w:eastAsia="en-AU"/>
        </w:rPr>
        <w:t xml:space="preserve">. The addition of brown coal lowered the air concentration of carbon dioxide and ammonia as well as the relative air and litter humidity in the shed, delayed the development of a crust on the surface of the litter and was associated with lower mortality and higher final weight </w:t>
      </w:r>
      <w:r w:rsidRPr="00286A88">
        <w:rPr>
          <w:noProof/>
          <w:lang w:val="en-AU" w:eastAsia="en-AU"/>
        </w:rPr>
        <w:t>(Slobodzian-Ksenicz et al., 2008)</w:t>
      </w:r>
      <w:r w:rsidRPr="00286A88">
        <w:rPr>
          <w:lang w:val="en-AU" w:eastAsia="en-AU"/>
        </w:rPr>
        <w:t xml:space="preserve">. Similar positive effects have been found with the addition of cellulose </w:t>
      </w:r>
      <w:r w:rsidRPr="00286A88">
        <w:rPr>
          <w:noProof/>
          <w:lang w:val="en-AU" w:eastAsia="en-AU"/>
        </w:rPr>
        <w:t>(Slobodzian-Ksenicz et al., 2010).</w:t>
      </w:r>
    </w:p>
    <w:p w14:paraId="35887BE6" w14:textId="77777777" w:rsidR="00286A88" w:rsidRPr="00286A88" w:rsidRDefault="00286A88" w:rsidP="006C7146">
      <w:pPr>
        <w:rPr>
          <w:lang w:val="en-AU" w:eastAsia="en-AU"/>
        </w:rPr>
      </w:pPr>
      <w:r w:rsidRPr="00286A88">
        <w:rPr>
          <w:lang w:val="en-AU" w:eastAsia="en-AU"/>
        </w:rPr>
        <w:t xml:space="preserve">Poor litter quality is the primary cause of ammonia volatilisation which can have a significant impact on air quality </w:t>
      </w:r>
      <w:r w:rsidRPr="00286A88">
        <w:rPr>
          <w:noProof/>
          <w:lang w:val="en-AU" w:eastAsia="en-AU"/>
        </w:rPr>
        <w:t>(Tran et al., 2015)</w:t>
      </w:r>
      <w:r w:rsidRPr="00286A88">
        <w:rPr>
          <w:lang w:val="en-AU" w:eastAsia="en-AU"/>
        </w:rPr>
        <w:t>. There is a correlation between NH</w:t>
      </w:r>
      <w:r w:rsidRPr="00286A88">
        <w:rPr>
          <w:vertAlign w:val="subscript"/>
          <w:lang w:val="en-AU" w:eastAsia="en-AU"/>
        </w:rPr>
        <w:t>4</w:t>
      </w:r>
      <w:r w:rsidRPr="00286A88">
        <w:rPr>
          <w:lang w:val="en-AU" w:eastAsia="en-AU"/>
        </w:rPr>
        <w:t xml:space="preserve">+ concentrations in litter and the efficiency of feed conversion </w:t>
      </w:r>
      <w:r w:rsidRPr="00286A88">
        <w:rPr>
          <w:noProof/>
          <w:lang w:val="en-AU" w:eastAsia="en-AU"/>
        </w:rPr>
        <w:t>(Tran et al., 2015).</w:t>
      </w:r>
    </w:p>
    <w:p w14:paraId="5005F527" w14:textId="77777777" w:rsidR="00286A88" w:rsidRPr="00286A88" w:rsidRDefault="00286A88" w:rsidP="006C7146">
      <w:pPr>
        <w:pStyle w:val="Heading3"/>
        <w:rPr>
          <w:lang w:val="en-AU" w:eastAsia="en-AU"/>
        </w:rPr>
      </w:pPr>
      <w:bookmarkStart w:id="253" w:name="_Toc495310721"/>
      <w:r w:rsidRPr="00286A88">
        <w:rPr>
          <w:lang w:val="en-AU" w:eastAsia="en-AU"/>
        </w:rPr>
        <w:t>T5.2 Free-range systems</w:t>
      </w:r>
      <w:bookmarkEnd w:id="253"/>
    </w:p>
    <w:p w14:paraId="0F9AC7C4" w14:textId="77777777" w:rsidR="00286A88" w:rsidRPr="00286A88" w:rsidRDefault="00286A88" w:rsidP="006C7146">
      <w:pPr>
        <w:rPr>
          <w:lang w:val="en-AU" w:eastAsia="en-AU"/>
        </w:rPr>
      </w:pPr>
      <w:r w:rsidRPr="00286A88">
        <w:rPr>
          <w:lang w:val="en-AU" w:eastAsia="en-AU"/>
        </w:rPr>
        <w:t xml:space="preserve">Fattening turkeys do make use of access to free range, but this use is limited as their age and body weight increases and their locomotion becomes impaired </w:t>
      </w:r>
      <w:r w:rsidRPr="00286A88">
        <w:rPr>
          <w:noProof/>
          <w:lang w:val="en-AU" w:eastAsia="en-AU"/>
        </w:rPr>
        <w:t>(Berk and Hahn, 2000)</w:t>
      </w:r>
      <w:r w:rsidRPr="00286A88">
        <w:rPr>
          <w:lang w:val="en-AU" w:eastAsia="en-AU"/>
        </w:rPr>
        <w:t>.</w:t>
      </w:r>
    </w:p>
    <w:p w14:paraId="3FEE6193" w14:textId="77777777" w:rsidR="00286A88" w:rsidRPr="00286A88" w:rsidRDefault="00286A88" w:rsidP="006C7146">
      <w:pPr>
        <w:rPr>
          <w:lang w:val="en-AU" w:eastAsia="en-AU"/>
        </w:rPr>
      </w:pPr>
      <w:r w:rsidRPr="00286A88">
        <w:rPr>
          <w:lang w:val="en-AU" w:eastAsia="en-AU"/>
        </w:rPr>
        <w:t xml:space="preserve">There is also evidence that welfare in free range systems may face additional challenges to those faced by indoor housed birds. In comparison to turkeys reared in a commercial and an experimental setup, turkeys reared in a backyard system were found to have compromised immune parameters, perhaps reflecting the stress imposed by exposure to temperature fluctuations and predators </w:t>
      </w:r>
      <w:r w:rsidRPr="00286A88">
        <w:rPr>
          <w:noProof/>
          <w:lang w:val="en-AU" w:eastAsia="en-AU"/>
        </w:rPr>
        <w:t>(Franciosini et al., 2011)</w:t>
      </w:r>
      <w:r w:rsidRPr="00286A88">
        <w:rPr>
          <w:lang w:val="en-AU" w:eastAsia="en-AU"/>
        </w:rPr>
        <w:t>. However, it should be noted that this study used a strain of turkeys genetically selected for and adapted to commercial production in indoor rearing systems and this may not be the case if more traditional strains are used in outdoor systems.</w:t>
      </w:r>
    </w:p>
    <w:p w14:paraId="37222729" w14:textId="77777777" w:rsidR="00286A88" w:rsidRPr="00286A88" w:rsidRDefault="00286A88" w:rsidP="006C7146">
      <w:pPr>
        <w:rPr>
          <w:lang w:val="en-AU" w:eastAsia="en-AU"/>
        </w:rPr>
      </w:pPr>
      <w:r w:rsidRPr="00286A88">
        <w:rPr>
          <w:lang w:val="en-AU" w:eastAsia="en-AU"/>
        </w:rPr>
        <w:t xml:space="preserve">In free-range systems, environmental conditions play an important role in determining the wetness of the litter, and therefore the occurrence of FPD </w:t>
      </w:r>
      <w:r w:rsidRPr="00286A88">
        <w:rPr>
          <w:noProof/>
          <w:lang w:val="en-AU" w:eastAsia="en-AU"/>
        </w:rPr>
        <w:t>(Sarica and Yamak, 2010).</w:t>
      </w:r>
    </w:p>
    <w:p w14:paraId="344512CE" w14:textId="77777777" w:rsidR="00286A88" w:rsidRPr="00286A88" w:rsidRDefault="00286A88" w:rsidP="006C7146">
      <w:pPr>
        <w:pStyle w:val="Heading2"/>
        <w:rPr>
          <w:lang w:val="en-AU" w:eastAsia="en-AU"/>
        </w:rPr>
      </w:pPr>
      <w:bookmarkStart w:id="254" w:name="_Toc495310722"/>
      <w:r w:rsidRPr="00286A88">
        <w:rPr>
          <w:lang w:val="en-AU" w:eastAsia="en-AU"/>
        </w:rPr>
        <w:t>T6. Fear and Distress</w:t>
      </w:r>
      <w:bookmarkEnd w:id="254"/>
    </w:p>
    <w:p w14:paraId="58EF4A8B" w14:textId="77777777" w:rsidR="00286A88" w:rsidRPr="00E878F0" w:rsidRDefault="00286A88" w:rsidP="006C7146">
      <w:pPr>
        <w:rPr>
          <w:i/>
          <w:lang w:val="en-AU" w:eastAsia="en-AU"/>
        </w:rPr>
      </w:pPr>
      <w:r w:rsidRPr="00E878F0">
        <w:rPr>
          <w:i/>
          <w:lang w:val="en-AU" w:eastAsia="en-AU"/>
        </w:rPr>
        <w:t>Fear and distress have received relatively little focused research attention in domestic turkeys in comparison to other farmed poultry species. However, there is no evidence to suggest that turkeys are in any way less likely to experience these negative states than other poultry species.</w:t>
      </w:r>
    </w:p>
    <w:p w14:paraId="6F0B8AF0" w14:textId="77777777" w:rsidR="00286A88" w:rsidRPr="00286A88" w:rsidRDefault="00286A88" w:rsidP="006C7146">
      <w:pPr>
        <w:pStyle w:val="Heading3"/>
        <w:rPr>
          <w:lang w:val="en-AU" w:eastAsia="en-AU"/>
        </w:rPr>
      </w:pPr>
      <w:bookmarkStart w:id="255" w:name="_Toc495310723"/>
      <w:r w:rsidRPr="00286A88">
        <w:rPr>
          <w:lang w:val="en-AU" w:eastAsia="en-AU"/>
        </w:rPr>
        <w:t>T6.1 Stress</w:t>
      </w:r>
      <w:bookmarkEnd w:id="255"/>
    </w:p>
    <w:p w14:paraId="28DE0E3A" w14:textId="77777777" w:rsidR="00286A88" w:rsidRPr="00286A88" w:rsidRDefault="00286A88" w:rsidP="006C7146">
      <w:pPr>
        <w:rPr>
          <w:lang w:val="en-AU" w:eastAsia="en-AU"/>
        </w:rPr>
      </w:pPr>
      <w:r w:rsidRPr="00286A88">
        <w:rPr>
          <w:lang w:val="en-AU" w:eastAsia="en-AU"/>
        </w:rPr>
        <w:t xml:space="preserve">Measures of physiological stress used in chickens, such as plasma corticosterone and H:L ratio are also used in turkeys, e.g. to assess responses to procedures such as toe trimming, beak trimming and desnooding conducted </w:t>
      </w:r>
      <w:r w:rsidRPr="00286A88">
        <w:rPr>
          <w:noProof/>
          <w:lang w:val="en-AU" w:eastAsia="en-AU"/>
        </w:rPr>
        <w:t>in the hatchery (</w:t>
      </w:r>
      <w:r w:rsidR="003D0829">
        <w:rPr>
          <w:noProof/>
          <w:lang w:val="en-AU" w:eastAsia="en-AU"/>
        </w:rPr>
        <w:t xml:space="preserve">see </w:t>
      </w:r>
      <w:r w:rsidRPr="00286A88">
        <w:rPr>
          <w:noProof/>
          <w:lang w:val="en-AU" w:eastAsia="en-AU"/>
        </w:rPr>
        <w:t xml:space="preserve">T8.2) (Donaldson et al., 1991; 1994). Turkeys also show increases in plasma creatine kinase activity in response to stress. Plasma creatine kinase is generally a useful indicator of muscle damage and it was thought that it might be a useful measure of leg weakness. However, high values of plasma creatine kinase may persist </w:t>
      </w:r>
      <w:r w:rsidRPr="00286A88">
        <w:rPr>
          <w:lang w:val="en-AU" w:eastAsia="en-AU"/>
        </w:rPr>
        <w:t xml:space="preserve">for at least 29 hours post stressor, limiting its usefulness for other purposes unless stress can be controlled </w:t>
      </w:r>
      <w:r w:rsidRPr="00286A88">
        <w:rPr>
          <w:noProof/>
          <w:lang w:val="en-AU" w:eastAsia="en-AU"/>
        </w:rPr>
        <w:t>(Reece et al., 2000).</w:t>
      </w:r>
    </w:p>
    <w:p w14:paraId="69D4966B" w14:textId="77777777" w:rsidR="00286A88" w:rsidRPr="00286A88" w:rsidRDefault="00286A88" w:rsidP="006C7146">
      <w:pPr>
        <w:rPr>
          <w:noProof/>
          <w:lang w:val="en-AU" w:eastAsia="en-AU"/>
        </w:rPr>
      </w:pPr>
      <w:r w:rsidRPr="00286A88">
        <w:rPr>
          <w:lang w:val="en-AU" w:eastAsia="en-AU"/>
        </w:rPr>
        <w:t xml:space="preserve">Unfavourable microclimatic conditions (high temperature (31-35 </w:t>
      </w:r>
      <w:r w:rsidRPr="00286A88">
        <w:rPr>
          <w:rFonts w:cs="Calibri"/>
          <w:lang w:val="en-AU" w:eastAsia="en-AU"/>
        </w:rPr>
        <w:t>°</w:t>
      </w:r>
      <w:r w:rsidRPr="00286A88">
        <w:rPr>
          <w:lang w:val="en-AU" w:eastAsia="en-AU"/>
        </w:rPr>
        <w:t xml:space="preserve">C), high humidity (55-57%), high ammoniac concentrations (20 </w:t>
      </w:r>
      <w:r w:rsidRPr="00286A88">
        <w:rPr>
          <w:rFonts w:cs="Calibri"/>
          <w:lang w:val="en-AU" w:eastAsia="en-AU"/>
        </w:rPr>
        <w:t>μg/l) and weak light intensity (21-23 lux)</w:t>
      </w:r>
      <w:r w:rsidRPr="00286A88">
        <w:rPr>
          <w:lang w:val="en-AU" w:eastAsia="en-AU"/>
        </w:rPr>
        <w:t xml:space="preserve"> have been used to create experimentally induced environmental stress in turkeys </w:t>
      </w:r>
      <w:r w:rsidRPr="00286A88">
        <w:rPr>
          <w:noProof/>
          <w:lang w:val="en-AU" w:eastAsia="en-AU"/>
        </w:rPr>
        <w:t>(Stoyanchev, 2007). These environmental stressors were shown to exacerbate symptoms of weakness and paralysis in turkeys that had pre-existing signs of muscular dystrophy (Stoyanchev, 2007).</w:t>
      </w:r>
    </w:p>
    <w:p w14:paraId="1B9B6E6D" w14:textId="77777777" w:rsidR="00286A88" w:rsidRPr="00286A88" w:rsidRDefault="00286A88" w:rsidP="006C7146">
      <w:pPr>
        <w:rPr>
          <w:lang w:val="en-AU" w:eastAsia="en-AU"/>
        </w:rPr>
      </w:pPr>
      <w:r w:rsidRPr="00286A88">
        <w:rPr>
          <w:lang w:val="en-AU" w:eastAsia="en-AU"/>
        </w:rPr>
        <w:t xml:space="preserve">Diuresis (the production of increased urine) is a normal reaction to stress in birds and turkeys are no exception </w:t>
      </w:r>
      <w:r w:rsidRPr="00286A88">
        <w:rPr>
          <w:noProof/>
          <w:lang w:val="en-AU" w:eastAsia="en-AU"/>
        </w:rPr>
        <w:t>(Huff et al., 2014)</w:t>
      </w:r>
      <w:r w:rsidRPr="00286A88">
        <w:rPr>
          <w:lang w:val="en-AU" w:eastAsia="en-AU"/>
        </w:rPr>
        <w:t>. The consequences of this stress response are reduced litter quality due to increased litter moisture and therefore an increased risk of FPD and CD.</w:t>
      </w:r>
    </w:p>
    <w:p w14:paraId="34E80020" w14:textId="77777777" w:rsidR="00286A88" w:rsidRPr="00286A88" w:rsidRDefault="00286A88" w:rsidP="006C7146">
      <w:pPr>
        <w:pStyle w:val="Heading3"/>
        <w:rPr>
          <w:lang w:val="en-AU" w:eastAsia="en-AU"/>
        </w:rPr>
      </w:pPr>
      <w:bookmarkStart w:id="256" w:name="_Toc495310724"/>
      <w:r w:rsidRPr="00286A88">
        <w:rPr>
          <w:lang w:val="en-AU" w:eastAsia="en-AU"/>
        </w:rPr>
        <w:t>T6.2 Fear</w:t>
      </w:r>
      <w:bookmarkEnd w:id="256"/>
    </w:p>
    <w:p w14:paraId="43598BC4" w14:textId="77777777" w:rsidR="00286A88" w:rsidRPr="00286A88" w:rsidRDefault="00286A88" w:rsidP="006C7146">
      <w:pPr>
        <w:rPr>
          <w:lang w:val="en-AU" w:eastAsia="en-AU"/>
        </w:rPr>
      </w:pPr>
      <w:r w:rsidRPr="00286A88">
        <w:rPr>
          <w:lang w:val="en-AU" w:eastAsia="en-AU"/>
        </w:rPr>
        <w:t xml:space="preserve">There has been very little research describing or characterising fear responses in turkeys (Erasmus and Swanson, 2014). Feather raising is one possible fear response </w:t>
      </w:r>
      <w:r w:rsidRPr="00286A88">
        <w:rPr>
          <w:noProof/>
          <w:lang w:val="en-AU" w:eastAsia="en-AU"/>
        </w:rPr>
        <w:t>(Ellerbrock and Knierim, 2002)</w:t>
      </w:r>
      <w:r w:rsidRPr="00286A88">
        <w:rPr>
          <w:lang w:val="en-AU" w:eastAsia="en-AU"/>
        </w:rPr>
        <w:t xml:space="preserve">. Turkeys also exhibit tonic immobility in response to fear/stress, for example flock disruption and handling </w:t>
      </w:r>
      <w:r w:rsidRPr="00286A88">
        <w:rPr>
          <w:noProof/>
          <w:lang w:val="en-AU" w:eastAsia="en-AU"/>
        </w:rPr>
        <w:t>(Vermette et al., 2016). One experimental study found a high level of individual variation in fear responses between birds, with some displaying little or no reaction during testing while others became extremely active and vocal (Erasmus and Swanson, 2014). Responses to fear tests such as open field, novel object, voluntary approach and tonic immobility tests have been used as part of welfare assessments in other poultry species, however such tests have yet to be validated in turkeys. Evidence suggests that the responses of turkeys to open field, tonic immobility and voluntary approach tests are repeatable over time, while responses to novel object tests appeared more variable, indicating that only three of the four tests may have a place in turkey welfare assessments (Erasmus and Swason, 2014).</w:t>
      </w:r>
    </w:p>
    <w:p w14:paraId="5D53A442" w14:textId="77777777" w:rsidR="00286A88" w:rsidRPr="00286A88" w:rsidRDefault="00494BC4" w:rsidP="006C7146">
      <w:pPr>
        <w:pStyle w:val="Heading2"/>
        <w:rPr>
          <w:lang w:val="en-AU" w:eastAsia="en-AU"/>
        </w:rPr>
      </w:pPr>
      <w:r>
        <w:rPr>
          <w:lang w:val="en-AU" w:eastAsia="en-AU"/>
        </w:rPr>
        <w:br w:type="column"/>
      </w:r>
      <w:bookmarkStart w:id="257" w:name="_Toc495310725"/>
      <w:r w:rsidR="00286A88" w:rsidRPr="00286A88">
        <w:rPr>
          <w:lang w:val="en-AU" w:eastAsia="en-AU"/>
        </w:rPr>
        <w:t>T7. Sensory Environment</w:t>
      </w:r>
      <w:bookmarkEnd w:id="257"/>
    </w:p>
    <w:p w14:paraId="6CD171CF" w14:textId="77777777" w:rsidR="00286A88" w:rsidRPr="00286A88" w:rsidRDefault="00286A88" w:rsidP="006C7146">
      <w:pPr>
        <w:pStyle w:val="Heading3"/>
        <w:rPr>
          <w:lang w:val="en-AU" w:eastAsia="en-AU"/>
        </w:rPr>
      </w:pPr>
      <w:bookmarkStart w:id="258" w:name="_Toc495310726"/>
      <w:r w:rsidRPr="00286A88">
        <w:rPr>
          <w:lang w:val="en-AU" w:eastAsia="en-AU"/>
        </w:rPr>
        <w:t>T7.1 Light and vision</w:t>
      </w:r>
      <w:bookmarkEnd w:id="258"/>
    </w:p>
    <w:p w14:paraId="3A07F960" w14:textId="77777777" w:rsidR="00286A88" w:rsidRPr="00E878F0" w:rsidRDefault="00286A88" w:rsidP="006C7146">
      <w:pPr>
        <w:rPr>
          <w:i/>
          <w:lang w:val="en-AU" w:eastAsia="en-AU"/>
        </w:rPr>
      </w:pPr>
      <w:r w:rsidRPr="00E878F0">
        <w:rPr>
          <w:i/>
          <w:lang w:val="en-AU" w:eastAsia="en-AU"/>
        </w:rPr>
        <w:t>The lighting quality and regime imposed on farmed turkeys has been researched more than other aspect of the birds’ sensory environment, probably due to the relationship between light levels and the occurrence of injurious pecking. Turkeys are typically produced at very low light levels in an attempt to control this behaviour which has negative implications for their vision and eye morphology.</w:t>
      </w:r>
    </w:p>
    <w:p w14:paraId="5EF6B65C" w14:textId="77777777" w:rsidR="00286A88" w:rsidRPr="00286A88" w:rsidRDefault="00286A88" w:rsidP="006C7146">
      <w:pPr>
        <w:rPr>
          <w:lang w:val="en-AU" w:eastAsia="en-AU"/>
        </w:rPr>
      </w:pPr>
      <w:r w:rsidRPr="00286A88">
        <w:rPr>
          <w:lang w:val="en-AU" w:eastAsia="en-AU"/>
        </w:rPr>
        <w:t xml:space="preserve">Commercial turkey poult houses are typically maintained at a much lower illuminance than daylight and the spectral powers distributions of the light sources, and colour balance, are of a different quality </w:t>
      </w:r>
      <w:r w:rsidRPr="00286A88">
        <w:rPr>
          <w:noProof/>
          <w:lang w:val="en-AU" w:eastAsia="en-AU"/>
        </w:rPr>
        <w:t>(Barber et al., 2004),</w:t>
      </w:r>
      <w:r w:rsidRPr="00286A88">
        <w:rPr>
          <w:lang w:val="en-AU" w:eastAsia="en-AU"/>
        </w:rPr>
        <w:t xml:space="preserve"> for example they include minimal UV, suggesting that these artificial light sources may be unsuited to the visual ecology of turkeys (Moinard and Sherwin, 1999).</w:t>
      </w:r>
    </w:p>
    <w:p w14:paraId="39BEC323" w14:textId="77777777" w:rsidR="00286A88" w:rsidRPr="00286A88" w:rsidRDefault="00286A88" w:rsidP="006C7146">
      <w:pPr>
        <w:rPr>
          <w:lang w:val="en-AU" w:eastAsia="en-AU"/>
        </w:rPr>
      </w:pPr>
      <w:r w:rsidRPr="00286A88">
        <w:rPr>
          <w:lang w:val="en-AU" w:eastAsia="en-AU"/>
        </w:rPr>
        <w:t xml:space="preserve">A survey of 16 turkey poult houses in the UK found that none of them admitted daylight to their houses; instead the majority used an incandescent, as opposed to fluorescent, light source and did not have a dawn/dusk lighting system in place </w:t>
      </w:r>
      <w:r w:rsidRPr="00286A88">
        <w:rPr>
          <w:noProof/>
          <w:lang w:val="en-AU" w:eastAsia="en-AU"/>
        </w:rPr>
        <w:t>(Barber et al., 2004)</w:t>
      </w:r>
      <w:r w:rsidRPr="00286A88">
        <w:rPr>
          <w:lang w:val="en-AU" w:eastAsia="en-AU"/>
        </w:rPr>
        <w:t>.</w:t>
      </w:r>
    </w:p>
    <w:p w14:paraId="6650D5C7" w14:textId="77777777" w:rsidR="00286A88" w:rsidRPr="00286A88" w:rsidRDefault="00286A88" w:rsidP="006C7146">
      <w:pPr>
        <w:rPr>
          <w:lang w:val="en-AU" w:eastAsia="en-AU"/>
        </w:rPr>
      </w:pPr>
      <w:r w:rsidRPr="00286A88">
        <w:rPr>
          <w:lang w:val="en-AU" w:eastAsia="en-AU"/>
        </w:rPr>
        <w:t xml:space="preserve">Turkey poults show a preference for different light environments at different ages and for different behaviours </w:t>
      </w:r>
      <w:r w:rsidRPr="00286A88">
        <w:rPr>
          <w:noProof/>
          <w:lang w:val="en-AU" w:eastAsia="en-AU"/>
        </w:rPr>
        <w:t>(Barber et al., 2004)</w:t>
      </w:r>
      <w:r w:rsidRPr="00286A88">
        <w:rPr>
          <w:lang w:val="en-AU" w:eastAsia="en-AU"/>
        </w:rPr>
        <w:t xml:space="preserve">. While 2 week old poults significantly prefer environments of 200 lux, at 6 weeks they prefer illuminances greater than 6 lux for inactive behaviour such as resting and perching and illuminances greater than 20 lux for other activities </w:t>
      </w:r>
      <w:r w:rsidRPr="00286A88">
        <w:rPr>
          <w:noProof/>
          <w:lang w:val="en-AU" w:eastAsia="en-AU"/>
        </w:rPr>
        <w:t>(Barber et al., 2004)</w:t>
      </w:r>
      <w:r w:rsidRPr="00286A88">
        <w:rPr>
          <w:lang w:val="en-AU" w:eastAsia="en-AU"/>
        </w:rPr>
        <w:t xml:space="preserve">. However, commercial units rarely use such high illuminances because of the increased risk of injurious pecking </w:t>
      </w:r>
      <w:r w:rsidRPr="00286A88">
        <w:rPr>
          <w:noProof/>
          <w:lang w:val="en-AU" w:eastAsia="en-AU"/>
        </w:rPr>
        <w:t xml:space="preserve">(Barber et al., 2004). </w:t>
      </w:r>
      <w:r w:rsidRPr="00286A88">
        <w:rPr>
          <w:lang w:val="en-AU" w:eastAsia="en-AU"/>
        </w:rPr>
        <w:t xml:space="preserve">Instead the light levels in some turkey houses may be below 1 lux. Such a poorly illuminated environment is highly unnatural and can lead to changes in eye morphology, often severe enough to result in partial or total blindness </w:t>
      </w:r>
      <w:r w:rsidRPr="00286A88">
        <w:rPr>
          <w:noProof/>
          <w:lang w:val="en-AU" w:eastAsia="en-AU"/>
        </w:rPr>
        <w:t>(Buchwalder and Huber-Eicher, 2004).</w:t>
      </w:r>
    </w:p>
    <w:p w14:paraId="462618BF" w14:textId="77777777" w:rsidR="00286A88" w:rsidRPr="00286A88" w:rsidRDefault="00286A88" w:rsidP="006C7146">
      <w:pPr>
        <w:rPr>
          <w:lang w:val="en-AU" w:eastAsia="en-AU"/>
        </w:rPr>
      </w:pPr>
      <w:r w:rsidRPr="00286A88">
        <w:rPr>
          <w:lang w:val="en-AU" w:eastAsia="en-AU"/>
        </w:rPr>
        <w:t xml:space="preserve">Given the diurnal nature of turkeys, it may be appropriate to assume that they possess a cone-based retina similar to that of other diurnal birds </w:t>
      </w:r>
      <w:r w:rsidRPr="00286A88">
        <w:rPr>
          <w:noProof/>
          <w:lang w:val="en-AU" w:eastAsia="en-AU"/>
        </w:rPr>
        <w:t>(Barber et al., 2004)</w:t>
      </w:r>
      <w:r w:rsidRPr="00286A88">
        <w:rPr>
          <w:lang w:val="en-AU" w:eastAsia="en-AU"/>
        </w:rPr>
        <w:t xml:space="preserve"> and there is evidence to suggest that turkeys are sensitive to ultraviolet (UV) radiation (Hart et al., 1999, cited by Lewis et al., 2000). The limited UV radiation in artificially illuminated poultry houses is likely to impair the ability of turkeys to use their UV sensitivity for foraging, and for forming and maintaining social hierarchies </w:t>
      </w:r>
      <w:r w:rsidRPr="00286A88">
        <w:rPr>
          <w:noProof/>
          <w:lang w:val="en-AU" w:eastAsia="en-AU"/>
        </w:rPr>
        <w:t>(Lewis et al., 2000)</w:t>
      </w:r>
      <w:r w:rsidRPr="00286A88">
        <w:rPr>
          <w:lang w:val="en-AU" w:eastAsia="en-AU"/>
        </w:rPr>
        <w:t xml:space="preserve">. In experimental conditions, providing UV radiation throughout the whole growing period prevented injurious pecking in intact (untouched toes, beaks and snoods) male turkeys during the period of sexual maturation, and the benefits are increased if environmental enrichment (straw) is also provided </w:t>
      </w:r>
      <w:r w:rsidRPr="00286A88">
        <w:rPr>
          <w:noProof/>
          <w:lang w:val="en-AU" w:eastAsia="en-AU"/>
        </w:rPr>
        <w:t>(Lewis et al., 2000)</w:t>
      </w:r>
      <w:r w:rsidRPr="00286A88">
        <w:rPr>
          <w:lang w:val="en-AU" w:eastAsia="en-AU"/>
        </w:rPr>
        <w:t>.</w:t>
      </w:r>
    </w:p>
    <w:p w14:paraId="3E902EFA" w14:textId="77777777" w:rsidR="00286A88" w:rsidRPr="00286A88" w:rsidRDefault="00286A88" w:rsidP="006C7146">
      <w:pPr>
        <w:rPr>
          <w:lang w:val="en-AU" w:eastAsia="en-AU"/>
        </w:rPr>
      </w:pPr>
      <w:r w:rsidRPr="00286A88">
        <w:rPr>
          <w:lang w:val="en-AU" w:eastAsia="en-AU"/>
        </w:rPr>
        <w:t xml:space="preserve">Day length can influence behaviour, the incidence of skeletal abnormalities, mobility, growth and eye health, and so ultimately the welfare of domestic birds </w:t>
      </w:r>
      <w:r w:rsidRPr="00286A88">
        <w:rPr>
          <w:noProof/>
          <w:lang w:val="en-AU" w:eastAsia="en-AU"/>
        </w:rPr>
        <w:t>(Vermette et al., 2016)</w:t>
      </w:r>
      <w:r w:rsidRPr="00286A88">
        <w:rPr>
          <w:lang w:val="en-AU" w:eastAsia="en-AU"/>
        </w:rPr>
        <w:t xml:space="preserve">. Day length still has an impact, even when lighting programs are maintained at low light intensities (2 lux) </w:t>
      </w:r>
      <w:r w:rsidRPr="00286A88">
        <w:rPr>
          <w:noProof/>
          <w:lang w:val="en-AU" w:eastAsia="en-AU"/>
        </w:rPr>
        <w:t>(Vermette et al., 2016)</w:t>
      </w:r>
      <w:r w:rsidRPr="00286A88">
        <w:rPr>
          <w:lang w:val="en-AU" w:eastAsia="en-AU"/>
        </w:rPr>
        <w:t xml:space="preserve">. Day length has a more pronounced effect on the welfare of toms than hens, but linear effects on mobility, breast blisters and altered eye size were noted for both toms and hens in one study that considered daylengths of 14 to 23h </w:t>
      </w:r>
      <w:r w:rsidRPr="00286A88">
        <w:rPr>
          <w:noProof/>
          <w:lang w:val="en-AU" w:eastAsia="en-AU"/>
        </w:rPr>
        <w:t>(Vermette et al., 2016)</w:t>
      </w:r>
      <w:r w:rsidRPr="00286A88">
        <w:rPr>
          <w:lang w:val="en-AU" w:eastAsia="en-AU"/>
        </w:rPr>
        <w:t xml:space="preserve">. Behaviour was only measured in toms, but the reduction in active behaviours and increase in resting suggests that the toms were experiencing lethargy and a lack of ability or motivation to perform some behaviours with increasing day length </w:t>
      </w:r>
      <w:r w:rsidRPr="00286A88">
        <w:rPr>
          <w:noProof/>
          <w:lang w:val="en-AU" w:eastAsia="en-AU"/>
        </w:rPr>
        <w:t>(Vermette et al., 2016).</w:t>
      </w:r>
    </w:p>
    <w:p w14:paraId="3C67139F" w14:textId="77777777" w:rsidR="00286A88" w:rsidRPr="00286A88" w:rsidRDefault="00286A88" w:rsidP="006C7146">
      <w:pPr>
        <w:rPr>
          <w:lang w:val="en-AU" w:eastAsia="en-AU"/>
        </w:rPr>
      </w:pPr>
      <w:r w:rsidRPr="00286A88">
        <w:rPr>
          <w:lang w:val="en-AU" w:eastAsia="en-AU"/>
        </w:rPr>
        <w:t>Sexual maturity in turkeys reared for egg production is stimulated by extending the photoperiod from under 8 hours to over 12 hours of light, with the onset of sexual maturity occurring 14 days after the change in photoperiod (B</w:t>
      </w:r>
      <w:r w:rsidRPr="00286A88">
        <w:rPr>
          <w:rFonts w:cs="Calibri"/>
          <w:lang w:val="en-AU" w:eastAsia="en-AU"/>
        </w:rPr>
        <w:t>é</w:t>
      </w:r>
      <w:r w:rsidRPr="00286A88">
        <w:rPr>
          <w:lang w:val="en-AU" w:eastAsia="en-AU"/>
        </w:rPr>
        <w:t>d</w:t>
      </w:r>
      <w:r w:rsidRPr="00286A88">
        <w:rPr>
          <w:rFonts w:cs="Calibri"/>
          <w:lang w:val="en-AU" w:eastAsia="en-AU"/>
        </w:rPr>
        <w:t>é</w:t>
      </w:r>
      <w:r w:rsidRPr="00286A88">
        <w:rPr>
          <w:lang w:val="en-AU" w:eastAsia="en-AU"/>
        </w:rPr>
        <w:t>carrats et al., 1997).</w:t>
      </w:r>
    </w:p>
    <w:p w14:paraId="59689CB1" w14:textId="77777777" w:rsidR="00286A88" w:rsidRPr="00286A88" w:rsidRDefault="00286A88" w:rsidP="006C7146">
      <w:pPr>
        <w:pStyle w:val="Heading3"/>
        <w:rPr>
          <w:lang w:val="en-AU" w:eastAsia="en-AU"/>
        </w:rPr>
      </w:pPr>
      <w:bookmarkStart w:id="259" w:name="_Toc495310727"/>
      <w:r w:rsidRPr="00286A88">
        <w:rPr>
          <w:lang w:val="en-AU" w:eastAsia="en-AU"/>
        </w:rPr>
        <w:t>T7.2 Sound, noise and hearing</w:t>
      </w:r>
      <w:bookmarkEnd w:id="259"/>
    </w:p>
    <w:p w14:paraId="1D501BA7" w14:textId="77777777" w:rsidR="00286A88" w:rsidRPr="00286A88" w:rsidRDefault="00286A88" w:rsidP="006C7146">
      <w:pPr>
        <w:rPr>
          <w:lang w:val="en-AU" w:eastAsia="en-AU"/>
        </w:rPr>
      </w:pPr>
      <w:r w:rsidRPr="00286A88">
        <w:rPr>
          <w:lang w:val="en-AU" w:eastAsia="en-AU"/>
        </w:rPr>
        <w:t>Wild turkeys are highly vocal and perform a wide repertoire of calls (Sainsbury and Sherwin, 2001). Some domestic turkeys become extremely vocal during fear tests (Erasmus and Swanson, 2014), indicating that the use of vocalisations has not diminished in domestic birds. That said, the acoustic abilities of turkeys and the impact of sound on turkey welfare lack research attention.</w:t>
      </w:r>
    </w:p>
    <w:p w14:paraId="254197FB" w14:textId="77777777" w:rsidR="00286A88" w:rsidRPr="00286A88" w:rsidRDefault="00286A88" w:rsidP="006C7146">
      <w:pPr>
        <w:pStyle w:val="Heading3"/>
        <w:rPr>
          <w:lang w:val="en-AU" w:eastAsia="en-AU"/>
        </w:rPr>
      </w:pPr>
      <w:bookmarkStart w:id="260" w:name="_Toc495310728"/>
      <w:r w:rsidRPr="00286A88">
        <w:rPr>
          <w:lang w:val="en-AU" w:eastAsia="en-AU"/>
        </w:rPr>
        <w:t>T7.3 Thermal comfort</w:t>
      </w:r>
      <w:bookmarkEnd w:id="260"/>
    </w:p>
    <w:p w14:paraId="60704881" w14:textId="77777777" w:rsidR="00286A88" w:rsidRPr="006C7146" w:rsidRDefault="00286A88" w:rsidP="006C7146">
      <w:pPr>
        <w:rPr>
          <w:i/>
          <w:lang w:val="en-AU" w:eastAsia="en-AU"/>
        </w:rPr>
      </w:pPr>
      <w:r w:rsidRPr="006C7146">
        <w:rPr>
          <w:i/>
          <w:lang w:val="en-AU" w:eastAsia="en-AU"/>
        </w:rPr>
        <w:t>Heat stress is a potential problem for turkeys, particularly at high stocking densities where behavioural cooling strategies may be restricted.</w:t>
      </w:r>
    </w:p>
    <w:p w14:paraId="4E9A7246" w14:textId="77777777" w:rsidR="00286A88" w:rsidRPr="00286A88" w:rsidRDefault="00286A88" w:rsidP="006C7146">
      <w:pPr>
        <w:rPr>
          <w:lang w:val="en-AU" w:eastAsia="en-AU"/>
        </w:rPr>
      </w:pPr>
      <w:r w:rsidRPr="00286A88">
        <w:rPr>
          <w:lang w:val="en-AU" w:eastAsia="en-AU"/>
        </w:rPr>
        <w:t xml:space="preserve">With the improvements seen in growth performance, feed conversion and livability of fast growing meat turkeys in recent decades, has been a corresponding increase in metabolic rate and therefore in heat production, and with it the additional challenge for the turkeys of coping with extreme environmental conditions </w:t>
      </w:r>
      <w:r w:rsidRPr="00286A88">
        <w:rPr>
          <w:noProof/>
          <w:lang w:val="en-AU" w:eastAsia="en-AU"/>
        </w:rPr>
        <w:t>(Yahav et al., 2008; Mendes et al., 2013)</w:t>
      </w:r>
      <w:r w:rsidRPr="00286A88">
        <w:rPr>
          <w:lang w:val="en-AU" w:eastAsia="en-AU"/>
        </w:rPr>
        <w:t>.</w:t>
      </w:r>
    </w:p>
    <w:p w14:paraId="161ED979" w14:textId="77777777" w:rsidR="00286A88" w:rsidRPr="00286A88" w:rsidRDefault="00286A88" w:rsidP="006C7146">
      <w:pPr>
        <w:rPr>
          <w:lang w:val="en-AU" w:eastAsia="en-AU"/>
        </w:rPr>
      </w:pPr>
      <w:r w:rsidRPr="00286A88">
        <w:rPr>
          <w:lang w:val="en-AU" w:eastAsia="en-AU"/>
        </w:rPr>
        <w:t xml:space="preserve">Turkey poults are susceptible to heat stress, particularly the heavy fast-growing males </w:t>
      </w:r>
      <w:r w:rsidRPr="00286A88">
        <w:rPr>
          <w:noProof/>
          <w:lang w:val="en-AU" w:eastAsia="en-AU"/>
        </w:rPr>
        <w:t>(Jankowski et al., 2015)</w:t>
      </w:r>
      <w:r w:rsidRPr="00286A88">
        <w:rPr>
          <w:lang w:val="en-AU" w:eastAsia="en-AU"/>
        </w:rPr>
        <w:t xml:space="preserve"> and heat stress is a major welfare problem in the poultry industry </w:t>
      </w:r>
      <w:r w:rsidRPr="00286A88">
        <w:rPr>
          <w:noProof/>
          <w:lang w:val="en-AU" w:eastAsia="en-AU"/>
        </w:rPr>
        <w:t>(Konca, et al., 2008)</w:t>
      </w:r>
      <w:r w:rsidRPr="00286A88">
        <w:rPr>
          <w:lang w:val="en-AU" w:eastAsia="en-AU"/>
        </w:rPr>
        <w:t>. It has been suggested that turkeys are less sensitive to heat stress than other poult species due to their ability to dissipate heat from their wattles (Yahav, 1998; 1999, both cited by Konca et al., 2008).</w:t>
      </w:r>
    </w:p>
    <w:p w14:paraId="3889BBF7" w14:textId="77777777" w:rsidR="00286A88" w:rsidRPr="00286A88" w:rsidRDefault="00286A88" w:rsidP="006C7146">
      <w:pPr>
        <w:rPr>
          <w:lang w:val="en-AU" w:eastAsia="en-AU"/>
        </w:rPr>
      </w:pPr>
      <w:r w:rsidRPr="00286A88">
        <w:rPr>
          <w:lang w:val="en-AU" w:eastAsia="en-AU"/>
        </w:rPr>
        <w:t xml:space="preserve">Turkeys use compound ventilation, a combination of breathing and panting (Brown-Brandl et al., 1997, cited by Yahav et al., 2000), to cope with high ambient temperature and relative humidity, and they have more efficient renal bicarbonate compensation than chickens, meaning they are more resistant to changes in their blood acid-base </w:t>
      </w:r>
      <w:r w:rsidRPr="00286A88">
        <w:rPr>
          <w:noProof/>
          <w:lang w:val="en-AU" w:eastAsia="en-AU"/>
        </w:rPr>
        <w:t>(Yahav, 2000). Behaviourally, turkeys cope with high ambient temperatures by reducing feed intake, increasing water intake and excretion, spreading and dropping wings to expose unfeathered areas, reducing physical activity and increasing panting (Veldkamp et al., 2002).</w:t>
      </w:r>
    </w:p>
    <w:p w14:paraId="16FCD7BD" w14:textId="77777777" w:rsidR="00286A88" w:rsidRPr="00286A88" w:rsidRDefault="00286A88" w:rsidP="006C7146">
      <w:pPr>
        <w:rPr>
          <w:lang w:val="en-AU" w:eastAsia="en-AU"/>
        </w:rPr>
      </w:pPr>
      <w:r w:rsidRPr="00286A88">
        <w:rPr>
          <w:lang w:val="en-AU" w:eastAsia="en-AU"/>
        </w:rPr>
        <w:t xml:space="preserve">Ventilation system also has an impact on the thermal comfort of indoor housed turkeys. Inadequate ventilation of humid air can increase ammonia levels and the moisture content of the litter, leading to elevated prevalence of FPD </w:t>
      </w:r>
      <w:r w:rsidRPr="00286A88">
        <w:rPr>
          <w:noProof/>
          <w:lang w:val="en-AU" w:eastAsia="en-AU"/>
        </w:rPr>
        <w:t>(Martrenchar et al., 2002; Dalton et al., 2016).</w:t>
      </w:r>
    </w:p>
    <w:p w14:paraId="7CED1B70" w14:textId="77777777" w:rsidR="00286A88" w:rsidRPr="00286A88" w:rsidRDefault="00286A88" w:rsidP="006C7146">
      <w:pPr>
        <w:rPr>
          <w:lang w:val="en-AU" w:eastAsia="en-AU"/>
        </w:rPr>
      </w:pPr>
      <w:r w:rsidRPr="00286A88">
        <w:rPr>
          <w:lang w:val="en-AU" w:eastAsia="en-AU"/>
        </w:rPr>
        <w:t xml:space="preserve">In a comparison of positive and negative pressure ventilation systems, no influence on carbon dioxide levels was found, although the positive pressure system provided less aversive temperature and humidity conditions as well as improving feed conversion </w:t>
      </w:r>
      <w:r w:rsidRPr="00286A88">
        <w:rPr>
          <w:noProof/>
          <w:lang w:val="en-AU" w:eastAsia="en-AU"/>
        </w:rPr>
        <w:t>(Mendes e</w:t>
      </w:r>
      <w:r w:rsidR="00ED1104">
        <w:rPr>
          <w:noProof/>
          <w:lang w:val="en-AU" w:eastAsia="en-AU"/>
        </w:rPr>
        <w:t>t</w:t>
      </w:r>
      <w:r w:rsidRPr="00286A88">
        <w:rPr>
          <w:noProof/>
          <w:lang w:val="en-AU" w:eastAsia="en-AU"/>
        </w:rPr>
        <w:t xml:space="preserve"> al., 2013).</w:t>
      </w:r>
    </w:p>
    <w:p w14:paraId="2F429738" w14:textId="77777777" w:rsidR="00286A88" w:rsidRPr="00286A88" w:rsidRDefault="00286A88" w:rsidP="006C7146">
      <w:pPr>
        <w:rPr>
          <w:lang w:val="en-AU" w:eastAsia="en-AU"/>
        </w:rPr>
      </w:pPr>
      <w:r w:rsidRPr="00286A88">
        <w:rPr>
          <w:lang w:val="en-AU" w:eastAsia="en-AU"/>
        </w:rPr>
        <w:t xml:space="preserve">Air velocity plays an important role in the performance and thermoregulation of young turkeys </w:t>
      </w:r>
      <w:r w:rsidRPr="00286A88">
        <w:rPr>
          <w:noProof/>
          <w:lang w:val="en-AU" w:eastAsia="en-AU"/>
        </w:rPr>
        <w:t>(Yahav et al., 2008)</w:t>
      </w:r>
      <w:r w:rsidRPr="00286A88">
        <w:rPr>
          <w:lang w:val="en-AU" w:eastAsia="en-AU"/>
        </w:rPr>
        <w:t xml:space="preserve">. Ambient temperature of 30 </w:t>
      </w:r>
      <w:r w:rsidRPr="00286A88">
        <w:rPr>
          <w:rFonts w:cs="Calibri"/>
          <w:lang w:val="en-AU" w:eastAsia="en-AU"/>
        </w:rPr>
        <w:t>°</w:t>
      </w:r>
      <w:r w:rsidRPr="00286A88">
        <w:rPr>
          <w:lang w:val="en-AU" w:eastAsia="en-AU"/>
        </w:rPr>
        <w:t xml:space="preserve">C coupled with air velocity from 1.5-2.5 m/s represents an optimal combination of conditions for young turkey performance in experimental conditions </w:t>
      </w:r>
      <w:r w:rsidRPr="00286A88">
        <w:rPr>
          <w:noProof/>
          <w:lang w:val="en-AU" w:eastAsia="en-AU"/>
        </w:rPr>
        <w:t>(Yahav et al., 2008).</w:t>
      </w:r>
    </w:p>
    <w:p w14:paraId="28AFF8D1" w14:textId="77777777" w:rsidR="00286A88" w:rsidRPr="00286A88" w:rsidRDefault="00286A88" w:rsidP="006C7146">
      <w:pPr>
        <w:pStyle w:val="Heading2"/>
        <w:rPr>
          <w:lang w:val="en-AU" w:eastAsia="en-AU"/>
        </w:rPr>
      </w:pPr>
      <w:bookmarkStart w:id="261" w:name="_Toc495310729"/>
      <w:r w:rsidRPr="00286A88">
        <w:rPr>
          <w:lang w:val="en-AU" w:eastAsia="en-AU"/>
        </w:rPr>
        <w:t>T8. Management and Handling</w:t>
      </w:r>
      <w:bookmarkEnd w:id="261"/>
    </w:p>
    <w:p w14:paraId="01E9299E" w14:textId="77777777" w:rsidR="00286A88" w:rsidRPr="00286A88" w:rsidRDefault="00286A88" w:rsidP="006C7146">
      <w:pPr>
        <w:pStyle w:val="Heading3"/>
        <w:rPr>
          <w:lang w:val="en-AU" w:eastAsia="en-AU"/>
        </w:rPr>
      </w:pPr>
      <w:bookmarkStart w:id="262" w:name="_Toc495310730"/>
      <w:r w:rsidRPr="00286A88">
        <w:rPr>
          <w:lang w:val="en-AU" w:eastAsia="en-AU"/>
        </w:rPr>
        <w:t>T8.1 Stocking density and group size</w:t>
      </w:r>
      <w:bookmarkEnd w:id="262"/>
    </w:p>
    <w:p w14:paraId="68EE5502" w14:textId="77777777" w:rsidR="00286A88" w:rsidRPr="006C7146" w:rsidRDefault="00286A88" w:rsidP="006C7146">
      <w:pPr>
        <w:rPr>
          <w:b/>
          <w:i/>
          <w:lang w:val="en-AU" w:eastAsia="en-AU"/>
        </w:rPr>
      </w:pPr>
      <w:r w:rsidRPr="006C7146">
        <w:rPr>
          <w:i/>
          <w:lang w:val="en-AU" w:eastAsia="en-AU"/>
        </w:rPr>
        <w:t>High stocking density is strongly associated with increased aggression, reduced litter quality and an increased risk of heat stress (T6.1) and foot pad dermatitis (T3.7).</w:t>
      </w:r>
    </w:p>
    <w:p w14:paraId="1A4019EE" w14:textId="77777777" w:rsidR="00286A88" w:rsidRPr="00286A88" w:rsidRDefault="00286A88" w:rsidP="006C7146">
      <w:pPr>
        <w:rPr>
          <w:lang w:val="en-AU" w:eastAsia="en-AU"/>
        </w:rPr>
      </w:pPr>
      <w:r w:rsidRPr="00286A88">
        <w:rPr>
          <w:lang w:val="en-AU" w:eastAsia="en-AU"/>
        </w:rPr>
        <w:t xml:space="preserve">Stocking density of growing poults changes with age and higher densities can adversely affect growth rate and mortality </w:t>
      </w:r>
      <w:r w:rsidRPr="00286A88">
        <w:rPr>
          <w:noProof/>
          <w:lang w:val="en-AU" w:eastAsia="en-AU"/>
        </w:rPr>
        <w:t xml:space="preserve">(Berk and Hahn, 2000) and </w:t>
      </w:r>
      <w:r w:rsidRPr="00286A88">
        <w:rPr>
          <w:lang w:val="en-AU" w:eastAsia="en-AU"/>
        </w:rPr>
        <w:t xml:space="preserve">lead to the accumulation of heat in sheds increasing the risk of heat stress and hyperthermia </w:t>
      </w:r>
      <w:r w:rsidRPr="00286A88">
        <w:rPr>
          <w:noProof/>
          <w:lang w:val="en-AU" w:eastAsia="en-AU"/>
        </w:rPr>
        <w:t>(Jankowski et al., 2015)</w:t>
      </w:r>
      <w:r w:rsidRPr="00286A88">
        <w:rPr>
          <w:lang w:val="en-AU" w:eastAsia="en-AU"/>
        </w:rPr>
        <w:t>. These environmental factors negatively impact the skeletal properties of poults through a combination of decreased activity, corticosterone over</w:t>
      </w:r>
      <w:r w:rsidR="003D0829">
        <w:rPr>
          <w:lang w:val="en-AU" w:eastAsia="en-AU"/>
        </w:rPr>
        <w:t>-</w:t>
      </w:r>
      <w:r w:rsidRPr="00286A88">
        <w:rPr>
          <w:lang w:val="en-AU" w:eastAsia="en-AU"/>
        </w:rPr>
        <w:t xml:space="preserve">secretion and reduced food intake </w:t>
      </w:r>
      <w:r w:rsidRPr="00286A88">
        <w:rPr>
          <w:noProof/>
          <w:lang w:val="en-AU" w:eastAsia="en-AU"/>
        </w:rPr>
        <w:t>(Jankowski et al., 2015).</w:t>
      </w:r>
    </w:p>
    <w:p w14:paraId="282F6EAB" w14:textId="77777777" w:rsidR="00286A88" w:rsidRPr="00286A88" w:rsidRDefault="00286A88" w:rsidP="006C7146">
      <w:pPr>
        <w:rPr>
          <w:lang w:val="en-AU" w:eastAsia="en-AU"/>
        </w:rPr>
      </w:pPr>
      <w:r w:rsidRPr="00286A88">
        <w:rPr>
          <w:lang w:val="en-AU" w:eastAsia="en-AU"/>
        </w:rPr>
        <w:t xml:space="preserve">Stocking densities are typically based on static space requirements; however consideration should also be given to the birds’ behavioural and social space requirements </w:t>
      </w:r>
      <w:r w:rsidRPr="00286A88">
        <w:rPr>
          <w:noProof/>
          <w:lang w:val="en-AU" w:eastAsia="en-AU"/>
        </w:rPr>
        <w:t xml:space="preserve">(Ellerbrock and Knierim, 2002). </w:t>
      </w:r>
      <w:r w:rsidRPr="00286A88">
        <w:rPr>
          <w:lang w:val="en-AU" w:eastAsia="en-AU"/>
        </w:rPr>
        <w:t xml:space="preserve">The calculation of space requirements becomes more complex once behavioural and social space requirements are taken into consideration. Older, heavier male turkeys are likely to require more social space than younger birds as they become increasingly aggressive with age; they may also need increased space for behavioural thermoregulation and to dissipate heat in high ambient temperatures </w:t>
      </w:r>
      <w:r w:rsidRPr="00286A88">
        <w:rPr>
          <w:noProof/>
          <w:lang w:val="en-AU" w:eastAsia="en-AU"/>
        </w:rPr>
        <w:t>(Ellerbrock and Knierim, 2002)</w:t>
      </w:r>
      <w:r w:rsidRPr="00286A88">
        <w:rPr>
          <w:lang w:val="en-AU" w:eastAsia="en-AU"/>
        </w:rPr>
        <w:t xml:space="preserve">. However, these older, heavier birds are likely to have a reduced range of movement as their weight and associated factors impacts on their mobility and consequently they may be seen to have lower behavioural space requirements than younger, more mobile birds </w:t>
      </w:r>
      <w:r w:rsidRPr="00286A88">
        <w:rPr>
          <w:noProof/>
          <w:lang w:val="en-AU" w:eastAsia="en-AU"/>
        </w:rPr>
        <w:t>(Ellerbrock and Knierim, 2002).</w:t>
      </w:r>
      <w:r w:rsidRPr="00286A88">
        <w:rPr>
          <w:lang w:val="en-AU" w:eastAsia="en-AU"/>
        </w:rPr>
        <w:t xml:space="preserve"> In contrast to chicken broilers, a reduction in the stocking density of meat turkeys did not result in an increase in activity (Martrenchar et al., 1999), most likely due to the constraints of the birds’ physical conformation.</w:t>
      </w:r>
    </w:p>
    <w:p w14:paraId="3EB55A3B" w14:textId="77777777" w:rsidR="00286A88" w:rsidRPr="00286A88" w:rsidRDefault="00286A88" w:rsidP="006C7146">
      <w:pPr>
        <w:rPr>
          <w:lang w:val="en-AU" w:eastAsia="en-AU"/>
        </w:rPr>
      </w:pPr>
      <w:r w:rsidRPr="00286A88">
        <w:rPr>
          <w:lang w:val="en-AU" w:eastAsia="en-AU"/>
        </w:rPr>
        <w:t xml:space="preserve">One hypothesis for the elevated levels of aggression observed in commercial flocks is that individuals do not have the space available to retreat from aggressive encounters </w:t>
      </w:r>
      <w:r w:rsidRPr="00286A88">
        <w:rPr>
          <w:noProof/>
          <w:lang w:val="en-AU" w:eastAsia="en-AU"/>
        </w:rPr>
        <w:t>(Buchwalder and Huber-Eicher, 2004)</w:t>
      </w:r>
      <w:r w:rsidRPr="00286A88">
        <w:rPr>
          <w:lang w:val="en-AU" w:eastAsia="en-AU"/>
        </w:rPr>
        <w:t>. This has been explored in experimental situations which suggested a stocking rate much lower than the common level of 3 birds/m</w:t>
      </w:r>
      <w:r w:rsidRPr="00286A88">
        <w:rPr>
          <w:vertAlign w:val="superscript"/>
          <w:lang w:val="en-AU" w:eastAsia="en-AU"/>
        </w:rPr>
        <w:t>2</w:t>
      </w:r>
      <w:r w:rsidRPr="00286A88">
        <w:rPr>
          <w:lang w:val="en-AU" w:eastAsia="en-AU"/>
        </w:rPr>
        <w:t xml:space="preserve"> was required before the birds had sufficient distance to retreat, however the maximal stocking rate at which birds are still able to retreat sufficiently to avoid aggressive encounters has yet to be studied </w:t>
      </w:r>
      <w:r w:rsidRPr="00286A88">
        <w:rPr>
          <w:noProof/>
          <w:lang w:val="en-AU" w:eastAsia="en-AU"/>
        </w:rPr>
        <w:t>(Buchwalder and Huber-Eicher, 2004).</w:t>
      </w:r>
    </w:p>
    <w:p w14:paraId="4E53678B" w14:textId="77777777" w:rsidR="00286A88" w:rsidRPr="00286A88" w:rsidRDefault="00286A88" w:rsidP="006C7146">
      <w:pPr>
        <w:rPr>
          <w:lang w:val="en-AU" w:eastAsia="en-AU"/>
        </w:rPr>
      </w:pPr>
      <w:r w:rsidRPr="00286A88">
        <w:rPr>
          <w:lang w:val="en-AU" w:eastAsia="en-AU"/>
        </w:rPr>
        <w:t>As stocking density increases there appears to be more disturbance to resting birds, as they are trampled over by others (Martrenchar et al., 1999). This disruption of the birds’ resting or sleep cycles, in conjunction with the increased injury risk during trampling is likely to have implications for the welfare of densely stocked turkeys.</w:t>
      </w:r>
    </w:p>
    <w:p w14:paraId="70B81EBA" w14:textId="77777777" w:rsidR="00286A88" w:rsidRPr="00286A88" w:rsidRDefault="00286A88" w:rsidP="006C7146">
      <w:pPr>
        <w:pStyle w:val="Heading3"/>
        <w:rPr>
          <w:lang w:val="en-AU" w:eastAsia="en-AU"/>
        </w:rPr>
      </w:pPr>
      <w:bookmarkStart w:id="263" w:name="_Toc495310731"/>
      <w:r w:rsidRPr="00286A88">
        <w:rPr>
          <w:lang w:val="en-AU" w:eastAsia="en-AU"/>
        </w:rPr>
        <w:t>T8.2 Procedures</w:t>
      </w:r>
      <w:bookmarkEnd w:id="263"/>
    </w:p>
    <w:p w14:paraId="627FC09A" w14:textId="77777777" w:rsidR="00286A88" w:rsidRPr="006C7146" w:rsidRDefault="00286A88" w:rsidP="006C7146">
      <w:pPr>
        <w:rPr>
          <w:i/>
          <w:lang w:val="en-AU" w:eastAsia="en-AU"/>
        </w:rPr>
      </w:pPr>
      <w:r w:rsidRPr="006C7146">
        <w:rPr>
          <w:i/>
          <w:lang w:val="en-AU" w:eastAsia="en-AU"/>
        </w:rPr>
        <w:t>Prior to moving from commercial hatcheries, turkey poults undergo a number of procedures before being placed in rearing facilities. The poults are sexed, and then depending on the requirements of the rearing facility, they have their beaks and toes trimmed, their snood removed (males only) and are injected with nutrients and/or medications before being held without food or water prior to placement. The combined effect of these procedures is stressful (Donaldson et al., 1991; 1994) and there is likely to be significant pain associated with beak trimming, toe trimming and snood removal.</w:t>
      </w:r>
    </w:p>
    <w:p w14:paraId="5A0CB7AC" w14:textId="77777777" w:rsidR="00286A88" w:rsidRPr="00286A88" w:rsidRDefault="00286A88" w:rsidP="006C7146">
      <w:pPr>
        <w:pStyle w:val="Heading41"/>
      </w:pPr>
      <w:r w:rsidRPr="00286A88">
        <w:t>T8.2a Beak trimming</w:t>
      </w:r>
    </w:p>
    <w:p w14:paraId="34EF389F" w14:textId="77777777" w:rsidR="00286A88" w:rsidRPr="00286A88" w:rsidRDefault="00286A88" w:rsidP="006C7146">
      <w:pPr>
        <w:rPr>
          <w:noProof/>
          <w:lang w:val="en-AU" w:eastAsia="en-AU"/>
        </w:rPr>
      </w:pPr>
      <w:r w:rsidRPr="00286A88">
        <w:rPr>
          <w:lang w:val="en-AU" w:eastAsia="en-AU"/>
        </w:rPr>
        <w:t xml:space="preserve">Turkeys are beak trimmed to control feather pecking and cannibalism </w:t>
      </w:r>
      <w:r w:rsidRPr="00286A88">
        <w:rPr>
          <w:noProof/>
          <w:lang w:val="en-AU" w:eastAsia="en-AU"/>
        </w:rPr>
        <w:t>(Busayi et al., 2006). This procedure is typically conducted with infra-red lasers on day old poults (Dalton et al., 2013) in a process similar to that used for chickens. It has been suggested that beak trimming itself may lead to the development of feather pecking as the birds become frustrated over their impaired ability to grasp feathers and become highly motivated to continue the behaviour until the pecking and pulling action is complete (Dalton et al., 2013). As in chickens, there is also the risk that beak trimming will lead to the development of chronic pain in beak trimmed birds.</w:t>
      </w:r>
    </w:p>
    <w:p w14:paraId="585BFE42" w14:textId="77777777" w:rsidR="00286A88" w:rsidRPr="00286A88" w:rsidRDefault="00286A88" w:rsidP="006C7146">
      <w:pPr>
        <w:pStyle w:val="Heading41"/>
      </w:pPr>
      <w:r w:rsidRPr="00286A88">
        <w:t>T8.2b Toe trimming</w:t>
      </w:r>
    </w:p>
    <w:p w14:paraId="5C36034A" w14:textId="77777777" w:rsidR="00286A88" w:rsidRPr="00286A88" w:rsidRDefault="00286A88" w:rsidP="006C7146">
      <w:pPr>
        <w:rPr>
          <w:lang w:val="en-AU" w:eastAsia="en-AU"/>
        </w:rPr>
      </w:pPr>
      <w:r w:rsidRPr="00286A88">
        <w:rPr>
          <w:lang w:val="en-AU" w:eastAsia="en-AU"/>
        </w:rPr>
        <w:t xml:space="preserve">Turkey carcases can be downgraded if their quality is impaired. Toe trimming, whereby the claws on the 3 anterior facing digits on both feet are removed, historically using surgical shears or hot-blade cauterising, or more recently by a microwave claw processor (MCP), is the industry’s response to the risk of downgrades from scratching </w:t>
      </w:r>
      <w:r w:rsidRPr="00286A88">
        <w:rPr>
          <w:noProof/>
          <w:lang w:val="en-AU" w:eastAsia="en-AU"/>
        </w:rPr>
        <w:t>(Fournier et al., 2014)</w:t>
      </w:r>
      <w:r w:rsidRPr="00286A88">
        <w:rPr>
          <w:lang w:val="en-AU" w:eastAsia="en-AU"/>
        </w:rPr>
        <w:t xml:space="preserve">. A MCP is an automated system whereby the tips of the toes to be trimmed are exposed to microwave, killing the tissue which then falls off 1-3 weeks post exposure </w:t>
      </w:r>
      <w:r w:rsidRPr="00286A88">
        <w:rPr>
          <w:noProof/>
          <w:lang w:val="en-AU" w:eastAsia="en-AU"/>
        </w:rPr>
        <w:t>(Fournier et al., 2015)</w:t>
      </w:r>
      <w:r w:rsidRPr="00286A88">
        <w:rPr>
          <w:lang w:val="en-AU" w:eastAsia="en-AU"/>
        </w:rPr>
        <w:t>. It has been suggested that (for broilers) the pain caused by toe-trimming early in life may be outweighed by the chronic pain the birds would have endured later in life from lacerations and subsequent infections that would have resulted from the toes and claws of the other birds if these had not been removed (Wang et al., 2008). However, no evidence on the prevalence of such lacerations was presented to support this opinion.</w:t>
      </w:r>
    </w:p>
    <w:p w14:paraId="1F291B81" w14:textId="77777777" w:rsidR="00286A88" w:rsidRPr="00286A88" w:rsidRDefault="00286A88" w:rsidP="006C7146">
      <w:pPr>
        <w:rPr>
          <w:lang w:val="en-AU" w:eastAsia="en-AU"/>
        </w:rPr>
      </w:pPr>
      <w:r w:rsidRPr="00286A88">
        <w:rPr>
          <w:lang w:val="en-AU" w:eastAsia="en-AU"/>
        </w:rPr>
        <w:t xml:space="preserve">There is evidence of reduced welfare in heavy toms following toe trimming by MCP, with behavioural indicators of short term pain, including an increase in resting and sitting and reduction in feeding behaviour, in the 5 days immediately after the procedure </w:t>
      </w:r>
      <w:r w:rsidRPr="00286A88">
        <w:rPr>
          <w:noProof/>
          <w:lang w:val="en-AU" w:eastAsia="en-AU"/>
        </w:rPr>
        <w:t>(Fournier et al., 2015)</w:t>
      </w:r>
      <w:r w:rsidRPr="00286A88">
        <w:rPr>
          <w:lang w:val="en-AU" w:eastAsia="en-AU"/>
        </w:rPr>
        <w:t xml:space="preserve">. In the longer term (133 days post-procedure), there was behavioural evidence that while the trimmed birds did not appear to be in pain they were more reluctant to walk perhaps due to instability resulting from the removed toe tissue impairing their balance </w:t>
      </w:r>
      <w:r w:rsidRPr="00286A88">
        <w:rPr>
          <w:noProof/>
          <w:lang w:val="en-AU" w:eastAsia="en-AU"/>
        </w:rPr>
        <w:t>(Fournier et al., 2015)</w:t>
      </w:r>
      <w:r w:rsidRPr="00286A88">
        <w:rPr>
          <w:lang w:val="en-AU" w:eastAsia="en-AU"/>
        </w:rPr>
        <w:t xml:space="preserve">. Research on heavy toms suggests that feed consumption and consequently body weight, and the incidence of rotated tibiae can be negatively affected by MCP toe trimming, while no positive effect on carcase scratches was detected </w:t>
      </w:r>
      <w:r w:rsidRPr="00286A88">
        <w:rPr>
          <w:noProof/>
          <w:lang w:val="en-AU" w:eastAsia="en-AU"/>
        </w:rPr>
        <w:t>(Fournier et al., 2014)</w:t>
      </w:r>
      <w:r w:rsidRPr="00286A88">
        <w:rPr>
          <w:lang w:val="en-AU" w:eastAsia="en-AU"/>
        </w:rPr>
        <w:t xml:space="preserve">. In light of these combined findings, the expense and negative welfare impact of trimming does not appear to be compensated by improved productivity and carcase quality </w:t>
      </w:r>
      <w:r w:rsidRPr="00286A88">
        <w:rPr>
          <w:noProof/>
          <w:lang w:val="en-AU" w:eastAsia="en-AU"/>
        </w:rPr>
        <w:t>(Fournier et al., 2014)</w:t>
      </w:r>
      <w:r w:rsidRPr="00286A88">
        <w:rPr>
          <w:lang w:val="en-AU" w:eastAsia="en-AU"/>
        </w:rPr>
        <w:t>. It is unknown whether these findings can be generalised outside of heavy tom production.</w:t>
      </w:r>
    </w:p>
    <w:p w14:paraId="0710F3BE" w14:textId="77777777" w:rsidR="00286A88" w:rsidRPr="00286A88" w:rsidRDefault="00286A88" w:rsidP="006C7146">
      <w:pPr>
        <w:pStyle w:val="Heading41"/>
      </w:pPr>
      <w:r w:rsidRPr="00286A88">
        <w:t>T8.2c Snood trimming/desnooding males</w:t>
      </w:r>
    </w:p>
    <w:p w14:paraId="30636544" w14:textId="77777777" w:rsidR="00286A88" w:rsidRPr="00286A88" w:rsidRDefault="00286A88" w:rsidP="006C7146">
      <w:pPr>
        <w:rPr>
          <w:noProof/>
          <w:lang w:val="en-AU" w:eastAsia="en-AU"/>
        </w:rPr>
      </w:pPr>
      <w:r w:rsidRPr="00286A88">
        <w:rPr>
          <w:lang w:val="en-AU" w:eastAsia="en-AU"/>
        </w:rPr>
        <w:t xml:space="preserve">The snood or frontal process is a fleshy, highly vascularised and innervated appendage located caudal to the nares in male birds (Morishita, 1999). Snoods and spurs are male turkeys’ secondary sexual ornamentation </w:t>
      </w:r>
      <w:r w:rsidRPr="00286A88">
        <w:rPr>
          <w:noProof/>
          <w:lang w:val="en-AU" w:eastAsia="en-AU"/>
        </w:rPr>
        <w:t>(Dalton et al., 2016)</w:t>
      </w:r>
      <w:r w:rsidRPr="00286A88">
        <w:rPr>
          <w:lang w:val="en-AU" w:eastAsia="en-AU"/>
        </w:rPr>
        <w:t xml:space="preserve">. Commercial turkeys have been bred for reduced spurs </w:t>
      </w:r>
      <w:r w:rsidRPr="00286A88">
        <w:rPr>
          <w:noProof/>
          <w:lang w:val="en-AU" w:eastAsia="en-AU"/>
        </w:rPr>
        <w:t>(Dalton et al., 2016), however, snood size has not been reduced sufficiently to remain intact in a commercial setting and snoods are often removed to prevent damage to the snood from other birds. Trauma to the snood has also been associated with certain diseases such as erysipelas, and snood removal is recommended as a preventative measure (Morishita, 1999). Removal of the snood is known as desnooding and is conducted by clipping or pinching off the snood from day old poults (Morishita 1999). If desnooding is done incorrectly it can lead to chronic pain (Freeman, 1987, cited by Dalton et al., 2013).</w:t>
      </w:r>
    </w:p>
    <w:p w14:paraId="70309FBE" w14:textId="77777777" w:rsidR="00286A88" w:rsidRPr="00286A88" w:rsidRDefault="00286A88" w:rsidP="006C7146">
      <w:pPr>
        <w:rPr>
          <w:lang w:val="en-AU" w:eastAsia="en-AU"/>
        </w:rPr>
      </w:pPr>
      <w:r w:rsidRPr="00286A88">
        <w:rPr>
          <w:lang w:val="en-AU" w:eastAsia="en-AU"/>
        </w:rPr>
        <w:t xml:space="preserve">In wild male turkeys snood length is negatively correlated with coccidia parasite burden and positively correlated with body condition and age (Buchholz, 1997). As a longer relaxed snood length is predictive of a victorious outcome in male-male interactions it is likely that males use these features to assess the risks of entering into combat with another male (Buchholz, 1997). These structures develop once the bird reaches sexual maturity and their size is likely to be testosterone dependent (Buchholz, 1997). It is likely that an absence of snoods may impair the judgement call of turkeys entering into aggressive combat. Although Dalton et al. </w:t>
      </w:r>
      <w:r w:rsidRPr="00286A88">
        <w:rPr>
          <w:noProof/>
          <w:lang w:val="en-AU" w:eastAsia="en-AU"/>
        </w:rPr>
        <w:t>(2016)</w:t>
      </w:r>
      <w:r w:rsidRPr="00286A88">
        <w:rPr>
          <w:lang w:val="en-AU" w:eastAsia="en-AU"/>
        </w:rPr>
        <w:t xml:space="preserve"> found no correlation between snood length and head and neck injuries from aggressive encounters in their study.</w:t>
      </w:r>
    </w:p>
    <w:p w14:paraId="146D2527" w14:textId="77777777" w:rsidR="00286A88" w:rsidRPr="00286A88" w:rsidRDefault="00286A88" w:rsidP="006C7146">
      <w:pPr>
        <w:pStyle w:val="Heading41"/>
      </w:pPr>
      <w:r w:rsidRPr="00286A88">
        <w:t>T8.2d Artificial reproduction</w:t>
      </w:r>
    </w:p>
    <w:p w14:paraId="3A36F6A6" w14:textId="77777777" w:rsidR="00286A88" w:rsidRPr="00286A88" w:rsidRDefault="00286A88" w:rsidP="006C7146">
      <w:pPr>
        <w:rPr>
          <w:lang w:val="en-AU" w:eastAsia="en-AU"/>
        </w:rPr>
      </w:pPr>
      <w:r w:rsidRPr="00286A88">
        <w:rPr>
          <w:lang w:val="en-AU" w:eastAsia="en-AU"/>
        </w:rPr>
        <w:t>Due to the large breast size of the modern male turkey, which makes natural breeding difficult, turkeys are predominantly bred using artificial insemination (AI) (Morishita, 1999). AI is also considered beneficial to the welfare of the hen who may otherwise be damaged during mating attempts (Sainsbury and Sherwin, 2001), although saddles have been used to protect hens from the tom’s claws during mating outside of commercial settings.</w:t>
      </w:r>
    </w:p>
    <w:p w14:paraId="69A121F5" w14:textId="77777777" w:rsidR="00286A88" w:rsidRPr="00286A88" w:rsidRDefault="00286A88" w:rsidP="006C7146">
      <w:pPr>
        <w:rPr>
          <w:lang w:val="en-AU" w:eastAsia="en-AU"/>
        </w:rPr>
      </w:pPr>
      <w:r w:rsidRPr="00286A88">
        <w:rPr>
          <w:lang w:val="en-AU" w:eastAsia="en-AU"/>
        </w:rPr>
        <w:t>The implications of AI for the welfare of the birds concerned does not appear to have been investigated experimentally in turkeys, the principle focus of any research conducted being procedural refinements. The collection of the semen from the toms and the insemination of the hen are likely to be aversive to both parties and warrant scientific investigation from a welfare perspective.</w:t>
      </w:r>
    </w:p>
    <w:p w14:paraId="65A0A42B" w14:textId="77777777" w:rsidR="00286A88" w:rsidRPr="00286A88" w:rsidRDefault="00286A88" w:rsidP="006C7146">
      <w:pPr>
        <w:pStyle w:val="Heading41"/>
      </w:pPr>
      <w:r w:rsidRPr="00286A88">
        <w:t>T8.2e General handling and inspection</w:t>
      </w:r>
    </w:p>
    <w:p w14:paraId="5EC7029A" w14:textId="77777777" w:rsidR="00286A88" w:rsidRPr="00286A88" w:rsidRDefault="00286A88" w:rsidP="006C7146">
      <w:pPr>
        <w:rPr>
          <w:lang w:val="en-AU" w:eastAsia="en-AU"/>
        </w:rPr>
      </w:pPr>
      <w:r w:rsidRPr="00286A88">
        <w:rPr>
          <w:lang w:val="en-AU" w:eastAsia="en-AU"/>
        </w:rPr>
        <w:t>Marchewka et al. (2015) suggest that turkeys could be inspected efficiently by two observers walking transects, and recording the total number of birds that are immobile, lame, aggressive towards a mate, interacting with humans, with visible head, vent, or back wounds, engaged in mounting behaviours, small in size, featherless, dirty, sick, moribund or dead. It has also been suggested that monitoring wattle temperature using an infra-red digital thermometer could provide a useful noninvasive tool for assessing turkey welfare when environmental conditions become challenging (Mendes et al., 2015).</w:t>
      </w:r>
    </w:p>
    <w:p w14:paraId="13BBA6E3" w14:textId="77777777" w:rsidR="00286A88" w:rsidRPr="00286A88" w:rsidRDefault="00286A88" w:rsidP="006C7146">
      <w:pPr>
        <w:rPr>
          <w:lang w:val="en-AU" w:eastAsia="en-AU"/>
        </w:rPr>
      </w:pPr>
      <w:r w:rsidRPr="00286A88">
        <w:rPr>
          <w:lang w:val="en-AU" w:eastAsia="en-AU"/>
        </w:rPr>
        <w:t>As for broilers, there is evidence that automated catching can reduce damage to turkeys and that it is a less stressful procedure than manual catching (Prescott et al., 2000).</w:t>
      </w:r>
    </w:p>
    <w:p w14:paraId="20FE1D3F" w14:textId="77777777" w:rsidR="00286A88" w:rsidRPr="00286A88" w:rsidRDefault="00286A88" w:rsidP="006C7146">
      <w:pPr>
        <w:pStyle w:val="Heading2"/>
        <w:rPr>
          <w:lang w:val="en-AU" w:eastAsia="en-AU"/>
        </w:rPr>
      </w:pPr>
      <w:bookmarkStart w:id="264" w:name="_Toc495310732"/>
      <w:r w:rsidRPr="00286A88">
        <w:rPr>
          <w:lang w:val="en-AU" w:eastAsia="en-AU"/>
        </w:rPr>
        <w:t>T9. Welfare Considerations: Overview</w:t>
      </w:r>
      <w:bookmarkEnd w:id="264"/>
    </w:p>
    <w:p w14:paraId="4FB4B800" w14:textId="77777777" w:rsidR="00286A88" w:rsidRPr="00286A88" w:rsidRDefault="00286A88" w:rsidP="006C7146">
      <w:pPr>
        <w:rPr>
          <w:rFonts w:cs="Arial"/>
          <w:shd w:val="clear" w:color="auto" w:fill="FFFFFF"/>
          <w:lang w:val="en-AU" w:eastAsia="en-AU"/>
        </w:rPr>
      </w:pPr>
      <w:r w:rsidRPr="00286A88">
        <w:rPr>
          <w:lang w:val="en-AU" w:eastAsia="en-AU"/>
        </w:rPr>
        <w:t xml:space="preserve">Turkeys have been the subject of intense selection pressure. Rapid growth rates, </w:t>
      </w:r>
      <w:r w:rsidRPr="00286A88">
        <w:rPr>
          <w:rFonts w:cs="Arial"/>
          <w:shd w:val="clear" w:color="auto" w:fill="FFFFFF"/>
          <w:lang w:val="en-AU" w:eastAsia="en-AU"/>
        </w:rPr>
        <w:t>disproportionate accumulation of breast tissue and heavy ultimate slaughter weights</w:t>
      </w:r>
      <w:r w:rsidRPr="00286A88">
        <w:rPr>
          <w:lang w:val="en-AU" w:eastAsia="en-AU"/>
        </w:rPr>
        <w:t xml:space="preserve"> can be lead to </w:t>
      </w:r>
      <w:r w:rsidRPr="00286A88">
        <w:rPr>
          <w:rFonts w:cs="Arial"/>
          <w:shd w:val="clear" w:color="auto" w:fill="FFFFFF"/>
          <w:lang w:val="en-AU" w:eastAsia="en-AU"/>
        </w:rPr>
        <w:t>musculoskeletal problems and a range of developmental disorders. These can greatly reduce turkey welfare due to associated lameness, pain, increased susceptibility to fracture, inactivity and compromised behaviour.</w:t>
      </w:r>
    </w:p>
    <w:p w14:paraId="6303C817" w14:textId="77777777" w:rsidR="00286A88" w:rsidRPr="00286A88" w:rsidRDefault="00286A88" w:rsidP="006C7146">
      <w:pPr>
        <w:rPr>
          <w:rFonts w:cs="Arial"/>
          <w:shd w:val="clear" w:color="auto" w:fill="FFFFFF"/>
          <w:lang w:val="en-AU" w:eastAsia="en-AU"/>
        </w:rPr>
      </w:pPr>
      <w:r w:rsidRPr="00286A88">
        <w:rPr>
          <w:rFonts w:cs="Arial"/>
          <w:shd w:val="clear" w:color="auto" w:fill="FFFFFF"/>
          <w:lang w:val="en-AU" w:eastAsia="en-AU"/>
        </w:rPr>
        <w:t>The use of strains with lower growth rates and improved musculoskeletal health outcomes will help to ensure good welfare. In addition, diets that ensure healthy, but not excessive growth rates should be provided. Due to ongoing selection for growth traits, breed requirements for calcium, phosphorus and micronutrient intake can change over time, and producers should ensure that they use diets formulated for their current strain of bird.</w:t>
      </w:r>
    </w:p>
    <w:p w14:paraId="2320105F" w14:textId="77777777" w:rsidR="00286A88" w:rsidRPr="00286A88" w:rsidRDefault="00286A88" w:rsidP="006C7146">
      <w:pPr>
        <w:rPr>
          <w:rFonts w:cs="Arial"/>
          <w:shd w:val="clear" w:color="auto" w:fill="FFFFFF"/>
          <w:lang w:val="en-AU" w:eastAsia="en-AU"/>
        </w:rPr>
      </w:pPr>
      <w:r w:rsidRPr="00286A88">
        <w:rPr>
          <w:rFonts w:cs="Arial"/>
          <w:shd w:val="clear" w:color="auto" w:fill="FFFFFF"/>
          <w:lang w:val="en-AU" w:eastAsia="en-AU"/>
        </w:rPr>
        <w:t>Identifying the differential causes of injurious pecking in turkeys is an area of research that has not received sufficient attention. Compared with laying hens, there is a weaker evidence base from which to devise effective management strategies to reduce inter-bird pecking. Presenting food in mash rather than pellet form, and providing high fibre pecking substrates has some beneficial effects. Turkeys are often kept under very low light levels in an attempt to reduce injurious pecking but this may have other adverse welfare consequences. Further research on methods of preventing injurious pecking in turkeys is needed.</w:t>
      </w:r>
    </w:p>
    <w:p w14:paraId="2020C336" w14:textId="77777777" w:rsidR="00286A88" w:rsidRPr="00286A88" w:rsidRDefault="00286A88" w:rsidP="006C7146">
      <w:pPr>
        <w:rPr>
          <w:rFonts w:cs="Arial"/>
          <w:shd w:val="clear" w:color="auto" w:fill="FFFFFF"/>
          <w:lang w:val="en-AU" w:eastAsia="en-AU"/>
        </w:rPr>
      </w:pPr>
      <w:r w:rsidRPr="00286A88">
        <w:rPr>
          <w:rFonts w:cs="Arial"/>
          <w:shd w:val="clear" w:color="auto" w:fill="FFFFFF"/>
          <w:lang w:val="en-AU" w:eastAsia="en-AU"/>
        </w:rPr>
        <w:t>Aggressive interactions pose a greater threat to welfare in turkeys than most other farmed bird species. The turkey is a highly social bird, but can be aggressive in establishing dominance relationships and in competing for resources. High stocking densities can increase levels of aggression as birds are unable to move away from aggressors.</w:t>
      </w:r>
    </w:p>
    <w:p w14:paraId="23EDB906" w14:textId="77777777" w:rsidR="00286A88" w:rsidRPr="00286A88" w:rsidRDefault="00286A88" w:rsidP="006C7146">
      <w:pPr>
        <w:rPr>
          <w:rFonts w:cs="Arial"/>
          <w:shd w:val="clear" w:color="auto" w:fill="FFFFFF"/>
          <w:lang w:val="en-AU" w:eastAsia="en-AU"/>
        </w:rPr>
      </w:pPr>
      <w:r w:rsidRPr="00286A88">
        <w:rPr>
          <w:rFonts w:cs="Arial"/>
          <w:shd w:val="clear" w:color="auto" w:fill="FFFFFF"/>
          <w:lang w:val="en-AU" w:eastAsia="en-AU"/>
        </w:rPr>
        <w:t>Foot pad dermatitis (FPD) occurs at a very high prevalence rate in many commercial turkey flocks. The primary risk factor is wet litter, and all steps should be taken to maintain a litter substrate with a moisture content of less than approx</w:t>
      </w:r>
      <w:r w:rsidR="004E392A">
        <w:rPr>
          <w:rFonts w:cs="Arial"/>
          <w:shd w:val="clear" w:color="auto" w:fill="FFFFFF"/>
          <w:lang w:val="en-AU" w:eastAsia="en-AU"/>
        </w:rPr>
        <w:t>imately</w:t>
      </w:r>
      <w:r w:rsidRPr="00286A88">
        <w:rPr>
          <w:rFonts w:cs="Arial"/>
          <w:shd w:val="clear" w:color="auto" w:fill="FFFFFF"/>
          <w:lang w:val="en-AU" w:eastAsia="en-AU"/>
        </w:rPr>
        <w:t xml:space="preserve"> 30-35%. Factors that assist in maintaining a dry litter substrate include lower stocking density, effective ventilation systems, the use of hig</w:t>
      </w:r>
      <w:r w:rsidR="004E392A">
        <w:rPr>
          <w:rFonts w:cs="Arial"/>
          <w:shd w:val="clear" w:color="auto" w:fill="FFFFFF"/>
          <w:lang w:val="en-AU" w:eastAsia="en-AU"/>
        </w:rPr>
        <w:t xml:space="preserve">hly absorbent litter materials </w:t>
      </w:r>
      <w:r w:rsidRPr="00286A88">
        <w:rPr>
          <w:rFonts w:cs="Arial"/>
          <w:shd w:val="clear" w:color="auto" w:fill="FFFFFF"/>
          <w:lang w:val="en-AU" w:eastAsia="en-AU"/>
        </w:rPr>
        <w:t>and (under certain cold or wet climatic conditions) measures such as floor drainage or underfloor heating. Regular assessment of the prevalence of FPD is assessed regularly at the slaughterhouse and the setting of targets for a progressive reduction in this condition will help to address FPD.</w:t>
      </w:r>
    </w:p>
    <w:p w14:paraId="71DFDCD0" w14:textId="77777777" w:rsidR="00286A88" w:rsidRPr="00286A88" w:rsidRDefault="00286A88" w:rsidP="006C7146">
      <w:pPr>
        <w:rPr>
          <w:rFonts w:cs="Arial"/>
          <w:shd w:val="clear" w:color="auto" w:fill="FFFFFF"/>
          <w:lang w:val="en-AU" w:eastAsia="en-AU"/>
        </w:rPr>
      </w:pPr>
      <w:r w:rsidRPr="00286A88">
        <w:rPr>
          <w:rFonts w:cs="Arial"/>
          <w:shd w:val="clear" w:color="auto" w:fill="FFFFFF"/>
          <w:lang w:val="en-AU" w:eastAsia="en-AU"/>
        </w:rPr>
        <w:t>Dermatitis of other skin regions, notably the breast and the hock, is similarly associated with inflammation and an increased risk of infectious cellulitis. As for FPD, reducing litter moisture is key to reducing the prevalence and severity of these conditions.</w:t>
      </w:r>
    </w:p>
    <w:p w14:paraId="34271C43" w14:textId="77777777" w:rsidR="00286A88" w:rsidRPr="00286A88" w:rsidRDefault="00286A88" w:rsidP="006C7146">
      <w:pPr>
        <w:rPr>
          <w:rFonts w:cs="Arial"/>
          <w:shd w:val="clear" w:color="auto" w:fill="FFFFFF"/>
          <w:lang w:val="en-AU" w:eastAsia="en-AU"/>
        </w:rPr>
      </w:pPr>
      <w:r w:rsidRPr="00286A88">
        <w:rPr>
          <w:rFonts w:cs="Arial"/>
          <w:shd w:val="clear" w:color="auto" w:fill="FFFFFF"/>
          <w:lang w:val="en-AU" w:eastAsia="en-AU"/>
        </w:rPr>
        <w:t>The provision of low-level perches or elevated platforms should be considered as a means of satisfying roosting motivation, particularly in younger birds.</w:t>
      </w:r>
    </w:p>
    <w:p w14:paraId="5B740430" w14:textId="77777777" w:rsidR="00286A88" w:rsidRPr="00286A88" w:rsidRDefault="00286A88" w:rsidP="006C7146">
      <w:pPr>
        <w:rPr>
          <w:rFonts w:cs="Arial"/>
          <w:shd w:val="clear" w:color="auto" w:fill="FFFFFF"/>
          <w:lang w:val="en-AU" w:eastAsia="en-AU"/>
        </w:rPr>
      </w:pPr>
      <w:r w:rsidRPr="00286A88">
        <w:rPr>
          <w:rFonts w:cs="Arial"/>
          <w:shd w:val="clear" w:color="auto" w:fill="FFFFFF"/>
          <w:lang w:val="en-AU" w:eastAsia="en-AU"/>
        </w:rPr>
        <w:t>Turkeys are often housed under near-continuous, but very low light intensity, lighting programmes. This can have adverse effects on eye health, lameness and FPD because such lighting regimes are designed to encourage bird inactivity. Eye problems, active behavioural repertoire, leg and skin health can all be improved by longer continuous dark periods (up to 10 h dark). Light intensities should be sufficient to enable good flock inspection and avoid eye problems.</w:t>
      </w:r>
    </w:p>
    <w:p w14:paraId="0CD19B14" w14:textId="77777777" w:rsidR="00286A88" w:rsidRPr="00286A88" w:rsidRDefault="00286A88" w:rsidP="006C7146">
      <w:pPr>
        <w:rPr>
          <w:rFonts w:cs="Arial"/>
          <w:shd w:val="clear" w:color="auto" w:fill="FFFFFF"/>
          <w:lang w:val="en-AU" w:eastAsia="en-AU"/>
        </w:rPr>
      </w:pPr>
      <w:r w:rsidRPr="00286A88">
        <w:rPr>
          <w:rFonts w:cs="Arial"/>
          <w:shd w:val="clear" w:color="auto" w:fill="FFFFFF"/>
          <w:lang w:val="en-AU" w:eastAsia="en-AU"/>
        </w:rPr>
        <w:t>High stocking densities contribute to welfare problems including aggression, FPD, heat stress and reduced air quality.</w:t>
      </w:r>
    </w:p>
    <w:p w14:paraId="6037087C" w14:textId="77777777" w:rsidR="00286A88" w:rsidRPr="00286A88" w:rsidRDefault="00286A88" w:rsidP="006C7146">
      <w:pPr>
        <w:rPr>
          <w:rFonts w:cs="Arial"/>
          <w:shd w:val="clear" w:color="auto" w:fill="FFFFFF"/>
          <w:lang w:val="en-AU" w:eastAsia="en-AU"/>
        </w:rPr>
      </w:pPr>
      <w:r w:rsidRPr="00286A88">
        <w:rPr>
          <w:rFonts w:cs="Arial"/>
          <w:shd w:val="clear" w:color="auto" w:fill="FFFFFF"/>
          <w:lang w:val="en-AU" w:eastAsia="en-AU"/>
        </w:rPr>
        <w:t>Toe trimming causes pain and has no beneficial effect in reducing lacerations or carcase quality in growing turkeys. The potential beneficial effects of toe trimming for breeding turkeys (e.g. reduced injury to breeding females) have not been quantified and so it is not possible to assess whether harm is outweighed by benefit.</w:t>
      </w:r>
    </w:p>
    <w:p w14:paraId="3A4D5C0E" w14:textId="77777777" w:rsidR="00286A88" w:rsidRDefault="00286A88" w:rsidP="006C7146">
      <w:pPr>
        <w:rPr>
          <w:rFonts w:cs="Arial"/>
          <w:shd w:val="clear" w:color="auto" w:fill="FFFFFF"/>
          <w:lang w:val="en-AU" w:eastAsia="en-AU"/>
        </w:rPr>
      </w:pPr>
      <w:r w:rsidRPr="00286A88">
        <w:rPr>
          <w:rFonts w:cs="Arial"/>
          <w:shd w:val="clear" w:color="auto" w:fill="FFFFFF"/>
          <w:lang w:val="en-AU" w:eastAsia="en-AU"/>
        </w:rPr>
        <w:t>Information on the welfare consequences of snood removal in turkeys is lacking, along with any quantitative assessment of its potential benefits. This is an area that would benefit from future research.</w:t>
      </w:r>
    </w:p>
    <w:p w14:paraId="44D16B37" w14:textId="77777777" w:rsidR="00861B1A" w:rsidRDefault="00861B1A" w:rsidP="006C7146">
      <w:pPr>
        <w:rPr>
          <w:rFonts w:cs="Arial"/>
          <w:shd w:val="clear" w:color="auto" w:fill="FFFFFF"/>
          <w:lang w:val="en-AU" w:eastAsia="en-AU"/>
        </w:rPr>
      </w:pPr>
    </w:p>
    <w:p w14:paraId="310AE690" w14:textId="77777777" w:rsidR="00861B1A" w:rsidRDefault="00861B1A" w:rsidP="00861B1A">
      <w:pPr>
        <w:pStyle w:val="Heading2"/>
        <w:rPr>
          <w:shd w:val="clear" w:color="auto" w:fill="FFFFFF"/>
          <w:lang w:val="en-AU" w:eastAsia="en-AU"/>
        </w:rPr>
      </w:pPr>
      <w:r>
        <w:rPr>
          <w:shd w:val="clear" w:color="auto" w:fill="FFFFFF"/>
          <w:lang w:val="en-AU" w:eastAsia="en-AU"/>
        </w:rPr>
        <w:br w:type="column"/>
      </w:r>
      <w:bookmarkStart w:id="265" w:name="_Toc495310733"/>
      <w:r w:rsidR="00363A83">
        <w:rPr>
          <w:shd w:val="clear" w:color="auto" w:fill="FFFFFF"/>
          <w:lang w:val="en-AU" w:eastAsia="en-AU"/>
        </w:rPr>
        <w:t xml:space="preserve">T10. </w:t>
      </w:r>
      <w:r>
        <w:rPr>
          <w:shd w:val="clear" w:color="auto" w:fill="FFFFFF"/>
          <w:lang w:val="en-AU" w:eastAsia="en-AU"/>
        </w:rPr>
        <w:t>References</w:t>
      </w:r>
      <w:bookmarkEnd w:id="265"/>
    </w:p>
    <w:p w14:paraId="0A3BE407"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Abd El-Wahab, A., A. Beineke, M. Beyerbach, C. F. Visscher, and J. Kamphues. 2011. Effects of Floor Heating and Litter Quality on the Development and Severity of Foot Pad Dermatitis in Young Turk</w:t>
      </w:r>
      <w:r w:rsidR="000106E5">
        <w:rPr>
          <w:rFonts w:cs="Arial"/>
          <w:shd w:val="clear" w:color="auto" w:fill="FFFFFF"/>
          <w:lang w:val="en-AU" w:eastAsia="en-AU"/>
        </w:rPr>
        <w:t>eys. Avian Diseases 55:429-434.</w:t>
      </w:r>
    </w:p>
    <w:p w14:paraId="36A79F7C"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Abd El-Wahab, A., C. F. Visscher, A. Beineke, M. Beyerbach, and J. Kamphues. 2012a. Experimental studies on the effects of different litter moisture contents and exposure time to wet litter on development and severity of foot pad dermat</w:t>
      </w:r>
      <w:r w:rsidR="007103C8">
        <w:rPr>
          <w:rFonts w:cs="Arial"/>
          <w:shd w:val="clear" w:color="auto" w:fill="FFFFFF"/>
          <w:lang w:val="en-AU" w:eastAsia="en-AU"/>
        </w:rPr>
        <w:t>itis in young fattening turkeys</w:t>
      </w:r>
      <w:r w:rsidRPr="00861B1A">
        <w:rPr>
          <w:rFonts w:cs="Arial"/>
          <w:shd w:val="clear" w:color="auto" w:fill="FFFFFF"/>
          <w:lang w:val="en-AU" w:eastAsia="en-AU"/>
        </w:rPr>
        <w:t>. Arc</w:t>
      </w:r>
      <w:r w:rsidR="000106E5">
        <w:rPr>
          <w:rFonts w:cs="Arial"/>
          <w:shd w:val="clear" w:color="auto" w:fill="FFFFFF"/>
          <w:lang w:val="en-AU" w:eastAsia="en-AU"/>
        </w:rPr>
        <w:t>hiv Fur Geflugelkunde 76:55-62.</w:t>
      </w:r>
    </w:p>
    <w:p w14:paraId="579E21B3"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Abd El-Wahab, A., C. F. Visscher, A. Beineke, M. Beyerbach, and J. Kamphues. 2013a. Effects of high electrolyte contents in the diet and using floor heating on development and severity of foot pad dermatitis in young turkeys. Journal of Animal Physiology and Animal Nutrition 97:39-47. doi 10.1111/j.1439-0396.2011.01240.x</w:t>
      </w:r>
    </w:p>
    <w:p w14:paraId="687FBF12"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Abd El-Wahab, A., C. F. Visscher, S. Wolken, J. M. Reperant, A. Beineke, M. Beyerbach, and J. Kamphues. 2012b. Foot-pad dermatitis and experimentally induced coccidiosis in young turkeys fed a diet without anticoccidia. Poultry Science 91:627-635. doi 10.3382/ps.2011-01840</w:t>
      </w:r>
    </w:p>
    <w:p w14:paraId="07D1F6BA"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Abd El-Wahab, A., C. F. Visscher, S. Wolken, L. M. Reperant, A. Beineke, M. Beyerbach, and J. Kamphues. 2013b. Outcome of an artificial coccidial infection in poults under the influence of floor heating. Poultry Science 92:629-637. doi 10.3382/ps.2012-02614</w:t>
      </w:r>
    </w:p>
    <w:p w14:paraId="1CF2E13D" w14:textId="77777777" w:rsidR="00861B1A" w:rsidRPr="00861B1A" w:rsidRDefault="00861B1A" w:rsidP="00861B1A">
      <w:pPr>
        <w:rPr>
          <w:rFonts w:cs="Arial"/>
          <w:shd w:val="clear" w:color="auto" w:fill="FFFFFF"/>
          <w:lang w:eastAsia="en-AU"/>
        </w:rPr>
      </w:pPr>
      <w:r w:rsidRPr="00861B1A">
        <w:rPr>
          <w:rFonts w:cs="Arial"/>
          <w:shd w:val="clear" w:color="auto" w:fill="FFFFFF"/>
          <w:lang w:eastAsia="en-AU"/>
        </w:rPr>
        <w:t xml:space="preserve">Allain, V., </w:t>
      </w:r>
      <w:r w:rsidR="001E3ECE">
        <w:rPr>
          <w:rFonts w:cs="Arial"/>
          <w:shd w:val="clear" w:color="auto" w:fill="FFFFFF"/>
          <w:lang w:eastAsia="en-AU"/>
        </w:rPr>
        <w:t xml:space="preserve">D. </w:t>
      </w:r>
      <w:r w:rsidRPr="00861B1A">
        <w:rPr>
          <w:rFonts w:cs="Arial"/>
          <w:shd w:val="clear" w:color="auto" w:fill="FFFFFF"/>
          <w:lang w:eastAsia="en-AU"/>
        </w:rPr>
        <w:t xml:space="preserve">Huonnica, </w:t>
      </w:r>
      <w:r w:rsidR="001E3ECE">
        <w:rPr>
          <w:rFonts w:cs="Arial"/>
          <w:shd w:val="clear" w:color="auto" w:fill="FFFFFF"/>
          <w:lang w:eastAsia="en-AU"/>
        </w:rPr>
        <w:t xml:space="preserve">M. </w:t>
      </w:r>
      <w:r w:rsidRPr="00861B1A">
        <w:rPr>
          <w:rFonts w:cs="Arial"/>
          <w:shd w:val="clear" w:color="auto" w:fill="FFFFFF"/>
          <w:lang w:eastAsia="en-AU"/>
        </w:rPr>
        <w:t xml:space="preserve">Rouinaa, </w:t>
      </w:r>
      <w:r w:rsidR="001E3ECE">
        <w:rPr>
          <w:rFonts w:cs="Arial"/>
          <w:shd w:val="clear" w:color="auto" w:fill="FFFFFF"/>
          <w:lang w:eastAsia="en-AU"/>
        </w:rPr>
        <w:t>and V.</w:t>
      </w:r>
      <w:r w:rsidRPr="00861B1A">
        <w:rPr>
          <w:rFonts w:cs="Arial"/>
          <w:shd w:val="clear" w:color="auto" w:fill="FFFFFF"/>
          <w:lang w:eastAsia="en-AU"/>
        </w:rPr>
        <w:t xml:space="preserve"> Michela. 2013. Prevalence of skin lesions in turkeys at slaughter. British Poultry Science 54:33–41.</w:t>
      </w:r>
    </w:p>
    <w:p w14:paraId="2CB7A652"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Appleby, M. C., J. A. Mench, and B. O. Hughes. 2004. Poultry Behaviour and Welfare. CAB International, Wallingford</w:t>
      </w:r>
      <w:r w:rsidR="00B55999">
        <w:rPr>
          <w:rFonts w:cs="Arial"/>
          <w:shd w:val="clear" w:color="auto" w:fill="FFFFFF"/>
          <w:lang w:val="en-AU" w:eastAsia="en-AU"/>
        </w:rPr>
        <w:t>, UK</w:t>
      </w:r>
      <w:r w:rsidRPr="00861B1A">
        <w:rPr>
          <w:rFonts w:cs="Arial"/>
          <w:shd w:val="clear" w:color="auto" w:fill="FFFFFF"/>
          <w:lang w:val="en-AU" w:eastAsia="en-AU"/>
        </w:rPr>
        <w:t>.</w:t>
      </w:r>
    </w:p>
    <w:p w14:paraId="1C74645E"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Atia, F. A., P. E. Waibel, I. Hermes, C. W. Carlson, and M. M. Walser. 2000. Effect of dietary phosphorus, calcium, and phytase on performance of growing turke</w:t>
      </w:r>
      <w:r w:rsidR="00C80942">
        <w:rPr>
          <w:rFonts w:cs="Arial"/>
          <w:shd w:val="clear" w:color="auto" w:fill="FFFFFF"/>
          <w:lang w:val="en-AU" w:eastAsia="en-AU"/>
        </w:rPr>
        <w:t>ys. Poultry Science 79:231-239.</w:t>
      </w:r>
    </w:p>
    <w:p w14:paraId="383B360D"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Badyaev, A. V. 1995. Nesting habitat and nesting success of Eastern Wild Turkeys in the Arkansas Ozark Hi</w:t>
      </w:r>
      <w:r w:rsidR="00C80942">
        <w:rPr>
          <w:rFonts w:cs="Arial"/>
          <w:shd w:val="clear" w:color="auto" w:fill="FFFFFF"/>
          <w:lang w:val="en-AU" w:eastAsia="en-AU"/>
        </w:rPr>
        <w:t>ghlands. The Condor 97:221-232.</w:t>
      </w:r>
    </w:p>
    <w:p w14:paraId="52956AA3"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Barber, C. L., N. B. Prescott, C. M. Wathes, C. Le Sueur, and G. Perry. 2004. Preferences of growing ducklings and turkey poults for illumina</w:t>
      </w:r>
      <w:r w:rsidR="00C80942">
        <w:rPr>
          <w:rFonts w:cs="Arial"/>
          <w:shd w:val="clear" w:color="auto" w:fill="FFFFFF"/>
          <w:lang w:val="en-AU" w:eastAsia="en-AU"/>
        </w:rPr>
        <w:t>nce. Animal Welfare 13:211-224.</w:t>
      </w:r>
    </w:p>
    <w:p w14:paraId="4928C7DB"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 xml:space="preserve">Bedecarrats, G., D. </w:t>
      </w:r>
      <w:r w:rsidR="003F3E9F" w:rsidRPr="00286A88">
        <w:rPr>
          <w:lang w:val="en-AU" w:eastAsia="en-AU"/>
        </w:rPr>
        <w:t>Guémené</w:t>
      </w:r>
      <w:r w:rsidRPr="00861B1A">
        <w:rPr>
          <w:rFonts w:cs="Arial"/>
          <w:shd w:val="clear" w:color="auto" w:fill="FFFFFF"/>
          <w:lang w:val="en-AU" w:eastAsia="en-AU"/>
        </w:rPr>
        <w:t>, and M. A. Richard-Yris. 1997. Effects of environmental and social factors on incubation behavior, endocrinological parameters, and production traits in turkey hens (</w:t>
      </w:r>
      <w:r w:rsidRPr="00C80942">
        <w:rPr>
          <w:rFonts w:cs="Arial"/>
          <w:i/>
          <w:shd w:val="clear" w:color="auto" w:fill="FFFFFF"/>
          <w:lang w:val="en-AU" w:eastAsia="en-AU"/>
        </w:rPr>
        <w:t>Meleagris gallopavo</w:t>
      </w:r>
      <w:r w:rsidRPr="00861B1A">
        <w:rPr>
          <w:rFonts w:cs="Arial"/>
          <w:shd w:val="clear" w:color="auto" w:fill="FFFFFF"/>
          <w:lang w:val="en-AU" w:eastAsia="en-AU"/>
        </w:rPr>
        <w:t>). Poultry Science 76:1307-1314. doi 10.1093/ps/76.9.1307</w:t>
      </w:r>
    </w:p>
    <w:p w14:paraId="3C87F1D4"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Bennett, C. D., H. L. Classen, K. Schwean, and C. Riddell. 2002. Influence of whole barley and grit on live performance and health of turkey toms</w:t>
      </w:r>
      <w:r w:rsidR="00C80942">
        <w:rPr>
          <w:rFonts w:cs="Arial"/>
          <w:shd w:val="clear" w:color="auto" w:fill="FFFFFF"/>
          <w:lang w:val="en-AU" w:eastAsia="en-AU"/>
        </w:rPr>
        <w:t>. Poultry Science 81:1850-1855.</w:t>
      </w:r>
    </w:p>
    <w:p w14:paraId="4655209E"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Bergmann, S., N. Ziegler, T. Bartels, J. Hubel, C. Schumacher, E. Rauch, S. Brandl, A. Bender, G. Casalicchio, M. E. Krautwald-Junghanns, and M. H. Erhard. 2013. Prevalence and severity of foot pad alterations in German turkey poults during the early rearing phase. Poultry Science 92:1171-1176. doi 10.3382/ps.2012-02851</w:t>
      </w:r>
    </w:p>
    <w:p w14:paraId="4AD115A1"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Berk, J., and G. Hahn. 2000. Aspects of animal behaviour and product quality of fattening turkeys influenced by modified husbandry. Archiv Fur Tierzucht-Archives</w:t>
      </w:r>
      <w:r w:rsidR="00C80942">
        <w:rPr>
          <w:rFonts w:cs="Arial"/>
          <w:shd w:val="clear" w:color="auto" w:fill="FFFFFF"/>
          <w:lang w:val="en-AU" w:eastAsia="en-AU"/>
        </w:rPr>
        <w:t xml:space="preserve"> of Animal Breeding 43:189-195.</w:t>
      </w:r>
    </w:p>
    <w:p w14:paraId="52379F39"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 xml:space="preserve">Brant, A. W. 1998. A brief history of the turkey. </w:t>
      </w:r>
      <w:r w:rsidR="00E12232">
        <w:rPr>
          <w:rFonts w:cs="Arial"/>
          <w:shd w:val="clear" w:color="auto" w:fill="FFFFFF"/>
          <w:lang w:val="en-AU" w:eastAsia="en-AU"/>
        </w:rPr>
        <w:t>World’s</w:t>
      </w:r>
      <w:r w:rsidRPr="00861B1A">
        <w:rPr>
          <w:rFonts w:cs="Arial"/>
          <w:shd w:val="clear" w:color="auto" w:fill="FFFFFF"/>
          <w:lang w:val="en-AU" w:eastAsia="en-AU"/>
        </w:rPr>
        <w:t xml:space="preserve"> Poul</w:t>
      </w:r>
      <w:r w:rsidR="00C80942">
        <w:rPr>
          <w:rFonts w:cs="Arial"/>
          <w:shd w:val="clear" w:color="auto" w:fill="FFFFFF"/>
          <w:lang w:val="en-AU" w:eastAsia="en-AU"/>
        </w:rPr>
        <w:t>try Science Journal 54:365-373.</w:t>
      </w:r>
    </w:p>
    <w:p w14:paraId="3AE43077" w14:textId="77777777" w:rsidR="00861B1A" w:rsidRDefault="00861B1A" w:rsidP="00861B1A">
      <w:pPr>
        <w:rPr>
          <w:rFonts w:cs="Arial"/>
          <w:shd w:val="clear" w:color="auto" w:fill="FFFFFF"/>
          <w:lang w:val="en-AU" w:eastAsia="en-AU"/>
        </w:rPr>
      </w:pPr>
      <w:r w:rsidRPr="00861B1A">
        <w:rPr>
          <w:rFonts w:cs="Arial"/>
          <w:shd w:val="clear" w:color="auto" w:fill="FFFFFF"/>
          <w:lang w:val="en-AU" w:eastAsia="en-AU"/>
        </w:rPr>
        <w:t xml:space="preserve">Brener, B., R. Tortelly, R. C. Menezes, L. C. Muniz-Pereira, and R. M. Pinto. 2006. Prevalence and pathology of the nematode </w:t>
      </w:r>
      <w:r w:rsidRPr="00C80942">
        <w:rPr>
          <w:rFonts w:cs="Arial"/>
          <w:i/>
          <w:shd w:val="clear" w:color="auto" w:fill="FFFFFF"/>
          <w:lang w:val="en-AU" w:eastAsia="en-AU"/>
        </w:rPr>
        <w:t>Heterakis gallinarum</w:t>
      </w:r>
      <w:r w:rsidRPr="00861B1A">
        <w:rPr>
          <w:rFonts w:cs="Arial"/>
          <w:shd w:val="clear" w:color="auto" w:fill="FFFFFF"/>
          <w:lang w:val="en-AU" w:eastAsia="en-AU"/>
        </w:rPr>
        <w:t xml:space="preserve">, the trematode </w:t>
      </w:r>
      <w:r w:rsidRPr="00C80942">
        <w:rPr>
          <w:rFonts w:cs="Arial"/>
          <w:i/>
          <w:shd w:val="clear" w:color="auto" w:fill="FFFFFF"/>
          <w:lang w:val="en-AU" w:eastAsia="en-AU"/>
        </w:rPr>
        <w:t>Paratanaisia bragai</w:t>
      </w:r>
      <w:r w:rsidRPr="00861B1A">
        <w:rPr>
          <w:rFonts w:cs="Arial"/>
          <w:shd w:val="clear" w:color="auto" w:fill="FFFFFF"/>
          <w:lang w:val="en-AU" w:eastAsia="en-AU"/>
        </w:rPr>
        <w:t xml:space="preserve">, and the protozoan </w:t>
      </w:r>
      <w:r w:rsidRPr="00C80942">
        <w:rPr>
          <w:rFonts w:cs="Arial"/>
          <w:i/>
          <w:shd w:val="clear" w:color="auto" w:fill="FFFFFF"/>
          <w:lang w:val="en-AU" w:eastAsia="en-AU"/>
        </w:rPr>
        <w:t>Histomonas meleagridis</w:t>
      </w:r>
      <w:r w:rsidRPr="00861B1A">
        <w:rPr>
          <w:rFonts w:cs="Arial"/>
          <w:shd w:val="clear" w:color="auto" w:fill="FFFFFF"/>
          <w:lang w:val="en-AU" w:eastAsia="en-AU"/>
        </w:rPr>
        <w:t xml:space="preserve"> in the turkey, </w:t>
      </w:r>
      <w:r w:rsidRPr="00C80942">
        <w:rPr>
          <w:rFonts w:cs="Arial"/>
          <w:i/>
          <w:shd w:val="clear" w:color="auto" w:fill="FFFFFF"/>
          <w:lang w:val="en-AU" w:eastAsia="en-AU"/>
        </w:rPr>
        <w:t>Meleagris gallopavo</w:t>
      </w:r>
      <w:r w:rsidRPr="00861B1A">
        <w:rPr>
          <w:rFonts w:cs="Arial"/>
          <w:shd w:val="clear" w:color="auto" w:fill="FFFFFF"/>
          <w:lang w:val="en-AU" w:eastAsia="en-AU"/>
        </w:rPr>
        <w:t>. Memórias do Inst</w:t>
      </w:r>
      <w:r w:rsidR="00C80942">
        <w:rPr>
          <w:rFonts w:cs="Arial"/>
          <w:shd w:val="clear" w:color="auto" w:fill="FFFFFF"/>
          <w:lang w:val="en-AU" w:eastAsia="en-AU"/>
        </w:rPr>
        <w:t>ituto Oswaldo Cruz 101:677-681.</w:t>
      </w:r>
    </w:p>
    <w:p w14:paraId="5F240824"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Buchholz, R. 1997. Male dominance and variation in fleshy head ornamentation in Wild Turkeys. Journal of Avian Biology 28:223-230. doi 10.2307/3676973</w:t>
      </w:r>
    </w:p>
    <w:p w14:paraId="04592ECA"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Buchwalder, T., and B. Huber-Eicher. 2003. A brief report on aggressive interactions within and between groups of domestic turkeys (</w:t>
      </w:r>
      <w:r w:rsidRPr="00C80942">
        <w:rPr>
          <w:rFonts w:cs="Arial"/>
          <w:i/>
          <w:shd w:val="clear" w:color="auto" w:fill="FFFFFF"/>
          <w:lang w:val="en-AU" w:eastAsia="en-AU"/>
        </w:rPr>
        <w:t>Meleagris gallopavo</w:t>
      </w:r>
      <w:r w:rsidRPr="00861B1A">
        <w:rPr>
          <w:rFonts w:cs="Arial"/>
          <w:shd w:val="clear" w:color="auto" w:fill="FFFFFF"/>
          <w:lang w:val="en-AU" w:eastAsia="en-AU"/>
        </w:rPr>
        <w:t>). Applied Animal Behaviour Science 84:75-80. doi 10.1016/s0168-1591(03)00149-7</w:t>
      </w:r>
    </w:p>
    <w:p w14:paraId="6C64A976"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Buchwalder, T., and B. Huber-Eicher. 2004. Effect of increased floor space on aggressive behaviour in male turkeys (</w:t>
      </w:r>
      <w:r w:rsidRPr="00C80942">
        <w:rPr>
          <w:rFonts w:cs="Arial"/>
          <w:i/>
          <w:shd w:val="clear" w:color="auto" w:fill="FFFFFF"/>
          <w:lang w:val="en-AU" w:eastAsia="en-AU"/>
        </w:rPr>
        <w:t>Meleagris gallopavo</w:t>
      </w:r>
      <w:r w:rsidRPr="00861B1A">
        <w:rPr>
          <w:rFonts w:cs="Arial"/>
          <w:shd w:val="clear" w:color="auto" w:fill="FFFFFF"/>
          <w:lang w:val="en-AU" w:eastAsia="en-AU"/>
        </w:rPr>
        <w:t>). Applied Animal Behaviour Science 89:207-214. doi 10.1016/j.applanim.2004.07.001</w:t>
      </w:r>
    </w:p>
    <w:p w14:paraId="6CC608E7"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Buchwalder, T., and B. Huber-Eicher. 2005a. Effect of group size on aggressive reactions to an introduced conspecific in groups of domestic turkeys (</w:t>
      </w:r>
      <w:r w:rsidRPr="00C80942">
        <w:rPr>
          <w:rFonts w:cs="Arial"/>
          <w:i/>
          <w:shd w:val="clear" w:color="auto" w:fill="FFFFFF"/>
          <w:lang w:val="en-AU" w:eastAsia="en-AU"/>
        </w:rPr>
        <w:t>Meleagris gallopavo</w:t>
      </w:r>
      <w:r w:rsidRPr="00861B1A">
        <w:rPr>
          <w:rFonts w:cs="Arial"/>
          <w:shd w:val="clear" w:color="auto" w:fill="FFFFFF"/>
          <w:lang w:val="en-AU" w:eastAsia="en-AU"/>
        </w:rPr>
        <w:t>). Applied Animal Behaviour Science 93:251-258. doi 10.1016/j.applanim.2004.11.020</w:t>
      </w:r>
    </w:p>
    <w:p w14:paraId="04507BA2"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Buchwalder, T., and B. Huber-Eicher. 2005b. Effect of the analgesic butorphanol on activity behaviour in turkeys (</w:t>
      </w:r>
      <w:r w:rsidRPr="00557479">
        <w:rPr>
          <w:rFonts w:cs="Arial"/>
          <w:i/>
          <w:shd w:val="clear" w:color="auto" w:fill="FFFFFF"/>
          <w:lang w:val="en-AU" w:eastAsia="en-AU"/>
        </w:rPr>
        <w:t>Meleagris gallopavo</w:t>
      </w:r>
      <w:r w:rsidRPr="00861B1A">
        <w:rPr>
          <w:rFonts w:cs="Arial"/>
          <w:shd w:val="clear" w:color="auto" w:fill="FFFFFF"/>
          <w:lang w:val="en-AU" w:eastAsia="en-AU"/>
        </w:rPr>
        <w:t>). Research in Veterinary Science 79:239-244. doi 10.1016/j.rvsc.2004.11.013</w:t>
      </w:r>
    </w:p>
    <w:p w14:paraId="1EA3B71E"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Busayi, R. M., C. E. Channing, and P. M. Hocking. 2006. Comparisons of damaging feather pecking and time budgets in male and female turkeys of a traditional breed and a genetically selected male line. Applied Animal Behaviour Science 96:281-292. doi 10.1016/j.applanim.2005.06.007</w:t>
      </w:r>
    </w:p>
    <w:p w14:paraId="09B4B565"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 xml:space="preserve">Carver, D. K., J. Fetrow, T. Gerig, M. T. Correa, K. K. Krueger, and H. J. Barnes. 2000. Use of statistical modeling to assess risk for early poult mortality in commercial turkey flocks. Journal of Applied Poultry Research 9:303-318. </w:t>
      </w:r>
    </w:p>
    <w:p w14:paraId="749F9FB5"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 xml:space="preserve">Carver, D. K., J. Fetrow, T. Gerig, K. K. Krueger, and H. J. Barnes. 2002a. Hatchery and transportation factors associated with early poult mortality in commercial turkey flocks. Poultry Science 81:1818-1825. </w:t>
      </w:r>
    </w:p>
    <w:p w14:paraId="2ABECF8D"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Carver, D. K., J. P. Vaillancourt, and M. Stringham. 2002b. Risk factors associated with poult enteritis mortality syndrome-positive turkey flocks. Avian Diseases 46:1021-1024. doi 10.1637/0005-2086(2002)046[1021:rfawpe]2.0.co;2</w:t>
      </w:r>
    </w:p>
    <w:p w14:paraId="752D242B"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Da Costa, M. J., J. L. Grimes, E. O. Oviedo-Rondon, I. Barasch, C. Evans, M. Dalmagro, and J. Nixon. 2014. Footpad dermatitis severity on turkey flocks and correlations with locomotion, litter conditions, and body weight at market age. Journal of Applied Poultry Research 23:268-279. doi 10.3382/japr.2013-00848</w:t>
      </w:r>
    </w:p>
    <w:p w14:paraId="5FD17E8E"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 xml:space="preserve">Dalke, P. D., W. K. Clark Jr, and L. J. Korschgen. 1942. Food habit trends of the wild turkey in Missouri as determined by dropping analysis. The Journal of Wildlife Management 6:237-243. </w:t>
      </w:r>
    </w:p>
    <w:p w14:paraId="02F0EE06"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Dalton, H. A., B. J. Wood, and S. Torrey. 2013. Injurious pecking in domestic turkeys: development, causes, and potential solutions. World's Poultry Science Journal 69:865-876. doi 10.1017/S004393391300086X</w:t>
      </w:r>
    </w:p>
    <w:p w14:paraId="6FE806E3"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Dalton, H. A., B. J. Wood, T. M. Widowski, M. T. Guerin, and S. Torrey. 2016. Changes in leg health, skin, and plumage condition in domestic male turkeys of varying body weights. Applied Animal Behaviour Science 178:40-50. doi 10.1016/j.applanim.2016.02.010</w:t>
      </w:r>
    </w:p>
    <w:p w14:paraId="335D20D6"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 xml:space="preserve">Danzeisen, J. L., </w:t>
      </w:r>
      <w:r w:rsidR="004E392A">
        <w:rPr>
          <w:rFonts w:cs="Arial"/>
          <w:shd w:val="clear" w:color="auto" w:fill="FFFFFF"/>
          <w:lang w:val="en-AU" w:eastAsia="en-AU"/>
        </w:rPr>
        <w:t xml:space="preserve">J. B. </w:t>
      </w:r>
      <w:r w:rsidRPr="00861B1A">
        <w:rPr>
          <w:rFonts w:cs="Arial"/>
          <w:shd w:val="clear" w:color="auto" w:fill="FFFFFF"/>
          <w:lang w:val="en-AU" w:eastAsia="en-AU"/>
        </w:rPr>
        <w:t xml:space="preserve">Clayton, </w:t>
      </w:r>
      <w:r w:rsidR="004E392A">
        <w:rPr>
          <w:rFonts w:cs="Arial"/>
          <w:shd w:val="clear" w:color="auto" w:fill="FFFFFF"/>
          <w:lang w:val="en-AU" w:eastAsia="en-AU"/>
        </w:rPr>
        <w:t xml:space="preserve">H. </w:t>
      </w:r>
      <w:r w:rsidRPr="00861B1A">
        <w:rPr>
          <w:rFonts w:cs="Arial"/>
          <w:shd w:val="clear" w:color="auto" w:fill="FFFFFF"/>
          <w:lang w:val="en-AU" w:eastAsia="en-AU"/>
        </w:rPr>
        <w:t xml:space="preserve">Huang, </w:t>
      </w:r>
      <w:r w:rsidR="004E392A">
        <w:rPr>
          <w:rFonts w:cs="Arial"/>
          <w:shd w:val="clear" w:color="auto" w:fill="FFFFFF"/>
          <w:lang w:val="en-AU" w:eastAsia="en-AU"/>
        </w:rPr>
        <w:t xml:space="preserve">D. </w:t>
      </w:r>
      <w:r w:rsidRPr="00861B1A">
        <w:rPr>
          <w:rFonts w:cs="Arial"/>
          <w:shd w:val="clear" w:color="auto" w:fill="FFFFFF"/>
          <w:lang w:val="en-AU" w:eastAsia="en-AU"/>
        </w:rPr>
        <w:t xml:space="preserve">Knights, </w:t>
      </w:r>
      <w:r w:rsidR="004E392A">
        <w:rPr>
          <w:rFonts w:cs="Arial"/>
          <w:shd w:val="clear" w:color="auto" w:fill="FFFFFF"/>
          <w:lang w:val="en-AU" w:eastAsia="en-AU"/>
        </w:rPr>
        <w:t>B.</w:t>
      </w:r>
      <w:r w:rsidRPr="00861B1A">
        <w:rPr>
          <w:rFonts w:cs="Arial"/>
          <w:shd w:val="clear" w:color="auto" w:fill="FFFFFF"/>
          <w:lang w:val="en-AU" w:eastAsia="en-AU"/>
        </w:rPr>
        <w:t xml:space="preserve"> McComb, </w:t>
      </w:r>
      <w:r w:rsidR="004E392A">
        <w:rPr>
          <w:rFonts w:cs="Arial"/>
          <w:shd w:val="clear" w:color="auto" w:fill="FFFFFF"/>
          <w:lang w:val="en-AU" w:eastAsia="en-AU"/>
        </w:rPr>
        <w:t xml:space="preserve">S. S. </w:t>
      </w:r>
      <w:r w:rsidRPr="00861B1A">
        <w:rPr>
          <w:rFonts w:cs="Arial"/>
          <w:shd w:val="clear" w:color="auto" w:fill="FFFFFF"/>
          <w:lang w:val="en-AU" w:eastAsia="en-AU"/>
        </w:rPr>
        <w:t xml:space="preserve">Hayer, and </w:t>
      </w:r>
      <w:r w:rsidR="004E392A">
        <w:rPr>
          <w:rFonts w:cs="Arial"/>
          <w:shd w:val="clear" w:color="auto" w:fill="FFFFFF"/>
          <w:lang w:val="en-AU" w:eastAsia="en-AU"/>
        </w:rPr>
        <w:t>T. J.</w:t>
      </w:r>
      <w:r w:rsidRPr="00861B1A">
        <w:rPr>
          <w:rFonts w:cs="Arial"/>
          <w:shd w:val="clear" w:color="auto" w:fill="FFFFFF"/>
          <w:lang w:val="en-AU" w:eastAsia="en-AU"/>
        </w:rPr>
        <w:t xml:space="preserve"> Johnson. 2015. Temporal relationships exist between cecum, ileum, and litter bacterial microbiomes in a commercial </w:t>
      </w:r>
      <w:r w:rsidR="0015689F">
        <w:rPr>
          <w:rFonts w:cs="Arial"/>
          <w:shd w:val="clear" w:color="auto" w:fill="FFFFFF"/>
          <w:lang w:val="en-AU" w:eastAsia="en-AU"/>
        </w:rPr>
        <w:t>t</w:t>
      </w:r>
      <w:r w:rsidRPr="00861B1A">
        <w:rPr>
          <w:rFonts w:cs="Arial"/>
          <w:shd w:val="clear" w:color="auto" w:fill="FFFFFF"/>
          <w:lang w:val="en-AU" w:eastAsia="en-AU"/>
        </w:rPr>
        <w:t xml:space="preserve">urkey flock, and subtherapeutic penicillin treatment impacts ileum bacterial community establishment. </w:t>
      </w:r>
      <w:r w:rsidRPr="00861B1A">
        <w:rPr>
          <w:rFonts w:cs="Arial"/>
          <w:iCs/>
          <w:shd w:val="clear" w:color="auto" w:fill="FFFFFF"/>
          <w:lang w:val="en-AU" w:eastAsia="en-AU"/>
        </w:rPr>
        <w:t>Frontiers in Veterinary Science</w:t>
      </w:r>
      <w:r w:rsidR="001E3ECE">
        <w:rPr>
          <w:rFonts w:cs="Arial"/>
          <w:iCs/>
          <w:shd w:val="clear" w:color="auto" w:fill="FFFFFF"/>
          <w:lang w:val="en-AU" w:eastAsia="en-AU"/>
        </w:rPr>
        <w:t xml:space="preserve"> </w:t>
      </w:r>
      <w:r w:rsidRPr="00861B1A">
        <w:rPr>
          <w:rFonts w:cs="Arial"/>
          <w:iCs/>
          <w:shd w:val="clear" w:color="auto" w:fill="FFFFFF"/>
          <w:lang w:val="en-AU" w:eastAsia="en-AU"/>
        </w:rPr>
        <w:t>2</w:t>
      </w:r>
      <w:r w:rsidR="001E3ECE">
        <w:rPr>
          <w:rFonts w:cs="Arial"/>
          <w:iCs/>
          <w:shd w:val="clear" w:color="auto" w:fill="FFFFFF"/>
          <w:lang w:val="en-AU" w:eastAsia="en-AU"/>
        </w:rPr>
        <w:t>:47-56</w:t>
      </w:r>
      <w:r w:rsidRPr="00861B1A">
        <w:rPr>
          <w:rFonts w:cs="Arial"/>
          <w:shd w:val="clear" w:color="auto" w:fill="FFFFFF"/>
          <w:lang w:val="en-AU" w:eastAsia="en-AU"/>
        </w:rPr>
        <w:t xml:space="preserve">. </w:t>
      </w:r>
      <w:r w:rsidR="0015689F">
        <w:rPr>
          <w:rFonts w:cs="Arial"/>
          <w:shd w:val="clear" w:color="auto" w:fill="FFFFFF"/>
          <w:lang w:val="en-AU" w:eastAsia="en-AU"/>
        </w:rPr>
        <w:t>doi 10.3389/fvets.2015.00056</w:t>
      </w:r>
    </w:p>
    <w:p w14:paraId="16C19194"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Diaz, G. J., A. Cortes, and L. Botero. 2009. Evaluation of the ability of a feed additive to ameliorate the adverse effects of aflatoxins in turkey poults. British Poultry Science 50:240-250. doi 10.1080/00071660902774566</w:t>
      </w:r>
    </w:p>
    <w:p w14:paraId="1AFA9A75"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Donaldson, W. E., V. L. Christensen, and K. K. Krueger. 1991. Effects of stressors on blood glucose and hepatic glycogen concentrations in turkey poults. Comparative Biochemistry and Physiology Part</w:t>
      </w:r>
      <w:r w:rsidR="00165823">
        <w:rPr>
          <w:rFonts w:cs="Arial"/>
          <w:shd w:val="clear" w:color="auto" w:fill="FFFFFF"/>
          <w:lang w:val="en-AU" w:eastAsia="en-AU"/>
        </w:rPr>
        <w:t xml:space="preserve"> A: Physiology 100:945-947. doi </w:t>
      </w:r>
      <w:r w:rsidRPr="00861B1A">
        <w:rPr>
          <w:rFonts w:cs="Arial"/>
          <w:shd w:val="clear" w:color="auto" w:fill="FFFFFF"/>
          <w:lang w:val="en-AU" w:eastAsia="en-AU"/>
        </w:rPr>
        <w:t>10.1016/0300-9629(91)90320-C</w:t>
      </w:r>
    </w:p>
    <w:p w14:paraId="1B043D1E"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Donaldson, W. E., J. Clark, and V. L. Christensen. 1994. Protein, lipid and glycogen stores in newly-hatched turkey (</w:t>
      </w:r>
      <w:r w:rsidRPr="00557479">
        <w:rPr>
          <w:rFonts w:cs="Arial"/>
          <w:i/>
          <w:shd w:val="clear" w:color="auto" w:fill="FFFFFF"/>
          <w:lang w:val="en-AU" w:eastAsia="en-AU"/>
        </w:rPr>
        <w:t>Meleagris gallopavo</w:t>
      </w:r>
      <w:r w:rsidRPr="00861B1A">
        <w:rPr>
          <w:rFonts w:cs="Arial"/>
          <w:shd w:val="clear" w:color="auto" w:fill="FFFFFF"/>
          <w:lang w:val="en-AU" w:eastAsia="en-AU"/>
        </w:rPr>
        <w:t xml:space="preserve">) poults as affected by post-hatch </w:t>
      </w:r>
      <w:r w:rsidR="004E392A">
        <w:rPr>
          <w:rFonts w:cs="Arial"/>
          <w:shd w:val="clear" w:color="auto" w:fill="FFFFFF"/>
          <w:lang w:val="en-AU" w:eastAsia="en-AU"/>
        </w:rPr>
        <w:t>s</w:t>
      </w:r>
      <w:r w:rsidRPr="00861B1A">
        <w:rPr>
          <w:rFonts w:cs="Arial"/>
          <w:shd w:val="clear" w:color="auto" w:fill="FFFFFF"/>
          <w:lang w:val="en-AU" w:eastAsia="en-AU"/>
        </w:rPr>
        <w:t>tressors and holding time. Comparative Biochemistry and Physiology Part A: Physiology 107:559-562. doi 10.1016/0300-9629(94)90040-X</w:t>
      </w:r>
    </w:p>
    <w:p w14:paraId="0CA96DBC"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Duggan, G., T. Widowski, M. Quinton, and S. Torrey. 2014. The development of injurious pecking in a commercial turkey facility. Journal of Applied Poultry Research 23:280-290. doi 10.3382/japr.2013-00860</w:t>
      </w:r>
    </w:p>
    <w:p w14:paraId="5AE383DC"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 xml:space="preserve">Ellerbrock, S., and U. Knierim. 2002. Static space requirements of male meat turkeys. Veterinary Record 151:54-57. </w:t>
      </w:r>
    </w:p>
    <w:p w14:paraId="65468276"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 xml:space="preserve">Erasmus, M., and J. Swanson. 2014. Temperamental turkeys: Reliability of behavioural responses to four tests of fear. Applied Animal Behaviour Science 157:100-108. </w:t>
      </w:r>
      <w:r w:rsidR="0015689F">
        <w:rPr>
          <w:rFonts w:cs="Arial"/>
          <w:shd w:val="clear" w:color="auto" w:fill="FFFFFF"/>
          <w:lang w:val="en-AU" w:eastAsia="en-AU"/>
        </w:rPr>
        <w:t>d</w:t>
      </w:r>
      <w:r w:rsidRPr="00861B1A">
        <w:rPr>
          <w:rFonts w:cs="Arial"/>
          <w:shd w:val="clear" w:color="auto" w:fill="FFFFFF"/>
          <w:lang w:val="en-AU" w:eastAsia="en-AU"/>
        </w:rPr>
        <w:t>oi</w:t>
      </w:r>
      <w:r w:rsidR="0015689F">
        <w:rPr>
          <w:rFonts w:cs="Arial"/>
          <w:shd w:val="clear" w:color="auto" w:fill="FFFFFF"/>
          <w:lang w:val="en-AU" w:eastAsia="en-AU"/>
        </w:rPr>
        <w:t xml:space="preserve"> 10.1016/j.applanim.2014.05.007</w:t>
      </w:r>
    </w:p>
    <w:p w14:paraId="5D07C627" w14:textId="77777777" w:rsidR="00861B1A" w:rsidRPr="00861B1A" w:rsidRDefault="00861B1A" w:rsidP="00861B1A">
      <w:pPr>
        <w:rPr>
          <w:rFonts w:cs="Arial"/>
          <w:shd w:val="clear" w:color="auto" w:fill="FFFFFF"/>
          <w:lang w:eastAsia="en-AU"/>
        </w:rPr>
      </w:pPr>
      <w:r w:rsidRPr="00861B1A">
        <w:rPr>
          <w:rFonts w:cs="Arial"/>
          <w:shd w:val="clear" w:color="auto" w:fill="FFFFFF"/>
          <w:lang w:eastAsia="en-AU"/>
        </w:rPr>
        <w:t xml:space="preserve">Eusebio-Balcazar, P., </w:t>
      </w:r>
      <w:r w:rsidR="0015689F">
        <w:rPr>
          <w:rFonts w:cs="Arial"/>
          <w:shd w:val="clear" w:color="auto" w:fill="FFFFFF"/>
          <w:lang w:eastAsia="en-AU"/>
        </w:rPr>
        <w:t xml:space="preserve">E. O. </w:t>
      </w:r>
      <w:r w:rsidRPr="00861B1A">
        <w:rPr>
          <w:rFonts w:cs="Arial"/>
          <w:shd w:val="clear" w:color="auto" w:fill="FFFFFF"/>
          <w:lang w:eastAsia="en-AU"/>
        </w:rPr>
        <w:t>Oviedo-Rondon,</w:t>
      </w:r>
      <w:r w:rsidR="0015689F">
        <w:rPr>
          <w:rFonts w:cs="Arial"/>
          <w:shd w:val="clear" w:color="auto" w:fill="FFFFFF"/>
          <w:lang w:eastAsia="en-AU"/>
        </w:rPr>
        <w:t xml:space="preserve"> J. L.</w:t>
      </w:r>
      <w:r w:rsidRPr="00861B1A">
        <w:rPr>
          <w:rFonts w:cs="Arial"/>
          <w:shd w:val="clear" w:color="auto" w:fill="FFFFFF"/>
          <w:lang w:eastAsia="en-AU"/>
        </w:rPr>
        <w:t xml:space="preserve"> Grimes, </w:t>
      </w:r>
      <w:r w:rsidR="0015689F">
        <w:rPr>
          <w:rFonts w:cs="Arial"/>
          <w:shd w:val="clear" w:color="auto" w:fill="FFFFFF"/>
          <w:lang w:eastAsia="en-AU"/>
        </w:rPr>
        <w:t>and J.</w:t>
      </w:r>
      <w:r w:rsidRPr="00861B1A">
        <w:rPr>
          <w:rFonts w:cs="Arial"/>
          <w:shd w:val="clear" w:color="auto" w:fill="FFFFFF"/>
          <w:lang w:eastAsia="en-AU"/>
        </w:rPr>
        <w:t xml:space="preserve"> Scott. 2015. Bone development and leg problem incidence in four strains of turkeys. International</w:t>
      </w:r>
      <w:r w:rsidR="0015689F">
        <w:rPr>
          <w:rFonts w:cs="Arial"/>
          <w:shd w:val="clear" w:color="auto" w:fill="FFFFFF"/>
          <w:lang w:eastAsia="en-AU"/>
        </w:rPr>
        <w:t xml:space="preserve"> Journal of Poultry Science 14:</w:t>
      </w:r>
      <w:r w:rsidRPr="00861B1A">
        <w:rPr>
          <w:rFonts w:cs="Arial"/>
          <w:shd w:val="clear" w:color="auto" w:fill="FFFFFF"/>
          <w:lang w:eastAsia="en-AU"/>
        </w:rPr>
        <w:t>497–505.</w:t>
      </w:r>
    </w:p>
    <w:p w14:paraId="0E49A57B"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Farahat, M. H., W. M. Abdel-Razik, E. I. Hassanein, and S. L. Noll. 2013a. Effect of phytase supplementation to diets varying in chloride level on performance, litter moisture, foot pad score, and gait score of growing turkeys. Poultry Science 92:1837-1847. doi 10.3382/ps.2012-02869</w:t>
      </w:r>
    </w:p>
    <w:p w14:paraId="3A5E14F5"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Farahat, M. H., E. I. Hassanein, W. M. Abdel-Razik, and S. L. Noll. 2013b. Effect of dietary corn dried distillers grains with solubles, canola meal, and chloride on electrolyte balance, growth performance, and litter moisture of growing turkeys. Poultry Science 92:1254-1265. doi 10.3382/ps.2012-02780</w:t>
      </w:r>
    </w:p>
    <w:p w14:paraId="4656DA76"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Ferket, P. R., E. O. Oviedo-Rondon, P. L. Mente, D. V. Bohorquez, A. A. Santos, J. L. Grimes, J. D. Richards, J. J. Dibner, and V. Felts. 2009. Organic trace minerals and 25-hydroxycholecalciferol affect performance characteristics, leg abnormalities, and biomechanical properties of leg bones of turkeys. Poultry Science 88:118-131. doi 10.3382/ps.2008-00200</w:t>
      </w:r>
    </w:p>
    <w:p w14:paraId="0D07CA72"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Fournier, J., K. Schwean-Lardner, T. D. Knezacek, S. Gomis, and H. L. Classen. 2014. The effect of toe trimming on production characteristics of heavy turkey toms. Poultry Science 93:2370-2374. doi 10.3382/ps.2014-04044</w:t>
      </w:r>
    </w:p>
    <w:p w14:paraId="7EEE2844"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Fournier, J., K. Schwean-Lardner, T. D. Knezacek, S. Gomis, and H. L. Classen. 2015. The effect of toe trimming on behavior, mobility, toe length and other indicators of welfare in tom turkeys. Poultry Science 94:1446-1453. doi 10.3382/ps/pev112</w:t>
      </w:r>
    </w:p>
    <w:p w14:paraId="118BA308"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 xml:space="preserve">Frame, D. D., R. E. Buckner, and G. L. Anderson. 2002. Pelletized newspaper bedding for turkeys and its effect on brooding performance. Journal of Applied Poultry Research 11:229-232. </w:t>
      </w:r>
    </w:p>
    <w:p w14:paraId="34FA13CB"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 xml:space="preserve">Frame, D. D., E. J. Kelly, N. Fields, and L. G. Bagley. 2004. Dairy compost as a source of turkey brooder bedding. Journal of Applied Poultry Research 13:614-618. </w:t>
      </w:r>
    </w:p>
    <w:p w14:paraId="78D61AD3" w14:textId="77777777" w:rsidR="00861B1A" w:rsidRDefault="00861B1A" w:rsidP="00861B1A">
      <w:pPr>
        <w:rPr>
          <w:rFonts w:cs="Arial"/>
          <w:shd w:val="clear" w:color="auto" w:fill="FFFFFF"/>
          <w:lang w:val="en-AU" w:eastAsia="en-AU"/>
        </w:rPr>
      </w:pPr>
      <w:r w:rsidRPr="00861B1A">
        <w:rPr>
          <w:rFonts w:cs="Arial"/>
          <w:shd w:val="clear" w:color="auto" w:fill="FFFFFF"/>
          <w:lang w:val="en-AU" w:eastAsia="en-AU"/>
        </w:rPr>
        <w:t>Franciosini, M. P., A. Bietta, L. Moscati, L. Battistacci, M. Pela, G. Tacconi, I. Davidson, and P. Casagrande Proietti. 2011. Influence of different rearing systems on natural immune parameters in broiler turkeys. Poultry Science 90:1462-1466. doi 10.3382/ps.2010-01068</w:t>
      </w:r>
    </w:p>
    <w:p w14:paraId="48D006D0"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Gomis, S., K. Amoako, M. Ngeleka, L. Belanger, B. Althouse, L. Kumor, E. Waters, S. Stephens, C. Riddell, A. Potter, and B. Allan. 2002. Histopathologic and bacteriologic evaluations of cellulitis detected in legs and caudal abdominal regions of turkeys. Avian Diseases 46:192-197. doi 10.1637/0005-2086(2002)046[0192:habeoc]2.0.co;2</w:t>
      </w:r>
    </w:p>
    <w:p w14:paraId="6FA244A2"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Hocking, P. M., E. Stevenson, and P. M. Beard. 2013. Supplementary biotin decreases tibial bone weight, density and strength in riboflavin-deficient starter diets for turkey poults. British Poultry Science 54:801-809. doi 10.1080/00071668.2013.860213</w:t>
      </w:r>
    </w:p>
    <w:p w14:paraId="3F2FEA58"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Hocking, P. M., S. Wilson, L. Dick, L. N. Dunn, G. W. Robertson, and C. Nixey. 2002. Role of dietary calcium and available phosphorus in the aetiology of tibial dyschondroplasia in growing turkeys. British Poultry Science 43:432-441. doi 10.1080/00071660120103729</w:t>
      </w:r>
    </w:p>
    <w:p w14:paraId="2C3E1699"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Hocking, P. M., and K. Wu. 2013. Traditional and commercial turkeys show similar susceptibility to foot pad dermatitis and behavioural evidence of pain. British Poultry Science 54:281-288. doi 10.1080/00071668.2013.781265</w:t>
      </w:r>
    </w:p>
    <w:p w14:paraId="64F5C33F"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 xml:space="preserve">Huff, G. R., W. E. Huff, J. M. Balog, N. C. Rath, and R. S. Izard. 2004. The effects of water supplementation with vitamin </w:t>
      </w:r>
      <w:r w:rsidR="006C737E">
        <w:rPr>
          <w:rFonts w:cs="Arial"/>
          <w:shd w:val="clear" w:color="auto" w:fill="FFFFFF"/>
          <w:lang w:val="en-AU" w:eastAsia="en-AU"/>
        </w:rPr>
        <w:t>E and sodium salicylate (Uni-Sol®</w:t>
      </w:r>
      <w:r w:rsidRPr="00861B1A">
        <w:rPr>
          <w:rFonts w:cs="Arial"/>
          <w:shd w:val="clear" w:color="auto" w:fill="FFFFFF"/>
          <w:lang w:val="en-AU" w:eastAsia="en-AU"/>
        </w:rPr>
        <w:t xml:space="preserve">) on the resistance of turkeys to </w:t>
      </w:r>
      <w:r w:rsidRPr="006C737E">
        <w:rPr>
          <w:rFonts w:cs="Arial"/>
          <w:i/>
          <w:shd w:val="clear" w:color="auto" w:fill="FFFFFF"/>
          <w:lang w:val="en-AU" w:eastAsia="en-AU"/>
        </w:rPr>
        <w:t>Escherichia coli</w:t>
      </w:r>
      <w:r w:rsidRPr="00861B1A">
        <w:rPr>
          <w:rFonts w:cs="Arial"/>
          <w:shd w:val="clear" w:color="auto" w:fill="FFFFFF"/>
          <w:lang w:val="en-AU" w:eastAsia="en-AU"/>
        </w:rPr>
        <w:t xml:space="preserve"> respiratory infection. Avian Diseases 48:324-331. doi 10.1637/7112</w:t>
      </w:r>
    </w:p>
    <w:p w14:paraId="435035A8"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 xml:space="preserve">Huff, G. R., W. E. Huff, and N. C. Rath. 2013. Dexamethasone Immunosuppression Resulting in Turkey Clostridial Dermatitis: A Retrospective Analysis of Seven Studies, 1998-2009. Avian Diseases 57:730-736. </w:t>
      </w:r>
    </w:p>
    <w:p w14:paraId="77274BD7"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 xml:space="preserve">Huff, G. R., W. E. Huff, and N. C. Rath. 2014. Effects of Vitamin D and Yeast Extract Supplementation on Turkey Mortality and Clostridial Dermatitis Incidence in a Dexamethasone Immunosuppression Model. Avian Diseases 58:572-578. </w:t>
      </w:r>
    </w:p>
    <w:p w14:paraId="399560D4" w14:textId="77777777" w:rsidR="00861B1A" w:rsidRDefault="00861B1A" w:rsidP="00861B1A">
      <w:pPr>
        <w:rPr>
          <w:rFonts w:cs="Arial"/>
          <w:shd w:val="clear" w:color="auto" w:fill="FFFFFF"/>
          <w:lang w:val="en-AU" w:eastAsia="en-AU"/>
        </w:rPr>
      </w:pPr>
      <w:r w:rsidRPr="00861B1A">
        <w:rPr>
          <w:rFonts w:cs="Arial"/>
          <w:shd w:val="clear" w:color="auto" w:fill="FFFFFF"/>
          <w:lang w:val="en-AU" w:eastAsia="en-AU"/>
        </w:rPr>
        <w:t>Hughes, B. O., and P. N. Grigor. 1996. Behavioural Time-budgets and Beak Related Behaviour in Floor-housed Tur</w:t>
      </w:r>
      <w:r w:rsidR="00F57E63">
        <w:rPr>
          <w:rFonts w:cs="Arial"/>
          <w:shd w:val="clear" w:color="auto" w:fill="FFFFFF"/>
          <w:lang w:val="en-AU" w:eastAsia="en-AU"/>
        </w:rPr>
        <w:t>keys. Animal Welfare 5:189-198.</w:t>
      </w:r>
    </w:p>
    <w:p w14:paraId="32B08A3F"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Jankowski, J., J. Juskiewicz, K. Lichtorowicz, and Z. Zdunczyk. 2012a. Effects of the dietary level and source of sodium on growth performance, gastrointestinal digestion and meat characteristics in turkeys. Animal Feed Science and Technology 178:74-83. doi 10.1016/j.anifeedsci.2012.09.012</w:t>
      </w:r>
    </w:p>
    <w:p w14:paraId="39B45593"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Jankowski, J., D. Mikulski, M. R. Tatara, and W. Krupski. 2015. Effects of increased stocking density and heat stress on growth, performance, carcase characteristics and skeletal properties in turkeys. Veterinary Record 176. doi 10.1136/vr.102216</w:t>
      </w:r>
    </w:p>
    <w:p w14:paraId="5643B534"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Jankowski, J., D. Mikulski, Z. Zdunczyk, M. Mikulska, and J. Juskiewicz. 2012b. The effect of diluting diets with ground and pelleted or with whole wheat on the performance of growing turkeys. Journal of Anima</w:t>
      </w:r>
      <w:r w:rsidR="00F57E63">
        <w:rPr>
          <w:rFonts w:cs="Arial"/>
          <w:shd w:val="clear" w:color="auto" w:fill="FFFFFF"/>
          <w:lang w:val="en-AU" w:eastAsia="en-AU"/>
        </w:rPr>
        <w:t>l and Feed Sciences 21:735-747.</w:t>
      </w:r>
    </w:p>
    <w:p w14:paraId="7E8B6CB2"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Jankowski, J., Z. Zdunczyk, K. Lichtorowicz, and J. Juskiewicz. 2012c. Effect of different levels of dietary sodium from sodium chloride on gastrointestinal tract response, tibia mineralization, and footpad dermatitis incidence in young turkeys. Journal of Applied Poultry Research 21:856-867. doi 10.3382/japr.2012-00572</w:t>
      </w:r>
    </w:p>
    <w:p w14:paraId="45D5DC94"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Jankowski, J., Z. Zdunczyk, D. Mikulski, B. Przybylska-Gornowicz, E. Sosnowska, and J. Juskiewicz. 2013. Effect of whole wheat feeding on gastrointestinal tract development and performance of growing turkeys. Animal Feed Science and Technology 185:150-159. doi 10.1016/j.anifeedsci.2013.07.012</w:t>
      </w:r>
    </w:p>
    <w:p w14:paraId="387BF39B"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 xml:space="preserve">Karabayir, A., C. Tolu, and I. E. Ersoy. 2008. Some Behavioral Traits of American Bronze and White (California) Turkeys Grazing on Pasture. Journal of Animal and Veterinary Advances 7:1113-1116. </w:t>
      </w:r>
    </w:p>
    <w:p w14:paraId="063D52FC"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Konca, Y., F. Kirkpinar, E. Yaylak, and S. Mert. 2008. Effects of dietary ascorbic acid on performance, carcass composition and bone characteristics of turkeys during high summer temperature. Asian-Australasian Journal</w:t>
      </w:r>
      <w:r w:rsidR="00251A6D">
        <w:rPr>
          <w:rFonts w:cs="Arial"/>
          <w:shd w:val="clear" w:color="auto" w:fill="FFFFFF"/>
          <w:lang w:val="en-AU" w:eastAsia="en-AU"/>
        </w:rPr>
        <w:t xml:space="preserve"> of Animal Sciences 21:426-433.</w:t>
      </w:r>
    </w:p>
    <w:p w14:paraId="79A54092"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Krautwald-Junghanns, M. E., R. Ellerich, H. Mitterer-Istyagin, M. Ludewig, K. Fehlhaber, E. Schuster, J. Berk, A. Dressel, S. Petermann, W. Kruse, U. Noack, K. Albrecht, and T. Bartels. 2011. Examination of the prevalence of skin injuries in debeaked fattened turkeys. Berliner Und Munchener Tierarztliche Wochenschrift 124:8-16. doi 10.2376/0005-9366-124-8</w:t>
      </w:r>
    </w:p>
    <w:p w14:paraId="53AB15A0"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Lecuelle, S., I. Bouvarel, A.-M. Chagneau, P. Lescoat, F. Laviron, and C. Leterrier. 2010. Feeding behaviour in turkeys with a change-over from crumbs to pellets. Applied Animal Behav</w:t>
      </w:r>
      <w:r w:rsidR="00165823">
        <w:rPr>
          <w:rFonts w:cs="Arial"/>
          <w:shd w:val="clear" w:color="auto" w:fill="FFFFFF"/>
          <w:lang w:val="en-AU" w:eastAsia="en-AU"/>
        </w:rPr>
        <w:t xml:space="preserve">iour Science 125:132-142. doi </w:t>
      </w:r>
      <w:r w:rsidRPr="00861B1A">
        <w:rPr>
          <w:rFonts w:cs="Arial"/>
          <w:shd w:val="clear" w:color="auto" w:fill="FFFFFF"/>
          <w:lang w:val="en-AU" w:eastAsia="en-AU"/>
        </w:rPr>
        <w:t>10.1016/j.applanim.2010.04.009</w:t>
      </w:r>
    </w:p>
    <w:p w14:paraId="65698D3D" w14:textId="77777777" w:rsidR="00861B1A" w:rsidRDefault="00861B1A" w:rsidP="00861B1A">
      <w:pPr>
        <w:rPr>
          <w:rFonts w:cs="Arial"/>
          <w:shd w:val="clear" w:color="auto" w:fill="FFFFFF"/>
          <w:lang w:val="en-AU" w:eastAsia="en-AU"/>
        </w:rPr>
      </w:pPr>
      <w:r w:rsidRPr="00861B1A">
        <w:rPr>
          <w:rFonts w:cs="Arial"/>
          <w:shd w:val="clear" w:color="auto" w:fill="FFFFFF"/>
          <w:lang w:val="en-AU" w:eastAsia="en-AU"/>
        </w:rPr>
        <w:t>Lewis, P. D., G. C. Perry, C. M. Sherwin, and C. Moinard. 2000. Effect of ultraviolet radiation on the performance of intact male turke</w:t>
      </w:r>
      <w:r w:rsidR="004D5355">
        <w:rPr>
          <w:rFonts w:cs="Arial"/>
          <w:shd w:val="clear" w:color="auto" w:fill="FFFFFF"/>
          <w:lang w:val="en-AU" w:eastAsia="en-AU"/>
        </w:rPr>
        <w:t>ys. Poultry Science 79:850-855.</w:t>
      </w:r>
    </w:p>
    <w:p w14:paraId="1D5C4F81" w14:textId="77777777" w:rsidR="00861B1A" w:rsidRPr="00861B1A" w:rsidRDefault="00861B1A" w:rsidP="00861B1A">
      <w:pPr>
        <w:rPr>
          <w:rFonts w:cs="Arial"/>
          <w:shd w:val="clear" w:color="auto" w:fill="FFFFFF"/>
          <w:lang w:eastAsia="en-AU"/>
        </w:rPr>
      </w:pPr>
      <w:r w:rsidRPr="00861B1A">
        <w:rPr>
          <w:rFonts w:cs="Arial"/>
          <w:shd w:val="clear" w:color="auto" w:fill="FFFFFF"/>
          <w:lang w:eastAsia="en-AU"/>
        </w:rPr>
        <w:t xml:space="preserve">Marchewka, J., </w:t>
      </w:r>
      <w:r w:rsidR="00F774F8">
        <w:rPr>
          <w:rFonts w:cs="Arial"/>
          <w:shd w:val="clear" w:color="auto" w:fill="FFFFFF"/>
          <w:lang w:eastAsia="en-AU"/>
        </w:rPr>
        <w:t xml:space="preserve">I. </w:t>
      </w:r>
      <w:r w:rsidRPr="00861B1A">
        <w:rPr>
          <w:rFonts w:cs="Arial"/>
          <w:shd w:val="clear" w:color="auto" w:fill="FFFFFF"/>
          <w:lang w:eastAsia="en-AU"/>
        </w:rPr>
        <w:t xml:space="preserve">Estevez, </w:t>
      </w:r>
      <w:r w:rsidR="00F774F8">
        <w:rPr>
          <w:rFonts w:cs="Arial"/>
          <w:shd w:val="clear" w:color="auto" w:fill="FFFFFF"/>
          <w:lang w:eastAsia="en-AU"/>
        </w:rPr>
        <w:t>G.</w:t>
      </w:r>
      <w:r w:rsidRPr="00861B1A">
        <w:rPr>
          <w:rFonts w:cs="Arial"/>
          <w:shd w:val="clear" w:color="auto" w:fill="FFFFFF"/>
          <w:lang w:eastAsia="en-AU"/>
        </w:rPr>
        <w:t xml:space="preserve"> Vezzoli, </w:t>
      </w:r>
      <w:r w:rsidR="00F774F8">
        <w:rPr>
          <w:rFonts w:cs="Arial"/>
          <w:shd w:val="clear" w:color="auto" w:fill="FFFFFF"/>
          <w:lang w:eastAsia="en-AU"/>
        </w:rPr>
        <w:t>V.</w:t>
      </w:r>
      <w:r w:rsidRPr="00861B1A">
        <w:rPr>
          <w:rFonts w:cs="Arial"/>
          <w:shd w:val="clear" w:color="auto" w:fill="FFFFFF"/>
          <w:lang w:eastAsia="en-AU"/>
        </w:rPr>
        <w:t xml:space="preserve"> Ferrante, </w:t>
      </w:r>
      <w:r w:rsidR="00F774F8">
        <w:rPr>
          <w:rFonts w:cs="Arial"/>
          <w:shd w:val="clear" w:color="auto" w:fill="FFFFFF"/>
          <w:lang w:eastAsia="en-AU"/>
        </w:rPr>
        <w:t>and M.</w:t>
      </w:r>
      <w:r w:rsidRPr="00861B1A">
        <w:rPr>
          <w:rFonts w:cs="Arial"/>
          <w:shd w:val="clear" w:color="auto" w:fill="FFFFFF"/>
          <w:lang w:eastAsia="en-AU"/>
        </w:rPr>
        <w:t xml:space="preserve"> Makagon</w:t>
      </w:r>
      <w:r w:rsidR="00F774F8">
        <w:rPr>
          <w:rFonts w:cs="Arial"/>
          <w:shd w:val="clear" w:color="auto" w:fill="FFFFFF"/>
          <w:lang w:eastAsia="en-AU"/>
        </w:rPr>
        <w:t>.</w:t>
      </w:r>
      <w:r w:rsidRPr="00861B1A">
        <w:rPr>
          <w:rFonts w:cs="Arial"/>
          <w:shd w:val="clear" w:color="auto" w:fill="FFFFFF"/>
          <w:lang w:eastAsia="en-AU"/>
        </w:rPr>
        <w:t xml:space="preserve"> 2015. The transect method: a novel approach to on-farm welfare assessment of commerci</w:t>
      </w:r>
      <w:r w:rsidR="00F774F8">
        <w:rPr>
          <w:rFonts w:cs="Arial"/>
          <w:shd w:val="clear" w:color="auto" w:fill="FFFFFF"/>
          <w:lang w:eastAsia="en-AU"/>
        </w:rPr>
        <w:t>al turkeys. Poultry Science 94:</w:t>
      </w:r>
      <w:r w:rsidRPr="00861B1A">
        <w:rPr>
          <w:rFonts w:cs="Arial"/>
          <w:shd w:val="clear" w:color="auto" w:fill="FFFFFF"/>
          <w:lang w:eastAsia="en-AU"/>
        </w:rPr>
        <w:t>7–16.</w:t>
      </w:r>
    </w:p>
    <w:p w14:paraId="7962C261"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Martrenchar, A., E. Boilletot, D. Huonnic, and F. Pol. 2002. Risk factors for foot-pad dermatitis in chicken and turkey broilers in France. Preventive Veterinary Medicine 52:213-226. doi 10.1016/s0167-5877(01)00259-8</w:t>
      </w:r>
    </w:p>
    <w:p w14:paraId="5CC7FE1F"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Martrenchar, A., D. Huonnic, and J. P. Cotte. 2001. Influence of environmental enrichment on injurious pecking and perching behaviour in young turkeys. Brit</w:t>
      </w:r>
      <w:r w:rsidR="00F57E63">
        <w:rPr>
          <w:rFonts w:cs="Arial"/>
          <w:shd w:val="clear" w:color="auto" w:fill="FFFFFF"/>
          <w:lang w:val="en-AU" w:eastAsia="en-AU"/>
        </w:rPr>
        <w:t>ish Poultry Science 42:161-170.</w:t>
      </w:r>
    </w:p>
    <w:p w14:paraId="7F6CC0E7"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Martrenchar, A., D. Huonnic, J. P. Cotte, E. Boilletot, and J. P. Morisse. 1999. Influence of stocking density on behavioural, health and productivity traits of turkeys in large flocks. British Poultry Science 40:323-331. doi 10.1080/00071669987403</w:t>
      </w:r>
    </w:p>
    <w:p w14:paraId="0A314F5D"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Mayne, R. K., R. W. Else, and P. M. Hocking. 2007a. High dietary concentrations of biotin did not prevent foot pad dermatitis in growing turkeys and external scores were poor indicators of histopathological lesions. British Poultry Science 48:291-298. doi 10.1080/00071660701370509</w:t>
      </w:r>
    </w:p>
    <w:p w14:paraId="20BE5690"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Mayne, R. K., R. W. Else, and P. M. Hocking. 2007b. High litter moisture alone is sufficient to cause footpad dermatitis in growing turkeys. British Poultry Science 48:538-545. doi 10.1080/00071660701573045</w:t>
      </w:r>
    </w:p>
    <w:p w14:paraId="410B997F"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 xml:space="preserve">Mendes, A. S., D. J. Moura, I. A. Naas, G. M. Morello, T. M. R. Carvalho, R. Refatti, and S. J. Paixao. 2013. Minimum Ventilation Systems and their Effects on the Initial Stage of Turkey Production. Brazilian Journal of Poultry Science 15:7-13. </w:t>
      </w:r>
    </w:p>
    <w:p w14:paraId="750C660A" w14:textId="77777777" w:rsidR="00861B1A" w:rsidRPr="00861B1A" w:rsidRDefault="00861B1A" w:rsidP="00861B1A">
      <w:pPr>
        <w:rPr>
          <w:rFonts w:cs="Arial"/>
          <w:shd w:val="clear" w:color="auto" w:fill="FFFFFF"/>
          <w:lang w:eastAsia="en-AU"/>
        </w:rPr>
      </w:pPr>
      <w:r w:rsidRPr="00861B1A">
        <w:rPr>
          <w:rFonts w:cs="Arial"/>
          <w:shd w:val="clear" w:color="auto" w:fill="FFFFFF"/>
          <w:lang w:eastAsia="en-AU"/>
        </w:rPr>
        <w:t xml:space="preserve">Mendes, A., </w:t>
      </w:r>
      <w:r w:rsidR="00F774F8">
        <w:rPr>
          <w:rFonts w:cs="Arial"/>
          <w:shd w:val="clear" w:color="auto" w:fill="FFFFFF"/>
          <w:lang w:eastAsia="en-AU"/>
        </w:rPr>
        <w:t xml:space="preserve">D. </w:t>
      </w:r>
      <w:r w:rsidRPr="00861B1A">
        <w:rPr>
          <w:rFonts w:cs="Arial"/>
          <w:shd w:val="clear" w:color="auto" w:fill="FFFFFF"/>
          <w:lang w:eastAsia="en-AU"/>
        </w:rPr>
        <w:t xml:space="preserve">Moura, </w:t>
      </w:r>
      <w:r w:rsidR="00F774F8">
        <w:rPr>
          <w:rFonts w:cs="Arial"/>
          <w:shd w:val="clear" w:color="auto" w:fill="FFFFFF"/>
          <w:lang w:eastAsia="en-AU"/>
        </w:rPr>
        <w:t xml:space="preserve">G. </w:t>
      </w:r>
      <w:r w:rsidRPr="00861B1A">
        <w:rPr>
          <w:rFonts w:cs="Arial"/>
          <w:shd w:val="clear" w:color="auto" w:fill="FFFFFF"/>
          <w:lang w:eastAsia="en-AU"/>
        </w:rPr>
        <w:t xml:space="preserve">Morello, </w:t>
      </w:r>
      <w:r w:rsidR="00F774F8">
        <w:rPr>
          <w:rFonts w:cs="Arial"/>
          <w:shd w:val="clear" w:color="auto" w:fill="FFFFFF"/>
          <w:lang w:eastAsia="en-AU"/>
        </w:rPr>
        <w:t>T.</w:t>
      </w:r>
      <w:r w:rsidRPr="00861B1A">
        <w:rPr>
          <w:rFonts w:cs="Arial"/>
          <w:shd w:val="clear" w:color="auto" w:fill="FFFFFF"/>
          <w:lang w:eastAsia="en-AU"/>
        </w:rPr>
        <w:t xml:space="preserve"> Carvalho, </w:t>
      </w:r>
      <w:r w:rsidR="00F774F8">
        <w:rPr>
          <w:rFonts w:cs="Arial"/>
          <w:shd w:val="clear" w:color="auto" w:fill="FFFFFF"/>
          <w:lang w:eastAsia="en-AU"/>
        </w:rPr>
        <w:t>and R.</w:t>
      </w:r>
      <w:r w:rsidRPr="00861B1A">
        <w:rPr>
          <w:rFonts w:cs="Arial"/>
          <w:shd w:val="clear" w:color="auto" w:fill="FFFFFF"/>
          <w:lang w:eastAsia="en-AU"/>
        </w:rPr>
        <w:t xml:space="preserve"> Sikorski. 2015. Turkey wattle temperature response to distinct environmental factors. Revista Brasileira de Ciência Avícola 17:439–444.</w:t>
      </w:r>
    </w:p>
    <w:p w14:paraId="77B383B7"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Mitterer-Istyagin, H., M. Ludewig, T. Bartels, M. E. Krautwald-Junghanns, R. Ellerich, E. Schuster, J. Berk, S. Petermann, and K. Fehlhaber. 2011. Examinations on the prevalence of footpad lesions and breast skin lesions in BUT Big 6 fattening turkeys in Germany. Part II: Prevalence of breast skin lesions (breast buttons and breast blisters). Poultry Science 90:775-780. doi 10.3382/ps.2010-01142</w:t>
      </w:r>
    </w:p>
    <w:p w14:paraId="3CD10DE0" w14:textId="77777777" w:rsidR="00F774F8" w:rsidRDefault="00861B1A" w:rsidP="00861B1A">
      <w:pPr>
        <w:rPr>
          <w:rFonts w:cs="Arial"/>
          <w:shd w:val="clear" w:color="auto" w:fill="FFFFFF"/>
          <w:lang w:val="en-AU" w:eastAsia="en-AU"/>
        </w:rPr>
      </w:pPr>
      <w:r w:rsidRPr="00861B1A">
        <w:rPr>
          <w:rFonts w:cs="Arial"/>
          <w:shd w:val="clear" w:color="auto" w:fill="FFFFFF"/>
          <w:lang w:val="en-AU" w:eastAsia="en-AU"/>
        </w:rPr>
        <w:t xml:space="preserve">Moinard, C., and C. M. Sherwin. 1999. Turkeys prefer fluorescent light with supplementary ultraviolet radiation. Applied Animal Behaviour Science 64:261-267. </w:t>
      </w:r>
      <w:r w:rsidR="00F774F8">
        <w:rPr>
          <w:rFonts w:cs="Arial"/>
          <w:shd w:val="clear" w:color="auto" w:fill="FFFFFF"/>
          <w:lang w:val="en-AU" w:eastAsia="en-AU"/>
        </w:rPr>
        <w:t>d</w:t>
      </w:r>
      <w:r w:rsidRPr="00861B1A">
        <w:rPr>
          <w:rFonts w:cs="Arial"/>
          <w:shd w:val="clear" w:color="auto" w:fill="FFFFFF"/>
          <w:lang w:val="en-AU" w:eastAsia="en-AU"/>
        </w:rPr>
        <w:t>oi</w:t>
      </w:r>
      <w:r w:rsidR="00F774F8">
        <w:rPr>
          <w:rFonts w:cs="Arial"/>
          <w:shd w:val="clear" w:color="auto" w:fill="FFFFFF"/>
          <w:lang w:val="en-AU" w:eastAsia="en-AU"/>
        </w:rPr>
        <w:t xml:space="preserve"> 10.1016/S0168-1591(99)00043-X</w:t>
      </w:r>
    </w:p>
    <w:p w14:paraId="3B0E10BC"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 xml:space="preserve">Moinard, C., </w:t>
      </w:r>
      <w:r w:rsidR="00F774F8">
        <w:rPr>
          <w:rFonts w:cs="Arial"/>
          <w:shd w:val="clear" w:color="auto" w:fill="FFFFFF"/>
          <w:lang w:val="en-AU" w:eastAsia="en-AU"/>
        </w:rPr>
        <w:t xml:space="preserve">P. D. </w:t>
      </w:r>
      <w:r w:rsidRPr="00861B1A">
        <w:rPr>
          <w:rFonts w:cs="Arial"/>
          <w:shd w:val="clear" w:color="auto" w:fill="FFFFFF"/>
          <w:lang w:val="en-AU" w:eastAsia="en-AU"/>
        </w:rPr>
        <w:t xml:space="preserve">Lewis, </w:t>
      </w:r>
      <w:r w:rsidR="00F774F8">
        <w:rPr>
          <w:rFonts w:cs="Arial"/>
          <w:shd w:val="clear" w:color="auto" w:fill="FFFFFF"/>
          <w:lang w:val="en-AU" w:eastAsia="en-AU"/>
        </w:rPr>
        <w:t>G. C.</w:t>
      </w:r>
      <w:r w:rsidRPr="00861B1A">
        <w:rPr>
          <w:rFonts w:cs="Arial"/>
          <w:shd w:val="clear" w:color="auto" w:fill="FFFFFF"/>
          <w:lang w:val="en-AU" w:eastAsia="en-AU"/>
        </w:rPr>
        <w:t xml:space="preserve"> Perry, and </w:t>
      </w:r>
      <w:r w:rsidR="00F774F8">
        <w:rPr>
          <w:rFonts w:cs="Arial"/>
          <w:shd w:val="clear" w:color="auto" w:fill="FFFFFF"/>
          <w:lang w:val="en-AU" w:eastAsia="en-AU"/>
        </w:rPr>
        <w:t xml:space="preserve">C. M. </w:t>
      </w:r>
      <w:r w:rsidRPr="00861B1A">
        <w:rPr>
          <w:rFonts w:cs="Arial"/>
          <w:shd w:val="clear" w:color="auto" w:fill="FFFFFF"/>
          <w:lang w:val="en-AU" w:eastAsia="en-AU"/>
        </w:rPr>
        <w:t>Sherwin</w:t>
      </w:r>
      <w:r w:rsidR="00F774F8">
        <w:rPr>
          <w:rFonts w:cs="Arial"/>
          <w:shd w:val="clear" w:color="auto" w:fill="FFFFFF"/>
          <w:lang w:val="en-AU" w:eastAsia="en-AU"/>
        </w:rPr>
        <w:t>. 2001</w:t>
      </w:r>
      <w:r w:rsidRPr="00861B1A">
        <w:rPr>
          <w:rFonts w:cs="Arial"/>
          <w:shd w:val="clear" w:color="auto" w:fill="FFFFFF"/>
          <w:lang w:val="en-AU" w:eastAsia="en-AU"/>
        </w:rPr>
        <w:t>. The effects of light intensity and light source on injuries due to pecking of male domestic turkeys (</w:t>
      </w:r>
      <w:r w:rsidRPr="00861B1A">
        <w:rPr>
          <w:rFonts w:cs="Arial"/>
          <w:i/>
          <w:shd w:val="clear" w:color="auto" w:fill="FFFFFF"/>
          <w:lang w:val="en-AU" w:eastAsia="en-AU"/>
        </w:rPr>
        <w:t>Meleagris gallopavo</w:t>
      </w:r>
      <w:r w:rsidRPr="00861B1A">
        <w:rPr>
          <w:rFonts w:cs="Arial"/>
          <w:shd w:val="clear" w:color="auto" w:fill="FFFFFF"/>
          <w:lang w:val="en-AU" w:eastAsia="en-AU"/>
        </w:rPr>
        <w:t xml:space="preserve">). </w:t>
      </w:r>
      <w:r w:rsidRPr="00861B1A">
        <w:rPr>
          <w:rFonts w:cs="Arial"/>
          <w:iCs/>
          <w:shd w:val="clear" w:color="auto" w:fill="FFFFFF"/>
          <w:lang w:val="en-AU" w:eastAsia="en-AU"/>
        </w:rPr>
        <w:t>Animal Welfare</w:t>
      </w:r>
      <w:r w:rsidRPr="00861B1A">
        <w:rPr>
          <w:rFonts w:cs="Arial"/>
          <w:shd w:val="clear" w:color="auto" w:fill="FFFFFF"/>
          <w:lang w:val="en-AU" w:eastAsia="en-AU"/>
        </w:rPr>
        <w:t xml:space="preserve"> </w:t>
      </w:r>
      <w:r w:rsidRPr="00861B1A">
        <w:rPr>
          <w:rFonts w:cs="Arial"/>
          <w:iCs/>
          <w:shd w:val="clear" w:color="auto" w:fill="FFFFFF"/>
          <w:lang w:val="en-AU" w:eastAsia="en-AU"/>
        </w:rPr>
        <w:t>10</w:t>
      </w:r>
      <w:r w:rsidRPr="00861B1A">
        <w:rPr>
          <w:rFonts w:cs="Arial"/>
          <w:shd w:val="clear" w:color="auto" w:fill="FFFFFF"/>
          <w:lang w:val="en-AU" w:eastAsia="en-AU"/>
        </w:rPr>
        <w:t>: 131-139.</w:t>
      </w:r>
    </w:p>
    <w:p w14:paraId="25A4C547"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Mor, S. K., H. Verma, T. A. Sharafeldin, R. E. Porter, A. F. Ziegler, S. L. Noll, and S. M. Goyal. 2015. Survival of turkey arthritis reovirus in poultry litter and drinking water. Poultry Science 94:639-642. doi 10.3382/ps/pev025</w:t>
      </w:r>
    </w:p>
    <w:p w14:paraId="3D310B7C"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Morishita, T. Y. 1999. Clinical Assessment of Gallinaceous Birds and Waterfowl in Backyard Flocks. Veterinary Clinics of North America: Exotic Animal Practice 2:383-404. doi 10.1016/S1094-9194(17)30129-9</w:t>
      </w:r>
    </w:p>
    <w:p w14:paraId="1D9273F5" w14:textId="77777777" w:rsidR="00861B1A" w:rsidRPr="00861B1A" w:rsidRDefault="00446673" w:rsidP="00861B1A">
      <w:pPr>
        <w:rPr>
          <w:rFonts w:cs="Arial"/>
          <w:shd w:val="clear" w:color="auto" w:fill="FFFFFF"/>
          <w:lang w:val="en-AU" w:eastAsia="en-AU"/>
        </w:rPr>
      </w:pPr>
      <w:r w:rsidRPr="00446673">
        <w:rPr>
          <w:rFonts w:cs="Arial"/>
          <w:shd w:val="clear" w:color="auto" w:fill="FFFFFF"/>
          <w:lang w:val="en-AU" w:eastAsia="en-AU"/>
        </w:rPr>
        <w:t>Özkan</w:t>
      </w:r>
      <w:r w:rsidR="00861B1A" w:rsidRPr="00861B1A">
        <w:rPr>
          <w:rFonts w:cs="Arial"/>
          <w:shd w:val="clear" w:color="auto" w:fill="FFFFFF"/>
          <w:lang w:val="en-AU" w:eastAsia="en-AU"/>
        </w:rPr>
        <w:t>, C., A. Kaya, L. Aslan, and Y. Akgul. 2012. Diagnosis and Treatment of Hypophosphatemia in Young Turkeys. Pakistan</w:t>
      </w:r>
      <w:r w:rsidR="00F57E63">
        <w:rPr>
          <w:rFonts w:cs="Arial"/>
          <w:shd w:val="clear" w:color="auto" w:fill="FFFFFF"/>
          <w:lang w:val="en-AU" w:eastAsia="en-AU"/>
        </w:rPr>
        <w:t xml:space="preserve"> Veterinary Journal 32:125-127.</w:t>
      </w:r>
    </w:p>
    <w:p w14:paraId="167744AA"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 xml:space="preserve">Prescott, N. B., </w:t>
      </w:r>
      <w:r w:rsidR="00F774F8">
        <w:rPr>
          <w:rFonts w:cs="Arial"/>
          <w:shd w:val="clear" w:color="auto" w:fill="FFFFFF"/>
          <w:lang w:val="en-AU" w:eastAsia="en-AU"/>
        </w:rPr>
        <w:t xml:space="preserve">P. S. </w:t>
      </w:r>
      <w:r w:rsidRPr="00861B1A">
        <w:rPr>
          <w:rFonts w:cs="Arial"/>
          <w:shd w:val="clear" w:color="auto" w:fill="FFFFFF"/>
          <w:lang w:val="en-AU" w:eastAsia="en-AU"/>
        </w:rPr>
        <w:t xml:space="preserve">Berry, </w:t>
      </w:r>
      <w:r w:rsidR="00F774F8">
        <w:rPr>
          <w:rFonts w:cs="Arial"/>
          <w:shd w:val="clear" w:color="auto" w:fill="FFFFFF"/>
          <w:lang w:val="en-AU" w:eastAsia="en-AU"/>
        </w:rPr>
        <w:t>S.</w:t>
      </w:r>
      <w:r w:rsidRPr="00861B1A">
        <w:rPr>
          <w:rFonts w:cs="Arial"/>
          <w:shd w:val="clear" w:color="auto" w:fill="FFFFFF"/>
          <w:lang w:val="en-AU" w:eastAsia="en-AU"/>
        </w:rPr>
        <w:t xml:space="preserve"> Haslam, and </w:t>
      </w:r>
      <w:r w:rsidR="00F774F8">
        <w:rPr>
          <w:rFonts w:cs="Arial"/>
          <w:shd w:val="clear" w:color="auto" w:fill="FFFFFF"/>
          <w:lang w:val="en-AU" w:eastAsia="en-AU"/>
        </w:rPr>
        <w:t>D. B.</w:t>
      </w:r>
      <w:r w:rsidRPr="00861B1A">
        <w:rPr>
          <w:rFonts w:cs="Arial"/>
          <w:shd w:val="clear" w:color="auto" w:fill="FFFFFF"/>
          <w:lang w:val="en-AU" w:eastAsia="en-AU"/>
        </w:rPr>
        <w:t xml:space="preserve"> Tinker. 2000. Catching and crating turkeys: effects on carcass damage, heart rate, and other welfare parameters. </w:t>
      </w:r>
      <w:r w:rsidRPr="00861B1A">
        <w:rPr>
          <w:rFonts w:cs="Arial"/>
          <w:iCs/>
          <w:shd w:val="clear" w:color="auto" w:fill="FFFFFF"/>
          <w:lang w:val="en-AU" w:eastAsia="en-AU"/>
        </w:rPr>
        <w:t>Journal of Applied Poultry Research</w:t>
      </w:r>
      <w:r w:rsidRPr="00861B1A">
        <w:rPr>
          <w:rFonts w:cs="Arial"/>
          <w:shd w:val="clear" w:color="auto" w:fill="FFFFFF"/>
          <w:lang w:val="en-AU" w:eastAsia="en-AU"/>
        </w:rPr>
        <w:t xml:space="preserve"> </w:t>
      </w:r>
      <w:r w:rsidRPr="00861B1A">
        <w:rPr>
          <w:rFonts w:cs="Arial"/>
          <w:iCs/>
          <w:shd w:val="clear" w:color="auto" w:fill="FFFFFF"/>
          <w:lang w:val="en-AU" w:eastAsia="en-AU"/>
        </w:rPr>
        <w:t>9</w:t>
      </w:r>
      <w:r w:rsidRPr="00861B1A">
        <w:rPr>
          <w:rFonts w:cs="Arial"/>
          <w:shd w:val="clear" w:color="auto" w:fill="FFFFFF"/>
          <w:lang w:val="en-AU" w:eastAsia="en-AU"/>
        </w:rPr>
        <w:t>:424-432.</w:t>
      </w:r>
    </w:p>
    <w:p w14:paraId="7891EC3F" w14:textId="77777777" w:rsidR="00861B1A" w:rsidRDefault="00861B1A" w:rsidP="00861B1A">
      <w:pPr>
        <w:rPr>
          <w:rFonts w:cs="Arial"/>
          <w:shd w:val="clear" w:color="auto" w:fill="FFFFFF"/>
          <w:lang w:val="en-AU" w:eastAsia="en-AU"/>
        </w:rPr>
      </w:pPr>
      <w:r w:rsidRPr="00861B1A">
        <w:rPr>
          <w:rFonts w:cs="Arial"/>
          <w:shd w:val="clear" w:color="auto" w:fill="FFFFFF"/>
          <w:lang w:val="en-AU" w:eastAsia="en-AU"/>
        </w:rPr>
        <w:t>Reece, W. O., J. L. Sell, D. W. Trampel, and W. F. Christensen. 2000. Effects of dietary potassium supplementation for growing turkeys on leg weakness, plasma potassium concentration, and selected blood variables</w:t>
      </w:r>
      <w:r w:rsidR="00F57E63">
        <w:rPr>
          <w:rFonts w:cs="Arial"/>
          <w:shd w:val="clear" w:color="auto" w:fill="FFFFFF"/>
          <w:lang w:val="en-AU" w:eastAsia="en-AU"/>
        </w:rPr>
        <w:t>. Poultry Science 79:1120-1126.</w:t>
      </w:r>
    </w:p>
    <w:p w14:paraId="11211976"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Roberson, K. D. 2009. Growth performance and spontaneous bone fracture incidence of turkey toms fed various levels of calcium and nonphytate phosphorus to heavy market weight. Journal of Applied Poultry Research 18:158-164. doi 10.3382/japr.2008-00083</w:t>
      </w:r>
    </w:p>
    <w:p w14:paraId="3DDA7EFC"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Rueda, L. M., and R. C. Axtell. 1997. Arthropods in Litter of Poultry (Broiler Chicken and Turkey) Houses. Journal of Agricultural Entomolo</w:t>
      </w:r>
      <w:r w:rsidR="002E00DE">
        <w:rPr>
          <w:rFonts w:cs="Arial"/>
          <w:shd w:val="clear" w:color="auto" w:fill="FFFFFF"/>
          <w:lang w:val="en-AU" w:eastAsia="en-AU"/>
        </w:rPr>
        <w:t>gy 14:81-91.</w:t>
      </w:r>
    </w:p>
    <w:p w14:paraId="02466F74"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 xml:space="preserve">Sainsbury, D., and C. M. Sherwin. 2001. 20 The domestic turkey, </w:t>
      </w:r>
      <w:r w:rsidRPr="002E00DE">
        <w:rPr>
          <w:rFonts w:cs="Arial"/>
          <w:i/>
          <w:shd w:val="clear" w:color="auto" w:fill="FFFFFF"/>
          <w:lang w:val="en-AU" w:eastAsia="en-AU"/>
        </w:rPr>
        <w:t>Meleagris gall</w:t>
      </w:r>
      <w:r w:rsidR="00557479" w:rsidRPr="002E00DE">
        <w:rPr>
          <w:rFonts w:cs="Arial"/>
          <w:i/>
          <w:shd w:val="clear" w:color="auto" w:fill="FFFFFF"/>
          <w:lang w:val="en-AU" w:eastAsia="en-AU"/>
        </w:rPr>
        <w:t>opavo</w:t>
      </w:r>
      <w:r w:rsidR="00557479">
        <w:rPr>
          <w:rFonts w:cs="Arial"/>
          <w:shd w:val="clear" w:color="auto" w:fill="FFFFFF"/>
          <w:lang w:val="en-AU" w:eastAsia="en-AU"/>
        </w:rPr>
        <w:t>. Laboratory Animals 35:1.</w:t>
      </w:r>
    </w:p>
    <w:p w14:paraId="632E69D0"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Sarica, M., and U. S. Yamak. 2010. The Effects of Production Systems (Barn and Free-Range) on Foot Pad Dermatitis and Body Defects of White Turkeys. Journal of Animal and</w:t>
      </w:r>
      <w:r w:rsidR="00F57E63">
        <w:rPr>
          <w:rFonts w:cs="Arial"/>
          <w:shd w:val="clear" w:color="auto" w:fill="FFFFFF"/>
          <w:lang w:val="en-AU" w:eastAsia="en-AU"/>
        </w:rPr>
        <w:t xml:space="preserve"> Veterinary Advances 9:958-961.</w:t>
      </w:r>
    </w:p>
    <w:p w14:paraId="069E4502"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Sherwin, C. M., and C. L. Devereux. 1999. Preliminary investigations of ultraviolet-induced markings on domestic turkey chicks and a possible role in injurious pecking. British Poultry Science 40:429-433. doi 10.1080/00071669987151</w:t>
      </w:r>
    </w:p>
    <w:p w14:paraId="00CA0C30"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Sherwin, C. M., and A. Kelland. 1998. Time-budgets, comfort behaviours and injurious pecking of turkeys housed in pairs. British Poultry Science 39:325-332. doi 10.1080/00071669888854</w:t>
      </w:r>
    </w:p>
    <w:p w14:paraId="6242323A"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Sherwin, C. M., P. D. Lewis, and G. C. Perry. 1999. Effects of environmental enrichment, fluorescent and intermittent lighting on injurious pecking amongst male turkey poults. British Poultry Science 40:592-598. doi 10.1080/00071669986954</w:t>
      </w:r>
    </w:p>
    <w:p w14:paraId="208DBC08"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Sinclair, A., C. W. Wyneken, T. Veldkamp, L. J. Vinco, and P. M. Hocking. 2015. Behavioural assessment of pain in commercial turkeys (</w:t>
      </w:r>
      <w:r w:rsidRPr="002E00DE">
        <w:rPr>
          <w:rFonts w:cs="Arial"/>
          <w:i/>
          <w:shd w:val="clear" w:color="auto" w:fill="FFFFFF"/>
          <w:lang w:val="en-AU" w:eastAsia="en-AU"/>
        </w:rPr>
        <w:t>Meleagris gallopavo</w:t>
      </w:r>
      <w:r w:rsidRPr="00861B1A">
        <w:rPr>
          <w:rFonts w:cs="Arial"/>
          <w:shd w:val="clear" w:color="auto" w:fill="FFFFFF"/>
          <w:lang w:val="en-AU" w:eastAsia="en-AU"/>
        </w:rPr>
        <w:t>) with foot pad dermatitis. British Poultry Science 56:511-521. doi 10.1080/00071668.2015.1077204</w:t>
      </w:r>
    </w:p>
    <w:p w14:paraId="78733F7E"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Slobodzian-Ksenicz, O., H. Houszka, and A. Michalski. 2008. Effect of addition of brown coal and microbe vaccine to litter on bedding quality and production results in turkey farming. Animal Science</w:t>
      </w:r>
      <w:r w:rsidR="002E00DE">
        <w:rPr>
          <w:rFonts w:cs="Arial"/>
          <w:shd w:val="clear" w:color="auto" w:fill="FFFFFF"/>
          <w:lang w:val="en-AU" w:eastAsia="en-AU"/>
        </w:rPr>
        <w:t xml:space="preserve"> Papers and Reports 26:317-329.</w:t>
      </w:r>
    </w:p>
    <w:p w14:paraId="7857B4A3"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Slobodzian-Ksenicz, O., H. Houszka, and A. Michalski. 2010. The effect of cellulose added to straw bedding on turkeys' welfare and production results. Animal Science</w:t>
      </w:r>
      <w:r w:rsidR="002E00DE">
        <w:rPr>
          <w:rFonts w:cs="Arial"/>
          <w:shd w:val="clear" w:color="auto" w:fill="FFFFFF"/>
          <w:lang w:val="en-AU" w:eastAsia="en-AU"/>
        </w:rPr>
        <w:t xml:space="preserve"> Papers and Reports 28:397-406.</w:t>
      </w:r>
    </w:p>
    <w:p w14:paraId="57B9D8C2"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Stoyanchev, K. 2007. Effects on the environmental stress on experimentally induced muscular dystrophy in broiler turkeys. Revue De Me</w:t>
      </w:r>
      <w:r w:rsidR="002E00DE">
        <w:rPr>
          <w:rFonts w:cs="Arial"/>
          <w:shd w:val="clear" w:color="auto" w:fill="FFFFFF"/>
          <w:lang w:val="en-AU" w:eastAsia="en-AU"/>
        </w:rPr>
        <w:t>decine Veterinaire 158:190-195.</w:t>
      </w:r>
    </w:p>
    <w:p w14:paraId="0FBD7AF2"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Tatara, M. R., E. Sliwa, W. Krupski, A. Brodzki, and K. Pasternak. 2006. Ornithine alpha-ketoglutarate increases mineralization and mechanical properties of tibia in turkeys. Bone 39:100-105. doi 10.1016/j.bone.2005.12.016</w:t>
      </w:r>
    </w:p>
    <w:p w14:paraId="7322620A"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 xml:space="preserve">Thachil, A. J., B. McComb, M. M. Early, C. Heeder, and K. V. Nagaraja. 2012. </w:t>
      </w:r>
      <w:r w:rsidRPr="002E00DE">
        <w:rPr>
          <w:rFonts w:cs="Arial"/>
          <w:i/>
          <w:shd w:val="clear" w:color="auto" w:fill="FFFFFF"/>
          <w:lang w:val="en-AU" w:eastAsia="en-AU"/>
        </w:rPr>
        <w:t>Clostridium perfringens</w:t>
      </w:r>
      <w:r w:rsidRPr="00861B1A">
        <w:rPr>
          <w:rFonts w:cs="Arial"/>
          <w:shd w:val="clear" w:color="auto" w:fill="FFFFFF"/>
          <w:lang w:val="en-AU" w:eastAsia="en-AU"/>
        </w:rPr>
        <w:t xml:space="preserve"> and </w:t>
      </w:r>
      <w:r w:rsidRPr="002E00DE">
        <w:rPr>
          <w:rFonts w:cs="Arial"/>
          <w:i/>
          <w:shd w:val="clear" w:color="auto" w:fill="FFFFFF"/>
          <w:lang w:val="en-AU" w:eastAsia="en-AU"/>
        </w:rPr>
        <w:t>Clostridium septicum</w:t>
      </w:r>
      <w:r w:rsidRPr="00861B1A">
        <w:rPr>
          <w:rFonts w:cs="Arial"/>
          <w:shd w:val="clear" w:color="auto" w:fill="FFFFFF"/>
          <w:lang w:val="en-AU" w:eastAsia="en-AU"/>
        </w:rPr>
        <w:t xml:space="preserve"> toxoid to control cellulitis in turkeys. Journal of Applied Poultry Research 21:358-366. doi 10.3382/japr.2011-00435</w:t>
      </w:r>
    </w:p>
    <w:p w14:paraId="09180875"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Tran, S. T., M. E. Bowman, and T. K. Smith. 2015. Effects of a silica-based feed supplement on performance, health, and litter quality of growing turkeys. Poultry Science 94:1902-1908. doi 10.3382/ps/pev158</w:t>
      </w:r>
    </w:p>
    <w:p w14:paraId="7A09167D"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 xml:space="preserve">Veldkamp, T., R. P. Kwakkel, P. R. Ferket, and M. W. A. Verstegen. 2002. Impact of ambient temperature and age on dietary lysine and energy in turkey production. </w:t>
      </w:r>
      <w:r w:rsidR="00E12232">
        <w:rPr>
          <w:rFonts w:cs="Arial"/>
          <w:shd w:val="clear" w:color="auto" w:fill="FFFFFF"/>
          <w:lang w:val="en-AU" w:eastAsia="en-AU"/>
        </w:rPr>
        <w:t>World’s</w:t>
      </w:r>
      <w:r w:rsidRPr="00861B1A">
        <w:rPr>
          <w:rFonts w:cs="Arial"/>
          <w:shd w:val="clear" w:color="auto" w:fill="FFFFFF"/>
          <w:lang w:val="en-AU" w:eastAsia="en-AU"/>
        </w:rPr>
        <w:t xml:space="preserve"> Poultry Science Journal 58:475-491. doi 10.1079/wps20020034</w:t>
      </w:r>
    </w:p>
    <w:p w14:paraId="49B0BD22"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Vermette, C., K. Schwean-Lardner, S. Gomis, B. H. Grahn, T. G. Crowe, and H. L. Classen. 2016. The impact of graded levels of day length on turkey health and behavior to 18 weeks of age. Poultry Science 95:1223-1237. doi 10.3382/ps/pew078</w:t>
      </w:r>
    </w:p>
    <w:p w14:paraId="1C54A7C8" w14:textId="77777777" w:rsidR="00861B1A" w:rsidRDefault="00861B1A" w:rsidP="00861B1A">
      <w:pPr>
        <w:rPr>
          <w:rFonts w:cs="Arial"/>
          <w:shd w:val="clear" w:color="auto" w:fill="FFFFFF"/>
          <w:lang w:val="en-AU" w:eastAsia="en-AU"/>
        </w:rPr>
      </w:pPr>
      <w:r w:rsidRPr="00861B1A">
        <w:rPr>
          <w:rFonts w:cs="Arial"/>
          <w:shd w:val="clear" w:color="auto" w:fill="FFFFFF"/>
          <w:lang w:val="en-AU" w:eastAsia="en-AU"/>
        </w:rPr>
        <w:t>Wang, B., B. M. Rathgeber, T. Astatkie, and J. L. MacIsaac. 2008. The Stress and Fear Levels of Microwave Toe-Treated Broiler Chickens Grown with Two Photoperiod Programs. Poultry Science 87:1248-1252. doi 10.3382/ps.2006-00440</w:t>
      </w:r>
    </w:p>
    <w:p w14:paraId="76B562BE" w14:textId="77777777" w:rsidR="00861B1A" w:rsidRDefault="00861B1A" w:rsidP="00861B1A">
      <w:pPr>
        <w:rPr>
          <w:rFonts w:cs="Arial"/>
          <w:shd w:val="clear" w:color="auto" w:fill="FFFFFF"/>
          <w:lang w:val="en-AU" w:eastAsia="en-AU"/>
        </w:rPr>
      </w:pPr>
      <w:r w:rsidRPr="00861B1A">
        <w:rPr>
          <w:rFonts w:cs="Arial"/>
          <w:shd w:val="clear" w:color="auto" w:fill="FFFFFF"/>
          <w:lang w:val="en-AU" w:eastAsia="en-AU"/>
        </w:rPr>
        <w:t>Wu, K., and P. M. Hocking. 2011. Turkeys are equally susceptible to foot pad dermatitis from 1 to 10 weeks of age and foot pad scores were minimized when litter moisture was less than 30%. Poultry Science 90:1170-1178. doi 10.3382/ps.2010-01202</w:t>
      </w:r>
    </w:p>
    <w:p w14:paraId="279A10FB" w14:textId="77777777" w:rsidR="00861B1A" w:rsidRDefault="00861B1A" w:rsidP="00861B1A">
      <w:pPr>
        <w:rPr>
          <w:rFonts w:cs="Arial"/>
          <w:shd w:val="clear" w:color="auto" w:fill="FFFFFF"/>
          <w:lang w:val="en-AU" w:eastAsia="en-AU"/>
        </w:rPr>
      </w:pPr>
      <w:r w:rsidRPr="00861B1A">
        <w:rPr>
          <w:rFonts w:cs="Arial"/>
          <w:shd w:val="clear" w:color="auto" w:fill="FFFFFF"/>
          <w:lang w:val="en-AU" w:eastAsia="en-AU"/>
        </w:rPr>
        <w:t>Wyneken, C. W., A. Sinclair, T. Veldkamp, L. J. Vinco, and P. M. Hocking. 2015. Footpad dermatitis and pain assessment in turkey poults using analgesia and objective gait analysis. British Poultry Science 56:522-530. doi 10.1080/00071668.2015.1077203</w:t>
      </w:r>
    </w:p>
    <w:p w14:paraId="5C8A2DB2"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Yahav, S. 2000. Relative humidity at moderate ambient temperatures: its effect on male broiler chickens and turkeys. British Poultry Science 41:94-100. doi 10.1080/00071660086475</w:t>
      </w:r>
    </w:p>
    <w:p w14:paraId="3C07EE90"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Yahav, S., M. Rusal, and D. Shinder. 2008. The effect of ventilation on performance body an</w:t>
      </w:r>
      <w:r w:rsidR="002E00DE">
        <w:rPr>
          <w:rFonts w:cs="Arial"/>
          <w:shd w:val="clear" w:color="auto" w:fill="FFFFFF"/>
          <w:lang w:val="en-AU" w:eastAsia="en-AU"/>
        </w:rPr>
        <w:t>d surface temperature of young t</w:t>
      </w:r>
      <w:r w:rsidRPr="00861B1A">
        <w:rPr>
          <w:rFonts w:cs="Arial"/>
          <w:shd w:val="clear" w:color="auto" w:fill="FFFFFF"/>
          <w:lang w:val="en-AU" w:eastAsia="en-AU"/>
        </w:rPr>
        <w:t>urkeys. Poultry Science 87:133-137. doi 10.3382/ps.2007-00359</w:t>
      </w:r>
    </w:p>
    <w:p w14:paraId="1757EF8B"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Youssef, I. M. I., A. Beineke, K. Rohn, and J. Kamphues. 2011a. Effects of high dietary levels of soybean meal and its constituents (potassium, oligosaccharides) on foot pad dermatitis in growing turkeys housed on dry and wet litter. Archives of Animal Nutrition 65:148-162. doi 10.1080/1745039x.2010.533548</w:t>
      </w:r>
    </w:p>
    <w:p w14:paraId="238D6A2F"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Youssef, I. M. I., A. Beineke, K. Rohn, and J. Kamphues. 2011b. Effects of Litter Quality (Moisture, Ammonia, Uric Acid) on Development and Severity of Foot Pad Dermatitis in Growing Tu</w:t>
      </w:r>
      <w:r w:rsidR="002E00DE">
        <w:rPr>
          <w:rFonts w:cs="Arial"/>
          <w:shd w:val="clear" w:color="auto" w:fill="FFFFFF"/>
          <w:lang w:val="en-AU" w:eastAsia="en-AU"/>
        </w:rPr>
        <w:t>rkeys. Avian Diseases 55:51-58.</w:t>
      </w:r>
    </w:p>
    <w:p w14:paraId="032F59E1"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Youssef, I. M. I., A. Beineke, K. Rohn, and J. Kamphues. 2011c. Effects of macrominerals - surplus in the diet and high litter moisture on development and severity of foot pad dermatitis in growing turkeys. Archi</w:t>
      </w:r>
      <w:r w:rsidR="002E00DE">
        <w:rPr>
          <w:rFonts w:cs="Arial"/>
          <w:shd w:val="clear" w:color="auto" w:fill="FFFFFF"/>
          <w:lang w:val="en-AU" w:eastAsia="en-AU"/>
        </w:rPr>
        <w:t>v Fur Geflugelkunde 75:253-263.</w:t>
      </w:r>
    </w:p>
    <w:p w14:paraId="4A97C72F"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Youssef, I. M. I., A. Beineke, K. Rohn, and J. Kamphues. 2012. Influences of increased levels of biotin, zinc or mannan-oligosaccharides in the diet on foot pad dermatitis in growing turkeys housed on dry and wet litter. Journal of Animal Physiology and Animal Nutrition 96:747-761. doi 10.1111/j.1439-0396.2010.01115.x</w:t>
      </w:r>
    </w:p>
    <w:p w14:paraId="3BC123A1" w14:textId="77777777" w:rsidR="00861B1A" w:rsidRPr="00861B1A" w:rsidRDefault="00861B1A" w:rsidP="00861B1A">
      <w:pPr>
        <w:rPr>
          <w:rFonts w:cs="Arial"/>
          <w:shd w:val="clear" w:color="auto" w:fill="FFFFFF"/>
          <w:lang w:val="en-AU" w:eastAsia="en-AU"/>
        </w:rPr>
      </w:pPr>
      <w:r w:rsidRPr="00861B1A">
        <w:rPr>
          <w:rFonts w:cs="Arial"/>
          <w:shd w:val="clear" w:color="auto" w:fill="FFFFFF"/>
          <w:lang w:val="en-AU" w:eastAsia="en-AU"/>
        </w:rPr>
        <w:t xml:space="preserve">Zollitsch, W., and R. Baumung. 2004. Protein supply for organic poultry: options and shortcomings. </w:t>
      </w:r>
      <w:r w:rsidR="00F15959">
        <w:rPr>
          <w:rFonts w:cs="Arial"/>
          <w:shd w:val="clear" w:color="auto" w:fill="FFFFFF"/>
          <w:lang w:val="en-AU" w:eastAsia="en-AU"/>
        </w:rPr>
        <w:t>In:</w:t>
      </w:r>
      <w:r w:rsidRPr="00861B1A">
        <w:rPr>
          <w:rFonts w:cs="Arial"/>
          <w:shd w:val="clear" w:color="auto" w:fill="FFFFFF"/>
          <w:lang w:val="en-AU" w:eastAsia="en-AU"/>
        </w:rPr>
        <w:t xml:space="preserve"> Organic livestock farming: potential and limitations of husbandry practice to secure animal health and welfare and food quality</w:t>
      </w:r>
      <w:r w:rsidR="006B4AAF">
        <w:rPr>
          <w:rFonts w:cs="Arial"/>
          <w:shd w:val="clear" w:color="auto" w:fill="FFFFFF"/>
          <w:lang w:val="en-AU" w:eastAsia="en-AU"/>
        </w:rPr>
        <w:t xml:space="preserve">, </w:t>
      </w:r>
      <w:r w:rsidR="006B4AAF" w:rsidRPr="00861B1A">
        <w:rPr>
          <w:rFonts w:cs="Arial"/>
          <w:shd w:val="clear" w:color="auto" w:fill="FFFFFF"/>
          <w:lang w:val="en-AU" w:eastAsia="en-AU"/>
        </w:rPr>
        <w:t xml:space="preserve">M. Hovi, A. Sundrum, and S. Padel </w:t>
      </w:r>
      <w:r w:rsidR="006B4AAF">
        <w:rPr>
          <w:rFonts w:cs="Arial"/>
          <w:shd w:val="clear" w:color="auto" w:fill="FFFFFF"/>
          <w:lang w:val="en-AU" w:eastAsia="en-AU"/>
        </w:rPr>
        <w:t>(Eds.),</w:t>
      </w:r>
      <w:r w:rsidRPr="00861B1A">
        <w:rPr>
          <w:rFonts w:cs="Arial"/>
          <w:shd w:val="clear" w:color="auto" w:fill="FFFFFF"/>
          <w:lang w:val="en-AU" w:eastAsia="en-AU"/>
        </w:rPr>
        <w:t xml:space="preserve"> Proceedings of the 2nd SAFO Workshop 25-27 March, Witzenhausen, Germany</w:t>
      </w:r>
      <w:r w:rsidR="00B74EAB">
        <w:rPr>
          <w:rFonts w:cs="Arial"/>
          <w:shd w:val="clear" w:color="auto" w:fill="FFFFFF"/>
          <w:lang w:val="en-AU" w:eastAsia="en-AU"/>
        </w:rPr>
        <w:t>, pages 153-159</w:t>
      </w:r>
      <w:r w:rsidRPr="00861B1A">
        <w:rPr>
          <w:rFonts w:cs="Arial"/>
          <w:shd w:val="clear" w:color="auto" w:fill="FFFFFF"/>
          <w:lang w:val="en-AU" w:eastAsia="en-AU"/>
        </w:rPr>
        <w:t>.</w:t>
      </w:r>
    </w:p>
    <w:p w14:paraId="7B80A1E4" w14:textId="77777777" w:rsidR="00861B1A" w:rsidRPr="00286A88" w:rsidRDefault="00861B1A" w:rsidP="006C7146">
      <w:pPr>
        <w:rPr>
          <w:rFonts w:cs="Arial"/>
          <w:shd w:val="clear" w:color="auto" w:fill="FFFFFF"/>
          <w:lang w:val="en-AU" w:eastAsia="en-AU"/>
        </w:rPr>
      </w:pPr>
    </w:p>
    <w:p w14:paraId="10CF8FD5" w14:textId="77777777" w:rsidR="00286A88" w:rsidRPr="00286A88" w:rsidRDefault="006C7146" w:rsidP="006C7146">
      <w:pPr>
        <w:pStyle w:val="Heading1"/>
        <w:rPr>
          <w:lang w:val="en-AU" w:eastAsia="en-AU"/>
        </w:rPr>
      </w:pPr>
      <w:r>
        <w:rPr>
          <w:sz w:val="22"/>
          <w:szCs w:val="22"/>
          <w:lang w:val="en-AU" w:eastAsia="en-AU"/>
        </w:rPr>
        <w:br w:type="column"/>
      </w:r>
      <w:bookmarkStart w:id="266" w:name="_Toc495310734"/>
      <w:r w:rsidR="00286A88" w:rsidRPr="00286A88">
        <w:rPr>
          <w:lang w:val="en-AU" w:eastAsia="en-AU"/>
        </w:rPr>
        <w:t>Guinea Fowl</w:t>
      </w:r>
      <w:bookmarkEnd w:id="266"/>
    </w:p>
    <w:p w14:paraId="05CD965B" w14:textId="77777777" w:rsidR="00286A88" w:rsidRPr="00286A88" w:rsidRDefault="00286A88" w:rsidP="006C7146">
      <w:pPr>
        <w:pStyle w:val="Heading2"/>
        <w:rPr>
          <w:lang w:val="en-AU" w:eastAsia="en-AU"/>
        </w:rPr>
      </w:pPr>
      <w:bookmarkStart w:id="267" w:name="_Toc495310735"/>
      <w:r w:rsidRPr="00286A88">
        <w:rPr>
          <w:lang w:val="en-AU" w:eastAsia="en-AU"/>
        </w:rPr>
        <w:t>GF1. Introduction</w:t>
      </w:r>
      <w:bookmarkEnd w:id="267"/>
    </w:p>
    <w:p w14:paraId="3B0DC879" w14:textId="77777777" w:rsidR="00286A88" w:rsidRPr="00286A88" w:rsidRDefault="00286A88" w:rsidP="006C7146">
      <w:pPr>
        <w:pStyle w:val="Heading3"/>
        <w:rPr>
          <w:lang w:val="en-AU" w:eastAsia="en-AU"/>
        </w:rPr>
      </w:pPr>
      <w:bookmarkStart w:id="268" w:name="_Toc495310736"/>
      <w:r w:rsidRPr="00286A88">
        <w:rPr>
          <w:lang w:val="en-AU" w:eastAsia="en-AU"/>
        </w:rPr>
        <w:t>GF1.1 Life history</w:t>
      </w:r>
      <w:bookmarkEnd w:id="268"/>
    </w:p>
    <w:p w14:paraId="1AD09244" w14:textId="77777777" w:rsidR="00286A88" w:rsidRPr="00286A88" w:rsidRDefault="00286A88" w:rsidP="006C7146">
      <w:pPr>
        <w:rPr>
          <w:lang w:val="en-AU" w:eastAsia="en-AU"/>
        </w:rPr>
      </w:pPr>
      <w:r w:rsidRPr="00286A88">
        <w:rPr>
          <w:lang w:val="en-AU" w:eastAsia="en-AU"/>
        </w:rPr>
        <w:t xml:space="preserve">Guineafowl are Galliform birds endemic to the African continent, and comprise four different genera: </w:t>
      </w:r>
      <w:r w:rsidRPr="00286A88">
        <w:rPr>
          <w:i/>
          <w:lang w:val="en-AU" w:eastAsia="en-AU"/>
        </w:rPr>
        <w:t xml:space="preserve">Numida, Agelastes, Guttera </w:t>
      </w:r>
      <w:r w:rsidRPr="00286A88">
        <w:rPr>
          <w:lang w:val="en-AU" w:eastAsia="en-AU"/>
        </w:rPr>
        <w:t>and</w:t>
      </w:r>
      <w:r w:rsidRPr="00286A88">
        <w:rPr>
          <w:i/>
          <w:lang w:val="en-AU" w:eastAsia="en-AU"/>
        </w:rPr>
        <w:t xml:space="preserve"> Acryllium</w:t>
      </w:r>
      <w:r w:rsidRPr="00286A88">
        <w:rPr>
          <w:lang w:val="en-AU" w:eastAsia="en-AU"/>
        </w:rPr>
        <w:t>. It is likely that modern semi-domesticated guineafowl are derived from a West African subspecies of helmeted guineafowl (</w:t>
      </w:r>
      <w:r w:rsidRPr="00286A88">
        <w:rPr>
          <w:i/>
          <w:lang w:val="en-AU" w:eastAsia="en-AU"/>
        </w:rPr>
        <w:t>Numida meleagris galatea</w:t>
      </w:r>
      <w:r w:rsidRPr="00286A88">
        <w:rPr>
          <w:lang w:val="en-AU" w:eastAsia="en-AU"/>
        </w:rPr>
        <w:t>). Guineafowl thrive in fragmented habitats (Ratcliffe and Crowe, 2001) and are commonly found in savannah habitats that are mixed with cultivated areas, with the savannahs providing roosts, nesting cover and refuge, while cultivated land provides food (Malan and Benn, 1999). Home ranges observed by Njiforti and Kortekaas (1998) varied between 3.1-3.6 km</w:t>
      </w:r>
      <w:r w:rsidRPr="00286A88">
        <w:rPr>
          <w:vertAlign w:val="superscript"/>
          <w:lang w:val="en-AU" w:eastAsia="en-AU"/>
        </w:rPr>
        <w:t>2</w:t>
      </w:r>
      <w:r w:rsidRPr="00286A88">
        <w:rPr>
          <w:lang w:val="en-AU" w:eastAsia="en-AU"/>
        </w:rPr>
        <w:t>.</w:t>
      </w:r>
    </w:p>
    <w:p w14:paraId="4E87F90B" w14:textId="77777777" w:rsidR="00286A88" w:rsidRPr="00286A88" w:rsidRDefault="00286A88" w:rsidP="006C7146">
      <w:pPr>
        <w:rPr>
          <w:lang w:val="en-AU" w:eastAsia="en-AU"/>
        </w:rPr>
      </w:pPr>
      <w:r w:rsidRPr="00286A88">
        <w:rPr>
          <w:lang w:val="en-AU" w:eastAsia="en-AU"/>
        </w:rPr>
        <w:t>Guineafowl, like chickens, are primarily ground living, although they can fly short distances. They are omnivores, foraging for food by pecking and scratching at the ground and their diet is varied, including grains, crop residues, corms, tubers, seeds, green leaves, and invertebrates (Prinsloo et al., 2008). Guineafowl nest on the ground in scrapes, but roost at night in low branches.</w:t>
      </w:r>
    </w:p>
    <w:p w14:paraId="5169F9A1" w14:textId="77777777" w:rsidR="00286A88" w:rsidRPr="00286A88" w:rsidRDefault="00286A88" w:rsidP="006C7146">
      <w:pPr>
        <w:rPr>
          <w:lang w:val="en-AU" w:eastAsia="en-AU"/>
        </w:rPr>
      </w:pPr>
      <w:r w:rsidRPr="00286A88">
        <w:rPr>
          <w:lang w:val="en-AU" w:eastAsia="en-AU"/>
        </w:rPr>
        <w:t>Elbin et al. (1986) studied the social behaviour of wild helmeted guineafowl. Birds formed mixed-sex flocks of 20-30 birds outside of the breeding season, and roosted communally at all times, except during incubation and brooding. During the breeding season males associated sequentially with one or more females, with one stable male-female pair forming after four to six weeks, and remaining together throughout the breeding season, maintained by vocalisation and posturing. Males also fed their mates during courtship and guarded them during egg laying and incubation.</w:t>
      </w:r>
    </w:p>
    <w:p w14:paraId="699A7F23" w14:textId="77777777" w:rsidR="00286A88" w:rsidRPr="00286A88" w:rsidRDefault="00286A88" w:rsidP="006C7146">
      <w:pPr>
        <w:rPr>
          <w:lang w:val="en-AU" w:eastAsia="en-AU"/>
        </w:rPr>
      </w:pPr>
      <w:r w:rsidRPr="00286A88">
        <w:rPr>
          <w:lang w:val="en-AU" w:eastAsia="en-AU"/>
        </w:rPr>
        <w:t>Guineafowl lay 15-20 eggs per clutch (Ayeni, 1980, cited by Njiforti, 1997), and breed just once a year. Females incubated the eggs for approximately 30 days, and both males and females brooded the chicks for 12 days after hatch, and led the keets (chicks) during foraging (Elbin et al., 1986).</w:t>
      </w:r>
    </w:p>
    <w:p w14:paraId="670C3FE6" w14:textId="77777777" w:rsidR="00286A88" w:rsidRPr="00286A88" w:rsidRDefault="00286A88" w:rsidP="006C7146">
      <w:pPr>
        <w:rPr>
          <w:lang w:val="en-AU" w:eastAsia="en-AU"/>
        </w:rPr>
      </w:pPr>
      <w:r w:rsidRPr="00286A88">
        <w:rPr>
          <w:lang w:val="en-AU" w:eastAsia="en-AU"/>
        </w:rPr>
        <w:t>Males may be aggressive during the breeding season, defending their mates. If they detect an intruder mated males will approach the intruder in a hunchback posture and then retreat. If the intruder does not retreat the mated male will pursue and may physically attack the intruder (Elbin et al., 1986).</w:t>
      </w:r>
    </w:p>
    <w:p w14:paraId="5BFC40C1" w14:textId="77777777" w:rsidR="00286A88" w:rsidRPr="00286A88" w:rsidRDefault="00286A88" w:rsidP="006C7146">
      <w:pPr>
        <w:rPr>
          <w:lang w:val="en-AU" w:eastAsia="en-AU"/>
        </w:rPr>
      </w:pPr>
      <w:r w:rsidRPr="00286A88">
        <w:rPr>
          <w:lang w:val="en-AU" w:eastAsia="en-AU"/>
        </w:rPr>
        <w:t>Guinea fowl are unlikely to have been subject to the same level of domestication as chickens, and tend to be slightly smaller and flightier. Despite this, their close phylogenetic relationship and similar ecological niche means that is likely that</w:t>
      </w:r>
      <w:r w:rsidR="006C737E">
        <w:rPr>
          <w:lang w:val="en-AU" w:eastAsia="en-AU"/>
        </w:rPr>
        <w:t xml:space="preserve"> the</w:t>
      </w:r>
      <w:r w:rsidRPr="00286A88">
        <w:rPr>
          <w:lang w:val="en-AU" w:eastAsia="en-AU"/>
        </w:rPr>
        <w:t xml:space="preserve"> two species will have similar behavioural needs, and concomitantly similar welfare concerns. The only specific information identified relates to stocking density/group size for farmed guinea fowl.</w:t>
      </w:r>
    </w:p>
    <w:p w14:paraId="774D2305" w14:textId="77777777" w:rsidR="00286A88" w:rsidRPr="00286A88" w:rsidRDefault="00286A88" w:rsidP="006C7146">
      <w:pPr>
        <w:pStyle w:val="Heading2"/>
        <w:rPr>
          <w:lang w:val="en-AU" w:eastAsia="en-AU"/>
        </w:rPr>
      </w:pPr>
      <w:bookmarkStart w:id="269" w:name="_Toc495310737"/>
      <w:r w:rsidRPr="00286A88">
        <w:rPr>
          <w:lang w:val="en-AU" w:eastAsia="en-AU"/>
        </w:rPr>
        <w:t>GF2. Management and Handling</w:t>
      </w:r>
      <w:bookmarkEnd w:id="269"/>
    </w:p>
    <w:p w14:paraId="65458122" w14:textId="77777777" w:rsidR="00286A88" w:rsidRPr="00286A88" w:rsidRDefault="00286A88" w:rsidP="006C7146">
      <w:pPr>
        <w:pStyle w:val="Heading3"/>
        <w:rPr>
          <w:lang w:val="en-AU" w:eastAsia="en-AU"/>
        </w:rPr>
      </w:pPr>
      <w:bookmarkStart w:id="270" w:name="_Toc495310738"/>
      <w:r w:rsidRPr="00286A88">
        <w:rPr>
          <w:lang w:val="en-AU" w:eastAsia="en-AU"/>
        </w:rPr>
        <w:t>GF2.1 Stocking density and group size</w:t>
      </w:r>
      <w:bookmarkEnd w:id="270"/>
      <w:r w:rsidRPr="00286A88">
        <w:rPr>
          <w:lang w:val="en-AU" w:eastAsia="en-AU"/>
        </w:rPr>
        <w:t xml:space="preserve"> </w:t>
      </w:r>
    </w:p>
    <w:p w14:paraId="3677DB2E" w14:textId="77777777" w:rsidR="00286A88" w:rsidRPr="006C7146" w:rsidRDefault="00286A88" w:rsidP="006C7146">
      <w:pPr>
        <w:rPr>
          <w:i/>
          <w:lang w:val="en-AU" w:eastAsia="en-AU"/>
        </w:rPr>
      </w:pPr>
      <w:r w:rsidRPr="006C7146">
        <w:rPr>
          <w:i/>
          <w:lang w:val="en-AU" w:eastAsia="en-AU"/>
        </w:rPr>
        <w:t>Stocking density and group size are associated with mortality and production. Mortality is higher and production parameters are lower at higher stocking densities in both cage and floor pen systems.</w:t>
      </w:r>
    </w:p>
    <w:p w14:paraId="2F2047C8" w14:textId="77777777" w:rsidR="00286A88" w:rsidRPr="00286A88" w:rsidRDefault="00286A88" w:rsidP="006C7146">
      <w:pPr>
        <w:rPr>
          <w:lang w:val="en-AU" w:eastAsia="en-AU"/>
        </w:rPr>
      </w:pPr>
      <w:r w:rsidRPr="00286A88">
        <w:rPr>
          <w:lang w:val="en-AU" w:eastAsia="en-AU"/>
        </w:rPr>
        <w:t>Stocking density, mediated by group size, has been associated with mortality and production in Pearl Grey Guinea fowl, both in cage systems and floor rearing systems. Nahashon et al. (2006) compared birds housed in cages at three stocking densities and group sizes: 465, 697, 1,394 cm</w:t>
      </w:r>
      <w:r w:rsidRPr="00286A88">
        <w:rPr>
          <w:vertAlign w:val="superscript"/>
          <w:lang w:val="en-AU" w:eastAsia="en-AU"/>
        </w:rPr>
        <w:t>2</w:t>
      </w:r>
      <w:r w:rsidRPr="00286A88">
        <w:rPr>
          <w:lang w:val="en-AU" w:eastAsia="en-AU"/>
        </w:rPr>
        <w:t>/bird (or 3, 2 or 1 birds/cage, respectively). They found that by 72 weeks of age cumulative mortality was lowest in the lowest stocking density/group size condition, and highest in the highest stocking density/group size condition. Feed conversion ratio was lower, while egg production, egg mass and body weight were all higher in the lowest stocking density/group size condition. Nahashon et al. (2011) reared pullets in floor pens from day-old to 16 weeks of age at three stocking densities/group sizes: 18, 15.6, 13.6 and 12 birds/m</w:t>
      </w:r>
      <w:r w:rsidRPr="00286A88">
        <w:rPr>
          <w:vertAlign w:val="superscript"/>
          <w:lang w:val="en-AU" w:eastAsia="en-AU"/>
        </w:rPr>
        <w:t>2</w:t>
      </w:r>
      <w:r w:rsidRPr="00286A88">
        <w:rPr>
          <w:lang w:val="en-AU" w:eastAsia="en-AU"/>
        </w:rPr>
        <w:t xml:space="preserve"> (80, 69, 60 and 53 birds per pen). Mortality was higher at 18 birds/m</w:t>
      </w:r>
      <w:r w:rsidRPr="00286A88">
        <w:rPr>
          <w:vertAlign w:val="superscript"/>
          <w:lang w:val="en-AU" w:eastAsia="en-AU"/>
        </w:rPr>
        <w:t>2</w:t>
      </w:r>
      <w:r w:rsidRPr="00286A88">
        <w:rPr>
          <w:lang w:val="en-AU" w:eastAsia="en-AU"/>
        </w:rPr>
        <w:t xml:space="preserve"> (7.8%) than at 12 or 13.6 birds/m</w:t>
      </w:r>
      <w:r w:rsidRPr="00286A88">
        <w:rPr>
          <w:vertAlign w:val="superscript"/>
          <w:lang w:val="en-AU" w:eastAsia="en-AU"/>
        </w:rPr>
        <w:t xml:space="preserve">2 </w:t>
      </w:r>
      <w:r w:rsidRPr="00286A88">
        <w:rPr>
          <w:lang w:val="en-AU" w:eastAsia="en-AU"/>
        </w:rPr>
        <w:t>(6.2 and 5.7%). Over the whole study period feed consumption and body weight gain increased as stocking density/group size decreased. Feed conversion ratio was lowest (most efficient) in the groups with highest stocking density until eight weeks of age (possibly because of reduced movement in the pens) while at most ages after that point feed conversion ratio was lower in groups with stocking densities of 12 or 13.6 birds/m</w:t>
      </w:r>
      <w:r w:rsidRPr="00286A88">
        <w:rPr>
          <w:vertAlign w:val="superscript"/>
          <w:lang w:val="en-AU" w:eastAsia="en-AU"/>
        </w:rPr>
        <w:t>2</w:t>
      </w:r>
      <w:r w:rsidRPr="00286A88">
        <w:rPr>
          <w:lang w:val="en-AU" w:eastAsia="en-AU"/>
        </w:rPr>
        <w:t>. It should be noted that feeder and drinker space per bird decreased as stocking density/group size increased in both studies, thus there are a number of conditions which could have mediated the changes in mortality and productivity. In guinea fowl reared for meat in floor pens at 15.6, 13.6, 12 or 10.7 birds/m</w:t>
      </w:r>
      <w:r w:rsidRPr="00286A88">
        <w:rPr>
          <w:vertAlign w:val="superscript"/>
          <w:lang w:val="en-AU" w:eastAsia="en-AU"/>
        </w:rPr>
        <w:t>2</w:t>
      </w:r>
      <w:r w:rsidRPr="00286A88">
        <w:rPr>
          <w:lang w:val="en-AU" w:eastAsia="en-AU"/>
        </w:rPr>
        <w:t>, no significant effects of stocking density on mortality were detected but food conversion was less efficient at the highest density (Nahashon et al., 2009).</w:t>
      </w:r>
    </w:p>
    <w:p w14:paraId="046E95DB" w14:textId="77777777" w:rsidR="00286A88" w:rsidRPr="00286A88" w:rsidRDefault="00286A88" w:rsidP="006C7146">
      <w:pPr>
        <w:pStyle w:val="Heading2"/>
        <w:rPr>
          <w:lang w:val="en-AU" w:eastAsia="en-AU"/>
        </w:rPr>
      </w:pPr>
      <w:bookmarkStart w:id="271" w:name="_Toc495310739"/>
      <w:r w:rsidRPr="00286A88">
        <w:rPr>
          <w:lang w:val="en-AU" w:eastAsia="en-AU"/>
        </w:rPr>
        <w:t>GF3. Welfare Considerations: Overview</w:t>
      </w:r>
      <w:bookmarkEnd w:id="271"/>
    </w:p>
    <w:p w14:paraId="2177B001" w14:textId="77777777" w:rsidR="00286A88" w:rsidRDefault="00286A88" w:rsidP="006C7146">
      <w:pPr>
        <w:rPr>
          <w:lang w:val="en-AU" w:eastAsia="en-AU"/>
        </w:rPr>
      </w:pPr>
      <w:r w:rsidRPr="00286A88">
        <w:rPr>
          <w:lang w:val="en-AU" w:eastAsia="en-AU"/>
        </w:rPr>
        <w:t>There is a lack of research on the effects of housing systems for guinea fowl. Based on research on closely-related farmed bird species, barren cage systems are likely to have adverse welfare consequences. Higher stocking densities (mediated by larger group sizes) have been associated with higher mortality, but further research is needed to establish recommended stocking densities, group sizes and sex ratios to ensure good welfare.</w:t>
      </w:r>
    </w:p>
    <w:p w14:paraId="07A7C7BF" w14:textId="77777777" w:rsidR="00861B1A" w:rsidRDefault="00C92F72" w:rsidP="00861B1A">
      <w:pPr>
        <w:pStyle w:val="Heading2"/>
        <w:rPr>
          <w:lang w:val="en-AU" w:eastAsia="en-AU"/>
        </w:rPr>
      </w:pPr>
      <w:bookmarkStart w:id="272" w:name="_Toc495310740"/>
      <w:r>
        <w:rPr>
          <w:lang w:val="en-AU" w:eastAsia="en-AU"/>
        </w:rPr>
        <w:t>GF</w:t>
      </w:r>
      <w:r w:rsidR="00363A83">
        <w:rPr>
          <w:lang w:val="en-AU" w:eastAsia="en-AU"/>
        </w:rPr>
        <w:t xml:space="preserve">4. </w:t>
      </w:r>
      <w:r w:rsidR="00861B1A">
        <w:rPr>
          <w:lang w:val="en-AU" w:eastAsia="en-AU"/>
        </w:rPr>
        <w:t>References</w:t>
      </w:r>
      <w:bookmarkEnd w:id="272"/>
    </w:p>
    <w:p w14:paraId="4AA69266" w14:textId="77777777" w:rsidR="00861B1A" w:rsidRPr="00861B1A" w:rsidRDefault="00861B1A" w:rsidP="00861B1A">
      <w:pPr>
        <w:rPr>
          <w:lang w:eastAsia="en-AU"/>
        </w:rPr>
      </w:pPr>
      <w:r w:rsidRPr="00861B1A">
        <w:rPr>
          <w:lang w:eastAsia="en-AU"/>
        </w:rPr>
        <w:t>Elbin, S. B., T. M. Crowe, and H. B. Graves. 1986. Reproductive-behavior of helmeted guinea fowl (</w:t>
      </w:r>
      <w:r w:rsidR="006C737E">
        <w:rPr>
          <w:i/>
          <w:lang w:eastAsia="en-AU"/>
        </w:rPr>
        <w:t xml:space="preserve">Numida </w:t>
      </w:r>
      <w:r w:rsidRPr="00074E62">
        <w:rPr>
          <w:i/>
          <w:lang w:eastAsia="en-AU"/>
        </w:rPr>
        <w:t>meleagris</w:t>
      </w:r>
      <w:r w:rsidRPr="00861B1A">
        <w:rPr>
          <w:lang w:eastAsia="en-AU"/>
        </w:rPr>
        <w:t>) - mating system and parental care. Applied Animal Behaviour Science 16:179-197. doi 10.1016/0168-1591(86)90110-3</w:t>
      </w:r>
    </w:p>
    <w:p w14:paraId="734B2CBE" w14:textId="77777777" w:rsidR="00861B1A" w:rsidRPr="00861B1A" w:rsidRDefault="00861B1A" w:rsidP="00861B1A">
      <w:pPr>
        <w:rPr>
          <w:lang w:eastAsia="en-AU"/>
        </w:rPr>
      </w:pPr>
      <w:r w:rsidRPr="00861B1A">
        <w:rPr>
          <w:lang w:eastAsia="en-AU"/>
        </w:rPr>
        <w:t xml:space="preserve">Malan, G., and G. A. Benn. 1999. Agricultural land-use patterns and the decline of the helmeted guineafowl </w:t>
      </w:r>
      <w:r w:rsidRPr="00074E62">
        <w:rPr>
          <w:i/>
          <w:lang w:eastAsia="en-AU"/>
        </w:rPr>
        <w:t>Numida meleagris</w:t>
      </w:r>
      <w:r w:rsidRPr="00861B1A">
        <w:rPr>
          <w:lang w:eastAsia="en-AU"/>
        </w:rPr>
        <w:t xml:space="preserve"> (Linnaeus 1766) in KwaZulu-Natal, South Africa. Agriculture Ecosystems &amp; Environment 73:29-40. doi 10.1016/s0167-8809(99)00011-0</w:t>
      </w:r>
    </w:p>
    <w:p w14:paraId="26005F20" w14:textId="77777777" w:rsidR="00861B1A" w:rsidRPr="00861B1A" w:rsidRDefault="00861B1A" w:rsidP="00861B1A">
      <w:pPr>
        <w:rPr>
          <w:lang w:eastAsia="en-AU"/>
        </w:rPr>
      </w:pPr>
      <w:r w:rsidRPr="00861B1A">
        <w:rPr>
          <w:lang w:eastAsia="en-AU"/>
        </w:rPr>
        <w:t>Nahashon, S. N., N. Adefope, A. Amenyenu, I. J. Tyus, and D. Wright. 2009. The effect of floor density on growth performance and carcass characteristics of French guinea broilers. Poultry Science 88:2461-2467. doi 10.3382/ps.2008-00514</w:t>
      </w:r>
    </w:p>
    <w:p w14:paraId="774E09E4" w14:textId="77777777" w:rsidR="00861B1A" w:rsidRPr="00861B1A" w:rsidRDefault="00861B1A" w:rsidP="00861B1A">
      <w:pPr>
        <w:rPr>
          <w:lang w:eastAsia="en-AU"/>
        </w:rPr>
      </w:pPr>
      <w:r w:rsidRPr="00861B1A">
        <w:rPr>
          <w:lang w:eastAsia="en-AU"/>
        </w:rPr>
        <w:t>Nahashon, S. N., N. Adefope, and D. Wright. 2011. Effect of floor density on growth performance of Pearl Grey guinea fowl replacement pullets. Poultry Science 90:1371-1378. doi 10.3382/ps.2010-01216</w:t>
      </w:r>
    </w:p>
    <w:p w14:paraId="07DE63AC" w14:textId="77777777" w:rsidR="00861B1A" w:rsidRPr="00861B1A" w:rsidRDefault="00861B1A" w:rsidP="00861B1A">
      <w:pPr>
        <w:rPr>
          <w:lang w:eastAsia="en-AU"/>
        </w:rPr>
      </w:pPr>
      <w:r w:rsidRPr="00861B1A">
        <w:rPr>
          <w:lang w:eastAsia="en-AU"/>
        </w:rPr>
        <w:t>Nahashon, S. N., N. A. Adefope, A. Amenyenu, and D. Wright. 2006. Laying performance of pearl gray guinea fowl hens as affected by caging density</w:t>
      </w:r>
      <w:r w:rsidR="00074E62">
        <w:rPr>
          <w:lang w:eastAsia="en-AU"/>
        </w:rPr>
        <w:t>. Poultry Science 85:1682-1689.</w:t>
      </w:r>
    </w:p>
    <w:p w14:paraId="79A26A10" w14:textId="77777777" w:rsidR="00861B1A" w:rsidRPr="00861B1A" w:rsidRDefault="00861B1A" w:rsidP="00861B1A">
      <w:pPr>
        <w:rPr>
          <w:lang w:eastAsia="en-AU"/>
        </w:rPr>
      </w:pPr>
      <w:r w:rsidRPr="00861B1A">
        <w:rPr>
          <w:lang w:eastAsia="en-AU"/>
        </w:rPr>
        <w:t>Njiforti, H. L., and K. H. Kortekaas. 1998. Home range size and dispersion in the helmeted guineafowl (</w:t>
      </w:r>
      <w:r w:rsidRPr="00074E62">
        <w:rPr>
          <w:i/>
          <w:lang w:eastAsia="en-AU"/>
        </w:rPr>
        <w:t>Numida meleagris galeata</w:t>
      </w:r>
      <w:r w:rsidRPr="00861B1A">
        <w:rPr>
          <w:lang w:eastAsia="en-AU"/>
        </w:rPr>
        <w:t xml:space="preserve"> Pallas) of the Waza National Park, Cameroon. African</w:t>
      </w:r>
      <w:r w:rsidR="00074E62">
        <w:rPr>
          <w:lang w:eastAsia="en-AU"/>
        </w:rPr>
        <w:t xml:space="preserve"> Journal of Ecology 36:295-302.</w:t>
      </w:r>
    </w:p>
    <w:p w14:paraId="66CBEAEF" w14:textId="77777777" w:rsidR="00861B1A" w:rsidRPr="00861B1A" w:rsidRDefault="00861B1A" w:rsidP="00861B1A">
      <w:pPr>
        <w:rPr>
          <w:lang w:eastAsia="en-AU"/>
        </w:rPr>
      </w:pPr>
      <w:r w:rsidRPr="00861B1A">
        <w:rPr>
          <w:lang w:eastAsia="en-AU"/>
        </w:rPr>
        <w:t>Prinsloo, H., V. Harley, B. Reilly, and T. Crowe. 2008. The diet of helmeted guineafowl (</w:t>
      </w:r>
      <w:r w:rsidRPr="00074E62">
        <w:rPr>
          <w:i/>
          <w:lang w:eastAsia="en-AU"/>
        </w:rPr>
        <w:t>Numida meleagris</w:t>
      </w:r>
      <w:r w:rsidRPr="00861B1A">
        <w:rPr>
          <w:lang w:eastAsia="en-AU"/>
        </w:rPr>
        <w:t>) in the Riemland of the northeastern Free State, South Africa. South African Journal of Wildlife Research 38:88-92. doi 10.3957/0379-4369-38.1.88</w:t>
      </w:r>
    </w:p>
    <w:p w14:paraId="3800CE3B" w14:textId="77777777" w:rsidR="00861B1A" w:rsidRPr="00861B1A" w:rsidRDefault="00861B1A" w:rsidP="00861B1A">
      <w:pPr>
        <w:rPr>
          <w:lang w:eastAsia="en-AU"/>
        </w:rPr>
      </w:pPr>
      <w:r w:rsidRPr="00861B1A">
        <w:rPr>
          <w:lang w:eastAsia="en-AU"/>
        </w:rPr>
        <w:t>Ratcliffe, C. S., and T. M. Crowe. 2001. Habitat utilisation and home range size of helmeted guineafowl (</w:t>
      </w:r>
      <w:r w:rsidRPr="00074E62">
        <w:rPr>
          <w:i/>
          <w:lang w:eastAsia="en-AU"/>
        </w:rPr>
        <w:t>Numida meleagris</w:t>
      </w:r>
      <w:r w:rsidRPr="00861B1A">
        <w:rPr>
          <w:lang w:eastAsia="en-AU"/>
        </w:rPr>
        <w:t>) in the Midlands of KwaZulu-Natal province, South Africa. Biological Conservation 98:333-345. doi 10.1016/s0006-3207(00)00176-2</w:t>
      </w:r>
    </w:p>
    <w:p w14:paraId="11F48D7F" w14:textId="77777777" w:rsidR="00861B1A" w:rsidRPr="00286A88" w:rsidRDefault="00861B1A" w:rsidP="006C7146">
      <w:pPr>
        <w:rPr>
          <w:lang w:val="en-AU" w:eastAsia="en-AU"/>
        </w:rPr>
      </w:pPr>
    </w:p>
    <w:p w14:paraId="6DE4EF5D" w14:textId="77777777" w:rsidR="00286A88" w:rsidRPr="00286A88" w:rsidRDefault="006C7146" w:rsidP="006C7146">
      <w:pPr>
        <w:pStyle w:val="Heading1"/>
        <w:rPr>
          <w:lang w:val="en-AU" w:eastAsia="en-AU"/>
        </w:rPr>
      </w:pPr>
      <w:r>
        <w:rPr>
          <w:sz w:val="22"/>
          <w:szCs w:val="22"/>
          <w:lang w:val="en-AU" w:eastAsia="en-AU"/>
        </w:rPr>
        <w:br w:type="column"/>
      </w:r>
      <w:bookmarkStart w:id="273" w:name="_Toc495310741"/>
      <w:r w:rsidR="00286A88" w:rsidRPr="00286A88">
        <w:rPr>
          <w:lang w:val="en-AU" w:eastAsia="en-AU"/>
        </w:rPr>
        <w:t>Pheasants</w:t>
      </w:r>
      <w:bookmarkEnd w:id="273"/>
    </w:p>
    <w:p w14:paraId="02BFC5C4" w14:textId="77777777" w:rsidR="00286A88" w:rsidRPr="00286A88" w:rsidRDefault="00286A88" w:rsidP="006C7146">
      <w:pPr>
        <w:pStyle w:val="Heading2"/>
        <w:rPr>
          <w:lang w:val="en-AU" w:eastAsia="en-AU"/>
        </w:rPr>
      </w:pPr>
      <w:bookmarkStart w:id="274" w:name="_Toc495310742"/>
      <w:r w:rsidRPr="00286A88">
        <w:rPr>
          <w:lang w:val="en-AU" w:eastAsia="en-AU"/>
        </w:rPr>
        <w:t>PHS1. Introduction</w:t>
      </w:r>
      <w:bookmarkEnd w:id="274"/>
    </w:p>
    <w:p w14:paraId="121290CD" w14:textId="77777777" w:rsidR="00286A88" w:rsidRPr="00286A88" w:rsidRDefault="00286A88" w:rsidP="006C7146">
      <w:pPr>
        <w:pStyle w:val="Heading3"/>
        <w:rPr>
          <w:lang w:val="en-AU" w:eastAsia="en-AU"/>
        </w:rPr>
      </w:pPr>
      <w:bookmarkStart w:id="275" w:name="_Toc495310743"/>
      <w:r w:rsidRPr="00286A88">
        <w:rPr>
          <w:lang w:val="en-AU" w:eastAsia="en-AU"/>
        </w:rPr>
        <w:t>PHS1.1 Life history</w:t>
      </w:r>
      <w:bookmarkEnd w:id="275"/>
    </w:p>
    <w:p w14:paraId="6D49BC79" w14:textId="77777777" w:rsidR="00286A88" w:rsidRPr="00286A88" w:rsidRDefault="00286A88" w:rsidP="006C7146">
      <w:pPr>
        <w:rPr>
          <w:lang w:val="en-AU" w:eastAsia="en-AU"/>
        </w:rPr>
      </w:pPr>
      <w:r w:rsidRPr="00286A88">
        <w:rPr>
          <w:lang w:val="en-AU" w:eastAsia="en-AU"/>
        </w:rPr>
        <w:t xml:space="preserve">The ring necked or common pheasant </w:t>
      </w:r>
      <w:r w:rsidRPr="00286A88">
        <w:rPr>
          <w:i/>
          <w:lang w:val="en-AU" w:eastAsia="en-AU"/>
        </w:rPr>
        <w:t>Phasanius colchicus</w:t>
      </w:r>
      <w:r w:rsidRPr="00286A88">
        <w:rPr>
          <w:lang w:val="en-AU" w:eastAsia="en-AU"/>
        </w:rPr>
        <w:t xml:space="preserve"> is a gallinaceous bird native to central Asia and east Asia, but has been widely introduced as a game bird in the rest of the world (Hill and Robertson, 1988; Johnsgard, 1999, cited by Matheson et al., 2015), including Europe more than 1,000 years ago. Their preferred habitats in the UK are woodland edges (Robertson et al., 1993b) rich in shrubby cover, with seed bearing trees, bordering arable land. Preferred habitats in other countries are in areas of high diversity, including herbaceous cover and tall grassland (Robertson, 1996; Schmitz and Clark, 1999).</w:t>
      </w:r>
    </w:p>
    <w:p w14:paraId="40D0610C" w14:textId="77777777" w:rsidR="00286A88" w:rsidRPr="00286A88" w:rsidRDefault="00286A88" w:rsidP="006C7146">
      <w:pPr>
        <w:rPr>
          <w:lang w:val="en-AU" w:eastAsia="en-AU"/>
        </w:rPr>
      </w:pPr>
      <w:r w:rsidRPr="00286A88">
        <w:rPr>
          <w:lang w:val="en-AU" w:eastAsia="en-AU"/>
        </w:rPr>
        <w:t>Like chickens and partridges, pheasants are gallinaceous with similar biology. All tend to walk rather than fly, though pheasants and partridges cover greater distances in flight than chickens. All species will perch and roost at night on low branches.</w:t>
      </w:r>
    </w:p>
    <w:p w14:paraId="1527E334" w14:textId="77777777" w:rsidR="00240473" w:rsidRDefault="00240473" w:rsidP="00240473">
      <w:pPr>
        <w:rPr>
          <w:lang w:val="en-AU" w:eastAsia="en-AU"/>
        </w:rPr>
      </w:pPr>
      <w:r w:rsidRPr="00240473">
        <w:rPr>
          <w:lang w:val="en-AU" w:eastAsia="en-AU"/>
        </w:rPr>
        <w:t>Pheasants are omnivores, with diets including invertebrates (Chiverton, 1999; Doxon and Carroll, 2010) as well as grain, seeds, berries, young shoots, corn, and sorghum (Bogenschutz et al., 1995). They are ground living, foraging by ground pecking, scratching and beak digging (Matheson et al., 2015). They also perform dust-bathing, and nest at ground level; nests are scrapes in the ground amongst the leaves and residual vegetation. However, outside the breeding season they will roost on low branches, and can make short flights to escape predators (Robertson et al., 1993a).</w:t>
      </w:r>
    </w:p>
    <w:p w14:paraId="3643ED33" w14:textId="77777777" w:rsidR="00286A88" w:rsidRPr="00286A88" w:rsidRDefault="00286A88" w:rsidP="006C7146">
      <w:pPr>
        <w:rPr>
          <w:lang w:val="en-AU" w:eastAsia="en-AU"/>
        </w:rPr>
      </w:pPr>
      <w:r w:rsidRPr="00286A88">
        <w:rPr>
          <w:lang w:val="en-AU" w:eastAsia="en-AU"/>
        </w:rPr>
        <w:t>Pheasants are sexually dimorphic; the male is larger than the female. They are polygamous, with males defending territories and harems therein (Robertson et al., 1993b), leading to aggression during the breeding season. Females choose a male based on the quality of their territory and/or the quality of the male (Goransson et al., 1990; Robertson et al., 1993b), and females breed asynchronously, allowing all females in a harem to be inseminated by the same male (Goransson et al., 1990). Harem size varies between 1-5 females (Hill and Robertson, 1988). Females rear their young alone, distancing themselves from males to make a nest. In a survey on 1,384 nests in the UK clutch size ranged from 1-28 eggs, with a mean of 11.4 eggs per nest.</w:t>
      </w:r>
    </w:p>
    <w:p w14:paraId="66EF96EA" w14:textId="77777777" w:rsidR="00286A88" w:rsidRPr="00286A88" w:rsidRDefault="00286A88" w:rsidP="006C7146">
      <w:pPr>
        <w:pStyle w:val="Heading3"/>
        <w:rPr>
          <w:lang w:val="en-AU" w:eastAsia="en-AU"/>
        </w:rPr>
      </w:pPr>
      <w:bookmarkStart w:id="276" w:name="_Toc495310744"/>
      <w:r w:rsidRPr="00286A88">
        <w:rPr>
          <w:lang w:val="en-AU" w:eastAsia="en-AU"/>
        </w:rPr>
        <w:t>PHS1.2 Farming and rearing</w:t>
      </w:r>
      <w:bookmarkEnd w:id="276"/>
    </w:p>
    <w:p w14:paraId="107D8399" w14:textId="77777777" w:rsidR="00286A88" w:rsidRPr="00286A88" w:rsidRDefault="00286A88" w:rsidP="006C7146">
      <w:pPr>
        <w:rPr>
          <w:lang w:val="en-AU" w:eastAsia="en-AU"/>
        </w:rPr>
      </w:pPr>
      <w:r w:rsidRPr="00286A88">
        <w:rPr>
          <w:lang w:val="en-AU" w:eastAsia="en-AU"/>
        </w:rPr>
        <w:t>Pheasant farming may have a complex structure, with a number of different housing systems in use. Pheasants are reared for release for hunting. Pheasants may occasionally be reared for meat production but no scientific papers were found on this aspect. Rearing for the game industry often takes place in large open pens, after brooding. However, in order to provide chicks for rearing, laying flocks must also be kept with both males and females. Laying flocks may be housed in cages, aviaries or open pens, and birds may be moved into different housing systems for the duration of their laying season. Thus pheasant farming presents a number of unique challenges, with potential welfare implications. Housing in cages may have similar implications to those for laying hens, in terms of facilitating behavioural needs. Aggression presents a particular problem where laying birds are housed in large flocks with multiple males, as males engage in territorial behaviours, guarding harems of females with threats, calling, wing flapping, chasing, sparring and pecking. Pheasants also engage in feather pecking and cannibalism, a problem which is also seen in laying hens. The conditions in which pheasants are managed and housed may also impact upon their behaviour and ability to use resources in the wild after release for hunting.</w:t>
      </w:r>
    </w:p>
    <w:p w14:paraId="3A2E5056" w14:textId="77777777" w:rsidR="00286A88" w:rsidRPr="00286A88" w:rsidRDefault="00286A88" w:rsidP="006C7146">
      <w:pPr>
        <w:rPr>
          <w:lang w:val="en-AU" w:eastAsia="en-AU"/>
        </w:rPr>
      </w:pPr>
      <w:r w:rsidRPr="00286A88">
        <w:rPr>
          <w:lang w:val="en-AU" w:eastAsia="en-AU"/>
        </w:rPr>
        <w:t>There is relatively little research available into these issues specifically for pheasants.</w:t>
      </w:r>
      <w:bookmarkStart w:id="277" w:name="_Hlk482543948"/>
      <w:r w:rsidRPr="00286A88">
        <w:rPr>
          <w:lang w:val="en-AU" w:eastAsia="en-AU"/>
        </w:rPr>
        <w:t xml:space="preserve"> </w:t>
      </w:r>
      <w:bookmarkEnd w:id="277"/>
      <w:r w:rsidRPr="00286A88">
        <w:rPr>
          <w:lang w:val="en-AU" w:eastAsia="en-AU"/>
        </w:rPr>
        <w:t xml:space="preserve">The close phylogenetic relationship and similar ecological niche of pheasants and chickens means that is likely that </w:t>
      </w:r>
      <w:r w:rsidR="006C737E">
        <w:rPr>
          <w:lang w:val="en-AU" w:eastAsia="en-AU"/>
        </w:rPr>
        <w:t xml:space="preserve">the </w:t>
      </w:r>
      <w:r w:rsidRPr="00286A88">
        <w:rPr>
          <w:lang w:val="en-AU" w:eastAsia="en-AU"/>
        </w:rPr>
        <w:t>two species will have similar behavioural needs, and concomitantly similar welfare concerns. Therefore some information can be extrapolated from chickens to pheasants.</w:t>
      </w:r>
    </w:p>
    <w:p w14:paraId="1DCCBF39" w14:textId="77777777" w:rsidR="00286A88" w:rsidRPr="00286A88" w:rsidRDefault="00286A88" w:rsidP="006C7146">
      <w:pPr>
        <w:pStyle w:val="Heading2"/>
        <w:rPr>
          <w:lang w:val="en-AU" w:eastAsia="en-AU"/>
        </w:rPr>
      </w:pPr>
      <w:bookmarkStart w:id="278" w:name="_Toc495310745"/>
      <w:r w:rsidRPr="00286A88">
        <w:rPr>
          <w:lang w:val="en-AU" w:eastAsia="en-AU"/>
        </w:rPr>
        <w:t>PHS2. Feed and Water</w:t>
      </w:r>
      <w:bookmarkEnd w:id="278"/>
    </w:p>
    <w:p w14:paraId="52D0A83A" w14:textId="77777777" w:rsidR="00286A88" w:rsidRPr="006C7146" w:rsidRDefault="00286A88" w:rsidP="006C7146">
      <w:pPr>
        <w:rPr>
          <w:i/>
          <w:lang w:val="en-AU" w:eastAsia="en-AU"/>
        </w:rPr>
      </w:pPr>
      <w:r w:rsidRPr="006C7146">
        <w:rPr>
          <w:i/>
          <w:lang w:val="en-AU" w:eastAsia="en-AU"/>
        </w:rPr>
        <w:t>Diet during rearing can affect the way in which pheasants use the resources available to them after release for hunting. Reduced efficiency in using these resources could be associated with stress as well as increased mortality, which in turn may reduce welfare.</w:t>
      </w:r>
    </w:p>
    <w:p w14:paraId="29D28D97" w14:textId="77777777" w:rsidR="00286A88" w:rsidRPr="00286A88" w:rsidRDefault="00286A88" w:rsidP="006C7146">
      <w:pPr>
        <w:pStyle w:val="Heading3"/>
        <w:rPr>
          <w:lang w:val="en-AU" w:eastAsia="en-AU"/>
        </w:rPr>
      </w:pPr>
      <w:bookmarkStart w:id="279" w:name="_Toc495310746"/>
      <w:r w:rsidRPr="00286A88">
        <w:rPr>
          <w:lang w:val="en-AU" w:eastAsia="en-AU"/>
        </w:rPr>
        <w:t>PHS2.1 Feeding and release</w:t>
      </w:r>
      <w:bookmarkEnd w:id="279"/>
    </w:p>
    <w:p w14:paraId="0D8EAF80" w14:textId="77777777" w:rsidR="00286A88" w:rsidRPr="00286A88" w:rsidRDefault="00286A88" w:rsidP="006C7146">
      <w:pPr>
        <w:rPr>
          <w:lang w:val="en-AU" w:eastAsia="en-AU"/>
        </w:rPr>
      </w:pPr>
      <w:r w:rsidRPr="00286A88">
        <w:rPr>
          <w:lang w:val="en-AU" w:eastAsia="en-AU"/>
        </w:rPr>
        <w:t>Diet during rearing may affect welfare after release for shooting. Whiteside et al. (2015) reared 1,800 pheasants, over two years, from day-old to seven weeks of age. In 2012, 30 groups of 30 birds were reared with each of the three diets (10 groups per diet): a standard crumb; a standard crumb with 5% mixed seed; and a standard crumb with 1% live mealworms. In 2013, 30 groups of 30 birds were reared with one of two diets (15 groups per treatment): standard rearing crumb or standard rearing crumb plus 1% mealworms and 5% seeds. Birds were transferred to release pens at seven weeks of age, and behaviour and survival in the wild were subsequently measured. For both years more birds were detected in the wild after a year or 18 months (2012 and 2013 cohorts, respectively) if they had been reared with more complex diets. Birds with more complex diets spent less time foraging and more time engaged in vigilance behaviours; they also handled live prey more efficiently, and had a shorter hind gut. Thus feeding uniform diets may impact the way in which birds use the resources available to them after release, which could result in stress for those birds, as well as increased mortality.</w:t>
      </w:r>
    </w:p>
    <w:p w14:paraId="35EF8C94" w14:textId="77777777" w:rsidR="00286A88" w:rsidRPr="00286A88" w:rsidRDefault="00286A88" w:rsidP="006C7146">
      <w:pPr>
        <w:pStyle w:val="Heading3"/>
        <w:rPr>
          <w:lang w:val="en-AU" w:eastAsia="en-AU"/>
        </w:rPr>
      </w:pPr>
      <w:bookmarkStart w:id="280" w:name="_Toc495310747"/>
      <w:r w:rsidRPr="00286A88">
        <w:rPr>
          <w:lang w:val="en-AU" w:eastAsia="en-AU"/>
        </w:rPr>
        <w:t>PHS2.2 Relationships with injurious pecking</w:t>
      </w:r>
      <w:bookmarkEnd w:id="280"/>
    </w:p>
    <w:p w14:paraId="41F0E3C1" w14:textId="77777777" w:rsidR="00286A88" w:rsidRPr="006C7146" w:rsidRDefault="00286A88" w:rsidP="006C7146">
      <w:pPr>
        <w:rPr>
          <w:i/>
          <w:color w:val="000000"/>
          <w:lang w:val="en-AU" w:eastAsia="en-AU"/>
        </w:rPr>
      </w:pPr>
      <w:r w:rsidRPr="006C7146">
        <w:rPr>
          <w:i/>
          <w:lang w:val="en-AU" w:eastAsia="en-AU"/>
        </w:rPr>
        <w:t>Deficiencies in several aspects of diet are associated with an increased risk of feather pecking and cannibalism in pheasants, as they are for laying hens, which in turn is associated with reduced welfare. Increasing fibre content and maintaining appropriate protein and amino acid levels are associated with reduced feather pecking and cannibalism.</w:t>
      </w:r>
    </w:p>
    <w:p w14:paraId="515E42B9" w14:textId="77777777" w:rsidR="00286A88" w:rsidRPr="00286A88" w:rsidRDefault="00286A88" w:rsidP="006C7146">
      <w:pPr>
        <w:rPr>
          <w:lang w:val="en-AU" w:eastAsia="en-AU"/>
        </w:rPr>
      </w:pPr>
      <w:r w:rsidRPr="00286A88">
        <w:rPr>
          <w:lang w:val="en-AU" w:eastAsia="en-AU"/>
        </w:rPr>
        <w:t>Several aspects of nutrition are thought to be associated with feather pecking in poultry. This association was reviewed by Kjaer and Bessei (2013), who highlighted some research specifically focused on pheasants. Dietary fibre may be important. Pullainen (1965, cited by Kjaer and Bessei, 2013) found that two flocks of breeding pheasants showed no cannibalism when oats were added to their ration. Similarly, Scott et al. (1954, cited by Kjaer and Bessei, 2013), found that adding oat hulls to the diet improved plumage condition in pheasants. Cain et al. (1984, cited by Kjaer and Bessei, 2013) found the opposite; they increased energy levels but decreased fibre and found an improvement in levels of cannibalism in pheasants. Dietary protein has also been associated with feather pecking in pheasants. Cain et al. (1984, cited by Kjaer and Bessei, 2013) compared diets containing 16, 19 and 22% crude protein, and found that the lowest protein level was associated with increased feather pecking in growing pheasants. Sirèn (1963, cited by Kjaer and Bessei, 2013) found that a surplus of the amino acid arginine stopped feather pecking and cannibalism, although other studies have not been able to replicate this result.</w:t>
      </w:r>
    </w:p>
    <w:p w14:paraId="2832845B" w14:textId="77777777" w:rsidR="00286A88" w:rsidRPr="00286A88" w:rsidRDefault="00BA6724" w:rsidP="006C7146">
      <w:pPr>
        <w:pStyle w:val="Heading2"/>
        <w:rPr>
          <w:lang w:val="en-AU" w:eastAsia="en-AU"/>
        </w:rPr>
      </w:pPr>
      <w:bookmarkStart w:id="281" w:name="_Toc495310748"/>
      <w:r>
        <w:rPr>
          <w:lang w:val="en-AU" w:eastAsia="en-AU"/>
        </w:rPr>
        <w:t>PHS3. Facilities and E</w:t>
      </w:r>
      <w:r w:rsidR="00286A88" w:rsidRPr="00286A88">
        <w:rPr>
          <w:lang w:val="en-AU" w:eastAsia="en-AU"/>
        </w:rPr>
        <w:t>quipment: Behavioural Needs</w:t>
      </w:r>
      <w:bookmarkEnd w:id="281"/>
    </w:p>
    <w:p w14:paraId="350C6609" w14:textId="77777777" w:rsidR="00286A88" w:rsidRPr="00286A88" w:rsidRDefault="00286A88" w:rsidP="006C7146">
      <w:pPr>
        <w:pStyle w:val="Heading3"/>
        <w:rPr>
          <w:lang w:val="en-AU" w:eastAsia="en-AU"/>
        </w:rPr>
      </w:pPr>
      <w:bookmarkStart w:id="282" w:name="_Toc495310749"/>
      <w:r w:rsidRPr="00286A88">
        <w:rPr>
          <w:lang w:val="en-AU" w:eastAsia="en-AU"/>
        </w:rPr>
        <w:t>PHS3.1 Perching</w:t>
      </w:r>
      <w:bookmarkEnd w:id="282"/>
    </w:p>
    <w:p w14:paraId="37B32BFB" w14:textId="77777777" w:rsidR="00286A88" w:rsidRPr="006C7146" w:rsidRDefault="00286A88" w:rsidP="006C7146">
      <w:pPr>
        <w:rPr>
          <w:i/>
          <w:lang w:val="en-AU" w:eastAsia="en-AU"/>
        </w:rPr>
      </w:pPr>
      <w:r w:rsidRPr="006C7146">
        <w:rPr>
          <w:i/>
          <w:lang w:val="en-AU" w:eastAsia="en-AU"/>
        </w:rPr>
        <w:t>Provision of perches during rearing has a positive effect on cognitive, morphological and behaviour</w:t>
      </w:r>
      <w:r w:rsidR="006C737E">
        <w:rPr>
          <w:i/>
          <w:lang w:val="en-AU" w:eastAsia="en-AU"/>
        </w:rPr>
        <w:t>al development. Perch provision</w:t>
      </w:r>
      <w:r w:rsidRPr="006C7146">
        <w:rPr>
          <w:i/>
          <w:lang w:val="en-AU" w:eastAsia="en-AU"/>
        </w:rPr>
        <w:t xml:space="preserve"> decreases aggression during rear and may facilitate post-release survival. Birds reared without access to perches did not roost as frequently on elevated perches in the immediate post-release period.</w:t>
      </w:r>
    </w:p>
    <w:p w14:paraId="6FAB0550" w14:textId="77777777" w:rsidR="00286A88" w:rsidRPr="00286A88" w:rsidRDefault="00286A88" w:rsidP="006C7146">
      <w:pPr>
        <w:rPr>
          <w:lang w:val="en-AU" w:eastAsia="en-AU"/>
        </w:rPr>
      </w:pPr>
      <w:r w:rsidRPr="00286A88">
        <w:rPr>
          <w:lang w:val="en-AU" w:eastAsia="en-AU"/>
        </w:rPr>
        <w:t>The environment in which pheasants are reared can impact cognitive, morphological and behavioural development. Not only could this have implications for birds’ ability to cope during the period for which they are housed in that environment</w:t>
      </w:r>
      <w:r w:rsidR="006C737E">
        <w:rPr>
          <w:lang w:val="en-AU" w:eastAsia="en-AU"/>
        </w:rPr>
        <w:t>,</w:t>
      </w:r>
      <w:r w:rsidRPr="00286A88">
        <w:rPr>
          <w:lang w:val="en-AU" w:eastAsia="en-AU"/>
        </w:rPr>
        <w:t xml:space="preserve"> it also has implications for later life. If birds are reared in sub-optimal environments they may not be equipped to use available resources appropriately after release, in turn affecting their welfare during that period. Whiteside et al. (2016) reared 900 pheasant chicks in three environments: standard commercial rearing conditions (in the UK); standard conditions plus natural perches (hazel boughs); and standard conditions plus artificial perches (plastic piping). Ten groups of 30 chicks were housed separately for each treatment. During the rearing period birds reared without access to perches showed higher levels of aggression, were lighter with thicker tarsi, and made more errors during radial maze tests. Differences in morphology did not persist after release, while roosting on elevated perches was more common in the birds reared with access to perches, although this effect vanished six to seven weeks after release. Thus there is some evidence that provision of perches during the rearing period can affect the way birds interact with their environment both during rearing and after release. Perching in laying hens is considered to be a behavioural need, thus reduced perching or roosting in pheasants could result in reduced welfare.</w:t>
      </w:r>
    </w:p>
    <w:p w14:paraId="0EF7B2B2" w14:textId="77777777" w:rsidR="00286A88" w:rsidRPr="00286A88" w:rsidRDefault="00BA6724" w:rsidP="006C7146">
      <w:pPr>
        <w:pStyle w:val="Heading2"/>
        <w:rPr>
          <w:lang w:val="en-AU" w:eastAsia="en-AU"/>
        </w:rPr>
      </w:pPr>
      <w:bookmarkStart w:id="283" w:name="_Toc495310750"/>
      <w:r>
        <w:rPr>
          <w:lang w:val="en-AU" w:eastAsia="en-AU"/>
        </w:rPr>
        <w:t>PHS4. Facilities and E</w:t>
      </w:r>
      <w:r w:rsidR="00286A88" w:rsidRPr="00286A88">
        <w:rPr>
          <w:lang w:val="en-AU" w:eastAsia="en-AU"/>
        </w:rPr>
        <w:t>quipment: Behavioural Usage</w:t>
      </w:r>
      <w:bookmarkEnd w:id="283"/>
    </w:p>
    <w:p w14:paraId="4F8F080B" w14:textId="77777777" w:rsidR="00286A88" w:rsidRPr="00286A88" w:rsidRDefault="00286A88" w:rsidP="006C7146">
      <w:pPr>
        <w:pStyle w:val="Heading3"/>
        <w:rPr>
          <w:lang w:val="en-AU" w:eastAsia="en-AU"/>
        </w:rPr>
      </w:pPr>
      <w:bookmarkStart w:id="284" w:name="_Toc495310751"/>
      <w:r w:rsidRPr="00286A88">
        <w:rPr>
          <w:lang w:val="en-AU" w:eastAsia="en-AU"/>
        </w:rPr>
        <w:t>PHS4.1 Housing systems</w:t>
      </w:r>
      <w:bookmarkEnd w:id="284"/>
    </w:p>
    <w:p w14:paraId="3D345C5F" w14:textId="77777777" w:rsidR="00286A88" w:rsidRPr="006C7146" w:rsidRDefault="00286A88" w:rsidP="006C7146">
      <w:pPr>
        <w:rPr>
          <w:i/>
          <w:lang w:val="en-AU" w:eastAsia="en-AU"/>
        </w:rPr>
      </w:pPr>
      <w:r w:rsidRPr="006C7146">
        <w:rPr>
          <w:i/>
          <w:lang w:val="en-AU" w:eastAsia="en-AU"/>
        </w:rPr>
        <w:t>Pheasants may be housed in a variety of management systems with a variety of impacts on their welfare. Laying pheasants may be housed in cages (conventional or enriched) or large open pens. Housing in conventional cages may impinge upon birds’ abilities to fulfil behavioural needs, resulting in frustration and reduced welfare. Housing in open pens, where multiple males are present in the flock, may result in excessive aggressive behaviour, thereby reducing welfare. Management strategies such as installing sight barriers to reduce disturbances to courtship and mating, as well as providing refuges, may help to reduce this problem.</w:t>
      </w:r>
    </w:p>
    <w:p w14:paraId="1CC88234" w14:textId="77777777" w:rsidR="00286A88" w:rsidRPr="00286A88" w:rsidRDefault="00286A88" w:rsidP="0099037E">
      <w:pPr>
        <w:rPr>
          <w:lang w:val="en-AU" w:eastAsia="en-AU"/>
        </w:rPr>
      </w:pPr>
      <w:r w:rsidRPr="00286A88">
        <w:rPr>
          <w:lang w:val="en-AU" w:eastAsia="en-AU"/>
        </w:rPr>
        <w:t>A number of housing systems are available for breeding and rearing pheasants. These include open pens and cages. Pheasants are only semi-domesticated, retaining much of their wild behaviour. Certain wild traits are valuable, due to the practice of releasing pheasants for hunting, so there has been no direct selection for traits associated with domestication such as reduced fearfulness or ability to adapt to confinement. Thus, housing in barren cages may present particular welfare concerns. Matheson et al. (2015) reviewed specific welfare concerns for pheasants in barren cages. They noted that cages may prevent social behaviours such as crowing, used by males to defend their territory, potentially resulting in stress. As with laying hens, housing on wire floors presents a risk to foot health, and furthermore does not provide a suitable substrate for the ground pecking and beak digging behaviours associated with gamebirds, or for dust-bathing, which may result in frustration, as well as overgrowth of the beak, which would normally be worn down by these behaviours.</w:t>
      </w:r>
    </w:p>
    <w:p w14:paraId="5337C8A0" w14:textId="77777777" w:rsidR="00286A88" w:rsidRPr="00286A88" w:rsidRDefault="00286A88" w:rsidP="0099037E">
      <w:pPr>
        <w:rPr>
          <w:lang w:val="en-AU" w:eastAsia="en-AU"/>
        </w:rPr>
      </w:pPr>
      <w:r w:rsidRPr="00286A88">
        <w:rPr>
          <w:lang w:val="en-AU" w:eastAsia="en-AU"/>
        </w:rPr>
        <w:t>Voslarova et al. (2015</w:t>
      </w:r>
      <w:r w:rsidR="00F302D1">
        <w:rPr>
          <w:lang w:val="en-AU" w:eastAsia="en-AU"/>
        </w:rPr>
        <w:t>,</w:t>
      </w:r>
      <w:r w:rsidR="007103C8">
        <w:rPr>
          <w:lang w:val="en-AU" w:eastAsia="en-AU"/>
        </w:rPr>
        <w:t xml:space="preserve"> full </w:t>
      </w:r>
      <w:r w:rsidRPr="00286A88">
        <w:rPr>
          <w:lang w:val="en-AU" w:eastAsia="en-AU"/>
        </w:rPr>
        <w:t>text not available) examined the impacts of conventional cages versus cages enriched with two perches and a hideout, on the welfare of pheasant hens. The authors compared pheasant hens fitted with spectacles (see PHS5.2a for description) with pheasant hens without spectacles in enriched cages. They found those housed in conventional cages showed more movement, stereotypic behaviour and aggression, but less feeding, preening and feather pecking; however, without further information it is impossible to tease apart the effects of housing system and fitting spectacles, although the authors deem the former to be the main effect.</w:t>
      </w:r>
    </w:p>
    <w:p w14:paraId="1E1883C2" w14:textId="77777777" w:rsidR="00286A88" w:rsidRPr="00286A88" w:rsidRDefault="00286A88" w:rsidP="0099037E">
      <w:pPr>
        <w:rPr>
          <w:lang w:val="en-AU" w:eastAsia="en-AU"/>
        </w:rPr>
      </w:pPr>
      <w:r w:rsidRPr="00286A88">
        <w:rPr>
          <w:lang w:val="en-AU" w:eastAsia="en-AU"/>
        </w:rPr>
        <w:t>There are other welfare concerns for laying pheasants housed in open pens. Confining groups of pheasants, with multiple males, at relatively high stocking densities (</w:t>
      </w:r>
      <w:r w:rsidR="00B23935">
        <w:rPr>
          <w:lang w:val="en-AU" w:eastAsia="en-AU"/>
        </w:rPr>
        <w:t xml:space="preserve">see </w:t>
      </w:r>
      <w:r w:rsidRPr="00286A88">
        <w:rPr>
          <w:lang w:val="en-AU" w:eastAsia="en-AU"/>
        </w:rPr>
        <w:t>PHS5.1) may lead to excessive aggression and fighting, while barren pens may result in disturbances of courtship and mating, and a lack of refuge for males to retreat from aggressive interactions. Deeming et al. (2011) investigated the use of sight barriers in pens of breeding pheasants to tackle these problems. They compared behaviours of birds during their first breeding season in 11 pens with sight barriers (tin sheeting and straw bales to a height of 60 cm) with that in 11 standard commercial pens. All pens had 56 females and 8 males at a stocking density of 2.73 m</w:t>
      </w:r>
      <w:r w:rsidRPr="00286A88">
        <w:rPr>
          <w:vertAlign w:val="superscript"/>
          <w:lang w:val="en-AU" w:eastAsia="en-AU"/>
        </w:rPr>
        <w:t>2</w:t>
      </w:r>
      <w:r w:rsidRPr="00286A88">
        <w:rPr>
          <w:lang w:val="en-AU" w:eastAsia="en-AU"/>
        </w:rPr>
        <w:t xml:space="preserve"> per bird. Observations during the 10 week laying season showed that birds from pens with barriers showed less plumage damage. Perching was more common in pens with barriers, while preening was observed less frequently in these pens. Frequency of aggressive interactions was twice as high in pens without barriers; bird-to-bird pecking was also more frequent in these pens.</w:t>
      </w:r>
    </w:p>
    <w:p w14:paraId="2D8376F4" w14:textId="77777777" w:rsidR="00286A88" w:rsidRPr="00286A88" w:rsidRDefault="00286A88" w:rsidP="0099037E">
      <w:pPr>
        <w:pStyle w:val="Heading2"/>
        <w:rPr>
          <w:lang w:val="en-AU" w:eastAsia="en-AU"/>
        </w:rPr>
      </w:pPr>
      <w:bookmarkStart w:id="285" w:name="_Toc495310752"/>
      <w:r w:rsidRPr="00286A88">
        <w:rPr>
          <w:lang w:val="en-AU" w:eastAsia="en-AU"/>
        </w:rPr>
        <w:t>PHS5. Management and Handling</w:t>
      </w:r>
      <w:bookmarkEnd w:id="285"/>
    </w:p>
    <w:p w14:paraId="27774170" w14:textId="77777777" w:rsidR="00286A88" w:rsidRPr="00286A88" w:rsidRDefault="00286A88" w:rsidP="0099037E">
      <w:pPr>
        <w:pStyle w:val="Heading3"/>
        <w:rPr>
          <w:lang w:val="en-AU" w:eastAsia="en-AU"/>
        </w:rPr>
      </w:pPr>
      <w:bookmarkStart w:id="286" w:name="_Toc495310753"/>
      <w:r w:rsidRPr="00286A88">
        <w:rPr>
          <w:lang w:val="en-AU" w:eastAsia="en-AU"/>
        </w:rPr>
        <w:t>PHS5.1 Stocking density and group size</w:t>
      </w:r>
      <w:bookmarkEnd w:id="286"/>
    </w:p>
    <w:p w14:paraId="25163484" w14:textId="77777777" w:rsidR="00286A88" w:rsidRPr="0099037E" w:rsidRDefault="00286A88" w:rsidP="0099037E">
      <w:pPr>
        <w:rPr>
          <w:i/>
          <w:lang w:val="en-AU" w:eastAsia="en-AU"/>
        </w:rPr>
      </w:pPr>
      <w:r w:rsidRPr="0099037E">
        <w:rPr>
          <w:i/>
          <w:lang w:val="en-AU" w:eastAsia="en-AU"/>
        </w:rPr>
        <w:t>Stocking density and group size are thought to be associated with feather pecking and cannibalism, and therefore reduced welfare. High stocking densities and group sizes are associated with increased plumage damage.</w:t>
      </w:r>
    </w:p>
    <w:p w14:paraId="5FE962B9" w14:textId="77777777" w:rsidR="00286A88" w:rsidRPr="00286A88" w:rsidRDefault="00286A88" w:rsidP="0099037E">
      <w:pPr>
        <w:rPr>
          <w:lang w:val="en-AU" w:eastAsia="en-AU"/>
        </w:rPr>
      </w:pPr>
      <w:r w:rsidRPr="00286A88">
        <w:rPr>
          <w:lang w:val="en-AU" w:eastAsia="en-AU"/>
        </w:rPr>
        <w:t>Kjaer (2004) examined the effects of stocking density and group size on plumage damage, as a proxy measure for feather pecking and cannibalism during rearing in aviary housed pheasants. Pheasants were housed in groups of 80 or 240 birds at three different stocking densities: 0.7, 1.3 or 4.0 birds/m</w:t>
      </w:r>
      <w:r w:rsidRPr="00286A88">
        <w:rPr>
          <w:vertAlign w:val="superscript"/>
          <w:lang w:val="en-AU" w:eastAsia="en-AU"/>
        </w:rPr>
        <w:t>2</w:t>
      </w:r>
      <w:r w:rsidRPr="00286A88">
        <w:rPr>
          <w:lang w:val="en-AU" w:eastAsia="en-AU"/>
        </w:rPr>
        <w:t xml:space="preserve"> from day old to six weeks of age, with four replicates of each stocking density and group size treatment combination (except 240 birds at 0.7 birds/m</w:t>
      </w:r>
      <w:r w:rsidRPr="00286A88">
        <w:rPr>
          <w:vertAlign w:val="superscript"/>
          <w:lang w:val="en-AU" w:eastAsia="en-AU"/>
        </w:rPr>
        <w:t>2</w:t>
      </w:r>
      <w:r w:rsidRPr="00286A88">
        <w:rPr>
          <w:lang w:val="en-AU" w:eastAsia="en-AU"/>
        </w:rPr>
        <w:t xml:space="preserve">, which had only two replicates). For 30 randomly chosen birds from each group, plumage was scored one to four (worst to best) at five to six weeks of age, and any wounds or skin damage were recorded at the same time. Total plumage score increased with stocking density, but was unaffected by group size. There were also more injuries to the skin in the highest stocking density and group size conditions, and birds grew more quickly at the two lower stocking densities. Cain et al. (1984, </w:t>
      </w:r>
      <w:r w:rsidR="00087DC5">
        <w:rPr>
          <w:lang w:val="en-AU" w:eastAsia="en-AU"/>
        </w:rPr>
        <w:t>cited by Kjaer and Bessei, 2013</w:t>
      </w:r>
      <w:r w:rsidRPr="00286A88">
        <w:rPr>
          <w:lang w:val="en-AU" w:eastAsia="en-AU"/>
        </w:rPr>
        <w:t>) compared stocking densities of 1.4, 2.6 and 5.3 birds/m</w:t>
      </w:r>
      <w:r w:rsidRPr="00286A88">
        <w:rPr>
          <w:vertAlign w:val="superscript"/>
          <w:lang w:val="en-AU" w:eastAsia="en-AU"/>
        </w:rPr>
        <w:t>2</w:t>
      </w:r>
      <w:r w:rsidRPr="00286A88">
        <w:rPr>
          <w:lang w:val="en-AU" w:eastAsia="en-AU"/>
        </w:rPr>
        <w:t xml:space="preserve"> for grower birds after brooding, and similarly found that feather pecking increased with stocking density. It is clear then that stocking density in particular, can have an impact on pheasant welfare, although care should be taken in extrapolating these results to older birds or birds in different housing systems.</w:t>
      </w:r>
    </w:p>
    <w:p w14:paraId="177D4AF2" w14:textId="77777777" w:rsidR="00286A88" w:rsidRPr="00286A88" w:rsidRDefault="00286A88" w:rsidP="0099037E">
      <w:pPr>
        <w:pStyle w:val="Heading3"/>
        <w:rPr>
          <w:lang w:val="en-AU" w:eastAsia="en-AU"/>
        </w:rPr>
      </w:pPr>
      <w:bookmarkStart w:id="287" w:name="_Toc495310754"/>
      <w:r w:rsidRPr="00286A88">
        <w:rPr>
          <w:lang w:val="en-AU" w:eastAsia="en-AU"/>
        </w:rPr>
        <w:t>PHS5.2 Procedures</w:t>
      </w:r>
      <w:bookmarkEnd w:id="287"/>
    </w:p>
    <w:p w14:paraId="3CB0E36E" w14:textId="77777777" w:rsidR="00286A88" w:rsidRPr="00286A88" w:rsidRDefault="00286A88" w:rsidP="0099037E">
      <w:pPr>
        <w:pStyle w:val="Heading41"/>
      </w:pPr>
      <w:r w:rsidRPr="00286A88">
        <w:t>PHS5.2a Beak trimming, spectacles and bits</w:t>
      </w:r>
    </w:p>
    <w:p w14:paraId="6911D1AB" w14:textId="77777777" w:rsidR="00286A88" w:rsidRPr="0099037E" w:rsidRDefault="00286A88" w:rsidP="0099037E">
      <w:pPr>
        <w:rPr>
          <w:i/>
          <w:lang w:val="en-AU" w:eastAsia="en-AU"/>
        </w:rPr>
      </w:pPr>
      <w:r w:rsidRPr="0099037E">
        <w:rPr>
          <w:i/>
          <w:lang w:val="en-AU" w:eastAsia="en-AU"/>
        </w:rPr>
        <w:t>Feather pecking and cannibalism can both significantly reduce pheasant welfare. A number of procedures are commonly used successfully to tackle these behaviours, including beak trimming, and fitting spectacles or bits. However, these procedures have welfare implications themselves; beak trimming is painful and may have long term behavioural impacts. Fitting both spectacles and bits appears aversive to the birds, and can result in damage to the beak and nares. Fitting spectacles has long term implications for stress in pheasants. Consequently the balance between preventing feather pecking and cannibalism, and subjecting birds to these treatments must be carefully assessed.</w:t>
      </w:r>
    </w:p>
    <w:p w14:paraId="6BA57DBC" w14:textId="77777777" w:rsidR="00286A88" w:rsidRPr="00286A88" w:rsidRDefault="00286A88" w:rsidP="0099037E">
      <w:pPr>
        <w:rPr>
          <w:lang w:val="en-AU" w:eastAsia="en-AU"/>
        </w:rPr>
      </w:pPr>
      <w:r w:rsidRPr="00286A88">
        <w:rPr>
          <w:lang w:val="en-AU" w:eastAsia="en-AU"/>
        </w:rPr>
        <w:t>Pheasants may be subject to a number of procedures in order to prevent or reduce the effects of feather pecking; these include beak trimming, and fitting pheasants with bits on their beaks</w:t>
      </w:r>
      <w:r w:rsidR="008C46A3">
        <w:rPr>
          <w:lang w:val="en-AU" w:eastAsia="en-AU"/>
        </w:rPr>
        <w:t xml:space="preserve"> (Figure PHS1)</w:t>
      </w:r>
      <w:r w:rsidRPr="00286A88">
        <w:rPr>
          <w:lang w:val="en-AU" w:eastAsia="en-AU"/>
        </w:rPr>
        <w:t xml:space="preserve"> during rearing or spectacles </w:t>
      </w:r>
      <w:r w:rsidR="008C46A3">
        <w:rPr>
          <w:lang w:val="en-AU" w:eastAsia="en-AU"/>
        </w:rPr>
        <w:t xml:space="preserve">(Figure PHS2) </w:t>
      </w:r>
      <w:r w:rsidRPr="00286A88">
        <w:rPr>
          <w:lang w:val="en-AU" w:eastAsia="en-AU"/>
        </w:rPr>
        <w:t>in laying pens. Beak trimming is carried out much as for laying hens, with the same welfare implications in terms of pain and behavioural changes, and aims to remove the sharp tip of the beak in order to reduce the damage caused by feather pecking. Plastic bits are commonly fitted to pheasant chicks in the UK around three weeks of age and prevent the birds from fully closing their beaks, thus preventing damage due to feather pecking. Another approach is to fit solid plastic blinkers (commonly termed “spectacles”) to obscure the birds’ forward vision. These spectacles are similarly fitted to the beak when birds are placed in laying pens. While all may be effective in preventing, or reducing damage due to, feather pecking and cannibalism, they also present their own welfare implications.</w:t>
      </w:r>
    </w:p>
    <w:p w14:paraId="46D595B9" w14:textId="77777777" w:rsidR="00286A88" w:rsidRPr="00286A88" w:rsidRDefault="00286A88" w:rsidP="0099037E">
      <w:pPr>
        <w:rPr>
          <w:lang w:val="en-AU" w:eastAsia="en-AU"/>
        </w:rPr>
      </w:pPr>
    </w:p>
    <w:p w14:paraId="0ADDC0F0" w14:textId="77777777" w:rsidR="00286A88" w:rsidRPr="00864384" w:rsidRDefault="007B2238" w:rsidP="00286A88">
      <w:pPr>
        <w:spacing w:after="0" w:line="240" w:lineRule="auto"/>
        <w:jc w:val="both"/>
        <w:rPr>
          <w:rFonts w:eastAsia="Times New Roman" w:cs="Arial"/>
          <w:color w:val="auto"/>
          <w:sz w:val="22"/>
          <w:szCs w:val="22"/>
          <w:lang w:val="en-AU" w:eastAsia="en-AU"/>
        </w:rPr>
      </w:pPr>
      <w:r w:rsidRPr="00864384">
        <w:rPr>
          <w:rFonts w:eastAsia="Times New Roman" w:cs="Arial"/>
          <w:noProof/>
          <w:color w:val="auto"/>
          <w:sz w:val="22"/>
          <w:szCs w:val="22"/>
          <w:lang w:val="en-AU" w:eastAsia="en-AU"/>
        </w:rPr>
        <w:drawing>
          <wp:inline distT="0" distB="0" distL="0" distR="0" wp14:anchorId="408A460B" wp14:editId="13ADDD6E">
            <wp:extent cx="2276475" cy="1895165"/>
            <wp:effectExtent l="0" t="0" r="0" b="0"/>
            <wp:docPr id="25" name="Picture 6" descr="This figure is a photograph of a pheasant showing it fitted with 'bits' on its beak. These 'bits' are fitted to prevent or reduce feather pecking during rearing." title="Figure PHS1: Pheasant with 'bits' f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ristine\Desktop\Pheasant-with-bit.jpg"/>
                    <pic:cNvPicPr>
                      <a:picLocks noChangeAspect="1" noChangeArrowheads="1"/>
                    </pic:cNvPicPr>
                  </pic:nvPicPr>
                  <pic:blipFill>
                    <a:blip r:embed="rId70" cstate="print"/>
                    <a:srcRect/>
                    <a:stretch>
                      <a:fillRect/>
                    </a:stretch>
                  </pic:blipFill>
                  <pic:spPr bwMode="auto">
                    <a:xfrm>
                      <a:off x="0" y="0"/>
                      <a:ext cx="2276475" cy="1895165"/>
                    </a:xfrm>
                    <a:prstGeom prst="rect">
                      <a:avLst/>
                    </a:prstGeom>
                    <a:noFill/>
                    <a:ln w="9525">
                      <a:noFill/>
                      <a:miter lim="800000"/>
                      <a:headEnd/>
                      <a:tailEnd/>
                    </a:ln>
                  </pic:spPr>
                </pic:pic>
              </a:graphicData>
            </a:graphic>
          </wp:inline>
        </w:drawing>
      </w:r>
      <w:r w:rsidR="00286A88" w:rsidRPr="00864384">
        <w:rPr>
          <w:rFonts w:eastAsia="Times New Roman" w:cs="Arial"/>
          <w:noProof/>
          <w:color w:val="auto"/>
          <w:sz w:val="22"/>
          <w:szCs w:val="22"/>
          <w:lang w:val="en-AU" w:eastAsia="en-AU"/>
        </w:rPr>
        <w:drawing>
          <wp:inline distT="0" distB="0" distL="0" distR="0" wp14:anchorId="10148434" wp14:editId="7E207E0D">
            <wp:extent cx="1711671" cy="1885950"/>
            <wp:effectExtent l="0" t="0" r="3175" b="0"/>
            <wp:docPr id="24" name="Picture 5" descr="This figure is a photograph of a pheasant showing it fitted with 'spectacles' on its beak. These 'spectacles' are fitted to prevent or reduce feather pecking in laying pens. " title="Figure PHS2: Pheasant with 'spectacles' f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ristine\Desktop\pheasantwithspectacle.jpg"/>
                    <pic:cNvPicPr>
                      <a:picLocks noChangeAspect="1" noChangeArrowheads="1"/>
                    </pic:cNvPicPr>
                  </pic:nvPicPr>
                  <pic:blipFill>
                    <a:blip r:embed="rId71" cstate="print"/>
                    <a:srcRect/>
                    <a:stretch>
                      <a:fillRect/>
                    </a:stretch>
                  </pic:blipFill>
                  <pic:spPr bwMode="auto">
                    <a:xfrm>
                      <a:off x="0" y="0"/>
                      <a:ext cx="1711671" cy="1885950"/>
                    </a:xfrm>
                    <a:prstGeom prst="rect">
                      <a:avLst/>
                    </a:prstGeom>
                    <a:noFill/>
                    <a:ln w="9525">
                      <a:noFill/>
                      <a:miter lim="800000"/>
                      <a:headEnd/>
                      <a:tailEnd/>
                    </a:ln>
                  </pic:spPr>
                </pic:pic>
              </a:graphicData>
            </a:graphic>
          </wp:inline>
        </w:drawing>
      </w:r>
    </w:p>
    <w:p w14:paraId="783F6BC9" w14:textId="77777777" w:rsidR="0099037E" w:rsidRDefault="0099037E" w:rsidP="0099037E">
      <w:pPr>
        <w:spacing w:before="240"/>
        <w:rPr>
          <w:b/>
          <w:lang w:val="en-AU" w:eastAsia="en-AU"/>
        </w:rPr>
      </w:pPr>
      <w:r w:rsidRPr="0001194A">
        <w:rPr>
          <w:b/>
          <w:lang w:val="en-AU" w:eastAsia="en-AU"/>
        </w:rPr>
        <w:t xml:space="preserve">Figure </w:t>
      </w:r>
      <w:r>
        <w:rPr>
          <w:b/>
          <w:lang w:val="en-AU" w:eastAsia="en-AU"/>
        </w:rPr>
        <w:t>PHS</w:t>
      </w:r>
      <w:r w:rsidR="008C46A3">
        <w:rPr>
          <w:b/>
          <w:lang w:val="en-AU" w:eastAsia="en-AU"/>
        </w:rPr>
        <w:t>1:</w:t>
      </w:r>
      <w:r w:rsidR="007B2238">
        <w:rPr>
          <w:b/>
          <w:lang w:val="en-AU" w:eastAsia="en-AU"/>
        </w:rPr>
        <w:t xml:space="preserve"> Pheasant with ‘bit’</w:t>
      </w:r>
      <w:r w:rsidR="00B23935">
        <w:rPr>
          <w:b/>
          <w:lang w:val="en-AU" w:eastAsia="en-AU"/>
        </w:rPr>
        <w:tab/>
      </w:r>
      <w:r w:rsidR="00B23935">
        <w:rPr>
          <w:b/>
          <w:lang w:val="en-AU" w:eastAsia="en-AU"/>
        </w:rPr>
        <w:tab/>
      </w:r>
      <w:r w:rsidR="007B2238">
        <w:rPr>
          <w:b/>
          <w:lang w:val="en-AU" w:eastAsia="en-AU"/>
        </w:rPr>
        <w:t>Figure PHS</w:t>
      </w:r>
      <w:r w:rsidR="008C46A3">
        <w:rPr>
          <w:b/>
          <w:lang w:val="en-AU" w:eastAsia="en-AU"/>
        </w:rPr>
        <w:t>2:</w:t>
      </w:r>
      <w:r w:rsidR="005800A2">
        <w:rPr>
          <w:b/>
          <w:lang w:val="en-AU" w:eastAsia="en-AU"/>
        </w:rPr>
        <w:t xml:space="preserve"> </w:t>
      </w:r>
      <w:r w:rsidR="007B2238">
        <w:rPr>
          <w:b/>
          <w:lang w:val="en-AU" w:eastAsia="en-AU"/>
        </w:rPr>
        <w:t>Pheasant with ‘spectacles’</w:t>
      </w:r>
    </w:p>
    <w:p w14:paraId="3416EB7E" w14:textId="77777777" w:rsidR="0099037E" w:rsidRPr="00D75077" w:rsidRDefault="007B2238" w:rsidP="008C46A3">
      <w:pPr>
        <w:spacing w:after="240"/>
        <w:rPr>
          <w:i/>
          <w:lang w:val="en-AU" w:eastAsia="en-AU"/>
        </w:rPr>
      </w:pPr>
      <w:r w:rsidRPr="00D75077">
        <w:rPr>
          <w:i/>
          <w:lang w:val="en-AU" w:eastAsia="en-AU"/>
        </w:rPr>
        <w:t xml:space="preserve">[Photographs </w:t>
      </w:r>
      <w:r w:rsidR="00FA3971" w:rsidRPr="00D75077">
        <w:rPr>
          <w:i/>
          <w:lang w:val="en-AU" w:eastAsia="en-AU"/>
        </w:rPr>
        <w:t xml:space="preserve">used with the permission of </w:t>
      </w:r>
      <w:r w:rsidRPr="00D75077">
        <w:rPr>
          <w:i/>
          <w:lang w:val="en-AU" w:eastAsia="en-AU"/>
        </w:rPr>
        <w:t xml:space="preserve">the Game &amp; Wildlife Conservation Trust, UK: </w:t>
      </w:r>
      <w:hyperlink r:id="rId72" w:tooltip="This is a link to the website of the Game &amp; Wildlife Conservation Trust in the UK." w:history="1">
        <w:r w:rsidR="00D96C72" w:rsidRPr="00F33C5E">
          <w:rPr>
            <w:rStyle w:val="Hyperlink"/>
            <w:i/>
            <w:lang w:val="en-AU" w:eastAsia="en-AU"/>
          </w:rPr>
          <w:t>www.gwct.org.uk</w:t>
        </w:r>
      </w:hyperlink>
      <w:r w:rsidR="00D96C72">
        <w:rPr>
          <w:i/>
          <w:lang w:val="en-AU" w:eastAsia="en-AU"/>
        </w:rPr>
        <w:t>]</w:t>
      </w:r>
    </w:p>
    <w:p w14:paraId="6E5502C8" w14:textId="77777777" w:rsidR="00286A88" w:rsidRPr="00286A88" w:rsidRDefault="00286A88" w:rsidP="0099037E">
      <w:pPr>
        <w:rPr>
          <w:lang w:val="en-AU" w:eastAsia="en-AU"/>
        </w:rPr>
      </w:pPr>
      <w:r w:rsidRPr="00286A88">
        <w:rPr>
          <w:lang w:val="en-AU" w:eastAsia="en-AU"/>
        </w:rPr>
        <w:t>Voslarova et al. (2013) examined the effects of wearing spectacles and beak trimming in ten month old pheasants. Pheasants were reared in four outdoor aviaries with a mean flock size of 200 birds at a stocking density of 1.3 birds/m</w:t>
      </w:r>
      <w:r w:rsidRPr="00286A88">
        <w:rPr>
          <w:vertAlign w:val="superscript"/>
          <w:lang w:val="en-AU" w:eastAsia="en-AU"/>
        </w:rPr>
        <w:t>2</w:t>
      </w:r>
      <w:r w:rsidRPr="00286A88">
        <w:rPr>
          <w:lang w:val="en-AU" w:eastAsia="en-AU"/>
        </w:rPr>
        <w:t>; before the beginning of the laying period 20 pheasants (10 males, 10 females) were randomly selected for each treatment group (beak trimming, spectacles, control); short term effects on biochemical indices of stress were examined; blood samples were collected immediately after treatment. In order to analyse the long-term effects, pheasants were housed in cages from the beginning of their laying period in groups comprising one male and five females; cages were randomly assigned to one of three treatments which were implemented immediately before placement in cages (beak trimmed, spectacles, control; 150 cages, 50 per treatment). For each treatment blood samples were collected from 15 randomly selected birds in 15 different cages at the end of the laying period, three months after treatment. In the short term both beak trimmed pheasants and those fitted with spectacles had higher concentrations of plasma corticosterone and lactate dehydrogenase, and lower concentrations of plasma cholesterol and triglycerides compared with control birds. Beak trimmed pheasants also had lower concentrations of aspartate aminotransferase (AST), and pheasants fitted with spectacles had lower concentrations of lactate, compared with control birds. At the end of the laying period beak trimmed birds had higher plasma concentrations of neopterin compared with both control and spectacled birds, while spectacled birds had lower plasma concentrations of biopterin compared with both control and beak trimmed pheasants. Hens fitted with spectacles also had higher counts of leukocytes, heterophils, lymphocytes, eosinophils, basophils and monocytes, while beak trimmed birds had higher counts of eosinophils and monocytes, compared with control birds. Spectacled birds also had higher heterophil/lymphocyte ratios than beak trimmed birds. Thus, differences in blood biochemistry in the short term indicate that both beak trimming and fitting with spectacles are stressful procedures, although the reaction to beak trimming was greater. Conversely the long term effect on biochemical indices of stress was greater for pheasants fitted with spectacles than for beak trimmed pheasants. It may be that while beak trimming is more invasive and painful in the short term, feeding and pecking behaviour adapts, thus the long term impact is less than in the case of fitting spectacles, where vision continues to be impaired for the duration of the laying period.</w:t>
      </w:r>
    </w:p>
    <w:p w14:paraId="4E58B3D5" w14:textId="77777777" w:rsidR="00286A88" w:rsidRPr="00286A88" w:rsidRDefault="00286A88" w:rsidP="0099037E">
      <w:pPr>
        <w:rPr>
          <w:lang w:val="en-AU" w:eastAsia="en-AU"/>
        </w:rPr>
      </w:pPr>
      <w:r w:rsidRPr="00286A88">
        <w:rPr>
          <w:lang w:val="en-AU" w:eastAsia="en-AU"/>
        </w:rPr>
        <w:t>Butler and Davis (2014) also examined the effects of fitting pheasants with spectacles on 23 game farms across England in 2006 and 2007. Laying birds were examined in both flock (multiple males and females) and harem (one male housed with approximately eight females) management systems. On each farm two identical pens were stocked with day old pheasant chicks and randomly allocated to a treatment group: spectacled or non-spectacled. All other management was identical for the two pens. Fitting female pheasants with spectacles did reduce bird-to-bird pecking, improve feather condition and reduce skin damage in the flock management system; however, the practice also reduced the performance of other normal behaviours (perching and foraging), and increased head shaking and scratching suggests birds found them to be aversive. Further, females fitted with spectacles were also more likely to have damage to the beak or nares compared with non-spectacled females.</w:t>
      </w:r>
    </w:p>
    <w:p w14:paraId="3BF7D1EA" w14:textId="77777777" w:rsidR="00286A88" w:rsidRPr="00286A88" w:rsidRDefault="00286A88" w:rsidP="0099037E">
      <w:pPr>
        <w:rPr>
          <w:lang w:val="en-AU" w:eastAsia="en-AU"/>
        </w:rPr>
      </w:pPr>
      <w:r w:rsidRPr="00286A88">
        <w:rPr>
          <w:lang w:val="en-AU" w:eastAsia="en-AU"/>
        </w:rPr>
        <w:t>Butler and Davis (2010) collected data from 18 game farms in England between 2005 and 2007. Using the same methods as described above pens of bitted (at 10-32 days of age) or non-bitted pheasants were compared. Again bitting birds was associated with reduced bird-to-bird pecking and skin damage, and improved feather condition from two to five weeks of age. However, bitted birds were two times more likely to be observed head shaking or scratching, again suggesting the birds find them aversive. Further, as with spectacles, the proportion of bitted birds with abnormalities to the beak or nares, increased to 12.5% by five weeks of age in bitted birds compared with no abnormalities in non-bitted birds.</w:t>
      </w:r>
    </w:p>
    <w:p w14:paraId="2D3CC830" w14:textId="77777777" w:rsidR="00286A88" w:rsidRPr="00286A88" w:rsidRDefault="00286A88" w:rsidP="0099037E">
      <w:pPr>
        <w:rPr>
          <w:lang w:val="en-AU" w:eastAsia="en-AU"/>
        </w:rPr>
      </w:pPr>
      <w:r w:rsidRPr="00286A88">
        <w:rPr>
          <w:lang w:val="en-AU" w:eastAsia="en-AU"/>
        </w:rPr>
        <w:t>In summary, while all three methods appear to reduce the damage due to injurious pecking, it is clear that all procedures also have negative welfare implications that must be balanced against the risks of feather pecking and cannibalism. Other methods of reducing or controlling feather pecking and cannibalism should be sought.</w:t>
      </w:r>
    </w:p>
    <w:p w14:paraId="0FD8AC89" w14:textId="77777777" w:rsidR="00286A88" w:rsidRPr="00286A88" w:rsidRDefault="00286A88" w:rsidP="0099037E">
      <w:pPr>
        <w:pStyle w:val="Heading2"/>
        <w:rPr>
          <w:lang w:val="en-AU" w:eastAsia="en-AU"/>
        </w:rPr>
      </w:pPr>
      <w:bookmarkStart w:id="288" w:name="_Toc495310755"/>
      <w:r w:rsidRPr="00286A88">
        <w:rPr>
          <w:lang w:val="en-AU" w:eastAsia="en-AU"/>
        </w:rPr>
        <w:t>PHS6. Welfare Considerations: Overview</w:t>
      </w:r>
      <w:bookmarkEnd w:id="288"/>
    </w:p>
    <w:p w14:paraId="065FC81C" w14:textId="77777777" w:rsidR="00286A88" w:rsidRPr="00286A88" w:rsidRDefault="00286A88" w:rsidP="0099037E">
      <w:pPr>
        <w:rPr>
          <w:lang w:val="en-AU" w:eastAsia="en-AU"/>
        </w:rPr>
      </w:pPr>
      <w:r w:rsidRPr="00286A88">
        <w:rPr>
          <w:lang w:val="en-AU" w:eastAsia="en-AU"/>
        </w:rPr>
        <w:t>There is little reliable research on the impact of housing pheasants in cages; however, housing in conventional as opposed to enriched cages appears to have adverse effects on both health and behaviour. The provision of furnishings such as perches in all systems, and additional hideouts to reduce aggression in pen systems, have clear welfare benefits. Higher stocking densities appear to have adverse effects on welfare but research is needed to establish recommended stocking densities, group sizes and sex ratios to ensure welfare.</w:t>
      </w:r>
    </w:p>
    <w:p w14:paraId="238C8076" w14:textId="77777777" w:rsidR="00286A88" w:rsidRPr="00286A88" w:rsidRDefault="00286A88" w:rsidP="0099037E">
      <w:pPr>
        <w:rPr>
          <w:lang w:val="en-AU" w:eastAsia="en-AU"/>
        </w:rPr>
      </w:pPr>
      <w:r w:rsidRPr="00286A88">
        <w:rPr>
          <w:lang w:val="en-AU" w:eastAsia="en-AU"/>
        </w:rPr>
        <w:t>Welfare post-release for hunting may also be affected by management in captivity. The diet and enrichments (such as perches) provided in captivity may affect the way in which birds are able to use the resources available to them after release. An inability to use these resources efficiently could cause stress in released birds, as well as increased mortality.</w:t>
      </w:r>
    </w:p>
    <w:p w14:paraId="602901BC" w14:textId="77777777" w:rsidR="00286A88" w:rsidRDefault="00286A88" w:rsidP="0099037E">
      <w:pPr>
        <w:rPr>
          <w:lang w:val="en-AU" w:eastAsia="en-AU"/>
        </w:rPr>
      </w:pPr>
      <w:r w:rsidRPr="00286A88">
        <w:rPr>
          <w:lang w:val="en-AU" w:eastAsia="en-AU"/>
        </w:rPr>
        <w:t>Feather pecking and cannibalism present a significant welfare problem. While the methods employed for reducing or preventing these behaviours in pheasants appear to be effective, they have significant welfare implications in their own right. Consequently it would be preferable if beak trimming, and fitting spectacles and bits were used only as a last resort. In the first instance welfare could be improved by reducing the risks of feather pecking by other methods, such as appropriate levels of fibre and protein in the diet, minimising stocking density and using sight barriers in open pens. Farmers may also consider the management techniques suggested for reducing injurious pecking in laying hens. Further it is also important to ensure that beak trimming, where necessary, is carried out with the least impact on welfare, at the earliest possible age and using infra-red trimming methods, as for laying hens.</w:t>
      </w:r>
    </w:p>
    <w:p w14:paraId="20348575" w14:textId="77777777" w:rsidR="002F2711" w:rsidRDefault="002F2711" w:rsidP="0099037E">
      <w:pPr>
        <w:rPr>
          <w:lang w:val="en-AU" w:eastAsia="en-AU"/>
        </w:rPr>
      </w:pPr>
    </w:p>
    <w:p w14:paraId="19F08C28" w14:textId="77777777" w:rsidR="002F2711" w:rsidRDefault="002F2711" w:rsidP="002F2711">
      <w:pPr>
        <w:pStyle w:val="Heading2"/>
        <w:rPr>
          <w:lang w:val="en-AU" w:eastAsia="en-AU"/>
        </w:rPr>
      </w:pPr>
      <w:r>
        <w:rPr>
          <w:lang w:val="en-AU" w:eastAsia="en-AU"/>
        </w:rPr>
        <w:br w:type="column"/>
      </w:r>
      <w:bookmarkStart w:id="289" w:name="_Toc495310756"/>
      <w:r w:rsidR="00363A83">
        <w:rPr>
          <w:lang w:val="en-AU" w:eastAsia="en-AU"/>
        </w:rPr>
        <w:t xml:space="preserve">PHS7. </w:t>
      </w:r>
      <w:r>
        <w:rPr>
          <w:lang w:val="en-AU" w:eastAsia="en-AU"/>
        </w:rPr>
        <w:t>References</w:t>
      </w:r>
      <w:bookmarkEnd w:id="289"/>
    </w:p>
    <w:p w14:paraId="3C3DAC47" w14:textId="77777777" w:rsidR="00452BE9" w:rsidRDefault="00452BE9" w:rsidP="002F2711">
      <w:pPr>
        <w:rPr>
          <w:lang w:eastAsia="en-AU"/>
        </w:rPr>
      </w:pPr>
      <w:r w:rsidRPr="00452BE9">
        <w:rPr>
          <w:lang w:eastAsia="en-AU"/>
        </w:rPr>
        <w:t>Bogenschutz, T.</w:t>
      </w:r>
      <w:r w:rsidR="00C032DE">
        <w:rPr>
          <w:lang w:eastAsia="en-AU"/>
        </w:rPr>
        <w:t xml:space="preserve"> </w:t>
      </w:r>
      <w:r w:rsidRPr="00452BE9">
        <w:rPr>
          <w:lang w:eastAsia="en-AU"/>
        </w:rPr>
        <w:t xml:space="preserve">R., </w:t>
      </w:r>
      <w:r>
        <w:rPr>
          <w:lang w:eastAsia="en-AU"/>
        </w:rPr>
        <w:t xml:space="preserve">D. E. </w:t>
      </w:r>
      <w:r w:rsidRPr="00452BE9">
        <w:rPr>
          <w:lang w:eastAsia="en-AU"/>
        </w:rPr>
        <w:t xml:space="preserve">Hubbard, and </w:t>
      </w:r>
      <w:r>
        <w:rPr>
          <w:lang w:eastAsia="en-AU"/>
        </w:rPr>
        <w:t xml:space="preserve">A. P. </w:t>
      </w:r>
      <w:r w:rsidRPr="00452BE9">
        <w:rPr>
          <w:lang w:eastAsia="en-AU"/>
        </w:rPr>
        <w:t>Leif. 1995</w:t>
      </w:r>
      <w:r>
        <w:rPr>
          <w:lang w:eastAsia="en-AU"/>
        </w:rPr>
        <w:t>.</w:t>
      </w:r>
      <w:r w:rsidRPr="00452BE9">
        <w:rPr>
          <w:lang w:eastAsia="en-AU"/>
        </w:rPr>
        <w:t xml:space="preserve"> Corn and sorghum as a winter food source for ring-necked pheasants.</w:t>
      </w:r>
      <w:r>
        <w:rPr>
          <w:lang w:eastAsia="en-AU"/>
        </w:rPr>
        <w:t xml:space="preserve"> </w:t>
      </w:r>
      <w:r w:rsidRPr="00452BE9">
        <w:rPr>
          <w:lang w:eastAsia="en-AU"/>
        </w:rPr>
        <w:t>Journal of Wildlife Management 59:776-784</w:t>
      </w:r>
      <w:r>
        <w:rPr>
          <w:lang w:eastAsia="en-AU"/>
        </w:rPr>
        <w:t>.</w:t>
      </w:r>
      <w:r w:rsidR="00C032DE">
        <w:rPr>
          <w:lang w:eastAsia="en-AU"/>
        </w:rPr>
        <w:t xml:space="preserve"> doi </w:t>
      </w:r>
      <w:r w:rsidR="00C032DE" w:rsidRPr="00C032DE">
        <w:rPr>
          <w:lang w:eastAsia="en-AU"/>
        </w:rPr>
        <w:t>10.2307/3801956</w:t>
      </w:r>
    </w:p>
    <w:p w14:paraId="25070027" w14:textId="77777777" w:rsidR="002F2711" w:rsidRPr="002F2711" w:rsidRDefault="002F2711" w:rsidP="002F2711">
      <w:pPr>
        <w:rPr>
          <w:lang w:eastAsia="en-AU"/>
        </w:rPr>
      </w:pPr>
      <w:r w:rsidRPr="002F2711">
        <w:rPr>
          <w:lang w:eastAsia="en-AU"/>
        </w:rPr>
        <w:t>Butler, D. A., and C. Davis. 2010. Effects of plastic bits on the condition and behaviour of captive-reared pheasants. Veterinary Record 166:398-401. doi 10.1136/vr.b4804</w:t>
      </w:r>
    </w:p>
    <w:p w14:paraId="189DA246" w14:textId="77777777" w:rsidR="002F2711" w:rsidRPr="002F2711" w:rsidRDefault="002F2711" w:rsidP="002F2711">
      <w:pPr>
        <w:rPr>
          <w:lang w:eastAsia="en-AU"/>
        </w:rPr>
      </w:pPr>
      <w:r w:rsidRPr="002F2711">
        <w:rPr>
          <w:lang w:eastAsia="en-AU"/>
        </w:rPr>
        <w:t>Butler, D. A., and C. Davis. 2014. The effects of plastic spectacles on the condition and behaviour of pheasants. Veterinary Record 174:198. doi 10.1136/vr.102059</w:t>
      </w:r>
    </w:p>
    <w:p w14:paraId="7267238E" w14:textId="77777777" w:rsidR="00C032DE" w:rsidRPr="002F2711" w:rsidRDefault="00C032DE" w:rsidP="002F2711">
      <w:pPr>
        <w:rPr>
          <w:lang w:eastAsia="en-AU"/>
        </w:rPr>
      </w:pPr>
      <w:r>
        <w:rPr>
          <w:lang w:eastAsia="en-AU"/>
        </w:rPr>
        <w:t xml:space="preserve">Chiverton, P. A. </w:t>
      </w:r>
      <w:r w:rsidRPr="00C032DE">
        <w:rPr>
          <w:lang w:eastAsia="en-AU"/>
        </w:rPr>
        <w:t>1999</w:t>
      </w:r>
      <w:r>
        <w:rPr>
          <w:lang w:eastAsia="en-AU"/>
        </w:rPr>
        <w:t>.</w:t>
      </w:r>
      <w:r w:rsidRPr="00C032DE">
        <w:rPr>
          <w:lang w:eastAsia="en-AU"/>
        </w:rPr>
        <w:t xml:space="preserve"> The benefits of unsprayed cereal crop margins to grey partridges </w:t>
      </w:r>
      <w:r w:rsidRPr="00C032DE">
        <w:rPr>
          <w:i/>
          <w:lang w:eastAsia="en-AU"/>
        </w:rPr>
        <w:t>Perdix perdix</w:t>
      </w:r>
      <w:r w:rsidRPr="00C032DE">
        <w:rPr>
          <w:lang w:eastAsia="en-AU"/>
        </w:rPr>
        <w:t xml:space="preserve"> and pheasants </w:t>
      </w:r>
      <w:r w:rsidRPr="00C032DE">
        <w:rPr>
          <w:i/>
          <w:lang w:eastAsia="en-AU"/>
        </w:rPr>
        <w:t>Phasianus colchicus</w:t>
      </w:r>
      <w:r w:rsidRPr="00C032DE">
        <w:rPr>
          <w:lang w:eastAsia="en-AU"/>
        </w:rPr>
        <w:t xml:space="preserve"> in Sweden. Wildlife Biology 5: 83-92</w:t>
      </w:r>
      <w:r>
        <w:rPr>
          <w:lang w:eastAsia="en-AU"/>
        </w:rPr>
        <w:t>.</w:t>
      </w:r>
    </w:p>
    <w:p w14:paraId="79CBED67" w14:textId="77777777" w:rsidR="002F2711" w:rsidRDefault="002F2711" w:rsidP="002F2711">
      <w:pPr>
        <w:rPr>
          <w:lang w:eastAsia="en-AU"/>
        </w:rPr>
      </w:pPr>
      <w:r w:rsidRPr="002F2711">
        <w:rPr>
          <w:lang w:eastAsia="en-AU"/>
        </w:rPr>
        <w:t>Deeming, D. C., H. R. Hodges, and J. J. Cooper. 2011. Effect of sight barriers in pens of breeding ring-necked pheasants (</w:t>
      </w:r>
      <w:r w:rsidRPr="00074E62">
        <w:rPr>
          <w:i/>
          <w:lang w:eastAsia="en-AU"/>
        </w:rPr>
        <w:t>Phasianus colchicus</w:t>
      </w:r>
      <w:r w:rsidRPr="002F2711">
        <w:rPr>
          <w:lang w:eastAsia="en-AU"/>
        </w:rPr>
        <w:t>): I. Behaviour and welfare. British Poultry Science 52:403-414. doi 10.1080/00071668.2011.590796</w:t>
      </w:r>
    </w:p>
    <w:p w14:paraId="1F5F7B23" w14:textId="77777777" w:rsidR="00C032DE" w:rsidRPr="002F2711" w:rsidRDefault="00C032DE" w:rsidP="002F2711">
      <w:pPr>
        <w:rPr>
          <w:lang w:eastAsia="en-AU"/>
        </w:rPr>
      </w:pPr>
      <w:r w:rsidRPr="00C032DE">
        <w:rPr>
          <w:lang w:eastAsia="en-AU"/>
        </w:rPr>
        <w:t>Doxon, E.</w:t>
      </w:r>
      <w:r>
        <w:rPr>
          <w:lang w:eastAsia="en-AU"/>
        </w:rPr>
        <w:t xml:space="preserve"> </w:t>
      </w:r>
      <w:r w:rsidRPr="00C032DE">
        <w:rPr>
          <w:lang w:eastAsia="en-AU"/>
        </w:rPr>
        <w:t xml:space="preserve">D. and </w:t>
      </w:r>
      <w:r>
        <w:rPr>
          <w:lang w:eastAsia="en-AU"/>
        </w:rPr>
        <w:t xml:space="preserve">J. P. </w:t>
      </w:r>
      <w:r w:rsidRPr="00C032DE">
        <w:rPr>
          <w:lang w:eastAsia="en-AU"/>
        </w:rPr>
        <w:t>Carroll. 2010</w:t>
      </w:r>
      <w:r>
        <w:rPr>
          <w:lang w:eastAsia="en-AU"/>
        </w:rPr>
        <w:t>.</w:t>
      </w:r>
      <w:r w:rsidRPr="00C032DE">
        <w:rPr>
          <w:lang w:eastAsia="en-AU"/>
        </w:rPr>
        <w:t xml:space="preserve"> Feeding ecology of ring-necked pheasant and Northern bobwhite chicks in conservation reserve program fields. Jou</w:t>
      </w:r>
      <w:r>
        <w:rPr>
          <w:lang w:eastAsia="en-AU"/>
        </w:rPr>
        <w:t>rnal of Wildlife Management 74:</w:t>
      </w:r>
      <w:r w:rsidRPr="00C032DE">
        <w:rPr>
          <w:lang w:eastAsia="en-AU"/>
        </w:rPr>
        <w:t>249-256</w:t>
      </w:r>
      <w:r>
        <w:rPr>
          <w:lang w:eastAsia="en-AU"/>
        </w:rPr>
        <w:t xml:space="preserve">. doi </w:t>
      </w:r>
      <w:r w:rsidRPr="00C032DE">
        <w:rPr>
          <w:lang w:eastAsia="en-AU"/>
        </w:rPr>
        <w:t>10.2193/2008-522</w:t>
      </w:r>
    </w:p>
    <w:p w14:paraId="2D03A4CA" w14:textId="77777777" w:rsidR="002F2711" w:rsidRPr="002F2711" w:rsidRDefault="002F2711" w:rsidP="002F2711">
      <w:pPr>
        <w:rPr>
          <w:lang w:eastAsia="en-AU"/>
        </w:rPr>
      </w:pPr>
      <w:r w:rsidRPr="002F2711">
        <w:rPr>
          <w:lang w:eastAsia="en-AU"/>
        </w:rPr>
        <w:t xml:space="preserve">Goransson, G., T. Vonschantz, I. Froberg, A. Helgee, and H. Wittzell. 1990. Male characteristics, viability and harem size in the pheasant, </w:t>
      </w:r>
      <w:r w:rsidRPr="00074E62">
        <w:rPr>
          <w:i/>
          <w:lang w:eastAsia="en-AU"/>
        </w:rPr>
        <w:t>Phasianus</w:t>
      </w:r>
      <w:r w:rsidR="00074E62">
        <w:rPr>
          <w:i/>
          <w:lang w:eastAsia="en-AU"/>
        </w:rPr>
        <w:t xml:space="preserve"> </w:t>
      </w:r>
      <w:r w:rsidRPr="00074E62">
        <w:rPr>
          <w:i/>
          <w:lang w:eastAsia="en-AU"/>
        </w:rPr>
        <w:t>colchicus</w:t>
      </w:r>
      <w:r w:rsidRPr="002F2711">
        <w:rPr>
          <w:lang w:eastAsia="en-AU"/>
        </w:rPr>
        <w:t>. Animal Behaviour 40:89-104. doi 10.1016/s0003-3472(05)80668-2</w:t>
      </w:r>
    </w:p>
    <w:p w14:paraId="7FD5A043" w14:textId="77777777" w:rsidR="002F2711" w:rsidRPr="002F2711" w:rsidRDefault="002F2711" w:rsidP="002F2711">
      <w:pPr>
        <w:rPr>
          <w:lang w:eastAsia="en-AU"/>
        </w:rPr>
      </w:pPr>
      <w:r w:rsidRPr="002F2711">
        <w:rPr>
          <w:lang w:eastAsia="en-AU"/>
        </w:rPr>
        <w:t>Hill, D., and P. Robertson. 1988. Breeding success of wild and hand-reared ring-necked pheasants. Journal of Wildlife Management 52:446-450. doi 10.2307/3801588</w:t>
      </w:r>
    </w:p>
    <w:p w14:paraId="41722419" w14:textId="77777777" w:rsidR="002F2711" w:rsidRPr="002F2711" w:rsidRDefault="002F2711" w:rsidP="002F2711">
      <w:pPr>
        <w:rPr>
          <w:lang w:eastAsia="en-AU"/>
        </w:rPr>
      </w:pPr>
      <w:r w:rsidRPr="002F2711">
        <w:rPr>
          <w:lang w:eastAsia="en-AU"/>
        </w:rPr>
        <w:t>Kjaer, J. B. 2004. Effects of stocking density and group size on the condition of the skin and feathers of pheasant chicks.</w:t>
      </w:r>
      <w:r w:rsidR="00074E62">
        <w:rPr>
          <w:lang w:eastAsia="en-AU"/>
        </w:rPr>
        <w:t xml:space="preserve"> Veterinary Record 154:556-558.</w:t>
      </w:r>
    </w:p>
    <w:p w14:paraId="52DFB35D" w14:textId="77777777" w:rsidR="002F2711" w:rsidRPr="002F2711" w:rsidRDefault="002F2711" w:rsidP="002F2711">
      <w:pPr>
        <w:rPr>
          <w:lang w:eastAsia="en-AU"/>
        </w:rPr>
      </w:pPr>
      <w:r w:rsidRPr="002F2711">
        <w:rPr>
          <w:lang w:eastAsia="en-AU"/>
        </w:rPr>
        <w:t>Kjaer, J. B., and W. Bessei. 2013. The interrelationships of nutrition and feather pecking in the domestic fowl - A review. Archiv Fur Geflugelkunde 77:1-9.</w:t>
      </w:r>
    </w:p>
    <w:p w14:paraId="6AF0E048" w14:textId="77777777" w:rsidR="002F2711" w:rsidRPr="002F2711" w:rsidRDefault="002F2711" w:rsidP="002F2711">
      <w:pPr>
        <w:rPr>
          <w:lang w:eastAsia="en-AU"/>
        </w:rPr>
      </w:pPr>
      <w:r w:rsidRPr="002F2711">
        <w:rPr>
          <w:lang w:eastAsia="en-AU"/>
        </w:rPr>
        <w:t>Matheson, S. M., J. Donbavand, V. Sandilands, T. Pennycott, and S. P. Turner. 2015. An ethological approach to determining housing requirements of gamebirds in raised laying units. Applied Animal B</w:t>
      </w:r>
      <w:r w:rsidR="00165823">
        <w:rPr>
          <w:lang w:eastAsia="en-AU"/>
        </w:rPr>
        <w:t xml:space="preserve">ehaviour Science 165:17-24. doi </w:t>
      </w:r>
      <w:r w:rsidRPr="002F2711">
        <w:rPr>
          <w:lang w:eastAsia="en-AU"/>
        </w:rPr>
        <w:t>10.1016/j.applanim.2015.02.001</w:t>
      </w:r>
    </w:p>
    <w:p w14:paraId="35D920C5" w14:textId="77777777" w:rsidR="00100D7D" w:rsidRDefault="00100D7D" w:rsidP="002F2711">
      <w:pPr>
        <w:rPr>
          <w:lang w:eastAsia="en-AU"/>
        </w:rPr>
      </w:pPr>
      <w:r w:rsidRPr="00100D7D">
        <w:rPr>
          <w:lang w:eastAsia="en-AU"/>
        </w:rPr>
        <w:t>Robertson,</w:t>
      </w:r>
      <w:r>
        <w:rPr>
          <w:lang w:eastAsia="en-AU"/>
        </w:rPr>
        <w:t xml:space="preserve"> </w:t>
      </w:r>
      <w:r w:rsidRPr="00100D7D">
        <w:rPr>
          <w:lang w:eastAsia="en-AU"/>
        </w:rPr>
        <w:t>P.</w:t>
      </w:r>
      <w:r>
        <w:rPr>
          <w:lang w:eastAsia="en-AU"/>
        </w:rPr>
        <w:t xml:space="preserve"> </w:t>
      </w:r>
      <w:r w:rsidRPr="00100D7D">
        <w:rPr>
          <w:lang w:eastAsia="en-AU"/>
        </w:rPr>
        <w:t>A. 1996. Does nesting cover limit abundance of ring-necked pheasants in North America? Wildlife Society Bulle</w:t>
      </w:r>
      <w:r>
        <w:rPr>
          <w:lang w:eastAsia="en-AU"/>
        </w:rPr>
        <w:t>tin 24:</w:t>
      </w:r>
      <w:r w:rsidRPr="00100D7D">
        <w:rPr>
          <w:lang w:eastAsia="en-AU"/>
        </w:rPr>
        <w:t>98-106</w:t>
      </w:r>
      <w:r>
        <w:rPr>
          <w:lang w:eastAsia="en-AU"/>
        </w:rPr>
        <w:t>.</w:t>
      </w:r>
    </w:p>
    <w:p w14:paraId="65CAEDB8" w14:textId="77777777" w:rsidR="002F2711" w:rsidRPr="002F2711" w:rsidRDefault="002F2711" w:rsidP="002F2711">
      <w:pPr>
        <w:rPr>
          <w:lang w:eastAsia="en-AU"/>
        </w:rPr>
      </w:pPr>
      <w:r w:rsidRPr="002F2711">
        <w:rPr>
          <w:lang w:eastAsia="en-AU"/>
        </w:rPr>
        <w:t>Robertson, P. A., D. R. Wise, and K. A. Blake. 1993a. Flying ability of different pheasant strains. Journal of Wildlife Management 57:778-782. doi 10.2307/3809079</w:t>
      </w:r>
    </w:p>
    <w:p w14:paraId="350EA8FA" w14:textId="77777777" w:rsidR="002F2711" w:rsidRPr="002F2711" w:rsidRDefault="002F2711" w:rsidP="002F2711">
      <w:pPr>
        <w:rPr>
          <w:lang w:eastAsia="en-AU"/>
        </w:rPr>
      </w:pPr>
      <w:r w:rsidRPr="002F2711">
        <w:rPr>
          <w:lang w:eastAsia="en-AU"/>
        </w:rPr>
        <w:t>Robertson, P. A., M. I. A. Woodburn, W. Neutel, and C. E. Bealey. 1993b. Effects of land-use on breeding pheasant density. Journal of Applied Ecology 30:465-477. doi 10.2307/2404187</w:t>
      </w:r>
    </w:p>
    <w:p w14:paraId="0E753F56" w14:textId="77777777" w:rsidR="002F2711" w:rsidRPr="002F2711" w:rsidRDefault="002F2711" w:rsidP="002F2711">
      <w:pPr>
        <w:rPr>
          <w:lang w:eastAsia="en-AU"/>
        </w:rPr>
      </w:pPr>
      <w:r w:rsidRPr="002F2711">
        <w:rPr>
          <w:lang w:eastAsia="en-AU"/>
        </w:rPr>
        <w:t>Schmitz, R. A., and W. R. Clark. 1999. Survival of ring-necked pheasant hens during spring in relation to landscape features. Journal of Wildlife Management 63:147-154. doi 10.2307/3802495</w:t>
      </w:r>
    </w:p>
    <w:p w14:paraId="430B88C7" w14:textId="77777777" w:rsidR="002F2711" w:rsidRPr="002F2711" w:rsidRDefault="002F2711" w:rsidP="002F2711">
      <w:pPr>
        <w:rPr>
          <w:lang w:eastAsia="en-AU"/>
        </w:rPr>
      </w:pPr>
      <w:r w:rsidRPr="002F2711">
        <w:rPr>
          <w:lang w:eastAsia="en-AU"/>
        </w:rPr>
        <w:t>Voslarova, E., I. Bedanova, V. Pistekova, P. Marsalek, and J. Chloupek. 2013. Changes in selected biochemical indices, leukocyte profile, and pterins as biomarkers of immune system activity due to antipecking measures in pheasants. Poultry Science 92:1699-1705. doi 10.3382/ps.2012-02874</w:t>
      </w:r>
    </w:p>
    <w:p w14:paraId="2C8B1F86" w14:textId="77777777" w:rsidR="002F2711" w:rsidRPr="002F2711" w:rsidRDefault="002F2711" w:rsidP="002F2711">
      <w:pPr>
        <w:rPr>
          <w:lang w:eastAsia="en-AU"/>
        </w:rPr>
      </w:pPr>
      <w:r w:rsidRPr="002F2711">
        <w:rPr>
          <w:lang w:eastAsia="en-AU"/>
        </w:rPr>
        <w:t>Voslarova, E., I. Bedanova, K. Radisavijevic, P. Hrabcakova, P. Marsalek, and V. Vecerek. 2015. Comparison of selected haematological and biochemical indices and behaviour patterns of pheasant hens kept in different housing systems during the laying period. Berliner Und Munchener Tierarztliche Wochenschrift 128:355-361. doi 10.2376/0005-9366-128-355</w:t>
      </w:r>
    </w:p>
    <w:p w14:paraId="70451A5D" w14:textId="77777777" w:rsidR="002F2711" w:rsidRPr="002F2711" w:rsidRDefault="002F2711" w:rsidP="002F2711">
      <w:pPr>
        <w:rPr>
          <w:lang w:eastAsia="en-AU"/>
        </w:rPr>
      </w:pPr>
      <w:r w:rsidRPr="002F2711">
        <w:rPr>
          <w:lang w:eastAsia="en-AU"/>
        </w:rPr>
        <w:t>Whiteside, M. A., R. Sage, and J. R. Madden. 2015. Diet complexity in early life affects survival in released pheasants by altering foraging efficiency, food choice, handling skills and gut morphology. Journal of Animal Ecology 84:1480-1489. doi 10.1111/1365-2656.12401</w:t>
      </w:r>
    </w:p>
    <w:p w14:paraId="261154F4" w14:textId="77777777" w:rsidR="002F2711" w:rsidRDefault="002F2711" w:rsidP="002F2711">
      <w:pPr>
        <w:rPr>
          <w:lang w:val="en-AU" w:eastAsia="en-AU"/>
        </w:rPr>
      </w:pPr>
      <w:r w:rsidRPr="002F2711">
        <w:rPr>
          <w:lang w:eastAsia="en-AU"/>
        </w:rPr>
        <w:t>Whiteside, M. A., R. Sage, and J. R. Madden. 2016. Multiple behavioural, morphological and cognitive developmental changes arise from a single alteration to early life spatial environment, resulting in fitness consequences for released pheasants. Royal Society Open Science 3. doi 10.1098/rsos.160008</w:t>
      </w:r>
    </w:p>
    <w:p w14:paraId="01F4CF2A" w14:textId="77777777" w:rsidR="002F2711" w:rsidRPr="00286A88" w:rsidRDefault="002F2711" w:rsidP="0099037E">
      <w:pPr>
        <w:rPr>
          <w:lang w:val="en-AU" w:eastAsia="en-AU"/>
        </w:rPr>
      </w:pPr>
    </w:p>
    <w:p w14:paraId="27BC2C6A" w14:textId="77777777" w:rsidR="00286A88" w:rsidRPr="00286A88" w:rsidRDefault="00D75077" w:rsidP="00D75077">
      <w:pPr>
        <w:pStyle w:val="Heading1"/>
        <w:rPr>
          <w:lang w:val="en-AU" w:eastAsia="en-AU"/>
        </w:rPr>
      </w:pPr>
      <w:r>
        <w:rPr>
          <w:sz w:val="22"/>
          <w:szCs w:val="22"/>
          <w:lang w:val="en-AU" w:eastAsia="en-AU"/>
        </w:rPr>
        <w:br w:type="column"/>
      </w:r>
      <w:bookmarkStart w:id="290" w:name="_Toc495310757"/>
      <w:r w:rsidR="00286A88" w:rsidRPr="00286A88">
        <w:rPr>
          <w:lang w:val="en-AU" w:eastAsia="en-AU"/>
        </w:rPr>
        <w:t>Partridges</w:t>
      </w:r>
      <w:bookmarkEnd w:id="290"/>
    </w:p>
    <w:p w14:paraId="7900B426" w14:textId="77777777" w:rsidR="00286A88" w:rsidRPr="00286A88" w:rsidRDefault="00286A88" w:rsidP="00D75077">
      <w:pPr>
        <w:pStyle w:val="Heading2"/>
        <w:rPr>
          <w:lang w:val="en-AU" w:eastAsia="en-AU"/>
        </w:rPr>
      </w:pPr>
      <w:bookmarkStart w:id="291" w:name="_Toc495310758"/>
      <w:r w:rsidRPr="00286A88">
        <w:rPr>
          <w:lang w:val="en-AU" w:eastAsia="en-AU"/>
        </w:rPr>
        <w:t>PTR 1. Introduction</w:t>
      </w:r>
      <w:bookmarkEnd w:id="291"/>
    </w:p>
    <w:p w14:paraId="2B0C1E40" w14:textId="77777777" w:rsidR="00286A88" w:rsidRPr="00286A88" w:rsidRDefault="00286A88" w:rsidP="00D75077">
      <w:pPr>
        <w:pStyle w:val="Heading3"/>
        <w:rPr>
          <w:lang w:val="en-AU" w:eastAsia="en-AU"/>
        </w:rPr>
      </w:pPr>
      <w:bookmarkStart w:id="292" w:name="_Toc495310759"/>
      <w:r w:rsidRPr="00286A88">
        <w:rPr>
          <w:lang w:val="en-AU" w:eastAsia="en-AU"/>
        </w:rPr>
        <w:t>PTR1.1 Life history</w:t>
      </w:r>
      <w:bookmarkEnd w:id="292"/>
    </w:p>
    <w:p w14:paraId="0AF14E40" w14:textId="77777777" w:rsidR="00286A88" w:rsidRPr="00286A88" w:rsidRDefault="00286A88" w:rsidP="00D75077">
      <w:pPr>
        <w:rPr>
          <w:lang w:val="en-AU" w:eastAsia="en-AU"/>
        </w:rPr>
      </w:pPr>
      <w:r w:rsidRPr="00286A88">
        <w:rPr>
          <w:lang w:val="en-AU" w:eastAsia="en-AU"/>
        </w:rPr>
        <w:t>Partridges are medium sized non-migratory gamebirds. While closely related to pheasants, they are smaller in size and typically dull coloured in comparison, with none of the ornamentation seen in their relatives (Kimball et al., 1999). Originating in Eurasia (Ekarius, 2007), partridges are widely distributed across Asia, Europe and Africa (Kimball et al., 1999). Worldwide, there are 106 known species of partridge (Ekarius, 2007).</w:t>
      </w:r>
    </w:p>
    <w:p w14:paraId="6653AE49" w14:textId="77777777" w:rsidR="00286A88" w:rsidRPr="00286A88" w:rsidRDefault="00286A88" w:rsidP="00D75077">
      <w:pPr>
        <w:rPr>
          <w:lang w:val="en-AU" w:eastAsia="en-AU"/>
        </w:rPr>
      </w:pPr>
      <w:r w:rsidRPr="00286A88">
        <w:rPr>
          <w:lang w:val="en-AU" w:eastAsia="en-AU"/>
        </w:rPr>
        <w:t>The preferred habitats of partridges are farmed fields with adjacent woods or hedgerows (Ekarius, 2007). It is these uncultivated areas at field boundaries that form the core of the home range, from which the partridges will venture out to exploit neighbouring agricultural fields (Šálek et al., 2004; Buner et al., 2005). Partridges nest in perennial plant cover, for example shrubs or herbaceous stands (Buner et al., 2005). This provides them with an abundant source of invertebrates with which to feed their chicks as well as protection from predators (Buner et al., 2005; Kuijper et al., 2009). Partridges eat mainly seeds and forage, but also some insects, with invertebrates providing an important source of protein for young chicks (Buner et al., 2005; Ekarius</w:t>
      </w:r>
      <w:r w:rsidR="00FC755F">
        <w:rPr>
          <w:lang w:val="en-AU" w:eastAsia="en-AU"/>
        </w:rPr>
        <w:t>,</w:t>
      </w:r>
      <w:r w:rsidRPr="00286A88">
        <w:rPr>
          <w:lang w:val="en-AU" w:eastAsia="en-AU"/>
        </w:rPr>
        <w:t xml:space="preserve"> 2007; Kuijper et al., 2009).</w:t>
      </w:r>
    </w:p>
    <w:p w14:paraId="335219D6" w14:textId="77777777" w:rsidR="00286A88" w:rsidRPr="00286A88" w:rsidRDefault="00286A88" w:rsidP="00D75077">
      <w:pPr>
        <w:rPr>
          <w:lang w:val="en-AU" w:eastAsia="en-AU"/>
        </w:rPr>
      </w:pPr>
      <w:r w:rsidRPr="00286A88">
        <w:rPr>
          <w:lang w:val="en-AU" w:eastAsia="en-AU"/>
        </w:rPr>
        <w:t>The social organisation of the partridge varies with season (Buner et al., 2005). Adult breeding pairs occupy home ranges in spring and summer, after which the young generally remain with them forming a family group (covey) until late winter or early spring the following year (Buner et al., 2005).</w:t>
      </w:r>
    </w:p>
    <w:p w14:paraId="6FB5EF1F" w14:textId="77777777" w:rsidR="00286A88" w:rsidRPr="00286A88" w:rsidRDefault="00286A88" w:rsidP="00D75077">
      <w:pPr>
        <w:pStyle w:val="Heading3"/>
        <w:rPr>
          <w:lang w:val="en-AU" w:eastAsia="en-AU"/>
        </w:rPr>
      </w:pPr>
      <w:bookmarkStart w:id="293" w:name="_Toc495310760"/>
      <w:r w:rsidRPr="00286A88">
        <w:rPr>
          <w:lang w:val="en-AU" w:eastAsia="en-AU"/>
        </w:rPr>
        <w:t>PTR1.2 Farming and rearing</w:t>
      </w:r>
      <w:bookmarkEnd w:id="293"/>
    </w:p>
    <w:p w14:paraId="31A363EF" w14:textId="77777777" w:rsidR="00286A88" w:rsidRPr="00286A88" w:rsidRDefault="00286A88" w:rsidP="00D75077">
      <w:pPr>
        <w:rPr>
          <w:lang w:val="en-AU" w:eastAsia="en-AU"/>
        </w:rPr>
      </w:pPr>
      <w:r w:rsidRPr="00286A88">
        <w:rPr>
          <w:lang w:val="en-AU" w:eastAsia="en-AU"/>
        </w:rPr>
        <w:t>As is the case for pheasant farming, partridge farming can take different forms. Breeding groups may be housed in large outdoor pens, smaller indoor pens, or indoor or outdoor cages. Chicks may be reared naturally, with their parents, or artificially after incubation in an incubator without access to adult birds. Rearing may be in any of the above housing systems. Birds are reared for meat, either being released for hunting purposes, or being fattened and taken for slaughter directly from the farm. Housing in cages and/or without access to adult birds may have similar welfare implications as those highlighted for laying hens. Mating presents a particular area for concern, since breeding partridges mate monogamously for the duration of each breeding season. The pairing is mediated by female choice and the way these pairings are facilitated in captivity can have important effects. Also, as is the case for pheasants, conditions in captivity, e.g. diet and experiences during rearing, may have important effects on the birds’ ability to adapt and survive after release for hunting. Survival of partridges that escape shooting after release can be extremely low – mean survival times of 9.4 and 7.6 days (Alonso et al., 2010) or 18 days (Gaudioso et al., 2011) – and it would be beneficial to research rearing practices that could increase the chances of birds surviving with good welfare post-release.</w:t>
      </w:r>
    </w:p>
    <w:p w14:paraId="643DA269" w14:textId="77777777" w:rsidR="00286A88" w:rsidRPr="00286A88" w:rsidRDefault="00286A88" w:rsidP="00D75077">
      <w:pPr>
        <w:rPr>
          <w:lang w:val="en-AU" w:eastAsia="en-AU"/>
        </w:rPr>
      </w:pPr>
      <w:r w:rsidRPr="00286A88">
        <w:rPr>
          <w:lang w:val="en-AU" w:eastAsia="en-AU"/>
        </w:rPr>
        <w:t>There is relatively little research dealing with specific welfare issues for partridge. Although much smaller than laying hens or pheasants, all are gallinaceous birds, with similar behavioural repertoires. All are ground living, pecking and scratching at the ground while foraging. All tend to walk rather than fly, though pheasants and partridges cover greater distances in flight than chickens. All species will perch and roost at night on low branches. Partridges have not been subject to the same level of domestication as chickens, and tend to be flightier. Despite this, their close phylogenetic relationship and similar ecological niche means that is likely that two species will have similar behavioural needs, and concomitantly similar welfare concerns.</w:t>
      </w:r>
    </w:p>
    <w:p w14:paraId="2B8C8723" w14:textId="77777777" w:rsidR="00286A88" w:rsidRPr="00286A88" w:rsidRDefault="00286A88" w:rsidP="00D75077">
      <w:pPr>
        <w:pStyle w:val="Heading2"/>
        <w:rPr>
          <w:lang w:val="en-AU" w:eastAsia="en-AU"/>
        </w:rPr>
      </w:pPr>
      <w:bookmarkStart w:id="294" w:name="_Toc495310761"/>
      <w:r w:rsidRPr="00286A88">
        <w:rPr>
          <w:lang w:val="en-AU" w:eastAsia="en-AU"/>
        </w:rPr>
        <w:t>PTR2. Feed and Water</w:t>
      </w:r>
      <w:bookmarkEnd w:id="294"/>
    </w:p>
    <w:p w14:paraId="49292042" w14:textId="77777777" w:rsidR="00286A88" w:rsidRPr="00D75077" w:rsidRDefault="00286A88" w:rsidP="00D75077">
      <w:pPr>
        <w:rPr>
          <w:i/>
          <w:lang w:val="en-AU" w:eastAsia="en-AU"/>
        </w:rPr>
      </w:pPr>
      <w:r w:rsidRPr="00D75077">
        <w:rPr>
          <w:i/>
          <w:lang w:val="en-AU" w:eastAsia="en-AU"/>
        </w:rPr>
        <w:t>Several aspects of diet have been associated with welfare consequences for partridges. Commercial diets are relatively low in fibre and n-3 polyunsaturated fatty acids, and lack invertebrates, when compared with natural diets. Low fibre diets have important physiological effects, while low n-3 diets are associated with impaired learning. Diets high in invertebrates lead to heavier, better feathered chicks. All of these deficiencies could impair health and welfare both in captivity and after release for hunting. The method of feeding is also important. Feeding unpredictable diets both pre- and post-natally may affect stress responses, and can improve ability to cope with a wild environment, and thus improve welfare after release for hunting.</w:t>
      </w:r>
    </w:p>
    <w:p w14:paraId="49C755F3" w14:textId="77777777" w:rsidR="00286A88" w:rsidRPr="00286A88" w:rsidRDefault="00286A88" w:rsidP="00D75077">
      <w:pPr>
        <w:pStyle w:val="Heading3"/>
        <w:rPr>
          <w:lang w:val="en-AU" w:eastAsia="en-AU"/>
        </w:rPr>
      </w:pPr>
      <w:bookmarkStart w:id="295" w:name="_Toc495310762"/>
      <w:r w:rsidRPr="00286A88">
        <w:rPr>
          <w:lang w:val="en-AU" w:eastAsia="en-AU"/>
        </w:rPr>
        <w:t>PTR2.1 Diet composition</w:t>
      </w:r>
      <w:bookmarkEnd w:id="295"/>
    </w:p>
    <w:p w14:paraId="7F391A2C" w14:textId="77777777" w:rsidR="00286A88" w:rsidRPr="00286A88" w:rsidRDefault="00286A88" w:rsidP="00D75077">
      <w:pPr>
        <w:rPr>
          <w:lang w:val="en-AU" w:eastAsia="en-AU"/>
        </w:rPr>
      </w:pPr>
      <w:r w:rsidRPr="00286A88">
        <w:rPr>
          <w:lang w:val="en-AU" w:eastAsia="en-AU"/>
        </w:rPr>
        <w:t>A survey carried out by Wiberg and Gunnarson (2007) of Swedish game birds found that the majority of farmed grey partridge were fed commercial feeds, including feeds formulated for pheasants and turkeys. Thus feeds may not be formulated specifically to meet the needs of the partridge. Furthermore, although well balanced for other nutrients such feeds often have a low fibre content. Millan et al. (2003) compared red-legged partridges during rearing fed a commercial diet, diluted with whole wheat (2-3.9% fibre, and less than 3.3% fat) with a treatment diet containing 8% fibre and 8.2% fat. Control birds at six months of age had a higher spleen weight, lower gizzard weight, and shorter small intestine. They also had higher plasma concentrations of protein, glucose (males), cholesterol, and triglycerides. Thus concentrated commercial diets could have important physiological effects, with potential impacts on health in captivity, and ability to utilise natural diets efficiently after release for hunting, which may reduce both welfare and survival. However, when Kjaer and Hansen (2007) fed 80 pairs of grey-legged partridge one of each of four treatments (20 pairs each): control or control with either maize silage, fresh rucola salad or wheat sprouts, they found few behavioural differences between treatment groups, and little aggression or feather pecking (expected in stressful conditions). They also found that birds fed wheat sprouts tended to have a greater corticosterone response to a stressful event (crating) compared with all other groups, and that they produced significantly fewer eggs. Thus they found no evidence for a reduction in welfare associated with feeding concentrate only diets.</w:t>
      </w:r>
    </w:p>
    <w:p w14:paraId="4CAE1474" w14:textId="77777777" w:rsidR="00286A88" w:rsidRPr="00286A88" w:rsidRDefault="00286A88" w:rsidP="00D75077">
      <w:pPr>
        <w:rPr>
          <w:lang w:val="en-AU" w:eastAsia="en-AU"/>
        </w:rPr>
      </w:pPr>
      <w:r w:rsidRPr="00286A88">
        <w:rPr>
          <w:lang w:val="en-AU" w:eastAsia="en-AU"/>
        </w:rPr>
        <w:t>Another difference between captive and natural diets for partridge is the invertebrate content. Liukkonen at al. (2002</w:t>
      </w:r>
      <w:r w:rsidR="00F302D1">
        <w:rPr>
          <w:lang w:val="en-AU" w:eastAsia="en-AU"/>
        </w:rPr>
        <w:t>,</w:t>
      </w:r>
      <w:r w:rsidR="007103C8">
        <w:rPr>
          <w:lang w:val="en-AU" w:eastAsia="en-AU"/>
        </w:rPr>
        <w:t xml:space="preserve"> full </w:t>
      </w:r>
      <w:r w:rsidRPr="00286A88">
        <w:rPr>
          <w:lang w:val="en-AU" w:eastAsia="en-AU"/>
        </w:rPr>
        <w:t xml:space="preserve">text not available) examined the effect of three diets on grey-legged partridges: </w:t>
      </w:r>
      <w:r w:rsidRPr="00286A88">
        <w:rPr>
          <w:i/>
          <w:lang w:val="en-AU" w:eastAsia="en-AU"/>
        </w:rPr>
        <w:t>ad libitum</w:t>
      </w:r>
      <w:r w:rsidRPr="00286A88">
        <w:rPr>
          <w:lang w:val="en-AU" w:eastAsia="en-AU"/>
        </w:rPr>
        <w:t xml:space="preserve"> plant based diet plus either high invertebrate, low invertebrate or fish. Chicks fed the diet high in invertebrates were heavier and their primary feathers developed earlier, with the result that those chicks did not cool as fast as chicks in the other treatment groups. Again this has welfare implications, as it could affect survivability both before and after release for hunting, or response to ambient temperature in partridges reared on-farm for meat.</w:t>
      </w:r>
    </w:p>
    <w:p w14:paraId="4D537364" w14:textId="77777777" w:rsidR="00286A88" w:rsidRPr="00286A88" w:rsidRDefault="00286A88" w:rsidP="00D75077">
      <w:pPr>
        <w:rPr>
          <w:lang w:val="en-AU" w:eastAsia="en-AU"/>
        </w:rPr>
      </w:pPr>
      <w:r w:rsidRPr="00286A88">
        <w:rPr>
          <w:lang w:val="en-AU" w:eastAsia="en-AU"/>
        </w:rPr>
        <w:t>Fronte et al. (2008) examined the effect of differing concentrations of n-3 polyunsaturated fatty acids (PUFAs) in maternal diets on learning ability in one day old red-legged partridge chicks. Parents were fed three different diets from 30 days before the start of the laying period: 30 g/kg palm oil; 15 g/kg mixed oil (60% linseed oil, 40% fish oil); or 30 g/kg oil mixture, in order of increasing n-3 concentration. Chicks of hens fed the 15 g/kg mixed oil diet showed better memory retention than those of hens fed the palm oil diet, which could affect behaviour in captivity and survival of those released to the wild, thus reducing welfare.</w:t>
      </w:r>
    </w:p>
    <w:p w14:paraId="157EA796" w14:textId="77777777" w:rsidR="00286A88" w:rsidRPr="00286A88" w:rsidRDefault="00286A88" w:rsidP="00D75077">
      <w:pPr>
        <w:pStyle w:val="Heading3"/>
        <w:rPr>
          <w:lang w:val="en-AU" w:eastAsia="en-AU"/>
        </w:rPr>
      </w:pPr>
      <w:bookmarkStart w:id="296" w:name="_Toc495310763"/>
      <w:r w:rsidRPr="00286A88">
        <w:rPr>
          <w:lang w:val="en-AU" w:eastAsia="en-AU"/>
        </w:rPr>
        <w:t>PTR2.2 Food presentation</w:t>
      </w:r>
      <w:bookmarkEnd w:id="296"/>
    </w:p>
    <w:p w14:paraId="36EFDA51" w14:textId="77777777" w:rsidR="00286A88" w:rsidRPr="00286A88" w:rsidRDefault="00286A88" w:rsidP="00D75077">
      <w:pPr>
        <w:rPr>
          <w:lang w:val="en-AU" w:eastAsia="en-AU"/>
        </w:rPr>
      </w:pPr>
      <w:r w:rsidRPr="00286A88">
        <w:rPr>
          <w:lang w:val="en-AU" w:eastAsia="en-AU"/>
        </w:rPr>
        <w:t xml:space="preserve">As well as diet composition the way in which feed is provided may affect partridge welfare. In the wild partridges would experience an unpredictable food supply, thus providing a predictable commercial feed could cause stress in the birds in captivity, as well as leaving birds unprepared for foraging in the wild after release. Homberger et al. (2013) compared pre- and post-natal provision of unpredictable feed with predictable feed in two strains of grey-legged partridges. Twenty-five breeding pairs of each strain were placed in outdoor aviaries and randomly assigned to a predictable (feed available </w:t>
      </w:r>
      <w:r w:rsidRPr="00286A88">
        <w:rPr>
          <w:i/>
          <w:lang w:val="en-AU" w:eastAsia="en-AU"/>
        </w:rPr>
        <w:t xml:space="preserve">ad libitum </w:t>
      </w:r>
      <w:r w:rsidRPr="00286A88">
        <w:rPr>
          <w:lang w:val="en-AU" w:eastAsia="en-AU"/>
        </w:rPr>
        <w:t xml:space="preserve">24 h per day) or unpredictable (feed removed at a random time for 4 h per day) feed supply. The unpredictable feed supply regime was implemented from one week before egg laying began. Chicks were housed in indoor aviaries and provided with feed </w:t>
      </w:r>
      <w:r w:rsidRPr="00286A88">
        <w:rPr>
          <w:i/>
          <w:lang w:val="en-AU" w:eastAsia="en-AU"/>
        </w:rPr>
        <w:t xml:space="preserve">ad libitum </w:t>
      </w:r>
      <w:r w:rsidRPr="00286A88">
        <w:rPr>
          <w:lang w:val="en-AU" w:eastAsia="en-AU"/>
        </w:rPr>
        <w:t>for one week post-hatch. Each aviary included an equal number of birds from each strain pre-natal feed treatment combination. Aviaries were randomly assigned to unpredictable feed supplies, which were implemented by withdrawing feed and water for 3 h at random times once a day from seven to 29 days of age. Immune response was increased in chicks with an unpredictable post-natal feed supply, and birds of the wild strain exhibited a higher glucocorticoid stress response when supplied with predictable pre- and post-natal diets. Oxidative stress response was also higher in wild strain chicks from predictable pre-and post-natal treatments compared with the domesticated strain in predictable feed treatments. Thus provision of an unpredictable feed supply, both pre- and post-natally appears to have welfare benefits. However, in a similar experiment Homberger et al. (2015) found a higher corticosterone response to a stressor in chicks subject to an unpredictable pre-natal food supply, hypothesising that this may be an adaptive maternal response to support homeostasis in chicks in a changing environment. Thus, the effect of feeding predictable versus unpredictable diets on biochemical markers of stress appears variable. However, Homberger et al. (2014) in another similarly designed experiment examined post-release survival of grey-legged partridge and found that survival rate was higher in birds which had experienced an unpredictable diet postnatally. Such birds may be better prepared to deal with the wild environment and thus experienced improved welfare post-release.</w:t>
      </w:r>
    </w:p>
    <w:p w14:paraId="2A973170" w14:textId="77777777" w:rsidR="00286A88" w:rsidRPr="00286A88" w:rsidRDefault="00286A88" w:rsidP="00D75077">
      <w:pPr>
        <w:pStyle w:val="Heading3"/>
        <w:rPr>
          <w:lang w:val="en-AU" w:eastAsia="en-AU"/>
        </w:rPr>
      </w:pPr>
      <w:bookmarkStart w:id="297" w:name="_Toc495310764"/>
      <w:r w:rsidRPr="00286A88">
        <w:rPr>
          <w:lang w:val="en-AU" w:eastAsia="en-AU"/>
        </w:rPr>
        <w:t>PTR2.3 Relationship with injurious pecking</w:t>
      </w:r>
      <w:bookmarkEnd w:id="297"/>
    </w:p>
    <w:p w14:paraId="055071A1" w14:textId="77777777" w:rsidR="00286A88" w:rsidRPr="00D75077" w:rsidRDefault="00286A88" w:rsidP="00D75077">
      <w:pPr>
        <w:rPr>
          <w:i/>
          <w:color w:val="000000"/>
          <w:lang w:val="en-AU" w:eastAsia="en-AU"/>
        </w:rPr>
      </w:pPr>
      <w:r w:rsidRPr="00D75077">
        <w:rPr>
          <w:i/>
          <w:lang w:val="en-AU" w:eastAsia="en-AU"/>
        </w:rPr>
        <w:t>Deficiencies in crude protein concentration in the diet are associated with an increased risk of feather pecking and cannibalism in partridges, as they are for laying hens, which in turn is associated with reduced welfare. Maintenance of appropriate protein levels is associated with reduced feather pecking and cannibalism.</w:t>
      </w:r>
    </w:p>
    <w:p w14:paraId="7A23DC17" w14:textId="77777777" w:rsidR="00286A88" w:rsidRPr="00286A88" w:rsidRDefault="00286A88" w:rsidP="00D75077">
      <w:pPr>
        <w:rPr>
          <w:lang w:val="en-AU" w:eastAsia="en-AU"/>
        </w:rPr>
      </w:pPr>
      <w:r w:rsidRPr="00286A88">
        <w:rPr>
          <w:lang w:val="en-AU" w:eastAsia="en-AU"/>
        </w:rPr>
        <w:t>As for laying hens and pheasants, partridges exhibit feather pecking behaviours. Blake et al. (2013) investigated the effect of crude protein content of the diet on feather pecking in the Hungarian partridge. Sixteen pens with 35 chicks each were randomly assigned to one of two crude protein (high and low) and one of two lighting treatments (10 lux or 20 lux) from 0-13 weeks of age. High crude protein levels were 30%, 26% and 22% from 0-4, 4-8 and 8-13 weeks of age, respectively, while low crude protein levels were 26%, 22% and 18% for the same ages. Plumage condition was significantly worse in the low crude protein condition, suggesting birds in this treatment performed more feather pecking. Thus protein levels must be carefully monitored in order to manage the risk of feather pecking.</w:t>
      </w:r>
    </w:p>
    <w:p w14:paraId="4CBF5DCF" w14:textId="77777777" w:rsidR="00286A88" w:rsidRPr="00286A88" w:rsidRDefault="00286A88" w:rsidP="00D75077">
      <w:pPr>
        <w:pStyle w:val="Heading2"/>
        <w:rPr>
          <w:lang w:val="en-AU" w:eastAsia="en-AU"/>
        </w:rPr>
      </w:pPr>
      <w:bookmarkStart w:id="298" w:name="_Toc495310765"/>
      <w:r w:rsidRPr="00286A88">
        <w:rPr>
          <w:lang w:val="en-AU" w:eastAsia="en-AU"/>
        </w:rPr>
        <w:t xml:space="preserve">PTR3. Facilities and </w:t>
      </w:r>
      <w:r w:rsidR="00BA6724">
        <w:rPr>
          <w:lang w:val="en-AU" w:eastAsia="en-AU"/>
        </w:rPr>
        <w:t>E</w:t>
      </w:r>
      <w:r w:rsidRPr="00286A88">
        <w:rPr>
          <w:lang w:val="en-AU" w:eastAsia="en-AU"/>
        </w:rPr>
        <w:t>quipment: Behavioural Usage</w:t>
      </w:r>
      <w:bookmarkEnd w:id="298"/>
    </w:p>
    <w:p w14:paraId="647EA6FD" w14:textId="77777777" w:rsidR="00286A88" w:rsidRPr="00286A88" w:rsidRDefault="00286A88" w:rsidP="00D75077">
      <w:pPr>
        <w:pStyle w:val="Heading3"/>
        <w:rPr>
          <w:lang w:val="en-AU" w:eastAsia="en-AU"/>
        </w:rPr>
      </w:pPr>
      <w:bookmarkStart w:id="299" w:name="_Toc495310766"/>
      <w:r w:rsidRPr="00286A88">
        <w:rPr>
          <w:lang w:val="en-AU" w:eastAsia="en-AU"/>
        </w:rPr>
        <w:t>PTR3.1 Cages</w:t>
      </w:r>
      <w:bookmarkEnd w:id="299"/>
    </w:p>
    <w:p w14:paraId="69D91B1D" w14:textId="77777777" w:rsidR="00286A88" w:rsidRPr="00D75077" w:rsidRDefault="00286A88" w:rsidP="00D75077">
      <w:pPr>
        <w:rPr>
          <w:i/>
          <w:lang w:val="en-AU" w:eastAsia="en-AU"/>
        </w:rPr>
      </w:pPr>
      <w:r w:rsidRPr="00D75077">
        <w:rPr>
          <w:i/>
          <w:lang w:val="en-AU" w:eastAsia="en-AU"/>
        </w:rPr>
        <w:t>Housing partridges in barren cages for the duration of the breeding season has become more common. Such environments may be associated with risk of physical injury (e.g. to feet and wings as a result of standing on wire floors and wing flapping in a confined space) as well as frustration due to the inhibition of natural behaviours such as ground pecking, beak digging and dust-bathing. Thus welfare may be significantly reduced in these housing systems.</w:t>
      </w:r>
    </w:p>
    <w:p w14:paraId="48F21442" w14:textId="77777777" w:rsidR="00286A88" w:rsidRPr="00286A88" w:rsidRDefault="00286A88" w:rsidP="00D75077">
      <w:pPr>
        <w:rPr>
          <w:lang w:val="en-AU" w:eastAsia="en-AU"/>
        </w:rPr>
      </w:pPr>
      <w:r w:rsidRPr="00286A88">
        <w:rPr>
          <w:lang w:val="en-AU" w:eastAsia="en-AU"/>
        </w:rPr>
        <w:t>A number of different housing systems are available for housing partridges. They may be housed in open grass pens, in aviaries or in cages at any stage in their life cycle. Each of these present their own challenges in terms of bird welfare, although there is little research examining these challenges in detail. Matheson et al. (2015) reviewed the potential implications for partridges housed in cages, noting that since these birds are only semi-domesticated they retain wild behaviours including flying characteristics, which may make them particularly unsuited to housing in barren cages, which may inhibit wing flapping behaviours. Other welfare implications discussed by Matheson et al. (2015) include those of housing the birds on a wire floor. As with laying hens this present</w:t>
      </w:r>
      <w:r w:rsidR="00FC755F">
        <w:rPr>
          <w:lang w:val="en-AU" w:eastAsia="en-AU"/>
        </w:rPr>
        <w:t>s</w:t>
      </w:r>
      <w:r w:rsidRPr="00286A88">
        <w:rPr>
          <w:lang w:val="en-AU" w:eastAsia="en-AU"/>
        </w:rPr>
        <w:t xml:space="preserve"> a risk to foot health, and also does not provide a suitable foraging or dust-bathing substrate for the ground pecking and beak digging behaviours associated with gamebirds</w:t>
      </w:r>
      <w:r w:rsidR="00FC755F">
        <w:rPr>
          <w:lang w:val="en-AU" w:eastAsia="en-AU"/>
        </w:rPr>
        <w:t xml:space="preserve"> this</w:t>
      </w:r>
      <w:r w:rsidRPr="00286A88">
        <w:rPr>
          <w:lang w:val="en-AU" w:eastAsia="en-AU"/>
        </w:rPr>
        <w:t xml:space="preserve"> may result in frustration, as well as overgrowth of the beak, which would normally be worn down by these behaviours. Partridges are often housed in pairs in cages over two breeding seasons, whereas in the wild pairs would disassociate, returning to flocks at the end of the breeding season. Therefore, housing in this way may cause stress (Matheson et al., 2015).</w:t>
      </w:r>
    </w:p>
    <w:p w14:paraId="09FFF0F6" w14:textId="77777777" w:rsidR="00286A88" w:rsidRPr="00286A88" w:rsidRDefault="00286A88" w:rsidP="00D75077">
      <w:pPr>
        <w:pStyle w:val="Heading2"/>
        <w:rPr>
          <w:lang w:val="en-AU" w:eastAsia="en-AU"/>
        </w:rPr>
      </w:pPr>
      <w:bookmarkStart w:id="300" w:name="_Toc495310767"/>
      <w:r w:rsidRPr="00286A88">
        <w:rPr>
          <w:lang w:val="en-AU" w:eastAsia="en-AU"/>
        </w:rPr>
        <w:t>PTR4. Fear and Distress</w:t>
      </w:r>
      <w:bookmarkEnd w:id="300"/>
    </w:p>
    <w:p w14:paraId="3ACBBDB2" w14:textId="77777777" w:rsidR="00286A88" w:rsidRPr="00D75077" w:rsidRDefault="00286A88" w:rsidP="00D75077">
      <w:pPr>
        <w:rPr>
          <w:i/>
          <w:lang w:val="en-AU" w:eastAsia="en-AU"/>
        </w:rPr>
      </w:pPr>
      <w:r w:rsidRPr="00D75077">
        <w:rPr>
          <w:i/>
          <w:lang w:val="en-AU" w:eastAsia="en-AU"/>
        </w:rPr>
        <w:t>Hybrid birds show less evidence of fear and stress in captivity, thus those birds may be better suited to farming, with higher welfare than pure breed birds in captive conditions.</w:t>
      </w:r>
    </w:p>
    <w:p w14:paraId="35393593" w14:textId="77777777" w:rsidR="00286A88" w:rsidRPr="00286A88" w:rsidRDefault="00286A88" w:rsidP="00D75077">
      <w:pPr>
        <w:rPr>
          <w:lang w:val="en-AU" w:eastAsia="en-AU"/>
        </w:rPr>
      </w:pPr>
      <w:r w:rsidRPr="00286A88">
        <w:rPr>
          <w:lang w:val="en-AU" w:eastAsia="en-AU"/>
        </w:rPr>
        <w:t>Hybrid species of partridge may be preferred by game farmers as they are heavier and have a longer laying period. Campo et al. (2015) compared levels of fear and stress in 66 hybrid versus 66 pure breed red-legged partridges at 52 weeks of age. Birds were housed in single-sex groups of three in outdoor cages. Pure breed birds exhibited longer durations of tonic immobility and higher heterophil to lymphocyte ratios, and higher fluctuating asymmetry in toe length. This indicates that pure breed birds are more stressed and thus have reduced welfare in captivity, when compared to hybrid birds.</w:t>
      </w:r>
    </w:p>
    <w:p w14:paraId="6EC90F0F" w14:textId="77777777" w:rsidR="00286A88" w:rsidRPr="00286A88" w:rsidRDefault="00286A88" w:rsidP="00D75077">
      <w:pPr>
        <w:pStyle w:val="Heading2"/>
        <w:rPr>
          <w:lang w:val="en-AU" w:eastAsia="en-AU"/>
        </w:rPr>
      </w:pPr>
      <w:bookmarkStart w:id="301" w:name="_Toc495310768"/>
      <w:r w:rsidRPr="00286A88">
        <w:rPr>
          <w:lang w:val="en-AU" w:eastAsia="en-AU"/>
        </w:rPr>
        <w:t>PTR5. Sensory Environment</w:t>
      </w:r>
      <w:bookmarkEnd w:id="301"/>
    </w:p>
    <w:p w14:paraId="3253974E" w14:textId="77777777" w:rsidR="00286A88" w:rsidRPr="00286A88" w:rsidRDefault="00286A88" w:rsidP="00D75077">
      <w:pPr>
        <w:pStyle w:val="Heading3"/>
        <w:rPr>
          <w:lang w:val="en-AU" w:eastAsia="en-AU"/>
        </w:rPr>
      </w:pPr>
      <w:bookmarkStart w:id="302" w:name="_Toc495310769"/>
      <w:r w:rsidRPr="00286A88">
        <w:rPr>
          <w:lang w:val="en-AU" w:eastAsia="en-AU"/>
        </w:rPr>
        <w:t>PTR5.1 Lighting</w:t>
      </w:r>
      <w:bookmarkEnd w:id="302"/>
    </w:p>
    <w:p w14:paraId="4BE051B1" w14:textId="77777777" w:rsidR="00286A88" w:rsidRPr="00D75077" w:rsidRDefault="00286A88" w:rsidP="00D75077">
      <w:pPr>
        <w:rPr>
          <w:i/>
          <w:lang w:val="en-AU" w:eastAsia="en-AU"/>
        </w:rPr>
      </w:pPr>
      <w:r w:rsidRPr="00D75077">
        <w:rPr>
          <w:i/>
          <w:lang w:val="en-AU" w:eastAsia="en-AU"/>
        </w:rPr>
        <w:t>Light intensity is associated with feather pecking in partridge. Higher light intensities are associated with worse plumage condition, and therefore more feather pecking and reduced welfare.</w:t>
      </w:r>
    </w:p>
    <w:p w14:paraId="77AAE2A4" w14:textId="77777777" w:rsidR="00286A88" w:rsidRPr="00286A88" w:rsidRDefault="00286A88" w:rsidP="00D75077">
      <w:pPr>
        <w:rPr>
          <w:lang w:val="en-AU" w:eastAsia="en-AU"/>
        </w:rPr>
      </w:pPr>
      <w:r w:rsidRPr="00286A88">
        <w:rPr>
          <w:lang w:val="en-AU" w:eastAsia="en-AU"/>
        </w:rPr>
        <w:t xml:space="preserve">There is a well-established, if not comprehensively understood, effect of lighting on feather pecking in laying hens. In the experiment described above </w:t>
      </w:r>
      <w:r w:rsidR="00FC755F">
        <w:rPr>
          <w:lang w:val="en-AU" w:eastAsia="en-AU"/>
        </w:rPr>
        <w:t xml:space="preserve">(see PTR2.3), </w:t>
      </w:r>
      <w:r w:rsidRPr="00286A88">
        <w:rPr>
          <w:lang w:val="en-AU" w:eastAsia="en-AU"/>
        </w:rPr>
        <w:t>Blake et al. (2013) examined the effect of light intensity (and crude protein) on feather pecking in the Hungarian partridge. Feather condition was significantly better in the 10 lux treatment compared with the 20 lux treatment. Light intensity is therefore an important consideration when managing feather pecking and therefore welfare on farm.</w:t>
      </w:r>
    </w:p>
    <w:p w14:paraId="71C5AAA1" w14:textId="77777777" w:rsidR="00286A88" w:rsidRPr="00286A88" w:rsidRDefault="00286A88" w:rsidP="00D75077">
      <w:pPr>
        <w:pStyle w:val="Heading2"/>
        <w:rPr>
          <w:lang w:val="en-AU" w:eastAsia="en-AU"/>
        </w:rPr>
      </w:pPr>
      <w:bookmarkStart w:id="303" w:name="_Toc495310770"/>
      <w:r w:rsidRPr="00286A88">
        <w:rPr>
          <w:lang w:val="en-AU" w:eastAsia="en-AU"/>
        </w:rPr>
        <w:t>PTR6. Management and Handling</w:t>
      </w:r>
      <w:bookmarkEnd w:id="303"/>
    </w:p>
    <w:p w14:paraId="472FE8D6" w14:textId="77777777" w:rsidR="00286A88" w:rsidRPr="00D75077" w:rsidRDefault="00286A88" w:rsidP="00D75077">
      <w:pPr>
        <w:rPr>
          <w:i/>
          <w:lang w:val="en-AU" w:eastAsia="en-AU"/>
        </w:rPr>
      </w:pPr>
      <w:r w:rsidRPr="00D75077">
        <w:rPr>
          <w:i/>
          <w:lang w:val="en-AU" w:eastAsia="en-AU"/>
        </w:rPr>
        <w:t>Variability exists in partridge management practices such as pairing (forced or free) and rearing with or without access to natural stimuli (e.g. adult birds and predators); thus management may be more or less natural. Forced pairings are associated with increased aggression and injury, and reduced normal behaviour, which implies a reduction in welfare. Rearing with access to natural stimuli including parent birds and experience of predators may promote the development of normal and appropriate behaviour both in captivity and after release for hunting, with a concomitant increase in likelihood of survival after release.</w:t>
      </w:r>
    </w:p>
    <w:p w14:paraId="14042772" w14:textId="77777777" w:rsidR="00286A88" w:rsidRPr="00286A88" w:rsidRDefault="00286A88" w:rsidP="00D75077">
      <w:pPr>
        <w:pStyle w:val="Heading3"/>
        <w:rPr>
          <w:lang w:val="en-AU" w:eastAsia="en-AU"/>
        </w:rPr>
      </w:pPr>
      <w:bookmarkStart w:id="304" w:name="_Toc495310771"/>
      <w:r w:rsidRPr="00286A88">
        <w:rPr>
          <w:lang w:val="en-AU" w:eastAsia="en-AU"/>
        </w:rPr>
        <w:t>PTR6.1 Pairing and breeding group management</w:t>
      </w:r>
      <w:bookmarkEnd w:id="304"/>
    </w:p>
    <w:p w14:paraId="7E6A01C0" w14:textId="77777777" w:rsidR="00286A88" w:rsidRPr="00286A88" w:rsidRDefault="00286A88" w:rsidP="00D75077">
      <w:pPr>
        <w:rPr>
          <w:lang w:val="en-AU" w:eastAsia="en-AU"/>
        </w:rPr>
      </w:pPr>
      <w:r w:rsidRPr="00286A88">
        <w:rPr>
          <w:lang w:val="en-AU" w:eastAsia="en-AU"/>
        </w:rPr>
        <w:t>There are several aspects of management which may have an impact on partridge welfare. Natural breeding systems allow natural mating, with pairs forming as a result of females choosing a partner. Artificial breeding systems use forced mating, during which males and females are simply paired, usually in cages. Natural rearing systems allow breeding pairs to incubate, hatch and rear their own chicks, while in artificial systems eggs are removed to incubators after laying, and hatched and reared without access to parent birds.</w:t>
      </w:r>
    </w:p>
    <w:p w14:paraId="43D20B93" w14:textId="77777777" w:rsidR="00286A88" w:rsidRPr="00286A88" w:rsidRDefault="00286A88" w:rsidP="00D75077">
      <w:pPr>
        <w:rPr>
          <w:lang w:val="en-AU" w:eastAsia="en-AU"/>
        </w:rPr>
      </w:pPr>
      <w:r w:rsidRPr="00286A88">
        <w:rPr>
          <w:lang w:val="en-AU" w:eastAsia="en-AU"/>
        </w:rPr>
        <w:t>Aggression is more common in forced pairings. Prieto et al. (2012) examined the behaviour of 10 month old red-legged partridge in two types of pairs: 24 the product of free pairing, and 24 the product of forced pairing. Birds in forced pairs performed more aggressive behaviours (males directing aggression towards females) both during the pairing and laying periods. Although there were no significant differences identified between the two groups in number of injuries 10 pairs were removed from the experiment due to welfare concerns: six from forced and four from free pairs. Six females died and five of those were from forced pairings, thus there is some suggestion that injuries may be more common in forced pairs. Thus forced pairing appears to present a high risk of reduced welfare. Furthermore, Alonso et al. (2008) compared the behaviour of 40 pairs of 10 month old red-legged partridges, 20 the product of forced pairing, and 20 the product of free pairs (one female chose between four males). Although free pairing couples spent less time together with a distance of &lt;50 cm between them, they also spent more time engaged in nesting behaviours, and performed more cohesive behaviours, pecking together and being alert together. Aggressive behaviours were very rare, but only observed in the forced pairs, with males directing aggression towards females. Increased cohesive and nesting behaviours were associated with increased reproductive success. The authors also suggest that the higher frequency of performing natural behaviours may be indicative of better welfare in free pairing couples.</w:t>
      </w:r>
    </w:p>
    <w:p w14:paraId="6C12E4BC" w14:textId="77777777" w:rsidR="00286A88" w:rsidRPr="00286A88" w:rsidRDefault="00286A88" w:rsidP="00D75077">
      <w:pPr>
        <w:pStyle w:val="Heading3"/>
        <w:rPr>
          <w:lang w:val="en-AU" w:eastAsia="en-AU"/>
        </w:rPr>
      </w:pPr>
      <w:bookmarkStart w:id="305" w:name="_Toc495310772"/>
      <w:r w:rsidRPr="00286A88">
        <w:rPr>
          <w:lang w:val="en-AU" w:eastAsia="en-AU"/>
        </w:rPr>
        <w:t>PTR6.2 Natural and artificial rearing</w:t>
      </w:r>
      <w:bookmarkEnd w:id="305"/>
    </w:p>
    <w:p w14:paraId="2BDDF470" w14:textId="77777777" w:rsidR="00286A88" w:rsidRPr="00286A88" w:rsidRDefault="00286A88" w:rsidP="00D75077">
      <w:pPr>
        <w:rPr>
          <w:lang w:val="en-AU" w:eastAsia="en-GB"/>
        </w:rPr>
      </w:pPr>
      <w:r w:rsidRPr="00286A88">
        <w:rPr>
          <w:lang w:val="en-AU" w:eastAsia="en-GB"/>
        </w:rPr>
        <w:t>Natural versus artificial rearing may also have important implications for behaviour. Rearing laying hens with a broody hen is known to affect behaviour; Shimmura et al. (2010) found rearing with a broody hen promoted behavioural development and reduced the performance of abnormal behaviours such as feather pecking. It is not unreasonable to think the same effects may be observed in partridges. There is also the potential for an important impact of rearing in captivity on behaviour and ability to adapt to conditions in the wild after release for hunting (Alonso et al., 2005; Perez et al., 2010). Santilli et al. (2012) compared the post-release survival of naturally versus artificially reared red-legged partridges in Italy. Breeding birds (25 males and 25 females) were housed in a 4,000 m</w:t>
      </w:r>
      <w:r w:rsidRPr="00286A88">
        <w:rPr>
          <w:vertAlign w:val="superscript"/>
          <w:lang w:val="en-AU" w:eastAsia="en-GB"/>
        </w:rPr>
        <w:t>2</w:t>
      </w:r>
      <w:r w:rsidRPr="00286A88">
        <w:rPr>
          <w:lang w:val="en-AU" w:eastAsia="en-GB"/>
        </w:rPr>
        <w:t xml:space="preserve"> pen with shrubs and grass as ground cover. Birds were allowed to mate and rear chicks naturally. Artificially reared chicks were sired by force-mated pairs housed in cages; eggs were hatched in an incubator. Young birds were released into the wild from both naturally and artificially reared groups; survival of naturally reared birds was 2.2x, 2.5x, and 2x that of artificially reared birds at one, three and six months after release, respectively (although the authors did not find this difference to be statistically significant). Sanchez-Garcia et al. (2016) compared the behaviour of tutored and untutored red-legged partridge chicks. Chicks were incubated and hatched artificially, and were reared in brooding pens where adult tutor birds were introduced, initially in cages, and then allowed to mix with the broods at 7-10 days of age. Reactions to a raptor model and a human were examined. The tutors had prior experience of these stimuli and gave appropriate aerial or ground-predator warning calls on over 75% of trials. Although chicks trained by tutors and non-trained chicks exhibited similar motor responses to both tests, stronger (all chicks responded more frequently) and more sustained (longer latency for ≥50% of chicks to return to normal behaviour) responses were observed in the trained chicks. Thus chicks reared with tutors may be better prepared to deal with predators when released for hunting, which may improve welfare post-release.</w:t>
      </w:r>
    </w:p>
    <w:p w14:paraId="7CF73524" w14:textId="77777777" w:rsidR="00286A88" w:rsidRPr="00286A88" w:rsidRDefault="00286A88" w:rsidP="00D75077">
      <w:pPr>
        <w:rPr>
          <w:lang w:val="en-AU" w:eastAsia="en-GB"/>
        </w:rPr>
      </w:pPr>
      <w:r w:rsidRPr="00286A88">
        <w:rPr>
          <w:lang w:val="en-AU" w:eastAsia="en-GB"/>
        </w:rPr>
        <w:t>Experience of predators during rear may also affect post-release survival. Zaccaroni et al. (2007) artificially incubated, hatched without visual contact with humans, and reared rock partridges in two groups of 250. All chicks were inspected daily by the same operator, but in the experimental group from the age of 3-5 days a different person entered the room shouting and waving. The control group did not receive these visits. From 35 days of age all birds were housed in groups of 30 in outside cages, where they could not experience potential predators, and the only human interaction continued to be daily inspection by the same person. Reactions to an approaching human or a simulated raptor or fox were examined. Birds from the experimental group performed escape reactions in response to an approaching human when the human was further away than the control group. However, there was no difference between the experimental and control groups in reactions to either the raptor or fox simulation. This may mean that reactions to these predators are so innate that early experience of predators has no impact. Alternatively, it may suggest that it is important for birds to experience specific predators to learn appropriate predator avoidance behaviour, which may impact survival and welfare after release.</w:t>
      </w:r>
    </w:p>
    <w:p w14:paraId="32BE98B8" w14:textId="77777777" w:rsidR="00286A88" w:rsidRPr="00286A88" w:rsidRDefault="00286A88" w:rsidP="00D75077">
      <w:pPr>
        <w:pStyle w:val="Heading3"/>
        <w:rPr>
          <w:lang w:val="en-AU" w:eastAsia="en-AU"/>
        </w:rPr>
      </w:pPr>
      <w:bookmarkStart w:id="306" w:name="_Toc495310773"/>
      <w:r w:rsidRPr="00286A88">
        <w:rPr>
          <w:lang w:val="en-AU" w:eastAsia="en-AU"/>
        </w:rPr>
        <w:t>PTR6.3 Stocking density and group size</w:t>
      </w:r>
      <w:bookmarkEnd w:id="306"/>
    </w:p>
    <w:p w14:paraId="54F5A163" w14:textId="77777777" w:rsidR="00286A88" w:rsidRPr="00D75077" w:rsidRDefault="00286A88" w:rsidP="00D75077">
      <w:pPr>
        <w:rPr>
          <w:i/>
          <w:lang w:val="en-AU" w:eastAsia="en-AU"/>
        </w:rPr>
      </w:pPr>
      <w:r w:rsidRPr="00D75077">
        <w:rPr>
          <w:i/>
          <w:lang w:val="en-AU" w:eastAsia="en-AU"/>
        </w:rPr>
        <w:t>High stocking densities in cages are associated with increased mortality and therefore reduced welfare.</w:t>
      </w:r>
    </w:p>
    <w:p w14:paraId="6E3D24EF" w14:textId="77777777" w:rsidR="00286A88" w:rsidRPr="00286A88" w:rsidRDefault="00286A88" w:rsidP="00D75077">
      <w:pPr>
        <w:rPr>
          <w:lang w:val="en-AU" w:eastAsia="en-AU"/>
        </w:rPr>
      </w:pPr>
      <w:r w:rsidRPr="00286A88">
        <w:rPr>
          <w:lang w:val="en-AU" w:eastAsia="en-AU"/>
        </w:rPr>
        <w:t>Stocking density can have an important impact on welfare, affecting the behaviours animals are able to perform, as well as their ability to move away from aggressive individuals. There is little information on the most appropriate stocking densities at which to house partridges. Gunlu et al. (2007) reared rock partridges in cages at four different stocking densities mediated by group size: 576.9 cm</w:t>
      </w:r>
      <w:r w:rsidRPr="00286A88">
        <w:rPr>
          <w:vertAlign w:val="superscript"/>
          <w:lang w:val="en-AU" w:eastAsia="en-AU"/>
        </w:rPr>
        <w:t>2</w:t>
      </w:r>
      <w:r w:rsidRPr="00286A88">
        <w:rPr>
          <w:lang w:val="en-AU" w:eastAsia="en-AU"/>
        </w:rPr>
        <w:t>/chick; 384.6 cm</w:t>
      </w:r>
      <w:r w:rsidRPr="00286A88">
        <w:rPr>
          <w:vertAlign w:val="superscript"/>
          <w:lang w:val="en-AU" w:eastAsia="en-AU"/>
        </w:rPr>
        <w:t>2</w:t>
      </w:r>
      <w:r w:rsidRPr="00286A88">
        <w:rPr>
          <w:lang w:val="en-AU" w:eastAsia="en-AU"/>
        </w:rPr>
        <w:t>/chick; 288.5 cm</w:t>
      </w:r>
      <w:r w:rsidRPr="00286A88">
        <w:rPr>
          <w:vertAlign w:val="superscript"/>
          <w:lang w:val="en-AU" w:eastAsia="en-AU"/>
        </w:rPr>
        <w:t>2</w:t>
      </w:r>
      <w:r w:rsidRPr="00286A88">
        <w:rPr>
          <w:lang w:val="en-AU" w:eastAsia="en-AU"/>
        </w:rPr>
        <w:t>/chick; and 230.8 cm</w:t>
      </w:r>
      <w:r w:rsidRPr="00286A88">
        <w:rPr>
          <w:vertAlign w:val="superscript"/>
          <w:lang w:val="en-AU" w:eastAsia="en-AU"/>
        </w:rPr>
        <w:t>2</w:t>
      </w:r>
      <w:r w:rsidRPr="00286A88">
        <w:rPr>
          <w:lang w:val="en-AU" w:eastAsia="en-AU"/>
        </w:rPr>
        <w:t>/chick (group sizes of 26, 39, 52, 65 chicks, respectively). Four cages of each stocking density were populated with newly hatched chicks to be reared for meat for a 12 week period. Mortality increased with stocking density; cumulative mortality at 12 weeks was 3.5%, 3.8%, 6.8% and 13.0% from lowest to highest stocking density. Thus mortality at the two lowest stocking densities was similar, but doubled at 288.5 cm</w:t>
      </w:r>
      <w:r w:rsidRPr="00286A88">
        <w:rPr>
          <w:vertAlign w:val="superscript"/>
          <w:lang w:val="en-AU" w:eastAsia="en-AU"/>
        </w:rPr>
        <w:t>2</w:t>
      </w:r>
      <w:r w:rsidRPr="00286A88">
        <w:rPr>
          <w:lang w:val="en-AU" w:eastAsia="en-AU"/>
        </w:rPr>
        <w:t>/chick, and doubled again at 230.8 cm</w:t>
      </w:r>
      <w:r w:rsidRPr="00286A88">
        <w:rPr>
          <w:vertAlign w:val="superscript"/>
          <w:lang w:val="en-AU" w:eastAsia="en-AU"/>
        </w:rPr>
        <w:t>2</w:t>
      </w:r>
      <w:r w:rsidRPr="00286A88">
        <w:rPr>
          <w:lang w:val="en-AU" w:eastAsia="en-AU"/>
        </w:rPr>
        <w:t>/chick, suggesting the two highest stocking densities may be particularly detrimental to welfare.</w:t>
      </w:r>
    </w:p>
    <w:p w14:paraId="3ABEDA16" w14:textId="77777777" w:rsidR="00286A88" w:rsidRPr="00286A88" w:rsidRDefault="00286A88" w:rsidP="00D75077">
      <w:pPr>
        <w:pStyle w:val="Heading3"/>
        <w:rPr>
          <w:lang w:val="en-AU" w:eastAsia="en-AU"/>
        </w:rPr>
      </w:pPr>
      <w:bookmarkStart w:id="307" w:name="_Toc495310774"/>
      <w:r w:rsidRPr="00286A88">
        <w:rPr>
          <w:lang w:val="en-AU" w:eastAsia="en-AU"/>
        </w:rPr>
        <w:t>PTR6.4 Procedures</w:t>
      </w:r>
      <w:bookmarkEnd w:id="307"/>
    </w:p>
    <w:p w14:paraId="46C1622C" w14:textId="77777777" w:rsidR="00286A88" w:rsidRPr="00D75077" w:rsidRDefault="00286A88" w:rsidP="00D75077">
      <w:pPr>
        <w:rPr>
          <w:i/>
          <w:lang w:val="en-AU" w:eastAsia="en-AU"/>
        </w:rPr>
      </w:pPr>
      <w:r w:rsidRPr="00D75077">
        <w:rPr>
          <w:i/>
          <w:lang w:val="en-AU" w:eastAsia="en-AU"/>
        </w:rPr>
        <w:t>As for pheasants, partridges may be fitted with beak bits to prevent feather pecking. It is likely that partridges experience the same negative welfare consequences of bitting as pheasants. Beak bits have also been associated with beak infection and necrosis which reduces welfare.</w:t>
      </w:r>
    </w:p>
    <w:p w14:paraId="03E00635" w14:textId="77777777" w:rsidR="00286A88" w:rsidRPr="00286A88" w:rsidRDefault="00286A88" w:rsidP="00D75077">
      <w:pPr>
        <w:rPr>
          <w:lang w:val="en-AU" w:eastAsia="en-AU"/>
        </w:rPr>
      </w:pPr>
      <w:r w:rsidRPr="00286A88">
        <w:rPr>
          <w:lang w:val="en-AU" w:eastAsia="en-AU"/>
        </w:rPr>
        <w:t>As with laying hens and pheasants, partridges perform feather pecking behaviours, and like those species various methods of preventing or reducing the effects of feather pecking are routinely used. As for pheasants, beak bits may be fitted to partridges to prevent them fully closing their beaks and thus reduce the damage they are able to cause through feather pecking. Various negative welfare consequences of fitting bits to pheasants are outlined in the pheasant section (PHS5.2a); less work has examined the effects of bitting in partridges, although it is not unreasonable to assume the consequences may be the same. Brower et al. (2010) present a case report concerning three adult male partridges with beak lesions, submitted for necropsy from a commercial farm where they had been reared in groups of 120-150 in wire mesh indoor pens. Lesions infected with cutaneous poxvirus had developed centred on the nares of the affected birds; beak necrosis and in some cases complete loss of the upper beak followed. The spread of the infection was facilitated by the presence of beak bits in the nares. This represents a specific negative welfare consequence of the use of beak bits.</w:t>
      </w:r>
    </w:p>
    <w:p w14:paraId="445AD906" w14:textId="77777777" w:rsidR="00286A88" w:rsidRPr="00286A88" w:rsidRDefault="00286A88" w:rsidP="00D75077">
      <w:pPr>
        <w:pStyle w:val="Heading2"/>
        <w:rPr>
          <w:lang w:val="en-AU" w:eastAsia="en-AU"/>
        </w:rPr>
      </w:pPr>
      <w:bookmarkStart w:id="308" w:name="_Toc495310775"/>
      <w:r w:rsidRPr="00286A88">
        <w:rPr>
          <w:lang w:val="en-AU" w:eastAsia="en-AU"/>
        </w:rPr>
        <w:t>PTR7. Welfare Considerations: Overview</w:t>
      </w:r>
      <w:bookmarkEnd w:id="308"/>
    </w:p>
    <w:p w14:paraId="6C4496BD" w14:textId="77777777" w:rsidR="00286A88" w:rsidRPr="00286A88" w:rsidRDefault="00286A88" w:rsidP="00D75077">
      <w:pPr>
        <w:rPr>
          <w:lang w:val="en-AU" w:eastAsia="en-AU"/>
        </w:rPr>
      </w:pPr>
      <w:r w:rsidRPr="00286A88">
        <w:rPr>
          <w:lang w:val="en-AU" w:eastAsia="en-AU"/>
        </w:rPr>
        <w:t>Diet composition is important for partridge welfare, as these birds are adapted to eat diets with a relatively high fibre, n-3 polyunsaturated fatty acid and invertebrate content. The provision of commercial low fibre feeds designed for other farmed bird species has adverse effects on partridge welfare in captivity and birds reared with such diets may also have compromised welfare and survival if released to the wild for hunting purposes.</w:t>
      </w:r>
    </w:p>
    <w:p w14:paraId="1E57CF84" w14:textId="77777777" w:rsidR="00286A88" w:rsidRPr="00286A88" w:rsidRDefault="00286A88" w:rsidP="00D75077">
      <w:pPr>
        <w:rPr>
          <w:lang w:val="en-AU" w:eastAsia="en-AU"/>
        </w:rPr>
      </w:pPr>
      <w:r w:rsidRPr="00286A88">
        <w:rPr>
          <w:lang w:val="en-AU" w:eastAsia="en-AU"/>
        </w:rPr>
        <w:t>Housing in cages, particularly barren, unenriched cages is likely to present challenges to welfare. The semi-domesticated partridge retains an instinct to fly, which cannot be fully expressed without injury in cage housing. Furthermore, as is the case with laying hens, behavioural needs such as ground pecking, beak digging and dust-bathing, may be prevented in caged birds, leading to frustration and reduced welfare. Stocking density is also important, with higher stocking densities associated with increased mortality.</w:t>
      </w:r>
    </w:p>
    <w:p w14:paraId="29C0C25D" w14:textId="77777777" w:rsidR="00286A88" w:rsidRPr="00286A88" w:rsidRDefault="00286A88" w:rsidP="00D75077">
      <w:pPr>
        <w:rPr>
          <w:lang w:val="en-AU" w:eastAsia="en-AU"/>
        </w:rPr>
      </w:pPr>
      <w:r w:rsidRPr="00286A88">
        <w:rPr>
          <w:lang w:val="en-AU" w:eastAsia="en-AU"/>
        </w:rPr>
        <w:t>Feather pecking is a welfare problem for partridges. Low levels of crude protein in the diet and high light intensities are risk factors which have been specifically identified in partridges. Beak bitting is used as one method of preventing or reducing feather pecking; however, as with pheasants fitting beak bits presents welfare challenges. Other means of reducing the risk of feather pecking should be investigated, and may be extrapolated from literature concerning laying hens.</w:t>
      </w:r>
    </w:p>
    <w:p w14:paraId="62ED213B" w14:textId="77777777" w:rsidR="00286A88" w:rsidRPr="00286A88" w:rsidRDefault="00286A88" w:rsidP="00D75077">
      <w:pPr>
        <w:rPr>
          <w:lang w:val="en-AU" w:eastAsia="en-AU"/>
        </w:rPr>
      </w:pPr>
      <w:r w:rsidRPr="00286A88">
        <w:rPr>
          <w:lang w:val="en-AU" w:eastAsia="en-AU"/>
        </w:rPr>
        <w:t>Mating is another area of concern for partridge farming. In the wild females choose a mate at the start of the breeding season, and that pair remains together for the duration of a breeding season. Whilst some farming systems allow mating to occur in this way, many used forced mating, where males and females are simply paired by the farmer. This system can lead to increased aggression in the male, directed towards the female, with an increased risk of injury particularly for the female. Forced mating is also associated with reduced reproductive success. The free mating system should be used where possible.</w:t>
      </w:r>
    </w:p>
    <w:p w14:paraId="3E20BE28" w14:textId="77777777" w:rsidR="00286A88" w:rsidRPr="00286A88" w:rsidRDefault="00286A88" w:rsidP="00D75077">
      <w:pPr>
        <w:rPr>
          <w:lang w:val="en-AU" w:eastAsia="en-AU"/>
        </w:rPr>
      </w:pPr>
      <w:r w:rsidRPr="00286A88">
        <w:rPr>
          <w:lang w:val="en-AU" w:eastAsia="en-AU"/>
        </w:rPr>
        <w:t>A number of factors including the method of feed provision (predictable or unpredictable), as well as the birds’ experiences during rearing (exposure to adult birds and predators) may affect birds’ ability to adapt and survive after release into the wild for hunting. Birds that cannot adapt to wild environments will experience reduced welfare, and thus management systems which mimic natural rearing should be favoured where possible.</w:t>
      </w:r>
    </w:p>
    <w:p w14:paraId="092BE9B0" w14:textId="77777777" w:rsidR="00286A88" w:rsidRDefault="00286A88" w:rsidP="00D75077">
      <w:pPr>
        <w:rPr>
          <w:lang w:val="en-AU" w:eastAsia="en-AU"/>
        </w:rPr>
      </w:pPr>
      <w:r w:rsidRPr="00286A88">
        <w:rPr>
          <w:lang w:val="en-AU" w:eastAsia="en-AU"/>
        </w:rPr>
        <w:t>Finally, the limited research available on partridges has been conducted on a variety of different species and the extent to which findings on one species can be applied to others is not known. This should be borne in mind when discussing the welfare of farmed partridges.</w:t>
      </w:r>
    </w:p>
    <w:p w14:paraId="74B0C0A7" w14:textId="77777777" w:rsidR="002F2711" w:rsidRDefault="002F2711" w:rsidP="00D75077">
      <w:pPr>
        <w:rPr>
          <w:lang w:val="en-AU" w:eastAsia="en-AU"/>
        </w:rPr>
      </w:pPr>
    </w:p>
    <w:p w14:paraId="3BDBBDF4" w14:textId="77777777" w:rsidR="002F2711" w:rsidRDefault="002F2711" w:rsidP="00FC03E1">
      <w:pPr>
        <w:pStyle w:val="Heading2"/>
        <w:rPr>
          <w:lang w:val="en-AU" w:eastAsia="en-AU"/>
        </w:rPr>
      </w:pPr>
      <w:r>
        <w:rPr>
          <w:lang w:val="en-AU" w:eastAsia="en-AU"/>
        </w:rPr>
        <w:br w:type="column"/>
      </w:r>
      <w:bookmarkStart w:id="309" w:name="_Toc495310776"/>
      <w:r w:rsidR="00363A83">
        <w:rPr>
          <w:lang w:val="en-AU" w:eastAsia="en-AU"/>
        </w:rPr>
        <w:t xml:space="preserve">PTR8. </w:t>
      </w:r>
      <w:r>
        <w:rPr>
          <w:lang w:val="en-AU" w:eastAsia="en-AU"/>
        </w:rPr>
        <w:t>References</w:t>
      </w:r>
      <w:bookmarkEnd w:id="309"/>
    </w:p>
    <w:p w14:paraId="78131A12" w14:textId="77777777" w:rsidR="002F2711" w:rsidRPr="002F2711" w:rsidRDefault="002F2711" w:rsidP="002F2711">
      <w:pPr>
        <w:rPr>
          <w:lang w:eastAsia="en-AU"/>
        </w:rPr>
      </w:pPr>
      <w:r w:rsidRPr="002F2711">
        <w:rPr>
          <w:lang w:eastAsia="en-AU"/>
        </w:rPr>
        <w:t>Alonso, M. E., J. A. Perez, V. R. Gaudioso, C. Diez, and R. Prieto. 2005. Study of survival, dispersal and home range of autumn-released red-legged partridges (</w:t>
      </w:r>
      <w:r w:rsidRPr="009B7BDD">
        <w:rPr>
          <w:i/>
          <w:lang w:eastAsia="en-AU"/>
        </w:rPr>
        <w:t>Alectoris rufa</w:t>
      </w:r>
      <w:r w:rsidRPr="002F2711">
        <w:rPr>
          <w:lang w:eastAsia="en-AU"/>
        </w:rPr>
        <w:t>). British Poultry Science 46:401-406. doi 10.1080/00071660500180968</w:t>
      </w:r>
    </w:p>
    <w:p w14:paraId="0FDC1BFA" w14:textId="77777777" w:rsidR="002F2711" w:rsidRPr="002F2711" w:rsidRDefault="002F2711" w:rsidP="002F2711">
      <w:pPr>
        <w:rPr>
          <w:lang w:eastAsia="en-AU"/>
        </w:rPr>
      </w:pPr>
      <w:r w:rsidRPr="002F2711">
        <w:rPr>
          <w:lang w:eastAsia="en-AU"/>
        </w:rPr>
        <w:t>Alonso, M. E., R. Prieto, V. R. Gaudioso, J. A. Perez, D. Bartolome, and C. Diez. 2008. Influence of the pairing system on the behaviour of farmed red-legged partridge couples (</w:t>
      </w:r>
      <w:r w:rsidRPr="009B7BDD">
        <w:rPr>
          <w:i/>
          <w:lang w:eastAsia="en-AU"/>
        </w:rPr>
        <w:t>Alectoris rufa</w:t>
      </w:r>
      <w:r w:rsidRPr="002F2711">
        <w:rPr>
          <w:lang w:eastAsia="en-AU"/>
        </w:rPr>
        <w:t>). Applied Animal Behaviour Science 115:55-66. doi 10.1016/j.applanim.2008.05.006</w:t>
      </w:r>
    </w:p>
    <w:p w14:paraId="0A2A0DFB" w14:textId="77777777" w:rsidR="002F2711" w:rsidRPr="002F2711" w:rsidRDefault="002F2711" w:rsidP="002F2711">
      <w:pPr>
        <w:rPr>
          <w:lang w:eastAsia="en-AU"/>
        </w:rPr>
      </w:pPr>
      <w:r w:rsidRPr="002F2711">
        <w:rPr>
          <w:lang w:eastAsia="en-AU"/>
        </w:rPr>
        <w:t>Blake, J. P., J. B. Hess, and W. D. Berry. 2013. Effect of 2 protein regimens and 2 lighting intensities on performance of the Hungarian partridge (</w:t>
      </w:r>
      <w:r w:rsidRPr="009B7BDD">
        <w:rPr>
          <w:i/>
          <w:lang w:eastAsia="en-AU"/>
        </w:rPr>
        <w:t>Perdix perdix</w:t>
      </w:r>
      <w:r w:rsidRPr="002F2711">
        <w:rPr>
          <w:lang w:eastAsia="en-AU"/>
        </w:rPr>
        <w:t>). Journal of Applied Poultry Research 22:365-369. doi 10.3382/japr.2013-00755</w:t>
      </w:r>
    </w:p>
    <w:p w14:paraId="0A670697" w14:textId="77777777" w:rsidR="002F2711" w:rsidRPr="002F2711" w:rsidRDefault="002F2711" w:rsidP="002F2711">
      <w:pPr>
        <w:rPr>
          <w:lang w:eastAsia="en-AU"/>
        </w:rPr>
      </w:pPr>
      <w:r w:rsidRPr="002F2711">
        <w:rPr>
          <w:lang w:eastAsia="en-AU"/>
        </w:rPr>
        <w:t>Brower, A. I., F. Cigel, C. Radi, and K. Toohey-Kurth. 2010. Beak necrosis in Hungarian partridges (</w:t>
      </w:r>
      <w:r w:rsidRPr="009B7BDD">
        <w:rPr>
          <w:i/>
          <w:lang w:eastAsia="en-AU"/>
        </w:rPr>
        <w:t>Perdix perdix</w:t>
      </w:r>
      <w:r w:rsidRPr="002F2711">
        <w:rPr>
          <w:lang w:eastAsia="en-AU"/>
        </w:rPr>
        <w:t>) associated with beak-bits and avian poxvirus infection. Avian Pathology 39:223-225. doi 10.1080/03079451003781841</w:t>
      </w:r>
    </w:p>
    <w:p w14:paraId="2D748F5F" w14:textId="77777777" w:rsidR="002F2711" w:rsidRPr="002F2711" w:rsidRDefault="002F2711" w:rsidP="002F2711">
      <w:pPr>
        <w:rPr>
          <w:lang w:eastAsia="en-AU"/>
        </w:rPr>
      </w:pPr>
      <w:r w:rsidRPr="002F2711">
        <w:rPr>
          <w:lang w:eastAsia="en-AU"/>
        </w:rPr>
        <w:t xml:space="preserve">Buner, F., M. Jenny, N. Zbinden, and B. Naef-Daenzer. 2005. Ecologically enhanced areas – a key habitat structure for re-introduced grey partridges </w:t>
      </w:r>
      <w:r w:rsidRPr="009B7BDD">
        <w:rPr>
          <w:i/>
          <w:lang w:eastAsia="en-AU"/>
        </w:rPr>
        <w:t>Perdix perdix</w:t>
      </w:r>
      <w:r w:rsidRPr="002F2711">
        <w:rPr>
          <w:lang w:eastAsia="en-AU"/>
        </w:rPr>
        <w:t>. Biological Conservation 124:373-381. doi 10.1016/j.biocon.2005.01.043</w:t>
      </w:r>
    </w:p>
    <w:p w14:paraId="6BACF20C" w14:textId="77777777" w:rsidR="002F2711" w:rsidRPr="002F2711" w:rsidRDefault="002F2711" w:rsidP="002F2711">
      <w:pPr>
        <w:rPr>
          <w:lang w:eastAsia="en-AU"/>
        </w:rPr>
      </w:pPr>
      <w:r w:rsidRPr="002F2711">
        <w:rPr>
          <w:lang w:eastAsia="en-AU"/>
        </w:rPr>
        <w:t>Campo, J. L., S. G. Davila, M. G. Gil, O. Torres, and J. S. Moreno. 2015. Fear and stress measurements in pure and hybrid red-legged partridges. Applied Animal Behaviour Science 166:123-130. doi 10.1016/j.applanim.2015.02.018</w:t>
      </w:r>
    </w:p>
    <w:p w14:paraId="64CE9B96" w14:textId="77777777" w:rsidR="002F2711" w:rsidRPr="002F2711" w:rsidRDefault="002F2711" w:rsidP="002F2711">
      <w:pPr>
        <w:rPr>
          <w:lang w:eastAsia="en-AU"/>
        </w:rPr>
      </w:pPr>
      <w:r w:rsidRPr="002F2711">
        <w:rPr>
          <w:lang w:eastAsia="en-AU"/>
        </w:rPr>
        <w:t>Ekarius, C. 2007. Storey's illu</w:t>
      </w:r>
      <w:r w:rsidR="00AD6B9F">
        <w:rPr>
          <w:lang w:eastAsia="en-AU"/>
        </w:rPr>
        <w:t>strated guide to poultry breeds</w:t>
      </w:r>
      <w:r w:rsidRPr="002F2711">
        <w:rPr>
          <w:lang w:eastAsia="en-AU"/>
        </w:rPr>
        <w:t>: chickens, ducks, geese, turkeys, emus, guinea fowl, ostriches, partridges, peafowl, pheasants, quails, swans. Storey P</w:t>
      </w:r>
      <w:r w:rsidR="006D0CFB">
        <w:rPr>
          <w:lang w:eastAsia="en-AU"/>
        </w:rPr>
        <w:t>ublishing, North Adams, Massachusetts.</w:t>
      </w:r>
    </w:p>
    <w:p w14:paraId="6533B29D" w14:textId="77777777" w:rsidR="002F2711" w:rsidRPr="002F2711" w:rsidRDefault="002F2711" w:rsidP="002F2711">
      <w:pPr>
        <w:rPr>
          <w:lang w:eastAsia="en-AU"/>
        </w:rPr>
      </w:pPr>
      <w:r w:rsidRPr="002F2711">
        <w:rPr>
          <w:lang w:eastAsia="en-AU"/>
        </w:rPr>
        <w:t>Fronte, B., G. Paci, G. Montanari, and M. Bagliacca. 2008. Learning ability of 1-d-old partridges (</w:t>
      </w:r>
      <w:r w:rsidRPr="009B7BDD">
        <w:rPr>
          <w:i/>
          <w:lang w:eastAsia="en-AU"/>
        </w:rPr>
        <w:t>Alectoris rufa</w:t>
      </w:r>
      <w:r w:rsidRPr="002F2711">
        <w:rPr>
          <w:lang w:eastAsia="en-AU"/>
        </w:rPr>
        <w:t>) from eggs laid by hens fed with different n-3 fatty acid concentrations. British Poultry Science 49:776-780. doi 10.1080/00071660802433115</w:t>
      </w:r>
    </w:p>
    <w:p w14:paraId="0B582B2C" w14:textId="77777777" w:rsidR="002F2711" w:rsidRPr="002F2711" w:rsidRDefault="002F2711" w:rsidP="002F2711">
      <w:pPr>
        <w:rPr>
          <w:lang w:val="en-AU" w:eastAsia="en-AU"/>
        </w:rPr>
      </w:pPr>
      <w:r w:rsidRPr="002F2711">
        <w:rPr>
          <w:lang w:val="en-AU" w:eastAsia="en-AU"/>
        </w:rPr>
        <w:t xml:space="preserve">Gaudioso, V. R., </w:t>
      </w:r>
      <w:r w:rsidR="00B21036">
        <w:rPr>
          <w:lang w:val="en-AU" w:eastAsia="en-AU"/>
        </w:rPr>
        <w:t xml:space="preserve">C. </w:t>
      </w:r>
      <w:r w:rsidRPr="002F2711">
        <w:rPr>
          <w:lang w:val="en-AU" w:eastAsia="en-AU"/>
        </w:rPr>
        <w:t xml:space="preserve">Sánchez-García, </w:t>
      </w:r>
      <w:r w:rsidR="00B21036">
        <w:rPr>
          <w:lang w:val="en-AU" w:eastAsia="en-AU"/>
        </w:rPr>
        <w:t xml:space="preserve">J. A. </w:t>
      </w:r>
      <w:r w:rsidRPr="002F2711">
        <w:rPr>
          <w:lang w:val="en-AU" w:eastAsia="en-AU"/>
        </w:rPr>
        <w:t xml:space="preserve">Pérez, </w:t>
      </w:r>
      <w:r w:rsidR="00B21036">
        <w:rPr>
          <w:lang w:val="en-AU" w:eastAsia="en-AU"/>
        </w:rPr>
        <w:t xml:space="preserve">P. L. </w:t>
      </w:r>
      <w:r w:rsidRPr="002F2711">
        <w:rPr>
          <w:lang w:val="en-AU" w:eastAsia="en-AU"/>
        </w:rPr>
        <w:t xml:space="preserve">Rodríguez, </w:t>
      </w:r>
      <w:r w:rsidR="00B21036">
        <w:rPr>
          <w:lang w:val="en-AU" w:eastAsia="en-AU"/>
        </w:rPr>
        <w:t>J. A.</w:t>
      </w:r>
      <w:r w:rsidRPr="002F2711">
        <w:rPr>
          <w:lang w:val="en-AU" w:eastAsia="en-AU"/>
        </w:rPr>
        <w:t xml:space="preserve"> Armenteros, and </w:t>
      </w:r>
      <w:r w:rsidR="00B21036">
        <w:rPr>
          <w:lang w:val="en-AU" w:eastAsia="en-AU"/>
        </w:rPr>
        <w:t>M. E.</w:t>
      </w:r>
      <w:r w:rsidRPr="002F2711">
        <w:rPr>
          <w:lang w:val="en-AU" w:eastAsia="en-AU"/>
        </w:rPr>
        <w:t xml:space="preserve"> Alonso. 2011. Does early antipredator training increase the suitability of captive red-legged partridges (</w:t>
      </w:r>
      <w:r w:rsidRPr="002F2711">
        <w:rPr>
          <w:i/>
          <w:lang w:val="en-AU" w:eastAsia="en-AU"/>
        </w:rPr>
        <w:t>Alectoris rufa</w:t>
      </w:r>
      <w:r w:rsidRPr="002F2711">
        <w:rPr>
          <w:lang w:val="en-AU" w:eastAsia="en-AU"/>
        </w:rPr>
        <w:t xml:space="preserve">) for releasing? </w:t>
      </w:r>
      <w:r w:rsidRPr="002F2711">
        <w:rPr>
          <w:iCs/>
          <w:lang w:val="en-AU" w:eastAsia="en-AU"/>
        </w:rPr>
        <w:t>Poultry Science</w:t>
      </w:r>
      <w:r w:rsidRPr="002F2711">
        <w:rPr>
          <w:lang w:val="en-AU" w:eastAsia="en-AU"/>
        </w:rPr>
        <w:t xml:space="preserve">, </w:t>
      </w:r>
      <w:r w:rsidRPr="002F2711">
        <w:rPr>
          <w:iCs/>
          <w:lang w:val="en-AU" w:eastAsia="en-AU"/>
        </w:rPr>
        <w:t>90</w:t>
      </w:r>
      <w:r w:rsidRPr="002F2711">
        <w:rPr>
          <w:lang w:val="en-AU" w:eastAsia="en-AU"/>
        </w:rPr>
        <w:t>: 1900-1908.</w:t>
      </w:r>
    </w:p>
    <w:p w14:paraId="507CED4F" w14:textId="77777777" w:rsidR="002F2711" w:rsidRPr="002F2711" w:rsidRDefault="002F2711" w:rsidP="002F2711">
      <w:pPr>
        <w:rPr>
          <w:lang w:eastAsia="en-AU"/>
        </w:rPr>
      </w:pPr>
      <w:r w:rsidRPr="002F2711">
        <w:rPr>
          <w:lang w:eastAsia="en-AU"/>
        </w:rPr>
        <w:t>Gunlu, A., K. Kirikci, O. Cetin, and M. Garip. 2007. The effect of stocking density on growth performance and average cost in partridge rearing (</w:t>
      </w:r>
      <w:r w:rsidRPr="009B7BDD">
        <w:rPr>
          <w:i/>
          <w:lang w:eastAsia="en-AU"/>
        </w:rPr>
        <w:t>Alectoris graeca</w:t>
      </w:r>
      <w:r w:rsidRPr="002F2711">
        <w:rPr>
          <w:lang w:eastAsia="en-AU"/>
        </w:rPr>
        <w:t>)</w:t>
      </w:r>
      <w:r w:rsidR="009B7BDD">
        <w:rPr>
          <w:lang w:eastAsia="en-AU"/>
        </w:rPr>
        <w:t>. Poultry Science 86:1800-1804.</w:t>
      </w:r>
    </w:p>
    <w:p w14:paraId="63A8BD9F" w14:textId="77777777" w:rsidR="002F2711" w:rsidRPr="002F2711" w:rsidRDefault="002F2711" w:rsidP="002F2711">
      <w:pPr>
        <w:rPr>
          <w:lang w:eastAsia="en-AU"/>
        </w:rPr>
      </w:pPr>
      <w:r w:rsidRPr="002F2711">
        <w:rPr>
          <w:lang w:eastAsia="en-AU"/>
        </w:rPr>
        <w:t>Homberger, B., L. Jenni, J. Duplain, M. Lanz, and M. Schaub. 2014. Food unpredictability in early life increases survival of captive grey partridges (</w:t>
      </w:r>
      <w:r w:rsidRPr="009B7BDD">
        <w:rPr>
          <w:i/>
          <w:lang w:eastAsia="en-AU"/>
        </w:rPr>
        <w:t>Perdix perdix</w:t>
      </w:r>
      <w:r w:rsidRPr="002F2711">
        <w:rPr>
          <w:lang w:eastAsia="en-AU"/>
        </w:rPr>
        <w:t>) after release into the wild. Biological Conservation 177:134-141. doi 10.1016/j.biocon.2014.06.023</w:t>
      </w:r>
    </w:p>
    <w:p w14:paraId="5B7F795E" w14:textId="77777777" w:rsidR="002F2711" w:rsidRPr="002F2711" w:rsidRDefault="002F2711" w:rsidP="002F2711">
      <w:pPr>
        <w:rPr>
          <w:lang w:eastAsia="en-AU"/>
        </w:rPr>
      </w:pPr>
      <w:r w:rsidRPr="002F2711">
        <w:rPr>
          <w:lang w:eastAsia="en-AU"/>
        </w:rPr>
        <w:t>Homberger, B., S. Jenni-Eiermann, and L. Jenni. 2015. Distinct responses of baseline and stress-induced corticosterone levels to genetic and environmental factors. General and Comparative Endocrinology 210:46-54. doi 10.1016/j.ygcen.2014.09.020</w:t>
      </w:r>
    </w:p>
    <w:p w14:paraId="445FE79C" w14:textId="77777777" w:rsidR="002F2711" w:rsidRPr="002F2711" w:rsidRDefault="002F2711" w:rsidP="002F2711">
      <w:pPr>
        <w:rPr>
          <w:lang w:eastAsia="en-AU"/>
        </w:rPr>
      </w:pPr>
      <w:r w:rsidRPr="002F2711">
        <w:rPr>
          <w:lang w:eastAsia="en-AU"/>
        </w:rPr>
        <w:t>Homberger, B., S. Jenni-Eiermann, A. Roulin, and L. Jenni. 2013. The impact of pre- and post-natal contexts on immunity, glucocorticoids and oxidative stress resistance in wild and domesticated grey partridges. Functional Ecology 27:1042-1054. doi 10.1111/1365-2435.12092</w:t>
      </w:r>
    </w:p>
    <w:p w14:paraId="2E452B0F" w14:textId="77777777" w:rsidR="002F2711" w:rsidRPr="002F2711" w:rsidRDefault="002F2711" w:rsidP="002F2711">
      <w:pPr>
        <w:rPr>
          <w:lang w:eastAsia="en-AU"/>
        </w:rPr>
      </w:pPr>
      <w:r w:rsidRPr="002F2711">
        <w:rPr>
          <w:lang w:eastAsia="en-AU"/>
        </w:rPr>
        <w:t>Kimball, R. T., E. L. Braun, P. W. Zwartjes, T. M. Crowe, and J. D. Ligon. 1999. A Molecular Phylogeny of the Pheasants and Partridges Suggests That These Lineages Are Not Monophyletic. Molecular Phylogenetics and Evolution 11:38-54. doi 10.1006/mpev.1998.0562</w:t>
      </w:r>
    </w:p>
    <w:p w14:paraId="2E919AB1" w14:textId="77777777" w:rsidR="002F2711" w:rsidRPr="002F2711" w:rsidRDefault="002F2711" w:rsidP="002F2711">
      <w:pPr>
        <w:rPr>
          <w:lang w:eastAsia="en-AU"/>
        </w:rPr>
      </w:pPr>
      <w:r w:rsidRPr="002F2711">
        <w:rPr>
          <w:lang w:eastAsia="en-AU"/>
        </w:rPr>
        <w:t>Kjaer, J. B., and B. K. Hansen. 2007. Effect of supplemental roughage on behavior, physiological stress response, and egg production parameters of farmed partridges (</w:t>
      </w:r>
      <w:r w:rsidRPr="009B7BDD">
        <w:rPr>
          <w:i/>
          <w:lang w:eastAsia="en-AU"/>
        </w:rPr>
        <w:t>Perdix perdix</w:t>
      </w:r>
      <w:r w:rsidRPr="002F2711">
        <w:rPr>
          <w:lang w:eastAsia="en-AU"/>
        </w:rPr>
        <w:t>)</w:t>
      </w:r>
      <w:r w:rsidR="009B7BDD">
        <w:rPr>
          <w:lang w:eastAsia="en-AU"/>
        </w:rPr>
        <w:t>. Poultry Science 86:1640-1645.</w:t>
      </w:r>
    </w:p>
    <w:p w14:paraId="22E853A4" w14:textId="77777777" w:rsidR="002F2711" w:rsidRPr="002F2711" w:rsidRDefault="002F2711" w:rsidP="002F2711">
      <w:pPr>
        <w:rPr>
          <w:lang w:eastAsia="en-AU"/>
        </w:rPr>
      </w:pPr>
      <w:r w:rsidRPr="002F2711">
        <w:rPr>
          <w:lang w:eastAsia="en-AU"/>
        </w:rPr>
        <w:t>Kuijper, D. P. J., E. Oosterveld, and E. Wymenga. 2009. Decline and potential recovery of the European grey partridge (</w:t>
      </w:r>
      <w:r w:rsidRPr="009B7BDD">
        <w:rPr>
          <w:i/>
          <w:lang w:eastAsia="en-AU"/>
        </w:rPr>
        <w:t>Perdix perdix</w:t>
      </w:r>
      <w:r w:rsidRPr="002F2711">
        <w:rPr>
          <w:lang w:eastAsia="en-AU"/>
        </w:rPr>
        <w:t>) population—a review. European Journal of Wildlife Research 55:455-463. doi 10.1007/s10344-009-0311-2</w:t>
      </w:r>
    </w:p>
    <w:p w14:paraId="45DD7E2A" w14:textId="77777777" w:rsidR="002F2711" w:rsidRPr="002F2711" w:rsidRDefault="002F2711" w:rsidP="002F2711">
      <w:pPr>
        <w:rPr>
          <w:lang w:eastAsia="en-AU"/>
        </w:rPr>
      </w:pPr>
      <w:r w:rsidRPr="002F2711">
        <w:rPr>
          <w:lang w:eastAsia="en-AU"/>
        </w:rPr>
        <w:t xml:space="preserve">Liukkonen-Anttila, I., A. Putaala, and R. Hissa. 2002. Feeding of hand-reared grey partridge </w:t>
      </w:r>
      <w:r w:rsidRPr="009B7BDD">
        <w:rPr>
          <w:i/>
          <w:lang w:eastAsia="en-AU"/>
        </w:rPr>
        <w:t>Perdix perdix</w:t>
      </w:r>
      <w:r w:rsidRPr="002F2711">
        <w:rPr>
          <w:lang w:eastAsia="en-AU"/>
        </w:rPr>
        <w:t xml:space="preserve"> chicks - importance of invertebr</w:t>
      </w:r>
      <w:r w:rsidR="009B7BDD">
        <w:rPr>
          <w:lang w:eastAsia="en-AU"/>
        </w:rPr>
        <w:t>ates. Wildlife Biology 8:11-19.</w:t>
      </w:r>
    </w:p>
    <w:p w14:paraId="5D3DE4F4" w14:textId="77777777" w:rsidR="002F2711" w:rsidRPr="002F2711" w:rsidRDefault="002F2711" w:rsidP="002F2711">
      <w:pPr>
        <w:rPr>
          <w:lang w:eastAsia="en-AU"/>
        </w:rPr>
      </w:pPr>
      <w:r w:rsidRPr="002F2711">
        <w:rPr>
          <w:lang w:eastAsia="en-AU"/>
        </w:rPr>
        <w:t>Matheson, S. M., J. Donbavand, V. Sandilands, T. Pennycott, and S. P. Turner. 2015. An ethological approach to determining housing requirements of gamebirds in raised laying units. Applied Animal Behaviour Science 165:17-24. doi 10.1016/j.applanim.2015.02.001</w:t>
      </w:r>
    </w:p>
    <w:p w14:paraId="2A853A5C" w14:textId="77777777" w:rsidR="002F2711" w:rsidRPr="002F2711" w:rsidRDefault="002F2711" w:rsidP="002F2711">
      <w:pPr>
        <w:rPr>
          <w:lang w:eastAsia="en-AU"/>
        </w:rPr>
      </w:pPr>
      <w:r w:rsidRPr="002F2711">
        <w:rPr>
          <w:lang w:eastAsia="en-AU"/>
        </w:rPr>
        <w:t>Millan, J., C. Gortazar, F. J. Buenestado, P. Rodriguez, F. S. Tortosa, and R. Villafuerte. 2003. Effects of a fiber-rich diet on physiology and survival of farm-reared red-legged partridges (</w:t>
      </w:r>
      <w:r w:rsidRPr="009B7BDD">
        <w:rPr>
          <w:i/>
          <w:lang w:eastAsia="en-AU"/>
        </w:rPr>
        <w:t>Alectoris rufa</w:t>
      </w:r>
      <w:r w:rsidRPr="002F2711">
        <w:rPr>
          <w:lang w:eastAsia="en-AU"/>
        </w:rPr>
        <w:t>). Comparative Biochemistry and Physiology a-Molecular &amp; Integrative Physio</w:t>
      </w:r>
      <w:r w:rsidR="009B7BDD">
        <w:rPr>
          <w:lang w:eastAsia="en-AU"/>
        </w:rPr>
        <w:t>logy 134:87-93.</w:t>
      </w:r>
    </w:p>
    <w:p w14:paraId="541CAD78" w14:textId="77777777" w:rsidR="002F2711" w:rsidRPr="002F2711" w:rsidRDefault="002F2711" w:rsidP="002F2711">
      <w:pPr>
        <w:rPr>
          <w:lang w:eastAsia="en-AU"/>
        </w:rPr>
      </w:pPr>
      <w:r w:rsidRPr="002F2711">
        <w:rPr>
          <w:lang w:eastAsia="en-AU"/>
        </w:rPr>
        <w:t>Perez, J. A., M. E. Alonso, R. Prieto, D. Bartolome, and D. V. R. Gaudioso. 2010. Influence of the breeding system on the escape response of red-legged partridges (</w:t>
      </w:r>
      <w:r w:rsidRPr="009B7BDD">
        <w:rPr>
          <w:i/>
          <w:lang w:eastAsia="en-AU"/>
        </w:rPr>
        <w:t>Alectoris rufa</w:t>
      </w:r>
      <w:r w:rsidRPr="002F2711">
        <w:rPr>
          <w:lang w:eastAsia="en-AU"/>
        </w:rPr>
        <w:t>). Poultry Science 89:5-12. doi 10.3382/ps.2009-00170</w:t>
      </w:r>
    </w:p>
    <w:p w14:paraId="6B37AA76" w14:textId="77777777" w:rsidR="002F2711" w:rsidRDefault="002F2711" w:rsidP="002F2711">
      <w:pPr>
        <w:rPr>
          <w:lang w:eastAsia="en-AU"/>
        </w:rPr>
      </w:pPr>
      <w:r w:rsidRPr="002F2711">
        <w:rPr>
          <w:lang w:eastAsia="en-AU"/>
        </w:rPr>
        <w:t>Prieto, R., C. Sanchez-Garcia, M. E. Alonso, P. L. Rodriguez, and V. R. Gaudioso. 2012. Do pairing systems improve welfare of captive Red-Legged partridges (</w:t>
      </w:r>
      <w:r w:rsidRPr="009B7BDD">
        <w:rPr>
          <w:i/>
          <w:lang w:eastAsia="en-AU"/>
        </w:rPr>
        <w:t>Alectoris rufa</w:t>
      </w:r>
      <w:r w:rsidRPr="002F2711">
        <w:rPr>
          <w:lang w:eastAsia="en-AU"/>
        </w:rPr>
        <w:t>) in laying cages? Poultry Science 91:1751-1758. doi 10.3382/ps.2011-01677</w:t>
      </w:r>
    </w:p>
    <w:p w14:paraId="519350D9" w14:textId="77777777" w:rsidR="002F2711" w:rsidRPr="002F2711" w:rsidRDefault="002F2711" w:rsidP="002F2711">
      <w:pPr>
        <w:rPr>
          <w:lang w:eastAsia="en-AU"/>
        </w:rPr>
      </w:pPr>
      <w:r w:rsidRPr="002F2711">
        <w:rPr>
          <w:lang w:eastAsia="en-AU"/>
        </w:rPr>
        <w:t xml:space="preserve">Šálek, M., P. Marhoul, J. Pintíř, T. Kopecký, and L. Slabý. 2004. Importance of unmanaged wasteland patches for the grey partridge </w:t>
      </w:r>
      <w:r w:rsidRPr="009B7BDD">
        <w:rPr>
          <w:i/>
          <w:lang w:eastAsia="en-AU"/>
        </w:rPr>
        <w:t>Perdix perdix</w:t>
      </w:r>
      <w:r w:rsidRPr="002F2711">
        <w:rPr>
          <w:lang w:eastAsia="en-AU"/>
        </w:rPr>
        <w:t xml:space="preserve"> in suburban habitats. Acta Oecologica 25:23-33. doi 10.1016/j.actao.2003.10.003</w:t>
      </w:r>
    </w:p>
    <w:p w14:paraId="1B9188E6" w14:textId="77777777" w:rsidR="002F2711" w:rsidRPr="002F2711" w:rsidRDefault="002F2711" w:rsidP="002F2711">
      <w:pPr>
        <w:rPr>
          <w:lang w:eastAsia="en-AU"/>
        </w:rPr>
      </w:pPr>
      <w:r w:rsidRPr="002F2711">
        <w:rPr>
          <w:lang w:eastAsia="en-AU"/>
        </w:rPr>
        <w:t>Sanchez-Garcia, C., M. E. Alonso, E. J. Tizado, J. A. Perez, J. A. Armenteros, and V. R. Gaudioso. 2016. Anti-predator behaviour of adult red-legged partridge (</w:t>
      </w:r>
      <w:r w:rsidRPr="009B7BDD">
        <w:rPr>
          <w:i/>
          <w:lang w:eastAsia="en-AU"/>
        </w:rPr>
        <w:t>Alectoris rufa</w:t>
      </w:r>
      <w:r w:rsidRPr="002F2711">
        <w:rPr>
          <w:lang w:eastAsia="en-AU"/>
        </w:rPr>
        <w:t>) tutors improves the defensive responses of farm-reared broods. British Poultry Science 57:306-316. doi 10.1080/00071668.2016.1162283</w:t>
      </w:r>
    </w:p>
    <w:p w14:paraId="393DA0E5" w14:textId="77777777" w:rsidR="002F2711" w:rsidRPr="002F2711" w:rsidRDefault="002F2711" w:rsidP="002F2711">
      <w:pPr>
        <w:rPr>
          <w:lang w:eastAsia="en-AU"/>
        </w:rPr>
      </w:pPr>
      <w:r w:rsidRPr="002F2711">
        <w:rPr>
          <w:lang w:eastAsia="en-AU"/>
        </w:rPr>
        <w:t>Santilli, F., L. Galardi, and M. Bagliacca. 2012. First evaluation of different captive rearing techniques for the re-establishment of the red legged partridge populations. Avian Biology Research 5:147-153. doi 10.3184/175815512x13441821968945</w:t>
      </w:r>
    </w:p>
    <w:p w14:paraId="0C5233A8" w14:textId="77777777" w:rsidR="002F2711" w:rsidRPr="002F2711" w:rsidRDefault="002F2711" w:rsidP="002F2711">
      <w:pPr>
        <w:rPr>
          <w:lang w:eastAsia="en-AU"/>
        </w:rPr>
      </w:pPr>
      <w:r w:rsidRPr="002F2711">
        <w:rPr>
          <w:lang w:eastAsia="en-AU"/>
        </w:rPr>
        <w:t>Shimmura, T., E. Kamimura, T. Azuma, N. Kansaku, K. Uetake, and T. Tanaka. 2010. Effect of broody hens on behaviour of chicks. Applied Animal Behaviour Science 126:125-133. doi 10.1016/j.applanim.2010.06.011</w:t>
      </w:r>
    </w:p>
    <w:p w14:paraId="48946BED" w14:textId="77777777" w:rsidR="002F2711" w:rsidRPr="002F2711" w:rsidRDefault="002F2711" w:rsidP="002F2711">
      <w:pPr>
        <w:rPr>
          <w:lang w:eastAsia="en-AU"/>
        </w:rPr>
      </w:pPr>
      <w:r w:rsidRPr="002F2711">
        <w:rPr>
          <w:lang w:eastAsia="en-AU"/>
        </w:rPr>
        <w:t>Wiberg, S., and S. Gunnarsson. 2009. Health and welfare in Swedish game bird rearing.</w:t>
      </w:r>
    </w:p>
    <w:p w14:paraId="00FD5046" w14:textId="77777777" w:rsidR="002F2711" w:rsidRPr="002F2711" w:rsidRDefault="002F2711" w:rsidP="002F2711">
      <w:pPr>
        <w:rPr>
          <w:lang w:eastAsia="en-AU"/>
        </w:rPr>
      </w:pPr>
      <w:r w:rsidRPr="002F2711">
        <w:rPr>
          <w:lang w:eastAsia="en-AU"/>
        </w:rPr>
        <w:t>Zaccaroni, M., M. Ciuffreda, M. Paganin, and L. Beani. 2007. Does an early aversive experience to humans modify antipredator behaviour in adult Rock partridges? Ethology Ecology &amp; Evolution 19:</w:t>
      </w:r>
      <w:r w:rsidR="009B7BDD">
        <w:rPr>
          <w:lang w:eastAsia="en-AU"/>
        </w:rPr>
        <w:t>193-200.</w:t>
      </w:r>
    </w:p>
    <w:p w14:paraId="10FD337F" w14:textId="77777777" w:rsidR="002F2711" w:rsidRPr="00286A88" w:rsidRDefault="002F2711" w:rsidP="00D75077">
      <w:pPr>
        <w:rPr>
          <w:lang w:val="en-AU" w:eastAsia="en-AU"/>
        </w:rPr>
      </w:pPr>
    </w:p>
    <w:p w14:paraId="5CAD4D1A" w14:textId="77777777" w:rsidR="00286A88" w:rsidRPr="00286A88" w:rsidRDefault="0011697E" w:rsidP="0011697E">
      <w:pPr>
        <w:pStyle w:val="Heading1"/>
        <w:rPr>
          <w:lang w:val="en-AU" w:eastAsia="en-AU"/>
        </w:rPr>
      </w:pPr>
      <w:r>
        <w:rPr>
          <w:sz w:val="22"/>
          <w:szCs w:val="22"/>
          <w:lang w:val="en-AU" w:eastAsia="en-AU"/>
        </w:rPr>
        <w:br w:type="column"/>
      </w:r>
      <w:bookmarkStart w:id="310" w:name="_Toc495310777"/>
      <w:r w:rsidR="00286A88" w:rsidRPr="00286A88">
        <w:rPr>
          <w:lang w:val="en-AU" w:eastAsia="en-AU"/>
        </w:rPr>
        <w:t>Pigeon</w:t>
      </w:r>
      <w:r w:rsidR="00F44230">
        <w:rPr>
          <w:lang w:val="en-AU" w:eastAsia="en-AU"/>
        </w:rPr>
        <w:t>s</w:t>
      </w:r>
      <w:bookmarkEnd w:id="310"/>
    </w:p>
    <w:p w14:paraId="7F73CC19" w14:textId="77777777" w:rsidR="00286A88" w:rsidRPr="00286A88" w:rsidRDefault="00286A88" w:rsidP="0011697E">
      <w:pPr>
        <w:pStyle w:val="Heading2"/>
        <w:rPr>
          <w:lang w:val="en-AU" w:eastAsia="en-AU"/>
        </w:rPr>
      </w:pPr>
      <w:bookmarkStart w:id="311" w:name="_Toc495310778"/>
      <w:r w:rsidRPr="00286A88">
        <w:rPr>
          <w:lang w:val="en-AU" w:eastAsia="en-AU"/>
        </w:rPr>
        <w:t>PGN1. Introduction</w:t>
      </w:r>
      <w:bookmarkEnd w:id="311"/>
    </w:p>
    <w:p w14:paraId="1869E7F3" w14:textId="77777777" w:rsidR="00286A88" w:rsidRPr="00286A88" w:rsidRDefault="00286A88" w:rsidP="0011697E">
      <w:pPr>
        <w:pStyle w:val="Heading3"/>
        <w:rPr>
          <w:lang w:val="en-AU" w:eastAsia="en-AU"/>
        </w:rPr>
      </w:pPr>
      <w:bookmarkStart w:id="312" w:name="_Toc495310779"/>
      <w:r w:rsidRPr="00286A88">
        <w:rPr>
          <w:lang w:val="en-AU" w:eastAsia="en-AU"/>
        </w:rPr>
        <w:t>PGN1.1 Life history</w:t>
      </w:r>
      <w:bookmarkEnd w:id="312"/>
    </w:p>
    <w:p w14:paraId="31F41B56" w14:textId="77777777" w:rsidR="00286A88" w:rsidRPr="00286A88" w:rsidRDefault="00286A88" w:rsidP="0011697E">
      <w:pPr>
        <w:rPr>
          <w:lang w:val="en-AU" w:eastAsia="en-AU"/>
        </w:rPr>
      </w:pPr>
      <w:r w:rsidRPr="00286A88">
        <w:rPr>
          <w:lang w:val="en-AU" w:eastAsia="en-AU"/>
        </w:rPr>
        <w:t>Domestic pigeons are descended from wild rock doves (</w:t>
      </w:r>
      <w:r w:rsidRPr="00286A88">
        <w:rPr>
          <w:i/>
          <w:lang w:val="en-AU" w:eastAsia="en-AU"/>
        </w:rPr>
        <w:t>Columba livia</w:t>
      </w:r>
      <w:r w:rsidRPr="00286A88">
        <w:rPr>
          <w:lang w:val="en-AU" w:eastAsia="en-AU"/>
        </w:rPr>
        <w:t>) and may be kept and bred for meat, for racing, or for breeding and showing. Feral pigeons, originating from domestic populations, have successfully colonised many urban areas around the world. These feral birds have been the subject of considerable scientific study, often with the underlying aim of gaining a greater understanding of their biology and habitat interaction to better control their populations. Due to the differences in natural biology, extrapolating from the literature for chickens is likely to be of limited use.</w:t>
      </w:r>
    </w:p>
    <w:p w14:paraId="7CC985B5" w14:textId="77777777" w:rsidR="00286A88" w:rsidRPr="00286A88" w:rsidRDefault="00286A88" w:rsidP="0011697E">
      <w:pPr>
        <w:rPr>
          <w:lang w:val="en-AU" w:eastAsia="en-AU"/>
        </w:rPr>
      </w:pPr>
      <w:r w:rsidRPr="00286A88">
        <w:rPr>
          <w:lang w:val="en-AU" w:eastAsia="en-AU"/>
        </w:rPr>
        <w:t>A study of one of the few remaining populations of wild rock doves described how the birds lived in a colony of around 3,000 birds on sea cliffs in Sardinia. Every day the birds left the colony in small flocks (larger in winter, reaching up to 40 birds) to forage for food for several hours a day. In spring and summer most birds left shortly after sunrise, with another peak in the afternoon, and in autumn and winter the birds were most active in the afternoon. They followed set routes and travelled up to 19 km to reach agricultural feeding sites (Baldaccini et al., 2000). When food is available nearer both wild and feral rock doves will access nearby sources (Baldaccini et al., 2000; Soldatini et al., 2006). Pigeons eat grains, seeds and a great variety of other foods, and have been particularly successful at colonising urban areas due partly to their ability to eat a range of food waste associated with humans (Morand-Ferron et al., 2009). Feral pigeons have developed breeding strategies to maximise their use of plentiful food supplies, including being able to breed throughout the year, in contrast to wild birds (Baldaccini et al., 2000; Harris et al., 2016; Stock and Haag-Wackernagel, 2016). Pigeons form monogamous pairs and each parent helps build a rudimentary nest on natural rock or buildings in which to lay usually two eggs, incubate them and raise the fast-growing squabs (Hetmanski and Barkowska, 2007).</w:t>
      </w:r>
    </w:p>
    <w:p w14:paraId="5A1B7E4B" w14:textId="77777777" w:rsidR="00286A88" w:rsidRPr="00286A88" w:rsidRDefault="00286A88" w:rsidP="0011697E">
      <w:pPr>
        <w:pStyle w:val="Heading3"/>
        <w:rPr>
          <w:lang w:val="en-AU" w:eastAsia="en-AU"/>
        </w:rPr>
      </w:pPr>
      <w:bookmarkStart w:id="313" w:name="_Toc495310780"/>
      <w:r w:rsidRPr="00286A88">
        <w:rPr>
          <w:lang w:val="en-AU" w:eastAsia="en-AU"/>
        </w:rPr>
        <w:t>PGN1.2 Farming and rearing</w:t>
      </w:r>
      <w:bookmarkEnd w:id="313"/>
    </w:p>
    <w:p w14:paraId="6BC8E1BA" w14:textId="77777777" w:rsidR="00286A88" w:rsidRPr="00286A88" w:rsidRDefault="00286A88" w:rsidP="0011697E">
      <w:pPr>
        <w:rPr>
          <w:lang w:val="en-AU" w:eastAsia="en-AU"/>
        </w:rPr>
      </w:pPr>
      <w:r w:rsidRPr="00286A88">
        <w:rPr>
          <w:lang w:val="en-AU" w:eastAsia="en-AU"/>
        </w:rPr>
        <w:t>Pigeon fanciers (and traditional farming) usually allow free or daily access to outdoor flights, and this is also recommended for laboratory pigeons, along with shelves and ledges to replicate the wild-type environment (Hawkins et al., 2001). These, and local training flights, are generally thought to improve homing ability and/or attachment to the colony in young birds. Stamina for racing (and hence perhaps overall health) is improved. Pigeons are usually kept in medium sized flocks (10-100 birds), in which dominance hierarchies are common, and older/dominant individuals command habitual roost perches higher in the loft. For racing, birds are sometimes temporarily “widowed” to increase homing motivation, suggesting that attachment to mate and nest are powerful motivators and may lead to reduced welfare if deprived for any length of time. Despite this wealth of folk-knowledge, there is little published work on the housing and social needs and requirements of farmed pigeons.</w:t>
      </w:r>
    </w:p>
    <w:p w14:paraId="14889EA6" w14:textId="77777777" w:rsidR="00286A88" w:rsidRPr="00286A88" w:rsidRDefault="00286A88" w:rsidP="0011697E">
      <w:pPr>
        <w:pStyle w:val="Heading2"/>
        <w:rPr>
          <w:lang w:val="en-AU" w:eastAsia="en-AU"/>
        </w:rPr>
      </w:pPr>
      <w:bookmarkStart w:id="314" w:name="_Toc495310781"/>
      <w:r w:rsidRPr="00286A88">
        <w:rPr>
          <w:lang w:val="en-AU" w:eastAsia="en-AU"/>
        </w:rPr>
        <w:t>PGN2. Facilities and Equipment: Behavioural Usage</w:t>
      </w:r>
      <w:bookmarkEnd w:id="314"/>
    </w:p>
    <w:p w14:paraId="583B065E" w14:textId="77777777" w:rsidR="00286A88" w:rsidRPr="00286A88" w:rsidRDefault="00286A88" w:rsidP="0011697E">
      <w:pPr>
        <w:pStyle w:val="Heading3"/>
        <w:rPr>
          <w:lang w:val="en-AU" w:eastAsia="en-AU"/>
        </w:rPr>
      </w:pPr>
      <w:bookmarkStart w:id="315" w:name="_Toc495310782"/>
      <w:r w:rsidRPr="00286A88">
        <w:rPr>
          <w:lang w:val="en-AU" w:eastAsia="en-AU"/>
        </w:rPr>
        <w:t>PGN2.1 Enrichment</w:t>
      </w:r>
      <w:bookmarkEnd w:id="315"/>
    </w:p>
    <w:p w14:paraId="6B702999" w14:textId="77777777" w:rsidR="00286A88" w:rsidRPr="00286A88" w:rsidRDefault="00286A88" w:rsidP="0011697E">
      <w:pPr>
        <w:rPr>
          <w:lang w:val="en-AU" w:eastAsia="en-AU"/>
        </w:rPr>
      </w:pPr>
      <w:r w:rsidRPr="00286A88">
        <w:rPr>
          <w:lang w:val="en-AU" w:eastAsia="en-AU"/>
        </w:rPr>
        <w:t xml:space="preserve">Four papers were identified in the literature search where an ‘enriched’ captive environment was used as part of an experimental study to compare to a small, barren, singly housed environment. Welfare </w:t>
      </w:r>
      <w:r w:rsidRPr="008D2CE1">
        <w:rPr>
          <w:i/>
          <w:lang w:val="en-AU" w:eastAsia="en-AU"/>
        </w:rPr>
        <w:t>per se</w:t>
      </w:r>
      <w:r w:rsidRPr="00286A88">
        <w:rPr>
          <w:lang w:val="en-AU" w:eastAsia="en-AU"/>
        </w:rPr>
        <w:t xml:space="preserve"> was not studied, the welfare benefit being implied, and all had a positive impact on brain development, cognition or choice-taking behaviour. The enrichments provided in each study were: access to three other conspecifics in an otherwise barren, but larger, environment (2 studies) (continuous for 60 days) (Laude et al., 2016) and short term (4 h/day for 90 days) (Pattison et al., 2013); artificial flowers, balls, tubes and visual contact with neighbours (Melleu et al., 2016); a device to encourage foraging in singly housed pigeons (Turner, 2010).</w:t>
      </w:r>
    </w:p>
    <w:p w14:paraId="48F8D089" w14:textId="77777777" w:rsidR="00286A88" w:rsidRPr="00286A88" w:rsidRDefault="00286A88" w:rsidP="0011697E">
      <w:pPr>
        <w:pStyle w:val="Heading2"/>
        <w:rPr>
          <w:lang w:val="en-AU" w:eastAsia="en-AU"/>
        </w:rPr>
      </w:pPr>
      <w:bookmarkStart w:id="316" w:name="_Toc495310783"/>
      <w:r w:rsidRPr="00286A88">
        <w:rPr>
          <w:lang w:val="en-AU" w:eastAsia="en-AU"/>
        </w:rPr>
        <w:t>PGN3. Welfare Considerations: Overview</w:t>
      </w:r>
      <w:bookmarkEnd w:id="316"/>
    </w:p>
    <w:p w14:paraId="0C64FEA6" w14:textId="77777777" w:rsidR="00286A88" w:rsidRDefault="00286A88" w:rsidP="0011697E">
      <w:pPr>
        <w:rPr>
          <w:lang w:val="en-AU" w:eastAsia="en-AU"/>
        </w:rPr>
      </w:pPr>
      <w:r w:rsidRPr="00286A88">
        <w:rPr>
          <w:lang w:val="en-AU" w:eastAsia="en-AU"/>
        </w:rPr>
        <w:t>The paucity of literature about farmed pigeon welfare makes it difficult to draw firm conclusions about their needs and the effect of captivity on them. Given the apparent increasing interest in farming pigeon squabs for meat in Australia (ABC, 2014) it would seem timely to conduct good quality research into the welfare of these birds. In the absence of such studies it is recommended that attention is paid to the natural biology of pigeons to provide guidance on how best to keep them in captivity. In particular, pigeons should be provided with the opportunity for flight, fed a varied grain-based diet and have access to a nest suitable for a pair of birds to raise fast-growing squabs.</w:t>
      </w:r>
    </w:p>
    <w:p w14:paraId="1989E8D8" w14:textId="77777777" w:rsidR="002F2711" w:rsidRDefault="002F2711" w:rsidP="0011697E">
      <w:pPr>
        <w:rPr>
          <w:lang w:val="en-AU" w:eastAsia="en-AU"/>
        </w:rPr>
      </w:pPr>
    </w:p>
    <w:p w14:paraId="5AB66555" w14:textId="77777777" w:rsidR="002F2711" w:rsidRDefault="00363A83" w:rsidP="002F2711">
      <w:pPr>
        <w:pStyle w:val="Heading2"/>
        <w:rPr>
          <w:lang w:val="en-AU" w:eastAsia="en-AU"/>
        </w:rPr>
      </w:pPr>
      <w:bookmarkStart w:id="317" w:name="_Toc495310784"/>
      <w:r>
        <w:rPr>
          <w:lang w:val="en-AU" w:eastAsia="en-AU"/>
        </w:rPr>
        <w:t xml:space="preserve">PGN4. </w:t>
      </w:r>
      <w:r w:rsidR="002F2711">
        <w:rPr>
          <w:lang w:val="en-AU" w:eastAsia="en-AU"/>
        </w:rPr>
        <w:t>References</w:t>
      </w:r>
      <w:bookmarkEnd w:id="317"/>
    </w:p>
    <w:p w14:paraId="225A56EE" w14:textId="77777777" w:rsidR="002F2711" w:rsidRPr="002F2711" w:rsidRDefault="002F2711" w:rsidP="002F2711">
      <w:pPr>
        <w:rPr>
          <w:lang w:val="en-AU" w:eastAsia="en-AU"/>
        </w:rPr>
      </w:pPr>
      <w:r w:rsidRPr="002F2711">
        <w:rPr>
          <w:lang w:val="en-AU" w:eastAsia="en-AU"/>
        </w:rPr>
        <w:t xml:space="preserve">ABC. 2014. Australian Broadcasting Corporation. </w:t>
      </w:r>
      <w:hyperlink r:id="rId73" w:tooltip="This is a link to a news item on squab (pigeon) production in Queensland, Australia." w:history="1">
        <w:r w:rsidR="00223BFC" w:rsidRPr="008D16A0">
          <w:rPr>
            <w:rStyle w:val="Hyperlink"/>
            <w:lang w:val="en-AU" w:eastAsia="en-AU"/>
          </w:rPr>
          <w:t>www.abc.net.au/news/rural/2014-09-10/nrn-squab/5730492</w:t>
        </w:r>
      </w:hyperlink>
      <w:r w:rsidR="0047691B">
        <w:rPr>
          <w:lang w:val="en-AU" w:eastAsia="en-AU"/>
        </w:rPr>
        <w:t>. Accessed 20/05/</w:t>
      </w:r>
      <w:r w:rsidR="005D7C40">
        <w:rPr>
          <w:lang w:val="en-AU" w:eastAsia="en-AU"/>
        </w:rPr>
        <w:t>20</w:t>
      </w:r>
      <w:r w:rsidR="0047691B">
        <w:rPr>
          <w:lang w:val="en-AU" w:eastAsia="en-AU"/>
        </w:rPr>
        <w:t>17.</w:t>
      </w:r>
    </w:p>
    <w:p w14:paraId="7EC5B542" w14:textId="77777777" w:rsidR="002F2711" w:rsidRPr="002F2711" w:rsidRDefault="002F2711" w:rsidP="002F2711">
      <w:pPr>
        <w:rPr>
          <w:lang w:eastAsia="en-AU"/>
        </w:rPr>
      </w:pPr>
      <w:r w:rsidRPr="002F2711">
        <w:rPr>
          <w:lang w:eastAsia="en-AU"/>
        </w:rPr>
        <w:t>Baldaccini, N. E., D. Giunchi, E. Mongini, and L. Ragionieri. 2000. Foraging flights of wild rock doves (</w:t>
      </w:r>
      <w:r w:rsidRPr="0047691B">
        <w:rPr>
          <w:i/>
          <w:lang w:eastAsia="en-AU"/>
        </w:rPr>
        <w:t>Columba l. livia</w:t>
      </w:r>
      <w:r w:rsidRPr="002F2711">
        <w:rPr>
          <w:lang w:eastAsia="en-AU"/>
        </w:rPr>
        <w:t>): a spatio-temporal analysis. Italian</w:t>
      </w:r>
      <w:r w:rsidR="0047691B">
        <w:rPr>
          <w:lang w:eastAsia="en-AU"/>
        </w:rPr>
        <w:t xml:space="preserve"> Journal of Zoology 67:371-377.</w:t>
      </w:r>
    </w:p>
    <w:p w14:paraId="01C7AC27" w14:textId="77777777" w:rsidR="002F2711" w:rsidRPr="002F2711" w:rsidRDefault="002F2711" w:rsidP="002F2711">
      <w:pPr>
        <w:rPr>
          <w:lang w:eastAsia="en-AU"/>
        </w:rPr>
      </w:pPr>
      <w:r w:rsidRPr="002F2711">
        <w:rPr>
          <w:lang w:eastAsia="en-AU"/>
        </w:rPr>
        <w:t>Harris, E., E. P. de Crom, J. Labuschagne, and A. Wilson. 2016. Urban environment use by speckled (</w:t>
      </w:r>
      <w:r w:rsidRPr="0047691B">
        <w:rPr>
          <w:i/>
          <w:lang w:eastAsia="en-AU"/>
        </w:rPr>
        <w:t>Columba guinea</w:t>
      </w:r>
      <w:r w:rsidRPr="002F2711">
        <w:rPr>
          <w:lang w:eastAsia="en-AU"/>
        </w:rPr>
        <w:t>) and feral (</w:t>
      </w:r>
      <w:r w:rsidRPr="0047691B">
        <w:rPr>
          <w:i/>
          <w:lang w:eastAsia="en-AU"/>
        </w:rPr>
        <w:t>Columba livia</w:t>
      </w:r>
      <w:r w:rsidRPr="002F2711">
        <w:rPr>
          <w:lang w:eastAsia="en-AU"/>
        </w:rPr>
        <w:t>) pigeons on the University of South Africa's Muckleneuk Campus. Applied Ecology and Environmental Research 14:399-419. doi 10.15666/aeer/1404_399419</w:t>
      </w:r>
    </w:p>
    <w:p w14:paraId="6423FB5B" w14:textId="77777777" w:rsidR="002F2711" w:rsidRPr="002F2711" w:rsidRDefault="002F2711" w:rsidP="002F2711">
      <w:pPr>
        <w:rPr>
          <w:lang w:val="en-AU" w:eastAsia="en-AU"/>
        </w:rPr>
      </w:pPr>
      <w:r w:rsidRPr="002F2711">
        <w:rPr>
          <w:lang w:val="en-AU" w:eastAsia="en-AU"/>
        </w:rPr>
        <w:t xml:space="preserve">Hawkins, P., </w:t>
      </w:r>
      <w:r w:rsidR="001B1387">
        <w:rPr>
          <w:lang w:val="en-AU" w:eastAsia="en-AU"/>
        </w:rPr>
        <w:t xml:space="preserve">D. </w:t>
      </w:r>
      <w:r w:rsidRPr="002F2711">
        <w:rPr>
          <w:lang w:val="en-AU" w:eastAsia="en-AU"/>
        </w:rPr>
        <w:t xml:space="preserve">Morton, </w:t>
      </w:r>
      <w:r w:rsidR="001B1387">
        <w:rPr>
          <w:lang w:val="en-AU" w:eastAsia="en-AU"/>
        </w:rPr>
        <w:t>D.</w:t>
      </w:r>
      <w:r w:rsidRPr="002F2711">
        <w:rPr>
          <w:lang w:val="en-AU" w:eastAsia="en-AU"/>
        </w:rPr>
        <w:t xml:space="preserve"> Cameron, </w:t>
      </w:r>
      <w:r w:rsidR="001B1387">
        <w:rPr>
          <w:lang w:val="en-AU" w:eastAsia="en-AU"/>
        </w:rPr>
        <w:t>I.</w:t>
      </w:r>
      <w:r w:rsidRPr="002F2711">
        <w:rPr>
          <w:lang w:val="en-AU" w:eastAsia="en-AU"/>
        </w:rPr>
        <w:t xml:space="preserve"> Cuthill, </w:t>
      </w:r>
      <w:r w:rsidR="001B1387">
        <w:rPr>
          <w:lang w:val="en-AU" w:eastAsia="en-AU"/>
        </w:rPr>
        <w:t>R.</w:t>
      </w:r>
      <w:r w:rsidRPr="002F2711">
        <w:rPr>
          <w:lang w:val="en-AU" w:eastAsia="en-AU"/>
        </w:rPr>
        <w:t xml:space="preserve"> Francis, R. Freire, </w:t>
      </w:r>
      <w:r w:rsidR="001B1387">
        <w:rPr>
          <w:lang w:val="en-AU" w:eastAsia="en-AU"/>
        </w:rPr>
        <w:t>A.</w:t>
      </w:r>
      <w:r w:rsidRPr="002F2711">
        <w:rPr>
          <w:lang w:val="en-AU" w:eastAsia="en-AU"/>
        </w:rPr>
        <w:t xml:space="preserve"> Gosler, </w:t>
      </w:r>
      <w:r w:rsidR="001B1387">
        <w:rPr>
          <w:lang w:val="en-AU" w:eastAsia="en-AU"/>
        </w:rPr>
        <w:t>S.</w:t>
      </w:r>
      <w:r w:rsidRPr="002F2711">
        <w:rPr>
          <w:lang w:val="en-AU" w:eastAsia="en-AU"/>
        </w:rPr>
        <w:t xml:space="preserve"> Healy, </w:t>
      </w:r>
      <w:r w:rsidR="001B1387">
        <w:rPr>
          <w:lang w:val="en-AU" w:eastAsia="en-AU"/>
        </w:rPr>
        <w:t>A.</w:t>
      </w:r>
      <w:r w:rsidRPr="002F2711">
        <w:rPr>
          <w:lang w:val="en-AU" w:eastAsia="en-AU"/>
        </w:rPr>
        <w:t xml:space="preserve"> Hudson, </w:t>
      </w:r>
      <w:r w:rsidR="001B1387">
        <w:rPr>
          <w:lang w:val="en-AU" w:eastAsia="en-AU"/>
        </w:rPr>
        <w:t xml:space="preserve">I. </w:t>
      </w:r>
      <w:r w:rsidRPr="002F2711">
        <w:rPr>
          <w:lang w:val="en-AU" w:eastAsia="en-AU"/>
        </w:rPr>
        <w:t xml:space="preserve">Inglis, </w:t>
      </w:r>
      <w:r w:rsidR="001B1387">
        <w:rPr>
          <w:lang w:val="en-AU" w:eastAsia="en-AU"/>
        </w:rPr>
        <w:t>J. Kirkwood</w:t>
      </w:r>
      <w:r w:rsidRPr="002F2711">
        <w:rPr>
          <w:lang w:val="en-AU" w:eastAsia="en-AU"/>
        </w:rPr>
        <w:t xml:space="preserve">, </w:t>
      </w:r>
      <w:r w:rsidR="001B1387">
        <w:rPr>
          <w:lang w:val="en-AU" w:eastAsia="en-AU"/>
        </w:rPr>
        <w:t xml:space="preserve">M. </w:t>
      </w:r>
      <w:r w:rsidRPr="002F2711">
        <w:rPr>
          <w:lang w:val="en-AU" w:eastAsia="en-AU"/>
        </w:rPr>
        <w:t xml:space="preserve">Lawton, </w:t>
      </w:r>
      <w:r w:rsidR="001B1387">
        <w:rPr>
          <w:lang w:val="en-AU" w:eastAsia="en-AU"/>
        </w:rPr>
        <w:t>P.</w:t>
      </w:r>
      <w:r w:rsidRPr="002F2711">
        <w:rPr>
          <w:lang w:val="en-AU" w:eastAsia="en-AU"/>
        </w:rPr>
        <w:t xml:space="preserve"> Monaghan, </w:t>
      </w:r>
      <w:r w:rsidR="001B1387">
        <w:rPr>
          <w:lang w:val="en-AU" w:eastAsia="en-AU"/>
        </w:rPr>
        <w:t>C.</w:t>
      </w:r>
      <w:r w:rsidRPr="002F2711">
        <w:rPr>
          <w:lang w:val="en-AU" w:eastAsia="en-AU"/>
        </w:rPr>
        <w:t xml:space="preserve"> Sherwin, </w:t>
      </w:r>
      <w:r w:rsidR="008D2CE1">
        <w:rPr>
          <w:lang w:val="en-AU" w:eastAsia="en-AU"/>
        </w:rPr>
        <w:t>P.</w:t>
      </w:r>
      <w:r w:rsidRPr="002F2711">
        <w:rPr>
          <w:lang w:val="en-AU" w:eastAsia="en-AU"/>
        </w:rPr>
        <w:t xml:space="preserve"> Townsend, and Joint Working Grp Refinement. 2001. Laboratory birds: refinements in husbandry and procedures. Fifth report of BVAAWWF/FRAME/RSPCA/UFAW Joint working group on Refinement. Laboratory Animals 35, S1-S163.</w:t>
      </w:r>
    </w:p>
    <w:p w14:paraId="536EABD3" w14:textId="77777777" w:rsidR="002F2711" w:rsidRPr="002F2711" w:rsidRDefault="002F2711" w:rsidP="002F2711">
      <w:pPr>
        <w:rPr>
          <w:lang w:eastAsia="en-AU"/>
        </w:rPr>
      </w:pPr>
      <w:r w:rsidRPr="002F2711">
        <w:rPr>
          <w:lang w:eastAsia="en-AU"/>
        </w:rPr>
        <w:t xml:space="preserve">Hetmanski, T., and M. Barkowska. 2007. Density and age of breeding pairs influence feral pigeon, </w:t>
      </w:r>
      <w:r w:rsidRPr="00CB20B0">
        <w:rPr>
          <w:i/>
          <w:lang w:eastAsia="en-AU"/>
        </w:rPr>
        <w:t>Columba livia</w:t>
      </w:r>
      <w:r w:rsidRPr="002F2711">
        <w:rPr>
          <w:lang w:eastAsia="en-AU"/>
        </w:rPr>
        <w:t xml:space="preserve"> reproduc</w:t>
      </w:r>
      <w:r w:rsidR="00CB20B0">
        <w:rPr>
          <w:lang w:eastAsia="en-AU"/>
        </w:rPr>
        <w:t>tion. Folia Zoologica 56:71-83.</w:t>
      </w:r>
    </w:p>
    <w:p w14:paraId="57C29F5C" w14:textId="77777777" w:rsidR="002F2711" w:rsidRPr="002F2711" w:rsidRDefault="002F2711" w:rsidP="002F2711">
      <w:pPr>
        <w:rPr>
          <w:lang w:eastAsia="en-AU"/>
        </w:rPr>
      </w:pPr>
      <w:r w:rsidRPr="002F2711">
        <w:rPr>
          <w:lang w:eastAsia="en-AU"/>
        </w:rPr>
        <w:t>Laude, J. R., C. W. Daniels, J. C. Wade, and T. R. Zentall. 2016. I can time with a little help from my friends: effect of social enrichment on timing processes in Pigeons (</w:t>
      </w:r>
      <w:r w:rsidRPr="00CB20B0">
        <w:rPr>
          <w:i/>
          <w:lang w:eastAsia="en-AU"/>
        </w:rPr>
        <w:t>Columba livia</w:t>
      </w:r>
      <w:r w:rsidRPr="002F2711">
        <w:rPr>
          <w:lang w:eastAsia="en-AU"/>
        </w:rPr>
        <w:t>). Animal Cognition 19:1205-1213. doi 10.1007/s10071-016-1032-z</w:t>
      </w:r>
    </w:p>
    <w:p w14:paraId="606860DD" w14:textId="77777777" w:rsidR="002F2711" w:rsidRPr="002F2711" w:rsidRDefault="002F2711" w:rsidP="002F2711">
      <w:pPr>
        <w:rPr>
          <w:lang w:eastAsia="en-AU"/>
        </w:rPr>
      </w:pPr>
      <w:r w:rsidRPr="002F2711">
        <w:rPr>
          <w:lang w:eastAsia="en-AU"/>
        </w:rPr>
        <w:t>Melleu, F. F., M. V. Pinheiro, C. Lino-de-Oliveira, and J. Marino-Neto. 2016. Defensive behaviors and prosencephalic neurogenesis in pigeons (</w:t>
      </w:r>
      <w:r w:rsidRPr="00CB20B0">
        <w:rPr>
          <w:i/>
          <w:lang w:eastAsia="en-AU"/>
        </w:rPr>
        <w:t>Columba livia</w:t>
      </w:r>
      <w:r w:rsidRPr="002F2711">
        <w:rPr>
          <w:lang w:eastAsia="en-AU"/>
        </w:rPr>
        <w:t>) are affected by environmental enrichment in adulthood. Brain Structure &amp; Function 221:2287-2301. doi 10.1007/s00429-015-1043-6</w:t>
      </w:r>
    </w:p>
    <w:p w14:paraId="1F58F353" w14:textId="77777777" w:rsidR="002F2711" w:rsidRPr="002F2711" w:rsidRDefault="002F2711" w:rsidP="002F2711">
      <w:pPr>
        <w:rPr>
          <w:lang w:eastAsia="en-AU"/>
        </w:rPr>
      </w:pPr>
      <w:r w:rsidRPr="002F2711">
        <w:rPr>
          <w:lang w:eastAsia="en-AU"/>
        </w:rPr>
        <w:t>Morand-Ferron, J., E. Lalande, and L. A. Giraldeau. 2009. Large-scale Input Matching by Urban Feral Pigeons (</w:t>
      </w:r>
      <w:r w:rsidRPr="00CB20B0">
        <w:rPr>
          <w:i/>
          <w:lang w:eastAsia="en-AU"/>
        </w:rPr>
        <w:t>Columba livia</w:t>
      </w:r>
      <w:r w:rsidRPr="002F2711">
        <w:rPr>
          <w:lang w:eastAsia="en-AU"/>
        </w:rPr>
        <w:t>). Ethology 115:707-712. doi 10.1111/j.1439-0310.2009.01657.x</w:t>
      </w:r>
    </w:p>
    <w:p w14:paraId="327B865A" w14:textId="77777777" w:rsidR="002F2711" w:rsidRPr="002F2711" w:rsidRDefault="002F2711" w:rsidP="002F2711">
      <w:pPr>
        <w:rPr>
          <w:lang w:eastAsia="en-AU"/>
        </w:rPr>
      </w:pPr>
      <w:r w:rsidRPr="002F2711">
        <w:rPr>
          <w:lang w:eastAsia="en-AU"/>
        </w:rPr>
        <w:t>Pattison, K. F., J. R. Laude, and T. R. Zentall. 2013. Environmental enrichment affects suboptimal, risky, gambling-like choice by pigeons. Animal Cognition 16:429-434. doi 10.1007/s10071-012-0583-x</w:t>
      </w:r>
    </w:p>
    <w:p w14:paraId="47DE044F" w14:textId="77777777" w:rsidR="002F2711" w:rsidRPr="002F2711" w:rsidRDefault="002F2711" w:rsidP="002F2711">
      <w:pPr>
        <w:rPr>
          <w:lang w:eastAsia="en-AU"/>
        </w:rPr>
      </w:pPr>
      <w:r w:rsidRPr="002F2711">
        <w:rPr>
          <w:lang w:eastAsia="en-AU"/>
        </w:rPr>
        <w:t>Soldatini, C., D. Mainardi, N. E. Baldaccini, and D. Giunchi. 2006. A temporal analysis of the foraging flights of feral pigeons (</w:t>
      </w:r>
      <w:r w:rsidRPr="00CB20B0">
        <w:rPr>
          <w:i/>
          <w:lang w:eastAsia="en-AU"/>
        </w:rPr>
        <w:t>Columba livia</w:t>
      </w:r>
      <w:r w:rsidRPr="002F2711">
        <w:rPr>
          <w:lang w:eastAsia="en-AU"/>
        </w:rPr>
        <w:t xml:space="preserve"> f. </w:t>
      </w:r>
      <w:r w:rsidRPr="00CB20B0">
        <w:rPr>
          <w:i/>
          <w:lang w:eastAsia="en-AU"/>
        </w:rPr>
        <w:t>domestica</w:t>
      </w:r>
      <w:r w:rsidRPr="002F2711">
        <w:rPr>
          <w:lang w:eastAsia="en-AU"/>
        </w:rPr>
        <w:t>) from three Italian cities. Italian Journal of Zoology 73:83-92. doi 10.1080/11250000500502210</w:t>
      </w:r>
    </w:p>
    <w:p w14:paraId="2B582DD5" w14:textId="77777777" w:rsidR="002F2711" w:rsidRPr="002F2711" w:rsidRDefault="002F2711" w:rsidP="002F2711">
      <w:pPr>
        <w:rPr>
          <w:lang w:eastAsia="en-AU"/>
        </w:rPr>
      </w:pPr>
      <w:r w:rsidRPr="002F2711">
        <w:rPr>
          <w:lang w:eastAsia="en-AU"/>
        </w:rPr>
        <w:t xml:space="preserve">Stock, B., and D. Haag-Wackernagel. 2016. Food shortage affects reproduction of Feral Pigeons </w:t>
      </w:r>
      <w:r w:rsidRPr="00CB20B0">
        <w:rPr>
          <w:i/>
          <w:lang w:eastAsia="en-AU"/>
        </w:rPr>
        <w:t>Columba livia</w:t>
      </w:r>
      <w:r w:rsidRPr="002F2711">
        <w:rPr>
          <w:lang w:eastAsia="en-AU"/>
        </w:rPr>
        <w:t xml:space="preserve"> at rearing of nestlings. Ibis 158:776-783. doi 10.1111/ibi.12385</w:t>
      </w:r>
    </w:p>
    <w:p w14:paraId="70E303C4" w14:textId="77777777" w:rsidR="002F2711" w:rsidRPr="002F2711" w:rsidRDefault="002F2711" w:rsidP="002F2711">
      <w:pPr>
        <w:rPr>
          <w:lang w:eastAsia="en-AU"/>
        </w:rPr>
      </w:pPr>
      <w:r w:rsidRPr="002F2711">
        <w:rPr>
          <w:lang w:eastAsia="en-AU"/>
        </w:rPr>
        <w:t>Turner, T. 2010. Enrichment for Carneaux pigeons used in behavioral learning research. Lab Animal 39:40-41. doi 10.1038/laban0210-40</w:t>
      </w:r>
    </w:p>
    <w:p w14:paraId="501469AB" w14:textId="77777777" w:rsidR="002F2711" w:rsidRPr="00286A88" w:rsidRDefault="002F2711" w:rsidP="0011697E">
      <w:pPr>
        <w:rPr>
          <w:lang w:val="en-AU" w:eastAsia="en-AU"/>
        </w:rPr>
      </w:pPr>
    </w:p>
    <w:p w14:paraId="3A269B84" w14:textId="77777777" w:rsidR="00286A88" w:rsidRPr="00286A88" w:rsidRDefault="0011697E" w:rsidP="0011697E">
      <w:pPr>
        <w:pStyle w:val="Heading1"/>
        <w:rPr>
          <w:lang w:val="en-AU" w:eastAsia="en-AU"/>
        </w:rPr>
      </w:pPr>
      <w:r>
        <w:rPr>
          <w:sz w:val="22"/>
          <w:szCs w:val="22"/>
          <w:lang w:val="en-AU" w:eastAsia="en-AU"/>
        </w:rPr>
        <w:br w:type="column"/>
      </w:r>
      <w:bookmarkStart w:id="318" w:name="_Toc495310785"/>
      <w:r w:rsidR="00286A88" w:rsidRPr="00286A88">
        <w:rPr>
          <w:lang w:val="en-AU" w:eastAsia="en-AU"/>
        </w:rPr>
        <w:t>Quail</w:t>
      </w:r>
      <w:bookmarkEnd w:id="318"/>
    </w:p>
    <w:p w14:paraId="7628DAFC" w14:textId="77777777" w:rsidR="00286A88" w:rsidRPr="00286A88" w:rsidRDefault="00286A88" w:rsidP="0011697E">
      <w:pPr>
        <w:pStyle w:val="Heading2"/>
        <w:rPr>
          <w:lang w:val="en-AU" w:eastAsia="en-AU"/>
        </w:rPr>
      </w:pPr>
      <w:bookmarkStart w:id="319" w:name="_Toc495310786"/>
      <w:r w:rsidRPr="00286A88">
        <w:rPr>
          <w:lang w:val="en-AU" w:eastAsia="en-AU"/>
        </w:rPr>
        <w:t>Q1. Introduction</w:t>
      </w:r>
      <w:bookmarkEnd w:id="319"/>
    </w:p>
    <w:p w14:paraId="1865F30E" w14:textId="77777777" w:rsidR="00286A88" w:rsidRPr="00286A88" w:rsidRDefault="00286A88" w:rsidP="0011697E">
      <w:pPr>
        <w:pStyle w:val="Heading3"/>
        <w:rPr>
          <w:lang w:val="en-AU" w:eastAsia="en-AU"/>
        </w:rPr>
      </w:pPr>
      <w:bookmarkStart w:id="320" w:name="_Toc495310787"/>
      <w:r w:rsidRPr="00286A88">
        <w:rPr>
          <w:lang w:val="en-AU" w:eastAsia="en-AU"/>
        </w:rPr>
        <w:t>Q1.1 Life history</w:t>
      </w:r>
      <w:bookmarkEnd w:id="320"/>
    </w:p>
    <w:p w14:paraId="1A2A1D28" w14:textId="77777777" w:rsidR="00286A88" w:rsidRPr="00286A88" w:rsidRDefault="00286A88" w:rsidP="0011697E">
      <w:pPr>
        <w:rPr>
          <w:lang w:val="en-AU" w:eastAsia="en-AU"/>
        </w:rPr>
      </w:pPr>
      <w:r w:rsidRPr="00286A88">
        <w:rPr>
          <w:lang w:val="en-AU" w:eastAsia="en-AU"/>
        </w:rPr>
        <w:t>Domestic quail, bred from Japanese quail (</w:t>
      </w:r>
      <w:r w:rsidRPr="00286A88">
        <w:rPr>
          <w:i/>
          <w:lang w:val="en-AU" w:eastAsia="en-AU"/>
        </w:rPr>
        <w:t>Coturnix japonica</w:t>
      </w:r>
      <w:r w:rsidRPr="00286A88">
        <w:rPr>
          <w:lang w:val="en-AU" w:eastAsia="en-AU"/>
        </w:rPr>
        <w:t xml:space="preserve">), are farmed for meat and eggs throughout much of the world. Despite an increase in size and egg production domestic quail are not genetically or behaviourally markedly different from wild birds </w:t>
      </w:r>
      <w:r w:rsidRPr="00286A88">
        <w:rPr>
          <w:noProof/>
          <w:lang w:val="en-AU" w:eastAsia="en-AU"/>
        </w:rPr>
        <w:t>(Schmid and Wechsler, 1997; Chang et al., 2009)</w:t>
      </w:r>
      <w:r w:rsidRPr="00286A88">
        <w:rPr>
          <w:lang w:val="en-AU" w:eastAsia="en-AU"/>
        </w:rPr>
        <w:t>. Frequently farmed quail are group-housed in intensive conditions with little enrichment and may be subject to beak reduction. Quail have been a model species for much fundamental experimental work aiming to understand the biological basis for stress responses, emotional reactivity and sociability, with genetically diverging lines often being utilised in such studies.</w:t>
      </w:r>
    </w:p>
    <w:p w14:paraId="5CAD3C6E" w14:textId="77777777" w:rsidR="00286A88" w:rsidRPr="00286A88" w:rsidRDefault="00286A88" w:rsidP="0011697E">
      <w:pPr>
        <w:rPr>
          <w:lang w:val="en-AU" w:eastAsia="en-AU"/>
        </w:rPr>
      </w:pPr>
      <w:r w:rsidRPr="00286A88">
        <w:rPr>
          <w:lang w:val="en-AU" w:eastAsia="en-AU"/>
        </w:rPr>
        <w:t xml:space="preserve">In the wild Japanese quail are small, ground-nesting, grain and insect-eating birds originating from East Asia. Under semi-natural conditions they show a strong preference for spending time in areas of vegetative cover (48% of time vs 17% of floor area with cover) as well as laying eggs in cover </w:t>
      </w:r>
      <w:r w:rsidRPr="00286A88">
        <w:rPr>
          <w:noProof/>
          <w:lang w:val="en-AU" w:eastAsia="en-AU"/>
        </w:rPr>
        <w:t>(Schmid and Wechsler, 1997)</w:t>
      </w:r>
      <w:r w:rsidRPr="00286A88">
        <w:rPr>
          <w:lang w:val="en-AU" w:eastAsia="en-AU"/>
        </w:rPr>
        <w:t xml:space="preserve">. These quail spent much of their time walking/running (24%) and pecking/scratching (8%) in likely foraging activity. Although a migratory bird, under semi-natural conditions during the breeding season, flight was rarely observed, as was perching, even at night. ‘Close relationships’ formed between some pairs of birds during the breeding season but broke up when breeding was over. Chasing and pecking other birds, sometimes resulting in severe injuries, were most commonly observed between cocks, and never between two hens </w:t>
      </w:r>
      <w:r w:rsidRPr="00286A88">
        <w:rPr>
          <w:noProof/>
          <w:lang w:val="en-AU" w:eastAsia="en-AU"/>
        </w:rPr>
        <w:t>(Schmid and Wechsler, 1997)</w:t>
      </w:r>
      <w:r w:rsidRPr="00286A88">
        <w:rPr>
          <w:lang w:val="en-AU" w:eastAsia="en-AU"/>
        </w:rPr>
        <w:t xml:space="preserve">. Preening and dust-bathing occurred frequently (12% and 2% of time respectively) and dust-bathing mostly occurred on soil </w:t>
      </w:r>
      <w:r w:rsidRPr="00286A88">
        <w:rPr>
          <w:noProof/>
          <w:lang w:val="en-AU" w:eastAsia="en-AU"/>
        </w:rPr>
        <w:t>(Schmid and Wechsler, 1997)</w:t>
      </w:r>
      <w:r w:rsidRPr="00286A88">
        <w:rPr>
          <w:lang w:val="en-AU" w:eastAsia="en-AU"/>
        </w:rPr>
        <w:t>.</w:t>
      </w:r>
    </w:p>
    <w:p w14:paraId="7CF42AF0" w14:textId="77777777" w:rsidR="00286A88" w:rsidRPr="00286A88" w:rsidRDefault="00286A88" w:rsidP="0011697E">
      <w:pPr>
        <w:rPr>
          <w:lang w:val="en-AU" w:eastAsia="en-AU"/>
        </w:rPr>
      </w:pPr>
      <w:r w:rsidRPr="00286A88">
        <w:rPr>
          <w:lang w:val="en-AU" w:eastAsia="en-AU"/>
        </w:rPr>
        <w:t>Quail are thus similar to hens in being ground dwelling and nesting, rarely flying, eating grains and insects and engaging in dust-bathing. However, they differ from hens in their social structure and by remaining on the ground, not perching, at night. These biological differences should be borne in mind when extrapolating from welfare literature on chickens.</w:t>
      </w:r>
    </w:p>
    <w:p w14:paraId="3E20375E" w14:textId="77777777" w:rsidR="00286A88" w:rsidRPr="00286A88" w:rsidRDefault="00286A88" w:rsidP="0011697E">
      <w:pPr>
        <w:pStyle w:val="Heading2"/>
        <w:rPr>
          <w:lang w:val="en-AU" w:eastAsia="en-AU"/>
        </w:rPr>
      </w:pPr>
      <w:bookmarkStart w:id="321" w:name="_Toc495310788"/>
      <w:r w:rsidRPr="00286A88">
        <w:rPr>
          <w:lang w:val="en-AU" w:eastAsia="en-AU"/>
        </w:rPr>
        <w:t>Q2. Risk Management</w:t>
      </w:r>
      <w:bookmarkEnd w:id="321"/>
    </w:p>
    <w:p w14:paraId="74F8E67D" w14:textId="77777777" w:rsidR="00286A88" w:rsidRPr="00286A88" w:rsidRDefault="00286A88" w:rsidP="0011697E">
      <w:pPr>
        <w:pStyle w:val="Heading3"/>
        <w:rPr>
          <w:lang w:val="en-AU" w:eastAsia="en-AU"/>
        </w:rPr>
      </w:pPr>
      <w:bookmarkStart w:id="322" w:name="_Toc495310789"/>
      <w:r w:rsidRPr="00286A88">
        <w:rPr>
          <w:lang w:val="en-AU" w:eastAsia="en-AU"/>
        </w:rPr>
        <w:t>Q2.1 Injurious pecking</w:t>
      </w:r>
      <w:bookmarkEnd w:id="322"/>
      <w:r w:rsidRPr="00286A88">
        <w:rPr>
          <w:lang w:val="en-AU" w:eastAsia="en-AU"/>
        </w:rPr>
        <w:t xml:space="preserve"> </w:t>
      </w:r>
    </w:p>
    <w:p w14:paraId="0BAF4558" w14:textId="77777777" w:rsidR="00286A88" w:rsidRPr="00286A88" w:rsidRDefault="00286A88" w:rsidP="0011697E">
      <w:pPr>
        <w:rPr>
          <w:sz w:val="24"/>
          <w:szCs w:val="24"/>
          <w:lang w:val="en-AU" w:eastAsia="en-AU"/>
        </w:rPr>
      </w:pPr>
      <w:r w:rsidRPr="00286A88">
        <w:rPr>
          <w:lang w:val="en-AU" w:eastAsia="en-AU"/>
        </w:rPr>
        <w:t xml:space="preserve">Groups of quail may show aggressive pecking, particularly to the head, and signs of feather loss and injuries due to pecking </w:t>
      </w:r>
      <w:r w:rsidRPr="00286A88">
        <w:rPr>
          <w:noProof/>
          <w:lang w:val="en-AU" w:eastAsia="en-AU"/>
        </w:rPr>
        <w:t>(Taskin and Camci, 2017)</w:t>
      </w:r>
      <w:r w:rsidRPr="00286A88">
        <w:rPr>
          <w:lang w:val="en-AU" w:eastAsia="en-AU"/>
        </w:rPr>
        <w:t>. Aggressive pecking in male quail can be a significant welfare problem due to serious head injuries (Wechsler and Schmid, 1998). Varying environmental variables (visual barriers, age of introduction to pens, ratio of hens to males, light intensity) did not reduc</w:t>
      </w:r>
      <w:r w:rsidR="008D2CE1">
        <w:rPr>
          <w:lang w:val="en-AU" w:eastAsia="en-AU"/>
        </w:rPr>
        <w:t>e serious head injuries in multi</w:t>
      </w:r>
      <w:r w:rsidRPr="00286A88">
        <w:rPr>
          <w:lang w:val="en-AU" w:eastAsia="en-AU"/>
        </w:rPr>
        <w:t>-male groups. In single-male groups no ser</w:t>
      </w:r>
      <w:r w:rsidR="008D2CE1">
        <w:rPr>
          <w:lang w:val="en-AU" w:eastAsia="en-AU"/>
        </w:rPr>
        <w:t>i</w:t>
      </w:r>
      <w:r w:rsidRPr="00286A88">
        <w:rPr>
          <w:lang w:val="en-AU" w:eastAsia="en-AU"/>
        </w:rPr>
        <w:t>ous injuries were noted and high rates of fertilised eggs were obtained. For these reasons, Wechsler and Schmid (1998) recommended that multi-male breeding groups should not be used. Mixing groups of male quail by adding an unfamiliar bird increases aggression (Edens et al., 1983; Francois et al., 2000). It may be possible to select for reduced aggression in males but the impact of the environment on associated traits appears to be important (Nol et al., 1996).</w:t>
      </w:r>
    </w:p>
    <w:p w14:paraId="5E04053A" w14:textId="77777777" w:rsidR="00286A88" w:rsidRPr="00286A88" w:rsidRDefault="00286A88" w:rsidP="0011697E">
      <w:pPr>
        <w:pStyle w:val="Heading2"/>
        <w:rPr>
          <w:lang w:val="en-AU" w:eastAsia="en-AU"/>
        </w:rPr>
      </w:pPr>
      <w:bookmarkStart w:id="323" w:name="_Toc495310790"/>
      <w:r w:rsidRPr="00286A88">
        <w:rPr>
          <w:lang w:val="en-AU" w:eastAsia="en-AU"/>
        </w:rPr>
        <w:t>Q3. Facilities and Equipment: Behavioural Usage</w:t>
      </w:r>
      <w:bookmarkEnd w:id="323"/>
    </w:p>
    <w:p w14:paraId="5B496E1E" w14:textId="77777777" w:rsidR="00286A88" w:rsidRPr="00286A88" w:rsidRDefault="00286A88" w:rsidP="0011697E">
      <w:pPr>
        <w:pStyle w:val="Heading3"/>
        <w:rPr>
          <w:lang w:val="en-AU" w:eastAsia="en-AU"/>
        </w:rPr>
      </w:pPr>
      <w:bookmarkStart w:id="324" w:name="_Toc495310791"/>
      <w:r w:rsidRPr="00286A88">
        <w:rPr>
          <w:lang w:val="en-AU" w:eastAsia="en-AU"/>
        </w:rPr>
        <w:t>Q3.1 Enriched vs barren cages</w:t>
      </w:r>
      <w:bookmarkEnd w:id="324"/>
    </w:p>
    <w:p w14:paraId="2B124BE4" w14:textId="77777777" w:rsidR="00286A88" w:rsidRPr="00286A88" w:rsidRDefault="00286A88" w:rsidP="0011697E">
      <w:pPr>
        <w:rPr>
          <w:lang w:val="en-AU" w:eastAsia="en-AU"/>
        </w:rPr>
      </w:pPr>
      <w:r w:rsidRPr="00286A88">
        <w:rPr>
          <w:lang w:val="en-AU" w:eastAsia="en-AU"/>
        </w:rPr>
        <w:t>Quail reared in groups of eight in an ‘enriched aviary’ rather than a ‘battery cage’, in an attempt to mimic possible commercial conditions, showed a marked welfare benefit. The enriched aviary had a larger size and therefore lower stocking density (5.2 vs 29.6 quail/m</w:t>
      </w:r>
      <w:r w:rsidRPr="00286A88">
        <w:rPr>
          <w:vertAlign w:val="superscript"/>
          <w:lang w:val="en-AU" w:eastAsia="en-AU"/>
        </w:rPr>
        <w:t>2</w:t>
      </w:r>
      <w:r w:rsidRPr="00286A88">
        <w:rPr>
          <w:lang w:val="en-AU" w:eastAsia="en-AU"/>
        </w:rPr>
        <w:t xml:space="preserve">), height that allowed for flying (162 cm vs 27 cm), 2.5 cm sawdust bedding, sand-bathing area of 0.30 x 1.10 cm, three perches and two wood nests measuring 0.25 x 0.11 x 0.10 cm. Feed, water, lighting and temperature were identical between the systems. Quail in the enriched aviary engaged in fewer agonistic behaviours and utilised the sand bath and occasionally the opportunity for flight (see Table Q1). Perching was not observed. Several haematological parameters, including reduced heterophil/lymphocyte ratio, were significantly better in the enriched aviary. However, faecal glucocorticoid was significantly higher in the enriched aviary, suggested by the authors to be due to a greater level of disturbance to the birds required to collect samples in the aviary </w:t>
      </w:r>
      <w:r w:rsidR="00883C93">
        <w:rPr>
          <w:noProof/>
          <w:lang w:val="en-AU" w:eastAsia="en-AU"/>
        </w:rPr>
        <w:t xml:space="preserve">(Nordi </w:t>
      </w:r>
      <w:r w:rsidRPr="00286A88">
        <w:rPr>
          <w:noProof/>
          <w:lang w:val="en-AU" w:eastAsia="en-AU"/>
        </w:rPr>
        <w:t>et al., 2012)</w:t>
      </w:r>
      <w:r w:rsidRPr="00286A88">
        <w:rPr>
          <w:lang w:val="en-AU" w:eastAsia="en-AU"/>
        </w:rPr>
        <w:t>.</w:t>
      </w:r>
    </w:p>
    <w:p w14:paraId="77F63F3E" w14:textId="77777777" w:rsidR="00286A88" w:rsidRDefault="0011697E" w:rsidP="0011697E">
      <w:pPr>
        <w:spacing w:before="240" w:after="240"/>
        <w:rPr>
          <w:b/>
          <w:lang w:val="en-AU" w:eastAsia="en-AU"/>
        </w:rPr>
      </w:pPr>
      <w:r>
        <w:rPr>
          <w:b/>
          <w:lang w:val="en-AU" w:eastAsia="en-AU"/>
        </w:rPr>
        <w:br w:type="column"/>
      </w:r>
      <w:r w:rsidR="00286A88" w:rsidRPr="0011697E">
        <w:rPr>
          <w:b/>
          <w:lang w:val="en-AU" w:eastAsia="en-AU"/>
        </w:rPr>
        <w:t xml:space="preserve">Table Q1: Ethogram of 12 quails per treatment, in battery cages or enriched aviaries, two days of observation, 11 consecutive hours during the light period </w:t>
      </w:r>
      <w:r>
        <w:rPr>
          <w:b/>
          <w:noProof/>
          <w:lang w:val="en-AU" w:eastAsia="en-AU"/>
        </w:rPr>
        <w:t xml:space="preserve">(Nordi </w:t>
      </w:r>
      <w:r w:rsidR="00286A88" w:rsidRPr="0011697E">
        <w:rPr>
          <w:b/>
          <w:noProof/>
          <w:lang w:val="en-AU" w:eastAsia="en-AU"/>
        </w:rPr>
        <w:t>et al., 2012)</w:t>
      </w:r>
    </w:p>
    <w:tbl>
      <w:tblPr>
        <w:tblStyle w:val="TableGrid"/>
        <w:tblW w:w="0" w:type="auto"/>
        <w:tblLook w:val="04A0" w:firstRow="1" w:lastRow="0" w:firstColumn="1" w:lastColumn="0" w:noHBand="0" w:noVBand="1"/>
        <w:tblCaption w:val="Table Q1: Ethogram of 12 quails per treatment, in battery cages or enriched aviaries, two days of observation, 11 consecutive hours during the light period"/>
        <w:tblDescription w:val="This table shows the number of observations of different behavioural activities of quails over an 11 hour period of light. The left hand column lists the 11 behavioural activities scored. The middle column lists the number of observations of each activity counted for the 12 quails in the battery cage treatment. The right hand column lists the number of observations of each activity counted for the 12 quails in the enriched aviary treatment."/>
      </w:tblPr>
      <w:tblGrid>
        <w:gridCol w:w="2235"/>
        <w:gridCol w:w="1559"/>
        <w:gridCol w:w="1559"/>
      </w:tblGrid>
      <w:tr w:rsidR="0011697E" w14:paraId="5FB0216C" w14:textId="77777777" w:rsidTr="0077669D">
        <w:trPr>
          <w:tblHeader/>
        </w:trPr>
        <w:tc>
          <w:tcPr>
            <w:tcW w:w="2235" w:type="dxa"/>
            <w:vMerge w:val="restart"/>
            <w:vAlign w:val="bottom"/>
          </w:tcPr>
          <w:p w14:paraId="3CE5306C" w14:textId="77777777" w:rsidR="0011697E" w:rsidRPr="0011697E" w:rsidRDefault="0011697E" w:rsidP="0077669D">
            <w:pPr>
              <w:rPr>
                <w:lang w:val="en-AU" w:eastAsia="en-AU"/>
              </w:rPr>
            </w:pPr>
            <w:r>
              <w:rPr>
                <w:lang w:val="en-AU" w:eastAsia="en-AU"/>
              </w:rPr>
              <w:t>Behavioural activity</w:t>
            </w:r>
          </w:p>
        </w:tc>
        <w:tc>
          <w:tcPr>
            <w:tcW w:w="3118" w:type="dxa"/>
            <w:gridSpan w:val="2"/>
          </w:tcPr>
          <w:p w14:paraId="3F7F85A9" w14:textId="77777777" w:rsidR="00880386" w:rsidRDefault="0011697E" w:rsidP="00880386">
            <w:pPr>
              <w:pStyle w:val="NoSpacing"/>
              <w:jc w:val="center"/>
              <w:rPr>
                <w:lang w:val="en-AU" w:eastAsia="en-AU"/>
              </w:rPr>
            </w:pPr>
            <w:r>
              <w:rPr>
                <w:lang w:val="en-AU" w:eastAsia="en-AU"/>
              </w:rPr>
              <w:t>Number of obser</w:t>
            </w:r>
            <w:r w:rsidR="00880386">
              <w:rPr>
                <w:lang w:val="en-AU" w:eastAsia="en-AU"/>
              </w:rPr>
              <w:t>vations, instantaneous sampling</w:t>
            </w:r>
          </w:p>
          <w:p w14:paraId="1A3789DA" w14:textId="77777777" w:rsidR="0011697E" w:rsidRDefault="0011697E" w:rsidP="00880386">
            <w:pPr>
              <w:jc w:val="center"/>
              <w:rPr>
                <w:b/>
                <w:lang w:val="en-AU" w:eastAsia="en-AU"/>
              </w:rPr>
            </w:pPr>
            <w:r>
              <w:rPr>
                <w:lang w:val="en-AU" w:eastAsia="en-AU"/>
              </w:rPr>
              <w:t>(Ethogram, %)</w:t>
            </w:r>
          </w:p>
        </w:tc>
      </w:tr>
      <w:tr w:rsidR="0011697E" w14:paraId="42227C0E" w14:textId="77777777" w:rsidTr="00C30DC0">
        <w:trPr>
          <w:tblHeader/>
        </w:trPr>
        <w:tc>
          <w:tcPr>
            <w:tcW w:w="2235" w:type="dxa"/>
            <w:vMerge/>
          </w:tcPr>
          <w:p w14:paraId="02FF130A" w14:textId="77777777" w:rsidR="0011697E" w:rsidRDefault="0011697E" w:rsidP="0011697E">
            <w:pPr>
              <w:rPr>
                <w:b/>
                <w:lang w:val="en-AU" w:eastAsia="en-AU"/>
              </w:rPr>
            </w:pPr>
          </w:p>
        </w:tc>
        <w:tc>
          <w:tcPr>
            <w:tcW w:w="1559" w:type="dxa"/>
          </w:tcPr>
          <w:p w14:paraId="0E8A2234" w14:textId="77777777" w:rsidR="0011697E" w:rsidRPr="0011697E" w:rsidRDefault="0011697E" w:rsidP="005800A2">
            <w:pPr>
              <w:jc w:val="center"/>
              <w:rPr>
                <w:lang w:val="en-AU" w:eastAsia="en-AU"/>
              </w:rPr>
            </w:pPr>
            <w:r w:rsidRPr="0011697E">
              <w:rPr>
                <w:lang w:val="en-AU" w:eastAsia="en-AU"/>
              </w:rPr>
              <w:t>Battery Cage</w:t>
            </w:r>
          </w:p>
        </w:tc>
        <w:tc>
          <w:tcPr>
            <w:tcW w:w="1559" w:type="dxa"/>
          </w:tcPr>
          <w:p w14:paraId="644EE7E1" w14:textId="77777777" w:rsidR="0011697E" w:rsidRPr="0011697E" w:rsidRDefault="0011697E" w:rsidP="005800A2">
            <w:pPr>
              <w:jc w:val="center"/>
              <w:rPr>
                <w:lang w:val="en-AU" w:eastAsia="en-AU"/>
              </w:rPr>
            </w:pPr>
            <w:r w:rsidRPr="0011697E">
              <w:rPr>
                <w:lang w:val="en-AU" w:eastAsia="en-AU"/>
              </w:rPr>
              <w:t>Enriched Aviary</w:t>
            </w:r>
          </w:p>
        </w:tc>
      </w:tr>
      <w:tr w:rsidR="0011697E" w14:paraId="0CB5ABF2" w14:textId="77777777" w:rsidTr="00880386">
        <w:tc>
          <w:tcPr>
            <w:tcW w:w="2235" w:type="dxa"/>
          </w:tcPr>
          <w:p w14:paraId="3FFDEC58" w14:textId="77777777" w:rsidR="0011697E" w:rsidRPr="0011697E" w:rsidRDefault="0011697E" w:rsidP="0011697E">
            <w:pPr>
              <w:rPr>
                <w:lang w:val="en-AU" w:eastAsia="en-AU"/>
              </w:rPr>
            </w:pPr>
            <w:r w:rsidRPr="0011697E">
              <w:rPr>
                <w:lang w:val="en-AU" w:eastAsia="en-AU"/>
              </w:rPr>
              <w:t>Eating</w:t>
            </w:r>
          </w:p>
        </w:tc>
        <w:tc>
          <w:tcPr>
            <w:tcW w:w="1559" w:type="dxa"/>
          </w:tcPr>
          <w:p w14:paraId="0B60BBD9" w14:textId="77777777" w:rsidR="0011697E" w:rsidRPr="0011697E" w:rsidRDefault="00E93B1B" w:rsidP="00717E9C">
            <w:pPr>
              <w:jc w:val="center"/>
              <w:rPr>
                <w:lang w:val="en-AU" w:eastAsia="en-AU"/>
              </w:rPr>
            </w:pPr>
            <w:r>
              <w:rPr>
                <w:lang w:val="en-AU" w:eastAsia="en-AU"/>
              </w:rPr>
              <w:t>560(13.</w:t>
            </w:r>
            <w:r w:rsidR="00880386">
              <w:rPr>
                <w:lang w:val="en-AU" w:eastAsia="en-AU"/>
              </w:rPr>
              <w:t>32)</w:t>
            </w:r>
          </w:p>
        </w:tc>
        <w:tc>
          <w:tcPr>
            <w:tcW w:w="1559" w:type="dxa"/>
          </w:tcPr>
          <w:p w14:paraId="19131913" w14:textId="77777777" w:rsidR="0011697E" w:rsidRPr="0011697E" w:rsidRDefault="00E93B1B" w:rsidP="00717E9C">
            <w:pPr>
              <w:jc w:val="center"/>
              <w:rPr>
                <w:lang w:val="en-AU" w:eastAsia="en-AU"/>
              </w:rPr>
            </w:pPr>
            <w:r>
              <w:rPr>
                <w:lang w:val="en-AU" w:eastAsia="en-AU"/>
              </w:rPr>
              <w:t>375(8.</w:t>
            </w:r>
            <w:r w:rsidR="00717E9C">
              <w:rPr>
                <w:lang w:val="en-AU" w:eastAsia="en-AU"/>
              </w:rPr>
              <w:t>41)</w:t>
            </w:r>
          </w:p>
        </w:tc>
      </w:tr>
      <w:tr w:rsidR="0011697E" w14:paraId="2FC1B4FE" w14:textId="77777777" w:rsidTr="00880386">
        <w:tc>
          <w:tcPr>
            <w:tcW w:w="2235" w:type="dxa"/>
          </w:tcPr>
          <w:p w14:paraId="309225AD" w14:textId="77777777" w:rsidR="0011697E" w:rsidRPr="0011697E" w:rsidRDefault="0011697E" w:rsidP="0011697E">
            <w:pPr>
              <w:rPr>
                <w:lang w:val="en-AU" w:eastAsia="en-AU"/>
              </w:rPr>
            </w:pPr>
            <w:r>
              <w:rPr>
                <w:lang w:val="en-AU" w:eastAsia="en-AU"/>
              </w:rPr>
              <w:t>Drinking</w:t>
            </w:r>
          </w:p>
        </w:tc>
        <w:tc>
          <w:tcPr>
            <w:tcW w:w="1559" w:type="dxa"/>
          </w:tcPr>
          <w:p w14:paraId="71BC319D" w14:textId="77777777" w:rsidR="0011697E" w:rsidRPr="0011697E" w:rsidRDefault="00E93B1B" w:rsidP="00717E9C">
            <w:pPr>
              <w:jc w:val="center"/>
              <w:rPr>
                <w:lang w:val="en-AU" w:eastAsia="en-AU"/>
              </w:rPr>
            </w:pPr>
            <w:r>
              <w:rPr>
                <w:lang w:val="en-AU" w:eastAsia="en-AU"/>
              </w:rPr>
              <w:t>112(2.</w:t>
            </w:r>
            <w:r w:rsidR="00880386">
              <w:rPr>
                <w:lang w:val="en-AU" w:eastAsia="en-AU"/>
              </w:rPr>
              <w:t>66)</w:t>
            </w:r>
            <w:r w:rsidR="00717E9C">
              <w:rPr>
                <w:lang w:val="en-AU" w:eastAsia="en-AU"/>
              </w:rPr>
              <w:t>*</w:t>
            </w:r>
          </w:p>
        </w:tc>
        <w:tc>
          <w:tcPr>
            <w:tcW w:w="1559" w:type="dxa"/>
          </w:tcPr>
          <w:p w14:paraId="5BC85715" w14:textId="77777777" w:rsidR="0011697E" w:rsidRPr="0011697E" w:rsidRDefault="00E93B1B" w:rsidP="00717E9C">
            <w:pPr>
              <w:jc w:val="center"/>
              <w:rPr>
                <w:lang w:val="en-AU" w:eastAsia="en-AU"/>
              </w:rPr>
            </w:pPr>
            <w:r>
              <w:rPr>
                <w:lang w:val="en-AU" w:eastAsia="en-AU"/>
              </w:rPr>
              <w:t>55(1.</w:t>
            </w:r>
            <w:r w:rsidR="00717E9C">
              <w:rPr>
                <w:lang w:val="en-AU" w:eastAsia="en-AU"/>
              </w:rPr>
              <w:t>23)*</w:t>
            </w:r>
          </w:p>
        </w:tc>
      </w:tr>
      <w:tr w:rsidR="0011697E" w14:paraId="77F3834A" w14:textId="77777777" w:rsidTr="00880386">
        <w:tc>
          <w:tcPr>
            <w:tcW w:w="2235" w:type="dxa"/>
          </w:tcPr>
          <w:p w14:paraId="3549517C" w14:textId="77777777" w:rsidR="0011697E" w:rsidRPr="0011697E" w:rsidRDefault="0011697E" w:rsidP="0011697E">
            <w:pPr>
              <w:rPr>
                <w:lang w:val="en-AU" w:eastAsia="en-AU"/>
              </w:rPr>
            </w:pPr>
            <w:r>
              <w:rPr>
                <w:lang w:val="en-AU" w:eastAsia="en-AU"/>
              </w:rPr>
              <w:t>Agnostic behaviour</w:t>
            </w:r>
          </w:p>
        </w:tc>
        <w:tc>
          <w:tcPr>
            <w:tcW w:w="1559" w:type="dxa"/>
          </w:tcPr>
          <w:p w14:paraId="58C7DA63" w14:textId="77777777" w:rsidR="0011697E" w:rsidRPr="0011697E" w:rsidRDefault="00E93B1B" w:rsidP="00717E9C">
            <w:pPr>
              <w:jc w:val="center"/>
              <w:rPr>
                <w:lang w:val="en-AU" w:eastAsia="en-AU"/>
              </w:rPr>
            </w:pPr>
            <w:r>
              <w:rPr>
                <w:lang w:val="en-AU" w:eastAsia="en-AU"/>
              </w:rPr>
              <w:t>94(2.</w:t>
            </w:r>
            <w:r w:rsidR="00880386">
              <w:rPr>
                <w:lang w:val="en-AU" w:eastAsia="en-AU"/>
              </w:rPr>
              <w:t>24)</w:t>
            </w:r>
            <w:r w:rsidR="00717E9C">
              <w:rPr>
                <w:lang w:val="en-AU" w:eastAsia="en-AU"/>
              </w:rPr>
              <w:t>*</w:t>
            </w:r>
          </w:p>
        </w:tc>
        <w:tc>
          <w:tcPr>
            <w:tcW w:w="1559" w:type="dxa"/>
          </w:tcPr>
          <w:p w14:paraId="0611E7BA" w14:textId="77777777" w:rsidR="0011697E" w:rsidRPr="0011697E" w:rsidRDefault="00E93B1B" w:rsidP="00717E9C">
            <w:pPr>
              <w:jc w:val="center"/>
              <w:rPr>
                <w:lang w:val="en-AU" w:eastAsia="en-AU"/>
              </w:rPr>
            </w:pPr>
            <w:r>
              <w:rPr>
                <w:lang w:val="en-AU" w:eastAsia="en-AU"/>
              </w:rPr>
              <w:t>24(0.</w:t>
            </w:r>
            <w:r w:rsidR="00717E9C">
              <w:rPr>
                <w:lang w:val="en-AU" w:eastAsia="en-AU"/>
              </w:rPr>
              <w:t>54)*</w:t>
            </w:r>
          </w:p>
        </w:tc>
      </w:tr>
      <w:tr w:rsidR="0011697E" w14:paraId="3D4FEE53" w14:textId="77777777" w:rsidTr="00880386">
        <w:tc>
          <w:tcPr>
            <w:tcW w:w="2235" w:type="dxa"/>
          </w:tcPr>
          <w:p w14:paraId="54009AFA" w14:textId="77777777" w:rsidR="0011697E" w:rsidRPr="0011697E" w:rsidRDefault="0011697E" w:rsidP="0011697E">
            <w:pPr>
              <w:rPr>
                <w:lang w:val="en-AU" w:eastAsia="en-AU"/>
              </w:rPr>
            </w:pPr>
            <w:r>
              <w:rPr>
                <w:lang w:val="en-AU" w:eastAsia="en-AU"/>
              </w:rPr>
              <w:t>Wing flapping</w:t>
            </w:r>
          </w:p>
        </w:tc>
        <w:tc>
          <w:tcPr>
            <w:tcW w:w="1559" w:type="dxa"/>
          </w:tcPr>
          <w:p w14:paraId="364654A5" w14:textId="77777777" w:rsidR="0011697E" w:rsidRPr="0011697E" w:rsidRDefault="00E93B1B" w:rsidP="00717E9C">
            <w:pPr>
              <w:jc w:val="center"/>
              <w:rPr>
                <w:lang w:val="en-AU" w:eastAsia="en-AU"/>
              </w:rPr>
            </w:pPr>
            <w:r>
              <w:rPr>
                <w:lang w:val="en-AU" w:eastAsia="en-AU"/>
              </w:rPr>
              <w:t>5(0.</w:t>
            </w:r>
            <w:r w:rsidR="00880386">
              <w:rPr>
                <w:lang w:val="en-AU" w:eastAsia="en-AU"/>
              </w:rPr>
              <w:t>12)</w:t>
            </w:r>
          </w:p>
        </w:tc>
        <w:tc>
          <w:tcPr>
            <w:tcW w:w="1559" w:type="dxa"/>
          </w:tcPr>
          <w:p w14:paraId="432A0007" w14:textId="77777777" w:rsidR="0011697E" w:rsidRPr="0011697E" w:rsidRDefault="00E93B1B" w:rsidP="00717E9C">
            <w:pPr>
              <w:jc w:val="center"/>
              <w:rPr>
                <w:lang w:val="en-AU" w:eastAsia="en-AU"/>
              </w:rPr>
            </w:pPr>
            <w:r>
              <w:rPr>
                <w:lang w:val="en-AU" w:eastAsia="en-AU"/>
              </w:rPr>
              <w:t>1(0.</w:t>
            </w:r>
            <w:r w:rsidR="00717E9C">
              <w:rPr>
                <w:lang w:val="en-AU" w:eastAsia="en-AU"/>
              </w:rPr>
              <w:t>02)</w:t>
            </w:r>
          </w:p>
        </w:tc>
      </w:tr>
      <w:tr w:rsidR="0011697E" w14:paraId="4019FFF8" w14:textId="77777777" w:rsidTr="00880386">
        <w:tc>
          <w:tcPr>
            <w:tcW w:w="2235" w:type="dxa"/>
          </w:tcPr>
          <w:p w14:paraId="3E76C191" w14:textId="77777777" w:rsidR="0011697E" w:rsidRPr="0011697E" w:rsidRDefault="0011697E" w:rsidP="0011697E">
            <w:pPr>
              <w:rPr>
                <w:lang w:val="en-AU" w:eastAsia="en-AU"/>
              </w:rPr>
            </w:pPr>
            <w:r>
              <w:rPr>
                <w:lang w:val="en-AU" w:eastAsia="en-AU"/>
              </w:rPr>
              <w:t>Open beak</w:t>
            </w:r>
          </w:p>
        </w:tc>
        <w:tc>
          <w:tcPr>
            <w:tcW w:w="1559" w:type="dxa"/>
          </w:tcPr>
          <w:p w14:paraId="6CECA23A" w14:textId="77777777" w:rsidR="0011697E" w:rsidRPr="0011697E" w:rsidRDefault="00E93B1B" w:rsidP="00717E9C">
            <w:pPr>
              <w:jc w:val="center"/>
              <w:rPr>
                <w:lang w:val="en-AU" w:eastAsia="en-AU"/>
              </w:rPr>
            </w:pPr>
            <w:r>
              <w:rPr>
                <w:lang w:val="en-AU" w:eastAsia="en-AU"/>
              </w:rPr>
              <w:t>4(0.</w:t>
            </w:r>
            <w:r w:rsidR="00880386">
              <w:rPr>
                <w:lang w:val="en-AU" w:eastAsia="en-AU"/>
              </w:rPr>
              <w:t>10)</w:t>
            </w:r>
          </w:p>
        </w:tc>
        <w:tc>
          <w:tcPr>
            <w:tcW w:w="1559" w:type="dxa"/>
          </w:tcPr>
          <w:p w14:paraId="4D188102" w14:textId="77777777" w:rsidR="0011697E" w:rsidRPr="0011697E" w:rsidRDefault="00E93B1B" w:rsidP="00717E9C">
            <w:pPr>
              <w:jc w:val="center"/>
              <w:rPr>
                <w:lang w:val="en-AU" w:eastAsia="en-AU"/>
              </w:rPr>
            </w:pPr>
            <w:r>
              <w:rPr>
                <w:lang w:val="en-AU" w:eastAsia="en-AU"/>
              </w:rPr>
              <w:t>0(0.</w:t>
            </w:r>
            <w:r w:rsidR="00717E9C">
              <w:rPr>
                <w:lang w:val="en-AU" w:eastAsia="en-AU"/>
              </w:rPr>
              <w:t>00)</w:t>
            </w:r>
          </w:p>
        </w:tc>
      </w:tr>
      <w:tr w:rsidR="0011697E" w14:paraId="01782D5E" w14:textId="77777777" w:rsidTr="00880386">
        <w:tc>
          <w:tcPr>
            <w:tcW w:w="2235" w:type="dxa"/>
          </w:tcPr>
          <w:p w14:paraId="407DA98E" w14:textId="77777777" w:rsidR="0011697E" w:rsidRPr="0011697E" w:rsidRDefault="0011697E" w:rsidP="0011697E">
            <w:pPr>
              <w:rPr>
                <w:lang w:val="en-AU" w:eastAsia="en-AU"/>
              </w:rPr>
            </w:pPr>
            <w:r>
              <w:rPr>
                <w:lang w:val="en-AU" w:eastAsia="en-AU"/>
              </w:rPr>
              <w:t>Vocalisation</w:t>
            </w:r>
          </w:p>
        </w:tc>
        <w:tc>
          <w:tcPr>
            <w:tcW w:w="1559" w:type="dxa"/>
          </w:tcPr>
          <w:p w14:paraId="2FDE8BF9" w14:textId="77777777" w:rsidR="0011697E" w:rsidRPr="0011697E" w:rsidRDefault="00880386" w:rsidP="00E93B1B">
            <w:pPr>
              <w:jc w:val="center"/>
              <w:rPr>
                <w:lang w:val="en-AU" w:eastAsia="en-AU"/>
              </w:rPr>
            </w:pPr>
            <w:r>
              <w:rPr>
                <w:lang w:val="en-AU" w:eastAsia="en-AU"/>
              </w:rPr>
              <w:t>15(0</w:t>
            </w:r>
            <w:r w:rsidR="00E93B1B">
              <w:rPr>
                <w:lang w:val="en-AU" w:eastAsia="en-AU"/>
              </w:rPr>
              <w:t>.</w:t>
            </w:r>
            <w:r>
              <w:rPr>
                <w:lang w:val="en-AU" w:eastAsia="en-AU"/>
              </w:rPr>
              <w:t>36)</w:t>
            </w:r>
          </w:p>
        </w:tc>
        <w:tc>
          <w:tcPr>
            <w:tcW w:w="1559" w:type="dxa"/>
          </w:tcPr>
          <w:p w14:paraId="07AC8BB4" w14:textId="77777777" w:rsidR="0011697E" w:rsidRPr="0011697E" w:rsidRDefault="00E93B1B" w:rsidP="00717E9C">
            <w:pPr>
              <w:jc w:val="center"/>
              <w:rPr>
                <w:lang w:val="en-AU" w:eastAsia="en-AU"/>
              </w:rPr>
            </w:pPr>
            <w:r>
              <w:rPr>
                <w:lang w:val="en-AU" w:eastAsia="en-AU"/>
              </w:rPr>
              <w:t>3(0.</w:t>
            </w:r>
            <w:r w:rsidR="00717E9C">
              <w:rPr>
                <w:lang w:val="en-AU" w:eastAsia="en-AU"/>
              </w:rPr>
              <w:t>07)</w:t>
            </w:r>
          </w:p>
        </w:tc>
      </w:tr>
      <w:tr w:rsidR="0011697E" w14:paraId="6E24D046" w14:textId="77777777" w:rsidTr="00880386">
        <w:tc>
          <w:tcPr>
            <w:tcW w:w="2235" w:type="dxa"/>
          </w:tcPr>
          <w:p w14:paraId="7A7132BB" w14:textId="77777777" w:rsidR="0011697E" w:rsidRPr="0011697E" w:rsidRDefault="0011697E" w:rsidP="0011697E">
            <w:pPr>
              <w:rPr>
                <w:lang w:val="en-AU" w:eastAsia="en-AU"/>
              </w:rPr>
            </w:pPr>
            <w:r>
              <w:rPr>
                <w:lang w:val="en-AU" w:eastAsia="en-AU"/>
              </w:rPr>
              <w:t>Sand bathing</w:t>
            </w:r>
          </w:p>
        </w:tc>
        <w:tc>
          <w:tcPr>
            <w:tcW w:w="1559" w:type="dxa"/>
          </w:tcPr>
          <w:p w14:paraId="63B429FE" w14:textId="77777777" w:rsidR="0011697E" w:rsidRPr="0011697E" w:rsidRDefault="00717E9C" w:rsidP="00717E9C">
            <w:pPr>
              <w:jc w:val="center"/>
              <w:rPr>
                <w:lang w:val="en-AU" w:eastAsia="en-AU"/>
              </w:rPr>
            </w:pPr>
            <w:r>
              <w:rPr>
                <w:lang w:val="en-AU" w:eastAsia="en-AU"/>
              </w:rPr>
              <w:t>-</w:t>
            </w:r>
          </w:p>
        </w:tc>
        <w:tc>
          <w:tcPr>
            <w:tcW w:w="1559" w:type="dxa"/>
          </w:tcPr>
          <w:p w14:paraId="11BBD69C" w14:textId="77777777" w:rsidR="0011697E" w:rsidRPr="0011697E" w:rsidRDefault="00717E9C" w:rsidP="00E93B1B">
            <w:pPr>
              <w:jc w:val="center"/>
              <w:rPr>
                <w:lang w:val="en-AU" w:eastAsia="en-AU"/>
              </w:rPr>
            </w:pPr>
            <w:r>
              <w:rPr>
                <w:lang w:val="en-AU" w:eastAsia="en-AU"/>
              </w:rPr>
              <w:t>126(2</w:t>
            </w:r>
            <w:r w:rsidR="00E93B1B">
              <w:rPr>
                <w:lang w:val="en-AU" w:eastAsia="en-AU"/>
              </w:rPr>
              <w:t>.</w:t>
            </w:r>
            <w:r>
              <w:rPr>
                <w:lang w:val="en-AU" w:eastAsia="en-AU"/>
              </w:rPr>
              <w:t>38)</w:t>
            </w:r>
          </w:p>
        </w:tc>
      </w:tr>
      <w:tr w:rsidR="0011697E" w14:paraId="0D428B64" w14:textId="77777777" w:rsidTr="00880386">
        <w:tc>
          <w:tcPr>
            <w:tcW w:w="2235" w:type="dxa"/>
          </w:tcPr>
          <w:p w14:paraId="1556F0B6" w14:textId="77777777" w:rsidR="0011697E" w:rsidRPr="0011697E" w:rsidRDefault="0011697E" w:rsidP="0011697E">
            <w:pPr>
              <w:rPr>
                <w:lang w:val="en-AU" w:eastAsia="en-AU"/>
              </w:rPr>
            </w:pPr>
            <w:r>
              <w:rPr>
                <w:lang w:val="en-AU" w:eastAsia="en-AU"/>
              </w:rPr>
              <w:t>Walking</w:t>
            </w:r>
          </w:p>
        </w:tc>
        <w:tc>
          <w:tcPr>
            <w:tcW w:w="1559" w:type="dxa"/>
          </w:tcPr>
          <w:p w14:paraId="435D4385" w14:textId="77777777" w:rsidR="0011697E" w:rsidRPr="0011697E" w:rsidRDefault="00717E9C" w:rsidP="00E93B1B">
            <w:pPr>
              <w:jc w:val="center"/>
              <w:rPr>
                <w:lang w:val="en-AU" w:eastAsia="en-AU"/>
              </w:rPr>
            </w:pPr>
            <w:r>
              <w:rPr>
                <w:lang w:val="en-AU" w:eastAsia="en-AU"/>
              </w:rPr>
              <w:t>460(10</w:t>
            </w:r>
            <w:r w:rsidR="00E93B1B">
              <w:rPr>
                <w:lang w:val="en-AU" w:eastAsia="en-AU"/>
              </w:rPr>
              <w:t>.</w:t>
            </w:r>
            <w:r>
              <w:rPr>
                <w:lang w:val="en-AU" w:eastAsia="en-AU"/>
              </w:rPr>
              <w:t>94)</w:t>
            </w:r>
          </w:p>
        </w:tc>
        <w:tc>
          <w:tcPr>
            <w:tcW w:w="1559" w:type="dxa"/>
          </w:tcPr>
          <w:p w14:paraId="6BF41124" w14:textId="77777777" w:rsidR="0011697E" w:rsidRPr="0011697E" w:rsidRDefault="00E93B1B" w:rsidP="00717E9C">
            <w:pPr>
              <w:jc w:val="center"/>
              <w:rPr>
                <w:lang w:val="en-AU" w:eastAsia="en-AU"/>
              </w:rPr>
            </w:pPr>
            <w:r>
              <w:rPr>
                <w:lang w:val="en-AU" w:eastAsia="en-AU"/>
              </w:rPr>
              <w:t>418(9.</w:t>
            </w:r>
            <w:r w:rsidR="00717E9C">
              <w:rPr>
                <w:lang w:val="en-AU" w:eastAsia="en-AU"/>
              </w:rPr>
              <w:t>37)</w:t>
            </w:r>
          </w:p>
        </w:tc>
      </w:tr>
      <w:tr w:rsidR="0011697E" w14:paraId="0B079DBD" w14:textId="77777777" w:rsidTr="00880386">
        <w:tc>
          <w:tcPr>
            <w:tcW w:w="2235" w:type="dxa"/>
          </w:tcPr>
          <w:p w14:paraId="4CEA31CD" w14:textId="77777777" w:rsidR="0011697E" w:rsidRPr="0011697E" w:rsidRDefault="0011697E" w:rsidP="0011697E">
            <w:pPr>
              <w:rPr>
                <w:lang w:val="en-AU" w:eastAsia="en-AU"/>
              </w:rPr>
            </w:pPr>
            <w:r>
              <w:rPr>
                <w:lang w:val="en-AU" w:eastAsia="en-AU"/>
              </w:rPr>
              <w:t>Self-grooming</w:t>
            </w:r>
          </w:p>
        </w:tc>
        <w:tc>
          <w:tcPr>
            <w:tcW w:w="1559" w:type="dxa"/>
          </w:tcPr>
          <w:p w14:paraId="4F856156" w14:textId="77777777" w:rsidR="0011697E" w:rsidRPr="0011697E" w:rsidRDefault="00E93B1B" w:rsidP="00717E9C">
            <w:pPr>
              <w:jc w:val="center"/>
              <w:rPr>
                <w:lang w:val="en-AU" w:eastAsia="en-AU"/>
              </w:rPr>
            </w:pPr>
            <w:r>
              <w:rPr>
                <w:lang w:val="en-AU" w:eastAsia="en-AU"/>
              </w:rPr>
              <w:t>285(6.</w:t>
            </w:r>
            <w:r w:rsidR="00717E9C">
              <w:rPr>
                <w:lang w:val="en-AU" w:eastAsia="en-AU"/>
              </w:rPr>
              <w:t>78)</w:t>
            </w:r>
          </w:p>
        </w:tc>
        <w:tc>
          <w:tcPr>
            <w:tcW w:w="1559" w:type="dxa"/>
          </w:tcPr>
          <w:p w14:paraId="4AF3EE3E" w14:textId="77777777" w:rsidR="0011697E" w:rsidRPr="0011697E" w:rsidRDefault="00E93B1B" w:rsidP="00717E9C">
            <w:pPr>
              <w:jc w:val="center"/>
              <w:rPr>
                <w:lang w:val="en-AU" w:eastAsia="en-AU"/>
              </w:rPr>
            </w:pPr>
            <w:r>
              <w:rPr>
                <w:lang w:val="en-AU" w:eastAsia="en-AU"/>
              </w:rPr>
              <w:t>330(7.</w:t>
            </w:r>
            <w:r w:rsidR="00717E9C">
              <w:rPr>
                <w:lang w:val="en-AU" w:eastAsia="en-AU"/>
              </w:rPr>
              <w:t>40)</w:t>
            </w:r>
          </w:p>
        </w:tc>
      </w:tr>
      <w:tr w:rsidR="0011697E" w14:paraId="0D0A9B4F" w14:textId="77777777" w:rsidTr="00880386">
        <w:tc>
          <w:tcPr>
            <w:tcW w:w="2235" w:type="dxa"/>
          </w:tcPr>
          <w:p w14:paraId="3E3B0DA3" w14:textId="77777777" w:rsidR="0011697E" w:rsidRPr="0011697E" w:rsidRDefault="0011697E" w:rsidP="0011697E">
            <w:pPr>
              <w:rPr>
                <w:lang w:val="en-AU" w:eastAsia="en-AU"/>
              </w:rPr>
            </w:pPr>
            <w:r>
              <w:rPr>
                <w:lang w:val="en-AU" w:eastAsia="en-AU"/>
              </w:rPr>
              <w:t>Floor pecking</w:t>
            </w:r>
          </w:p>
        </w:tc>
        <w:tc>
          <w:tcPr>
            <w:tcW w:w="1559" w:type="dxa"/>
          </w:tcPr>
          <w:p w14:paraId="7A8705F8" w14:textId="77777777" w:rsidR="0011697E" w:rsidRPr="0011697E" w:rsidRDefault="00E93B1B" w:rsidP="00717E9C">
            <w:pPr>
              <w:jc w:val="center"/>
              <w:rPr>
                <w:lang w:val="en-AU" w:eastAsia="en-AU"/>
              </w:rPr>
            </w:pPr>
            <w:r>
              <w:rPr>
                <w:lang w:val="en-AU" w:eastAsia="en-AU"/>
              </w:rPr>
              <w:t>7(2.</w:t>
            </w:r>
            <w:r w:rsidR="00717E9C">
              <w:rPr>
                <w:lang w:val="en-AU" w:eastAsia="en-AU"/>
              </w:rPr>
              <w:t>28)</w:t>
            </w:r>
          </w:p>
        </w:tc>
        <w:tc>
          <w:tcPr>
            <w:tcW w:w="1559" w:type="dxa"/>
          </w:tcPr>
          <w:p w14:paraId="28FD008B" w14:textId="77777777" w:rsidR="0011697E" w:rsidRPr="0011697E" w:rsidRDefault="00E93B1B" w:rsidP="00717E9C">
            <w:pPr>
              <w:jc w:val="center"/>
              <w:rPr>
                <w:lang w:val="en-AU" w:eastAsia="en-AU"/>
              </w:rPr>
            </w:pPr>
            <w:r>
              <w:rPr>
                <w:lang w:val="en-AU" w:eastAsia="en-AU"/>
              </w:rPr>
              <w:t>34(5.</w:t>
            </w:r>
            <w:r w:rsidR="00717E9C">
              <w:rPr>
                <w:lang w:val="en-AU" w:eastAsia="en-AU"/>
              </w:rPr>
              <w:t>63)</w:t>
            </w:r>
          </w:p>
        </w:tc>
      </w:tr>
      <w:tr w:rsidR="0011697E" w14:paraId="045E6D0F" w14:textId="77777777" w:rsidTr="00880386">
        <w:tc>
          <w:tcPr>
            <w:tcW w:w="2235" w:type="dxa"/>
          </w:tcPr>
          <w:p w14:paraId="6AF4CBC3" w14:textId="77777777" w:rsidR="0011697E" w:rsidRPr="0011697E" w:rsidRDefault="0011697E" w:rsidP="0011697E">
            <w:pPr>
              <w:rPr>
                <w:lang w:val="en-AU" w:eastAsia="en-AU"/>
              </w:rPr>
            </w:pPr>
            <w:r>
              <w:rPr>
                <w:lang w:val="en-AU" w:eastAsia="en-AU"/>
              </w:rPr>
              <w:t>Flying</w:t>
            </w:r>
          </w:p>
        </w:tc>
        <w:tc>
          <w:tcPr>
            <w:tcW w:w="1559" w:type="dxa"/>
          </w:tcPr>
          <w:p w14:paraId="4C39DC2B" w14:textId="77777777" w:rsidR="0011697E" w:rsidRPr="0011697E" w:rsidRDefault="00717E9C" w:rsidP="00717E9C">
            <w:pPr>
              <w:jc w:val="center"/>
              <w:rPr>
                <w:lang w:val="en-AU" w:eastAsia="en-AU"/>
              </w:rPr>
            </w:pPr>
            <w:r>
              <w:rPr>
                <w:lang w:val="en-AU" w:eastAsia="en-AU"/>
              </w:rPr>
              <w:t>-</w:t>
            </w:r>
          </w:p>
        </w:tc>
        <w:tc>
          <w:tcPr>
            <w:tcW w:w="1559" w:type="dxa"/>
          </w:tcPr>
          <w:p w14:paraId="62C03FDA" w14:textId="77777777" w:rsidR="0011697E" w:rsidRPr="0011697E" w:rsidRDefault="00E93B1B" w:rsidP="00717E9C">
            <w:pPr>
              <w:jc w:val="center"/>
              <w:rPr>
                <w:lang w:val="en-AU" w:eastAsia="en-AU"/>
              </w:rPr>
            </w:pPr>
            <w:r>
              <w:rPr>
                <w:lang w:val="en-AU" w:eastAsia="en-AU"/>
              </w:rPr>
              <w:t>18(0.</w:t>
            </w:r>
            <w:r w:rsidR="00717E9C">
              <w:rPr>
                <w:lang w:val="en-AU" w:eastAsia="en-AU"/>
              </w:rPr>
              <w:t>40)</w:t>
            </w:r>
          </w:p>
        </w:tc>
      </w:tr>
    </w:tbl>
    <w:p w14:paraId="358A8A47" w14:textId="77777777" w:rsidR="00286A88" w:rsidRPr="00286A88" w:rsidRDefault="00286A88" w:rsidP="00717E9C">
      <w:pPr>
        <w:spacing w:before="240"/>
        <w:rPr>
          <w:lang w:val="en-AU" w:eastAsia="en-AU"/>
        </w:rPr>
      </w:pPr>
      <w:r w:rsidRPr="00286A88">
        <w:rPr>
          <w:lang w:val="en-AU" w:eastAsia="en-AU"/>
        </w:rPr>
        <w:t>*significant differences (P&lt;0.05) between treatments by Mann-Whitney test. Statistical analysis was not performed when the number of observations for one of the treatments was zero.</w:t>
      </w:r>
    </w:p>
    <w:p w14:paraId="1EE7979E" w14:textId="77777777" w:rsidR="00286A88" w:rsidRPr="00286A88" w:rsidRDefault="00286A88" w:rsidP="0011697E">
      <w:pPr>
        <w:pStyle w:val="Heading3"/>
        <w:rPr>
          <w:lang w:val="en-AU" w:eastAsia="en-AU"/>
        </w:rPr>
      </w:pPr>
      <w:bookmarkStart w:id="325" w:name="_Toc495310792"/>
      <w:r w:rsidRPr="00286A88">
        <w:rPr>
          <w:lang w:val="en-AU" w:eastAsia="en-AU"/>
        </w:rPr>
        <w:t>Q3.2 Substrate and enrichments</w:t>
      </w:r>
      <w:bookmarkEnd w:id="325"/>
    </w:p>
    <w:p w14:paraId="35B0495D" w14:textId="77777777" w:rsidR="00286A88" w:rsidRPr="00286A88" w:rsidRDefault="00286A88" w:rsidP="0011697E">
      <w:pPr>
        <w:rPr>
          <w:lang w:val="en-AU" w:eastAsia="en-AU"/>
        </w:rPr>
      </w:pPr>
      <w:r w:rsidRPr="00286A88">
        <w:rPr>
          <w:lang w:val="en-AU" w:eastAsia="en-AU"/>
        </w:rPr>
        <w:t>When foraging and structural enrichments, and dust-baths are provided they are used extensively (29%, 26% and 16% of scans, respectively), in contrast to novel objects, and do not appear to decline in their attractiveness over the medium term (17 days) (Miller and Mench, 2005).</w:t>
      </w:r>
    </w:p>
    <w:p w14:paraId="46FB3AC5" w14:textId="77777777" w:rsidR="00286A88" w:rsidRPr="00286A88" w:rsidRDefault="00286A88" w:rsidP="0011697E">
      <w:pPr>
        <w:rPr>
          <w:lang w:val="en-AU" w:eastAsia="en-AU"/>
        </w:rPr>
      </w:pPr>
      <w:r w:rsidRPr="00286A88">
        <w:rPr>
          <w:lang w:val="en-AU" w:eastAsia="en-AU"/>
        </w:rPr>
        <w:t xml:space="preserve">Quail kept on 5 different substrates: sand, dried mud, sawdust, wheat straw and rice straw, showed different behavioural responses, with no impact on a range of physical indicators including foot health, mortality and plumage condition. The authors recommend sawdust as having the greatest welfare benefit </w:t>
      </w:r>
      <w:r w:rsidRPr="00286A88">
        <w:rPr>
          <w:noProof/>
          <w:lang w:val="en-AU" w:eastAsia="en-AU"/>
        </w:rPr>
        <w:t>(Mohammed et al., 2017)</w:t>
      </w:r>
      <w:r w:rsidRPr="00286A88">
        <w:rPr>
          <w:lang w:val="en-AU" w:eastAsia="en-AU"/>
        </w:rPr>
        <w:t xml:space="preserve">. Quail which had access to deep litter, rather than wire flooring did not demonstrate a more positive welfare state in a judgement bias task, however the authors note that there are methodological difficulties with conducting such tasks </w:t>
      </w:r>
      <w:r w:rsidRPr="00286A88">
        <w:rPr>
          <w:noProof/>
          <w:lang w:val="en-AU" w:eastAsia="en-AU"/>
        </w:rPr>
        <w:t>(Horvath et al., 2016)</w:t>
      </w:r>
      <w:r w:rsidRPr="00286A88">
        <w:rPr>
          <w:lang w:val="en-AU" w:eastAsia="en-AU"/>
        </w:rPr>
        <w:t>.</w:t>
      </w:r>
    </w:p>
    <w:p w14:paraId="2F0A6412" w14:textId="77777777" w:rsidR="00286A88" w:rsidRPr="00286A88" w:rsidRDefault="00286A88" w:rsidP="0011697E">
      <w:pPr>
        <w:pStyle w:val="Heading2"/>
        <w:rPr>
          <w:lang w:val="en-AU" w:eastAsia="en-AU"/>
        </w:rPr>
      </w:pPr>
      <w:bookmarkStart w:id="326" w:name="_Toc495310793"/>
      <w:r w:rsidRPr="00286A88">
        <w:rPr>
          <w:lang w:val="en-AU" w:eastAsia="en-AU"/>
        </w:rPr>
        <w:t>Q4. Fear and Distress</w:t>
      </w:r>
      <w:bookmarkEnd w:id="326"/>
    </w:p>
    <w:p w14:paraId="3CADCB79" w14:textId="77777777" w:rsidR="00286A88" w:rsidRPr="00286A88" w:rsidRDefault="00286A88" w:rsidP="0011697E">
      <w:pPr>
        <w:rPr>
          <w:lang w:val="en-AU" w:eastAsia="en-AU"/>
        </w:rPr>
      </w:pPr>
      <w:r w:rsidRPr="00286A88">
        <w:rPr>
          <w:lang w:val="en-AU" w:eastAsia="en-AU"/>
        </w:rPr>
        <w:t>Several papers reported the impact of stressors on quail. A great variety of stressors were used, including loud noises, blowing air or water on the birds, shaking cages, flapping material or plastic in front of cages, modifying the home cage, feed restriction and restraint of birds (</w:t>
      </w:r>
      <w:r w:rsidRPr="00286A88">
        <w:rPr>
          <w:noProof/>
          <w:lang w:val="en-AU" w:eastAsia="en-AU"/>
        </w:rPr>
        <w:t>Guibert et al., 2011; Laurence et al., 2014; Favreau-Peigne et al., 2016)</w:t>
      </w:r>
      <w:r w:rsidRPr="00286A88">
        <w:rPr>
          <w:lang w:val="en-AU" w:eastAsia="en-AU"/>
        </w:rPr>
        <w:t xml:space="preserve">. In all studies the stressors used were things that could occur to farmed quail, and the researchers used unpredictability as an important feature of the stressors, suggesting that more predictable negative events may be less stressful. Two studies found that the presence of a shelter (including one with an additional piece of artificial turf) appeared to ameliorate the effect of stressors </w:t>
      </w:r>
      <w:r w:rsidRPr="00286A88">
        <w:rPr>
          <w:noProof/>
          <w:lang w:val="en-AU" w:eastAsia="en-AU"/>
        </w:rPr>
        <w:t>(Laurence et al., 2015)</w:t>
      </w:r>
      <w:r w:rsidRPr="00286A88">
        <w:rPr>
          <w:lang w:val="en-AU" w:eastAsia="en-AU"/>
        </w:rPr>
        <w:t xml:space="preserve">, an effect which continued to the next generation </w:t>
      </w:r>
      <w:r w:rsidRPr="00286A88">
        <w:rPr>
          <w:noProof/>
          <w:lang w:val="en-AU" w:eastAsia="en-AU"/>
        </w:rPr>
        <w:t>(Guesdon et al., 2011)</w:t>
      </w:r>
      <w:r w:rsidRPr="00286A88">
        <w:rPr>
          <w:lang w:val="en-AU" w:eastAsia="en-AU"/>
        </w:rPr>
        <w:t xml:space="preserve">. Environmental enrichment in the form of hanging bottle caps, wool and plastic cylinders, as well as raised platforms were also effective at reducing the immune-suppression associated with stressful events </w:t>
      </w:r>
      <w:r w:rsidRPr="00286A88">
        <w:rPr>
          <w:noProof/>
          <w:lang w:val="en-AU" w:eastAsia="en-AU"/>
        </w:rPr>
        <w:t>(Nazar and Marin, 2011)</w:t>
      </w:r>
      <w:r w:rsidRPr="00286A88">
        <w:rPr>
          <w:lang w:val="en-AU" w:eastAsia="en-AU"/>
        </w:rPr>
        <w:t>.</w:t>
      </w:r>
    </w:p>
    <w:p w14:paraId="7263BEFD" w14:textId="77777777" w:rsidR="00286A88" w:rsidRPr="00286A88" w:rsidRDefault="00286A88" w:rsidP="0011697E">
      <w:pPr>
        <w:rPr>
          <w:lang w:val="en-AU" w:eastAsia="en-AU"/>
        </w:rPr>
      </w:pPr>
      <w:r w:rsidRPr="00286A88">
        <w:rPr>
          <w:lang w:val="en-AU" w:eastAsia="en-AU"/>
        </w:rPr>
        <w:t>Weighing quail was found to elicit a significant adreno-cortico response when compared to control birds (Jones et al., 2005), however the response was not as great as found in other studies when the quail were transported in a crate with a stranger (Satterlee et al., 1993) or mechanically immobilised (Jones et al., 2000).</w:t>
      </w:r>
    </w:p>
    <w:p w14:paraId="77A2EE89" w14:textId="77777777" w:rsidR="00286A88" w:rsidRPr="00286A88" w:rsidRDefault="0011697E" w:rsidP="0011697E">
      <w:pPr>
        <w:pStyle w:val="Heading2"/>
        <w:rPr>
          <w:lang w:val="en-AU" w:eastAsia="en-AU"/>
        </w:rPr>
      </w:pPr>
      <w:r>
        <w:rPr>
          <w:lang w:val="en-AU" w:eastAsia="en-AU"/>
        </w:rPr>
        <w:br w:type="column"/>
      </w:r>
      <w:bookmarkStart w:id="327" w:name="_Toc495310794"/>
      <w:r w:rsidR="00286A88" w:rsidRPr="00286A88">
        <w:rPr>
          <w:lang w:val="en-AU" w:eastAsia="en-AU"/>
        </w:rPr>
        <w:t>Q5. Sensory Environment</w:t>
      </w:r>
      <w:bookmarkEnd w:id="327"/>
    </w:p>
    <w:p w14:paraId="40A5FD13" w14:textId="77777777" w:rsidR="00286A88" w:rsidRPr="0011697E" w:rsidRDefault="00286A88" w:rsidP="0011697E">
      <w:pPr>
        <w:pStyle w:val="Heading3"/>
      </w:pPr>
      <w:bookmarkStart w:id="328" w:name="_Toc495310795"/>
      <w:r w:rsidRPr="0011697E">
        <w:t>Q5.1 Lighting and vision</w:t>
      </w:r>
      <w:bookmarkEnd w:id="328"/>
    </w:p>
    <w:p w14:paraId="3AEA8CC2" w14:textId="77777777" w:rsidR="00286A88" w:rsidRPr="00286A88" w:rsidRDefault="00286A88" w:rsidP="0011697E">
      <w:pPr>
        <w:rPr>
          <w:lang w:val="en-AU" w:eastAsia="en-AU"/>
        </w:rPr>
      </w:pPr>
      <w:r w:rsidRPr="00286A88">
        <w:rPr>
          <w:lang w:val="en-AU" w:eastAsia="en-AU"/>
        </w:rPr>
        <w:t xml:space="preserve">When quail were able to adjust their photoperiod through choice of a light or dark area they showed improved liveweight gain and earlier sexual maturity, as well as a lowered heterophil/lymphocyte ratio compared to birds reared in reared in 23h light:1h dark photoperiods, common in some commercial systems around the world </w:t>
      </w:r>
      <w:r w:rsidRPr="00286A88">
        <w:rPr>
          <w:noProof/>
          <w:lang w:val="en-AU" w:eastAsia="en-AU"/>
        </w:rPr>
        <w:t>(Coban et al., 2009)</w:t>
      </w:r>
      <w:r w:rsidRPr="00286A88">
        <w:rPr>
          <w:lang w:val="en-AU" w:eastAsia="en-AU"/>
        </w:rPr>
        <w:t xml:space="preserve">. Unfortunately, no information was given as to the exact nature of the photoperiods that were self-selected in this study. Quail appear to shown no detrimental effects on physiological or behavioural parameters of being raised in ultraviolet deficient light </w:t>
      </w:r>
      <w:r w:rsidRPr="00286A88">
        <w:rPr>
          <w:noProof/>
          <w:lang w:val="en-AU" w:eastAsia="en-AU"/>
        </w:rPr>
        <w:t>(Smith et al., 2005)</w:t>
      </w:r>
      <w:r w:rsidRPr="00286A88">
        <w:rPr>
          <w:lang w:val="en-AU" w:eastAsia="en-AU"/>
        </w:rPr>
        <w:t>.</w:t>
      </w:r>
    </w:p>
    <w:p w14:paraId="5326B38F" w14:textId="77777777" w:rsidR="00286A88" w:rsidRPr="00286A88" w:rsidRDefault="00286A88" w:rsidP="0011697E">
      <w:pPr>
        <w:pStyle w:val="Heading3"/>
        <w:rPr>
          <w:lang w:val="en-AU" w:eastAsia="en-AU"/>
        </w:rPr>
      </w:pPr>
      <w:bookmarkStart w:id="329" w:name="_Toc495310796"/>
      <w:r w:rsidRPr="00286A88">
        <w:rPr>
          <w:lang w:val="en-AU" w:eastAsia="en-AU"/>
        </w:rPr>
        <w:t>Q5.2 Thermal comfort</w:t>
      </w:r>
      <w:bookmarkEnd w:id="329"/>
    </w:p>
    <w:p w14:paraId="0EC360ED" w14:textId="77777777" w:rsidR="00286A88" w:rsidRPr="00286A88" w:rsidRDefault="00286A88" w:rsidP="0011697E">
      <w:pPr>
        <w:rPr>
          <w:lang w:val="en-AU" w:eastAsia="en-AU"/>
        </w:rPr>
      </w:pPr>
      <w:r w:rsidRPr="00286A88">
        <w:rPr>
          <w:lang w:val="en-AU" w:eastAsia="en-AU"/>
        </w:rPr>
        <w:t xml:space="preserve">Quail may be susceptible to heat stress. The combined influence of temperature and humidity (THI) was examined by El-Tarabany (2016b) by comparing quail kept in a low THI environment (temperature 23.8 °C, relative humidity 58.5), with birds kept in a medium THI (temperature 32.8 °C, relative humidity 57.7) and birds </w:t>
      </w:r>
      <w:r w:rsidR="004F2814">
        <w:rPr>
          <w:lang w:val="en-AU" w:eastAsia="en-AU"/>
        </w:rPr>
        <w:t>kept</w:t>
      </w:r>
      <w:r w:rsidRPr="00286A88">
        <w:rPr>
          <w:lang w:val="en-AU" w:eastAsia="en-AU"/>
        </w:rPr>
        <w:t xml:space="preserve"> in a high THI environment (temperature 35.8 °C, relative humidity 59.2). The birds in the high THI environment showed deteriorated immune response, production traits and welfare parameters in the form of raised corticosterone and heterophil/lymphocyte ratio </w:t>
      </w:r>
      <w:r w:rsidRPr="00286A88">
        <w:rPr>
          <w:noProof/>
          <w:lang w:val="en-AU" w:eastAsia="en-AU"/>
        </w:rPr>
        <w:t>(El-Tarabany, 2016b)</w:t>
      </w:r>
      <w:r w:rsidRPr="00286A88">
        <w:rPr>
          <w:lang w:val="en-AU" w:eastAsia="en-AU"/>
        </w:rPr>
        <w:t>.</w:t>
      </w:r>
    </w:p>
    <w:p w14:paraId="786A0DC1" w14:textId="77777777" w:rsidR="00286A88" w:rsidRPr="00286A88" w:rsidRDefault="00286A88" w:rsidP="0011697E">
      <w:pPr>
        <w:pStyle w:val="Heading2"/>
        <w:rPr>
          <w:lang w:val="en-AU" w:eastAsia="en-AU"/>
        </w:rPr>
      </w:pPr>
      <w:bookmarkStart w:id="330" w:name="_Toc495310797"/>
      <w:r w:rsidRPr="00286A88">
        <w:rPr>
          <w:lang w:val="en-AU" w:eastAsia="en-AU"/>
        </w:rPr>
        <w:t>Q6. Management and Handling</w:t>
      </w:r>
      <w:bookmarkEnd w:id="330"/>
    </w:p>
    <w:p w14:paraId="179EA505" w14:textId="77777777" w:rsidR="00286A88" w:rsidRPr="00286A88" w:rsidRDefault="0011697E" w:rsidP="0011697E">
      <w:pPr>
        <w:pStyle w:val="Heading3"/>
        <w:rPr>
          <w:lang w:val="en-AU" w:eastAsia="en-AU"/>
        </w:rPr>
      </w:pPr>
      <w:bookmarkStart w:id="331" w:name="_Toc495310798"/>
      <w:r>
        <w:rPr>
          <w:lang w:val="en-AU" w:eastAsia="en-AU"/>
        </w:rPr>
        <w:t>Q6.1 Stocking density</w:t>
      </w:r>
      <w:bookmarkEnd w:id="331"/>
    </w:p>
    <w:p w14:paraId="3C2D66B1" w14:textId="77777777" w:rsidR="00286A88" w:rsidRPr="00286A88" w:rsidRDefault="00286A88" w:rsidP="0011697E">
      <w:pPr>
        <w:rPr>
          <w:lang w:val="en-AU" w:eastAsia="en-AU"/>
        </w:rPr>
      </w:pPr>
      <w:r w:rsidRPr="00286A88">
        <w:rPr>
          <w:lang w:val="en-AU" w:eastAsia="en-AU"/>
        </w:rPr>
        <w:t>Quail kept at a high stocking density, in groups of 60-90, showed poorer fertility, productivity, immune response and welfare when housed at 143 cm</w:t>
      </w:r>
      <w:r w:rsidRPr="00286A88">
        <w:rPr>
          <w:vertAlign w:val="superscript"/>
          <w:lang w:val="en-AU" w:eastAsia="en-AU"/>
        </w:rPr>
        <w:t>2</w:t>
      </w:r>
      <w:r w:rsidRPr="00286A88">
        <w:rPr>
          <w:lang w:val="en-AU" w:eastAsia="en-AU"/>
        </w:rPr>
        <w:t>/bird compared with 200 cm</w:t>
      </w:r>
      <w:r w:rsidRPr="00286A88">
        <w:rPr>
          <w:vertAlign w:val="superscript"/>
          <w:lang w:val="en-AU" w:eastAsia="en-AU"/>
        </w:rPr>
        <w:t>2</w:t>
      </w:r>
      <w:r w:rsidRPr="00286A88">
        <w:rPr>
          <w:lang w:val="en-AU" w:eastAsia="en-AU"/>
        </w:rPr>
        <w:t xml:space="preserve">/bird </w:t>
      </w:r>
      <w:r w:rsidRPr="00286A88">
        <w:rPr>
          <w:noProof/>
          <w:lang w:val="en-AU" w:eastAsia="en-AU"/>
        </w:rPr>
        <w:t>(El-Tarabany, 2016a)</w:t>
      </w:r>
      <w:r w:rsidRPr="00286A88">
        <w:rPr>
          <w:lang w:val="en-AU" w:eastAsia="en-AU"/>
        </w:rPr>
        <w:t xml:space="preserve">. Social contact appears very important to quail and a change to the social environment has been shown to result in greater “emotional disturbance” than a change to the physical environment </w:t>
      </w:r>
      <w:r w:rsidRPr="00286A88">
        <w:rPr>
          <w:noProof/>
          <w:lang w:val="en-AU" w:eastAsia="en-AU"/>
        </w:rPr>
        <w:t>(Valance et al., 2008)</w:t>
      </w:r>
      <w:r w:rsidRPr="00286A88">
        <w:rPr>
          <w:lang w:val="en-AU" w:eastAsia="en-AU"/>
        </w:rPr>
        <w:t xml:space="preserve">. It may be that quail can be bred to better withstand the social stress of high stocking densities </w:t>
      </w:r>
      <w:r w:rsidRPr="00286A88">
        <w:rPr>
          <w:noProof/>
          <w:lang w:val="en-AU" w:eastAsia="en-AU"/>
        </w:rPr>
        <w:t>(Guzman et al., 2013)</w:t>
      </w:r>
      <w:r w:rsidRPr="00286A88">
        <w:rPr>
          <w:lang w:val="en-AU" w:eastAsia="en-AU"/>
        </w:rPr>
        <w:t xml:space="preserve"> or changing social environment </w:t>
      </w:r>
      <w:r w:rsidRPr="00286A88">
        <w:rPr>
          <w:noProof/>
          <w:lang w:val="en-AU" w:eastAsia="en-AU"/>
        </w:rPr>
        <w:t>(Schweitzer and Arnould, 2010)</w:t>
      </w:r>
      <w:r w:rsidRPr="00286A88">
        <w:rPr>
          <w:lang w:val="en-AU" w:eastAsia="en-AU"/>
        </w:rPr>
        <w:t xml:space="preserve">. Notwithstanding the ethical issues of doing so, there would likely be a variable impact on production traits of breeding strategies based on sociability or emotional reactivity traits. Recoquillay et al. </w:t>
      </w:r>
      <w:r w:rsidRPr="00286A88">
        <w:rPr>
          <w:noProof/>
          <w:lang w:val="en-AU" w:eastAsia="en-AU"/>
        </w:rPr>
        <w:t>(2013)</w:t>
      </w:r>
      <w:r w:rsidRPr="00286A88">
        <w:rPr>
          <w:lang w:val="en-AU" w:eastAsia="en-AU"/>
        </w:rPr>
        <w:t xml:space="preserve"> found, amongst other genetic correlation results, that emotional reactivity was positively correlated with weight gain but associated with delayed egg laying onset, whereas a high level of social reinstatement behaviour was associated with earlier egg laying onset.</w:t>
      </w:r>
    </w:p>
    <w:p w14:paraId="34C95EC8" w14:textId="77777777" w:rsidR="00286A88" w:rsidRPr="00286A88" w:rsidRDefault="00286A88" w:rsidP="0011697E">
      <w:pPr>
        <w:pStyle w:val="Heading3"/>
        <w:rPr>
          <w:lang w:val="en-AU" w:eastAsia="en-AU"/>
        </w:rPr>
      </w:pPr>
      <w:bookmarkStart w:id="332" w:name="_Toc495310799"/>
      <w:r w:rsidRPr="00286A88">
        <w:rPr>
          <w:lang w:val="en-AU" w:eastAsia="en-AU"/>
        </w:rPr>
        <w:t>Q6.2 Procedures</w:t>
      </w:r>
      <w:bookmarkEnd w:id="332"/>
    </w:p>
    <w:p w14:paraId="2C45E743" w14:textId="77777777" w:rsidR="00286A88" w:rsidRPr="00286A88" w:rsidRDefault="00286A88" w:rsidP="0011697E">
      <w:pPr>
        <w:pStyle w:val="Heading41"/>
      </w:pPr>
      <w:r w:rsidRPr="00286A88">
        <w:t>Q6.2a Beak trimming and blunting</w:t>
      </w:r>
    </w:p>
    <w:p w14:paraId="10C5CF8F" w14:textId="77777777" w:rsidR="00286A88" w:rsidRPr="00286A88" w:rsidRDefault="00286A88" w:rsidP="0011697E">
      <w:pPr>
        <w:rPr>
          <w:lang w:val="en-AU" w:eastAsia="en-AU"/>
        </w:rPr>
      </w:pPr>
      <w:r w:rsidRPr="00286A88">
        <w:rPr>
          <w:lang w:val="en-AU" w:eastAsia="en-AU"/>
        </w:rPr>
        <w:t xml:space="preserve">Using pumice for pecking can blunt the beak and reduce feather loss and injuries, and improve weight gain </w:t>
      </w:r>
      <w:r w:rsidRPr="00286A88">
        <w:rPr>
          <w:noProof/>
          <w:lang w:val="en-AU" w:eastAsia="en-AU"/>
        </w:rPr>
        <w:t>(Taskin and Camci, 2017)</w:t>
      </w:r>
      <w:r w:rsidRPr="00286A88">
        <w:rPr>
          <w:lang w:val="en-AU" w:eastAsia="en-AU"/>
        </w:rPr>
        <w:t xml:space="preserve">. Beak trimming of quail may be undertaken in commercial systems to reduce welfare problems, however cauterising the beak to approximately 50% can reduce feed intake and weight gain in the initial rearing period </w:t>
      </w:r>
      <w:r w:rsidRPr="00286A88">
        <w:rPr>
          <w:noProof/>
          <w:lang w:val="en-AU" w:eastAsia="en-AU"/>
        </w:rPr>
        <w:t>(Lagana et al., 2011)</w:t>
      </w:r>
      <w:r w:rsidRPr="00286A88">
        <w:rPr>
          <w:lang w:val="en-AU" w:eastAsia="en-AU"/>
        </w:rPr>
        <w:t xml:space="preserve">. Reducing the beaks of quail by 1/3 or 1/2 has been shown to have deleterious effects on egg-production measures, however birds with intact beaks have poorer feather cover: 100%, 10% and 0% back feather loss for birds with intact beaks, beaks reduced by 1/3 and by 1/2 respectively </w:t>
      </w:r>
      <w:r w:rsidRPr="00286A88">
        <w:rPr>
          <w:noProof/>
          <w:lang w:val="en-AU" w:eastAsia="en-AU"/>
        </w:rPr>
        <w:t>(Pizzolante et al., 2007)</w:t>
      </w:r>
      <w:r w:rsidRPr="00286A88">
        <w:rPr>
          <w:lang w:val="en-AU" w:eastAsia="en-AU"/>
        </w:rPr>
        <w:t>.</w:t>
      </w:r>
    </w:p>
    <w:p w14:paraId="0FB848BD" w14:textId="77777777" w:rsidR="00286A88" w:rsidRPr="00286A88" w:rsidRDefault="00286A88" w:rsidP="0011697E">
      <w:pPr>
        <w:pStyle w:val="Heading2"/>
        <w:rPr>
          <w:lang w:val="en-AU" w:eastAsia="en-AU"/>
        </w:rPr>
      </w:pPr>
      <w:bookmarkStart w:id="333" w:name="_Toc495310800"/>
      <w:r w:rsidRPr="00286A88">
        <w:rPr>
          <w:lang w:val="en-AU" w:eastAsia="en-AU"/>
        </w:rPr>
        <w:t>Q7. Welfare Considerations: Overview</w:t>
      </w:r>
      <w:bookmarkEnd w:id="333"/>
    </w:p>
    <w:p w14:paraId="2BCB3F72" w14:textId="77777777" w:rsidR="00286A88" w:rsidRPr="00286A88" w:rsidRDefault="00286A88" w:rsidP="0011697E">
      <w:pPr>
        <w:rPr>
          <w:lang w:val="en-AU" w:eastAsia="en-AU"/>
        </w:rPr>
      </w:pPr>
      <w:r w:rsidRPr="00286A88">
        <w:rPr>
          <w:lang w:val="en-AU" w:eastAsia="en-AU"/>
        </w:rPr>
        <w:t>Little peer-reviewed scientific literature on the welfare of actual farmed quail is available and it is recommended that such research be undertaken. Nonetheless, evidence from other studies suggest that quail welfare is greater in an ‘enriched aviary’ rather than a ‘battery cage’. Quail appear to value foraging and dust-bathing opportunities, and having opportunities to hide or access to environmental enrichments can ameliorate the effect of stressors. Quail appear susceptible to a range of stressors including visible items, noise and movement, especially if sudden and unpredictable. Quail are also susceptible to heat stress.</w:t>
      </w:r>
    </w:p>
    <w:p w14:paraId="2F4DC884" w14:textId="77777777" w:rsidR="00286A88" w:rsidRDefault="00286A88" w:rsidP="0011697E">
      <w:pPr>
        <w:rPr>
          <w:lang w:val="en-AU" w:eastAsia="en-AU"/>
        </w:rPr>
      </w:pPr>
      <w:r w:rsidRPr="00286A88">
        <w:rPr>
          <w:lang w:val="en-AU" w:eastAsia="en-AU"/>
        </w:rPr>
        <w:t>Quail are social birds but their welfare is compromised at high stocking densities (143 cm</w:t>
      </w:r>
      <w:r w:rsidRPr="00286A88">
        <w:rPr>
          <w:vertAlign w:val="superscript"/>
          <w:lang w:val="en-AU" w:eastAsia="en-AU"/>
        </w:rPr>
        <w:t>2</w:t>
      </w:r>
      <w:r w:rsidRPr="00286A88">
        <w:rPr>
          <w:lang w:val="en-AU" w:eastAsia="en-AU"/>
        </w:rPr>
        <w:t>/bird vs 200 cm</w:t>
      </w:r>
      <w:r w:rsidRPr="00286A88">
        <w:rPr>
          <w:vertAlign w:val="superscript"/>
          <w:lang w:val="en-AU" w:eastAsia="en-AU"/>
        </w:rPr>
        <w:t>2</w:t>
      </w:r>
      <w:r w:rsidRPr="00286A88">
        <w:rPr>
          <w:lang w:val="en-AU" w:eastAsia="en-AU"/>
        </w:rPr>
        <w:t>/bird). They can engage in injurious pecking, especially between males in a group. Offering pumice can blunt the beak thereby reducing injuries. Beak trimming is commonly employed but removing 1/3 or 1/2 of the beak, although protective for feather loss, can result in productivity reduction.</w:t>
      </w:r>
    </w:p>
    <w:p w14:paraId="56122A19" w14:textId="77777777" w:rsidR="002F2711" w:rsidRDefault="002F2711" w:rsidP="0011697E">
      <w:pPr>
        <w:rPr>
          <w:lang w:val="en-AU" w:eastAsia="en-AU"/>
        </w:rPr>
      </w:pPr>
    </w:p>
    <w:p w14:paraId="11E5D920" w14:textId="77777777" w:rsidR="002F2711" w:rsidRDefault="002F2711" w:rsidP="002F2711">
      <w:pPr>
        <w:pStyle w:val="Heading2"/>
        <w:rPr>
          <w:lang w:val="en-AU" w:eastAsia="en-AU"/>
        </w:rPr>
      </w:pPr>
      <w:r>
        <w:rPr>
          <w:lang w:val="en-AU" w:eastAsia="en-AU"/>
        </w:rPr>
        <w:br w:type="column"/>
      </w:r>
      <w:bookmarkStart w:id="334" w:name="_Toc495310801"/>
      <w:r w:rsidR="00363A83">
        <w:rPr>
          <w:lang w:val="en-AU" w:eastAsia="en-AU"/>
        </w:rPr>
        <w:t xml:space="preserve">Q8. </w:t>
      </w:r>
      <w:r>
        <w:rPr>
          <w:lang w:val="en-AU" w:eastAsia="en-AU"/>
        </w:rPr>
        <w:t>References</w:t>
      </w:r>
      <w:bookmarkEnd w:id="334"/>
    </w:p>
    <w:p w14:paraId="39C76483" w14:textId="77777777" w:rsidR="002F2711" w:rsidRPr="002F2711" w:rsidRDefault="002F2711" w:rsidP="002F2711">
      <w:pPr>
        <w:rPr>
          <w:lang w:eastAsia="en-AU"/>
        </w:rPr>
      </w:pPr>
      <w:r w:rsidRPr="002F2711">
        <w:rPr>
          <w:lang w:eastAsia="en-AU"/>
        </w:rPr>
        <w:t>Chang, G. B., X. P. Liu, H. Chang, G. H. Chen, W. M. Zhao, D. J. Ji, R. Chen, Y. R. Qin, X. K. Shi, and G. S. Hu. 2009. Behavior differentiation between wild Japanese quail, domestic quail, and their first filial generation. Poultry Science 88:1137-1142. doi 10.3382/ps.2008-00320</w:t>
      </w:r>
    </w:p>
    <w:p w14:paraId="3167BECC" w14:textId="77777777" w:rsidR="002F2711" w:rsidRPr="002F2711" w:rsidRDefault="002F2711" w:rsidP="002F2711">
      <w:pPr>
        <w:rPr>
          <w:lang w:eastAsia="en-AU"/>
        </w:rPr>
      </w:pPr>
      <w:r w:rsidRPr="002F2711">
        <w:rPr>
          <w:lang w:eastAsia="en-AU"/>
        </w:rPr>
        <w:t>Coban, O., E. Lacin, N. Sabuncuoglu, and Z. Ozudogru. 2009. Effect of Self-photoperiod on Live Weight, Carcass and Growth Traits in Quails (</w:t>
      </w:r>
      <w:r w:rsidRPr="008A1326">
        <w:rPr>
          <w:i/>
          <w:lang w:eastAsia="en-AU"/>
        </w:rPr>
        <w:t>Coturnix Coturnix Japonica</w:t>
      </w:r>
      <w:r w:rsidRPr="002F2711">
        <w:rPr>
          <w:lang w:eastAsia="en-AU"/>
        </w:rPr>
        <w:t>). Asian-Australasian Journal</w:t>
      </w:r>
      <w:r w:rsidR="001B1387">
        <w:rPr>
          <w:lang w:eastAsia="en-AU"/>
        </w:rPr>
        <w:t xml:space="preserve"> of Animal Sciences 22:410-415.</w:t>
      </w:r>
    </w:p>
    <w:p w14:paraId="740F5D57" w14:textId="77777777" w:rsidR="002F2711" w:rsidRPr="002F2711" w:rsidRDefault="002F2711" w:rsidP="002F2711">
      <w:pPr>
        <w:rPr>
          <w:lang w:val="en-AU" w:eastAsia="en-AU"/>
        </w:rPr>
      </w:pPr>
      <w:r w:rsidRPr="002F2711">
        <w:rPr>
          <w:lang w:val="en-AU" w:eastAsia="en-AU"/>
        </w:rPr>
        <w:t xml:space="preserve">Edens, F. W., </w:t>
      </w:r>
      <w:r w:rsidR="008E103C">
        <w:rPr>
          <w:lang w:val="en-AU" w:eastAsia="en-AU"/>
        </w:rPr>
        <w:t xml:space="preserve">S. J. </w:t>
      </w:r>
      <w:r w:rsidRPr="002F2711">
        <w:rPr>
          <w:lang w:val="en-AU" w:eastAsia="en-AU"/>
        </w:rPr>
        <w:t xml:space="preserve">Bursian, and </w:t>
      </w:r>
      <w:r w:rsidR="008E103C">
        <w:rPr>
          <w:lang w:val="en-AU" w:eastAsia="en-AU"/>
        </w:rPr>
        <w:t>S. D.</w:t>
      </w:r>
      <w:r w:rsidRPr="002F2711">
        <w:rPr>
          <w:lang w:val="en-AU" w:eastAsia="en-AU"/>
        </w:rPr>
        <w:t xml:space="preserve"> Holladay. 1983. Grouping in Japanese Quail 1. Agonistic Behavior During Feeding. </w:t>
      </w:r>
      <w:r w:rsidR="008E103C">
        <w:rPr>
          <w:iCs/>
          <w:lang w:val="en-AU" w:eastAsia="en-AU"/>
        </w:rPr>
        <w:t>Poultry S</w:t>
      </w:r>
      <w:r w:rsidRPr="002F2711">
        <w:rPr>
          <w:iCs/>
          <w:lang w:val="en-AU" w:eastAsia="en-AU"/>
        </w:rPr>
        <w:t>cience</w:t>
      </w:r>
      <w:r w:rsidRPr="002F2711">
        <w:rPr>
          <w:lang w:val="en-AU" w:eastAsia="en-AU"/>
        </w:rPr>
        <w:t xml:space="preserve"> </w:t>
      </w:r>
      <w:r w:rsidRPr="002F2711">
        <w:rPr>
          <w:iCs/>
          <w:lang w:val="en-AU" w:eastAsia="en-AU"/>
        </w:rPr>
        <w:t>62</w:t>
      </w:r>
      <w:r w:rsidRPr="002F2711">
        <w:rPr>
          <w:lang w:val="en-AU" w:eastAsia="en-AU"/>
        </w:rPr>
        <w:t>:1647-1651.</w:t>
      </w:r>
    </w:p>
    <w:p w14:paraId="0C7CCC84" w14:textId="77777777" w:rsidR="002F2711" w:rsidRPr="002F2711" w:rsidRDefault="002F2711" w:rsidP="002F2711">
      <w:pPr>
        <w:rPr>
          <w:lang w:eastAsia="en-AU"/>
        </w:rPr>
      </w:pPr>
      <w:r w:rsidRPr="002F2711">
        <w:rPr>
          <w:lang w:eastAsia="en-AU"/>
        </w:rPr>
        <w:t>El-Tarabany, M. S. 2016a. Impact of cage stocking density on egg laying characteristics and related stress and immunity parameters of Japanese quails in subtropics. Journal of Animal Physiology and Animal Nutrition 100:893-901. doi 10.1111/jpn.12404</w:t>
      </w:r>
    </w:p>
    <w:p w14:paraId="2ABEABD0" w14:textId="77777777" w:rsidR="002F2711" w:rsidRPr="002F2711" w:rsidRDefault="002F2711" w:rsidP="002F2711">
      <w:pPr>
        <w:rPr>
          <w:lang w:eastAsia="en-AU"/>
        </w:rPr>
      </w:pPr>
      <w:r w:rsidRPr="002F2711">
        <w:rPr>
          <w:lang w:eastAsia="en-AU"/>
        </w:rPr>
        <w:t>El-Tarabany, M. S. 2016b. Impact of temperature-humidity index on egg-laying characteristics and related stress and immunity parameters of Japanese quails. International Journal of Biometeorology 60:957-964. doi 10.1007/s00484-015-1088-5</w:t>
      </w:r>
    </w:p>
    <w:p w14:paraId="6FD20574" w14:textId="77777777" w:rsidR="002F2711" w:rsidRPr="002F2711" w:rsidRDefault="002F2711" w:rsidP="002F2711">
      <w:pPr>
        <w:rPr>
          <w:lang w:eastAsia="en-AU"/>
        </w:rPr>
      </w:pPr>
      <w:r w:rsidRPr="002F2711">
        <w:rPr>
          <w:lang w:eastAsia="en-AU"/>
        </w:rPr>
        <w:t>Favreau-Peigne, A., L. Calandreau, P. Constantin, A. Bertin, C. Arnould, A. Laurence, M. A. Richard-Yris, C. Houdelier, S. Lumineau, A. Boissy, and C. Leterrier. 2016. Unpredictable and repeated negative stimuli increased emotional reactivity in male quail. Applied Animal Behaviour Science 183:86-94. doi 10.1016/j.applanim.2016.07.010</w:t>
      </w:r>
    </w:p>
    <w:p w14:paraId="67282A80" w14:textId="77777777" w:rsidR="002F2711" w:rsidRPr="002F2711" w:rsidRDefault="002F2711" w:rsidP="002F2711">
      <w:pPr>
        <w:rPr>
          <w:lang w:val="en-AU" w:eastAsia="en-AU"/>
        </w:rPr>
      </w:pPr>
      <w:r w:rsidRPr="002F2711">
        <w:rPr>
          <w:lang w:val="en-AU" w:eastAsia="en-AU"/>
        </w:rPr>
        <w:t xml:space="preserve">François, N., </w:t>
      </w:r>
      <w:r w:rsidR="008E103C">
        <w:rPr>
          <w:lang w:val="en-AU" w:eastAsia="en-AU"/>
        </w:rPr>
        <w:t xml:space="preserve">S. </w:t>
      </w:r>
      <w:r w:rsidRPr="002F2711">
        <w:rPr>
          <w:lang w:val="en-AU" w:eastAsia="en-AU"/>
        </w:rPr>
        <w:t xml:space="preserve">Decros, </w:t>
      </w:r>
      <w:r w:rsidR="008E103C">
        <w:rPr>
          <w:lang w:val="en-AU" w:eastAsia="en-AU"/>
        </w:rPr>
        <w:t xml:space="preserve">M. </w:t>
      </w:r>
      <w:r w:rsidRPr="002F2711">
        <w:rPr>
          <w:lang w:val="en-AU" w:eastAsia="en-AU"/>
        </w:rPr>
        <w:t xml:space="preserve">Picard, </w:t>
      </w:r>
      <w:r w:rsidR="008E103C">
        <w:rPr>
          <w:lang w:val="en-AU" w:eastAsia="en-AU"/>
        </w:rPr>
        <w:t xml:space="preserve">J. M. </w:t>
      </w:r>
      <w:r w:rsidRPr="002F2711">
        <w:rPr>
          <w:lang w:val="en-AU" w:eastAsia="en-AU"/>
        </w:rPr>
        <w:t xml:space="preserve">Faure, and </w:t>
      </w:r>
      <w:r w:rsidR="008E103C">
        <w:rPr>
          <w:lang w:val="en-AU" w:eastAsia="en-AU"/>
        </w:rPr>
        <w:t xml:space="preserve">A. D. </w:t>
      </w:r>
      <w:r w:rsidRPr="002F2711">
        <w:rPr>
          <w:lang w:val="en-AU" w:eastAsia="en-AU"/>
        </w:rPr>
        <w:t>Mills. 2000. Effect of group disruption on social behaviour in lines of Japanese quail (</w:t>
      </w:r>
      <w:r w:rsidRPr="008A1326">
        <w:rPr>
          <w:i/>
          <w:lang w:val="en-AU" w:eastAsia="en-AU"/>
        </w:rPr>
        <w:t>Coturnix</w:t>
      </w:r>
      <w:r w:rsidR="008A1326" w:rsidRPr="008A1326">
        <w:rPr>
          <w:i/>
          <w:lang w:val="en-AU" w:eastAsia="en-AU"/>
        </w:rPr>
        <w:t xml:space="preserve"> </w:t>
      </w:r>
      <w:r w:rsidRPr="008A1326">
        <w:rPr>
          <w:i/>
          <w:lang w:val="en-AU" w:eastAsia="en-AU"/>
        </w:rPr>
        <w:t>japonica</w:t>
      </w:r>
      <w:r w:rsidRPr="002F2711">
        <w:rPr>
          <w:lang w:val="en-AU" w:eastAsia="en-AU"/>
        </w:rPr>
        <w:t xml:space="preserve">) selected for high or low levels of social reinstatement behaviour. </w:t>
      </w:r>
      <w:r w:rsidRPr="002F2711">
        <w:rPr>
          <w:iCs/>
          <w:lang w:val="en-AU" w:eastAsia="en-AU"/>
        </w:rPr>
        <w:t>Behavioural Processes</w:t>
      </w:r>
      <w:r w:rsidRPr="002F2711">
        <w:rPr>
          <w:lang w:val="en-AU" w:eastAsia="en-AU"/>
        </w:rPr>
        <w:t xml:space="preserve">, </w:t>
      </w:r>
      <w:r w:rsidRPr="002F2711">
        <w:rPr>
          <w:iCs/>
          <w:lang w:val="en-AU" w:eastAsia="en-AU"/>
        </w:rPr>
        <w:t>48</w:t>
      </w:r>
      <w:r w:rsidR="008E103C">
        <w:rPr>
          <w:iCs/>
          <w:lang w:val="en-AU" w:eastAsia="en-AU"/>
        </w:rPr>
        <w:t>:</w:t>
      </w:r>
      <w:r w:rsidRPr="002F2711">
        <w:rPr>
          <w:lang w:val="en-AU" w:eastAsia="en-AU"/>
        </w:rPr>
        <w:t>171-181.</w:t>
      </w:r>
    </w:p>
    <w:p w14:paraId="0AF357FB" w14:textId="77777777" w:rsidR="002F2711" w:rsidRPr="002F2711" w:rsidRDefault="002F2711" w:rsidP="002F2711">
      <w:pPr>
        <w:rPr>
          <w:lang w:eastAsia="en-AU"/>
        </w:rPr>
      </w:pPr>
      <w:r w:rsidRPr="002F2711">
        <w:rPr>
          <w:lang w:eastAsia="en-AU"/>
        </w:rPr>
        <w:t xml:space="preserve">Guesdon, V., A. Bertin, C. Houdelier, S. Lumineau, L. Formanek, K. Kotrschal, E. Mostl, and M. A. Richard-Yris. 2011. A Place to Hide in the Home-Cage Decreases Yolk Androgen Levels and Offspring Emotional Reactivity in Japanese Quail. </w:t>
      </w:r>
      <w:r w:rsidR="00601DC5">
        <w:rPr>
          <w:lang w:eastAsia="en-AU"/>
        </w:rPr>
        <w:t>PLoS</w:t>
      </w:r>
      <w:r w:rsidR="00AD6B9F">
        <w:rPr>
          <w:lang w:eastAsia="en-AU"/>
        </w:rPr>
        <w:t xml:space="preserve"> ONE</w:t>
      </w:r>
      <w:r w:rsidRPr="002F2711">
        <w:rPr>
          <w:lang w:eastAsia="en-AU"/>
        </w:rPr>
        <w:t xml:space="preserve"> 6. doi 10.1371/journal.pone.0023941</w:t>
      </w:r>
    </w:p>
    <w:p w14:paraId="3482E5BE" w14:textId="77777777" w:rsidR="002F2711" w:rsidRPr="002F2711" w:rsidRDefault="002F2711" w:rsidP="002F2711">
      <w:pPr>
        <w:rPr>
          <w:lang w:eastAsia="en-AU"/>
        </w:rPr>
      </w:pPr>
      <w:r w:rsidRPr="002F2711">
        <w:rPr>
          <w:lang w:eastAsia="en-AU"/>
        </w:rPr>
        <w:t>Guibert, F., M. A. Richard-Yris, S. Lumineau, K. Kotrschal, A. Bertin, C. Petton, E. Mostl, and C. Houdelier. 2011. Unpredictable mild stressors on laying females influence the composition of Japanese quail eggs and offspring's phenotype. Applied Animal Behaviour Science 132:51-60. doi 10.1016/j.applanim.2011.03.012</w:t>
      </w:r>
    </w:p>
    <w:p w14:paraId="1CB46E49" w14:textId="77777777" w:rsidR="002F2711" w:rsidRPr="002F2711" w:rsidRDefault="002F2711" w:rsidP="002F2711">
      <w:pPr>
        <w:rPr>
          <w:lang w:eastAsia="en-AU"/>
        </w:rPr>
      </w:pPr>
      <w:r w:rsidRPr="002F2711">
        <w:rPr>
          <w:lang w:eastAsia="en-AU"/>
        </w:rPr>
        <w:t>Guzman, D. A., S. Pellegrini, J. M. Kembro, and R. H. Marin. 2013. Social interaction of juvenile Japanese quail classified by their permanence in proximity to a high or low density of conspecifics. Poultry Science 92:2567-2575. doi 10.3382/ps.2013-03206</w:t>
      </w:r>
    </w:p>
    <w:p w14:paraId="50F7AC34" w14:textId="77777777" w:rsidR="002F2711" w:rsidRPr="002F2711" w:rsidRDefault="002F2711" w:rsidP="002F2711">
      <w:pPr>
        <w:rPr>
          <w:lang w:eastAsia="en-AU"/>
        </w:rPr>
      </w:pPr>
      <w:r w:rsidRPr="002F2711">
        <w:rPr>
          <w:lang w:eastAsia="en-AU"/>
        </w:rPr>
        <w:t>Horvath, M., K. Pichova, and L. Kost'al. 2016. The effects of housing conditions on judgement bias in Japanese quail. Applied Animal Behaviour Science 185:121-130. doi 10.1016/j.applanim.2016.09.007</w:t>
      </w:r>
    </w:p>
    <w:p w14:paraId="48961DE2" w14:textId="77777777" w:rsidR="002F2711" w:rsidRPr="002F2711" w:rsidRDefault="002F2711" w:rsidP="002F2711">
      <w:pPr>
        <w:rPr>
          <w:lang w:val="en-AU" w:eastAsia="en-AU"/>
        </w:rPr>
      </w:pPr>
      <w:r w:rsidRPr="002F2711">
        <w:rPr>
          <w:lang w:val="en-AU" w:eastAsia="en-AU"/>
        </w:rPr>
        <w:t>Jones, R. B., D. G. Satterlee, D. Waddington, and G. G. Cadd. 2000. Effects of repeated restraint in Japanese quail genetically selected for contrasting adrenocortical respones. Physiolgy and Behavior 69:317–324.</w:t>
      </w:r>
    </w:p>
    <w:p w14:paraId="42053C85" w14:textId="77777777" w:rsidR="002F2711" w:rsidRPr="002F2711" w:rsidRDefault="002F2711" w:rsidP="002F2711">
      <w:pPr>
        <w:rPr>
          <w:lang w:val="en-AU" w:eastAsia="en-AU"/>
        </w:rPr>
      </w:pPr>
      <w:r w:rsidRPr="002F2711">
        <w:rPr>
          <w:lang w:val="en-AU" w:eastAsia="en-AU"/>
        </w:rPr>
        <w:t xml:space="preserve">Jones, R. B., </w:t>
      </w:r>
      <w:r w:rsidR="008A1326">
        <w:rPr>
          <w:lang w:val="en-AU" w:eastAsia="en-AU"/>
        </w:rPr>
        <w:t xml:space="preserve">R. H. </w:t>
      </w:r>
      <w:r w:rsidRPr="002F2711">
        <w:rPr>
          <w:lang w:val="en-AU" w:eastAsia="en-AU"/>
        </w:rPr>
        <w:t xml:space="preserve">Marin, and </w:t>
      </w:r>
      <w:r w:rsidR="008A1326">
        <w:rPr>
          <w:lang w:val="en-AU" w:eastAsia="en-AU"/>
        </w:rPr>
        <w:t>D. G.</w:t>
      </w:r>
      <w:r w:rsidRPr="002F2711">
        <w:rPr>
          <w:lang w:val="en-AU" w:eastAsia="en-AU"/>
        </w:rPr>
        <w:t xml:space="preserve"> Satterlee. 2005. Adrenocortical responses of Japanese quail to a routine weighing procedure and to tonic immobility induction. </w:t>
      </w:r>
      <w:r w:rsidRPr="002F2711">
        <w:rPr>
          <w:iCs/>
          <w:lang w:val="en-AU" w:eastAsia="en-AU"/>
        </w:rPr>
        <w:t>Poultry Science</w:t>
      </w:r>
      <w:r w:rsidRPr="002F2711">
        <w:rPr>
          <w:lang w:val="en-AU" w:eastAsia="en-AU"/>
        </w:rPr>
        <w:t xml:space="preserve"> </w:t>
      </w:r>
      <w:r w:rsidRPr="002F2711">
        <w:rPr>
          <w:iCs/>
          <w:lang w:val="en-AU" w:eastAsia="en-AU"/>
        </w:rPr>
        <w:t>84</w:t>
      </w:r>
      <w:r w:rsidRPr="002F2711">
        <w:rPr>
          <w:lang w:val="en-AU" w:eastAsia="en-AU"/>
        </w:rPr>
        <w:t>:1675-1677.</w:t>
      </w:r>
    </w:p>
    <w:p w14:paraId="5DEF96DA" w14:textId="77777777" w:rsidR="002F2711" w:rsidRPr="002F2711" w:rsidRDefault="002F2711" w:rsidP="002F2711">
      <w:pPr>
        <w:rPr>
          <w:lang w:eastAsia="en-AU"/>
        </w:rPr>
      </w:pPr>
      <w:r w:rsidRPr="002F2711">
        <w:rPr>
          <w:lang w:eastAsia="en-AU"/>
        </w:rPr>
        <w:t xml:space="preserve">Lagana, C., C. C. Pizzolante, C. K. Togashi, S. K. Kakimoto, E. Saldanha, and V. Alvares. 2011. Beak trimming method and drinking system and a their effect on the performance and egg quality of japanese quails. Revista Brasileira De Zootecnia-Brazilian Journal </w:t>
      </w:r>
      <w:r w:rsidR="001B1387">
        <w:rPr>
          <w:lang w:eastAsia="en-AU"/>
        </w:rPr>
        <w:t>of Animal Science 40:1217-1221.</w:t>
      </w:r>
    </w:p>
    <w:p w14:paraId="4B7B0F8C" w14:textId="77777777" w:rsidR="002F2711" w:rsidRPr="002F2711" w:rsidRDefault="002F2711" w:rsidP="002F2711">
      <w:pPr>
        <w:rPr>
          <w:lang w:eastAsia="en-AU"/>
        </w:rPr>
      </w:pPr>
      <w:r w:rsidRPr="002F2711">
        <w:rPr>
          <w:lang w:eastAsia="en-AU"/>
        </w:rPr>
        <w:t>Laurence, A., C. Houdelier, L. Calandreau, C. Arnould, A. Favreau-Peigne, C. Leterrier, A. Boissy, and S. Lumineau. 2015. Environmental enrichment reduces behavioural alterations induced by chronic stress in Japanese quail. Animal 9:331-338. doi 10.1017/s1751731114002523</w:t>
      </w:r>
    </w:p>
    <w:p w14:paraId="4B104C58" w14:textId="77777777" w:rsidR="002F2711" w:rsidRPr="002F2711" w:rsidRDefault="002F2711" w:rsidP="002F2711">
      <w:pPr>
        <w:rPr>
          <w:lang w:eastAsia="en-AU"/>
        </w:rPr>
      </w:pPr>
      <w:r w:rsidRPr="002F2711">
        <w:rPr>
          <w:lang w:eastAsia="en-AU"/>
        </w:rPr>
        <w:t xml:space="preserve">Laurence, A., S. Lumineau, L. Calandreau, C. Arnould, C. Leterrier, A. Boissy, and C. Houdelier. 2014. Short- and Long-Term Effects of Unpredictable Repeated Negative Stimuli on Japanese Quail's Fear of Humans. </w:t>
      </w:r>
      <w:r w:rsidR="00601DC5">
        <w:rPr>
          <w:lang w:eastAsia="en-AU"/>
        </w:rPr>
        <w:t>PLoS</w:t>
      </w:r>
      <w:r w:rsidR="00AD6B9F">
        <w:rPr>
          <w:lang w:eastAsia="en-AU"/>
        </w:rPr>
        <w:t xml:space="preserve"> ONE</w:t>
      </w:r>
      <w:r w:rsidRPr="002F2711">
        <w:rPr>
          <w:lang w:eastAsia="en-AU"/>
        </w:rPr>
        <w:t xml:space="preserve"> 9. doi 10.1371/journal.pone.0093259</w:t>
      </w:r>
    </w:p>
    <w:p w14:paraId="4B4DA7AE" w14:textId="77777777" w:rsidR="002F2711" w:rsidRPr="002F2711" w:rsidRDefault="002F2711" w:rsidP="002F2711">
      <w:pPr>
        <w:rPr>
          <w:lang w:eastAsia="en-AU"/>
        </w:rPr>
      </w:pPr>
      <w:r w:rsidRPr="002F2711">
        <w:rPr>
          <w:lang w:eastAsia="en-AU"/>
        </w:rPr>
        <w:t>Miller, K. A., and J. A. Mench. 2005. The differential effects of four types of environmental enrichment on the activity budgets, fearfulness, and social proximity preference of Japanese quail. Applied Animal Behaviour Science 95:169-187. doi 10.1016/j.applanim.2005.04.012</w:t>
      </w:r>
    </w:p>
    <w:p w14:paraId="7D26A4A2" w14:textId="77777777" w:rsidR="002F2711" w:rsidRPr="002F2711" w:rsidRDefault="002F2711" w:rsidP="002F2711">
      <w:pPr>
        <w:rPr>
          <w:lang w:eastAsia="en-AU"/>
        </w:rPr>
      </w:pPr>
      <w:r w:rsidRPr="002F2711">
        <w:rPr>
          <w:lang w:eastAsia="en-AU"/>
        </w:rPr>
        <w:t>Mohammed, H. H., E. N. Said, and S. E. L. Abdel-Hamid. 2017. Impact of different litter materials on behaviour, growth performance, feet health and plumage score of Japanese quail (</w:t>
      </w:r>
      <w:r w:rsidRPr="008A1326">
        <w:rPr>
          <w:i/>
          <w:lang w:eastAsia="en-AU"/>
        </w:rPr>
        <w:t>Coturnix japonica</w:t>
      </w:r>
      <w:r w:rsidRPr="002F2711">
        <w:rPr>
          <w:lang w:eastAsia="en-AU"/>
        </w:rPr>
        <w:t>). European Poultry Science 81. doi 10.1399/eps.2017.172</w:t>
      </w:r>
    </w:p>
    <w:p w14:paraId="4E86E6AB" w14:textId="77777777" w:rsidR="002F2711" w:rsidRPr="002F2711" w:rsidRDefault="002F2711" w:rsidP="002F2711">
      <w:pPr>
        <w:rPr>
          <w:lang w:eastAsia="en-AU"/>
        </w:rPr>
      </w:pPr>
      <w:r w:rsidRPr="002F2711">
        <w:rPr>
          <w:lang w:eastAsia="en-AU"/>
        </w:rPr>
        <w:t>Nazar, F. N., and R. H. Marin. 2011. Chronic stress and environmental enrichment as opposite factors affecting the immune response in Japanese quail (</w:t>
      </w:r>
      <w:r w:rsidRPr="008A1326">
        <w:rPr>
          <w:i/>
          <w:lang w:eastAsia="en-AU"/>
        </w:rPr>
        <w:t>Coturnix coturnix japonica</w:t>
      </w:r>
      <w:r w:rsidRPr="002F2711">
        <w:rPr>
          <w:lang w:eastAsia="en-AU"/>
        </w:rPr>
        <w:t>). Stress-the International Journal on the Biology of Stress 14:166-173. doi 10.3109/10253890.2010.523093</w:t>
      </w:r>
    </w:p>
    <w:p w14:paraId="284C05DD" w14:textId="77777777" w:rsidR="002F2711" w:rsidRPr="002F2711" w:rsidRDefault="002F2711" w:rsidP="002F2711">
      <w:pPr>
        <w:rPr>
          <w:lang w:eastAsia="en-AU"/>
        </w:rPr>
      </w:pPr>
      <w:r w:rsidRPr="002F2711">
        <w:rPr>
          <w:lang w:eastAsia="en-AU"/>
        </w:rPr>
        <w:t xml:space="preserve">Nol, E., </w:t>
      </w:r>
      <w:r w:rsidR="008A1326">
        <w:rPr>
          <w:lang w:eastAsia="en-AU"/>
        </w:rPr>
        <w:t xml:space="preserve">K. </w:t>
      </w:r>
      <w:r w:rsidRPr="002F2711">
        <w:rPr>
          <w:lang w:eastAsia="en-AU"/>
        </w:rPr>
        <w:t xml:space="preserve">Cheng, and </w:t>
      </w:r>
      <w:r w:rsidR="008A1326">
        <w:rPr>
          <w:lang w:eastAsia="en-AU"/>
        </w:rPr>
        <w:t xml:space="preserve">C. </w:t>
      </w:r>
      <w:r w:rsidRPr="002F2711">
        <w:rPr>
          <w:lang w:eastAsia="en-AU"/>
        </w:rPr>
        <w:t xml:space="preserve">Nichols. 1996. </w:t>
      </w:r>
      <w:r w:rsidRPr="002F2711">
        <w:rPr>
          <w:lang w:val="en-AU" w:eastAsia="en-AU"/>
        </w:rPr>
        <w:t xml:space="preserve">Heritability and phenotypic correlations of behaviour and dominance rank of Japanese quail. </w:t>
      </w:r>
      <w:r w:rsidRPr="002F2711">
        <w:rPr>
          <w:iCs/>
          <w:lang w:val="en-AU" w:eastAsia="en-AU"/>
        </w:rPr>
        <w:t>Animal Behaviour</w:t>
      </w:r>
      <w:r w:rsidRPr="002F2711">
        <w:rPr>
          <w:lang w:val="en-AU" w:eastAsia="en-AU"/>
        </w:rPr>
        <w:t xml:space="preserve"> </w:t>
      </w:r>
      <w:r w:rsidRPr="002F2711">
        <w:rPr>
          <w:iCs/>
          <w:lang w:val="en-AU" w:eastAsia="en-AU"/>
        </w:rPr>
        <w:t>52</w:t>
      </w:r>
      <w:r w:rsidR="008E103C">
        <w:rPr>
          <w:lang w:val="en-AU" w:eastAsia="en-AU"/>
        </w:rPr>
        <w:t>:</w:t>
      </w:r>
      <w:r w:rsidRPr="002F2711">
        <w:rPr>
          <w:lang w:val="en-AU" w:eastAsia="en-AU"/>
        </w:rPr>
        <w:t>813-820.</w:t>
      </w:r>
    </w:p>
    <w:p w14:paraId="0789BDAA" w14:textId="77777777" w:rsidR="002F2711" w:rsidRPr="002F2711" w:rsidRDefault="002F2711" w:rsidP="002F2711">
      <w:pPr>
        <w:rPr>
          <w:lang w:eastAsia="en-AU"/>
        </w:rPr>
      </w:pPr>
      <w:r w:rsidRPr="002F2711">
        <w:rPr>
          <w:lang w:eastAsia="en-AU"/>
        </w:rPr>
        <w:t>Nordi, W. M., K. C. E. Yamashiro, M. Klank, R. Locatelli-Dittrich, R. N. Morais, A. I. Reghelin, and C. F. M. Molento. 2012. Quail (</w:t>
      </w:r>
      <w:r w:rsidRPr="00FF3562">
        <w:rPr>
          <w:i/>
          <w:lang w:eastAsia="en-AU"/>
        </w:rPr>
        <w:t>Coturnix</w:t>
      </w:r>
      <w:r w:rsidR="00FF3562" w:rsidRPr="00FF3562">
        <w:rPr>
          <w:i/>
          <w:lang w:eastAsia="en-AU"/>
        </w:rPr>
        <w:t xml:space="preserve"> </w:t>
      </w:r>
      <w:r w:rsidRPr="00FF3562">
        <w:rPr>
          <w:i/>
          <w:lang w:eastAsia="en-AU"/>
        </w:rPr>
        <w:t>coturnix japonica</w:t>
      </w:r>
      <w:r w:rsidRPr="002F2711">
        <w:rPr>
          <w:lang w:eastAsia="en-AU"/>
        </w:rPr>
        <w:t>) welfare in two confinement systems. Arquivo Brasileiro De Medicina Veteri</w:t>
      </w:r>
      <w:r w:rsidR="001B1387">
        <w:rPr>
          <w:lang w:eastAsia="en-AU"/>
        </w:rPr>
        <w:t>naria E Zootecnia 64:1001-1008.</w:t>
      </w:r>
    </w:p>
    <w:p w14:paraId="4A3DD615" w14:textId="77777777" w:rsidR="002F2711" w:rsidRPr="002F2711" w:rsidRDefault="002F2711" w:rsidP="002F2711">
      <w:pPr>
        <w:rPr>
          <w:lang w:eastAsia="en-AU"/>
        </w:rPr>
      </w:pPr>
      <w:r w:rsidRPr="002F2711">
        <w:rPr>
          <w:lang w:eastAsia="en-AU"/>
        </w:rPr>
        <w:t>Pizzolante, C. C., E. A. Garcia, E. Salclanha, C. Lagana, A. B. G. Faitarone, H. B. A. Souza, and K. Pelicia. 2007. Beak trimming methods and their effect on the performance and egg quality of Japanese quails (</w:t>
      </w:r>
      <w:r w:rsidRPr="00FF3562">
        <w:rPr>
          <w:i/>
          <w:lang w:eastAsia="en-AU"/>
        </w:rPr>
        <w:t>Coturnix japonica</w:t>
      </w:r>
      <w:r w:rsidRPr="002F2711">
        <w:rPr>
          <w:lang w:eastAsia="en-AU"/>
        </w:rPr>
        <w:t>) during lay. Brazilian Jour</w:t>
      </w:r>
      <w:r w:rsidR="001B1387">
        <w:rPr>
          <w:lang w:eastAsia="en-AU"/>
        </w:rPr>
        <w:t>nal of Poultry Science 9:17-21.</w:t>
      </w:r>
    </w:p>
    <w:p w14:paraId="414ACDBA" w14:textId="77777777" w:rsidR="002F2711" w:rsidRPr="002F2711" w:rsidRDefault="002F2711" w:rsidP="002F2711">
      <w:pPr>
        <w:rPr>
          <w:lang w:eastAsia="en-AU"/>
        </w:rPr>
      </w:pPr>
      <w:r w:rsidRPr="002F2711">
        <w:rPr>
          <w:lang w:eastAsia="en-AU"/>
        </w:rPr>
        <w:t xml:space="preserve">Recoquillay, J., C. Leterrier, L. Calandreau, A. Bertin, F. Pitel, D. Gourichon, A. Vignal, C. Beaumont, E. Le Bihan-Duval, and C. Arnould. 2013. Evidence of Phenotypic and Genetic Relationships between Sociality, Emotional Reactivity and Production Traits in Japanese Quail. </w:t>
      </w:r>
      <w:r w:rsidR="00601DC5">
        <w:rPr>
          <w:lang w:eastAsia="en-AU"/>
        </w:rPr>
        <w:t>PLoS</w:t>
      </w:r>
      <w:r w:rsidR="00AD6B9F">
        <w:rPr>
          <w:lang w:eastAsia="en-AU"/>
        </w:rPr>
        <w:t xml:space="preserve"> ONE</w:t>
      </w:r>
      <w:r w:rsidRPr="002F2711">
        <w:rPr>
          <w:lang w:eastAsia="en-AU"/>
        </w:rPr>
        <w:t xml:space="preserve"> 8. doi 10.1371/journal.pone.0082157</w:t>
      </w:r>
    </w:p>
    <w:p w14:paraId="6DC33A33" w14:textId="77777777" w:rsidR="002F2711" w:rsidRPr="002F2711" w:rsidRDefault="002F2711" w:rsidP="002F2711">
      <w:pPr>
        <w:rPr>
          <w:lang w:val="en-AU" w:eastAsia="en-AU"/>
        </w:rPr>
      </w:pPr>
      <w:r w:rsidRPr="002F2711">
        <w:rPr>
          <w:lang w:val="en-AU" w:eastAsia="en-AU"/>
        </w:rPr>
        <w:t xml:space="preserve">Satterlee, D. G., R. B. Jones, and F. H. Ryder. 1993. Effects of Vitamin C supplementation on the adrenocortical and tonic immobility fear reactions of Japanese quail genetically selected for high corticosterone response to stress. </w:t>
      </w:r>
      <w:r w:rsidRPr="002F2711">
        <w:rPr>
          <w:lang w:eastAsia="en-AU"/>
        </w:rPr>
        <w:t xml:space="preserve">Applied Animal Behaviour Science </w:t>
      </w:r>
      <w:r w:rsidRPr="002F2711">
        <w:rPr>
          <w:lang w:val="en-AU" w:eastAsia="en-AU"/>
        </w:rPr>
        <w:t>35:347–357.</w:t>
      </w:r>
    </w:p>
    <w:p w14:paraId="759CAA5D" w14:textId="77777777" w:rsidR="002F2711" w:rsidRPr="002F2711" w:rsidRDefault="002F2711" w:rsidP="002F2711">
      <w:pPr>
        <w:rPr>
          <w:lang w:eastAsia="en-AU"/>
        </w:rPr>
      </w:pPr>
      <w:r w:rsidRPr="002F2711">
        <w:rPr>
          <w:lang w:eastAsia="en-AU"/>
        </w:rPr>
        <w:t>Schmid, I., and B. Wechsler. 1997. Behaviour of Japanese quail (</w:t>
      </w:r>
      <w:r w:rsidRPr="00FF3562">
        <w:rPr>
          <w:i/>
          <w:lang w:eastAsia="en-AU"/>
        </w:rPr>
        <w:t>Coturnix japonica</w:t>
      </w:r>
      <w:r w:rsidRPr="002F2711">
        <w:rPr>
          <w:lang w:eastAsia="en-AU"/>
        </w:rPr>
        <w:t>) kept in semi-natural aviaries. Applied Animal Behaviour Science 55:103-112. doi 10.1016/S0168-1591(97)00039-7</w:t>
      </w:r>
    </w:p>
    <w:p w14:paraId="1640AB19" w14:textId="77777777" w:rsidR="002F2711" w:rsidRPr="002F2711" w:rsidRDefault="002F2711" w:rsidP="002F2711">
      <w:pPr>
        <w:rPr>
          <w:lang w:eastAsia="en-AU"/>
        </w:rPr>
      </w:pPr>
      <w:r w:rsidRPr="002F2711">
        <w:rPr>
          <w:lang w:eastAsia="en-AU"/>
        </w:rPr>
        <w:t>Schweitzer, C., and C. Arnould. 2010. Emotional reactivity of Japanese quail chicks with high or low social motivation reared under unstable social conditions. Applied Animal Behaviour Science 125:143-150. doi 10.1016/j.applanim.2010.04.005</w:t>
      </w:r>
    </w:p>
    <w:p w14:paraId="49F0948E" w14:textId="77777777" w:rsidR="002F2711" w:rsidRPr="002F2711" w:rsidRDefault="002F2711" w:rsidP="002F2711">
      <w:pPr>
        <w:rPr>
          <w:lang w:eastAsia="en-AU"/>
        </w:rPr>
      </w:pPr>
      <w:r w:rsidRPr="002F2711">
        <w:rPr>
          <w:lang w:eastAsia="en-AU"/>
        </w:rPr>
        <w:t>Smith, E. L., V. J. Greenwood, A. R. Goldsmith, and I. C. Cuthill. 2005. Effect of supplementary ultraviolet lighting on the behaviour and corticosterone levels of Japanese quail chi</w:t>
      </w:r>
      <w:r w:rsidR="001B1387">
        <w:rPr>
          <w:lang w:eastAsia="en-AU"/>
        </w:rPr>
        <w:t>cks. Animal Welfare 14:103-109.</w:t>
      </w:r>
    </w:p>
    <w:p w14:paraId="2D7FE773" w14:textId="77777777" w:rsidR="002F2711" w:rsidRPr="002F2711" w:rsidRDefault="002F2711" w:rsidP="002F2711">
      <w:pPr>
        <w:rPr>
          <w:lang w:eastAsia="en-AU"/>
        </w:rPr>
      </w:pPr>
      <w:r w:rsidRPr="002F2711">
        <w:rPr>
          <w:lang w:eastAsia="en-AU"/>
        </w:rPr>
        <w:t>Taskin, A., and O. Camci. 2017. Pumice as an instrument for beak blunting in quail. European Poultry Science 81. doi 10.1399/eps.2017.170</w:t>
      </w:r>
    </w:p>
    <w:p w14:paraId="1EDEF4C8" w14:textId="77777777" w:rsidR="002F2711" w:rsidRPr="002F2711" w:rsidRDefault="002F2711" w:rsidP="002F2711">
      <w:pPr>
        <w:rPr>
          <w:lang w:eastAsia="en-AU"/>
        </w:rPr>
      </w:pPr>
      <w:r w:rsidRPr="002F2711">
        <w:rPr>
          <w:lang w:eastAsia="en-AU"/>
        </w:rPr>
        <w:t>Valance, D., A. Boissy, G. Despres, C. Arnould, C. Galand, A. Favreau, P. Constantin, and C. Leterrier. 2008. Changes in social environment induce higher emotional disturbances than changes in physical environment in quail. Applied Animal Behaviour Science 112:307-320. doi 10.1016/j.applanim.2007.08.002</w:t>
      </w:r>
    </w:p>
    <w:p w14:paraId="6A615380" w14:textId="77777777" w:rsidR="002F2711" w:rsidRPr="002F2711" w:rsidRDefault="002F2711" w:rsidP="002F2711">
      <w:pPr>
        <w:rPr>
          <w:lang w:val="en-AU" w:eastAsia="en-AU"/>
        </w:rPr>
      </w:pPr>
      <w:r w:rsidRPr="002F2711">
        <w:rPr>
          <w:lang w:val="en-AU" w:eastAsia="en-AU"/>
        </w:rPr>
        <w:t xml:space="preserve">Wechsler, B., and </w:t>
      </w:r>
      <w:r w:rsidR="008E103C">
        <w:rPr>
          <w:lang w:val="en-AU" w:eastAsia="en-AU"/>
        </w:rPr>
        <w:t>I.</w:t>
      </w:r>
      <w:r w:rsidRPr="002F2711">
        <w:rPr>
          <w:lang w:val="en-AU" w:eastAsia="en-AU"/>
        </w:rPr>
        <w:t xml:space="preserve"> Schmid. 1998. Aggressive pecking by males in breeding groups of Japanese quail (</w:t>
      </w:r>
      <w:r w:rsidRPr="002F2711">
        <w:rPr>
          <w:i/>
          <w:lang w:val="en-AU" w:eastAsia="en-AU"/>
        </w:rPr>
        <w:t>Coturnix japonica</w:t>
      </w:r>
      <w:r w:rsidRPr="002F2711">
        <w:rPr>
          <w:lang w:val="en-AU" w:eastAsia="en-AU"/>
        </w:rPr>
        <w:t xml:space="preserve">). </w:t>
      </w:r>
      <w:r w:rsidRPr="002F2711">
        <w:rPr>
          <w:iCs/>
          <w:lang w:val="en-AU" w:eastAsia="en-AU"/>
        </w:rPr>
        <w:t>British Poultry Science</w:t>
      </w:r>
      <w:r w:rsidRPr="002F2711">
        <w:rPr>
          <w:lang w:val="en-AU" w:eastAsia="en-AU"/>
        </w:rPr>
        <w:t xml:space="preserve"> </w:t>
      </w:r>
      <w:r w:rsidRPr="002F2711">
        <w:rPr>
          <w:iCs/>
          <w:lang w:val="en-AU" w:eastAsia="en-AU"/>
        </w:rPr>
        <w:t>39</w:t>
      </w:r>
      <w:r w:rsidRPr="002F2711">
        <w:rPr>
          <w:lang w:val="en-AU" w:eastAsia="en-AU"/>
        </w:rPr>
        <w:t>:333-339.</w:t>
      </w:r>
    </w:p>
    <w:p w14:paraId="32CD5434" w14:textId="77777777" w:rsidR="002F2711" w:rsidRPr="00286A88" w:rsidRDefault="002F2711" w:rsidP="0011697E">
      <w:pPr>
        <w:rPr>
          <w:lang w:val="en-AU" w:eastAsia="en-AU"/>
        </w:rPr>
      </w:pPr>
    </w:p>
    <w:p w14:paraId="0A242EA7" w14:textId="77777777" w:rsidR="00286A88" w:rsidRPr="00286A88" w:rsidRDefault="00D2589F" w:rsidP="00D2589F">
      <w:pPr>
        <w:pStyle w:val="Heading1"/>
        <w:rPr>
          <w:lang w:val="en-AU" w:eastAsia="en-AU"/>
        </w:rPr>
      </w:pPr>
      <w:r>
        <w:rPr>
          <w:sz w:val="22"/>
          <w:szCs w:val="22"/>
          <w:lang w:val="en-AU" w:eastAsia="en-AU"/>
        </w:rPr>
        <w:br w:type="column"/>
      </w:r>
      <w:bookmarkStart w:id="335" w:name="_Toc495310802"/>
      <w:r w:rsidR="00286A88" w:rsidRPr="00286A88">
        <w:rPr>
          <w:lang w:val="en-AU" w:eastAsia="en-AU"/>
        </w:rPr>
        <w:t>Ostrich</w:t>
      </w:r>
      <w:r w:rsidR="00FC03E1">
        <w:rPr>
          <w:lang w:val="en-AU" w:eastAsia="en-AU"/>
        </w:rPr>
        <w:t>es</w:t>
      </w:r>
      <w:bookmarkEnd w:id="335"/>
    </w:p>
    <w:p w14:paraId="291E7564" w14:textId="77777777" w:rsidR="00286A88" w:rsidRPr="00286A88" w:rsidRDefault="00286A88" w:rsidP="00D2589F">
      <w:pPr>
        <w:pStyle w:val="Heading2"/>
        <w:rPr>
          <w:lang w:val="en-AU" w:eastAsia="en-AU"/>
        </w:rPr>
      </w:pPr>
      <w:bookmarkStart w:id="336" w:name="_Toc495310803"/>
      <w:r w:rsidRPr="00286A88">
        <w:rPr>
          <w:lang w:val="en-AU" w:eastAsia="en-AU"/>
        </w:rPr>
        <w:t>OS1. Introduction</w:t>
      </w:r>
      <w:bookmarkEnd w:id="336"/>
    </w:p>
    <w:p w14:paraId="108A4410" w14:textId="77777777" w:rsidR="00286A88" w:rsidRPr="00286A88" w:rsidRDefault="00286A88" w:rsidP="00D2589F">
      <w:pPr>
        <w:pStyle w:val="Heading3"/>
        <w:rPr>
          <w:lang w:val="en-AU" w:eastAsia="en-AU"/>
        </w:rPr>
      </w:pPr>
      <w:bookmarkStart w:id="337" w:name="_Toc495310804"/>
      <w:r w:rsidRPr="00286A88">
        <w:rPr>
          <w:lang w:val="en-AU" w:eastAsia="en-AU"/>
        </w:rPr>
        <w:t>OS1.1 Life history</w:t>
      </w:r>
      <w:bookmarkEnd w:id="337"/>
    </w:p>
    <w:p w14:paraId="2361DF46" w14:textId="77777777" w:rsidR="00286A88" w:rsidRPr="00286A88" w:rsidRDefault="00286A88" w:rsidP="00D2589F">
      <w:pPr>
        <w:rPr>
          <w:lang w:val="en-AU" w:eastAsia="en-AU"/>
        </w:rPr>
      </w:pPr>
      <w:r w:rsidRPr="00286A88">
        <w:rPr>
          <w:lang w:val="en-AU" w:eastAsia="en-AU"/>
        </w:rPr>
        <w:t xml:space="preserve">The ostrich is the only living representative of the avian family Struthionidae. It is a large African flightless bird and at least two sub-species are recognised, </w:t>
      </w:r>
      <w:r w:rsidRPr="00286A88">
        <w:rPr>
          <w:i/>
          <w:lang w:val="en-AU" w:eastAsia="en-AU"/>
        </w:rPr>
        <w:t>Struthio camelus</w:t>
      </w:r>
      <w:r w:rsidRPr="00286A88">
        <w:rPr>
          <w:lang w:val="en-AU" w:eastAsia="en-AU"/>
        </w:rPr>
        <w:t xml:space="preserve"> and </w:t>
      </w:r>
      <w:r w:rsidRPr="00286A88">
        <w:rPr>
          <w:i/>
          <w:lang w:val="en-AU" w:eastAsia="en-AU"/>
        </w:rPr>
        <w:t>Struthio molybdophanes</w:t>
      </w:r>
      <w:r w:rsidRPr="00286A88">
        <w:rPr>
          <w:lang w:val="en-AU" w:eastAsia="en-AU"/>
        </w:rPr>
        <w:t>. Under natural conditions, ostriches forage in dry environments for a wide range of plant species, showing preferences for green grasses and forbs when available, and consuming leaves, flowers and fruits when preferred foodstuffs were not available (Milton et al., 1994; Miao et al., 2003). Ostriches actively select plants with high fibre content but they avoid dead or woody material.</w:t>
      </w:r>
    </w:p>
    <w:p w14:paraId="7CBF4283" w14:textId="77777777" w:rsidR="00286A88" w:rsidRPr="00286A88" w:rsidRDefault="00286A88" w:rsidP="00D2589F">
      <w:pPr>
        <w:pStyle w:val="Heading3"/>
        <w:rPr>
          <w:lang w:val="en-AU" w:eastAsia="en-AU"/>
        </w:rPr>
      </w:pPr>
      <w:bookmarkStart w:id="338" w:name="_Toc495310805"/>
      <w:r w:rsidRPr="00286A88">
        <w:rPr>
          <w:lang w:val="en-AU" w:eastAsia="en-AU"/>
        </w:rPr>
        <w:t>OS1.2 Farming and rearing</w:t>
      </w:r>
      <w:bookmarkEnd w:id="338"/>
    </w:p>
    <w:p w14:paraId="5067A3BC" w14:textId="77777777" w:rsidR="00286A88" w:rsidRPr="00286A88" w:rsidRDefault="00286A88" w:rsidP="00D2589F">
      <w:pPr>
        <w:rPr>
          <w:lang w:val="en-AU" w:eastAsia="en-AU"/>
        </w:rPr>
      </w:pPr>
      <w:r w:rsidRPr="00286A88">
        <w:rPr>
          <w:lang w:val="en-AU" w:eastAsia="en-AU"/>
        </w:rPr>
        <w:t>Both subspecies of ostrich have been kept in captivity for meat, leather and feather production (Bonato et al., 2015). Crosses have produced different varieties and breeds (e.g. South African Black, Kenyan Red; Bonato et al., 2013). Ostrich farming began only in the mid 1800s, so farmed ostriches are considered only partially domesticated (Bonato et al., 2015). Although wild ostriches rarely exceed 100 kg, farmed ostriches can reach weights of 150 kg or more (Council of Europe, 1997; Miao et al., 2003).</w:t>
      </w:r>
    </w:p>
    <w:p w14:paraId="33013EC9" w14:textId="77777777" w:rsidR="00286A88" w:rsidRPr="00286A88" w:rsidRDefault="00286A88" w:rsidP="00D2589F">
      <w:pPr>
        <w:rPr>
          <w:lang w:val="en-AU" w:eastAsia="en-AU"/>
        </w:rPr>
      </w:pPr>
      <w:r w:rsidRPr="00286A88">
        <w:rPr>
          <w:lang w:val="en-AU" w:eastAsia="en-AU"/>
        </w:rPr>
        <w:t>Growing ostriches are described as chicks (0 to 3</w:t>
      </w:r>
      <w:r w:rsidR="002F4C68">
        <w:rPr>
          <w:lang w:val="en-AU" w:eastAsia="en-AU"/>
        </w:rPr>
        <w:t xml:space="preserve"> </w:t>
      </w:r>
      <w:r w:rsidRPr="00286A88">
        <w:rPr>
          <w:lang w:val="en-AU" w:eastAsia="en-AU"/>
        </w:rPr>
        <w:t>months), juveniles (3 to 12 months), growers (12</w:t>
      </w:r>
      <w:r w:rsidR="002F4C68">
        <w:rPr>
          <w:lang w:val="en-AU" w:eastAsia="en-AU"/>
        </w:rPr>
        <w:t xml:space="preserve"> to </w:t>
      </w:r>
      <w:r w:rsidRPr="00286A88">
        <w:rPr>
          <w:lang w:val="en-AU" w:eastAsia="en-AU"/>
        </w:rPr>
        <w:t>36 months) (Mushi et al., 1998b). Wild ostriches reach sexual maturity at 4 to 5 years of age (Bonato et al., 2015) but farmed ostriches are sexually mature before the age of 3 years (Wotton and Hewitt, 1999). Ostriches are reported to have a life span of as much as 50 years in the wild (Council of Europe, 1997). Ostriches can be farmed in extensive systems (with natural or artificial incubation), semi-intensive systems (with natural or artificial incubation) or intensive systems with artificial incubation only (Shanawany</w:t>
      </w:r>
      <w:r w:rsidR="003F2582">
        <w:rPr>
          <w:lang w:val="en-AU" w:eastAsia="en-AU"/>
        </w:rPr>
        <w:t xml:space="preserve"> and Dingle</w:t>
      </w:r>
      <w:r w:rsidRPr="00286A88">
        <w:rPr>
          <w:lang w:val="en-AU" w:eastAsia="en-AU"/>
        </w:rPr>
        <w:t>, 1999</w:t>
      </w:r>
      <w:r w:rsidR="003F2582">
        <w:rPr>
          <w:lang w:val="en-AU" w:eastAsia="en-AU"/>
        </w:rPr>
        <w:t>$800$</w:t>
      </w:r>
      <w:r w:rsidRPr="00286A88">
        <w:rPr>
          <w:lang w:val="en-AU" w:eastAsia="en-AU"/>
        </w:rPr>
        <w:t>). Extensive production has low input costs but monitoring birds and collecting eggs is difficult. For this reason, semi-intensive systems with birds kept in paddocks of approximately 8 to 20 ha are more popular. The birds obtain some food from pasture but supplemental feeding is required to meet the birds’ nutritional requirements. Birds are free to choose their own mates but capture and handling of the birds can be difficult. In intensive systems birds are kept in small paddocks of 1 to 2 ha and aspects of breeding and performance can be more easily monitored and controlled. However, the costs of fencing and food provision are higher, and the birds have less opportunity to perform normal behaviour and to select their own mates and social companions.</w:t>
      </w:r>
    </w:p>
    <w:p w14:paraId="51D2768A" w14:textId="77777777" w:rsidR="00286A88" w:rsidRPr="00286A88" w:rsidRDefault="00286A88" w:rsidP="00D2589F">
      <w:pPr>
        <w:pStyle w:val="Heading2"/>
        <w:rPr>
          <w:lang w:val="en-AU" w:eastAsia="en-AU"/>
        </w:rPr>
      </w:pPr>
      <w:bookmarkStart w:id="339" w:name="_Toc495310806"/>
      <w:r w:rsidRPr="00286A88">
        <w:rPr>
          <w:lang w:val="en-AU" w:eastAsia="en-AU"/>
        </w:rPr>
        <w:t>OS2. Feed and Water</w:t>
      </w:r>
      <w:bookmarkEnd w:id="339"/>
    </w:p>
    <w:p w14:paraId="121A7DF4" w14:textId="77777777" w:rsidR="00286A88" w:rsidRPr="00286A88" w:rsidRDefault="00286A88" w:rsidP="00D2589F">
      <w:pPr>
        <w:rPr>
          <w:lang w:val="en-AU" w:eastAsia="en-AU"/>
        </w:rPr>
      </w:pPr>
      <w:r w:rsidRPr="00286A88">
        <w:rPr>
          <w:lang w:val="en-AU" w:eastAsia="en-AU"/>
        </w:rPr>
        <w:t xml:space="preserve">Milton et al. (1994) concluded that ostriches need 5-6 kg fresh mass daily, when feeding on natural forage containing 70% water, and Landau et al. (2006, </w:t>
      </w:r>
      <w:r w:rsidR="007103C8">
        <w:rPr>
          <w:lang w:val="en-AU" w:eastAsia="en-AU"/>
        </w:rPr>
        <w:t xml:space="preserve">full </w:t>
      </w:r>
      <w:r w:rsidRPr="00286A88">
        <w:rPr>
          <w:lang w:val="en-AU" w:eastAsia="en-AU"/>
        </w:rPr>
        <w:t>text not available) concluded that welfare was improved when ostriches were raised on pasture with a concentrate supplement, compared with a fully confined system.</w:t>
      </w:r>
    </w:p>
    <w:p w14:paraId="1D5EA9BF" w14:textId="77777777" w:rsidR="00286A88" w:rsidRPr="00286A88" w:rsidRDefault="00286A88" w:rsidP="00D2589F">
      <w:pPr>
        <w:rPr>
          <w:lang w:val="en-AU" w:eastAsia="en-AU"/>
        </w:rPr>
      </w:pPr>
      <w:r w:rsidRPr="00286A88">
        <w:rPr>
          <w:lang w:val="en-AU" w:eastAsia="en-AU"/>
        </w:rPr>
        <w:t>Unlike chickens, and many other poultry species, the digestive system of the ostrich does not include a crop. Instead, food passes directly from the oesophagus into the glandular stomach called the proventriculus. Within this large structure, digestive secretions mix and soften the food before it is passed to the ventriculus, the specialized avian organ commonly known as the gizzard, where food is subjected to grinding and maceration. After this, food passes into the long intestine where enzymatic digestion occurs, and onwards to a large hind-gut comprising two caeca and a colon, for microbial fermentation of fibre (Miao et al., 200</w:t>
      </w:r>
      <w:r w:rsidR="00CA0BFD">
        <w:rPr>
          <w:lang w:val="en-AU" w:eastAsia="en-AU"/>
        </w:rPr>
        <w:t>3</w:t>
      </w:r>
      <w:r w:rsidRPr="00286A88">
        <w:rPr>
          <w:lang w:val="en-AU" w:eastAsia="en-AU"/>
        </w:rPr>
        <w:t>). The mean retention time for small fibre particles within the digestive tract is 30-36</w:t>
      </w:r>
      <w:r w:rsidR="002F4C68">
        <w:rPr>
          <w:lang w:val="en-AU" w:eastAsia="en-AU"/>
        </w:rPr>
        <w:t> </w:t>
      </w:r>
      <w:r w:rsidRPr="00286A88">
        <w:rPr>
          <w:lang w:val="en-AU" w:eastAsia="en-AU"/>
        </w:rPr>
        <w:t>h, a duration that far exceeds that of the emu (Frei, 2015). From the age of about 10 weeks, ostrich chicks are able to digest cellulose and other fibre-derived substrates in the hindgut (Matsui et al., 2010). The entire system is adapted (rather like a horse) for the efficient extraction of energy from a high fibre diet.</w:t>
      </w:r>
    </w:p>
    <w:p w14:paraId="53A2CF64" w14:textId="77777777" w:rsidR="00286A88" w:rsidRPr="00286A88" w:rsidRDefault="00286A88" w:rsidP="00D2589F">
      <w:pPr>
        <w:rPr>
          <w:lang w:val="en-AU" w:eastAsia="en-AU"/>
        </w:rPr>
      </w:pPr>
      <w:r w:rsidRPr="00286A88">
        <w:rPr>
          <w:lang w:val="en-AU" w:eastAsia="en-AU"/>
        </w:rPr>
        <w:t xml:space="preserve">The nutrient requirements of ostriches were reviewed by Miao et al. (2003) who reported a lack of information on many aspects such as mineral requirements. Some more recent information is available (e.g. adult female maintenance nitrogen requirement of 16.2 gN/day (100 g crude protein/day) </w:t>
      </w:r>
      <w:r w:rsidR="002F4C68">
        <w:rPr>
          <w:lang w:val="en-AU" w:eastAsia="en-AU"/>
        </w:rPr>
        <w:t>(</w:t>
      </w:r>
      <w:r w:rsidRPr="00286A88">
        <w:rPr>
          <w:lang w:val="en-AU" w:eastAsia="en-AU"/>
        </w:rPr>
        <w:t>Bennett et al., 2012)</w:t>
      </w:r>
      <w:r w:rsidR="002F4C68">
        <w:rPr>
          <w:lang w:val="en-AU" w:eastAsia="en-AU"/>
        </w:rPr>
        <w:t>,</w:t>
      </w:r>
      <w:r w:rsidRPr="00286A88">
        <w:rPr>
          <w:lang w:val="en-AU" w:eastAsia="en-AU"/>
        </w:rPr>
        <w:t xml:space="preserve"> but the literature is patchy and incomplete.</w:t>
      </w:r>
    </w:p>
    <w:p w14:paraId="27FB025A" w14:textId="77777777" w:rsidR="00286A88" w:rsidRPr="00286A88" w:rsidRDefault="00286A88" w:rsidP="00D2589F">
      <w:pPr>
        <w:rPr>
          <w:lang w:val="en-AU" w:eastAsia="en-AU"/>
        </w:rPr>
      </w:pPr>
      <w:r w:rsidRPr="00286A88">
        <w:rPr>
          <w:lang w:val="en-AU" w:eastAsia="en-AU"/>
        </w:rPr>
        <w:t>Feeding low fibre, high protein/high energy rations to encourage rapid growth has long been identified as an important contributory factor to the high incidence of leg deformities in juvenile and growing ostriches (Huchzermeyer, 2002) (see OS3.3 below) and there is now general agreement that the provision of fibre is an essential component of ostrich welfare (Miao et al., 2003). Miao et al. (2003) mention a number of potential fibre sources including lucerne, wheat bran, pasture and silage which could meet the fibre needs of ostriches. Under Australian conditions, fibre sources such as reeds or saltbush might also be considered but more information is needed on the salt tolerance of ostriches fed fibres grown in highly saline conditions.</w:t>
      </w:r>
    </w:p>
    <w:p w14:paraId="6395F40F" w14:textId="77777777" w:rsidR="00286A88" w:rsidRPr="00286A88" w:rsidRDefault="00286A88" w:rsidP="00D2589F">
      <w:pPr>
        <w:rPr>
          <w:lang w:val="en-AU" w:eastAsia="en-AU"/>
        </w:rPr>
      </w:pPr>
      <w:r w:rsidRPr="00286A88">
        <w:rPr>
          <w:lang w:val="en-AU" w:eastAsia="en-AU"/>
        </w:rPr>
        <w:t>One small scale study (18 birds in total) evaluated the effects of providing high quality roughage from alfalfa hay within pellets at concentrate:roughage ratios of 70:30, 65:35 or 60:40. The birds grew well on each of these diets. There was a trend towards lower H:L ratios in the ostriches fed the higher roughage proportions, and a significant reduction in total cholesterol and low density lipids in the blood, possibly indicating improved cardio-vascular health (Ghasemi et al., 2013). The authors recommended that ostriches should be fed the diet with the higher proportion of roughage.</w:t>
      </w:r>
    </w:p>
    <w:p w14:paraId="0AC0DA97" w14:textId="77777777" w:rsidR="00286A88" w:rsidRPr="00286A88" w:rsidRDefault="00286A88" w:rsidP="00D2589F">
      <w:pPr>
        <w:rPr>
          <w:lang w:val="en-AU" w:eastAsia="en-AU"/>
        </w:rPr>
      </w:pPr>
      <w:r w:rsidRPr="00286A88">
        <w:rPr>
          <w:lang w:val="en-AU" w:eastAsia="en-AU"/>
        </w:rPr>
        <w:t>Milton et al. (1993) found that ostrich chicks readily accepted supplementary termites and suggested that insect protein could be investigated further as a dietary inclusion for farmed ostriches.</w:t>
      </w:r>
    </w:p>
    <w:p w14:paraId="238E7EFE" w14:textId="77777777" w:rsidR="00286A88" w:rsidRPr="00286A88" w:rsidRDefault="00286A88" w:rsidP="00D2589F">
      <w:pPr>
        <w:rPr>
          <w:lang w:val="en-AU" w:eastAsia="en-AU"/>
        </w:rPr>
      </w:pPr>
      <w:r w:rsidRPr="00286A88">
        <w:rPr>
          <w:lang w:val="en-AU" w:eastAsia="en-AU"/>
        </w:rPr>
        <w:t>The length of time that feed and water are withdrawn prior to transport is a potential welfare issue. In a recent survey of Canadian and USA producers, food was generally withheld for a few hours, but some producers withdrew feed for as long as 2 days before transport (Bejaei and Cheng, 2014</w:t>
      </w:r>
      <w:r w:rsidR="00CA0BFD">
        <w:rPr>
          <w:lang w:val="en-AU" w:eastAsia="en-AU"/>
        </w:rPr>
        <w:t>a; 2014b</w:t>
      </w:r>
      <w:r w:rsidRPr="00286A88">
        <w:rPr>
          <w:lang w:val="en-AU" w:eastAsia="en-AU"/>
        </w:rPr>
        <w:t>).</w:t>
      </w:r>
    </w:p>
    <w:p w14:paraId="2CAA893A" w14:textId="77777777" w:rsidR="00286A88" w:rsidRPr="00286A88" w:rsidRDefault="00286A88" w:rsidP="00D2589F">
      <w:pPr>
        <w:pStyle w:val="Heading2"/>
        <w:rPr>
          <w:lang w:val="en-AU" w:eastAsia="en-AU"/>
        </w:rPr>
      </w:pPr>
      <w:bookmarkStart w:id="340" w:name="_Toc495310807"/>
      <w:r w:rsidRPr="00286A88">
        <w:rPr>
          <w:lang w:val="en-AU" w:eastAsia="en-AU"/>
        </w:rPr>
        <w:t>OS3. Risk Management</w:t>
      </w:r>
      <w:bookmarkEnd w:id="340"/>
    </w:p>
    <w:p w14:paraId="255F3D54" w14:textId="77777777" w:rsidR="00286A88" w:rsidRPr="00286A88" w:rsidRDefault="00286A88" w:rsidP="00D2589F">
      <w:pPr>
        <w:pStyle w:val="Heading3"/>
        <w:rPr>
          <w:lang w:val="en-AU" w:eastAsia="en-AU"/>
        </w:rPr>
      </w:pPr>
      <w:bookmarkStart w:id="341" w:name="_Toc495310808"/>
      <w:r w:rsidRPr="00286A88">
        <w:rPr>
          <w:lang w:val="en-AU" w:eastAsia="en-AU"/>
        </w:rPr>
        <w:t>OS3.1 Mortality</w:t>
      </w:r>
      <w:bookmarkEnd w:id="341"/>
    </w:p>
    <w:p w14:paraId="51C08F63" w14:textId="77777777" w:rsidR="00286A88" w:rsidRPr="00286A88" w:rsidRDefault="00286A88" w:rsidP="00D2589F">
      <w:pPr>
        <w:rPr>
          <w:lang w:val="en-AU" w:eastAsia="en-AU"/>
        </w:rPr>
      </w:pPr>
      <w:r w:rsidRPr="00286A88">
        <w:rPr>
          <w:lang w:val="en-AU" w:eastAsia="en-AU"/>
        </w:rPr>
        <w:t>Mortality of ostrich chicks kept for farming purposes appears to be very high in comparison with other farmed bird species. In a prospective study of ostriches (394 chicks from 11 farms) reared in South Eastern Australia, 39% of chicks did not survive to 4 months of age (More, 1996). In India, high mortality has been reported to 3 months of age (Sivakumar et al., 2008), whilst a study of 68 chicks (Selvan et al., 2012) reported 41% mortality by 18 months. Verwoerd et al. (1999) reported that mortality can reach up to 50% to 3 months of age. Even more disturbing figures were reported by Cloete et al. (2001) in a study of 2,522 chicks reared in South Africa. In this cohort, 78.4% of chicks died before 3 months of age, with nearly half of the mortality occurring before the age of 28 days.</w:t>
      </w:r>
    </w:p>
    <w:p w14:paraId="6349BAEE" w14:textId="77777777" w:rsidR="00286A88" w:rsidRPr="00286A88" w:rsidRDefault="00286A88" w:rsidP="00D2589F">
      <w:pPr>
        <w:rPr>
          <w:lang w:val="en-AU" w:eastAsia="en-AU"/>
        </w:rPr>
      </w:pPr>
      <w:r w:rsidRPr="00286A88">
        <w:rPr>
          <w:lang w:val="en-AU" w:eastAsia="en-AU"/>
        </w:rPr>
        <w:t>Samson (1997) suggested that an achievable target is that chick mortality from all post-hatching causes should not exceed 20%. The World Ostrich Association Benchmark performance targets (</w:t>
      </w:r>
      <w:hyperlink r:id="rId74" w:tooltip="This is a link to a webpage of the World Ostrich Association Benchmark performance targets." w:history="1">
        <w:r w:rsidR="004B27F6" w:rsidRPr="008D16A0">
          <w:rPr>
            <w:rStyle w:val="Hyperlink"/>
            <w:lang w:val="en-AU" w:eastAsia="en-AU"/>
          </w:rPr>
          <w:t>www.world-ostrich.org/targets.htm</w:t>
        </w:r>
      </w:hyperlink>
      <w:r w:rsidR="00D96C72">
        <w:rPr>
          <w:lang w:val="en-AU" w:eastAsia="en-AU"/>
        </w:rPr>
        <w:t>)</w:t>
      </w:r>
      <w:r w:rsidRPr="00286A88">
        <w:rPr>
          <w:lang w:val="en-AU" w:eastAsia="en-AU"/>
        </w:rPr>
        <w:t xml:space="preserve"> suggest that overall mortality from hatch to one year of age/slaughter should not exceed 10% (and could be lower for chicks produced by older parents).</w:t>
      </w:r>
    </w:p>
    <w:p w14:paraId="1E9520DE" w14:textId="77777777" w:rsidR="00286A88" w:rsidRPr="00286A88" w:rsidRDefault="00286A88" w:rsidP="00D2589F">
      <w:pPr>
        <w:pStyle w:val="Heading3"/>
        <w:rPr>
          <w:lang w:val="en-AU" w:eastAsia="en-AU"/>
        </w:rPr>
      </w:pPr>
      <w:bookmarkStart w:id="342" w:name="_Toc495310809"/>
      <w:r w:rsidRPr="00286A88">
        <w:rPr>
          <w:lang w:val="en-AU" w:eastAsia="en-AU"/>
        </w:rPr>
        <w:t>OS3.2 Causes of mortality</w:t>
      </w:r>
      <w:bookmarkEnd w:id="342"/>
    </w:p>
    <w:p w14:paraId="5A1AA769" w14:textId="77777777" w:rsidR="00286A88" w:rsidRPr="00286A88" w:rsidRDefault="00286A88" w:rsidP="00D2589F">
      <w:pPr>
        <w:rPr>
          <w:lang w:val="en-AU" w:eastAsia="en-AU"/>
        </w:rPr>
      </w:pPr>
      <w:r w:rsidRPr="00286A88">
        <w:rPr>
          <w:lang w:val="en-AU" w:eastAsia="en-AU"/>
        </w:rPr>
        <w:t>Chicks hatching from small eggs, or with low hatching weights, had an increased risk of death before 28 days of age (Cloete et al., 2001; Sebei and Bergaoui, 2009). Chick weight and survivability at hatch tend to increase over successive breeding seasons (Ipek and Sahan, 2004). Human intervention at the time of hatching has met with mixed results. Some studies have reported increased mortality for chicks raised by a standard artificial procedure than chicks raised by (foster) parent birds (Horbanczuk and Sales, 2000; Sebei and Bergaoui, 2009). However, the results may depend on variation in parenting ability of the adult birds, so a high level of supervision of foster parent birds would be required (Bonato et al., 2015). The nature and duration of human intervention may also play a critical role. In a study where chicks were provided with extensive gentle handling to 30 days of age (Wang et al., 2012) mortality was reduced in comparison with a standard chick rearing procedure with minimal human contact.</w:t>
      </w:r>
    </w:p>
    <w:p w14:paraId="4B953AEA" w14:textId="77777777" w:rsidR="00286A88" w:rsidRPr="00286A88" w:rsidRDefault="00286A88" w:rsidP="00D2589F">
      <w:pPr>
        <w:rPr>
          <w:lang w:val="en-AU" w:eastAsia="en-AU"/>
        </w:rPr>
      </w:pPr>
      <w:r w:rsidRPr="00286A88">
        <w:rPr>
          <w:lang w:val="en-AU" w:eastAsia="en-AU"/>
        </w:rPr>
        <w:t>Ostrich chicks often show great variation in growth rate (Bunter and Cloete, 2004) and the faster growing chicks may have compromised immune function (Bonato et al., 2015).</w:t>
      </w:r>
    </w:p>
    <w:p w14:paraId="3701FFB2" w14:textId="77777777" w:rsidR="00286A88" w:rsidRPr="00286A88" w:rsidRDefault="00286A88" w:rsidP="00D2589F">
      <w:pPr>
        <w:rPr>
          <w:lang w:val="en-AU" w:eastAsia="en-AU"/>
        </w:rPr>
      </w:pPr>
      <w:r w:rsidRPr="00286A88">
        <w:rPr>
          <w:lang w:val="en-AU" w:eastAsia="en-AU"/>
        </w:rPr>
        <w:t>More (1996) reported the causes of mortality in chicks and juveniles to be tibiotarsal rotation (36%), fading chick syndrome (13%) and salmonellosis (11%). In an overview provided for the OIE (the World Organisation for Animal Health), Huchzermeyer (2002) concluded that the major causes of mortality in farmed ostriches are related to rearing condition and stress, with infectious disease playing a relatively minor role. The infectious diseases that can be problematic for ostriches include Newcastle disease, which manifests in neurological symptoms such as loss of head and neck posture (but without the respiratory symptoms seen in poultry); avian influenza; upper respiratory tract disease (particularly in crowded and dusty conditions) and salm</w:t>
      </w:r>
      <w:r w:rsidR="002F4C68">
        <w:rPr>
          <w:lang w:val="en-AU" w:eastAsia="en-AU"/>
        </w:rPr>
        <w:t>o</w:t>
      </w:r>
      <w:r w:rsidRPr="00286A88">
        <w:rPr>
          <w:lang w:val="en-AU" w:eastAsia="en-AU"/>
        </w:rPr>
        <w:t>nellosis (Wieliczko and Kuczkowski, 2000; Huchzermeyer, 2002).</w:t>
      </w:r>
    </w:p>
    <w:p w14:paraId="62BB1D96" w14:textId="77777777" w:rsidR="00286A88" w:rsidRPr="00286A88" w:rsidRDefault="00286A88" w:rsidP="00D2589F">
      <w:pPr>
        <w:rPr>
          <w:lang w:val="en-AU" w:eastAsia="en-AU"/>
        </w:rPr>
      </w:pPr>
      <w:r w:rsidRPr="00286A88">
        <w:rPr>
          <w:lang w:val="en-AU" w:eastAsia="en-AU"/>
        </w:rPr>
        <w:t xml:space="preserve">Enteritis is rarely reported in ostriches reared on pasture, but is one of the main causes of mortality for ostrich chicks reared indoors (Samson, 1997; Huchzermeyer, 2002). When raised on concrete, a normal intestinal microflora cannot be established, resulting in birds that are vulnerable to infection from harmful bacteria. A post-mortem study of 122 ostrich chicks), which had died from enteritis, identified </w:t>
      </w:r>
      <w:r w:rsidRPr="00286A88">
        <w:rPr>
          <w:i/>
          <w:lang w:val="en-AU" w:eastAsia="en-AU"/>
        </w:rPr>
        <w:t xml:space="preserve">E. </w:t>
      </w:r>
      <w:r w:rsidR="003A4918">
        <w:rPr>
          <w:i/>
          <w:lang w:val="en-AU" w:eastAsia="en-AU"/>
        </w:rPr>
        <w:t>c</w:t>
      </w:r>
      <w:r w:rsidRPr="00286A88">
        <w:rPr>
          <w:i/>
          <w:lang w:val="en-AU" w:eastAsia="en-AU"/>
        </w:rPr>
        <w:t>oli</w:t>
      </w:r>
      <w:r w:rsidRPr="00286A88">
        <w:rPr>
          <w:lang w:val="en-AU" w:eastAsia="en-AU"/>
        </w:rPr>
        <w:t xml:space="preserve">, Clostridium, Enterococcus and Salmonella as the main causal organisms (Keokilwe et al., 2015). Under natural conditions, young ostrich chicks are reported to ingest parental faeces (Holtzhausen and Kotzé, </w:t>
      </w:r>
      <w:r w:rsidR="002F4C68">
        <w:rPr>
          <w:lang w:val="en-AU" w:eastAsia="en-AU"/>
        </w:rPr>
        <w:t xml:space="preserve">1990, </w:t>
      </w:r>
      <w:r w:rsidRPr="00286A88">
        <w:rPr>
          <w:lang w:val="en-AU" w:eastAsia="en-AU"/>
        </w:rPr>
        <w:t>cited by Christensen and Nielsen, 2004), a practice that results in the establishment of a locally-adapted intestinal microflora (Carrer et al., 2005, cited by Amado et al., 2011). Cold and wet conditions and the use of antibiotics are additional risk factors. The use of probiotics has been suggested as a preventive measure (Samson, 1997) but no controlled scientific studies on this matter could be found.</w:t>
      </w:r>
    </w:p>
    <w:p w14:paraId="3F6B0019" w14:textId="77777777" w:rsidR="00286A88" w:rsidRPr="00286A88" w:rsidRDefault="00494BC4" w:rsidP="00D2589F">
      <w:pPr>
        <w:pStyle w:val="Heading3"/>
        <w:rPr>
          <w:lang w:val="en-AU" w:eastAsia="en-AU"/>
        </w:rPr>
      </w:pPr>
      <w:r>
        <w:rPr>
          <w:lang w:val="en-AU" w:eastAsia="en-AU"/>
        </w:rPr>
        <w:br w:type="column"/>
      </w:r>
      <w:bookmarkStart w:id="343" w:name="_Toc495310810"/>
      <w:r w:rsidR="00286A88" w:rsidRPr="00286A88">
        <w:rPr>
          <w:lang w:val="en-AU" w:eastAsia="en-AU"/>
        </w:rPr>
        <w:t>OS3.3 Bone strength, bone damage, deformities and lameness</w:t>
      </w:r>
      <w:bookmarkEnd w:id="343"/>
    </w:p>
    <w:p w14:paraId="06EF9B8C" w14:textId="77777777" w:rsidR="00286A88" w:rsidRPr="00286A88" w:rsidRDefault="00286A88" w:rsidP="00D2589F">
      <w:pPr>
        <w:rPr>
          <w:lang w:val="en-AU" w:eastAsia="en-AU"/>
        </w:rPr>
      </w:pPr>
      <w:r w:rsidRPr="00286A88">
        <w:rPr>
          <w:lang w:val="en-AU" w:eastAsia="en-AU"/>
        </w:rPr>
        <w:t>As with other fast-growing farmed birds, such as broiler chickens and turkeys, problems with bone composition and skeletal function have been identified. Although a newer industry, many of the trends that have resulted in welfare problems for broiler chickens are now observed in those ostriches selected for meat production. Genetic selection for faster growth rates, higher body mass, and greatly increased muscle development is now associated with disturbances in bone growth and with deformities and fractures. The skeletons of these ostriches appear to be insufficiently adapted to cope with the increased mass of the birds (Tatara et al., 2016). Samson (1997) identified rapid growth rates (bodyweight &gt;4.5 kg at 28 days of age) with little opportunity for exercise as a risk factor for skeletal defects.</w:t>
      </w:r>
    </w:p>
    <w:p w14:paraId="312F02E2" w14:textId="77777777" w:rsidR="00286A88" w:rsidRPr="00286A88" w:rsidRDefault="00286A88" w:rsidP="00D2589F">
      <w:pPr>
        <w:rPr>
          <w:lang w:val="en-AU" w:eastAsia="en-AU"/>
        </w:rPr>
      </w:pPr>
      <w:r w:rsidRPr="00286A88">
        <w:rPr>
          <w:lang w:val="en-AU" w:eastAsia="en-AU"/>
        </w:rPr>
        <w:t>Currently, there appears to be a great deal of variation between ostriches in the structure, density and mechanical properties of their long bones (Tatara et al., 2016) suggesting that there may be potential to use birds with the better bone traits in breeding programmes, thereby avoiding some of the worst problems seen in other farmed bird species.</w:t>
      </w:r>
    </w:p>
    <w:p w14:paraId="738E5457" w14:textId="77777777" w:rsidR="00286A88" w:rsidRPr="00286A88" w:rsidRDefault="00286A88" w:rsidP="00D2589F">
      <w:pPr>
        <w:rPr>
          <w:lang w:val="en-AU" w:eastAsia="en-AU"/>
        </w:rPr>
      </w:pPr>
      <w:r w:rsidRPr="00286A88">
        <w:rPr>
          <w:lang w:val="en-AU" w:eastAsia="en-AU"/>
        </w:rPr>
        <w:t>The long bones of the tibia and tarso metatarsus are the most likely to be affected. Morphological defects are thought to contribute to further problems, including bone rotation (Charuta et al., 2013). This is especially serious as the whole body mass of the ostrich rests on the tibia. Rotation reduces stride length and running speed (Cooper, 2007). In severe cases tibiotarsal rotation is a significant cause of death, with peak onset between 2 to 10 weeks of age, and a median survival time of just 10 days after diagnosis (More, 1996). Less commonly, bowing of the leg bones has been observed. This condition appears to be associated with a pathological and progressive disease state which slows growth of the metatarsal bone (Cooper et al., 2008). The chest wall can also become skewed in association with tibiotarsal rotation (Samson, 1997).</w:t>
      </w:r>
    </w:p>
    <w:p w14:paraId="36468F4F" w14:textId="77777777" w:rsidR="00286A88" w:rsidRPr="00286A88" w:rsidRDefault="00286A88" w:rsidP="00D2589F">
      <w:pPr>
        <w:rPr>
          <w:lang w:val="en-AU" w:eastAsia="en-AU"/>
        </w:rPr>
      </w:pPr>
      <w:r w:rsidRPr="00286A88">
        <w:rPr>
          <w:lang w:val="en-AU" w:eastAsia="en-AU"/>
        </w:rPr>
        <w:t>No single cause of these leg pathologies has been identified. Mineral balance may play a role, and calcium and phosphorus levels in the bones have been reported to be lower in affected than healthy birds (Huchzermeyer, 1998, cited by Huchzermeyer, 2002). Supplementation of water with 200 mg/l of boron increased the length, weight and ash content of ostrich chick bones, but not the bone mineral density (Cheng et al., 2011). The role of a low fibre, high protein diet is a more plausible causal factor, with high growth rates resulting in osteodystrophy and rapid soft tissue development. Lack of exercise in a confined environment is also a likely contributing factor (Miao et al., 2003). It has also been suggested (Huchzermeyer, 2002) that rotation is related to chicks stumbling over obstacles in their environment (though cause and effect would seem to be difficult to disentangle in this case).</w:t>
      </w:r>
    </w:p>
    <w:p w14:paraId="4BF48D5C" w14:textId="77777777" w:rsidR="00286A88" w:rsidRPr="00286A88" w:rsidRDefault="00286A88" w:rsidP="00D2589F">
      <w:pPr>
        <w:rPr>
          <w:lang w:val="en-AU" w:eastAsia="en-AU"/>
        </w:rPr>
      </w:pPr>
      <w:r w:rsidRPr="00286A88">
        <w:rPr>
          <w:lang w:val="en-AU" w:eastAsia="en-AU"/>
        </w:rPr>
        <w:t xml:space="preserve">Under Australian conditions, tibiotarsal rotation was reported to affect just over 10% of ostrich chicks in a study of 31 farms (Squire and More, 1998, </w:t>
      </w:r>
      <w:r w:rsidR="007103C8">
        <w:rPr>
          <w:lang w:val="en-AU" w:eastAsia="en-AU"/>
        </w:rPr>
        <w:t xml:space="preserve">full </w:t>
      </w:r>
      <w:r w:rsidRPr="00286A88">
        <w:rPr>
          <w:lang w:val="en-AU" w:eastAsia="en-AU"/>
        </w:rPr>
        <w:t>text not available). In Botswana, limb deformities were detected in 15.3% of ostrich chicks, with 73% of the affected chicks suffering from tibiotarsal rotation, and 36% from rolled toes (Mushi et al., 1999). Aslan et al. (2009</w:t>
      </w:r>
      <w:r w:rsidR="00CA0BFD">
        <w:rPr>
          <w:lang w:val="en-AU" w:eastAsia="en-AU"/>
        </w:rPr>
        <w:t>a</w:t>
      </w:r>
      <w:r w:rsidRPr="00286A88">
        <w:rPr>
          <w:lang w:val="en-AU" w:eastAsia="en-AU"/>
        </w:rPr>
        <w:t>) reported a variety of lower limb deformities that affected 35.8% of ostrich chicks. Of these, approximately half were considered congenital, including leg and toe deviations and rotations, and half were acquired, including tarsal joint arthritis, fractures, dislocations and other injuries. Bandaging treatments were applied to many of the cases, with a reasonable success rate (66%) reported (Aslan et al., 2009a). However, it should be noted that no control groups were employed to monitor whether any spontaneous improvement occurred in non-bandaged animals. Surgical treatment is reportedly ineffective as well as expensive (Stewart, 1994, cited by Samson, 1997).</w:t>
      </w:r>
    </w:p>
    <w:p w14:paraId="7FDFDD15" w14:textId="77777777" w:rsidR="00286A88" w:rsidRPr="00286A88" w:rsidRDefault="00286A88" w:rsidP="00D2589F">
      <w:pPr>
        <w:pStyle w:val="Heading3"/>
        <w:rPr>
          <w:lang w:val="en-AU" w:eastAsia="en-AU"/>
        </w:rPr>
      </w:pPr>
      <w:bookmarkStart w:id="344" w:name="_Toc495310811"/>
      <w:r w:rsidRPr="00286A88">
        <w:rPr>
          <w:lang w:val="en-AU" w:eastAsia="en-AU"/>
        </w:rPr>
        <w:t>OS3.4 Stomach impaction</w:t>
      </w:r>
      <w:bookmarkEnd w:id="344"/>
    </w:p>
    <w:p w14:paraId="4A316697" w14:textId="77777777" w:rsidR="00286A88" w:rsidRPr="00286A88" w:rsidRDefault="00286A88" w:rsidP="00D2589F">
      <w:pPr>
        <w:rPr>
          <w:lang w:val="en-AU" w:eastAsia="en-AU"/>
        </w:rPr>
      </w:pPr>
      <w:r w:rsidRPr="00286A88">
        <w:rPr>
          <w:lang w:val="en-AU" w:eastAsia="en-AU"/>
        </w:rPr>
        <w:t>Growing ostrich chicks have a tendency to ingest a variety of non-food materials in their environment, including sand, stones, and foreign materials such as plastic bags or metal objects such as bottle tops (Samson, 1997; Mushi et al., 1998b; Kom</w:t>
      </w:r>
      <w:r w:rsidR="00CA0BFD">
        <w:rPr>
          <w:lang w:val="en-AU" w:eastAsia="en-AU"/>
        </w:rPr>
        <w:t>n</w:t>
      </w:r>
      <w:r w:rsidRPr="00286A88">
        <w:rPr>
          <w:lang w:val="en-AU" w:eastAsia="en-AU"/>
        </w:rPr>
        <w:t>enou et al., 2003; Sen and Albay, 2003). This is one cause of impaction of the proventriculus and/or the gizzard. One obvious preventive step is to ensure that foreign objects e.g. plastic or metal, are cleared from ostrich enclosures.</w:t>
      </w:r>
    </w:p>
    <w:p w14:paraId="6439815A" w14:textId="77777777" w:rsidR="00286A88" w:rsidRPr="00286A88" w:rsidRDefault="00286A88" w:rsidP="00D2589F">
      <w:pPr>
        <w:rPr>
          <w:lang w:val="en-AU" w:eastAsia="en-AU"/>
        </w:rPr>
      </w:pPr>
      <w:r w:rsidRPr="00286A88">
        <w:rPr>
          <w:lang w:val="en-AU" w:eastAsia="en-AU"/>
        </w:rPr>
        <w:t>However, impaction can also result when birds ingest normal forage materials (Samson, 1997). Impaction can result in inflammation of the proventriculus and gizzard, weight loss, lethargy and death. Impaction has been reported in birds aged between 3 and 24 months (Gulbahar et al., 2000; Yuksek et al., 2001) and in adult birds (Samson, 1996), but appears to be most common in juvenile birds (Samson, 1997; Mushi et al., 1998b). On one farm in Turkey 14 cases of impaction were recorded from just 25 birds over the course of a year (Yuksek et al., 2001). Of these half recovered following treatment and half died. Death can also occur very rapidly, without obvious preceding clinical signs (Mushi et al., 1998b). The risk of impaction appears to increase with stress and confinement (Samson, 1997).</w:t>
      </w:r>
    </w:p>
    <w:p w14:paraId="0D243303" w14:textId="77777777" w:rsidR="00286A88" w:rsidRPr="00286A88" w:rsidRDefault="00286A88" w:rsidP="00D2589F">
      <w:pPr>
        <w:rPr>
          <w:lang w:val="en-AU" w:eastAsia="en-AU"/>
        </w:rPr>
      </w:pPr>
      <w:r w:rsidRPr="00286A88">
        <w:rPr>
          <w:lang w:val="en-AU" w:eastAsia="en-AU"/>
        </w:rPr>
        <w:t xml:space="preserve">Another preventative step is to provide </w:t>
      </w:r>
      <w:r w:rsidRPr="00286A88">
        <w:rPr>
          <w:i/>
          <w:lang w:val="en-AU" w:eastAsia="en-AU"/>
        </w:rPr>
        <w:t>ad libitum</w:t>
      </w:r>
      <w:r w:rsidRPr="00286A88">
        <w:rPr>
          <w:lang w:val="en-AU" w:eastAsia="en-AU"/>
        </w:rPr>
        <w:t xml:space="preserve"> food to reduce bird motivation for ingestion of other materials (Mushi et al., 1998b). It is more difficult to manage the over-ingestion of sand, soil or stones (see OS4.2).</w:t>
      </w:r>
    </w:p>
    <w:p w14:paraId="40C5C159" w14:textId="77777777" w:rsidR="00286A88" w:rsidRPr="00286A88" w:rsidRDefault="00286A88" w:rsidP="00D2589F">
      <w:pPr>
        <w:rPr>
          <w:lang w:val="en-AU" w:eastAsia="en-AU"/>
        </w:rPr>
      </w:pPr>
      <w:r w:rsidRPr="00286A88">
        <w:rPr>
          <w:lang w:val="en-AU" w:eastAsia="en-AU"/>
        </w:rPr>
        <w:t>Suggested treatments include the administration of lubricants and surgical intervention via proventriculotomy (e.g. Honnas et al., 1993; Komenou et al., 1993; Aslan et al., 2009b). However, the efficacy of these approaches is not clear, despite case reports of apparent success rates. No case-control studies appear to be available and sample sizes and individual farm or surgery level factors are too idiosyncratic to draw overall conclusions. It appears from some reports that there can be a relatively high risk of peri-operative death due to the weakened condition of birds at time of surgery (Honnas et al., 1993). Surgery will also pose risks to welfare including stress, infection and uncertain longer-term prognosis.</w:t>
      </w:r>
    </w:p>
    <w:p w14:paraId="7D974334" w14:textId="77777777" w:rsidR="00286A88" w:rsidRPr="00286A88" w:rsidRDefault="00286A88" w:rsidP="00D2589F">
      <w:pPr>
        <w:rPr>
          <w:lang w:val="en-AU" w:eastAsia="en-AU"/>
        </w:rPr>
      </w:pPr>
      <w:r w:rsidRPr="00286A88">
        <w:rPr>
          <w:lang w:val="en-AU" w:eastAsia="en-AU"/>
        </w:rPr>
        <w:t>Young ostrich chicks sometimes fail to grow and thrive, with resultant high mortality before 6 weeks of age. This so-called ‘fading chick’ syndrome is poorly understood but it bears some similarities to the reports of gastric impaction above. Post-mortem results from faded chicks have shown that food is present in the proventriculus but has not been passed onwards to the intestine (Huchzermeyer, 2002).</w:t>
      </w:r>
    </w:p>
    <w:p w14:paraId="2EFA13DC" w14:textId="77777777" w:rsidR="00286A88" w:rsidRPr="00286A88" w:rsidRDefault="00286A88" w:rsidP="00D2589F">
      <w:pPr>
        <w:pStyle w:val="Heading3"/>
        <w:rPr>
          <w:lang w:val="en-AU" w:eastAsia="en-AU"/>
        </w:rPr>
      </w:pPr>
      <w:bookmarkStart w:id="345" w:name="_Toc495310812"/>
      <w:r w:rsidRPr="00286A88">
        <w:rPr>
          <w:lang w:val="en-AU" w:eastAsia="en-AU"/>
        </w:rPr>
        <w:t>OS3.5 Feather pecking and other abnormal forms of pecking</w:t>
      </w:r>
      <w:bookmarkEnd w:id="345"/>
    </w:p>
    <w:p w14:paraId="4AD89D09" w14:textId="77777777" w:rsidR="00286A88" w:rsidRPr="00286A88" w:rsidRDefault="00286A88" w:rsidP="00D2589F">
      <w:pPr>
        <w:rPr>
          <w:lang w:val="en-AU" w:eastAsia="en-AU"/>
        </w:rPr>
      </w:pPr>
      <w:r w:rsidRPr="00286A88">
        <w:rPr>
          <w:lang w:val="en-AU" w:eastAsia="en-AU"/>
        </w:rPr>
        <w:t>Feather pecking, and other forms of abnormal pecking such as toe pecking, face pecking, repetitive object and air pecking, occur in young and adult ostriches (Lambert et al., 1995; Samson, 1997; Csermely et al., 2007) and are reportedly associated with confinement, stress, low duration of time spent feeding and diets that differ markedly from those in the wild (Sambraus, 1995, cited by Miao et al., 2003 and by Christensen and Nielsen, 2004; Samson, 1996). As in laying hens, abnormal pecking may result when opportunities to perform normal feeding, foraging or exploratory pecking behaviours are absent or insufficient. In ostrich chicks, individuals that direct toe or face pecking towards their companions appear less healthy and have higher mortality than other chicks (Lambert et al., 1995). In adult ostriches confined indoors during cold Canadian winters, a wide variety of abnormal pecking behaviours have been observed, including feather pecking, toe pecking and face pecking (Samson, 1996). Reischl and Sambraus (2003) studied feather pecking in farmed ostriches in Israel and noted feather pecking in 5.8% of the 11,145 birds observed. Up to the age of 18 months all birds were observed to perform some feather pecking, but after this age less than 40% of birds engaged in this behaviour. Highly repetitive abnormal behaviour may be a sign of poor welfare of the initiating ostrich (independently of damage caused to any victims) (Christensen and Nielsen, 2004). However, confirmation requires secondary strands of evidence (Mason and Latham, 2004). The poor health of chicks that engage in these behaviours (Lambert et al., 1995) provides some support for this interpretation.</w:t>
      </w:r>
    </w:p>
    <w:p w14:paraId="730D525C" w14:textId="77777777" w:rsidR="00286A88" w:rsidRPr="00286A88" w:rsidRDefault="00286A88" w:rsidP="00D2589F">
      <w:pPr>
        <w:pStyle w:val="Heading3"/>
        <w:rPr>
          <w:lang w:val="en-AU" w:eastAsia="en-AU"/>
        </w:rPr>
      </w:pPr>
      <w:bookmarkStart w:id="346" w:name="_Toc495310813"/>
      <w:r w:rsidRPr="00286A88">
        <w:rPr>
          <w:lang w:val="en-AU" w:eastAsia="en-AU"/>
        </w:rPr>
        <w:t>OS3.6 Parasitic infections</w:t>
      </w:r>
      <w:bookmarkEnd w:id="346"/>
    </w:p>
    <w:p w14:paraId="611D896F" w14:textId="77777777" w:rsidR="00286A88" w:rsidRPr="00286A88" w:rsidRDefault="00286A88" w:rsidP="00D2589F">
      <w:pPr>
        <w:rPr>
          <w:lang w:val="en-AU" w:eastAsia="en-AU"/>
        </w:rPr>
      </w:pPr>
      <w:r w:rsidRPr="00286A88">
        <w:rPr>
          <w:lang w:val="en-AU" w:eastAsia="en-AU"/>
        </w:rPr>
        <w:t>Ostriches can become infested with quill mites (</w:t>
      </w:r>
      <w:r w:rsidRPr="00286A88">
        <w:rPr>
          <w:i/>
          <w:lang w:val="en-AU" w:eastAsia="en-AU"/>
        </w:rPr>
        <w:t>Gabucinia bicaudata</w:t>
      </w:r>
      <w:r w:rsidRPr="00286A88">
        <w:rPr>
          <w:lang w:val="en-AU" w:eastAsia="en-AU"/>
        </w:rPr>
        <w:t>) and lice (</w:t>
      </w:r>
      <w:r w:rsidRPr="00286A88">
        <w:rPr>
          <w:i/>
          <w:lang w:val="en-AU" w:eastAsia="en-AU"/>
        </w:rPr>
        <w:t>Struthiolipenrus struthionis</w:t>
      </w:r>
      <w:r w:rsidRPr="00286A88">
        <w:rPr>
          <w:lang w:val="en-AU" w:eastAsia="en-AU"/>
        </w:rPr>
        <w:t>) causing skin and plumage damage an</w:t>
      </w:r>
      <w:r w:rsidR="001F18AB">
        <w:rPr>
          <w:lang w:val="en-AU" w:eastAsia="en-AU"/>
        </w:rPr>
        <w:t>d irritation (Cooper and El Dou</w:t>
      </w:r>
      <w:r w:rsidRPr="00286A88">
        <w:rPr>
          <w:lang w:val="en-AU" w:eastAsia="en-AU"/>
        </w:rPr>
        <w:t>mani, 2006).</w:t>
      </w:r>
    </w:p>
    <w:p w14:paraId="452E4476" w14:textId="77777777" w:rsidR="00286A88" w:rsidRPr="00286A88" w:rsidRDefault="00286A88" w:rsidP="00D2589F">
      <w:pPr>
        <w:rPr>
          <w:lang w:val="en-AU" w:eastAsia="en-AU"/>
        </w:rPr>
      </w:pPr>
      <w:r w:rsidRPr="00286A88">
        <w:rPr>
          <w:lang w:val="en-AU" w:eastAsia="en-AU"/>
        </w:rPr>
        <w:t>No coccidia or stomach worm infections were detected in ostriches kept under Australian conditions, with only trace detection of other nematode infection (More, 1996). However, in Botswana, coccidian oocysts were found in faecal samples of 34% of 156 young farmed ostrich chicks, but these infections did not appear to cause welfare or production problems. Oocysts were not detected in young ostriches over the age of 9 weeks (Mushi et al., 1998a).</w:t>
      </w:r>
    </w:p>
    <w:p w14:paraId="1B05343E" w14:textId="77777777" w:rsidR="00286A88" w:rsidRPr="00286A88" w:rsidRDefault="00286A88" w:rsidP="00D2589F">
      <w:pPr>
        <w:rPr>
          <w:lang w:val="en-AU" w:eastAsia="en-AU"/>
        </w:rPr>
      </w:pPr>
      <w:r w:rsidRPr="00286A88">
        <w:rPr>
          <w:lang w:val="en-AU" w:eastAsia="en-AU"/>
        </w:rPr>
        <w:t xml:space="preserve">Ostriches can be infected with the stomach worm, </w:t>
      </w:r>
      <w:r w:rsidRPr="00286A88">
        <w:rPr>
          <w:i/>
          <w:lang w:val="en-AU" w:eastAsia="en-AU"/>
        </w:rPr>
        <w:t>Libyostrongylus douglasii</w:t>
      </w:r>
      <w:r w:rsidRPr="00286A88">
        <w:rPr>
          <w:lang w:val="en-AU" w:eastAsia="en-AU"/>
        </w:rPr>
        <w:t xml:space="preserve">, which lives just beneath the surface layer of the proventriculus and gizzard. Infection can result in irritation, disruption and damage to the stomach surfaces, with severe cases resulting in gastric stasis, anaemia and a slow death. Conventional worming treatments are </w:t>
      </w:r>
      <w:r w:rsidR="00CA0BFD">
        <w:rPr>
          <w:lang w:val="en-AU" w:eastAsia="en-AU"/>
        </w:rPr>
        <w:t xml:space="preserve">largely </w:t>
      </w:r>
      <w:r w:rsidRPr="00286A88">
        <w:rPr>
          <w:lang w:val="en-AU" w:eastAsia="en-AU"/>
        </w:rPr>
        <w:t>effective against this parasite (</w:t>
      </w:r>
      <w:r w:rsidR="00531694">
        <w:rPr>
          <w:lang w:val="en-AU" w:eastAsia="en-AU"/>
        </w:rPr>
        <w:t>d</w:t>
      </w:r>
      <w:r w:rsidR="00CA0BFD">
        <w:rPr>
          <w:lang w:val="en-AU" w:eastAsia="en-AU"/>
        </w:rPr>
        <w:t>e</w:t>
      </w:r>
      <w:r w:rsidR="00531694">
        <w:rPr>
          <w:lang w:val="en-AU" w:eastAsia="en-AU"/>
        </w:rPr>
        <w:t xml:space="preserve"> </w:t>
      </w:r>
      <w:r w:rsidR="00CA0BFD">
        <w:rPr>
          <w:lang w:val="en-AU" w:eastAsia="en-AU"/>
        </w:rPr>
        <w:t>Souza et al., 2012</w:t>
      </w:r>
      <w:r w:rsidRPr="00286A88">
        <w:rPr>
          <w:lang w:val="en-AU" w:eastAsia="en-AU"/>
        </w:rPr>
        <w:t>).</w:t>
      </w:r>
    </w:p>
    <w:p w14:paraId="31B1EC0A" w14:textId="77777777" w:rsidR="00286A88" w:rsidRPr="00286A88" w:rsidRDefault="00286A88" w:rsidP="00D2589F">
      <w:pPr>
        <w:pStyle w:val="Heading2"/>
        <w:rPr>
          <w:lang w:val="en-AU" w:eastAsia="en-AU"/>
        </w:rPr>
      </w:pPr>
      <w:bookmarkStart w:id="347" w:name="_Toc495310814"/>
      <w:r w:rsidRPr="00286A88">
        <w:rPr>
          <w:lang w:val="en-AU" w:eastAsia="en-AU"/>
        </w:rPr>
        <w:t>OS4. Facilities and Equipment: Behavioural Needs</w:t>
      </w:r>
      <w:bookmarkEnd w:id="347"/>
    </w:p>
    <w:p w14:paraId="11B91A58" w14:textId="77777777" w:rsidR="00286A88" w:rsidRPr="00286A88" w:rsidRDefault="00D2589F" w:rsidP="00D2589F">
      <w:pPr>
        <w:pStyle w:val="Heading3"/>
        <w:rPr>
          <w:lang w:val="en-AU" w:eastAsia="en-AU"/>
        </w:rPr>
      </w:pPr>
      <w:bookmarkStart w:id="348" w:name="_Toc495310815"/>
      <w:r>
        <w:rPr>
          <w:lang w:val="en-AU" w:eastAsia="en-AU"/>
        </w:rPr>
        <w:t>OS4.1 Behavioural time budget</w:t>
      </w:r>
      <w:bookmarkEnd w:id="348"/>
    </w:p>
    <w:p w14:paraId="05346C3A" w14:textId="77777777" w:rsidR="00286A88" w:rsidRPr="00286A88" w:rsidRDefault="00286A88" w:rsidP="00D2589F">
      <w:pPr>
        <w:rPr>
          <w:lang w:val="en-AU" w:eastAsia="en-AU"/>
        </w:rPr>
      </w:pPr>
      <w:r w:rsidRPr="00286A88">
        <w:rPr>
          <w:lang w:val="en-AU" w:eastAsia="en-AU"/>
        </w:rPr>
        <w:t>A first step in establishing behavioural needs is often to compare the behaviour and time budgets of captive animals with that of their wild or feral counterparts (e.g. Weeks and Nicol, 2006). There is some information on the behaviour of wild ostriches and the time budgets of captive ostriches presented below. Further information on whether different activities can be considered behavioural priorities or needs within a captive environment (e.g. from preference or demand tests, or on physiological consequences of deprivation) is not available for ostriches.</w:t>
      </w:r>
    </w:p>
    <w:p w14:paraId="4728A0C5" w14:textId="77777777" w:rsidR="00286A88" w:rsidRPr="00286A88" w:rsidRDefault="00286A88" w:rsidP="00D2589F">
      <w:pPr>
        <w:rPr>
          <w:lang w:val="en-AU" w:eastAsia="en-AU"/>
        </w:rPr>
      </w:pPr>
      <w:r w:rsidRPr="00286A88">
        <w:rPr>
          <w:lang w:val="en-AU" w:eastAsia="en-AU"/>
        </w:rPr>
        <w:t>Ostrich chicks live on the reserves from the yolk sac for a few days after hatching. They start to peck and forage at around 4-5 days of age (Christensen and Nielsen, 2004). Under natural conditions ostriches can travel great distances in search of sparsely located food and water. Ostriches living within the Namib desert have been reported to spend 7.5 h/day walking (Williams et al., 1993). Bertram (1980) reported that the percentage of the day spent in foraging behaviour varied between 65 and 85%, depending on group size.</w:t>
      </w:r>
    </w:p>
    <w:p w14:paraId="7CAC8C24" w14:textId="77777777" w:rsidR="00286A88" w:rsidRPr="00286A88" w:rsidRDefault="00286A88" w:rsidP="00D2589F">
      <w:pPr>
        <w:rPr>
          <w:lang w:val="en-AU" w:eastAsia="en-AU"/>
        </w:rPr>
      </w:pPr>
      <w:r w:rsidRPr="00286A88">
        <w:rPr>
          <w:lang w:val="en-AU" w:eastAsia="en-AU"/>
        </w:rPr>
        <w:t xml:space="preserve">Bubier et al. (1996) found that ostrich chicks (to 14 days) spent 50.7% of their time foraging (walking and ground pecking). A more detailed time budget study was conducted by Amado et al. (2011) who grouped chicks according to age, with 30 individuals in each age-group (10-40, 41-60, 61-90, 91-120, 121-150 days). Younger birds (to 60 days) were housed in 20x20 m paddocks with older groups in larger enclosures. The ostriches received concentrate, alfalfa and </w:t>
      </w:r>
      <w:r w:rsidRPr="00286A88">
        <w:rPr>
          <w:i/>
          <w:lang w:val="en-AU" w:eastAsia="en-AU"/>
        </w:rPr>
        <w:t>ad libitum</w:t>
      </w:r>
      <w:r w:rsidRPr="00286A88">
        <w:rPr>
          <w:lang w:val="en-AU" w:eastAsia="en-AU"/>
        </w:rPr>
        <w:t xml:space="preserve"> water. The youngest birds (10-40 days) were highly active, spending less time standing than birds in the other age groups and more time running and walking. Locomotor play (dancing) was observed in the youngest birds only (Amado et al., 2011). The youngest birds also ingested faeces (coprophagia), but were not observed in other pecking activities or in the ingestion of stones or gravel. For ostriches aged over 40 days, the ingestion of small stones was a common activity, occurring between 2 and 3 times per bird, per hour. Dust-bathing also occurred in ostriches over 40 days of age, although relatively infrequently at about 0.1 times per bird, per hour.</w:t>
      </w:r>
    </w:p>
    <w:p w14:paraId="02893479" w14:textId="77777777" w:rsidR="00286A88" w:rsidRPr="00286A88" w:rsidRDefault="00286A88" w:rsidP="00D2589F">
      <w:pPr>
        <w:rPr>
          <w:lang w:val="en-AU" w:eastAsia="en-AU"/>
        </w:rPr>
      </w:pPr>
      <w:r w:rsidRPr="00286A88">
        <w:rPr>
          <w:lang w:val="en-AU" w:eastAsia="en-AU"/>
        </w:rPr>
        <w:t>Other studies of ostrich time-budgets are summarised in Table OS1. Generally, all studies highlight locomotor activity (walking and running) and pecking at the ground or environment (a component of foraging) as the activities that dominate during daylight hours. Male and female time budgets are generally similar (McKeegan and Deeming, 1997; Csermely et al., 2007) apart from increased territorial pacing observed in some paired male birds. A notable feature is the increased resting and reduced pacing and locomotion of birds kept in large groups in larger enclosures, which may possibly be due to a reduced need for vigilance (McKeegan and Deeming, 1997) and potentially reduced fearfulness.</w:t>
      </w:r>
    </w:p>
    <w:p w14:paraId="64AEAEF1" w14:textId="77777777" w:rsidR="00286A88" w:rsidRPr="00D2589F" w:rsidRDefault="00286A88" w:rsidP="008C14BF">
      <w:pPr>
        <w:spacing w:before="240" w:after="240"/>
        <w:rPr>
          <w:b/>
          <w:lang w:val="en-AU" w:eastAsia="en-AU"/>
        </w:rPr>
      </w:pPr>
      <w:r w:rsidRPr="00D2589F">
        <w:rPr>
          <w:b/>
          <w:lang w:val="en-AU" w:eastAsia="en-AU"/>
        </w:rPr>
        <w:t>Table OS1: Daylight behavioural time budgets (%) recorded in studies of juvenile and adult ostriches</w:t>
      </w:r>
    </w:p>
    <w:tbl>
      <w:tblPr>
        <w:tblStyle w:val="TableGrid"/>
        <w:tblW w:w="9968" w:type="dxa"/>
        <w:tblLayout w:type="fixed"/>
        <w:tblLook w:val="04A0" w:firstRow="1" w:lastRow="0" w:firstColumn="1" w:lastColumn="0" w:noHBand="0" w:noVBand="1"/>
        <w:tblCaption w:val="Table OS1: Daylight behavioural time budgets (%) recorded in studies of juvenile and adult ostriches"/>
        <w:tblDescription w:val="The left hand column of the table lists the authors of 9 studies of the daylight behavioural time budgets of ostriches, and a description of the ostriches (for example, juvenile, grower or adult; male or female; paired or in groups). The second column lists the percentage of time the ostriches spent sitting/crouching/resting during daylight in each study. The third column shows the percentage spent walking/pacing. The fourth column shows the percentage spent standing. The fifth column shows the percentage spent eating. The right hand column shows the percentage spent pecking/foraging."/>
      </w:tblPr>
      <w:tblGrid>
        <w:gridCol w:w="2518"/>
        <w:gridCol w:w="1490"/>
        <w:gridCol w:w="1490"/>
        <w:gridCol w:w="1490"/>
        <w:gridCol w:w="1490"/>
        <w:gridCol w:w="1490"/>
      </w:tblGrid>
      <w:tr w:rsidR="008C14BF" w14:paraId="4C0E4F8E" w14:textId="77777777" w:rsidTr="007415B2">
        <w:trPr>
          <w:tblHeader/>
        </w:trPr>
        <w:tc>
          <w:tcPr>
            <w:tcW w:w="2518" w:type="dxa"/>
          </w:tcPr>
          <w:p w14:paraId="1C7A3B1B" w14:textId="77777777" w:rsidR="008C14BF" w:rsidRDefault="001C7473" w:rsidP="00D2589F">
            <w:pPr>
              <w:rPr>
                <w:lang w:val="en-AU" w:eastAsia="en-AU"/>
              </w:rPr>
            </w:pPr>
            <w:r>
              <w:rPr>
                <w:lang w:val="en-AU" w:eastAsia="en-AU"/>
              </w:rPr>
              <w:t>Study</w:t>
            </w:r>
          </w:p>
        </w:tc>
        <w:tc>
          <w:tcPr>
            <w:tcW w:w="1490" w:type="dxa"/>
          </w:tcPr>
          <w:p w14:paraId="183A4657" w14:textId="77777777" w:rsidR="008C14BF" w:rsidRPr="00F6103A" w:rsidRDefault="008C14BF" w:rsidP="0022680A">
            <w:pPr>
              <w:jc w:val="center"/>
            </w:pPr>
            <w:r w:rsidRPr="00F6103A">
              <w:t>Sit/crouch/rest</w:t>
            </w:r>
          </w:p>
        </w:tc>
        <w:tc>
          <w:tcPr>
            <w:tcW w:w="1490" w:type="dxa"/>
          </w:tcPr>
          <w:p w14:paraId="0EA92EAE" w14:textId="77777777" w:rsidR="008C14BF" w:rsidRPr="00F6103A" w:rsidRDefault="008C14BF" w:rsidP="0022680A">
            <w:pPr>
              <w:jc w:val="center"/>
            </w:pPr>
            <w:r w:rsidRPr="00F6103A">
              <w:t>Walk/pace</w:t>
            </w:r>
          </w:p>
        </w:tc>
        <w:tc>
          <w:tcPr>
            <w:tcW w:w="1490" w:type="dxa"/>
          </w:tcPr>
          <w:p w14:paraId="0B709019" w14:textId="77777777" w:rsidR="008C14BF" w:rsidRPr="00F6103A" w:rsidRDefault="008C14BF" w:rsidP="0022680A">
            <w:pPr>
              <w:jc w:val="center"/>
            </w:pPr>
            <w:r w:rsidRPr="00F6103A">
              <w:t>Stand</w:t>
            </w:r>
          </w:p>
        </w:tc>
        <w:tc>
          <w:tcPr>
            <w:tcW w:w="1490" w:type="dxa"/>
          </w:tcPr>
          <w:p w14:paraId="7854BC1C" w14:textId="77777777" w:rsidR="008C14BF" w:rsidRPr="00F6103A" w:rsidRDefault="008C14BF" w:rsidP="0022680A">
            <w:pPr>
              <w:jc w:val="center"/>
            </w:pPr>
            <w:r w:rsidRPr="00F6103A">
              <w:t>Eat</w:t>
            </w:r>
          </w:p>
        </w:tc>
        <w:tc>
          <w:tcPr>
            <w:tcW w:w="1490" w:type="dxa"/>
          </w:tcPr>
          <w:p w14:paraId="65C184BE" w14:textId="77777777" w:rsidR="008C14BF" w:rsidRPr="00F6103A" w:rsidRDefault="008C14BF" w:rsidP="0022680A">
            <w:pPr>
              <w:jc w:val="center"/>
            </w:pPr>
            <w:r w:rsidRPr="00F6103A">
              <w:t>Peck/forage</w:t>
            </w:r>
          </w:p>
        </w:tc>
      </w:tr>
      <w:tr w:rsidR="00AC78FF" w14:paraId="1B49C1BF" w14:textId="77777777" w:rsidTr="007415B2">
        <w:tc>
          <w:tcPr>
            <w:tcW w:w="2518" w:type="dxa"/>
          </w:tcPr>
          <w:p w14:paraId="5C0ECEF4" w14:textId="77777777" w:rsidR="00AC78FF" w:rsidRDefault="00AC78FF" w:rsidP="008C14BF">
            <w:r w:rsidRPr="00060B26">
              <w:t>Degen et al.,</w:t>
            </w:r>
            <w:r w:rsidR="00B75316">
              <w:t xml:space="preserve"> </w:t>
            </w:r>
            <w:r w:rsidRPr="00060B26">
              <w:t>1989</w:t>
            </w:r>
          </w:p>
          <w:p w14:paraId="3F2654B6" w14:textId="77777777" w:rsidR="00AC78FF" w:rsidRPr="00060B26" w:rsidRDefault="00AC78FF" w:rsidP="008C14BF">
            <w:r>
              <w:t>5-6 month juveniles</w:t>
            </w:r>
          </w:p>
        </w:tc>
        <w:tc>
          <w:tcPr>
            <w:tcW w:w="1490" w:type="dxa"/>
          </w:tcPr>
          <w:p w14:paraId="3C8C9D70" w14:textId="77777777" w:rsidR="00AC78FF" w:rsidRPr="00F20413" w:rsidRDefault="00AC78FF" w:rsidP="0022680A">
            <w:pPr>
              <w:ind w:left="170"/>
              <w:jc w:val="center"/>
            </w:pPr>
            <w:r w:rsidRPr="00F20413">
              <w:t>20.3</w:t>
            </w:r>
          </w:p>
        </w:tc>
        <w:tc>
          <w:tcPr>
            <w:tcW w:w="1490" w:type="dxa"/>
          </w:tcPr>
          <w:p w14:paraId="7980AAED" w14:textId="77777777" w:rsidR="00AC78FF" w:rsidRPr="00F20413" w:rsidRDefault="00AC78FF" w:rsidP="0022680A">
            <w:pPr>
              <w:ind w:left="170"/>
              <w:jc w:val="center"/>
            </w:pPr>
            <w:r w:rsidRPr="00F20413">
              <w:t>61.5</w:t>
            </w:r>
          </w:p>
        </w:tc>
        <w:tc>
          <w:tcPr>
            <w:tcW w:w="1490" w:type="dxa"/>
          </w:tcPr>
          <w:p w14:paraId="582A2CC0" w14:textId="77777777" w:rsidR="00AC78FF" w:rsidRPr="00F20413" w:rsidRDefault="00AC78FF" w:rsidP="0022680A">
            <w:pPr>
              <w:ind w:left="284"/>
              <w:jc w:val="center"/>
            </w:pPr>
            <w:r w:rsidRPr="00F20413">
              <w:t>5.5</w:t>
            </w:r>
          </w:p>
        </w:tc>
        <w:tc>
          <w:tcPr>
            <w:tcW w:w="1490" w:type="dxa"/>
          </w:tcPr>
          <w:p w14:paraId="650395E4" w14:textId="77777777" w:rsidR="00AC78FF" w:rsidRPr="00F20413" w:rsidRDefault="00AC78FF" w:rsidP="0022680A">
            <w:pPr>
              <w:ind w:left="284"/>
              <w:jc w:val="center"/>
            </w:pPr>
            <w:r w:rsidRPr="00F20413">
              <w:t>6.6</w:t>
            </w:r>
          </w:p>
        </w:tc>
        <w:tc>
          <w:tcPr>
            <w:tcW w:w="1490" w:type="dxa"/>
          </w:tcPr>
          <w:p w14:paraId="559A4B5B" w14:textId="77777777" w:rsidR="00AC78FF" w:rsidRPr="00F20413" w:rsidRDefault="00AC78FF" w:rsidP="0022680A">
            <w:pPr>
              <w:ind w:left="284"/>
              <w:jc w:val="center"/>
            </w:pPr>
            <w:r w:rsidRPr="00F20413">
              <w:t>5.0</w:t>
            </w:r>
          </w:p>
        </w:tc>
      </w:tr>
      <w:tr w:rsidR="00AC78FF" w14:paraId="363F1E94" w14:textId="77777777" w:rsidTr="007415B2">
        <w:tc>
          <w:tcPr>
            <w:tcW w:w="2518" w:type="dxa"/>
          </w:tcPr>
          <w:p w14:paraId="779A6E23" w14:textId="77777777" w:rsidR="00AC78FF" w:rsidRDefault="00AC78FF" w:rsidP="008C14BF">
            <w:r>
              <w:t>Meyer et al., 2003</w:t>
            </w:r>
          </w:p>
          <w:p w14:paraId="7A8025EE" w14:textId="77777777" w:rsidR="00AC78FF" w:rsidRPr="00060B26" w:rsidRDefault="00AC78FF" w:rsidP="008C14BF">
            <w:r>
              <w:t>9-13 month growers</w:t>
            </w:r>
          </w:p>
        </w:tc>
        <w:tc>
          <w:tcPr>
            <w:tcW w:w="1490" w:type="dxa"/>
          </w:tcPr>
          <w:p w14:paraId="213C06FC" w14:textId="77777777" w:rsidR="00AC78FF" w:rsidRPr="00F20413" w:rsidRDefault="00AC78FF" w:rsidP="0022680A">
            <w:pPr>
              <w:jc w:val="center"/>
            </w:pPr>
          </w:p>
        </w:tc>
        <w:tc>
          <w:tcPr>
            <w:tcW w:w="1490" w:type="dxa"/>
          </w:tcPr>
          <w:p w14:paraId="16E4BE34" w14:textId="77777777" w:rsidR="00AC78FF" w:rsidRPr="00F20413" w:rsidRDefault="00AC78FF" w:rsidP="0022680A">
            <w:pPr>
              <w:jc w:val="center"/>
            </w:pPr>
          </w:p>
        </w:tc>
        <w:tc>
          <w:tcPr>
            <w:tcW w:w="1490" w:type="dxa"/>
          </w:tcPr>
          <w:p w14:paraId="60617D65" w14:textId="77777777" w:rsidR="00AC78FF" w:rsidRPr="00F20413" w:rsidRDefault="00AC78FF" w:rsidP="0022680A">
            <w:pPr>
              <w:jc w:val="center"/>
            </w:pPr>
          </w:p>
        </w:tc>
        <w:tc>
          <w:tcPr>
            <w:tcW w:w="1490" w:type="dxa"/>
          </w:tcPr>
          <w:p w14:paraId="171487DA" w14:textId="77777777" w:rsidR="00AC78FF" w:rsidRPr="00F20413" w:rsidRDefault="00AC78FF" w:rsidP="0022680A">
            <w:pPr>
              <w:jc w:val="center"/>
            </w:pPr>
          </w:p>
        </w:tc>
        <w:tc>
          <w:tcPr>
            <w:tcW w:w="1490" w:type="dxa"/>
          </w:tcPr>
          <w:p w14:paraId="09AC68DA" w14:textId="77777777" w:rsidR="00AC78FF" w:rsidRPr="00F20413" w:rsidRDefault="00AC78FF" w:rsidP="0022680A">
            <w:pPr>
              <w:ind w:left="397"/>
              <w:jc w:val="center"/>
            </w:pPr>
            <w:r w:rsidRPr="00F20413">
              <w:t>13 - 15</w:t>
            </w:r>
          </w:p>
        </w:tc>
      </w:tr>
      <w:tr w:rsidR="00AC78FF" w14:paraId="52FE446F" w14:textId="77777777" w:rsidTr="007415B2">
        <w:tc>
          <w:tcPr>
            <w:tcW w:w="2518" w:type="dxa"/>
          </w:tcPr>
          <w:p w14:paraId="2E84F420" w14:textId="77777777" w:rsidR="00AC78FF" w:rsidRDefault="00AC78FF" w:rsidP="008C14BF">
            <w:r>
              <w:t>McKeegan &amp; Deeming, 1997</w:t>
            </w:r>
          </w:p>
          <w:p w14:paraId="3D9639BB" w14:textId="77777777" w:rsidR="00AC78FF" w:rsidRPr="00060B26" w:rsidRDefault="00AC78FF" w:rsidP="008C14BF">
            <w:r>
              <w:t>Adult paired males</w:t>
            </w:r>
          </w:p>
        </w:tc>
        <w:tc>
          <w:tcPr>
            <w:tcW w:w="1490" w:type="dxa"/>
          </w:tcPr>
          <w:p w14:paraId="47318710" w14:textId="77777777" w:rsidR="00AC78FF" w:rsidRPr="00F20413" w:rsidRDefault="00AC78FF" w:rsidP="0022680A">
            <w:pPr>
              <w:ind w:left="113"/>
              <w:jc w:val="center"/>
            </w:pPr>
            <w:r w:rsidRPr="00F20413">
              <w:t>7</w:t>
            </w:r>
          </w:p>
        </w:tc>
        <w:tc>
          <w:tcPr>
            <w:tcW w:w="1490" w:type="dxa"/>
          </w:tcPr>
          <w:p w14:paraId="52173944" w14:textId="77777777" w:rsidR="00AC78FF" w:rsidRPr="00F20413" w:rsidRDefault="00AC78FF" w:rsidP="0022680A">
            <w:pPr>
              <w:jc w:val="center"/>
            </w:pPr>
            <w:r w:rsidRPr="00F20413">
              <w:t>36</w:t>
            </w:r>
          </w:p>
        </w:tc>
        <w:tc>
          <w:tcPr>
            <w:tcW w:w="1490" w:type="dxa"/>
          </w:tcPr>
          <w:p w14:paraId="5FFCD857" w14:textId="77777777" w:rsidR="00AC78FF" w:rsidRPr="00F20413" w:rsidRDefault="00AC78FF" w:rsidP="0022680A">
            <w:pPr>
              <w:jc w:val="center"/>
            </w:pPr>
            <w:r w:rsidRPr="00F20413">
              <w:t>27</w:t>
            </w:r>
          </w:p>
        </w:tc>
        <w:tc>
          <w:tcPr>
            <w:tcW w:w="1490" w:type="dxa"/>
          </w:tcPr>
          <w:p w14:paraId="02047E5D" w14:textId="77777777" w:rsidR="00AC78FF" w:rsidRPr="00F20413" w:rsidRDefault="00AC78FF" w:rsidP="0022680A">
            <w:pPr>
              <w:ind w:left="113"/>
              <w:jc w:val="center"/>
            </w:pPr>
            <w:r w:rsidRPr="00F20413">
              <w:t>8</w:t>
            </w:r>
          </w:p>
        </w:tc>
        <w:tc>
          <w:tcPr>
            <w:tcW w:w="1490" w:type="dxa"/>
          </w:tcPr>
          <w:p w14:paraId="017079D3" w14:textId="77777777" w:rsidR="00AC78FF" w:rsidRPr="00F20413" w:rsidRDefault="00AC78FF" w:rsidP="0022680A">
            <w:pPr>
              <w:jc w:val="center"/>
            </w:pPr>
            <w:r w:rsidRPr="00F20413">
              <w:t>12</w:t>
            </w:r>
          </w:p>
        </w:tc>
      </w:tr>
      <w:tr w:rsidR="00AC78FF" w14:paraId="080CAA88" w14:textId="77777777" w:rsidTr="007415B2">
        <w:tc>
          <w:tcPr>
            <w:tcW w:w="2518" w:type="dxa"/>
          </w:tcPr>
          <w:p w14:paraId="7F942A4F" w14:textId="77777777" w:rsidR="00AC78FF" w:rsidRDefault="00AC78FF" w:rsidP="008C14BF">
            <w:r>
              <w:t>McKeegan &amp; Deeming, 1997</w:t>
            </w:r>
          </w:p>
          <w:p w14:paraId="72281D8B" w14:textId="77777777" w:rsidR="00AC78FF" w:rsidRPr="00060B26" w:rsidRDefault="00AC78FF" w:rsidP="008C14BF">
            <w:r>
              <w:t>Adult paired females</w:t>
            </w:r>
          </w:p>
        </w:tc>
        <w:tc>
          <w:tcPr>
            <w:tcW w:w="1490" w:type="dxa"/>
          </w:tcPr>
          <w:p w14:paraId="08025FA6" w14:textId="77777777" w:rsidR="00AC78FF" w:rsidRPr="00F20413" w:rsidRDefault="00AC78FF" w:rsidP="0022680A">
            <w:pPr>
              <w:ind w:left="113"/>
              <w:jc w:val="center"/>
            </w:pPr>
            <w:r w:rsidRPr="00F20413">
              <w:t>8</w:t>
            </w:r>
          </w:p>
        </w:tc>
        <w:tc>
          <w:tcPr>
            <w:tcW w:w="1490" w:type="dxa"/>
          </w:tcPr>
          <w:p w14:paraId="5E1C2A69" w14:textId="77777777" w:rsidR="00AC78FF" w:rsidRPr="00F20413" w:rsidRDefault="00AC78FF" w:rsidP="0022680A">
            <w:pPr>
              <w:jc w:val="center"/>
            </w:pPr>
            <w:r w:rsidRPr="00F20413">
              <w:t>16</w:t>
            </w:r>
          </w:p>
        </w:tc>
        <w:tc>
          <w:tcPr>
            <w:tcW w:w="1490" w:type="dxa"/>
          </w:tcPr>
          <w:p w14:paraId="7993E671" w14:textId="77777777" w:rsidR="00AC78FF" w:rsidRPr="00F20413" w:rsidRDefault="00AC78FF" w:rsidP="0022680A">
            <w:pPr>
              <w:jc w:val="center"/>
            </w:pPr>
            <w:r w:rsidRPr="00F20413">
              <w:t>21</w:t>
            </w:r>
          </w:p>
        </w:tc>
        <w:tc>
          <w:tcPr>
            <w:tcW w:w="1490" w:type="dxa"/>
          </w:tcPr>
          <w:p w14:paraId="39FC7742" w14:textId="77777777" w:rsidR="00AC78FF" w:rsidRPr="00F20413" w:rsidRDefault="00AC78FF" w:rsidP="0022680A">
            <w:pPr>
              <w:ind w:left="113"/>
              <w:jc w:val="center"/>
            </w:pPr>
            <w:r w:rsidRPr="00F20413">
              <w:t>4</w:t>
            </w:r>
          </w:p>
        </w:tc>
        <w:tc>
          <w:tcPr>
            <w:tcW w:w="1490" w:type="dxa"/>
          </w:tcPr>
          <w:p w14:paraId="257802B5" w14:textId="77777777" w:rsidR="00AC78FF" w:rsidRPr="00F20413" w:rsidRDefault="00AC78FF" w:rsidP="0022680A">
            <w:pPr>
              <w:jc w:val="center"/>
            </w:pPr>
            <w:r w:rsidRPr="00F20413">
              <w:t>27</w:t>
            </w:r>
          </w:p>
        </w:tc>
      </w:tr>
      <w:tr w:rsidR="00AC78FF" w14:paraId="47F055EA" w14:textId="77777777" w:rsidTr="007415B2">
        <w:tc>
          <w:tcPr>
            <w:tcW w:w="2518" w:type="dxa"/>
          </w:tcPr>
          <w:p w14:paraId="68F6CF89" w14:textId="77777777" w:rsidR="00AC78FF" w:rsidRDefault="00AC78FF" w:rsidP="008C14BF">
            <w:r>
              <w:t>McKeegan &amp; Deeming, 1997</w:t>
            </w:r>
          </w:p>
          <w:p w14:paraId="5F84BA72" w14:textId="77777777" w:rsidR="00AC78FF" w:rsidRPr="00060B26" w:rsidRDefault="00AC78FF" w:rsidP="008C14BF">
            <w:r>
              <w:t>Adult males (large group)</w:t>
            </w:r>
          </w:p>
        </w:tc>
        <w:tc>
          <w:tcPr>
            <w:tcW w:w="1490" w:type="dxa"/>
          </w:tcPr>
          <w:p w14:paraId="01F1950A" w14:textId="77777777" w:rsidR="00AC78FF" w:rsidRPr="00F20413" w:rsidRDefault="00AC78FF" w:rsidP="0022680A">
            <w:pPr>
              <w:jc w:val="center"/>
            </w:pPr>
            <w:r w:rsidRPr="00F20413">
              <w:t>27</w:t>
            </w:r>
          </w:p>
        </w:tc>
        <w:tc>
          <w:tcPr>
            <w:tcW w:w="1490" w:type="dxa"/>
          </w:tcPr>
          <w:p w14:paraId="2BEF4A25" w14:textId="77777777" w:rsidR="00AC78FF" w:rsidRPr="00F20413" w:rsidRDefault="00AC78FF" w:rsidP="0022680A">
            <w:pPr>
              <w:ind w:left="113"/>
              <w:jc w:val="center"/>
            </w:pPr>
            <w:r w:rsidRPr="00F20413">
              <w:t>7</w:t>
            </w:r>
          </w:p>
        </w:tc>
        <w:tc>
          <w:tcPr>
            <w:tcW w:w="1490" w:type="dxa"/>
          </w:tcPr>
          <w:p w14:paraId="15FC390D" w14:textId="77777777" w:rsidR="00AC78FF" w:rsidRPr="00F20413" w:rsidRDefault="00AC78FF" w:rsidP="0022680A">
            <w:pPr>
              <w:jc w:val="center"/>
            </w:pPr>
            <w:r w:rsidRPr="00F20413">
              <w:t>26</w:t>
            </w:r>
          </w:p>
        </w:tc>
        <w:tc>
          <w:tcPr>
            <w:tcW w:w="1490" w:type="dxa"/>
          </w:tcPr>
          <w:p w14:paraId="08255668" w14:textId="77777777" w:rsidR="00AC78FF" w:rsidRPr="00F20413" w:rsidRDefault="00AC78FF" w:rsidP="0022680A">
            <w:pPr>
              <w:ind w:left="113"/>
              <w:jc w:val="center"/>
            </w:pPr>
            <w:r w:rsidRPr="00F20413">
              <w:t>4</w:t>
            </w:r>
          </w:p>
        </w:tc>
        <w:tc>
          <w:tcPr>
            <w:tcW w:w="1490" w:type="dxa"/>
          </w:tcPr>
          <w:p w14:paraId="1B708D7B" w14:textId="77777777" w:rsidR="00AC78FF" w:rsidRPr="00F20413" w:rsidRDefault="00AC78FF" w:rsidP="0022680A">
            <w:pPr>
              <w:jc w:val="center"/>
            </w:pPr>
            <w:r w:rsidRPr="00F20413">
              <w:t>23</w:t>
            </w:r>
          </w:p>
        </w:tc>
      </w:tr>
      <w:tr w:rsidR="00AC78FF" w14:paraId="053A8A1A" w14:textId="77777777" w:rsidTr="007415B2">
        <w:tc>
          <w:tcPr>
            <w:tcW w:w="2518" w:type="dxa"/>
          </w:tcPr>
          <w:p w14:paraId="6A1CCE9E" w14:textId="77777777" w:rsidR="00AC78FF" w:rsidRDefault="00AC78FF" w:rsidP="008C14BF">
            <w:r>
              <w:t>McKeegan &amp; Deeming, 1997</w:t>
            </w:r>
          </w:p>
          <w:p w14:paraId="6E2F70B7" w14:textId="77777777" w:rsidR="00AC78FF" w:rsidRPr="00060B26" w:rsidRDefault="00AC78FF" w:rsidP="008C14BF">
            <w:r>
              <w:t>Adult females (large group)</w:t>
            </w:r>
          </w:p>
        </w:tc>
        <w:tc>
          <w:tcPr>
            <w:tcW w:w="1490" w:type="dxa"/>
          </w:tcPr>
          <w:p w14:paraId="2D041D35" w14:textId="77777777" w:rsidR="00AC78FF" w:rsidRPr="00F20413" w:rsidRDefault="00AC78FF" w:rsidP="0022680A">
            <w:pPr>
              <w:jc w:val="center"/>
            </w:pPr>
            <w:r w:rsidRPr="00F20413">
              <w:t>42</w:t>
            </w:r>
          </w:p>
        </w:tc>
        <w:tc>
          <w:tcPr>
            <w:tcW w:w="1490" w:type="dxa"/>
          </w:tcPr>
          <w:p w14:paraId="11E1567E" w14:textId="77777777" w:rsidR="00AC78FF" w:rsidRPr="00F20413" w:rsidRDefault="00AC78FF" w:rsidP="0022680A">
            <w:pPr>
              <w:ind w:left="113"/>
              <w:jc w:val="center"/>
            </w:pPr>
            <w:r w:rsidRPr="00F20413">
              <w:t>4</w:t>
            </w:r>
          </w:p>
        </w:tc>
        <w:tc>
          <w:tcPr>
            <w:tcW w:w="1490" w:type="dxa"/>
          </w:tcPr>
          <w:p w14:paraId="0CBFEA41" w14:textId="77777777" w:rsidR="00AC78FF" w:rsidRPr="00F20413" w:rsidRDefault="00AC78FF" w:rsidP="0022680A">
            <w:pPr>
              <w:jc w:val="center"/>
            </w:pPr>
            <w:r w:rsidRPr="00F20413">
              <w:t>20</w:t>
            </w:r>
          </w:p>
        </w:tc>
        <w:tc>
          <w:tcPr>
            <w:tcW w:w="1490" w:type="dxa"/>
          </w:tcPr>
          <w:p w14:paraId="398A8838" w14:textId="77777777" w:rsidR="00AC78FF" w:rsidRPr="00F20413" w:rsidRDefault="00AC78FF" w:rsidP="0022680A">
            <w:pPr>
              <w:ind w:left="113"/>
              <w:jc w:val="center"/>
            </w:pPr>
            <w:r w:rsidRPr="00F20413">
              <w:t>4</w:t>
            </w:r>
          </w:p>
        </w:tc>
        <w:tc>
          <w:tcPr>
            <w:tcW w:w="1490" w:type="dxa"/>
          </w:tcPr>
          <w:p w14:paraId="1298A68F" w14:textId="77777777" w:rsidR="00AC78FF" w:rsidRPr="00F20413" w:rsidRDefault="00AC78FF" w:rsidP="0022680A">
            <w:pPr>
              <w:jc w:val="center"/>
            </w:pPr>
            <w:r w:rsidRPr="00F20413">
              <w:t>24</w:t>
            </w:r>
          </w:p>
        </w:tc>
      </w:tr>
      <w:tr w:rsidR="00AC78FF" w14:paraId="337033C9" w14:textId="77777777" w:rsidTr="007415B2">
        <w:tc>
          <w:tcPr>
            <w:tcW w:w="2518" w:type="dxa"/>
          </w:tcPr>
          <w:p w14:paraId="31D0CC3B" w14:textId="77777777" w:rsidR="00AC78FF" w:rsidRDefault="00AC78FF" w:rsidP="008C14BF">
            <w:r>
              <w:t>Ross and Deeming, 1998</w:t>
            </w:r>
          </w:p>
          <w:p w14:paraId="3237C388" w14:textId="77777777" w:rsidR="00AC78FF" w:rsidRPr="00060B26" w:rsidRDefault="00AC78FF" w:rsidP="008C14BF">
            <w:r>
              <w:t>Adult female</w:t>
            </w:r>
          </w:p>
        </w:tc>
        <w:tc>
          <w:tcPr>
            <w:tcW w:w="1490" w:type="dxa"/>
          </w:tcPr>
          <w:p w14:paraId="205518EB" w14:textId="77777777" w:rsidR="00AC78FF" w:rsidRPr="00F20413" w:rsidRDefault="00AC78FF" w:rsidP="0022680A">
            <w:pPr>
              <w:ind w:left="227"/>
              <w:jc w:val="center"/>
            </w:pPr>
            <w:r w:rsidRPr="00F20413">
              <w:t>6.0</w:t>
            </w:r>
          </w:p>
        </w:tc>
        <w:tc>
          <w:tcPr>
            <w:tcW w:w="1490" w:type="dxa"/>
          </w:tcPr>
          <w:p w14:paraId="7BA9A10C" w14:textId="77777777" w:rsidR="00AC78FF" w:rsidRPr="00F20413" w:rsidRDefault="00AC78FF" w:rsidP="0022680A">
            <w:pPr>
              <w:ind w:left="284"/>
              <w:jc w:val="center"/>
            </w:pPr>
            <w:r w:rsidRPr="00F20413">
              <w:t>2.3</w:t>
            </w:r>
          </w:p>
        </w:tc>
        <w:tc>
          <w:tcPr>
            <w:tcW w:w="1490" w:type="dxa"/>
          </w:tcPr>
          <w:p w14:paraId="3594339C" w14:textId="77777777" w:rsidR="00AC78FF" w:rsidRPr="00F20413" w:rsidRDefault="00AC78FF" w:rsidP="0022680A">
            <w:pPr>
              <w:ind w:left="170"/>
              <w:jc w:val="center"/>
            </w:pPr>
            <w:r w:rsidRPr="00F20413">
              <w:t>15.9</w:t>
            </w:r>
          </w:p>
        </w:tc>
        <w:tc>
          <w:tcPr>
            <w:tcW w:w="1490" w:type="dxa"/>
          </w:tcPr>
          <w:p w14:paraId="118CB108" w14:textId="77777777" w:rsidR="00AC78FF" w:rsidRPr="00F20413" w:rsidRDefault="00AC78FF" w:rsidP="0022680A">
            <w:pPr>
              <w:ind w:left="170"/>
              <w:jc w:val="center"/>
            </w:pPr>
            <w:r w:rsidRPr="00F20413">
              <w:t>19.9</w:t>
            </w:r>
          </w:p>
        </w:tc>
        <w:tc>
          <w:tcPr>
            <w:tcW w:w="1490" w:type="dxa"/>
          </w:tcPr>
          <w:p w14:paraId="5D702CB6" w14:textId="77777777" w:rsidR="00AC78FF" w:rsidRPr="00F20413" w:rsidRDefault="00AC78FF" w:rsidP="0022680A">
            <w:pPr>
              <w:ind w:left="170"/>
              <w:jc w:val="center"/>
            </w:pPr>
            <w:r w:rsidRPr="00F20413">
              <w:t>25.7</w:t>
            </w:r>
          </w:p>
        </w:tc>
      </w:tr>
      <w:tr w:rsidR="00AC78FF" w14:paraId="4E1BC832" w14:textId="77777777" w:rsidTr="007415B2">
        <w:tc>
          <w:tcPr>
            <w:tcW w:w="2518" w:type="dxa"/>
          </w:tcPr>
          <w:p w14:paraId="727F6E8C" w14:textId="77777777" w:rsidR="00AC78FF" w:rsidRDefault="00AC78FF" w:rsidP="008C14BF">
            <w:r>
              <w:t>Csermely et al., 2007</w:t>
            </w:r>
          </w:p>
          <w:p w14:paraId="1DC0EA78" w14:textId="77777777" w:rsidR="00AC78FF" w:rsidRPr="00060B26" w:rsidRDefault="00AC78FF" w:rsidP="008C14BF">
            <w:r>
              <w:t>Adult paired males</w:t>
            </w:r>
          </w:p>
        </w:tc>
        <w:tc>
          <w:tcPr>
            <w:tcW w:w="1490" w:type="dxa"/>
          </w:tcPr>
          <w:p w14:paraId="0CEFCFF2" w14:textId="77777777" w:rsidR="00AC78FF" w:rsidRPr="00F20413" w:rsidRDefault="00AC78FF" w:rsidP="0022680A">
            <w:pPr>
              <w:ind w:left="227"/>
              <w:jc w:val="center"/>
            </w:pPr>
            <w:r w:rsidRPr="00F20413">
              <w:t>7.7</w:t>
            </w:r>
          </w:p>
        </w:tc>
        <w:tc>
          <w:tcPr>
            <w:tcW w:w="1490" w:type="dxa"/>
          </w:tcPr>
          <w:p w14:paraId="67091BED" w14:textId="77777777" w:rsidR="00AC78FF" w:rsidRPr="00F20413" w:rsidRDefault="00AC78FF" w:rsidP="0022680A">
            <w:pPr>
              <w:ind w:left="170"/>
              <w:jc w:val="center"/>
            </w:pPr>
            <w:r w:rsidRPr="00F20413">
              <w:t>44.0</w:t>
            </w:r>
          </w:p>
        </w:tc>
        <w:tc>
          <w:tcPr>
            <w:tcW w:w="1490" w:type="dxa"/>
          </w:tcPr>
          <w:p w14:paraId="638148F5" w14:textId="77777777" w:rsidR="00AC78FF" w:rsidRPr="00F20413" w:rsidRDefault="00AC78FF" w:rsidP="0022680A">
            <w:pPr>
              <w:ind w:left="170"/>
              <w:jc w:val="center"/>
            </w:pPr>
            <w:r w:rsidRPr="00F20413">
              <w:t>17.5</w:t>
            </w:r>
          </w:p>
        </w:tc>
        <w:tc>
          <w:tcPr>
            <w:tcW w:w="1490" w:type="dxa"/>
          </w:tcPr>
          <w:p w14:paraId="71D8D47D" w14:textId="77777777" w:rsidR="00AC78FF" w:rsidRPr="00F20413" w:rsidRDefault="00AC78FF" w:rsidP="0022680A">
            <w:pPr>
              <w:ind w:left="284"/>
              <w:jc w:val="center"/>
            </w:pPr>
            <w:r w:rsidRPr="00F20413">
              <w:t>9.6</w:t>
            </w:r>
          </w:p>
        </w:tc>
        <w:tc>
          <w:tcPr>
            <w:tcW w:w="1490" w:type="dxa"/>
          </w:tcPr>
          <w:p w14:paraId="265CB86C" w14:textId="77777777" w:rsidR="00AC78FF" w:rsidRPr="00F20413" w:rsidRDefault="00AC78FF" w:rsidP="0022680A">
            <w:pPr>
              <w:ind w:left="170"/>
              <w:jc w:val="center"/>
            </w:pPr>
            <w:r w:rsidRPr="00F20413">
              <w:t>42.1</w:t>
            </w:r>
          </w:p>
        </w:tc>
      </w:tr>
      <w:tr w:rsidR="00AC78FF" w14:paraId="64292846" w14:textId="77777777" w:rsidTr="007415B2">
        <w:tc>
          <w:tcPr>
            <w:tcW w:w="2518" w:type="dxa"/>
          </w:tcPr>
          <w:p w14:paraId="1ADC1283" w14:textId="77777777" w:rsidR="00AC78FF" w:rsidRDefault="00AC78FF" w:rsidP="008C14BF">
            <w:r>
              <w:t>Csermely et al., 2007</w:t>
            </w:r>
          </w:p>
          <w:p w14:paraId="07BEF818" w14:textId="77777777" w:rsidR="00AC78FF" w:rsidRPr="00060B26" w:rsidRDefault="00AC78FF" w:rsidP="008C14BF">
            <w:r>
              <w:t>Adult paired females</w:t>
            </w:r>
          </w:p>
        </w:tc>
        <w:tc>
          <w:tcPr>
            <w:tcW w:w="1490" w:type="dxa"/>
          </w:tcPr>
          <w:p w14:paraId="444075A7" w14:textId="77777777" w:rsidR="00AC78FF" w:rsidRPr="00F20413" w:rsidRDefault="00AC78FF" w:rsidP="0022680A">
            <w:pPr>
              <w:ind w:left="227"/>
              <w:jc w:val="center"/>
            </w:pPr>
            <w:r w:rsidRPr="00F20413">
              <w:t>6.0</w:t>
            </w:r>
          </w:p>
        </w:tc>
        <w:tc>
          <w:tcPr>
            <w:tcW w:w="1490" w:type="dxa"/>
          </w:tcPr>
          <w:p w14:paraId="77EE65B3" w14:textId="77777777" w:rsidR="00AC78FF" w:rsidRPr="00F20413" w:rsidRDefault="00AC78FF" w:rsidP="0022680A">
            <w:pPr>
              <w:ind w:left="170"/>
              <w:jc w:val="center"/>
            </w:pPr>
            <w:r w:rsidRPr="00F20413">
              <w:t>40.4</w:t>
            </w:r>
          </w:p>
        </w:tc>
        <w:tc>
          <w:tcPr>
            <w:tcW w:w="1490" w:type="dxa"/>
          </w:tcPr>
          <w:p w14:paraId="0FC082A9" w14:textId="77777777" w:rsidR="00AC78FF" w:rsidRPr="00F20413" w:rsidRDefault="00AC78FF" w:rsidP="0022680A">
            <w:pPr>
              <w:ind w:left="170"/>
              <w:jc w:val="center"/>
            </w:pPr>
            <w:r w:rsidRPr="00F20413">
              <w:t>16.6</w:t>
            </w:r>
          </w:p>
        </w:tc>
        <w:tc>
          <w:tcPr>
            <w:tcW w:w="1490" w:type="dxa"/>
          </w:tcPr>
          <w:p w14:paraId="67613FF8" w14:textId="77777777" w:rsidR="00AC78FF" w:rsidRPr="00F20413" w:rsidRDefault="00AC78FF" w:rsidP="0022680A">
            <w:pPr>
              <w:ind w:left="170"/>
              <w:jc w:val="center"/>
            </w:pPr>
            <w:r w:rsidRPr="00F20413">
              <w:t>12.7</w:t>
            </w:r>
          </w:p>
        </w:tc>
        <w:tc>
          <w:tcPr>
            <w:tcW w:w="1490" w:type="dxa"/>
          </w:tcPr>
          <w:p w14:paraId="18DFFE3D" w14:textId="77777777" w:rsidR="00AC78FF" w:rsidRDefault="00AC78FF" w:rsidP="0022680A">
            <w:pPr>
              <w:ind w:left="170"/>
              <w:jc w:val="center"/>
            </w:pPr>
            <w:r w:rsidRPr="00F20413">
              <w:t>45.1</w:t>
            </w:r>
          </w:p>
        </w:tc>
      </w:tr>
      <w:tr w:rsidR="00025D5A" w14:paraId="4BA9E554" w14:textId="77777777" w:rsidTr="0077669D">
        <w:tc>
          <w:tcPr>
            <w:tcW w:w="9968" w:type="dxa"/>
            <w:gridSpan w:val="6"/>
          </w:tcPr>
          <w:p w14:paraId="19FAF586" w14:textId="77777777" w:rsidR="00025D5A" w:rsidRPr="00F20413" w:rsidRDefault="00025D5A" w:rsidP="00A85A65">
            <w:pPr>
              <w:spacing w:before="60"/>
            </w:pPr>
            <w:r w:rsidRPr="00025D5A">
              <w:t>In some studies percentages are less than 100% because a wide variety of “other” activities were observed, each at a low duration. In the study by Csermely et al. (2007) percentages are more than 100% suggesting the behaviours recorded were not mutually exclusive (e.g. bird could be both standing and pecking).</w:t>
            </w:r>
          </w:p>
        </w:tc>
      </w:tr>
    </w:tbl>
    <w:p w14:paraId="4FCFA493" w14:textId="77777777" w:rsidR="00286A88" w:rsidRPr="00286A88" w:rsidRDefault="00286A88" w:rsidP="001C7473">
      <w:pPr>
        <w:pStyle w:val="Heading3"/>
        <w:spacing w:before="240"/>
        <w:rPr>
          <w:lang w:val="en-AU" w:eastAsia="en-AU"/>
        </w:rPr>
      </w:pPr>
      <w:bookmarkStart w:id="349" w:name="_Toc495310816"/>
      <w:r w:rsidRPr="00286A88">
        <w:rPr>
          <w:lang w:val="en-AU" w:eastAsia="en-AU"/>
        </w:rPr>
        <w:t>OS4.2 Foraging and ingestion</w:t>
      </w:r>
      <w:bookmarkEnd w:id="349"/>
    </w:p>
    <w:p w14:paraId="6BE98C2B" w14:textId="77777777" w:rsidR="00286A88" w:rsidRPr="00286A88" w:rsidRDefault="00286A88" w:rsidP="0058227F">
      <w:pPr>
        <w:rPr>
          <w:lang w:val="en-AU" w:eastAsia="en-AU"/>
        </w:rPr>
      </w:pPr>
      <w:r w:rsidRPr="00286A88">
        <w:rPr>
          <w:lang w:val="en-AU" w:eastAsia="en-AU"/>
        </w:rPr>
        <w:t>Ostriches, more than some other types of birds, need to ingest small stones to enable proper maceration of food within the gizzard. Under natural conditions, in a varied environment, parental guidance is available to assist young chicks learn the identity and size of appropriate food and grit particles for ingestion. It is reported that chicks mimic the food selection of their parents (Carrer, 2004, cited by Amado et al., 2011). However, in captive ostriches this balanced system can go awry as chicks are not taught what to ingest. The tendency of young ostriches to ingest inedible materials has been considered by some to be a behavioural problem associated with stress or an inadequate environment. It has been described as “aimless eating” (Mushi et al., 1998b) and can result in overfilling of the stomach and impaction (as described in OS3.4).</w:t>
      </w:r>
    </w:p>
    <w:p w14:paraId="79B3359E" w14:textId="77777777" w:rsidR="00286A88" w:rsidRPr="00286A88" w:rsidRDefault="00286A88" w:rsidP="0058227F">
      <w:pPr>
        <w:rPr>
          <w:lang w:val="en-AU" w:eastAsia="en-AU"/>
        </w:rPr>
      </w:pPr>
      <w:r w:rsidRPr="00286A88">
        <w:rPr>
          <w:lang w:val="en-AU" w:eastAsia="en-AU"/>
        </w:rPr>
        <w:t>It is therefore something of a challenge to provide an environment that allows ostrich chicks to perform normal foraging and exploratory behaviour whilst avoiding injury or damage. Christensen and Nielsen (2004) attempted to tackle this challenge by comparing the behaviour of 40 chicks (2 groups) raised with an indoor hut and a barren outdoor sand arena, with that of 40 “enriched” chicks (2 groups) provided with additional cabbage, conifer cones, and sticks. The enriched chicks pecked at and consumed approximately 26 g cabbage/chick/day, they pecked less at inanimate objects, spent more time outside and were more likely to approach a novel forage type than control chicks. The authors concluded that the appropriate provision of resources to encourage foraging improved chick welfare without reducing concentrate food consumption. Bodyweight and growth were not monitored in this study.</w:t>
      </w:r>
    </w:p>
    <w:p w14:paraId="6B1CF318" w14:textId="77777777" w:rsidR="00286A88" w:rsidRPr="00286A88" w:rsidRDefault="00286A88" w:rsidP="0058227F">
      <w:pPr>
        <w:pStyle w:val="Heading3"/>
        <w:rPr>
          <w:lang w:val="en-AU" w:eastAsia="en-AU"/>
        </w:rPr>
      </w:pPr>
      <w:bookmarkStart w:id="350" w:name="_Toc495310817"/>
      <w:r w:rsidRPr="00286A88">
        <w:rPr>
          <w:lang w:val="en-AU" w:eastAsia="en-AU"/>
        </w:rPr>
        <w:t>OS4.3 Sleep</w:t>
      </w:r>
      <w:bookmarkEnd w:id="350"/>
    </w:p>
    <w:p w14:paraId="50A6D3EF" w14:textId="77777777" w:rsidR="00286A88" w:rsidRPr="00286A88" w:rsidRDefault="00286A88" w:rsidP="0058227F">
      <w:pPr>
        <w:rPr>
          <w:lang w:val="en-AU" w:eastAsia="en-AU"/>
        </w:rPr>
      </w:pPr>
      <w:r w:rsidRPr="00286A88">
        <w:rPr>
          <w:lang w:val="en-AU" w:eastAsia="en-AU"/>
        </w:rPr>
        <w:t>Ostriches are diurnal and are reported to sleep for approximately 11 h/day. In most birds and mammals periods of slow wave and REM (rapid eye movement) sleep occur in distinct and separate bouts. However, ostriches (and monotreme mammals such as the platypus) show less segregated patterns of brain activity, suggesting a possible difference in the function of sleep in these more ”basal” birds and mammals (Lesku et al., 2011). There may be implications of this unusual avian sleep pattern for ostrich welfare (in terms of photoperiod or other lighting conditions) but we could find no studies on this matter.</w:t>
      </w:r>
    </w:p>
    <w:p w14:paraId="2B1D472D" w14:textId="77777777" w:rsidR="00286A88" w:rsidRPr="00286A88" w:rsidRDefault="00286A88" w:rsidP="0058227F">
      <w:pPr>
        <w:pStyle w:val="Heading3"/>
        <w:rPr>
          <w:lang w:val="en-AU" w:eastAsia="en-AU"/>
        </w:rPr>
      </w:pPr>
      <w:bookmarkStart w:id="351" w:name="_Toc495310818"/>
      <w:r w:rsidRPr="00286A88">
        <w:rPr>
          <w:lang w:val="en-AU" w:eastAsia="en-AU"/>
        </w:rPr>
        <w:t>OS4.4 Reproductive behaviour</w:t>
      </w:r>
      <w:bookmarkEnd w:id="351"/>
    </w:p>
    <w:p w14:paraId="1D404A8A" w14:textId="77777777" w:rsidR="00286A88" w:rsidRPr="00286A88" w:rsidRDefault="00286A88" w:rsidP="0058227F">
      <w:pPr>
        <w:rPr>
          <w:lang w:val="en-AU" w:eastAsia="en-AU"/>
        </w:rPr>
      </w:pPr>
      <w:r w:rsidRPr="00286A88">
        <w:rPr>
          <w:lang w:val="en-AU" w:eastAsia="en-AU"/>
        </w:rPr>
        <w:t>In the wild, both male and female ostriches have multiple partners. Reproduction in farmed ostriches is linked to changes in seasonal photoperiod, with a breeding season that starts in the spring and lasts for 5 to 8 months (Bonato et al., 2015). Under farming conditions, many breeding ostriches are kept for reproductive purposes only, their eggs being removed for artificial incubation (Csermely et al., 2007).</w:t>
      </w:r>
    </w:p>
    <w:p w14:paraId="467844A8" w14:textId="77777777" w:rsidR="00286A88" w:rsidRPr="00286A88" w:rsidRDefault="00286A88" w:rsidP="0058227F">
      <w:pPr>
        <w:rPr>
          <w:lang w:val="en-AU" w:eastAsia="en-AU"/>
        </w:rPr>
      </w:pPr>
      <w:r w:rsidRPr="00286A88">
        <w:rPr>
          <w:lang w:val="en-AU" w:eastAsia="en-AU"/>
        </w:rPr>
        <w:t>Under natural conditions, ostriches have a unique communal nesting system, where many females lay eggs in the same nest (Bonato et al., 2015). The territorial male prepares many scrapes in the ground, of which one becomes a nest where females lay their eggs (Bertram 1992; Kimwele and Graves 2003). Sebei et al. (2009) found that ostriches in semi-wild enclosures tended to dig their scrape nests adjacent to the reserve enclosure, subjecting them to human disturbance and predation. In the Serengeti, nests containing up to 38 eggs have been recorded (Magige et al., 2009) but often only one (major) female and one major male incubate the eggs (Bonato et al., 2015). The major female may selectively evict the eggs of other hens after a certain threshold number has been laid in the nest (Bertram, 1979), although the cues used to discriminate between eggs are not yet clear (Magige et al., 2010). Sometimes a second female can assist in egg incubation (Sebei and Bergaoui, 2009). The presence of eggs in the nest stimulates incubation and reduces mating and laying activities (Sebei and Bergaoui, 2009). After hatching, the major female and major male will guard the large crèche of chicks. Under farmed conditions, where breeding pairs also incubate eggs, a skew in reproductive effort is also observed, with specific combinations of male and female pairs producing disproportionately far more chicks than other pairs (Bonato, 2009, cited by Bonato et al., 2015).</w:t>
      </w:r>
    </w:p>
    <w:p w14:paraId="0EEEC789" w14:textId="77777777" w:rsidR="00286A88" w:rsidRPr="00286A88" w:rsidRDefault="00286A88" w:rsidP="0058227F">
      <w:pPr>
        <w:pStyle w:val="Heading2"/>
        <w:rPr>
          <w:lang w:val="en-AU" w:eastAsia="en-AU"/>
        </w:rPr>
      </w:pPr>
      <w:bookmarkStart w:id="352" w:name="_Toc495310819"/>
      <w:r w:rsidRPr="00286A88">
        <w:rPr>
          <w:lang w:val="en-AU" w:eastAsia="en-AU"/>
        </w:rPr>
        <w:t>OS5. Facilities and Equipment: Behavioural Usage</w:t>
      </w:r>
      <w:bookmarkEnd w:id="352"/>
    </w:p>
    <w:p w14:paraId="796998D3" w14:textId="77777777" w:rsidR="00286A88" w:rsidRPr="00286A88" w:rsidRDefault="00286A88" w:rsidP="0058227F">
      <w:pPr>
        <w:rPr>
          <w:lang w:val="en-AU" w:eastAsia="en-AU"/>
        </w:rPr>
      </w:pPr>
      <w:r w:rsidRPr="00286A88">
        <w:rPr>
          <w:lang w:val="en-AU" w:eastAsia="en-AU"/>
        </w:rPr>
        <w:t>Information on the facilities and equipment used to rear and house ostriches is sparse. In cold climates, adult ostriches may be confined indoors during winter, and ostrich chicks will be reared in indoor pens that provide a relatively barren environment compared with the natural environments in which ostriches are found (Sam</w:t>
      </w:r>
      <w:r w:rsidR="002D7E6B">
        <w:rPr>
          <w:lang w:val="en-AU" w:eastAsia="en-AU"/>
        </w:rPr>
        <w:t>s</w:t>
      </w:r>
      <w:r w:rsidRPr="00286A88">
        <w:rPr>
          <w:lang w:val="en-AU" w:eastAsia="en-AU"/>
        </w:rPr>
        <w:t>on, 1996; Christensen and Nielsen, 2004). Confinement has been discussed above as a risk factor for disease, skeletal pathology and abnormal pecking (section OS3). Aggression is also reported to increase during periods of confinement (Samson, 1996).</w:t>
      </w:r>
    </w:p>
    <w:p w14:paraId="6318D07C" w14:textId="77777777" w:rsidR="00286A88" w:rsidRPr="00286A88" w:rsidRDefault="00286A88" w:rsidP="0058227F">
      <w:pPr>
        <w:pStyle w:val="Heading2"/>
        <w:rPr>
          <w:lang w:val="en-AU" w:eastAsia="en-AU"/>
        </w:rPr>
      </w:pPr>
      <w:bookmarkStart w:id="353" w:name="_Toc495310820"/>
      <w:r w:rsidRPr="00286A88">
        <w:rPr>
          <w:lang w:val="en-AU" w:eastAsia="en-AU"/>
        </w:rPr>
        <w:t>OS6. Fear and Distress</w:t>
      </w:r>
      <w:bookmarkEnd w:id="353"/>
    </w:p>
    <w:p w14:paraId="4A030C5F" w14:textId="77777777" w:rsidR="00286A88" w:rsidRPr="00286A88" w:rsidRDefault="00286A88" w:rsidP="0058227F">
      <w:pPr>
        <w:rPr>
          <w:lang w:val="en-AU" w:eastAsia="en-AU"/>
        </w:rPr>
      </w:pPr>
      <w:r w:rsidRPr="00286A88">
        <w:rPr>
          <w:lang w:val="en-AU" w:eastAsia="en-AU"/>
        </w:rPr>
        <w:t>Bubier et al. (1998) reported that aggression towards humans was reduced if young ostriches had imprinted on (or at least become habituated and familiarised with) people during their early life. Studies to examine such claims have more recently been conducted. For e</w:t>
      </w:r>
      <w:r w:rsidR="002D7E6B">
        <w:rPr>
          <w:lang w:val="en-AU" w:eastAsia="en-AU"/>
        </w:rPr>
        <w:t>xample, Bo</w:t>
      </w:r>
      <w:r w:rsidRPr="00286A88">
        <w:rPr>
          <w:lang w:val="en-AU" w:eastAsia="en-AU"/>
        </w:rPr>
        <w:t>nato et al. (2013) compared ostrich chicks that had been raised by a standard rearing practice with minimal human contact (Standard), chicks raised using breeder pairs as foster parents with minimal human contact (Foster), chicks raised using standard chick rearing practices with extensive human presence and care to 30 days of age (Imprint 1) and chicks raised with slightly reduced human presence and care (Imprint 2). There were few differences between Foster and Standard groups, but chicks raised with human care were more likely to interact with humans and allow human touch. Imprint 1 chicks maintained a closer distance to human observers but no differences between groups were detected in aggressive, hissing or pecking behaviours. The authors suggest that the early life handling alleviated fearfulness.</w:t>
      </w:r>
    </w:p>
    <w:p w14:paraId="71FE84DB" w14:textId="77777777" w:rsidR="00286A88" w:rsidRPr="00286A88" w:rsidRDefault="00286A88" w:rsidP="0058227F">
      <w:pPr>
        <w:rPr>
          <w:lang w:val="en-AU" w:eastAsia="en-AU"/>
        </w:rPr>
      </w:pPr>
      <w:r w:rsidRPr="00286A88">
        <w:rPr>
          <w:lang w:val="en-AU" w:eastAsia="en-AU"/>
        </w:rPr>
        <w:t>It has been suggested that the provision of a clothed dummy for young ostrich chicks might reduce fearfulness (Mushi et al., 1998b). No scientific data could be found to support or refute this suggestion.</w:t>
      </w:r>
    </w:p>
    <w:p w14:paraId="4C3BB86C" w14:textId="77777777" w:rsidR="00286A88" w:rsidRPr="00286A88" w:rsidRDefault="00494BC4" w:rsidP="0058227F">
      <w:pPr>
        <w:pStyle w:val="Heading2"/>
        <w:rPr>
          <w:lang w:val="en-AU" w:eastAsia="en-AU"/>
        </w:rPr>
      </w:pPr>
      <w:r>
        <w:rPr>
          <w:lang w:val="en-AU" w:eastAsia="en-AU"/>
        </w:rPr>
        <w:br w:type="column"/>
      </w:r>
      <w:bookmarkStart w:id="354" w:name="_Toc495310821"/>
      <w:r w:rsidR="00286A88" w:rsidRPr="00286A88">
        <w:rPr>
          <w:lang w:val="en-AU" w:eastAsia="en-AU"/>
        </w:rPr>
        <w:t xml:space="preserve">OS7. Sensory </w:t>
      </w:r>
      <w:r w:rsidR="00BA6724">
        <w:rPr>
          <w:lang w:val="en-AU" w:eastAsia="en-AU"/>
        </w:rPr>
        <w:t>E</w:t>
      </w:r>
      <w:r w:rsidR="00286A88" w:rsidRPr="00286A88">
        <w:rPr>
          <w:lang w:val="en-AU" w:eastAsia="en-AU"/>
        </w:rPr>
        <w:t>nvironment</w:t>
      </w:r>
      <w:bookmarkEnd w:id="354"/>
    </w:p>
    <w:p w14:paraId="2A1EF29C" w14:textId="77777777" w:rsidR="00286A88" w:rsidRPr="00286A88" w:rsidRDefault="00286A88" w:rsidP="0058227F">
      <w:pPr>
        <w:pStyle w:val="Heading3"/>
        <w:rPr>
          <w:lang w:val="en-AU" w:eastAsia="en-AU"/>
        </w:rPr>
      </w:pPr>
      <w:bookmarkStart w:id="355" w:name="_Toc495310822"/>
      <w:r w:rsidRPr="00286A88">
        <w:rPr>
          <w:lang w:val="en-AU" w:eastAsia="en-AU"/>
        </w:rPr>
        <w:t>OS7.1 Thermal comfort</w:t>
      </w:r>
      <w:bookmarkEnd w:id="355"/>
    </w:p>
    <w:p w14:paraId="004E0951" w14:textId="77777777" w:rsidR="00286A88" w:rsidRPr="00286A88" w:rsidRDefault="00286A88" w:rsidP="0058227F">
      <w:pPr>
        <w:rPr>
          <w:lang w:val="en-AU" w:eastAsia="en-AU"/>
        </w:rPr>
      </w:pPr>
      <w:r w:rsidRPr="00286A88">
        <w:rPr>
          <w:lang w:val="en-AU" w:eastAsia="en-AU"/>
        </w:rPr>
        <w:t>The evolved environment of the ostrich is warm (or hot) and dry, and these birds are well-adapted to cope with these conditions, showing effective thermoregulation in temperatures of over 40 °C (Schrader et al., 2009). However, it has been suggested that welfare problems may arise if the birds are kept in cold or damp conditions to which they are less adapted. Ostrich feathers have a soft structure and, unlike chickens for example, ostriches have no uropygial gland to produce oil that can be spread onto the feathers during preening for waterproofing and protection (Maloney, 2008). On the other hand, ostriches may be able to adapt to the cold by increasing feed intake, changing posture (e.g. covering naked parts of skin with wings, huddling), and in the longer-term by laying down fat reserves (Maloney, 2008). Schrader et al. (2009) studied ostriches with implanted digital temperature loggers, on a German farm during the cold (but dry) winter months (mean ambient temperature 2.5 °C). The mean body temperature of the ostriches varied between 37.2 and 38.5 °C, lower than measured in ostriches in warmer environments, probably due to the lower external temperature. However, differences in age, calibration and position of data loggers cannot be excluded as influencing factors. High variation between and within-individuals in body temperature was noted but the authors concluded that there was no evidence that the birds had failed to cope with the cold. Evidence about the ability of birds to cope with wet conditions was not found.</w:t>
      </w:r>
    </w:p>
    <w:p w14:paraId="4CC81635" w14:textId="77777777" w:rsidR="00286A88" w:rsidRPr="00286A88" w:rsidRDefault="00286A88" w:rsidP="0058227F">
      <w:pPr>
        <w:pStyle w:val="Heading2"/>
        <w:rPr>
          <w:lang w:val="en-AU" w:eastAsia="en-AU"/>
        </w:rPr>
      </w:pPr>
      <w:bookmarkStart w:id="356" w:name="_Toc495310823"/>
      <w:r w:rsidRPr="00286A88">
        <w:rPr>
          <w:lang w:val="en-AU" w:eastAsia="en-AU"/>
        </w:rPr>
        <w:t>OS8. Management and Handling</w:t>
      </w:r>
      <w:bookmarkEnd w:id="356"/>
    </w:p>
    <w:p w14:paraId="3308C86C" w14:textId="77777777" w:rsidR="00286A88" w:rsidRPr="00286A88" w:rsidRDefault="00286A88" w:rsidP="0058227F">
      <w:pPr>
        <w:pStyle w:val="Heading3"/>
        <w:rPr>
          <w:lang w:val="en-AU" w:eastAsia="en-AU"/>
        </w:rPr>
      </w:pPr>
      <w:bookmarkStart w:id="357" w:name="_Toc495310824"/>
      <w:r w:rsidRPr="00286A88">
        <w:rPr>
          <w:lang w:val="en-AU" w:eastAsia="en-AU"/>
        </w:rPr>
        <w:t>OS8.1 Stocking density</w:t>
      </w:r>
      <w:bookmarkEnd w:id="357"/>
    </w:p>
    <w:p w14:paraId="72FD9EF0" w14:textId="77777777" w:rsidR="00286A88" w:rsidRPr="00286A88" w:rsidRDefault="00286A88" w:rsidP="0058227F">
      <w:pPr>
        <w:rPr>
          <w:lang w:val="en-AU" w:eastAsia="en-AU"/>
        </w:rPr>
      </w:pPr>
      <w:r w:rsidRPr="00286A88">
        <w:rPr>
          <w:lang w:val="en-AU" w:eastAsia="en-AU"/>
        </w:rPr>
        <w:t xml:space="preserve">It is difficult to establish information on stocking density or stocking rate. This information is not always provided even in otherwise thorough scientific papers (e.g. Meyer et al., 2003) or is unclear or contradictory (e.g. Amado et al., 2011). Some papers mention stocking rates, e.g. Lambrechts et al. (2004, </w:t>
      </w:r>
      <w:r w:rsidR="007103C8">
        <w:rPr>
          <w:lang w:val="en-AU" w:eastAsia="en-AU"/>
        </w:rPr>
        <w:t xml:space="preserve">full </w:t>
      </w:r>
      <w:r w:rsidRPr="00286A88">
        <w:rPr>
          <w:lang w:val="en-AU" w:eastAsia="en-AU"/>
        </w:rPr>
        <w:t>text not available) reported ‘intensive’ stocking rates of between 114 to 210 birds/ha in large flocks, and between 9 and 13 birds in 0.13 and 0.30 ha enclosures; Amado et al. (2011) report that groups of 30 chicks were kept in 400 m</w:t>
      </w:r>
      <w:r w:rsidRPr="00286A88">
        <w:rPr>
          <w:vertAlign w:val="superscript"/>
          <w:lang w:val="en-AU" w:eastAsia="en-AU"/>
        </w:rPr>
        <w:t>2</w:t>
      </w:r>
      <w:r w:rsidRPr="00286A88">
        <w:rPr>
          <w:lang w:val="en-AU" w:eastAsia="en-AU"/>
        </w:rPr>
        <w:t xml:space="preserve"> paddocks. No controlled studies on the effects of different stocking rates or stocking densities on ostrich health or welfare were found.</w:t>
      </w:r>
    </w:p>
    <w:p w14:paraId="06C756E0" w14:textId="77777777" w:rsidR="00286A88" w:rsidRPr="00286A88" w:rsidRDefault="00286A88" w:rsidP="0058227F">
      <w:pPr>
        <w:rPr>
          <w:lang w:val="en-AU" w:eastAsia="en-AU"/>
        </w:rPr>
      </w:pPr>
      <w:r w:rsidRPr="00286A88">
        <w:rPr>
          <w:lang w:val="en-AU" w:eastAsia="en-AU"/>
        </w:rPr>
        <w:t>In Europe group sizes and stocking rates are advised by Council of Europe (CoE) guidelines. These advise that ostriches from 3 days should be given opportunities to exercise, ideally outdoors, and that ostriches over 3 months should be given some daily access to an outdoor area (COE, 1997). Fences must be safely constructed and at least 2 m high. Buildings should be 3</w:t>
      </w:r>
      <w:r w:rsidR="001C7473">
        <w:rPr>
          <w:lang w:val="en-AU" w:eastAsia="en-AU"/>
        </w:rPr>
        <w:t xml:space="preserve"> </w:t>
      </w:r>
      <w:r w:rsidRPr="00286A88">
        <w:rPr>
          <w:lang w:val="en-AU" w:eastAsia="en-AU"/>
        </w:rPr>
        <w:t>m high and birds should have a minimum indoor space allowance of 2 m</w:t>
      </w:r>
      <w:r w:rsidRPr="00286A88">
        <w:rPr>
          <w:vertAlign w:val="superscript"/>
          <w:lang w:val="en-AU" w:eastAsia="en-AU"/>
        </w:rPr>
        <w:t>2</w:t>
      </w:r>
      <w:r w:rsidRPr="00286A88">
        <w:rPr>
          <w:lang w:val="en-AU" w:eastAsia="en-AU"/>
        </w:rPr>
        <w:t>/bird from 3 weeks, and of 10 m</w:t>
      </w:r>
      <w:r w:rsidRPr="00286A88">
        <w:rPr>
          <w:vertAlign w:val="superscript"/>
          <w:lang w:val="en-AU" w:eastAsia="en-AU"/>
        </w:rPr>
        <w:t>2</w:t>
      </w:r>
      <w:r w:rsidRPr="00286A88">
        <w:rPr>
          <w:lang w:val="en-AU" w:eastAsia="en-AU"/>
        </w:rPr>
        <w:t>/bird from 6 months, and a minimum outdoor area of 800 m</w:t>
      </w:r>
      <w:r w:rsidRPr="00286A88">
        <w:rPr>
          <w:vertAlign w:val="superscript"/>
          <w:lang w:val="en-AU" w:eastAsia="en-AU"/>
        </w:rPr>
        <w:t>2</w:t>
      </w:r>
      <w:r w:rsidRPr="00286A88">
        <w:rPr>
          <w:lang w:val="en-AU" w:eastAsia="en-AU"/>
        </w:rPr>
        <w:t>/3 birds from 6 months, of 1,000 m</w:t>
      </w:r>
      <w:r w:rsidRPr="00286A88">
        <w:rPr>
          <w:vertAlign w:val="superscript"/>
          <w:lang w:val="en-AU" w:eastAsia="en-AU"/>
        </w:rPr>
        <w:t>2</w:t>
      </w:r>
      <w:r w:rsidRPr="00286A88">
        <w:rPr>
          <w:lang w:val="en-AU" w:eastAsia="en-AU"/>
        </w:rPr>
        <w:t>/3 birds from 1 year and of 2,000 m</w:t>
      </w:r>
      <w:r w:rsidRPr="00286A88">
        <w:rPr>
          <w:vertAlign w:val="superscript"/>
          <w:lang w:val="en-AU" w:eastAsia="en-AU"/>
        </w:rPr>
        <w:t>2</w:t>
      </w:r>
      <w:r w:rsidRPr="00286A88">
        <w:rPr>
          <w:lang w:val="en-AU" w:eastAsia="en-AU"/>
        </w:rPr>
        <w:t>/3 birds for breeding adults. However, these guidelines appear to have been drawn up from ‘best practice’ information rather than scientific studies.</w:t>
      </w:r>
    </w:p>
    <w:p w14:paraId="285C8241" w14:textId="77777777" w:rsidR="00286A88" w:rsidRPr="00286A88" w:rsidRDefault="00286A88" w:rsidP="0058227F">
      <w:pPr>
        <w:pStyle w:val="Heading3"/>
        <w:rPr>
          <w:lang w:val="en-AU" w:eastAsia="en-AU"/>
        </w:rPr>
      </w:pPr>
      <w:bookmarkStart w:id="358" w:name="_Toc495310825"/>
      <w:r w:rsidRPr="00286A88">
        <w:rPr>
          <w:lang w:val="en-AU" w:eastAsia="en-AU"/>
        </w:rPr>
        <w:t>OS8.2 Breeding group size and sex ratio</w:t>
      </w:r>
      <w:bookmarkEnd w:id="358"/>
    </w:p>
    <w:p w14:paraId="7FFDB7E6" w14:textId="77777777" w:rsidR="00286A88" w:rsidRPr="00286A88" w:rsidRDefault="00286A88" w:rsidP="0058227F">
      <w:pPr>
        <w:rPr>
          <w:lang w:val="en-AU" w:eastAsia="en-AU"/>
        </w:rPr>
      </w:pPr>
      <w:r w:rsidRPr="00286A88">
        <w:rPr>
          <w:lang w:val="en-AU" w:eastAsia="en-AU"/>
        </w:rPr>
        <w:t>Ostrich breeders use two main methods for mating adults. Birds are generally either kept in breeding groups of 6 females and 4 males, or maintained in much larger ‘camps’ of approximately the same sex ratio (Bonato et al., 2015), with only a few instances of single pairs of individuals kept for mating (e.g. Csermely et al., 2007). It has been suggested by some that the restriction of mate choice compared to the natural situation could pose a welfare problem (Bonato et al., 2015). Ostriches housed in small enclosures with incompatible mates may experience aggression and injury (Cloete and Malecki, 2011). Bonato et al. (2015) suggested that breeding animals should be kept in small colonies of fewer than 20 individuals (but more than 3 or 4 individuals), to allow normal sexual behaviour whilst maintaining a social structure.</w:t>
      </w:r>
    </w:p>
    <w:p w14:paraId="4384ECEA" w14:textId="77777777" w:rsidR="00286A88" w:rsidRPr="00286A88" w:rsidRDefault="00286A88" w:rsidP="0058227F">
      <w:pPr>
        <w:rPr>
          <w:lang w:val="en-AU" w:eastAsia="en-AU"/>
        </w:rPr>
      </w:pPr>
      <w:r w:rsidRPr="00286A88">
        <w:rPr>
          <w:lang w:val="en-AU" w:eastAsia="en-AU"/>
        </w:rPr>
        <w:t xml:space="preserve">In breeding adults, male to female ratios of 1M:1F; 1M:2F and 1M:3F were studied in small 0.0 6ha enclosures. In all systems, egg production, fertility and hatchability were reduced as stocking rate increased. However, increasing the number of females per male was generally beneficial (Lambrechts et al., 2004, </w:t>
      </w:r>
      <w:r w:rsidR="007103C8">
        <w:rPr>
          <w:lang w:val="en-AU" w:eastAsia="en-AU"/>
        </w:rPr>
        <w:t xml:space="preserve">full </w:t>
      </w:r>
      <w:r w:rsidRPr="00286A88">
        <w:rPr>
          <w:lang w:val="en-AU" w:eastAsia="en-AU"/>
        </w:rPr>
        <w:t>text not available).</w:t>
      </w:r>
    </w:p>
    <w:p w14:paraId="5D81984F" w14:textId="77777777" w:rsidR="00286A88" w:rsidRPr="00286A88" w:rsidRDefault="00286A88" w:rsidP="0058227F">
      <w:pPr>
        <w:pStyle w:val="Heading3"/>
        <w:rPr>
          <w:lang w:val="en-AU" w:eastAsia="en-AU"/>
        </w:rPr>
      </w:pPr>
      <w:bookmarkStart w:id="359" w:name="_Toc495310826"/>
      <w:r w:rsidRPr="00286A88">
        <w:rPr>
          <w:lang w:val="en-AU" w:eastAsia="en-AU"/>
        </w:rPr>
        <w:t>OS8.3 Chick groups</w:t>
      </w:r>
      <w:bookmarkEnd w:id="359"/>
    </w:p>
    <w:p w14:paraId="4FBCFD98" w14:textId="77777777" w:rsidR="00286A88" w:rsidRPr="00286A88" w:rsidRDefault="00286A88" w:rsidP="0058227F">
      <w:pPr>
        <w:rPr>
          <w:lang w:val="en-AU" w:eastAsia="en-AU"/>
        </w:rPr>
      </w:pPr>
      <w:r w:rsidRPr="00286A88">
        <w:rPr>
          <w:lang w:val="en-AU" w:eastAsia="en-AU"/>
        </w:rPr>
        <w:t>Chicks reared in mixed body-weight groups have reduced average growth rates compared with chicks raised in groups of similar bodyweight (Deeming and Ayres, 1994). Meyer et al. (2003) investigated the possible benefits of single-sex rearing of ostrich chicks and juveniles to establish whether this would reduce aggression and skin damage. Behavioural observations showed greater aggression in all-male groups, with more kick marks on the skin, than in the female or mixed groups. Overall, however, the contribution of aggression to final skin grading was not clear and it was concluded that there was no overall benefit to single-sex rearing.</w:t>
      </w:r>
    </w:p>
    <w:p w14:paraId="20598377" w14:textId="77777777" w:rsidR="00286A88" w:rsidRPr="00286A88" w:rsidRDefault="00494BC4" w:rsidP="0058227F">
      <w:pPr>
        <w:pStyle w:val="Heading3"/>
        <w:rPr>
          <w:lang w:val="en-AU" w:eastAsia="en-AU"/>
        </w:rPr>
      </w:pPr>
      <w:r>
        <w:rPr>
          <w:lang w:val="en-AU" w:eastAsia="en-AU"/>
        </w:rPr>
        <w:br w:type="column"/>
      </w:r>
      <w:bookmarkStart w:id="360" w:name="_Toc495310827"/>
      <w:r w:rsidR="00286A88" w:rsidRPr="00286A88">
        <w:rPr>
          <w:lang w:val="en-AU" w:eastAsia="en-AU"/>
        </w:rPr>
        <w:t>OS8.4 Handling</w:t>
      </w:r>
      <w:bookmarkEnd w:id="360"/>
    </w:p>
    <w:p w14:paraId="25153E81" w14:textId="77777777" w:rsidR="00286A88" w:rsidRPr="00286A88" w:rsidRDefault="00286A88" w:rsidP="0058227F">
      <w:pPr>
        <w:pStyle w:val="Heading41"/>
      </w:pPr>
      <w:r w:rsidRPr="00286A88">
        <w:t>OS8.4a Bird movement, restraint and penning</w:t>
      </w:r>
    </w:p>
    <w:p w14:paraId="3B0B9F46" w14:textId="77777777" w:rsidR="00286A88" w:rsidRPr="00286A88" w:rsidRDefault="00286A88" w:rsidP="0058227F">
      <w:pPr>
        <w:rPr>
          <w:lang w:val="en-AU" w:eastAsia="en-AU"/>
        </w:rPr>
      </w:pPr>
      <w:r w:rsidRPr="00286A88">
        <w:rPr>
          <w:lang w:val="en-AU" w:eastAsia="en-AU"/>
        </w:rPr>
        <w:t>In a review of ostrich handling and transport practices, Reiner et al. (1996, cited by Wotton and Hewitt, 1999) suggested it was easier to handle ostriches as a group than as individuals, and that these birds remained calmer if kept in familiar groups. Wotton and Hewitt (1999) also suggested that young ostriches have a strong flocking instinct, citing a personal observation that flocks of young birds could run into fences if alarmed. Wotton and Hewitt (1999) did, however, suggest that the flocking tendency could be harnessed to good effect; if, for example, a lead bird can be enticed into a trailer or raceway, the other members of its group may follow.</w:t>
      </w:r>
    </w:p>
    <w:p w14:paraId="47EA140D" w14:textId="77777777" w:rsidR="00286A88" w:rsidRPr="00286A88" w:rsidRDefault="00286A88" w:rsidP="0058227F">
      <w:pPr>
        <w:rPr>
          <w:lang w:val="en-AU" w:eastAsia="en-AU"/>
        </w:rPr>
      </w:pPr>
      <w:r w:rsidRPr="00286A88">
        <w:rPr>
          <w:lang w:val="en-AU" w:eastAsia="en-AU"/>
        </w:rPr>
        <w:t>Young ostriches up to 2 months of age can reportedly be picked up if the chest and back are supported and held and the legs allowed to dangle (Sales and Smith, 1995, cited by Wotton and Hewitt, 1999). Older ostriches must be handled with care, not only to safeguard their own welfare, but also because they can kick or otherwise injure humans during manual handling or restraint (Wotton and Hewitt, 1999). Minka and Ayo (2008) observed the effects of handling procedures that occurred prior to loading and transportation, in 20 groups (250 individuals) of adult ostriches. The procedure involved herding the birds into a holding pen, then moving them individually into a V-shaped crush and placing a hood over their heads. It was stated that procedures were conducted in accordance with UK guidance on the welfare of animals during transport. Pronounced behavioural responses occurred during this procedure, with mean frequencies of falling (60%)</w:t>
      </w:r>
      <w:r w:rsidR="001C7473">
        <w:rPr>
          <w:lang w:val="en-AU" w:eastAsia="en-AU"/>
        </w:rPr>
        <w:t>,</w:t>
      </w:r>
      <w:r w:rsidRPr="00286A88">
        <w:rPr>
          <w:lang w:val="en-AU" w:eastAsia="en-AU"/>
        </w:rPr>
        <w:t xml:space="preserve"> slipping (85%), aggression (60%), jumping (35%) and kicking (20%) and consequent injuries to the legs (60%), neck (15%) and wings (10%). The frequency of these responses and injuries was far higher during the handling procedure than during subsequent loading, transport and unloading.</w:t>
      </w:r>
    </w:p>
    <w:p w14:paraId="7A100578" w14:textId="77777777" w:rsidR="00286A88" w:rsidRPr="00286A88" w:rsidRDefault="00286A88" w:rsidP="0058227F">
      <w:pPr>
        <w:rPr>
          <w:lang w:val="en-AU" w:eastAsia="en-AU"/>
        </w:rPr>
      </w:pPr>
      <w:r w:rsidRPr="00286A88">
        <w:rPr>
          <w:lang w:val="en-AU" w:eastAsia="en-AU"/>
        </w:rPr>
        <w:t>It may be possible to gently guide some birds to a desired position but this will be easier if the birds have been habituated to handling from an early age (Wotton and Hewitt, 1999). In a survey of ostrich handling practices in the USA and Canada, approximately half of 39 respondents used hooding as a restraint method, 25% did not use any devices, 5% used a hook, 5% used tranquillisers and 15% used other methods such as livestock handling units for bird restraint (Bejaei and Cheng, 2014</w:t>
      </w:r>
      <w:r w:rsidR="00CA0BFD">
        <w:rPr>
          <w:lang w:val="en-AU" w:eastAsia="en-AU"/>
        </w:rPr>
        <w:t>a</w:t>
      </w:r>
      <w:r w:rsidRPr="00286A88">
        <w:rPr>
          <w:lang w:val="en-AU" w:eastAsia="en-AU"/>
        </w:rPr>
        <w:t>). Most of the producers in this survey kept ostriches in a pre-transport holding pen for between 1 to 18 h before loading for transportation, generally grouping the birds according to weight but not previous social familiarity or sex. Producers identified fearfulness (26%), running (16%), vocalisation (13%), kicking (9%), birds piling on top of each other (10%), trampling (6%) as behavioural changes observed during pre-transport handling procedures. 3% of producers also mentioned that birds ceased feeding and drinking.</w:t>
      </w:r>
    </w:p>
    <w:p w14:paraId="53AEC920" w14:textId="77777777" w:rsidR="00286A88" w:rsidRPr="00286A88" w:rsidRDefault="00286A88" w:rsidP="0058227F">
      <w:pPr>
        <w:rPr>
          <w:lang w:val="en-AU" w:eastAsia="en-AU"/>
        </w:rPr>
      </w:pPr>
      <w:r w:rsidRPr="00286A88">
        <w:rPr>
          <w:lang w:val="en-AU" w:eastAsia="en-AU"/>
        </w:rPr>
        <w:t>The authors concluded that handling injuries, bruises and losses are common, and that there is a need for research to evaluate the effects of the different methods of handling on bird welfare, and argued that producers should consider the social familiarity and sex of the birds when mixing them during handling. It is likely from work on other bird species (see Laying Hens) that mixing unfamiliar birds is stressful. However, studies in ostriches have confounded transportation and translocation with mixing (Kamau et al., 2002) and so the relative contribution of mixing alone to increased stress response is not clear.</w:t>
      </w:r>
    </w:p>
    <w:p w14:paraId="7366A644" w14:textId="77777777" w:rsidR="00286A88" w:rsidRPr="00286A88" w:rsidRDefault="00286A88" w:rsidP="0058227F">
      <w:pPr>
        <w:rPr>
          <w:lang w:val="en-AU" w:eastAsia="en-AU"/>
        </w:rPr>
      </w:pPr>
      <w:r w:rsidRPr="00286A88">
        <w:rPr>
          <w:lang w:val="en-AU" w:eastAsia="en-AU"/>
        </w:rPr>
        <w:t>Juvenile ostriches can be sedated using intra-nasal administration (Araghi et al., 2016), although it should be noted that the CoE guidance does not permit routine chemical restraint due to the risks of injury during recovery.</w:t>
      </w:r>
    </w:p>
    <w:p w14:paraId="44057025" w14:textId="77777777" w:rsidR="00286A88" w:rsidRPr="00286A88" w:rsidRDefault="00286A88" w:rsidP="0058227F">
      <w:pPr>
        <w:pStyle w:val="Heading41"/>
      </w:pPr>
      <w:r w:rsidRPr="00286A88">
        <w:t>OS8.4b Artificial reproduction</w:t>
      </w:r>
    </w:p>
    <w:p w14:paraId="1FAC1595" w14:textId="77777777" w:rsidR="00286A88" w:rsidRPr="00286A88" w:rsidRDefault="00286A88" w:rsidP="0058227F">
      <w:pPr>
        <w:rPr>
          <w:lang w:val="en-AU" w:eastAsia="en-AU"/>
        </w:rPr>
      </w:pPr>
      <w:r w:rsidRPr="00286A88">
        <w:rPr>
          <w:lang w:val="en-AU" w:eastAsia="en-AU"/>
        </w:rPr>
        <w:t>Natural mating is the normal practice in ostrich farming but there is some interest in developing artificial insemination to improve genetic stock (Rybnik et al., 2007). Handling birds for the collection of semen and for the insemination process is likely to pose welfare challenges. Four different methods of semen collection were assessed by Rozenboim et al. (2003) who concluded that a vacuum method was an effective and restraint-free method that appeared to be low stress. Any technique for semen collection or insemination will rely heavily on the docility and cooperation of birds with human handlers, so alleviating fear and aggression will be critical for bird welfare and human safety.</w:t>
      </w:r>
    </w:p>
    <w:p w14:paraId="27C4BC50" w14:textId="77777777" w:rsidR="00286A88" w:rsidRPr="0058227F" w:rsidRDefault="00286A88" w:rsidP="0058227F">
      <w:pPr>
        <w:pStyle w:val="Heading3"/>
      </w:pPr>
      <w:bookmarkStart w:id="361" w:name="_Toc495310828"/>
      <w:r w:rsidRPr="0058227F">
        <w:t>OS8.5 Declawing</w:t>
      </w:r>
      <w:bookmarkEnd w:id="361"/>
    </w:p>
    <w:p w14:paraId="417911F8" w14:textId="77777777" w:rsidR="00286A88" w:rsidRPr="00286A88" w:rsidRDefault="00286A88" w:rsidP="0058227F">
      <w:pPr>
        <w:rPr>
          <w:lang w:val="en-AU" w:eastAsia="en-AU"/>
        </w:rPr>
      </w:pPr>
      <w:r w:rsidRPr="00286A88">
        <w:rPr>
          <w:lang w:val="en-AU" w:eastAsia="en-AU"/>
        </w:rPr>
        <w:t xml:space="preserve">Declawing is a procedure that is not permitted in some countries, but which may be practiced on “some” Australian ostrich farms (Glatz, 2006). It involves partial amputation of the toe, specifically removal of the distal phalangeal joint using a hot-blade device designed for beak trimming (Glatz, 2006). Others have described a manual procedure using a scalpel to make a diagonal cut from underneath the toenails upwards to remove the growth point and the toenail, whilst keeping the ventral </w:t>
      </w:r>
      <w:r w:rsidR="00FC573C">
        <w:rPr>
          <w:lang w:val="en-AU" w:eastAsia="en-AU"/>
        </w:rPr>
        <w:t>foot pad</w:t>
      </w:r>
      <w:r w:rsidRPr="00286A88">
        <w:rPr>
          <w:lang w:val="en-AU" w:eastAsia="en-AU"/>
        </w:rPr>
        <w:t xml:space="preserve"> intact (Meyer et al., 2002). Declawing is effective in reducing scratches and skin marks that can reduce the ultimate quality of ostrich leather (Meyer et al., 2002; Glatz, 2006) but it has the potential to result in a significant degree of short-term pain, with the possibility of longer-term adverse consequences for bird welfare. We have been cautious in extrapolating across species but the toe region of chickens and ratites is supplied with numerous blood vessels and nerves (Gentle and Hun</w:t>
      </w:r>
      <w:r w:rsidR="00CA0BFD">
        <w:rPr>
          <w:lang w:val="en-AU" w:eastAsia="en-AU"/>
        </w:rPr>
        <w:t>ter, 1998; Lunam and Glatz, 2000</w:t>
      </w:r>
      <w:r w:rsidRPr="00286A88">
        <w:rPr>
          <w:lang w:val="en-AU" w:eastAsia="en-AU"/>
        </w:rPr>
        <w:t>) and despite the absence of studies on ratite species, their brains have a similar structure to the chicken brain, suggesting a capacity to experience pain in association with tissue damage.</w:t>
      </w:r>
    </w:p>
    <w:p w14:paraId="5CB326D1" w14:textId="77777777" w:rsidR="00286A88" w:rsidRPr="00286A88" w:rsidRDefault="00286A88" w:rsidP="0058227F">
      <w:pPr>
        <w:rPr>
          <w:lang w:val="en-AU" w:eastAsia="en-AU"/>
        </w:rPr>
      </w:pPr>
      <w:r w:rsidRPr="00286A88">
        <w:rPr>
          <w:lang w:val="en-AU" w:eastAsia="en-AU"/>
        </w:rPr>
        <w:t>Meyer et al. (2002) compared approximately 140 day-old de-clawed chicks with a similar number of controls. Ostriches struggled during the declawing procedure, but the wounds reportedly healed well. Survival to slaughter was very low, just 33% in the control group and 25% in the declawed group. The cumulative proportion of chick deaths between 85 and 135 days was significantly lower in the declawed group. At 13 months of age no impairment in locomotion was detected and the declawed birds had a reduced level of skin damage at slaughter. The authors concluded that welfare was unaffected by declawing but this is not a robust conclusion given the lack of evidence obtained at the time the procedure was conducted. A more measured conclusion might be that there was no evidence of a long-term detriment to welfare. Assessments taken at and shortly after the declawing procedure by Glatz (2006) revealed that some hours after the procedure declawed chicks showed that, whilst there were no differences between declawed and control chicks in some activities (feeding, drinking, walking, preening), significant reductions in other activities were observed (sitting, standing, environmental pecking and display (kantelling) behaviour). This was interpreted as an indication that the chicks may have been suffering pain and discomfort (Glatz, 2006). One week after the procedure, fewer behavioural differences were observed, but declawed birds behaved differently in the outdoor runs performing more walking, but also more sitting and standing, results that are difficult to interpret clearly. At one year of age, the declawed birds were significantly more likely to slip (Glatz, 2006).</w:t>
      </w:r>
    </w:p>
    <w:p w14:paraId="5FE503F4" w14:textId="77777777" w:rsidR="00286A88" w:rsidRPr="00286A88" w:rsidRDefault="00286A88" w:rsidP="0058227F">
      <w:pPr>
        <w:pStyle w:val="Heading3"/>
        <w:rPr>
          <w:lang w:val="en-AU" w:eastAsia="en-AU"/>
        </w:rPr>
      </w:pPr>
      <w:bookmarkStart w:id="362" w:name="_Toc495310829"/>
      <w:r w:rsidRPr="00286A88">
        <w:rPr>
          <w:lang w:val="en-AU" w:eastAsia="en-AU"/>
        </w:rPr>
        <w:t>OS8.6 Feather removal</w:t>
      </w:r>
      <w:bookmarkEnd w:id="362"/>
    </w:p>
    <w:p w14:paraId="6FD59449" w14:textId="77777777" w:rsidR="00286A88" w:rsidRPr="00286A88" w:rsidRDefault="00286A88" w:rsidP="0058227F">
      <w:pPr>
        <w:rPr>
          <w:lang w:val="en-AU" w:eastAsia="en-AU"/>
        </w:rPr>
      </w:pPr>
      <w:r w:rsidRPr="00286A88">
        <w:rPr>
          <w:lang w:val="en-AU" w:eastAsia="en-AU"/>
        </w:rPr>
        <w:t>The CoE advises that feathers should not be plucked from live birds, and that if any feathers are to be collected from live birds this should be done by feather clipping above the blood line. The practices adopted to collect feathers in other countries are not clear. In South Africa, live birds may have (an unspecified number of) their feathers ‘harvested’ during the winter non-breeding period (Brand and Cloete, 2015). Plucking feathers from live birds would be likely to cause pain but no scientific studies of the welfare impact of this practice were found.</w:t>
      </w:r>
    </w:p>
    <w:p w14:paraId="6FA69CE4" w14:textId="77777777" w:rsidR="00286A88" w:rsidRPr="00286A88" w:rsidRDefault="00286A88" w:rsidP="0058227F">
      <w:pPr>
        <w:pStyle w:val="Heading2"/>
        <w:rPr>
          <w:lang w:val="en-AU" w:eastAsia="en-AU"/>
        </w:rPr>
      </w:pPr>
      <w:bookmarkStart w:id="363" w:name="_Toc495310830"/>
      <w:r w:rsidRPr="00286A88">
        <w:rPr>
          <w:lang w:val="en-AU" w:eastAsia="en-AU"/>
        </w:rPr>
        <w:t>OS9. Welfare Considerations: Overview</w:t>
      </w:r>
      <w:bookmarkEnd w:id="363"/>
    </w:p>
    <w:p w14:paraId="65DDD814" w14:textId="77777777" w:rsidR="00286A88" w:rsidRPr="00286A88" w:rsidRDefault="00286A88" w:rsidP="0058227F">
      <w:pPr>
        <w:rPr>
          <w:lang w:val="en-AU" w:eastAsia="en-AU"/>
        </w:rPr>
      </w:pPr>
      <w:r w:rsidRPr="00286A88">
        <w:rPr>
          <w:lang w:val="en-AU" w:eastAsia="en-AU"/>
        </w:rPr>
        <w:t>The feeding behaviour of the ostrich, and the anatomy and physiology of its digestive tract, enables the consumption of a varied, and highly fibrous, plant-based diet. Under farming conditions ostriches will readily accept low fibre diets with high energy and/or protein content, but such diets result in significant welfare problems both because the motivation to forage is directed towards more harmful substrates (e.g. feathers, skin, or objects that are harmful when ingested) and because resultant rapid growth rates can cause musculo-skeletal problems and leg deformities. Diets should be provided that enable healthy, but not excessive growth rates.</w:t>
      </w:r>
    </w:p>
    <w:p w14:paraId="0AB75DD9" w14:textId="77777777" w:rsidR="00286A88" w:rsidRPr="00286A88" w:rsidRDefault="00286A88" w:rsidP="0058227F">
      <w:pPr>
        <w:rPr>
          <w:lang w:val="en-AU" w:eastAsia="en-AU"/>
        </w:rPr>
      </w:pPr>
      <w:r w:rsidRPr="00286A88">
        <w:rPr>
          <w:lang w:val="en-AU" w:eastAsia="en-AU"/>
        </w:rPr>
        <w:t>Mortality rates in ostrich production, particularly of young chicks and growing birds, are very high in comparison with other farmed bird species. This suggests that considerable research into improved hatching and rearing practices is still required. Skeletal problems and enteritis are both major causes of early mortality and both will result in welfare problems before death. Genetic selection for high growth rates needs to be balanced against a consideration of the welfare impact and economic losses associated with musculo-skeletal disorders. Targets for ‘acceptable’ mortality rates should be set and monitored.</w:t>
      </w:r>
    </w:p>
    <w:p w14:paraId="3797F47F" w14:textId="77777777" w:rsidR="00286A88" w:rsidRPr="00286A88" w:rsidRDefault="00286A88" w:rsidP="0058227F">
      <w:pPr>
        <w:rPr>
          <w:lang w:val="en-AU" w:eastAsia="en-AU"/>
        </w:rPr>
      </w:pPr>
      <w:r w:rsidRPr="00286A88">
        <w:rPr>
          <w:lang w:val="en-AU" w:eastAsia="en-AU"/>
        </w:rPr>
        <w:t>Research is needed to establish optimum strategies to enable foraging (a major component of the natural ostrich time-budget) and ingestion of beneficial fibrous material to promote gut health and prevent injurious pecking in both growing and adult ostriches, and should be implemented both for ostriches with access to the outdoors and during any periods of indoor confinement.</w:t>
      </w:r>
    </w:p>
    <w:p w14:paraId="5B8B7B7C" w14:textId="77777777" w:rsidR="00286A88" w:rsidRPr="00286A88" w:rsidRDefault="00286A88" w:rsidP="0058227F">
      <w:pPr>
        <w:rPr>
          <w:lang w:val="en-AU" w:eastAsia="en-AU"/>
        </w:rPr>
      </w:pPr>
      <w:r w:rsidRPr="00286A88">
        <w:rPr>
          <w:lang w:val="en-AU" w:eastAsia="en-AU"/>
        </w:rPr>
        <w:t>Ostriches are not fully-domesticated birds and they can be fearful and aggressive in the presence of human handlers. This can reduce their welfare directly (fear is a negatively-valenced emotion) and indirectly (via injury caused by panic). Positive strategies for the early handling of chicks may help to reduce fearfulness and aggression. Many different handling methods have been reported for older birds but research is needed to establish their relative effectiveness and welfare impact.</w:t>
      </w:r>
    </w:p>
    <w:p w14:paraId="110D2B9A" w14:textId="77777777" w:rsidR="00286A88" w:rsidRPr="00286A88" w:rsidRDefault="00286A88" w:rsidP="0058227F">
      <w:pPr>
        <w:rPr>
          <w:lang w:val="en-AU" w:eastAsia="en-AU"/>
        </w:rPr>
      </w:pPr>
      <w:r w:rsidRPr="00286A88">
        <w:rPr>
          <w:lang w:val="en-AU" w:eastAsia="en-AU"/>
        </w:rPr>
        <w:t>There is a lack of scientific work on the impact of different stocking rates, group sizes and group compositions on ostrich welfare. This is an important area for future research to support recommendations for ostrich farming.</w:t>
      </w:r>
    </w:p>
    <w:p w14:paraId="414E6778" w14:textId="77777777" w:rsidR="00286A88" w:rsidRDefault="00286A88" w:rsidP="0058227F">
      <w:pPr>
        <w:rPr>
          <w:lang w:val="en-AU" w:eastAsia="en-AU"/>
        </w:rPr>
      </w:pPr>
      <w:r w:rsidRPr="00286A88">
        <w:rPr>
          <w:lang w:val="en-AU" w:eastAsia="en-AU"/>
        </w:rPr>
        <w:t xml:space="preserve">De-clawing is a practice that is permitted primarily to reduce skin damage and improve the quality of ostrich leather products (it may also reduce the risk of injury to human handlers). From a welfare perspective de-clawing is a major and substantial concern. Given the high enervation of the toe region, the removal of toes with a hot blade without analgesic or anaesthetic provision, is likely to cause severe pain, at least over the short-term. Research should be conducted on strategies to reduce skin damage in other ways (e.g. by ensuring stable and compatible groups of birds, ensuring low competition for resources, providing areas of abrasive flooring </w:t>
      </w:r>
      <w:r w:rsidR="001C7473">
        <w:rPr>
          <w:lang w:val="en-AU" w:eastAsia="en-AU"/>
        </w:rPr>
        <w:t xml:space="preserve">to </w:t>
      </w:r>
      <w:r w:rsidRPr="00286A88">
        <w:rPr>
          <w:lang w:val="en-AU" w:eastAsia="en-AU"/>
        </w:rPr>
        <w:t xml:space="preserve">blunt claws naturally) and on improved handling practices so that de-clawing is no longer (as in some other countries) deemed a necessary practice. </w:t>
      </w:r>
    </w:p>
    <w:p w14:paraId="77E44D18" w14:textId="77777777" w:rsidR="0058227F" w:rsidRDefault="0058227F" w:rsidP="0058227F">
      <w:pPr>
        <w:rPr>
          <w:lang w:val="en-AU" w:eastAsia="en-AU"/>
        </w:rPr>
      </w:pPr>
    </w:p>
    <w:p w14:paraId="0C6E7E25" w14:textId="77777777" w:rsidR="002F2711" w:rsidRDefault="00363A83" w:rsidP="002F2711">
      <w:pPr>
        <w:pStyle w:val="Heading2"/>
        <w:rPr>
          <w:lang w:val="en-AU" w:eastAsia="en-AU"/>
        </w:rPr>
      </w:pPr>
      <w:bookmarkStart w:id="364" w:name="_Toc495310831"/>
      <w:r>
        <w:rPr>
          <w:lang w:val="en-AU" w:eastAsia="en-AU"/>
        </w:rPr>
        <w:t xml:space="preserve">OS10. </w:t>
      </w:r>
      <w:r w:rsidR="002F2711">
        <w:rPr>
          <w:lang w:val="en-AU" w:eastAsia="en-AU"/>
        </w:rPr>
        <w:t>References</w:t>
      </w:r>
      <w:bookmarkEnd w:id="364"/>
    </w:p>
    <w:p w14:paraId="05E9FEA1" w14:textId="77777777" w:rsidR="002F2711" w:rsidRPr="002F2711" w:rsidRDefault="002F2711" w:rsidP="002F2711">
      <w:pPr>
        <w:rPr>
          <w:lang w:eastAsia="en-AU"/>
        </w:rPr>
      </w:pPr>
      <w:r w:rsidRPr="002F2711">
        <w:rPr>
          <w:lang w:eastAsia="en-AU"/>
        </w:rPr>
        <w:t xml:space="preserve">Amado, M. F., D. B. Xavier, V. Boere, C. Torres-Pereira, C. McManus, and F. E. M. Bernal. 2011. Behaviour of captive Ostrich chicks from 10 days to 5 months of age. Revista Brasileira De Zootecnia-Brazilian Journal </w:t>
      </w:r>
      <w:r w:rsidR="00FF3562">
        <w:rPr>
          <w:lang w:eastAsia="en-AU"/>
        </w:rPr>
        <w:t>of Animal Science 40:1613-1618.</w:t>
      </w:r>
    </w:p>
    <w:p w14:paraId="7CDA07E7" w14:textId="77777777" w:rsidR="002F2711" w:rsidRPr="002F2711" w:rsidRDefault="002F2711" w:rsidP="002F2711">
      <w:pPr>
        <w:rPr>
          <w:lang w:eastAsia="en-AU"/>
        </w:rPr>
      </w:pPr>
      <w:r w:rsidRPr="002F2711">
        <w:rPr>
          <w:lang w:eastAsia="en-AU"/>
        </w:rPr>
        <w:t>Araghi, M., S. Azizi, N. Vesal, and B. Dalir-Naghade. 2016. Evaluation of the Sedative Effects of Diazepam, Midazolam, and Xylazine After Intranasal Administration in Juvenile Ostriches (</w:t>
      </w:r>
      <w:r w:rsidRPr="00FF3562">
        <w:rPr>
          <w:i/>
          <w:lang w:eastAsia="en-AU"/>
        </w:rPr>
        <w:t>Struthio camelus</w:t>
      </w:r>
      <w:r w:rsidRPr="002F2711">
        <w:rPr>
          <w:lang w:eastAsia="en-AU"/>
        </w:rPr>
        <w:t>). Journal of Avian M</w:t>
      </w:r>
      <w:r w:rsidR="00FF3562">
        <w:rPr>
          <w:lang w:eastAsia="en-AU"/>
        </w:rPr>
        <w:t>edicine and Surgery 30:221-226.</w:t>
      </w:r>
    </w:p>
    <w:p w14:paraId="536E2992" w14:textId="77777777" w:rsidR="002F2711" w:rsidRPr="002F2711" w:rsidRDefault="002F2711" w:rsidP="002F2711">
      <w:pPr>
        <w:rPr>
          <w:lang w:eastAsia="en-AU"/>
        </w:rPr>
      </w:pPr>
      <w:r w:rsidRPr="002F2711">
        <w:rPr>
          <w:lang w:eastAsia="en-AU"/>
        </w:rPr>
        <w:t>Aslan, L., M. Genccelep, A. Karasu, E. Duz, I. Alkan, and B. Bakir. 2009a. Extremity Problems in Ostrich Chicks and Their Treatment. Journal of Animal and</w:t>
      </w:r>
      <w:r w:rsidR="00FF3562">
        <w:rPr>
          <w:lang w:eastAsia="en-AU"/>
        </w:rPr>
        <w:t xml:space="preserve"> Veterinary Advances 8:903-906.</w:t>
      </w:r>
    </w:p>
    <w:p w14:paraId="443D9B3C" w14:textId="77777777" w:rsidR="002F2711" w:rsidRPr="002F2711" w:rsidRDefault="002F2711" w:rsidP="002F2711">
      <w:pPr>
        <w:rPr>
          <w:lang w:eastAsia="en-AU"/>
        </w:rPr>
      </w:pPr>
      <w:r w:rsidRPr="002F2711">
        <w:rPr>
          <w:lang w:eastAsia="en-AU"/>
        </w:rPr>
        <w:t xml:space="preserve">Aslan, L., A. Karasu, C. </w:t>
      </w:r>
      <w:r w:rsidR="00446673" w:rsidRPr="00446673">
        <w:rPr>
          <w:lang w:eastAsia="en-AU"/>
        </w:rPr>
        <w:t>Özkan</w:t>
      </w:r>
      <w:r w:rsidRPr="002F2711">
        <w:rPr>
          <w:lang w:eastAsia="en-AU"/>
        </w:rPr>
        <w:t>, E. Duz, A. Kaya, and Y. Akgul. 2009b. Medical and Surgical Treatment of Gastric Impaction in Juvenile Ostriches. Journal of Animal and V</w:t>
      </w:r>
      <w:r w:rsidR="00FF3562">
        <w:rPr>
          <w:lang w:eastAsia="en-AU"/>
        </w:rPr>
        <w:t>eterinary Advances 8:1141-1144.</w:t>
      </w:r>
    </w:p>
    <w:p w14:paraId="0A79146F" w14:textId="77777777" w:rsidR="002F2711" w:rsidRPr="002F2711" w:rsidRDefault="002F2711" w:rsidP="002F2711">
      <w:pPr>
        <w:rPr>
          <w:lang w:eastAsia="en-AU"/>
        </w:rPr>
      </w:pPr>
      <w:r w:rsidRPr="002F2711">
        <w:rPr>
          <w:lang w:eastAsia="en-AU"/>
        </w:rPr>
        <w:t>Bejaei, M., and K. M. Cheng. 2014a. A survey of current ostrich handling and transport practices in North America with reference to ostrich welfare and transportation guidelines set up in other countries. Poultry Science 93:296-306. doi 10.3382/ps.2013-03417</w:t>
      </w:r>
    </w:p>
    <w:p w14:paraId="62118C50" w14:textId="77777777" w:rsidR="002F2711" w:rsidRPr="002F2711" w:rsidRDefault="002F2711" w:rsidP="002F2711">
      <w:pPr>
        <w:rPr>
          <w:lang w:eastAsia="en-AU"/>
        </w:rPr>
      </w:pPr>
      <w:r w:rsidRPr="002F2711">
        <w:rPr>
          <w:lang w:eastAsia="en-AU"/>
        </w:rPr>
        <w:t>Bejaei, M., and K. M. Cheng. 2014b. Effects of pretransport handling stress on physiological and behavioral response of ostriches. Poultry Science 93:1137-1148. doi 10.3382/ps.2013-03478</w:t>
      </w:r>
    </w:p>
    <w:p w14:paraId="5640B66C" w14:textId="77777777" w:rsidR="002F2711" w:rsidRPr="002F2711" w:rsidRDefault="002F2711" w:rsidP="002F2711">
      <w:pPr>
        <w:rPr>
          <w:lang w:eastAsia="en-AU"/>
        </w:rPr>
      </w:pPr>
      <w:r w:rsidRPr="002F2711">
        <w:rPr>
          <w:lang w:eastAsia="en-AU"/>
        </w:rPr>
        <w:t>Bennett, D. C., A. Kaneko, and Y. Karasawa. 2012. Maintenance nitrogen requirements of adult female ostriches (</w:t>
      </w:r>
      <w:r w:rsidRPr="00FF3562">
        <w:rPr>
          <w:i/>
          <w:lang w:eastAsia="en-AU"/>
        </w:rPr>
        <w:t>Struthio camelus</w:t>
      </w:r>
      <w:r w:rsidRPr="002F2711">
        <w:rPr>
          <w:lang w:eastAsia="en-AU"/>
        </w:rPr>
        <w:t>). Journal of Animal Physiology and Animal Nutrition 96:600-609. doi 10.1111/j.1439-0396.2011.01184.x</w:t>
      </w:r>
    </w:p>
    <w:p w14:paraId="0BA33384" w14:textId="77777777" w:rsidR="00100D7D" w:rsidRDefault="00100D7D" w:rsidP="002F2711">
      <w:pPr>
        <w:rPr>
          <w:lang w:eastAsia="en-AU"/>
        </w:rPr>
      </w:pPr>
      <w:r w:rsidRPr="00100D7D">
        <w:rPr>
          <w:lang w:eastAsia="en-AU"/>
        </w:rPr>
        <w:t>Bertram, B.</w:t>
      </w:r>
      <w:r w:rsidR="00933029">
        <w:rPr>
          <w:lang w:eastAsia="en-AU"/>
        </w:rPr>
        <w:t xml:space="preserve"> </w:t>
      </w:r>
      <w:r w:rsidRPr="00100D7D">
        <w:rPr>
          <w:lang w:eastAsia="en-AU"/>
        </w:rPr>
        <w:t>C.</w:t>
      </w:r>
      <w:r w:rsidR="00933029">
        <w:rPr>
          <w:lang w:eastAsia="en-AU"/>
        </w:rPr>
        <w:t xml:space="preserve"> </w:t>
      </w:r>
      <w:r w:rsidRPr="00100D7D">
        <w:rPr>
          <w:lang w:eastAsia="en-AU"/>
        </w:rPr>
        <w:t xml:space="preserve">R. 1979. Ostriches recognise their own eggs </w:t>
      </w:r>
      <w:r>
        <w:rPr>
          <w:lang w:eastAsia="en-AU"/>
        </w:rPr>
        <w:t>and discard others. Nature 279:</w:t>
      </w:r>
      <w:r w:rsidRPr="00100D7D">
        <w:rPr>
          <w:lang w:eastAsia="en-AU"/>
        </w:rPr>
        <w:t>233-234</w:t>
      </w:r>
      <w:r>
        <w:rPr>
          <w:lang w:eastAsia="en-AU"/>
        </w:rPr>
        <w:t>.</w:t>
      </w:r>
    </w:p>
    <w:p w14:paraId="0EFC001C" w14:textId="77777777" w:rsidR="002F2711" w:rsidRDefault="002F2711" w:rsidP="002F2711">
      <w:pPr>
        <w:rPr>
          <w:lang w:eastAsia="en-AU"/>
        </w:rPr>
      </w:pPr>
      <w:r w:rsidRPr="002F2711">
        <w:rPr>
          <w:lang w:eastAsia="en-AU"/>
        </w:rPr>
        <w:t>Bertram, B. C. R. 1980. Vigilance and group-size in ostriches. Animal Behaviour 28:278-286. doi 10.1016/s0003-3472(80)80030-3</w:t>
      </w:r>
    </w:p>
    <w:p w14:paraId="749CEBA4" w14:textId="77777777" w:rsidR="00100D7D" w:rsidRDefault="00100D7D" w:rsidP="002F2711">
      <w:pPr>
        <w:rPr>
          <w:lang w:eastAsia="en-AU"/>
        </w:rPr>
      </w:pPr>
      <w:r w:rsidRPr="00100D7D">
        <w:rPr>
          <w:lang w:eastAsia="en-AU"/>
        </w:rPr>
        <w:t>Bertram, B.</w:t>
      </w:r>
      <w:r w:rsidR="00933029">
        <w:rPr>
          <w:lang w:eastAsia="en-AU"/>
        </w:rPr>
        <w:t xml:space="preserve"> </w:t>
      </w:r>
      <w:r w:rsidRPr="00100D7D">
        <w:rPr>
          <w:lang w:eastAsia="en-AU"/>
        </w:rPr>
        <w:t>C.</w:t>
      </w:r>
      <w:r w:rsidR="00933029">
        <w:rPr>
          <w:lang w:eastAsia="en-AU"/>
        </w:rPr>
        <w:t xml:space="preserve"> </w:t>
      </w:r>
      <w:r w:rsidRPr="00100D7D">
        <w:rPr>
          <w:lang w:eastAsia="en-AU"/>
        </w:rPr>
        <w:t>R. 1992. The Ostrich Communal Nesting System. Princeton University Press</w:t>
      </w:r>
      <w:r>
        <w:rPr>
          <w:lang w:eastAsia="en-AU"/>
        </w:rPr>
        <w:t>, New Jersey, 206 pages</w:t>
      </w:r>
      <w:r w:rsidRPr="00100D7D">
        <w:rPr>
          <w:lang w:eastAsia="en-AU"/>
        </w:rPr>
        <w:t>.</w:t>
      </w:r>
    </w:p>
    <w:p w14:paraId="4308D8A1" w14:textId="77777777" w:rsidR="002F2711" w:rsidRPr="002F2711" w:rsidRDefault="002F2711" w:rsidP="002F2711">
      <w:pPr>
        <w:rPr>
          <w:lang w:eastAsia="en-AU"/>
        </w:rPr>
      </w:pPr>
      <w:r w:rsidRPr="002F2711">
        <w:rPr>
          <w:lang w:eastAsia="en-AU"/>
        </w:rPr>
        <w:t>Bonato, M., M. I. Cherry, and S. W. P. Cloete. 2015. Mate choice, maternal investment and implications for ostrich welfare in a farming environment. Applied Animal Behaviour Science 171:1-7. doi 10.1016/j.applanim.2015.08.010</w:t>
      </w:r>
    </w:p>
    <w:p w14:paraId="456B819D" w14:textId="77777777" w:rsidR="002F2711" w:rsidRPr="002F2711" w:rsidRDefault="002F2711" w:rsidP="002F2711">
      <w:pPr>
        <w:rPr>
          <w:lang w:eastAsia="en-AU"/>
        </w:rPr>
      </w:pPr>
      <w:r w:rsidRPr="002F2711">
        <w:rPr>
          <w:lang w:eastAsia="en-AU"/>
        </w:rPr>
        <w:t>Bonato, M., I. A. Malecki, M. D. Wang, and S. W. P. Cloete. 2013. Extensive human presence at an early age of ostriches improves the docility of birds at a later stage of life. Applied Animal Behaviour Science 148:232-239. doi 10.1016/j.applanim.2013.08.003</w:t>
      </w:r>
    </w:p>
    <w:p w14:paraId="485837CE" w14:textId="77777777" w:rsidR="002F2711" w:rsidRPr="002F2711" w:rsidRDefault="002F2711" w:rsidP="002F2711">
      <w:pPr>
        <w:rPr>
          <w:lang w:eastAsia="en-AU"/>
        </w:rPr>
      </w:pPr>
      <w:r w:rsidRPr="002F2711">
        <w:rPr>
          <w:lang w:eastAsia="en-AU"/>
        </w:rPr>
        <w:t>Brand, Z., and S. W. P. Cloete. 2015. An exploratory analysis to determine the impact of fixed effects and to establish genetic parameters across six types of ostrich feathers. South African Journal of Animal Science 45:20-29. doi 10.4314/sajas.v45i1.3</w:t>
      </w:r>
    </w:p>
    <w:p w14:paraId="7B61B685" w14:textId="77777777" w:rsidR="002F2711" w:rsidRDefault="002F2711" w:rsidP="002F2711">
      <w:pPr>
        <w:rPr>
          <w:lang w:eastAsia="en-AU"/>
        </w:rPr>
      </w:pPr>
      <w:r w:rsidRPr="002F2711">
        <w:rPr>
          <w:lang w:eastAsia="en-AU"/>
        </w:rPr>
        <w:t>Bubier, N. E., M. S. Lambert, D. C. Deeming, L. L. Ayres, and R. M. Sibly. 1996. Time budget and colour preferences (with specific reference to feeding) of ostrich (</w:t>
      </w:r>
      <w:r w:rsidRPr="00FF3562">
        <w:rPr>
          <w:i/>
          <w:lang w:eastAsia="en-AU"/>
        </w:rPr>
        <w:t>Struthio camelus</w:t>
      </w:r>
      <w:r w:rsidRPr="002F2711">
        <w:rPr>
          <w:lang w:eastAsia="en-AU"/>
        </w:rPr>
        <w:t>) chicks in captivity. British Poultry Science 37:547-551. doi 10.1080/00071669608417884</w:t>
      </w:r>
    </w:p>
    <w:p w14:paraId="6EA4009A" w14:textId="77777777" w:rsidR="00933029" w:rsidRDefault="00933029" w:rsidP="002F2711">
      <w:pPr>
        <w:rPr>
          <w:lang w:eastAsia="en-AU"/>
        </w:rPr>
      </w:pPr>
      <w:r w:rsidRPr="00933029">
        <w:rPr>
          <w:lang w:eastAsia="en-AU"/>
        </w:rPr>
        <w:t>Bunter,</w:t>
      </w:r>
      <w:r>
        <w:rPr>
          <w:lang w:eastAsia="en-AU"/>
        </w:rPr>
        <w:t xml:space="preserve"> </w:t>
      </w:r>
      <w:r w:rsidRPr="00933029">
        <w:rPr>
          <w:lang w:eastAsia="en-AU"/>
        </w:rPr>
        <w:t>K.</w:t>
      </w:r>
      <w:r>
        <w:rPr>
          <w:lang w:eastAsia="en-AU"/>
        </w:rPr>
        <w:t xml:space="preserve"> </w:t>
      </w:r>
      <w:r w:rsidRPr="00933029">
        <w:rPr>
          <w:lang w:eastAsia="en-AU"/>
        </w:rPr>
        <w:t xml:space="preserve">L., and </w:t>
      </w:r>
      <w:r>
        <w:rPr>
          <w:lang w:eastAsia="en-AU"/>
        </w:rPr>
        <w:t xml:space="preserve">S. W. P. </w:t>
      </w:r>
      <w:r w:rsidRPr="00933029">
        <w:rPr>
          <w:lang w:eastAsia="en-AU"/>
        </w:rPr>
        <w:t>Cloete. 2004. Genetic parameters for egg-, chick-and live-weight traits recorded in farmed ostriches. L</w:t>
      </w:r>
      <w:r>
        <w:rPr>
          <w:lang w:eastAsia="en-AU"/>
        </w:rPr>
        <w:t>ivestock Production Science 91:</w:t>
      </w:r>
      <w:r w:rsidRPr="00933029">
        <w:rPr>
          <w:lang w:eastAsia="en-AU"/>
        </w:rPr>
        <w:t>9-22.</w:t>
      </w:r>
    </w:p>
    <w:p w14:paraId="24B8108E" w14:textId="77777777" w:rsidR="002F2711" w:rsidRPr="002F2711" w:rsidRDefault="002F2711" w:rsidP="002F2711">
      <w:pPr>
        <w:rPr>
          <w:lang w:eastAsia="en-AU"/>
        </w:rPr>
      </w:pPr>
      <w:r w:rsidRPr="002F2711">
        <w:rPr>
          <w:lang w:eastAsia="en-AU"/>
        </w:rPr>
        <w:t>Charuta, A., M. Dzierzecka, M. Pierzchala, R. G. Cooper, E. Polawska, and J. O. Horbanczuk. 2013. Sex-related differences of morphometric, densitometric, and geometric parameters of tibia and tarsometatarsal bone in 14-month-old ostriches (</w:t>
      </w:r>
      <w:r w:rsidRPr="00FF3562">
        <w:rPr>
          <w:i/>
          <w:lang w:eastAsia="en-AU"/>
        </w:rPr>
        <w:t>Struthio camelus</w:t>
      </w:r>
      <w:r w:rsidRPr="002F2711">
        <w:rPr>
          <w:lang w:eastAsia="en-AU"/>
        </w:rPr>
        <w:t>). Poultry Science 92:2965-2976. doi 10.3382/ps.2013-03076</w:t>
      </w:r>
    </w:p>
    <w:p w14:paraId="445FCDC2" w14:textId="77777777" w:rsidR="002F2711" w:rsidRPr="002F2711" w:rsidRDefault="002F2711" w:rsidP="002F2711">
      <w:pPr>
        <w:rPr>
          <w:lang w:eastAsia="en-AU"/>
        </w:rPr>
      </w:pPr>
      <w:r w:rsidRPr="002F2711">
        <w:rPr>
          <w:lang w:eastAsia="en-AU"/>
        </w:rPr>
        <w:t>Cheng, J. Y., K. M. Peng, E. H. Jin, Y. Zhang, Y. Liu, N. B. Zhang, H. Song, H. Z. Liu, and Z. L. Tang. 2011. Effect of Additional Boron on Tibias of African Ostrich Chicks. Biological Trace Element Research 144:538-549. doi 10.1007/s12011-011-9024-y</w:t>
      </w:r>
    </w:p>
    <w:p w14:paraId="2A6571D5" w14:textId="77777777" w:rsidR="002F2711" w:rsidRPr="002F2711" w:rsidRDefault="002F2711" w:rsidP="002F2711">
      <w:pPr>
        <w:rPr>
          <w:lang w:eastAsia="en-AU"/>
        </w:rPr>
      </w:pPr>
      <w:r w:rsidRPr="002F2711">
        <w:rPr>
          <w:lang w:eastAsia="en-AU"/>
        </w:rPr>
        <w:t xml:space="preserve">Christensen, J. W., and B. L. Nielsen. 2004. Environmental enrichment for ostrich, </w:t>
      </w:r>
      <w:r w:rsidRPr="00C70758">
        <w:rPr>
          <w:i/>
          <w:lang w:eastAsia="en-AU"/>
        </w:rPr>
        <w:t>Struthio camelus</w:t>
      </w:r>
      <w:r w:rsidRPr="002F2711">
        <w:rPr>
          <w:lang w:eastAsia="en-AU"/>
        </w:rPr>
        <w:t>, chi</w:t>
      </w:r>
      <w:r w:rsidR="00FF3562">
        <w:rPr>
          <w:lang w:eastAsia="en-AU"/>
        </w:rPr>
        <w:t>cks. Animal Welfare 13:119-124.</w:t>
      </w:r>
    </w:p>
    <w:p w14:paraId="10CCB081" w14:textId="77777777" w:rsidR="002F2711" w:rsidRDefault="002F2711" w:rsidP="002F2711">
      <w:pPr>
        <w:rPr>
          <w:lang w:eastAsia="en-AU"/>
        </w:rPr>
      </w:pPr>
      <w:r w:rsidRPr="002F2711">
        <w:rPr>
          <w:lang w:eastAsia="en-AU"/>
        </w:rPr>
        <w:t>Cloete, S. W. P., H. Lambrechts, K. Punt, and Z. Brand. 2001. Factors related to high levels of ostrich chick mortality from hatching to 90 days of age in an intensive rearing system. Journal of the South African Veterinary Association-Tydskrif Van Die Suid-Afrikaanse Ve</w:t>
      </w:r>
      <w:r w:rsidR="00FF3562">
        <w:rPr>
          <w:lang w:eastAsia="en-AU"/>
        </w:rPr>
        <w:t>terinere Vereniging 72:197-202.</w:t>
      </w:r>
    </w:p>
    <w:p w14:paraId="179BFA37" w14:textId="77777777" w:rsidR="00933029" w:rsidRPr="002F2711" w:rsidRDefault="00933029" w:rsidP="002F2711">
      <w:pPr>
        <w:rPr>
          <w:lang w:eastAsia="en-AU"/>
        </w:rPr>
      </w:pPr>
      <w:r w:rsidRPr="00933029">
        <w:rPr>
          <w:lang w:eastAsia="en-AU"/>
        </w:rPr>
        <w:t xml:space="preserve">Cloete, S.W.P. and </w:t>
      </w:r>
      <w:r>
        <w:rPr>
          <w:lang w:eastAsia="en-AU"/>
        </w:rPr>
        <w:t xml:space="preserve">I. </w:t>
      </w:r>
      <w:r w:rsidRPr="00933029">
        <w:rPr>
          <w:lang w:eastAsia="en-AU"/>
        </w:rPr>
        <w:t>Malecki. 2001. Breeder Welfare: The past,</w:t>
      </w:r>
      <w:r>
        <w:rPr>
          <w:lang w:eastAsia="en-AU"/>
        </w:rPr>
        <w:t xml:space="preserve"> </w:t>
      </w:r>
      <w:r w:rsidRPr="00933029">
        <w:rPr>
          <w:lang w:eastAsia="en-AU"/>
        </w:rPr>
        <w:t>present and future. In</w:t>
      </w:r>
      <w:r>
        <w:rPr>
          <w:lang w:eastAsia="en-AU"/>
        </w:rPr>
        <w:t xml:space="preserve">: </w:t>
      </w:r>
      <w:r w:rsidRPr="00933029">
        <w:rPr>
          <w:lang w:eastAsia="en-AU"/>
        </w:rPr>
        <w:t>The Welfare of Farmed Ratites</w:t>
      </w:r>
      <w:r>
        <w:rPr>
          <w:lang w:eastAsia="en-AU"/>
        </w:rPr>
        <w:t>, Phillips, C. (Ed.),</w:t>
      </w:r>
      <w:r w:rsidRPr="00933029">
        <w:rPr>
          <w:lang w:eastAsia="en-AU"/>
        </w:rPr>
        <w:t xml:space="preserve"> Springer, Germany</w:t>
      </w:r>
      <w:r>
        <w:rPr>
          <w:lang w:eastAsia="en-AU"/>
        </w:rPr>
        <w:t>, 259 pages.</w:t>
      </w:r>
    </w:p>
    <w:p w14:paraId="55DAD00B" w14:textId="77777777" w:rsidR="00933029" w:rsidRDefault="00933029" w:rsidP="00933029">
      <w:pPr>
        <w:spacing w:line="240" w:lineRule="auto"/>
        <w:rPr>
          <w:lang w:eastAsia="en-AU"/>
        </w:rPr>
      </w:pPr>
      <w:r>
        <w:t xml:space="preserve">COE. 1997. Standing Committee of the European Convention for the Protection of Animals Kept for Farming Purposes. Recommendation Concerning Ratites. </w:t>
      </w:r>
      <w:hyperlink r:id="rId75" w:tooltip="Link to the Council of Europe's Recommendation Concerning Ratites." w:history="1">
        <w:r w:rsidR="00E50229" w:rsidRPr="004977AE">
          <w:rPr>
            <w:rStyle w:val="Hyperlink"/>
          </w:rPr>
          <w:t>www.coe.int/t/e/legal_affairs/legal_co-operation/biological_safety_and_use_of_animals/farming/Rec%20ratites%20E.asp</w:t>
        </w:r>
      </w:hyperlink>
      <w:r w:rsidR="00E50229">
        <w:t>.</w:t>
      </w:r>
      <w:r w:rsidR="00FE3717">
        <w:t xml:space="preserve"> Access</w:t>
      </w:r>
      <w:r w:rsidR="000E44E6">
        <w:t>ed</w:t>
      </w:r>
      <w:r w:rsidR="00FE3717">
        <w:t xml:space="preserve"> 18/04/2017.</w:t>
      </w:r>
    </w:p>
    <w:p w14:paraId="466C1B73" w14:textId="77777777" w:rsidR="002F2711" w:rsidRPr="002F2711" w:rsidRDefault="002F2711" w:rsidP="002F2711">
      <w:pPr>
        <w:rPr>
          <w:lang w:eastAsia="en-AU"/>
        </w:rPr>
      </w:pPr>
      <w:r w:rsidRPr="002F2711">
        <w:rPr>
          <w:lang w:eastAsia="en-AU"/>
        </w:rPr>
        <w:t>Cooper, R. G. 2007. Differences in stride between healthy ostriches (</w:t>
      </w:r>
      <w:r w:rsidRPr="00FF3562">
        <w:rPr>
          <w:i/>
          <w:lang w:eastAsia="en-AU"/>
        </w:rPr>
        <w:t>Struthio camelus</w:t>
      </w:r>
      <w:r w:rsidRPr="002F2711">
        <w:rPr>
          <w:lang w:eastAsia="en-AU"/>
        </w:rPr>
        <w:t xml:space="preserve">) and those affected by tibiotarsal rotation. Journal of the South African Veterinary Association-Tydskrif Van Die Suid-Afrikaanse </w:t>
      </w:r>
      <w:r w:rsidR="00FF3562">
        <w:rPr>
          <w:lang w:eastAsia="en-AU"/>
        </w:rPr>
        <w:t>Veterinere Vereniging 78:52-53.</w:t>
      </w:r>
    </w:p>
    <w:p w14:paraId="3C65E25E" w14:textId="77777777" w:rsidR="002F2711" w:rsidRPr="002F2711" w:rsidRDefault="002F2711" w:rsidP="002F2711">
      <w:pPr>
        <w:rPr>
          <w:lang w:eastAsia="en-AU"/>
        </w:rPr>
      </w:pPr>
      <w:r w:rsidRPr="002F2711">
        <w:rPr>
          <w:lang w:eastAsia="en-AU"/>
        </w:rPr>
        <w:t>Cooper, R. G., and H. A. A. El Doumani. 2006. The presence of quill mites (</w:t>
      </w:r>
      <w:r w:rsidRPr="00FF3562">
        <w:rPr>
          <w:i/>
          <w:lang w:eastAsia="en-AU"/>
        </w:rPr>
        <w:t>Gabucinia bicaudata</w:t>
      </w:r>
      <w:r w:rsidRPr="002F2711">
        <w:rPr>
          <w:lang w:eastAsia="en-AU"/>
        </w:rPr>
        <w:t>) and lice (</w:t>
      </w:r>
      <w:r w:rsidRPr="00FF3562">
        <w:rPr>
          <w:i/>
          <w:lang w:eastAsia="en-AU"/>
        </w:rPr>
        <w:t>Struthiolipeurus struthionis</w:t>
      </w:r>
      <w:r w:rsidRPr="002F2711">
        <w:rPr>
          <w:lang w:eastAsia="en-AU"/>
        </w:rPr>
        <w:t>) in ostrich wing feathers. Journal of the South African Veterinary Association-Tydskrif Van Die Suid-Afrikaanse</w:t>
      </w:r>
      <w:r w:rsidR="00FF3562">
        <w:rPr>
          <w:lang w:eastAsia="en-AU"/>
        </w:rPr>
        <w:t xml:space="preserve"> Veterinere Vereniging 77:9-11.</w:t>
      </w:r>
    </w:p>
    <w:p w14:paraId="2BAA16F4" w14:textId="77777777" w:rsidR="002F2711" w:rsidRPr="002F2711" w:rsidRDefault="002F2711" w:rsidP="002F2711">
      <w:pPr>
        <w:rPr>
          <w:lang w:eastAsia="en-AU"/>
        </w:rPr>
      </w:pPr>
      <w:r w:rsidRPr="002F2711">
        <w:rPr>
          <w:lang w:eastAsia="en-AU"/>
        </w:rPr>
        <w:t>Cooper, R. G., K. M. A. Mahrosei, and M. El-Shafe. 2008. Spread bow leg syndrome in ostrich (</w:t>
      </w:r>
      <w:r w:rsidRPr="00FF3562">
        <w:rPr>
          <w:i/>
          <w:lang w:eastAsia="en-AU"/>
        </w:rPr>
        <w:t>Struthio camelus</w:t>
      </w:r>
      <w:r w:rsidRPr="002F2711">
        <w:rPr>
          <w:lang w:eastAsia="en-AU"/>
        </w:rPr>
        <w:t>) chicks aged 2 to 12 weeks. British Poultry Science 49:1-6. doi 10.1080/00071660701744257</w:t>
      </w:r>
    </w:p>
    <w:p w14:paraId="373F4A36" w14:textId="77777777" w:rsidR="002F2711" w:rsidRPr="002F2711" w:rsidRDefault="002F2711" w:rsidP="002F2711">
      <w:pPr>
        <w:rPr>
          <w:lang w:eastAsia="en-AU"/>
        </w:rPr>
      </w:pPr>
      <w:r w:rsidRPr="002F2711">
        <w:rPr>
          <w:lang w:eastAsia="en-AU"/>
        </w:rPr>
        <w:t>Csermely, D., G. Gaibani, and E. Dardani. 2007. Year-round behavioural sequences in captive ostrich (</w:t>
      </w:r>
      <w:r w:rsidRPr="00FF3562">
        <w:rPr>
          <w:i/>
          <w:lang w:eastAsia="en-AU"/>
        </w:rPr>
        <w:t>Struthio camelus domesticus</w:t>
      </w:r>
      <w:r w:rsidRPr="002F2711">
        <w:rPr>
          <w:lang w:eastAsia="en-AU"/>
        </w:rPr>
        <w:t>) pairs. Applied Animal Behaviour Science 103:156-166. doi 10.1016/j.applanim.2006.04.018</w:t>
      </w:r>
    </w:p>
    <w:p w14:paraId="120EBC9B" w14:textId="77777777" w:rsidR="002F2711" w:rsidRPr="002F2711" w:rsidRDefault="002F2711" w:rsidP="002F2711">
      <w:pPr>
        <w:rPr>
          <w:lang w:eastAsia="en-AU"/>
        </w:rPr>
      </w:pPr>
      <w:r w:rsidRPr="002F2711">
        <w:rPr>
          <w:lang w:eastAsia="en-AU"/>
        </w:rPr>
        <w:t>Deeming, D. C., and L. Ayres. 1994. Factors affecting the rate of growth of ostrich (</w:t>
      </w:r>
      <w:r w:rsidR="004E48A2">
        <w:rPr>
          <w:i/>
          <w:lang w:eastAsia="en-AU"/>
        </w:rPr>
        <w:t xml:space="preserve">Struthio </w:t>
      </w:r>
      <w:r w:rsidRPr="00FF3562">
        <w:rPr>
          <w:i/>
          <w:lang w:eastAsia="en-AU"/>
        </w:rPr>
        <w:t>camelus</w:t>
      </w:r>
      <w:r w:rsidRPr="002F2711">
        <w:rPr>
          <w:lang w:eastAsia="en-AU"/>
        </w:rPr>
        <w:t>) chicks in captivity.</w:t>
      </w:r>
      <w:r w:rsidR="00FF3562">
        <w:rPr>
          <w:lang w:eastAsia="en-AU"/>
        </w:rPr>
        <w:t xml:space="preserve"> Veterinary Record 135:617-622.</w:t>
      </w:r>
    </w:p>
    <w:p w14:paraId="5A66489E" w14:textId="77777777" w:rsidR="002F2711" w:rsidRDefault="002F2711" w:rsidP="002F2711">
      <w:pPr>
        <w:rPr>
          <w:lang w:eastAsia="en-AU"/>
        </w:rPr>
      </w:pPr>
      <w:r w:rsidRPr="002F2711">
        <w:rPr>
          <w:lang w:eastAsia="en-AU"/>
        </w:rPr>
        <w:t>Degen, A. A., M. Kam, and A. Rosenstrauch. 1989. Time activity budget of ostriches (</w:t>
      </w:r>
      <w:r w:rsidR="004E48A2">
        <w:rPr>
          <w:i/>
          <w:lang w:eastAsia="en-AU"/>
        </w:rPr>
        <w:t xml:space="preserve">Struthio </w:t>
      </w:r>
      <w:r w:rsidRPr="00FF3562">
        <w:rPr>
          <w:i/>
          <w:lang w:eastAsia="en-AU"/>
        </w:rPr>
        <w:t>camelus</w:t>
      </w:r>
      <w:r w:rsidRPr="002F2711">
        <w:rPr>
          <w:lang w:eastAsia="en-AU"/>
        </w:rPr>
        <w:t>) offered concentrate feed and maintained in outdoor pens. Applied Animal Behaviour Science 22:347-358. doi 10.1016/0168-1591(89)90029-4</w:t>
      </w:r>
    </w:p>
    <w:p w14:paraId="20FCCC16" w14:textId="77777777" w:rsidR="004D40D6" w:rsidRPr="002F2711" w:rsidRDefault="004D40D6" w:rsidP="002F2711">
      <w:pPr>
        <w:rPr>
          <w:lang w:eastAsia="en-AU"/>
        </w:rPr>
      </w:pPr>
      <w:r>
        <w:rPr>
          <w:lang w:eastAsia="en-AU"/>
        </w:rPr>
        <w:t>d</w:t>
      </w:r>
      <w:r w:rsidRPr="004D40D6">
        <w:rPr>
          <w:lang w:eastAsia="en-AU"/>
        </w:rPr>
        <w:t>e Souza, L.</w:t>
      </w:r>
      <w:r>
        <w:rPr>
          <w:lang w:eastAsia="en-AU"/>
        </w:rPr>
        <w:t xml:space="preserve"> </w:t>
      </w:r>
      <w:r w:rsidRPr="004D40D6">
        <w:rPr>
          <w:lang w:eastAsia="en-AU"/>
        </w:rPr>
        <w:t>P.,</w:t>
      </w:r>
      <w:r>
        <w:rPr>
          <w:lang w:eastAsia="en-AU"/>
        </w:rPr>
        <w:t xml:space="preserve"> R. T. </w:t>
      </w:r>
      <w:r w:rsidRPr="004D40D6">
        <w:rPr>
          <w:lang w:eastAsia="en-AU"/>
        </w:rPr>
        <w:t xml:space="preserve">Lelis, </w:t>
      </w:r>
      <w:r>
        <w:rPr>
          <w:lang w:eastAsia="en-AU"/>
        </w:rPr>
        <w:t xml:space="preserve">I. R. A. </w:t>
      </w:r>
      <w:r w:rsidRPr="004D40D6">
        <w:rPr>
          <w:lang w:eastAsia="en-AU"/>
        </w:rPr>
        <w:t xml:space="preserve">Granja, </w:t>
      </w:r>
      <w:r>
        <w:rPr>
          <w:lang w:eastAsia="en-AU"/>
        </w:rPr>
        <w:t>R. A.</w:t>
      </w:r>
      <w:r w:rsidRPr="004D40D6">
        <w:rPr>
          <w:lang w:eastAsia="en-AU"/>
        </w:rPr>
        <w:t xml:space="preserve"> DaMatta, and </w:t>
      </w:r>
      <w:r>
        <w:rPr>
          <w:lang w:eastAsia="en-AU"/>
        </w:rPr>
        <w:t xml:space="preserve">C. D. </w:t>
      </w:r>
      <w:r w:rsidRPr="004D40D6">
        <w:rPr>
          <w:lang w:eastAsia="en-AU"/>
        </w:rPr>
        <w:t>Santos. 2012. Efficacy of albendazole</w:t>
      </w:r>
      <w:r>
        <w:rPr>
          <w:lang w:eastAsia="en-AU"/>
        </w:rPr>
        <w:t xml:space="preserve"> </w:t>
      </w:r>
      <w:r w:rsidRPr="004D40D6">
        <w:rPr>
          <w:lang w:eastAsia="en-AU"/>
        </w:rPr>
        <w:t xml:space="preserve">and moxidectin and resistance to ivermectin against </w:t>
      </w:r>
      <w:r w:rsidRPr="004D40D6">
        <w:rPr>
          <w:i/>
          <w:lang w:eastAsia="en-AU"/>
        </w:rPr>
        <w:t>Libyostrongylus douglassii</w:t>
      </w:r>
      <w:r w:rsidRPr="004D40D6">
        <w:rPr>
          <w:lang w:eastAsia="en-AU"/>
        </w:rPr>
        <w:t xml:space="preserve"> and </w:t>
      </w:r>
      <w:r w:rsidRPr="004D40D6">
        <w:rPr>
          <w:i/>
          <w:lang w:eastAsia="en-AU"/>
        </w:rPr>
        <w:t>Libyostrongylus dentatus</w:t>
      </w:r>
      <w:r w:rsidRPr="004D40D6">
        <w:rPr>
          <w:lang w:eastAsia="en-AU"/>
        </w:rPr>
        <w:t xml:space="preserve"> in ostriches.</w:t>
      </w:r>
      <w:r>
        <w:rPr>
          <w:lang w:eastAsia="en-AU"/>
        </w:rPr>
        <w:t xml:space="preserve"> Veterinary Parasitology 189:</w:t>
      </w:r>
      <w:r w:rsidRPr="004D40D6">
        <w:rPr>
          <w:lang w:eastAsia="en-AU"/>
        </w:rPr>
        <w:t>387-389</w:t>
      </w:r>
      <w:r>
        <w:rPr>
          <w:lang w:eastAsia="en-AU"/>
        </w:rPr>
        <w:t>.</w:t>
      </w:r>
    </w:p>
    <w:p w14:paraId="1D2E370B" w14:textId="77777777" w:rsidR="002F2711" w:rsidRDefault="002F2711" w:rsidP="002F2711">
      <w:pPr>
        <w:rPr>
          <w:lang w:eastAsia="en-AU"/>
        </w:rPr>
      </w:pPr>
      <w:r w:rsidRPr="002F2711">
        <w:rPr>
          <w:lang w:eastAsia="en-AU"/>
        </w:rPr>
        <w:t>Frei, S., S. Ortmann, C. Reutlinger, M. Kreuzer, J. M. Hatt, and M. Clauss. 2015. Comparative digesta retention patterns in ratites. Auk 132:119-131. doi 10.1642/auk-14-144.1</w:t>
      </w:r>
    </w:p>
    <w:p w14:paraId="11026CAD" w14:textId="77777777" w:rsidR="004C5E65" w:rsidRPr="002F2711" w:rsidRDefault="004C5E65" w:rsidP="002F2711">
      <w:pPr>
        <w:rPr>
          <w:lang w:eastAsia="en-AU"/>
        </w:rPr>
      </w:pPr>
      <w:r w:rsidRPr="004C5E65">
        <w:rPr>
          <w:lang w:eastAsia="en-AU"/>
        </w:rPr>
        <w:t>Gentle,</w:t>
      </w:r>
      <w:r>
        <w:rPr>
          <w:lang w:eastAsia="en-AU"/>
        </w:rPr>
        <w:t xml:space="preserve"> </w:t>
      </w:r>
      <w:r w:rsidRPr="004C5E65">
        <w:rPr>
          <w:lang w:eastAsia="en-AU"/>
        </w:rPr>
        <w:t>M.</w:t>
      </w:r>
      <w:r>
        <w:rPr>
          <w:lang w:eastAsia="en-AU"/>
        </w:rPr>
        <w:t xml:space="preserve"> </w:t>
      </w:r>
      <w:r w:rsidRPr="004C5E65">
        <w:rPr>
          <w:lang w:eastAsia="en-AU"/>
        </w:rPr>
        <w:t>J.</w:t>
      </w:r>
      <w:r>
        <w:rPr>
          <w:lang w:eastAsia="en-AU"/>
        </w:rPr>
        <w:t>,</w:t>
      </w:r>
      <w:r w:rsidRPr="004C5E65">
        <w:rPr>
          <w:lang w:eastAsia="en-AU"/>
        </w:rPr>
        <w:t xml:space="preserve"> and </w:t>
      </w:r>
      <w:r>
        <w:rPr>
          <w:lang w:eastAsia="en-AU"/>
        </w:rPr>
        <w:t xml:space="preserve">L. H. </w:t>
      </w:r>
      <w:r w:rsidRPr="004C5E65">
        <w:rPr>
          <w:lang w:eastAsia="en-AU"/>
        </w:rPr>
        <w:t>Hunter. 1998. Neural consequences of partial toe amputation in chickens. Res</w:t>
      </w:r>
      <w:r>
        <w:rPr>
          <w:lang w:eastAsia="en-AU"/>
        </w:rPr>
        <w:t>earch in Veterinary Science 45:</w:t>
      </w:r>
      <w:r w:rsidRPr="004C5E65">
        <w:rPr>
          <w:lang w:eastAsia="en-AU"/>
        </w:rPr>
        <w:t>374-376</w:t>
      </w:r>
      <w:r>
        <w:rPr>
          <w:lang w:eastAsia="en-AU"/>
        </w:rPr>
        <w:t>.</w:t>
      </w:r>
    </w:p>
    <w:p w14:paraId="250FEDDC" w14:textId="77777777" w:rsidR="002F2711" w:rsidRDefault="002F2711" w:rsidP="002F2711">
      <w:pPr>
        <w:rPr>
          <w:lang w:eastAsia="en-AU"/>
        </w:rPr>
      </w:pPr>
      <w:r w:rsidRPr="002F2711">
        <w:rPr>
          <w:lang w:eastAsia="en-AU"/>
        </w:rPr>
        <w:t>Ghasemi, H. A., M. Kazemi-Bonchenari, A. H. Khaltabadi-Farahani, and M. K. Motlagh. 2013. The effect of feeding rations with different ratios of concentrate to alfalfa hay on blood hematological and biochemical parameters of farmed ostriches (</w:t>
      </w:r>
      <w:r w:rsidRPr="00FF3562">
        <w:rPr>
          <w:i/>
          <w:lang w:eastAsia="en-AU"/>
        </w:rPr>
        <w:t>Struthio camelus</w:t>
      </w:r>
      <w:r w:rsidRPr="002F2711">
        <w:rPr>
          <w:lang w:eastAsia="en-AU"/>
        </w:rPr>
        <w:t>). Tropical Animal Health and Production 45:1635-1640. doi 10.1007/s11250-013-0409-0</w:t>
      </w:r>
    </w:p>
    <w:p w14:paraId="6F24CF8F" w14:textId="77777777" w:rsidR="005E481B" w:rsidRPr="002F2711" w:rsidRDefault="005E481B" w:rsidP="005E481B">
      <w:pPr>
        <w:rPr>
          <w:lang w:eastAsia="en-AU"/>
        </w:rPr>
      </w:pPr>
      <w:r>
        <w:rPr>
          <w:lang w:eastAsia="en-AU"/>
        </w:rPr>
        <w:t xml:space="preserve">Glatz, P.C. 2006. Effect of declawing on behaviour and skin quality of ostriches. </w:t>
      </w:r>
      <w:r w:rsidR="004D40D6">
        <w:rPr>
          <w:lang w:eastAsia="en-AU"/>
        </w:rPr>
        <w:t>In: Proceedings of the 3rd International Ratite Science Symposium of the World’s Poultry Science Association and XII World Ostrich Congress, 14-16 October 2005, Madrid, Carbijo, E. (Ed.), pages 157-162.</w:t>
      </w:r>
    </w:p>
    <w:p w14:paraId="723B9B74" w14:textId="77777777" w:rsidR="002F2711" w:rsidRPr="002F2711" w:rsidRDefault="002F2711" w:rsidP="002F2711">
      <w:pPr>
        <w:rPr>
          <w:lang w:eastAsia="en-AU"/>
        </w:rPr>
      </w:pPr>
      <w:r w:rsidRPr="002F2711">
        <w:rPr>
          <w:lang w:eastAsia="en-AU"/>
        </w:rPr>
        <w:t>Gulbahar, M. Y., Z. Agaoglu, H. Biyik, and N. Yuksek. 2000. Zygomycotic proventriculitis and ventriculitis in ostriches (</w:t>
      </w:r>
      <w:r w:rsidRPr="00FF3562">
        <w:rPr>
          <w:i/>
          <w:lang w:eastAsia="en-AU"/>
        </w:rPr>
        <w:t>Struthio camelus</w:t>
      </w:r>
      <w:r w:rsidRPr="002F2711">
        <w:rPr>
          <w:lang w:eastAsia="en-AU"/>
        </w:rPr>
        <w:t>) with impaction. Australian Veterinary Journal 78:247-249. doi 10.1111/j.1751-0813.2000.tb11744.x</w:t>
      </w:r>
    </w:p>
    <w:p w14:paraId="73C7B0BE" w14:textId="77777777" w:rsidR="002F2711" w:rsidRPr="002F2711" w:rsidRDefault="002F2711" w:rsidP="002F2711">
      <w:pPr>
        <w:rPr>
          <w:lang w:eastAsia="en-AU"/>
        </w:rPr>
      </w:pPr>
      <w:r w:rsidRPr="002F2711">
        <w:rPr>
          <w:lang w:eastAsia="en-AU"/>
        </w:rPr>
        <w:t>Honnas, C. M., A. Bluemclendon, D. T. Zamos, E. Parson, and J. Jensen. 1993. Proventriculotomy in ostriches - 18 cases (1990-1992). Journal of the American Veterinary Med</w:t>
      </w:r>
      <w:r w:rsidR="00FF3562">
        <w:rPr>
          <w:lang w:eastAsia="en-AU"/>
        </w:rPr>
        <w:t>ical Association 202:1989-1992.</w:t>
      </w:r>
    </w:p>
    <w:p w14:paraId="4ED44FC0" w14:textId="77777777" w:rsidR="002F2711" w:rsidRDefault="002F2711" w:rsidP="002F2711">
      <w:pPr>
        <w:rPr>
          <w:lang w:eastAsia="en-AU"/>
        </w:rPr>
      </w:pPr>
      <w:r w:rsidRPr="002F2711">
        <w:rPr>
          <w:lang w:eastAsia="en-AU"/>
        </w:rPr>
        <w:t>Horbanczuk, J. O., and J. Sales. 2000. Influence of assistance during hatching on the mortality and growth rate of ostrich chicks. Arc</w:t>
      </w:r>
      <w:r w:rsidR="00FF3562">
        <w:rPr>
          <w:lang w:eastAsia="en-AU"/>
        </w:rPr>
        <w:t>hiv Fur Geflugelkunde 64:40-41.</w:t>
      </w:r>
    </w:p>
    <w:p w14:paraId="420453CA" w14:textId="77777777" w:rsidR="002F2711" w:rsidRPr="002F2711" w:rsidRDefault="002F2711" w:rsidP="002F2711">
      <w:pPr>
        <w:rPr>
          <w:lang w:eastAsia="en-AU"/>
        </w:rPr>
      </w:pPr>
      <w:r w:rsidRPr="002F2711">
        <w:rPr>
          <w:lang w:eastAsia="en-AU"/>
        </w:rPr>
        <w:t>Huchzermeyer, F. W. 2002. Diseases of farmed crocodiles and ostriches. Revue Scientifique Et Technique De L Office Internati</w:t>
      </w:r>
      <w:r w:rsidR="00FF3562">
        <w:rPr>
          <w:lang w:eastAsia="en-AU"/>
        </w:rPr>
        <w:t>onal Des Epizooties 21:265-276.</w:t>
      </w:r>
    </w:p>
    <w:p w14:paraId="3B0F3A75" w14:textId="77777777" w:rsidR="002F2711" w:rsidRPr="002F2711" w:rsidRDefault="002F2711" w:rsidP="002F2711">
      <w:pPr>
        <w:rPr>
          <w:lang w:eastAsia="en-AU"/>
        </w:rPr>
      </w:pPr>
      <w:r w:rsidRPr="002F2711">
        <w:rPr>
          <w:lang w:eastAsia="en-AU"/>
        </w:rPr>
        <w:t>Ipek, A., and U. Sahan. 2004. Effect of breeder age and breeding season on egg production and incubation in farmed ostriches. British Poultry Science 45:643-647. doi 10.1080/00071660400006339</w:t>
      </w:r>
    </w:p>
    <w:p w14:paraId="52427EAF" w14:textId="77777777" w:rsidR="002F2711" w:rsidRPr="002F2711" w:rsidRDefault="002F2711" w:rsidP="002F2711">
      <w:pPr>
        <w:rPr>
          <w:lang w:eastAsia="en-AU"/>
        </w:rPr>
      </w:pPr>
      <w:r w:rsidRPr="002F2711">
        <w:rPr>
          <w:lang w:eastAsia="en-AU"/>
        </w:rPr>
        <w:t>Kamau, J. M., B. T. Patrick, and E. Z. Mushi. 2002. The effect of mixing and translocating juvenile ostriches (</w:t>
      </w:r>
      <w:r w:rsidR="00FF3562">
        <w:rPr>
          <w:i/>
          <w:lang w:eastAsia="en-AU"/>
        </w:rPr>
        <w:t>Struthio camelus</w:t>
      </w:r>
      <w:r w:rsidRPr="002F2711">
        <w:rPr>
          <w:lang w:eastAsia="en-AU"/>
        </w:rPr>
        <w:t xml:space="preserve">) in </w:t>
      </w:r>
      <w:r w:rsidR="00FF3562">
        <w:rPr>
          <w:lang w:eastAsia="en-AU"/>
        </w:rPr>
        <w:t>B</w:t>
      </w:r>
      <w:r w:rsidRPr="002F2711">
        <w:rPr>
          <w:lang w:eastAsia="en-AU"/>
        </w:rPr>
        <w:t>otswana on the heterophil to lymphocyte ratio. Tropical Animal Health and Production 34:249-256. doi 10.1023/a:1015286726377</w:t>
      </w:r>
    </w:p>
    <w:p w14:paraId="5C02D3CB" w14:textId="77777777" w:rsidR="002F2711" w:rsidRPr="002F2711" w:rsidRDefault="002F2711" w:rsidP="002F2711">
      <w:pPr>
        <w:rPr>
          <w:lang w:eastAsia="en-AU"/>
        </w:rPr>
      </w:pPr>
      <w:r w:rsidRPr="002F2711">
        <w:rPr>
          <w:lang w:eastAsia="en-AU"/>
        </w:rPr>
        <w:t>Keokilwe, L., A. Olivier, W. P. Burger, H. Joubert, E. H. Venter, and D. Morar-Leather. 2015. Bacterial enteritis in ostrich (</w:t>
      </w:r>
      <w:r w:rsidRPr="00FF3562">
        <w:rPr>
          <w:i/>
          <w:lang w:eastAsia="en-AU"/>
        </w:rPr>
        <w:t>Struthio Camelus</w:t>
      </w:r>
      <w:r w:rsidRPr="002F2711">
        <w:rPr>
          <w:lang w:eastAsia="en-AU"/>
        </w:rPr>
        <w:t>) chicks in the Western Cape Province, South Africa. Poultry Science 94:1177-1183. doi 10.3382/ps/pev084</w:t>
      </w:r>
    </w:p>
    <w:p w14:paraId="7383F2E0" w14:textId="77777777" w:rsidR="000C2C55" w:rsidRDefault="000C2C55" w:rsidP="002F2711">
      <w:pPr>
        <w:rPr>
          <w:lang w:eastAsia="en-AU"/>
        </w:rPr>
      </w:pPr>
      <w:r w:rsidRPr="000C2C55">
        <w:rPr>
          <w:lang w:eastAsia="en-AU"/>
        </w:rPr>
        <w:t>Kimwele, C.</w:t>
      </w:r>
      <w:r>
        <w:rPr>
          <w:lang w:eastAsia="en-AU"/>
        </w:rPr>
        <w:t xml:space="preserve"> </w:t>
      </w:r>
      <w:r w:rsidRPr="000C2C55">
        <w:rPr>
          <w:lang w:eastAsia="en-AU"/>
        </w:rPr>
        <w:t>N.</w:t>
      </w:r>
      <w:r w:rsidR="003E1ACA">
        <w:rPr>
          <w:lang w:eastAsia="en-AU"/>
        </w:rPr>
        <w:t>,</w:t>
      </w:r>
      <w:r w:rsidRPr="000C2C55">
        <w:rPr>
          <w:lang w:eastAsia="en-AU"/>
        </w:rPr>
        <w:t xml:space="preserve"> and </w:t>
      </w:r>
      <w:r>
        <w:rPr>
          <w:lang w:eastAsia="en-AU"/>
        </w:rPr>
        <w:t xml:space="preserve">J. A. </w:t>
      </w:r>
      <w:r w:rsidRPr="000C2C55">
        <w:rPr>
          <w:lang w:eastAsia="en-AU"/>
        </w:rPr>
        <w:t>Graves</w:t>
      </w:r>
      <w:r>
        <w:rPr>
          <w:lang w:eastAsia="en-AU"/>
        </w:rPr>
        <w:t>.</w:t>
      </w:r>
      <w:r w:rsidRPr="000C2C55">
        <w:rPr>
          <w:lang w:eastAsia="en-AU"/>
        </w:rPr>
        <w:t xml:space="preserve"> 2003</w:t>
      </w:r>
      <w:r>
        <w:rPr>
          <w:lang w:eastAsia="en-AU"/>
        </w:rPr>
        <w:t>.</w:t>
      </w:r>
      <w:r w:rsidRPr="000C2C55">
        <w:rPr>
          <w:lang w:eastAsia="en-AU"/>
        </w:rPr>
        <w:t xml:space="preserve"> A molecular genetic analysis of the communal nesting of the ostrich (</w:t>
      </w:r>
      <w:r w:rsidRPr="000C2C55">
        <w:rPr>
          <w:i/>
          <w:lang w:eastAsia="en-AU"/>
        </w:rPr>
        <w:t>Struthio camelus</w:t>
      </w:r>
      <w:r w:rsidRPr="000C2C55">
        <w:rPr>
          <w:lang w:eastAsia="en-AU"/>
        </w:rPr>
        <w:t>).</w:t>
      </w:r>
      <w:r>
        <w:rPr>
          <w:lang w:eastAsia="en-AU"/>
        </w:rPr>
        <w:t xml:space="preserve"> </w:t>
      </w:r>
      <w:r w:rsidRPr="000C2C55">
        <w:rPr>
          <w:lang w:eastAsia="en-AU"/>
        </w:rPr>
        <w:t>Molecular</w:t>
      </w:r>
      <w:r>
        <w:rPr>
          <w:lang w:eastAsia="en-AU"/>
        </w:rPr>
        <w:t xml:space="preserve"> </w:t>
      </w:r>
      <w:r w:rsidRPr="000C2C55">
        <w:rPr>
          <w:lang w:eastAsia="en-AU"/>
        </w:rPr>
        <w:t>Ecology12:229-236</w:t>
      </w:r>
      <w:r>
        <w:rPr>
          <w:lang w:eastAsia="en-AU"/>
        </w:rPr>
        <w:t>.</w:t>
      </w:r>
    </w:p>
    <w:p w14:paraId="28097D4D" w14:textId="77777777" w:rsidR="003E1ACA" w:rsidRDefault="003E1ACA" w:rsidP="002F2711">
      <w:pPr>
        <w:rPr>
          <w:lang w:eastAsia="en-AU"/>
        </w:rPr>
      </w:pPr>
      <w:r w:rsidRPr="003E1ACA">
        <w:rPr>
          <w:lang w:eastAsia="en-AU"/>
        </w:rPr>
        <w:t xml:space="preserve">Komnenou, A.T., </w:t>
      </w:r>
      <w:r>
        <w:rPr>
          <w:lang w:eastAsia="en-AU"/>
        </w:rPr>
        <w:t xml:space="preserve">G. K. </w:t>
      </w:r>
      <w:r w:rsidRPr="003E1ACA">
        <w:rPr>
          <w:lang w:eastAsia="en-AU"/>
        </w:rPr>
        <w:t xml:space="preserve">Georgiades, </w:t>
      </w:r>
      <w:r>
        <w:rPr>
          <w:lang w:eastAsia="en-AU"/>
        </w:rPr>
        <w:t>I</w:t>
      </w:r>
      <w:r w:rsidRPr="003E1ACA">
        <w:rPr>
          <w:lang w:eastAsia="en-AU"/>
        </w:rPr>
        <w:t>. Savvas,</w:t>
      </w:r>
      <w:r>
        <w:rPr>
          <w:lang w:eastAsia="en-AU"/>
        </w:rPr>
        <w:t xml:space="preserve"> and A. </w:t>
      </w:r>
      <w:r w:rsidRPr="003E1ACA">
        <w:rPr>
          <w:lang w:eastAsia="en-AU"/>
        </w:rPr>
        <w:t>Dessiris. 2003. Surgical treatment of gastric i</w:t>
      </w:r>
      <w:r>
        <w:rPr>
          <w:lang w:eastAsia="en-AU"/>
        </w:rPr>
        <w:t xml:space="preserve">mpaction in farmed ostriches. </w:t>
      </w:r>
      <w:r w:rsidRPr="003E1ACA">
        <w:rPr>
          <w:lang w:eastAsia="en-AU"/>
        </w:rPr>
        <w:t>Journal</w:t>
      </w:r>
      <w:r>
        <w:rPr>
          <w:lang w:eastAsia="en-AU"/>
        </w:rPr>
        <w:t xml:space="preserve"> </w:t>
      </w:r>
      <w:r w:rsidRPr="003E1ACA">
        <w:rPr>
          <w:lang w:eastAsia="en-AU"/>
        </w:rPr>
        <w:t>of V</w:t>
      </w:r>
      <w:r>
        <w:rPr>
          <w:lang w:eastAsia="en-AU"/>
        </w:rPr>
        <w:t>eterinary Medicine Series A 50:</w:t>
      </w:r>
      <w:r w:rsidRPr="003E1ACA">
        <w:rPr>
          <w:lang w:eastAsia="en-AU"/>
        </w:rPr>
        <w:t>474-477.</w:t>
      </w:r>
    </w:p>
    <w:p w14:paraId="0F18CB9E" w14:textId="77777777" w:rsidR="002F2711" w:rsidRPr="002F2711" w:rsidRDefault="002F2711" w:rsidP="002F2711">
      <w:pPr>
        <w:rPr>
          <w:lang w:eastAsia="en-AU"/>
        </w:rPr>
      </w:pPr>
      <w:r w:rsidRPr="002F2711">
        <w:rPr>
          <w:lang w:eastAsia="en-AU"/>
        </w:rPr>
        <w:t>Lambert, M. S., D. C. Deeming, R. M. Sibly, and L. L. Ayres. 1995. The relationship between pecking behaviour and growth rate of ostrich (</w:t>
      </w:r>
      <w:r w:rsidRPr="00FF3562">
        <w:rPr>
          <w:i/>
          <w:lang w:eastAsia="en-AU"/>
        </w:rPr>
        <w:t>Struthio camelus</w:t>
      </w:r>
      <w:r w:rsidRPr="002F2711">
        <w:rPr>
          <w:lang w:eastAsia="en-AU"/>
        </w:rPr>
        <w:t>) chicks in captivity. Applied Animal Behaviour Science 46:93-101. doi 10.1016/0168-1591(95)00640-0</w:t>
      </w:r>
    </w:p>
    <w:p w14:paraId="45481B4E" w14:textId="77777777" w:rsidR="002F2711" w:rsidRPr="002F2711" w:rsidRDefault="002F2711" w:rsidP="002F2711">
      <w:pPr>
        <w:rPr>
          <w:lang w:eastAsia="en-AU"/>
        </w:rPr>
      </w:pPr>
      <w:r w:rsidRPr="002F2711">
        <w:rPr>
          <w:lang w:eastAsia="en-AU"/>
        </w:rPr>
        <w:t>Lambrechts, H., D. Swart, S. W. P. Cloete, J. P. C. Greyling, and S. J. van Schalkwyk. 2004. The influence of stocking rate and male : female ratio on the production of breeding ostriches (</w:t>
      </w:r>
      <w:r w:rsidRPr="00FF3562">
        <w:rPr>
          <w:i/>
          <w:lang w:eastAsia="en-AU"/>
        </w:rPr>
        <w:t>Struthio camelus</w:t>
      </w:r>
      <w:r w:rsidRPr="002F2711">
        <w:rPr>
          <w:lang w:eastAsia="en-AU"/>
        </w:rPr>
        <w:t xml:space="preserve"> spp.) under commercial farming conditions. South African Journal of Animal </w:t>
      </w:r>
      <w:r w:rsidR="00FF3562">
        <w:rPr>
          <w:lang w:eastAsia="en-AU"/>
        </w:rPr>
        <w:t>Science 34:87-96.</w:t>
      </w:r>
    </w:p>
    <w:p w14:paraId="7A4C4DEF" w14:textId="77777777" w:rsidR="002F2711" w:rsidRPr="002F2711" w:rsidRDefault="002F2711" w:rsidP="002F2711">
      <w:pPr>
        <w:rPr>
          <w:lang w:eastAsia="en-AU"/>
        </w:rPr>
      </w:pPr>
      <w:r w:rsidRPr="002F2711">
        <w:rPr>
          <w:lang w:eastAsia="en-AU"/>
        </w:rPr>
        <w:t>Landau, S., R. Nitzan, D. Barkai, and L. Dvash. 2006. Excretal Near Infrared Reflectance Spectrometry to monitor the nutrient content of diets of grazing young ostriches (</w:t>
      </w:r>
      <w:r w:rsidRPr="00FF3562">
        <w:rPr>
          <w:i/>
          <w:lang w:eastAsia="en-AU"/>
        </w:rPr>
        <w:t>Struthio camelus</w:t>
      </w:r>
      <w:r w:rsidRPr="002F2711">
        <w:rPr>
          <w:lang w:eastAsia="en-AU"/>
        </w:rPr>
        <w:t>). South African Journal of Animal Science 36:248-</w:t>
      </w:r>
      <w:r w:rsidR="00FF3562">
        <w:rPr>
          <w:lang w:eastAsia="en-AU"/>
        </w:rPr>
        <w:t>256.</w:t>
      </w:r>
    </w:p>
    <w:p w14:paraId="5C56B86B" w14:textId="77777777" w:rsidR="002F2711" w:rsidRDefault="002F2711" w:rsidP="002F2711">
      <w:pPr>
        <w:rPr>
          <w:lang w:eastAsia="en-AU"/>
        </w:rPr>
      </w:pPr>
      <w:r w:rsidRPr="002F2711">
        <w:rPr>
          <w:lang w:eastAsia="en-AU"/>
        </w:rPr>
        <w:t xml:space="preserve">Lesku, J. A., L. C. R. Meyer, A. Fuller, S. K. Maloney, G. Dell'Omo, A. L. Vyssotski, and N. C. Rattenborg. 2011. Ostriches Sleep like Platypuses. </w:t>
      </w:r>
      <w:r w:rsidR="00601DC5">
        <w:rPr>
          <w:lang w:eastAsia="en-AU"/>
        </w:rPr>
        <w:t>PLoS</w:t>
      </w:r>
      <w:r w:rsidR="00AD6B9F">
        <w:rPr>
          <w:lang w:eastAsia="en-AU"/>
        </w:rPr>
        <w:t xml:space="preserve"> ONE</w:t>
      </w:r>
      <w:r w:rsidRPr="002F2711">
        <w:rPr>
          <w:lang w:eastAsia="en-AU"/>
        </w:rPr>
        <w:t xml:space="preserve"> 6. doi 10.1371/journal.pone.0023203</w:t>
      </w:r>
    </w:p>
    <w:p w14:paraId="05EDBE9C" w14:textId="77777777" w:rsidR="003E1ACA" w:rsidRPr="002F2711" w:rsidRDefault="003E1ACA" w:rsidP="002F2711">
      <w:pPr>
        <w:rPr>
          <w:lang w:eastAsia="en-AU"/>
        </w:rPr>
      </w:pPr>
      <w:r w:rsidRPr="003E1ACA">
        <w:rPr>
          <w:lang w:eastAsia="en-AU"/>
        </w:rPr>
        <w:t>Lunam, C.</w:t>
      </w:r>
      <w:r>
        <w:rPr>
          <w:lang w:eastAsia="en-AU"/>
        </w:rPr>
        <w:t xml:space="preserve"> </w:t>
      </w:r>
      <w:r w:rsidRPr="003E1ACA">
        <w:rPr>
          <w:lang w:eastAsia="en-AU"/>
        </w:rPr>
        <w:t>A.</w:t>
      </w:r>
      <w:r>
        <w:rPr>
          <w:lang w:eastAsia="en-AU"/>
        </w:rPr>
        <w:t>,</w:t>
      </w:r>
      <w:r w:rsidRPr="003E1ACA">
        <w:rPr>
          <w:lang w:eastAsia="en-AU"/>
        </w:rPr>
        <w:t xml:space="preserve"> and </w:t>
      </w:r>
      <w:r>
        <w:rPr>
          <w:lang w:eastAsia="en-AU"/>
        </w:rPr>
        <w:t xml:space="preserve">P. C. </w:t>
      </w:r>
      <w:r w:rsidRPr="003E1ACA">
        <w:rPr>
          <w:lang w:eastAsia="en-AU"/>
        </w:rPr>
        <w:t>Glatz. 2000. Declawing of farmed emus – harmful or helpful? A report for</w:t>
      </w:r>
      <w:r>
        <w:rPr>
          <w:lang w:eastAsia="en-AU"/>
        </w:rPr>
        <w:t xml:space="preserve"> </w:t>
      </w:r>
      <w:r w:rsidRPr="003E1ACA">
        <w:rPr>
          <w:lang w:eastAsia="en-AU"/>
        </w:rPr>
        <w:t>the Rural Industries Research and Development Corporation,</w:t>
      </w:r>
      <w:r>
        <w:rPr>
          <w:lang w:eastAsia="en-AU"/>
        </w:rPr>
        <w:t xml:space="preserve"> </w:t>
      </w:r>
      <w:r w:rsidRPr="003E1ACA">
        <w:rPr>
          <w:lang w:eastAsia="en-AU"/>
        </w:rPr>
        <w:t>Canberra</w:t>
      </w:r>
      <w:r w:rsidR="001C7473">
        <w:rPr>
          <w:lang w:eastAsia="en-AU"/>
        </w:rPr>
        <w:t>, 52 pages</w:t>
      </w:r>
      <w:r w:rsidRPr="003E1ACA">
        <w:rPr>
          <w:lang w:eastAsia="en-AU"/>
        </w:rPr>
        <w:t>.</w:t>
      </w:r>
    </w:p>
    <w:p w14:paraId="0CB62311" w14:textId="77777777" w:rsidR="002F2711" w:rsidRPr="002F2711" w:rsidRDefault="002F2711" w:rsidP="002F2711">
      <w:pPr>
        <w:rPr>
          <w:lang w:eastAsia="en-AU"/>
        </w:rPr>
      </w:pPr>
      <w:r w:rsidRPr="002F2711">
        <w:rPr>
          <w:lang w:eastAsia="en-AU"/>
        </w:rPr>
        <w:t xml:space="preserve">Magige, F. J., B. G. Stokke, and E. Roskaft. 2010. Do Ostriches </w:t>
      </w:r>
      <w:r w:rsidRPr="00FF3562">
        <w:rPr>
          <w:i/>
          <w:lang w:eastAsia="en-AU"/>
        </w:rPr>
        <w:t>Struthio camelus</w:t>
      </w:r>
      <w:r w:rsidRPr="002F2711">
        <w:rPr>
          <w:lang w:eastAsia="en-AU"/>
        </w:rPr>
        <w:t xml:space="preserve"> reject parasitic eggs by making use of colour as a cue? Ostrich 81:247-250. doi 10.2989/00306525.2010.519864</w:t>
      </w:r>
    </w:p>
    <w:p w14:paraId="426C0616" w14:textId="77777777" w:rsidR="002F2711" w:rsidRPr="002F2711" w:rsidRDefault="002F2711" w:rsidP="002F2711">
      <w:pPr>
        <w:rPr>
          <w:lang w:eastAsia="en-AU"/>
        </w:rPr>
      </w:pPr>
      <w:r w:rsidRPr="002F2711">
        <w:rPr>
          <w:lang w:eastAsia="en-AU"/>
        </w:rPr>
        <w:t>Magige, F. J., B. G. Stokke, R. Sortland, and E. Roskaft. 2009. Breeding biology of ostriches (</w:t>
      </w:r>
      <w:r w:rsidRPr="00FF3562">
        <w:rPr>
          <w:i/>
          <w:lang w:eastAsia="en-AU"/>
        </w:rPr>
        <w:t>Struthio camelus</w:t>
      </w:r>
      <w:r w:rsidRPr="002F2711">
        <w:rPr>
          <w:lang w:eastAsia="en-AU"/>
        </w:rPr>
        <w:t>) in the Serengeti ecosystem, Tanzania. African Journal of Ecology 47:400-408. doi 10.1111/j.1365-2028.2008.01002.x</w:t>
      </w:r>
    </w:p>
    <w:p w14:paraId="45325BB3" w14:textId="77777777" w:rsidR="0056513D" w:rsidRDefault="0056513D" w:rsidP="002F2711">
      <w:pPr>
        <w:rPr>
          <w:lang w:eastAsia="en-AU"/>
        </w:rPr>
      </w:pPr>
      <w:r w:rsidRPr="0056513D">
        <w:rPr>
          <w:lang w:eastAsia="en-AU"/>
        </w:rPr>
        <w:t>Maloney, S.</w:t>
      </w:r>
      <w:r>
        <w:rPr>
          <w:lang w:eastAsia="en-AU"/>
        </w:rPr>
        <w:t xml:space="preserve"> </w:t>
      </w:r>
      <w:r w:rsidRPr="0056513D">
        <w:rPr>
          <w:lang w:eastAsia="en-AU"/>
        </w:rPr>
        <w:t>K. 2008. Thermoregulation in ratites: a review. Australian Journal of Experimental Agriculture</w:t>
      </w:r>
      <w:r>
        <w:rPr>
          <w:lang w:eastAsia="en-AU"/>
        </w:rPr>
        <w:t xml:space="preserve"> 48:</w:t>
      </w:r>
      <w:r w:rsidRPr="0056513D">
        <w:rPr>
          <w:lang w:eastAsia="en-AU"/>
        </w:rPr>
        <w:t>1293-1301</w:t>
      </w:r>
      <w:r>
        <w:rPr>
          <w:lang w:eastAsia="en-AU"/>
        </w:rPr>
        <w:t>.</w:t>
      </w:r>
    </w:p>
    <w:p w14:paraId="37F4B679" w14:textId="77777777" w:rsidR="002F2711" w:rsidRPr="002F2711" w:rsidRDefault="002F2711" w:rsidP="002F2711">
      <w:pPr>
        <w:rPr>
          <w:lang w:eastAsia="en-AU"/>
        </w:rPr>
      </w:pPr>
      <w:r w:rsidRPr="002F2711">
        <w:rPr>
          <w:lang w:eastAsia="en-AU"/>
        </w:rPr>
        <w:t>Mason, G. J., and N. R. Latham. 2004. Can't stop, won't stop: is stereotypy a reliable animal welfare indica</w:t>
      </w:r>
      <w:r w:rsidR="00FF3562">
        <w:rPr>
          <w:lang w:eastAsia="en-AU"/>
        </w:rPr>
        <w:t>tor? Animal Welfare 13:S57-S69.</w:t>
      </w:r>
    </w:p>
    <w:p w14:paraId="42090EA2" w14:textId="77777777" w:rsidR="002F2711" w:rsidRPr="002F2711" w:rsidRDefault="002F2711" w:rsidP="002F2711">
      <w:pPr>
        <w:rPr>
          <w:lang w:eastAsia="en-AU"/>
        </w:rPr>
      </w:pPr>
      <w:r w:rsidRPr="002F2711">
        <w:rPr>
          <w:lang w:eastAsia="en-AU"/>
        </w:rPr>
        <w:t>Matsui, H., T. Ban-Tokuda, and M. Wakita. 2010. Detection of Fiber-Digesting Bacteria in the Ceca of Ostrich Using Specific Primer Sets. Current Microbiology 60:112-116. doi 10.1007/s00284-009-9513-9</w:t>
      </w:r>
    </w:p>
    <w:p w14:paraId="70832C0C" w14:textId="77777777" w:rsidR="002F2711" w:rsidRPr="002F2711" w:rsidRDefault="002F2711" w:rsidP="002F2711">
      <w:pPr>
        <w:rPr>
          <w:lang w:eastAsia="en-AU"/>
        </w:rPr>
      </w:pPr>
      <w:r w:rsidRPr="002F2711">
        <w:rPr>
          <w:lang w:eastAsia="en-AU"/>
        </w:rPr>
        <w:t>McKeegan, D. E. F., and D. C. Deeming. 1997. Effects of gender and group size on the time-activity budgets of adult breeding ostriches (</w:t>
      </w:r>
      <w:r w:rsidRPr="00FF3562">
        <w:rPr>
          <w:i/>
          <w:lang w:eastAsia="en-AU"/>
        </w:rPr>
        <w:t>Struthio camelus</w:t>
      </w:r>
      <w:r w:rsidRPr="002F2711">
        <w:rPr>
          <w:lang w:eastAsia="en-AU"/>
        </w:rPr>
        <w:t>) in a farming environment. Applied Animal Behaviour Science 51:159-177. doi 10.1016/s0168-1591(96)01096-9</w:t>
      </w:r>
    </w:p>
    <w:p w14:paraId="733DC856" w14:textId="77777777" w:rsidR="002F2711" w:rsidRPr="002F2711" w:rsidRDefault="002F2711" w:rsidP="002F2711">
      <w:pPr>
        <w:rPr>
          <w:lang w:eastAsia="en-AU"/>
        </w:rPr>
      </w:pPr>
      <w:r w:rsidRPr="002F2711">
        <w:rPr>
          <w:lang w:eastAsia="en-AU"/>
        </w:rPr>
        <w:t>Meyer, A., S. W. P. Cloete, and C. R. Brown. 2003. The influence of separate-sex rearing on ostrich behaviour and skin damage. South African Journ</w:t>
      </w:r>
      <w:r w:rsidR="00FF3562">
        <w:rPr>
          <w:lang w:eastAsia="en-AU"/>
        </w:rPr>
        <w:t>al of Animal Science 33:95-104.</w:t>
      </w:r>
    </w:p>
    <w:p w14:paraId="243B6E60" w14:textId="77777777" w:rsidR="002F2711" w:rsidRPr="002F2711" w:rsidRDefault="002F2711" w:rsidP="002F2711">
      <w:pPr>
        <w:rPr>
          <w:lang w:eastAsia="en-AU"/>
        </w:rPr>
      </w:pPr>
      <w:r w:rsidRPr="002F2711">
        <w:rPr>
          <w:lang w:eastAsia="en-AU"/>
        </w:rPr>
        <w:t>Meyer, A., S. W. P. Cloete, C. R. Brown, and S. J. van Schalkwyk. 2002. Declawing ostrich (</w:t>
      </w:r>
      <w:r w:rsidRPr="00FF3562">
        <w:rPr>
          <w:i/>
          <w:lang w:eastAsia="en-AU"/>
        </w:rPr>
        <w:t>Struthio camelus domesticus</w:t>
      </w:r>
      <w:r w:rsidRPr="002F2711">
        <w:rPr>
          <w:lang w:eastAsia="en-AU"/>
        </w:rPr>
        <w:t>) chicks to minimize skin damage during rearing. South African Journa</w:t>
      </w:r>
      <w:r w:rsidR="00FF3562">
        <w:rPr>
          <w:lang w:eastAsia="en-AU"/>
        </w:rPr>
        <w:t>l of Animal Science 32:192-200.</w:t>
      </w:r>
    </w:p>
    <w:p w14:paraId="17061858" w14:textId="77777777" w:rsidR="002F2711" w:rsidRPr="002F2711" w:rsidRDefault="002F2711" w:rsidP="002F2711">
      <w:pPr>
        <w:rPr>
          <w:lang w:eastAsia="en-AU"/>
        </w:rPr>
      </w:pPr>
      <w:r w:rsidRPr="002F2711">
        <w:rPr>
          <w:lang w:eastAsia="en-AU"/>
        </w:rPr>
        <w:t>Miao, Z. H., P. C. Glatz, and Y. J. Ru. 2003. The nutrition requirements and foraging behaviour of ostriches. Asian-Australasian Journal</w:t>
      </w:r>
      <w:r w:rsidR="00FF3562">
        <w:rPr>
          <w:lang w:eastAsia="en-AU"/>
        </w:rPr>
        <w:t xml:space="preserve"> of Animal Sciences 16:773-788.</w:t>
      </w:r>
    </w:p>
    <w:p w14:paraId="5FE095AC" w14:textId="77777777" w:rsidR="002F2711" w:rsidRPr="002F2711" w:rsidRDefault="002F2711" w:rsidP="002F2711">
      <w:pPr>
        <w:rPr>
          <w:lang w:eastAsia="en-AU"/>
        </w:rPr>
      </w:pPr>
      <w:r w:rsidRPr="002F2711">
        <w:rPr>
          <w:lang w:eastAsia="en-AU"/>
        </w:rPr>
        <w:t>Milton, S. J., W. R. J. Dean, and A. Linton. 1993. C</w:t>
      </w:r>
      <w:r w:rsidR="00FF3562">
        <w:rPr>
          <w:lang w:eastAsia="en-AU"/>
        </w:rPr>
        <w:t>onsumption of termites by captive ostrich chicks.</w:t>
      </w:r>
      <w:r w:rsidRPr="002F2711">
        <w:rPr>
          <w:lang w:eastAsia="en-AU"/>
        </w:rPr>
        <w:t xml:space="preserve"> South African Journal</w:t>
      </w:r>
      <w:r w:rsidR="00FF3562">
        <w:rPr>
          <w:lang w:eastAsia="en-AU"/>
        </w:rPr>
        <w:t xml:space="preserve"> of Wildlife Research 23:58-60.</w:t>
      </w:r>
    </w:p>
    <w:p w14:paraId="45DAE00B" w14:textId="77777777" w:rsidR="002F2711" w:rsidRPr="002F2711" w:rsidRDefault="002F2711" w:rsidP="002F2711">
      <w:pPr>
        <w:rPr>
          <w:lang w:eastAsia="en-AU"/>
        </w:rPr>
      </w:pPr>
      <w:r w:rsidRPr="002F2711">
        <w:rPr>
          <w:lang w:eastAsia="en-AU"/>
        </w:rPr>
        <w:t>Milton, S. J., W. R. J. Dean, and W. R. Siegfried. 1994. Food selection by ostrich in southern Africa. Journal of Wildlife Management 58:234-248. doi 10.2307/3809386</w:t>
      </w:r>
    </w:p>
    <w:p w14:paraId="78D1E9CC" w14:textId="77777777" w:rsidR="002F2711" w:rsidRPr="002F2711" w:rsidRDefault="002F2711" w:rsidP="002F2711">
      <w:pPr>
        <w:rPr>
          <w:lang w:eastAsia="en-AU"/>
        </w:rPr>
      </w:pPr>
      <w:r w:rsidRPr="002F2711">
        <w:rPr>
          <w:lang w:eastAsia="en-AU"/>
        </w:rPr>
        <w:t>Minka, N. S., and J. O. Ayo. 2008. Assessment of the stresses imposed on adult ostriches (</w:t>
      </w:r>
      <w:r w:rsidRPr="00FF3562">
        <w:rPr>
          <w:i/>
          <w:lang w:eastAsia="en-AU"/>
        </w:rPr>
        <w:t>Struthio camelus</w:t>
      </w:r>
      <w:r w:rsidRPr="002F2711">
        <w:rPr>
          <w:lang w:eastAsia="en-AU"/>
        </w:rPr>
        <w:t>) during handling, loading, transportation and unloading.</w:t>
      </w:r>
      <w:r w:rsidR="00FF3562">
        <w:rPr>
          <w:lang w:eastAsia="en-AU"/>
        </w:rPr>
        <w:t xml:space="preserve"> Veterinary Record 162:846-851.</w:t>
      </w:r>
    </w:p>
    <w:p w14:paraId="28033537" w14:textId="77777777" w:rsidR="0056513D" w:rsidRDefault="0056513D" w:rsidP="002F2711">
      <w:pPr>
        <w:rPr>
          <w:lang w:eastAsia="en-AU"/>
        </w:rPr>
      </w:pPr>
      <w:r w:rsidRPr="0056513D">
        <w:rPr>
          <w:lang w:eastAsia="en-AU"/>
        </w:rPr>
        <w:t>More, S.</w:t>
      </w:r>
      <w:r>
        <w:rPr>
          <w:lang w:eastAsia="en-AU"/>
        </w:rPr>
        <w:t xml:space="preserve"> </w:t>
      </w:r>
      <w:r w:rsidRPr="0056513D">
        <w:rPr>
          <w:lang w:eastAsia="en-AU"/>
        </w:rPr>
        <w:t>J. 1996. The performance of farmed ostrich chicks in eastern Australia. Pre</w:t>
      </w:r>
      <w:r>
        <w:rPr>
          <w:lang w:eastAsia="en-AU"/>
        </w:rPr>
        <w:t>ventive Veterinary Medicine 29:</w:t>
      </w:r>
      <w:r w:rsidRPr="0056513D">
        <w:rPr>
          <w:lang w:eastAsia="en-AU"/>
        </w:rPr>
        <w:t>91-106.</w:t>
      </w:r>
    </w:p>
    <w:p w14:paraId="1E1D4D6F" w14:textId="77777777" w:rsidR="002F2711" w:rsidRPr="002F2711" w:rsidRDefault="002F2711" w:rsidP="002F2711">
      <w:pPr>
        <w:rPr>
          <w:lang w:eastAsia="en-AU"/>
        </w:rPr>
      </w:pPr>
      <w:r w:rsidRPr="002F2711">
        <w:rPr>
          <w:lang w:eastAsia="en-AU"/>
        </w:rPr>
        <w:t>Mushi, E. Z., M. G. Binta, R. G. Chabo, J. F. W. Isa, and M. S. Phuti. 1999. Limb deformities of farmed ostrich (</w:t>
      </w:r>
      <w:r w:rsidRPr="00FF3562">
        <w:rPr>
          <w:i/>
          <w:lang w:eastAsia="en-AU"/>
        </w:rPr>
        <w:t>Struthio camelus</w:t>
      </w:r>
      <w:r w:rsidRPr="002F2711">
        <w:rPr>
          <w:lang w:eastAsia="en-AU"/>
        </w:rPr>
        <w:t>) chicks in Botswana. Tropical Animal Health and Production 31:397-404. doi 10.1023/a:1005237611647</w:t>
      </w:r>
    </w:p>
    <w:p w14:paraId="6530559E" w14:textId="77777777" w:rsidR="002F2711" w:rsidRPr="002F2711" w:rsidRDefault="002F2711" w:rsidP="002F2711">
      <w:pPr>
        <w:rPr>
          <w:lang w:eastAsia="en-AU"/>
        </w:rPr>
      </w:pPr>
      <w:r w:rsidRPr="002F2711">
        <w:rPr>
          <w:lang w:eastAsia="en-AU"/>
        </w:rPr>
        <w:t>Mushi, E. Z., J. F. W. Isa, R. G. Chabo, M. G. Binta, R. W. Kapaata, R. T. Ndebele, and K. C. Chakalisa. 1998a. Coccidia oocysts in the faeces of farmed ostrich (</w:t>
      </w:r>
      <w:r w:rsidRPr="00FF3562">
        <w:rPr>
          <w:i/>
          <w:lang w:eastAsia="en-AU"/>
        </w:rPr>
        <w:t>Struthio camelus</w:t>
      </w:r>
      <w:r w:rsidRPr="002F2711">
        <w:rPr>
          <w:lang w:eastAsia="en-AU"/>
        </w:rPr>
        <w:t xml:space="preserve">) chicks in Botswana. Onderstepoort Journal of </w:t>
      </w:r>
      <w:r w:rsidR="00FF3562">
        <w:rPr>
          <w:lang w:eastAsia="en-AU"/>
        </w:rPr>
        <w:t>Veterinary Research 65:281-284.</w:t>
      </w:r>
    </w:p>
    <w:p w14:paraId="0A517461" w14:textId="77777777" w:rsidR="002F2711" w:rsidRDefault="002F2711" w:rsidP="002F2711">
      <w:pPr>
        <w:rPr>
          <w:lang w:eastAsia="en-AU"/>
        </w:rPr>
      </w:pPr>
      <w:r w:rsidRPr="002F2711">
        <w:rPr>
          <w:lang w:eastAsia="en-AU"/>
        </w:rPr>
        <w:t>Mushi, E. Z., J. F. W. Isa, R. G. Chabo, M. G. Binta, L. Modisa, and J. M. Kamau. 1998b. Impaction of the stomachs in farmed ostriches (</w:t>
      </w:r>
      <w:r w:rsidRPr="00FF3562">
        <w:rPr>
          <w:i/>
          <w:lang w:eastAsia="en-AU"/>
        </w:rPr>
        <w:t>Struthio camelus</w:t>
      </w:r>
      <w:r w:rsidRPr="002F2711">
        <w:rPr>
          <w:lang w:eastAsia="en-AU"/>
        </w:rPr>
        <w:t>) in Botswana. Avian Diseases 42:597-599. doi 10.2307/1592688</w:t>
      </w:r>
    </w:p>
    <w:p w14:paraId="71EA68E1" w14:textId="77777777" w:rsidR="002F2711" w:rsidRDefault="002F2711" w:rsidP="002F2711">
      <w:pPr>
        <w:rPr>
          <w:lang w:eastAsia="en-AU"/>
        </w:rPr>
      </w:pPr>
      <w:r w:rsidRPr="002F2711">
        <w:rPr>
          <w:lang w:eastAsia="en-AU"/>
        </w:rPr>
        <w:t>Reischl, E., and H. H. Sambraus. 2003. Feather-pecking of African ostriches in Israel. Ti</w:t>
      </w:r>
      <w:r w:rsidR="00FF3562">
        <w:rPr>
          <w:lang w:eastAsia="en-AU"/>
        </w:rPr>
        <w:t>erarztliche Umschau 58:364-369.</w:t>
      </w:r>
    </w:p>
    <w:p w14:paraId="48C6700E" w14:textId="77777777" w:rsidR="0056513D" w:rsidRDefault="0056513D" w:rsidP="002F2711">
      <w:pPr>
        <w:rPr>
          <w:lang w:eastAsia="en-AU"/>
        </w:rPr>
      </w:pPr>
      <w:r w:rsidRPr="0056513D">
        <w:rPr>
          <w:lang w:eastAsia="en-AU"/>
        </w:rPr>
        <w:t>Ross, E.</w:t>
      </w:r>
      <w:r>
        <w:rPr>
          <w:lang w:eastAsia="en-AU"/>
        </w:rPr>
        <w:t xml:space="preserve"> </w:t>
      </w:r>
      <w:r w:rsidRPr="0056513D">
        <w:rPr>
          <w:lang w:eastAsia="en-AU"/>
        </w:rPr>
        <w:t>J.</w:t>
      </w:r>
      <w:r>
        <w:rPr>
          <w:lang w:eastAsia="en-AU"/>
        </w:rPr>
        <w:t xml:space="preserve">, </w:t>
      </w:r>
      <w:r w:rsidRPr="0056513D">
        <w:rPr>
          <w:lang w:eastAsia="en-AU"/>
        </w:rPr>
        <w:t xml:space="preserve">and </w:t>
      </w:r>
      <w:r>
        <w:rPr>
          <w:lang w:eastAsia="en-AU"/>
        </w:rPr>
        <w:t xml:space="preserve">D. C. </w:t>
      </w:r>
      <w:r w:rsidRPr="0056513D">
        <w:rPr>
          <w:lang w:eastAsia="en-AU"/>
        </w:rPr>
        <w:t>Deeming</w:t>
      </w:r>
      <w:r>
        <w:rPr>
          <w:lang w:eastAsia="en-AU"/>
        </w:rPr>
        <w:t>.</w:t>
      </w:r>
      <w:r w:rsidRPr="0056513D">
        <w:rPr>
          <w:lang w:eastAsia="en-AU"/>
        </w:rPr>
        <w:t xml:space="preserve"> 1998</w:t>
      </w:r>
      <w:r>
        <w:rPr>
          <w:lang w:eastAsia="en-AU"/>
        </w:rPr>
        <w:t>.</w:t>
      </w:r>
      <w:r w:rsidRPr="0056513D">
        <w:rPr>
          <w:lang w:eastAsia="en-AU"/>
        </w:rPr>
        <w:t xml:space="preserve"> Feeding and vigilance behaviour of breeding ostriches in a farming environment in Britain. British Poultry Science</w:t>
      </w:r>
      <w:r>
        <w:rPr>
          <w:lang w:eastAsia="en-AU"/>
        </w:rPr>
        <w:t xml:space="preserve"> 39:</w:t>
      </w:r>
      <w:r w:rsidRPr="0056513D">
        <w:rPr>
          <w:lang w:eastAsia="en-AU"/>
        </w:rPr>
        <w:t>173-177</w:t>
      </w:r>
      <w:r>
        <w:rPr>
          <w:lang w:eastAsia="en-AU"/>
        </w:rPr>
        <w:t>.</w:t>
      </w:r>
    </w:p>
    <w:p w14:paraId="7FC5ADB6" w14:textId="77777777" w:rsidR="002F2711" w:rsidRPr="002F2711" w:rsidRDefault="002F2711" w:rsidP="002F2711">
      <w:pPr>
        <w:rPr>
          <w:lang w:eastAsia="en-AU"/>
        </w:rPr>
      </w:pPr>
      <w:r w:rsidRPr="002F2711">
        <w:rPr>
          <w:lang w:eastAsia="en-AU"/>
        </w:rPr>
        <w:t>Rozenboim, I., A. Navot, N. Snapir, A. Rosenstrauch, M. E. El Halawani, G. Gvaryahu, and A. Degen. 2003. Method for collecting semen from the ostrich (</w:t>
      </w:r>
      <w:r w:rsidRPr="00C70758">
        <w:rPr>
          <w:i/>
          <w:lang w:eastAsia="en-AU"/>
        </w:rPr>
        <w:t>Struthio camelus</w:t>
      </w:r>
      <w:r w:rsidRPr="002F2711">
        <w:rPr>
          <w:lang w:eastAsia="en-AU"/>
        </w:rPr>
        <w:t>) and some of its quantitative and qualitative characteristics. British Poultry Science 44:607-611. doi 10.1080/00071660310001618361</w:t>
      </w:r>
    </w:p>
    <w:p w14:paraId="5DA61D25" w14:textId="77777777" w:rsidR="002F2711" w:rsidRDefault="002F2711" w:rsidP="002F2711">
      <w:pPr>
        <w:rPr>
          <w:lang w:eastAsia="en-AU"/>
        </w:rPr>
      </w:pPr>
      <w:r w:rsidRPr="002F2711">
        <w:rPr>
          <w:lang w:eastAsia="en-AU"/>
        </w:rPr>
        <w:t>Rybnik, P. K., J. O. Horbanczuk, H. Naranowicz, E. Lukaszewicz, and I. A. Malecki. 2007. Semen collection in the ostrich (</w:t>
      </w:r>
      <w:r w:rsidRPr="00FF3562">
        <w:rPr>
          <w:i/>
          <w:lang w:eastAsia="en-AU"/>
        </w:rPr>
        <w:t>Struthio camelus</w:t>
      </w:r>
      <w:r w:rsidRPr="002F2711">
        <w:rPr>
          <w:lang w:eastAsia="en-AU"/>
        </w:rPr>
        <w:t>) using a dummy or a teaser female. British Poultry Science 48:635-643. doi 10.1080/00071660701573078</w:t>
      </w:r>
    </w:p>
    <w:p w14:paraId="48B9025C" w14:textId="77777777" w:rsidR="002F2711" w:rsidRPr="002F2711" w:rsidRDefault="002F2711" w:rsidP="002F2711">
      <w:pPr>
        <w:rPr>
          <w:lang w:eastAsia="en-AU"/>
        </w:rPr>
      </w:pPr>
      <w:r w:rsidRPr="002F2711">
        <w:rPr>
          <w:lang w:eastAsia="en-AU"/>
        </w:rPr>
        <w:t>Samson, J. 1996. Behavioral problems of farmed ostriches in Canada. Canadian Veterinary Journal-Revue Vet</w:t>
      </w:r>
      <w:r w:rsidR="00FF3562">
        <w:rPr>
          <w:lang w:eastAsia="en-AU"/>
        </w:rPr>
        <w:t>erinaire Canadienne 37:412-414.</w:t>
      </w:r>
    </w:p>
    <w:p w14:paraId="7C9C6F2A" w14:textId="77777777" w:rsidR="002F2711" w:rsidRPr="002F2711" w:rsidRDefault="002F2711" w:rsidP="002F2711">
      <w:pPr>
        <w:rPr>
          <w:lang w:eastAsia="en-AU"/>
        </w:rPr>
      </w:pPr>
      <w:r w:rsidRPr="002F2711">
        <w:rPr>
          <w:lang w:eastAsia="en-AU"/>
        </w:rPr>
        <w:t>Samson, J. 1997. Prevalent diseases of ostrich chicks farmed in Canada. Canadian Veterinary Journal-Revue Veterinaire Canadienne 38:425-428.</w:t>
      </w:r>
    </w:p>
    <w:p w14:paraId="1861A61B" w14:textId="77777777" w:rsidR="002F2711" w:rsidRPr="002F2711" w:rsidRDefault="002F2711" w:rsidP="002F2711">
      <w:pPr>
        <w:rPr>
          <w:lang w:eastAsia="en-AU"/>
        </w:rPr>
      </w:pPr>
      <w:r w:rsidRPr="002F2711">
        <w:rPr>
          <w:lang w:eastAsia="en-AU"/>
        </w:rPr>
        <w:t>Schrader, L., K. Fuhrer, and S. Petow. 2009. Body temperature of ostriches (</w:t>
      </w:r>
      <w:r w:rsidRPr="00FF3562">
        <w:rPr>
          <w:i/>
          <w:lang w:eastAsia="en-AU"/>
        </w:rPr>
        <w:t>Struthio camelus</w:t>
      </w:r>
      <w:r w:rsidRPr="002F2711">
        <w:rPr>
          <w:lang w:eastAsia="en-AU"/>
        </w:rPr>
        <w:t>) kept in an open stable during winter time in Germany. Journal of Thermal Biology 34:366-371. doi 10.1016/j.jtherbio.2009.07.001</w:t>
      </w:r>
    </w:p>
    <w:p w14:paraId="752E196B" w14:textId="77777777" w:rsidR="002F2711" w:rsidRPr="002F2711" w:rsidRDefault="002F2711" w:rsidP="002F2711">
      <w:pPr>
        <w:rPr>
          <w:lang w:eastAsia="en-AU"/>
        </w:rPr>
      </w:pPr>
      <w:r w:rsidRPr="002F2711">
        <w:rPr>
          <w:lang w:eastAsia="en-AU"/>
        </w:rPr>
        <w:t>Sebei, S. K., and R. Bergaoui. 2009. Ostriches' reproduction behaviour and mastery of natural incubation under farming conditions. Tropical Animal Health and Production 41:353-361. doi 10.1007/s11250-008-9196-4</w:t>
      </w:r>
    </w:p>
    <w:p w14:paraId="0492263F" w14:textId="77777777" w:rsidR="002F2711" w:rsidRPr="002F2711" w:rsidRDefault="002F2711" w:rsidP="002F2711">
      <w:pPr>
        <w:rPr>
          <w:lang w:eastAsia="en-AU"/>
        </w:rPr>
      </w:pPr>
      <w:r w:rsidRPr="002F2711">
        <w:rPr>
          <w:lang w:eastAsia="en-AU"/>
        </w:rPr>
        <w:t>Sebei, S. K., R. Bergaoui, M. Ben Hamouda, and R. G. Cooper. 2009. Wild ostrich (</w:t>
      </w:r>
      <w:r w:rsidRPr="00C70758">
        <w:rPr>
          <w:i/>
          <w:lang w:eastAsia="en-AU"/>
        </w:rPr>
        <w:t>Struthio camelus australis</w:t>
      </w:r>
      <w:r w:rsidRPr="002F2711">
        <w:rPr>
          <w:lang w:eastAsia="en-AU"/>
        </w:rPr>
        <w:t>) reproduction in Orbata, a nature reserve in Tunisia. Tropical Animal Health and Production 41:1427-1438. doi 10.1007/s11250-009-9331-x</w:t>
      </w:r>
    </w:p>
    <w:p w14:paraId="75D1E27A" w14:textId="77777777" w:rsidR="002F2711" w:rsidRPr="002F2711" w:rsidRDefault="002F2711" w:rsidP="002F2711">
      <w:pPr>
        <w:rPr>
          <w:lang w:eastAsia="en-AU"/>
        </w:rPr>
      </w:pPr>
      <w:r w:rsidRPr="002F2711">
        <w:rPr>
          <w:lang w:eastAsia="en-AU"/>
        </w:rPr>
        <w:t>Selvan, S. T., P. Kumarasamy, and D. Thyagarajan. 2012. Growth performance of ostriches (</w:t>
      </w:r>
      <w:r w:rsidRPr="00C70758">
        <w:rPr>
          <w:i/>
          <w:lang w:eastAsia="en-AU"/>
        </w:rPr>
        <w:t>Struthio camelus</w:t>
      </w:r>
      <w:r w:rsidRPr="002F2711">
        <w:rPr>
          <w:lang w:eastAsia="en-AU"/>
        </w:rPr>
        <w:t>) in india. Indian Journal</w:t>
      </w:r>
      <w:r w:rsidR="00FF3562">
        <w:rPr>
          <w:lang w:eastAsia="en-AU"/>
        </w:rPr>
        <w:t xml:space="preserve"> of Animal Research 46:176-179.</w:t>
      </w:r>
    </w:p>
    <w:p w14:paraId="0FEA46E1" w14:textId="77777777" w:rsidR="002F2711" w:rsidRPr="002F2711" w:rsidRDefault="002F2711" w:rsidP="002F2711">
      <w:pPr>
        <w:rPr>
          <w:lang w:eastAsia="en-AU"/>
        </w:rPr>
      </w:pPr>
      <w:r w:rsidRPr="002F2711">
        <w:rPr>
          <w:lang w:eastAsia="en-AU"/>
        </w:rPr>
        <w:t>Sen, S., and M. K. Albay. 2003. Fatal impaction of the stomach in two farmed ostriches. Irish</w:t>
      </w:r>
      <w:r w:rsidR="00FF3562">
        <w:rPr>
          <w:lang w:eastAsia="en-AU"/>
        </w:rPr>
        <w:t xml:space="preserve"> Veterinary Journal 56:317-318.</w:t>
      </w:r>
    </w:p>
    <w:p w14:paraId="29ADD039" w14:textId="77777777" w:rsidR="008E103C" w:rsidRDefault="002F2711" w:rsidP="002F2711">
      <w:pPr>
        <w:rPr>
          <w:lang w:val="en-AU" w:eastAsia="en-AU"/>
        </w:rPr>
      </w:pPr>
      <w:r w:rsidRPr="002F2711">
        <w:rPr>
          <w:lang w:val="en-AU" w:eastAsia="en-AU"/>
        </w:rPr>
        <w:t>Shanawany, M.M</w:t>
      </w:r>
      <w:r w:rsidR="001C7473">
        <w:rPr>
          <w:lang w:val="en-AU" w:eastAsia="en-AU"/>
        </w:rPr>
        <w:t>, and J. Dingle</w:t>
      </w:r>
      <w:r w:rsidRPr="002F2711">
        <w:rPr>
          <w:lang w:val="en-AU" w:eastAsia="en-AU"/>
        </w:rPr>
        <w:t>. 1999. Ostrich Production Systems FAO Animal Production and Health paper 144. F</w:t>
      </w:r>
      <w:r w:rsidR="008E103C">
        <w:rPr>
          <w:lang w:val="en-AU" w:eastAsia="en-AU"/>
        </w:rPr>
        <w:t xml:space="preserve">ood and Agriculture Organization of </w:t>
      </w:r>
      <w:r w:rsidR="001C7473">
        <w:rPr>
          <w:lang w:val="en-AU" w:eastAsia="en-AU"/>
        </w:rPr>
        <w:t>the United Nations, Rome, 264 pages.</w:t>
      </w:r>
    </w:p>
    <w:p w14:paraId="0C19F42D" w14:textId="77777777" w:rsidR="002F2711" w:rsidRPr="002F2711" w:rsidRDefault="002F2711" w:rsidP="002F2711">
      <w:pPr>
        <w:rPr>
          <w:lang w:eastAsia="en-AU"/>
        </w:rPr>
      </w:pPr>
      <w:r w:rsidRPr="002F2711">
        <w:rPr>
          <w:lang w:eastAsia="en-AU"/>
        </w:rPr>
        <w:t>Sivakumar, T., S. T. Selvan, and K. Gajendran. 2008. Feeding, growth rate and management of ostriches in Tamil Nadu. Indi</w:t>
      </w:r>
      <w:r w:rsidR="00FF3562">
        <w:rPr>
          <w:lang w:eastAsia="en-AU"/>
        </w:rPr>
        <w:t>an Veterinary Journal 85:71-73.</w:t>
      </w:r>
    </w:p>
    <w:p w14:paraId="5AB9112D" w14:textId="77777777" w:rsidR="002F2711" w:rsidRPr="002F2711" w:rsidRDefault="002F2711" w:rsidP="002F2711">
      <w:pPr>
        <w:rPr>
          <w:lang w:eastAsia="en-AU"/>
        </w:rPr>
      </w:pPr>
      <w:r w:rsidRPr="002F2711">
        <w:rPr>
          <w:lang w:eastAsia="en-AU"/>
        </w:rPr>
        <w:t>Squire, B. T., and S. J. More. 1998. Factors on farms in eastern Australia associated with the development of tibiotarsal rotation in ostrich chicks. Australian Veterinary Journal 76:110-117. doi 10.1111/j.1751-0813.1998.tb14541.x</w:t>
      </w:r>
    </w:p>
    <w:p w14:paraId="08D4D959" w14:textId="77777777" w:rsidR="002F2711" w:rsidRPr="002F2711" w:rsidRDefault="002F2711" w:rsidP="002F2711">
      <w:pPr>
        <w:rPr>
          <w:lang w:eastAsia="en-AU"/>
        </w:rPr>
      </w:pPr>
      <w:r w:rsidRPr="002F2711">
        <w:rPr>
          <w:lang w:eastAsia="en-AU"/>
        </w:rPr>
        <w:t>Tatara, M. R., W. Krupski, A. Charuta, A. Brodzki, A. Jozwik, N. Strzalkowska, E. Polawska, K. Chmielowiec, and J. O. Horbanczuk. 2016. Morphological, densitometric and mechanical properties of pelvic limb bones in 14-month-old female ostriches (</w:t>
      </w:r>
      <w:r w:rsidRPr="00C70758">
        <w:rPr>
          <w:i/>
          <w:lang w:eastAsia="en-AU"/>
        </w:rPr>
        <w:t>Struthio camelus</w:t>
      </w:r>
      <w:r w:rsidRPr="002F2711">
        <w:rPr>
          <w:lang w:eastAsia="en-AU"/>
        </w:rPr>
        <w:t>). Poultry Science 95:2421-2426. doi 10.3382/ps/pew188</w:t>
      </w:r>
    </w:p>
    <w:p w14:paraId="68A2D152" w14:textId="77777777" w:rsidR="002F2711" w:rsidRDefault="002F2711" w:rsidP="002F2711">
      <w:pPr>
        <w:rPr>
          <w:lang w:eastAsia="en-AU"/>
        </w:rPr>
      </w:pPr>
      <w:r w:rsidRPr="002F2711">
        <w:rPr>
          <w:lang w:eastAsia="en-AU"/>
        </w:rPr>
        <w:t>Wang, M. D., S. W. P. Cloete, K. Dzama, M. Bonato, and I. A. Malecki. 2012. Foster parenting, human imprinting and conventional handling affects survival and early weight of ostrich chicks. South African Journal of Animal Science 42:123-130. doi 10.4314/sajas.v42i2.4</w:t>
      </w:r>
    </w:p>
    <w:p w14:paraId="49451426" w14:textId="77777777" w:rsidR="00E03C6C" w:rsidRPr="002F2711" w:rsidRDefault="00E03C6C" w:rsidP="002F2711">
      <w:pPr>
        <w:rPr>
          <w:lang w:eastAsia="en-AU"/>
        </w:rPr>
      </w:pPr>
      <w:r w:rsidRPr="00E03C6C">
        <w:rPr>
          <w:lang w:eastAsia="en-AU"/>
        </w:rPr>
        <w:t>Weeks, C.A., and C. J. Nicol. 2006. Behavioural needs, priorities and preferences of laying hens. World’s Poultry Science Journal 62:296-307.</w:t>
      </w:r>
    </w:p>
    <w:p w14:paraId="7A22DC14" w14:textId="77777777" w:rsidR="002F2711" w:rsidRPr="002F2711" w:rsidRDefault="002F2711" w:rsidP="002F2711">
      <w:pPr>
        <w:rPr>
          <w:lang w:eastAsia="en-AU"/>
        </w:rPr>
      </w:pPr>
      <w:r w:rsidRPr="002F2711">
        <w:rPr>
          <w:lang w:eastAsia="en-AU"/>
        </w:rPr>
        <w:t>Wieliczko, A., and M. Kuczkowski. 2000. Selected issues of infectious diseases in ostrich (</w:t>
      </w:r>
      <w:r w:rsidRPr="00C70758">
        <w:rPr>
          <w:i/>
          <w:lang w:eastAsia="en-AU"/>
        </w:rPr>
        <w:t>Struthio camelus</w:t>
      </w:r>
      <w:r w:rsidRPr="002F2711">
        <w:rPr>
          <w:lang w:eastAsia="en-AU"/>
        </w:rPr>
        <w:t>). M</w:t>
      </w:r>
      <w:r w:rsidR="00FF3562">
        <w:rPr>
          <w:lang w:eastAsia="en-AU"/>
        </w:rPr>
        <w:t>edycyna Weterynaryjna 56:23-28.</w:t>
      </w:r>
    </w:p>
    <w:p w14:paraId="2661E926" w14:textId="77777777" w:rsidR="002F2711" w:rsidRPr="002F2711" w:rsidRDefault="002F2711" w:rsidP="002F2711">
      <w:pPr>
        <w:rPr>
          <w:lang w:eastAsia="en-AU"/>
        </w:rPr>
      </w:pPr>
      <w:r w:rsidRPr="002F2711">
        <w:rPr>
          <w:lang w:eastAsia="en-AU"/>
        </w:rPr>
        <w:t>Williams, J. B., W. R. Siegfreid, S. J. Milton, N. J. Adams, W. R. J. Dean, M. A. Duplessis, S. Jackson, and K. A. Nagy. 1993. Field metabolism, water requirements, and foraging behavior of wild ostriches in the Namib. Ecology 74:390-404. doi 10.2307/1939301</w:t>
      </w:r>
    </w:p>
    <w:p w14:paraId="153A1047" w14:textId="77777777" w:rsidR="002F2711" w:rsidRPr="002F2711" w:rsidRDefault="002F2711" w:rsidP="002F2711">
      <w:pPr>
        <w:rPr>
          <w:lang w:eastAsia="en-AU"/>
        </w:rPr>
      </w:pPr>
      <w:r w:rsidRPr="002F2711">
        <w:rPr>
          <w:lang w:eastAsia="en-AU"/>
        </w:rPr>
        <w:t>Wotton, S. B., and L. Hewitt. 1999. Transportation of ostriches - a review. Veterinary Record 145:725-731.</w:t>
      </w:r>
    </w:p>
    <w:p w14:paraId="6F8F337B" w14:textId="77777777" w:rsidR="002F2711" w:rsidRPr="002F2711" w:rsidRDefault="002F2711" w:rsidP="002F2711">
      <w:pPr>
        <w:rPr>
          <w:lang w:eastAsia="en-AU"/>
        </w:rPr>
      </w:pPr>
      <w:r w:rsidRPr="002F2711">
        <w:rPr>
          <w:lang w:eastAsia="en-AU"/>
        </w:rPr>
        <w:t>Yuksek, N., Z. Agaoglu, A. Kaya, L. Aslan, H. M. Erdogan, and Y. Akgul. 2002. Stomach impaction in ostriches (</w:t>
      </w:r>
      <w:r w:rsidRPr="00C70758">
        <w:rPr>
          <w:i/>
          <w:lang w:eastAsia="en-AU"/>
        </w:rPr>
        <w:t>Struthio camelus</w:t>
      </w:r>
      <w:r w:rsidRPr="002F2711">
        <w:rPr>
          <w:lang w:eastAsia="en-AU"/>
        </w:rPr>
        <w:t>): Blood chemistry, hematology, and treatment. Avian Diseases 46:757-760. doi 10.1637/0005-2086(2002)046[0757:siiosc]2.0.co;2</w:t>
      </w:r>
    </w:p>
    <w:p w14:paraId="63B6DEA8" w14:textId="77777777" w:rsidR="002F2711" w:rsidRPr="00286A88" w:rsidRDefault="002F2711" w:rsidP="0058227F">
      <w:pPr>
        <w:rPr>
          <w:lang w:val="en-AU" w:eastAsia="en-AU"/>
        </w:rPr>
      </w:pPr>
    </w:p>
    <w:p w14:paraId="7988BF4D" w14:textId="77777777" w:rsidR="00286A88" w:rsidRPr="00286A88" w:rsidRDefault="0058227F" w:rsidP="0058227F">
      <w:pPr>
        <w:pStyle w:val="Heading1"/>
        <w:rPr>
          <w:lang w:val="en-AU" w:eastAsia="en-AU"/>
        </w:rPr>
      </w:pPr>
      <w:r>
        <w:rPr>
          <w:sz w:val="22"/>
          <w:szCs w:val="22"/>
          <w:lang w:val="en-AU" w:eastAsia="en-AU"/>
        </w:rPr>
        <w:br w:type="column"/>
      </w:r>
      <w:bookmarkStart w:id="365" w:name="_Toc495310832"/>
      <w:r w:rsidR="00286A88" w:rsidRPr="00286A88">
        <w:rPr>
          <w:lang w:val="en-AU" w:eastAsia="en-AU"/>
        </w:rPr>
        <w:t>Emu</w:t>
      </w:r>
      <w:r w:rsidR="00FC03E1">
        <w:rPr>
          <w:lang w:val="en-AU" w:eastAsia="en-AU"/>
        </w:rPr>
        <w:t>s</w:t>
      </w:r>
      <w:bookmarkEnd w:id="365"/>
    </w:p>
    <w:p w14:paraId="0E1FD8DF" w14:textId="77777777" w:rsidR="00286A88" w:rsidRPr="00286A88" w:rsidRDefault="00286A88" w:rsidP="0058227F">
      <w:pPr>
        <w:pStyle w:val="Heading2"/>
        <w:rPr>
          <w:lang w:val="en-AU" w:eastAsia="en-AU"/>
        </w:rPr>
      </w:pPr>
      <w:bookmarkStart w:id="366" w:name="_Toc495310833"/>
      <w:r w:rsidRPr="00286A88">
        <w:rPr>
          <w:lang w:val="en-AU" w:eastAsia="en-AU"/>
        </w:rPr>
        <w:t>EM1. Introduction</w:t>
      </w:r>
      <w:bookmarkEnd w:id="366"/>
    </w:p>
    <w:p w14:paraId="76CFAC10" w14:textId="77777777" w:rsidR="00286A88" w:rsidRPr="00286A88" w:rsidRDefault="00286A88" w:rsidP="0058227F">
      <w:pPr>
        <w:pStyle w:val="Heading3"/>
        <w:rPr>
          <w:lang w:val="en-AU" w:eastAsia="en-AU"/>
        </w:rPr>
      </w:pPr>
      <w:bookmarkStart w:id="367" w:name="_Toc495310834"/>
      <w:r w:rsidRPr="00286A88">
        <w:rPr>
          <w:lang w:val="en-AU" w:eastAsia="en-AU"/>
        </w:rPr>
        <w:t>EM1.1 Life history</w:t>
      </w:r>
      <w:bookmarkEnd w:id="367"/>
    </w:p>
    <w:p w14:paraId="1808E5D7" w14:textId="77777777" w:rsidR="00286A88" w:rsidRPr="00286A88" w:rsidRDefault="00286A88" w:rsidP="0058227F">
      <w:pPr>
        <w:rPr>
          <w:lang w:val="en-AU" w:eastAsia="en-AU"/>
        </w:rPr>
      </w:pPr>
      <w:r w:rsidRPr="00286A88">
        <w:rPr>
          <w:lang w:val="en-AU" w:eastAsia="en-AU"/>
        </w:rPr>
        <w:t xml:space="preserve">The emu is a native Australian flightless bird, within the same subclass of birds as the ostrich, but belonging in a separate family (with the cassowaries). Its range covers most of Australia. </w:t>
      </w:r>
    </w:p>
    <w:p w14:paraId="28661EAE" w14:textId="77777777" w:rsidR="00286A88" w:rsidRPr="00286A88" w:rsidRDefault="00286A88" w:rsidP="0058227F">
      <w:pPr>
        <w:pStyle w:val="Heading3"/>
        <w:rPr>
          <w:lang w:val="en-AU" w:eastAsia="en-AU"/>
        </w:rPr>
      </w:pPr>
      <w:bookmarkStart w:id="368" w:name="_Toc495310835"/>
      <w:r w:rsidRPr="00286A88">
        <w:rPr>
          <w:lang w:val="en-AU" w:eastAsia="en-AU"/>
        </w:rPr>
        <w:t>EM1.2 Farming and rearing</w:t>
      </w:r>
      <w:bookmarkEnd w:id="368"/>
    </w:p>
    <w:p w14:paraId="70B3CE2D" w14:textId="77777777" w:rsidR="00286A88" w:rsidRPr="00286A88" w:rsidRDefault="00286A88" w:rsidP="0058227F">
      <w:pPr>
        <w:rPr>
          <w:lang w:val="en-AU" w:eastAsia="en-AU"/>
        </w:rPr>
      </w:pPr>
      <w:r w:rsidRPr="00286A88">
        <w:rPr>
          <w:lang w:val="en-AU" w:eastAsia="en-AU"/>
        </w:rPr>
        <w:t>Commercial emu farming in Australia started in the 1970s. Emu are farmed for meat, decorative eggs and there is increasing interest in emu oil for medicinal or cosmetic purposes.</w:t>
      </w:r>
    </w:p>
    <w:p w14:paraId="3CF993CD" w14:textId="77777777" w:rsidR="00286A88" w:rsidRPr="00286A88" w:rsidRDefault="00286A88" w:rsidP="0058227F">
      <w:pPr>
        <w:pStyle w:val="Heading2"/>
        <w:rPr>
          <w:lang w:val="en-AU" w:eastAsia="en-AU"/>
        </w:rPr>
      </w:pPr>
      <w:bookmarkStart w:id="369" w:name="_Toc495310836"/>
      <w:r w:rsidRPr="00286A88">
        <w:rPr>
          <w:lang w:val="en-AU" w:eastAsia="en-AU"/>
        </w:rPr>
        <w:t>EM2. Feed and Water</w:t>
      </w:r>
      <w:bookmarkEnd w:id="369"/>
    </w:p>
    <w:p w14:paraId="4DA7F843" w14:textId="77777777" w:rsidR="00286A88" w:rsidRPr="00286A88" w:rsidRDefault="00286A88" w:rsidP="0058227F">
      <w:pPr>
        <w:rPr>
          <w:lang w:val="en-AU" w:eastAsia="en-AU"/>
        </w:rPr>
      </w:pPr>
      <w:r w:rsidRPr="00286A88">
        <w:rPr>
          <w:lang w:val="en-AU" w:eastAsia="en-AU"/>
        </w:rPr>
        <w:t>Nutritional deficiency of vitamins E and A has been recorded as the most likely cause of a suite of pathological findings in embryonic and day-old emu chicks from a farm with a poor hatching and post-natal survival record (Crispo et al., 2016). The pathological findings included widespread subcutaneous swelling and haemorrhage, liver haemorrhage, muscle necrosis and eye defects. After diet was changed to one which met suggested levels for emu chicks (vitamin E 99 IU/kg; vitamin A 15,432 IU/kg) and breeders (vitamin E 99 IU/kg; vitamin A 8,818 IU/kg) hatching and survival rates were reportedly improved.</w:t>
      </w:r>
    </w:p>
    <w:p w14:paraId="3FEC058C" w14:textId="77777777" w:rsidR="00286A88" w:rsidRPr="00286A88" w:rsidRDefault="00286A88" w:rsidP="0058227F">
      <w:pPr>
        <w:rPr>
          <w:lang w:val="en-AU" w:eastAsia="en-AU"/>
        </w:rPr>
      </w:pPr>
      <w:r w:rsidRPr="00286A88">
        <w:rPr>
          <w:lang w:val="en-AU" w:eastAsia="en-AU"/>
        </w:rPr>
        <w:t>Emus drink infrequently but can ingest large amounts when water is available.</w:t>
      </w:r>
    </w:p>
    <w:p w14:paraId="5C9D9237" w14:textId="77777777" w:rsidR="00286A88" w:rsidRPr="00286A88" w:rsidRDefault="00286A88" w:rsidP="0058227F">
      <w:pPr>
        <w:pStyle w:val="Heading2"/>
        <w:rPr>
          <w:lang w:val="en-AU" w:eastAsia="en-AU"/>
        </w:rPr>
      </w:pPr>
      <w:bookmarkStart w:id="370" w:name="_Toc495310837"/>
      <w:r w:rsidRPr="00286A88">
        <w:rPr>
          <w:lang w:val="en-AU" w:eastAsia="en-AU"/>
        </w:rPr>
        <w:t>EM3. Risk Management</w:t>
      </w:r>
      <w:bookmarkEnd w:id="370"/>
    </w:p>
    <w:p w14:paraId="23FF3753" w14:textId="77777777" w:rsidR="00286A88" w:rsidRPr="00286A88" w:rsidRDefault="00286A88" w:rsidP="0058227F">
      <w:pPr>
        <w:pStyle w:val="Heading3"/>
        <w:rPr>
          <w:lang w:val="en-AU" w:eastAsia="en-AU"/>
        </w:rPr>
      </w:pPr>
      <w:bookmarkStart w:id="371" w:name="_Toc495310838"/>
      <w:r w:rsidRPr="00286A88">
        <w:rPr>
          <w:lang w:val="en-AU" w:eastAsia="en-AU"/>
        </w:rPr>
        <w:t>EM3.1 Mortality</w:t>
      </w:r>
      <w:bookmarkEnd w:id="371"/>
    </w:p>
    <w:p w14:paraId="10FA41D9" w14:textId="77777777" w:rsidR="00286A88" w:rsidRPr="00286A88" w:rsidRDefault="00286A88" w:rsidP="0058227F">
      <w:pPr>
        <w:rPr>
          <w:lang w:val="en-AU" w:eastAsia="en-AU"/>
        </w:rPr>
      </w:pPr>
      <w:r w:rsidRPr="00286A88">
        <w:rPr>
          <w:lang w:val="en-AU" w:eastAsia="en-AU"/>
        </w:rPr>
        <w:t>Embryonic loss before hatching is reported to be high with hatching rates varying from 36% to 73%, and high (but unspecified) neonatal mortality (Tully and Shane, 1996, cited by Crispo et al., 2016).</w:t>
      </w:r>
    </w:p>
    <w:p w14:paraId="6BBCDB60" w14:textId="77777777" w:rsidR="00286A88" w:rsidRPr="00286A88" w:rsidRDefault="00286A88" w:rsidP="0058227F">
      <w:pPr>
        <w:pStyle w:val="Heading3"/>
        <w:rPr>
          <w:lang w:val="en-AU" w:eastAsia="en-AU"/>
        </w:rPr>
      </w:pPr>
      <w:bookmarkStart w:id="372" w:name="_Toc495310839"/>
      <w:r w:rsidRPr="00286A88">
        <w:rPr>
          <w:lang w:val="en-AU" w:eastAsia="en-AU"/>
        </w:rPr>
        <w:t>EM3.2 Causes of mortality</w:t>
      </w:r>
      <w:bookmarkEnd w:id="372"/>
    </w:p>
    <w:p w14:paraId="4738DEE5" w14:textId="77777777" w:rsidR="00286A88" w:rsidRPr="00286A88" w:rsidRDefault="00286A88" w:rsidP="0058227F">
      <w:pPr>
        <w:rPr>
          <w:lang w:val="en-AU" w:eastAsia="en-AU"/>
        </w:rPr>
      </w:pPr>
      <w:r w:rsidRPr="00286A88">
        <w:rPr>
          <w:lang w:val="en-AU" w:eastAsia="en-AU"/>
        </w:rPr>
        <w:t>The infectious condition erysipelas can be a cause of mortality in otherwise healthy farmed emus of approximately 10-12 months, particularly during cold and wet ambient conditions (Swan and Lindsey, 1998). The risk of this condition may be reduced by keeping a low stocking density and even distribution of feeding and watering points to avoid birds clustering in one area (Griffiths and Buller, 1991, cited by Swan and Lindsey, 1998).</w:t>
      </w:r>
    </w:p>
    <w:p w14:paraId="6BCBDC1E" w14:textId="77777777" w:rsidR="00286A88" w:rsidRPr="00286A88" w:rsidRDefault="00286A88" w:rsidP="0058227F">
      <w:pPr>
        <w:pStyle w:val="Heading3"/>
        <w:rPr>
          <w:lang w:val="en-AU" w:eastAsia="en-AU"/>
        </w:rPr>
      </w:pPr>
      <w:bookmarkStart w:id="373" w:name="_Toc495310840"/>
      <w:r w:rsidRPr="00286A88">
        <w:rPr>
          <w:lang w:val="en-AU" w:eastAsia="en-AU"/>
        </w:rPr>
        <w:t>EM3.3 Parasitic Infections</w:t>
      </w:r>
      <w:bookmarkEnd w:id="373"/>
    </w:p>
    <w:p w14:paraId="06C85E71" w14:textId="77777777" w:rsidR="00286A88" w:rsidRPr="00286A88" w:rsidRDefault="00286A88" w:rsidP="0058227F">
      <w:pPr>
        <w:rPr>
          <w:lang w:val="en-AU" w:eastAsia="en-AU"/>
        </w:rPr>
      </w:pPr>
      <w:r w:rsidRPr="00286A88">
        <w:rPr>
          <w:lang w:val="en-AU" w:eastAsia="en-AU"/>
        </w:rPr>
        <w:t>Internal parasites reported in Australian farmed emus include the liver fluke (Vaughan et al., 1997), and lungworm (Rickard et al., 1997).</w:t>
      </w:r>
    </w:p>
    <w:p w14:paraId="4FDBCC1F" w14:textId="77777777" w:rsidR="00286A88" w:rsidRPr="00286A88" w:rsidRDefault="00286A88" w:rsidP="0058227F">
      <w:pPr>
        <w:pStyle w:val="Heading2"/>
        <w:rPr>
          <w:lang w:val="en-AU" w:eastAsia="en-AU"/>
        </w:rPr>
      </w:pPr>
      <w:bookmarkStart w:id="374" w:name="_Toc495310841"/>
      <w:r w:rsidRPr="00286A88">
        <w:rPr>
          <w:lang w:val="en-AU" w:eastAsia="en-AU"/>
        </w:rPr>
        <w:t>EM4. Facilities and Equipment: Behavioural Needs</w:t>
      </w:r>
      <w:bookmarkEnd w:id="374"/>
    </w:p>
    <w:p w14:paraId="3E32AE82" w14:textId="77777777" w:rsidR="00286A88" w:rsidRPr="00286A88" w:rsidRDefault="00286A88" w:rsidP="0058227F">
      <w:pPr>
        <w:rPr>
          <w:lang w:val="en-AU" w:eastAsia="en-AU"/>
        </w:rPr>
      </w:pPr>
      <w:r w:rsidRPr="00286A88">
        <w:rPr>
          <w:lang w:val="en-AU" w:eastAsia="en-AU"/>
        </w:rPr>
        <w:t xml:space="preserve">A high degree of individual variation in drinking behaviour of captive emus in Western Australia has been recorded under laboratory conditions, with the quantity of water consumed positively correlated with ambient temperature (Davies and Knight, 2016, </w:t>
      </w:r>
      <w:r w:rsidR="007103C8">
        <w:rPr>
          <w:lang w:val="en-AU" w:eastAsia="en-AU"/>
        </w:rPr>
        <w:t xml:space="preserve">full </w:t>
      </w:r>
      <w:r w:rsidRPr="00286A88">
        <w:rPr>
          <w:lang w:val="en-AU" w:eastAsia="en-AU"/>
        </w:rPr>
        <w:t>text not available). In hot weather (&gt;30 °C) emus were observed to spend more time sitting and pacing, and less time grooming, feeding and drinking than under cooler conditions (Glatz, 2001).</w:t>
      </w:r>
    </w:p>
    <w:p w14:paraId="395D849F" w14:textId="77777777" w:rsidR="00286A88" w:rsidRPr="00286A88" w:rsidRDefault="00286A88" w:rsidP="0058227F">
      <w:pPr>
        <w:rPr>
          <w:lang w:val="en-AU" w:eastAsia="en-AU"/>
        </w:rPr>
      </w:pPr>
      <w:r w:rsidRPr="00286A88">
        <w:rPr>
          <w:lang w:val="en-AU" w:eastAsia="en-AU"/>
        </w:rPr>
        <w:t>Under natural conditions emus adopt a variety of reproductive strategies including monogamy, polyandry and promiscuity (Coddington and Cockburn, 1995).</w:t>
      </w:r>
    </w:p>
    <w:p w14:paraId="53B5A7F8" w14:textId="77777777" w:rsidR="00286A88" w:rsidRPr="00286A88" w:rsidRDefault="00286A88" w:rsidP="0058227F">
      <w:pPr>
        <w:pStyle w:val="Heading2"/>
        <w:rPr>
          <w:lang w:val="en-AU" w:eastAsia="en-AU"/>
        </w:rPr>
      </w:pPr>
      <w:bookmarkStart w:id="375" w:name="_Toc495310842"/>
      <w:r w:rsidRPr="00286A88">
        <w:rPr>
          <w:lang w:val="en-AU" w:eastAsia="en-AU"/>
        </w:rPr>
        <w:t xml:space="preserve">EM5. Sensory </w:t>
      </w:r>
      <w:r w:rsidR="00BA6724">
        <w:rPr>
          <w:lang w:val="en-AU" w:eastAsia="en-AU"/>
        </w:rPr>
        <w:t>E</w:t>
      </w:r>
      <w:r w:rsidRPr="00286A88">
        <w:rPr>
          <w:lang w:val="en-AU" w:eastAsia="en-AU"/>
        </w:rPr>
        <w:t>nvironment</w:t>
      </w:r>
      <w:bookmarkEnd w:id="375"/>
    </w:p>
    <w:p w14:paraId="7AF9B79F" w14:textId="77777777" w:rsidR="00286A88" w:rsidRPr="00286A88" w:rsidRDefault="00286A88" w:rsidP="0058227F">
      <w:pPr>
        <w:pStyle w:val="Heading3"/>
        <w:rPr>
          <w:lang w:val="en-AU" w:eastAsia="en-AU"/>
        </w:rPr>
      </w:pPr>
      <w:bookmarkStart w:id="376" w:name="_Toc495310843"/>
      <w:r w:rsidRPr="00286A88">
        <w:rPr>
          <w:lang w:val="en-AU" w:eastAsia="en-AU"/>
        </w:rPr>
        <w:t>EM5.1 Thermal comfort</w:t>
      </w:r>
      <w:bookmarkEnd w:id="376"/>
    </w:p>
    <w:p w14:paraId="5906497E" w14:textId="77777777" w:rsidR="00286A88" w:rsidRPr="00286A88" w:rsidRDefault="00286A88" w:rsidP="0058227F">
      <w:pPr>
        <w:rPr>
          <w:lang w:val="en-AU" w:eastAsia="en-AU"/>
        </w:rPr>
      </w:pPr>
      <w:r w:rsidRPr="00286A88">
        <w:rPr>
          <w:lang w:val="en-AU" w:eastAsia="en-AU"/>
        </w:rPr>
        <w:t>Emus are found in cold mountainous regions and within the arid interior of Australia. Maloney and Dawson (1994) found that emus maintain a constant body temperature within environments ranging from -5 to 45 °C. At low temperatures, emus sit down to reduce heat loss, whilst at high temperatures they pant and lose water through the skin to keep cool. If emus are deprived of water for more than 2 weeks then there is a later onset of panting, and lower evaporative water loss. At high ambient temperatures this produces a consequent rise in body temperature (Maloney and Dawson, 1998).</w:t>
      </w:r>
    </w:p>
    <w:p w14:paraId="613E54FE" w14:textId="77777777" w:rsidR="00286A88" w:rsidRPr="00286A88" w:rsidRDefault="00286A88" w:rsidP="0058227F">
      <w:pPr>
        <w:pStyle w:val="Heading2"/>
        <w:rPr>
          <w:lang w:val="en-AU" w:eastAsia="en-AU"/>
        </w:rPr>
      </w:pPr>
      <w:bookmarkStart w:id="377" w:name="_Toc495310844"/>
      <w:r w:rsidRPr="00286A88">
        <w:rPr>
          <w:lang w:val="en-AU" w:eastAsia="en-AU"/>
        </w:rPr>
        <w:t>EM6. Management and Handling</w:t>
      </w:r>
      <w:bookmarkEnd w:id="377"/>
    </w:p>
    <w:p w14:paraId="2F4F7588" w14:textId="77777777" w:rsidR="00286A88" w:rsidRPr="00286A88" w:rsidRDefault="00286A88" w:rsidP="0058227F">
      <w:pPr>
        <w:pStyle w:val="Heading3"/>
        <w:rPr>
          <w:lang w:val="en-AU" w:eastAsia="en-AU"/>
        </w:rPr>
      </w:pPr>
      <w:bookmarkStart w:id="378" w:name="_Toc495310845"/>
      <w:r w:rsidRPr="00286A88">
        <w:rPr>
          <w:lang w:val="en-AU" w:eastAsia="en-AU"/>
        </w:rPr>
        <w:t>EM6.1 Declawing</w:t>
      </w:r>
      <w:bookmarkEnd w:id="378"/>
    </w:p>
    <w:p w14:paraId="165CB368" w14:textId="77777777" w:rsidR="00286A88" w:rsidRPr="00286A88" w:rsidRDefault="00286A88" w:rsidP="0058227F">
      <w:pPr>
        <w:rPr>
          <w:lang w:val="en-AU" w:eastAsia="en-AU"/>
        </w:rPr>
      </w:pPr>
      <w:r w:rsidRPr="00286A88">
        <w:rPr>
          <w:lang w:val="en-AU" w:eastAsia="en-AU"/>
        </w:rPr>
        <w:t>In Australia emus are sometimes declawed using similar methods as employed for ostriches (see OS8.5). A histological examination of emu toes revealed the presences of numerous blood vessels, nerve bundles and pressure receptors (Lunam and Glatz, 2000). One study compared the behaviour of 40 emus that had been declawed as chicks with a control group of 40 emus (Glatz, 2001). However, observations were not taken at, or soon after, the time of declawing, so information on the painfulness of the procedure is simply not available. At one year of age there was no evidence of limping, or of neuroma formation which could indicate ongoing chronic pain. Declawed emus performed less pacing behaviour but more searching behaviour (Glatz, 2001).</w:t>
      </w:r>
    </w:p>
    <w:p w14:paraId="7D5B5DD1" w14:textId="77777777" w:rsidR="00286A88" w:rsidRPr="00286A88" w:rsidRDefault="00286A88" w:rsidP="0058227F">
      <w:pPr>
        <w:pStyle w:val="Heading2"/>
        <w:rPr>
          <w:lang w:val="en-AU" w:eastAsia="en-AU"/>
        </w:rPr>
      </w:pPr>
      <w:bookmarkStart w:id="379" w:name="_Toc495310846"/>
      <w:r w:rsidRPr="00286A88">
        <w:rPr>
          <w:lang w:val="en-AU" w:eastAsia="en-AU"/>
        </w:rPr>
        <w:t>EM7. Welfare Considerations: Overview</w:t>
      </w:r>
      <w:bookmarkEnd w:id="379"/>
    </w:p>
    <w:p w14:paraId="352B0E3E" w14:textId="77777777" w:rsidR="00286A88" w:rsidRPr="00286A88" w:rsidRDefault="00286A88" w:rsidP="0058227F">
      <w:pPr>
        <w:rPr>
          <w:lang w:val="en-AU" w:eastAsia="en-AU"/>
        </w:rPr>
      </w:pPr>
      <w:r w:rsidRPr="00286A88">
        <w:rPr>
          <w:lang w:val="en-AU" w:eastAsia="en-AU"/>
        </w:rPr>
        <w:t>There is very little peer-reviewed scientific work on emu welfare. Basic information on the mortality rates or the prevalence of different diseases or welfare problems is lacking and it would be useful if such research could be conducted under Australian conditions.</w:t>
      </w:r>
    </w:p>
    <w:p w14:paraId="4FCE28FA" w14:textId="77777777" w:rsidR="00286A88" w:rsidRPr="00286A88" w:rsidRDefault="00286A88" w:rsidP="0058227F">
      <w:pPr>
        <w:rPr>
          <w:lang w:val="en-AU" w:eastAsia="en-AU"/>
        </w:rPr>
      </w:pPr>
      <w:r w:rsidRPr="00286A88">
        <w:rPr>
          <w:lang w:val="en-AU" w:eastAsia="en-AU"/>
        </w:rPr>
        <w:t>The natural diet of the emu is highly varied, comprising both plant and insect material. Based on evidence from related farmed bird species, welfare problems may arise if emus are provided with low fibre diets designed to encourage rapid growth but direct evidence for effects of diet on welfare in this species is lacking.</w:t>
      </w:r>
    </w:p>
    <w:p w14:paraId="3306F176" w14:textId="77777777" w:rsidR="00286A88" w:rsidRPr="00286A88" w:rsidRDefault="00286A88" w:rsidP="0058227F">
      <w:pPr>
        <w:rPr>
          <w:lang w:val="en-AU" w:eastAsia="en-AU"/>
        </w:rPr>
      </w:pPr>
      <w:r w:rsidRPr="00286A88">
        <w:rPr>
          <w:lang w:val="en-AU" w:eastAsia="en-AU"/>
        </w:rPr>
        <w:t>Emus are not domesticated birds and so careful rearing and handling practices need to be devised to minimise fear and the risk of injury to birds and handlers.</w:t>
      </w:r>
    </w:p>
    <w:p w14:paraId="2C6A1243" w14:textId="77777777" w:rsidR="00286A88" w:rsidRDefault="00286A88" w:rsidP="0058227F">
      <w:pPr>
        <w:rPr>
          <w:lang w:val="en-AU" w:eastAsia="en-AU"/>
        </w:rPr>
      </w:pPr>
      <w:r w:rsidRPr="00286A88">
        <w:rPr>
          <w:lang w:val="en-AU" w:eastAsia="en-AU"/>
        </w:rPr>
        <w:t>As for ostriches, de-clawing may be practiced to reduce skin damage and reduce risk of injury to human handlers. The comments given for ostriches on the welfare impact of this practice apply also to the emu. In addition, unlike for the ostrich, the effect of de-clawing on skin damage does not appear to have been quantified (at least in the scientific literature) and so it is not possible to assess the balance of harm against benefit.</w:t>
      </w:r>
    </w:p>
    <w:p w14:paraId="7C4B585F" w14:textId="77777777" w:rsidR="002F2711" w:rsidRDefault="002F2711" w:rsidP="0058227F">
      <w:pPr>
        <w:rPr>
          <w:lang w:val="en-AU" w:eastAsia="en-AU"/>
        </w:rPr>
      </w:pPr>
    </w:p>
    <w:p w14:paraId="718A3204" w14:textId="77777777" w:rsidR="002F2711" w:rsidRDefault="002F2711" w:rsidP="002F2711">
      <w:pPr>
        <w:pStyle w:val="Heading2"/>
        <w:rPr>
          <w:lang w:val="en-AU" w:eastAsia="en-AU"/>
        </w:rPr>
      </w:pPr>
      <w:r>
        <w:rPr>
          <w:lang w:val="en-AU" w:eastAsia="en-AU"/>
        </w:rPr>
        <w:br w:type="column"/>
      </w:r>
      <w:bookmarkStart w:id="380" w:name="_Toc495310847"/>
      <w:r w:rsidR="00363A83">
        <w:rPr>
          <w:lang w:val="en-AU" w:eastAsia="en-AU"/>
        </w:rPr>
        <w:t xml:space="preserve">EM8. </w:t>
      </w:r>
      <w:r>
        <w:rPr>
          <w:lang w:val="en-AU" w:eastAsia="en-AU"/>
        </w:rPr>
        <w:t>References</w:t>
      </w:r>
      <w:bookmarkEnd w:id="380"/>
    </w:p>
    <w:p w14:paraId="5DADA6E2" w14:textId="77777777" w:rsidR="002F2711" w:rsidRPr="002F2711" w:rsidRDefault="002F2711" w:rsidP="002F2711">
      <w:pPr>
        <w:rPr>
          <w:lang w:eastAsia="en-AU"/>
        </w:rPr>
      </w:pPr>
      <w:r w:rsidRPr="002F2711">
        <w:rPr>
          <w:lang w:eastAsia="en-AU"/>
        </w:rPr>
        <w:t>Coddington, C. L., and A. Cockburn. 1995. The mating system of free-living emus. Australian Journal of Zoology 43:365-372. doi 10.1071/zo9950365</w:t>
      </w:r>
    </w:p>
    <w:p w14:paraId="69E80770" w14:textId="77777777" w:rsidR="002F2711" w:rsidRPr="002F2711" w:rsidRDefault="002F2711" w:rsidP="002F2711">
      <w:pPr>
        <w:rPr>
          <w:lang w:eastAsia="en-AU"/>
        </w:rPr>
      </w:pPr>
      <w:r w:rsidRPr="002F2711">
        <w:rPr>
          <w:lang w:eastAsia="en-AU"/>
        </w:rPr>
        <w:t>Crispo, M., C. Palmieri, and H. L. Shivaprasad. 2016. Myopathy of the Pipping Muscles, Hepatosis Dietetica, and Cataracts in Emu Chicks (</w:t>
      </w:r>
      <w:r w:rsidR="00E904F1">
        <w:rPr>
          <w:i/>
          <w:lang w:eastAsia="en-AU"/>
        </w:rPr>
        <w:t>Dromaius n</w:t>
      </w:r>
      <w:r w:rsidRPr="002E6AA6">
        <w:rPr>
          <w:i/>
          <w:lang w:eastAsia="en-AU"/>
        </w:rPr>
        <w:t>ovaehollandiae</w:t>
      </w:r>
      <w:r w:rsidRPr="002F2711">
        <w:rPr>
          <w:lang w:eastAsia="en-AU"/>
        </w:rPr>
        <w:t>). Veterinary Pathology 53:1248-1251. doi 10.1177/0300985816638720</w:t>
      </w:r>
    </w:p>
    <w:p w14:paraId="05723DA4" w14:textId="77777777" w:rsidR="002F2711" w:rsidRPr="002F2711" w:rsidRDefault="002F2711" w:rsidP="002F2711">
      <w:pPr>
        <w:rPr>
          <w:lang w:eastAsia="en-AU"/>
        </w:rPr>
      </w:pPr>
      <w:r w:rsidRPr="002F2711">
        <w:rPr>
          <w:lang w:eastAsia="en-AU"/>
        </w:rPr>
        <w:t xml:space="preserve">Davies, S., and T. A. Knight. 2016. Variability in the drinking behaviour of individual emus </w:t>
      </w:r>
      <w:r w:rsidRPr="002E6AA6">
        <w:rPr>
          <w:i/>
          <w:lang w:eastAsia="en-AU"/>
        </w:rPr>
        <w:t>Dromaius novaehollandiae</w:t>
      </w:r>
      <w:r w:rsidRPr="002F2711">
        <w:rPr>
          <w:lang w:eastAsia="en-AU"/>
        </w:rPr>
        <w:t>. Rangeland Journal 38:489-492. doi 10.1071/rj16059</w:t>
      </w:r>
    </w:p>
    <w:p w14:paraId="0AB369EA" w14:textId="77777777" w:rsidR="002F2711" w:rsidRDefault="002F2711" w:rsidP="002F2711">
      <w:pPr>
        <w:rPr>
          <w:lang w:eastAsia="en-AU"/>
        </w:rPr>
      </w:pPr>
      <w:r w:rsidRPr="002F2711">
        <w:rPr>
          <w:lang w:eastAsia="en-AU"/>
        </w:rPr>
        <w:t>Glatz, P. C. 2001. Effect of declawing on behavior of farmed emus. Asian-Australasian Journal</w:t>
      </w:r>
      <w:r w:rsidR="002E6AA6">
        <w:rPr>
          <w:lang w:eastAsia="en-AU"/>
        </w:rPr>
        <w:t xml:space="preserve"> of Animal Sciences 14:288-296.</w:t>
      </w:r>
    </w:p>
    <w:p w14:paraId="1FF2E55D" w14:textId="77777777" w:rsidR="003E1ACA" w:rsidRPr="002F2711" w:rsidRDefault="003E1ACA" w:rsidP="002F2711">
      <w:pPr>
        <w:rPr>
          <w:lang w:eastAsia="en-AU"/>
        </w:rPr>
      </w:pPr>
      <w:r w:rsidRPr="003E1ACA">
        <w:rPr>
          <w:lang w:eastAsia="en-AU"/>
        </w:rPr>
        <w:t>Lunam, C.</w:t>
      </w:r>
      <w:r>
        <w:rPr>
          <w:lang w:eastAsia="en-AU"/>
        </w:rPr>
        <w:t xml:space="preserve"> </w:t>
      </w:r>
      <w:r w:rsidRPr="003E1ACA">
        <w:rPr>
          <w:lang w:eastAsia="en-AU"/>
        </w:rPr>
        <w:t>A.</w:t>
      </w:r>
      <w:r>
        <w:rPr>
          <w:lang w:eastAsia="en-AU"/>
        </w:rPr>
        <w:t>,</w:t>
      </w:r>
      <w:r w:rsidRPr="003E1ACA">
        <w:rPr>
          <w:lang w:eastAsia="en-AU"/>
        </w:rPr>
        <w:t xml:space="preserve"> and </w:t>
      </w:r>
      <w:r>
        <w:rPr>
          <w:lang w:eastAsia="en-AU"/>
        </w:rPr>
        <w:t xml:space="preserve">P. C. </w:t>
      </w:r>
      <w:r w:rsidRPr="003E1ACA">
        <w:rPr>
          <w:lang w:eastAsia="en-AU"/>
        </w:rPr>
        <w:t>Glatz.</w:t>
      </w:r>
      <w:r>
        <w:rPr>
          <w:lang w:eastAsia="en-AU"/>
        </w:rPr>
        <w:t xml:space="preserve"> 2</w:t>
      </w:r>
      <w:r w:rsidRPr="003E1ACA">
        <w:rPr>
          <w:lang w:eastAsia="en-AU"/>
        </w:rPr>
        <w:t>000. Declawing of farmed emus – harmful or helpful? A report for</w:t>
      </w:r>
      <w:r>
        <w:rPr>
          <w:lang w:eastAsia="en-AU"/>
        </w:rPr>
        <w:t xml:space="preserve"> </w:t>
      </w:r>
      <w:r w:rsidRPr="003E1ACA">
        <w:rPr>
          <w:lang w:eastAsia="en-AU"/>
        </w:rPr>
        <w:t>the Rural Industries Research and Development Corporation, Canberra.</w:t>
      </w:r>
    </w:p>
    <w:p w14:paraId="4455F2D5" w14:textId="77777777" w:rsidR="002F2711" w:rsidRPr="002F2711" w:rsidRDefault="002F2711" w:rsidP="002F2711">
      <w:pPr>
        <w:rPr>
          <w:lang w:eastAsia="en-AU"/>
        </w:rPr>
      </w:pPr>
      <w:r w:rsidRPr="002F2711">
        <w:rPr>
          <w:lang w:eastAsia="en-AU"/>
        </w:rPr>
        <w:t>Maloney, S. K., and T. J. Dawson. 1994. Thermoregulation in a large bird, the emu (</w:t>
      </w:r>
      <w:r w:rsidRPr="002E6AA6">
        <w:rPr>
          <w:i/>
          <w:lang w:eastAsia="en-AU"/>
        </w:rPr>
        <w:t>Dromaius-novaehollandiae</w:t>
      </w:r>
      <w:r w:rsidRPr="002F2711">
        <w:rPr>
          <w:lang w:eastAsia="en-AU"/>
        </w:rPr>
        <w:t>). Journal of Comparative Physiology B-Biochemical Systemic and Environmental Physiology 164:464-472. doi 10.1007/bf00714584</w:t>
      </w:r>
    </w:p>
    <w:p w14:paraId="3051AB3F" w14:textId="77777777" w:rsidR="002F2711" w:rsidRPr="002F2711" w:rsidRDefault="002F2711" w:rsidP="002F2711">
      <w:pPr>
        <w:rPr>
          <w:lang w:eastAsia="en-AU"/>
        </w:rPr>
      </w:pPr>
      <w:r w:rsidRPr="002F2711">
        <w:rPr>
          <w:lang w:eastAsia="en-AU"/>
        </w:rPr>
        <w:t>Maloney, S. K., and T. J. Dawson. 1998. Changes in pattern of heat loss at high ambient temperature caused by water deprivation in a large flightless bird, the emu. Ph</w:t>
      </w:r>
      <w:r w:rsidR="002E6AA6">
        <w:rPr>
          <w:lang w:eastAsia="en-AU"/>
        </w:rPr>
        <w:t>ysiological Zoology 71:712-719.</w:t>
      </w:r>
    </w:p>
    <w:p w14:paraId="48236FDF" w14:textId="77777777" w:rsidR="002F2711" w:rsidRPr="002F2711" w:rsidRDefault="002F2711" w:rsidP="002F2711">
      <w:pPr>
        <w:rPr>
          <w:lang w:eastAsia="en-AU"/>
        </w:rPr>
      </w:pPr>
      <w:r w:rsidRPr="002F2711">
        <w:rPr>
          <w:lang w:eastAsia="en-AU"/>
        </w:rPr>
        <w:t xml:space="preserve">Rickard, L. G., L. A. Steinohrt, and </w:t>
      </w:r>
      <w:r w:rsidR="002E6AA6">
        <w:rPr>
          <w:lang w:eastAsia="en-AU"/>
        </w:rPr>
        <w:t>S. S. Black. 1997. Subclinical C</w:t>
      </w:r>
      <w:r w:rsidRPr="002F2711">
        <w:rPr>
          <w:lang w:eastAsia="en-AU"/>
        </w:rPr>
        <w:t>yathostomiasis and Unidentified Helminthiasis in a juvenile emu (</w:t>
      </w:r>
      <w:r w:rsidRPr="002E6AA6">
        <w:rPr>
          <w:i/>
          <w:lang w:eastAsia="en-AU"/>
        </w:rPr>
        <w:t>Dromaius novaehollandiae</w:t>
      </w:r>
      <w:r w:rsidRPr="002F2711">
        <w:rPr>
          <w:lang w:eastAsia="en-AU"/>
        </w:rPr>
        <w:t>). Avian Diseases 41:993-996. doi 10.2307/1592359</w:t>
      </w:r>
    </w:p>
    <w:p w14:paraId="12878BA4" w14:textId="77777777" w:rsidR="002F2711" w:rsidRDefault="002F2711" w:rsidP="002F2711">
      <w:pPr>
        <w:rPr>
          <w:lang w:eastAsia="en-AU"/>
        </w:rPr>
      </w:pPr>
      <w:r w:rsidRPr="002F2711">
        <w:rPr>
          <w:lang w:eastAsia="en-AU"/>
        </w:rPr>
        <w:t>Swan, R. A., and M. J. Lindsey. 1998. Treatment and control by vaccination of erysipelas in farmed emus (</w:t>
      </w:r>
      <w:r w:rsidRPr="002E6AA6">
        <w:rPr>
          <w:i/>
          <w:lang w:eastAsia="en-AU"/>
        </w:rPr>
        <w:t>Dromaius novo-hollandiae</w:t>
      </w:r>
      <w:r w:rsidRPr="002F2711">
        <w:rPr>
          <w:lang w:eastAsia="en-AU"/>
        </w:rPr>
        <w:t>). Australian Veterinary Journal 76:325-327. doi 10.1111/j.1751-0813.1998.tb12356.x</w:t>
      </w:r>
    </w:p>
    <w:p w14:paraId="7504CCF2" w14:textId="77777777" w:rsidR="002F2711" w:rsidRPr="002F2711" w:rsidRDefault="002F2711" w:rsidP="002F2711">
      <w:pPr>
        <w:rPr>
          <w:lang w:eastAsia="en-AU"/>
        </w:rPr>
      </w:pPr>
      <w:r w:rsidRPr="002F2711">
        <w:rPr>
          <w:lang w:eastAsia="en-AU"/>
        </w:rPr>
        <w:t xml:space="preserve">Vaughan, J. L., J. A. Charles, and J. C. Boray. 1997. </w:t>
      </w:r>
      <w:r w:rsidRPr="003F2582">
        <w:rPr>
          <w:i/>
          <w:lang w:eastAsia="en-AU"/>
        </w:rPr>
        <w:t>Fasciola hepatica</w:t>
      </w:r>
      <w:r w:rsidRPr="002F2711">
        <w:rPr>
          <w:lang w:eastAsia="en-AU"/>
        </w:rPr>
        <w:t xml:space="preserve"> infection in farmed emus (</w:t>
      </w:r>
      <w:r w:rsidRPr="002E6AA6">
        <w:rPr>
          <w:i/>
          <w:lang w:eastAsia="en-AU"/>
        </w:rPr>
        <w:t>Dromaius novaehollandiae</w:t>
      </w:r>
      <w:r w:rsidRPr="002F2711">
        <w:rPr>
          <w:lang w:eastAsia="en-AU"/>
        </w:rPr>
        <w:t>). Australian Veterinary Journal 75:811-813. doi 10.1111/j.1751-0813.1997.tb15659.x</w:t>
      </w:r>
    </w:p>
    <w:p w14:paraId="54374CDC" w14:textId="77777777" w:rsidR="002F2711" w:rsidRPr="00286A88" w:rsidRDefault="002F2711" w:rsidP="0058227F">
      <w:pPr>
        <w:rPr>
          <w:lang w:val="en-AU" w:eastAsia="en-AU"/>
        </w:rPr>
      </w:pPr>
    </w:p>
    <w:p w14:paraId="688C71F4" w14:textId="77777777" w:rsidR="00286A88" w:rsidRPr="00286A88" w:rsidRDefault="007D2446" w:rsidP="007D2446">
      <w:pPr>
        <w:pStyle w:val="Heading1"/>
        <w:rPr>
          <w:lang w:val="en-AU" w:eastAsia="en-AU"/>
        </w:rPr>
      </w:pPr>
      <w:r>
        <w:rPr>
          <w:sz w:val="22"/>
          <w:szCs w:val="22"/>
          <w:lang w:val="en-AU" w:eastAsia="en-AU"/>
        </w:rPr>
        <w:br w:type="column"/>
      </w:r>
      <w:bookmarkStart w:id="381" w:name="_Toc495310848"/>
      <w:r w:rsidR="00286A88" w:rsidRPr="00286A88">
        <w:rPr>
          <w:lang w:val="en-AU" w:eastAsia="en-AU"/>
        </w:rPr>
        <w:t>Slaughter</w:t>
      </w:r>
      <w:bookmarkEnd w:id="381"/>
    </w:p>
    <w:p w14:paraId="6EFC9C44" w14:textId="77777777" w:rsidR="00286A88" w:rsidRPr="00286A88" w:rsidRDefault="00286A88" w:rsidP="007D2446">
      <w:pPr>
        <w:pStyle w:val="Heading2"/>
        <w:rPr>
          <w:lang w:val="en-AU" w:eastAsia="en-AU"/>
        </w:rPr>
      </w:pPr>
      <w:bookmarkStart w:id="382" w:name="_Toc495310849"/>
      <w:r w:rsidRPr="00286A88">
        <w:rPr>
          <w:lang w:val="en-AU" w:eastAsia="en-AU"/>
        </w:rPr>
        <w:t>SL1. Introduction</w:t>
      </w:r>
      <w:bookmarkEnd w:id="382"/>
    </w:p>
    <w:p w14:paraId="6C03DBDB" w14:textId="77777777" w:rsidR="00286A88" w:rsidRPr="00286A88" w:rsidRDefault="00286A88" w:rsidP="007D2446">
      <w:pPr>
        <w:rPr>
          <w:noProof/>
          <w:lang w:val="en-AU" w:eastAsia="en-AU"/>
        </w:rPr>
      </w:pPr>
      <w:r w:rsidRPr="00286A88">
        <w:rPr>
          <w:lang w:val="en-AU" w:eastAsia="en-AU"/>
        </w:rPr>
        <w:t xml:space="preserve">Large numbers of farmed birds are reared for meat production. Slaughter is a vital part of this farming process. At slaughter, there is significant potential to compromise welfare through stress, pain and suffering. This can be minimised by the use of appropriate slaughter methods and equipment, staff training and the development and use of Standard Operating Procedures </w:t>
      </w:r>
      <w:r w:rsidRPr="00286A88">
        <w:rPr>
          <w:noProof/>
          <w:lang w:val="en-AU" w:eastAsia="en-AU"/>
        </w:rPr>
        <w:t>(EUWelNet, 2014).</w:t>
      </w:r>
    </w:p>
    <w:p w14:paraId="6B1643D6" w14:textId="77777777" w:rsidR="00286A88" w:rsidRPr="00286A88" w:rsidRDefault="00286A88" w:rsidP="007D2446">
      <w:pPr>
        <w:rPr>
          <w:lang w:val="en-AU" w:eastAsia="en-AU"/>
        </w:rPr>
      </w:pPr>
      <w:r w:rsidRPr="00286A88">
        <w:rPr>
          <w:lang w:val="en-AU" w:eastAsia="en-AU"/>
        </w:rPr>
        <w:t>Humane killing of birds is also necessary due to disease or injury of individuals, disease in a whole flock, where there has been surplus production (e.g. day old chicks), or where the birds have come to the end of their economic value (laying hens). In these circumstances there are significant welfare advantages if the killing takes place on the farm since this minimises handling and transport stress and the risk of the spreading any disease. Methods for on-farm killing often differ from abattoir-based slaughter methods however the principles of ensuring immediate or stress free loss of consciousness without recovery should be maintained. In all cases, slaughter and humane killing should be carried out by trained personnel, using appropriate equipment and with established welfare monitoring protocols.</w:t>
      </w:r>
    </w:p>
    <w:p w14:paraId="50355C81" w14:textId="77777777" w:rsidR="00286A88" w:rsidRPr="00286A88" w:rsidRDefault="00286A88" w:rsidP="007D2446">
      <w:pPr>
        <w:rPr>
          <w:lang w:val="en-AU" w:eastAsia="en-AU"/>
        </w:rPr>
      </w:pPr>
      <w:r w:rsidRPr="00286A88">
        <w:rPr>
          <w:lang w:val="en-AU" w:eastAsia="en-AU"/>
        </w:rPr>
        <w:t>The amount of peer-reviewed scientific literature covering this field varies by species. For some species, welfare at slaughter is well researched but for others there is very little published information. This review focuses on peer-reviewed literature however there is a literature comprising conference proceedings, student research dissertations and advice published by the industry and by animal welfare organisations that may provide further information. A good example of such information is publications by the Humane Slaughter Association (</w:t>
      </w:r>
      <w:hyperlink r:id="rId76" w:tooltip="This is a link to the website of the Humane Slaughter Association in the UK." w:history="1">
        <w:r w:rsidR="009E50B5" w:rsidRPr="008D16A0">
          <w:rPr>
            <w:rStyle w:val="Hyperlink"/>
            <w:lang w:val="en-AU" w:eastAsia="en-AU"/>
          </w:rPr>
          <w:t>www.hsa.org.uk</w:t>
        </w:r>
      </w:hyperlink>
      <w:r w:rsidR="00D96C72">
        <w:rPr>
          <w:lang w:val="en-AU" w:eastAsia="en-AU"/>
        </w:rPr>
        <w:t>).</w:t>
      </w:r>
    </w:p>
    <w:p w14:paraId="2A2AB321" w14:textId="77777777" w:rsidR="00286A88" w:rsidRPr="00286A88" w:rsidRDefault="00286A88" w:rsidP="007D2446">
      <w:pPr>
        <w:rPr>
          <w:lang w:val="en-AU" w:eastAsia="en-AU"/>
        </w:rPr>
      </w:pPr>
      <w:r w:rsidRPr="00286A88">
        <w:rPr>
          <w:lang w:val="en-AU" w:eastAsia="en-AU"/>
        </w:rPr>
        <w:t>The first section of this review covers the main slaughter methods. This literature is dominated by broiler research. The second section of this review focuses on research results specific to each bird type or species.</w:t>
      </w:r>
    </w:p>
    <w:p w14:paraId="4326D2E7" w14:textId="77777777" w:rsidR="00286A88" w:rsidRPr="00286A88" w:rsidRDefault="00286A88" w:rsidP="007D2446">
      <w:pPr>
        <w:pStyle w:val="Heading2"/>
        <w:rPr>
          <w:lang w:val="en-AU" w:eastAsia="en-AU"/>
        </w:rPr>
      </w:pPr>
      <w:bookmarkStart w:id="383" w:name="_Toc495310850"/>
      <w:r w:rsidRPr="00286A88">
        <w:rPr>
          <w:lang w:val="en-AU" w:eastAsia="en-AU"/>
        </w:rPr>
        <w:t>SL2. Overview of Slaughter and Humane Killing Methods</w:t>
      </w:r>
      <w:bookmarkEnd w:id="383"/>
    </w:p>
    <w:p w14:paraId="4375C08F" w14:textId="77777777" w:rsidR="00286A88" w:rsidRPr="00286A88" w:rsidRDefault="00286A88" w:rsidP="00515938">
      <w:pPr>
        <w:pStyle w:val="Heading3"/>
        <w:rPr>
          <w:lang w:val="en-AU" w:eastAsia="en-AU"/>
        </w:rPr>
      </w:pPr>
      <w:bookmarkStart w:id="384" w:name="_Toc495310851"/>
      <w:r w:rsidRPr="00286A88">
        <w:rPr>
          <w:lang w:val="en-AU" w:eastAsia="en-AU"/>
        </w:rPr>
        <w:t>SL2.1 Stunning and killing</w:t>
      </w:r>
      <w:bookmarkEnd w:id="384"/>
    </w:p>
    <w:p w14:paraId="17690338" w14:textId="77777777" w:rsidR="00286A88" w:rsidRPr="00256388" w:rsidRDefault="00286A88" w:rsidP="007D2446">
      <w:pPr>
        <w:rPr>
          <w:lang w:val="en-AU" w:eastAsia="en-AU"/>
        </w:rPr>
      </w:pPr>
      <w:r w:rsidRPr="00256388">
        <w:rPr>
          <w:lang w:val="en-AU" w:eastAsia="en-AU"/>
        </w:rPr>
        <w:t>The process of slaughtering an animal will normally have two parts. The first is the stun, which means any intentionally induced process which causes loss of consciousness and sensibility without pain,</w:t>
      </w:r>
      <w:r w:rsidRPr="00256388">
        <w:rPr>
          <w:noProof/>
          <w:lang w:val="en-AU" w:eastAsia="en-AU"/>
        </w:rPr>
        <w:t xml:space="preserve"> including </w:t>
      </w:r>
      <w:r w:rsidRPr="00256388">
        <w:rPr>
          <w:lang w:val="en-AU" w:eastAsia="en-AU"/>
        </w:rPr>
        <w:t>any process resulting in instantaneous death. The second is to ensure that the animal dies before consciousness returns. The stun should result in prolonged unconsciousness for most animals so that any mistakes, malfunctions or delays in applying the second step do not result in injured animals recovering.</w:t>
      </w:r>
    </w:p>
    <w:p w14:paraId="32AD49F2" w14:textId="77777777" w:rsidR="00286A88" w:rsidRPr="00256388" w:rsidRDefault="00286A88" w:rsidP="007D2446">
      <w:pPr>
        <w:rPr>
          <w:lang w:val="en-AU" w:eastAsia="en-AU"/>
        </w:rPr>
      </w:pPr>
      <w:r w:rsidRPr="00256388">
        <w:rPr>
          <w:lang w:val="en-AU" w:eastAsia="en-AU"/>
        </w:rPr>
        <w:t>For controlled atmosphere stunning and low atmospheric pressure stunning, death is achieved by a prolonged and more intensive application of the gas or low pressure that was used to stun. However for mechanical percussion and electrical stunning, death cannot be guaranteed so a second, separate, killing action is needed. For animals killed for meat this will be achieved through bleeding but in other cases cervical dislocation may be appropriate.</w:t>
      </w:r>
    </w:p>
    <w:p w14:paraId="3CFA9125" w14:textId="77777777" w:rsidR="00286A88" w:rsidRPr="00515938" w:rsidRDefault="00286A88" w:rsidP="00515938">
      <w:pPr>
        <w:pStyle w:val="Heading41"/>
      </w:pPr>
      <w:r w:rsidRPr="00515938">
        <w:t>SL2.1a Bleeding</w:t>
      </w:r>
    </w:p>
    <w:p w14:paraId="739F162D" w14:textId="77777777" w:rsidR="00286A88" w:rsidRPr="00286A88" w:rsidRDefault="00286A88" w:rsidP="007D2446">
      <w:pPr>
        <w:rPr>
          <w:lang w:val="en-AU" w:eastAsia="en-AU"/>
        </w:rPr>
      </w:pPr>
      <w:r w:rsidRPr="00286A88">
        <w:rPr>
          <w:lang w:val="en-AU" w:eastAsia="en-AU"/>
        </w:rPr>
        <w:t xml:space="preserve">Poultry bleeding is most effectively achieved with a complete ventral neck cut, severing both carotid arteries, while the bird is inverted. This ensures brain death through cerebral ischemia. </w:t>
      </w:r>
      <w:r w:rsidRPr="00286A88">
        <w:rPr>
          <w:noProof/>
          <w:lang w:val="en-AU" w:eastAsia="en-AU"/>
        </w:rPr>
        <w:t>Raj et al. (2006a; 2006c)</w:t>
      </w:r>
      <w:r w:rsidRPr="00286A88">
        <w:rPr>
          <w:lang w:val="en-AU" w:eastAsia="en-AU"/>
        </w:rPr>
        <w:t xml:space="preserve"> demonstrated that for chickens stunned with an alternating (AC) or pulsed direct (pDC) current over a range of frequencies, the electroencephalogram (EEG) declines to less than 10% of normal levels within 20 s of a ventral neck cut, but when neck cutting is unilateral, this time can exceed one minute. Other studies have also shown that when all the major blood vessels in the necks of electrically stunned chickens are cut, blood loss accounting for 2% body weight occurs within 25 s. This, it is speculated, will result in cerebral ischemia and death </w:t>
      </w:r>
      <w:r w:rsidRPr="00286A88">
        <w:rPr>
          <w:noProof/>
          <w:lang w:val="en-AU" w:eastAsia="en-AU"/>
        </w:rPr>
        <w:t>(Gregory and Wilkins, 1989a)</w:t>
      </w:r>
      <w:r w:rsidRPr="00286A88">
        <w:rPr>
          <w:lang w:val="en-AU" w:eastAsia="en-AU"/>
        </w:rPr>
        <w:t>.</w:t>
      </w:r>
    </w:p>
    <w:p w14:paraId="39229F1B" w14:textId="77777777" w:rsidR="00286A88" w:rsidRPr="00286A88" w:rsidRDefault="00286A88" w:rsidP="007D2446">
      <w:pPr>
        <w:rPr>
          <w:lang w:val="en-AU" w:eastAsia="en-AU"/>
        </w:rPr>
      </w:pPr>
      <w:r w:rsidRPr="00286A88">
        <w:rPr>
          <w:lang w:val="en-AU" w:eastAsia="en-AU"/>
        </w:rPr>
        <w:t>Although decapitation is shown to lead to rapid brain death, it is an option that needs to be used with caution because it provides fewer opportunities to observe the birds following stunning so the behavioural indicators of a poor stun are less likely to be observed and rectified. However, when decapitation is followed by immediate maceration of the head, bird welfare is protected.</w:t>
      </w:r>
    </w:p>
    <w:p w14:paraId="003E91E0" w14:textId="77777777" w:rsidR="00286A88" w:rsidRPr="00515938" w:rsidRDefault="00286A88" w:rsidP="00515938">
      <w:pPr>
        <w:pStyle w:val="Heading41"/>
      </w:pPr>
      <w:r w:rsidRPr="00515938">
        <w:t>SL2.1b Cervical (neck) dislocation</w:t>
      </w:r>
    </w:p>
    <w:p w14:paraId="7B6EE14A" w14:textId="77777777" w:rsidR="00286A88" w:rsidRPr="00286A88" w:rsidRDefault="00286A88" w:rsidP="007D2446">
      <w:pPr>
        <w:rPr>
          <w:lang w:val="en-AU" w:eastAsia="en-AU"/>
        </w:rPr>
      </w:pPr>
      <w:r w:rsidRPr="00286A88">
        <w:rPr>
          <w:lang w:val="en-AU" w:eastAsia="en-AU"/>
        </w:rPr>
        <w:t xml:space="preserve">Cervical dislocation severs the spinal cord and ruptures blood vessels in the neck, disrupting blood-flow to the brain, both of which help to assure brain death. Cervical dislocation should not be carried out without prior stunning as it is unlikely to cause immediate unconsciousness, and is likely to cause severe pain and distress </w:t>
      </w:r>
      <w:r w:rsidRPr="00286A88">
        <w:rPr>
          <w:noProof/>
          <w:lang w:val="en-AU" w:eastAsia="en-AU"/>
        </w:rPr>
        <w:t>(Erasmus et al., 2010)</w:t>
      </w:r>
      <w:r w:rsidR="00056878">
        <w:rPr>
          <w:noProof/>
          <w:lang w:val="en-AU" w:eastAsia="en-AU"/>
        </w:rPr>
        <w:t>.</w:t>
      </w:r>
      <w:r w:rsidRPr="00286A88">
        <w:rPr>
          <w:lang w:val="en-AU" w:eastAsia="en-AU"/>
        </w:rPr>
        <w:t xml:space="preserve"> In successful cervical dislocation, the neck is stretched suddenly to instantly damage the brain stem, at the same time as the diameter of the common carotid arteries is reduced, resulting in death by cerebral ischemia. Crushing achieves a somewhat different effect, as blood flow through the common carotid arteries is not reduced. If the spinal cord is severed by crushing, but blood-flow to the brain is not impeded, death from asphyxia will result </w:t>
      </w:r>
      <w:r w:rsidRPr="00286A88">
        <w:rPr>
          <w:noProof/>
          <w:lang w:val="en-AU" w:eastAsia="en-AU"/>
        </w:rPr>
        <w:t>(Martin et al., 2016d)</w:t>
      </w:r>
      <w:r w:rsidRPr="00286A88">
        <w:rPr>
          <w:lang w:val="en-AU" w:eastAsia="en-AU"/>
        </w:rPr>
        <w:t>.</w:t>
      </w:r>
    </w:p>
    <w:p w14:paraId="67C5C673" w14:textId="77777777" w:rsidR="00286A88" w:rsidRPr="00515938" w:rsidRDefault="00286A88" w:rsidP="00515938">
      <w:pPr>
        <w:pStyle w:val="Heading41"/>
      </w:pPr>
      <w:r w:rsidRPr="00515938">
        <w:t>SL2.1c Summary</w:t>
      </w:r>
    </w:p>
    <w:p w14:paraId="295B07AA" w14:textId="77777777" w:rsidR="00286A88" w:rsidRPr="00286A88" w:rsidRDefault="00286A88" w:rsidP="007D2446">
      <w:pPr>
        <w:rPr>
          <w:lang w:val="en-AU" w:eastAsia="en-AU"/>
        </w:rPr>
      </w:pPr>
      <w:r w:rsidRPr="00286A88">
        <w:rPr>
          <w:lang w:val="en-AU" w:eastAsia="en-AU"/>
        </w:rPr>
        <w:t>Regardless of the stunning and killing methods selected, it is important that unconsciousness induced by stunning lasts until brain death has occurred. For this reason it is important that the stun results in unconsciousness that lasts for an appropriate duration, and that a subsequent killing step is carried out quickly. Animals should be monitored to ensure that signs of consciousness do not return.</w:t>
      </w:r>
    </w:p>
    <w:p w14:paraId="2441CF17" w14:textId="77777777" w:rsidR="00286A88" w:rsidRPr="00025D5A" w:rsidRDefault="00286A88" w:rsidP="00025D5A">
      <w:pPr>
        <w:pStyle w:val="Heading3"/>
        <w:rPr>
          <w:rStyle w:val="BookTitle"/>
          <w:b/>
          <w:bCs w:val="0"/>
          <w:smallCaps w:val="0"/>
          <w:spacing w:val="0"/>
        </w:rPr>
      </w:pPr>
      <w:bookmarkStart w:id="385" w:name="_Toc495310852"/>
      <w:r w:rsidRPr="00025D5A">
        <w:rPr>
          <w:rStyle w:val="BookTitle"/>
          <w:b/>
          <w:bCs w:val="0"/>
          <w:smallCaps w:val="0"/>
          <w:spacing w:val="0"/>
        </w:rPr>
        <w:t>SL2.2 Electrical stunning</w:t>
      </w:r>
      <w:bookmarkEnd w:id="385"/>
    </w:p>
    <w:p w14:paraId="0BB26007" w14:textId="77777777" w:rsidR="00286A88" w:rsidRPr="00515938" w:rsidRDefault="00286A88" w:rsidP="00515938">
      <w:pPr>
        <w:pStyle w:val="Heading41"/>
      </w:pPr>
      <w:r w:rsidRPr="00515938">
        <w:t>SL2.2a Principles</w:t>
      </w:r>
    </w:p>
    <w:p w14:paraId="551AA8A2" w14:textId="77777777" w:rsidR="00286A88" w:rsidRPr="00256388" w:rsidRDefault="00286A88" w:rsidP="007D2446">
      <w:pPr>
        <w:rPr>
          <w:lang w:val="en-AU" w:eastAsia="en-AU"/>
        </w:rPr>
      </w:pPr>
      <w:r w:rsidRPr="00256388">
        <w:rPr>
          <w:lang w:val="en-AU" w:eastAsia="en-AU"/>
        </w:rPr>
        <w:t>Electric stunning causes unconsciousness in birds by passing an electric current through the brain. A bird may be killed by this method if the electric current, applied at low frequency (e.g. 50 Hz), also passes through the heart causing cardiac fibrillation. A risk with electric stunning is that an electric current that is too small to cause unconsciousness may paralyse the bird or cause cardiac fibrillation without unconsciousness, giving a false impression of a stun and resulting in severe pain and distress.</w:t>
      </w:r>
    </w:p>
    <w:p w14:paraId="7AC4429D" w14:textId="77777777" w:rsidR="00286A88" w:rsidRPr="00515938" w:rsidRDefault="00286A88" w:rsidP="00515938">
      <w:pPr>
        <w:pStyle w:val="Heading41"/>
      </w:pPr>
      <w:r w:rsidRPr="00515938">
        <w:t>SL2.2b Electrical water-bath stunning</w:t>
      </w:r>
    </w:p>
    <w:p w14:paraId="563C733A" w14:textId="77777777" w:rsidR="00286A88" w:rsidRPr="00286A88" w:rsidRDefault="00286A88" w:rsidP="007D2446">
      <w:pPr>
        <w:rPr>
          <w:lang w:val="en-AU" w:eastAsia="en-AU"/>
        </w:rPr>
      </w:pPr>
      <w:r w:rsidRPr="00286A88">
        <w:rPr>
          <w:lang w:val="en-AU" w:eastAsia="en-AU"/>
        </w:rPr>
        <w:t>Electrical water-bath stunning systems are commonly found in high throughput abattoirs, and can typically handle ten thousand birds per hour. This method of slaughter is commonly used for laying hens, broilers, duck, geese, turkeys and guinea fowl. The birds are removed from their transport crates, and manually inverted and hung by placing their feet into steel shackles on a moving processing line. The shackle line transports the birds to the electrified water-bath. At the start of the water-bath the birds’ heads fall into the water and an electrical current passes from the water through the head, body and legs of the birds to the metal shackle. The circuit is completed because the shackle makes sliding contact with a stationary earthed rubbing bar. If sufficient current of an appropriate low frequency (e.g. 50 Hz) passes through the bird, it causes immediate loss of consciousness and cardiac fibrillation (sometimes termed “stun-to-kill”). At higher electrical frequencies it is possible to stun the birds but not fibrillate the heart. This increases the risk of recovery but may reduce carcase downgrading. The possibility of recovery may be necessary to meet halal slaughter requirements. Electrical parameters should be set to ensure immediate loss of consciousness, and so submersion of the head should not be a welfare concern.</w:t>
      </w:r>
    </w:p>
    <w:p w14:paraId="681D4B04" w14:textId="77777777" w:rsidR="00286A88" w:rsidRPr="00C5168E" w:rsidRDefault="00286A88" w:rsidP="00C5168E">
      <w:pPr>
        <w:spacing w:before="180"/>
        <w:rPr>
          <w:b/>
          <w:i/>
        </w:rPr>
      </w:pPr>
      <w:r w:rsidRPr="00C5168E">
        <w:rPr>
          <w:b/>
          <w:i/>
        </w:rPr>
        <w:t>Welfare risks and compromises</w:t>
      </w:r>
    </w:p>
    <w:p w14:paraId="46D3B537" w14:textId="77777777" w:rsidR="00286A88" w:rsidRPr="007D2446" w:rsidRDefault="00286A88" w:rsidP="007D2446">
      <w:pPr>
        <w:rPr>
          <w:rFonts w:cs="Arial"/>
          <w:szCs w:val="18"/>
          <w:lang w:val="en-AU" w:eastAsia="en-AU"/>
        </w:rPr>
      </w:pPr>
      <w:r w:rsidRPr="007D2446">
        <w:rPr>
          <w:rFonts w:cs="Arial"/>
          <w:szCs w:val="18"/>
          <w:lang w:val="en-AU" w:eastAsia="en-AU"/>
        </w:rPr>
        <w:t>The welfare risks and compromises of the electrical water-bath include:</w:t>
      </w:r>
    </w:p>
    <w:p w14:paraId="42DBD3E0" w14:textId="77777777" w:rsidR="00286A88" w:rsidRPr="007D2446" w:rsidRDefault="00286A88" w:rsidP="007D2446">
      <w:pPr>
        <w:pStyle w:val="ListParagraph"/>
        <w:numPr>
          <w:ilvl w:val="0"/>
          <w:numId w:val="33"/>
        </w:numPr>
        <w:spacing w:after="120" w:line="257" w:lineRule="auto"/>
        <w:ind w:left="714" w:hanging="357"/>
        <w:contextualSpacing w:val="0"/>
        <w:rPr>
          <w:rFonts w:ascii="Arial" w:hAnsi="Arial" w:cs="Arial"/>
          <w:sz w:val="18"/>
          <w:szCs w:val="18"/>
        </w:rPr>
      </w:pPr>
      <w:r w:rsidRPr="007D2446">
        <w:rPr>
          <w:rFonts w:ascii="Arial" w:hAnsi="Arial" w:cs="Arial"/>
          <w:sz w:val="18"/>
          <w:szCs w:val="18"/>
        </w:rPr>
        <w:t>The birds are removed from their transport crates and handled at speed</w:t>
      </w:r>
    </w:p>
    <w:p w14:paraId="065C0A80" w14:textId="77777777" w:rsidR="00286A88" w:rsidRPr="007D2446" w:rsidRDefault="00286A88" w:rsidP="007D2446">
      <w:pPr>
        <w:pStyle w:val="ListParagraph"/>
        <w:numPr>
          <w:ilvl w:val="0"/>
          <w:numId w:val="33"/>
        </w:numPr>
        <w:spacing w:after="120" w:line="257" w:lineRule="auto"/>
        <w:ind w:left="714" w:hanging="357"/>
        <w:contextualSpacing w:val="0"/>
        <w:rPr>
          <w:rFonts w:ascii="Arial" w:hAnsi="Arial" w:cs="Arial"/>
          <w:sz w:val="18"/>
          <w:szCs w:val="18"/>
        </w:rPr>
      </w:pPr>
      <w:r w:rsidRPr="007D2446">
        <w:rPr>
          <w:rFonts w:ascii="Arial" w:hAnsi="Arial" w:cs="Arial"/>
          <w:sz w:val="18"/>
          <w:szCs w:val="18"/>
        </w:rPr>
        <w:t>The birds are inverted and suspended from a shackle</w:t>
      </w:r>
    </w:p>
    <w:p w14:paraId="140B86FA" w14:textId="77777777" w:rsidR="00286A88" w:rsidRPr="007D2446" w:rsidRDefault="00286A88" w:rsidP="007D2446">
      <w:pPr>
        <w:pStyle w:val="ListParagraph"/>
        <w:numPr>
          <w:ilvl w:val="0"/>
          <w:numId w:val="33"/>
        </w:numPr>
        <w:spacing w:after="120" w:line="257" w:lineRule="auto"/>
        <w:ind w:left="714" w:hanging="357"/>
        <w:contextualSpacing w:val="0"/>
        <w:rPr>
          <w:rFonts w:ascii="Arial" w:hAnsi="Arial" w:cs="Arial"/>
          <w:sz w:val="18"/>
          <w:szCs w:val="18"/>
        </w:rPr>
      </w:pPr>
      <w:r w:rsidRPr="007D2446">
        <w:rPr>
          <w:rFonts w:ascii="Arial" w:hAnsi="Arial" w:cs="Arial"/>
          <w:sz w:val="18"/>
          <w:szCs w:val="18"/>
        </w:rPr>
        <w:t>The shackle is likely to put pressure on the legs causing pain</w:t>
      </w:r>
    </w:p>
    <w:p w14:paraId="1945DA52" w14:textId="77777777" w:rsidR="00286A88" w:rsidRPr="007D2446" w:rsidRDefault="00286A88" w:rsidP="007D2446">
      <w:pPr>
        <w:pStyle w:val="ListParagraph"/>
        <w:numPr>
          <w:ilvl w:val="0"/>
          <w:numId w:val="33"/>
        </w:numPr>
        <w:spacing w:after="120" w:line="257" w:lineRule="auto"/>
        <w:ind w:left="714" w:hanging="357"/>
        <w:contextualSpacing w:val="0"/>
        <w:rPr>
          <w:rFonts w:ascii="Arial" w:hAnsi="Arial" w:cs="Arial"/>
          <w:sz w:val="18"/>
          <w:szCs w:val="18"/>
        </w:rPr>
      </w:pPr>
      <w:r w:rsidRPr="007D2446">
        <w:rPr>
          <w:rFonts w:ascii="Arial" w:hAnsi="Arial" w:cs="Arial"/>
          <w:sz w:val="18"/>
          <w:szCs w:val="18"/>
        </w:rPr>
        <w:t>The birds are at risk from painful pre-stun electric shocks as they approach the water-bath</w:t>
      </w:r>
    </w:p>
    <w:p w14:paraId="27D549CB" w14:textId="77777777" w:rsidR="00286A88" w:rsidRPr="007D2446" w:rsidRDefault="00286A88" w:rsidP="007D2446">
      <w:pPr>
        <w:pStyle w:val="ListParagraph"/>
        <w:numPr>
          <w:ilvl w:val="0"/>
          <w:numId w:val="33"/>
        </w:numPr>
        <w:spacing w:after="120" w:line="257" w:lineRule="auto"/>
        <w:ind w:left="714" w:hanging="357"/>
        <w:contextualSpacing w:val="0"/>
        <w:rPr>
          <w:rFonts w:ascii="Arial" w:hAnsi="Arial" w:cs="Arial"/>
          <w:sz w:val="18"/>
          <w:szCs w:val="18"/>
        </w:rPr>
      </w:pPr>
      <w:r w:rsidRPr="007D2446">
        <w:rPr>
          <w:rFonts w:ascii="Arial" w:hAnsi="Arial" w:cs="Arial"/>
          <w:sz w:val="18"/>
          <w:szCs w:val="18"/>
        </w:rPr>
        <w:t>Wing flapping due to these stresses can result in broken wings</w:t>
      </w:r>
    </w:p>
    <w:p w14:paraId="3C7CA798" w14:textId="77777777" w:rsidR="00286A88" w:rsidRPr="007D2446" w:rsidRDefault="00286A88" w:rsidP="007D2446">
      <w:pPr>
        <w:pStyle w:val="ListParagraph"/>
        <w:numPr>
          <w:ilvl w:val="0"/>
          <w:numId w:val="33"/>
        </w:numPr>
        <w:spacing w:after="120" w:line="257" w:lineRule="auto"/>
        <w:ind w:left="714" w:hanging="357"/>
        <w:contextualSpacing w:val="0"/>
        <w:rPr>
          <w:rFonts w:ascii="Arial" w:hAnsi="Arial" w:cs="Arial"/>
          <w:sz w:val="18"/>
          <w:szCs w:val="18"/>
        </w:rPr>
      </w:pPr>
      <w:r w:rsidRPr="007D2446">
        <w:rPr>
          <w:rFonts w:ascii="Arial" w:hAnsi="Arial" w:cs="Arial"/>
          <w:sz w:val="18"/>
          <w:szCs w:val="18"/>
        </w:rPr>
        <w:t>Agitated birds may occasionally struggle and avoid being electrically stunned</w:t>
      </w:r>
    </w:p>
    <w:p w14:paraId="15364A90" w14:textId="77777777" w:rsidR="00286A88" w:rsidRPr="007D2446" w:rsidRDefault="00286A88" w:rsidP="007D2446">
      <w:pPr>
        <w:pStyle w:val="ListParagraph"/>
        <w:numPr>
          <w:ilvl w:val="0"/>
          <w:numId w:val="33"/>
        </w:numPr>
        <w:spacing w:after="120" w:line="257" w:lineRule="auto"/>
        <w:ind w:left="714" w:hanging="357"/>
        <w:contextualSpacing w:val="0"/>
        <w:rPr>
          <w:rFonts w:ascii="Arial" w:hAnsi="Arial" w:cs="Arial"/>
          <w:sz w:val="18"/>
          <w:szCs w:val="18"/>
        </w:rPr>
      </w:pPr>
      <w:r w:rsidRPr="007D2446">
        <w:rPr>
          <w:rFonts w:ascii="Arial" w:hAnsi="Arial" w:cs="Arial"/>
          <w:sz w:val="18"/>
          <w:szCs w:val="18"/>
        </w:rPr>
        <w:t>The electric current delivered to each bird varies and so some birds may not be adequately stunned.</w:t>
      </w:r>
    </w:p>
    <w:p w14:paraId="5ED72FB5" w14:textId="77777777" w:rsidR="00286A88" w:rsidRPr="00286A88" w:rsidRDefault="00286A88" w:rsidP="007D2446">
      <w:pPr>
        <w:rPr>
          <w:lang w:val="en-AU" w:eastAsia="en-AU"/>
        </w:rPr>
      </w:pPr>
      <w:r w:rsidRPr="00286A88">
        <w:rPr>
          <w:lang w:val="en-AU" w:eastAsia="en-AU"/>
        </w:rPr>
        <w:t>These welfare compromises can be reduced by good staff training, well-designed and maintained equipment and correct parameter selection, however they cannot be completely avoided.</w:t>
      </w:r>
    </w:p>
    <w:p w14:paraId="004E11D8" w14:textId="77777777" w:rsidR="00286A88" w:rsidRPr="00C5168E" w:rsidRDefault="00286A88" w:rsidP="00C5168E">
      <w:pPr>
        <w:spacing w:before="180"/>
        <w:rPr>
          <w:b/>
          <w:i/>
        </w:rPr>
      </w:pPr>
      <w:r w:rsidRPr="00C5168E">
        <w:rPr>
          <w:b/>
          <w:i/>
        </w:rPr>
        <w:t>Shackling</w:t>
      </w:r>
    </w:p>
    <w:p w14:paraId="4E0F2BD6" w14:textId="77777777" w:rsidR="00286A88" w:rsidRPr="00286A88" w:rsidRDefault="00286A88" w:rsidP="007D2446">
      <w:pPr>
        <w:rPr>
          <w:lang w:val="en-AU" w:eastAsia="en-AU"/>
        </w:rPr>
      </w:pPr>
      <w:r w:rsidRPr="00286A88">
        <w:rPr>
          <w:lang w:val="en-AU" w:eastAsia="en-AU"/>
        </w:rPr>
        <w:t xml:space="preserve">The need to shackle and invert live and conscious birds is a significant welfare concern. For chickens, the process of handling, inversion and shackling is stressful </w:t>
      </w:r>
      <w:r w:rsidRPr="00286A88">
        <w:rPr>
          <w:noProof/>
          <w:lang w:val="en-AU" w:eastAsia="en-AU"/>
        </w:rPr>
        <w:t>(Debut et al., 2005; Bedáňová et al., 2006</w:t>
      </w:r>
      <w:r w:rsidR="00056878">
        <w:rPr>
          <w:noProof/>
          <w:lang w:val="en-AU" w:eastAsia="en-AU"/>
        </w:rPr>
        <w:t>;</w:t>
      </w:r>
      <w:r w:rsidRPr="00286A88">
        <w:rPr>
          <w:noProof/>
          <w:lang w:val="en-AU" w:eastAsia="en-AU"/>
        </w:rPr>
        <w:t xml:space="preserve"> 2007; Fidan et al., 2015)</w:t>
      </w:r>
      <w:r w:rsidRPr="00286A88">
        <w:rPr>
          <w:lang w:val="en-AU" w:eastAsia="en-AU"/>
        </w:rPr>
        <w:t xml:space="preserve">, and for some other birds the situation is worse. The large weight of turkeys suggests that they will be handled less smoothly and with less control. Geese are frequently very difficult to handle and flap violently. Laying hens are likely to have brittle or broken bones </w:t>
      </w:r>
      <w:r w:rsidRPr="00286A88">
        <w:rPr>
          <w:noProof/>
          <w:lang w:val="en-AU" w:eastAsia="en-AU"/>
        </w:rPr>
        <w:t>(Knowles and Wilkins, 1998)</w:t>
      </w:r>
      <w:r w:rsidRPr="00286A88">
        <w:rPr>
          <w:lang w:val="en-AU" w:eastAsia="en-AU"/>
        </w:rPr>
        <w:t xml:space="preserve">. Shackles take the form of metal bars formed to create tapered slots for each leg. Hanging from these shackles compresses and strains the legs and joints. </w:t>
      </w:r>
      <w:r w:rsidRPr="00286A88">
        <w:rPr>
          <w:noProof/>
          <w:lang w:val="en-AU" w:eastAsia="en-AU"/>
        </w:rPr>
        <w:t>Sparrey (1995)</w:t>
      </w:r>
      <w:r w:rsidRPr="00286A88">
        <w:rPr>
          <w:b/>
          <w:lang w:val="en-AU" w:eastAsia="en-AU"/>
        </w:rPr>
        <w:t xml:space="preserve"> </w:t>
      </w:r>
      <w:r w:rsidRPr="00286A88">
        <w:rPr>
          <w:lang w:val="en-AU" w:eastAsia="en-AU"/>
        </w:rPr>
        <w:t xml:space="preserve">reports that forces of five or ten times the birds’ weight are frequently used to pull the birds into the tapering gap of the shackles resulting in severe compression of the bird legs by forces of around 180 N. </w:t>
      </w:r>
      <w:r w:rsidRPr="00286A88">
        <w:rPr>
          <w:noProof/>
          <w:lang w:val="en-AU" w:eastAsia="en-AU"/>
        </w:rPr>
        <w:t>Gentle and Tilston (2000)</w:t>
      </w:r>
      <w:r w:rsidRPr="00286A88">
        <w:rPr>
          <w:lang w:val="en-AU" w:eastAsia="en-AU"/>
        </w:rPr>
        <w:t xml:space="preserve">, have shown that the legs of poultry are well supplied with nociceptors and so conclude this leg compression is likely to be painful. This pain may be worse for birds suffering from disease or abnormalities of leg bones or joints </w:t>
      </w:r>
      <w:r w:rsidRPr="00286A88">
        <w:rPr>
          <w:noProof/>
          <w:lang w:val="en-AU" w:eastAsia="en-AU"/>
        </w:rPr>
        <w:t>(Danbury et al., 2000)</w:t>
      </w:r>
      <w:r w:rsidRPr="00286A88">
        <w:rPr>
          <w:lang w:val="en-AU" w:eastAsia="en-AU"/>
        </w:rPr>
        <w:t xml:space="preserve">. Male birds (which usually have thicker shanks) struggle sooner and longer than female birds, suggesting that the thicker the shank and the greater the compression, the more distress is experienced </w:t>
      </w:r>
      <w:r w:rsidRPr="00286A88">
        <w:rPr>
          <w:noProof/>
          <w:lang w:val="en-AU" w:eastAsia="en-AU"/>
        </w:rPr>
        <w:t>(Satterlee et al., 2000)</w:t>
      </w:r>
      <w:r w:rsidRPr="00286A88">
        <w:rPr>
          <w:lang w:val="en-AU" w:eastAsia="en-AU"/>
        </w:rPr>
        <w:t xml:space="preserve">. Flapping and struggling is likely to cause further distress to birds, because of the potential for broken, bruised and dislocated wings </w:t>
      </w:r>
      <w:r w:rsidRPr="00286A88">
        <w:rPr>
          <w:noProof/>
          <w:lang w:val="en-AU" w:eastAsia="en-AU"/>
        </w:rPr>
        <w:t>(Jones et al., 1998)</w:t>
      </w:r>
      <w:r w:rsidRPr="00286A88">
        <w:rPr>
          <w:lang w:val="en-AU" w:eastAsia="en-AU"/>
        </w:rPr>
        <w:t>, and because flapping increases the likelihood of pre-stun shocks caused by the birds’ wings contacting the electrified water before the head enters the bath. Agitated birds can sometime flap their wings and avoid making any contact with the water-bath. They would therefore be bled while conscious.</w:t>
      </w:r>
    </w:p>
    <w:p w14:paraId="37119C91" w14:textId="77777777" w:rsidR="00286A88" w:rsidRPr="00286A88" w:rsidRDefault="00286A88" w:rsidP="007D2446">
      <w:pPr>
        <w:rPr>
          <w:lang w:val="en-GB" w:eastAsia="en-AU"/>
        </w:rPr>
      </w:pPr>
      <w:r w:rsidRPr="00286A88">
        <w:rPr>
          <w:lang w:val="en-AU" w:eastAsia="en-AU"/>
        </w:rPr>
        <w:t xml:space="preserve">Low lighting and/or blue lighting in the shackling area can help to reduce struggling and wing flapping by birds directly after shackling </w:t>
      </w:r>
      <w:r w:rsidRPr="00286A88">
        <w:rPr>
          <w:noProof/>
          <w:lang w:val="en-AU" w:eastAsia="en-AU"/>
        </w:rPr>
        <w:t>(Prayitno et al., 1997; Jones et al., 1998)</w:t>
      </w:r>
      <w:r w:rsidRPr="00286A88">
        <w:rPr>
          <w:lang w:val="en-AU" w:eastAsia="en-AU"/>
        </w:rPr>
        <w:t xml:space="preserve"> as can the presence of a curtain that the birds can lightly rest against, known as a breast comforting plate </w:t>
      </w:r>
      <w:r w:rsidRPr="00286A88">
        <w:rPr>
          <w:noProof/>
          <w:lang w:val="en-AU" w:eastAsia="en-AU"/>
        </w:rPr>
        <w:t>(Jones et al., 1998)</w:t>
      </w:r>
      <w:r w:rsidRPr="00286A88">
        <w:rPr>
          <w:lang w:val="en-AU" w:eastAsia="en-AU"/>
        </w:rPr>
        <w:t xml:space="preserve">. The duration for which birds are on the shackle line should be controlled. If it is too long they suffer and it is too short they may still be struggling and flapping their wings as they approach the water-bath. </w:t>
      </w:r>
      <w:r w:rsidRPr="00286A88">
        <w:rPr>
          <w:lang w:val="en-GB" w:eastAsia="en-AU"/>
        </w:rPr>
        <w:t xml:space="preserve">It has been suggested that broilers should be allowed to settle on the shackles for a minimum of 12 s, before entering the water-bath since research has shown that after this time the majority of birds have stopped flapping </w:t>
      </w:r>
      <w:r w:rsidRPr="00286A88">
        <w:rPr>
          <w:noProof/>
          <w:lang w:val="en-GB" w:eastAsia="en-AU"/>
        </w:rPr>
        <w:t>(Gregory and Bell, 1987)</w:t>
      </w:r>
      <w:r w:rsidRPr="00286A88">
        <w:rPr>
          <w:lang w:val="en-GB" w:eastAsia="en-AU"/>
        </w:rPr>
        <w:t>. However, longer shackling durations are associated with increased corticosterone levels compared to shorter durations, particularly when shackling exceeds 60 s, indicating increased stress (Fidan et al., 2015).</w:t>
      </w:r>
    </w:p>
    <w:p w14:paraId="39B03726" w14:textId="77777777" w:rsidR="00286A88" w:rsidRPr="00286A88" w:rsidRDefault="00286A88" w:rsidP="007D2446">
      <w:pPr>
        <w:rPr>
          <w:lang w:val="en-AU" w:eastAsia="en-AU"/>
        </w:rPr>
      </w:pPr>
      <w:r w:rsidRPr="00286A88">
        <w:rPr>
          <w:lang w:val="en-AU" w:eastAsia="en-AU"/>
        </w:rPr>
        <w:t xml:space="preserve">Some solutions to the problems caused by crushing in the shackles and inverting and suspending the birds have been proposed. These include a breast support conveyer and compliant shackles which conform to the size of a bird’s legs </w:t>
      </w:r>
      <w:r w:rsidRPr="00286A88">
        <w:rPr>
          <w:noProof/>
          <w:lang w:val="en-AU" w:eastAsia="en-AU"/>
        </w:rPr>
        <w:t>(Lines et al., 2011; 2012)</w:t>
      </w:r>
      <w:r w:rsidRPr="00286A88">
        <w:rPr>
          <w:lang w:val="en-AU" w:eastAsia="en-AU"/>
        </w:rPr>
        <w:t>. Neither development has been taken up commercially although the breast support conveyor has been built and used successfully in several small poultry processing lines. Industry experience suggests that it is particularly beneficial for turkeys.</w:t>
      </w:r>
    </w:p>
    <w:p w14:paraId="384089CB" w14:textId="77777777" w:rsidR="00286A88" w:rsidRPr="00C5168E" w:rsidRDefault="00286A88" w:rsidP="00C5168E">
      <w:pPr>
        <w:spacing w:before="180"/>
        <w:rPr>
          <w:b/>
          <w:i/>
        </w:rPr>
      </w:pPr>
      <w:r w:rsidRPr="00C5168E">
        <w:rPr>
          <w:b/>
          <w:i/>
        </w:rPr>
        <w:t>Water-bath design</w:t>
      </w:r>
    </w:p>
    <w:p w14:paraId="1EF2F42F" w14:textId="77777777" w:rsidR="00286A88" w:rsidRPr="00286A88" w:rsidRDefault="00286A88" w:rsidP="007D2446">
      <w:pPr>
        <w:rPr>
          <w:lang w:val="en-AU" w:eastAsia="en-AU"/>
        </w:rPr>
      </w:pPr>
      <w:r w:rsidRPr="00286A88">
        <w:rPr>
          <w:lang w:val="en-AU" w:eastAsia="en-AU"/>
        </w:rPr>
        <w:t xml:space="preserve">To ensure uniform current delivery along the water-bath, the electrode should run along the bottom of the full length of the water-bath </w:t>
      </w:r>
      <w:r w:rsidRPr="00286A88">
        <w:rPr>
          <w:noProof/>
          <w:lang w:val="en-AU" w:eastAsia="en-AU"/>
        </w:rPr>
        <w:t>(Schutt-Abraham and Wormuth, 1991)</w:t>
      </w:r>
      <w:r w:rsidRPr="00286A88">
        <w:rPr>
          <w:lang w:val="en-AU" w:eastAsia="en-AU"/>
        </w:rPr>
        <w:t xml:space="preserve">. In areas of particularly low water conductivity the electrical conduction water can be improved by a small amount of food-grade salt </w:t>
      </w:r>
      <w:r w:rsidRPr="00286A88">
        <w:rPr>
          <w:noProof/>
          <w:lang w:val="en-AU" w:eastAsia="en-AU"/>
        </w:rPr>
        <w:t>(Bilgili, 1992)</w:t>
      </w:r>
      <w:r w:rsidRPr="00286A88">
        <w:rPr>
          <w:lang w:val="en-AU" w:eastAsia="en-AU"/>
        </w:rPr>
        <w:t xml:space="preserve">. However the effect of adding salt to the water-bath may be short-lived as the water is changed while the system is in use </w:t>
      </w:r>
      <w:r w:rsidRPr="00286A88">
        <w:rPr>
          <w:noProof/>
          <w:lang w:val="en-AU" w:eastAsia="en-AU"/>
        </w:rPr>
        <w:t>(Perez-Palacios and Wotton, 2006)</w:t>
      </w:r>
      <w:r w:rsidRPr="00286A88">
        <w:rPr>
          <w:lang w:val="en-AU" w:eastAsia="en-AU"/>
        </w:rPr>
        <w:t>.</w:t>
      </w:r>
    </w:p>
    <w:p w14:paraId="698E74D5" w14:textId="77777777" w:rsidR="00286A88" w:rsidRPr="00286A88" w:rsidRDefault="00286A88" w:rsidP="007D2446">
      <w:pPr>
        <w:rPr>
          <w:lang w:val="en-AU" w:eastAsia="en-AU"/>
        </w:rPr>
      </w:pPr>
      <w:r w:rsidRPr="00286A88">
        <w:rPr>
          <w:lang w:val="en-AU" w:eastAsia="en-AU"/>
        </w:rPr>
        <w:t xml:space="preserve">Pre-stun shocks cause both carcase damage and poor welfare </w:t>
      </w:r>
      <w:r w:rsidRPr="00286A88">
        <w:rPr>
          <w:noProof/>
          <w:lang w:val="en-AU" w:eastAsia="en-AU"/>
        </w:rPr>
        <w:t>(Rao et al., 2013)</w:t>
      </w:r>
      <w:r w:rsidRPr="00286A88">
        <w:rPr>
          <w:lang w:val="en-AU" w:eastAsia="en-AU"/>
        </w:rPr>
        <w:t xml:space="preserve">. These can be minimised by using a level shackle line, rather than one that dips down at the water-bath since this stimulates birds to flap their wings, risking their wing-tips entering the water before their heads. Pre-stun shocks are also reduced by use of an entry ramp which is designed so that it only lightly holds back the birds as they pass over it. It must be electrically isolated from the electrified water and must not permit the water to overspill onto the ramp </w:t>
      </w:r>
      <w:r w:rsidRPr="00286A88">
        <w:rPr>
          <w:noProof/>
          <w:lang w:val="en-AU" w:eastAsia="en-AU"/>
        </w:rPr>
        <w:t>(Gregory and Wotton, 1991)</w:t>
      </w:r>
      <w:r w:rsidRPr="00286A88">
        <w:rPr>
          <w:lang w:val="en-AU" w:eastAsia="en-AU"/>
        </w:rPr>
        <w:t>. In Europe many retail poultry buyers require a routine third party welfare audit of water-bath systems, including the use of specialised measurement systems to detect pre-stun shocks.</w:t>
      </w:r>
    </w:p>
    <w:p w14:paraId="1924ED57" w14:textId="77777777" w:rsidR="00286A88" w:rsidRPr="00C5168E" w:rsidRDefault="00286A88" w:rsidP="00C5168E">
      <w:pPr>
        <w:spacing w:before="180"/>
        <w:rPr>
          <w:b/>
          <w:i/>
        </w:rPr>
      </w:pPr>
      <w:r w:rsidRPr="00C5168E">
        <w:rPr>
          <w:b/>
          <w:i/>
        </w:rPr>
        <w:t>Electrical parameters for water-bath stunning of poultry</w:t>
      </w:r>
    </w:p>
    <w:p w14:paraId="38B1F3E7" w14:textId="77777777" w:rsidR="00286A88" w:rsidRPr="00477A66" w:rsidRDefault="00286A88" w:rsidP="00477A66">
      <w:pPr>
        <w:rPr>
          <w:lang w:val="en-AU" w:eastAsia="en-AU"/>
        </w:rPr>
      </w:pPr>
      <w:r w:rsidRPr="00286A88">
        <w:rPr>
          <w:lang w:val="en-AU" w:eastAsia="en-AU"/>
        </w:rPr>
        <w:t xml:space="preserve">The strength of the electrical stun experienced by the birds is determined primarily by the current that flows through the birds. The magnitude of this current is dependent on the voltage of the water-bath and on the electrical resistance of the bird. This resistance varies between birds and with bird size, age, breed and sex. Because of the individual variation in bird size within a flock each bird on a shackle line will receive a different electrical current. It is important to ensure that the voltage of the water-bath is set so that the highest resistance birds receive an adequate stunning current. This can have commercial consequences since use of excessive current can cause carcase quality problems such as blood splash in the breast meat and broken pectoral bones </w:t>
      </w:r>
      <w:r w:rsidRPr="00286A88">
        <w:rPr>
          <w:noProof/>
          <w:lang w:val="en-AU" w:eastAsia="en-AU"/>
        </w:rPr>
        <w:t>(Knowles and Wilkins, 1998; Wilkins et al., 1998)</w:t>
      </w:r>
      <w:r w:rsidRPr="00286A88">
        <w:rPr>
          <w:lang w:val="en-AU" w:eastAsia="en-AU"/>
        </w:rPr>
        <w:t xml:space="preserve">. There is therefore a competing commercial pressure to avoid using excessive current. The performance of the electrical water-bath stunner must therefore be continuously monitored, measuring the average current and observing birds for signs of consciousness. Stunning current variation between individuals on the line can be reduced, but not eliminated, by processing single sex flocks of a uniform size. Deep immersion of a bird’s head requires less voltage to achieve a given current, compared to shallow immersion </w:t>
      </w:r>
      <w:r w:rsidRPr="00286A88">
        <w:rPr>
          <w:noProof/>
          <w:lang w:val="en-AU" w:eastAsia="en-AU"/>
        </w:rPr>
        <w:t>(Raj and O’Callaghan, 2004a)</w:t>
      </w:r>
      <w:r w:rsidRPr="00286A88">
        <w:rPr>
          <w:lang w:val="en-AU" w:eastAsia="en-AU"/>
        </w:rPr>
        <w:t xml:space="preserve">, so ensuring that the height of the water-bath allows all birds’ heads to be well submerged will help achieve uniform stunning. </w:t>
      </w:r>
      <w:r w:rsidRPr="00286A88">
        <w:rPr>
          <w:noProof/>
          <w:lang w:val="en-GB" w:eastAsia="en-AU"/>
        </w:rPr>
        <w:t>Wotton and Wilkins (2004)</w:t>
      </w:r>
      <w:r w:rsidRPr="00286A88">
        <w:rPr>
          <w:lang w:val="en-GB" w:eastAsia="en-AU"/>
        </w:rPr>
        <w:t xml:space="preserve"> report that the major variation in bird </w:t>
      </w:r>
      <w:r w:rsidRPr="00477A66">
        <w:rPr>
          <w:lang w:val="en-AU" w:eastAsia="en-AU"/>
        </w:rPr>
        <w:t>resistance is caused by the leg size, and the interface between the bird’s leg and the shackle.</w:t>
      </w:r>
    </w:p>
    <w:p w14:paraId="1DE6C1D5" w14:textId="77777777" w:rsidR="00286A88" w:rsidRPr="00477A66" w:rsidRDefault="00286A88" w:rsidP="00477A66">
      <w:pPr>
        <w:rPr>
          <w:lang w:val="en-AU" w:eastAsia="en-AU"/>
        </w:rPr>
      </w:pPr>
      <w:r w:rsidRPr="00477A66">
        <w:rPr>
          <w:lang w:val="en-AU" w:eastAsia="en-AU"/>
        </w:rPr>
        <w:t>A solution to the problem of different birds receiving different electrical currents due to their individual resistances is constant current stunning (Sparrey et al., 1993) which enables each bird to be exposed to the same current. Although this has been shown to benefit bird welfare and carcase quality (Wilkins et al., 1999), no commercial equipment to achieve this is available, because of the increased complexity of the electrical connections.</w:t>
      </w:r>
    </w:p>
    <w:p w14:paraId="38A6C4D9" w14:textId="77777777" w:rsidR="00286A88" w:rsidRPr="00477A66" w:rsidRDefault="00286A88" w:rsidP="00477A66">
      <w:pPr>
        <w:rPr>
          <w:lang w:val="en-AU" w:eastAsia="en-AU"/>
        </w:rPr>
      </w:pPr>
      <w:r w:rsidRPr="00477A66">
        <w:rPr>
          <w:lang w:val="en-AU" w:eastAsia="en-AU"/>
        </w:rPr>
        <w:t>More recently Lambooij et al. (2008; 2010b; 2012) have investigated making electrical contact with the bird’s cloaca rather than through its legs. Since the legs are removed from the current path this is likely to result in less variation in resistance between birds and hence fewer birds will receive too much current. This work has also been shown to be technically feasible and to have demonstrable advantages however it seems unlikely to be developed for commercial use, partly due to the difficulty in accurately placing a cloaca electrode in a commercial setting (European Commission, 2012).</w:t>
      </w:r>
    </w:p>
    <w:p w14:paraId="70DA82B5" w14:textId="77777777" w:rsidR="00286A88" w:rsidRPr="00477A66" w:rsidRDefault="00286A88" w:rsidP="00477A66">
      <w:pPr>
        <w:rPr>
          <w:lang w:val="en-AU" w:eastAsia="en-AU"/>
        </w:rPr>
      </w:pPr>
      <w:r w:rsidRPr="00477A66">
        <w:rPr>
          <w:lang w:val="en-AU" w:eastAsia="en-AU"/>
        </w:rPr>
        <w:t>Achieving an adequate stun depends on the electrical parameters used in the water-bath. The key electrical parameters are the electrical current, the frequency and the waveform. An electrical stun is generally driven by either an alternating voltage waveform (AC) or a pulsed direct voltage waveform (pDC).</w:t>
      </w:r>
    </w:p>
    <w:p w14:paraId="09D55DB5" w14:textId="77777777" w:rsidR="00286A88" w:rsidRPr="00477A66" w:rsidRDefault="00286A88" w:rsidP="00477A66">
      <w:pPr>
        <w:rPr>
          <w:lang w:val="en-AU" w:eastAsia="en-AU"/>
        </w:rPr>
      </w:pPr>
      <w:r w:rsidRPr="00477A66">
        <w:rPr>
          <w:lang w:val="en-AU" w:eastAsia="en-AU"/>
        </w:rPr>
        <w:t>With an AC system, the voltage oscillates continuously between a positive and a negative potential with respect to ground. This voltage signal may be sinusoidal, square or another pattern. The key parameters to be measured are the frequency of the oscillation, the root mean square (rms) voltage delivered and the resulting rms current flowing through the birds. Root mean square (rms) is a measure used to characterise the magnitude of a rapidly changing signal. Average or mean voltage cannot be used because the arithmetical mean of an alternating signal is always zero since it is equally positive and negative.</w:t>
      </w:r>
    </w:p>
    <w:p w14:paraId="59789748" w14:textId="77777777" w:rsidR="00286A88" w:rsidRPr="00477A66" w:rsidRDefault="00286A88" w:rsidP="00477A66">
      <w:pPr>
        <w:rPr>
          <w:lang w:val="en-AU" w:eastAsia="en-AU"/>
        </w:rPr>
      </w:pPr>
      <w:r w:rsidRPr="00477A66">
        <w:rPr>
          <w:lang w:val="en-AU" w:eastAsia="en-AU"/>
        </w:rPr>
        <w:t>With a pulsed direct current system (pDC), the voltage always has the same polarity and is alternately zero and either positive or negative. Such a voltage signal is generally easier and cheaper to produce than an AC voltages. A pDC system can be electrically described in a range of ways. The key parameters apart from voltage and current are the frequency of the pulses and the proportion of the time that the voltage is not at zero. This is termed the duty cycle and expressed as a percentage. Alternatively, the duration for which the voltage is present in each cycle can be measured. This is called the pulse width and is measured in seconds. The voltage (or current) can be quantified as either the peak voltage, the average voltage or the rms voltage. However, it is important to understand that the terms average and rms are not synonymous and so average voltages cannot be directly compared with rms voltages (Figure SL1).</w:t>
      </w:r>
    </w:p>
    <w:p w14:paraId="02509DA5" w14:textId="77777777" w:rsidR="00286A88" w:rsidRPr="00286A88" w:rsidRDefault="00286A88" w:rsidP="00FD1284">
      <w:pPr>
        <w:rPr>
          <w:lang w:val="en-AU" w:eastAsia="en-AU"/>
        </w:rPr>
      </w:pPr>
      <w:r w:rsidRPr="00286A88">
        <w:rPr>
          <w:lang w:val="en-AU" w:eastAsia="en-AU"/>
        </w:rPr>
        <w:t xml:space="preserve">The rms voltage of a pulsed DC system with rectangular pulses is calculated as </w:t>
      </w:r>
    </w:p>
    <w:p w14:paraId="69BC7969" w14:textId="77777777" w:rsidR="00286A88" w:rsidRPr="00A16C7A" w:rsidRDefault="00286A88" w:rsidP="00A16C7A">
      <w:pPr>
        <w:spacing w:after="200" w:line="240" w:lineRule="auto"/>
        <w:ind w:left="3600" w:firstLine="720"/>
      </w:pPr>
      <w:r w:rsidRPr="00A16C7A">
        <w:t>V max /</w:t>
      </w:r>
      <w:r w:rsidRPr="004C2EAE">
        <w:t xml:space="preserve"> </w:t>
      </w:r>
      <m:oMath>
        <m:rad>
          <m:radPr>
            <m:degHide m:val="1"/>
            <m:ctrlPr>
              <w:rPr>
                <w:rFonts w:ascii="Cambria Math" w:eastAsia="Times New Roman" w:hAnsi="Cambria Math" w:cs="Arial"/>
                <w:color w:val="auto"/>
                <w:sz w:val="20"/>
                <w:szCs w:val="20"/>
                <w:lang w:val="en-AU" w:eastAsia="en-AU"/>
              </w:rPr>
            </m:ctrlPr>
          </m:radPr>
          <m:deg/>
          <m:e>
            <m:r>
              <m:rPr>
                <m:sty m:val="p"/>
              </m:rPr>
              <w:rPr>
                <w:rFonts w:ascii="Cambria Math" w:eastAsia="Times New Roman" w:hAnsi="Cambria Math" w:cs="Arial"/>
                <w:color w:val="auto"/>
                <w:sz w:val="20"/>
                <w:szCs w:val="20"/>
                <w:lang w:val="en-AU" w:eastAsia="en-AU"/>
              </w:rPr>
              <m:t>duty cycle</m:t>
            </m:r>
          </m:e>
        </m:rad>
      </m:oMath>
    </w:p>
    <w:p w14:paraId="7E8AB35E" w14:textId="77777777" w:rsidR="00286A88" w:rsidRPr="00286A88" w:rsidRDefault="00286A88" w:rsidP="00A16C7A">
      <w:pPr>
        <w:rPr>
          <w:lang w:val="en-AU" w:eastAsia="en-AU"/>
        </w:rPr>
      </w:pPr>
      <w:r w:rsidRPr="00286A88">
        <w:rPr>
          <w:lang w:val="en-AU" w:eastAsia="en-AU"/>
        </w:rPr>
        <w:t xml:space="preserve">whereas the average voltage is </w:t>
      </w:r>
    </w:p>
    <w:p w14:paraId="2A102884" w14:textId="77777777" w:rsidR="00286A88" w:rsidRPr="00286A88" w:rsidRDefault="00286A88" w:rsidP="00A16C7A">
      <w:pPr>
        <w:ind w:left="3600" w:firstLine="720"/>
        <w:rPr>
          <w:lang w:val="en-AU" w:eastAsia="en-AU"/>
        </w:rPr>
      </w:pPr>
      <w:r w:rsidRPr="00286A88">
        <w:rPr>
          <w:lang w:val="en-AU" w:eastAsia="en-AU"/>
        </w:rPr>
        <w:t>V max / (duty cycle)</w:t>
      </w:r>
    </w:p>
    <w:p w14:paraId="48EF2419" w14:textId="77777777" w:rsidR="00286A88" w:rsidRPr="00286A88" w:rsidRDefault="00286A88" w:rsidP="00A16C7A">
      <w:pPr>
        <w:rPr>
          <w:lang w:val="en-AU" w:eastAsia="en-AU"/>
        </w:rPr>
      </w:pPr>
      <w:r w:rsidRPr="00286A88">
        <w:rPr>
          <w:lang w:val="en-AU" w:eastAsia="en-AU"/>
        </w:rPr>
        <w:t>The value of the rms voltage is always greater than the value of the average voltage. If the duty cycle is 50% then the rms voltage will be 1.41 x average voltage.</w:t>
      </w:r>
    </w:p>
    <w:p w14:paraId="1948AC40" w14:textId="77777777" w:rsidR="00286A88" w:rsidRPr="00286A88" w:rsidRDefault="00286A88" w:rsidP="00A16C7A">
      <w:pPr>
        <w:rPr>
          <w:lang w:val="en-AU" w:eastAsia="en-AU"/>
        </w:rPr>
      </w:pPr>
      <w:r w:rsidRPr="00286A88">
        <w:rPr>
          <w:lang w:val="en-AU" w:eastAsia="en-AU"/>
        </w:rPr>
        <w:t>Many modern, digital voltage meters are not able to correctly measure the rms of a pDC signal. They need a setting identified as “AC+DC”. However, with appropriate equipment the measurement of the water-bath rms voltage is a relatively trivial task, as is the measurement of the total current passing through all the birds that are in the water-bath. These measurements should be made continuously. Measurement of the current passing through an individual bird is significantly more difficult and currently not possible on a continuous basis.</w:t>
      </w:r>
    </w:p>
    <w:p w14:paraId="1404CC93" w14:textId="77777777" w:rsidR="00286A88" w:rsidRPr="00286A88" w:rsidRDefault="00286A88" w:rsidP="00A16C7A">
      <w:pPr>
        <w:rPr>
          <w:lang w:val="en-AU" w:eastAsia="en-AU"/>
        </w:rPr>
      </w:pPr>
      <w:r w:rsidRPr="00286A88">
        <w:rPr>
          <w:lang w:val="en-AU" w:eastAsia="en-AU"/>
        </w:rPr>
        <w:t xml:space="preserve">The most reliable means of determining unconsciousness is by measuring brain activity using EEG signals. Behavioural indicators of insensibility are less reliable. There are two main bodies of research into the effectiveness of electrical water-bath stunning for broiler chickens. These are by Raj et al. </w:t>
      </w:r>
      <w:r w:rsidRPr="00286A88">
        <w:rPr>
          <w:noProof/>
          <w:lang w:val="en-AU" w:eastAsia="en-AU"/>
        </w:rPr>
        <w:t>(2006a; 2006b; 2006c)</w:t>
      </w:r>
      <w:r w:rsidRPr="00286A88">
        <w:rPr>
          <w:lang w:val="en-AU" w:eastAsia="en-AU"/>
        </w:rPr>
        <w:t xml:space="preserve"> and by Prinz et al. </w:t>
      </w:r>
      <w:r w:rsidRPr="00286A88">
        <w:rPr>
          <w:noProof/>
          <w:lang w:val="en-AU" w:eastAsia="en-AU"/>
        </w:rPr>
        <w:t>(2010a; 2010b; 2012)</w:t>
      </w:r>
      <w:r w:rsidRPr="00286A88">
        <w:rPr>
          <w:lang w:val="en-AU" w:eastAsia="en-AU"/>
        </w:rPr>
        <w:t xml:space="preserve">. Many other papers investigate smaller areas of this subject (e.g. </w:t>
      </w:r>
      <w:r w:rsidRPr="00286A88">
        <w:rPr>
          <w:noProof/>
          <w:lang w:val="en-AU" w:eastAsia="en-AU"/>
        </w:rPr>
        <w:t>Girasole et al., 2015)</w:t>
      </w:r>
      <w:r w:rsidRPr="00286A88">
        <w:rPr>
          <w:lang w:val="en-AU" w:eastAsia="en-AU"/>
        </w:rPr>
        <w:t xml:space="preserve"> but no other bodies of work cover a wide range of parameters and base the conclusions on unconsciousness as determined by EEG measurements rather than the less reliable behavioural indications.</w:t>
      </w:r>
    </w:p>
    <w:p w14:paraId="1728D528" w14:textId="77777777" w:rsidR="00286A88" w:rsidRPr="00286A88" w:rsidRDefault="00286A88" w:rsidP="00A16C7A">
      <w:pPr>
        <w:rPr>
          <w:lang w:val="en-AU" w:eastAsia="en-AU"/>
        </w:rPr>
      </w:pPr>
      <w:r w:rsidRPr="00286A88">
        <w:rPr>
          <w:lang w:val="en-AU" w:eastAsia="en-AU"/>
        </w:rPr>
        <w:t>The criteria that both Raj and Prinz use to identify unconsciousness is that the measured electroencephalogram (EEG) signals show suppression to less than 10% of the pre-stun power levels in the two key frequency bands: 2 - 30 Hz and 13 - 30 Hz. The 2 - 30 Hz frequency band in EEG is associated with all states of consciousness, and the narrower 13 - 30 Hz band is associated with sensitivity to stimuli and the ability to process information.</w:t>
      </w:r>
    </w:p>
    <w:p w14:paraId="14862A63" w14:textId="77777777" w:rsidR="00286A88" w:rsidRPr="00864384" w:rsidRDefault="00286A88" w:rsidP="00286A88">
      <w:pPr>
        <w:keepNext/>
        <w:spacing w:after="200" w:line="240" w:lineRule="auto"/>
        <w:jc w:val="both"/>
        <w:rPr>
          <w:rFonts w:eastAsia="Times New Roman" w:cs="Arial"/>
          <w:color w:val="auto"/>
          <w:sz w:val="22"/>
          <w:szCs w:val="22"/>
          <w:lang w:val="en-AU" w:eastAsia="en-AU"/>
        </w:rPr>
      </w:pPr>
      <w:r>
        <w:rPr>
          <w:rFonts w:ascii="Cambria" w:eastAsia="Times New Roman" w:hAnsi="Cambria" w:cs="Times New Roman"/>
          <w:noProof/>
          <w:color w:val="auto"/>
          <w:sz w:val="22"/>
          <w:szCs w:val="22"/>
          <w:lang w:val="en-AU" w:eastAsia="en-AU"/>
        </w:rPr>
        <mc:AlternateContent>
          <mc:Choice Requires="wpg">
            <w:drawing>
              <wp:inline distT="0" distB="0" distL="0" distR="0" wp14:anchorId="3F90BDA5" wp14:editId="2EC845C6">
                <wp:extent cx="5600700" cy="3291840"/>
                <wp:effectExtent l="9525" t="6985" r="9525" b="6350"/>
                <wp:docPr id="29" name="Group 29" descr="This figure shows two illustrations. The illustration on the top is of square and sinusoidal alternating (AC) voltage wave forms. The illustration on the bottom shows pulsed direct (pDC) voltage wave forms." title="Figure SL1: Illustration of alternating (AC) and pulsed direct (pDC) voltage wave form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3291840"/>
                          <a:chOff x="0" y="0"/>
                          <a:chExt cx="56007" cy="32918"/>
                        </a:xfrm>
                      </wpg:grpSpPr>
                      <wps:wsp>
                        <wps:cNvPr id="30" name="AutoShape 3"/>
                        <wps:cNvSpPr>
                          <a:spLocks noChangeAspect="1" noChangeArrowheads="1"/>
                        </wps:cNvSpPr>
                        <wps:spPr bwMode="auto">
                          <a:xfrm>
                            <a:off x="0" y="0"/>
                            <a:ext cx="56007" cy="32918"/>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 name="Picture 4" descr="The illustration on the top is of square and sinusoidal alternating (AC) voltage wave forms." title="Square and sinusoidal wave form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4513" y="3097"/>
                            <a:ext cx="45842" cy="170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5" descr="This illustration shows pulsed direct (pDC) voltage wave forms." title="Pusled direct (pDC) voltage wave form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4425" y="17462"/>
                            <a:ext cx="45850" cy="15456"/>
                          </a:xfrm>
                          <a:prstGeom prst="rect">
                            <a:avLst/>
                          </a:prstGeom>
                          <a:noFill/>
                          <a:extLst>
                            <a:ext uri="{909E8E84-426E-40DD-AFC4-6F175D3DCCD1}">
                              <a14:hiddenFill xmlns:a14="http://schemas.microsoft.com/office/drawing/2010/main">
                                <a:solidFill>
                                  <a:srgbClr val="FFFFFF"/>
                                </a:solidFill>
                              </a14:hiddenFill>
                            </a:ext>
                          </a:extLst>
                        </pic:spPr>
                      </pic:pic>
                      <wps:wsp>
                        <wps:cNvPr id="33" name="AutoShape 6"/>
                        <wps:cNvCnPr>
                          <a:cxnSpLocks noChangeShapeType="1"/>
                        </wps:cNvCnPr>
                        <wps:spPr bwMode="auto">
                          <a:xfrm>
                            <a:off x="30853" y="5717"/>
                            <a:ext cx="9146" cy="8"/>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4" name="AutoShape 7"/>
                        <wps:cNvCnPr>
                          <a:cxnSpLocks noChangeShapeType="1"/>
                        </wps:cNvCnPr>
                        <wps:spPr bwMode="auto">
                          <a:xfrm>
                            <a:off x="22662" y="19071"/>
                            <a:ext cx="9146" cy="7"/>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5" name="AutoShape 8"/>
                        <wps:cNvCnPr>
                          <a:cxnSpLocks noChangeShapeType="1"/>
                        </wps:cNvCnPr>
                        <wps:spPr bwMode="auto">
                          <a:xfrm flipV="1">
                            <a:off x="6901" y="27599"/>
                            <a:ext cx="41368" cy="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Text Box 9"/>
                        <wps:cNvSpPr txBox="1">
                          <a:spLocks noChangeArrowheads="1"/>
                        </wps:cNvSpPr>
                        <wps:spPr bwMode="auto">
                          <a:xfrm>
                            <a:off x="13118" y="28100"/>
                            <a:ext cx="6821" cy="2939"/>
                          </a:xfrm>
                          <a:prstGeom prst="rect">
                            <a:avLst/>
                          </a:prstGeom>
                          <a:solidFill>
                            <a:schemeClr val="bg1">
                              <a:lumMod val="100000"/>
                              <a:lumOff val="0"/>
                              <a:alpha val="0"/>
                            </a:schemeClr>
                          </a:solidFill>
                          <a:ln w="9525">
                            <a:solidFill>
                              <a:schemeClr val="bg1">
                                <a:lumMod val="100000"/>
                                <a:lumOff val="0"/>
                              </a:schemeClr>
                            </a:solidFill>
                            <a:miter lim="800000"/>
                            <a:headEnd/>
                            <a:tailEnd/>
                          </a:ln>
                        </wps:spPr>
                        <wps:txbx>
                          <w:txbxContent>
                            <w:p w14:paraId="25922A92" w14:textId="77777777" w:rsidR="00C4034A" w:rsidRDefault="00C4034A" w:rsidP="00286A88">
                              <w:r>
                                <w:t>time (s)</w:t>
                              </w:r>
                            </w:p>
                          </w:txbxContent>
                        </wps:txbx>
                        <wps:bodyPr rot="0" vert="horz" wrap="square" lIns="0" tIns="0" rIns="0" bIns="0" anchor="t" anchorCtr="0" upright="1">
                          <a:noAutofit/>
                        </wps:bodyPr>
                      </wps:wsp>
                      <wps:wsp>
                        <wps:cNvPr id="37" name="AutoShape 10"/>
                        <wps:cNvCnPr>
                          <a:cxnSpLocks noChangeShapeType="1"/>
                        </wps:cNvCnPr>
                        <wps:spPr bwMode="auto">
                          <a:xfrm flipV="1">
                            <a:off x="6901" y="19078"/>
                            <a:ext cx="8" cy="85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Text Box 11"/>
                        <wps:cNvSpPr txBox="1">
                          <a:spLocks noChangeArrowheads="1"/>
                        </wps:cNvSpPr>
                        <wps:spPr bwMode="auto">
                          <a:xfrm>
                            <a:off x="2587" y="22351"/>
                            <a:ext cx="3335" cy="2939"/>
                          </a:xfrm>
                          <a:prstGeom prst="rect">
                            <a:avLst/>
                          </a:prstGeom>
                          <a:solidFill>
                            <a:schemeClr val="bg1">
                              <a:lumMod val="100000"/>
                              <a:lumOff val="0"/>
                              <a:alpha val="0"/>
                            </a:schemeClr>
                          </a:solidFill>
                          <a:ln w="9525">
                            <a:solidFill>
                              <a:schemeClr val="bg1">
                                <a:lumMod val="100000"/>
                                <a:lumOff val="0"/>
                              </a:schemeClr>
                            </a:solidFill>
                            <a:miter lim="800000"/>
                            <a:headEnd/>
                            <a:tailEnd/>
                          </a:ln>
                        </wps:spPr>
                        <wps:txbx>
                          <w:txbxContent>
                            <w:p w14:paraId="58AF4924" w14:textId="77777777" w:rsidR="00C4034A" w:rsidRDefault="00C4034A" w:rsidP="00286A88">
                              <w:r>
                                <w:t>volts</w:t>
                              </w:r>
                            </w:p>
                          </w:txbxContent>
                        </wps:txbx>
                        <wps:bodyPr rot="0" vert="horz" wrap="square" lIns="0" tIns="0" rIns="0" bIns="0" anchor="t" anchorCtr="0" upright="1">
                          <a:noAutofit/>
                        </wps:bodyPr>
                      </wps:wsp>
                      <wps:wsp>
                        <wps:cNvPr id="39" name="Text Box 12"/>
                        <wps:cNvSpPr txBox="1">
                          <a:spLocks noChangeArrowheads="1"/>
                        </wps:cNvSpPr>
                        <wps:spPr bwMode="auto">
                          <a:xfrm>
                            <a:off x="5412" y="10049"/>
                            <a:ext cx="1497" cy="2301"/>
                          </a:xfrm>
                          <a:prstGeom prst="rect">
                            <a:avLst/>
                          </a:prstGeom>
                          <a:solidFill>
                            <a:schemeClr val="bg1">
                              <a:lumMod val="100000"/>
                              <a:lumOff val="0"/>
                              <a:alpha val="0"/>
                            </a:schemeClr>
                          </a:solidFill>
                          <a:ln w="9525">
                            <a:solidFill>
                              <a:schemeClr val="bg1">
                                <a:lumMod val="100000"/>
                                <a:lumOff val="0"/>
                              </a:schemeClr>
                            </a:solidFill>
                            <a:miter lim="800000"/>
                            <a:headEnd/>
                            <a:tailEnd/>
                          </a:ln>
                        </wps:spPr>
                        <wps:txbx>
                          <w:txbxContent>
                            <w:p w14:paraId="275062A2" w14:textId="77777777" w:rsidR="00C4034A" w:rsidRDefault="00C4034A" w:rsidP="00286A88">
                              <w:r>
                                <w:t xml:space="preserve">0 </w:t>
                              </w:r>
                            </w:p>
                          </w:txbxContent>
                        </wps:txbx>
                        <wps:bodyPr rot="0" vert="horz" wrap="square" lIns="0" tIns="0" rIns="0" bIns="0" anchor="t" anchorCtr="0" upright="1">
                          <a:noAutofit/>
                        </wps:bodyPr>
                      </wps:wsp>
                      <wps:wsp>
                        <wps:cNvPr id="40" name="AutoShape 13"/>
                        <wps:cNvCnPr>
                          <a:cxnSpLocks noChangeShapeType="1"/>
                        </wps:cNvCnPr>
                        <wps:spPr bwMode="auto">
                          <a:xfrm flipV="1">
                            <a:off x="6901" y="6195"/>
                            <a:ext cx="8" cy="989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1" name="Text Box 14"/>
                        <wps:cNvSpPr txBox="1">
                          <a:spLocks noChangeArrowheads="1"/>
                        </wps:cNvSpPr>
                        <wps:spPr bwMode="auto">
                          <a:xfrm>
                            <a:off x="2587" y="6537"/>
                            <a:ext cx="3335" cy="2930"/>
                          </a:xfrm>
                          <a:prstGeom prst="rect">
                            <a:avLst/>
                          </a:prstGeom>
                          <a:solidFill>
                            <a:schemeClr val="bg1">
                              <a:lumMod val="100000"/>
                              <a:lumOff val="0"/>
                              <a:alpha val="0"/>
                            </a:schemeClr>
                          </a:solidFill>
                          <a:ln w="9525">
                            <a:solidFill>
                              <a:schemeClr val="bg1">
                                <a:lumMod val="100000"/>
                                <a:lumOff val="0"/>
                              </a:schemeClr>
                            </a:solidFill>
                            <a:miter lim="800000"/>
                            <a:headEnd/>
                            <a:tailEnd/>
                          </a:ln>
                        </wps:spPr>
                        <wps:txbx>
                          <w:txbxContent>
                            <w:p w14:paraId="49E46322" w14:textId="77777777" w:rsidR="00C4034A" w:rsidRDefault="00C4034A" w:rsidP="00286A88">
                              <w:r>
                                <w:t>volts</w:t>
                              </w:r>
                            </w:p>
                          </w:txbxContent>
                        </wps:txbx>
                        <wps:bodyPr rot="0" vert="horz" wrap="square" lIns="0" tIns="0" rIns="0" bIns="0" anchor="t" anchorCtr="0" upright="1">
                          <a:noAutofit/>
                        </wps:bodyPr>
                      </wps:wsp>
                      <wps:wsp>
                        <wps:cNvPr id="42" name="AutoShape 15"/>
                        <wps:cNvCnPr>
                          <a:cxnSpLocks noChangeShapeType="1"/>
                        </wps:cNvCnPr>
                        <wps:spPr bwMode="auto">
                          <a:xfrm flipV="1">
                            <a:off x="6901" y="11052"/>
                            <a:ext cx="41368" cy="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Text Box 16"/>
                        <wps:cNvSpPr txBox="1">
                          <a:spLocks noChangeArrowheads="1"/>
                        </wps:cNvSpPr>
                        <wps:spPr bwMode="auto">
                          <a:xfrm>
                            <a:off x="32978" y="3591"/>
                            <a:ext cx="6312" cy="2946"/>
                          </a:xfrm>
                          <a:prstGeom prst="rect">
                            <a:avLst/>
                          </a:prstGeom>
                          <a:solidFill>
                            <a:schemeClr val="bg1">
                              <a:lumMod val="100000"/>
                              <a:lumOff val="0"/>
                              <a:alpha val="0"/>
                            </a:schemeClr>
                          </a:solidFill>
                          <a:ln w="9525">
                            <a:solidFill>
                              <a:schemeClr val="bg1">
                                <a:lumMod val="100000"/>
                                <a:lumOff val="0"/>
                              </a:schemeClr>
                            </a:solidFill>
                            <a:miter lim="800000"/>
                            <a:headEnd/>
                            <a:tailEnd/>
                          </a:ln>
                        </wps:spPr>
                        <wps:txbx>
                          <w:txbxContent>
                            <w:p w14:paraId="1B9FAF70" w14:textId="77777777" w:rsidR="00C4034A" w:rsidRDefault="00C4034A" w:rsidP="00286A88">
                              <w:r>
                                <w:t>period</w:t>
                              </w:r>
                            </w:p>
                          </w:txbxContent>
                        </wps:txbx>
                        <wps:bodyPr rot="0" vert="horz" wrap="square" lIns="0" tIns="0" rIns="0" bIns="0" anchor="t" anchorCtr="0" upright="1">
                          <a:noAutofit/>
                        </wps:bodyPr>
                      </wps:wsp>
                      <wps:wsp>
                        <wps:cNvPr id="44" name="Text Box 17"/>
                        <wps:cNvSpPr txBox="1">
                          <a:spLocks noChangeArrowheads="1"/>
                        </wps:cNvSpPr>
                        <wps:spPr bwMode="auto">
                          <a:xfrm>
                            <a:off x="24540" y="16642"/>
                            <a:ext cx="6313" cy="2946"/>
                          </a:xfrm>
                          <a:prstGeom prst="rect">
                            <a:avLst/>
                          </a:prstGeom>
                          <a:solidFill>
                            <a:schemeClr val="bg1">
                              <a:lumMod val="100000"/>
                              <a:lumOff val="0"/>
                              <a:alpha val="0"/>
                            </a:schemeClr>
                          </a:solidFill>
                          <a:ln w="9525">
                            <a:solidFill>
                              <a:schemeClr val="bg1">
                                <a:lumMod val="100000"/>
                                <a:lumOff val="0"/>
                              </a:schemeClr>
                            </a:solidFill>
                            <a:miter lim="800000"/>
                            <a:headEnd/>
                            <a:tailEnd/>
                          </a:ln>
                        </wps:spPr>
                        <wps:txbx>
                          <w:txbxContent>
                            <w:p w14:paraId="7BF54238" w14:textId="77777777" w:rsidR="00C4034A" w:rsidRDefault="00C4034A" w:rsidP="00286A88">
                              <w:r>
                                <w:t>period</w:t>
                              </w:r>
                            </w:p>
                          </w:txbxContent>
                        </wps:txbx>
                        <wps:bodyPr rot="0" vert="horz" wrap="square" lIns="0" tIns="0" rIns="0" bIns="0" anchor="t" anchorCtr="0" upright="1">
                          <a:noAutofit/>
                        </wps:bodyPr>
                      </wps:wsp>
                      <wps:wsp>
                        <wps:cNvPr id="45" name="Text Box 18"/>
                        <wps:cNvSpPr txBox="1">
                          <a:spLocks noChangeArrowheads="1"/>
                        </wps:cNvSpPr>
                        <wps:spPr bwMode="auto">
                          <a:xfrm>
                            <a:off x="6407" y="2380"/>
                            <a:ext cx="31132" cy="2947"/>
                          </a:xfrm>
                          <a:prstGeom prst="rect">
                            <a:avLst/>
                          </a:prstGeom>
                          <a:solidFill>
                            <a:schemeClr val="bg1">
                              <a:lumMod val="100000"/>
                              <a:lumOff val="0"/>
                              <a:alpha val="0"/>
                            </a:schemeClr>
                          </a:solidFill>
                          <a:ln w="9525">
                            <a:solidFill>
                              <a:schemeClr val="bg1">
                                <a:lumMod val="100000"/>
                                <a:lumOff val="0"/>
                              </a:schemeClr>
                            </a:solidFill>
                            <a:miter lim="800000"/>
                            <a:headEnd/>
                            <a:tailEnd/>
                          </a:ln>
                        </wps:spPr>
                        <wps:txbx>
                          <w:txbxContent>
                            <w:p w14:paraId="3FBF8CFD" w14:textId="77777777" w:rsidR="00C4034A" w:rsidRDefault="00C4034A" w:rsidP="00286A88">
                              <w:r>
                                <w:t>square and sinusoidal AC wave forms</w:t>
                              </w:r>
                            </w:p>
                          </w:txbxContent>
                        </wps:txbx>
                        <wps:bodyPr rot="0" vert="horz" wrap="square" lIns="0" tIns="0" rIns="0" bIns="0" anchor="t" anchorCtr="0" upright="1">
                          <a:noAutofit/>
                        </wps:bodyPr>
                      </wps:wsp>
                      <wps:wsp>
                        <wps:cNvPr id="46" name="Text Box 19"/>
                        <wps:cNvSpPr txBox="1">
                          <a:spLocks noChangeArrowheads="1"/>
                        </wps:cNvSpPr>
                        <wps:spPr bwMode="auto">
                          <a:xfrm>
                            <a:off x="5922" y="16092"/>
                            <a:ext cx="11009" cy="2947"/>
                          </a:xfrm>
                          <a:prstGeom prst="rect">
                            <a:avLst/>
                          </a:prstGeom>
                          <a:solidFill>
                            <a:schemeClr val="bg1">
                              <a:lumMod val="100000"/>
                              <a:lumOff val="0"/>
                              <a:alpha val="0"/>
                            </a:schemeClr>
                          </a:solidFill>
                          <a:ln w="9525">
                            <a:solidFill>
                              <a:schemeClr val="bg1">
                                <a:lumMod val="100000"/>
                                <a:lumOff val="0"/>
                              </a:schemeClr>
                            </a:solidFill>
                            <a:miter lim="800000"/>
                            <a:headEnd/>
                            <a:tailEnd/>
                          </a:ln>
                        </wps:spPr>
                        <wps:txbx>
                          <w:txbxContent>
                            <w:p w14:paraId="71C8F4DC" w14:textId="77777777" w:rsidR="00C4034A" w:rsidRDefault="00C4034A" w:rsidP="00286A88">
                              <w:r>
                                <w:t>pDC wave form</w:t>
                              </w:r>
                            </w:p>
                          </w:txbxContent>
                        </wps:txbx>
                        <wps:bodyPr rot="0" vert="horz" wrap="square" lIns="0" tIns="0" rIns="0" bIns="0" anchor="t" anchorCtr="0" upright="1">
                          <a:noAutofit/>
                        </wps:bodyPr>
                      </wps:wsp>
                      <wps:wsp>
                        <wps:cNvPr id="47" name="AutoShape 20"/>
                        <wps:cNvCnPr>
                          <a:cxnSpLocks noChangeShapeType="1"/>
                        </wps:cNvCnPr>
                        <wps:spPr bwMode="auto">
                          <a:xfrm>
                            <a:off x="37539" y="19349"/>
                            <a:ext cx="3837" cy="8"/>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8" name="Text Box 21"/>
                        <wps:cNvSpPr txBox="1">
                          <a:spLocks noChangeArrowheads="1"/>
                        </wps:cNvSpPr>
                        <wps:spPr bwMode="auto">
                          <a:xfrm>
                            <a:off x="36210" y="17462"/>
                            <a:ext cx="12059" cy="3966"/>
                          </a:xfrm>
                          <a:prstGeom prst="rect">
                            <a:avLst/>
                          </a:prstGeom>
                          <a:solidFill>
                            <a:schemeClr val="bg1">
                              <a:lumMod val="100000"/>
                              <a:lumOff val="0"/>
                              <a:alpha val="0"/>
                            </a:schemeClr>
                          </a:solidFill>
                          <a:ln w="9525">
                            <a:solidFill>
                              <a:schemeClr val="bg1">
                                <a:lumMod val="100000"/>
                                <a:lumOff val="0"/>
                              </a:schemeClr>
                            </a:solidFill>
                            <a:miter lim="800000"/>
                            <a:headEnd/>
                            <a:tailEnd/>
                          </a:ln>
                        </wps:spPr>
                        <wps:txbx>
                          <w:txbxContent>
                            <w:p w14:paraId="08DFD313" w14:textId="77777777" w:rsidR="00C4034A" w:rsidRDefault="00C4034A" w:rsidP="00286A88">
                              <w:r>
                                <w:t>pulse width</w:t>
                              </w:r>
                            </w:p>
                          </w:txbxContent>
                        </wps:txbx>
                        <wps:bodyPr rot="0" vert="horz" wrap="square" lIns="0" tIns="0" rIns="0" bIns="0" anchor="t" anchorCtr="0" upright="1">
                          <a:noAutofit/>
                        </wps:bodyPr>
                      </wps:wsp>
                      <wps:wsp>
                        <wps:cNvPr id="49" name="Text Box 22"/>
                        <wps:cNvSpPr txBox="1">
                          <a:spLocks noChangeArrowheads="1"/>
                        </wps:cNvSpPr>
                        <wps:spPr bwMode="auto">
                          <a:xfrm>
                            <a:off x="4911" y="26253"/>
                            <a:ext cx="1496" cy="2293"/>
                          </a:xfrm>
                          <a:prstGeom prst="rect">
                            <a:avLst/>
                          </a:prstGeom>
                          <a:solidFill>
                            <a:schemeClr val="bg1">
                              <a:lumMod val="100000"/>
                              <a:lumOff val="0"/>
                              <a:alpha val="0"/>
                            </a:schemeClr>
                          </a:solidFill>
                          <a:ln w="9525">
                            <a:solidFill>
                              <a:schemeClr val="bg1">
                                <a:lumMod val="100000"/>
                                <a:lumOff val="0"/>
                              </a:schemeClr>
                            </a:solidFill>
                            <a:miter lim="800000"/>
                            <a:headEnd/>
                            <a:tailEnd/>
                          </a:ln>
                        </wps:spPr>
                        <wps:txbx>
                          <w:txbxContent>
                            <w:p w14:paraId="603E16BB" w14:textId="77777777" w:rsidR="00C4034A" w:rsidRDefault="00C4034A" w:rsidP="00286A88">
                              <w:r>
                                <w:t xml:space="preserve">0 </w:t>
                              </w:r>
                            </w:p>
                          </w:txbxContent>
                        </wps:txbx>
                        <wps:bodyPr rot="0" vert="horz" wrap="square" lIns="0" tIns="0" rIns="0" bIns="0" anchor="t" anchorCtr="0" upright="1">
                          <a:noAutofit/>
                        </wps:bodyPr>
                      </wps:wsp>
                    </wpg:wgp>
                  </a:graphicData>
                </a:graphic>
              </wp:inline>
            </w:drawing>
          </mc:Choice>
          <mc:Fallback>
            <w:pict>
              <v:group w14:anchorId="3F90BDA5" id="Group 29" o:spid="_x0000_s1026" alt="Title: Figure SL1: Illustration of alternating (AC) and pulsed direct (pDC) voltage wave forms. - Description: This figure shows two illustrations. The illustration on the top is of square and sinusoidal alternating (AC) voltage wave forms. The illustration on the bottom shows pulsed direct (pDC) voltage wave forms." style="width:441pt;height:259.2pt;mso-position-horizontal-relative:char;mso-position-vertical-relative:line" coordsize="56007,32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">
                <v:rect id="AutoShape 3" o:spid="_x0000_s1027" style="position:absolute;width:56007;height:32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" filled="f" strokecolor="white [3212]">
                  <o:lock v:ext="edit" aspectratio="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The illustration on the top is of square and sinusoidal alternating (AC) voltage wave forms." style="position:absolute;left:4513;top:3097;width:45842;height:17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">
                  <v:imagedata r:id="rId79" o:title="The illustration on the top is of square and sinusoidal alternating (AC) voltage wave forms"/>
                </v:shape>
                <v:shape id="Picture 5" o:spid="_x0000_s1029" type="#_x0000_t75" alt="This illustration shows pulsed direct (pDC) voltage wave forms." style="position:absolute;left:4425;top:17462;width:45850;height:15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">
                  <v:imagedata r:id="rId80" o:title="This illustration shows pulsed direct (pDC) voltage wave forms"/>
                </v:shape>
                <v:shapetype id="_x0000_t32" coordsize="21600,21600" o:spt="32" o:oned="t" path="m,l21600,21600e" filled="f">
                  <v:path arrowok="t" fillok="f" o:connecttype="none"/>
                  <o:lock v:ext="edit" shapetype="t"/>
                </v:shapetype>
                <v:shape id="AutoShape 6" o:spid="_x0000_s1030" type="#_x0000_t32" style="position:absolute;left:30853;top:5717;width:9146;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">
                  <v:stroke startarrow="open" endarrow="open"/>
                </v:shape>
                <v:shape id="AutoShape 7" o:spid="_x0000_s1031" type="#_x0000_t32" style="position:absolute;left:22662;top:19071;width:914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">
                  <v:stroke startarrow="open" endarrow="open"/>
                </v:shape>
                <v:shape id="AutoShape 8" o:spid="_x0000_s1032" type="#_x0000_t32" style="position:absolute;left:6901;top:27599;width:41368;height: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">
                  <v:stroke endarrow="block"/>
                </v:shape>
                <v:shapetype id="_x0000_t202" coordsize="21600,21600" o:spt="202" path="m,l,21600r21600,l21600,xe">
                  <v:stroke joinstyle="miter"/>
                  <v:path gradientshapeok="t" o:connecttype="rect"/>
                </v:shapetype>
                <v:shape id="Text Box 9" o:spid="_x0000_s1033" type="#_x0000_t202" style="position:absolute;left:13118;top:28100;width:6821;height:2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" fillcolor="white [3212]" strokecolor="white [3212]">
                  <v:fill opacity="0"/>
                  <v:textbox inset="0,0,0,0">
                    <w:txbxContent>
                      <w:p w14:paraId="25922A92" w14:textId="77777777" w:rsidR="00C4034A" w:rsidRDefault="00C4034A" w:rsidP="00286A88">
                        <w:r>
                          <w:t>time (s)</w:t>
                        </w:r>
                      </w:p>
                    </w:txbxContent>
                  </v:textbox>
                </v:shape>
                <v:shape id="AutoShape 10" o:spid="_x0000_s1034" type="#_x0000_t32" style="position:absolute;left:6901;top:19078;width:8;height:85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RPwgAAANsAAAAPAAAAZHJzL2Rvd25yZXYueG1sRI9BawIx&#10;FITvgv8hPKE3zVqp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BzJtRPwgAAANsAAAAPAAAA&#10;AAAAAAAAAAAAAAcCAABkcnMvZG93bnJldi54bWxQSwUGAAAAAAMAAwC3AAAA9gIAAAAA&#10;">
                  <v:stroke endarrow="block"/>
                </v:shape>
                <v:shape id="Text Box 11" o:spid="_x0000_s1035" type="#_x0000_t202" style="position:absolute;left:2587;top:22351;width:3335;height:2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" fillcolor="white [3212]" strokecolor="white [3212]">
                  <v:fill opacity="0"/>
                  <v:textbox inset="0,0,0,0">
                    <w:txbxContent>
                      <w:p w14:paraId="58AF4924" w14:textId="77777777" w:rsidR="00C4034A" w:rsidRDefault="00C4034A" w:rsidP="00286A88">
                        <w:r>
                          <w:t>volts</w:t>
                        </w:r>
                      </w:p>
                    </w:txbxContent>
                  </v:textbox>
                </v:shape>
                <v:shape id="Text Box 12" o:spid="_x0000_s1036" type="#_x0000_t202" style="position:absolute;left:5412;top:10049;width:1497;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" fillcolor="white [3212]" strokecolor="white [3212]">
                  <v:fill opacity="0"/>
                  <v:textbox inset="0,0,0,0">
                    <w:txbxContent>
                      <w:p w14:paraId="275062A2" w14:textId="77777777" w:rsidR="00C4034A" w:rsidRDefault="00C4034A" w:rsidP="00286A88">
                        <w:r>
                          <w:t xml:space="preserve">0 </w:t>
                        </w:r>
                      </w:p>
                    </w:txbxContent>
                  </v:textbox>
                </v:shape>
                <v:shape id="AutoShape 13" o:spid="_x0000_s1037" type="#_x0000_t32" style="position:absolute;left:6901;top:6195;width:8;height:98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">
                  <v:stroke startarrow="block" endarrow="block"/>
                </v:shape>
                <v:shape id="Text Box 14" o:spid="_x0000_s1038" type="#_x0000_t202" style="position:absolute;left:2587;top:6537;width:3335;height:2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" fillcolor="white [3212]" strokecolor="white [3212]">
                  <v:fill opacity="0"/>
                  <v:textbox inset="0,0,0,0">
                    <w:txbxContent>
                      <w:p w14:paraId="49E46322" w14:textId="77777777" w:rsidR="00C4034A" w:rsidRDefault="00C4034A" w:rsidP="00286A88">
                        <w:r>
                          <w:t>volts</w:t>
                        </w:r>
                      </w:p>
                    </w:txbxContent>
                  </v:textbox>
                </v:shape>
                <v:shape id="AutoShape 15" o:spid="_x0000_s1039" type="#_x0000_t32" style="position:absolute;left:6901;top:11052;width:41368;height: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">
                  <v:stroke endarrow="block"/>
                </v:shape>
                <v:shape id="Text Box 16" o:spid="_x0000_s1040" type="#_x0000_t202" style="position:absolute;left:32978;top:3591;width:6312;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" fillcolor="white [3212]" strokecolor="white [3212]">
                  <v:fill opacity="0"/>
                  <v:textbox inset="0,0,0,0">
                    <w:txbxContent>
                      <w:p w14:paraId="1B9FAF70" w14:textId="77777777" w:rsidR="00C4034A" w:rsidRDefault="00C4034A" w:rsidP="00286A88">
                        <w:r>
                          <w:t>period</w:t>
                        </w:r>
                      </w:p>
                    </w:txbxContent>
                  </v:textbox>
                </v:shape>
                <v:shape id="Text Box 17" o:spid="_x0000_s1041" type="#_x0000_t202" style="position:absolute;left:24540;top:16642;width:6313;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" fillcolor="white [3212]" strokecolor="white [3212]">
                  <v:fill opacity="0"/>
                  <v:textbox inset="0,0,0,0">
                    <w:txbxContent>
                      <w:p w14:paraId="7BF54238" w14:textId="77777777" w:rsidR="00C4034A" w:rsidRDefault="00C4034A" w:rsidP="00286A88">
                        <w:r>
                          <w:t>period</w:t>
                        </w:r>
                      </w:p>
                    </w:txbxContent>
                  </v:textbox>
                </v:shape>
                <v:shape id="Text Box 18" o:spid="_x0000_s1042" type="#_x0000_t202" style="position:absolute;left:6407;top:2380;width:3113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" fillcolor="white [3212]" strokecolor="white [3212]">
                  <v:fill opacity="0"/>
                  <v:textbox inset="0,0,0,0">
                    <w:txbxContent>
                      <w:p w14:paraId="3FBF8CFD" w14:textId="77777777" w:rsidR="00C4034A" w:rsidRDefault="00C4034A" w:rsidP="00286A88">
                        <w:r>
                          <w:t>square and sinusoidal AC wave forms</w:t>
                        </w:r>
                      </w:p>
                    </w:txbxContent>
                  </v:textbox>
                </v:shape>
                <v:shape id="Text Box 19" o:spid="_x0000_s1043" type="#_x0000_t202" style="position:absolute;left:5922;top:16092;width:11009;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" fillcolor="white [3212]" strokecolor="white [3212]">
                  <v:fill opacity="0"/>
                  <v:textbox inset="0,0,0,0">
                    <w:txbxContent>
                      <w:p w14:paraId="71C8F4DC" w14:textId="77777777" w:rsidR="00C4034A" w:rsidRDefault="00C4034A" w:rsidP="00286A88">
                        <w:r>
                          <w:t>pDC wave form</w:t>
                        </w:r>
                      </w:p>
                    </w:txbxContent>
                  </v:textbox>
                </v:shape>
                <v:shape id="AutoShape 20" o:spid="_x0000_s1044" type="#_x0000_t32" style="position:absolute;left:37539;top:19349;width:3837;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">
                  <v:stroke startarrow="open" endarrow="open"/>
                </v:shape>
                <v:shape id="Text Box 21" o:spid="_x0000_s1045" type="#_x0000_t202" style="position:absolute;left:36210;top:17462;width:12059;height:3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" fillcolor="white [3212]" strokecolor="white [3212]">
                  <v:fill opacity="0"/>
                  <v:textbox inset="0,0,0,0">
                    <w:txbxContent>
                      <w:p w14:paraId="08DFD313" w14:textId="77777777" w:rsidR="00C4034A" w:rsidRDefault="00C4034A" w:rsidP="00286A88">
                        <w:r>
                          <w:t>pulse width</w:t>
                        </w:r>
                      </w:p>
                    </w:txbxContent>
                  </v:textbox>
                </v:shape>
                <v:shape id="Text Box 22" o:spid="_x0000_s1046" type="#_x0000_t202" style="position:absolute;left:4911;top:26253;width:1496;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" fillcolor="white [3212]" strokecolor="white [3212]">
                  <v:fill opacity="0"/>
                  <v:textbox inset="0,0,0,0">
                    <w:txbxContent>
                      <w:p w14:paraId="603E16BB" w14:textId="77777777" w:rsidR="00C4034A" w:rsidRDefault="00C4034A" w:rsidP="00286A88">
                        <w:r>
                          <w:t xml:space="preserve">0 </w:t>
                        </w:r>
                      </w:p>
                    </w:txbxContent>
                  </v:textbox>
                </v:shape>
                <w10:anchorlock/>
              </v:group>
            </w:pict>
          </mc:Fallback>
        </mc:AlternateContent>
      </w:r>
    </w:p>
    <w:p w14:paraId="7A14DD0C" w14:textId="77777777" w:rsidR="00A16C7A" w:rsidRDefault="00286A88" w:rsidP="00A16C7A">
      <w:pPr>
        <w:spacing w:after="0"/>
        <w:rPr>
          <w:b/>
          <w:lang w:eastAsia="en-AU"/>
        </w:rPr>
      </w:pPr>
      <w:r w:rsidRPr="00A16C7A">
        <w:rPr>
          <w:b/>
          <w:lang w:eastAsia="en-AU"/>
        </w:rPr>
        <w:t>Figure S</w:t>
      </w:r>
      <w:r w:rsidR="00A16C7A" w:rsidRPr="00A16C7A">
        <w:rPr>
          <w:b/>
          <w:lang w:eastAsia="en-AU"/>
        </w:rPr>
        <w:t>L1</w:t>
      </w:r>
      <w:r w:rsidRPr="00A16C7A">
        <w:rPr>
          <w:b/>
          <w:lang w:eastAsia="en-AU"/>
        </w:rPr>
        <w:t>: Illustration of alternating (AC) and pulsed d</w:t>
      </w:r>
      <w:r w:rsidR="00A16C7A">
        <w:rPr>
          <w:b/>
          <w:lang w:eastAsia="en-AU"/>
        </w:rPr>
        <w:t>irect (pDC) voltage wave forms.</w:t>
      </w:r>
    </w:p>
    <w:p w14:paraId="0D710156" w14:textId="77777777" w:rsidR="00286A88" w:rsidRPr="00A16C7A" w:rsidRDefault="00286A88" w:rsidP="008630CE">
      <w:pPr>
        <w:spacing w:after="240"/>
        <w:rPr>
          <w:b/>
          <w:lang w:eastAsia="en-AU"/>
        </w:rPr>
      </w:pPr>
      <w:r w:rsidRPr="00A16C7A">
        <w:rPr>
          <w:b/>
          <w:lang w:eastAsia="en-AU"/>
        </w:rPr>
        <w:t>The frequency is calculated as the reciprocal of the period where the period is measured i</w:t>
      </w:r>
      <w:r w:rsidR="00A16C7A">
        <w:rPr>
          <w:b/>
          <w:lang w:eastAsia="en-AU"/>
        </w:rPr>
        <w:t xml:space="preserve">n seconds. </w:t>
      </w:r>
      <w:r w:rsidRPr="00A16C7A">
        <w:rPr>
          <w:b/>
          <w:lang w:eastAsia="en-AU"/>
        </w:rPr>
        <w:t>The duty</w:t>
      </w:r>
      <w:r w:rsidR="00A16C7A" w:rsidRPr="00A16C7A">
        <w:rPr>
          <w:b/>
          <w:lang w:eastAsia="en-AU"/>
        </w:rPr>
        <w:t xml:space="preserve"> cycle is pulse width / period.</w:t>
      </w:r>
    </w:p>
    <w:p w14:paraId="434CE9FA" w14:textId="77777777" w:rsidR="00286A88" w:rsidRDefault="00286A88" w:rsidP="008630CE">
      <w:pPr>
        <w:rPr>
          <w:lang w:val="en-AU" w:eastAsia="en-AU"/>
        </w:rPr>
      </w:pPr>
      <w:r w:rsidRPr="00286A88">
        <w:rPr>
          <w:lang w:val="en-AU" w:eastAsia="en-AU"/>
        </w:rPr>
        <w:t xml:space="preserve">There are some procedural differences between the two pieces of work which may be responsible for the slightly differing results. The key differences are: </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685"/>
        <w:gridCol w:w="3685"/>
      </w:tblGrid>
      <w:tr w:rsidR="00286A88" w:rsidRPr="00286A88" w14:paraId="18FD03E9" w14:textId="77777777" w:rsidTr="009923EC">
        <w:tc>
          <w:tcPr>
            <w:tcW w:w="3685" w:type="dxa"/>
          </w:tcPr>
          <w:p w14:paraId="78B8FC53" w14:textId="77777777" w:rsidR="00286A88" w:rsidRPr="00286A88" w:rsidRDefault="00286A88" w:rsidP="009923EC">
            <w:pPr>
              <w:spacing w:before="60"/>
              <w:rPr>
                <w:lang w:val="en-AU" w:eastAsia="en-AU"/>
              </w:rPr>
            </w:pPr>
            <w:r w:rsidRPr="00286A88">
              <w:rPr>
                <w:lang w:val="en-AU" w:eastAsia="en-AU"/>
              </w:rPr>
              <w:t>Raj:</w:t>
            </w:r>
          </w:p>
        </w:tc>
        <w:tc>
          <w:tcPr>
            <w:tcW w:w="3685" w:type="dxa"/>
          </w:tcPr>
          <w:p w14:paraId="6BB4FA8E" w14:textId="77777777" w:rsidR="00286A88" w:rsidRPr="00286A88" w:rsidRDefault="00286A88" w:rsidP="009923EC">
            <w:pPr>
              <w:spacing w:before="60"/>
              <w:rPr>
                <w:lang w:val="en-AU" w:eastAsia="en-AU"/>
              </w:rPr>
            </w:pPr>
            <w:r w:rsidRPr="00286A88">
              <w:rPr>
                <w:lang w:val="en-AU" w:eastAsia="en-AU"/>
              </w:rPr>
              <w:t>Prinz:</w:t>
            </w:r>
          </w:p>
        </w:tc>
      </w:tr>
      <w:tr w:rsidR="00286A88" w:rsidRPr="00286A88" w14:paraId="73FD7B3A" w14:textId="77777777" w:rsidTr="009923EC">
        <w:tc>
          <w:tcPr>
            <w:tcW w:w="3685" w:type="dxa"/>
          </w:tcPr>
          <w:p w14:paraId="3D8BD1E5" w14:textId="77777777" w:rsidR="00286A88" w:rsidRPr="00286A88" w:rsidRDefault="00286A88" w:rsidP="008630CE">
            <w:pPr>
              <w:rPr>
                <w:lang w:val="en-AU" w:eastAsia="en-AU"/>
              </w:rPr>
            </w:pPr>
            <w:r w:rsidRPr="00286A88">
              <w:rPr>
                <w:lang w:val="en-AU" w:eastAsia="en-AU"/>
              </w:rPr>
              <w:t xml:space="preserve">uses a 1 second stunning current </w:t>
            </w:r>
          </w:p>
        </w:tc>
        <w:tc>
          <w:tcPr>
            <w:tcW w:w="3685" w:type="dxa"/>
          </w:tcPr>
          <w:p w14:paraId="38000646" w14:textId="77777777" w:rsidR="00286A88" w:rsidRPr="00286A88" w:rsidRDefault="00286A88" w:rsidP="008630CE">
            <w:pPr>
              <w:rPr>
                <w:lang w:val="en-AU" w:eastAsia="en-AU"/>
              </w:rPr>
            </w:pPr>
            <w:r w:rsidRPr="00286A88">
              <w:rPr>
                <w:lang w:val="en-AU" w:eastAsia="en-AU"/>
              </w:rPr>
              <w:t>uses a 10 second stunning current</w:t>
            </w:r>
          </w:p>
        </w:tc>
      </w:tr>
      <w:tr w:rsidR="00286A88" w:rsidRPr="00286A88" w14:paraId="042BC2C8" w14:textId="77777777" w:rsidTr="009923EC">
        <w:tc>
          <w:tcPr>
            <w:tcW w:w="3685" w:type="dxa"/>
          </w:tcPr>
          <w:p w14:paraId="5E6D4B11" w14:textId="77777777" w:rsidR="00286A88" w:rsidRPr="00286A88" w:rsidRDefault="00286A88" w:rsidP="008630CE">
            <w:pPr>
              <w:rPr>
                <w:lang w:val="en-AU" w:eastAsia="en-AU"/>
              </w:rPr>
            </w:pPr>
            <w:r w:rsidRPr="00286A88">
              <w:rPr>
                <w:lang w:val="en-AU" w:eastAsia="en-AU"/>
              </w:rPr>
              <w:t>cuts the neck to bleed within 8</w:t>
            </w:r>
            <w:r w:rsidR="00056878">
              <w:rPr>
                <w:lang w:val="en-AU" w:eastAsia="en-AU"/>
              </w:rPr>
              <w:t xml:space="preserve"> </w:t>
            </w:r>
            <w:r w:rsidRPr="00286A88">
              <w:rPr>
                <w:lang w:val="en-AU" w:eastAsia="en-AU"/>
              </w:rPr>
              <w:t>s</w:t>
            </w:r>
          </w:p>
        </w:tc>
        <w:tc>
          <w:tcPr>
            <w:tcW w:w="3685" w:type="dxa"/>
          </w:tcPr>
          <w:p w14:paraId="21E5B3B4" w14:textId="77777777" w:rsidR="00286A88" w:rsidRPr="00286A88" w:rsidRDefault="00286A88" w:rsidP="008630CE">
            <w:pPr>
              <w:rPr>
                <w:lang w:val="en-AU" w:eastAsia="en-AU"/>
              </w:rPr>
            </w:pPr>
            <w:r w:rsidRPr="00286A88">
              <w:rPr>
                <w:lang w:val="en-AU" w:eastAsia="en-AU"/>
              </w:rPr>
              <w:t xml:space="preserve">does not cut the neck to bleed </w:t>
            </w:r>
          </w:p>
        </w:tc>
      </w:tr>
      <w:tr w:rsidR="00286A88" w:rsidRPr="00286A88" w14:paraId="47D98749" w14:textId="77777777" w:rsidTr="009923EC">
        <w:tc>
          <w:tcPr>
            <w:tcW w:w="3685" w:type="dxa"/>
          </w:tcPr>
          <w:p w14:paraId="1DDC2396" w14:textId="77777777" w:rsidR="00286A88" w:rsidRPr="00286A88" w:rsidRDefault="00286A88" w:rsidP="008630CE">
            <w:pPr>
              <w:rPr>
                <w:lang w:val="en-AU" w:eastAsia="en-AU"/>
              </w:rPr>
            </w:pPr>
            <w:r w:rsidRPr="00286A88">
              <w:rPr>
                <w:lang w:val="en-AU" w:eastAsia="en-AU"/>
              </w:rPr>
              <w:t>uses on average 8 birds per treatment</w:t>
            </w:r>
          </w:p>
        </w:tc>
        <w:tc>
          <w:tcPr>
            <w:tcW w:w="3685" w:type="dxa"/>
          </w:tcPr>
          <w:p w14:paraId="214DFC6C" w14:textId="77777777" w:rsidR="00286A88" w:rsidRPr="00286A88" w:rsidRDefault="00286A88" w:rsidP="008630CE">
            <w:pPr>
              <w:rPr>
                <w:lang w:val="en-AU" w:eastAsia="en-AU"/>
              </w:rPr>
            </w:pPr>
            <w:r w:rsidRPr="00286A88">
              <w:rPr>
                <w:lang w:val="en-AU" w:eastAsia="en-AU"/>
              </w:rPr>
              <w:t>uses on average 15 birds per treatment</w:t>
            </w:r>
          </w:p>
        </w:tc>
      </w:tr>
      <w:tr w:rsidR="00286A88" w:rsidRPr="00286A88" w14:paraId="1DB357BD" w14:textId="77777777" w:rsidTr="009923EC">
        <w:tc>
          <w:tcPr>
            <w:tcW w:w="3685" w:type="dxa"/>
          </w:tcPr>
          <w:p w14:paraId="7F27E35E" w14:textId="77777777" w:rsidR="00286A88" w:rsidRPr="00286A88" w:rsidRDefault="00286A88" w:rsidP="009923EC">
            <w:pPr>
              <w:rPr>
                <w:lang w:val="en-AU" w:eastAsia="en-AU"/>
              </w:rPr>
            </w:pPr>
            <w:r w:rsidRPr="00286A88">
              <w:rPr>
                <w:lang w:val="en-AU" w:eastAsia="en-AU"/>
              </w:rPr>
              <w:t xml:space="preserve">requires &gt;80% of birds to be unconscious </w:t>
            </w:r>
          </w:p>
        </w:tc>
        <w:tc>
          <w:tcPr>
            <w:tcW w:w="3685" w:type="dxa"/>
          </w:tcPr>
          <w:p w14:paraId="384A83E9" w14:textId="77777777" w:rsidR="00286A88" w:rsidRPr="00286A88" w:rsidRDefault="00286A88" w:rsidP="009923EC">
            <w:pPr>
              <w:rPr>
                <w:lang w:val="en-AU" w:eastAsia="en-AU"/>
              </w:rPr>
            </w:pPr>
            <w:r w:rsidRPr="00286A88">
              <w:rPr>
                <w:lang w:val="en-AU" w:eastAsia="en-AU"/>
              </w:rPr>
              <w:t>requires &gt;90% of birds to be unconscious</w:t>
            </w:r>
          </w:p>
        </w:tc>
      </w:tr>
    </w:tbl>
    <w:p w14:paraId="0439BC30" w14:textId="77777777" w:rsidR="00A85A65" w:rsidRDefault="00A85A65" w:rsidP="00A85A65">
      <w:pPr>
        <w:rPr>
          <w:lang w:val="en-AU" w:eastAsia="en-AU"/>
        </w:rPr>
      </w:pPr>
    </w:p>
    <w:p w14:paraId="35F53EB3" w14:textId="77777777" w:rsidR="00286A88" w:rsidRPr="00286A88" w:rsidRDefault="00286A88" w:rsidP="00A85A65">
      <w:pPr>
        <w:rPr>
          <w:lang w:val="en-AU" w:eastAsia="en-AU"/>
        </w:rPr>
      </w:pPr>
      <w:r w:rsidRPr="00286A88">
        <w:rPr>
          <w:lang w:val="en-AU" w:eastAsia="en-AU"/>
        </w:rPr>
        <w:t xml:space="preserve">A summary of the comparative results of Raj and Prinz is given in Figure SL2, together with the recommendations of the European Food Safety Authority (EFSA, 2012) and the recommendations of the Humane Slaughter Association (2015). For Raj the green squares mark treatments that resulted in at least 80% of the birds displaying signs of unconsciousness. For Prinz the green squares mark treatments where at least 90% of the birds displayed unconsciousness and there was recovery in less than 20% of the birds. The </w:t>
      </w:r>
      <w:r w:rsidR="00056878">
        <w:rPr>
          <w:lang w:val="en-AU" w:eastAsia="en-AU"/>
        </w:rPr>
        <w:t>yellow</w:t>
      </w:r>
      <w:r w:rsidRPr="00286A88">
        <w:rPr>
          <w:lang w:val="en-AU" w:eastAsia="en-AU"/>
        </w:rPr>
        <w:t xml:space="preserve"> squares mark treatments where only 85% of the birds displayed signs of unconsciousness or there were significant amounts of recovery.</w:t>
      </w:r>
    </w:p>
    <w:p w14:paraId="1C733AE3" w14:textId="77777777" w:rsidR="00286A88" w:rsidRPr="00864384" w:rsidRDefault="00286A88" w:rsidP="00286A88">
      <w:pPr>
        <w:keepNext/>
        <w:spacing w:after="200" w:line="240" w:lineRule="auto"/>
        <w:jc w:val="both"/>
        <w:rPr>
          <w:rFonts w:eastAsia="Times New Roman" w:cs="Arial"/>
          <w:color w:val="auto"/>
          <w:sz w:val="22"/>
          <w:szCs w:val="22"/>
          <w:lang w:val="en-AU" w:eastAsia="en-AU"/>
        </w:rPr>
      </w:pPr>
      <w:r w:rsidRPr="00864384">
        <w:rPr>
          <w:rFonts w:eastAsia="Times New Roman" w:cs="Arial"/>
          <w:noProof/>
          <w:color w:val="auto"/>
          <w:sz w:val="22"/>
          <w:szCs w:val="22"/>
          <w:lang w:val="en-AU" w:eastAsia="en-AU"/>
        </w:rPr>
        <w:drawing>
          <wp:inline distT="0" distB="0" distL="0" distR="0" wp14:anchorId="542986CF" wp14:editId="582590C9">
            <wp:extent cx="5481808" cy="2976113"/>
            <wp:effectExtent l="0" t="0" r="5080" b="0"/>
            <wp:docPr id="27" name="Picture 23" descr="This figure shows six diagrams. These diagrams show combinations of frequency and stun current for broilers. The vertical axis in each diagram shows current in milliamperes and the horizontal axis shows frequency in Hz. Green indicates an effective stun, yellow indicates a marginal stun, pink indicates an ineffective stun, and white indicates untested combinations. The top left diagram is derived from data from papers by Prinz et al, using alternating current (AC). The top right diagram is derived from data from Prinz et al, using pulsed direct current (pDC). The middle diagram on the left shows data derived from papers by Raj et al for alternating current (AC). The middle diagram on the right shows data derived from Raj et al for pulsed direct current (pDC). The diagram on the bottom left shows information from the European Food Safety Authority for AC and pDC. The diagram on the bottom right shows information from the Humane Slaughter Association in the UK for AC and pDC." title="Figure SL2: Effective (green), marginal (yellow), ineffective (pink) and untested (white) combinations of frequency and stun current for broilers as determined by Prinz and Raj for AC and pDC currents also EFSA and HSA recommendations. mA: milliampe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lectric stun currents.png"/>
                    <pic:cNvPicPr/>
                  </pic:nvPicPr>
                  <pic:blipFill rotWithShape="1">
                    <a:blip r:embed="rId81" cstate="print"/>
                    <a:srcRect l="2831" r="6901" b="18915"/>
                    <a:stretch/>
                  </pic:blipFill>
                  <pic:spPr bwMode="auto">
                    <a:xfrm>
                      <a:off x="0" y="0"/>
                      <a:ext cx="5506275" cy="2989396"/>
                    </a:xfrm>
                    <a:prstGeom prst="rect">
                      <a:avLst/>
                    </a:prstGeom>
                    <a:ln>
                      <a:noFill/>
                    </a:ln>
                    <a:extLst>
                      <a:ext uri="{53640926-AAD7-44D8-BBD7-CCE9431645EC}">
                        <a14:shadowObscured xmlns:a14="http://schemas.microsoft.com/office/drawing/2010/main"/>
                      </a:ext>
                    </a:extLst>
                  </pic:spPr>
                </pic:pic>
              </a:graphicData>
            </a:graphic>
          </wp:inline>
        </w:drawing>
      </w:r>
    </w:p>
    <w:p w14:paraId="0BA6D27C" w14:textId="77777777" w:rsidR="00286A88" w:rsidRPr="008630CE" w:rsidRDefault="00286A88" w:rsidP="008630CE">
      <w:pPr>
        <w:spacing w:after="240"/>
        <w:rPr>
          <w:b/>
          <w:lang w:val="en-AU" w:eastAsia="en-AU"/>
        </w:rPr>
      </w:pPr>
      <w:r w:rsidRPr="008630CE">
        <w:rPr>
          <w:b/>
          <w:lang w:val="en-AU" w:eastAsia="en-AU"/>
        </w:rPr>
        <w:t>Figure SL</w:t>
      </w:r>
      <w:r w:rsidR="008630CE" w:rsidRPr="008630CE">
        <w:rPr>
          <w:b/>
          <w:lang w:val="en-AU" w:eastAsia="en-AU"/>
        </w:rPr>
        <w:t>2</w:t>
      </w:r>
      <w:r w:rsidRPr="008630CE">
        <w:rPr>
          <w:b/>
          <w:lang w:val="en-AU" w:eastAsia="en-AU"/>
        </w:rPr>
        <w:t>: Effective (green), marginal (yellow), ineffective (pink) and untested (white) combinations of frequency and stun current for broilers as determined by Prinz and Raj for AC and pDC currents</w:t>
      </w:r>
      <w:r w:rsidR="00056878">
        <w:rPr>
          <w:b/>
          <w:lang w:val="en-AU" w:eastAsia="en-AU"/>
        </w:rPr>
        <w:t>, and</w:t>
      </w:r>
      <w:r w:rsidRPr="008630CE">
        <w:rPr>
          <w:b/>
          <w:lang w:val="en-AU" w:eastAsia="en-AU"/>
        </w:rPr>
        <w:t xml:space="preserve"> EFSA and HSA recommendations. mA: milliamperes</w:t>
      </w:r>
    </w:p>
    <w:p w14:paraId="19E5A57B" w14:textId="77777777" w:rsidR="00286A88" w:rsidRPr="00286A88" w:rsidRDefault="00286A88" w:rsidP="008630CE">
      <w:pPr>
        <w:rPr>
          <w:lang w:val="en-AU" w:eastAsia="en-AU"/>
        </w:rPr>
      </w:pPr>
      <w:r w:rsidRPr="00286A88">
        <w:rPr>
          <w:lang w:val="en-AU" w:eastAsia="en-AU"/>
        </w:rPr>
        <w:t xml:space="preserve">The AC stunning results of Raj and Prinz are in broad agreement with each other and with the EFSA and HSA recommendations, with the exception that neither Raj nor Prinz suggest that a reliable stun can be achieved at frequencies in excess of 800 Hz, even though it is accepted by EFSA </w:t>
      </w:r>
      <w:r w:rsidRPr="00286A88">
        <w:rPr>
          <w:noProof/>
          <w:lang w:val="en-AU" w:eastAsia="en-AU"/>
        </w:rPr>
        <w:t>(EFSA, 2012; Humane Slaughter Association, 2015)</w:t>
      </w:r>
      <w:r w:rsidRPr="00286A88">
        <w:rPr>
          <w:lang w:val="en-AU" w:eastAsia="en-AU"/>
        </w:rPr>
        <w:t>.</w:t>
      </w:r>
    </w:p>
    <w:p w14:paraId="1A0A2FA2" w14:textId="77777777" w:rsidR="00286A88" w:rsidRPr="00286A88" w:rsidRDefault="00286A88" w:rsidP="008630CE">
      <w:pPr>
        <w:rPr>
          <w:lang w:val="en-AU" w:eastAsia="en-AU"/>
        </w:rPr>
      </w:pPr>
      <w:r w:rsidRPr="00286A88">
        <w:rPr>
          <w:lang w:val="en-AU" w:eastAsia="en-AU"/>
        </w:rPr>
        <w:t>The pulsed DC results however differ significantly between Prinz and Raj. Prinz suggests that this is due to the difference in durations of exposure to the current. Neither EFSA nor the HSA differentiate between AC and pDC currents. If this is the case, then it is important that any use of pDC results in a long electrical exposure (e.g. 10 s).</w:t>
      </w:r>
    </w:p>
    <w:p w14:paraId="13D22C6D" w14:textId="77777777" w:rsidR="00286A88" w:rsidRPr="00286A88" w:rsidRDefault="00286A88" w:rsidP="008630CE">
      <w:pPr>
        <w:rPr>
          <w:lang w:val="en-AU" w:eastAsia="en-AU"/>
        </w:rPr>
      </w:pPr>
      <w:r w:rsidRPr="00286A88">
        <w:rPr>
          <w:lang w:val="en-AU" w:eastAsia="en-AU"/>
        </w:rPr>
        <w:t>The current that flows through each bird is determined by both the voltage of the water-bath and the electrical resistance of the birds, and can be calculated from the equation</w:t>
      </w:r>
      <w:r w:rsidR="008630CE">
        <w:rPr>
          <w:lang w:val="en-AU" w:eastAsia="en-AU"/>
        </w:rPr>
        <w:t>:</w:t>
      </w:r>
    </w:p>
    <w:p w14:paraId="00FF0B85" w14:textId="77777777" w:rsidR="00286A88" w:rsidRPr="00E878F0" w:rsidRDefault="00286A88" w:rsidP="008630CE">
      <w:pPr>
        <w:ind w:left="3600" w:firstLine="720"/>
        <w:rPr>
          <w:i/>
          <w:lang w:val="en-AU" w:eastAsia="en-AU"/>
        </w:rPr>
      </w:pPr>
      <w:r w:rsidRPr="00E878F0">
        <w:rPr>
          <w:i/>
          <w:lang w:val="en-AU" w:eastAsia="en-AU"/>
        </w:rPr>
        <w:t>I = V/R</w:t>
      </w:r>
    </w:p>
    <w:p w14:paraId="5369B074" w14:textId="77777777" w:rsidR="00286A88" w:rsidRPr="00286A88" w:rsidRDefault="00286A88" w:rsidP="008630CE">
      <w:pPr>
        <w:rPr>
          <w:lang w:val="en-AU" w:eastAsia="en-AU"/>
        </w:rPr>
      </w:pPr>
      <w:r w:rsidRPr="00286A88">
        <w:rPr>
          <w:lang w:val="en-AU" w:eastAsia="en-AU"/>
        </w:rPr>
        <w:t xml:space="preserve">where </w:t>
      </w:r>
      <w:r w:rsidRPr="00286A88">
        <w:rPr>
          <w:i/>
          <w:lang w:val="en-AU" w:eastAsia="en-AU"/>
        </w:rPr>
        <w:t>I</w:t>
      </w:r>
      <w:r w:rsidRPr="00286A88">
        <w:rPr>
          <w:lang w:val="en-AU" w:eastAsia="en-AU"/>
        </w:rPr>
        <w:t xml:space="preserve"> is the current measured in amperes (A), </w:t>
      </w:r>
      <w:r w:rsidRPr="00286A88">
        <w:rPr>
          <w:i/>
          <w:lang w:val="en-AU" w:eastAsia="en-AU"/>
        </w:rPr>
        <w:t>V</w:t>
      </w:r>
      <w:r w:rsidRPr="00286A88">
        <w:rPr>
          <w:lang w:val="en-AU" w:eastAsia="en-AU"/>
        </w:rPr>
        <w:t xml:space="preserve"> is the voltage measured in volts (V) and </w:t>
      </w:r>
      <w:r w:rsidRPr="00286A88">
        <w:rPr>
          <w:i/>
          <w:lang w:val="en-AU" w:eastAsia="en-AU"/>
        </w:rPr>
        <w:t>R</w:t>
      </w:r>
      <w:r w:rsidRPr="00286A88">
        <w:rPr>
          <w:lang w:val="en-AU" w:eastAsia="en-AU"/>
        </w:rPr>
        <w:t xml:space="preserve"> is the resistance measured in ohms (Ω). The </w:t>
      </w:r>
      <w:r w:rsidRPr="00286A88">
        <w:rPr>
          <w:noProof/>
          <w:lang w:val="en-AU" w:eastAsia="en-AU"/>
        </w:rPr>
        <w:t>Humane Slaughter Association (2015)</w:t>
      </w:r>
      <w:r w:rsidRPr="00286A88">
        <w:rPr>
          <w:lang w:val="en-AU" w:eastAsia="en-AU"/>
        </w:rPr>
        <w:t xml:space="preserve"> provide indications of the various typical bird resistances as follows:</w:t>
      </w:r>
    </w:p>
    <w:p w14:paraId="18A32265" w14:textId="77777777" w:rsidR="00286A88" w:rsidRPr="008630CE" w:rsidRDefault="00286A88" w:rsidP="008630CE">
      <w:pPr>
        <w:spacing w:before="240" w:after="240"/>
        <w:rPr>
          <w:b/>
          <w:lang w:eastAsia="en-AU"/>
        </w:rPr>
      </w:pPr>
      <w:r w:rsidRPr="008630CE">
        <w:rPr>
          <w:b/>
          <w:lang w:eastAsia="en-AU"/>
        </w:rPr>
        <w:t>Table SL</w:t>
      </w:r>
      <w:r w:rsidR="008630CE" w:rsidRPr="008630CE">
        <w:rPr>
          <w:b/>
          <w:lang w:eastAsia="en-AU"/>
        </w:rPr>
        <w:t>1</w:t>
      </w:r>
      <w:r w:rsidRPr="008630CE">
        <w:rPr>
          <w:b/>
          <w:lang w:eastAsia="en-AU"/>
        </w:rPr>
        <w:t>: Typical electrical resistance of various types of bird. Data from HSA (2015)</w:t>
      </w:r>
    </w:p>
    <w:tbl>
      <w:tblPr>
        <w:tblpPr w:leftFromText="180" w:rightFromText="180" w:vertAnchor="text" w:tblpX="223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985"/>
      </w:tblGrid>
      <w:tr w:rsidR="00286A88" w:rsidRPr="00286A88" w14:paraId="11875ED3" w14:textId="77777777" w:rsidTr="00256388">
        <w:trPr>
          <w:trHeight w:val="264"/>
        </w:trPr>
        <w:tc>
          <w:tcPr>
            <w:tcW w:w="1984" w:type="dxa"/>
          </w:tcPr>
          <w:p w14:paraId="456B29E0" w14:textId="77777777" w:rsidR="00286A88" w:rsidRPr="00F6103A" w:rsidRDefault="00286A88" w:rsidP="008630CE">
            <w:pPr>
              <w:rPr>
                <w:lang w:val="en-AU" w:eastAsia="en-AU"/>
              </w:rPr>
            </w:pPr>
            <w:r w:rsidRPr="00F6103A">
              <w:rPr>
                <w:lang w:val="en-AU" w:eastAsia="en-AU"/>
              </w:rPr>
              <w:t>Bird</w:t>
            </w:r>
          </w:p>
        </w:tc>
        <w:tc>
          <w:tcPr>
            <w:tcW w:w="1985" w:type="dxa"/>
          </w:tcPr>
          <w:p w14:paraId="3B323E28" w14:textId="77777777" w:rsidR="00286A88" w:rsidRPr="00F6103A" w:rsidRDefault="00286A88" w:rsidP="008630CE">
            <w:pPr>
              <w:rPr>
                <w:lang w:val="en-AU" w:eastAsia="en-AU"/>
              </w:rPr>
            </w:pPr>
            <w:r w:rsidRPr="00F6103A">
              <w:rPr>
                <w:lang w:val="en-AU" w:eastAsia="en-AU"/>
              </w:rPr>
              <w:t>Typical resistance</w:t>
            </w:r>
          </w:p>
        </w:tc>
      </w:tr>
      <w:tr w:rsidR="00286A88" w:rsidRPr="00286A88" w14:paraId="3FA32CAC" w14:textId="77777777" w:rsidTr="00256388">
        <w:trPr>
          <w:trHeight w:val="264"/>
        </w:trPr>
        <w:tc>
          <w:tcPr>
            <w:tcW w:w="1984" w:type="dxa"/>
          </w:tcPr>
          <w:p w14:paraId="114D7369" w14:textId="77777777" w:rsidR="00286A88" w:rsidRPr="00286A88" w:rsidRDefault="00286A88" w:rsidP="008630CE">
            <w:pPr>
              <w:rPr>
                <w:lang w:val="en-AU" w:eastAsia="en-AU"/>
              </w:rPr>
            </w:pPr>
            <w:r w:rsidRPr="00286A88">
              <w:rPr>
                <w:lang w:val="en-AU" w:eastAsia="en-AU"/>
              </w:rPr>
              <w:t>Female broiler</w:t>
            </w:r>
          </w:p>
        </w:tc>
        <w:tc>
          <w:tcPr>
            <w:tcW w:w="1985" w:type="dxa"/>
          </w:tcPr>
          <w:p w14:paraId="635143CE" w14:textId="77777777" w:rsidR="00286A88" w:rsidRPr="00286A88" w:rsidRDefault="00286A88" w:rsidP="008630CE">
            <w:pPr>
              <w:rPr>
                <w:lang w:val="en-AU" w:eastAsia="en-AU"/>
              </w:rPr>
            </w:pPr>
            <w:r w:rsidRPr="00286A88">
              <w:rPr>
                <w:lang w:val="en-AU" w:eastAsia="en-AU"/>
              </w:rPr>
              <w:t>1200</w:t>
            </w:r>
            <w:r w:rsidRPr="00286A88">
              <w:rPr>
                <w:rFonts w:cs="Cambria"/>
                <w:lang w:val="en-AU" w:eastAsia="en-AU"/>
              </w:rPr>
              <w:t xml:space="preserve"> Ω</w:t>
            </w:r>
          </w:p>
        </w:tc>
      </w:tr>
      <w:tr w:rsidR="00286A88" w:rsidRPr="00286A88" w14:paraId="7C8FF072" w14:textId="77777777" w:rsidTr="00256388">
        <w:trPr>
          <w:trHeight w:val="264"/>
        </w:trPr>
        <w:tc>
          <w:tcPr>
            <w:tcW w:w="1984" w:type="dxa"/>
          </w:tcPr>
          <w:p w14:paraId="71F59F78" w14:textId="77777777" w:rsidR="00286A88" w:rsidRPr="00286A88" w:rsidRDefault="00286A88" w:rsidP="008630CE">
            <w:pPr>
              <w:rPr>
                <w:lang w:val="en-AU" w:eastAsia="en-AU"/>
              </w:rPr>
            </w:pPr>
            <w:r w:rsidRPr="00286A88">
              <w:rPr>
                <w:lang w:val="en-AU" w:eastAsia="en-AU"/>
              </w:rPr>
              <w:t>Male broiler</w:t>
            </w:r>
          </w:p>
        </w:tc>
        <w:tc>
          <w:tcPr>
            <w:tcW w:w="1985" w:type="dxa"/>
          </w:tcPr>
          <w:p w14:paraId="76F3A864" w14:textId="77777777" w:rsidR="00286A88" w:rsidRPr="00286A88" w:rsidRDefault="00286A88" w:rsidP="008630CE">
            <w:pPr>
              <w:rPr>
                <w:lang w:val="en-AU" w:eastAsia="en-AU"/>
              </w:rPr>
            </w:pPr>
            <w:r w:rsidRPr="00286A88">
              <w:rPr>
                <w:lang w:val="en-AU" w:eastAsia="en-AU"/>
              </w:rPr>
              <w:t>900</w:t>
            </w:r>
            <w:r w:rsidRPr="00286A88">
              <w:rPr>
                <w:rFonts w:cs="Cambria"/>
                <w:lang w:val="en-AU" w:eastAsia="en-AU"/>
              </w:rPr>
              <w:t xml:space="preserve"> Ω</w:t>
            </w:r>
          </w:p>
        </w:tc>
      </w:tr>
      <w:tr w:rsidR="00286A88" w:rsidRPr="00286A88" w14:paraId="5F04E5AD" w14:textId="77777777" w:rsidTr="00256388">
        <w:trPr>
          <w:trHeight w:val="264"/>
        </w:trPr>
        <w:tc>
          <w:tcPr>
            <w:tcW w:w="1984" w:type="dxa"/>
          </w:tcPr>
          <w:p w14:paraId="390849D0" w14:textId="77777777" w:rsidR="00286A88" w:rsidRPr="00286A88" w:rsidRDefault="00286A88" w:rsidP="008630CE">
            <w:pPr>
              <w:rPr>
                <w:lang w:val="en-AU" w:eastAsia="en-AU"/>
              </w:rPr>
            </w:pPr>
            <w:r w:rsidRPr="00286A88">
              <w:rPr>
                <w:lang w:val="en-AU" w:eastAsia="en-AU"/>
              </w:rPr>
              <w:t>Laying hen</w:t>
            </w:r>
          </w:p>
        </w:tc>
        <w:tc>
          <w:tcPr>
            <w:tcW w:w="1985" w:type="dxa"/>
          </w:tcPr>
          <w:p w14:paraId="0E0488E8" w14:textId="77777777" w:rsidR="00286A88" w:rsidRPr="00286A88" w:rsidRDefault="00286A88" w:rsidP="008630CE">
            <w:pPr>
              <w:rPr>
                <w:lang w:val="en-AU" w:eastAsia="en-AU"/>
              </w:rPr>
            </w:pPr>
            <w:r w:rsidRPr="00286A88">
              <w:rPr>
                <w:lang w:val="en-AU" w:eastAsia="en-AU"/>
              </w:rPr>
              <w:t>1500-1900</w:t>
            </w:r>
            <w:r w:rsidRPr="00286A88">
              <w:rPr>
                <w:rFonts w:cs="Cambria"/>
                <w:lang w:val="en-AU" w:eastAsia="en-AU"/>
              </w:rPr>
              <w:t xml:space="preserve"> Ω</w:t>
            </w:r>
          </w:p>
        </w:tc>
      </w:tr>
      <w:tr w:rsidR="00286A88" w:rsidRPr="00286A88" w14:paraId="0987EA69" w14:textId="77777777" w:rsidTr="00256388">
        <w:trPr>
          <w:trHeight w:val="264"/>
        </w:trPr>
        <w:tc>
          <w:tcPr>
            <w:tcW w:w="1984" w:type="dxa"/>
          </w:tcPr>
          <w:p w14:paraId="59EBFCEE" w14:textId="77777777" w:rsidR="00286A88" w:rsidRPr="00286A88" w:rsidRDefault="00286A88" w:rsidP="008630CE">
            <w:pPr>
              <w:rPr>
                <w:lang w:val="en-AU" w:eastAsia="en-AU"/>
              </w:rPr>
            </w:pPr>
            <w:r w:rsidRPr="00286A88">
              <w:rPr>
                <w:lang w:val="en-AU" w:eastAsia="en-AU"/>
              </w:rPr>
              <w:t>Turkey</w:t>
            </w:r>
          </w:p>
        </w:tc>
        <w:tc>
          <w:tcPr>
            <w:tcW w:w="1985" w:type="dxa"/>
          </w:tcPr>
          <w:p w14:paraId="4D53238E" w14:textId="77777777" w:rsidR="00286A88" w:rsidRPr="00286A88" w:rsidRDefault="00286A88" w:rsidP="008630CE">
            <w:pPr>
              <w:rPr>
                <w:lang w:val="en-AU" w:eastAsia="en-AU"/>
              </w:rPr>
            </w:pPr>
            <w:r w:rsidRPr="00286A88">
              <w:rPr>
                <w:lang w:val="en-AU" w:eastAsia="en-AU"/>
              </w:rPr>
              <w:t>1200-2300</w:t>
            </w:r>
            <w:r w:rsidRPr="00286A88">
              <w:rPr>
                <w:rFonts w:cs="Cambria"/>
                <w:lang w:val="en-AU" w:eastAsia="en-AU"/>
              </w:rPr>
              <w:t xml:space="preserve"> Ω</w:t>
            </w:r>
          </w:p>
        </w:tc>
      </w:tr>
      <w:tr w:rsidR="00286A88" w:rsidRPr="00286A88" w14:paraId="3C4BCE65" w14:textId="77777777" w:rsidTr="00256388">
        <w:trPr>
          <w:trHeight w:val="264"/>
        </w:trPr>
        <w:tc>
          <w:tcPr>
            <w:tcW w:w="1984" w:type="dxa"/>
          </w:tcPr>
          <w:p w14:paraId="3E38803B" w14:textId="77777777" w:rsidR="00286A88" w:rsidRPr="00286A88" w:rsidRDefault="00286A88" w:rsidP="008630CE">
            <w:pPr>
              <w:rPr>
                <w:lang w:val="en-AU" w:eastAsia="en-AU"/>
              </w:rPr>
            </w:pPr>
            <w:r w:rsidRPr="00286A88">
              <w:rPr>
                <w:lang w:val="en-AU" w:eastAsia="en-AU"/>
              </w:rPr>
              <w:t>Guinea Fowl</w:t>
            </w:r>
          </w:p>
        </w:tc>
        <w:tc>
          <w:tcPr>
            <w:tcW w:w="1985" w:type="dxa"/>
          </w:tcPr>
          <w:p w14:paraId="189C3938" w14:textId="77777777" w:rsidR="00286A88" w:rsidRPr="00286A88" w:rsidRDefault="00286A88" w:rsidP="008630CE">
            <w:pPr>
              <w:rPr>
                <w:lang w:val="en-AU" w:eastAsia="en-AU"/>
              </w:rPr>
            </w:pPr>
            <w:r w:rsidRPr="00286A88">
              <w:rPr>
                <w:lang w:val="en-AU" w:eastAsia="en-AU"/>
              </w:rPr>
              <w:t>2900</w:t>
            </w:r>
            <w:r w:rsidRPr="00286A88">
              <w:rPr>
                <w:rFonts w:cs="Cambria"/>
                <w:lang w:val="en-AU" w:eastAsia="en-AU"/>
              </w:rPr>
              <w:t xml:space="preserve"> Ω</w:t>
            </w:r>
          </w:p>
        </w:tc>
      </w:tr>
      <w:tr w:rsidR="00286A88" w:rsidRPr="00286A88" w14:paraId="2A04DFF6" w14:textId="77777777" w:rsidTr="00256388">
        <w:trPr>
          <w:trHeight w:val="283"/>
        </w:trPr>
        <w:tc>
          <w:tcPr>
            <w:tcW w:w="1984" w:type="dxa"/>
          </w:tcPr>
          <w:p w14:paraId="4339C33F" w14:textId="77777777" w:rsidR="00286A88" w:rsidRPr="00286A88" w:rsidRDefault="00286A88" w:rsidP="008630CE">
            <w:pPr>
              <w:rPr>
                <w:lang w:val="en-AU" w:eastAsia="en-AU"/>
              </w:rPr>
            </w:pPr>
            <w:r w:rsidRPr="00286A88">
              <w:rPr>
                <w:lang w:val="en-AU" w:eastAsia="en-AU"/>
              </w:rPr>
              <w:t>Duck</w:t>
            </w:r>
          </w:p>
        </w:tc>
        <w:tc>
          <w:tcPr>
            <w:tcW w:w="1985" w:type="dxa"/>
          </w:tcPr>
          <w:p w14:paraId="1A041777" w14:textId="77777777" w:rsidR="00286A88" w:rsidRPr="00286A88" w:rsidRDefault="00286A88" w:rsidP="008630CE">
            <w:pPr>
              <w:rPr>
                <w:lang w:val="en-AU" w:eastAsia="en-AU"/>
              </w:rPr>
            </w:pPr>
            <w:r w:rsidRPr="00286A88">
              <w:rPr>
                <w:lang w:val="en-AU" w:eastAsia="en-AU"/>
              </w:rPr>
              <w:t>1600-2600</w:t>
            </w:r>
            <w:r w:rsidRPr="00286A88">
              <w:rPr>
                <w:rFonts w:cs="Cambria"/>
                <w:lang w:val="en-AU" w:eastAsia="en-AU"/>
              </w:rPr>
              <w:t xml:space="preserve"> Ω</w:t>
            </w:r>
          </w:p>
        </w:tc>
      </w:tr>
      <w:tr w:rsidR="00286A88" w:rsidRPr="00286A88" w14:paraId="7F726BFE" w14:textId="77777777" w:rsidTr="00256388">
        <w:trPr>
          <w:trHeight w:val="264"/>
        </w:trPr>
        <w:tc>
          <w:tcPr>
            <w:tcW w:w="1984" w:type="dxa"/>
          </w:tcPr>
          <w:p w14:paraId="1810AEE5" w14:textId="77777777" w:rsidR="00286A88" w:rsidRPr="00286A88" w:rsidRDefault="00286A88" w:rsidP="008630CE">
            <w:pPr>
              <w:rPr>
                <w:lang w:val="en-AU" w:eastAsia="en-AU"/>
              </w:rPr>
            </w:pPr>
            <w:r w:rsidRPr="00286A88">
              <w:rPr>
                <w:lang w:val="en-AU" w:eastAsia="en-AU"/>
              </w:rPr>
              <w:t>Goose</w:t>
            </w:r>
          </w:p>
        </w:tc>
        <w:tc>
          <w:tcPr>
            <w:tcW w:w="1985" w:type="dxa"/>
          </w:tcPr>
          <w:p w14:paraId="53124874" w14:textId="77777777" w:rsidR="00286A88" w:rsidRPr="00286A88" w:rsidRDefault="00286A88" w:rsidP="008630CE">
            <w:pPr>
              <w:rPr>
                <w:lang w:val="en-AU" w:eastAsia="en-AU"/>
              </w:rPr>
            </w:pPr>
            <w:r w:rsidRPr="00286A88">
              <w:rPr>
                <w:lang w:val="en-AU" w:eastAsia="en-AU"/>
              </w:rPr>
              <w:t>1900</w:t>
            </w:r>
            <w:r w:rsidRPr="00286A88">
              <w:rPr>
                <w:rFonts w:cs="Cambria"/>
                <w:lang w:val="en-AU" w:eastAsia="en-AU"/>
              </w:rPr>
              <w:t xml:space="preserve"> Ω</w:t>
            </w:r>
          </w:p>
        </w:tc>
      </w:tr>
    </w:tbl>
    <w:p w14:paraId="63A5F804" w14:textId="77777777" w:rsidR="00286A88" w:rsidRPr="00286A88" w:rsidRDefault="008630CE" w:rsidP="004C2EAE">
      <w:pPr>
        <w:rPr>
          <w:lang w:val="en-AU" w:eastAsia="en-AU"/>
        </w:rPr>
      </w:pPr>
      <w:r>
        <w:rPr>
          <w:lang w:val="en-AU" w:eastAsia="en-AU"/>
        </w:rPr>
        <w:br w:type="textWrapping" w:clear="all"/>
      </w:r>
    </w:p>
    <w:p w14:paraId="71289E52" w14:textId="77777777" w:rsidR="00286A88" w:rsidRPr="00286A88" w:rsidRDefault="00286A88" w:rsidP="008630CE">
      <w:pPr>
        <w:rPr>
          <w:lang w:val="en-AU" w:eastAsia="en-AU"/>
        </w:rPr>
      </w:pPr>
      <w:r w:rsidRPr="00286A88">
        <w:rPr>
          <w:lang w:val="en-AU" w:eastAsia="en-AU"/>
        </w:rPr>
        <w:t>These figures indicate the wide range of impedances that are to be found and underline the importance of adjusting the electrical parameters to ensure that an adequate stunning current is delivered rather than using a set voltage.</w:t>
      </w:r>
    </w:p>
    <w:p w14:paraId="3E4EAD12" w14:textId="77777777" w:rsidR="00286A88" w:rsidRPr="00C5168E" w:rsidRDefault="00286A88" w:rsidP="00C5168E">
      <w:pPr>
        <w:spacing w:before="180"/>
        <w:rPr>
          <w:b/>
          <w:i/>
        </w:rPr>
      </w:pPr>
      <w:r w:rsidRPr="00C5168E">
        <w:rPr>
          <w:b/>
          <w:i/>
        </w:rPr>
        <w:t>Summary</w:t>
      </w:r>
    </w:p>
    <w:p w14:paraId="6B5259FD" w14:textId="77777777" w:rsidR="00286A88" w:rsidRPr="00286A88" w:rsidRDefault="00286A88" w:rsidP="008630CE">
      <w:pPr>
        <w:rPr>
          <w:lang w:val="en-AU" w:eastAsia="en-AU"/>
        </w:rPr>
      </w:pPr>
      <w:r w:rsidRPr="00286A88">
        <w:rPr>
          <w:lang w:val="en-AU" w:eastAsia="en-AU"/>
        </w:rPr>
        <w:t>Electrical water-bath stunning is the most widely used and most widely researched slaughter technique for poultry. It can result in immediate and long-lasting unconsciousness which, when followed rapidly by reliable bleeding, results in death without recovery. The approach however includes inherent welfare compromises and the system requires careful setup and constant management to protect bird welfare.</w:t>
      </w:r>
    </w:p>
    <w:p w14:paraId="51531F91" w14:textId="77777777" w:rsidR="00286A88" w:rsidRPr="00515938" w:rsidRDefault="00286A88" w:rsidP="00515938">
      <w:pPr>
        <w:pStyle w:val="Heading41"/>
      </w:pPr>
      <w:r w:rsidRPr="00515938">
        <w:t>SL2.2c Head-only electrical stunning</w:t>
      </w:r>
    </w:p>
    <w:p w14:paraId="7CEEE3CD" w14:textId="77777777" w:rsidR="00286A88" w:rsidRPr="00286A88" w:rsidRDefault="00286A88" w:rsidP="008630CE">
      <w:pPr>
        <w:rPr>
          <w:lang w:val="en-AU" w:eastAsia="en-AU"/>
        </w:rPr>
      </w:pPr>
      <w:r w:rsidRPr="00286A88">
        <w:rPr>
          <w:lang w:val="en-AU" w:eastAsia="en-AU"/>
        </w:rPr>
        <w:t>Head-only electrical stunning is the process of applying an electrical current across the head of the bird and not through its entire body. This is well established practice for electrically stunning pigs, sheep and other small livestock. It is well suited to killing small numbers of birds on a farm where it can be done with a simple hand held device. Head-only stunning has also recently been developed as an automated high speed system for commercial broiler processing plants. It aims to process broilers as quickly as an electrical water-bath system but to offer higher standards of welfare and carcase quality. Such systems are manufactured by the Dutch companies, “Top Kip”</w:t>
      </w:r>
      <w:r w:rsidR="004B27F6">
        <w:rPr>
          <w:lang w:val="en-AU" w:eastAsia="en-AU"/>
        </w:rPr>
        <w:t xml:space="preserve"> (</w:t>
      </w:r>
      <w:hyperlink r:id="rId82" w:tooltip="This is a link to the website of the Dutch company Top Kip." w:history="1">
        <w:r w:rsidR="004B27F6" w:rsidRPr="008D16A0">
          <w:rPr>
            <w:rStyle w:val="Hyperlink"/>
            <w:lang w:val="en-AU" w:eastAsia="en-AU"/>
          </w:rPr>
          <w:t>www.topkip.com</w:t>
        </w:r>
      </w:hyperlink>
      <w:r w:rsidR="004B27F6">
        <w:rPr>
          <w:lang w:val="en-AU" w:eastAsia="en-AU"/>
        </w:rPr>
        <w:t>)</w:t>
      </w:r>
      <w:r w:rsidRPr="00286A88">
        <w:rPr>
          <w:lang w:val="en-AU" w:eastAsia="en-AU"/>
        </w:rPr>
        <w:t xml:space="preserve"> and “Dutch Vision” (</w:t>
      </w:r>
      <w:hyperlink r:id="rId83" w:tooltip="This is a link to the website of the Dutch company Dutch Vision." w:history="1">
        <w:r w:rsidR="000165CA" w:rsidRPr="008D16A0">
          <w:rPr>
            <w:rStyle w:val="Hyperlink"/>
            <w:lang w:val="en-AU" w:eastAsia="en-AU"/>
          </w:rPr>
          <w:t>www.dutchvisionsolutions.com</w:t>
        </w:r>
      </w:hyperlink>
      <w:r w:rsidRPr="00286A88">
        <w:rPr>
          <w:lang w:val="en-AU" w:eastAsia="en-AU"/>
        </w:rPr>
        <w:t>). At present there is limited uptake, possibly because of the complexity of the machinery.</w:t>
      </w:r>
    </w:p>
    <w:p w14:paraId="73A61F6A" w14:textId="77777777" w:rsidR="00286A88" w:rsidRPr="00C5168E" w:rsidRDefault="00286A88" w:rsidP="00C5168E">
      <w:pPr>
        <w:spacing w:before="180"/>
        <w:rPr>
          <w:b/>
          <w:i/>
        </w:rPr>
      </w:pPr>
      <w:r w:rsidRPr="00C5168E">
        <w:rPr>
          <w:b/>
          <w:i/>
        </w:rPr>
        <w:t>Welfare advantages and disadvantages</w:t>
      </w:r>
    </w:p>
    <w:p w14:paraId="47100DBC" w14:textId="77777777" w:rsidR="00286A88" w:rsidRPr="00286A88" w:rsidRDefault="00286A88" w:rsidP="008630CE">
      <w:pPr>
        <w:rPr>
          <w:lang w:val="en-AU" w:eastAsia="en-AU"/>
        </w:rPr>
      </w:pPr>
      <w:r w:rsidRPr="00286A88">
        <w:rPr>
          <w:lang w:val="en-AU" w:eastAsia="en-AU"/>
        </w:rPr>
        <w:t>Head-only stunning is almost always reversible, since the heart is not fibrillated. Rapid and efficient bleeding is therefore even more important than for electrical water-bath stunning. Since the electrical current does not pass through the body the prevalence of carcase damage such as blood splash in the breast muscle is reduced so there is less commercial pressure to minimise the stunning current used. Head-only stunning devices stun each bird separately so they can be configured as constant current stunners, automatically adjusting their voltage in order to deliver a preset current. This means that each bird can receive an appropriate current regardless of the variations in electrical resistance of the birds’ head and feathers.</w:t>
      </w:r>
    </w:p>
    <w:p w14:paraId="4DEBB23F" w14:textId="77777777" w:rsidR="00286A88" w:rsidRPr="00286A88" w:rsidRDefault="00286A88" w:rsidP="008630CE">
      <w:pPr>
        <w:rPr>
          <w:lang w:val="en-AU" w:eastAsia="en-AU"/>
        </w:rPr>
      </w:pPr>
      <w:r w:rsidRPr="00286A88">
        <w:rPr>
          <w:lang w:val="en-AU" w:eastAsia="en-AU"/>
        </w:rPr>
        <w:t>Since head-only stunning produces a stun from which the birds can recover, the approach is accepted for halal slaughter by many Islamic authorities. The birds can be properly stunned without risk of death. This contrasts with water-bath stunning where in order to ensure that the birds can recover, the quality of the stun may be compromised.</w:t>
      </w:r>
    </w:p>
    <w:p w14:paraId="662209A1" w14:textId="77777777" w:rsidR="00286A88" w:rsidRPr="00286A88" w:rsidRDefault="00286A88" w:rsidP="008630CE">
      <w:pPr>
        <w:rPr>
          <w:lang w:val="en-AU" w:eastAsia="en-AU"/>
        </w:rPr>
      </w:pPr>
      <w:r w:rsidRPr="00286A88">
        <w:rPr>
          <w:lang w:val="en-AU" w:eastAsia="en-AU"/>
        </w:rPr>
        <w:t xml:space="preserve">With the automated high speed head-only broiler systems, although the birds are restrained in an inverted position on something similar to a shackle line, they do not need to make electrical contact through the shackle therefore the legs do not need to be tightly held. To constrain the birds and prevent wing flapping as a result of the clonic-tonic spasms, the birds are held in an inverted cone. This may have a calming effect on the birds </w:t>
      </w:r>
      <w:r w:rsidRPr="00286A88">
        <w:rPr>
          <w:noProof/>
          <w:lang w:val="en-AU" w:eastAsia="en-AU"/>
        </w:rPr>
        <w:t>(Lambooij et al., 2014)</w:t>
      </w:r>
      <w:r w:rsidRPr="00286A88">
        <w:rPr>
          <w:lang w:val="en-AU" w:eastAsia="en-AU"/>
        </w:rPr>
        <w:t>.</w:t>
      </w:r>
    </w:p>
    <w:p w14:paraId="42D85129" w14:textId="77777777" w:rsidR="00286A88" w:rsidRPr="00286A88" w:rsidRDefault="00286A88" w:rsidP="008630CE">
      <w:pPr>
        <w:rPr>
          <w:lang w:val="en-AU" w:eastAsia="en-AU"/>
        </w:rPr>
      </w:pPr>
      <w:r w:rsidRPr="00286A88">
        <w:rPr>
          <w:lang w:val="en-AU" w:eastAsia="en-AU"/>
        </w:rPr>
        <w:t xml:space="preserve">For manual head-only stunning the electrodes may be mounted on tongs to clamp around the head. These electrodes are likely to be plates with pins or spikes, which make contact with the bird’s head through the feathers. Spiked electrodes provide only a few points of contact, so if they are dirty or in poor condition they may introduce added electrical resistance, reducing the current delivered to birds and resulting in an inadequate stun. Alternatively, operators may press the electrodes into the birds’ heads with more force to try to overcome the poor electrical contact between the tongs and bird, risking pain or injury </w:t>
      </w:r>
      <w:r w:rsidRPr="00286A88">
        <w:rPr>
          <w:noProof/>
          <w:lang w:val="en-AU" w:eastAsia="en-AU"/>
        </w:rPr>
        <w:t>(Gibson et al., 2016)</w:t>
      </w:r>
      <w:r w:rsidRPr="00286A88">
        <w:rPr>
          <w:lang w:val="en-AU" w:eastAsia="en-AU"/>
        </w:rPr>
        <w:t>.</w:t>
      </w:r>
    </w:p>
    <w:p w14:paraId="7FAE6C68" w14:textId="77777777" w:rsidR="00286A88" w:rsidRPr="00C5168E" w:rsidRDefault="00286A88" w:rsidP="00C5168E">
      <w:pPr>
        <w:spacing w:before="180"/>
        <w:rPr>
          <w:b/>
          <w:i/>
        </w:rPr>
      </w:pPr>
      <w:r w:rsidRPr="00C5168E">
        <w:rPr>
          <w:b/>
          <w:i/>
        </w:rPr>
        <w:t>Research into the welfare aspects of head-only electrical stunning</w:t>
      </w:r>
    </w:p>
    <w:p w14:paraId="6181BBCE" w14:textId="77777777" w:rsidR="00286A88" w:rsidRPr="00286A88" w:rsidRDefault="00286A88" w:rsidP="008630CE">
      <w:pPr>
        <w:rPr>
          <w:lang w:val="en-AU" w:eastAsia="en-AU"/>
        </w:rPr>
      </w:pPr>
      <w:r w:rsidRPr="00286A88">
        <w:rPr>
          <w:noProof/>
          <w:lang w:val="en-AU" w:eastAsia="en-AU"/>
        </w:rPr>
        <w:t>Lambooij et al. (2010</w:t>
      </w:r>
      <w:r w:rsidR="006B6570">
        <w:rPr>
          <w:noProof/>
          <w:lang w:val="en-AU" w:eastAsia="en-AU"/>
        </w:rPr>
        <w:t>a</w:t>
      </w:r>
      <w:r w:rsidRPr="00286A88">
        <w:rPr>
          <w:noProof/>
          <w:lang w:val="en-AU" w:eastAsia="en-AU"/>
        </w:rPr>
        <w:t>)</w:t>
      </w:r>
      <w:r w:rsidRPr="00286A88">
        <w:rPr>
          <w:lang w:val="en-AU" w:eastAsia="en-AU"/>
        </w:rPr>
        <w:t xml:space="preserve"> reports investigations into the effect of </w:t>
      </w:r>
      <w:r w:rsidR="006B6570">
        <w:rPr>
          <w:lang w:val="en-AU" w:eastAsia="en-AU"/>
        </w:rPr>
        <w:t>a</w:t>
      </w:r>
      <w:r w:rsidRPr="00286A88">
        <w:rPr>
          <w:lang w:val="en-AU" w:eastAsia="en-AU"/>
        </w:rPr>
        <w:t xml:space="preserve"> 50 Hz AC stunning current of 320 mA across the heads of broilers. This current was applied for 3 s or 5 s. Observation of the bird EEG suggested that they were unconscious for 44</w:t>
      </w:r>
      <w:r w:rsidR="00056878">
        <w:rPr>
          <w:lang w:val="en-AU" w:eastAsia="en-AU"/>
        </w:rPr>
        <w:t> </w:t>
      </w:r>
      <w:r w:rsidRPr="00286A88">
        <w:rPr>
          <w:lang w:val="en-AU" w:eastAsia="en-AU"/>
        </w:rPr>
        <w:t xml:space="preserve">s and 65 s respectively however an alternative EEG analysis method using the “correlation dimension” approach suggested a much shorter, 20 s, period of unconsciousness. </w:t>
      </w:r>
      <w:r w:rsidRPr="00286A88">
        <w:rPr>
          <w:noProof/>
          <w:lang w:val="en-AU" w:eastAsia="en-AU"/>
        </w:rPr>
        <w:t>Lambooij et al. (2014)</w:t>
      </w:r>
      <w:r w:rsidRPr="00286A88">
        <w:rPr>
          <w:lang w:val="en-AU" w:eastAsia="en-AU"/>
        </w:rPr>
        <w:t xml:space="preserve"> reports further work on head-only stunning using a 50 Hz AC current of 260 mA applied for 3 s. EEG analysis was used to confirm unconsciousness but not to identify the unconsciousness duration.</w:t>
      </w:r>
    </w:p>
    <w:p w14:paraId="490EA893" w14:textId="77777777" w:rsidR="00286A88" w:rsidRPr="00286A88" w:rsidRDefault="00286A88" w:rsidP="008630CE">
      <w:pPr>
        <w:rPr>
          <w:lang w:val="en-AU" w:eastAsia="en-AU"/>
        </w:rPr>
      </w:pPr>
      <w:r w:rsidRPr="00286A88">
        <w:rPr>
          <w:noProof/>
          <w:lang w:val="en-AU" w:eastAsia="en-AU"/>
        </w:rPr>
        <w:t>Gibson et al. (2016)</w:t>
      </w:r>
      <w:r w:rsidRPr="00286A88">
        <w:rPr>
          <w:lang w:val="en-AU" w:eastAsia="en-AU"/>
        </w:rPr>
        <w:t xml:space="preserve"> reports durations of insensibility of less than 20 s using 50 Hz AC stunning currents of 400 – 500 mA and an exposure of 7 s. Gibson tested two types of electrodes: the traditional spiked electrodes positioned on either side of the head, and two flat plates set at right angles into which the head is pressed so making contact with the left and right rear quarters of the head. The results suggested that this alternative electrode placement resulted in yet shorter periods of unconsciousness and so should be used with even more caution.</w:t>
      </w:r>
    </w:p>
    <w:p w14:paraId="5265E7F7" w14:textId="77777777" w:rsidR="00286A88" w:rsidRPr="00286A88" w:rsidRDefault="00286A88" w:rsidP="008630CE">
      <w:pPr>
        <w:rPr>
          <w:lang w:val="en-AU" w:eastAsia="en-AU"/>
        </w:rPr>
      </w:pPr>
      <w:r w:rsidRPr="00286A88">
        <w:rPr>
          <w:lang w:val="en-AU" w:eastAsia="en-AU"/>
        </w:rPr>
        <w:t xml:space="preserve">Somewhat earlier </w:t>
      </w:r>
      <w:r w:rsidRPr="00286A88">
        <w:rPr>
          <w:noProof/>
          <w:lang w:val="en-AU" w:eastAsia="en-AU"/>
        </w:rPr>
        <w:t>Raj and O’Callaghan (2004</w:t>
      </w:r>
      <w:r w:rsidR="006B6570">
        <w:rPr>
          <w:noProof/>
          <w:lang w:val="en-AU" w:eastAsia="en-AU"/>
        </w:rPr>
        <w:t>b</w:t>
      </w:r>
      <w:r w:rsidRPr="00286A88">
        <w:rPr>
          <w:noProof/>
          <w:lang w:val="en-AU" w:eastAsia="en-AU"/>
        </w:rPr>
        <w:t>)</w:t>
      </w:r>
      <w:r w:rsidRPr="00286A88">
        <w:rPr>
          <w:lang w:val="en-AU" w:eastAsia="en-AU"/>
        </w:rPr>
        <w:t xml:space="preserve"> investigated head-only stunning of broilers using AC stunning currents of 50, 400 and 1500 Hz and currents of 100 mA and 150 mA applied for 1</w:t>
      </w:r>
      <w:r w:rsidR="00056878">
        <w:rPr>
          <w:lang w:val="en-AU" w:eastAsia="en-AU"/>
        </w:rPr>
        <w:t xml:space="preserve"> </w:t>
      </w:r>
      <w:r w:rsidRPr="00286A88">
        <w:rPr>
          <w:lang w:val="en-AU" w:eastAsia="en-AU"/>
        </w:rPr>
        <w:t xml:space="preserve">s. The duration of the resulting unconsciousness was identified as 30 s – 40 s with the exception of the lowest current and the highest frequency (100 mA, 1500 Hz) where recovery was significantly faster. </w:t>
      </w:r>
      <w:r w:rsidRPr="00286A88">
        <w:rPr>
          <w:noProof/>
          <w:lang w:val="en-AU" w:eastAsia="en-AU"/>
        </w:rPr>
        <w:t>EFSA (2004)</w:t>
      </w:r>
      <w:r w:rsidRPr="00286A88">
        <w:rPr>
          <w:lang w:val="en-AU" w:eastAsia="en-AU"/>
        </w:rPr>
        <w:t xml:space="preserve"> recommends a minimum rms current of ≥240 mA (50Hz AC) for effective head-only stunning of chickens.</w:t>
      </w:r>
    </w:p>
    <w:p w14:paraId="2A80E365" w14:textId="77777777" w:rsidR="00286A88" w:rsidRPr="00286A88" w:rsidRDefault="00286A88" w:rsidP="008630CE">
      <w:pPr>
        <w:rPr>
          <w:lang w:val="en-AU" w:eastAsia="en-AU"/>
        </w:rPr>
      </w:pPr>
      <w:r w:rsidRPr="00286A88">
        <w:rPr>
          <w:lang w:val="en-AU" w:eastAsia="en-AU"/>
        </w:rPr>
        <w:t>These results suggest that over a wide range of practical voltages and exposure durations the duration of unconsciousness following head-only stunning is around half a minute. Bleeding must therefore take place quickly following head-only stunning. The time from the start of bleeding to brain death for a broiler that is stunned and bled with a ventral neck cut is around 20 s (Raj et al., 2006a).</w:t>
      </w:r>
    </w:p>
    <w:p w14:paraId="2DA06C6A" w14:textId="77777777" w:rsidR="00286A88" w:rsidRPr="00515938" w:rsidRDefault="00286A88" w:rsidP="00515938">
      <w:pPr>
        <w:pStyle w:val="Heading3"/>
      </w:pPr>
      <w:bookmarkStart w:id="386" w:name="_Toc495310853"/>
      <w:r w:rsidRPr="00515938">
        <w:t>SL2.3 Controlled atmosphere stunning and killing (CAS)</w:t>
      </w:r>
      <w:bookmarkEnd w:id="386"/>
    </w:p>
    <w:p w14:paraId="7E6BE65C" w14:textId="77777777" w:rsidR="00286A88" w:rsidRPr="00515938" w:rsidRDefault="00286A88" w:rsidP="00515938">
      <w:pPr>
        <w:pStyle w:val="Heading41"/>
      </w:pPr>
      <w:r w:rsidRPr="00515938">
        <w:t>SL2.3a Principles</w:t>
      </w:r>
    </w:p>
    <w:p w14:paraId="0C715F0C" w14:textId="77777777" w:rsidR="00286A88" w:rsidRPr="00256388" w:rsidRDefault="00286A88" w:rsidP="008630CE">
      <w:pPr>
        <w:rPr>
          <w:lang w:val="en-AU" w:eastAsia="en-AU"/>
        </w:rPr>
      </w:pPr>
      <w:r w:rsidRPr="00256388">
        <w:rPr>
          <w:lang w:val="en-AU" w:eastAsia="en-AU"/>
        </w:rPr>
        <w:t xml:space="preserve">Normal air comprises 78% nitrogen, 21% oxygen, 1% argon and less than 0.05% carbon dioxide. In controlled atmosphere stunning, the ratios of these gases are changed so that the birds lose consciousness and then die due to excess carbon dioxide and/or insufficient oxygen. Excess carbon dioxide in the breathed atmosphere causes acidification of the blood (hypercapnia), which in turn leads to acidification of the cerebrospinal fluid. This depresses brain activity causing a loss of vigilance, loss of consciousness and ultimately death. Insufficient oxygen in the breathed atmosphere air results in hypoxia and acidification of the cerebrospinal fluid leading to unconsciousness and death </w:t>
      </w:r>
      <w:r w:rsidRPr="00256388">
        <w:rPr>
          <w:noProof/>
          <w:lang w:val="en-AU" w:eastAsia="en-AU"/>
        </w:rPr>
        <w:t>(Terlouw et al., 2016)</w:t>
      </w:r>
      <w:r w:rsidRPr="00256388">
        <w:rPr>
          <w:lang w:val="en-AU" w:eastAsia="en-AU"/>
        </w:rPr>
        <w:t>.</w:t>
      </w:r>
    </w:p>
    <w:p w14:paraId="7457FA24" w14:textId="77777777" w:rsidR="00286A88" w:rsidRPr="00286A88" w:rsidRDefault="00286A88" w:rsidP="008630CE">
      <w:pPr>
        <w:rPr>
          <w:lang w:val="en-AU" w:eastAsia="en-AU"/>
        </w:rPr>
      </w:pPr>
      <w:r w:rsidRPr="00286A88">
        <w:rPr>
          <w:lang w:val="en-AU" w:eastAsia="en-AU"/>
        </w:rPr>
        <w:t>Gas mixtures that are commonly identified in reports are:</w:t>
      </w:r>
    </w:p>
    <w:p w14:paraId="6E242C6A" w14:textId="77777777" w:rsidR="00286A88" w:rsidRPr="00286A88" w:rsidRDefault="00286A88" w:rsidP="00415972">
      <w:pPr>
        <w:pStyle w:val="Agbulletlist"/>
        <w:rPr>
          <w:lang w:val="en-AU" w:eastAsia="en-AU"/>
        </w:rPr>
      </w:pPr>
      <w:r w:rsidRPr="00286A88">
        <w:rPr>
          <w:lang w:val="en-AU" w:eastAsia="en-AU"/>
        </w:rPr>
        <w:t>Carbon dioxide added to air: at concentrations below 40% this can lead to unconsciousness within 30 s and at concentrations above 50% it leads to a death within 4 minutes. Carbon dioxide however promotes respiratory disruption (hyperventilation) and high levels are also probably pungent and aversive (McKeegan et al., 2005; 2006</w:t>
      </w:r>
      <w:r w:rsidR="007333B3">
        <w:rPr>
          <w:lang w:val="en-AU" w:eastAsia="en-AU"/>
        </w:rPr>
        <w:t>;</w:t>
      </w:r>
      <w:r w:rsidRPr="00286A88">
        <w:rPr>
          <w:lang w:val="en-AU" w:eastAsia="en-AU"/>
        </w:rPr>
        <w:t xml:space="preserve"> 2013a; Gerritzen et al., 2013</w:t>
      </w:r>
      <w:r w:rsidR="00EF5888">
        <w:rPr>
          <w:lang w:val="en-AU" w:eastAsia="en-AU"/>
        </w:rPr>
        <w:t>a</w:t>
      </w:r>
      <w:r w:rsidRPr="00286A88">
        <w:rPr>
          <w:lang w:val="en-AU" w:eastAsia="en-AU"/>
        </w:rPr>
        <w:t>).</w:t>
      </w:r>
    </w:p>
    <w:p w14:paraId="7CC8C9BA" w14:textId="77777777" w:rsidR="00286A88" w:rsidRPr="00286A88" w:rsidRDefault="00286A88" w:rsidP="00415972">
      <w:pPr>
        <w:pStyle w:val="Agbulletlist"/>
        <w:rPr>
          <w:lang w:val="en-AU" w:eastAsia="en-AU"/>
        </w:rPr>
      </w:pPr>
      <w:r w:rsidRPr="00286A88">
        <w:rPr>
          <w:lang w:val="en-AU" w:eastAsia="en-AU"/>
        </w:rPr>
        <w:t>Low levels of carbon dioxide (e.g. 30%) added to inert gas: this creates a carbon dioxide rich hypoxic atmosphere which results in quicker unconsciousness and death than carbon dioxide alone but it is less aversive than high levels of carbon dioxide and it results in fewer convulsions than high levels of inert gas (Abeyesinghe et al., 2007; McKeegan et al., 2007a).</w:t>
      </w:r>
    </w:p>
    <w:p w14:paraId="3DEFE213" w14:textId="77777777" w:rsidR="00286A88" w:rsidRPr="00286A88" w:rsidRDefault="00286A88" w:rsidP="00415972">
      <w:pPr>
        <w:pStyle w:val="Agbulletlist"/>
        <w:rPr>
          <w:lang w:val="en-AU" w:eastAsia="en-AU"/>
        </w:rPr>
      </w:pPr>
      <w:r w:rsidRPr="00286A88">
        <w:rPr>
          <w:lang w:val="en-AU" w:eastAsia="en-AU"/>
        </w:rPr>
        <w:t>Low levels of carbon dioxide with added oxygen, for example 40% carbon dioxide and 30% oxygen in nitrogen (30%): this leads to unconsciousness more gently with fewer convulsions than low levels of carbon dioxide alone, but time to death would be long (McKeegan et al., 2007a). This is therefore used as the stunning phase of a bi-phasic stunning and killing system.</w:t>
      </w:r>
    </w:p>
    <w:p w14:paraId="36C0D655" w14:textId="77777777" w:rsidR="00286A88" w:rsidRPr="00286A88" w:rsidRDefault="00286A88" w:rsidP="00415972">
      <w:pPr>
        <w:pStyle w:val="Agbulletlist"/>
        <w:rPr>
          <w:lang w:val="en-AU" w:eastAsia="en-AU"/>
        </w:rPr>
      </w:pPr>
      <w:r w:rsidRPr="00286A88">
        <w:rPr>
          <w:lang w:val="en-AU" w:eastAsia="en-AU"/>
        </w:rPr>
        <w:t>High levels of inert gas such as nitrogen or argon (e.g. 90%): this reduces the atmospheric oxygen content to 2% or less and so results in a rapid loss of consciousness and death with little respiratory disruption. It can result in convulsions such as wing flapping which may occur before the possibility of consciousness can be fully excluded (Gerritzen et al., 2000; McKeegan et al., 2007a).</w:t>
      </w:r>
    </w:p>
    <w:p w14:paraId="1EEB5625" w14:textId="77777777" w:rsidR="00286A88" w:rsidRPr="00515938" w:rsidRDefault="00286A88" w:rsidP="00515938">
      <w:pPr>
        <w:pStyle w:val="Heading41"/>
      </w:pPr>
      <w:r w:rsidRPr="00515938">
        <w:t>SL2.3b Welfare advantages and disadvantages</w:t>
      </w:r>
    </w:p>
    <w:p w14:paraId="4554860F" w14:textId="77777777" w:rsidR="00286A88" w:rsidRPr="00286A88" w:rsidRDefault="00286A88" w:rsidP="008630CE">
      <w:pPr>
        <w:rPr>
          <w:lang w:val="en-AU" w:eastAsia="en-AU"/>
        </w:rPr>
      </w:pPr>
      <w:r w:rsidRPr="00286A88">
        <w:rPr>
          <w:lang w:val="en-AU" w:eastAsia="en-AU"/>
        </w:rPr>
        <w:t xml:space="preserve">Controlled atmosphere stunning benefits poultry because they do not have to be disturbed, handled or removed from the crates in which they were transported. This may be particularly beneficial to end-of-lay hens which are likely to have brittle or broken bones </w:t>
      </w:r>
      <w:r w:rsidRPr="00286A88">
        <w:rPr>
          <w:noProof/>
          <w:lang w:val="en-AU" w:eastAsia="en-AU"/>
        </w:rPr>
        <w:t>(Knowles and Wilkins, 1998)</w:t>
      </w:r>
      <w:r w:rsidRPr="00286A88">
        <w:rPr>
          <w:lang w:val="en-AU" w:eastAsia="en-AU"/>
        </w:rPr>
        <w:t xml:space="preserve">, and for birds that react strongly to handling, such as geese. No direct contact needs to be made with the bird and positioning of the bird is not important. A second advantage of CAS is that its effectiveness is relatively insensitive to variations in bird size and conformity so a properly set up system does not need adjustment to suit different flocks, neither does it underperform when presented with flocks with a large variance in bird size. Recovery can be avoided with a high degree of certainty without compromising meat quality by ensuring the final gas concentrations are applied at a high enough level and for a long enough time. It is less clear whether both unconsciousness and eventual recovery can be assured as would be required to conform with halal requirements. Birds stunned with carbon dioxide can recover very rapidly following removal to a normal atmosphere </w:t>
      </w:r>
      <w:r w:rsidRPr="00286A88">
        <w:rPr>
          <w:noProof/>
          <w:lang w:val="en-AU" w:eastAsia="en-AU"/>
        </w:rPr>
        <w:t>(McKeegan et al., 2013a)</w:t>
      </w:r>
      <w:r w:rsidRPr="00286A88">
        <w:rPr>
          <w:lang w:val="en-AU" w:eastAsia="en-AU"/>
        </w:rPr>
        <w:t>. CAS stunning of poultry for the halal market is, however, to be found in some European countries.</w:t>
      </w:r>
    </w:p>
    <w:p w14:paraId="56A7C544" w14:textId="77777777" w:rsidR="00286A88" w:rsidRPr="00286A88" w:rsidRDefault="00286A88" w:rsidP="008630CE">
      <w:pPr>
        <w:rPr>
          <w:lang w:val="en-AU" w:eastAsia="en-AU"/>
        </w:rPr>
      </w:pPr>
      <w:r w:rsidRPr="00286A88">
        <w:rPr>
          <w:lang w:val="en-AU" w:eastAsia="en-AU"/>
        </w:rPr>
        <w:t>Welfare concerns around this method of slaughter focus on the aversiveness of the gases, the respiratory disruption caused and on the possibility that involuntary convulsions including wing flapping might occur before all the birds are fully unconscious.</w:t>
      </w:r>
    </w:p>
    <w:p w14:paraId="7D47970B" w14:textId="77777777" w:rsidR="00286A88" w:rsidRPr="00515938" w:rsidRDefault="00286A88" w:rsidP="00515938">
      <w:pPr>
        <w:pStyle w:val="Heading41"/>
      </w:pPr>
      <w:r w:rsidRPr="00515938">
        <w:t>SL2.3c Practical implementations of controlled atmosphere stunning</w:t>
      </w:r>
    </w:p>
    <w:p w14:paraId="3E7A7CEE" w14:textId="77777777" w:rsidR="00286A88" w:rsidRPr="00286A88" w:rsidRDefault="00286A88" w:rsidP="008630CE">
      <w:pPr>
        <w:rPr>
          <w:lang w:val="en-AU" w:eastAsia="en-AU"/>
        </w:rPr>
      </w:pPr>
      <w:r w:rsidRPr="00286A88">
        <w:rPr>
          <w:lang w:val="en-AU" w:eastAsia="en-AU"/>
        </w:rPr>
        <w:t>Commercial application of controlled atmosphere stunning is achieved using a range of approaches. In poultry processing plants these include:</w:t>
      </w:r>
    </w:p>
    <w:p w14:paraId="7C177AB8" w14:textId="77777777" w:rsidR="00286A88" w:rsidRPr="00286A88" w:rsidRDefault="00286A88" w:rsidP="008630CE">
      <w:pPr>
        <w:pStyle w:val="Agbulletlist"/>
        <w:rPr>
          <w:lang w:val="en-AU" w:eastAsia="en-AU"/>
        </w:rPr>
      </w:pPr>
      <w:r w:rsidRPr="00286A88">
        <w:rPr>
          <w:lang w:val="en-AU" w:eastAsia="en-AU"/>
        </w:rPr>
        <w:t>a pit into which transport crates of birds are lowered for a period of several minutes. This takes advantage of the fact that carbon dioxide is significantly heavier than air so the gas is contained in the pit and the concentration at the top of the pit is lower than at the bottom.</w:t>
      </w:r>
    </w:p>
    <w:p w14:paraId="2BCBD0E4" w14:textId="77777777" w:rsidR="00286A88" w:rsidRPr="00286A88" w:rsidRDefault="00286A88" w:rsidP="008630CE">
      <w:pPr>
        <w:pStyle w:val="Agbulletlist"/>
        <w:rPr>
          <w:lang w:val="en-AU" w:eastAsia="en-AU"/>
        </w:rPr>
      </w:pPr>
      <w:r w:rsidRPr="00286A88">
        <w:rPr>
          <w:lang w:val="en-AU" w:eastAsia="en-AU"/>
        </w:rPr>
        <w:t>a tunnel along which the birds, either in or out of their transport crates, are transported within a modified atmosphere.</w:t>
      </w:r>
    </w:p>
    <w:p w14:paraId="451991F8" w14:textId="77777777" w:rsidR="00286A88" w:rsidRPr="00286A88" w:rsidRDefault="00286A88" w:rsidP="008630CE">
      <w:pPr>
        <w:pStyle w:val="Agbulletlist"/>
        <w:rPr>
          <w:lang w:val="en-AU" w:eastAsia="en-AU"/>
        </w:rPr>
      </w:pPr>
      <w:r w:rsidRPr="00286A88">
        <w:rPr>
          <w:lang w:val="en-AU" w:eastAsia="en-AU"/>
        </w:rPr>
        <w:t>a static chamber into which poultry transport crates are introduced. The chamber is then sealed and the level of carbon dioxide in the chamber is raised.</w:t>
      </w:r>
    </w:p>
    <w:p w14:paraId="0101BA74" w14:textId="77777777" w:rsidR="00286A88" w:rsidRPr="00286A88" w:rsidRDefault="00286A88" w:rsidP="008630CE">
      <w:pPr>
        <w:rPr>
          <w:lang w:val="en-AU" w:eastAsia="en-AU"/>
        </w:rPr>
      </w:pPr>
      <w:r w:rsidRPr="00286A88">
        <w:rPr>
          <w:lang w:val="en-AU" w:eastAsia="en-AU"/>
        </w:rPr>
        <w:t xml:space="preserve">Timings vary with gas concentrations but typically birds may be expected to lose consciousness within 20 s – 1 minute and all the birds may be expected to be dead within 5 minutes </w:t>
      </w:r>
      <w:r w:rsidRPr="00286A88">
        <w:rPr>
          <w:noProof/>
          <w:lang w:val="en-AU" w:eastAsia="en-AU"/>
        </w:rPr>
        <w:t>(Raj, 2006).</w:t>
      </w:r>
    </w:p>
    <w:p w14:paraId="3A5AA213" w14:textId="77777777" w:rsidR="00286A88" w:rsidRPr="00286A88" w:rsidRDefault="00286A88" w:rsidP="008630CE">
      <w:pPr>
        <w:rPr>
          <w:lang w:val="en-AU" w:eastAsia="en-AU"/>
        </w:rPr>
      </w:pPr>
      <w:r w:rsidRPr="00286A88">
        <w:rPr>
          <w:lang w:val="en-AU" w:eastAsia="en-AU"/>
        </w:rPr>
        <w:t>For on farm emergency killing a deep container may be filled with carbon dioxide and compromised animals are simply lowered into this container. Depending on the level of sophistication the carbon dioxide level may or may not be continuously measured.</w:t>
      </w:r>
    </w:p>
    <w:p w14:paraId="420873A4" w14:textId="77777777" w:rsidR="00286A88" w:rsidRPr="00286A88" w:rsidRDefault="00286A88" w:rsidP="008630CE">
      <w:pPr>
        <w:rPr>
          <w:lang w:val="en-AU" w:eastAsia="en-AU"/>
        </w:rPr>
      </w:pPr>
      <w:r w:rsidRPr="00286A88">
        <w:rPr>
          <w:lang w:val="en-AU" w:eastAsia="en-AU"/>
        </w:rPr>
        <w:t>For commercial killing of chicks or small numbers of other birds, equipment is available into which the birds are placed. Once sealed, a suitable gas mixture is injected into the unit until death is assured.</w:t>
      </w:r>
    </w:p>
    <w:p w14:paraId="59493D7B" w14:textId="77777777" w:rsidR="00286A88" w:rsidRPr="00286A88" w:rsidRDefault="00286A88" w:rsidP="008630CE">
      <w:pPr>
        <w:rPr>
          <w:lang w:val="en-AU" w:eastAsia="en-AU"/>
        </w:rPr>
      </w:pPr>
      <w:r w:rsidRPr="00286A88">
        <w:rPr>
          <w:lang w:val="en-AU" w:eastAsia="en-AU"/>
        </w:rPr>
        <w:t>On farm disease control may be achieved by whole house killing. Bird houses are appropriately sealed and then filled with either with carbon dioxide gas or with a high expansion carbon dioxide or nitrogen filled foam. Whole house killing of laying hens using carbon dioxide gas is practiced in some countries.</w:t>
      </w:r>
    </w:p>
    <w:p w14:paraId="69C88EE4" w14:textId="77777777" w:rsidR="00286A88" w:rsidRPr="00515938" w:rsidRDefault="00286A88" w:rsidP="00515938">
      <w:pPr>
        <w:pStyle w:val="Heading41"/>
      </w:pPr>
      <w:r w:rsidRPr="00515938">
        <w:t>SL2.3d Research into welfare aspects of controlled atmosphere stunning</w:t>
      </w:r>
    </w:p>
    <w:p w14:paraId="4E1EC0A8" w14:textId="77777777" w:rsidR="00286A88" w:rsidRPr="00286A88" w:rsidRDefault="00286A88" w:rsidP="00630850">
      <w:pPr>
        <w:rPr>
          <w:lang w:val="en-AU" w:eastAsia="en-AU"/>
        </w:rPr>
      </w:pPr>
      <w:r w:rsidRPr="00286A88">
        <w:rPr>
          <w:lang w:val="en-AU" w:eastAsia="en-AU"/>
        </w:rPr>
        <w:t xml:space="preserve">Welfare research has focused on the behavioural and physiological reactions of chickens to controlled atmosphere environments. This can be divided into two parts: the responses of the conscious bird and the involuntary responses of the birds as they start to lose consciousness. Most research has focused on responses of single birds </w:t>
      </w:r>
      <w:r w:rsidRPr="00286A88">
        <w:rPr>
          <w:noProof/>
          <w:lang w:val="en-AU" w:eastAsia="en-AU"/>
        </w:rPr>
        <w:t>(Webster and Fletcher, 2001; 2004; McKeegan et al., 2006; Sandilands et al., 2011)</w:t>
      </w:r>
      <w:r w:rsidRPr="00286A88">
        <w:rPr>
          <w:lang w:val="en-AU" w:eastAsia="en-AU"/>
        </w:rPr>
        <w:t xml:space="preserve"> however some later work also includes research with small groups of birds </w:t>
      </w:r>
      <w:r w:rsidRPr="00286A88">
        <w:rPr>
          <w:noProof/>
          <w:lang w:val="en-AU" w:eastAsia="en-AU"/>
        </w:rPr>
        <w:t>(Abeyesinghe et al., 2007)</w:t>
      </w:r>
      <w:r w:rsidRPr="00286A88">
        <w:rPr>
          <w:lang w:val="en-AU" w:eastAsia="en-AU"/>
        </w:rPr>
        <w:t xml:space="preserve"> and birds in a commercial stunning environment </w:t>
      </w:r>
      <w:r w:rsidRPr="00286A88">
        <w:rPr>
          <w:noProof/>
          <w:lang w:val="en-AU" w:eastAsia="en-AU"/>
        </w:rPr>
        <w:t>(McKeegan et al., 2007b; 2013a)</w:t>
      </w:r>
      <w:r w:rsidRPr="00286A88">
        <w:rPr>
          <w:lang w:val="en-AU" w:eastAsia="en-AU"/>
        </w:rPr>
        <w:t>. There is some evidence that birds in groups may detect changes in atmosphere at an earlier stage than individual birds but that they exhibit fewer signs of stress.</w:t>
      </w:r>
    </w:p>
    <w:p w14:paraId="0CD1C23A" w14:textId="77777777" w:rsidR="00286A88" w:rsidRPr="00286A88" w:rsidRDefault="00286A88" w:rsidP="00630850">
      <w:pPr>
        <w:rPr>
          <w:lang w:val="en-AU" w:eastAsia="en-AU"/>
        </w:rPr>
      </w:pPr>
      <w:r w:rsidRPr="00286A88">
        <w:rPr>
          <w:noProof/>
          <w:lang w:val="en-AU" w:eastAsia="en-AU"/>
        </w:rPr>
        <w:t>Gerritzen et al. (2007)</w:t>
      </w:r>
      <w:r w:rsidRPr="00286A88">
        <w:rPr>
          <w:lang w:val="en-AU" w:eastAsia="en-AU"/>
        </w:rPr>
        <w:t xml:space="preserve"> compared the responses of ducks, broilers, hens and turkeys to carbon dioxide and concluded that while there are some small differences between the species, which might also be age related, the differences are not so substantial so as to make it necessary to set different welfare criteria.</w:t>
      </w:r>
    </w:p>
    <w:p w14:paraId="6614F2B3" w14:textId="77777777" w:rsidR="00286A88" w:rsidRPr="00515938" w:rsidRDefault="00286A88" w:rsidP="00515938">
      <w:pPr>
        <w:pStyle w:val="Heading41"/>
      </w:pPr>
      <w:r w:rsidRPr="00515938">
        <w:t>SL2.3e Responses of the conscious bird</w:t>
      </w:r>
    </w:p>
    <w:p w14:paraId="4CAFAFBE" w14:textId="77777777" w:rsidR="00286A88" w:rsidRPr="00286A88" w:rsidRDefault="00286A88" w:rsidP="00630850">
      <w:pPr>
        <w:rPr>
          <w:lang w:val="en-AU" w:eastAsia="en-AU"/>
        </w:rPr>
      </w:pPr>
      <w:r w:rsidRPr="00286A88">
        <w:rPr>
          <w:lang w:val="en-AU" w:eastAsia="en-AU"/>
        </w:rPr>
        <w:t xml:space="preserve">Humans report high levels of carbon dioxide as being aversive, and it seems that similar aversion is also experienced by other mammals and birds. Carbon dioxide is perceived as pungent at concentrations above 30% </w:t>
      </w:r>
      <w:r w:rsidRPr="00286A88">
        <w:rPr>
          <w:noProof/>
          <w:lang w:val="en-AU" w:eastAsia="en-AU"/>
        </w:rPr>
        <w:t>(Raj et al., 1992)</w:t>
      </w:r>
      <w:r w:rsidRPr="00286A88">
        <w:rPr>
          <w:lang w:val="en-AU" w:eastAsia="en-AU"/>
        </w:rPr>
        <w:t xml:space="preserve"> and at 40% elicits painful responses </w:t>
      </w:r>
      <w:r w:rsidRPr="00286A88">
        <w:rPr>
          <w:noProof/>
          <w:lang w:val="en-AU" w:eastAsia="en-AU"/>
        </w:rPr>
        <w:t>(Anton et al., 1992)</w:t>
      </w:r>
      <w:r w:rsidR="007333B3">
        <w:rPr>
          <w:noProof/>
          <w:lang w:val="en-AU" w:eastAsia="en-AU"/>
        </w:rPr>
        <w:t>.</w:t>
      </w:r>
      <w:r w:rsidRPr="00286A88">
        <w:rPr>
          <w:lang w:val="en-AU" w:eastAsia="en-AU"/>
        </w:rPr>
        <w:t xml:space="preserve"> Pigs have also been shown to respond strongly to high levels of carbon dioxide, refusing to enter an area of 90% carbon dioxide to eat even after a period of fasting </w:t>
      </w:r>
      <w:r w:rsidRPr="00286A88">
        <w:rPr>
          <w:noProof/>
          <w:lang w:val="en-AU" w:eastAsia="en-AU"/>
        </w:rPr>
        <w:t>(Raj and Gregory, 1996)</w:t>
      </w:r>
      <w:r w:rsidRPr="00286A88">
        <w:rPr>
          <w:lang w:val="en-AU" w:eastAsia="en-AU"/>
        </w:rPr>
        <w:t>.</w:t>
      </w:r>
    </w:p>
    <w:p w14:paraId="0AF5E963" w14:textId="77777777" w:rsidR="00286A88" w:rsidRPr="00286A88" w:rsidRDefault="00286A88" w:rsidP="00630850">
      <w:pPr>
        <w:rPr>
          <w:lang w:val="en-AU" w:eastAsia="en-AU"/>
        </w:rPr>
      </w:pPr>
      <w:r w:rsidRPr="00286A88">
        <w:rPr>
          <w:lang w:val="en-AU" w:eastAsia="en-AU"/>
        </w:rPr>
        <w:t xml:space="preserve">For humans, inhalation of carbon dioxide also results in a powerful and urgent sensation known as air hunger. This response can be seen in other mammals and in birds. It can be observed during carbon dioxide stunning of chickens as respiratory disruption </w:t>
      </w:r>
      <w:r w:rsidRPr="00286A88">
        <w:rPr>
          <w:noProof/>
          <w:lang w:val="en-AU" w:eastAsia="en-AU"/>
        </w:rPr>
        <w:t>(McKeegan et al., 2007a)</w:t>
      </w:r>
      <w:r w:rsidRPr="00286A88">
        <w:rPr>
          <w:lang w:val="en-AU" w:eastAsia="en-AU"/>
        </w:rPr>
        <w:t>.</w:t>
      </w:r>
    </w:p>
    <w:p w14:paraId="17073AE2" w14:textId="77777777" w:rsidR="00286A88" w:rsidRPr="00286A88" w:rsidRDefault="00286A88" w:rsidP="00630850">
      <w:pPr>
        <w:rPr>
          <w:lang w:val="en-AU" w:eastAsia="en-AU"/>
        </w:rPr>
      </w:pPr>
      <w:r w:rsidRPr="00286A88">
        <w:rPr>
          <w:lang w:val="en-AU" w:eastAsia="en-AU"/>
        </w:rPr>
        <w:t xml:space="preserve">Despite the above factors, evidence for aversion in broilers is not clear. Trials show that broilers can detect carbon dioxide in the atmosphere at concentration of 10% and they respond to this with head shaking, mandibulation and in pauses between feeding bouts </w:t>
      </w:r>
      <w:r w:rsidRPr="00286A88">
        <w:rPr>
          <w:noProof/>
          <w:lang w:val="en-AU" w:eastAsia="en-AU"/>
        </w:rPr>
        <w:t>(McKeegan et al., 2006; Sandilands et al., 2011)</w:t>
      </w:r>
      <w:r w:rsidRPr="00286A88">
        <w:rPr>
          <w:lang w:val="en-AU" w:eastAsia="en-AU"/>
        </w:rPr>
        <w:t xml:space="preserve">. These responses generally increase with increasing concentrations of carbon dioxide but it is not clear that these behaviours are indications of distress. Headshaking is higher when hens are in a somnolent state than when they are awake and more frequent in chickens exposed to argon rich atmospheres than carbon dioxide. It is thought to be an alerting response, functioning to promote arousal in the face of reduced sensibility </w:t>
      </w:r>
      <w:r w:rsidRPr="00286A88">
        <w:rPr>
          <w:noProof/>
          <w:lang w:val="en-AU" w:eastAsia="en-AU"/>
        </w:rPr>
        <w:t>(Webster and Fletcher, 2001; Abeyesinghe et al., 2007)</w:t>
      </w:r>
      <w:r w:rsidRPr="00286A88">
        <w:rPr>
          <w:lang w:val="en-AU" w:eastAsia="en-AU"/>
        </w:rPr>
        <w:t xml:space="preserve">. Mandibulation is thought to be related to gustatory or trigeminal stimulation by the carbon dioxide </w:t>
      </w:r>
      <w:r w:rsidRPr="00286A88">
        <w:rPr>
          <w:noProof/>
          <w:lang w:val="en-AU" w:eastAsia="en-AU"/>
        </w:rPr>
        <w:t>(McKeegan et al., 2005)</w:t>
      </w:r>
      <w:r w:rsidRPr="00286A88">
        <w:rPr>
          <w:lang w:val="en-AU" w:eastAsia="en-AU"/>
        </w:rPr>
        <w:t>.</w:t>
      </w:r>
    </w:p>
    <w:p w14:paraId="0B6AA142" w14:textId="77777777" w:rsidR="00286A88" w:rsidRPr="00286A88" w:rsidRDefault="00286A88" w:rsidP="00630850">
      <w:pPr>
        <w:rPr>
          <w:lang w:val="en-AU" w:eastAsia="en-AU"/>
        </w:rPr>
      </w:pPr>
      <w:r w:rsidRPr="00286A88">
        <w:rPr>
          <w:lang w:val="en-AU" w:eastAsia="en-AU"/>
        </w:rPr>
        <w:t>Respiratory disruption is observed in response to carbon dioxide at all levels from 10% to 70% but seldom occurs when inert gases are used without increased levels of carbon dioxide. This behaviour takes the form of prolonged deep breathing with open bill and is linked to an increase in the tidal volume of breathing of up to a factor of ten. Figure SL3 illustrates this breathing pattern. It is not known how strongly this impacts on the bird’s welfare. Surprisingly, in two separate trials, it was found to be most common at 25% carbon dioxide and did not increase with carbon dioxide concentration. At carbon dioxide levels of 40%, 55% and 70%</w:t>
      </w:r>
      <w:r w:rsidR="00056878">
        <w:rPr>
          <w:lang w:val="en-AU" w:eastAsia="en-AU"/>
        </w:rPr>
        <w:t>,</w:t>
      </w:r>
      <w:r w:rsidRPr="00286A88">
        <w:rPr>
          <w:lang w:val="en-AU" w:eastAsia="en-AU"/>
        </w:rPr>
        <w:t xml:space="preserve"> only 20% - 30% of the birds exhibited this behaviour </w:t>
      </w:r>
      <w:r w:rsidRPr="00286A88">
        <w:rPr>
          <w:noProof/>
          <w:lang w:val="en-AU" w:eastAsia="en-AU"/>
        </w:rPr>
        <w:t>(McKeegan et al., 2006; 2007b; Abeyesinghe et al., 2007)</w:t>
      </w:r>
      <w:r w:rsidRPr="00286A88">
        <w:rPr>
          <w:lang w:val="en-AU" w:eastAsia="en-AU"/>
        </w:rPr>
        <w:t>.</w:t>
      </w:r>
    </w:p>
    <w:p w14:paraId="14B91A73" w14:textId="77777777" w:rsidR="00286A88" w:rsidRPr="00864384" w:rsidRDefault="00286A88" w:rsidP="00286A88">
      <w:pPr>
        <w:keepNext/>
        <w:spacing w:after="200" w:line="240" w:lineRule="auto"/>
        <w:jc w:val="both"/>
        <w:rPr>
          <w:rFonts w:eastAsia="Times New Roman" w:cs="Arial"/>
          <w:color w:val="auto"/>
          <w:sz w:val="22"/>
          <w:szCs w:val="22"/>
          <w:lang w:val="en-AU" w:eastAsia="en-AU"/>
        </w:rPr>
      </w:pPr>
      <w:r w:rsidRPr="00864384">
        <w:rPr>
          <w:rFonts w:eastAsia="Times New Roman" w:cs="Arial"/>
          <w:noProof/>
          <w:color w:val="auto"/>
          <w:sz w:val="22"/>
          <w:szCs w:val="22"/>
          <w:lang w:val="en-AU" w:eastAsia="en-AU"/>
        </w:rPr>
        <w:drawing>
          <wp:inline distT="0" distB="0" distL="0" distR="0" wp14:anchorId="343043D7" wp14:editId="3AA75A42">
            <wp:extent cx="5731510" cy="1819275"/>
            <wp:effectExtent l="0" t="0" r="2540" b="9525"/>
            <wp:docPr id="28" name="Picture 0" descr="This figure shows two example traces. Trace a) shows normal breathing in broilers, and trace b) shows deep breathing in broilers in response to a hypercapnic gas mixture containing 40% carbon dioxide, 30% oxygen and 30% nitrogen. These traces are from a scientific paper by McKeegan et al. (2007a)." title="Figure SL3: Example traces showing normal (a) and deep breathing in broilers in response to a hypercapnic gas mixture containing 40% carbon dioxide, 30% oxygen and 30% nitr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thing graph from McKeegan 2007 physiological and behavioural.png"/>
                    <pic:cNvPicPr/>
                  </pic:nvPicPr>
                  <pic:blipFill rotWithShape="1">
                    <a:blip r:embed="rId84" cstate="print"/>
                    <a:srcRect b="22358"/>
                    <a:stretch/>
                  </pic:blipFill>
                  <pic:spPr bwMode="auto">
                    <a:xfrm>
                      <a:off x="0" y="0"/>
                      <a:ext cx="5731510" cy="1819275"/>
                    </a:xfrm>
                    <a:prstGeom prst="rect">
                      <a:avLst/>
                    </a:prstGeom>
                    <a:ln>
                      <a:noFill/>
                    </a:ln>
                    <a:extLst>
                      <a:ext uri="{53640926-AAD7-44D8-BBD7-CCE9431645EC}">
                        <a14:shadowObscured xmlns:a14="http://schemas.microsoft.com/office/drawing/2010/main"/>
                      </a:ext>
                    </a:extLst>
                  </pic:spPr>
                </pic:pic>
              </a:graphicData>
            </a:graphic>
          </wp:inline>
        </w:drawing>
      </w:r>
    </w:p>
    <w:p w14:paraId="1C386D78" w14:textId="77777777" w:rsidR="00286A88" w:rsidRPr="00630850" w:rsidRDefault="00286A88" w:rsidP="00630850">
      <w:pPr>
        <w:spacing w:after="240"/>
        <w:rPr>
          <w:b/>
          <w:lang w:eastAsia="en-AU"/>
        </w:rPr>
      </w:pPr>
      <w:r w:rsidRPr="00630850">
        <w:rPr>
          <w:b/>
          <w:lang w:eastAsia="en-AU"/>
        </w:rPr>
        <w:t>Figure SL3: Example traces showing normal (a) and deep breathing in broilers in response to a hypercapnic gas mixture containing 40% carbon dioxide, 30% oxygen and 30% nitrogen. Y scale units are identical and X scale units are 1 second (from McKeegan et al., 2007</w:t>
      </w:r>
      <w:r w:rsidR="00EE6A94">
        <w:rPr>
          <w:b/>
          <w:lang w:eastAsia="en-AU"/>
        </w:rPr>
        <w:t>a</w:t>
      </w:r>
      <w:r w:rsidRPr="00630850">
        <w:rPr>
          <w:b/>
          <w:lang w:eastAsia="en-AU"/>
        </w:rPr>
        <w:t>)</w:t>
      </w:r>
      <w:r w:rsidR="00EE6A94">
        <w:rPr>
          <w:b/>
          <w:lang w:eastAsia="en-AU"/>
        </w:rPr>
        <w:t>.</w:t>
      </w:r>
    </w:p>
    <w:p w14:paraId="3BCC5735" w14:textId="77777777" w:rsidR="00286A88" w:rsidRPr="00286A88" w:rsidRDefault="00286A88" w:rsidP="00630850">
      <w:pPr>
        <w:rPr>
          <w:lang w:val="en-AU" w:eastAsia="en-AU"/>
        </w:rPr>
      </w:pPr>
      <w:r w:rsidRPr="00286A88">
        <w:rPr>
          <w:lang w:val="en-AU" w:eastAsia="en-AU"/>
        </w:rPr>
        <w:t xml:space="preserve">The clearest indication of aversion is withdrawal from a feeder where carbon dioxide is present. </w:t>
      </w:r>
      <w:r w:rsidRPr="00286A88">
        <w:rPr>
          <w:noProof/>
          <w:lang w:val="en-AU" w:eastAsia="en-AU"/>
        </w:rPr>
        <w:t>McKeegan et al. (2006)</w:t>
      </w:r>
      <w:r w:rsidRPr="00286A88">
        <w:rPr>
          <w:lang w:val="en-AU" w:eastAsia="en-AU"/>
        </w:rPr>
        <w:t xml:space="preserve"> found that less than 20% of broilers withdrew from a feeder in the presence of 40% carbon dioxide and even at 55% and 70% carbon dioxide less than 40% of the broilers withdrew. Similar results are reported by </w:t>
      </w:r>
      <w:r w:rsidRPr="00286A88">
        <w:rPr>
          <w:noProof/>
          <w:lang w:val="en-AU" w:eastAsia="en-AU"/>
        </w:rPr>
        <w:t>Webster and Fletcher (2004)</w:t>
      </w:r>
      <w:r w:rsidRPr="00286A88">
        <w:rPr>
          <w:lang w:val="en-AU" w:eastAsia="en-AU"/>
        </w:rPr>
        <w:t xml:space="preserve"> and by </w:t>
      </w:r>
      <w:r w:rsidRPr="00286A88">
        <w:rPr>
          <w:noProof/>
          <w:lang w:val="en-AU" w:eastAsia="en-AU"/>
        </w:rPr>
        <w:t>Gerritzen et al. (2000)</w:t>
      </w:r>
      <w:r w:rsidRPr="00286A88">
        <w:rPr>
          <w:lang w:val="en-AU" w:eastAsia="en-AU"/>
        </w:rPr>
        <w:t>.</w:t>
      </w:r>
    </w:p>
    <w:p w14:paraId="293A5217" w14:textId="77777777" w:rsidR="00286A88" w:rsidRPr="00286A88" w:rsidRDefault="00286A88" w:rsidP="00630850">
      <w:pPr>
        <w:rPr>
          <w:lang w:val="en-AU" w:eastAsia="en-AU"/>
        </w:rPr>
      </w:pPr>
      <w:r w:rsidRPr="00286A88">
        <w:rPr>
          <w:lang w:val="en-AU" w:eastAsia="en-AU"/>
        </w:rPr>
        <w:t xml:space="preserve">Despite not withdrawing to avoid carbon dioxide exposure, it has been shown that chickens will avoid exposure to hydrogen sulphide </w:t>
      </w:r>
      <w:r w:rsidRPr="00286A88">
        <w:rPr>
          <w:noProof/>
          <w:lang w:val="en-AU" w:eastAsia="en-AU"/>
        </w:rPr>
        <w:t>(McKeegan et al., 2005)</w:t>
      </w:r>
      <w:r w:rsidRPr="00286A88">
        <w:rPr>
          <w:lang w:val="en-AU" w:eastAsia="en-AU"/>
        </w:rPr>
        <w:t>. This indicates that chickens are able to respond to a noxious atmosphere by withdrawing. However McKeegan et al. (2005) note that hydrogen sulphide is detected as an olfactory stimulation whereas carbon dioxide results in trigeminal stimulation so the comparison is not perfect.</w:t>
      </w:r>
    </w:p>
    <w:p w14:paraId="3D6BFAEC" w14:textId="77777777" w:rsidR="00286A88" w:rsidRPr="00286A88" w:rsidRDefault="00286A88" w:rsidP="00630850">
      <w:pPr>
        <w:rPr>
          <w:lang w:val="en-AU" w:eastAsia="en-AU"/>
        </w:rPr>
      </w:pPr>
      <w:r w:rsidRPr="00286A88">
        <w:rPr>
          <w:lang w:val="en-AU" w:eastAsia="en-AU"/>
        </w:rPr>
        <w:t xml:space="preserve">In comparison to carbon dioxide, exposure to high concentrations of the inert gases nitrogen or argon (resulting in low levels of oxygen) results in very low levels of respiratory disruption and mandibulation </w:t>
      </w:r>
      <w:r w:rsidRPr="00286A88">
        <w:rPr>
          <w:noProof/>
          <w:lang w:val="en-AU" w:eastAsia="en-AU"/>
        </w:rPr>
        <w:t>(Lambooij et al., 1999</w:t>
      </w:r>
      <w:r w:rsidR="00EF5888">
        <w:rPr>
          <w:noProof/>
          <w:lang w:val="en-AU" w:eastAsia="en-AU"/>
        </w:rPr>
        <w:t>a</w:t>
      </w:r>
      <w:r w:rsidRPr="00286A88">
        <w:rPr>
          <w:noProof/>
          <w:lang w:val="en-AU" w:eastAsia="en-AU"/>
        </w:rPr>
        <w:t>; Webster and Fletcher, 2001; Abeyesinghe et al., 2007)</w:t>
      </w:r>
      <w:r w:rsidRPr="00286A88">
        <w:rPr>
          <w:lang w:val="en-AU" w:eastAsia="en-AU"/>
        </w:rPr>
        <w:t xml:space="preserve">, but high levels of headshaking. Webster found that chickens entering an argon rich atmosphere hesitated less than when they entered a carbon dioxide rich atmosphere </w:t>
      </w:r>
      <w:r w:rsidRPr="00286A88">
        <w:rPr>
          <w:noProof/>
          <w:lang w:val="en-AU" w:eastAsia="en-AU"/>
        </w:rPr>
        <w:t>(Webster and Fletcher, 2004)</w:t>
      </w:r>
      <w:r w:rsidRPr="00286A88">
        <w:rPr>
          <w:lang w:val="en-AU" w:eastAsia="en-AU"/>
        </w:rPr>
        <w:t>.</w:t>
      </w:r>
    </w:p>
    <w:p w14:paraId="7285FCE8" w14:textId="77777777" w:rsidR="00286A88" w:rsidRPr="00286A88" w:rsidRDefault="00286A88" w:rsidP="00630850">
      <w:pPr>
        <w:rPr>
          <w:lang w:val="en-AU" w:eastAsia="en-AU"/>
        </w:rPr>
      </w:pPr>
      <w:r w:rsidRPr="00286A88">
        <w:rPr>
          <w:lang w:val="en-AU" w:eastAsia="en-AU"/>
        </w:rPr>
        <w:t>Two other mixtures have been investigated for aversiveness: these are carbon dioxide with elevated levels of oxygen; and an anoxic mix of carbon dioxide and inert gases. Reports of tests which might indicate the comparative aversion to carbon dioxide, carbon dioxide with oxygen, and carbon dioxide with an inert gas have not been found.</w:t>
      </w:r>
    </w:p>
    <w:p w14:paraId="194453EF" w14:textId="77777777" w:rsidR="00286A88" w:rsidRPr="00515938" w:rsidRDefault="00286A88" w:rsidP="00515938">
      <w:pPr>
        <w:pStyle w:val="Heading41"/>
      </w:pPr>
      <w:r w:rsidRPr="00515938">
        <w:t>SL2.3f Involuntary responses as the birds lose consciousness</w:t>
      </w:r>
    </w:p>
    <w:p w14:paraId="6D54B0D8" w14:textId="77777777" w:rsidR="00286A88" w:rsidRPr="00286A88" w:rsidRDefault="00286A88" w:rsidP="00630850">
      <w:pPr>
        <w:rPr>
          <w:lang w:val="en-AU" w:eastAsia="en-AU"/>
        </w:rPr>
      </w:pPr>
      <w:r w:rsidRPr="00286A88">
        <w:rPr>
          <w:lang w:val="en-AU" w:eastAsia="en-AU"/>
        </w:rPr>
        <w:t>As birds lose consciousness another range of behaviours can be observed. These include bouts of wing flapping, loss of posture, leg paddling</w:t>
      </w:r>
      <w:r w:rsidR="00056878">
        <w:rPr>
          <w:lang w:val="en-AU" w:eastAsia="en-AU"/>
        </w:rPr>
        <w:t>,</w:t>
      </w:r>
      <w:r w:rsidRPr="00286A88">
        <w:rPr>
          <w:lang w:val="en-AU" w:eastAsia="en-AU"/>
        </w:rPr>
        <w:t xml:space="preserve"> twitching and jumping. The behaviour that gives most cause for concern is the wing flapping since this can lead to broken or dislocated wings. It is important to avoid this occurrence while birds are conscious. </w:t>
      </w:r>
      <w:r w:rsidRPr="00286A88">
        <w:rPr>
          <w:noProof/>
          <w:lang w:val="en-AU" w:eastAsia="en-AU"/>
        </w:rPr>
        <w:t>McKeegan et al. (2007b)</w:t>
      </w:r>
      <w:r w:rsidRPr="00286A88">
        <w:rPr>
          <w:lang w:val="en-AU" w:eastAsia="en-AU"/>
        </w:rPr>
        <w:t xml:space="preserve"> recorded EEG signals from birds being stunned by inert gas (hypoxia), by carbon dioxide with an inert gas (hypercapnic hypoxia) and a bi-phasic stun comprising 60 s of 40% carbon dioxide with 30% oxygen (hyperoxic hypercapnia) followed by exposure to 80% carbon dioxide. This data showed that in the hypoxic atmospheres and the hypercapnic hypoxic atmospheres much of the wing flapping occurred before the EEG signals became suppressed, meaning that the possibility of consciousness cannot be fully excluded. Trials with the bi-phasic stunning and killing indicated that no wing flapping occurred until the EEG signals were suppressed indicating that the birds were unconscious. The number of bouts of wing flapping and the duration of these bouts was also lower with the bi-phasic stun compared to the hypoxic atmosphere. </w:t>
      </w:r>
      <w:r w:rsidRPr="00286A88">
        <w:rPr>
          <w:noProof/>
          <w:lang w:val="en-AU" w:eastAsia="en-AU"/>
        </w:rPr>
        <w:t>Gerritzen et al. (2013</w:t>
      </w:r>
      <w:r w:rsidR="00EF5888">
        <w:rPr>
          <w:noProof/>
          <w:lang w:val="en-AU" w:eastAsia="en-AU"/>
        </w:rPr>
        <w:t>a</w:t>
      </w:r>
      <w:r w:rsidRPr="00286A88">
        <w:rPr>
          <w:noProof/>
          <w:lang w:val="en-AU" w:eastAsia="en-AU"/>
        </w:rPr>
        <w:t>)</w:t>
      </w:r>
      <w:r w:rsidRPr="00286A88">
        <w:rPr>
          <w:lang w:val="en-AU" w:eastAsia="en-AU"/>
        </w:rPr>
        <w:t xml:space="preserve"> reports trials using carbon dioxide without other added gases where the carbon dioxide concentration is increased in a series of steps. In one approach the carbon dioxide concentration is increased in four steps from zero to 40% in 240 s after which the concentration rose rapidly in one more step to 65%. In the second the concentration of carbon dioxide rose in three steps from zero to 50% in 135 s after which the concentration rose rapidly in one more step to 65%. In the case with more rapid rise in carbon dioxide concentration some wing flapping was observed before the EEGs showed strong suppression. However, with the more gradual rise in concentration no wing flapping occurred until more than one minute after the EEGs showed suppression. FAWC (2012) proposed that the use of a gradually increasing concentration of carbon dioxide produced an acceptable stun/killing system for broilers.</w:t>
      </w:r>
    </w:p>
    <w:p w14:paraId="65113113" w14:textId="77777777" w:rsidR="00286A88" w:rsidRPr="00515938" w:rsidRDefault="00286A88" w:rsidP="00515938">
      <w:pPr>
        <w:pStyle w:val="Heading41"/>
      </w:pPr>
      <w:r w:rsidRPr="00515938">
        <w:t>SL2.3g Summary</w:t>
      </w:r>
    </w:p>
    <w:p w14:paraId="5F94813D" w14:textId="77777777" w:rsidR="00286A88" w:rsidRPr="00286A88" w:rsidRDefault="00286A88" w:rsidP="00630850">
      <w:pPr>
        <w:rPr>
          <w:lang w:val="en-AU" w:eastAsia="en-AU"/>
        </w:rPr>
      </w:pPr>
      <w:r w:rsidRPr="00286A88">
        <w:rPr>
          <w:lang w:val="en-AU" w:eastAsia="en-AU"/>
        </w:rPr>
        <w:t>The advantages of controlled atmosphere stunning are that the birds do not need to be handled or positioned and that it is a robust system insensitive to bird size or conformity able to stun and kill 100% of birds.</w:t>
      </w:r>
    </w:p>
    <w:p w14:paraId="5F2EEB1B" w14:textId="77777777" w:rsidR="00286A88" w:rsidRPr="00286A88" w:rsidRDefault="00286A88" w:rsidP="00630850">
      <w:pPr>
        <w:rPr>
          <w:lang w:val="en-AU" w:eastAsia="en-AU"/>
        </w:rPr>
      </w:pPr>
      <w:r w:rsidRPr="00286A88">
        <w:rPr>
          <w:lang w:val="en-AU" w:eastAsia="en-AU"/>
        </w:rPr>
        <w:t>The disadvantages of CAS systems are that during the time it takes to lose consciousness the birds may experience the unpleasant effects of carbon dioxide exposure, and convulsions including wing flapping resulting in broken bones may occur while they have some level of consciousness. There remains uncertainty about how averse chickens are to the respiratory disruption caused by the carbon dioxide and also about the state of consciousness of the birds when they experience convulsions. The risk of these two welfare compromises is minimised by the exposing the birds first to low concentrations of carbon dioxide, possibly with enhanced levels of oxygen for a period of around 1 minute before increasing the carbon dioxide concentration to ensure the birds are killed.</w:t>
      </w:r>
    </w:p>
    <w:p w14:paraId="25FE64DE" w14:textId="77777777" w:rsidR="00286A88" w:rsidRPr="00515938" w:rsidRDefault="00286A88" w:rsidP="00515938">
      <w:pPr>
        <w:pStyle w:val="Heading3"/>
      </w:pPr>
      <w:bookmarkStart w:id="387" w:name="_Toc495310854"/>
      <w:r w:rsidRPr="00515938">
        <w:t xml:space="preserve">SL2.4 Whole </w:t>
      </w:r>
      <w:r w:rsidR="00BA6724">
        <w:t>h</w:t>
      </w:r>
      <w:r w:rsidRPr="00515938">
        <w:t xml:space="preserve">ouse </w:t>
      </w:r>
      <w:r w:rsidR="00BA6724">
        <w:t>k</w:t>
      </w:r>
      <w:r w:rsidRPr="00515938">
        <w:t>illing</w:t>
      </w:r>
      <w:bookmarkEnd w:id="387"/>
    </w:p>
    <w:p w14:paraId="2B706E5E" w14:textId="77777777" w:rsidR="00286A88" w:rsidRPr="00515938" w:rsidRDefault="00286A88" w:rsidP="00515938">
      <w:pPr>
        <w:pStyle w:val="Heading41"/>
      </w:pPr>
      <w:r w:rsidRPr="00515938">
        <w:t>SL2.4a Principles</w:t>
      </w:r>
    </w:p>
    <w:p w14:paraId="1346DE33" w14:textId="77777777" w:rsidR="00286A88" w:rsidRPr="00256388" w:rsidRDefault="00286A88" w:rsidP="00630850">
      <w:pPr>
        <w:rPr>
          <w:lang w:val="en-AU" w:eastAsia="en-AU"/>
        </w:rPr>
      </w:pPr>
      <w:r w:rsidRPr="00256388">
        <w:rPr>
          <w:lang w:val="en-AU" w:eastAsia="en-AU"/>
        </w:rPr>
        <w:t xml:space="preserve">Whole-house killing is carried out on farms when it is considered advantageous to kill birds on location, rather than catch and transport them to a slaughter facility. This can be used for end-of-lay hens to avoid the need to handle and transport them </w:t>
      </w:r>
      <w:r w:rsidRPr="00256388">
        <w:rPr>
          <w:noProof/>
          <w:lang w:val="en-AU" w:eastAsia="en-AU"/>
        </w:rPr>
        <w:t>(Berg et al., 2014)</w:t>
      </w:r>
      <w:r w:rsidRPr="00256388">
        <w:rPr>
          <w:lang w:val="en-AU" w:eastAsia="en-AU"/>
        </w:rPr>
        <w:t xml:space="preserve"> and for disease control purposes. Carbon dioxide gas or high expansion gas filled foam is used for whole house killing.</w:t>
      </w:r>
    </w:p>
    <w:p w14:paraId="20C6FA09" w14:textId="77777777" w:rsidR="00286A88" w:rsidRPr="00515938" w:rsidRDefault="00286A88" w:rsidP="00515938">
      <w:pPr>
        <w:pStyle w:val="Heading41"/>
      </w:pPr>
      <w:r w:rsidRPr="00515938">
        <w:t>SL2.4b Carbon dioxide gas</w:t>
      </w:r>
    </w:p>
    <w:p w14:paraId="0C72E4E5" w14:textId="77777777" w:rsidR="00286A88" w:rsidRPr="00286A88" w:rsidRDefault="00286A88" w:rsidP="00630850">
      <w:pPr>
        <w:rPr>
          <w:lang w:val="en-AU" w:eastAsia="en-AU"/>
        </w:rPr>
      </w:pPr>
      <w:r w:rsidRPr="00286A88">
        <w:rPr>
          <w:noProof/>
          <w:lang w:val="en-AU" w:eastAsia="en-AU"/>
        </w:rPr>
        <w:t>Turner et al. (2012)</w:t>
      </w:r>
      <w:r w:rsidRPr="00286A88">
        <w:rPr>
          <w:lang w:val="en-AU" w:eastAsia="en-AU"/>
        </w:rPr>
        <w:t xml:space="preserve"> investigated whole house culling with carbon dioxide and found that laying hens lost consciousness within 2 minutes of the gas concentration reaching 20%. The gas concentration continued to rise to 60% and brain death followed within less than 5 minutes. Only mild to moderate head shaking and gasping was observed and one or two convulsions per bird. Releasing compressed gas into a space has a cooling effect, much like a refrigerator. Although very low temperatures were measured inside the barns (-23 °C), the core body temperatures of birds remained at or near normal while birds were alive. There are technical solutions to the problem of the cooling caused by the expanding gas. Whole house gas killing may not work effectively where barns cannot be sealed, and so this system may be best suited to colder climates, where barns are designed to strictly control air-flow in and out.</w:t>
      </w:r>
    </w:p>
    <w:p w14:paraId="2EC3CC75" w14:textId="77777777" w:rsidR="00286A88" w:rsidRPr="00515938" w:rsidRDefault="00286A88" w:rsidP="00515938">
      <w:pPr>
        <w:pStyle w:val="Heading41"/>
      </w:pPr>
      <w:r w:rsidRPr="00515938">
        <w:t>SL2.4c High expansion gas filled foam</w:t>
      </w:r>
    </w:p>
    <w:p w14:paraId="28875EE0" w14:textId="77777777" w:rsidR="00286A88" w:rsidRPr="00286A88" w:rsidRDefault="00286A88" w:rsidP="00630850">
      <w:pPr>
        <w:rPr>
          <w:lang w:val="en-AU" w:eastAsia="en-GB"/>
        </w:rPr>
      </w:pPr>
      <w:r w:rsidRPr="00286A88">
        <w:rPr>
          <w:lang w:val="en-AU" w:eastAsia="en-GB"/>
        </w:rPr>
        <w:t>For barns which cannot be easily sealed, high expansion anoxic foam may be a more appropriate option for on-farm whole house killing. A deep blanket of foam is created, that advances across the floor of the poultry-house, fully submerging all the birds. Foam is filled with either nitrogen or carbon dioxide, and residual oxygen levels in the foam are very low; less than 2% in most cases.</w:t>
      </w:r>
    </w:p>
    <w:p w14:paraId="6C4F7DF4" w14:textId="77777777" w:rsidR="00286A88" w:rsidRPr="00286A88" w:rsidRDefault="00286A88" w:rsidP="00630850">
      <w:pPr>
        <w:rPr>
          <w:lang w:val="en-AU" w:eastAsia="en-GB"/>
        </w:rPr>
      </w:pPr>
      <w:r w:rsidRPr="00286A88">
        <w:rPr>
          <w:lang w:val="en-AU" w:eastAsia="en-GB"/>
        </w:rPr>
        <w:t xml:space="preserve">Post-mortem examination of birds killed with high expansion anoxic foam confirms that the cause of death is anoxia, and not occlusion of the airway </w:t>
      </w:r>
      <w:r w:rsidRPr="00286A88">
        <w:rPr>
          <w:noProof/>
          <w:lang w:val="en-AU" w:eastAsia="en-GB"/>
        </w:rPr>
        <w:t>(McKeegan et al., 2013a)</w:t>
      </w:r>
      <w:r w:rsidRPr="00286A88">
        <w:rPr>
          <w:lang w:val="en-AU" w:eastAsia="en-GB"/>
        </w:rPr>
        <w:t xml:space="preserve">. High expansion gas filled foam therefore differs significantly from water-based air-filled foam, which causes mechanical hypoxia by occlusion of the airway </w:t>
      </w:r>
      <w:r w:rsidRPr="00286A88">
        <w:rPr>
          <w:noProof/>
          <w:lang w:val="en-AU" w:eastAsia="en-GB"/>
        </w:rPr>
        <w:t>(American Veterinary Medical Association, 2007)</w:t>
      </w:r>
      <w:r w:rsidRPr="00286A88">
        <w:rPr>
          <w:lang w:val="en-AU" w:eastAsia="en-GB"/>
        </w:rPr>
        <w:t xml:space="preserve"> in a similar way to drowning and suffocation. The use of water-based air-filled foam is likely to severely compromise welfare.</w:t>
      </w:r>
    </w:p>
    <w:p w14:paraId="409FFDE4" w14:textId="77777777" w:rsidR="00286A88" w:rsidRPr="00286A88" w:rsidRDefault="00286A88" w:rsidP="00630850">
      <w:pPr>
        <w:rPr>
          <w:lang w:val="en-AU" w:eastAsia="en-GB"/>
        </w:rPr>
      </w:pPr>
      <w:r w:rsidRPr="00286A88">
        <w:rPr>
          <w:lang w:val="en-AU" w:eastAsia="en-GB"/>
        </w:rPr>
        <w:t xml:space="preserve">EEG evidence from tests on hens, broilers ducks and turkeys in anoxic foam suggests that consciousness is lost 18-30 s after submersion in nitrogen filled foam, and between 1-16 s after submersion in carbon dioxide filled foam, depending on species. As foam generation begins, birds exhibit some fear responses, which </w:t>
      </w:r>
      <w:r w:rsidRPr="00286A88">
        <w:rPr>
          <w:noProof/>
          <w:lang w:val="en-AU" w:eastAsia="en-GB"/>
        </w:rPr>
        <w:t>McKeegan et al. (2013a)</w:t>
      </w:r>
      <w:r w:rsidRPr="00286A88">
        <w:rPr>
          <w:lang w:val="en-AU" w:eastAsia="en-GB"/>
        </w:rPr>
        <w:t xml:space="preserve"> ascribe to the noise of the foam generation in the small experimental setting, and some gasping is observed when carbon dioxide filled foam is used. This is considered to be a response to carbon dioxide escaping from popping bubbles as they hit the sides of the test chamber. This blanket layer of carbon dioxide gas outside the foam has an effect on consciousness before birds are fully submerged. Once birds are submerged, there is little difference in the behavioural responses of the birds to nitrogen- and carbon dioxide-filled foams. Convulsions and wing flapping risk breaking down the foam very rapidly, and so the amount applied should be enough to generously cover the birds, even when some foam is broken down. With nitrogen filled foam, the destruction of foam would allow birds re-exposure to atmospheric air, and could result in a swift return to consciousness. This risk is smaller with carbon dioxide foam, as the density of carbon dioxide will ensure it forms a carpet of gas which is likely to envelop the birds.</w:t>
      </w:r>
    </w:p>
    <w:p w14:paraId="54DBDE3B" w14:textId="77777777" w:rsidR="00286A88" w:rsidRPr="00515938" w:rsidRDefault="00286A88" w:rsidP="00515938">
      <w:pPr>
        <w:pStyle w:val="Heading41"/>
      </w:pPr>
      <w:r w:rsidRPr="00515938">
        <w:t>SL2.4d Summary</w:t>
      </w:r>
    </w:p>
    <w:p w14:paraId="11E96570" w14:textId="77777777" w:rsidR="00286A88" w:rsidRPr="00286A88" w:rsidRDefault="00286A88" w:rsidP="00630850">
      <w:pPr>
        <w:rPr>
          <w:lang w:val="en-AU" w:eastAsia="en-AU"/>
        </w:rPr>
      </w:pPr>
      <w:r w:rsidRPr="00286A88">
        <w:rPr>
          <w:lang w:val="en-AU" w:eastAsia="en-AU"/>
        </w:rPr>
        <w:t>On-farm whole-house euthanasia removes the need to capture and transport live birds. This is beneficial in that it removes the stress of capture, crating and transport; removes the risk of injury due to handling and transport and in the case of communicable disease, the risk of disease spreading is reduced.</w:t>
      </w:r>
    </w:p>
    <w:p w14:paraId="41E531A9" w14:textId="77777777" w:rsidR="00286A88" w:rsidRPr="00286A88" w:rsidRDefault="00286A88" w:rsidP="00630850">
      <w:pPr>
        <w:rPr>
          <w:lang w:val="en-AU" w:eastAsia="en-AU"/>
        </w:rPr>
      </w:pPr>
      <w:r w:rsidRPr="00286A88">
        <w:rPr>
          <w:lang w:val="en-AU" w:eastAsia="en-AU"/>
        </w:rPr>
        <w:t>The welfare disadvantages of carbon dioxide gas and high expansion gas filled foam for whole-house killing are much the same as those for CAS stunning and killing. The birds may experience unpleasant effects as a result of carbon dioxide exposure as unconsciousness is not immediate, and may suffer broken bones as a result of convulsions and wing-flapping as consciousness is lost.</w:t>
      </w:r>
    </w:p>
    <w:p w14:paraId="10AEEE2C" w14:textId="77777777" w:rsidR="00286A88" w:rsidRPr="00286A88" w:rsidRDefault="00286A88" w:rsidP="00630850">
      <w:pPr>
        <w:rPr>
          <w:lang w:val="en-AU" w:eastAsia="en-AU"/>
        </w:rPr>
      </w:pPr>
    </w:p>
    <w:p w14:paraId="21F3D64B" w14:textId="77777777" w:rsidR="00286A88" w:rsidRPr="009923EC" w:rsidRDefault="00286A88" w:rsidP="009923EC">
      <w:pPr>
        <w:pStyle w:val="Heading3"/>
        <w:rPr>
          <w:rStyle w:val="BookTitle"/>
          <w:b/>
          <w:bCs w:val="0"/>
          <w:smallCaps w:val="0"/>
          <w:spacing w:val="0"/>
        </w:rPr>
      </w:pPr>
      <w:bookmarkStart w:id="388" w:name="_Toc495310855"/>
      <w:r w:rsidRPr="009923EC">
        <w:rPr>
          <w:rStyle w:val="BookTitle"/>
          <w:b/>
          <w:bCs w:val="0"/>
          <w:smallCaps w:val="0"/>
          <w:spacing w:val="0"/>
        </w:rPr>
        <w:t>SL2.5 Low atmospheric pressure stunning (LAPS)</w:t>
      </w:r>
      <w:bookmarkEnd w:id="388"/>
    </w:p>
    <w:p w14:paraId="2270B997" w14:textId="77777777" w:rsidR="00286A88" w:rsidRPr="00515938" w:rsidRDefault="00286A88" w:rsidP="00515938">
      <w:pPr>
        <w:pStyle w:val="Heading41"/>
      </w:pPr>
      <w:r w:rsidRPr="00515938">
        <w:t>SL2.5a Principles</w:t>
      </w:r>
    </w:p>
    <w:p w14:paraId="598C8E20" w14:textId="77777777" w:rsidR="00286A88" w:rsidRPr="00256388" w:rsidRDefault="00286A88" w:rsidP="00630850">
      <w:pPr>
        <w:rPr>
          <w:lang w:val="en-AU" w:eastAsia="en-AU"/>
        </w:rPr>
      </w:pPr>
      <w:r w:rsidRPr="00256388">
        <w:rPr>
          <w:lang w:val="en-AU" w:eastAsia="en-AU"/>
        </w:rPr>
        <w:t xml:space="preserve">Low Atmospheric Pressure Stunning (LAPS) induces unconsciousness though lack of oxygen (hypoxia). In contrast to controlled atmosphere stunning, LAPS does not require the introduction of gas to displace oxygen. Atmospheric pressure is gradually reduced over a period of minutes until it achieves the atmospheric pressure that is to be found at an altitude of about 13,000 m. The reduced partial oxygen pressure results in progressive hypoxia which eventually causes unconsciousness and then death. A reliable and irreversible stun is achieved </w:t>
      </w:r>
      <w:r w:rsidRPr="00256388">
        <w:rPr>
          <w:noProof/>
          <w:lang w:val="en-AU" w:eastAsia="en-AU"/>
        </w:rPr>
        <w:t>(Martin et al., 2016a)</w:t>
      </w:r>
      <w:r w:rsidRPr="00256388">
        <w:rPr>
          <w:lang w:val="en-AU" w:eastAsia="en-AU"/>
        </w:rPr>
        <w:t>, and birds remain in their transport crates during the LAPS process, removing the need to invert and shackle conscious birds. In commercial use a LAPS system can process 11,000 birds per hour on each processing line. LAPS is a relatively new technology, and to the best of our knowledge has so far only been tested on chickens.</w:t>
      </w:r>
    </w:p>
    <w:p w14:paraId="00354B47" w14:textId="77777777" w:rsidR="00286A88" w:rsidRPr="00515938" w:rsidRDefault="00286A88" w:rsidP="00515938">
      <w:pPr>
        <w:pStyle w:val="Heading41"/>
      </w:pPr>
      <w:r w:rsidRPr="00515938">
        <w:t>SL2.5b Bird responses to LAPS</w:t>
      </w:r>
    </w:p>
    <w:p w14:paraId="17959A9E" w14:textId="77777777" w:rsidR="00286A88" w:rsidRPr="00286A88" w:rsidRDefault="00286A88" w:rsidP="00630850">
      <w:pPr>
        <w:rPr>
          <w:lang w:val="en-AU" w:eastAsia="en-AU"/>
        </w:rPr>
      </w:pPr>
      <w:r w:rsidRPr="00286A88">
        <w:rPr>
          <w:lang w:val="en-AU" w:eastAsia="en-AU"/>
        </w:rPr>
        <w:t xml:space="preserve">Broilers subjected to LAPS exhibit a range of behaviours in keeping with progressive hypoxia. These are similar to those seen when birds are exposed to inert gas. EEG evidence suggests that birds may lose consciousness within 30-40 s </w:t>
      </w:r>
      <w:r w:rsidRPr="00286A88">
        <w:rPr>
          <w:noProof/>
          <w:lang w:val="en-AU" w:eastAsia="en-AU"/>
        </w:rPr>
        <w:t>(McKeegan et al., 2013b; Martin et al., 2016c)</w:t>
      </w:r>
      <w:r w:rsidRPr="00286A88">
        <w:rPr>
          <w:lang w:val="en-AU" w:eastAsia="en-AU"/>
        </w:rPr>
        <w:t>.</w:t>
      </w:r>
    </w:p>
    <w:p w14:paraId="61595F3D" w14:textId="77777777" w:rsidR="00286A88" w:rsidRPr="00286A88" w:rsidRDefault="00286A88" w:rsidP="00630850">
      <w:pPr>
        <w:rPr>
          <w:lang w:val="en-AU" w:eastAsia="en-AU"/>
        </w:rPr>
      </w:pPr>
      <w:r w:rsidRPr="00286A88">
        <w:rPr>
          <w:lang w:val="en-AU" w:eastAsia="en-AU"/>
        </w:rPr>
        <w:t xml:space="preserve">Birds exposed to atmospheric pressure reduced from normal (approx. 100 kPa) to 29.5k Pa all exhibit loss of posture, and 75% of birds exposed to this pressure for a few minutes will not survive the treatment. When pressure is further reduced to 17.8 kPa 100% of birds are killed by the treatment </w:t>
      </w:r>
      <w:r w:rsidRPr="00286A88">
        <w:rPr>
          <w:noProof/>
          <w:lang w:val="en-AU" w:eastAsia="en-AU"/>
        </w:rPr>
        <w:t>(Purswell et al., 2007)</w:t>
      </w:r>
      <w:r w:rsidRPr="00286A88">
        <w:rPr>
          <w:lang w:val="en-AU" w:eastAsia="en-AU"/>
        </w:rPr>
        <w:t xml:space="preserve">. A pressure of 19.4 kPa produces 99.99% mortality. The associated partial oxygen pressure (4.0 kPa) is similar to that achieved in inert gas CAS systems with good gas distribution </w:t>
      </w:r>
      <w:r w:rsidRPr="00286A88">
        <w:rPr>
          <w:noProof/>
          <w:lang w:val="en-AU" w:eastAsia="en-AU"/>
        </w:rPr>
        <w:t>(Purswell et al., 2007)</w:t>
      </w:r>
      <w:r w:rsidRPr="00286A88">
        <w:rPr>
          <w:lang w:val="en-AU" w:eastAsia="en-AU"/>
        </w:rPr>
        <w:t>.</w:t>
      </w:r>
    </w:p>
    <w:p w14:paraId="3CA78613" w14:textId="77777777" w:rsidR="00286A88" w:rsidRPr="00515938" w:rsidRDefault="00286A88" w:rsidP="00515938">
      <w:pPr>
        <w:pStyle w:val="Heading41"/>
      </w:pPr>
      <w:r w:rsidRPr="00515938">
        <w:t>SL2.5c Practical application</w:t>
      </w:r>
    </w:p>
    <w:p w14:paraId="01CF6DEF" w14:textId="77777777" w:rsidR="00286A88" w:rsidRPr="00286A88" w:rsidRDefault="00286A88" w:rsidP="00630850">
      <w:pPr>
        <w:rPr>
          <w:lang w:val="en-AU" w:eastAsia="en-AU"/>
        </w:rPr>
      </w:pPr>
      <w:r w:rsidRPr="00286A88">
        <w:rPr>
          <w:lang w:val="en-AU" w:eastAsia="en-AU"/>
        </w:rPr>
        <w:t>LAPS for broilers is not yet approved for use in the EU but has been approved for use in the USA and Canada, and has been in regular use in one large poultry plant.</w:t>
      </w:r>
    </w:p>
    <w:p w14:paraId="0DB913F0" w14:textId="77777777" w:rsidR="00286A88" w:rsidRPr="00286A88" w:rsidRDefault="00286A88" w:rsidP="00630850">
      <w:pPr>
        <w:rPr>
          <w:lang w:val="en-AU" w:eastAsia="en-AU"/>
        </w:rPr>
      </w:pPr>
      <w:r w:rsidRPr="00286A88">
        <w:rPr>
          <w:lang w:val="en-AU" w:eastAsia="en-AU"/>
        </w:rPr>
        <w:t>A stunning cycle takes 280 s in this system and the pressure follows a two-phase profile. Over the first 67 s of the cycle, pressure inside the chamber is reduced from approximately 100 kPa (atmospheric pressure) to 33 kPa. In the second phase, the pressure inside the chamber drops more slowly to a final pressure of approximately 20 kPa over 213 s.</w:t>
      </w:r>
    </w:p>
    <w:p w14:paraId="103E94D1" w14:textId="77777777" w:rsidR="00286A88" w:rsidRPr="00515938" w:rsidRDefault="00286A88" w:rsidP="00515938">
      <w:pPr>
        <w:pStyle w:val="Heading41"/>
      </w:pPr>
      <w:r w:rsidRPr="00515938">
        <w:t>SL2.5d Welfare advantages and disadvantages</w:t>
      </w:r>
    </w:p>
    <w:p w14:paraId="4BDFCA00" w14:textId="77777777" w:rsidR="00286A88" w:rsidRPr="00286A88" w:rsidRDefault="00286A88" w:rsidP="00630850">
      <w:pPr>
        <w:rPr>
          <w:lang w:val="en-AU" w:eastAsia="en-AU"/>
        </w:rPr>
      </w:pPr>
      <w:r w:rsidRPr="00286A88">
        <w:rPr>
          <w:lang w:val="en-AU" w:eastAsia="en-AU"/>
        </w:rPr>
        <w:t>Low atmospheric pressure stunning benefits poultry because they do not have to be disturbed, handled or removed from the crates in which they were transported. No direct contact needs to be made with the birds. A second advantage of LAPS is that its effectiveness is relatively insensitive to variations in bird size and conformity so stunning and killing can be achieved in 100% of birds with a high degree of certainty.</w:t>
      </w:r>
    </w:p>
    <w:p w14:paraId="6355450E" w14:textId="77777777" w:rsidR="00286A88" w:rsidRPr="00286A88" w:rsidRDefault="00286A88" w:rsidP="00630850">
      <w:pPr>
        <w:rPr>
          <w:lang w:val="en-AU" w:eastAsia="en-AU"/>
        </w:rPr>
      </w:pPr>
      <w:r w:rsidRPr="00286A88">
        <w:rPr>
          <w:lang w:val="en-AU" w:eastAsia="en-AU"/>
        </w:rPr>
        <w:t>Welfare concerns around this method of slaughter focus on the aversiveness of the effects of low pressure and on the possibility that involuntary convulsions including wing flapping might occur before the bird is fully unconscious.</w:t>
      </w:r>
    </w:p>
    <w:p w14:paraId="594708DE" w14:textId="77777777" w:rsidR="00286A88" w:rsidRPr="00515938" w:rsidRDefault="00286A88" w:rsidP="00515938">
      <w:pPr>
        <w:pStyle w:val="Heading41"/>
      </w:pPr>
      <w:r w:rsidRPr="00515938">
        <w:t>SL2.5e Research into welfare aspects of LAPS</w:t>
      </w:r>
    </w:p>
    <w:p w14:paraId="152C243D" w14:textId="77777777" w:rsidR="00286A88" w:rsidRPr="00286A88" w:rsidRDefault="00286A88" w:rsidP="00630850">
      <w:pPr>
        <w:rPr>
          <w:lang w:val="en-AU" w:eastAsia="en-GB"/>
        </w:rPr>
      </w:pPr>
      <w:r w:rsidRPr="00286A88">
        <w:rPr>
          <w:lang w:val="en-AU" w:eastAsia="en-GB"/>
        </w:rPr>
        <w:t xml:space="preserve">Patterns of behavioural responses under LAPS are generally the same as under CAS, comprising ataxia, loss of posture, convulsions and leg paddling </w:t>
      </w:r>
      <w:r w:rsidRPr="00286A88">
        <w:rPr>
          <w:noProof/>
          <w:lang w:val="en-AU" w:eastAsia="en-GB"/>
        </w:rPr>
        <w:t xml:space="preserve">(Mackie and McKeegan, 2016; Martin et al., 2016b; </w:t>
      </w:r>
      <w:r w:rsidR="00990A18">
        <w:rPr>
          <w:noProof/>
          <w:lang w:val="en-AU" w:eastAsia="en-GB"/>
        </w:rPr>
        <w:t>2016</w:t>
      </w:r>
      <w:r w:rsidRPr="00286A88">
        <w:rPr>
          <w:noProof/>
          <w:lang w:val="en-AU" w:eastAsia="en-GB"/>
        </w:rPr>
        <w:t>c)</w:t>
      </w:r>
      <w:r w:rsidRPr="00286A88">
        <w:rPr>
          <w:lang w:val="en-AU" w:eastAsia="en-GB"/>
        </w:rPr>
        <w:t xml:space="preserve">. Some individual variation is seen in responses to LAPS </w:t>
      </w:r>
      <w:r w:rsidRPr="00286A88">
        <w:rPr>
          <w:noProof/>
          <w:lang w:val="en-AU" w:eastAsia="en-GB"/>
        </w:rPr>
        <w:t>(Mackie and McKeegan, 2016)</w:t>
      </w:r>
      <w:r w:rsidRPr="00286A88">
        <w:rPr>
          <w:lang w:val="en-AU" w:eastAsia="en-GB"/>
        </w:rPr>
        <w:t xml:space="preserve"> just as in CAS </w:t>
      </w:r>
      <w:r w:rsidRPr="00286A88">
        <w:rPr>
          <w:noProof/>
          <w:lang w:val="en-AU" w:eastAsia="en-GB"/>
        </w:rPr>
        <w:t>(Abeyesinghe et al., 2007; Martin et al., 2016c)</w:t>
      </w:r>
      <w:r w:rsidRPr="00286A88">
        <w:rPr>
          <w:lang w:val="en-AU" w:eastAsia="en-GB"/>
        </w:rPr>
        <w:t xml:space="preserve"> and for humans undergoing hypobaric chamber training </w:t>
      </w:r>
      <w:r w:rsidRPr="00286A88">
        <w:rPr>
          <w:noProof/>
          <w:lang w:val="en-AU" w:eastAsia="en-GB"/>
        </w:rPr>
        <w:t>(Gradwell and Macmillan, 2015)</w:t>
      </w:r>
      <w:r w:rsidRPr="00286A88">
        <w:rPr>
          <w:lang w:val="en-AU" w:eastAsia="en-GB"/>
        </w:rPr>
        <w:t xml:space="preserve">. In chickens these differences are not accounted for by bodyweight </w:t>
      </w:r>
      <w:r w:rsidRPr="00286A88">
        <w:rPr>
          <w:noProof/>
          <w:lang w:val="en-AU" w:eastAsia="en-GB"/>
        </w:rPr>
        <w:t>(Mackie and McKeegan, 2016)</w:t>
      </w:r>
      <w:r w:rsidRPr="00286A88">
        <w:rPr>
          <w:lang w:val="en-AU" w:eastAsia="en-GB"/>
        </w:rPr>
        <w:t>.</w:t>
      </w:r>
    </w:p>
    <w:p w14:paraId="5976E7BD" w14:textId="77777777" w:rsidR="00286A88" w:rsidRPr="00286A88" w:rsidRDefault="00286A88" w:rsidP="00630850">
      <w:pPr>
        <w:rPr>
          <w:lang w:val="en-AU" w:eastAsia="en-GB"/>
        </w:rPr>
      </w:pPr>
      <w:r w:rsidRPr="00286A88">
        <w:rPr>
          <w:lang w:val="en-AU" w:eastAsia="en-GB"/>
        </w:rPr>
        <w:t xml:space="preserve">Humans undergoing gradual decompression leading to hypoxia report that although the experience varies for individuals, it is not generally unpleasant and they are unaware of their declining function. Occasionally, humans encounter problems related to the low pressures needed to cause hypoxia. As environmental air pressure drops, gas filled cavities in the body expand. Where pressure cannot be equalised, for example, if human subjects are unable to vent their digestive tract by passing wind, this expansion may become uncomfortable or painful </w:t>
      </w:r>
      <w:r w:rsidRPr="00286A88">
        <w:rPr>
          <w:noProof/>
          <w:lang w:val="en-AU" w:eastAsia="en-GB"/>
        </w:rPr>
        <w:t>(Gradwell and Macmillan, 2015)</w:t>
      </w:r>
      <w:r w:rsidRPr="00286A88">
        <w:rPr>
          <w:lang w:val="en-AU" w:eastAsia="en-GB"/>
        </w:rPr>
        <w:t xml:space="preserve">. </w:t>
      </w:r>
      <w:r w:rsidRPr="00286A88">
        <w:rPr>
          <w:noProof/>
          <w:lang w:val="en-AU" w:eastAsia="en-GB"/>
        </w:rPr>
        <w:t>Vizzier-Thaxton et al. (2010)</w:t>
      </w:r>
      <w:r w:rsidRPr="00286A88">
        <w:rPr>
          <w:lang w:val="en-AU" w:eastAsia="en-GB"/>
        </w:rPr>
        <w:t xml:space="preserve"> states that since the avian respiratory system is different from that of mammals, gas is unlikely to become trapped in the abdomen or lungs.</w:t>
      </w:r>
    </w:p>
    <w:p w14:paraId="41A5249D" w14:textId="77777777" w:rsidR="00286A88" w:rsidRPr="00286A88" w:rsidRDefault="00286A88" w:rsidP="00630850">
      <w:pPr>
        <w:rPr>
          <w:lang w:val="en-AU" w:eastAsia="en-GB"/>
        </w:rPr>
      </w:pPr>
      <w:r w:rsidRPr="00286A88">
        <w:rPr>
          <w:lang w:val="en-AU" w:eastAsia="en-GB"/>
        </w:rPr>
        <w:t xml:space="preserve">Typical pain related behaviour, such as active escape/withdrawal, guarding, sick-bird posture, freezing and vocalisation are not seen in LAPS </w:t>
      </w:r>
      <w:r w:rsidRPr="00286A88">
        <w:rPr>
          <w:noProof/>
          <w:lang w:val="en-AU" w:eastAsia="en-GB"/>
        </w:rPr>
        <w:t>(Martin et al., 2016a)</w:t>
      </w:r>
      <w:r w:rsidRPr="00286A88">
        <w:rPr>
          <w:lang w:val="en-AU" w:eastAsia="en-GB"/>
        </w:rPr>
        <w:t xml:space="preserve">. There is no known direct indicator for pain in chickens </w:t>
      </w:r>
      <w:r w:rsidRPr="00286A88">
        <w:rPr>
          <w:noProof/>
          <w:lang w:val="en-AU" w:eastAsia="en-GB"/>
        </w:rPr>
        <w:t>(EFSA, 2013)</w:t>
      </w:r>
      <w:r w:rsidRPr="00286A88">
        <w:rPr>
          <w:lang w:val="en-AU" w:eastAsia="en-GB"/>
        </w:rPr>
        <w:t xml:space="preserve">, but </w:t>
      </w:r>
      <w:r w:rsidRPr="00286A88">
        <w:rPr>
          <w:noProof/>
          <w:lang w:val="en-AU" w:eastAsia="en-GB"/>
        </w:rPr>
        <w:t>Martin et al. (2016b)</w:t>
      </w:r>
      <w:r w:rsidRPr="00286A88">
        <w:rPr>
          <w:lang w:val="en-AU" w:eastAsia="en-GB"/>
        </w:rPr>
        <w:t xml:space="preserve"> suggest that the slow wave EEG observed in broilers held in darkness under LAPS indicates that they are not in pain. Even in darkness, a desynchronisation of the slow wave EEG (resembling waking from sleep) is observed when chickens are given an aversive sensory stimulus </w:t>
      </w:r>
      <w:r w:rsidRPr="00286A88">
        <w:rPr>
          <w:noProof/>
          <w:lang w:val="en-AU" w:eastAsia="en-GB"/>
        </w:rPr>
        <w:t>(Gentle, 1975)</w:t>
      </w:r>
      <w:r w:rsidRPr="00286A88">
        <w:rPr>
          <w:lang w:val="en-AU" w:eastAsia="en-GB"/>
        </w:rPr>
        <w:t>. Martin suggests that the absence of any such desynchronisation indicates the absence of sensory stimulation, such as pain or discomfort.</w:t>
      </w:r>
    </w:p>
    <w:p w14:paraId="777A6489" w14:textId="77777777" w:rsidR="00286A88" w:rsidRPr="00286A88" w:rsidRDefault="00286A88" w:rsidP="00630850">
      <w:pPr>
        <w:rPr>
          <w:lang w:val="en-AU" w:eastAsia="en-GB"/>
        </w:rPr>
      </w:pPr>
      <w:r w:rsidRPr="00286A88">
        <w:rPr>
          <w:noProof/>
          <w:lang w:val="en-AU" w:eastAsia="en-GB"/>
        </w:rPr>
        <w:t>Martin et al. (2016a)</w:t>
      </w:r>
      <w:r w:rsidRPr="00286A88">
        <w:rPr>
          <w:lang w:val="en-AU" w:eastAsia="en-GB"/>
        </w:rPr>
        <w:t xml:space="preserve"> observed birds undergoing LAPS with and without analgesic interventions, to assess whether there were behavioural differences in birds which were insensitive to pain compared to untreated birds. Birds were administered butorphanol intra-muscularly at a dose of 1 mg/kg. Butorphanol was selected as it has characterised pharmacokinetics in birds (Guzman et al., 2014), and is the currently recommended opioid for use in birds (Paul-Murphy and Fialkowski, 2001; Paul-Murphy, 2013). Importantly, opioid analgesics (including butorphanol) are known to relieve acute pain at both central and peripheral sites, and target the affective component of pain. Because butorphanol is a partial agonist, respiratory effects are minimised, and there is evidence that butorphanol causes considerably less sedation than other opioids (Singh et al., 2017), which is important for assessing behavioural responses to LAPS with and without analgesia. The dose given has been shown to have analgesic effects in a variety of birds, including African grey parrots, Hispaniolan Amazon parrots and cockatoos (Curro et al., 1994; Paul-Murphy et al., 1999; Paul-Murphy and Ludders, 2001) and the same dose of a related kappa opioid agonist (U50488H) has been demonstrated as having an analgesic effect in chickens (Concannon et al., 1995). Butorphanol was administered 30 minutes before exposure to LAPS, and is effective for 1-2 hours (Paul-Murphy, 2013). Intra-muscular injection was selected as this method of administration ensures high bioavailability of butorphanol (Guzman et al., 2011; Gustaven et al., 2014) and avoids the variability of oral absorption of opioids.</w:t>
      </w:r>
    </w:p>
    <w:p w14:paraId="2D6FE33E" w14:textId="77777777" w:rsidR="00286A88" w:rsidRPr="00286A88" w:rsidRDefault="00286A88" w:rsidP="00630850">
      <w:pPr>
        <w:rPr>
          <w:lang w:val="en-AU" w:eastAsia="en-GB"/>
        </w:rPr>
      </w:pPr>
      <w:r w:rsidRPr="00286A88">
        <w:rPr>
          <w:lang w:val="en-AU" w:eastAsia="en-GB"/>
        </w:rPr>
        <w:t>Martin et al. (2016a) observed no overall difference in the range and patterning of behaviour responses shown by treated and untreated birds during LAPS. However, time to onset of ataxia, mandibulation and deep breathing were delayed in analgised birds. Analgised birds were less likely to display jumping and slow wing flapping behaviours, suggesting that these behaviours may be pain related, although the authors also point out that these behaviours could have been inhibited by the sedative and physiological side effects of the opioid analgesic used in the trial. The authors conclude that there is not convincing evidence that birds undergoing LAPS are experiencing pain.</w:t>
      </w:r>
    </w:p>
    <w:p w14:paraId="386D8496" w14:textId="77777777" w:rsidR="00286A88" w:rsidRPr="00286A88" w:rsidRDefault="00286A88" w:rsidP="00630850">
      <w:pPr>
        <w:rPr>
          <w:lang w:val="en-AU" w:eastAsia="en-GB"/>
        </w:rPr>
      </w:pPr>
      <w:r w:rsidRPr="00286A88">
        <w:rPr>
          <w:lang w:val="en-AU" w:eastAsia="en-GB"/>
        </w:rPr>
        <w:t xml:space="preserve">Reported times to unconsciousness vary from 40 s </w:t>
      </w:r>
      <w:r w:rsidRPr="00286A88">
        <w:rPr>
          <w:noProof/>
          <w:lang w:val="en-AU" w:eastAsia="en-GB"/>
        </w:rPr>
        <w:t>(McKeegan et al., 2013b)</w:t>
      </w:r>
      <w:r w:rsidRPr="00286A88">
        <w:rPr>
          <w:lang w:val="en-AU" w:eastAsia="en-GB"/>
        </w:rPr>
        <w:t xml:space="preserve"> to 81 s </w:t>
      </w:r>
      <w:r w:rsidRPr="00286A88">
        <w:rPr>
          <w:noProof/>
          <w:lang w:val="en-AU" w:eastAsia="en-GB"/>
        </w:rPr>
        <w:t>(Mackie and McKeegan, 2016)</w:t>
      </w:r>
      <w:r w:rsidRPr="00286A88">
        <w:rPr>
          <w:lang w:val="en-AU" w:eastAsia="en-GB"/>
        </w:rPr>
        <w:t xml:space="preserve">. It is possible that this is due to the different ways of measuring consciousness because Mackie </w:t>
      </w:r>
      <w:r w:rsidR="00056878">
        <w:rPr>
          <w:lang w:val="en-AU" w:eastAsia="en-GB"/>
        </w:rPr>
        <w:t xml:space="preserve">and McKeegan (2016) </w:t>
      </w:r>
      <w:r w:rsidRPr="00286A88">
        <w:rPr>
          <w:lang w:val="en-AU" w:eastAsia="en-GB"/>
        </w:rPr>
        <w:t xml:space="preserve">recorded loss of posture while McKeegan </w:t>
      </w:r>
      <w:r w:rsidR="00056878">
        <w:rPr>
          <w:lang w:val="en-AU" w:eastAsia="en-GB"/>
        </w:rPr>
        <w:t xml:space="preserve">et al. </w:t>
      </w:r>
      <w:r w:rsidRPr="00286A88">
        <w:rPr>
          <w:noProof/>
          <w:lang w:val="en-AU" w:eastAsia="en-GB"/>
        </w:rPr>
        <w:t>(2013b)</w:t>
      </w:r>
      <w:r w:rsidRPr="00286A88">
        <w:rPr>
          <w:lang w:val="en-AU" w:eastAsia="en-GB"/>
        </w:rPr>
        <w:t xml:space="preserve"> used EEG measurements. As LAPS is undertaken in darkness, low frequency waves associated with unconsciousness may have been confounded with the low frequency waves elicited by simulated eye closure. When LAPS takes place in an illuminated chamber rather than in the dark, time to unconsciousness increases from 92 s to 102 s </w:t>
      </w:r>
      <w:r w:rsidRPr="00286A88">
        <w:rPr>
          <w:noProof/>
          <w:lang w:val="en-AU" w:eastAsia="en-GB"/>
        </w:rPr>
        <w:t>(Martin et al., 2016b)</w:t>
      </w:r>
      <w:r w:rsidRPr="00286A88">
        <w:rPr>
          <w:lang w:val="en-AU" w:eastAsia="en-GB"/>
        </w:rPr>
        <w:t>.</w:t>
      </w:r>
    </w:p>
    <w:p w14:paraId="5C8437C5" w14:textId="77777777" w:rsidR="00286A88" w:rsidRPr="00286A88" w:rsidRDefault="00286A88" w:rsidP="00630850">
      <w:pPr>
        <w:rPr>
          <w:lang w:val="en-AU" w:eastAsia="en-GB"/>
        </w:rPr>
      </w:pPr>
      <w:r w:rsidRPr="00286A88">
        <w:rPr>
          <w:lang w:val="en-AU" w:eastAsia="en-GB"/>
        </w:rPr>
        <w:t xml:space="preserve">When EEG, electrocardiogram (ECG) and behaviour are all recorded at the same time, it appears that loss of posture coincides with the onset of reduced heart rate and changes in EEG associated with unconsciousness. Taken together, this suggests that unconsciousness sets in at 60 s. More conservative measures of unconsciousness might put loss of consciousness a little later; either at 75 s with the onset of clonic convulsions, or at 114 s, when the total power of the EEG signal reaches 10% of its pre-stunning baseline </w:t>
      </w:r>
      <w:r w:rsidRPr="00286A88">
        <w:rPr>
          <w:noProof/>
          <w:lang w:val="en-AU" w:eastAsia="en-GB"/>
        </w:rPr>
        <w:t>(Martin et al., 2016c)</w:t>
      </w:r>
      <w:r w:rsidRPr="00286A88">
        <w:rPr>
          <w:lang w:val="en-AU" w:eastAsia="en-GB"/>
        </w:rPr>
        <w:t>.</w:t>
      </w:r>
    </w:p>
    <w:p w14:paraId="575C7321" w14:textId="77777777" w:rsidR="00286A88" w:rsidRPr="00515938" w:rsidRDefault="00286A88" w:rsidP="00515938">
      <w:pPr>
        <w:pStyle w:val="Heading41"/>
      </w:pPr>
      <w:r w:rsidRPr="00515938">
        <w:t>SL2.5f Summary</w:t>
      </w:r>
    </w:p>
    <w:p w14:paraId="10B9AEC7" w14:textId="77777777" w:rsidR="00286A88" w:rsidRPr="00286A88" w:rsidRDefault="00286A88" w:rsidP="00630850">
      <w:pPr>
        <w:rPr>
          <w:lang w:val="en-AU" w:eastAsia="en-AU"/>
        </w:rPr>
      </w:pPr>
      <w:r w:rsidRPr="00286A88">
        <w:rPr>
          <w:lang w:val="en-AU" w:eastAsia="en-AU"/>
        </w:rPr>
        <w:t>LAPS has the potential to offer significant welfare benefits for poultry slaughter. Birds remain in their transport crates during LAPS stunning so there is no need for conscious birds to be shackled or positioned. Its effectiveness is relatively insensitive to variations in bird size and conformity so it does not underperform when presented with flocks with a large variance in bird size. No aversive gas is used to displace oxygen, and stunning is irreversible.</w:t>
      </w:r>
    </w:p>
    <w:p w14:paraId="3E72D073" w14:textId="77777777" w:rsidR="00286A88" w:rsidRPr="00286A88" w:rsidRDefault="00286A88" w:rsidP="00630850">
      <w:pPr>
        <w:rPr>
          <w:lang w:val="en-AU" w:eastAsia="en-AU"/>
        </w:rPr>
      </w:pPr>
      <w:r w:rsidRPr="00286A88">
        <w:rPr>
          <w:lang w:val="en-AU" w:eastAsia="en-AU"/>
        </w:rPr>
        <w:t>Concerns surrounding LAPS centre around spasms and wing flapping induced by hypoxia, as well as the potential for hypobaric injury. As environmental pressure is reduced, gas-filled cavities within the body expand. This has the potential to be painful and/or injurious if not properly controlled. Although the structure of the avian respiratory system makes it unlikely that air could be trapped in the lungs, any gases trapped in the digestive tract could expand and this could be painful. However, evidence from Martin et al. (2016</w:t>
      </w:r>
      <w:r w:rsidR="000E44E6">
        <w:rPr>
          <w:lang w:val="en-AU" w:eastAsia="en-AU"/>
        </w:rPr>
        <w:t>a; 2016b</w:t>
      </w:r>
      <w:r w:rsidRPr="00286A88">
        <w:rPr>
          <w:lang w:val="en-AU" w:eastAsia="en-AU"/>
        </w:rPr>
        <w:t>) suggests that birds do not find LAPS painful.</w:t>
      </w:r>
    </w:p>
    <w:p w14:paraId="55B3A28B" w14:textId="77777777" w:rsidR="00286A88" w:rsidRPr="00515938" w:rsidRDefault="00286A88" w:rsidP="00515938">
      <w:pPr>
        <w:pStyle w:val="Heading3"/>
      </w:pPr>
      <w:bookmarkStart w:id="389" w:name="_Toc495310856"/>
      <w:r w:rsidRPr="00515938">
        <w:t>SL2.6 Percussive stunning</w:t>
      </w:r>
      <w:r w:rsidR="00515938" w:rsidRPr="00515938">
        <w:t xml:space="preserve">/blunt </w:t>
      </w:r>
      <w:r w:rsidRPr="00515938">
        <w:t>trauma/mechanical stunning</w:t>
      </w:r>
      <w:bookmarkEnd w:id="389"/>
    </w:p>
    <w:p w14:paraId="676F955F" w14:textId="77777777" w:rsidR="00286A88" w:rsidRPr="00515938" w:rsidRDefault="00286A88" w:rsidP="00515938">
      <w:pPr>
        <w:pStyle w:val="Heading41"/>
      </w:pPr>
      <w:r w:rsidRPr="00515938">
        <w:t>SL2.6a Principles</w:t>
      </w:r>
    </w:p>
    <w:p w14:paraId="3EC24669" w14:textId="77777777" w:rsidR="00286A88" w:rsidRPr="00256388" w:rsidRDefault="00286A88" w:rsidP="00630850">
      <w:pPr>
        <w:rPr>
          <w:lang w:val="en-AU" w:eastAsia="en-AU"/>
        </w:rPr>
      </w:pPr>
      <w:r w:rsidRPr="00256388">
        <w:rPr>
          <w:lang w:val="en-AU" w:eastAsia="en-AU"/>
        </w:rPr>
        <w:t>When small numbers of poultry have to be killed, e.g. for on-farm euthanasia of individuals, birds may be rendered unconscious percussively. Concussion can be induced using a mechanical captive bolt device or with a manual blow to the head of the bird with a suitably heavy object. To achieve a successful concussion, the aim is not to break the skull or cause immediate physical damage to the brain. Rather, concussion is induced by the sudden acceleration of the head caused by a sharp impact on the skull. If a skull is thin the percussive energy may be absorbed by fracturing the skull rather than causing the acceleration of the head required to cause concussion, so a stun might not be achieved. This can occur when an unsuitable device is used.</w:t>
      </w:r>
    </w:p>
    <w:p w14:paraId="3E140F60" w14:textId="77777777" w:rsidR="00286A88" w:rsidRPr="00515938" w:rsidRDefault="00286A88" w:rsidP="00515938">
      <w:pPr>
        <w:pStyle w:val="Heading41"/>
      </w:pPr>
      <w:r w:rsidRPr="00515938">
        <w:t>SL2.6b Practical implementation of percussive stunning</w:t>
      </w:r>
    </w:p>
    <w:p w14:paraId="229E9890" w14:textId="77777777" w:rsidR="00286A88" w:rsidRPr="00286A88" w:rsidRDefault="00286A88" w:rsidP="00630850">
      <w:pPr>
        <w:rPr>
          <w:lang w:val="en-AU" w:eastAsia="en-AU"/>
        </w:rPr>
      </w:pPr>
      <w:r w:rsidRPr="00286A88">
        <w:rPr>
          <w:lang w:val="en-AU" w:eastAsia="en-AU"/>
        </w:rPr>
        <w:t xml:space="preserve">For mechanical stunning (i.e. using a captive bolt gun), selection of the appropriate size and shape of bolt head and firing energy are important to ensure that a stun is effective. Accurate placement and angle of the bolt gun are also critical; for chickens deviation of 20° or more can result in severe trauma without any loss of consciousness </w:t>
      </w:r>
      <w:r w:rsidRPr="00286A88">
        <w:rPr>
          <w:noProof/>
          <w:lang w:val="en-AU" w:eastAsia="en-AU"/>
        </w:rPr>
        <w:t>(Raj and O’Callaghan, 2001)</w:t>
      </w:r>
      <w:r w:rsidRPr="00286A88">
        <w:rPr>
          <w:lang w:val="en-AU" w:eastAsia="en-AU"/>
        </w:rPr>
        <w:t xml:space="preserve">. When manual percussive stunning is carried out, selection of an appropriate instrument, and a well-placed blow of the appropriate weight can facilitate effective stunning even in larger birds such as turkeys. However, selection of the wrong instrument, for example, one which is too hard or with insufficient contact area can inflict fractures rather than achieving the acceleration of the head necessary for a good stun </w:t>
      </w:r>
      <w:r w:rsidRPr="00286A88">
        <w:rPr>
          <w:noProof/>
          <w:lang w:val="en-AU" w:eastAsia="en-AU"/>
        </w:rPr>
        <w:t>(Cors et al., 2015)</w:t>
      </w:r>
      <w:r w:rsidRPr="00286A88">
        <w:rPr>
          <w:lang w:val="en-AU" w:eastAsia="en-AU"/>
        </w:rPr>
        <w:t xml:space="preserve">. </w:t>
      </w:r>
      <w:r w:rsidRPr="00286A88">
        <w:rPr>
          <w:noProof/>
          <w:lang w:val="en-AU" w:eastAsia="en-AU"/>
        </w:rPr>
        <w:t>Erasmus et al. (2010)</w:t>
      </w:r>
      <w:r w:rsidRPr="00286A88">
        <w:rPr>
          <w:lang w:val="en-AU" w:eastAsia="en-AU"/>
        </w:rPr>
        <w:t xml:space="preserve"> reports a test using a pneumatic percussive stunner which appears to be underpowered for turkeys since two hits were required to achieve insensibility.</w:t>
      </w:r>
    </w:p>
    <w:p w14:paraId="394F991D" w14:textId="77777777" w:rsidR="00286A88" w:rsidRPr="00286A88" w:rsidRDefault="00286A88" w:rsidP="00630850">
      <w:pPr>
        <w:rPr>
          <w:lang w:val="en-AU" w:eastAsia="en-AU"/>
        </w:rPr>
      </w:pPr>
      <w:r w:rsidRPr="00286A88">
        <w:rPr>
          <w:lang w:val="en-AU" w:eastAsia="en-AU"/>
        </w:rPr>
        <w:t>Percussive stunning should usually be followed with a killing method, such as bleeding or cervical dislocation to ensure that brain death occurs before any consciousness can be regained.</w:t>
      </w:r>
    </w:p>
    <w:p w14:paraId="3DB1CE58" w14:textId="77777777" w:rsidR="00286A88" w:rsidRPr="00515938" w:rsidRDefault="00286A88" w:rsidP="00515938">
      <w:pPr>
        <w:pStyle w:val="Heading41"/>
      </w:pPr>
      <w:r w:rsidRPr="00515938">
        <w:t>SL2.6c Welfare advantages and disadvantages</w:t>
      </w:r>
    </w:p>
    <w:p w14:paraId="6945D384" w14:textId="77777777" w:rsidR="00286A88" w:rsidRPr="00286A88" w:rsidRDefault="00286A88" w:rsidP="00630850">
      <w:pPr>
        <w:rPr>
          <w:lang w:val="en-AU" w:eastAsia="en-AU"/>
        </w:rPr>
      </w:pPr>
      <w:r w:rsidRPr="00286A88">
        <w:rPr>
          <w:lang w:val="en-AU" w:eastAsia="en-AU"/>
        </w:rPr>
        <w:t>Percussive stunning is quick and cheap, produces an immediate stun, and can be carried out anywhere by experienced poultry stock-people. This means that euthanasia can be administered to individual sick or injured birds without delay and with a minimum of handling and transportation.</w:t>
      </w:r>
    </w:p>
    <w:p w14:paraId="36D06F15" w14:textId="77777777" w:rsidR="00286A88" w:rsidRPr="00286A88" w:rsidRDefault="00286A88" w:rsidP="00630850">
      <w:pPr>
        <w:rPr>
          <w:lang w:val="en-AU" w:eastAsia="en-AU"/>
        </w:rPr>
      </w:pPr>
      <w:r w:rsidRPr="00286A88">
        <w:rPr>
          <w:lang w:val="en-AU" w:eastAsia="en-AU"/>
        </w:rPr>
        <w:t>Disadvantages of percussive stunning include the potential for human error with potentially serious welfare impacts. Manual percussive stunning, or blunt trauma, achieved with a single well-placed blow to the head from a suitably heavy object is not suited to large numbers of animals. As operators become fatigued, accuracy in the placement and strength of the blow may decrease, which would have a negative welfare impact for the animals in question. Not all countries allow percussive stunning to be delivered by hand.</w:t>
      </w:r>
    </w:p>
    <w:p w14:paraId="75424354" w14:textId="77777777" w:rsidR="00286A88" w:rsidRPr="00515938" w:rsidRDefault="00286A88" w:rsidP="00515938">
      <w:pPr>
        <w:pStyle w:val="Heading3"/>
      </w:pPr>
      <w:bookmarkStart w:id="390" w:name="_Toc495310857"/>
      <w:r w:rsidRPr="00515938">
        <w:t>SL2.7 Killing</w:t>
      </w:r>
      <w:r w:rsidR="00630850" w:rsidRPr="00515938">
        <w:t xml:space="preserve"> of surplus or unthrifty chicks</w:t>
      </w:r>
      <w:bookmarkEnd w:id="390"/>
    </w:p>
    <w:p w14:paraId="0A1DF165" w14:textId="77777777" w:rsidR="00286A88" w:rsidRPr="00515938" w:rsidRDefault="00286A88" w:rsidP="00515938">
      <w:pPr>
        <w:pStyle w:val="Heading41"/>
      </w:pPr>
      <w:r w:rsidRPr="00515938">
        <w:t>SL2.7a Mechanical maceration</w:t>
      </w:r>
    </w:p>
    <w:p w14:paraId="39C2572E" w14:textId="77777777" w:rsidR="00286A88" w:rsidRPr="00286A88" w:rsidRDefault="00286A88" w:rsidP="00630850">
      <w:pPr>
        <w:rPr>
          <w:lang w:val="en-AU" w:eastAsia="en-AU"/>
        </w:rPr>
      </w:pPr>
      <w:r w:rsidRPr="00286A88">
        <w:rPr>
          <w:lang w:val="en-AU" w:eastAsia="en-AU"/>
        </w:rPr>
        <w:t xml:space="preserve">Although aesthetically unpleasant to many people, instantaneous maceration of chicks up to 72 h old and embryonated eggs is considered to provide humane euthanasia </w:t>
      </w:r>
      <w:r w:rsidRPr="00286A88">
        <w:rPr>
          <w:noProof/>
          <w:lang w:val="en-AU" w:eastAsia="en-AU"/>
        </w:rPr>
        <w:t>(Bandow, 1987)</w:t>
      </w:r>
      <w:r w:rsidRPr="00286A88">
        <w:rPr>
          <w:lang w:val="en-AU" w:eastAsia="en-AU"/>
        </w:rPr>
        <w:t>,</w:t>
      </w:r>
      <w:r w:rsidR="00056878">
        <w:rPr>
          <w:lang w:val="en-AU" w:eastAsia="en-AU"/>
        </w:rPr>
        <w:t xml:space="preserve"> </w:t>
      </w:r>
      <w:r w:rsidRPr="00286A88">
        <w:rPr>
          <w:lang w:val="en-AU" w:eastAsia="en-AU"/>
        </w:rPr>
        <w:t>and this method is accepted in the recommendations of many authorities including EFSA, and the American Veterinary Medical Association. Chicks and poults older than 72 h should be stunned before maceration (EFSA, 2004).</w:t>
      </w:r>
    </w:p>
    <w:p w14:paraId="6F974EFC" w14:textId="77777777" w:rsidR="00286A88" w:rsidRPr="00286A88" w:rsidRDefault="00286A88" w:rsidP="00630850">
      <w:pPr>
        <w:rPr>
          <w:lang w:val="en-AU" w:eastAsia="en-AU"/>
        </w:rPr>
      </w:pPr>
      <w:r w:rsidRPr="00286A88">
        <w:rPr>
          <w:lang w:val="en-AU" w:eastAsia="en-AU"/>
        </w:rPr>
        <w:t>Assessing welfare of chicks in macerators is necessarily difficult – there is no opportunity to analyse behaviour or time to unconsciousness. However, it can be assumed that welfare would be severely compromised if death was not instantaneous, and chicks were allowed to be injured by the maceration process before death. There are a number of design and procedural considerations which can reduce this risk, and these are outlined below.</w:t>
      </w:r>
    </w:p>
    <w:p w14:paraId="1ABDFA22" w14:textId="77777777" w:rsidR="00286A88" w:rsidRPr="00286A88" w:rsidRDefault="00286A88" w:rsidP="00630850">
      <w:pPr>
        <w:rPr>
          <w:lang w:val="en-AU" w:eastAsia="en-AU"/>
        </w:rPr>
      </w:pPr>
      <w:r w:rsidRPr="00286A88">
        <w:rPr>
          <w:lang w:val="en-AU" w:eastAsia="en-AU"/>
        </w:rPr>
        <w:t>EFSA (2004) recommend that only macerators specifically designed for the disposal of poultry should be used, and that these should have blades rotating at a minimum of 6,000 rpm.</w:t>
      </w:r>
    </w:p>
    <w:p w14:paraId="0531A314" w14:textId="77777777" w:rsidR="00286A88" w:rsidRPr="00286A88" w:rsidRDefault="00286A88" w:rsidP="00630850">
      <w:pPr>
        <w:rPr>
          <w:lang w:val="en-AU" w:eastAsia="en-AU"/>
        </w:rPr>
      </w:pPr>
      <w:r w:rsidRPr="00286A88">
        <w:rPr>
          <w:lang w:val="en-AU" w:eastAsia="en-AU"/>
        </w:rPr>
        <w:t xml:space="preserve">There are two main types of macerators in commercial use for the disposal of chicks. Crushing macerators have either one roller that rotates against a solid projection, or contra-rotating interlocking rollers. The roller(s) are fitted with solid projections along their length. Rollers without projections result in chicks being flattened, rather than instantly fragmented. It is recommended that the area through which chicks are crushed (i.e. the gaps between the rollers, or between the side projections) should be no more than 10 mm </w:t>
      </w:r>
      <w:r w:rsidRPr="00286A88">
        <w:rPr>
          <w:noProof/>
          <w:lang w:val="en-AU" w:eastAsia="en-AU"/>
        </w:rPr>
        <w:t>(Humane Slaughter Association, 2007)</w:t>
      </w:r>
      <w:r w:rsidRPr="00286A88">
        <w:rPr>
          <w:lang w:val="en-AU" w:eastAsia="en-AU"/>
        </w:rPr>
        <w:t xml:space="preserve"> although there is no known peer reviewed research to support or contradict this.</w:t>
      </w:r>
    </w:p>
    <w:p w14:paraId="5C49D6A2" w14:textId="77777777" w:rsidR="00286A88" w:rsidRPr="00286A88" w:rsidRDefault="00286A88" w:rsidP="00630850">
      <w:pPr>
        <w:rPr>
          <w:lang w:val="en-AU" w:eastAsia="en-AU"/>
        </w:rPr>
      </w:pPr>
      <w:r w:rsidRPr="00286A88">
        <w:rPr>
          <w:lang w:val="en-AU" w:eastAsia="en-AU"/>
        </w:rPr>
        <w:t>Knife-type macerators have rapidly rotating blades which effectively shred the chicks. These blades should be solid, radiating from a central axl</w:t>
      </w:r>
      <w:r w:rsidR="00056878">
        <w:rPr>
          <w:lang w:val="en-AU" w:eastAsia="en-AU"/>
        </w:rPr>
        <w:t>e</w:t>
      </w:r>
      <w:r w:rsidRPr="00286A88">
        <w:rPr>
          <w:lang w:val="en-AU" w:eastAsia="en-AU"/>
        </w:rPr>
        <w:t xml:space="preserve">, and may interlock with a grid. Sharp edges are not necessary as they cut effectively due to the high speed at which the blades rotate. Blades should be arranged around the axle in a pattern which ensures all chicks are killed immediately </w:t>
      </w:r>
      <w:r w:rsidRPr="00286A88">
        <w:rPr>
          <w:noProof/>
          <w:lang w:val="en-AU" w:eastAsia="en-AU"/>
        </w:rPr>
        <w:t>(Humane Slaughter Association, 2007)</w:t>
      </w:r>
      <w:r w:rsidRPr="00286A88">
        <w:rPr>
          <w:lang w:val="en-AU" w:eastAsia="en-AU"/>
        </w:rPr>
        <w:t>.</w:t>
      </w:r>
    </w:p>
    <w:p w14:paraId="17BBF0AD" w14:textId="77777777" w:rsidR="00286A88" w:rsidRPr="00286A88" w:rsidRDefault="00286A88" w:rsidP="00630850">
      <w:pPr>
        <w:rPr>
          <w:lang w:val="en-AU" w:eastAsia="en-AU"/>
        </w:rPr>
      </w:pPr>
      <w:r w:rsidRPr="00286A88">
        <w:rPr>
          <w:lang w:val="en-AU" w:eastAsia="en-AU"/>
        </w:rPr>
        <w:t>Chicks should enter the machine at a rate compatible with its capacity, and should be introduced in single layers. This avoids blockages and machine stoppages, which would compromise welfare if chicks were partially macerated but not killed. Any drop from a conveyor into the working parts of the macerator should be minimised, and there should be no possibility of chicks bouncing or being deflected in the macerator (EFSA, 2004; Humane Slaughter Association, 2007).</w:t>
      </w:r>
    </w:p>
    <w:p w14:paraId="200CDEF0" w14:textId="77777777" w:rsidR="00286A88" w:rsidRPr="00286A88" w:rsidRDefault="00286A88" w:rsidP="00630850">
      <w:pPr>
        <w:pStyle w:val="Heading41"/>
      </w:pPr>
      <w:r w:rsidRPr="00286A88">
        <w:t>SL2.7b Controlled atmosphere killing</w:t>
      </w:r>
    </w:p>
    <w:p w14:paraId="28D1589B" w14:textId="77777777" w:rsidR="00286A88" w:rsidRPr="00286A88" w:rsidRDefault="00286A88" w:rsidP="00630850">
      <w:pPr>
        <w:rPr>
          <w:lang w:val="en-AU" w:eastAsia="en-AU"/>
        </w:rPr>
      </w:pPr>
      <w:r w:rsidRPr="00286A88">
        <w:rPr>
          <w:lang w:val="en-AU" w:eastAsia="en-AU"/>
        </w:rPr>
        <w:t>CAS offers an alternative to mechanical maceration for the stunning and killing of day-old-chicks. It appears that chicks are very sensitive to residual oxygen levels, and even slight increases significantly increase the risk of survival.</w:t>
      </w:r>
    </w:p>
    <w:p w14:paraId="02410DBA" w14:textId="77777777" w:rsidR="00286A88" w:rsidRPr="00286A88" w:rsidRDefault="00286A88" w:rsidP="00630850">
      <w:pPr>
        <w:rPr>
          <w:lang w:val="en-AU" w:eastAsia="en-AU"/>
        </w:rPr>
      </w:pPr>
      <w:r w:rsidRPr="00286A88">
        <w:rPr>
          <w:noProof/>
          <w:lang w:val="en-AU" w:eastAsia="en-AU"/>
        </w:rPr>
        <w:t>Raj and Whittington (1995)</w:t>
      </w:r>
      <w:r w:rsidRPr="00286A88">
        <w:rPr>
          <w:lang w:val="en-AU" w:eastAsia="en-AU"/>
        </w:rPr>
        <w:t xml:space="preserve"> describe tests of CAS mixtures for day-old chicks. They report that batches of 20 chicks exposed to mixtures of 20%, 30% or 40% carbon dioxide in argon resulted in death for all chicks within 2 minutes without severe respiratory distress when residual oxygen was below 2%. Keeping residual oxygen levels low appears to be critical; Raj and Whittington (1995) report that when residual oxygen levels in the above mixtures rose to 5%, some chicks survived for longer than 2 minutes. Chicks exposed to argon without the addition of carbon dioxide all died within 3 minutes when residual oxygen levels were less than 2%, but only slightly higher oxygen levels (3%) resulted in 20% of chicks surviving for 7 minutes.</w:t>
      </w:r>
    </w:p>
    <w:p w14:paraId="14B83CC3" w14:textId="77777777" w:rsidR="00286A88" w:rsidRPr="00286A88" w:rsidRDefault="00286A88" w:rsidP="007D2446">
      <w:pPr>
        <w:pStyle w:val="Heading2"/>
        <w:rPr>
          <w:lang w:val="en-AU" w:eastAsia="en-AU"/>
        </w:rPr>
      </w:pPr>
      <w:bookmarkStart w:id="391" w:name="_Toc495310858"/>
      <w:r w:rsidRPr="00286A88">
        <w:rPr>
          <w:lang w:val="en-AU" w:eastAsia="en-AU"/>
        </w:rPr>
        <w:t>SL3. Farmed Birds by Type</w:t>
      </w:r>
      <w:bookmarkEnd w:id="391"/>
    </w:p>
    <w:p w14:paraId="7AFFD46A" w14:textId="77777777" w:rsidR="00286A88" w:rsidRPr="00515938" w:rsidRDefault="00286A88" w:rsidP="00515938">
      <w:pPr>
        <w:pStyle w:val="Heading3"/>
      </w:pPr>
      <w:bookmarkStart w:id="392" w:name="_Toc495310859"/>
      <w:r w:rsidRPr="00515938">
        <w:t>SL3.1 Broilers</w:t>
      </w:r>
      <w:bookmarkEnd w:id="392"/>
    </w:p>
    <w:p w14:paraId="4384D39A" w14:textId="77777777" w:rsidR="00286A88" w:rsidRPr="00286A88" w:rsidRDefault="00286A88" w:rsidP="00630850">
      <w:pPr>
        <w:rPr>
          <w:lang w:val="en-AU" w:eastAsia="en-AU"/>
        </w:rPr>
      </w:pPr>
      <w:r w:rsidRPr="00286A88">
        <w:rPr>
          <w:lang w:val="en-AU" w:eastAsia="en-AU"/>
        </w:rPr>
        <w:t>Broiler slaughter dominates the poultry slaughter literature, so much of the first part of this report is written around research on broilers. This section will therefore briefly repeat the most significant facts with a specific focus on broilers.</w:t>
      </w:r>
    </w:p>
    <w:p w14:paraId="59B6A6C4" w14:textId="77777777" w:rsidR="00286A88" w:rsidRPr="00286A88" w:rsidRDefault="00286A88" w:rsidP="00630850">
      <w:pPr>
        <w:rPr>
          <w:lang w:val="en-AU" w:eastAsia="en-AU"/>
        </w:rPr>
      </w:pPr>
      <w:r w:rsidRPr="00286A88">
        <w:rPr>
          <w:lang w:val="en-AU" w:eastAsia="en-AU"/>
        </w:rPr>
        <w:t xml:space="preserve">In Europe broilers slaughtered for production purposes are stunned and killed using the electrical water-bath or using controlled atmosphere stunning. In 2012 80% were killed using the electrical water-bath </w:t>
      </w:r>
      <w:r w:rsidRPr="00286A88">
        <w:rPr>
          <w:noProof/>
          <w:lang w:val="en-AU" w:eastAsia="en-AU"/>
        </w:rPr>
        <w:t>(European Commission, 2012)</w:t>
      </w:r>
      <w:r w:rsidRPr="00286A88">
        <w:rPr>
          <w:lang w:val="en-AU" w:eastAsia="en-AU"/>
        </w:rPr>
        <w:t xml:space="preserve"> however each year the proportion of birds killed using controlled atmosphere stunning increases. The electrical water-bath system is still considered the most practical choice for small processing plants. Head-only stunning in commercial processing plants has seen relatively little uptake, however the concept is still very new. For on farm killing head-only electrical stunning is a common choice. For emergency on farm slaughter carbon dioxide immersion or whole house killing using gas or gas filled foam is suitable.</w:t>
      </w:r>
    </w:p>
    <w:p w14:paraId="4F2895A7" w14:textId="77777777" w:rsidR="00286A88" w:rsidRPr="00515938" w:rsidRDefault="00286A88" w:rsidP="00515938">
      <w:pPr>
        <w:pStyle w:val="Heading41"/>
      </w:pPr>
      <w:r w:rsidRPr="00515938">
        <w:t>SL3.1a Electrical water-bath stunning</w:t>
      </w:r>
    </w:p>
    <w:p w14:paraId="63020973" w14:textId="77777777" w:rsidR="00286A88" w:rsidRPr="00286A88" w:rsidRDefault="00286A88" w:rsidP="00630850">
      <w:pPr>
        <w:rPr>
          <w:lang w:val="en-AU" w:eastAsia="en-AU"/>
        </w:rPr>
      </w:pPr>
      <w:r w:rsidRPr="00286A88">
        <w:rPr>
          <w:lang w:val="en-AU" w:eastAsia="en-AU"/>
        </w:rPr>
        <w:t xml:space="preserve">Electrical water-bath parameters for broilers have been extensively researched. Combinations of frequency and current for pulsed DC and AC stunning as identified in the two most significant bodies of work on this subject (Raj et al., </w:t>
      </w:r>
      <w:r w:rsidRPr="00286A88">
        <w:rPr>
          <w:noProof/>
          <w:lang w:val="en-AU" w:eastAsia="en-AU"/>
        </w:rPr>
        <w:t>2006a; 2006b; 2006c</w:t>
      </w:r>
      <w:r w:rsidRPr="00286A88">
        <w:rPr>
          <w:lang w:val="en-AU" w:eastAsia="en-AU"/>
        </w:rPr>
        <w:t xml:space="preserve"> and Prinz et al., </w:t>
      </w:r>
      <w:r w:rsidRPr="00286A88">
        <w:rPr>
          <w:noProof/>
          <w:lang w:val="en-AU" w:eastAsia="en-AU"/>
        </w:rPr>
        <w:t>2010a; 2010b; 2012)</w:t>
      </w:r>
      <w:r w:rsidRPr="00286A88">
        <w:rPr>
          <w:lang w:val="en-AU" w:eastAsia="en-AU"/>
        </w:rPr>
        <w:t xml:space="preserve"> are given in Figure SL2. For comparison, the recommendations of EFSA and the recommendations of the HSA are also given. The results of EEG investigations by Raj and Prinz are summarised below in Table SL2 and Table SL3, with adjustments made to compensate for different ways of measuring current between the two authors. It should also be noted that Raj and Prinz applied stunning currents for different durations; Raj used a 1 s application, whereas Prinz used a 10 s application. Although this may explain some of the differences between their findings, this is not certain. Results are displayed side by side in the table below for comparison.</w:t>
      </w:r>
    </w:p>
    <w:p w14:paraId="60315C30" w14:textId="77777777" w:rsidR="00286A88" w:rsidRPr="00286A88" w:rsidRDefault="00286A88" w:rsidP="00630850">
      <w:pPr>
        <w:rPr>
          <w:lang w:val="en-AU" w:eastAsia="en-AU"/>
        </w:rPr>
      </w:pPr>
      <w:r w:rsidRPr="00286A88">
        <w:rPr>
          <w:noProof/>
          <w:lang w:val="en-AU" w:eastAsia="en-AU"/>
        </w:rPr>
        <w:t>Hindle et al. (2010)</w:t>
      </w:r>
      <w:r w:rsidRPr="00286A88">
        <w:rPr>
          <w:lang w:val="en-AU" w:eastAsia="en-AU"/>
        </w:rPr>
        <w:t xml:space="preserve"> investigated the current required to stun broilers with square wave AC current at 50, 400, and 1,000 Hz. They indicated that effective stuns lasting a minimum of 1 minute would be achieved using currents of 125 mA at 50 Hz, 200 mA at 400 Hz, and 450 mA at 1,000 Hz. This is broadly in line with the findings of Prinz et al. (2010b) and Raj et al. (2006c), and also offers some insight into stunning at higher frequencies.</w:t>
      </w:r>
    </w:p>
    <w:p w14:paraId="60AA8E5A" w14:textId="77777777" w:rsidR="00286A88" w:rsidRPr="00286A88" w:rsidRDefault="00286A88" w:rsidP="00630850">
      <w:pPr>
        <w:rPr>
          <w:lang w:val="en-AU" w:eastAsia="en-AU"/>
        </w:rPr>
      </w:pPr>
      <w:r w:rsidRPr="00286A88">
        <w:rPr>
          <w:lang w:val="en-AU" w:eastAsia="en-AU"/>
        </w:rPr>
        <w:t>In these tables, d</w:t>
      </w:r>
      <w:r w:rsidRPr="00286A88">
        <w:rPr>
          <w:lang w:val="en-CA" w:eastAsia="en-AU"/>
        </w:rPr>
        <w:t>ata from Prinz et al. (2010b) are based on mixed male and female broilers. Stunning efficiency segregated by sex is not available. It is assumed that the same is the case for data from Raj et al. (2006c) although this is not specified. There is no known research demonstrating that different stunning currents are required to achieve unconsciousness for male and female broilers.</w:t>
      </w:r>
    </w:p>
    <w:p w14:paraId="0A2408A3" w14:textId="77777777" w:rsidR="00286A88" w:rsidRPr="00286A88" w:rsidRDefault="00286A88" w:rsidP="00630850">
      <w:pPr>
        <w:rPr>
          <w:rFonts w:cs="Cambria"/>
          <w:lang w:val="en-AU" w:eastAsia="en-AU"/>
        </w:rPr>
      </w:pPr>
      <w:r w:rsidRPr="00286A88">
        <w:rPr>
          <w:lang w:val="en-AU" w:eastAsia="en-AU"/>
        </w:rPr>
        <w:t xml:space="preserve">Broilers are frequently slaughtered segregated by sex to enable easier mechanical processing, and this allows the water-bath voltage to be adjusted to provide the required stunning current, taking account of the differences in resistance between males and females. Data from </w:t>
      </w:r>
      <w:r w:rsidRPr="00286A88">
        <w:rPr>
          <w:noProof/>
          <w:lang w:val="en-AU" w:eastAsia="en-AU"/>
        </w:rPr>
        <w:t>Prinz et al. (2010b)</w:t>
      </w:r>
      <w:r w:rsidRPr="00286A88">
        <w:rPr>
          <w:lang w:val="en-AU" w:eastAsia="en-AU"/>
        </w:rPr>
        <w:t xml:space="preserve"> indicates that male broilers have an average impedance of 900</w:t>
      </w:r>
      <w:r w:rsidRPr="00286A88">
        <w:rPr>
          <w:rFonts w:cs="Cambria"/>
          <w:lang w:val="en-AU" w:eastAsia="en-AU"/>
        </w:rPr>
        <w:t xml:space="preserve"> Ω whereas female broilers have a much higher average impedance, at 1200 Ω. This means that on average, the voltage required for female broilers is likely to be 30% higher than for males.</w:t>
      </w:r>
    </w:p>
    <w:p w14:paraId="236C04F2" w14:textId="77777777" w:rsidR="00286A88" w:rsidRPr="00286A88" w:rsidRDefault="00286A88" w:rsidP="00630850">
      <w:pPr>
        <w:rPr>
          <w:rFonts w:cs="Cambria"/>
          <w:lang w:val="en-AU" w:eastAsia="en-AU"/>
        </w:rPr>
      </w:pPr>
    </w:p>
    <w:p w14:paraId="02068671" w14:textId="77777777" w:rsidR="00286A88" w:rsidRPr="00630850" w:rsidRDefault="00286A88" w:rsidP="00630850">
      <w:pPr>
        <w:spacing w:after="240"/>
        <w:rPr>
          <w:b/>
          <w:lang w:val="en-AU" w:eastAsia="en-AU"/>
        </w:rPr>
      </w:pPr>
      <w:r w:rsidRPr="00286A88">
        <w:rPr>
          <w:lang w:val="en-AU" w:eastAsia="en-AU"/>
        </w:rPr>
        <w:br w:type="column"/>
      </w:r>
      <w:r w:rsidRPr="00630850">
        <w:rPr>
          <w:b/>
          <w:lang w:val="en-AU" w:eastAsia="en-AU"/>
        </w:rPr>
        <w:t xml:space="preserve">Table SL2: Water-bath stunning parameters for broiler chickens using AC current. Data from </w:t>
      </w:r>
      <w:r w:rsidRPr="00630850">
        <w:rPr>
          <w:b/>
          <w:lang w:val="en-CA" w:eastAsia="en-AU"/>
        </w:rPr>
        <w:t xml:space="preserve">Prinz et al. </w:t>
      </w:r>
      <w:r w:rsidR="009923EC">
        <w:rPr>
          <w:b/>
          <w:lang w:val="en-CA" w:eastAsia="en-AU"/>
        </w:rPr>
        <w:t>(2010b) and (Raj et al., 2006c)</w:t>
      </w:r>
      <w:r w:rsidR="00056878">
        <w:rPr>
          <w:b/>
          <w:lang w:val="en-CA" w:eastAsia="en-AU"/>
        </w:rPr>
        <w:t>.</w:t>
      </w:r>
    </w:p>
    <w:tbl>
      <w:tblPr>
        <w:tblW w:w="9880" w:type="dxa"/>
        <w:tblCellMar>
          <w:left w:w="62" w:type="dxa"/>
          <w:right w:w="62" w:type="dxa"/>
        </w:tblCellMar>
        <w:tblLook w:val="04A0" w:firstRow="1" w:lastRow="0" w:firstColumn="1" w:lastColumn="0" w:noHBand="0" w:noVBand="1"/>
      </w:tblPr>
      <w:tblGrid>
        <w:gridCol w:w="887"/>
        <w:gridCol w:w="1360"/>
        <w:gridCol w:w="1360"/>
        <w:gridCol w:w="1360"/>
        <w:gridCol w:w="1360"/>
        <w:gridCol w:w="1360"/>
        <w:gridCol w:w="1360"/>
        <w:gridCol w:w="880"/>
      </w:tblGrid>
      <w:tr w:rsidR="00630850" w:rsidRPr="00286A88" w14:paraId="156FEB06" w14:textId="77777777" w:rsidTr="00997DF8">
        <w:trPr>
          <w:trHeight w:val="320"/>
        </w:trPr>
        <w:tc>
          <w:tcPr>
            <w:tcW w:w="840" w:type="dxa"/>
            <w:vMerge w:val="restart"/>
            <w:tcBorders>
              <w:top w:val="single" w:sz="8" w:space="0" w:color="auto"/>
              <w:left w:val="single" w:sz="8" w:space="0" w:color="auto"/>
              <w:bottom w:val="single" w:sz="8" w:space="0" w:color="000000"/>
              <w:right w:val="single" w:sz="8" w:space="0" w:color="auto"/>
            </w:tcBorders>
            <w:shd w:val="clear" w:color="auto" w:fill="auto"/>
            <w:tcMar>
              <w:top w:w="15" w:type="dxa"/>
              <w:left w:w="62" w:type="dxa"/>
              <w:bottom w:w="0" w:type="dxa"/>
              <w:right w:w="62" w:type="dxa"/>
            </w:tcMar>
            <w:vAlign w:val="bottom"/>
            <w:hideMark/>
          </w:tcPr>
          <w:p w14:paraId="4F605E50" w14:textId="77777777" w:rsidR="00630850" w:rsidRPr="00BC6AF1" w:rsidRDefault="00630850" w:rsidP="00BC6AF1">
            <w:pPr>
              <w:pStyle w:val="NoSpacing"/>
              <w:jc w:val="center"/>
              <w:rPr>
                <w:rFonts w:cs="Arial"/>
                <w:b/>
                <w:sz w:val="14"/>
                <w:szCs w:val="14"/>
                <w:lang w:val="en-AU" w:eastAsia="en-AU"/>
              </w:rPr>
            </w:pPr>
            <w:r w:rsidRPr="00BC6AF1">
              <w:rPr>
                <w:rFonts w:cs="Arial"/>
                <w:b/>
                <w:sz w:val="14"/>
                <w:szCs w:val="14"/>
                <w:lang w:val="en-AU" w:eastAsia="en-AU"/>
              </w:rPr>
              <w:t>Application time</w:t>
            </w:r>
          </w:p>
        </w:tc>
        <w:tc>
          <w:tcPr>
            <w:tcW w:w="2720" w:type="dxa"/>
            <w:gridSpan w:val="2"/>
            <w:tcBorders>
              <w:top w:val="single" w:sz="8" w:space="0" w:color="auto"/>
              <w:left w:val="nil"/>
              <w:bottom w:val="nil"/>
              <w:right w:val="single" w:sz="8" w:space="0" w:color="000000"/>
            </w:tcBorders>
            <w:shd w:val="clear" w:color="auto" w:fill="auto"/>
            <w:noWrap/>
            <w:tcMar>
              <w:top w:w="15" w:type="dxa"/>
              <w:left w:w="62" w:type="dxa"/>
              <w:bottom w:w="0" w:type="dxa"/>
              <w:right w:w="62" w:type="dxa"/>
            </w:tcMar>
            <w:vAlign w:val="bottom"/>
            <w:hideMark/>
          </w:tcPr>
          <w:p w14:paraId="3F0F04EC" w14:textId="77777777" w:rsidR="00630850" w:rsidRPr="00BC6AF1" w:rsidRDefault="00630850" w:rsidP="00BC6AF1">
            <w:pPr>
              <w:pStyle w:val="NoSpacing"/>
              <w:jc w:val="center"/>
              <w:rPr>
                <w:rFonts w:cs="Arial"/>
                <w:b/>
                <w:sz w:val="14"/>
                <w:szCs w:val="14"/>
                <w:lang w:val="en-AU" w:eastAsia="en-AU"/>
              </w:rPr>
            </w:pPr>
            <w:r w:rsidRPr="00BC6AF1">
              <w:rPr>
                <w:rFonts w:cs="Arial"/>
                <w:b/>
                <w:sz w:val="14"/>
                <w:szCs w:val="14"/>
                <w:lang w:val="en-AU" w:eastAsia="en-AU"/>
              </w:rPr>
              <w:t>100 Hz</w:t>
            </w:r>
          </w:p>
        </w:tc>
        <w:tc>
          <w:tcPr>
            <w:tcW w:w="2720" w:type="dxa"/>
            <w:gridSpan w:val="2"/>
            <w:tcBorders>
              <w:top w:val="single" w:sz="8" w:space="0" w:color="auto"/>
              <w:left w:val="nil"/>
              <w:bottom w:val="nil"/>
              <w:right w:val="nil"/>
            </w:tcBorders>
            <w:shd w:val="clear" w:color="auto" w:fill="auto"/>
            <w:noWrap/>
            <w:tcMar>
              <w:top w:w="15" w:type="dxa"/>
              <w:left w:w="62" w:type="dxa"/>
              <w:bottom w:w="0" w:type="dxa"/>
              <w:right w:w="62" w:type="dxa"/>
            </w:tcMar>
            <w:vAlign w:val="bottom"/>
            <w:hideMark/>
          </w:tcPr>
          <w:p w14:paraId="3E3CA4C1" w14:textId="77777777" w:rsidR="00630850" w:rsidRPr="00BC6AF1" w:rsidRDefault="00630850" w:rsidP="00BC6AF1">
            <w:pPr>
              <w:pStyle w:val="NoSpacing"/>
              <w:jc w:val="center"/>
              <w:rPr>
                <w:rFonts w:cs="Arial"/>
                <w:b/>
                <w:sz w:val="14"/>
                <w:szCs w:val="14"/>
                <w:lang w:val="en-AU" w:eastAsia="en-AU"/>
              </w:rPr>
            </w:pPr>
            <w:r w:rsidRPr="00BC6AF1">
              <w:rPr>
                <w:rFonts w:cs="Arial"/>
                <w:b/>
                <w:sz w:val="14"/>
                <w:szCs w:val="14"/>
                <w:lang w:val="en-AU" w:eastAsia="en-AU"/>
              </w:rPr>
              <w:t>200 Hz</w:t>
            </w:r>
          </w:p>
        </w:tc>
        <w:tc>
          <w:tcPr>
            <w:tcW w:w="2720" w:type="dxa"/>
            <w:gridSpan w:val="2"/>
            <w:tcBorders>
              <w:top w:val="single" w:sz="8" w:space="0" w:color="auto"/>
              <w:left w:val="single" w:sz="8" w:space="0" w:color="auto"/>
              <w:bottom w:val="nil"/>
              <w:right w:val="nil"/>
            </w:tcBorders>
            <w:shd w:val="clear" w:color="auto" w:fill="auto"/>
            <w:noWrap/>
            <w:tcMar>
              <w:top w:w="15" w:type="dxa"/>
              <w:left w:w="62" w:type="dxa"/>
              <w:bottom w:w="0" w:type="dxa"/>
              <w:right w:w="62" w:type="dxa"/>
            </w:tcMar>
            <w:vAlign w:val="bottom"/>
            <w:hideMark/>
          </w:tcPr>
          <w:p w14:paraId="378963D8" w14:textId="77777777" w:rsidR="00630850" w:rsidRPr="00BC6AF1" w:rsidRDefault="00630850" w:rsidP="00BC6AF1">
            <w:pPr>
              <w:pStyle w:val="NoSpacing"/>
              <w:jc w:val="center"/>
              <w:rPr>
                <w:rFonts w:cs="Arial"/>
                <w:b/>
                <w:sz w:val="14"/>
                <w:szCs w:val="14"/>
                <w:lang w:val="en-AU" w:eastAsia="en-AU"/>
              </w:rPr>
            </w:pPr>
            <w:r w:rsidRPr="00BC6AF1">
              <w:rPr>
                <w:rFonts w:cs="Arial"/>
                <w:b/>
                <w:sz w:val="14"/>
                <w:szCs w:val="14"/>
                <w:lang w:val="en-AU" w:eastAsia="en-AU"/>
              </w:rPr>
              <w:t>400 Hz</w:t>
            </w:r>
          </w:p>
        </w:tc>
        <w:tc>
          <w:tcPr>
            <w:tcW w:w="880" w:type="dxa"/>
            <w:tcBorders>
              <w:top w:val="single" w:sz="8" w:space="0" w:color="auto"/>
              <w:left w:val="single" w:sz="8" w:space="0" w:color="auto"/>
              <w:bottom w:val="nil"/>
              <w:right w:val="single" w:sz="8" w:space="0" w:color="auto"/>
            </w:tcBorders>
            <w:shd w:val="clear" w:color="auto" w:fill="auto"/>
            <w:noWrap/>
            <w:tcMar>
              <w:top w:w="15" w:type="dxa"/>
              <w:left w:w="62" w:type="dxa"/>
              <w:bottom w:w="0" w:type="dxa"/>
              <w:right w:w="62" w:type="dxa"/>
            </w:tcMar>
            <w:vAlign w:val="bottom"/>
            <w:hideMark/>
          </w:tcPr>
          <w:p w14:paraId="2CC8263E" w14:textId="77777777" w:rsidR="00630850" w:rsidRPr="00BC6AF1" w:rsidRDefault="00630850" w:rsidP="00BC6AF1">
            <w:pPr>
              <w:pStyle w:val="NoSpacing"/>
              <w:jc w:val="center"/>
              <w:rPr>
                <w:rFonts w:cs="Arial"/>
                <w:b/>
                <w:sz w:val="14"/>
                <w:szCs w:val="14"/>
                <w:lang w:val="en-AU" w:eastAsia="en-AU"/>
              </w:rPr>
            </w:pPr>
            <w:r w:rsidRPr="00BC6AF1">
              <w:rPr>
                <w:rFonts w:cs="Arial"/>
                <w:b/>
                <w:sz w:val="14"/>
                <w:szCs w:val="14"/>
                <w:lang w:val="en-AU" w:eastAsia="en-AU"/>
              </w:rPr>
              <w:t>≥ 800 Hz</w:t>
            </w:r>
          </w:p>
        </w:tc>
      </w:tr>
      <w:tr w:rsidR="00630850" w:rsidRPr="00286A88" w14:paraId="0D679A56" w14:textId="77777777" w:rsidTr="00997DF8">
        <w:trPr>
          <w:trHeight w:val="320"/>
        </w:trPr>
        <w:tc>
          <w:tcPr>
            <w:tcW w:w="0" w:type="auto"/>
            <w:vMerge/>
            <w:tcBorders>
              <w:top w:val="single" w:sz="8" w:space="0" w:color="auto"/>
              <w:left w:val="single" w:sz="8" w:space="0" w:color="auto"/>
              <w:bottom w:val="single" w:sz="8" w:space="0" w:color="000000"/>
              <w:right w:val="single" w:sz="8" w:space="0" w:color="auto"/>
            </w:tcBorders>
            <w:tcMar>
              <w:left w:w="62" w:type="dxa"/>
              <w:right w:w="62" w:type="dxa"/>
            </w:tcMar>
            <w:vAlign w:val="center"/>
            <w:hideMark/>
          </w:tcPr>
          <w:p w14:paraId="0197F823" w14:textId="77777777" w:rsidR="00630850" w:rsidRPr="00BC6AF1" w:rsidRDefault="00630850" w:rsidP="00BC6AF1">
            <w:pPr>
              <w:pStyle w:val="NoSpacing"/>
              <w:jc w:val="center"/>
              <w:rPr>
                <w:rFonts w:cs="Arial"/>
                <w:b/>
                <w:sz w:val="14"/>
                <w:szCs w:val="14"/>
                <w:lang w:val="en-AU" w:eastAsia="en-AU"/>
              </w:rPr>
            </w:pPr>
          </w:p>
        </w:tc>
        <w:tc>
          <w:tcPr>
            <w:tcW w:w="0" w:type="auto"/>
            <w:tcBorders>
              <w:top w:val="nil"/>
              <w:left w:val="nil"/>
              <w:bottom w:val="single" w:sz="8" w:space="0" w:color="auto"/>
              <w:right w:val="nil"/>
            </w:tcBorders>
            <w:shd w:val="clear" w:color="auto" w:fill="auto"/>
            <w:noWrap/>
            <w:tcMar>
              <w:top w:w="15" w:type="dxa"/>
              <w:left w:w="62" w:type="dxa"/>
              <w:bottom w:w="0" w:type="dxa"/>
              <w:right w:w="62" w:type="dxa"/>
            </w:tcMar>
            <w:vAlign w:val="bottom"/>
            <w:hideMark/>
          </w:tcPr>
          <w:p w14:paraId="3E16F79C" w14:textId="77777777" w:rsidR="00630850" w:rsidRPr="00BC6AF1" w:rsidRDefault="00630850" w:rsidP="00BC6AF1">
            <w:pPr>
              <w:pStyle w:val="NoSpacing"/>
              <w:jc w:val="center"/>
              <w:rPr>
                <w:rFonts w:cs="Arial"/>
                <w:b/>
                <w:sz w:val="14"/>
                <w:szCs w:val="14"/>
                <w:lang w:val="en-AU" w:eastAsia="en-AU"/>
              </w:rPr>
            </w:pPr>
            <w:r w:rsidRPr="00BC6AF1">
              <w:rPr>
                <w:rFonts w:cs="Arial"/>
                <w:b/>
                <w:sz w:val="14"/>
                <w:szCs w:val="14"/>
                <w:lang w:val="en-AU" w:eastAsia="en-AU"/>
              </w:rPr>
              <w:t>1 second</w:t>
            </w:r>
          </w:p>
        </w:tc>
        <w:tc>
          <w:tcPr>
            <w:tcW w:w="0" w:type="auto"/>
            <w:tcBorders>
              <w:top w:val="nil"/>
              <w:left w:val="nil"/>
              <w:bottom w:val="single" w:sz="8" w:space="0" w:color="auto"/>
              <w:right w:val="single" w:sz="8" w:space="0" w:color="auto"/>
            </w:tcBorders>
            <w:shd w:val="clear" w:color="auto" w:fill="auto"/>
            <w:noWrap/>
            <w:tcMar>
              <w:top w:w="15" w:type="dxa"/>
              <w:left w:w="62" w:type="dxa"/>
              <w:bottom w:w="0" w:type="dxa"/>
              <w:right w:w="62" w:type="dxa"/>
            </w:tcMar>
            <w:vAlign w:val="bottom"/>
            <w:hideMark/>
          </w:tcPr>
          <w:p w14:paraId="1225EB8D" w14:textId="77777777" w:rsidR="00630850" w:rsidRPr="00BC6AF1" w:rsidRDefault="00630850" w:rsidP="00BC6AF1">
            <w:pPr>
              <w:pStyle w:val="NoSpacing"/>
              <w:jc w:val="center"/>
              <w:rPr>
                <w:rFonts w:cs="Arial"/>
                <w:b/>
                <w:sz w:val="14"/>
                <w:szCs w:val="14"/>
                <w:lang w:val="en-AU" w:eastAsia="en-AU"/>
              </w:rPr>
            </w:pPr>
            <w:r w:rsidRPr="00BC6AF1">
              <w:rPr>
                <w:rFonts w:cs="Arial"/>
                <w:b/>
                <w:sz w:val="14"/>
                <w:szCs w:val="14"/>
                <w:lang w:val="en-AU" w:eastAsia="en-AU"/>
              </w:rPr>
              <w:t>10 seconds</w:t>
            </w:r>
          </w:p>
        </w:tc>
        <w:tc>
          <w:tcPr>
            <w:tcW w:w="0" w:type="auto"/>
            <w:tcBorders>
              <w:top w:val="nil"/>
              <w:left w:val="nil"/>
              <w:bottom w:val="single" w:sz="8" w:space="0" w:color="auto"/>
              <w:right w:val="nil"/>
            </w:tcBorders>
            <w:shd w:val="clear" w:color="auto" w:fill="auto"/>
            <w:noWrap/>
            <w:tcMar>
              <w:top w:w="15" w:type="dxa"/>
              <w:left w:w="62" w:type="dxa"/>
              <w:bottom w:w="0" w:type="dxa"/>
              <w:right w:w="62" w:type="dxa"/>
            </w:tcMar>
            <w:vAlign w:val="bottom"/>
            <w:hideMark/>
          </w:tcPr>
          <w:p w14:paraId="53CA30ED" w14:textId="77777777" w:rsidR="00630850" w:rsidRPr="00BC6AF1" w:rsidRDefault="00630850" w:rsidP="00BC6AF1">
            <w:pPr>
              <w:pStyle w:val="NoSpacing"/>
              <w:jc w:val="center"/>
              <w:rPr>
                <w:rFonts w:cs="Arial"/>
                <w:b/>
                <w:sz w:val="14"/>
                <w:szCs w:val="14"/>
                <w:lang w:val="en-AU" w:eastAsia="en-AU"/>
              </w:rPr>
            </w:pPr>
            <w:r w:rsidRPr="00BC6AF1">
              <w:rPr>
                <w:rFonts w:cs="Arial"/>
                <w:b/>
                <w:sz w:val="14"/>
                <w:szCs w:val="14"/>
                <w:lang w:val="en-AU" w:eastAsia="en-AU"/>
              </w:rPr>
              <w:t>1 second</w:t>
            </w:r>
          </w:p>
        </w:tc>
        <w:tc>
          <w:tcPr>
            <w:tcW w:w="0" w:type="auto"/>
            <w:tcBorders>
              <w:top w:val="nil"/>
              <w:left w:val="nil"/>
              <w:bottom w:val="single" w:sz="8" w:space="0" w:color="auto"/>
              <w:right w:val="single" w:sz="8" w:space="0" w:color="auto"/>
            </w:tcBorders>
            <w:shd w:val="clear" w:color="auto" w:fill="auto"/>
            <w:noWrap/>
            <w:tcMar>
              <w:top w:w="15" w:type="dxa"/>
              <w:left w:w="62" w:type="dxa"/>
              <w:bottom w:w="0" w:type="dxa"/>
              <w:right w:w="62" w:type="dxa"/>
            </w:tcMar>
            <w:vAlign w:val="bottom"/>
            <w:hideMark/>
          </w:tcPr>
          <w:p w14:paraId="0EC3D07D" w14:textId="77777777" w:rsidR="00630850" w:rsidRPr="00BC6AF1" w:rsidRDefault="00630850" w:rsidP="00BC6AF1">
            <w:pPr>
              <w:pStyle w:val="NoSpacing"/>
              <w:jc w:val="center"/>
              <w:rPr>
                <w:rFonts w:cs="Arial"/>
                <w:b/>
                <w:sz w:val="14"/>
                <w:szCs w:val="14"/>
                <w:lang w:val="en-AU" w:eastAsia="en-AU"/>
              </w:rPr>
            </w:pPr>
            <w:r w:rsidRPr="00BC6AF1">
              <w:rPr>
                <w:rFonts w:cs="Arial"/>
                <w:b/>
                <w:sz w:val="14"/>
                <w:szCs w:val="14"/>
                <w:lang w:val="en-AU" w:eastAsia="en-AU"/>
              </w:rPr>
              <w:t>10 seconds</w:t>
            </w:r>
          </w:p>
        </w:tc>
        <w:tc>
          <w:tcPr>
            <w:tcW w:w="0" w:type="auto"/>
            <w:tcBorders>
              <w:top w:val="nil"/>
              <w:left w:val="nil"/>
              <w:bottom w:val="single" w:sz="8" w:space="0" w:color="auto"/>
              <w:right w:val="nil"/>
            </w:tcBorders>
            <w:shd w:val="clear" w:color="auto" w:fill="auto"/>
            <w:noWrap/>
            <w:tcMar>
              <w:top w:w="15" w:type="dxa"/>
              <w:left w:w="62" w:type="dxa"/>
              <w:bottom w:w="0" w:type="dxa"/>
              <w:right w:w="62" w:type="dxa"/>
            </w:tcMar>
            <w:vAlign w:val="bottom"/>
            <w:hideMark/>
          </w:tcPr>
          <w:p w14:paraId="0921FD77" w14:textId="77777777" w:rsidR="00630850" w:rsidRPr="00BC6AF1" w:rsidRDefault="00630850" w:rsidP="00BC6AF1">
            <w:pPr>
              <w:pStyle w:val="NoSpacing"/>
              <w:jc w:val="center"/>
              <w:rPr>
                <w:rFonts w:cs="Arial"/>
                <w:b/>
                <w:sz w:val="14"/>
                <w:szCs w:val="14"/>
                <w:lang w:val="en-AU" w:eastAsia="en-AU"/>
              </w:rPr>
            </w:pPr>
            <w:r w:rsidRPr="00BC6AF1">
              <w:rPr>
                <w:rFonts w:cs="Arial"/>
                <w:b/>
                <w:sz w:val="14"/>
                <w:szCs w:val="14"/>
                <w:lang w:val="en-AU" w:eastAsia="en-AU"/>
              </w:rPr>
              <w:t>1 second</w:t>
            </w:r>
          </w:p>
        </w:tc>
        <w:tc>
          <w:tcPr>
            <w:tcW w:w="0" w:type="auto"/>
            <w:tcBorders>
              <w:top w:val="nil"/>
              <w:left w:val="nil"/>
              <w:bottom w:val="single" w:sz="8" w:space="0" w:color="auto"/>
              <w:right w:val="single" w:sz="8" w:space="0" w:color="auto"/>
            </w:tcBorders>
            <w:shd w:val="clear" w:color="auto" w:fill="auto"/>
            <w:noWrap/>
            <w:tcMar>
              <w:top w:w="15" w:type="dxa"/>
              <w:left w:w="62" w:type="dxa"/>
              <w:bottom w:w="0" w:type="dxa"/>
              <w:right w:w="62" w:type="dxa"/>
            </w:tcMar>
            <w:vAlign w:val="bottom"/>
            <w:hideMark/>
          </w:tcPr>
          <w:p w14:paraId="78057E97" w14:textId="77777777" w:rsidR="00630850" w:rsidRPr="00BC6AF1" w:rsidRDefault="00630850" w:rsidP="00BC6AF1">
            <w:pPr>
              <w:pStyle w:val="NoSpacing"/>
              <w:jc w:val="center"/>
              <w:rPr>
                <w:rFonts w:cs="Arial"/>
                <w:b/>
                <w:sz w:val="14"/>
                <w:szCs w:val="14"/>
                <w:lang w:val="en-AU" w:eastAsia="en-AU"/>
              </w:rPr>
            </w:pPr>
            <w:r w:rsidRPr="00BC6AF1">
              <w:rPr>
                <w:rFonts w:cs="Arial"/>
                <w:b/>
                <w:sz w:val="14"/>
                <w:szCs w:val="14"/>
                <w:lang w:val="en-AU" w:eastAsia="en-AU"/>
              </w:rPr>
              <w:t>10 seconds</w:t>
            </w:r>
          </w:p>
        </w:tc>
        <w:tc>
          <w:tcPr>
            <w:tcW w:w="0" w:type="auto"/>
            <w:tcBorders>
              <w:top w:val="nil"/>
              <w:left w:val="nil"/>
              <w:bottom w:val="single" w:sz="8" w:space="0" w:color="auto"/>
              <w:right w:val="single" w:sz="8" w:space="0" w:color="auto"/>
            </w:tcBorders>
            <w:shd w:val="clear" w:color="auto" w:fill="auto"/>
            <w:noWrap/>
            <w:tcMar>
              <w:top w:w="15" w:type="dxa"/>
              <w:left w:w="62" w:type="dxa"/>
              <w:bottom w:w="0" w:type="dxa"/>
              <w:right w:w="62" w:type="dxa"/>
            </w:tcMar>
            <w:vAlign w:val="bottom"/>
            <w:hideMark/>
          </w:tcPr>
          <w:p w14:paraId="05D66830" w14:textId="77777777" w:rsidR="00630850" w:rsidRPr="00BC6AF1" w:rsidRDefault="00630850" w:rsidP="00BC6AF1">
            <w:pPr>
              <w:pStyle w:val="NoSpacing"/>
              <w:jc w:val="center"/>
              <w:rPr>
                <w:rFonts w:cs="Arial"/>
                <w:b/>
                <w:sz w:val="14"/>
                <w:szCs w:val="14"/>
                <w:lang w:val="en-AU" w:eastAsia="en-AU"/>
              </w:rPr>
            </w:pPr>
            <w:r w:rsidRPr="00BC6AF1">
              <w:rPr>
                <w:rFonts w:cs="Arial"/>
                <w:b/>
                <w:sz w:val="14"/>
                <w:szCs w:val="14"/>
                <w:lang w:val="en-AU" w:eastAsia="en-AU"/>
              </w:rPr>
              <w:t>1 s or 10 s</w:t>
            </w:r>
          </w:p>
        </w:tc>
      </w:tr>
      <w:tr w:rsidR="00630850" w:rsidRPr="00286A88" w14:paraId="43089D08" w14:textId="77777777" w:rsidTr="00997DF8">
        <w:trPr>
          <w:trHeight w:val="860"/>
        </w:trPr>
        <w:tc>
          <w:tcPr>
            <w:tcW w:w="840" w:type="dxa"/>
            <w:tcBorders>
              <w:top w:val="nil"/>
              <w:left w:val="single" w:sz="8" w:space="0" w:color="auto"/>
              <w:bottom w:val="nil"/>
              <w:right w:val="nil"/>
            </w:tcBorders>
            <w:shd w:val="clear" w:color="auto" w:fill="auto"/>
            <w:tcMar>
              <w:top w:w="15" w:type="dxa"/>
              <w:left w:w="62" w:type="dxa"/>
              <w:bottom w:w="0" w:type="dxa"/>
              <w:right w:w="62" w:type="dxa"/>
            </w:tcMar>
            <w:vAlign w:val="center"/>
            <w:hideMark/>
          </w:tcPr>
          <w:p w14:paraId="5A987EC0" w14:textId="77777777" w:rsidR="00630850" w:rsidRPr="00BC6AF1" w:rsidRDefault="00630850" w:rsidP="00BC6AF1">
            <w:pPr>
              <w:pStyle w:val="NoSpacing"/>
              <w:jc w:val="center"/>
              <w:rPr>
                <w:rFonts w:cs="Arial"/>
                <w:b/>
                <w:sz w:val="14"/>
                <w:szCs w:val="14"/>
                <w:lang w:val="en-AU" w:eastAsia="en-AU"/>
              </w:rPr>
            </w:pPr>
            <w:r w:rsidRPr="00BC6AF1">
              <w:rPr>
                <w:rFonts w:cs="Arial"/>
                <w:b/>
                <w:sz w:val="14"/>
                <w:szCs w:val="14"/>
                <w:lang w:val="en-AU" w:eastAsia="en-AU"/>
              </w:rPr>
              <w:t>80 mA</w:t>
            </w:r>
          </w:p>
        </w:tc>
        <w:tc>
          <w:tcPr>
            <w:tcW w:w="1360" w:type="dxa"/>
            <w:tcBorders>
              <w:top w:val="single" w:sz="8" w:space="0" w:color="auto"/>
              <w:left w:val="single" w:sz="8" w:space="0" w:color="auto"/>
              <w:bottom w:val="nil"/>
              <w:right w:val="dotted" w:sz="4" w:space="0" w:color="auto"/>
            </w:tcBorders>
            <w:shd w:val="clear" w:color="000000" w:fill="D9D9D9"/>
            <w:tcMar>
              <w:top w:w="0" w:type="dxa"/>
              <w:left w:w="62" w:type="dxa"/>
              <w:bottom w:w="0" w:type="dxa"/>
              <w:right w:w="62" w:type="dxa"/>
            </w:tcMar>
            <w:vAlign w:val="center"/>
            <w:hideMark/>
          </w:tcPr>
          <w:p w14:paraId="27437DB8" w14:textId="77777777" w:rsidR="00630850" w:rsidRPr="00BC6AF1" w:rsidRDefault="00630850" w:rsidP="00BC6AF1">
            <w:pPr>
              <w:pStyle w:val="NoSpacing"/>
              <w:jc w:val="center"/>
              <w:rPr>
                <w:rFonts w:cs="Arial"/>
                <w:color w:val="auto"/>
                <w:sz w:val="14"/>
                <w:szCs w:val="14"/>
                <w:lang w:val="en-AU" w:eastAsia="en-AU"/>
              </w:rPr>
            </w:pPr>
            <w:r w:rsidRPr="00BC6AF1">
              <w:rPr>
                <w:rFonts w:cs="Arial"/>
                <w:color w:val="auto"/>
                <w:sz w:val="14"/>
                <w:szCs w:val="14"/>
                <w:lang w:val="en-AU" w:eastAsia="en-AU"/>
              </w:rPr>
              <w:t>inadequate</w:t>
            </w:r>
            <w:r w:rsidRPr="00BC6AF1">
              <w:rPr>
                <w:rFonts w:cs="Arial"/>
                <w:color w:val="auto"/>
                <w:sz w:val="14"/>
                <w:szCs w:val="14"/>
                <w:lang w:val="en-AU" w:eastAsia="en-AU"/>
              </w:rPr>
              <w:br/>
              <w:t>stun</w:t>
            </w:r>
          </w:p>
        </w:tc>
        <w:tc>
          <w:tcPr>
            <w:tcW w:w="1360" w:type="dxa"/>
            <w:tcBorders>
              <w:top w:val="nil"/>
              <w:left w:val="dotted" w:sz="4" w:space="0" w:color="auto"/>
              <w:bottom w:val="nil"/>
              <w:right w:val="single" w:sz="8" w:space="0" w:color="auto"/>
            </w:tcBorders>
            <w:shd w:val="clear" w:color="000000" w:fill="D9D9D9"/>
            <w:tcMar>
              <w:top w:w="0" w:type="dxa"/>
              <w:left w:w="62" w:type="dxa"/>
              <w:bottom w:w="0" w:type="dxa"/>
              <w:right w:w="62" w:type="dxa"/>
            </w:tcMar>
            <w:vAlign w:val="center"/>
            <w:hideMark/>
          </w:tcPr>
          <w:p w14:paraId="633AB9E2" w14:textId="77777777" w:rsidR="00630850" w:rsidRPr="00BC6AF1" w:rsidRDefault="00630850" w:rsidP="00BC6AF1">
            <w:pPr>
              <w:pStyle w:val="NoSpacing"/>
              <w:jc w:val="center"/>
              <w:rPr>
                <w:rFonts w:cs="Arial"/>
                <w:color w:val="auto"/>
                <w:sz w:val="14"/>
                <w:szCs w:val="14"/>
                <w:lang w:val="en-AU" w:eastAsia="en-AU"/>
              </w:rPr>
            </w:pPr>
            <w:r w:rsidRPr="00BC6AF1">
              <w:rPr>
                <w:rFonts w:cs="Arial"/>
                <w:color w:val="auto"/>
                <w:sz w:val="14"/>
                <w:szCs w:val="14"/>
                <w:lang w:val="en-AU" w:eastAsia="en-AU"/>
              </w:rPr>
              <w:t>inadequate</w:t>
            </w:r>
            <w:r w:rsidRPr="00BC6AF1">
              <w:rPr>
                <w:rFonts w:cs="Arial"/>
                <w:color w:val="auto"/>
                <w:sz w:val="14"/>
                <w:szCs w:val="14"/>
                <w:lang w:val="en-AU" w:eastAsia="en-AU"/>
              </w:rPr>
              <w:br/>
              <w:t>stun</w:t>
            </w:r>
          </w:p>
        </w:tc>
        <w:tc>
          <w:tcPr>
            <w:tcW w:w="1360" w:type="dxa"/>
            <w:tcBorders>
              <w:top w:val="single" w:sz="8" w:space="0" w:color="auto"/>
              <w:left w:val="nil"/>
              <w:bottom w:val="nil"/>
              <w:right w:val="dotted" w:sz="4" w:space="0" w:color="auto"/>
            </w:tcBorders>
            <w:shd w:val="clear" w:color="000000" w:fill="D9D9D9"/>
            <w:tcMar>
              <w:top w:w="0" w:type="dxa"/>
              <w:left w:w="62" w:type="dxa"/>
              <w:bottom w:w="0" w:type="dxa"/>
              <w:right w:w="62" w:type="dxa"/>
            </w:tcMar>
            <w:vAlign w:val="center"/>
            <w:hideMark/>
          </w:tcPr>
          <w:p w14:paraId="5EF9FC39" w14:textId="77777777" w:rsidR="00630850" w:rsidRPr="00BC6AF1" w:rsidRDefault="00630850" w:rsidP="00BC6AF1">
            <w:pPr>
              <w:pStyle w:val="NoSpacing"/>
              <w:jc w:val="center"/>
              <w:rPr>
                <w:rFonts w:cs="Arial"/>
                <w:color w:val="auto"/>
                <w:sz w:val="14"/>
                <w:szCs w:val="14"/>
                <w:lang w:val="en-AU" w:eastAsia="en-AU"/>
              </w:rPr>
            </w:pPr>
            <w:r w:rsidRPr="00BC6AF1">
              <w:rPr>
                <w:rFonts w:cs="Arial"/>
                <w:color w:val="auto"/>
                <w:sz w:val="14"/>
                <w:szCs w:val="14"/>
                <w:lang w:val="en-AU" w:eastAsia="en-AU"/>
              </w:rPr>
              <w:t>inadequate</w:t>
            </w:r>
            <w:r w:rsidRPr="00BC6AF1">
              <w:rPr>
                <w:rFonts w:cs="Arial"/>
                <w:color w:val="auto"/>
                <w:sz w:val="14"/>
                <w:szCs w:val="14"/>
                <w:lang w:val="en-AU" w:eastAsia="en-AU"/>
              </w:rPr>
              <w:br/>
              <w:t>stun</w:t>
            </w:r>
          </w:p>
        </w:tc>
        <w:tc>
          <w:tcPr>
            <w:tcW w:w="1360" w:type="dxa"/>
            <w:tcBorders>
              <w:top w:val="nil"/>
              <w:left w:val="dotted" w:sz="4" w:space="0" w:color="auto"/>
              <w:bottom w:val="nil"/>
              <w:right w:val="single" w:sz="8" w:space="0" w:color="auto"/>
            </w:tcBorders>
            <w:shd w:val="clear" w:color="000000" w:fill="D9D9D9"/>
            <w:tcMar>
              <w:top w:w="0" w:type="dxa"/>
              <w:left w:w="62" w:type="dxa"/>
              <w:bottom w:w="0" w:type="dxa"/>
              <w:right w:w="62" w:type="dxa"/>
            </w:tcMar>
            <w:vAlign w:val="center"/>
            <w:hideMark/>
          </w:tcPr>
          <w:p w14:paraId="374E10D7" w14:textId="77777777" w:rsidR="00630850" w:rsidRPr="00BC6AF1" w:rsidRDefault="00630850" w:rsidP="00BC6AF1">
            <w:pPr>
              <w:pStyle w:val="NoSpacing"/>
              <w:jc w:val="center"/>
              <w:rPr>
                <w:rFonts w:cs="Arial"/>
                <w:color w:val="auto"/>
                <w:sz w:val="14"/>
                <w:szCs w:val="14"/>
                <w:lang w:val="en-AU" w:eastAsia="en-AU"/>
              </w:rPr>
            </w:pPr>
            <w:r w:rsidRPr="00BC6AF1">
              <w:rPr>
                <w:rFonts w:cs="Arial"/>
                <w:color w:val="auto"/>
                <w:sz w:val="14"/>
                <w:szCs w:val="14"/>
                <w:lang w:val="en-AU" w:eastAsia="en-AU"/>
              </w:rPr>
              <w:t>inadequate</w:t>
            </w:r>
            <w:r w:rsidRPr="00BC6AF1">
              <w:rPr>
                <w:rFonts w:cs="Arial"/>
                <w:color w:val="auto"/>
                <w:sz w:val="14"/>
                <w:szCs w:val="14"/>
                <w:lang w:val="en-AU" w:eastAsia="en-AU"/>
              </w:rPr>
              <w:br/>
              <w:t>stun</w:t>
            </w:r>
          </w:p>
        </w:tc>
        <w:tc>
          <w:tcPr>
            <w:tcW w:w="1360" w:type="dxa"/>
            <w:tcBorders>
              <w:top w:val="single" w:sz="8" w:space="0" w:color="auto"/>
              <w:left w:val="nil"/>
              <w:bottom w:val="nil"/>
              <w:right w:val="dotted" w:sz="4" w:space="0" w:color="auto"/>
            </w:tcBorders>
            <w:shd w:val="clear" w:color="000000" w:fill="D9D9D9"/>
            <w:tcMar>
              <w:top w:w="0" w:type="dxa"/>
              <w:left w:w="62" w:type="dxa"/>
              <w:bottom w:w="0" w:type="dxa"/>
              <w:right w:w="62" w:type="dxa"/>
            </w:tcMar>
            <w:vAlign w:val="center"/>
            <w:hideMark/>
          </w:tcPr>
          <w:p w14:paraId="48E8E4CB" w14:textId="77777777" w:rsidR="00630850" w:rsidRPr="00BC6AF1" w:rsidRDefault="00630850" w:rsidP="00BC6AF1">
            <w:pPr>
              <w:pStyle w:val="NoSpacing"/>
              <w:jc w:val="center"/>
              <w:rPr>
                <w:rFonts w:cs="Arial"/>
                <w:color w:val="auto"/>
                <w:sz w:val="14"/>
                <w:szCs w:val="14"/>
                <w:lang w:val="en-AU" w:eastAsia="en-AU"/>
              </w:rPr>
            </w:pPr>
            <w:r w:rsidRPr="00BC6AF1">
              <w:rPr>
                <w:rFonts w:cs="Arial"/>
                <w:color w:val="auto"/>
                <w:sz w:val="14"/>
                <w:szCs w:val="14"/>
                <w:lang w:val="en-AU" w:eastAsia="en-AU"/>
              </w:rPr>
              <w:t>inadequate</w:t>
            </w:r>
            <w:r w:rsidRPr="00BC6AF1">
              <w:rPr>
                <w:rFonts w:cs="Arial"/>
                <w:color w:val="auto"/>
                <w:sz w:val="14"/>
                <w:szCs w:val="14"/>
                <w:lang w:val="en-AU" w:eastAsia="en-AU"/>
              </w:rPr>
              <w:br/>
              <w:t>stun</w:t>
            </w:r>
          </w:p>
        </w:tc>
        <w:tc>
          <w:tcPr>
            <w:tcW w:w="1360" w:type="dxa"/>
            <w:tcBorders>
              <w:top w:val="nil"/>
              <w:left w:val="dotted" w:sz="4" w:space="0" w:color="auto"/>
              <w:bottom w:val="nil"/>
              <w:right w:val="single" w:sz="8" w:space="0" w:color="auto"/>
            </w:tcBorders>
            <w:shd w:val="clear" w:color="000000" w:fill="D9D9D9"/>
            <w:tcMar>
              <w:top w:w="0" w:type="dxa"/>
              <w:left w:w="62" w:type="dxa"/>
              <w:bottom w:w="0" w:type="dxa"/>
              <w:right w:w="62" w:type="dxa"/>
            </w:tcMar>
            <w:vAlign w:val="center"/>
            <w:hideMark/>
          </w:tcPr>
          <w:p w14:paraId="299E0DAC" w14:textId="77777777" w:rsidR="00630850" w:rsidRPr="00BC6AF1" w:rsidRDefault="00630850" w:rsidP="00BC6AF1">
            <w:pPr>
              <w:pStyle w:val="NoSpacing"/>
              <w:jc w:val="center"/>
              <w:rPr>
                <w:rFonts w:cs="Arial"/>
                <w:color w:val="auto"/>
                <w:sz w:val="14"/>
                <w:szCs w:val="14"/>
                <w:lang w:val="en-AU" w:eastAsia="en-AU"/>
              </w:rPr>
            </w:pPr>
            <w:r w:rsidRPr="00BC6AF1">
              <w:rPr>
                <w:rFonts w:cs="Arial"/>
                <w:color w:val="auto"/>
                <w:sz w:val="14"/>
                <w:szCs w:val="14"/>
                <w:lang w:val="en-AU" w:eastAsia="en-AU"/>
              </w:rPr>
              <w:t>inadequate</w:t>
            </w:r>
            <w:r w:rsidRPr="00BC6AF1">
              <w:rPr>
                <w:rFonts w:cs="Arial"/>
                <w:color w:val="auto"/>
                <w:sz w:val="14"/>
                <w:szCs w:val="14"/>
                <w:lang w:val="en-AU" w:eastAsia="en-AU"/>
              </w:rPr>
              <w:br/>
              <w:t>stun</w:t>
            </w:r>
          </w:p>
        </w:tc>
        <w:tc>
          <w:tcPr>
            <w:tcW w:w="880" w:type="dxa"/>
            <w:tcBorders>
              <w:top w:val="nil"/>
              <w:left w:val="nil"/>
              <w:bottom w:val="nil"/>
              <w:right w:val="single" w:sz="8" w:space="0" w:color="auto"/>
            </w:tcBorders>
            <w:shd w:val="clear" w:color="000000" w:fill="D9D9D9"/>
            <w:tcMar>
              <w:top w:w="0" w:type="dxa"/>
              <w:left w:w="62" w:type="dxa"/>
              <w:bottom w:w="0" w:type="dxa"/>
              <w:right w:w="62" w:type="dxa"/>
            </w:tcMar>
            <w:vAlign w:val="center"/>
            <w:hideMark/>
          </w:tcPr>
          <w:p w14:paraId="2F7F55BA" w14:textId="77777777" w:rsidR="00630850" w:rsidRPr="00BC6AF1" w:rsidRDefault="00630850" w:rsidP="00BC6AF1">
            <w:pPr>
              <w:pStyle w:val="NoSpacing"/>
              <w:jc w:val="center"/>
              <w:rPr>
                <w:rFonts w:cs="Arial"/>
                <w:color w:val="auto"/>
                <w:sz w:val="14"/>
                <w:szCs w:val="14"/>
                <w:lang w:val="en-AU" w:eastAsia="en-AU"/>
              </w:rPr>
            </w:pPr>
            <w:r w:rsidRPr="00BC6AF1">
              <w:rPr>
                <w:rFonts w:cs="Arial"/>
                <w:color w:val="auto"/>
                <w:sz w:val="14"/>
                <w:szCs w:val="14"/>
                <w:lang w:val="en-AU" w:eastAsia="en-AU"/>
              </w:rPr>
              <w:t>inadequate</w:t>
            </w:r>
            <w:r w:rsidRPr="00BC6AF1">
              <w:rPr>
                <w:rFonts w:cs="Arial"/>
                <w:color w:val="auto"/>
                <w:sz w:val="14"/>
                <w:szCs w:val="14"/>
                <w:lang w:val="en-AU" w:eastAsia="en-AU"/>
              </w:rPr>
              <w:br/>
              <w:t>stun</w:t>
            </w:r>
          </w:p>
        </w:tc>
      </w:tr>
      <w:tr w:rsidR="00630850" w:rsidRPr="00286A88" w14:paraId="08101A51" w14:textId="77777777" w:rsidTr="00997DF8">
        <w:trPr>
          <w:trHeight w:val="860"/>
        </w:trPr>
        <w:tc>
          <w:tcPr>
            <w:tcW w:w="840" w:type="dxa"/>
            <w:tcBorders>
              <w:top w:val="nil"/>
              <w:left w:val="single" w:sz="8" w:space="0" w:color="auto"/>
              <w:bottom w:val="nil"/>
              <w:right w:val="nil"/>
            </w:tcBorders>
            <w:shd w:val="clear" w:color="auto" w:fill="auto"/>
            <w:tcMar>
              <w:top w:w="15" w:type="dxa"/>
              <w:left w:w="62" w:type="dxa"/>
              <w:bottom w:w="0" w:type="dxa"/>
              <w:right w:w="62" w:type="dxa"/>
            </w:tcMar>
            <w:vAlign w:val="center"/>
            <w:hideMark/>
          </w:tcPr>
          <w:p w14:paraId="3C7D1B4A" w14:textId="77777777" w:rsidR="00630850" w:rsidRPr="00BC6AF1" w:rsidRDefault="00630850" w:rsidP="00BC6AF1">
            <w:pPr>
              <w:pStyle w:val="NoSpacing"/>
              <w:jc w:val="center"/>
              <w:rPr>
                <w:rFonts w:cs="Arial"/>
                <w:b/>
                <w:sz w:val="14"/>
                <w:szCs w:val="14"/>
                <w:lang w:val="en-AU" w:eastAsia="en-AU"/>
              </w:rPr>
            </w:pPr>
            <w:r w:rsidRPr="00BC6AF1">
              <w:rPr>
                <w:rFonts w:cs="Arial"/>
                <w:b/>
                <w:sz w:val="14"/>
                <w:szCs w:val="14"/>
                <w:lang w:val="en-AU" w:eastAsia="en-AU"/>
              </w:rPr>
              <w:t>100 mA</w:t>
            </w:r>
          </w:p>
        </w:tc>
        <w:tc>
          <w:tcPr>
            <w:tcW w:w="1360" w:type="dxa"/>
            <w:tcBorders>
              <w:top w:val="nil"/>
              <w:left w:val="single" w:sz="8" w:space="0" w:color="auto"/>
              <w:bottom w:val="nil"/>
              <w:right w:val="dotted" w:sz="4" w:space="0" w:color="auto"/>
            </w:tcBorders>
            <w:shd w:val="clear" w:color="auto" w:fill="auto"/>
            <w:tcMar>
              <w:top w:w="0" w:type="dxa"/>
              <w:left w:w="62" w:type="dxa"/>
              <w:bottom w:w="0" w:type="dxa"/>
              <w:right w:w="62" w:type="dxa"/>
            </w:tcMar>
            <w:vAlign w:val="center"/>
            <w:hideMark/>
          </w:tcPr>
          <w:p w14:paraId="268CC87E" w14:textId="77777777" w:rsidR="00BC6AF1" w:rsidRDefault="00630850" w:rsidP="00BC6AF1">
            <w:pPr>
              <w:pStyle w:val="NoSpacing"/>
              <w:rPr>
                <w:rFonts w:cs="Arial"/>
                <w:sz w:val="14"/>
                <w:szCs w:val="14"/>
                <w:lang w:val="en-AU" w:eastAsia="en-AU"/>
              </w:rPr>
            </w:pPr>
            <w:r w:rsidRPr="00BC6AF1">
              <w:rPr>
                <w:rFonts w:cs="Arial"/>
                <w:sz w:val="14"/>
                <w:szCs w:val="14"/>
                <w:lang w:val="en-AU" w:eastAsia="en-AU"/>
              </w:rPr>
              <w:t>&gt; 80%</w:t>
            </w:r>
            <w:r w:rsidR="00BC6AF1">
              <w:rPr>
                <w:rFonts w:cs="Arial"/>
                <w:sz w:val="14"/>
                <w:szCs w:val="14"/>
                <w:lang w:val="en-AU" w:eastAsia="en-AU"/>
              </w:rPr>
              <w:t xml:space="preserve"> unconscious No recovery within</w:t>
            </w:r>
          </w:p>
          <w:p w14:paraId="01F43EC0" w14:textId="77777777" w:rsidR="00630850" w:rsidRPr="00BC6AF1" w:rsidRDefault="00630850" w:rsidP="00BC6AF1">
            <w:pPr>
              <w:pStyle w:val="NoSpacing"/>
              <w:rPr>
                <w:rFonts w:cs="Arial"/>
                <w:sz w:val="14"/>
                <w:szCs w:val="14"/>
                <w:lang w:val="en-AU" w:eastAsia="en-AU"/>
              </w:rPr>
            </w:pPr>
            <w:r w:rsidRPr="00BC6AF1">
              <w:rPr>
                <w:rFonts w:cs="Arial"/>
                <w:sz w:val="14"/>
                <w:szCs w:val="14"/>
                <w:lang w:val="en-AU" w:eastAsia="en-AU"/>
              </w:rPr>
              <w:t>8 s</w:t>
            </w:r>
          </w:p>
        </w:tc>
        <w:tc>
          <w:tcPr>
            <w:tcW w:w="1360" w:type="dxa"/>
            <w:tcBorders>
              <w:top w:val="nil"/>
              <w:left w:val="dotted" w:sz="4" w:space="0" w:color="auto"/>
              <w:bottom w:val="nil"/>
              <w:right w:val="single" w:sz="8" w:space="0" w:color="auto"/>
            </w:tcBorders>
            <w:shd w:val="clear" w:color="auto" w:fill="auto"/>
            <w:tcMar>
              <w:top w:w="0" w:type="dxa"/>
              <w:left w:w="28" w:type="dxa"/>
              <w:bottom w:w="0" w:type="dxa"/>
              <w:right w:w="28" w:type="dxa"/>
            </w:tcMar>
            <w:vAlign w:val="center"/>
            <w:hideMark/>
          </w:tcPr>
          <w:p w14:paraId="12180F57" w14:textId="77777777" w:rsidR="00630850" w:rsidRPr="00BC6AF1" w:rsidRDefault="00630850" w:rsidP="00BC6AF1">
            <w:pPr>
              <w:pStyle w:val="NoSpacing"/>
              <w:rPr>
                <w:rFonts w:cs="Arial"/>
                <w:sz w:val="14"/>
                <w:szCs w:val="14"/>
                <w:lang w:val="en-AU" w:eastAsia="en-AU"/>
              </w:rPr>
            </w:pPr>
            <w:r w:rsidRPr="00BC6AF1">
              <w:rPr>
                <w:rFonts w:cs="Arial"/>
                <w:sz w:val="14"/>
                <w:szCs w:val="14"/>
                <w:lang w:val="en-AU" w:eastAsia="en-AU"/>
              </w:rPr>
              <w:t>85-90% unconscious Significant recovery within 40 s</w:t>
            </w:r>
          </w:p>
        </w:tc>
        <w:tc>
          <w:tcPr>
            <w:tcW w:w="1360" w:type="dxa"/>
            <w:tcBorders>
              <w:top w:val="nil"/>
              <w:left w:val="nil"/>
              <w:right w:val="dotted" w:sz="4" w:space="0" w:color="auto"/>
            </w:tcBorders>
            <w:shd w:val="clear" w:color="auto" w:fill="auto"/>
            <w:tcMar>
              <w:top w:w="0" w:type="dxa"/>
              <w:left w:w="62" w:type="dxa"/>
              <w:bottom w:w="0" w:type="dxa"/>
              <w:right w:w="62" w:type="dxa"/>
            </w:tcMar>
            <w:vAlign w:val="center"/>
            <w:hideMark/>
          </w:tcPr>
          <w:p w14:paraId="401129F1" w14:textId="77777777" w:rsidR="00BC6AF1" w:rsidRPr="00BC6AF1" w:rsidRDefault="00630850" w:rsidP="00BC6AF1">
            <w:pPr>
              <w:pStyle w:val="NoSpacing"/>
              <w:rPr>
                <w:rFonts w:cs="Arial"/>
                <w:sz w:val="14"/>
                <w:szCs w:val="14"/>
                <w:lang w:val="en-AU" w:eastAsia="en-AU"/>
              </w:rPr>
            </w:pPr>
            <w:r w:rsidRPr="00BC6AF1">
              <w:rPr>
                <w:rFonts w:cs="Arial"/>
                <w:sz w:val="14"/>
                <w:szCs w:val="14"/>
                <w:lang w:val="en-AU" w:eastAsia="en-AU"/>
              </w:rPr>
              <w:t>&gt; 80%</w:t>
            </w:r>
            <w:r w:rsidR="00BC6AF1" w:rsidRPr="00BC6AF1">
              <w:rPr>
                <w:rFonts w:cs="Arial"/>
                <w:sz w:val="14"/>
                <w:szCs w:val="14"/>
                <w:lang w:val="en-AU" w:eastAsia="en-AU"/>
              </w:rPr>
              <w:t xml:space="preserve"> unconscious No recovery within</w:t>
            </w:r>
          </w:p>
          <w:p w14:paraId="6D82C8E8" w14:textId="77777777" w:rsidR="00630850" w:rsidRPr="00BC6AF1" w:rsidRDefault="00630850" w:rsidP="00BC6AF1">
            <w:pPr>
              <w:pStyle w:val="NoSpacing"/>
              <w:rPr>
                <w:rFonts w:cs="Arial"/>
                <w:sz w:val="14"/>
                <w:szCs w:val="14"/>
                <w:lang w:val="en-AU" w:eastAsia="en-AU"/>
              </w:rPr>
            </w:pPr>
            <w:r w:rsidRPr="00BC6AF1">
              <w:rPr>
                <w:rFonts w:cs="Arial"/>
                <w:sz w:val="14"/>
                <w:szCs w:val="14"/>
                <w:lang w:val="en-AU" w:eastAsia="en-AU"/>
              </w:rPr>
              <w:t>8 s</w:t>
            </w:r>
          </w:p>
        </w:tc>
        <w:tc>
          <w:tcPr>
            <w:tcW w:w="1360" w:type="dxa"/>
            <w:tcBorders>
              <w:top w:val="nil"/>
              <w:left w:val="dotted" w:sz="4" w:space="0" w:color="auto"/>
              <w:bottom w:val="nil"/>
              <w:right w:val="single" w:sz="8" w:space="0" w:color="auto"/>
            </w:tcBorders>
            <w:shd w:val="clear" w:color="auto" w:fill="auto"/>
            <w:tcMar>
              <w:top w:w="0" w:type="dxa"/>
              <w:left w:w="62" w:type="dxa"/>
              <w:bottom w:w="0" w:type="dxa"/>
              <w:right w:w="62" w:type="dxa"/>
            </w:tcMar>
            <w:vAlign w:val="center"/>
            <w:hideMark/>
          </w:tcPr>
          <w:p w14:paraId="4D625BA0" w14:textId="77777777" w:rsidR="00630850" w:rsidRPr="00BC6AF1" w:rsidRDefault="00630850" w:rsidP="00BC6AF1">
            <w:pPr>
              <w:pStyle w:val="NoSpacing"/>
              <w:rPr>
                <w:rFonts w:cs="Arial"/>
                <w:sz w:val="14"/>
                <w:szCs w:val="14"/>
                <w:lang w:val="en-AU" w:eastAsia="en-AU"/>
              </w:rPr>
            </w:pPr>
            <w:r w:rsidRPr="00BC6AF1">
              <w:rPr>
                <w:rFonts w:cs="Arial"/>
                <w:sz w:val="14"/>
                <w:szCs w:val="14"/>
                <w:lang w:val="en-AU" w:eastAsia="en-AU"/>
              </w:rPr>
              <w:t>&lt;85% unconscious Significant recovery within 40 s</w:t>
            </w:r>
          </w:p>
        </w:tc>
        <w:tc>
          <w:tcPr>
            <w:tcW w:w="1360" w:type="dxa"/>
            <w:tcBorders>
              <w:top w:val="nil"/>
              <w:left w:val="nil"/>
              <w:bottom w:val="nil"/>
              <w:right w:val="dotted" w:sz="4" w:space="0" w:color="auto"/>
            </w:tcBorders>
            <w:shd w:val="clear" w:color="000000" w:fill="D9D9D9"/>
            <w:tcMar>
              <w:top w:w="0" w:type="dxa"/>
              <w:left w:w="62" w:type="dxa"/>
              <w:bottom w:w="0" w:type="dxa"/>
              <w:right w:w="62" w:type="dxa"/>
            </w:tcMar>
            <w:vAlign w:val="center"/>
            <w:hideMark/>
          </w:tcPr>
          <w:p w14:paraId="5161DFF7" w14:textId="77777777" w:rsidR="00630850" w:rsidRPr="00BC6AF1" w:rsidRDefault="00630850" w:rsidP="00BC6AF1">
            <w:pPr>
              <w:pStyle w:val="NoSpacing"/>
              <w:jc w:val="center"/>
              <w:rPr>
                <w:rFonts w:cs="Arial"/>
                <w:color w:val="auto"/>
                <w:sz w:val="14"/>
                <w:szCs w:val="14"/>
                <w:lang w:val="en-AU" w:eastAsia="en-AU"/>
              </w:rPr>
            </w:pPr>
            <w:r w:rsidRPr="00BC6AF1">
              <w:rPr>
                <w:rFonts w:cs="Arial"/>
                <w:color w:val="auto"/>
                <w:sz w:val="14"/>
                <w:szCs w:val="14"/>
                <w:lang w:val="en-AU" w:eastAsia="en-AU"/>
              </w:rPr>
              <w:t>inadequate</w:t>
            </w:r>
            <w:r w:rsidRPr="00BC6AF1">
              <w:rPr>
                <w:rFonts w:cs="Arial"/>
                <w:color w:val="auto"/>
                <w:sz w:val="14"/>
                <w:szCs w:val="14"/>
                <w:lang w:val="en-AU" w:eastAsia="en-AU"/>
              </w:rPr>
              <w:br/>
              <w:t>stun</w:t>
            </w:r>
          </w:p>
        </w:tc>
        <w:tc>
          <w:tcPr>
            <w:tcW w:w="1360" w:type="dxa"/>
            <w:tcBorders>
              <w:top w:val="nil"/>
              <w:left w:val="dotted" w:sz="4" w:space="0" w:color="auto"/>
              <w:bottom w:val="nil"/>
              <w:right w:val="single" w:sz="8" w:space="0" w:color="auto"/>
            </w:tcBorders>
            <w:shd w:val="clear" w:color="000000" w:fill="D9D9D9"/>
            <w:tcMar>
              <w:top w:w="0" w:type="dxa"/>
              <w:left w:w="62" w:type="dxa"/>
              <w:bottom w:w="0" w:type="dxa"/>
              <w:right w:w="62" w:type="dxa"/>
            </w:tcMar>
            <w:vAlign w:val="center"/>
            <w:hideMark/>
          </w:tcPr>
          <w:p w14:paraId="32D9F494" w14:textId="77777777" w:rsidR="00630850" w:rsidRPr="00BC6AF1" w:rsidRDefault="00630850" w:rsidP="00BC6AF1">
            <w:pPr>
              <w:pStyle w:val="NoSpacing"/>
              <w:jc w:val="center"/>
              <w:rPr>
                <w:rFonts w:cs="Arial"/>
                <w:color w:val="auto"/>
                <w:sz w:val="14"/>
                <w:szCs w:val="14"/>
                <w:lang w:val="en-AU" w:eastAsia="en-AU"/>
              </w:rPr>
            </w:pPr>
            <w:r w:rsidRPr="00BC6AF1">
              <w:rPr>
                <w:rFonts w:cs="Arial"/>
                <w:color w:val="auto"/>
                <w:sz w:val="14"/>
                <w:szCs w:val="14"/>
                <w:lang w:val="en-AU" w:eastAsia="en-AU"/>
              </w:rPr>
              <w:t>inadequate</w:t>
            </w:r>
            <w:r w:rsidRPr="00BC6AF1">
              <w:rPr>
                <w:rFonts w:cs="Arial"/>
                <w:color w:val="auto"/>
                <w:sz w:val="14"/>
                <w:szCs w:val="14"/>
                <w:lang w:val="en-AU" w:eastAsia="en-AU"/>
              </w:rPr>
              <w:br/>
              <w:t>stun</w:t>
            </w:r>
          </w:p>
        </w:tc>
        <w:tc>
          <w:tcPr>
            <w:tcW w:w="880" w:type="dxa"/>
            <w:tcBorders>
              <w:top w:val="nil"/>
              <w:left w:val="nil"/>
              <w:bottom w:val="nil"/>
              <w:right w:val="single" w:sz="8" w:space="0" w:color="auto"/>
            </w:tcBorders>
            <w:shd w:val="clear" w:color="000000" w:fill="D9D9D9"/>
            <w:tcMar>
              <w:top w:w="0" w:type="dxa"/>
              <w:left w:w="62" w:type="dxa"/>
              <w:bottom w:w="0" w:type="dxa"/>
              <w:right w:w="62" w:type="dxa"/>
            </w:tcMar>
            <w:vAlign w:val="center"/>
            <w:hideMark/>
          </w:tcPr>
          <w:p w14:paraId="6E88902E" w14:textId="77777777" w:rsidR="00630850" w:rsidRPr="00BC6AF1" w:rsidRDefault="00630850" w:rsidP="00BC6AF1">
            <w:pPr>
              <w:pStyle w:val="NoSpacing"/>
              <w:jc w:val="center"/>
              <w:rPr>
                <w:rFonts w:cs="Arial"/>
                <w:color w:val="auto"/>
                <w:sz w:val="14"/>
                <w:szCs w:val="14"/>
                <w:lang w:val="en-AU" w:eastAsia="en-AU"/>
              </w:rPr>
            </w:pPr>
            <w:r w:rsidRPr="00BC6AF1">
              <w:rPr>
                <w:rFonts w:cs="Arial"/>
                <w:color w:val="auto"/>
                <w:sz w:val="14"/>
                <w:szCs w:val="14"/>
                <w:lang w:val="en-AU" w:eastAsia="en-AU"/>
              </w:rPr>
              <w:t>inadequate</w:t>
            </w:r>
            <w:r w:rsidRPr="00BC6AF1">
              <w:rPr>
                <w:rFonts w:cs="Arial"/>
                <w:color w:val="auto"/>
                <w:sz w:val="14"/>
                <w:szCs w:val="14"/>
                <w:lang w:val="en-AU" w:eastAsia="en-AU"/>
              </w:rPr>
              <w:br/>
              <w:t>stun</w:t>
            </w:r>
          </w:p>
        </w:tc>
      </w:tr>
      <w:tr w:rsidR="00630850" w:rsidRPr="00286A88" w14:paraId="4DEACF57" w14:textId="77777777" w:rsidTr="00997DF8">
        <w:trPr>
          <w:trHeight w:val="860"/>
        </w:trPr>
        <w:tc>
          <w:tcPr>
            <w:tcW w:w="840" w:type="dxa"/>
            <w:tcBorders>
              <w:top w:val="nil"/>
              <w:left w:val="single" w:sz="8" w:space="0" w:color="auto"/>
              <w:bottom w:val="nil"/>
              <w:right w:val="nil"/>
            </w:tcBorders>
            <w:shd w:val="clear" w:color="auto" w:fill="auto"/>
            <w:tcMar>
              <w:top w:w="15" w:type="dxa"/>
              <w:left w:w="62" w:type="dxa"/>
              <w:bottom w:w="0" w:type="dxa"/>
              <w:right w:w="62" w:type="dxa"/>
            </w:tcMar>
            <w:vAlign w:val="center"/>
            <w:hideMark/>
          </w:tcPr>
          <w:p w14:paraId="6CCE5497" w14:textId="77777777" w:rsidR="00630850" w:rsidRPr="00BC6AF1" w:rsidRDefault="00630850" w:rsidP="00BC6AF1">
            <w:pPr>
              <w:pStyle w:val="NoSpacing"/>
              <w:jc w:val="center"/>
              <w:rPr>
                <w:rFonts w:cs="Arial"/>
                <w:b/>
                <w:sz w:val="14"/>
                <w:szCs w:val="14"/>
                <w:lang w:val="en-AU" w:eastAsia="en-AU"/>
              </w:rPr>
            </w:pPr>
            <w:r w:rsidRPr="00BC6AF1">
              <w:rPr>
                <w:rFonts w:cs="Arial"/>
                <w:b/>
                <w:sz w:val="14"/>
                <w:szCs w:val="14"/>
                <w:lang w:val="en-AU" w:eastAsia="en-AU"/>
              </w:rPr>
              <w:t>120 mA</w:t>
            </w:r>
          </w:p>
        </w:tc>
        <w:tc>
          <w:tcPr>
            <w:tcW w:w="1360" w:type="dxa"/>
            <w:tcBorders>
              <w:top w:val="nil"/>
              <w:left w:val="single" w:sz="8" w:space="0" w:color="auto"/>
              <w:bottom w:val="nil"/>
              <w:right w:val="dotted" w:sz="4" w:space="0" w:color="auto"/>
            </w:tcBorders>
            <w:shd w:val="clear" w:color="auto" w:fill="auto"/>
            <w:tcMar>
              <w:top w:w="0" w:type="dxa"/>
              <w:left w:w="62" w:type="dxa"/>
              <w:bottom w:w="0" w:type="dxa"/>
              <w:right w:w="62" w:type="dxa"/>
            </w:tcMar>
            <w:vAlign w:val="center"/>
            <w:hideMark/>
          </w:tcPr>
          <w:p w14:paraId="4290036A" w14:textId="77777777" w:rsidR="00BC6AF1" w:rsidRDefault="00630850" w:rsidP="00BC6AF1">
            <w:pPr>
              <w:pStyle w:val="NoSpacing"/>
              <w:rPr>
                <w:rFonts w:cs="Arial"/>
                <w:sz w:val="14"/>
                <w:szCs w:val="14"/>
                <w:lang w:val="en-AU" w:eastAsia="en-AU"/>
              </w:rPr>
            </w:pPr>
            <w:r w:rsidRPr="00BC6AF1">
              <w:rPr>
                <w:rFonts w:cs="Arial"/>
                <w:sz w:val="14"/>
                <w:szCs w:val="14"/>
                <w:lang w:val="en-AU" w:eastAsia="en-AU"/>
              </w:rPr>
              <w:t>&gt; 80%</w:t>
            </w:r>
            <w:r w:rsidR="00BC6AF1">
              <w:rPr>
                <w:rFonts w:cs="Arial"/>
                <w:sz w:val="14"/>
                <w:szCs w:val="14"/>
                <w:lang w:val="en-AU" w:eastAsia="en-AU"/>
              </w:rPr>
              <w:t xml:space="preserve"> unconscious No recovery within</w:t>
            </w:r>
          </w:p>
          <w:p w14:paraId="29DFDC57" w14:textId="77777777" w:rsidR="00630850" w:rsidRPr="00BC6AF1" w:rsidRDefault="00630850" w:rsidP="00BC6AF1">
            <w:pPr>
              <w:pStyle w:val="NoSpacing"/>
              <w:rPr>
                <w:rFonts w:cs="Arial"/>
                <w:sz w:val="14"/>
                <w:szCs w:val="14"/>
                <w:lang w:val="en-AU" w:eastAsia="en-AU"/>
              </w:rPr>
            </w:pPr>
            <w:r w:rsidRPr="00BC6AF1">
              <w:rPr>
                <w:rFonts w:cs="Arial"/>
                <w:sz w:val="14"/>
                <w:szCs w:val="14"/>
                <w:lang w:val="en-AU" w:eastAsia="en-AU"/>
              </w:rPr>
              <w:t>8 s</w:t>
            </w:r>
          </w:p>
        </w:tc>
        <w:tc>
          <w:tcPr>
            <w:tcW w:w="1360" w:type="dxa"/>
            <w:tcBorders>
              <w:top w:val="nil"/>
              <w:left w:val="dotted" w:sz="4" w:space="0" w:color="auto"/>
              <w:bottom w:val="nil"/>
              <w:right w:val="single" w:sz="8" w:space="0" w:color="auto"/>
            </w:tcBorders>
            <w:shd w:val="clear" w:color="auto" w:fill="auto"/>
            <w:tcMar>
              <w:top w:w="0" w:type="dxa"/>
              <w:left w:w="62" w:type="dxa"/>
              <w:bottom w:w="0" w:type="dxa"/>
              <w:right w:w="62" w:type="dxa"/>
            </w:tcMar>
            <w:vAlign w:val="center"/>
            <w:hideMark/>
          </w:tcPr>
          <w:p w14:paraId="0C14BF7D" w14:textId="77777777" w:rsidR="00630850" w:rsidRPr="00BC6AF1" w:rsidRDefault="00630850" w:rsidP="00BC6AF1">
            <w:pPr>
              <w:pStyle w:val="NoSpacing"/>
              <w:rPr>
                <w:rFonts w:cs="Arial"/>
                <w:sz w:val="14"/>
                <w:szCs w:val="14"/>
                <w:lang w:val="en-AU" w:eastAsia="en-AU"/>
              </w:rPr>
            </w:pPr>
            <w:r w:rsidRPr="00BC6AF1">
              <w:rPr>
                <w:rFonts w:cs="Arial"/>
                <w:sz w:val="14"/>
                <w:szCs w:val="14"/>
                <w:lang w:val="en-AU" w:eastAsia="en-AU"/>
              </w:rPr>
              <w:t>&gt;90% unconscious &lt;20% of birds recover within 40 s</w:t>
            </w:r>
          </w:p>
        </w:tc>
        <w:tc>
          <w:tcPr>
            <w:tcW w:w="1360" w:type="dxa"/>
            <w:tcBorders>
              <w:top w:val="nil"/>
              <w:left w:val="nil"/>
              <w:bottom w:val="nil"/>
              <w:right w:val="dotted" w:sz="4" w:space="0" w:color="auto"/>
            </w:tcBorders>
            <w:shd w:val="clear" w:color="auto" w:fill="auto"/>
            <w:tcMar>
              <w:top w:w="0" w:type="dxa"/>
              <w:left w:w="62" w:type="dxa"/>
              <w:bottom w:w="0" w:type="dxa"/>
              <w:right w:w="62" w:type="dxa"/>
            </w:tcMar>
            <w:vAlign w:val="center"/>
            <w:hideMark/>
          </w:tcPr>
          <w:p w14:paraId="1302D5A3" w14:textId="77777777" w:rsidR="00BC6AF1" w:rsidRDefault="00630850" w:rsidP="00BC6AF1">
            <w:pPr>
              <w:pStyle w:val="NoSpacing"/>
              <w:rPr>
                <w:rFonts w:cs="Arial"/>
                <w:sz w:val="14"/>
                <w:szCs w:val="14"/>
                <w:lang w:val="en-AU" w:eastAsia="en-AU"/>
              </w:rPr>
            </w:pPr>
            <w:r w:rsidRPr="00BC6AF1">
              <w:rPr>
                <w:rFonts w:cs="Arial"/>
                <w:sz w:val="14"/>
                <w:szCs w:val="14"/>
                <w:lang w:val="en-AU" w:eastAsia="en-AU"/>
              </w:rPr>
              <w:t>&gt; 80%</w:t>
            </w:r>
            <w:r w:rsidR="00BC6AF1">
              <w:rPr>
                <w:rFonts w:cs="Arial"/>
                <w:sz w:val="14"/>
                <w:szCs w:val="14"/>
                <w:lang w:val="en-AU" w:eastAsia="en-AU"/>
              </w:rPr>
              <w:t xml:space="preserve"> unconscious No recovery within</w:t>
            </w:r>
          </w:p>
          <w:p w14:paraId="6ECA7CAB" w14:textId="77777777" w:rsidR="00630850" w:rsidRPr="00BC6AF1" w:rsidRDefault="00630850" w:rsidP="00BC6AF1">
            <w:pPr>
              <w:pStyle w:val="NoSpacing"/>
              <w:rPr>
                <w:rFonts w:cs="Arial"/>
                <w:sz w:val="14"/>
                <w:szCs w:val="14"/>
                <w:lang w:val="en-AU" w:eastAsia="en-AU"/>
              </w:rPr>
            </w:pPr>
            <w:r w:rsidRPr="00BC6AF1">
              <w:rPr>
                <w:rFonts w:cs="Arial"/>
                <w:sz w:val="14"/>
                <w:szCs w:val="14"/>
                <w:lang w:val="en-AU" w:eastAsia="en-AU"/>
              </w:rPr>
              <w:t>8 s</w:t>
            </w:r>
          </w:p>
        </w:tc>
        <w:tc>
          <w:tcPr>
            <w:tcW w:w="1360" w:type="dxa"/>
            <w:tcBorders>
              <w:top w:val="nil"/>
              <w:left w:val="dotted" w:sz="4" w:space="0" w:color="auto"/>
              <w:bottom w:val="nil"/>
              <w:right w:val="single" w:sz="8" w:space="0" w:color="auto"/>
            </w:tcBorders>
            <w:shd w:val="clear" w:color="auto" w:fill="auto"/>
            <w:tcMar>
              <w:top w:w="0" w:type="dxa"/>
              <w:left w:w="28" w:type="dxa"/>
              <w:bottom w:w="0" w:type="dxa"/>
              <w:right w:w="28" w:type="dxa"/>
            </w:tcMar>
            <w:vAlign w:val="center"/>
            <w:hideMark/>
          </w:tcPr>
          <w:p w14:paraId="691D9DA3" w14:textId="77777777" w:rsidR="00630850" w:rsidRPr="00BC6AF1" w:rsidRDefault="00630850" w:rsidP="00BC6AF1">
            <w:pPr>
              <w:pStyle w:val="NoSpacing"/>
              <w:rPr>
                <w:rFonts w:cs="Arial"/>
                <w:sz w:val="14"/>
                <w:szCs w:val="14"/>
                <w:lang w:val="en-AU" w:eastAsia="en-AU"/>
              </w:rPr>
            </w:pPr>
            <w:r w:rsidRPr="00BC6AF1">
              <w:rPr>
                <w:rFonts w:cs="Arial"/>
                <w:sz w:val="14"/>
                <w:szCs w:val="14"/>
                <w:lang w:val="en-AU" w:eastAsia="en-AU"/>
              </w:rPr>
              <w:t>85-90% unconscious Significant recovery within 40 s</w:t>
            </w:r>
          </w:p>
        </w:tc>
        <w:tc>
          <w:tcPr>
            <w:tcW w:w="1360" w:type="dxa"/>
            <w:tcBorders>
              <w:top w:val="nil"/>
              <w:left w:val="nil"/>
              <w:bottom w:val="nil"/>
              <w:right w:val="dotted" w:sz="4" w:space="0" w:color="auto"/>
            </w:tcBorders>
            <w:shd w:val="clear" w:color="000000" w:fill="D9D9D9"/>
            <w:tcMar>
              <w:top w:w="0" w:type="dxa"/>
              <w:left w:w="62" w:type="dxa"/>
              <w:bottom w:w="0" w:type="dxa"/>
              <w:right w:w="62" w:type="dxa"/>
            </w:tcMar>
            <w:vAlign w:val="center"/>
            <w:hideMark/>
          </w:tcPr>
          <w:p w14:paraId="30355740" w14:textId="77777777" w:rsidR="00630850" w:rsidRPr="00BC6AF1" w:rsidRDefault="00630850" w:rsidP="00BC6AF1">
            <w:pPr>
              <w:pStyle w:val="NoSpacing"/>
              <w:jc w:val="center"/>
              <w:rPr>
                <w:rFonts w:cs="Arial"/>
                <w:color w:val="auto"/>
                <w:sz w:val="14"/>
                <w:szCs w:val="14"/>
                <w:lang w:val="en-AU" w:eastAsia="en-AU"/>
              </w:rPr>
            </w:pPr>
            <w:r w:rsidRPr="00BC6AF1">
              <w:rPr>
                <w:rFonts w:cs="Arial"/>
                <w:color w:val="auto"/>
                <w:sz w:val="14"/>
                <w:szCs w:val="14"/>
                <w:lang w:val="en-AU" w:eastAsia="en-AU"/>
              </w:rPr>
              <w:t>inadequate</w:t>
            </w:r>
            <w:r w:rsidRPr="00BC6AF1">
              <w:rPr>
                <w:rFonts w:cs="Arial"/>
                <w:color w:val="auto"/>
                <w:sz w:val="14"/>
                <w:szCs w:val="14"/>
                <w:lang w:val="en-AU" w:eastAsia="en-AU"/>
              </w:rPr>
              <w:br/>
              <w:t>stun</w:t>
            </w:r>
          </w:p>
        </w:tc>
        <w:tc>
          <w:tcPr>
            <w:tcW w:w="1360" w:type="dxa"/>
            <w:tcBorders>
              <w:top w:val="nil"/>
              <w:left w:val="dotted" w:sz="4" w:space="0" w:color="auto"/>
              <w:bottom w:val="nil"/>
              <w:right w:val="single" w:sz="8" w:space="0" w:color="auto"/>
            </w:tcBorders>
            <w:shd w:val="clear" w:color="000000" w:fill="D9D9D9"/>
            <w:tcMar>
              <w:top w:w="0" w:type="dxa"/>
              <w:left w:w="62" w:type="dxa"/>
              <w:bottom w:w="0" w:type="dxa"/>
              <w:right w:w="62" w:type="dxa"/>
            </w:tcMar>
            <w:vAlign w:val="center"/>
            <w:hideMark/>
          </w:tcPr>
          <w:p w14:paraId="0960EE59" w14:textId="77777777" w:rsidR="00630850" w:rsidRPr="00BC6AF1" w:rsidRDefault="00630850" w:rsidP="00BC6AF1">
            <w:pPr>
              <w:pStyle w:val="NoSpacing"/>
              <w:jc w:val="center"/>
              <w:rPr>
                <w:rFonts w:cs="Arial"/>
                <w:color w:val="auto"/>
                <w:sz w:val="14"/>
                <w:szCs w:val="14"/>
                <w:lang w:val="en-AU" w:eastAsia="en-AU"/>
              </w:rPr>
            </w:pPr>
            <w:r w:rsidRPr="00BC6AF1">
              <w:rPr>
                <w:rFonts w:cs="Arial"/>
                <w:color w:val="auto"/>
                <w:sz w:val="14"/>
                <w:szCs w:val="14"/>
                <w:lang w:val="en-AU" w:eastAsia="en-AU"/>
              </w:rPr>
              <w:t>inadequate</w:t>
            </w:r>
            <w:r w:rsidRPr="00BC6AF1">
              <w:rPr>
                <w:rFonts w:cs="Arial"/>
                <w:color w:val="auto"/>
                <w:sz w:val="14"/>
                <w:szCs w:val="14"/>
                <w:lang w:val="en-AU" w:eastAsia="en-AU"/>
              </w:rPr>
              <w:br/>
              <w:t>stun</w:t>
            </w:r>
          </w:p>
        </w:tc>
        <w:tc>
          <w:tcPr>
            <w:tcW w:w="880" w:type="dxa"/>
            <w:tcBorders>
              <w:top w:val="nil"/>
              <w:left w:val="nil"/>
              <w:bottom w:val="nil"/>
              <w:right w:val="single" w:sz="8" w:space="0" w:color="auto"/>
            </w:tcBorders>
            <w:shd w:val="clear" w:color="000000" w:fill="D9D9D9"/>
            <w:tcMar>
              <w:top w:w="0" w:type="dxa"/>
              <w:left w:w="62" w:type="dxa"/>
              <w:bottom w:w="0" w:type="dxa"/>
              <w:right w:w="62" w:type="dxa"/>
            </w:tcMar>
            <w:vAlign w:val="center"/>
            <w:hideMark/>
          </w:tcPr>
          <w:p w14:paraId="66A4735E" w14:textId="77777777" w:rsidR="00630850" w:rsidRPr="00BC6AF1" w:rsidRDefault="00630850" w:rsidP="00BC6AF1">
            <w:pPr>
              <w:pStyle w:val="NoSpacing"/>
              <w:jc w:val="center"/>
              <w:rPr>
                <w:rFonts w:cs="Arial"/>
                <w:color w:val="auto"/>
                <w:sz w:val="14"/>
                <w:szCs w:val="14"/>
                <w:lang w:val="en-AU" w:eastAsia="en-AU"/>
              </w:rPr>
            </w:pPr>
            <w:r w:rsidRPr="00BC6AF1">
              <w:rPr>
                <w:rFonts w:cs="Arial"/>
                <w:color w:val="auto"/>
                <w:sz w:val="14"/>
                <w:szCs w:val="14"/>
                <w:lang w:val="en-AU" w:eastAsia="en-AU"/>
              </w:rPr>
              <w:t>inadequate</w:t>
            </w:r>
            <w:r w:rsidRPr="00BC6AF1">
              <w:rPr>
                <w:rFonts w:cs="Arial"/>
                <w:color w:val="auto"/>
                <w:sz w:val="14"/>
                <w:szCs w:val="14"/>
                <w:lang w:val="en-AU" w:eastAsia="en-AU"/>
              </w:rPr>
              <w:br/>
              <w:t>stun</w:t>
            </w:r>
          </w:p>
        </w:tc>
      </w:tr>
      <w:tr w:rsidR="00630850" w:rsidRPr="00286A88" w14:paraId="6D175635" w14:textId="77777777" w:rsidTr="00997DF8">
        <w:trPr>
          <w:trHeight w:val="860"/>
        </w:trPr>
        <w:tc>
          <w:tcPr>
            <w:tcW w:w="840" w:type="dxa"/>
            <w:tcBorders>
              <w:top w:val="nil"/>
              <w:left w:val="single" w:sz="8" w:space="0" w:color="auto"/>
              <w:bottom w:val="nil"/>
              <w:right w:val="nil"/>
            </w:tcBorders>
            <w:shd w:val="clear" w:color="auto" w:fill="auto"/>
            <w:tcMar>
              <w:top w:w="15" w:type="dxa"/>
              <w:left w:w="62" w:type="dxa"/>
              <w:bottom w:w="0" w:type="dxa"/>
              <w:right w:w="62" w:type="dxa"/>
            </w:tcMar>
            <w:vAlign w:val="center"/>
            <w:hideMark/>
          </w:tcPr>
          <w:p w14:paraId="44210F8D" w14:textId="77777777" w:rsidR="00630850" w:rsidRPr="00BC6AF1" w:rsidRDefault="00630850" w:rsidP="00BC6AF1">
            <w:pPr>
              <w:pStyle w:val="NoSpacing"/>
              <w:jc w:val="center"/>
              <w:rPr>
                <w:rFonts w:cs="Arial"/>
                <w:b/>
                <w:sz w:val="14"/>
                <w:szCs w:val="14"/>
                <w:lang w:val="en-AU" w:eastAsia="en-AU"/>
              </w:rPr>
            </w:pPr>
            <w:r w:rsidRPr="00BC6AF1">
              <w:rPr>
                <w:rFonts w:cs="Arial"/>
                <w:b/>
                <w:sz w:val="14"/>
                <w:szCs w:val="14"/>
                <w:lang w:val="en-AU" w:eastAsia="en-AU"/>
              </w:rPr>
              <w:t>150 mA</w:t>
            </w:r>
          </w:p>
        </w:tc>
        <w:tc>
          <w:tcPr>
            <w:tcW w:w="1360" w:type="dxa"/>
            <w:tcBorders>
              <w:top w:val="nil"/>
              <w:left w:val="single" w:sz="8" w:space="0" w:color="auto"/>
              <w:bottom w:val="nil"/>
              <w:right w:val="dotted" w:sz="4" w:space="0" w:color="auto"/>
            </w:tcBorders>
            <w:shd w:val="clear" w:color="auto" w:fill="auto"/>
            <w:tcMar>
              <w:top w:w="0" w:type="dxa"/>
              <w:left w:w="62" w:type="dxa"/>
              <w:bottom w:w="0" w:type="dxa"/>
              <w:right w:w="62" w:type="dxa"/>
            </w:tcMar>
            <w:vAlign w:val="center"/>
            <w:hideMark/>
          </w:tcPr>
          <w:p w14:paraId="435E70FC" w14:textId="77777777" w:rsidR="00BC6AF1" w:rsidRDefault="00630850" w:rsidP="00BC6AF1">
            <w:pPr>
              <w:pStyle w:val="NoSpacing"/>
              <w:rPr>
                <w:rFonts w:cs="Arial"/>
                <w:sz w:val="14"/>
                <w:szCs w:val="14"/>
                <w:lang w:val="en-AU" w:eastAsia="en-AU"/>
              </w:rPr>
            </w:pPr>
            <w:r w:rsidRPr="00BC6AF1">
              <w:rPr>
                <w:rFonts w:cs="Arial"/>
                <w:sz w:val="14"/>
                <w:szCs w:val="14"/>
                <w:lang w:val="en-AU" w:eastAsia="en-AU"/>
              </w:rPr>
              <w:t>&gt; 80%</w:t>
            </w:r>
            <w:r w:rsidR="00BC6AF1">
              <w:rPr>
                <w:rFonts w:cs="Arial"/>
                <w:sz w:val="14"/>
                <w:szCs w:val="14"/>
                <w:lang w:val="en-AU" w:eastAsia="en-AU"/>
              </w:rPr>
              <w:t xml:space="preserve"> unconscious No recovery within</w:t>
            </w:r>
          </w:p>
          <w:p w14:paraId="19214871" w14:textId="77777777" w:rsidR="00630850" w:rsidRPr="00BC6AF1" w:rsidRDefault="00630850" w:rsidP="00BC6AF1">
            <w:pPr>
              <w:pStyle w:val="NoSpacing"/>
              <w:rPr>
                <w:rFonts w:cs="Arial"/>
                <w:sz w:val="14"/>
                <w:szCs w:val="14"/>
                <w:lang w:val="en-AU" w:eastAsia="en-AU"/>
              </w:rPr>
            </w:pPr>
            <w:r w:rsidRPr="00BC6AF1">
              <w:rPr>
                <w:rFonts w:cs="Arial"/>
                <w:sz w:val="14"/>
                <w:szCs w:val="14"/>
                <w:lang w:val="en-AU" w:eastAsia="en-AU"/>
              </w:rPr>
              <w:t>8 s</w:t>
            </w:r>
          </w:p>
        </w:tc>
        <w:tc>
          <w:tcPr>
            <w:tcW w:w="1360" w:type="dxa"/>
            <w:tcBorders>
              <w:top w:val="nil"/>
              <w:left w:val="dotted" w:sz="4" w:space="0" w:color="auto"/>
              <w:bottom w:val="nil"/>
              <w:right w:val="single" w:sz="8" w:space="0" w:color="auto"/>
            </w:tcBorders>
            <w:shd w:val="clear" w:color="auto" w:fill="auto"/>
            <w:tcMar>
              <w:top w:w="0" w:type="dxa"/>
              <w:left w:w="62" w:type="dxa"/>
              <w:bottom w:w="0" w:type="dxa"/>
              <w:right w:w="62" w:type="dxa"/>
            </w:tcMar>
            <w:vAlign w:val="center"/>
            <w:hideMark/>
          </w:tcPr>
          <w:p w14:paraId="2CE4E92C" w14:textId="77777777" w:rsidR="00630850" w:rsidRPr="00BC6AF1" w:rsidRDefault="00630850" w:rsidP="00BC6AF1">
            <w:pPr>
              <w:pStyle w:val="NoSpacing"/>
              <w:rPr>
                <w:rFonts w:cs="Arial"/>
                <w:sz w:val="14"/>
                <w:szCs w:val="14"/>
                <w:lang w:val="en-AU" w:eastAsia="en-AU"/>
              </w:rPr>
            </w:pPr>
            <w:r w:rsidRPr="00BC6AF1">
              <w:rPr>
                <w:rFonts w:cs="Arial"/>
                <w:sz w:val="14"/>
                <w:szCs w:val="14"/>
                <w:lang w:val="en-AU" w:eastAsia="en-AU"/>
              </w:rPr>
              <w:t>&gt;90% unconscious &lt;20% of birds recover within 40 s</w:t>
            </w:r>
          </w:p>
        </w:tc>
        <w:tc>
          <w:tcPr>
            <w:tcW w:w="1360" w:type="dxa"/>
            <w:tcBorders>
              <w:top w:val="nil"/>
              <w:left w:val="nil"/>
              <w:bottom w:val="nil"/>
              <w:right w:val="dotted" w:sz="4" w:space="0" w:color="auto"/>
            </w:tcBorders>
            <w:shd w:val="clear" w:color="auto" w:fill="auto"/>
            <w:tcMar>
              <w:top w:w="0" w:type="dxa"/>
              <w:left w:w="62" w:type="dxa"/>
              <w:bottom w:w="0" w:type="dxa"/>
              <w:right w:w="62" w:type="dxa"/>
            </w:tcMar>
            <w:vAlign w:val="center"/>
            <w:hideMark/>
          </w:tcPr>
          <w:p w14:paraId="64D219D2" w14:textId="77777777" w:rsidR="00BC6AF1" w:rsidRDefault="00630850" w:rsidP="00BC6AF1">
            <w:pPr>
              <w:pStyle w:val="NoSpacing"/>
              <w:rPr>
                <w:rFonts w:cs="Arial"/>
                <w:sz w:val="14"/>
                <w:szCs w:val="14"/>
                <w:lang w:val="en-AU" w:eastAsia="en-AU"/>
              </w:rPr>
            </w:pPr>
            <w:r w:rsidRPr="00BC6AF1">
              <w:rPr>
                <w:rFonts w:cs="Arial"/>
                <w:sz w:val="14"/>
                <w:szCs w:val="14"/>
                <w:lang w:val="en-AU" w:eastAsia="en-AU"/>
              </w:rPr>
              <w:t>&gt; 80%</w:t>
            </w:r>
            <w:r w:rsidR="00BC6AF1">
              <w:rPr>
                <w:rFonts w:cs="Arial"/>
                <w:sz w:val="14"/>
                <w:szCs w:val="14"/>
                <w:lang w:val="en-AU" w:eastAsia="en-AU"/>
              </w:rPr>
              <w:t xml:space="preserve"> unconscious No recovery within</w:t>
            </w:r>
          </w:p>
          <w:p w14:paraId="6B356926" w14:textId="77777777" w:rsidR="00630850" w:rsidRPr="00BC6AF1" w:rsidRDefault="00630850" w:rsidP="00BC6AF1">
            <w:pPr>
              <w:pStyle w:val="NoSpacing"/>
              <w:rPr>
                <w:rFonts w:cs="Arial"/>
                <w:sz w:val="14"/>
                <w:szCs w:val="14"/>
                <w:lang w:val="en-AU" w:eastAsia="en-AU"/>
              </w:rPr>
            </w:pPr>
            <w:r w:rsidRPr="00BC6AF1">
              <w:rPr>
                <w:rFonts w:cs="Arial"/>
                <w:sz w:val="14"/>
                <w:szCs w:val="14"/>
                <w:lang w:val="en-AU" w:eastAsia="en-AU"/>
              </w:rPr>
              <w:t>8 s</w:t>
            </w:r>
          </w:p>
        </w:tc>
        <w:tc>
          <w:tcPr>
            <w:tcW w:w="1360" w:type="dxa"/>
            <w:tcBorders>
              <w:top w:val="nil"/>
              <w:left w:val="dotted" w:sz="4" w:space="0" w:color="auto"/>
              <w:bottom w:val="nil"/>
              <w:right w:val="single" w:sz="8" w:space="0" w:color="auto"/>
            </w:tcBorders>
            <w:shd w:val="clear" w:color="auto" w:fill="auto"/>
            <w:tcMar>
              <w:top w:w="0" w:type="dxa"/>
              <w:left w:w="62" w:type="dxa"/>
              <w:bottom w:w="0" w:type="dxa"/>
              <w:right w:w="62" w:type="dxa"/>
            </w:tcMar>
            <w:vAlign w:val="center"/>
            <w:hideMark/>
          </w:tcPr>
          <w:p w14:paraId="7B0FCB2A" w14:textId="77777777" w:rsidR="00630850" w:rsidRPr="00BC6AF1" w:rsidRDefault="00630850" w:rsidP="00BC6AF1">
            <w:pPr>
              <w:pStyle w:val="NoSpacing"/>
              <w:rPr>
                <w:rFonts w:cs="Arial"/>
                <w:sz w:val="14"/>
                <w:szCs w:val="14"/>
                <w:lang w:val="en-AU" w:eastAsia="en-AU"/>
              </w:rPr>
            </w:pPr>
            <w:r w:rsidRPr="00BC6AF1">
              <w:rPr>
                <w:rFonts w:cs="Arial"/>
                <w:sz w:val="14"/>
                <w:szCs w:val="14"/>
                <w:lang w:val="en-AU" w:eastAsia="en-AU"/>
              </w:rPr>
              <w:t>&gt;90% unconscious &lt;20% of birds recover within 40 s</w:t>
            </w:r>
          </w:p>
        </w:tc>
        <w:tc>
          <w:tcPr>
            <w:tcW w:w="1360" w:type="dxa"/>
            <w:tcBorders>
              <w:top w:val="nil"/>
              <w:left w:val="nil"/>
              <w:bottom w:val="nil"/>
              <w:right w:val="dotted" w:sz="4" w:space="0" w:color="auto"/>
            </w:tcBorders>
            <w:shd w:val="clear" w:color="auto" w:fill="auto"/>
            <w:tcMar>
              <w:top w:w="0" w:type="dxa"/>
              <w:left w:w="62" w:type="dxa"/>
              <w:bottom w:w="0" w:type="dxa"/>
              <w:right w:w="62" w:type="dxa"/>
            </w:tcMar>
            <w:vAlign w:val="center"/>
            <w:hideMark/>
          </w:tcPr>
          <w:p w14:paraId="27F20DE9" w14:textId="77777777" w:rsidR="00BC6AF1" w:rsidRDefault="00630850" w:rsidP="00BC6AF1">
            <w:pPr>
              <w:pStyle w:val="NoSpacing"/>
              <w:rPr>
                <w:rFonts w:cs="Arial"/>
                <w:sz w:val="14"/>
                <w:szCs w:val="14"/>
                <w:lang w:val="en-AU" w:eastAsia="en-AU"/>
              </w:rPr>
            </w:pPr>
            <w:r w:rsidRPr="00BC6AF1">
              <w:rPr>
                <w:rFonts w:cs="Arial"/>
                <w:sz w:val="14"/>
                <w:szCs w:val="14"/>
                <w:lang w:val="en-AU" w:eastAsia="en-AU"/>
              </w:rPr>
              <w:t>&gt; 80%</w:t>
            </w:r>
            <w:r w:rsidR="00BC6AF1">
              <w:rPr>
                <w:rFonts w:cs="Arial"/>
                <w:sz w:val="14"/>
                <w:szCs w:val="14"/>
                <w:lang w:val="en-AU" w:eastAsia="en-AU"/>
              </w:rPr>
              <w:t xml:space="preserve"> unconscious No recovery within</w:t>
            </w:r>
          </w:p>
          <w:p w14:paraId="0C0C5CAB" w14:textId="77777777" w:rsidR="00630850" w:rsidRPr="00BC6AF1" w:rsidRDefault="00630850" w:rsidP="00BC6AF1">
            <w:pPr>
              <w:pStyle w:val="NoSpacing"/>
              <w:rPr>
                <w:rFonts w:cs="Arial"/>
                <w:sz w:val="14"/>
                <w:szCs w:val="14"/>
                <w:lang w:val="en-AU" w:eastAsia="en-AU"/>
              </w:rPr>
            </w:pPr>
            <w:r w:rsidRPr="00BC6AF1">
              <w:rPr>
                <w:rFonts w:cs="Arial"/>
                <w:sz w:val="14"/>
                <w:szCs w:val="14"/>
                <w:lang w:val="en-AU" w:eastAsia="en-AU"/>
              </w:rPr>
              <w:t>8 s</w:t>
            </w:r>
          </w:p>
        </w:tc>
        <w:tc>
          <w:tcPr>
            <w:tcW w:w="1360" w:type="dxa"/>
            <w:tcBorders>
              <w:top w:val="nil"/>
              <w:left w:val="dotted" w:sz="4" w:space="0" w:color="auto"/>
              <w:bottom w:val="nil"/>
              <w:right w:val="single" w:sz="8" w:space="0" w:color="auto"/>
            </w:tcBorders>
            <w:shd w:val="clear" w:color="auto" w:fill="auto"/>
            <w:tcMar>
              <w:top w:w="0" w:type="dxa"/>
              <w:left w:w="62" w:type="dxa"/>
              <w:bottom w:w="0" w:type="dxa"/>
              <w:right w:w="62" w:type="dxa"/>
            </w:tcMar>
            <w:vAlign w:val="center"/>
            <w:hideMark/>
          </w:tcPr>
          <w:p w14:paraId="514BC85D" w14:textId="77777777" w:rsidR="00630850" w:rsidRPr="00BC6AF1" w:rsidRDefault="00630850" w:rsidP="00BC6AF1">
            <w:pPr>
              <w:pStyle w:val="NoSpacing"/>
              <w:rPr>
                <w:rFonts w:cs="Arial"/>
                <w:sz w:val="14"/>
                <w:szCs w:val="14"/>
                <w:lang w:val="en-AU" w:eastAsia="en-AU"/>
              </w:rPr>
            </w:pPr>
            <w:r w:rsidRPr="00BC6AF1">
              <w:rPr>
                <w:rFonts w:cs="Arial"/>
                <w:sz w:val="14"/>
                <w:szCs w:val="14"/>
                <w:lang w:val="en-AU" w:eastAsia="en-AU"/>
              </w:rPr>
              <w:t>&gt;90% unconscious &lt;20% of birds recover within 40 s</w:t>
            </w:r>
          </w:p>
        </w:tc>
        <w:tc>
          <w:tcPr>
            <w:tcW w:w="880" w:type="dxa"/>
            <w:tcBorders>
              <w:top w:val="nil"/>
              <w:left w:val="nil"/>
              <w:bottom w:val="nil"/>
              <w:right w:val="single" w:sz="8" w:space="0" w:color="auto"/>
            </w:tcBorders>
            <w:shd w:val="clear" w:color="000000" w:fill="D9D9D9"/>
            <w:tcMar>
              <w:top w:w="0" w:type="dxa"/>
              <w:left w:w="62" w:type="dxa"/>
              <w:bottom w:w="0" w:type="dxa"/>
              <w:right w:w="62" w:type="dxa"/>
            </w:tcMar>
            <w:vAlign w:val="center"/>
            <w:hideMark/>
          </w:tcPr>
          <w:p w14:paraId="6352731F" w14:textId="77777777" w:rsidR="00630850" w:rsidRPr="00BC6AF1" w:rsidRDefault="00630850" w:rsidP="00BC6AF1">
            <w:pPr>
              <w:pStyle w:val="NoSpacing"/>
              <w:jc w:val="center"/>
              <w:rPr>
                <w:rFonts w:cs="Arial"/>
                <w:color w:val="auto"/>
                <w:sz w:val="14"/>
                <w:szCs w:val="14"/>
                <w:lang w:val="en-AU" w:eastAsia="en-AU"/>
              </w:rPr>
            </w:pPr>
            <w:r w:rsidRPr="00BC6AF1">
              <w:rPr>
                <w:rFonts w:cs="Arial"/>
                <w:color w:val="auto"/>
                <w:sz w:val="14"/>
                <w:szCs w:val="14"/>
                <w:lang w:val="en-AU" w:eastAsia="en-AU"/>
              </w:rPr>
              <w:t>inadequate</w:t>
            </w:r>
            <w:r w:rsidRPr="00BC6AF1">
              <w:rPr>
                <w:rFonts w:cs="Arial"/>
                <w:color w:val="auto"/>
                <w:sz w:val="14"/>
                <w:szCs w:val="14"/>
                <w:lang w:val="en-AU" w:eastAsia="en-AU"/>
              </w:rPr>
              <w:br/>
              <w:t>stun</w:t>
            </w:r>
          </w:p>
        </w:tc>
      </w:tr>
      <w:tr w:rsidR="00630850" w:rsidRPr="00286A88" w14:paraId="34B3882D" w14:textId="77777777" w:rsidTr="00997DF8">
        <w:trPr>
          <w:trHeight w:val="860"/>
        </w:trPr>
        <w:tc>
          <w:tcPr>
            <w:tcW w:w="840" w:type="dxa"/>
            <w:tcBorders>
              <w:top w:val="nil"/>
              <w:left w:val="single" w:sz="8" w:space="0" w:color="auto"/>
              <w:bottom w:val="single" w:sz="8" w:space="0" w:color="auto"/>
              <w:right w:val="nil"/>
            </w:tcBorders>
            <w:shd w:val="clear" w:color="auto" w:fill="auto"/>
            <w:tcMar>
              <w:top w:w="15" w:type="dxa"/>
              <w:left w:w="62" w:type="dxa"/>
              <w:bottom w:w="0" w:type="dxa"/>
              <w:right w:w="62" w:type="dxa"/>
            </w:tcMar>
            <w:vAlign w:val="center"/>
            <w:hideMark/>
          </w:tcPr>
          <w:p w14:paraId="33532950" w14:textId="77777777" w:rsidR="00630850" w:rsidRPr="00BC6AF1" w:rsidRDefault="00630850" w:rsidP="00BC6AF1">
            <w:pPr>
              <w:pStyle w:val="NoSpacing"/>
              <w:jc w:val="center"/>
              <w:rPr>
                <w:rFonts w:cs="Arial"/>
                <w:b/>
                <w:sz w:val="14"/>
                <w:szCs w:val="14"/>
                <w:lang w:val="en-AU" w:eastAsia="en-AU"/>
              </w:rPr>
            </w:pPr>
            <w:r w:rsidRPr="00BC6AF1">
              <w:rPr>
                <w:rFonts w:cs="Arial"/>
                <w:b/>
                <w:sz w:val="14"/>
                <w:szCs w:val="14"/>
                <w:lang w:val="en-AU" w:eastAsia="en-AU"/>
              </w:rPr>
              <w:t>200 mA</w:t>
            </w:r>
          </w:p>
        </w:tc>
        <w:tc>
          <w:tcPr>
            <w:tcW w:w="1360" w:type="dxa"/>
            <w:tcBorders>
              <w:top w:val="nil"/>
              <w:left w:val="single" w:sz="8" w:space="0" w:color="auto"/>
              <w:bottom w:val="single" w:sz="8" w:space="0" w:color="auto"/>
              <w:right w:val="dotted" w:sz="4" w:space="0" w:color="auto"/>
            </w:tcBorders>
            <w:shd w:val="clear" w:color="auto" w:fill="auto"/>
            <w:tcMar>
              <w:top w:w="0" w:type="dxa"/>
              <w:left w:w="62" w:type="dxa"/>
              <w:bottom w:w="0" w:type="dxa"/>
              <w:right w:w="62" w:type="dxa"/>
            </w:tcMar>
            <w:vAlign w:val="center"/>
            <w:hideMark/>
          </w:tcPr>
          <w:p w14:paraId="1864B7DC" w14:textId="77777777" w:rsidR="00BC6AF1" w:rsidRDefault="00630850" w:rsidP="00BC6AF1">
            <w:pPr>
              <w:pStyle w:val="NoSpacing"/>
              <w:rPr>
                <w:rFonts w:cs="Arial"/>
                <w:sz w:val="14"/>
                <w:szCs w:val="14"/>
                <w:lang w:val="en-AU" w:eastAsia="en-AU"/>
              </w:rPr>
            </w:pPr>
            <w:r w:rsidRPr="00BC6AF1">
              <w:rPr>
                <w:rFonts w:cs="Arial"/>
                <w:sz w:val="14"/>
                <w:szCs w:val="14"/>
                <w:lang w:val="en-AU" w:eastAsia="en-AU"/>
              </w:rPr>
              <w:t>&gt; 80%</w:t>
            </w:r>
            <w:r w:rsidR="00BC6AF1">
              <w:rPr>
                <w:rFonts w:cs="Arial"/>
                <w:sz w:val="14"/>
                <w:szCs w:val="14"/>
                <w:lang w:val="en-AU" w:eastAsia="en-AU"/>
              </w:rPr>
              <w:t xml:space="preserve"> unconscious No recovery within</w:t>
            </w:r>
          </w:p>
          <w:p w14:paraId="6AEE2592" w14:textId="77777777" w:rsidR="00630850" w:rsidRPr="00BC6AF1" w:rsidRDefault="00630850" w:rsidP="00BC6AF1">
            <w:pPr>
              <w:pStyle w:val="NoSpacing"/>
              <w:rPr>
                <w:rFonts w:cs="Arial"/>
                <w:sz w:val="14"/>
                <w:szCs w:val="14"/>
                <w:lang w:val="en-AU" w:eastAsia="en-AU"/>
              </w:rPr>
            </w:pPr>
            <w:r w:rsidRPr="00BC6AF1">
              <w:rPr>
                <w:rFonts w:cs="Arial"/>
                <w:sz w:val="14"/>
                <w:szCs w:val="14"/>
                <w:lang w:val="en-AU" w:eastAsia="en-AU"/>
              </w:rPr>
              <w:t>8 s</w:t>
            </w:r>
          </w:p>
        </w:tc>
        <w:tc>
          <w:tcPr>
            <w:tcW w:w="1360" w:type="dxa"/>
            <w:tcBorders>
              <w:top w:val="nil"/>
              <w:left w:val="dotted" w:sz="4" w:space="0" w:color="auto"/>
              <w:bottom w:val="single" w:sz="8" w:space="0" w:color="auto"/>
              <w:right w:val="single" w:sz="8" w:space="0" w:color="auto"/>
            </w:tcBorders>
            <w:shd w:val="clear" w:color="auto" w:fill="auto"/>
            <w:tcMar>
              <w:top w:w="0" w:type="dxa"/>
              <w:left w:w="62" w:type="dxa"/>
              <w:bottom w:w="0" w:type="dxa"/>
              <w:right w:w="62" w:type="dxa"/>
            </w:tcMar>
            <w:vAlign w:val="center"/>
            <w:hideMark/>
          </w:tcPr>
          <w:p w14:paraId="4D244A26" w14:textId="77777777" w:rsidR="00630850" w:rsidRPr="00BC6AF1" w:rsidRDefault="00630850" w:rsidP="00BC6AF1">
            <w:pPr>
              <w:pStyle w:val="NoSpacing"/>
              <w:rPr>
                <w:rFonts w:cs="Arial"/>
                <w:sz w:val="14"/>
                <w:szCs w:val="14"/>
                <w:lang w:val="en-AU" w:eastAsia="en-AU"/>
              </w:rPr>
            </w:pPr>
            <w:r w:rsidRPr="00BC6AF1">
              <w:rPr>
                <w:rFonts w:cs="Arial"/>
                <w:sz w:val="14"/>
                <w:szCs w:val="14"/>
                <w:lang w:val="en-AU" w:eastAsia="en-AU"/>
              </w:rPr>
              <w:t>&gt;90% unconscious &lt;20% of birds recover within 40 s</w:t>
            </w:r>
          </w:p>
        </w:tc>
        <w:tc>
          <w:tcPr>
            <w:tcW w:w="1360" w:type="dxa"/>
            <w:tcBorders>
              <w:top w:val="nil"/>
              <w:left w:val="nil"/>
              <w:bottom w:val="single" w:sz="8" w:space="0" w:color="auto"/>
              <w:right w:val="dotted" w:sz="4" w:space="0" w:color="auto"/>
            </w:tcBorders>
            <w:shd w:val="clear" w:color="auto" w:fill="auto"/>
            <w:tcMar>
              <w:top w:w="0" w:type="dxa"/>
              <w:left w:w="62" w:type="dxa"/>
              <w:bottom w:w="0" w:type="dxa"/>
              <w:right w:w="62" w:type="dxa"/>
            </w:tcMar>
            <w:vAlign w:val="center"/>
            <w:hideMark/>
          </w:tcPr>
          <w:p w14:paraId="043D743E" w14:textId="77777777" w:rsidR="00BC6AF1" w:rsidRDefault="00630850" w:rsidP="00BC6AF1">
            <w:pPr>
              <w:pStyle w:val="NoSpacing"/>
              <w:rPr>
                <w:rFonts w:cs="Arial"/>
                <w:sz w:val="14"/>
                <w:szCs w:val="14"/>
                <w:lang w:val="en-AU" w:eastAsia="en-AU"/>
              </w:rPr>
            </w:pPr>
            <w:r w:rsidRPr="00BC6AF1">
              <w:rPr>
                <w:rFonts w:cs="Arial"/>
                <w:sz w:val="14"/>
                <w:szCs w:val="14"/>
                <w:lang w:val="en-AU" w:eastAsia="en-AU"/>
              </w:rPr>
              <w:t>&gt; 80%</w:t>
            </w:r>
            <w:r w:rsidR="00BC6AF1">
              <w:rPr>
                <w:rFonts w:cs="Arial"/>
                <w:sz w:val="14"/>
                <w:szCs w:val="14"/>
                <w:lang w:val="en-AU" w:eastAsia="en-AU"/>
              </w:rPr>
              <w:t xml:space="preserve"> unconscious No recovery within</w:t>
            </w:r>
          </w:p>
          <w:p w14:paraId="44A1193C" w14:textId="77777777" w:rsidR="00630850" w:rsidRPr="00BC6AF1" w:rsidRDefault="00630850" w:rsidP="00BC6AF1">
            <w:pPr>
              <w:pStyle w:val="NoSpacing"/>
              <w:rPr>
                <w:rFonts w:cs="Arial"/>
                <w:sz w:val="14"/>
                <w:szCs w:val="14"/>
                <w:lang w:val="en-AU" w:eastAsia="en-AU"/>
              </w:rPr>
            </w:pPr>
            <w:r w:rsidRPr="00BC6AF1">
              <w:rPr>
                <w:rFonts w:cs="Arial"/>
                <w:sz w:val="14"/>
                <w:szCs w:val="14"/>
                <w:lang w:val="en-AU" w:eastAsia="en-AU"/>
              </w:rPr>
              <w:t>8 s</w:t>
            </w:r>
          </w:p>
        </w:tc>
        <w:tc>
          <w:tcPr>
            <w:tcW w:w="1360" w:type="dxa"/>
            <w:tcBorders>
              <w:top w:val="nil"/>
              <w:left w:val="dotted" w:sz="4" w:space="0" w:color="auto"/>
              <w:bottom w:val="single" w:sz="8" w:space="0" w:color="auto"/>
              <w:right w:val="single" w:sz="8" w:space="0" w:color="auto"/>
            </w:tcBorders>
            <w:shd w:val="clear" w:color="auto" w:fill="auto"/>
            <w:tcMar>
              <w:top w:w="0" w:type="dxa"/>
              <w:left w:w="62" w:type="dxa"/>
              <w:bottom w:w="0" w:type="dxa"/>
              <w:right w:w="62" w:type="dxa"/>
            </w:tcMar>
            <w:vAlign w:val="center"/>
            <w:hideMark/>
          </w:tcPr>
          <w:p w14:paraId="7351DACD" w14:textId="77777777" w:rsidR="00630850" w:rsidRPr="00BC6AF1" w:rsidRDefault="00630850" w:rsidP="00BC6AF1">
            <w:pPr>
              <w:pStyle w:val="NoSpacing"/>
              <w:rPr>
                <w:rFonts w:cs="Arial"/>
                <w:sz w:val="14"/>
                <w:szCs w:val="14"/>
                <w:lang w:val="en-AU" w:eastAsia="en-AU"/>
              </w:rPr>
            </w:pPr>
            <w:r w:rsidRPr="00BC6AF1">
              <w:rPr>
                <w:rFonts w:cs="Arial"/>
                <w:sz w:val="14"/>
                <w:szCs w:val="14"/>
                <w:lang w:val="en-AU" w:eastAsia="en-AU"/>
              </w:rPr>
              <w:t>&gt;90% unconscious &lt;20% of birds recover within 40 s</w:t>
            </w:r>
          </w:p>
        </w:tc>
        <w:tc>
          <w:tcPr>
            <w:tcW w:w="1360" w:type="dxa"/>
            <w:tcBorders>
              <w:top w:val="nil"/>
              <w:left w:val="nil"/>
              <w:bottom w:val="single" w:sz="8" w:space="0" w:color="auto"/>
              <w:right w:val="dotted" w:sz="4" w:space="0" w:color="auto"/>
            </w:tcBorders>
            <w:shd w:val="clear" w:color="auto" w:fill="auto"/>
            <w:tcMar>
              <w:top w:w="0" w:type="dxa"/>
              <w:left w:w="62" w:type="dxa"/>
              <w:bottom w:w="0" w:type="dxa"/>
              <w:right w:w="62" w:type="dxa"/>
            </w:tcMar>
            <w:vAlign w:val="center"/>
            <w:hideMark/>
          </w:tcPr>
          <w:p w14:paraId="2643D9AB" w14:textId="77777777" w:rsidR="00BC6AF1" w:rsidRDefault="00630850" w:rsidP="00BC6AF1">
            <w:pPr>
              <w:pStyle w:val="NoSpacing"/>
              <w:rPr>
                <w:rFonts w:cs="Arial"/>
                <w:sz w:val="14"/>
                <w:szCs w:val="14"/>
                <w:lang w:val="en-AU" w:eastAsia="en-AU"/>
              </w:rPr>
            </w:pPr>
            <w:r w:rsidRPr="00BC6AF1">
              <w:rPr>
                <w:rFonts w:cs="Arial"/>
                <w:sz w:val="14"/>
                <w:szCs w:val="14"/>
                <w:lang w:val="en-AU" w:eastAsia="en-AU"/>
              </w:rPr>
              <w:t>&gt; 80%</w:t>
            </w:r>
            <w:r w:rsidR="00BC6AF1">
              <w:rPr>
                <w:rFonts w:cs="Arial"/>
                <w:sz w:val="14"/>
                <w:szCs w:val="14"/>
                <w:lang w:val="en-AU" w:eastAsia="en-AU"/>
              </w:rPr>
              <w:t xml:space="preserve"> unconscious No recovery within</w:t>
            </w:r>
          </w:p>
          <w:p w14:paraId="14023DE1" w14:textId="77777777" w:rsidR="00630850" w:rsidRPr="00BC6AF1" w:rsidRDefault="00630850" w:rsidP="00BC6AF1">
            <w:pPr>
              <w:pStyle w:val="NoSpacing"/>
              <w:rPr>
                <w:rFonts w:cs="Arial"/>
                <w:sz w:val="14"/>
                <w:szCs w:val="14"/>
                <w:lang w:val="en-AU" w:eastAsia="en-AU"/>
              </w:rPr>
            </w:pPr>
            <w:r w:rsidRPr="00BC6AF1">
              <w:rPr>
                <w:rFonts w:cs="Arial"/>
                <w:sz w:val="14"/>
                <w:szCs w:val="14"/>
                <w:lang w:val="en-AU" w:eastAsia="en-AU"/>
              </w:rPr>
              <w:t>8 s</w:t>
            </w:r>
          </w:p>
        </w:tc>
        <w:tc>
          <w:tcPr>
            <w:tcW w:w="1360" w:type="dxa"/>
            <w:tcBorders>
              <w:top w:val="nil"/>
              <w:left w:val="dotted" w:sz="4" w:space="0" w:color="auto"/>
              <w:bottom w:val="single" w:sz="8" w:space="0" w:color="auto"/>
              <w:right w:val="single" w:sz="8" w:space="0" w:color="auto"/>
            </w:tcBorders>
            <w:shd w:val="clear" w:color="auto" w:fill="auto"/>
            <w:tcMar>
              <w:top w:w="0" w:type="dxa"/>
              <w:left w:w="62" w:type="dxa"/>
              <w:bottom w:w="0" w:type="dxa"/>
              <w:right w:w="62" w:type="dxa"/>
            </w:tcMar>
            <w:vAlign w:val="center"/>
            <w:hideMark/>
          </w:tcPr>
          <w:p w14:paraId="350CA287" w14:textId="77777777" w:rsidR="00630850" w:rsidRPr="00BC6AF1" w:rsidRDefault="00630850" w:rsidP="00BC6AF1">
            <w:pPr>
              <w:pStyle w:val="NoSpacing"/>
              <w:rPr>
                <w:rFonts w:cs="Arial"/>
                <w:sz w:val="14"/>
                <w:szCs w:val="14"/>
                <w:lang w:val="en-AU" w:eastAsia="en-AU"/>
              </w:rPr>
            </w:pPr>
            <w:r w:rsidRPr="00BC6AF1">
              <w:rPr>
                <w:rFonts w:cs="Arial"/>
                <w:sz w:val="14"/>
                <w:szCs w:val="14"/>
                <w:lang w:val="en-AU" w:eastAsia="en-AU"/>
              </w:rPr>
              <w:t>&gt;90% unconscious &lt;20% of birds recover within 40 s</w:t>
            </w:r>
          </w:p>
        </w:tc>
        <w:tc>
          <w:tcPr>
            <w:tcW w:w="880" w:type="dxa"/>
            <w:tcBorders>
              <w:top w:val="nil"/>
              <w:left w:val="nil"/>
              <w:bottom w:val="single" w:sz="8" w:space="0" w:color="auto"/>
              <w:right w:val="single" w:sz="8" w:space="0" w:color="auto"/>
            </w:tcBorders>
            <w:shd w:val="clear" w:color="000000" w:fill="D9D9D9"/>
            <w:tcMar>
              <w:top w:w="0" w:type="dxa"/>
              <w:left w:w="62" w:type="dxa"/>
              <w:bottom w:w="0" w:type="dxa"/>
              <w:right w:w="62" w:type="dxa"/>
            </w:tcMar>
            <w:vAlign w:val="center"/>
            <w:hideMark/>
          </w:tcPr>
          <w:p w14:paraId="40C3DAF4" w14:textId="77777777" w:rsidR="00630850" w:rsidRPr="00BC6AF1" w:rsidRDefault="00630850" w:rsidP="00BC6AF1">
            <w:pPr>
              <w:pStyle w:val="NoSpacing"/>
              <w:jc w:val="center"/>
              <w:rPr>
                <w:rFonts w:cs="Arial"/>
                <w:color w:val="auto"/>
                <w:sz w:val="14"/>
                <w:szCs w:val="14"/>
                <w:lang w:val="en-AU" w:eastAsia="en-AU"/>
              </w:rPr>
            </w:pPr>
            <w:r w:rsidRPr="00BC6AF1">
              <w:rPr>
                <w:rFonts w:cs="Arial"/>
                <w:color w:val="auto"/>
                <w:sz w:val="14"/>
                <w:szCs w:val="14"/>
                <w:lang w:val="en-AU" w:eastAsia="en-AU"/>
              </w:rPr>
              <w:t>inadequate</w:t>
            </w:r>
            <w:r w:rsidRPr="00BC6AF1">
              <w:rPr>
                <w:rFonts w:cs="Arial"/>
                <w:color w:val="auto"/>
                <w:sz w:val="14"/>
                <w:szCs w:val="14"/>
                <w:lang w:val="en-AU" w:eastAsia="en-AU"/>
              </w:rPr>
              <w:br/>
              <w:t>stun</w:t>
            </w:r>
          </w:p>
        </w:tc>
      </w:tr>
    </w:tbl>
    <w:p w14:paraId="667BEF67" w14:textId="77777777" w:rsidR="00286A88" w:rsidRPr="00BC6AF1" w:rsidRDefault="00286A88" w:rsidP="00BC6AF1">
      <w:pPr>
        <w:rPr>
          <w:lang w:val="en-CA" w:eastAsia="en-AU"/>
        </w:rPr>
      </w:pPr>
    </w:p>
    <w:p w14:paraId="3B9C2014" w14:textId="77777777" w:rsidR="00286A88" w:rsidRPr="00BC6AF1" w:rsidRDefault="00286A88" w:rsidP="00BC6AF1">
      <w:pPr>
        <w:spacing w:before="240" w:after="240"/>
        <w:rPr>
          <w:b/>
          <w:lang w:val="en-CA" w:eastAsia="en-AU"/>
        </w:rPr>
      </w:pPr>
      <w:r w:rsidRPr="00BC6AF1">
        <w:rPr>
          <w:b/>
          <w:lang w:val="en-CA" w:eastAsia="en-AU"/>
        </w:rPr>
        <w:t>Table SL3: Water-bath stunning parameters for broiler chickens using pDC current. Data from Prinz et al</w:t>
      </w:r>
      <w:r w:rsidR="009923EC">
        <w:rPr>
          <w:b/>
          <w:lang w:val="en-CA" w:eastAsia="en-AU"/>
        </w:rPr>
        <w:t>. (2010a) and Raj et al. (2006b)</w:t>
      </w:r>
      <w:r w:rsidR="00056878">
        <w:rPr>
          <w:b/>
          <w:lang w:val="en-CA" w:eastAsia="en-AU"/>
        </w:rPr>
        <w:t>.</w:t>
      </w:r>
    </w:p>
    <w:tbl>
      <w:tblPr>
        <w:tblW w:w="9879" w:type="dxa"/>
        <w:tblCellMar>
          <w:left w:w="62" w:type="dxa"/>
          <w:right w:w="62" w:type="dxa"/>
        </w:tblCellMar>
        <w:tblLook w:val="04A0" w:firstRow="1" w:lastRow="0" w:firstColumn="1" w:lastColumn="0" w:noHBand="0" w:noVBand="1"/>
      </w:tblPr>
      <w:tblGrid>
        <w:gridCol w:w="887"/>
        <w:gridCol w:w="1360"/>
        <w:gridCol w:w="1360"/>
        <w:gridCol w:w="1360"/>
        <w:gridCol w:w="1360"/>
        <w:gridCol w:w="1360"/>
        <w:gridCol w:w="1360"/>
        <w:gridCol w:w="880"/>
      </w:tblGrid>
      <w:tr w:rsidR="00286A88" w:rsidRPr="00BC6AF1" w14:paraId="2073BE09" w14:textId="77777777" w:rsidTr="00640DDF">
        <w:trPr>
          <w:trHeight w:val="320"/>
        </w:trPr>
        <w:tc>
          <w:tcPr>
            <w:tcW w:w="83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F877B0D" w14:textId="77777777" w:rsidR="00286A88" w:rsidRPr="00BC6AF1" w:rsidRDefault="00286A88" w:rsidP="00B75036">
            <w:pPr>
              <w:pStyle w:val="NoSpacing"/>
              <w:spacing w:before="280"/>
              <w:jc w:val="center"/>
              <w:rPr>
                <w:rFonts w:cs="Arial"/>
                <w:b/>
                <w:sz w:val="14"/>
                <w:szCs w:val="14"/>
                <w:lang w:val="en-AU" w:eastAsia="en-AU"/>
              </w:rPr>
            </w:pPr>
            <w:r w:rsidRPr="00BC6AF1">
              <w:rPr>
                <w:rFonts w:cs="Arial"/>
                <w:b/>
                <w:sz w:val="14"/>
                <w:szCs w:val="14"/>
                <w:lang w:val="en-AU" w:eastAsia="en-AU"/>
              </w:rPr>
              <w:t>Application time</w:t>
            </w:r>
          </w:p>
        </w:tc>
        <w:tc>
          <w:tcPr>
            <w:tcW w:w="2720" w:type="dxa"/>
            <w:gridSpan w:val="2"/>
            <w:tcBorders>
              <w:top w:val="single" w:sz="8" w:space="0" w:color="auto"/>
              <w:left w:val="nil"/>
              <w:bottom w:val="nil"/>
              <w:right w:val="single" w:sz="8" w:space="0" w:color="000000"/>
            </w:tcBorders>
            <w:shd w:val="clear" w:color="auto" w:fill="auto"/>
            <w:noWrap/>
            <w:vAlign w:val="bottom"/>
            <w:hideMark/>
          </w:tcPr>
          <w:p w14:paraId="3B888F1E" w14:textId="77777777" w:rsidR="00286A88" w:rsidRPr="00BC6AF1" w:rsidRDefault="00286A88" w:rsidP="00BC6AF1">
            <w:pPr>
              <w:pStyle w:val="NoSpacing"/>
              <w:jc w:val="center"/>
              <w:rPr>
                <w:rFonts w:cs="Arial"/>
                <w:b/>
                <w:sz w:val="14"/>
                <w:szCs w:val="14"/>
                <w:lang w:val="en-AU" w:eastAsia="en-AU"/>
              </w:rPr>
            </w:pPr>
            <w:r w:rsidRPr="00BC6AF1">
              <w:rPr>
                <w:rFonts w:cs="Arial"/>
                <w:b/>
                <w:sz w:val="14"/>
                <w:szCs w:val="14"/>
                <w:lang w:val="en-AU" w:eastAsia="en-AU"/>
              </w:rPr>
              <w:t>100 Hz</w:t>
            </w:r>
          </w:p>
        </w:tc>
        <w:tc>
          <w:tcPr>
            <w:tcW w:w="2720" w:type="dxa"/>
            <w:gridSpan w:val="2"/>
            <w:tcBorders>
              <w:top w:val="single" w:sz="8" w:space="0" w:color="auto"/>
              <w:left w:val="nil"/>
              <w:bottom w:val="nil"/>
              <w:right w:val="nil"/>
            </w:tcBorders>
            <w:shd w:val="clear" w:color="auto" w:fill="auto"/>
            <w:noWrap/>
            <w:vAlign w:val="bottom"/>
            <w:hideMark/>
          </w:tcPr>
          <w:p w14:paraId="00E7533C" w14:textId="77777777" w:rsidR="00286A88" w:rsidRPr="00BC6AF1" w:rsidRDefault="00286A88" w:rsidP="00BC6AF1">
            <w:pPr>
              <w:pStyle w:val="NoSpacing"/>
              <w:jc w:val="center"/>
              <w:rPr>
                <w:rFonts w:cs="Arial"/>
                <w:b/>
                <w:sz w:val="14"/>
                <w:szCs w:val="14"/>
                <w:lang w:val="en-AU" w:eastAsia="en-AU"/>
              </w:rPr>
            </w:pPr>
            <w:r w:rsidRPr="00BC6AF1">
              <w:rPr>
                <w:rFonts w:cs="Arial"/>
                <w:b/>
                <w:sz w:val="14"/>
                <w:szCs w:val="14"/>
                <w:lang w:val="en-AU" w:eastAsia="en-AU"/>
              </w:rPr>
              <w:t>200 Hz</w:t>
            </w:r>
          </w:p>
        </w:tc>
        <w:tc>
          <w:tcPr>
            <w:tcW w:w="2720" w:type="dxa"/>
            <w:gridSpan w:val="2"/>
            <w:tcBorders>
              <w:top w:val="single" w:sz="8" w:space="0" w:color="auto"/>
              <w:left w:val="single" w:sz="8" w:space="0" w:color="auto"/>
              <w:bottom w:val="nil"/>
              <w:right w:val="nil"/>
            </w:tcBorders>
            <w:shd w:val="clear" w:color="auto" w:fill="auto"/>
            <w:noWrap/>
            <w:vAlign w:val="bottom"/>
            <w:hideMark/>
          </w:tcPr>
          <w:p w14:paraId="4570D666" w14:textId="77777777" w:rsidR="00286A88" w:rsidRPr="00BC6AF1" w:rsidRDefault="00286A88" w:rsidP="00BC6AF1">
            <w:pPr>
              <w:pStyle w:val="NoSpacing"/>
              <w:jc w:val="center"/>
              <w:rPr>
                <w:rFonts w:cs="Arial"/>
                <w:b/>
                <w:sz w:val="14"/>
                <w:szCs w:val="14"/>
                <w:lang w:val="en-AU" w:eastAsia="en-AU"/>
              </w:rPr>
            </w:pPr>
            <w:r w:rsidRPr="00BC6AF1">
              <w:rPr>
                <w:rFonts w:cs="Arial"/>
                <w:b/>
                <w:sz w:val="14"/>
                <w:szCs w:val="14"/>
                <w:lang w:val="en-AU" w:eastAsia="en-AU"/>
              </w:rPr>
              <w:t>400 Hz</w:t>
            </w:r>
          </w:p>
        </w:tc>
        <w:tc>
          <w:tcPr>
            <w:tcW w:w="880" w:type="dxa"/>
            <w:tcBorders>
              <w:top w:val="single" w:sz="8" w:space="0" w:color="auto"/>
              <w:left w:val="single" w:sz="8" w:space="0" w:color="auto"/>
              <w:bottom w:val="nil"/>
              <w:right w:val="single" w:sz="8" w:space="0" w:color="auto"/>
            </w:tcBorders>
            <w:shd w:val="clear" w:color="auto" w:fill="auto"/>
            <w:noWrap/>
            <w:vAlign w:val="bottom"/>
            <w:hideMark/>
          </w:tcPr>
          <w:p w14:paraId="14DDEA57" w14:textId="77777777" w:rsidR="00286A88" w:rsidRPr="00BC6AF1" w:rsidRDefault="00286A88" w:rsidP="00BC6AF1">
            <w:pPr>
              <w:pStyle w:val="NoSpacing"/>
              <w:jc w:val="center"/>
              <w:rPr>
                <w:rFonts w:cs="Arial"/>
                <w:b/>
                <w:sz w:val="14"/>
                <w:szCs w:val="14"/>
                <w:lang w:val="en-AU" w:eastAsia="en-AU"/>
              </w:rPr>
            </w:pPr>
            <w:r w:rsidRPr="00BC6AF1">
              <w:rPr>
                <w:rFonts w:cs="Arial"/>
                <w:b/>
                <w:sz w:val="14"/>
                <w:szCs w:val="14"/>
                <w:lang w:val="en-AU" w:eastAsia="en-AU"/>
              </w:rPr>
              <w:t>≥ 800Hz</w:t>
            </w:r>
          </w:p>
        </w:tc>
      </w:tr>
      <w:tr w:rsidR="00286A88" w:rsidRPr="00286A88" w14:paraId="7CB8EB45" w14:textId="77777777" w:rsidTr="00640DDF">
        <w:trPr>
          <w:trHeight w:val="320"/>
        </w:trPr>
        <w:tc>
          <w:tcPr>
            <w:tcW w:w="839" w:type="dxa"/>
            <w:vMerge/>
            <w:tcBorders>
              <w:top w:val="single" w:sz="8" w:space="0" w:color="auto"/>
              <w:left w:val="single" w:sz="8" w:space="0" w:color="auto"/>
              <w:bottom w:val="single" w:sz="8" w:space="0" w:color="000000"/>
              <w:right w:val="single" w:sz="8" w:space="0" w:color="auto"/>
            </w:tcBorders>
            <w:vAlign w:val="center"/>
            <w:hideMark/>
          </w:tcPr>
          <w:p w14:paraId="134E1C1D" w14:textId="77777777" w:rsidR="00286A88" w:rsidRPr="00BC6AF1" w:rsidRDefault="00286A88" w:rsidP="00BC6AF1">
            <w:pPr>
              <w:jc w:val="center"/>
              <w:rPr>
                <w:b/>
                <w:sz w:val="14"/>
                <w:szCs w:val="14"/>
                <w:lang w:val="en-CA" w:eastAsia="en-AU"/>
              </w:rPr>
            </w:pPr>
          </w:p>
        </w:tc>
        <w:tc>
          <w:tcPr>
            <w:tcW w:w="1360" w:type="dxa"/>
            <w:tcBorders>
              <w:top w:val="nil"/>
              <w:left w:val="nil"/>
              <w:bottom w:val="single" w:sz="8" w:space="0" w:color="auto"/>
              <w:right w:val="nil"/>
            </w:tcBorders>
            <w:shd w:val="clear" w:color="auto" w:fill="auto"/>
            <w:noWrap/>
            <w:vAlign w:val="bottom"/>
            <w:hideMark/>
          </w:tcPr>
          <w:p w14:paraId="36994AE5" w14:textId="77777777" w:rsidR="00286A88" w:rsidRPr="00BC6AF1" w:rsidRDefault="00286A88" w:rsidP="00BC6AF1">
            <w:pPr>
              <w:pStyle w:val="NoSpacing"/>
              <w:jc w:val="center"/>
              <w:rPr>
                <w:rFonts w:cs="Arial"/>
                <w:b/>
                <w:sz w:val="14"/>
                <w:szCs w:val="14"/>
                <w:lang w:val="en-AU" w:eastAsia="en-AU"/>
              </w:rPr>
            </w:pPr>
            <w:r w:rsidRPr="00BC6AF1">
              <w:rPr>
                <w:rFonts w:cs="Arial"/>
                <w:b/>
                <w:sz w:val="14"/>
                <w:szCs w:val="14"/>
                <w:lang w:val="en-AU" w:eastAsia="en-AU"/>
              </w:rPr>
              <w:t>1 second</w:t>
            </w:r>
          </w:p>
        </w:tc>
        <w:tc>
          <w:tcPr>
            <w:tcW w:w="1360" w:type="dxa"/>
            <w:tcBorders>
              <w:top w:val="nil"/>
              <w:left w:val="nil"/>
              <w:bottom w:val="single" w:sz="8" w:space="0" w:color="auto"/>
              <w:right w:val="single" w:sz="8" w:space="0" w:color="auto"/>
            </w:tcBorders>
            <w:shd w:val="clear" w:color="auto" w:fill="auto"/>
            <w:noWrap/>
            <w:vAlign w:val="bottom"/>
            <w:hideMark/>
          </w:tcPr>
          <w:p w14:paraId="31DAFC2C" w14:textId="77777777" w:rsidR="00286A88" w:rsidRPr="00BC6AF1" w:rsidRDefault="00286A88" w:rsidP="00BC6AF1">
            <w:pPr>
              <w:pStyle w:val="NoSpacing"/>
              <w:jc w:val="center"/>
              <w:rPr>
                <w:rFonts w:cs="Arial"/>
                <w:b/>
                <w:sz w:val="14"/>
                <w:szCs w:val="14"/>
                <w:lang w:val="en-AU" w:eastAsia="en-AU"/>
              </w:rPr>
            </w:pPr>
            <w:r w:rsidRPr="00BC6AF1">
              <w:rPr>
                <w:rFonts w:cs="Arial"/>
                <w:b/>
                <w:sz w:val="14"/>
                <w:szCs w:val="14"/>
                <w:lang w:val="en-AU" w:eastAsia="en-AU"/>
              </w:rPr>
              <w:t>10 seconds</w:t>
            </w:r>
          </w:p>
        </w:tc>
        <w:tc>
          <w:tcPr>
            <w:tcW w:w="1360" w:type="dxa"/>
            <w:tcBorders>
              <w:top w:val="nil"/>
              <w:left w:val="nil"/>
              <w:bottom w:val="single" w:sz="8" w:space="0" w:color="auto"/>
              <w:right w:val="nil"/>
            </w:tcBorders>
            <w:shd w:val="clear" w:color="auto" w:fill="auto"/>
            <w:noWrap/>
            <w:vAlign w:val="bottom"/>
            <w:hideMark/>
          </w:tcPr>
          <w:p w14:paraId="3908FAAD" w14:textId="77777777" w:rsidR="00286A88" w:rsidRPr="00B75036" w:rsidRDefault="00286A88" w:rsidP="00B75036">
            <w:pPr>
              <w:pStyle w:val="NoSpacing"/>
              <w:jc w:val="center"/>
              <w:rPr>
                <w:rFonts w:cs="Arial"/>
                <w:b/>
                <w:sz w:val="14"/>
                <w:szCs w:val="14"/>
                <w:lang w:val="en-AU" w:eastAsia="en-AU"/>
              </w:rPr>
            </w:pPr>
            <w:r w:rsidRPr="00B75036">
              <w:rPr>
                <w:rFonts w:cs="Arial"/>
                <w:b/>
                <w:sz w:val="14"/>
                <w:szCs w:val="14"/>
                <w:lang w:val="en-AU" w:eastAsia="en-AU"/>
              </w:rPr>
              <w:t>1 second</w:t>
            </w:r>
          </w:p>
        </w:tc>
        <w:tc>
          <w:tcPr>
            <w:tcW w:w="1360" w:type="dxa"/>
            <w:tcBorders>
              <w:top w:val="nil"/>
              <w:left w:val="nil"/>
              <w:bottom w:val="single" w:sz="8" w:space="0" w:color="auto"/>
              <w:right w:val="single" w:sz="8" w:space="0" w:color="auto"/>
            </w:tcBorders>
            <w:shd w:val="clear" w:color="auto" w:fill="auto"/>
            <w:noWrap/>
            <w:vAlign w:val="bottom"/>
            <w:hideMark/>
          </w:tcPr>
          <w:p w14:paraId="28859EC2" w14:textId="77777777" w:rsidR="00286A88" w:rsidRPr="00B75036" w:rsidRDefault="00286A88" w:rsidP="00B75036">
            <w:pPr>
              <w:pStyle w:val="NoSpacing"/>
              <w:jc w:val="center"/>
              <w:rPr>
                <w:rFonts w:cs="Arial"/>
                <w:b/>
                <w:sz w:val="14"/>
                <w:szCs w:val="14"/>
                <w:lang w:val="en-AU" w:eastAsia="en-AU"/>
              </w:rPr>
            </w:pPr>
            <w:r w:rsidRPr="00B75036">
              <w:rPr>
                <w:rFonts w:cs="Arial"/>
                <w:b/>
                <w:sz w:val="14"/>
                <w:szCs w:val="14"/>
                <w:lang w:val="en-AU" w:eastAsia="en-AU"/>
              </w:rPr>
              <w:t>10 seconds</w:t>
            </w:r>
          </w:p>
        </w:tc>
        <w:tc>
          <w:tcPr>
            <w:tcW w:w="1360" w:type="dxa"/>
            <w:tcBorders>
              <w:top w:val="nil"/>
              <w:left w:val="nil"/>
              <w:bottom w:val="single" w:sz="8" w:space="0" w:color="auto"/>
              <w:right w:val="nil"/>
            </w:tcBorders>
            <w:shd w:val="clear" w:color="auto" w:fill="auto"/>
            <w:noWrap/>
            <w:vAlign w:val="bottom"/>
            <w:hideMark/>
          </w:tcPr>
          <w:p w14:paraId="29283F23" w14:textId="77777777" w:rsidR="00286A88" w:rsidRPr="00B75036" w:rsidRDefault="00286A88" w:rsidP="00B75036">
            <w:pPr>
              <w:pStyle w:val="NoSpacing"/>
              <w:jc w:val="center"/>
              <w:rPr>
                <w:rFonts w:cs="Arial"/>
                <w:b/>
                <w:sz w:val="14"/>
                <w:szCs w:val="14"/>
                <w:lang w:val="en-AU" w:eastAsia="en-AU"/>
              </w:rPr>
            </w:pPr>
            <w:r w:rsidRPr="00B75036">
              <w:rPr>
                <w:rFonts w:cs="Arial"/>
                <w:b/>
                <w:sz w:val="14"/>
                <w:szCs w:val="14"/>
                <w:lang w:val="en-AU" w:eastAsia="en-AU"/>
              </w:rPr>
              <w:t>1 second</w:t>
            </w:r>
          </w:p>
        </w:tc>
        <w:tc>
          <w:tcPr>
            <w:tcW w:w="1360" w:type="dxa"/>
            <w:tcBorders>
              <w:top w:val="nil"/>
              <w:left w:val="nil"/>
              <w:bottom w:val="single" w:sz="8" w:space="0" w:color="auto"/>
              <w:right w:val="nil"/>
            </w:tcBorders>
            <w:shd w:val="clear" w:color="auto" w:fill="auto"/>
            <w:noWrap/>
            <w:vAlign w:val="bottom"/>
            <w:hideMark/>
          </w:tcPr>
          <w:p w14:paraId="080AE035" w14:textId="77777777" w:rsidR="00286A88" w:rsidRPr="00B75036" w:rsidRDefault="00286A88" w:rsidP="00B75036">
            <w:pPr>
              <w:pStyle w:val="NoSpacing"/>
              <w:jc w:val="center"/>
              <w:rPr>
                <w:rFonts w:cs="Arial"/>
                <w:b/>
                <w:sz w:val="14"/>
                <w:szCs w:val="14"/>
                <w:lang w:val="en-AU" w:eastAsia="en-AU"/>
              </w:rPr>
            </w:pPr>
            <w:r w:rsidRPr="00B75036">
              <w:rPr>
                <w:rFonts w:cs="Arial"/>
                <w:b/>
                <w:sz w:val="14"/>
                <w:szCs w:val="14"/>
                <w:lang w:val="en-AU" w:eastAsia="en-AU"/>
              </w:rPr>
              <w:t>10 seconds</w:t>
            </w:r>
          </w:p>
        </w:tc>
        <w:tc>
          <w:tcPr>
            <w:tcW w:w="880" w:type="dxa"/>
            <w:tcBorders>
              <w:top w:val="nil"/>
              <w:left w:val="single" w:sz="8" w:space="0" w:color="auto"/>
              <w:bottom w:val="single" w:sz="8" w:space="0" w:color="auto"/>
              <w:right w:val="single" w:sz="8" w:space="0" w:color="auto"/>
            </w:tcBorders>
            <w:shd w:val="clear" w:color="auto" w:fill="auto"/>
            <w:noWrap/>
            <w:vAlign w:val="bottom"/>
            <w:hideMark/>
          </w:tcPr>
          <w:p w14:paraId="24481777" w14:textId="77777777" w:rsidR="00286A88" w:rsidRPr="00BC6AF1" w:rsidRDefault="00286A88" w:rsidP="00B75036">
            <w:pPr>
              <w:pStyle w:val="NoSpacing"/>
              <w:jc w:val="center"/>
              <w:rPr>
                <w:b/>
                <w:sz w:val="14"/>
                <w:szCs w:val="14"/>
                <w:lang w:val="en-CA" w:eastAsia="en-AU"/>
              </w:rPr>
            </w:pPr>
            <w:r w:rsidRPr="00B75036">
              <w:rPr>
                <w:rFonts w:cs="Arial"/>
                <w:b/>
                <w:sz w:val="14"/>
                <w:szCs w:val="14"/>
                <w:lang w:val="en-AU" w:eastAsia="en-AU"/>
              </w:rPr>
              <w:t>1 s or 10 s</w:t>
            </w:r>
          </w:p>
        </w:tc>
      </w:tr>
      <w:tr w:rsidR="00286A88" w:rsidRPr="00286A88" w14:paraId="29E754FF" w14:textId="77777777" w:rsidTr="00640DDF">
        <w:trPr>
          <w:trHeight w:val="860"/>
        </w:trPr>
        <w:tc>
          <w:tcPr>
            <w:tcW w:w="839" w:type="dxa"/>
            <w:tcBorders>
              <w:top w:val="nil"/>
              <w:left w:val="single" w:sz="8" w:space="0" w:color="auto"/>
              <w:bottom w:val="nil"/>
              <w:right w:val="nil"/>
            </w:tcBorders>
            <w:shd w:val="clear" w:color="auto" w:fill="auto"/>
            <w:noWrap/>
            <w:vAlign w:val="center"/>
            <w:hideMark/>
          </w:tcPr>
          <w:p w14:paraId="5D26BB5D" w14:textId="77777777" w:rsidR="00286A88" w:rsidRPr="00640DDF" w:rsidRDefault="00286A88" w:rsidP="00640DDF">
            <w:pPr>
              <w:pStyle w:val="NoSpacing"/>
              <w:jc w:val="center"/>
              <w:rPr>
                <w:rFonts w:cs="Arial"/>
                <w:b/>
                <w:sz w:val="14"/>
                <w:szCs w:val="14"/>
                <w:lang w:val="en-AU" w:eastAsia="en-AU"/>
              </w:rPr>
            </w:pPr>
            <w:r w:rsidRPr="00640DDF">
              <w:rPr>
                <w:rFonts w:cs="Arial"/>
                <w:b/>
                <w:sz w:val="14"/>
                <w:szCs w:val="14"/>
                <w:lang w:val="en-AU" w:eastAsia="en-AU"/>
              </w:rPr>
              <w:t>80 mA</w:t>
            </w:r>
          </w:p>
        </w:tc>
        <w:tc>
          <w:tcPr>
            <w:tcW w:w="1360" w:type="dxa"/>
            <w:tcBorders>
              <w:top w:val="single" w:sz="8" w:space="0" w:color="auto"/>
              <w:left w:val="single" w:sz="8" w:space="0" w:color="auto"/>
              <w:bottom w:val="nil"/>
              <w:right w:val="dotted" w:sz="4" w:space="0" w:color="auto"/>
            </w:tcBorders>
            <w:shd w:val="clear" w:color="000000" w:fill="D9D9D9"/>
            <w:vAlign w:val="center"/>
            <w:hideMark/>
          </w:tcPr>
          <w:p w14:paraId="31EEBE05" w14:textId="77777777" w:rsidR="00286A88" w:rsidRPr="00640DDF" w:rsidRDefault="00286A88" w:rsidP="00640DDF">
            <w:pPr>
              <w:pStyle w:val="NoSpacing"/>
              <w:jc w:val="center"/>
              <w:rPr>
                <w:rFonts w:cs="Arial"/>
                <w:color w:val="auto"/>
                <w:sz w:val="14"/>
                <w:szCs w:val="14"/>
                <w:lang w:val="en-AU" w:eastAsia="en-AU"/>
              </w:rPr>
            </w:pPr>
            <w:r w:rsidRPr="00640DDF">
              <w:rPr>
                <w:rFonts w:cs="Arial"/>
                <w:color w:val="auto"/>
                <w:sz w:val="14"/>
                <w:szCs w:val="14"/>
                <w:lang w:val="en-AU" w:eastAsia="en-AU"/>
              </w:rPr>
              <w:t>inadequate</w:t>
            </w:r>
            <w:r w:rsidRPr="00640DDF">
              <w:rPr>
                <w:rFonts w:cs="Arial"/>
                <w:color w:val="auto"/>
                <w:sz w:val="14"/>
                <w:szCs w:val="14"/>
                <w:lang w:val="en-AU" w:eastAsia="en-AU"/>
              </w:rPr>
              <w:br/>
              <w:t>stun</w:t>
            </w:r>
          </w:p>
        </w:tc>
        <w:tc>
          <w:tcPr>
            <w:tcW w:w="1360" w:type="dxa"/>
            <w:tcBorders>
              <w:top w:val="nil"/>
              <w:left w:val="dotted" w:sz="4" w:space="0" w:color="auto"/>
              <w:bottom w:val="nil"/>
              <w:right w:val="single" w:sz="8" w:space="0" w:color="auto"/>
            </w:tcBorders>
            <w:shd w:val="clear" w:color="auto" w:fill="auto"/>
            <w:vAlign w:val="center"/>
            <w:hideMark/>
          </w:tcPr>
          <w:p w14:paraId="2EFC9A7D" w14:textId="77777777" w:rsidR="00286A88" w:rsidRPr="00640DDF" w:rsidRDefault="00286A88" w:rsidP="00640DDF">
            <w:pPr>
              <w:pStyle w:val="NoSpacing"/>
              <w:rPr>
                <w:rFonts w:cs="Arial"/>
                <w:sz w:val="14"/>
                <w:szCs w:val="14"/>
                <w:lang w:val="en-AU" w:eastAsia="en-AU"/>
              </w:rPr>
            </w:pPr>
            <w:r w:rsidRPr="00640DDF">
              <w:rPr>
                <w:rFonts w:cs="Arial"/>
                <w:sz w:val="14"/>
                <w:szCs w:val="14"/>
                <w:lang w:val="en-AU" w:eastAsia="en-AU"/>
              </w:rPr>
              <w:t>&gt;85% unconscious Significant recovery within</w:t>
            </w:r>
            <w:r w:rsidR="00B75036" w:rsidRPr="00640DDF">
              <w:rPr>
                <w:rFonts w:cs="Arial"/>
                <w:sz w:val="14"/>
                <w:szCs w:val="14"/>
                <w:lang w:val="en-AU" w:eastAsia="en-AU"/>
              </w:rPr>
              <w:t xml:space="preserve"> </w:t>
            </w:r>
            <w:r w:rsidRPr="00640DDF">
              <w:rPr>
                <w:rFonts w:cs="Arial"/>
                <w:sz w:val="14"/>
                <w:szCs w:val="14"/>
                <w:lang w:val="en-AU" w:eastAsia="en-AU"/>
              </w:rPr>
              <w:t>40 s</w:t>
            </w:r>
          </w:p>
        </w:tc>
        <w:tc>
          <w:tcPr>
            <w:tcW w:w="1360" w:type="dxa"/>
            <w:tcBorders>
              <w:top w:val="single" w:sz="8" w:space="0" w:color="auto"/>
              <w:left w:val="nil"/>
              <w:bottom w:val="nil"/>
              <w:right w:val="dotted" w:sz="4" w:space="0" w:color="auto"/>
            </w:tcBorders>
            <w:shd w:val="clear" w:color="000000" w:fill="D9D9D9"/>
            <w:vAlign w:val="center"/>
            <w:hideMark/>
          </w:tcPr>
          <w:p w14:paraId="2BBF6AA1" w14:textId="77777777" w:rsidR="00286A88" w:rsidRPr="00640DDF" w:rsidRDefault="00286A88" w:rsidP="00640DDF">
            <w:pPr>
              <w:pStyle w:val="NoSpacing"/>
              <w:jc w:val="center"/>
              <w:rPr>
                <w:rFonts w:cs="Arial"/>
                <w:color w:val="auto"/>
                <w:sz w:val="14"/>
                <w:szCs w:val="14"/>
                <w:lang w:val="en-AU" w:eastAsia="en-AU"/>
              </w:rPr>
            </w:pPr>
            <w:r w:rsidRPr="00640DDF">
              <w:rPr>
                <w:rFonts w:cs="Arial"/>
                <w:color w:val="auto"/>
                <w:sz w:val="14"/>
                <w:szCs w:val="14"/>
                <w:lang w:val="en-AU" w:eastAsia="en-AU"/>
              </w:rPr>
              <w:t>inadequate</w:t>
            </w:r>
            <w:r w:rsidRPr="00640DDF">
              <w:rPr>
                <w:rFonts w:cs="Arial"/>
                <w:color w:val="auto"/>
                <w:sz w:val="14"/>
                <w:szCs w:val="14"/>
                <w:lang w:val="en-AU" w:eastAsia="en-AU"/>
              </w:rPr>
              <w:br/>
              <w:t>stun</w:t>
            </w:r>
          </w:p>
        </w:tc>
        <w:tc>
          <w:tcPr>
            <w:tcW w:w="1360" w:type="dxa"/>
            <w:tcBorders>
              <w:top w:val="nil"/>
              <w:left w:val="dotted" w:sz="4" w:space="0" w:color="auto"/>
              <w:bottom w:val="nil"/>
              <w:right w:val="single" w:sz="8" w:space="0" w:color="auto"/>
            </w:tcBorders>
            <w:shd w:val="clear" w:color="auto" w:fill="auto"/>
            <w:vAlign w:val="center"/>
            <w:hideMark/>
          </w:tcPr>
          <w:p w14:paraId="696A6552" w14:textId="77777777" w:rsidR="00286A88" w:rsidRPr="00640DDF" w:rsidRDefault="00286A88" w:rsidP="00640DDF">
            <w:pPr>
              <w:pStyle w:val="NoSpacing"/>
              <w:rPr>
                <w:rFonts w:cs="Arial"/>
                <w:sz w:val="14"/>
                <w:szCs w:val="14"/>
                <w:lang w:val="en-AU" w:eastAsia="en-AU"/>
              </w:rPr>
            </w:pPr>
            <w:r w:rsidRPr="00640DDF">
              <w:rPr>
                <w:rFonts w:cs="Arial"/>
                <w:sz w:val="14"/>
                <w:szCs w:val="14"/>
                <w:lang w:val="en-AU" w:eastAsia="en-AU"/>
              </w:rPr>
              <w:t>&gt;85% unconscious Significant recovery within</w:t>
            </w:r>
            <w:r w:rsidR="00B75036" w:rsidRPr="00640DDF">
              <w:rPr>
                <w:rFonts w:cs="Arial"/>
                <w:sz w:val="14"/>
                <w:szCs w:val="14"/>
                <w:lang w:val="en-AU" w:eastAsia="en-AU"/>
              </w:rPr>
              <w:t xml:space="preserve"> </w:t>
            </w:r>
            <w:r w:rsidRPr="00640DDF">
              <w:rPr>
                <w:rFonts w:cs="Arial"/>
                <w:sz w:val="14"/>
                <w:szCs w:val="14"/>
                <w:lang w:val="en-AU" w:eastAsia="en-AU"/>
              </w:rPr>
              <w:t>40 s</w:t>
            </w:r>
          </w:p>
        </w:tc>
        <w:tc>
          <w:tcPr>
            <w:tcW w:w="1360" w:type="dxa"/>
            <w:tcBorders>
              <w:top w:val="single" w:sz="8" w:space="0" w:color="auto"/>
              <w:left w:val="nil"/>
              <w:bottom w:val="nil"/>
              <w:right w:val="dotted" w:sz="4" w:space="0" w:color="auto"/>
            </w:tcBorders>
            <w:shd w:val="clear" w:color="000000" w:fill="D9D9D9"/>
            <w:vAlign w:val="center"/>
            <w:hideMark/>
          </w:tcPr>
          <w:p w14:paraId="31BDFBE4" w14:textId="77777777" w:rsidR="00286A88" w:rsidRPr="00640DDF" w:rsidRDefault="00286A88" w:rsidP="00640DDF">
            <w:pPr>
              <w:pStyle w:val="NoSpacing"/>
              <w:jc w:val="center"/>
              <w:rPr>
                <w:rFonts w:cs="Arial"/>
                <w:color w:val="auto"/>
                <w:sz w:val="14"/>
                <w:szCs w:val="14"/>
                <w:lang w:val="en-AU" w:eastAsia="en-AU"/>
              </w:rPr>
            </w:pPr>
            <w:r w:rsidRPr="00640DDF">
              <w:rPr>
                <w:rFonts w:cs="Arial"/>
                <w:color w:val="auto"/>
                <w:sz w:val="14"/>
                <w:szCs w:val="14"/>
                <w:lang w:val="en-AU" w:eastAsia="en-AU"/>
              </w:rPr>
              <w:t>inadequate</w:t>
            </w:r>
            <w:r w:rsidRPr="00640DDF">
              <w:rPr>
                <w:rFonts w:cs="Arial"/>
                <w:color w:val="auto"/>
                <w:sz w:val="14"/>
                <w:szCs w:val="14"/>
                <w:lang w:val="en-AU" w:eastAsia="en-AU"/>
              </w:rPr>
              <w:br/>
              <w:t>stun</w:t>
            </w:r>
          </w:p>
        </w:tc>
        <w:tc>
          <w:tcPr>
            <w:tcW w:w="1360" w:type="dxa"/>
            <w:tcBorders>
              <w:top w:val="nil"/>
              <w:left w:val="dotted" w:sz="4" w:space="0" w:color="auto"/>
              <w:bottom w:val="nil"/>
              <w:right w:val="single" w:sz="8" w:space="0" w:color="auto"/>
            </w:tcBorders>
            <w:shd w:val="clear" w:color="auto" w:fill="auto"/>
            <w:vAlign w:val="center"/>
            <w:hideMark/>
          </w:tcPr>
          <w:p w14:paraId="60753264" w14:textId="77777777" w:rsidR="00286A88" w:rsidRPr="00640DDF" w:rsidRDefault="00286A88" w:rsidP="00640DDF">
            <w:pPr>
              <w:pStyle w:val="NoSpacing"/>
              <w:rPr>
                <w:rFonts w:cs="Arial"/>
                <w:sz w:val="14"/>
                <w:szCs w:val="14"/>
                <w:lang w:val="en-AU" w:eastAsia="en-AU"/>
              </w:rPr>
            </w:pPr>
            <w:r w:rsidRPr="00640DDF">
              <w:rPr>
                <w:rFonts w:cs="Arial"/>
                <w:sz w:val="14"/>
                <w:szCs w:val="14"/>
                <w:lang w:val="en-AU" w:eastAsia="en-AU"/>
              </w:rPr>
              <w:t>&gt;85% unconscious Significant recovery within</w:t>
            </w:r>
            <w:r w:rsidR="00B75036" w:rsidRPr="00640DDF">
              <w:rPr>
                <w:rFonts w:cs="Arial"/>
                <w:sz w:val="14"/>
                <w:szCs w:val="14"/>
                <w:lang w:val="en-AU" w:eastAsia="en-AU"/>
              </w:rPr>
              <w:t xml:space="preserve"> </w:t>
            </w:r>
            <w:r w:rsidRPr="00640DDF">
              <w:rPr>
                <w:rFonts w:cs="Arial"/>
                <w:sz w:val="14"/>
                <w:szCs w:val="14"/>
                <w:lang w:val="en-AU" w:eastAsia="en-AU"/>
              </w:rPr>
              <w:t>40 s</w:t>
            </w:r>
          </w:p>
        </w:tc>
        <w:tc>
          <w:tcPr>
            <w:tcW w:w="880" w:type="dxa"/>
            <w:tcBorders>
              <w:top w:val="nil"/>
              <w:left w:val="nil"/>
              <w:bottom w:val="nil"/>
              <w:right w:val="single" w:sz="8" w:space="0" w:color="auto"/>
            </w:tcBorders>
            <w:shd w:val="clear" w:color="000000" w:fill="D9D9D9"/>
            <w:vAlign w:val="center"/>
            <w:hideMark/>
          </w:tcPr>
          <w:p w14:paraId="0B1B1AFF" w14:textId="77777777" w:rsidR="00286A88" w:rsidRPr="00640DDF" w:rsidRDefault="00286A88" w:rsidP="00640DDF">
            <w:pPr>
              <w:pStyle w:val="NoSpacing"/>
              <w:jc w:val="center"/>
              <w:rPr>
                <w:rFonts w:cs="Arial"/>
                <w:color w:val="auto"/>
                <w:sz w:val="14"/>
                <w:szCs w:val="14"/>
                <w:lang w:val="en-AU" w:eastAsia="en-AU"/>
              </w:rPr>
            </w:pPr>
            <w:r w:rsidRPr="00640DDF">
              <w:rPr>
                <w:rFonts w:cs="Arial"/>
                <w:color w:val="auto"/>
                <w:sz w:val="14"/>
                <w:szCs w:val="14"/>
                <w:lang w:val="en-AU" w:eastAsia="en-AU"/>
              </w:rPr>
              <w:t>inadequate</w:t>
            </w:r>
            <w:r w:rsidRPr="00640DDF">
              <w:rPr>
                <w:rFonts w:cs="Arial"/>
                <w:color w:val="auto"/>
                <w:sz w:val="14"/>
                <w:szCs w:val="14"/>
                <w:lang w:val="en-AU" w:eastAsia="en-AU"/>
              </w:rPr>
              <w:br/>
              <w:t>stun</w:t>
            </w:r>
          </w:p>
        </w:tc>
      </w:tr>
      <w:tr w:rsidR="00286A88" w:rsidRPr="00286A88" w14:paraId="3435A5AC" w14:textId="77777777" w:rsidTr="00640DDF">
        <w:trPr>
          <w:trHeight w:val="860"/>
        </w:trPr>
        <w:tc>
          <w:tcPr>
            <w:tcW w:w="839" w:type="dxa"/>
            <w:tcBorders>
              <w:top w:val="nil"/>
              <w:left w:val="single" w:sz="8" w:space="0" w:color="auto"/>
              <w:bottom w:val="nil"/>
              <w:right w:val="nil"/>
            </w:tcBorders>
            <w:shd w:val="clear" w:color="auto" w:fill="auto"/>
            <w:noWrap/>
            <w:vAlign w:val="center"/>
            <w:hideMark/>
          </w:tcPr>
          <w:p w14:paraId="2AB4827F" w14:textId="77777777" w:rsidR="00286A88" w:rsidRPr="00640DDF" w:rsidRDefault="00286A88" w:rsidP="00640DDF">
            <w:pPr>
              <w:pStyle w:val="NoSpacing"/>
              <w:jc w:val="center"/>
              <w:rPr>
                <w:rFonts w:cs="Arial"/>
                <w:b/>
                <w:sz w:val="14"/>
                <w:szCs w:val="14"/>
                <w:lang w:val="en-AU" w:eastAsia="en-AU"/>
              </w:rPr>
            </w:pPr>
            <w:r w:rsidRPr="00640DDF">
              <w:rPr>
                <w:rFonts w:cs="Arial"/>
                <w:b/>
                <w:sz w:val="14"/>
                <w:szCs w:val="14"/>
                <w:lang w:val="en-AU" w:eastAsia="en-AU"/>
              </w:rPr>
              <w:t>100 mA</w:t>
            </w:r>
          </w:p>
        </w:tc>
        <w:tc>
          <w:tcPr>
            <w:tcW w:w="1360" w:type="dxa"/>
            <w:tcBorders>
              <w:top w:val="nil"/>
              <w:left w:val="single" w:sz="8" w:space="0" w:color="auto"/>
              <w:bottom w:val="nil"/>
              <w:right w:val="dotted" w:sz="4" w:space="0" w:color="auto"/>
            </w:tcBorders>
            <w:shd w:val="clear" w:color="000000" w:fill="D9D9D9"/>
            <w:vAlign w:val="center"/>
            <w:hideMark/>
          </w:tcPr>
          <w:p w14:paraId="69FEFD07" w14:textId="77777777" w:rsidR="00286A88" w:rsidRPr="00640DDF" w:rsidRDefault="00286A88" w:rsidP="00640DDF">
            <w:pPr>
              <w:pStyle w:val="NoSpacing"/>
              <w:jc w:val="center"/>
              <w:rPr>
                <w:rFonts w:cs="Arial"/>
                <w:color w:val="auto"/>
                <w:sz w:val="14"/>
                <w:szCs w:val="14"/>
                <w:lang w:val="en-AU" w:eastAsia="en-AU"/>
              </w:rPr>
            </w:pPr>
            <w:r w:rsidRPr="00640DDF">
              <w:rPr>
                <w:rFonts w:cs="Arial"/>
                <w:color w:val="auto"/>
                <w:sz w:val="14"/>
                <w:szCs w:val="14"/>
                <w:lang w:val="en-AU" w:eastAsia="en-AU"/>
              </w:rPr>
              <w:t>inadequate</w:t>
            </w:r>
            <w:r w:rsidRPr="00640DDF">
              <w:rPr>
                <w:rFonts w:cs="Arial"/>
                <w:color w:val="auto"/>
                <w:sz w:val="14"/>
                <w:szCs w:val="14"/>
                <w:lang w:val="en-AU" w:eastAsia="en-AU"/>
              </w:rPr>
              <w:br/>
              <w:t>stun</w:t>
            </w:r>
          </w:p>
        </w:tc>
        <w:tc>
          <w:tcPr>
            <w:tcW w:w="1360" w:type="dxa"/>
            <w:tcBorders>
              <w:top w:val="nil"/>
              <w:left w:val="dotted" w:sz="4" w:space="0" w:color="auto"/>
              <w:bottom w:val="nil"/>
              <w:right w:val="single" w:sz="8" w:space="0" w:color="auto"/>
            </w:tcBorders>
            <w:shd w:val="clear" w:color="auto" w:fill="auto"/>
            <w:vAlign w:val="center"/>
            <w:hideMark/>
          </w:tcPr>
          <w:p w14:paraId="763DECE7" w14:textId="77777777" w:rsidR="00286A88" w:rsidRPr="00640DDF" w:rsidRDefault="00286A88" w:rsidP="00640DDF">
            <w:pPr>
              <w:pStyle w:val="NoSpacing"/>
              <w:rPr>
                <w:rFonts w:cs="Arial"/>
                <w:sz w:val="14"/>
                <w:szCs w:val="14"/>
                <w:lang w:val="en-AU" w:eastAsia="en-AU"/>
              </w:rPr>
            </w:pPr>
            <w:r w:rsidRPr="00640DDF">
              <w:rPr>
                <w:rFonts w:cs="Arial"/>
                <w:sz w:val="14"/>
                <w:szCs w:val="14"/>
                <w:lang w:val="en-AU" w:eastAsia="en-AU"/>
              </w:rPr>
              <w:t>&gt;85% unconscious Significant recovery within</w:t>
            </w:r>
            <w:r w:rsidR="00B75036" w:rsidRPr="00640DDF">
              <w:rPr>
                <w:rFonts w:cs="Arial"/>
                <w:sz w:val="14"/>
                <w:szCs w:val="14"/>
                <w:lang w:val="en-AU" w:eastAsia="en-AU"/>
              </w:rPr>
              <w:t xml:space="preserve"> </w:t>
            </w:r>
            <w:r w:rsidRPr="00640DDF">
              <w:rPr>
                <w:rFonts w:cs="Arial"/>
                <w:sz w:val="14"/>
                <w:szCs w:val="14"/>
                <w:lang w:val="en-AU" w:eastAsia="en-AU"/>
              </w:rPr>
              <w:t>40 s</w:t>
            </w:r>
          </w:p>
        </w:tc>
        <w:tc>
          <w:tcPr>
            <w:tcW w:w="1360" w:type="dxa"/>
            <w:tcBorders>
              <w:top w:val="nil"/>
              <w:left w:val="nil"/>
              <w:bottom w:val="nil"/>
              <w:right w:val="dotted" w:sz="4" w:space="0" w:color="auto"/>
            </w:tcBorders>
            <w:shd w:val="clear" w:color="000000" w:fill="D9D9D9"/>
            <w:vAlign w:val="center"/>
            <w:hideMark/>
          </w:tcPr>
          <w:p w14:paraId="40B64152" w14:textId="77777777" w:rsidR="00286A88" w:rsidRPr="00640DDF" w:rsidRDefault="00286A88" w:rsidP="00640DDF">
            <w:pPr>
              <w:pStyle w:val="NoSpacing"/>
              <w:jc w:val="center"/>
              <w:rPr>
                <w:rFonts w:cs="Arial"/>
                <w:color w:val="auto"/>
                <w:sz w:val="14"/>
                <w:szCs w:val="14"/>
                <w:lang w:val="en-AU" w:eastAsia="en-AU"/>
              </w:rPr>
            </w:pPr>
            <w:r w:rsidRPr="00640DDF">
              <w:rPr>
                <w:rFonts w:cs="Arial"/>
                <w:color w:val="auto"/>
                <w:sz w:val="14"/>
                <w:szCs w:val="14"/>
                <w:lang w:val="en-AU" w:eastAsia="en-AU"/>
              </w:rPr>
              <w:t>inadequate</w:t>
            </w:r>
            <w:r w:rsidRPr="00640DDF">
              <w:rPr>
                <w:rFonts w:cs="Arial"/>
                <w:color w:val="auto"/>
                <w:sz w:val="14"/>
                <w:szCs w:val="14"/>
                <w:lang w:val="en-AU" w:eastAsia="en-AU"/>
              </w:rPr>
              <w:br/>
              <w:t>stun</w:t>
            </w:r>
          </w:p>
        </w:tc>
        <w:tc>
          <w:tcPr>
            <w:tcW w:w="1360" w:type="dxa"/>
            <w:tcBorders>
              <w:top w:val="nil"/>
              <w:left w:val="dotted" w:sz="4" w:space="0" w:color="auto"/>
              <w:bottom w:val="nil"/>
              <w:right w:val="single" w:sz="8" w:space="0" w:color="auto"/>
            </w:tcBorders>
            <w:shd w:val="clear" w:color="auto" w:fill="auto"/>
            <w:vAlign w:val="center"/>
            <w:hideMark/>
          </w:tcPr>
          <w:p w14:paraId="2AF4B3BE" w14:textId="77777777" w:rsidR="00286A88" w:rsidRPr="00640DDF" w:rsidRDefault="00286A88" w:rsidP="00640DDF">
            <w:pPr>
              <w:pStyle w:val="NoSpacing"/>
              <w:rPr>
                <w:rFonts w:cs="Arial"/>
                <w:sz w:val="14"/>
                <w:szCs w:val="14"/>
                <w:lang w:val="en-AU" w:eastAsia="en-AU"/>
              </w:rPr>
            </w:pPr>
            <w:r w:rsidRPr="00640DDF">
              <w:rPr>
                <w:rFonts w:cs="Arial"/>
                <w:sz w:val="14"/>
                <w:szCs w:val="14"/>
                <w:lang w:val="en-AU" w:eastAsia="en-AU"/>
              </w:rPr>
              <w:t>&gt;85% unconscious Significant recovery within</w:t>
            </w:r>
            <w:r w:rsidR="00B75036" w:rsidRPr="00640DDF">
              <w:rPr>
                <w:rFonts w:cs="Arial"/>
                <w:sz w:val="14"/>
                <w:szCs w:val="14"/>
                <w:lang w:val="en-AU" w:eastAsia="en-AU"/>
              </w:rPr>
              <w:t xml:space="preserve"> </w:t>
            </w:r>
            <w:r w:rsidRPr="00640DDF">
              <w:rPr>
                <w:rFonts w:cs="Arial"/>
                <w:sz w:val="14"/>
                <w:szCs w:val="14"/>
                <w:lang w:val="en-AU" w:eastAsia="en-AU"/>
              </w:rPr>
              <w:t>40 s</w:t>
            </w:r>
          </w:p>
        </w:tc>
        <w:tc>
          <w:tcPr>
            <w:tcW w:w="1360" w:type="dxa"/>
            <w:tcBorders>
              <w:top w:val="nil"/>
              <w:left w:val="nil"/>
              <w:bottom w:val="nil"/>
              <w:right w:val="dotted" w:sz="4" w:space="0" w:color="auto"/>
            </w:tcBorders>
            <w:shd w:val="clear" w:color="000000" w:fill="D9D9D9"/>
            <w:vAlign w:val="center"/>
            <w:hideMark/>
          </w:tcPr>
          <w:p w14:paraId="08A04868" w14:textId="77777777" w:rsidR="00286A88" w:rsidRPr="00640DDF" w:rsidRDefault="00286A88" w:rsidP="00640DDF">
            <w:pPr>
              <w:pStyle w:val="NoSpacing"/>
              <w:jc w:val="center"/>
              <w:rPr>
                <w:rFonts w:cs="Arial"/>
                <w:color w:val="auto"/>
                <w:sz w:val="14"/>
                <w:szCs w:val="14"/>
                <w:lang w:val="en-AU" w:eastAsia="en-AU"/>
              </w:rPr>
            </w:pPr>
            <w:r w:rsidRPr="00640DDF">
              <w:rPr>
                <w:rFonts w:cs="Arial"/>
                <w:color w:val="auto"/>
                <w:sz w:val="14"/>
                <w:szCs w:val="14"/>
                <w:lang w:val="en-AU" w:eastAsia="en-AU"/>
              </w:rPr>
              <w:t>inadequate</w:t>
            </w:r>
            <w:r w:rsidRPr="00640DDF">
              <w:rPr>
                <w:rFonts w:cs="Arial"/>
                <w:color w:val="auto"/>
                <w:sz w:val="14"/>
                <w:szCs w:val="14"/>
                <w:lang w:val="en-AU" w:eastAsia="en-AU"/>
              </w:rPr>
              <w:br/>
              <w:t>stun</w:t>
            </w:r>
          </w:p>
        </w:tc>
        <w:tc>
          <w:tcPr>
            <w:tcW w:w="1360" w:type="dxa"/>
            <w:tcBorders>
              <w:top w:val="nil"/>
              <w:left w:val="dotted" w:sz="4" w:space="0" w:color="auto"/>
              <w:bottom w:val="nil"/>
              <w:right w:val="single" w:sz="8" w:space="0" w:color="auto"/>
            </w:tcBorders>
            <w:shd w:val="clear" w:color="auto" w:fill="auto"/>
            <w:vAlign w:val="center"/>
            <w:hideMark/>
          </w:tcPr>
          <w:p w14:paraId="08068318" w14:textId="77777777" w:rsidR="00286A88" w:rsidRPr="00640DDF" w:rsidRDefault="00286A88" w:rsidP="00640DDF">
            <w:pPr>
              <w:pStyle w:val="NoSpacing"/>
              <w:rPr>
                <w:rFonts w:cs="Arial"/>
                <w:sz w:val="14"/>
                <w:szCs w:val="14"/>
                <w:lang w:val="en-AU" w:eastAsia="en-AU"/>
              </w:rPr>
            </w:pPr>
            <w:r w:rsidRPr="00640DDF">
              <w:rPr>
                <w:rFonts w:cs="Arial"/>
                <w:sz w:val="14"/>
                <w:szCs w:val="14"/>
                <w:lang w:val="en-AU" w:eastAsia="en-AU"/>
              </w:rPr>
              <w:t>&gt;85% unconscious Significant recovery within</w:t>
            </w:r>
            <w:r w:rsidR="00B75036" w:rsidRPr="00640DDF">
              <w:rPr>
                <w:rFonts w:cs="Arial"/>
                <w:sz w:val="14"/>
                <w:szCs w:val="14"/>
                <w:lang w:val="en-AU" w:eastAsia="en-AU"/>
              </w:rPr>
              <w:t xml:space="preserve"> </w:t>
            </w:r>
            <w:r w:rsidRPr="00640DDF">
              <w:rPr>
                <w:rFonts w:cs="Arial"/>
                <w:sz w:val="14"/>
                <w:szCs w:val="14"/>
                <w:lang w:val="en-AU" w:eastAsia="en-AU"/>
              </w:rPr>
              <w:t>40 s</w:t>
            </w:r>
          </w:p>
        </w:tc>
        <w:tc>
          <w:tcPr>
            <w:tcW w:w="880" w:type="dxa"/>
            <w:tcBorders>
              <w:top w:val="nil"/>
              <w:left w:val="nil"/>
              <w:bottom w:val="nil"/>
              <w:right w:val="single" w:sz="8" w:space="0" w:color="auto"/>
            </w:tcBorders>
            <w:shd w:val="clear" w:color="000000" w:fill="D9D9D9"/>
            <w:vAlign w:val="center"/>
            <w:hideMark/>
          </w:tcPr>
          <w:p w14:paraId="7CDFE3DE" w14:textId="77777777" w:rsidR="00286A88" w:rsidRPr="00640DDF" w:rsidRDefault="00286A88" w:rsidP="00640DDF">
            <w:pPr>
              <w:pStyle w:val="NoSpacing"/>
              <w:jc w:val="center"/>
              <w:rPr>
                <w:rFonts w:cs="Arial"/>
                <w:color w:val="auto"/>
                <w:sz w:val="14"/>
                <w:szCs w:val="14"/>
                <w:lang w:val="en-AU" w:eastAsia="en-AU"/>
              </w:rPr>
            </w:pPr>
            <w:r w:rsidRPr="00640DDF">
              <w:rPr>
                <w:rFonts w:cs="Arial"/>
                <w:color w:val="auto"/>
                <w:sz w:val="14"/>
                <w:szCs w:val="14"/>
                <w:lang w:val="en-AU" w:eastAsia="en-AU"/>
              </w:rPr>
              <w:t>inadequate</w:t>
            </w:r>
            <w:r w:rsidRPr="00640DDF">
              <w:rPr>
                <w:rFonts w:cs="Arial"/>
                <w:color w:val="auto"/>
                <w:sz w:val="14"/>
                <w:szCs w:val="14"/>
                <w:lang w:val="en-AU" w:eastAsia="en-AU"/>
              </w:rPr>
              <w:br/>
              <w:t>stun</w:t>
            </w:r>
          </w:p>
        </w:tc>
      </w:tr>
      <w:tr w:rsidR="00286A88" w:rsidRPr="00286A88" w14:paraId="71F64A78" w14:textId="77777777" w:rsidTr="00640DDF">
        <w:trPr>
          <w:trHeight w:val="860"/>
        </w:trPr>
        <w:tc>
          <w:tcPr>
            <w:tcW w:w="839" w:type="dxa"/>
            <w:tcBorders>
              <w:top w:val="nil"/>
              <w:left w:val="single" w:sz="8" w:space="0" w:color="auto"/>
              <w:bottom w:val="nil"/>
              <w:right w:val="nil"/>
            </w:tcBorders>
            <w:shd w:val="clear" w:color="auto" w:fill="auto"/>
            <w:noWrap/>
            <w:vAlign w:val="center"/>
            <w:hideMark/>
          </w:tcPr>
          <w:p w14:paraId="0921923A" w14:textId="77777777" w:rsidR="00286A88" w:rsidRPr="00640DDF" w:rsidRDefault="00286A88" w:rsidP="00640DDF">
            <w:pPr>
              <w:pStyle w:val="NoSpacing"/>
              <w:jc w:val="center"/>
              <w:rPr>
                <w:rFonts w:cs="Arial"/>
                <w:b/>
                <w:sz w:val="14"/>
                <w:szCs w:val="14"/>
                <w:lang w:val="en-AU" w:eastAsia="en-AU"/>
              </w:rPr>
            </w:pPr>
            <w:r w:rsidRPr="00640DDF">
              <w:rPr>
                <w:rFonts w:cs="Arial"/>
                <w:b/>
                <w:sz w:val="14"/>
                <w:szCs w:val="14"/>
                <w:lang w:val="en-AU" w:eastAsia="en-AU"/>
              </w:rPr>
              <w:t>120 mA</w:t>
            </w:r>
          </w:p>
        </w:tc>
        <w:tc>
          <w:tcPr>
            <w:tcW w:w="1360" w:type="dxa"/>
            <w:tcBorders>
              <w:top w:val="nil"/>
              <w:left w:val="single" w:sz="8" w:space="0" w:color="auto"/>
              <w:bottom w:val="nil"/>
              <w:right w:val="dotted" w:sz="4" w:space="0" w:color="auto"/>
            </w:tcBorders>
            <w:shd w:val="clear" w:color="000000" w:fill="D9D9D9"/>
            <w:vAlign w:val="center"/>
            <w:hideMark/>
          </w:tcPr>
          <w:p w14:paraId="67F36D45" w14:textId="77777777" w:rsidR="00286A88" w:rsidRPr="00640DDF" w:rsidRDefault="00286A88" w:rsidP="00640DDF">
            <w:pPr>
              <w:pStyle w:val="NoSpacing"/>
              <w:jc w:val="center"/>
              <w:rPr>
                <w:rFonts w:cs="Arial"/>
                <w:color w:val="auto"/>
                <w:sz w:val="14"/>
                <w:szCs w:val="14"/>
                <w:lang w:val="en-AU" w:eastAsia="en-AU"/>
              </w:rPr>
            </w:pPr>
            <w:r w:rsidRPr="00640DDF">
              <w:rPr>
                <w:rFonts w:cs="Arial"/>
                <w:color w:val="auto"/>
                <w:sz w:val="14"/>
                <w:szCs w:val="14"/>
                <w:lang w:val="en-AU" w:eastAsia="en-AU"/>
              </w:rPr>
              <w:t>inadequate</w:t>
            </w:r>
            <w:r w:rsidRPr="00640DDF">
              <w:rPr>
                <w:rFonts w:cs="Arial"/>
                <w:color w:val="auto"/>
                <w:sz w:val="14"/>
                <w:szCs w:val="14"/>
                <w:lang w:val="en-AU" w:eastAsia="en-AU"/>
              </w:rPr>
              <w:br/>
              <w:t>stun</w:t>
            </w:r>
          </w:p>
        </w:tc>
        <w:tc>
          <w:tcPr>
            <w:tcW w:w="1360" w:type="dxa"/>
            <w:tcBorders>
              <w:top w:val="nil"/>
              <w:left w:val="dotted" w:sz="4" w:space="0" w:color="auto"/>
              <w:bottom w:val="nil"/>
              <w:right w:val="single" w:sz="8" w:space="0" w:color="auto"/>
            </w:tcBorders>
            <w:shd w:val="clear" w:color="auto" w:fill="auto"/>
            <w:vAlign w:val="center"/>
            <w:hideMark/>
          </w:tcPr>
          <w:p w14:paraId="00B3E4BC" w14:textId="77777777" w:rsidR="00286A88" w:rsidRPr="00640DDF" w:rsidRDefault="00286A88" w:rsidP="00640DDF">
            <w:pPr>
              <w:pStyle w:val="NoSpacing"/>
              <w:rPr>
                <w:rFonts w:cs="Arial"/>
                <w:sz w:val="14"/>
                <w:szCs w:val="14"/>
                <w:lang w:val="en-AU" w:eastAsia="en-AU"/>
              </w:rPr>
            </w:pPr>
            <w:r w:rsidRPr="00640DDF">
              <w:rPr>
                <w:rFonts w:cs="Arial"/>
                <w:sz w:val="14"/>
                <w:szCs w:val="14"/>
                <w:lang w:val="en-AU" w:eastAsia="en-AU"/>
              </w:rPr>
              <w:t>&gt;90% unconscious &lt;20% of birds recover within</w:t>
            </w:r>
            <w:r w:rsidR="00B75036" w:rsidRPr="00640DDF">
              <w:rPr>
                <w:rFonts w:cs="Arial"/>
                <w:sz w:val="14"/>
                <w:szCs w:val="14"/>
                <w:lang w:val="en-AU" w:eastAsia="en-AU"/>
              </w:rPr>
              <w:t xml:space="preserve"> </w:t>
            </w:r>
            <w:r w:rsidRPr="00640DDF">
              <w:rPr>
                <w:rFonts w:cs="Arial"/>
                <w:sz w:val="14"/>
                <w:szCs w:val="14"/>
                <w:lang w:val="en-AU" w:eastAsia="en-AU"/>
              </w:rPr>
              <w:t>40 s</w:t>
            </w:r>
          </w:p>
        </w:tc>
        <w:tc>
          <w:tcPr>
            <w:tcW w:w="1360" w:type="dxa"/>
            <w:tcBorders>
              <w:top w:val="nil"/>
              <w:left w:val="nil"/>
              <w:bottom w:val="nil"/>
              <w:right w:val="dotted" w:sz="4" w:space="0" w:color="auto"/>
            </w:tcBorders>
            <w:shd w:val="clear" w:color="000000" w:fill="D9D9D9"/>
            <w:vAlign w:val="center"/>
            <w:hideMark/>
          </w:tcPr>
          <w:p w14:paraId="105AACA8" w14:textId="77777777" w:rsidR="00286A88" w:rsidRPr="00640DDF" w:rsidRDefault="00286A88" w:rsidP="00640DDF">
            <w:pPr>
              <w:pStyle w:val="NoSpacing"/>
              <w:jc w:val="center"/>
              <w:rPr>
                <w:rFonts w:cs="Arial"/>
                <w:color w:val="auto"/>
                <w:sz w:val="14"/>
                <w:szCs w:val="14"/>
                <w:lang w:val="en-AU" w:eastAsia="en-AU"/>
              </w:rPr>
            </w:pPr>
            <w:r w:rsidRPr="00640DDF">
              <w:rPr>
                <w:rFonts w:cs="Arial"/>
                <w:color w:val="auto"/>
                <w:sz w:val="14"/>
                <w:szCs w:val="14"/>
                <w:lang w:val="en-AU" w:eastAsia="en-AU"/>
              </w:rPr>
              <w:t>inadequate</w:t>
            </w:r>
            <w:r w:rsidRPr="00640DDF">
              <w:rPr>
                <w:rFonts w:cs="Arial"/>
                <w:color w:val="auto"/>
                <w:sz w:val="14"/>
                <w:szCs w:val="14"/>
                <w:lang w:val="en-AU" w:eastAsia="en-AU"/>
              </w:rPr>
              <w:br/>
              <w:t>stun</w:t>
            </w:r>
          </w:p>
        </w:tc>
        <w:tc>
          <w:tcPr>
            <w:tcW w:w="1360" w:type="dxa"/>
            <w:tcBorders>
              <w:top w:val="nil"/>
              <w:left w:val="dotted" w:sz="4" w:space="0" w:color="auto"/>
              <w:bottom w:val="nil"/>
              <w:right w:val="single" w:sz="8" w:space="0" w:color="auto"/>
            </w:tcBorders>
            <w:shd w:val="clear" w:color="auto" w:fill="auto"/>
            <w:vAlign w:val="center"/>
            <w:hideMark/>
          </w:tcPr>
          <w:p w14:paraId="019E70E5" w14:textId="77777777" w:rsidR="00286A88" w:rsidRPr="00640DDF" w:rsidRDefault="00286A88" w:rsidP="00640DDF">
            <w:pPr>
              <w:pStyle w:val="NoSpacing"/>
              <w:rPr>
                <w:rFonts w:cs="Arial"/>
                <w:sz w:val="14"/>
                <w:szCs w:val="14"/>
                <w:lang w:val="en-AU" w:eastAsia="en-AU"/>
              </w:rPr>
            </w:pPr>
            <w:r w:rsidRPr="00640DDF">
              <w:rPr>
                <w:rFonts w:cs="Arial"/>
                <w:sz w:val="14"/>
                <w:szCs w:val="14"/>
                <w:lang w:val="en-AU" w:eastAsia="en-AU"/>
              </w:rPr>
              <w:t>&gt;85% unconscious Significant recovery within</w:t>
            </w:r>
            <w:r w:rsidR="00B75036" w:rsidRPr="00640DDF">
              <w:rPr>
                <w:rFonts w:cs="Arial"/>
                <w:sz w:val="14"/>
                <w:szCs w:val="14"/>
                <w:lang w:val="en-AU" w:eastAsia="en-AU"/>
              </w:rPr>
              <w:t xml:space="preserve"> </w:t>
            </w:r>
            <w:r w:rsidRPr="00640DDF">
              <w:rPr>
                <w:rFonts w:cs="Arial"/>
                <w:sz w:val="14"/>
                <w:szCs w:val="14"/>
                <w:lang w:val="en-AU" w:eastAsia="en-AU"/>
              </w:rPr>
              <w:t>40 s</w:t>
            </w:r>
          </w:p>
        </w:tc>
        <w:tc>
          <w:tcPr>
            <w:tcW w:w="1360" w:type="dxa"/>
            <w:tcBorders>
              <w:top w:val="nil"/>
              <w:left w:val="nil"/>
              <w:bottom w:val="nil"/>
              <w:right w:val="dotted" w:sz="4" w:space="0" w:color="auto"/>
            </w:tcBorders>
            <w:shd w:val="clear" w:color="000000" w:fill="D9D9D9"/>
            <w:vAlign w:val="center"/>
            <w:hideMark/>
          </w:tcPr>
          <w:p w14:paraId="365DA139" w14:textId="77777777" w:rsidR="00286A88" w:rsidRPr="00640DDF" w:rsidRDefault="00286A88" w:rsidP="00640DDF">
            <w:pPr>
              <w:pStyle w:val="NoSpacing"/>
              <w:jc w:val="center"/>
              <w:rPr>
                <w:rFonts w:cs="Arial"/>
                <w:color w:val="auto"/>
                <w:sz w:val="14"/>
                <w:szCs w:val="14"/>
                <w:lang w:val="en-AU" w:eastAsia="en-AU"/>
              </w:rPr>
            </w:pPr>
            <w:r w:rsidRPr="00640DDF">
              <w:rPr>
                <w:rFonts w:cs="Arial"/>
                <w:color w:val="auto"/>
                <w:sz w:val="14"/>
                <w:szCs w:val="14"/>
                <w:lang w:val="en-AU" w:eastAsia="en-AU"/>
              </w:rPr>
              <w:t>inadequate</w:t>
            </w:r>
            <w:r w:rsidRPr="00640DDF">
              <w:rPr>
                <w:rFonts w:cs="Arial"/>
                <w:color w:val="auto"/>
                <w:sz w:val="14"/>
                <w:szCs w:val="14"/>
                <w:lang w:val="en-AU" w:eastAsia="en-AU"/>
              </w:rPr>
              <w:br/>
              <w:t>stun</w:t>
            </w:r>
          </w:p>
        </w:tc>
        <w:tc>
          <w:tcPr>
            <w:tcW w:w="1360" w:type="dxa"/>
            <w:tcBorders>
              <w:top w:val="nil"/>
              <w:left w:val="dotted" w:sz="4" w:space="0" w:color="auto"/>
              <w:bottom w:val="nil"/>
              <w:right w:val="single" w:sz="8" w:space="0" w:color="auto"/>
            </w:tcBorders>
            <w:shd w:val="clear" w:color="auto" w:fill="auto"/>
            <w:vAlign w:val="center"/>
            <w:hideMark/>
          </w:tcPr>
          <w:p w14:paraId="40FEE75B" w14:textId="77777777" w:rsidR="00286A88" w:rsidRPr="00640DDF" w:rsidRDefault="00286A88" w:rsidP="00640DDF">
            <w:pPr>
              <w:pStyle w:val="NoSpacing"/>
              <w:rPr>
                <w:rFonts w:cs="Arial"/>
                <w:sz w:val="14"/>
                <w:szCs w:val="14"/>
                <w:lang w:val="en-AU" w:eastAsia="en-AU"/>
              </w:rPr>
            </w:pPr>
            <w:r w:rsidRPr="00640DDF">
              <w:rPr>
                <w:rFonts w:cs="Arial"/>
                <w:sz w:val="14"/>
                <w:szCs w:val="14"/>
                <w:lang w:val="en-AU" w:eastAsia="en-AU"/>
              </w:rPr>
              <w:t>&gt;85% unconscious Significant recovery within</w:t>
            </w:r>
            <w:r w:rsidR="00B75036" w:rsidRPr="00640DDF">
              <w:rPr>
                <w:rFonts w:cs="Arial"/>
                <w:sz w:val="14"/>
                <w:szCs w:val="14"/>
                <w:lang w:val="en-AU" w:eastAsia="en-AU"/>
              </w:rPr>
              <w:t xml:space="preserve"> </w:t>
            </w:r>
            <w:r w:rsidRPr="00640DDF">
              <w:rPr>
                <w:rFonts w:cs="Arial"/>
                <w:sz w:val="14"/>
                <w:szCs w:val="14"/>
                <w:lang w:val="en-AU" w:eastAsia="en-AU"/>
              </w:rPr>
              <w:t>40 s</w:t>
            </w:r>
          </w:p>
        </w:tc>
        <w:tc>
          <w:tcPr>
            <w:tcW w:w="880" w:type="dxa"/>
            <w:tcBorders>
              <w:top w:val="nil"/>
              <w:left w:val="nil"/>
              <w:bottom w:val="nil"/>
              <w:right w:val="single" w:sz="8" w:space="0" w:color="auto"/>
            </w:tcBorders>
            <w:shd w:val="clear" w:color="000000" w:fill="D9D9D9"/>
            <w:vAlign w:val="center"/>
            <w:hideMark/>
          </w:tcPr>
          <w:p w14:paraId="0DFE5B03" w14:textId="77777777" w:rsidR="00286A88" w:rsidRPr="00640DDF" w:rsidRDefault="00286A88" w:rsidP="00640DDF">
            <w:pPr>
              <w:pStyle w:val="NoSpacing"/>
              <w:jc w:val="center"/>
              <w:rPr>
                <w:rFonts w:cs="Arial"/>
                <w:color w:val="auto"/>
                <w:sz w:val="14"/>
                <w:szCs w:val="14"/>
                <w:lang w:val="en-AU" w:eastAsia="en-AU"/>
              </w:rPr>
            </w:pPr>
            <w:r w:rsidRPr="00640DDF">
              <w:rPr>
                <w:rFonts w:cs="Arial"/>
                <w:color w:val="auto"/>
                <w:sz w:val="14"/>
                <w:szCs w:val="14"/>
                <w:lang w:val="en-AU" w:eastAsia="en-AU"/>
              </w:rPr>
              <w:t>inadequate</w:t>
            </w:r>
            <w:r w:rsidRPr="00640DDF">
              <w:rPr>
                <w:rFonts w:cs="Arial"/>
                <w:color w:val="auto"/>
                <w:sz w:val="14"/>
                <w:szCs w:val="14"/>
                <w:lang w:val="en-AU" w:eastAsia="en-AU"/>
              </w:rPr>
              <w:br/>
              <w:t>stun</w:t>
            </w:r>
          </w:p>
        </w:tc>
      </w:tr>
      <w:tr w:rsidR="00286A88" w:rsidRPr="00286A88" w14:paraId="2FA8419D" w14:textId="77777777" w:rsidTr="00640DDF">
        <w:trPr>
          <w:trHeight w:val="860"/>
        </w:trPr>
        <w:tc>
          <w:tcPr>
            <w:tcW w:w="839" w:type="dxa"/>
            <w:tcBorders>
              <w:top w:val="nil"/>
              <w:left w:val="single" w:sz="8" w:space="0" w:color="auto"/>
              <w:bottom w:val="nil"/>
              <w:right w:val="nil"/>
            </w:tcBorders>
            <w:shd w:val="clear" w:color="auto" w:fill="auto"/>
            <w:noWrap/>
            <w:vAlign w:val="center"/>
            <w:hideMark/>
          </w:tcPr>
          <w:p w14:paraId="1093C945" w14:textId="77777777" w:rsidR="00286A88" w:rsidRPr="00640DDF" w:rsidRDefault="00286A88" w:rsidP="00640DDF">
            <w:pPr>
              <w:pStyle w:val="NoSpacing"/>
              <w:jc w:val="center"/>
              <w:rPr>
                <w:rFonts w:cs="Arial"/>
                <w:b/>
                <w:sz w:val="14"/>
                <w:szCs w:val="14"/>
                <w:lang w:val="en-AU" w:eastAsia="en-AU"/>
              </w:rPr>
            </w:pPr>
            <w:r w:rsidRPr="00640DDF">
              <w:rPr>
                <w:rFonts w:cs="Arial"/>
                <w:b/>
                <w:sz w:val="14"/>
                <w:szCs w:val="14"/>
                <w:lang w:val="en-AU" w:eastAsia="en-AU"/>
              </w:rPr>
              <w:t>150 mA</w:t>
            </w:r>
          </w:p>
        </w:tc>
        <w:tc>
          <w:tcPr>
            <w:tcW w:w="1360" w:type="dxa"/>
            <w:tcBorders>
              <w:top w:val="nil"/>
              <w:left w:val="single" w:sz="8" w:space="0" w:color="auto"/>
              <w:bottom w:val="nil"/>
              <w:right w:val="dotted" w:sz="4" w:space="0" w:color="auto"/>
            </w:tcBorders>
            <w:shd w:val="clear" w:color="000000" w:fill="D9D9D9"/>
            <w:vAlign w:val="center"/>
            <w:hideMark/>
          </w:tcPr>
          <w:p w14:paraId="109D104B" w14:textId="77777777" w:rsidR="00286A88" w:rsidRPr="00640DDF" w:rsidRDefault="00286A88" w:rsidP="00640DDF">
            <w:pPr>
              <w:pStyle w:val="NoSpacing"/>
              <w:jc w:val="center"/>
              <w:rPr>
                <w:rFonts w:cs="Arial"/>
                <w:color w:val="auto"/>
                <w:sz w:val="14"/>
                <w:szCs w:val="14"/>
                <w:lang w:val="en-AU" w:eastAsia="en-AU"/>
              </w:rPr>
            </w:pPr>
            <w:r w:rsidRPr="00640DDF">
              <w:rPr>
                <w:rFonts w:cs="Arial"/>
                <w:color w:val="auto"/>
                <w:sz w:val="14"/>
                <w:szCs w:val="14"/>
                <w:lang w:val="en-AU" w:eastAsia="en-AU"/>
              </w:rPr>
              <w:t>inadequate</w:t>
            </w:r>
            <w:r w:rsidRPr="00640DDF">
              <w:rPr>
                <w:rFonts w:cs="Arial"/>
                <w:color w:val="auto"/>
                <w:sz w:val="14"/>
                <w:szCs w:val="14"/>
                <w:lang w:val="en-AU" w:eastAsia="en-AU"/>
              </w:rPr>
              <w:br/>
              <w:t>stun</w:t>
            </w:r>
          </w:p>
        </w:tc>
        <w:tc>
          <w:tcPr>
            <w:tcW w:w="1360" w:type="dxa"/>
            <w:tcBorders>
              <w:top w:val="nil"/>
              <w:left w:val="dotted" w:sz="4" w:space="0" w:color="auto"/>
              <w:bottom w:val="nil"/>
              <w:right w:val="single" w:sz="8" w:space="0" w:color="auto"/>
            </w:tcBorders>
            <w:shd w:val="clear" w:color="auto" w:fill="auto"/>
            <w:vAlign w:val="center"/>
            <w:hideMark/>
          </w:tcPr>
          <w:p w14:paraId="7486D7DF" w14:textId="77777777" w:rsidR="00286A88" w:rsidRPr="00640DDF" w:rsidRDefault="00286A88" w:rsidP="00640DDF">
            <w:pPr>
              <w:pStyle w:val="NoSpacing"/>
              <w:rPr>
                <w:rFonts w:cs="Arial"/>
                <w:sz w:val="14"/>
                <w:szCs w:val="14"/>
                <w:lang w:val="en-AU" w:eastAsia="en-AU"/>
              </w:rPr>
            </w:pPr>
            <w:r w:rsidRPr="00640DDF">
              <w:rPr>
                <w:rFonts w:cs="Arial"/>
                <w:sz w:val="14"/>
                <w:szCs w:val="14"/>
                <w:lang w:val="en-AU" w:eastAsia="en-AU"/>
              </w:rPr>
              <w:t>&gt;90% unconscious &lt;20% of birds recover within</w:t>
            </w:r>
            <w:r w:rsidR="00B75036" w:rsidRPr="00640DDF">
              <w:rPr>
                <w:rFonts w:cs="Arial"/>
                <w:sz w:val="14"/>
                <w:szCs w:val="14"/>
                <w:lang w:val="en-AU" w:eastAsia="en-AU"/>
              </w:rPr>
              <w:t xml:space="preserve"> </w:t>
            </w:r>
            <w:r w:rsidRPr="00640DDF">
              <w:rPr>
                <w:rFonts w:cs="Arial"/>
                <w:sz w:val="14"/>
                <w:szCs w:val="14"/>
                <w:lang w:val="en-AU" w:eastAsia="en-AU"/>
              </w:rPr>
              <w:t>40 s</w:t>
            </w:r>
          </w:p>
        </w:tc>
        <w:tc>
          <w:tcPr>
            <w:tcW w:w="1360" w:type="dxa"/>
            <w:tcBorders>
              <w:top w:val="nil"/>
              <w:left w:val="nil"/>
              <w:bottom w:val="nil"/>
              <w:right w:val="dotted" w:sz="4" w:space="0" w:color="auto"/>
            </w:tcBorders>
            <w:shd w:val="clear" w:color="000000" w:fill="D9D9D9"/>
            <w:vAlign w:val="center"/>
            <w:hideMark/>
          </w:tcPr>
          <w:p w14:paraId="741482EA" w14:textId="77777777" w:rsidR="00286A88" w:rsidRPr="00640DDF" w:rsidRDefault="00286A88" w:rsidP="00640DDF">
            <w:pPr>
              <w:pStyle w:val="NoSpacing"/>
              <w:jc w:val="center"/>
              <w:rPr>
                <w:rFonts w:cs="Arial"/>
                <w:color w:val="auto"/>
                <w:sz w:val="14"/>
                <w:szCs w:val="14"/>
                <w:lang w:val="en-AU" w:eastAsia="en-AU"/>
              </w:rPr>
            </w:pPr>
            <w:r w:rsidRPr="00640DDF">
              <w:rPr>
                <w:rFonts w:cs="Arial"/>
                <w:color w:val="auto"/>
                <w:sz w:val="14"/>
                <w:szCs w:val="14"/>
                <w:lang w:val="en-AU" w:eastAsia="en-AU"/>
              </w:rPr>
              <w:t>inadequate</w:t>
            </w:r>
            <w:r w:rsidRPr="00640DDF">
              <w:rPr>
                <w:rFonts w:cs="Arial"/>
                <w:color w:val="auto"/>
                <w:sz w:val="14"/>
                <w:szCs w:val="14"/>
                <w:lang w:val="en-AU" w:eastAsia="en-AU"/>
              </w:rPr>
              <w:br/>
              <w:t>stun</w:t>
            </w:r>
          </w:p>
        </w:tc>
        <w:tc>
          <w:tcPr>
            <w:tcW w:w="1360" w:type="dxa"/>
            <w:tcBorders>
              <w:top w:val="nil"/>
              <w:left w:val="dotted" w:sz="4" w:space="0" w:color="auto"/>
              <w:bottom w:val="nil"/>
              <w:right w:val="single" w:sz="8" w:space="0" w:color="auto"/>
            </w:tcBorders>
            <w:shd w:val="clear" w:color="auto" w:fill="auto"/>
            <w:vAlign w:val="center"/>
            <w:hideMark/>
          </w:tcPr>
          <w:p w14:paraId="51EF436B" w14:textId="77777777" w:rsidR="00286A88" w:rsidRPr="00640DDF" w:rsidRDefault="00286A88" w:rsidP="00640DDF">
            <w:pPr>
              <w:pStyle w:val="NoSpacing"/>
              <w:rPr>
                <w:rFonts w:cs="Arial"/>
                <w:sz w:val="14"/>
                <w:szCs w:val="14"/>
                <w:lang w:val="en-AU" w:eastAsia="en-AU"/>
              </w:rPr>
            </w:pPr>
            <w:r w:rsidRPr="00640DDF">
              <w:rPr>
                <w:rFonts w:cs="Arial"/>
                <w:sz w:val="14"/>
                <w:szCs w:val="14"/>
                <w:lang w:val="en-AU" w:eastAsia="en-AU"/>
              </w:rPr>
              <w:t>&gt;90% unconscious &lt;20% of birds recover within</w:t>
            </w:r>
            <w:r w:rsidR="00B75036" w:rsidRPr="00640DDF">
              <w:rPr>
                <w:rFonts w:cs="Arial"/>
                <w:sz w:val="14"/>
                <w:szCs w:val="14"/>
                <w:lang w:val="en-AU" w:eastAsia="en-AU"/>
              </w:rPr>
              <w:t xml:space="preserve"> </w:t>
            </w:r>
            <w:r w:rsidRPr="00640DDF">
              <w:rPr>
                <w:rFonts w:cs="Arial"/>
                <w:sz w:val="14"/>
                <w:szCs w:val="14"/>
                <w:lang w:val="en-AU" w:eastAsia="en-AU"/>
              </w:rPr>
              <w:t>40 s</w:t>
            </w:r>
          </w:p>
        </w:tc>
        <w:tc>
          <w:tcPr>
            <w:tcW w:w="1360" w:type="dxa"/>
            <w:tcBorders>
              <w:top w:val="nil"/>
              <w:left w:val="nil"/>
              <w:bottom w:val="nil"/>
              <w:right w:val="dotted" w:sz="4" w:space="0" w:color="auto"/>
            </w:tcBorders>
            <w:shd w:val="clear" w:color="000000" w:fill="D9D9D9"/>
            <w:vAlign w:val="center"/>
            <w:hideMark/>
          </w:tcPr>
          <w:p w14:paraId="62FA35D0" w14:textId="77777777" w:rsidR="00286A88" w:rsidRPr="00640DDF" w:rsidRDefault="00286A88" w:rsidP="00640DDF">
            <w:pPr>
              <w:pStyle w:val="NoSpacing"/>
              <w:jc w:val="center"/>
              <w:rPr>
                <w:rFonts w:cs="Arial"/>
                <w:color w:val="auto"/>
                <w:sz w:val="14"/>
                <w:szCs w:val="14"/>
                <w:lang w:val="en-AU" w:eastAsia="en-AU"/>
              </w:rPr>
            </w:pPr>
            <w:r w:rsidRPr="00640DDF">
              <w:rPr>
                <w:rFonts w:cs="Arial"/>
                <w:color w:val="auto"/>
                <w:sz w:val="14"/>
                <w:szCs w:val="14"/>
                <w:lang w:val="en-AU" w:eastAsia="en-AU"/>
              </w:rPr>
              <w:t>inadequate</w:t>
            </w:r>
            <w:r w:rsidRPr="00640DDF">
              <w:rPr>
                <w:rFonts w:cs="Arial"/>
                <w:color w:val="auto"/>
                <w:sz w:val="14"/>
                <w:szCs w:val="14"/>
                <w:lang w:val="en-AU" w:eastAsia="en-AU"/>
              </w:rPr>
              <w:br/>
              <w:t>stun</w:t>
            </w:r>
          </w:p>
        </w:tc>
        <w:tc>
          <w:tcPr>
            <w:tcW w:w="1360" w:type="dxa"/>
            <w:tcBorders>
              <w:top w:val="nil"/>
              <w:left w:val="dotted" w:sz="4" w:space="0" w:color="auto"/>
              <w:bottom w:val="nil"/>
              <w:right w:val="single" w:sz="8" w:space="0" w:color="auto"/>
            </w:tcBorders>
            <w:shd w:val="clear" w:color="auto" w:fill="auto"/>
            <w:vAlign w:val="center"/>
            <w:hideMark/>
          </w:tcPr>
          <w:p w14:paraId="33EF5384" w14:textId="77777777" w:rsidR="00286A88" w:rsidRPr="00640DDF" w:rsidRDefault="00286A88" w:rsidP="00640DDF">
            <w:pPr>
              <w:pStyle w:val="NoSpacing"/>
              <w:rPr>
                <w:rFonts w:cs="Arial"/>
                <w:sz w:val="14"/>
                <w:szCs w:val="14"/>
                <w:lang w:val="en-AU" w:eastAsia="en-AU"/>
              </w:rPr>
            </w:pPr>
            <w:r w:rsidRPr="00640DDF">
              <w:rPr>
                <w:rFonts w:cs="Arial"/>
                <w:sz w:val="14"/>
                <w:szCs w:val="14"/>
                <w:lang w:val="en-AU" w:eastAsia="en-AU"/>
              </w:rPr>
              <w:t>&gt;85% unconscious Significant recovery within</w:t>
            </w:r>
            <w:r w:rsidR="00B75036" w:rsidRPr="00640DDF">
              <w:rPr>
                <w:rFonts w:cs="Arial"/>
                <w:sz w:val="14"/>
                <w:szCs w:val="14"/>
                <w:lang w:val="en-AU" w:eastAsia="en-AU"/>
              </w:rPr>
              <w:t xml:space="preserve"> </w:t>
            </w:r>
            <w:r w:rsidRPr="00640DDF">
              <w:rPr>
                <w:rFonts w:cs="Arial"/>
                <w:sz w:val="14"/>
                <w:szCs w:val="14"/>
                <w:lang w:val="en-AU" w:eastAsia="en-AU"/>
              </w:rPr>
              <w:t>40 s</w:t>
            </w:r>
          </w:p>
        </w:tc>
        <w:tc>
          <w:tcPr>
            <w:tcW w:w="880" w:type="dxa"/>
            <w:tcBorders>
              <w:top w:val="nil"/>
              <w:left w:val="nil"/>
              <w:bottom w:val="nil"/>
              <w:right w:val="single" w:sz="8" w:space="0" w:color="auto"/>
            </w:tcBorders>
            <w:shd w:val="clear" w:color="000000" w:fill="D9D9D9"/>
            <w:vAlign w:val="center"/>
            <w:hideMark/>
          </w:tcPr>
          <w:p w14:paraId="7F63B874" w14:textId="77777777" w:rsidR="00286A88" w:rsidRPr="00640DDF" w:rsidRDefault="00286A88" w:rsidP="00640DDF">
            <w:pPr>
              <w:pStyle w:val="NoSpacing"/>
              <w:jc w:val="center"/>
              <w:rPr>
                <w:rFonts w:cs="Arial"/>
                <w:color w:val="auto"/>
                <w:sz w:val="14"/>
                <w:szCs w:val="14"/>
                <w:lang w:val="en-AU" w:eastAsia="en-AU"/>
              </w:rPr>
            </w:pPr>
            <w:r w:rsidRPr="00640DDF">
              <w:rPr>
                <w:rFonts w:cs="Arial"/>
                <w:color w:val="auto"/>
                <w:sz w:val="14"/>
                <w:szCs w:val="14"/>
                <w:lang w:val="en-AU" w:eastAsia="en-AU"/>
              </w:rPr>
              <w:t>inadequate</w:t>
            </w:r>
            <w:r w:rsidRPr="00640DDF">
              <w:rPr>
                <w:rFonts w:cs="Arial"/>
                <w:color w:val="auto"/>
                <w:sz w:val="14"/>
                <w:szCs w:val="14"/>
                <w:lang w:val="en-AU" w:eastAsia="en-AU"/>
              </w:rPr>
              <w:br/>
              <w:t>stun</w:t>
            </w:r>
          </w:p>
        </w:tc>
      </w:tr>
      <w:tr w:rsidR="00286A88" w:rsidRPr="00286A88" w14:paraId="7EA4388E" w14:textId="77777777" w:rsidTr="00640DDF">
        <w:trPr>
          <w:trHeight w:val="860"/>
        </w:trPr>
        <w:tc>
          <w:tcPr>
            <w:tcW w:w="839" w:type="dxa"/>
            <w:tcBorders>
              <w:top w:val="nil"/>
              <w:left w:val="single" w:sz="8" w:space="0" w:color="auto"/>
              <w:bottom w:val="nil"/>
              <w:right w:val="nil"/>
            </w:tcBorders>
            <w:shd w:val="clear" w:color="auto" w:fill="auto"/>
            <w:noWrap/>
            <w:vAlign w:val="center"/>
            <w:hideMark/>
          </w:tcPr>
          <w:p w14:paraId="64E9E718" w14:textId="77777777" w:rsidR="00286A88" w:rsidRPr="00640DDF" w:rsidRDefault="00286A88" w:rsidP="00640DDF">
            <w:pPr>
              <w:pStyle w:val="NoSpacing"/>
              <w:jc w:val="center"/>
              <w:rPr>
                <w:rFonts w:cs="Arial"/>
                <w:b/>
                <w:sz w:val="14"/>
                <w:szCs w:val="14"/>
                <w:lang w:val="en-AU" w:eastAsia="en-AU"/>
              </w:rPr>
            </w:pPr>
            <w:r w:rsidRPr="00640DDF">
              <w:rPr>
                <w:rFonts w:cs="Arial"/>
                <w:b/>
                <w:sz w:val="14"/>
                <w:szCs w:val="14"/>
                <w:lang w:val="en-AU" w:eastAsia="en-AU"/>
              </w:rPr>
              <w:t>200 mA</w:t>
            </w:r>
          </w:p>
        </w:tc>
        <w:tc>
          <w:tcPr>
            <w:tcW w:w="1360" w:type="dxa"/>
            <w:tcBorders>
              <w:top w:val="nil"/>
              <w:left w:val="single" w:sz="8" w:space="0" w:color="auto"/>
              <w:bottom w:val="nil"/>
              <w:right w:val="dotted" w:sz="4" w:space="0" w:color="auto"/>
            </w:tcBorders>
            <w:shd w:val="clear" w:color="000000" w:fill="D9D9D9"/>
            <w:vAlign w:val="center"/>
            <w:hideMark/>
          </w:tcPr>
          <w:p w14:paraId="7C53735C" w14:textId="77777777" w:rsidR="00286A88" w:rsidRPr="00640DDF" w:rsidRDefault="00286A88" w:rsidP="00640DDF">
            <w:pPr>
              <w:pStyle w:val="NoSpacing"/>
              <w:jc w:val="center"/>
              <w:rPr>
                <w:rFonts w:cs="Arial"/>
                <w:color w:val="auto"/>
                <w:sz w:val="14"/>
                <w:szCs w:val="14"/>
                <w:lang w:val="en-AU" w:eastAsia="en-AU"/>
              </w:rPr>
            </w:pPr>
            <w:r w:rsidRPr="00640DDF">
              <w:rPr>
                <w:rFonts w:cs="Arial"/>
                <w:color w:val="auto"/>
                <w:sz w:val="14"/>
                <w:szCs w:val="14"/>
                <w:lang w:val="en-AU" w:eastAsia="en-AU"/>
              </w:rPr>
              <w:t>inadequate</w:t>
            </w:r>
            <w:r w:rsidRPr="00640DDF">
              <w:rPr>
                <w:rFonts w:cs="Arial"/>
                <w:color w:val="auto"/>
                <w:sz w:val="14"/>
                <w:szCs w:val="14"/>
                <w:lang w:val="en-AU" w:eastAsia="en-AU"/>
              </w:rPr>
              <w:br/>
              <w:t>stun</w:t>
            </w:r>
          </w:p>
        </w:tc>
        <w:tc>
          <w:tcPr>
            <w:tcW w:w="1360" w:type="dxa"/>
            <w:tcBorders>
              <w:top w:val="nil"/>
              <w:left w:val="dotted" w:sz="4" w:space="0" w:color="auto"/>
              <w:bottom w:val="nil"/>
              <w:right w:val="single" w:sz="8" w:space="0" w:color="auto"/>
            </w:tcBorders>
            <w:shd w:val="clear" w:color="auto" w:fill="auto"/>
            <w:vAlign w:val="center"/>
            <w:hideMark/>
          </w:tcPr>
          <w:p w14:paraId="287D82FD" w14:textId="77777777" w:rsidR="00286A88" w:rsidRPr="00640DDF" w:rsidRDefault="00286A88" w:rsidP="00640DDF">
            <w:pPr>
              <w:pStyle w:val="NoSpacing"/>
              <w:rPr>
                <w:rFonts w:cs="Arial"/>
                <w:sz w:val="14"/>
                <w:szCs w:val="14"/>
                <w:lang w:val="en-AU" w:eastAsia="en-AU"/>
              </w:rPr>
            </w:pPr>
            <w:r w:rsidRPr="00640DDF">
              <w:rPr>
                <w:rFonts w:cs="Arial"/>
                <w:sz w:val="14"/>
                <w:szCs w:val="14"/>
                <w:lang w:val="en-AU" w:eastAsia="en-AU"/>
              </w:rPr>
              <w:t>&gt;90% unconscious &lt;20% of birds recover within</w:t>
            </w:r>
            <w:r w:rsidR="00B75036" w:rsidRPr="00640DDF">
              <w:rPr>
                <w:rFonts w:cs="Arial"/>
                <w:sz w:val="14"/>
                <w:szCs w:val="14"/>
                <w:lang w:val="en-AU" w:eastAsia="en-AU"/>
              </w:rPr>
              <w:t xml:space="preserve"> </w:t>
            </w:r>
            <w:r w:rsidRPr="00640DDF">
              <w:rPr>
                <w:rFonts w:cs="Arial"/>
                <w:sz w:val="14"/>
                <w:szCs w:val="14"/>
                <w:lang w:val="en-AU" w:eastAsia="en-AU"/>
              </w:rPr>
              <w:t>40 s</w:t>
            </w:r>
          </w:p>
        </w:tc>
        <w:tc>
          <w:tcPr>
            <w:tcW w:w="1360" w:type="dxa"/>
            <w:tcBorders>
              <w:top w:val="nil"/>
              <w:left w:val="nil"/>
              <w:bottom w:val="nil"/>
              <w:right w:val="dotted" w:sz="4" w:space="0" w:color="auto"/>
            </w:tcBorders>
            <w:shd w:val="clear" w:color="000000" w:fill="D9D9D9"/>
            <w:vAlign w:val="center"/>
            <w:hideMark/>
          </w:tcPr>
          <w:p w14:paraId="7216F368" w14:textId="77777777" w:rsidR="00286A88" w:rsidRPr="00640DDF" w:rsidRDefault="00286A88" w:rsidP="00640DDF">
            <w:pPr>
              <w:pStyle w:val="NoSpacing"/>
              <w:jc w:val="center"/>
              <w:rPr>
                <w:rFonts w:cs="Arial"/>
                <w:color w:val="auto"/>
                <w:sz w:val="14"/>
                <w:szCs w:val="14"/>
                <w:lang w:val="en-AU" w:eastAsia="en-AU"/>
              </w:rPr>
            </w:pPr>
            <w:r w:rsidRPr="00640DDF">
              <w:rPr>
                <w:rFonts w:cs="Arial"/>
                <w:color w:val="auto"/>
                <w:sz w:val="14"/>
                <w:szCs w:val="14"/>
                <w:lang w:val="en-AU" w:eastAsia="en-AU"/>
              </w:rPr>
              <w:t>inadequate</w:t>
            </w:r>
            <w:r w:rsidRPr="00640DDF">
              <w:rPr>
                <w:rFonts w:cs="Arial"/>
                <w:color w:val="auto"/>
                <w:sz w:val="14"/>
                <w:szCs w:val="14"/>
                <w:lang w:val="en-AU" w:eastAsia="en-AU"/>
              </w:rPr>
              <w:br/>
              <w:t>stun</w:t>
            </w:r>
          </w:p>
        </w:tc>
        <w:tc>
          <w:tcPr>
            <w:tcW w:w="1360" w:type="dxa"/>
            <w:tcBorders>
              <w:top w:val="nil"/>
              <w:left w:val="dotted" w:sz="4" w:space="0" w:color="auto"/>
              <w:bottom w:val="nil"/>
              <w:right w:val="single" w:sz="8" w:space="0" w:color="auto"/>
            </w:tcBorders>
            <w:shd w:val="clear" w:color="auto" w:fill="auto"/>
            <w:vAlign w:val="center"/>
            <w:hideMark/>
          </w:tcPr>
          <w:p w14:paraId="7584D244" w14:textId="77777777" w:rsidR="00286A88" w:rsidRPr="00640DDF" w:rsidRDefault="00286A88" w:rsidP="00640DDF">
            <w:pPr>
              <w:pStyle w:val="NoSpacing"/>
              <w:rPr>
                <w:rFonts w:cs="Arial"/>
                <w:sz w:val="14"/>
                <w:szCs w:val="14"/>
                <w:lang w:val="en-AU" w:eastAsia="en-AU"/>
              </w:rPr>
            </w:pPr>
            <w:r w:rsidRPr="00640DDF">
              <w:rPr>
                <w:rFonts w:cs="Arial"/>
                <w:sz w:val="14"/>
                <w:szCs w:val="14"/>
                <w:lang w:val="en-AU" w:eastAsia="en-AU"/>
              </w:rPr>
              <w:t>&gt;90% unconscious &lt;20% of birds recover within</w:t>
            </w:r>
            <w:r w:rsidR="00B75036" w:rsidRPr="00640DDF">
              <w:rPr>
                <w:rFonts w:cs="Arial"/>
                <w:sz w:val="14"/>
                <w:szCs w:val="14"/>
                <w:lang w:val="en-AU" w:eastAsia="en-AU"/>
              </w:rPr>
              <w:t xml:space="preserve"> </w:t>
            </w:r>
            <w:r w:rsidRPr="00640DDF">
              <w:rPr>
                <w:rFonts w:cs="Arial"/>
                <w:sz w:val="14"/>
                <w:szCs w:val="14"/>
                <w:lang w:val="en-AU" w:eastAsia="en-AU"/>
              </w:rPr>
              <w:t>40 s</w:t>
            </w:r>
          </w:p>
        </w:tc>
        <w:tc>
          <w:tcPr>
            <w:tcW w:w="1360" w:type="dxa"/>
            <w:tcBorders>
              <w:top w:val="nil"/>
              <w:left w:val="nil"/>
              <w:bottom w:val="nil"/>
              <w:right w:val="dotted" w:sz="4" w:space="0" w:color="auto"/>
            </w:tcBorders>
            <w:shd w:val="clear" w:color="000000" w:fill="D9D9D9"/>
            <w:vAlign w:val="center"/>
            <w:hideMark/>
          </w:tcPr>
          <w:p w14:paraId="038373B7" w14:textId="77777777" w:rsidR="00286A88" w:rsidRPr="00640DDF" w:rsidRDefault="00286A88" w:rsidP="00640DDF">
            <w:pPr>
              <w:pStyle w:val="NoSpacing"/>
              <w:jc w:val="center"/>
              <w:rPr>
                <w:rFonts w:cs="Arial"/>
                <w:color w:val="auto"/>
                <w:sz w:val="14"/>
                <w:szCs w:val="14"/>
                <w:lang w:val="en-AU" w:eastAsia="en-AU"/>
              </w:rPr>
            </w:pPr>
            <w:r w:rsidRPr="00640DDF">
              <w:rPr>
                <w:rFonts w:cs="Arial"/>
                <w:color w:val="auto"/>
                <w:sz w:val="14"/>
                <w:szCs w:val="14"/>
                <w:lang w:val="en-AU" w:eastAsia="en-AU"/>
              </w:rPr>
              <w:t>inadequate</w:t>
            </w:r>
            <w:r w:rsidRPr="00640DDF">
              <w:rPr>
                <w:rFonts w:cs="Arial"/>
                <w:color w:val="auto"/>
                <w:sz w:val="14"/>
                <w:szCs w:val="14"/>
                <w:lang w:val="en-AU" w:eastAsia="en-AU"/>
              </w:rPr>
              <w:br/>
              <w:t>stun</w:t>
            </w:r>
          </w:p>
        </w:tc>
        <w:tc>
          <w:tcPr>
            <w:tcW w:w="1360" w:type="dxa"/>
            <w:tcBorders>
              <w:top w:val="nil"/>
              <w:left w:val="dotted" w:sz="4" w:space="0" w:color="auto"/>
              <w:bottom w:val="nil"/>
              <w:right w:val="single" w:sz="8" w:space="0" w:color="auto"/>
            </w:tcBorders>
            <w:shd w:val="clear" w:color="auto" w:fill="auto"/>
            <w:vAlign w:val="center"/>
            <w:hideMark/>
          </w:tcPr>
          <w:p w14:paraId="64FAF471" w14:textId="77777777" w:rsidR="00286A88" w:rsidRPr="00640DDF" w:rsidRDefault="00286A88" w:rsidP="00640DDF">
            <w:pPr>
              <w:pStyle w:val="NoSpacing"/>
              <w:rPr>
                <w:rFonts w:cs="Arial"/>
                <w:sz w:val="14"/>
                <w:szCs w:val="14"/>
                <w:lang w:val="en-AU" w:eastAsia="en-AU"/>
              </w:rPr>
            </w:pPr>
            <w:r w:rsidRPr="00640DDF">
              <w:rPr>
                <w:rFonts w:cs="Arial"/>
                <w:sz w:val="14"/>
                <w:szCs w:val="14"/>
                <w:lang w:val="en-AU" w:eastAsia="en-AU"/>
              </w:rPr>
              <w:t>&gt;85% unconscious Significant recovery within</w:t>
            </w:r>
            <w:r w:rsidR="00B75036" w:rsidRPr="00640DDF">
              <w:rPr>
                <w:rFonts w:cs="Arial"/>
                <w:sz w:val="14"/>
                <w:szCs w:val="14"/>
                <w:lang w:val="en-AU" w:eastAsia="en-AU"/>
              </w:rPr>
              <w:t xml:space="preserve"> </w:t>
            </w:r>
            <w:r w:rsidRPr="00640DDF">
              <w:rPr>
                <w:rFonts w:cs="Arial"/>
                <w:sz w:val="14"/>
                <w:szCs w:val="14"/>
                <w:lang w:val="en-AU" w:eastAsia="en-AU"/>
              </w:rPr>
              <w:t>40 s</w:t>
            </w:r>
          </w:p>
        </w:tc>
        <w:tc>
          <w:tcPr>
            <w:tcW w:w="880" w:type="dxa"/>
            <w:tcBorders>
              <w:top w:val="nil"/>
              <w:left w:val="nil"/>
              <w:bottom w:val="nil"/>
              <w:right w:val="single" w:sz="8" w:space="0" w:color="auto"/>
            </w:tcBorders>
            <w:shd w:val="clear" w:color="000000" w:fill="D9D9D9"/>
            <w:vAlign w:val="center"/>
            <w:hideMark/>
          </w:tcPr>
          <w:p w14:paraId="0A807F67" w14:textId="77777777" w:rsidR="00286A88" w:rsidRPr="00640DDF" w:rsidRDefault="00286A88" w:rsidP="00640DDF">
            <w:pPr>
              <w:pStyle w:val="NoSpacing"/>
              <w:jc w:val="center"/>
              <w:rPr>
                <w:rFonts w:cs="Arial"/>
                <w:color w:val="auto"/>
                <w:sz w:val="14"/>
                <w:szCs w:val="14"/>
                <w:lang w:val="en-AU" w:eastAsia="en-AU"/>
              </w:rPr>
            </w:pPr>
            <w:r w:rsidRPr="00640DDF">
              <w:rPr>
                <w:rFonts w:cs="Arial"/>
                <w:color w:val="auto"/>
                <w:sz w:val="14"/>
                <w:szCs w:val="14"/>
                <w:lang w:val="en-AU" w:eastAsia="en-AU"/>
              </w:rPr>
              <w:t>inadequate</w:t>
            </w:r>
            <w:r w:rsidRPr="00640DDF">
              <w:rPr>
                <w:rFonts w:cs="Arial"/>
                <w:color w:val="auto"/>
                <w:sz w:val="14"/>
                <w:szCs w:val="14"/>
                <w:lang w:val="en-AU" w:eastAsia="en-AU"/>
              </w:rPr>
              <w:br/>
              <w:t>stun</w:t>
            </w:r>
          </w:p>
        </w:tc>
      </w:tr>
      <w:tr w:rsidR="00286A88" w:rsidRPr="00286A88" w14:paraId="3A58ADD2" w14:textId="77777777" w:rsidTr="00640DDF">
        <w:trPr>
          <w:trHeight w:val="860"/>
        </w:trPr>
        <w:tc>
          <w:tcPr>
            <w:tcW w:w="839" w:type="dxa"/>
            <w:tcBorders>
              <w:top w:val="nil"/>
              <w:left w:val="single" w:sz="8" w:space="0" w:color="auto"/>
              <w:bottom w:val="single" w:sz="8" w:space="0" w:color="auto"/>
              <w:right w:val="nil"/>
            </w:tcBorders>
            <w:shd w:val="clear" w:color="auto" w:fill="auto"/>
            <w:noWrap/>
            <w:vAlign w:val="center"/>
            <w:hideMark/>
          </w:tcPr>
          <w:p w14:paraId="7D1A8AE1" w14:textId="77777777" w:rsidR="00286A88" w:rsidRPr="00640DDF" w:rsidRDefault="00286A88" w:rsidP="00640DDF">
            <w:pPr>
              <w:pStyle w:val="NoSpacing"/>
              <w:jc w:val="center"/>
              <w:rPr>
                <w:rFonts w:cs="Arial"/>
                <w:b/>
                <w:sz w:val="14"/>
                <w:szCs w:val="14"/>
                <w:lang w:val="en-AU" w:eastAsia="en-AU"/>
              </w:rPr>
            </w:pPr>
            <w:r w:rsidRPr="00640DDF">
              <w:rPr>
                <w:rFonts w:cs="Arial"/>
                <w:b/>
                <w:sz w:val="14"/>
                <w:szCs w:val="14"/>
                <w:lang w:val="en-AU" w:eastAsia="en-AU"/>
              </w:rPr>
              <w:t>282</w:t>
            </w:r>
            <w:r w:rsidR="00B75036" w:rsidRPr="00640DDF">
              <w:rPr>
                <w:rFonts w:cs="Arial"/>
                <w:b/>
                <w:sz w:val="14"/>
                <w:szCs w:val="14"/>
                <w:lang w:val="en-AU" w:eastAsia="en-AU"/>
              </w:rPr>
              <w:t xml:space="preserve"> </w:t>
            </w:r>
            <w:r w:rsidRPr="00640DDF">
              <w:rPr>
                <w:rFonts w:cs="Arial"/>
                <w:b/>
                <w:sz w:val="14"/>
                <w:szCs w:val="14"/>
                <w:lang w:val="en-AU" w:eastAsia="en-AU"/>
              </w:rPr>
              <w:t>mA</w:t>
            </w:r>
          </w:p>
        </w:tc>
        <w:tc>
          <w:tcPr>
            <w:tcW w:w="1360" w:type="dxa"/>
            <w:tcBorders>
              <w:top w:val="nil"/>
              <w:left w:val="single" w:sz="8" w:space="0" w:color="auto"/>
              <w:bottom w:val="single" w:sz="8" w:space="0" w:color="auto"/>
              <w:right w:val="dotted" w:sz="4" w:space="0" w:color="auto"/>
            </w:tcBorders>
            <w:shd w:val="clear" w:color="auto" w:fill="auto"/>
            <w:vAlign w:val="center"/>
            <w:hideMark/>
          </w:tcPr>
          <w:p w14:paraId="7E4EDE22" w14:textId="77777777" w:rsidR="00286A88" w:rsidRPr="00BC6AF1" w:rsidRDefault="00286A88" w:rsidP="00640DDF">
            <w:pPr>
              <w:pStyle w:val="NoSpacing"/>
              <w:rPr>
                <w:color w:val="auto"/>
                <w:sz w:val="14"/>
                <w:szCs w:val="14"/>
                <w:lang w:val="en-CA" w:eastAsia="en-AU"/>
              </w:rPr>
            </w:pPr>
            <w:r w:rsidRPr="00640DDF">
              <w:rPr>
                <w:rFonts w:cs="Arial"/>
                <w:sz w:val="14"/>
                <w:szCs w:val="14"/>
                <w:lang w:val="en-AU" w:eastAsia="en-AU"/>
              </w:rPr>
              <w:t>&gt;80% unconscious No recovery within 8 s</w:t>
            </w:r>
          </w:p>
        </w:tc>
        <w:tc>
          <w:tcPr>
            <w:tcW w:w="1360" w:type="dxa"/>
            <w:tcBorders>
              <w:top w:val="nil"/>
              <w:left w:val="dotted" w:sz="4" w:space="0" w:color="auto"/>
              <w:bottom w:val="single" w:sz="8" w:space="0" w:color="auto"/>
              <w:right w:val="single" w:sz="8" w:space="0" w:color="auto"/>
            </w:tcBorders>
            <w:shd w:val="clear" w:color="000000" w:fill="D9D9D9"/>
            <w:vAlign w:val="center"/>
            <w:hideMark/>
          </w:tcPr>
          <w:p w14:paraId="32ACBD0E" w14:textId="77777777" w:rsidR="00286A88" w:rsidRPr="00640DDF" w:rsidRDefault="00286A88" w:rsidP="00640DDF">
            <w:pPr>
              <w:pStyle w:val="NoSpacing"/>
              <w:jc w:val="center"/>
              <w:rPr>
                <w:rFonts w:cs="Arial"/>
                <w:color w:val="auto"/>
                <w:sz w:val="14"/>
                <w:szCs w:val="14"/>
                <w:lang w:val="en-AU" w:eastAsia="en-AU"/>
              </w:rPr>
            </w:pPr>
            <w:r w:rsidRPr="00640DDF">
              <w:rPr>
                <w:rFonts w:cs="Arial"/>
                <w:color w:val="auto"/>
                <w:sz w:val="14"/>
                <w:szCs w:val="14"/>
                <w:lang w:val="en-AU" w:eastAsia="en-AU"/>
              </w:rPr>
              <w:t>combination not tested</w:t>
            </w:r>
          </w:p>
        </w:tc>
        <w:tc>
          <w:tcPr>
            <w:tcW w:w="1360" w:type="dxa"/>
            <w:tcBorders>
              <w:top w:val="nil"/>
              <w:left w:val="nil"/>
              <w:bottom w:val="single" w:sz="8" w:space="0" w:color="auto"/>
              <w:right w:val="dotted" w:sz="4" w:space="0" w:color="auto"/>
            </w:tcBorders>
            <w:shd w:val="clear" w:color="auto" w:fill="auto"/>
            <w:vAlign w:val="center"/>
            <w:hideMark/>
          </w:tcPr>
          <w:p w14:paraId="27DDA1EC" w14:textId="77777777" w:rsidR="00286A88" w:rsidRPr="00BC6AF1" w:rsidRDefault="00286A88" w:rsidP="00640DDF">
            <w:pPr>
              <w:pStyle w:val="NoSpacing"/>
              <w:rPr>
                <w:color w:val="auto"/>
                <w:sz w:val="14"/>
                <w:szCs w:val="14"/>
                <w:lang w:val="en-CA" w:eastAsia="en-AU"/>
              </w:rPr>
            </w:pPr>
            <w:r w:rsidRPr="00640DDF">
              <w:rPr>
                <w:rFonts w:cs="Arial"/>
                <w:sz w:val="14"/>
                <w:szCs w:val="14"/>
                <w:lang w:val="en-AU" w:eastAsia="en-AU"/>
              </w:rPr>
              <w:t>&gt;80% unconscious No recovery within 8s</w:t>
            </w:r>
          </w:p>
        </w:tc>
        <w:tc>
          <w:tcPr>
            <w:tcW w:w="1360" w:type="dxa"/>
            <w:tcBorders>
              <w:top w:val="nil"/>
              <w:left w:val="dotted" w:sz="4" w:space="0" w:color="auto"/>
              <w:bottom w:val="single" w:sz="8" w:space="0" w:color="auto"/>
              <w:right w:val="single" w:sz="8" w:space="0" w:color="auto"/>
            </w:tcBorders>
            <w:shd w:val="clear" w:color="000000" w:fill="D9D9D9"/>
            <w:vAlign w:val="center"/>
            <w:hideMark/>
          </w:tcPr>
          <w:p w14:paraId="7C999A6C" w14:textId="77777777" w:rsidR="00286A88" w:rsidRPr="00640DDF" w:rsidRDefault="00286A88" w:rsidP="00640DDF">
            <w:pPr>
              <w:pStyle w:val="NoSpacing"/>
              <w:jc w:val="center"/>
              <w:rPr>
                <w:rFonts w:cs="Arial"/>
                <w:color w:val="auto"/>
                <w:sz w:val="14"/>
                <w:szCs w:val="14"/>
                <w:lang w:val="en-AU" w:eastAsia="en-AU"/>
              </w:rPr>
            </w:pPr>
            <w:r w:rsidRPr="00640DDF">
              <w:rPr>
                <w:rFonts w:cs="Arial"/>
                <w:color w:val="auto"/>
                <w:sz w:val="14"/>
                <w:szCs w:val="14"/>
                <w:lang w:val="en-AU" w:eastAsia="en-AU"/>
              </w:rPr>
              <w:t>combination not tested</w:t>
            </w:r>
          </w:p>
        </w:tc>
        <w:tc>
          <w:tcPr>
            <w:tcW w:w="1360" w:type="dxa"/>
            <w:tcBorders>
              <w:top w:val="nil"/>
              <w:left w:val="nil"/>
              <w:bottom w:val="single" w:sz="8" w:space="0" w:color="auto"/>
              <w:right w:val="dotted" w:sz="4" w:space="0" w:color="auto"/>
            </w:tcBorders>
            <w:shd w:val="clear" w:color="000000" w:fill="D9D9D9"/>
            <w:vAlign w:val="center"/>
            <w:hideMark/>
          </w:tcPr>
          <w:p w14:paraId="2BC60A36" w14:textId="77777777" w:rsidR="00286A88" w:rsidRPr="00640DDF" w:rsidRDefault="00286A88" w:rsidP="00640DDF">
            <w:pPr>
              <w:pStyle w:val="NoSpacing"/>
              <w:jc w:val="center"/>
              <w:rPr>
                <w:rFonts w:cs="Arial"/>
                <w:color w:val="auto"/>
                <w:sz w:val="14"/>
                <w:szCs w:val="14"/>
                <w:lang w:val="en-AU" w:eastAsia="en-AU"/>
              </w:rPr>
            </w:pPr>
            <w:r w:rsidRPr="00640DDF">
              <w:rPr>
                <w:rFonts w:cs="Arial"/>
                <w:color w:val="auto"/>
                <w:sz w:val="14"/>
                <w:szCs w:val="14"/>
                <w:lang w:val="en-AU" w:eastAsia="en-AU"/>
              </w:rPr>
              <w:t>combination not tested</w:t>
            </w:r>
          </w:p>
        </w:tc>
        <w:tc>
          <w:tcPr>
            <w:tcW w:w="1360" w:type="dxa"/>
            <w:tcBorders>
              <w:top w:val="nil"/>
              <w:left w:val="dotted" w:sz="4" w:space="0" w:color="auto"/>
              <w:bottom w:val="single" w:sz="8" w:space="0" w:color="auto"/>
              <w:right w:val="single" w:sz="8" w:space="0" w:color="auto"/>
            </w:tcBorders>
            <w:shd w:val="clear" w:color="000000" w:fill="D9D9D9"/>
            <w:vAlign w:val="center"/>
            <w:hideMark/>
          </w:tcPr>
          <w:p w14:paraId="67827F86" w14:textId="77777777" w:rsidR="00286A88" w:rsidRPr="00BC6AF1" w:rsidRDefault="00286A88" w:rsidP="00640DDF">
            <w:pPr>
              <w:pStyle w:val="NoSpacing"/>
              <w:jc w:val="center"/>
              <w:rPr>
                <w:color w:val="auto"/>
                <w:sz w:val="14"/>
                <w:szCs w:val="14"/>
                <w:lang w:val="en-CA" w:eastAsia="en-AU"/>
              </w:rPr>
            </w:pPr>
            <w:r w:rsidRPr="00640DDF">
              <w:rPr>
                <w:rFonts w:cs="Arial"/>
                <w:color w:val="auto"/>
                <w:sz w:val="14"/>
                <w:szCs w:val="14"/>
                <w:lang w:val="en-AU" w:eastAsia="en-AU"/>
              </w:rPr>
              <w:t>combination not tested</w:t>
            </w:r>
          </w:p>
        </w:tc>
        <w:tc>
          <w:tcPr>
            <w:tcW w:w="880" w:type="dxa"/>
            <w:tcBorders>
              <w:top w:val="nil"/>
              <w:left w:val="nil"/>
              <w:bottom w:val="single" w:sz="8" w:space="0" w:color="auto"/>
              <w:right w:val="single" w:sz="8" w:space="0" w:color="auto"/>
            </w:tcBorders>
            <w:shd w:val="clear" w:color="000000" w:fill="D9D9D9"/>
            <w:vAlign w:val="center"/>
            <w:hideMark/>
          </w:tcPr>
          <w:p w14:paraId="14632394" w14:textId="77777777" w:rsidR="00286A88" w:rsidRPr="00640DDF" w:rsidRDefault="00286A88" w:rsidP="00640DDF">
            <w:pPr>
              <w:pStyle w:val="NoSpacing"/>
              <w:jc w:val="center"/>
              <w:rPr>
                <w:rFonts w:cs="Arial"/>
                <w:color w:val="auto"/>
                <w:sz w:val="14"/>
                <w:szCs w:val="14"/>
                <w:lang w:val="en-AU" w:eastAsia="en-AU"/>
              </w:rPr>
            </w:pPr>
            <w:r w:rsidRPr="00640DDF">
              <w:rPr>
                <w:rFonts w:cs="Arial"/>
                <w:color w:val="auto"/>
                <w:sz w:val="14"/>
                <w:szCs w:val="14"/>
                <w:lang w:val="en-AU" w:eastAsia="en-AU"/>
              </w:rPr>
              <w:t>inadequate</w:t>
            </w:r>
            <w:r w:rsidRPr="00640DDF">
              <w:rPr>
                <w:rFonts w:cs="Arial"/>
                <w:color w:val="auto"/>
                <w:sz w:val="14"/>
                <w:szCs w:val="14"/>
                <w:lang w:val="en-AU" w:eastAsia="en-AU"/>
              </w:rPr>
              <w:br/>
              <w:t>stun</w:t>
            </w:r>
          </w:p>
        </w:tc>
      </w:tr>
    </w:tbl>
    <w:p w14:paraId="77112EF2" w14:textId="77777777" w:rsidR="00286A88" w:rsidRPr="00286A88" w:rsidRDefault="00286A88" w:rsidP="00B75036"/>
    <w:p w14:paraId="6942FC10" w14:textId="77777777" w:rsidR="00286A88" w:rsidRPr="00515938" w:rsidRDefault="00B75036" w:rsidP="00515938">
      <w:pPr>
        <w:pStyle w:val="Heading41"/>
      </w:pPr>
      <w:r>
        <w:br w:type="column"/>
      </w:r>
      <w:r w:rsidR="00286A88" w:rsidRPr="00515938">
        <w:t>SL3.1b Controlled atmosphere stunning</w:t>
      </w:r>
    </w:p>
    <w:p w14:paraId="49CCDF48" w14:textId="77777777" w:rsidR="00286A88" w:rsidRPr="00286A88" w:rsidRDefault="00286A88" w:rsidP="00B75036">
      <w:pPr>
        <w:rPr>
          <w:lang w:val="en-AU" w:eastAsia="en-AU"/>
        </w:rPr>
      </w:pPr>
      <w:r w:rsidRPr="00286A88">
        <w:rPr>
          <w:lang w:val="en-AU" w:eastAsia="en-AU"/>
        </w:rPr>
        <w:t>All the observations made in the section on Controlled Atmosphere Stunning in Part 1 are relevant to broilers.</w:t>
      </w:r>
    </w:p>
    <w:p w14:paraId="539EB575" w14:textId="77777777" w:rsidR="00286A88" w:rsidRPr="00515938" w:rsidRDefault="00286A88" w:rsidP="00515938">
      <w:pPr>
        <w:pStyle w:val="Heading41"/>
      </w:pPr>
      <w:r w:rsidRPr="00515938">
        <w:t>SL3.1c Low atmosphere pressure stunning</w:t>
      </w:r>
    </w:p>
    <w:p w14:paraId="0AA41D5A" w14:textId="77777777" w:rsidR="00286A88" w:rsidRPr="00286A88" w:rsidRDefault="00286A88" w:rsidP="00B75036">
      <w:pPr>
        <w:rPr>
          <w:lang w:val="en-AU" w:eastAsia="en-AU"/>
        </w:rPr>
      </w:pPr>
      <w:r w:rsidRPr="00286A88">
        <w:rPr>
          <w:lang w:val="en-AU" w:eastAsia="en-AU"/>
        </w:rPr>
        <w:t>All the observations made in the section on Low Atmospheric Pressure Stunning in Part 1 are relevant to broilers.</w:t>
      </w:r>
    </w:p>
    <w:p w14:paraId="5506C2FC" w14:textId="77777777" w:rsidR="00286A88" w:rsidRPr="00515938" w:rsidRDefault="00286A88" w:rsidP="00515938">
      <w:pPr>
        <w:pStyle w:val="Heading41"/>
      </w:pPr>
      <w:r w:rsidRPr="00515938">
        <w:t>SL3.1d Percussive stunning/blunt trauma</w:t>
      </w:r>
    </w:p>
    <w:p w14:paraId="7F732DB6" w14:textId="77777777" w:rsidR="00286A88" w:rsidRPr="00286A88" w:rsidRDefault="00286A88" w:rsidP="00B75036">
      <w:pPr>
        <w:rPr>
          <w:lang w:val="en-AU" w:eastAsia="en-AU"/>
        </w:rPr>
      </w:pPr>
      <w:r w:rsidRPr="00286A88">
        <w:rPr>
          <w:lang w:val="en-AU" w:eastAsia="en-AU"/>
        </w:rPr>
        <w:t xml:space="preserve">Purpose designed percussive stunning devices can be used but the position and angle of the blow may have a critical effect on its success </w:t>
      </w:r>
      <w:r w:rsidRPr="00286A88">
        <w:rPr>
          <w:noProof/>
          <w:lang w:val="en-AU" w:eastAsia="en-AU"/>
        </w:rPr>
        <w:t>(Raj and O’Callaghan, 2001)</w:t>
      </w:r>
      <w:r w:rsidRPr="00286A88">
        <w:rPr>
          <w:lang w:val="en-AU" w:eastAsia="en-AU"/>
        </w:rPr>
        <w:t>.</w:t>
      </w:r>
    </w:p>
    <w:p w14:paraId="00AD9C1A" w14:textId="77777777" w:rsidR="00286A88" w:rsidRPr="00286A88" w:rsidRDefault="00286A88" w:rsidP="00B75036">
      <w:pPr>
        <w:rPr>
          <w:lang w:val="en-AU" w:eastAsia="en-AU"/>
        </w:rPr>
      </w:pPr>
      <w:r w:rsidRPr="00286A88">
        <w:rPr>
          <w:lang w:val="en-AU" w:eastAsia="en-AU"/>
        </w:rPr>
        <w:t xml:space="preserve">It is possible to deliver a percussive stun by hand. </w:t>
      </w:r>
      <w:r w:rsidRPr="00286A88">
        <w:rPr>
          <w:noProof/>
          <w:lang w:val="en-AU" w:eastAsia="en-AU"/>
        </w:rPr>
        <w:t>Cors et al. (2015)</w:t>
      </w:r>
      <w:r w:rsidRPr="00286A88">
        <w:rPr>
          <w:lang w:val="en-AU" w:eastAsia="en-AU"/>
        </w:rPr>
        <w:t xml:space="preserve"> reports that broilers receiving a blow to the fronto-parietal region of the head using a 32 cm long wooden handle (90 g) displayed convulsions, absence of corneal reflex, respiratory arrest, loss of auditory evoked potentials (AEPs) in the EEG, and died within two minutes of trauma. Pupillary reflex was absent in 9 of 10 birds. They also report the outcomes of 10 broiler breeders which received a blow to the fronto-parietal region of the head using a 40 cm long round metal stick (290 g). Although all 10 birds displayed convulsions, only seven lost their corneal and pupillary reflex. Four birds did not display respiratory arrest, and in three birds, while AEP was reduced, it was not absent. Five of the birds died within 2 minutes of trauma.</w:t>
      </w:r>
    </w:p>
    <w:p w14:paraId="1F4A4406" w14:textId="77777777" w:rsidR="00286A88" w:rsidRPr="00286A88" w:rsidRDefault="00286A88" w:rsidP="00B75036">
      <w:pPr>
        <w:rPr>
          <w:lang w:val="en-AU" w:eastAsia="en-AU"/>
        </w:rPr>
      </w:pPr>
      <w:r w:rsidRPr="00286A88">
        <w:rPr>
          <w:lang w:val="en-AU" w:eastAsia="en-AU"/>
        </w:rPr>
        <w:t>This may indicate that broiler breeders are less susceptible to blunt trauma than broilers. Broiler breeders tend to be older than broilers and this may have been the case here. This may lead to the birds having more calcified skulls. Alternatively, this may point to differences in the instrument used to inflict the trauma. The metal stick used to stun broiler breeders had a smaller contact area and was harder than the wooden handle used to stun broilers and so may have caused skull fractures, rather than acceleration of the head, which is necessary to induce concussion. The data presented show that some of the birds stunned with the metal stick sustained fractures to the skull, whereas no fractures are reported for the birds stunned with a wooden handle (</w:t>
      </w:r>
      <w:r w:rsidRPr="00286A88">
        <w:rPr>
          <w:noProof/>
          <w:lang w:val="en-AU" w:eastAsia="en-AU"/>
        </w:rPr>
        <w:t>Cors et al., 2015)</w:t>
      </w:r>
      <w:r w:rsidRPr="00286A88">
        <w:rPr>
          <w:lang w:val="en-AU" w:eastAsia="en-AU"/>
        </w:rPr>
        <w:t>. While it is not possible to quantify the force applied to each bird or the exact position of the blunt trauma, it does illustrate that small differences in application may lead to significantly different outcomes across birds.</w:t>
      </w:r>
    </w:p>
    <w:p w14:paraId="7F2064F5" w14:textId="77777777" w:rsidR="00286A88" w:rsidRPr="00515938" w:rsidRDefault="00286A88" w:rsidP="00515938">
      <w:pPr>
        <w:pStyle w:val="Heading3"/>
      </w:pPr>
      <w:bookmarkStart w:id="393" w:name="_Toc495310860"/>
      <w:r w:rsidRPr="00515938">
        <w:t>SL3.2 Laying hens</w:t>
      </w:r>
      <w:bookmarkEnd w:id="393"/>
    </w:p>
    <w:p w14:paraId="18CDFAFD" w14:textId="77777777" w:rsidR="00286A88" w:rsidRPr="00286A88" w:rsidRDefault="00286A88" w:rsidP="00B75036">
      <w:pPr>
        <w:rPr>
          <w:lang w:val="en-AU" w:eastAsia="en-AU"/>
        </w:rPr>
      </w:pPr>
      <w:r w:rsidRPr="00286A88">
        <w:rPr>
          <w:lang w:val="en-AU" w:eastAsia="en-AU"/>
        </w:rPr>
        <w:t xml:space="preserve">There is relatively little peer-reviewed literature available regarding the slaughter of laying hens. Outside of emergency killing or humane killing for ill and injured individuals, laying hens are often killed at the end of their peak laying performance at approximately 1 year old. This is in contrast to broilers, which are typically killed at 7 weeks of age. End-of-lay hens (also known as spent hens) may suffer from brittle bones, and are susceptible to injury if caught, transported and shackled for slaughter </w:t>
      </w:r>
      <w:r w:rsidRPr="00286A88">
        <w:rPr>
          <w:noProof/>
          <w:lang w:val="en-AU" w:eastAsia="en-AU"/>
        </w:rPr>
        <w:t>(Knowles and Wilkins, 1998)</w:t>
      </w:r>
      <w:r w:rsidRPr="00286A88">
        <w:rPr>
          <w:lang w:val="en-AU" w:eastAsia="en-AU"/>
        </w:rPr>
        <w:t xml:space="preserve">. Estimates of the number of end-of-lay hens presenting with broken bones varies with breed and with the housing and catching method. The percentage of birds sustaining broken bones may be as high as 30% </w:t>
      </w:r>
      <w:r w:rsidRPr="00286A88">
        <w:rPr>
          <w:noProof/>
          <w:lang w:val="en-AU" w:eastAsia="en-AU"/>
        </w:rPr>
        <w:t>(Gregory and Wilkins, 1989b)</w:t>
      </w:r>
      <w:r w:rsidRPr="00286A88">
        <w:rPr>
          <w:lang w:val="en-AU" w:eastAsia="en-AU"/>
        </w:rPr>
        <w:t xml:space="preserve">. Modern commercial layers may sustain more breakages than heritage lines (8-10% vs 3.5%) </w:t>
      </w:r>
      <w:r w:rsidRPr="00286A88">
        <w:rPr>
          <w:noProof/>
          <w:lang w:val="en-AU" w:eastAsia="en-AU"/>
        </w:rPr>
        <w:t>(Budgell and Silversides, 2004)</w:t>
      </w:r>
      <w:r w:rsidRPr="00286A88">
        <w:rPr>
          <w:lang w:val="en-AU" w:eastAsia="en-AU"/>
        </w:rPr>
        <w:t>.</w:t>
      </w:r>
    </w:p>
    <w:p w14:paraId="31226E0A" w14:textId="77777777" w:rsidR="00286A88" w:rsidRPr="00515938" w:rsidRDefault="00286A88" w:rsidP="00515938">
      <w:pPr>
        <w:pStyle w:val="Heading41"/>
      </w:pPr>
      <w:r w:rsidRPr="00515938">
        <w:t>SL3.2a Electrical water-bath</w:t>
      </w:r>
    </w:p>
    <w:p w14:paraId="10E43CF8" w14:textId="77777777" w:rsidR="00286A88" w:rsidRPr="00286A88" w:rsidRDefault="00286A88" w:rsidP="00B75036">
      <w:pPr>
        <w:rPr>
          <w:lang w:val="en-AU" w:eastAsia="en-AU"/>
        </w:rPr>
      </w:pPr>
      <w:r w:rsidRPr="00286A88">
        <w:rPr>
          <w:lang w:val="en-AU" w:eastAsia="en-AU"/>
        </w:rPr>
        <w:t xml:space="preserve">End-of-lay hens tend to have high electrical impedance, meaning that higher voltages are necessary to reach a current suitable for adequate stunning. </w:t>
      </w:r>
      <w:r w:rsidRPr="00286A88">
        <w:rPr>
          <w:noProof/>
          <w:lang w:val="en-AU" w:eastAsia="en-AU"/>
        </w:rPr>
        <w:t>Hindle et al. (2010)</w:t>
      </w:r>
      <w:r w:rsidRPr="00286A88">
        <w:rPr>
          <w:lang w:val="en-AU" w:eastAsia="en-AU"/>
        </w:rPr>
        <w:t xml:space="preserve"> calculated the measured the impedance of hens in an experimental sample and reported impedances of 1,300-5,000 ohms.</w:t>
      </w:r>
    </w:p>
    <w:p w14:paraId="1F03A693" w14:textId="77777777" w:rsidR="00286A88" w:rsidRPr="00286A88" w:rsidRDefault="00286A88" w:rsidP="00B75036">
      <w:pPr>
        <w:rPr>
          <w:lang w:val="en-AU" w:eastAsia="en-AU"/>
        </w:rPr>
      </w:pPr>
      <w:r w:rsidRPr="00286A88">
        <w:rPr>
          <w:noProof/>
          <w:lang w:val="en-AU" w:eastAsia="en-AU"/>
        </w:rPr>
        <w:t>Gregory et al. (1991)</w:t>
      </w:r>
      <w:r w:rsidRPr="00286A88">
        <w:rPr>
          <w:lang w:val="en-AU" w:eastAsia="en-AU"/>
        </w:rPr>
        <w:t xml:space="preserve"> reported that 99% end of lay hens exposed to water-bath stunning showed cardiac fibrillation when stunned with a sinusoidal 50Hz AC current of more than 110 mA rms. More recently </w:t>
      </w:r>
      <w:r w:rsidRPr="00286A88">
        <w:rPr>
          <w:noProof/>
          <w:lang w:val="en-AU" w:eastAsia="en-AU"/>
        </w:rPr>
        <w:t>Hindle et al. (2010)</w:t>
      </w:r>
      <w:r w:rsidRPr="00286A88">
        <w:rPr>
          <w:lang w:val="en-AU" w:eastAsia="en-AU"/>
        </w:rPr>
        <w:t xml:space="preserve"> working with square wave AC in a single-bird water-bath arrangement produced data suggesting that to achieve an effective stun in 90% of hens, the frequency should not be higher than 50 Hz and current not less than 150 mA rms. This may be compared with broilers and ducks which, under the same conditions, were found to require 125 mA and 150 mA respectively.</w:t>
      </w:r>
    </w:p>
    <w:p w14:paraId="6A1A1CE2" w14:textId="77777777" w:rsidR="00286A88" w:rsidRPr="00515938" w:rsidRDefault="00286A88" w:rsidP="00515938">
      <w:pPr>
        <w:pStyle w:val="Heading41"/>
      </w:pPr>
      <w:r w:rsidRPr="00515938">
        <w:t>SL3.2b Electrical head-only stunning</w:t>
      </w:r>
    </w:p>
    <w:p w14:paraId="06D2EEE2" w14:textId="77777777" w:rsidR="00286A88" w:rsidRPr="00286A88" w:rsidRDefault="00286A88" w:rsidP="008B2327">
      <w:pPr>
        <w:rPr>
          <w:lang w:val="en-AU" w:eastAsia="en-AU"/>
        </w:rPr>
      </w:pPr>
      <w:r w:rsidRPr="00286A88">
        <w:rPr>
          <w:lang w:val="en-AU" w:eastAsia="en-AU"/>
        </w:rPr>
        <w:t xml:space="preserve">Head-only stunning produces reversible short duration stuns. </w:t>
      </w:r>
      <w:r w:rsidRPr="00286A88">
        <w:rPr>
          <w:noProof/>
          <w:lang w:val="en-AU" w:eastAsia="en-AU"/>
        </w:rPr>
        <w:t>Gibson et al. (2016)</w:t>
      </w:r>
      <w:r w:rsidRPr="00286A88">
        <w:rPr>
          <w:lang w:val="en-AU" w:eastAsia="en-AU"/>
        </w:rPr>
        <w:t xml:space="preserve"> examined head-only electrical stunning in broilers and end-of-lay hens using standard commercial available electrodes placed on either side of the head spanning the brain. The birds received a 7 s exposure to a 50 Hz AC stunning current of 470 mA (broilers) and 620 mA (hens). The time to return of indicators of consciousness for the hens was significantly shorter than for the broilers (recovery of breathing 24 s (hens) and 33 s (broilers). It is not clear how much of the variation should be attributed to the difference in current, but the study indicates that hens exposed to head-only stunning might experience even shorter durations of unconsciousness than broilers.</w:t>
      </w:r>
    </w:p>
    <w:p w14:paraId="65231357" w14:textId="77777777" w:rsidR="00286A88" w:rsidRPr="00515938" w:rsidRDefault="00286A88" w:rsidP="00515938">
      <w:pPr>
        <w:pStyle w:val="Heading41"/>
      </w:pPr>
      <w:r w:rsidRPr="00515938">
        <w:t>SL3.2c Controlled atmosphere stunning</w:t>
      </w:r>
    </w:p>
    <w:p w14:paraId="0DA9D623" w14:textId="77777777" w:rsidR="00286A88" w:rsidRPr="00286A88" w:rsidRDefault="00286A88" w:rsidP="008B2327">
      <w:pPr>
        <w:rPr>
          <w:lang w:val="en-AU" w:eastAsia="en-AU"/>
        </w:rPr>
      </w:pPr>
      <w:r w:rsidRPr="00286A88">
        <w:rPr>
          <w:noProof/>
          <w:lang w:val="en-AU" w:eastAsia="en-AU"/>
        </w:rPr>
        <w:t>Gerritzen et al. (2007)</w:t>
      </w:r>
      <w:r w:rsidRPr="00286A88">
        <w:rPr>
          <w:lang w:val="en-AU" w:eastAsia="en-AU"/>
        </w:rPr>
        <w:t xml:space="preserve"> provides data suggesting that the conscious responses of hens to carbon dioxide (head shaking, respiratory disruption etc.) may start at higher gas concentrations than in broilers, however there is no indication that hens lose consciousness later than broilers. Apart from this the literature provides no suggestion that controlled atmosphere stunning for hens or broilers should differ.</w:t>
      </w:r>
    </w:p>
    <w:p w14:paraId="4788B4E9" w14:textId="77777777" w:rsidR="00286A88" w:rsidRPr="00286A88" w:rsidRDefault="00286A88" w:rsidP="008B2327">
      <w:pPr>
        <w:rPr>
          <w:lang w:val="en-AU" w:eastAsia="en-AU"/>
        </w:rPr>
      </w:pPr>
      <w:r w:rsidRPr="00286A88">
        <w:rPr>
          <w:noProof/>
          <w:lang w:val="en-AU" w:eastAsia="en-AU"/>
        </w:rPr>
        <w:t>Turner et al. (2012)</w:t>
      </w:r>
      <w:r w:rsidRPr="00286A88">
        <w:rPr>
          <w:lang w:val="en-AU" w:eastAsia="en-AU"/>
        </w:rPr>
        <w:t xml:space="preserve"> reports on trials on use of carbon dioxide for whole house killing of hens for either at end of lay or for disease control. This was carried out in sealed barns into which carbon dioxide was introduced through built-in ducts. EEG evidence indicates that in such a setting, hens may lose consciousness within 2 minutes of carbon dioxide</w:t>
      </w:r>
      <w:r w:rsidRPr="00286A88">
        <w:rPr>
          <w:sz w:val="20"/>
          <w:szCs w:val="20"/>
          <w:lang w:val="en-CA" w:eastAsia="en-AU"/>
        </w:rPr>
        <w:t xml:space="preserve"> </w:t>
      </w:r>
      <w:r w:rsidRPr="00286A88">
        <w:rPr>
          <w:lang w:val="en-AU" w:eastAsia="en-AU"/>
        </w:rPr>
        <w:t>levels reaching 18-20%. Before consciousness is lost, some head-shaking, gasping and clonic muscle contractions may be seen. Unconsciousness is rapidly followed by brain death in approximately 5 minutes.</w:t>
      </w:r>
    </w:p>
    <w:p w14:paraId="62913153" w14:textId="77777777" w:rsidR="00286A88" w:rsidRPr="00286A88" w:rsidRDefault="00286A88" w:rsidP="008B2327">
      <w:pPr>
        <w:rPr>
          <w:lang w:val="en-AU" w:eastAsia="en-AU"/>
        </w:rPr>
      </w:pPr>
      <w:r w:rsidRPr="00286A88">
        <w:rPr>
          <w:lang w:val="en-AU" w:eastAsia="en-AU"/>
        </w:rPr>
        <w:t xml:space="preserve">Submersion in high expansion (300:1 ratio) anoxic foam filled with nitrogen or carbon dioxide induces rapid unconsciousness and death in adult laying hens. Laying hens submerged in nitrogen filled foam demonstrate suppressed EEG activity after 30 s, (suggesting unconsciousness) and an isoelectric EEG was seen after 65 s </w:t>
      </w:r>
      <w:r w:rsidRPr="00286A88">
        <w:rPr>
          <w:noProof/>
          <w:lang w:val="en-AU" w:eastAsia="en-AU"/>
        </w:rPr>
        <w:t>(McKeegan et al., 2013a)</w:t>
      </w:r>
      <w:r w:rsidRPr="00286A88">
        <w:rPr>
          <w:lang w:val="en-AU" w:eastAsia="en-AU"/>
        </w:rPr>
        <w:t>. Residual oxygen levels were between 0.33% and 3.0%. Time to loss of consciousness in carbon dioxide filled foam for hens is not given, although McKeegan reports that broilers showed suppressed EEG after 18 s.</w:t>
      </w:r>
    </w:p>
    <w:p w14:paraId="771E1F75" w14:textId="77777777" w:rsidR="00286A88" w:rsidRPr="00515938" w:rsidRDefault="00286A88" w:rsidP="00515938">
      <w:pPr>
        <w:pStyle w:val="Heading3"/>
      </w:pPr>
      <w:bookmarkStart w:id="394" w:name="_Toc495310861"/>
      <w:r w:rsidRPr="00515938">
        <w:t>SL3.3 Turkeys</w:t>
      </w:r>
      <w:bookmarkEnd w:id="394"/>
    </w:p>
    <w:p w14:paraId="59A9B155" w14:textId="77777777" w:rsidR="00286A88" w:rsidRPr="00286A88" w:rsidRDefault="00286A88" w:rsidP="008B2327">
      <w:pPr>
        <w:rPr>
          <w:lang w:val="en-AU" w:eastAsia="en-AU"/>
        </w:rPr>
      </w:pPr>
      <w:r w:rsidRPr="00286A88">
        <w:rPr>
          <w:lang w:val="en-AU" w:eastAsia="en-AU"/>
        </w:rPr>
        <w:t xml:space="preserve">In the EU, 76% of turkeys are stunned using electrical water-baths, and 24% using CAS </w:t>
      </w:r>
      <w:r w:rsidRPr="00286A88">
        <w:rPr>
          <w:noProof/>
          <w:lang w:val="en-AU" w:eastAsia="en-AU"/>
        </w:rPr>
        <w:t>(European Commission, 2012)</w:t>
      </w:r>
      <w:r w:rsidRPr="00286A88">
        <w:rPr>
          <w:lang w:val="en-AU" w:eastAsia="en-AU"/>
        </w:rPr>
        <w:t>.</w:t>
      </w:r>
    </w:p>
    <w:p w14:paraId="5E04DE06" w14:textId="77777777" w:rsidR="00286A88" w:rsidRPr="00515938" w:rsidRDefault="00286A88" w:rsidP="00515938">
      <w:pPr>
        <w:pStyle w:val="Heading41"/>
      </w:pPr>
      <w:r w:rsidRPr="00515938">
        <w:t>SL3.3a Electrical water-bath and head-only stunning currents</w:t>
      </w:r>
    </w:p>
    <w:p w14:paraId="7BC66557" w14:textId="77777777" w:rsidR="00286A88" w:rsidRPr="00286A88" w:rsidRDefault="00286A88" w:rsidP="008B2327">
      <w:pPr>
        <w:rPr>
          <w:lang w:val="en-AU" w:eastAsia="en-AU"/>
        </w:rPr>
      </w:pPr>
      <w:r w:rsidRPr="00286A88">
        <w:rPr>
          <w:lang w:val="en-AU" w:eastAsia="en-AU"/>
        </w:rPr>
        <w:t xml:space="preserve">There have been few investigations into the water-bath currents required to stun turkeys in an electrical water-bath. </w:t>
      </w:r>
      <w:r w:rsidRPr="00286A88">
        <w:rPr>
          <w:noProof/>
          <w:lang w:val="en-AU" w:eastAsia="en-AU"/>
        </w:rPr>
        <w:t>Mouchonière et al. (2000)</w:t>
      </w:r>
      <w:r w:rsidRPr="00286A88">
        <w:rPr>
          <w:lang w:val="en-AU" w:eastAsia="en-AU"/>
        </w:rPr>
        <w:t xml:space="preserve"> working with 6 kg turkeys tested an AC stun current of 150 mA using frequencies of 50 Hz (5 birds), 300 Hz (30 birds) and 600 Hz (37 birds). Somatosensory evoked potentials (SEPs) were suppressed for all the birds. There was no recovery of SEPs at 50 Hz because all 5 birds experienced cardiac arrest. For the other two conditions SEPs returned at 69 s and 34 s respectively.</w:t>
      </w:r>
    </w:p>
    <w:p w14:paraId="052AC0A8" w14:textId="77777777" w:rsidR="00286A88" w:rsidRPr="00286A88" w:rsidRDefault="00286A88" w:rsidP="008B2327">
      <w:pPr>
        <w:rPr>
          <w:lang w:val="en-AU" w:eastAsia="en-AU"/>
        </w:rPr>
      </w:pPr>
      <w:r w:rsidRPr="00286A88">
        <w:rPr>
          <w:noProof/>
          <w:lang w:val="en-AU" w:eastAsia="en-AU"/>
        </w:rPr>
        <w:t>Gregory and Wotton (1991)</w:t>
      </w:r>
      <w:r w:rsidRPr="00286A88">
        <w:rPr>
          <w:lang w:val="en-AU" w:eastAsia="en-AU"/>
        </w:rPr>
        <w:t>, however, had earlier investigated the use of a 50 Hz AC to stun turkeys in a water-bath. Working with 56 birds of average weight 10.6 kg, they tested currents ranging from 120 to 250 mA. Between 50% and 75% of the birds lost somatosensory evoked potentials (SEPs) and there was no indication that the proportion of birds losing SEPs varied with stunning current. The proportion of birds that displayed cardiac fibrillation increased with current from 75% and only reached 100% at 250 mA.</w:t>
      </w:r>
    </w:p>
    <w:p w14:paraId="542D9EDC" w14:textId="77777777" w:rsidR="00286A88" w:rsidRPr="00286A88" w:rsidRDefault="00286A88" w:rsidP="008B2327">
      <w:pPr>
        <w:rPr>
          <w:lang w:val="en-AU" w:eastAsia="en-AU"/>
        </w:rPr>
      </w:pPr>
      <w:r w:rsidRPr="00286A88">
        <w:rPr>
          <w:lang w:val="en-AU" w:eastAsia="en-AU"/>
        </w:rPr>
        <w:t>Mouchoni</w:t>
      </w:r>
      <w:r w:rsidRPr="00286A88">
        <w:rPr>
          <w:noProof/>
          <w:lang w:val="en-AU" w:eastAsia="en-AU"/>
        </w:rPr>
        <w:t>è</w:t>
      </w:r>
      <w:r w:rsidRPr="00286A88">
        <w:rPr>
          <w:lang w:val="en-AU" w:eastAsia="en-AU"/>
        </w:rPr>
        <w:t>re et al. (2000) suggest that this discrepancy between their water-bath results (100% SEP loss and 100% cardiac arrest) with those of Gregory and Wotton (1991) (50 – 75% SEP loss and 75 – 80% ventricular fibrillation) was due to bird size. They support this with the observation that in another unpublished trial where brain activity was not measured, less than 60% of 10</w:t>
      </w:r>
      <w:r w:rsidR="00056878">
        <w:rPr>
          <w:lang w:val="en-AU" w:eastAsia="en-AU"/>
        </w:rPr>
        <w:t xml:space="preserve"> </w:t>
      </w:r>
      <w:r w:rsidRPr="00286A88">
        <w:rPr>
          <w:lang w:val="en-AU" w:eastAsia="en-AU"/>
        </w:rPr>
        <w:t>kg male turkeys showed cardiac arrest after stunning in a water-bath using 50 Hz AC and a current of 150 mA.</w:t>
      </w:r>
    </w:p>
    <w:p w14:paraId="75342FBE" w14:textId="77777777" w:rsidR="00286A88" w:rsidRPr="00286A88" w:rsidRDefault="00286A88" w:rsidP="008B2327">
      <w:pPr>
        <w:rPr>
          <w:lang w:val="en-AU" w:eastAsia="en-AU"/>
        </w:rPr>
      </w:pPr>
      <w:r w:rsidRPr="00286A88">
        <w:rPr>
          <w:noProof/>
          <w:lang w:val="en-AU" w:eastAsia="en-AU"/>
        </w:rPr>
        <w:t>Gregory and Wotton (1991)</w:t>
      </w:r>
      <w:r w:rsidRPr="00286A88">
        <w:rPr>
          <w:lang w:val="en-AU" w:eastAsia="en-AU"/>
        </w:rPr>
        <w:t xml:space="preserve"> report trials into head-only electric stunning using 50 Hz AC currents of 300 and 400 mA. Eight turkeys were stunned using each current. At 400 mA all the turkeys lost SEP whereas at 300 mA only 25% lost SEP. Recovery for both groups was rapid.</w:t>
      </w:r>
    </w:p>
    <w:p w14:paraId="6E187359" w14:textId="77777777" w:rsidR="00286A88" w:rsidRPr="00286A88" w:rsidRDefault="00286A88" w:rsidP="008B2327">
      <w:pPr>
        <w:rPr>
          <w:lang w:val="en-AU" w:eastAsia="en-AU"/>
        </w:rPr>
      </w:pPr>
      <w:r w:rsidRPr="00286A88">
        <w:rPr>
          <w:lang w:val="en-AU" w:eastAsia="en-AU"/>
        </w:rPr>
        <w:t>Gregory and Wotton (1988) estimated the time to brain death through exsanguination for turkeys to be 64 s. However in light of later work on broilers, this estimate seems to be very conservative. Raj et al. (2006a; 2006c) reported that the EEG of electrically stunned broilers was reduced to 10% of normal power within 20 s of all blood vessels in the neck being severed, whereas Gregory and Wotton (1986) had previously assessed time to brain death to be 60 s.</w:t>
      </w:r>
    </w:p>
    <w:p w14:paraId="3B0E09C1" w14:textId="77777777" w:rsidR="00286A88" w:rsidRPr="00286A88" w:rsidRDefault="00286A88" w:rsidP="008B2327">
      <w:pPr>
        <w:rPr>
          <w:lang w:val="en-AU" w:eastAsia="en-AU"/>
        </w:rPr>
      </w:pPr>
      <w:r w:rsidRPr="00286A88">
        <w:rPr>
          <w:lang w:val="en-AU" w:eastAsia="en-AU"/>
        </w:rPr>
        <w:t xml:space="preserve">On the basis of this sparse information </w:t>
      </w:r>
      <w:r w:rsidRPr="00286A88">
        <w:rPr>
          <w:noProof/>
          <w:lang w:val="en-AU" w:eastAsia="en-AU"/>
        </w:rPr>
        <w:t>EFSA (2012)</w:t>
      </w:r>
      <w:r w:rsidRPr="00286A88">
        <w:rPr>
          <w:lang w:val="en-AU" w:eastAsia="en-AU"/>
        </w:rPr>
        <w:t xml:space="preserve"> make the recommendation that turkeys should be stunned in a water-bath using minimum currents of 250 mA at frequencies of less than 200 Hz and using 400 mA at frequencies of between 400 and 1,500 Hz.</w:t>
      </w:r>
    </w:p>
    <w:p w14:paraId="249904A9" w14:textId="77777777" w:rsidR="00286A88" w:rsidRPr="00515938" w:rsidRDefault="00286A88" w:rsidP="00515938">
      <w:pPr>
        <w:pStyle w:val="Heading41"/>
      </w:pPr>
      <w:r w:rsidRPr="00515938">
        <w:t>SL3.3b Controlled atmosphere stunning</w:t>
      </w:r>
    </w:p>
    <w:p w14:paraId="1D548F2E" w14:textId="77777777" w:rsidR="00286A88" w:rsidRPr="00286A88" w:rsidRDefault="00286A88" w:rsidP="008B2327">
      <w:pPr>
        <w:rPr>
          <w:lang w:val="en-AU" w:eastAsia="en-AU"/>
        </w:rPr>
      </w:pPr>
      <w:r w:rsidRPr="00286A88">
        <w:rPr>
          <w:lang w:val="en-AU" w:eastAsia="en-AU"/>
        </w:rPr>
        <w:t xml:space="preserve">Carbon dioxide is used to stun and kill turkeys in CAS systems. </w:t>
      </w:r>
      <w:r w:rsidRPr="00286A88">
        <w:rPr>
          <w:noProof/>
          <w:lang w:val="en-AU" w:eastAsia="en-AU"/>
        </w:rPr>
        <w:t>Gerritzen et al. (2006)</w:t>
      </w:r>
      <w:r w:rsidRPr="00286A88">
        <w:rPr>
          <w:lang w:val="en-AU" w:eastAsia="en-AU"/>
        </w:rPr>
        <w:t xml:space="preserve"> reports that turkeys lose consciousness at carbon dioxide concentrations between 19% and 25% and that exposure to concentrations of 45% for 13 minutes results in death.</w:t>
      </w:r>
    </w:p>
    <w:p w14:paraId="50058BA3" w14:textId="77777777" w:rsidR="00286A88" w:rsidRDefault="00286A88" w:rsidP="008B2327">
      <w:pPr>
        <w:rPr>
          <w:lang w:val="en-AU" w:eastAsia="en-AU"/>
        </w:rPr>
      </w:pPr>
      <w:r w:rsidRPr="00286A88">
        <w:rPr>
          <w:lang w:val="en-AU" w:eastAsia="en-AU"/>
        </w:rPr>
        <w:t xml:space="preserve">The times to loss of Sensory Evoked Potentials in turkeys exposed to various gas mixtures has been measured by </w:t>
      </w:r>
      <w:r w:rsidRPr="00286A88">
        <w:rPr>
          <w:noProof/>
          <w:lang w:val="en-AU" w:eastAsia="en-AU"/>
        </w:rPr>
        <w:t>Raj and Gregory (1994)</w:t>
      </w:r>
      <w:r w:rsidRPr="00286A88">
        <w:rPr>
          <w:lang w:val="en-AU" w:eastAsia="en-AU"/>
        </w:rPr>
        <w:t>, and are outlined in Table SL4 below. The carbon dioxide concentration does not significantly affect time to loss of SEPs.</w:t>
      </w:r>
    </w:p>
    <w:p w14:paraId="7FCAC154" w14:textId="77777777" w:rsidR="008B2327" w:rsidRPr="00286A88" w:rsidRDefault="008B2327" w:rsidP="008B2327">
      <w:pPr>
        <w:rPr>
          <w:lang w:val="en-AU" w:eastAsia="en-AU"/>
        </w:rPr>
      </w:pPr>
    </w:p>
    <w:p w14:paraId="2067C0E8" w14:textId="77777777" w:rsidR="00286A88" w:rsidRPr="008B2327" w:rsidRDefault="00286A88" w:rsidP="008B2327">
      <w:pPr>
        <w:spacing w:after="240"/>
        <w:rPr>
          <w:b/>
          <w:lang w:val="en-AU" w:eastAsia="en-AU"/>
        </w:rPr>
      </w:pPr>
      <w:r w:rsidRPr="008B2327">
        <w:rPr>
          <w:b/>
          <w:lang w:val="en-AU" w:eastAsia="en-AU"/>
        </w:rPr>
        <w:t>Table SL4: Times to loss of SEPs for turkeys exposed to various gas mixtures. Data from Raj and Gregory (1994).</w:t>
      </w:r>
    </w:p>
    <w:tbl>
      <w:tblPr>
        <w:tblStyle w:val="TableGrid1"/>
        <w:tblW w:w="0" w:type="auto"/>
        <w:tblLook w:val="04A0" w:firstRow="1" w:lastRow="0" w:firstColumn="1" w:lastColumn="0" w:noHBand="0" w:noVBand="1"/>
        <w:tblCaption w:val="Table SL4: Times to loss of SEPs for turkeys exposed to various gas mixtures"/>
        <w:tblDescription w:val="This table shows times to loss of somatosensory evoked potentials for turkeys exposed to various gas mixtures. The left hand column shows the different gas mixtures. The right hand column shows the time to loss of somatosensory evoked potentials for each gas mixture. The figures given are the range and mean, in seconds."/>
      </w:tblPr>
      <w:tblGrid>
        <w:gridCol w:w="2802"/>
        <w:gridCol w:w="3827"/>
      </w:tblGrid>
      <w:tr w:rsidR="00286A88" w:rsidRPr="00286A88" w14:paraId="70010BC5" w14:textId="77777777" w:rsidTr="00C30DC0">
        <w:trPr>
          <w:tblHeader/>
        </w:trPr>
        <w:tc>
          <w:tcPr>
            <w:tcW w:w="2802" w:type="dxa"/>
          </w:tcPr>
          <w:p w14:paraId="476054D4" w14:textId="77777777" w:rsidR="00286A88" w:rsidRPr="00F6103A" w:rsidRDefault="00286A88" w:rsidP="008B2327">
            <w:r w:rsidRPr="00F6103A">
              <w:t>Gas mixture</w:t>
            </w:r>
          </w:p>
        </w:tc>
        <w:tc>
          <w:tcPr>
            <w:tcW w:w="3827" w:type="dxa"/>
          </w:tcPr>
          <w:p w14:paraId="55A32CF8" w14:textId="77777777" w:rsidR="00286A88" w:rsidRPr="00F6103A" w:rsidRDefault="00286A88" w:rsidP="008B2327">
            <w:r w:rsidRPr="00F6103A">
              <w:t>Time to loss of SEPs (range and mean)</w:t>
            </w:r>
          </w:p>
        </w:tc>
      </w:tr>
      <w:tr w:rsidR="00286A88" w:rsidRPr="00286A88" w14:paraId="7D3B7360" w14:textId="77777777" w:rsidTr="00286A88">
        <w:tc>
          <w:tcPr>
            <w:tcW w:w="2802" w:type="dxa"/>
          </w:tcPr>
          <w:p w14:paraId="732D710F" w14:textId="77777777" w:rsidR="00286A88" w:rsidRPr="00286A88" w:rsidRDefault="00286A88" w:rsidP="008B2327">
            <w:r w:rsidRPr="00286A88">
              <w:t>90% argon in air</w:t>
            </w:r>
          </w:p>
        </w:tc>
        <w:tc>
          <w:tcPr>
            <w:tcW w:w="3827" w:type="dxa"/>
          </w:tcPr>
          <w:p w14:paraId="31574D41" w14:textId="77777777" w:rsidR="00286A88" w:rsidRPr="00286A88" w:rsidRDefault="00286A88" w:rsidP="008B2327">
            <w:r w:rsidRPr="00286A88">
              <w:t>25-61 s, mean 44 s</w:t>
            </w:r>
          </w:p>
        </w:tc>
      </w:tr>
      <w:tr w:rsidR="00286A88" w:rsidRPr="00286A88" w14:paraId="5129DF02" w14:textId="77777777" w:rsidTr="00286A88">
        <w:tc>
          <w:tcPr>
            <w:tcW w:w="2802" w:type="dxa"/>
          </w:tcPr>
          <w:p w14:paraId="6CC635FD" w14:textId="77777777" w:rsidR="00286A88" w:rsidRPr="00286A88" w:rsidRDefault="00286A88" w:rsidP="008B2327">
            <w:r w:rsidRPr="00286A88">
              <w:t>30% CO</w:t>
            </w:r>
            <w:r w:rsidRPr="00286A88">
              <w:rPr>
                <w:vertAlign w:val="subscript"/>
              </w:rPr>
              <w:t>2</w:t>
            </w:r>
            <w:r w:rsidRPr="00286A88">
              <w:t xml:space="preserve"> and 60% Ar in air</w:t>
            </w:r>
          </w:p>
        </w:tc>
        <w:tc>
          <w:tcPr>
            <w:tcW w:w="3827" w:type="dxa"/>
          </w:tcPr>
          <w:p w14:paraId="0B121E87" w14:textId="77777777" w:rsidR="00286A88" w:rsidRPr="00286A88" w:rsidRDefault="00286A88" w:rsidP="008B2327">
            <w:r w:rsidRPr="00286A88">
              <w:t>16-34 s, mean 22 s</w:t>
            </w:r>
          </w:p>
        </w:tc>
      </w:tr>
      <w:tr w:rsidR="00286A88" w:rsidRPr="00286A88" w14:paraId="4D612696" w14:textId="77777777" w:rsidTr="00286A88">
        <w:tc>
          <w:tcPr>
            <w:tcW w:w="2802" w:type="dxa"/>
          </w:tcPr>
          <w:p w14:paraId="4E5D31E2" w14:textId="77777777" w:rsidR="00286A88" w:rsidRPr="00286A88" w:rsidRDefault="00286A88" w:rsidP="008B2327">
            <w:r w:rsidRPr="00286A88">
              <w:t>49% CO</w:t>
            </w:r>
            <w:r w:rsidRPr="00286A88">
              <w:rPr>
                <w:vertAlign w:val="subscript"/>
              </w:rPr>
              <w:t>2</w:t>
            </w:r>
            <w:r w:rsidRPr="00286A88">
              <w:t xml:space="preserve"> in air</w:t>
            </w:r>
          </w:p>
        </w:tc>
        <w:tc>
          <w:tcPr>
            <w:tcW w:w="3827" w:type="dxa"/>
          </w:tcPr>
          <w:p w14:paraId="684F82FE" w14:textId="77777777" w:rsidR="00286A88" w:rsidRPr="00286A88" w:rsidRDefault="00286A88" w:rsidP="008B2327">
            <w:r w:rsidRPr="00286A88">
              <w:t>14-32 s, mean 20 s</w:t>
            </w:r>
          </w:p>
        </w:tc>
      </w:tr>
      <w:tr w:rsidR="00286A88" w:rsidRPr="00286A88" w14:paraId="4A06EEDC" w14:textId="77777777" w:rsidTr="00286A88">
        <w:tc>
          <w:tcPr>
            <w:tcW w:w="2802" w:type="dxa"/>
          </w:tcPr>
          <w:p w14:paraId="231219F1" w14:textId="77777777" w:rsidR="00286A88" w:rsidRPr="00286A88" w:rsidRDefault="00286A88" w:rsidP="008B2327">
            <w:r w:rsidRPr="00286A88">
              <w:t>65% CO</w:t>
            </w:r>
            <w:r w:rsidRPr="00286A88">
              <w:rPr>
                <w:vertAlign w:val="subscript"/>
              </w:rPr>
              <w:t>2</w:t>
            </w:r>
            <w:r w:rsidRPr="00286A88">
              <w:t xml:space="preserve"> in air</w:t>
            </w:r>
          </w:p>
        </w:tc>
        <w:tc>
          <w:tcPr>
            <w:tcW w:w="3827" w:type="dxa"/>
          </w:tcPr>
          <w:p w14:paraId="0879F70A" w14:textId="77777777" w:rsidR="00286A88" w:rsidRPr="00286A88" w:rsidRDefault="00286A88" w:rsidP="008B2327">
            <w:r w:rsidRPr="00286A88">
              <w:t>11-24 s, mean 15 s</w:t>
            </w:r>
          </w:p>
        </w:tc>
      </w:tr>
      <w:tr w:rsidR="00286A88" w:rsidRPr="00286A88" w14:paraId="6464E42C" w14:textId="77777777" w:rsidTr="00286A88">
        <w:tc>
          <w:tcPr>
            <w:tcW w:w="2802" w:type="dxa"/>
          </w:tcPr>
          <w:p w14:paraId="0706388E" w14:textId="77777777" w:rsidR="00286A88" w:rsidRPr="00286A88" w:rsidRDefault="00286A88" w:rsidP="008B2327">
            <w:r w:rsidRPr="00286A88">
              <w:t>86% CO</w:t>
            </w:r>
            <w:r w:rsidRPr="00286A88">
              <w:rPr>
                <w:vertAlign w:val="subscript"/>
              </w:rPr>
              <w:t>2</w:t>
            </w:r>
            <w:r w:rsidRPr="00286A88">
              <w:t xml:space="preserve"> in air</w:t>
            </w:r>
          </w:p>
        </w:tc>
        <w:tc>
          <w:tcPr>
            <w:tcW w:w="3827" w:type="dxa"/>
          </w:tcPr>
          <w:p w14:paraId="14B44FC5" w14:textId="77777777" w:rsidR="00286A88" w:rsidRPr="00286A88" w:rsidRDefault="00286A88" w:rsidP="008B2327">
            <w:r w:rsidRPr="00286A88">
              <w:t>12-34 s, mean 21 s</w:t>
            </w:r>
          </w:p>
        </w:tc>
      </w:tr>
    </w:tbl>
    <w:p w14:paraId="0D926140" w14:textId="77777777" w:rsidR="00286A88" w:rsidRPr="00286A88" w:rsidRDefault="00286A88" w:rsidP="008B2327">
      <w:pPr>
        <w:rPr>
          <w:lang w:val="en-AU" w:eastAsia="en-AU"/>
        </w:rPr>
      </w:pPr>
    </w:p>
    <w:p w14:paraId="43A991FE" w14:textId="77777777" w:rsidR="00286A88" w:rsidRPr="00515938" w:rsidRDefault="00286A88" w:rsidP="00515938">
      <w:pPr>
        <w:pStyle w:val="Heading41"/>
      </w:pPr>
      <w:r w:rsidRPr="00515938">
        <w:t>SL3.3c Whole house killing</w:t>
      </w:r>
    </w:p>
    <w:p w14:paraId="5B528A86" w14:textId="77777777" w:rsidR="00286A88" w:rsidRPr="00286A88" w:rsidRDefault="00286A88" w:rsidP="008B2327">
      <w:pPr>
        <w:rPr>
          <w:lang w:val="en-AU" w:eastAsia="en-AU"/>
        </w:rPr>
      </w:pPr>
      <w:r w:rsidRPr="00286A88">
        <w:rPr>
          <w:noProof/>
          <w:lang w:val="en-AU" w:eastAsia="en-AU"/>
        </w:rPr>
        <w:t>Gerritzen et al. (2007)</w:t>
      </w:r>
      <w:r w:rsidRPr="00286A88">
        <w:rPr>
          <w:lang w:val="en-AU" w:eastAsia="en-AU"/>
        </w:rPr>
        <w:t xml:space="preserve"> provide data indicating that the carbon dioxide concentrations at which both conscious responses (e.g. head shaking, respiratory disruption), and unconscious or involuntary reactions (loss of posture, convulsions), do not differ between broilers and turkeys. Loss of posture was observed at 19% carbon dioxide concentration for turkeys, and this occurred after 4 minutes of gradually increasing carbon dioxide concentration.</w:t>
      </w:r>
    </w:p>
    <w:p w14:paraId="08991AF0" w14:textId="77777777" w:rsidR="00286A88" w:rsidRPr="00286A88" w:rsidRDefault="00286A88" w:rsidP="008B2327">
      <w:pPr>
        <w:rPr>
          <w:lang w:val="en-AU" w:eastAsia="en-AU"/>
        </w:rPr>
      </w:pPr>
      <w:r w:rsidRPr="00286A88">
        <w:rPr>
          <w:lang w:val="en-AU" w:eastAsia="en-AU"/>
        </w:rPr>
        <w:t xml:space="preserve">A trial of whole house euthanasia for turkeys with high expansion carbon dioxide foam is reported by </w:t>
      </w:r>
      <w:r w:rsidRPr="00286A88">
        <w:rPr>
          <w:noProof/>
          <w:lang w:val="en-AU" w:eastAsia="en-AU"/>
        </w:rPr>
        <w:t>McKeegan et al. (2013a)</w:t>
      </w:r>
      <w:r w:rsidRPr="00286A88">
        <w:rPr>
          <w:lang w:val="en-AU" w:eastAsia="en-AU"/>
        </w:rPr>
        <w:t>. Suppressed EEG, interpreted as loss of consciousness was observed in as little as 15 s after submersion, but surprisingly, loss of posture was observed at 47 s. Transitional EEG was apparent before submersion in carbon dioxide foam, presumably as a result of a blanket layer of the gas released by bursting bubbles.</w:t>
      </w:r>
    </w:p>
    <w:p w14:paraId="74AB1E02" w14:textId="77777777" w:rsidR="00286A88" w:rsidRPr="00515938" w:rsidRDefault="00286A88" w:rsidP="00515938">
      <w:pPr>
        <w:pStyle w:val="Heading41"/>
      </w:pPr>
      <w:r w:rsidRPr="00515938">
        <w:t>SL3.3d Blunt trauma and captive bolt stunning</w:t>
      </w:r>
    </w:p>
    <w:p w14:paraId="63AB351A" w14:textId="77777777" w:rsidR="00286A88" w:rsidRPr="00286A88" w:rsidRDefault="00286A88" w:rsidP="008B2327">
      <w:pPr>
        <w:rPr>
          <w:lang w:val="en-AU" w:eastAsia="en-AU"/>
        </w:rPr>
      </w:pPr>
      <w:r w:rsidRPr="00286A88">
        <w:rPr>
          <w:lang w:val="en-AU" w:eastAsia="en-AU"/>
        </w:rPr>
        <w:t xml:space="preserve">On-farm euthanasia for small numbers of turkeys can be carried out using blunt trauma, either manually or using a captive bolt gun. Cervical dislocation does not abolish signs of sensibility in turkeys – gasping and the nictitating membrane reflex may continue for some time after cervical dislocation </w:t>
      </w:r>
      <w:r w:rsidRPr="00286A88">
        <w:rPr>
          <w:noProof/>
          <w:lang w:val="en-AU" w:eastAsia="en-AU"/>
        </w:rPr>
        <w:t>(Erasmus et al., 2010)</w:t>
      </w:r>
      <w:r w:rsidRPr="00286A88">
        <w:rPr>
          <w:lang w:val="en-AU" w:eastAsia="en-AU"/>
        </w:rPr>
        <w:t>.</w:t>
      </w:r>
    </w:p>
    <w:p w14:paraId="3A210262" w14:textId="77777777" w:rsidR="00286A88" w:rsidRPr="00286A88" w:rsidRDefault="00286A88" w:rsidP="008B2327">
      <w:pPr>
        <w:rPr>
          <w:lang w:val="en-AU" w:eastAsia="en-AU"/>
        </w:rPr>
      </w:pPr>
      <w:r w:rsidRPr="00286A88">
        <w:rPr>
          <w:lang w:val="en-AU" w:eastAsia="en-AU"/>
        </w:rPr>
        <w:t xml:space="preserve">Blunt trauma can be applied by delivering a blow perpendicularly to the top of the head, when the head is supported by a hard surface. This has been demonstrated to cause immediate insensibility as assessed by brain-stem reflexes </w:t>
      </w:r>
      <w:r w:rsidRPr="00286A88">
        <w:rPr>
          <w:noProof/>
          <w:lang w:val="en-AU" w:eastAsia="en-AU"/>
        </w:rPr>
        <w:t>(Erasmus et al., 2010)</w:t>
      </w:r>
      <w:r w:rsidRPr="00286A88">
        <w:rPr>
          <w:lang w:val="en-AU" w:eastAsia="en-AU"/>
        </w:rPr>
        <w:t xml:space="preserve"> and abolition of auditory evoked potentials </w:t>
      </w:r>
      <w:r w:rsidRPr="00286A88">
        <w:rPr>
          <w:noProof/>
          <w:lang w:val="en-AU" w:eastAsia="en-AU"/>
        </w:rPr>
        <w:t>(Cors et al., 2015)</w:t>
      </w:r>
      <w:r w:rsidRPr="00286A88">
        <w:rPr>
          <w:lang w:val="en-AU" w:eastAsia="en-AU"/>
        </w:rPr>
        <w:t>. Both of these studies report blunt trauma applied by trained people using a variety of implements, each according to standard practice on individual farms (e.g. wooden handle, metal pipe, metal bat). Cors et al. (2015) describes the force required as equal to that ‘needed to push a nail into a wooden piece with one strike’, although this is difficult to quantify. Cors also notes that the force applied to smaller birds was slightly less, to avoid crushing the skull, although no differences in the effectiveness of blunt trauma are seen across a variety of bird weights (4.9 – 15.7 kg).</w:t>
      </w:r>
    </w:p>
    <w:p w14:paraId="1F653E93" w14:textId="77777777" w:rsidR="00286A88" w:rsidRPr="00286A88" w:rsidRDefault="00286A88" w:rsidP="008B2327">
      <w:pPr>
        <w:rPr>
          <w:lang w:val="en-AU" w:eastAsia="en-AU"/>
        </w:rPr>
      </w:pPr>
      <w:r w:rsidRPr="00286A88">
        <w:rPr>
          <w:noProof/>
          <w:lang w:val="en-AU" w:eastAsia="en-AU"/>
        </w:rPr>
        <w:t>Erasmus et al. (2010)</w:t>
      </w:r>
      <w:r w:rsidRPr="00286A88">
        <w:rPr>
          <w:lang w:val="en-AU" w:eastAsia="en-AU"/>
        </w:rPr>
        <w:t xml:space="preserve"> reports an investigation into the use of a Zephyr compressed air captive bolt stunner. Erasmus applied the blow perpendicularly to the frontal bone on the midline between the ears and the eyes, directly above the cerebral cortex and reported that that two strikes were required to create insensibility. Unpublished measurements by Lines (2014) indicated that at the air pressure used by Erasmus with this device, a percussive energy of 9.6 J is delivered. We can therefore conclude that 9.6 J was not sufficient percussive energy to stun turkeys. </w:t>
      </w:r>
      <w:r w:rsidRPr="00286A88">
        <w:rPr>
          <w:noProof/>
          <w:lang w:val="en-AU" w:eastAsia="en-AU"/>
        </w:rPr>
        <w:t>Hewitt (2000)</w:t>
      </w:r>
      <w:r w:rsidRPr="00286A88">
        <w:rPr>
          <w:lang w:val="en-AU" w:eastAsia="en-AU"/>
        </w:rPr>
        <w:t xml:space="preserve"> showed that the use of a percussive non-penetrative captive-bolt device, delivering percussive energy of at least 27 J, is effective for on-farm killing of all poultry species.</w:t>
      </w:r>
    </w:p>
    <w:p w14:paraId="0A1E4022" w14:textId="77777777" w:rsidR="00286A88" w:rsidRPr="00515938" w:rsidRDefault="00286A88" w:rsidP="00515938">
      <w:pPr>
        <w:pStyle w:val="Heading3"/>
      </w:pPr>
      <w:bookmarkStart w:id="395" w:name="_Toc495310862"/>
      <w:r w:rsidRPr="00515938">
        <w:t>SL3.4 Ducks</w:t>
      </w:r>
      <w:bookmarkEnd w:id="395"/>
    </w:p>
    <w:p w14:paraId="458F0AB4" w14:textId="77777777" w:rsidR="00286A88" w:rsidRPr="00515938" w:rsidRDefault="00286A88" w:rsidP="00515938">
      <w:pPr>
        <w:pStyle w:val="Heading41"/>
      </w:pPr>
      <w:r w:rsidRPr="00515938">
        <w:t>SL3.4a Electrical water-bath stunning</w:t>
      </w:r>
    </w:p>
    <w:p w14:paraId="1B9A77A1" w14:textId="77777777" w:rsidR="00286A88" w:rsidRPr="00286A88" w:rsidRDefault="00286A88" w:rsidP="008B2327">
      <w:pPr>
        <w:rPr>
          <w:lang w:val="en-AU" w:eastAsia="en-AU"/>
        </w:rPr>
      </w:pPr>
      <w:r w:rsidRPr="00286A88">
        <w:rPr>
          <w:lang w:val="en-AU" w:eastAsia="en-AU"/>
        </w:rPr>
        <w:t>Electrical water-bath stunning is the most common slaughter method used for ducks entering the food chain. However, there is limited research into the welfare and electrical parameters necessary to stun and kill ducks in a water-bath.</w:t>
      </w:r>
    </w:p>
    <w:p w14:paraId="0FEC25F8" w14:textId="77777777" w:rsidR="00286A88" w:rsidRPr="00286A88" w:rsidRDefault="00286A88" w:rsidP="008B2327">
      <w:pPr>
        <w:rPr>
          <w:lang w:val="en-AU" w:eastAsia="en-AU"/>
        </w:rPr>
      </w:pPr>
      <w:r w:rsidRPr="00286A88">
        <w:rPr>
          <w:noProof/>
          <w:lang w:val="en-AU" w:eastAsia="en-AU"/>
        </w:rPr>
        <w:t>Hindle et al. (2010)</w:t>
      </w:r>
      <w:r w:rsidRPr="00286A88">
        <w:rPr>
          <w:lang w:val="en-AU" w:eastAsia="en-AU"/>
        </w:rPr>
        <w:t xml:space="preserve"> measured the current passed through individual ducks in an electrical water-bath, and reported that the measured impedance of ducks was 900-2,800 ohms. Inspection of Hindle et al.’s (2010) results suggests that for a 90% chance of achieving a good stun, current should be no less than 140 mA rms at 50 Hz, or 225 mA at 400 Hz. This is corroborated by a variety of other, older papers (e.g. </w:t>
      </w:r>
      <w:r w:rsidRPr="00286A88">
        <w:rPr>
          <w:noProof/>
          <w:lang w:val="en-AU" w:eastAsia="en-AU"/>
        </w:rPr>
        <w:t>Gregory and Wilkins, 1990)</w:t>
      </w:r>
      <w:r w:rsidRPr="00286A88">
        <w:rPr>
          <w:lang w:val="en-AU" w:eastAsia="en-AU"/>
        </w:rPr>
        <w:t xml:space="preserve">. It is particularly important for ducks that the whole head is fully immersed in the electrified water. When only the beak and crop are immersed, disruption of normal brain function is typically less profound and this may be due to the brain receiving a lower proportion of the current that is passing through the whole bird. This has been observed experimentally by </w:t>
      </w:r>
      <w:r w:rsidRPr="00286A88">
        <w:rPr>
          <w:noProof/>
          <w:lang w:val="en-AU" w:eastAsia="en-AU"/>
        </w:rPr>
        <w:t>Gregory and Wotton (1992)</w:t>
      </w:r>
      <w:r w:rsidRPr="00286A88">
        <w:rPr>
          <w:lang w:val="en-AU" w:eastAsia="en-AU"/>
        </w:rPr>
        <w:t xml:space="preserve"> who reported that ducks submerged only as far as the head and beak did not lose brain-stem responses, although they subsequently died as a result of ventricular fibrillation caused by the current passed through the body.</w:t>
      </w:r>
    </w:p>
    <w:p w14:paraId="717963B2" w14:textId="77777777" w:rsidR="00286A88" w:rsidRPr="00286A88" w:rsidRDefault="00286A88" w:rsidP="008B2327">
      <w:pPr>
        <w:rPr>
          <w:lang w:val="en-AU" w:eastAsia="en-AU"/>
        </w:rPr>
      </w:pPr>
      <w:r w:rsidRPr="00286A88">
        <w:rPr>
          <w:lang w:val="en-AU" w:eastAsia="en-AU"/>
        </w:rPr>
        <w:t xml:space="preserve">There has been a small amount </w:t>
      </w:r>
      <w:r w:rsidR="00056878">
        <w:rPr>
          <w:lang w:val="en-AU" w:eastAsia="en-AU"/>
        </w:rPr>
        <w:t xml:space="preserve">of </w:t>
      </w:r>
      <w:r w:rsidRPr="00286A88">
        <w:rPr>
          <w:lang w:val="en-AU" w:eastAsia="en-AU"/>
        </w:rPr>
        <w:t xml:space="preserve">research into electrical stunning of ducks at higher frequencies. There is little reason to use high frequencies for ducks since they are less susceptible to blood splash and red wing tips than broilers so the commercial pressure to use low current and high frequencies is less </w:t>
      </w:r>
      <w:r w:rsidRPr="00286A88">
        <w:rPr>
          <w:noProof/>
          <w:lang w:val="en-AU" w:eastAsia="en-AU"/>
        </w:rPr>
        <w:t>(Gregory and Wilkins, 1990)</w:t>
      </w:r>
      <w:r w:rsidRPr="00286A88">
        <w:rPr>
          <w:lang w:val="en-AU" w:eastAsia="en-AU"/>
        </w:rPr>
        <w:t xml:space="preserve">. The exception to this is in the production of foie-gras; where there is some evidence that the livers of force-fed ducks may be affected. </w:t>
      </w:r>
      <w:r w:rsidRPr="00286A88">
        <w:rPr>
          <w:noProof/>
          <w:lang w:val="en-AU" w:eastAsia="en-AU"/>
        </w:rPr>
        <w:t>Beyessen et al. (2004)</w:t>
      </w:r>
      <w:r w:rsidRPr="00286A88">
        <w:rPr>
          <w:lang w:val="en-AU" w:eastAsia="en-AU"/>
        </w:rPr>
        <w:t xml:space="preserve"> found that application of a 150mA AC current at 600 Hz for 4 s did not reliably stun ducks.</w:t>
      </w:r>
    </w:p>
    <w:p w14:paraId="58F2A43D" w14:textId="77777777" w:rsidR="00286A88" w:rsidRPr="00515938" w:rsidRDefault="00286A88" w:rsidP="00515938">
      <w:pPr>
        <w:pStyle w:val="Heading41"/>
      </w:pPr>
      <w:r w:rsidRPr="00515938">
        <w:t>SL3.4b Head-only electrical stunning</w:t>
      </w:r>
    </w:p>
    <w:p w14:paraId="6F93ACAC" w14:textId="77777777" w:rsidR="00286A88" w:rsidRPr="00286A88" w:rsidRDefault="00286A88" w:rsidP="008B2327">
      <w:pPr>
        <w:rPr>
          <w:lang w:val="en-AU" w:eastAsia="en-AU"/>
        </w:rPr>
      </w:pPr>
      <w:r w:rsidRPr="00286A88">
        <w:rPr>
          <w:lang w:val="en-AU" w:eastAsia="en-AU"/>
        </w:rPr>
        <w:t xml:space="preserve">There is only one known paper reporting head-only stunning in ducks. </w:t>
      </w:r>
      <w:r w:rsidRPr="00286A88">
        <w:rPr>
          <w:noProof/>
          <w:lang w:val="en-AU" w:eastAsia="en-AU"/>
        </w:rPr>
        <w:t>Beyessen et al. (2003)</w:t>
      </w:r>
      <w:r w:rsidRPr="00286A88">
        <w:rPr>
          <w:lang w:val="en-AU" w:eastAsia="en-AU"/>
        </w:rPr>
        <w:t xml:space="preserve"> wetted the head feathers with saline solution and then applied a 50 Hz AC current of 100, 200, 300, 400 and 600 mA across the heads of the ducks using tong mounted spike electrodes. It was concluded that head-only stunning of ducks required a minimum current of 600 mA current and should be followed by bleeding within 15 s to ensure the ducks remained insensible until death.</w:t>
      </w:r>
    </w:p>
    <w:p w14:paraId="0F542DA3" w14:textId="77777777" w:rsidR="00286A88" w:rsidRPr="00515938" w:rsidRDefault="00286A88" w:rsidP="00515938">
      <w:pPr>
        <w:pStyle w:val="Heading41"/>
      </w:pPr>
      <w:r w:rsidRPr="00515938">
        <w:t>SL3.4c Controlled atmosphere stunning</w:t>
      </w:r>
    </w:p>
    <w:p w14:paraId="2B67701A" w14:textId="77777777" w:rsidR="00286A88" w:rsidRPr="00286A88" w:rsidRDefault="00286A88" w:rsidP="008B2327">
      <w:pPr>
        <w:rPr>
          <w:noProof/>
          <w:lang w:val="en-AU" w:eastAsia="en-AU"/>
        </w:rPr>
      </w:pPr>
      <w:r w:rsidRPr="00286A88">
        <w:rPr>
          <w:lang w:val="en-AU" w:eastAsia="en-AU"/>
        </w:rPr>
        <w:t xml:space="preserve">When ducks are subjected to gradually increasing carbon dioxide concentrations, they appear to lose consciousness (as assessed by EEG) as the concentration reaches 21%, (Gerritzen et al., 2006) and lose posture at 23-24% carbon dioxide </w:t>
      </w:r>
      <w:r w:rsidRPr="00286A88">
        <w:rPr>
          <w:noProof/>
          <w:lang w:val="en-AU" w:eastAsia="en-AU"/>
        </w:rPr>
        <w:t>(Gerritzen et al., 2006</w:t>
      </w:r>
      <w:r w:rsidR="00EF5888">
        <w:rPr>
          <w:noProof/>
          <w:lang w:val="en-AU" w:eastAsia="en-AU"/>
        </w:rPr>
        <w:t>;</w:t>
      </w:r>
      <w:r w:rsidRPr="00286A88">
        <w:rPr>
          <w:noProof/>
          <w:lang w:val="en-AU" w:eastAsia="en-AU"/>
        </w:rPr>
        <w:t xml:space="preserve"> 2007)</w:t>
      </w:r>
      <w:r w:rsidRPr="00286A88">
        <w:rPr>
          <w:lang w:val="en-AU" w:eastAsia="en-AU"/>
        </w:rPr>
        <w:t>. A near iso-electric EEG signal was observed as carbon dioxide concentration reached 43%.</w:t>
      </w:r>
    </w:p>
    <w:p w14:paraId="3A445D87" w14:textId="77777777" w:rsidR="00286A88" w:rsidRPr="00515938" w:rsidRDefault="00286A88" w:rsidP="00515938">
      <w:pPr>
        <w:pStyle w:val="Heading41"/>
      </w:pPr>
      <w:r w:rsidRPr="00515938">
        <w:t>SL3.4d Whole house killing</w:t>
      </w:r>
    </w:p>
    <w:p w14:paraId="6BC4D3D7" w14:textId="77777777" w:rsidR="00286A88" w:rsidRPr="00286A88" w:rsidRDefault="00286A88" w:rsidP="008B2327">
      <w:pPr>
        <w:rPr>
          <w:lang w:val="en-AU" w:eastAsia="en-AU"/>
        </w:rPr>
      </w:pPr>
      <w:r w:rsidRPr="00286A88">
        <w:rPr>
          <w:lang w:val="en-AU" w:eastAsia="en-AU"/>
        </w:rPr>
        <w:t xml:space="preserve">In carbon dioxide filled foam, ducks lose consciousness very quickly. Assessment of their EEG signal reveals transitional activity as early as 11 s before full submersion, presumably as ducks succumb to the carbon dioxide blanket layer over the foam. Consciousness is lost 1 s after submersion in the foam and all movement ceases 69 s from submersion </w:t>
      </w:r>
      <w:r w:rsidRPr="00286A88">
        <w:rPr>
          <w:noProof/>
          <w:lang w:val="en-AU" w:eastAsia="en-AU"/>
        </w:rPr>
        <w:t>(McKeegan et al., 2013a)</w:t>
      </w:r>
      <w:r w:rsidRPr="00286A88">
        <w:rPr>
          <w:rFonts w:cs="Times New Roman"/>
          <w:lang w:val="en-AU" w:eastAsia="en-AU"/>
        </w:rPr>
        <w:t xml:space="preserve">. When ducks are submerged in water-based foam filled with atmospheric air, times to unconsciousness, motion cessation and brain death are significantly longer </w:t>
      </w:r>
      <w:r w:rsidRPr="00286A88">
        <w:rPr>
          <w:rFonts w:cs="Times New Roman"/>
          <w:noProof/>
          <w:lang w:val="en-AU" w:eastAsia="en-AU"/>
        </w:rPr>
        <w:t>(Benson et al., 2012)</w:t>
      </w:r>
      <w:r w:rsidRPr="00286A88">
        <w:rPr>
          <w:lang w:val="en-AU" w:eastAsia="en-AU"/>
        </w:rPr>
        <w:t>.</w:t>
      </w:r>
    </w:p>
    <w:p w14:paraId="78FFCA1A" w14:textId="77777777" w:rsidR="00286A88" w:rsidRPr="00515938" w:rsidRDefault="00286A88" w:rsidP="00515938">
      <w:pPr>
        <w:pStyle w:val="Heading3"/>
      </w:pPr>
      <w:bookmarkStart w:id="396" w:name="_Toc495310863"/>
      <w:r w:rsidRPr="00515938">
        <w:t>SL3.5 Geese</w:t>
      </w:r>
      <w:bookmarkEnd w:id="396"/>
    </w:p>
    <w:p w14:paraId="07F92FF9" w14:textId="77777777" w:rsidR="00286A88" w:rsidRPr="00515938" w:rsidRDefault="00286A88" w:rsidP="00515938">
      <w:pPr>
        <w:pStyle w:val="Heading41"/>
      </w:pPr>
      <w:r w:rsidRPr="00515938">
        <w:t>SL3.5a Controlled atmosphere stunning</w:t>
      </w:r>
    </w:p>
    <w:p w14:paraId="7DB225EA" w14:textId="77777777" w:rsidR="00286A88" w:rsidRPr="00286A88" w:rsidRDefault="00286A88" w:rsidP="008B2327">
      <w:pPr>
        <w:rPr>
          <w:lang w:val="en-AU" w:eastAsia="en-AU"/>
        </w:rPr>
      </w:pPr>
      <w:r w:rsidRPr="00286A88">
        <w:rPr>
          <w:lang w:val="en-AU" w:eastAsia="en-AU"/>
        </w:rPr>
        <w:t xml:space="preserve">In a pair of trials, </w:t>
      </w:r>
      <w:r w:rsidRPr="00286A88">
        <w:rPr>
          <w:noProof/>
          <w:lang w:val="en-AU" w:eastAsia="en-AU"/>
        </w:rPr>
        <w:t>Gerritzen et al. (2013b)</w:t>
      </w:r>
      <w:r w:rsidRPr="00286A88">
        <w:rPr>
          <w:lang w:val="en-AU" w:eastAsia="en-AU"/>
        </w:rPr>
        <w:t xml:space="preserve"> recorded EEG as wild geese were exposed to concentrations of carbon dioxide and argon. In the first trial carbon dioxide was introduced raising the concentration to 80% in 60 s. In the second trial carbon dioxide was added raising the concentration to 40 - 50% over a period of 60 s and then argon was added until the oxygen content of the atmosphere dropped to below 1%. This was achieved in a further 60 s and the final carbon dioxide content was 12 - 15%. The time taken to reach unconsciousness was 50 - 56 s, and did not differ significantly between the treatments.</w:t>
      </w:r>
    </w:p>
    <w:p w14:paraId="366586A2" w14:textId="77777777" w:rsidR="00286A88" w:rsidRPr="00515938" w:rsidRDefault="00286A88" w:rsidP="00515938">
      <w:pPr>
        <w:pStyle w:val="Heading41"/>
      </w:pPr>
      <w:r w:rsidRPr="00515938">
        <w:t>SL3.5b Other investigations into stunning and killing for geese</w:t>
      </w:r>
    </w:p>
    <w:p w14:paraId="6FEABBCE" w14:textId="77777777" w:rsidR="00286A88" w:rsidRPr="00286A88" w:rsidRDefault="00286A88" w:rsidP="008B2327">
      <w:pPr>
        <w:rPr>
          <w:lang w:val="en-AU" w:eastAsia="en-AU"/>
        </w:rPr>
      </w:pPr>
      <w:r w:rsidRPr="00286A88">
        <w:rPr>
          <w:lang w:val="en-AU" w:eastAsia="en-AU"/>
        </w:rPr>
        <w:t xml:space="preserve">A variety of stunning and stun/killing methods for force-fed geese are described by </w:t>
      </w:r>
      <w:r w:rsidRPr="00286A88">
        <w:rPr>
          <w:noProof/>
          <w:lang w:val="en-AU" w:eastAsia="en-AU"/>
        </w:rPr>
        <w:t>Fernandez et al. (2010)</w:t>
      </w:r>
      <w:r w:rsidRPr="00286A88">
        <w:rPr>
          <w:lang w:val="en-AU" w:eastAsia="en-AU"/>
        </w:rPr>
        <w:t>. This work describes water-bath</w:t>
      </w:r>
      <w:r w:rsidR="00056878">
        <w:rPr>
          <w:lang w:val="en-AU" w:eastAsia="en-AU"/>
        </w:rPr>
        <w:t xml:space="preserve"> </w:t>
      </w:r>
      <w:r w:rsidRPr="00286A88">
        <w:rPr>
          <w:lang w:val="en-AU" w:eastAsia="en-AU"/>
        </w:rPr>
        <w:t>stunning (constant current 130 mA; 50 Hz AC), which resulted in 90% of geese apparently dead on exit; two phase CAS, in which geese were submerged in a carbon dioxide/oxygen/nitrogen</w:t>
      </w:r>
      <w:r w:rsidRPr="00286A88">
        <w:rPr>
          <w:sz w:val="20"/>
          <w:szCs w:val="20"/>
          <w:lang w:val="en-CA" w:eastAsia="en-AU"/>
        </w:rPr>
        <w:t xml:space="preserve"> </w:t>
      </w:r>
      <w:r w:rsidRPr="00286A88">
        <w:rPr>
          <w:lang w:val="en-AU" w:eastAsia="en-AU"/>
        </w:rPr>
        <w:t>(40%-30%-30%) mixture for two minutes, followed by 85% carbon dioxide in air for two minutes, resulting in 100% apparently dead birds on exit; and mechanical stunning, using a 6 mm diameter penetrative bolt placed at the midline at the top of the skull (1 cm back from an imaginary line joining the eyes), a treatment which was survived by all geese. 80% of geese subjected to mechanical stunning showed head movements after ‘stunning’. All stunning methods were followed by cutting of the neck blood vessels within 10 s. It is not clear how Fernandez et al. (2010) assessed apparent death, but the authors do concede that some of the ducks killed in the same experiment showed head movements on the bleeding rail, having previously been assessed as dead on exiting stunning procedures. These experiments were not designed to measure welfare, but may provide some insight into mortality outcomes of some stunning or stun/kill parameters for geese.</w:t>
      </w:r>
    </w:p>
    <w:p w14:paraId="1B33CE91" w14:textId="77777777" w:rsidR="00286A88" w:rsidRPr="00286A88" w:rsidRDefault="00286A88" w:rsidP="008B2327">
      <w:pPr>
        <w:rPr>
          <w:lang w:val="en-AU" w:eastAsia="en-AU"/>
        </w:rPr>
      </w:pPr>
      <w:r w:rsidRPr="00286A88">
        <w:rPr>
          <w:noProof/>
          <w:lang w:val="en-AU" w:eastAsia="en-AU"/>
        </w:rPr>
        <w:t>Fernandez et al. (2010)</w:t>
      </w:r>
      <w:r w:rsidRPr="00286A88">
        <w:rPr>
          <w:lang w:val="en-AU" w:eastAsia="en-AU"/>
        </w:rPr>
        <w:t xml:space="preserve"> also reference some unpublished results of their own, mentioning that they have been unable to achieve a satisfactory stun for geese with head-only tongs, even when current is up to 1 A 50 Hz AC, but do not give any further details or explanation.</w:t>
      </w:r>
    </w:p>
    <w:p w14:paraId="2D88468D" w14:textId="77777777" w:rsidR="00286A88" w:rsidRPr="00286A88" w:rsidRDefault="00286A88" w:rsidP="008B2327">
      <w:pPr>
        <w:rPr>
          <w:lang w:val="en-AU" w:eastAsia="en-GB"/>
        </w:rPr>
      </w:pPr>
      <w:r w:rsidRPr="00286A88">
        <w:rPr>
          <w:lang w:val="en-AU" w:eastAsia="en-GB"/>
        </w:rPr>
        <w:t xml:space="preserve">Some non-peer-reviewed papers have assessed the effectiveness of water-bath stunning for geese, and based on their findings, EFSA currently recommend a current of 130 mA rms at 50 Hz AC, although it is not known whether this current produces stunning before inducing cardiac fibrillation in geese </w:t>
      </w:r>
      <w:r w:rsidRPr="00286A88">
        <w:rPr>
          <w:noProof/>
          <w:lang w:val="en-AU" w:eastAsia="en-GB"/>
        </w:rPr>
        <w:t>(EFSA, 2006)</w:t>
      </w:r>
      <w:r w:rsidRPr="00286A88">
        <w:rPr>
          <w:lang w:val="en-AU" w:eastAsia="en-GB"/>
        </w:rPr>
        <w:t>.</w:t>
      </w:r>
    </w:p>
    <w:p w14:paraId="600759B3" w14:textId="77777777" w:rsidR="00286A88" w:rsidRPr="00515938" w:rsidRDefault="00286A88" w:rsidP="00515938">
      <w:pPr>
        <w:pStyle w:val="Heading3"/>
      </w:pPr>
      <w:bookmarkStart w:id="397" w:name="_Toc495310864"/>
      <w:r w:rsidRPr="00515938">
        <w:t>SL3</w:t>
      </w:r>
      <w:r w:rsidR="004B298E">
        <w:t>.6 Guinea f</w:t>
      </w:r>
      <w:r w:rsidRPr="00515938">
        <w:t>owl</w:t>
      </w:r>
      <w:bookmarkEnd w:id="397"/>
    </w:p>
    <w:p w14:paraId="15091700" w14:textId="77777777" w:rsidR="00286A88" w:rsidRPr="00286A88" w:rsidRDefault="00286A88" w:rsidP="008B2327">
      <w:pPr>
        <w:rPr>
          <w:lang w:val="en-AU" w:eastAsia="en-AU"/>
        </w:rPr>
      </w:pPr>
      <w:r w:rsidRPr="00286A88">
        <w:rPr>
          <w:lang w:val="en-AU" w:eastAsia="en-AU"/>
        </w:rPr>
        <w:t xml:space="preserve">No peer-reviewed literature has been found on the slaughter of guinea fowl. Some recommendations for electrical water-bath stunning of guinea fowl can be found in the Humane Slaughter Association Guidelines for the Electrical Stunning of Poultry, where stunning with at least 100 mA rms per bird at 50 Hz sine wave AC is advised </w:t>
      </w:r>
      <w:r w:rsidRPr="00286A88">
        <w:rPr>
          <w:noProof/>
          <w:lang w:val="en-AU" w:eastAsia="en-AU"/>
        </w:rPr>
        <w:t>(Humane Slaughter Association, 2015)</w:t>
      </w:r>
      <w:r w:rsidRPr="00286A88">
        <w:rPr>
          <w:lang w:val="en-AU" w:eastAsia="en-AU"/>
        </w:rPr>
        <w:t>.</w:t>
      </w:r>
    </w:p>
    <w:p w14:paraId="18C40EDA" w14:textId="77777777" w:rsidR="00286A88" w:rsidRPr="00515938" w:rsidRDefault="00286A88" w:rsidP="00515938">
      <w:pPr>
        <w:pStyle w:val="Heading3"/>
      </w:pPr>
      <w:bookmarkStart w:id="398" w:name="_Toc495310865"/>
      <w:r w:rsidRPr="00515938">
        <w:t>SL3.7 Quail</w:t>
      </w:r>
      <w:bookmarkEnd w:id="398"/>
    </w:p>
    <w:p w14:paraId="347A8F59" w14:textId="77777777" w:rsidR="00286A88" w:rsidRPr="00286A88" w:rsidRDefault="00286A88" w:rsidP="008B2327">
      <w:pPr>
        <w:rPr>
          <w:lang w:val="en-AU" w:eastAsia="en-AU"/>
        </w:rPr>
      </w:pPr>
      <w:r w:rsidRPr="00286A88">
        <w:rPr>
          <w:lang w:val="en-AU" w:eastAsia="en-AU"/>
        </w:rPr>
        <w:t xml:space="preserve">Quail are one of the smallest birds farmed to enter the food chain. There are very few peer-reviewed papers on the stunning and killing of quail. At slaughter, quail are usually processed without being bled, as is the case with many game birds </w:t>
      </w:r>
      <w:r w:rsidRPr="00286A88">
        <w:rPr>
          <w:noProof/>
          <w:lang w:val="en-AU" w:eastAsia="en-AU"/>
        </w:rPr>
        <w:t>(Gregory et al., 1991)</w:t>
      </w:r>
      <w:r w:rsidRPr="00286A88">
        <w:rPr>
          <w:lang w:val="en-AU" w:eastAsia="en-AU"/>
        </w:rPr>
        <w:t>. Therefore, it is crucial that the stunning technique used causes death so that there is no possibility of recovery during subsequent processing. Quail are very susceptible to stress. This may mean that stun/kill techniques which minimise handling should be preferred. CAS or LAPS would seem to be the best solution.</w:t>
      </w:r>
    </w:p>
    <w:p w14:paraId="5CDA0E1D" w14:textId="77777777" w:rsidR="00286A88" w:rsidRPr="00515938" w:rsidRDefault="00286A88" w:rsidP="00515938">
      <w:pPr>
        <w:pStyle w:val="Heading41"/>
      </w:pPr>
      <w:r w:rsidRPr="00515938">
        <w:t>SL3.7a Electrical water-bath stunning</w:t>
      </w:r>
    </w:p>
    <w:p w14:paraId="345C64FF" w14:textId="77777777" w:rsidR="00286A88" w:rsidRPr="00286A88" w:rsidRDefault="00286A88" w:rsidP="008B2327">
      <w:pPr>
        <w:rPr>
          <w:lang w:val="en-AU" w:eastAsia="en-AU"/>
        </w:rPr>
      </w:pPr>
      <w:r w:rsidRPr="00286A88">
        <w:rPr>
          <w:lang w:val="en-AU" w:eastAsia="en-AU"/>
        </w:rPr>
        <w:t>Gregory et al. (1991) subjected quail to water-bath stunning with a variety of currents at 50 Hz sine wave AC and 200 Hz square wave pulsed DC. They report that when 50 Hz sinusoidal AC was used, all quails were fibrillated even at the lowest current tested, 45 mA. With a square wave 200 Hz pulsed DC current, all quails were fibrillated when the current was 50 mA, but with currents less than this there was a sharp decline in the proportion of quails experiencing fibrillation.</w:t>
      </w:r>
    </w:p>
    <w:p w14:paraId="579B6B25" w14:textId="77777777" w:rsidR="00286A88" w:rsidRPr="00515938" w:rsidRDefault="00286A88" w:rsidP="00515938">
      <w:pPr>
        <w:pStyle w:val="Heading41"/>
      </w:pPr>
      <w:r w:rsidRPr="00515938">
        <w:t>SL3.7b Controlled atmosphere stunning</w:t>
      </w:r>
    </w:p>
    <w:p w14:paraId="006A427D" w14:textId="77777777" w:rsidR="00286A88" w:rsidRPr="00286A88" w:rsidRDefault="00286A88" w:rsidP="008B2327">
      <w:pPr>
        <w:rPr>
          <w:lang w:val="en-AU" w:eastAsia="en-AU"/>
        </w:rPr>
      </w:pPr>
      <w:r w:rsidRPr="00286A88">
        <w:rPr>
          <w:lang w:val="en-AU" w:eastAsia="en-AU"/>
        </w:rPr>
        <w:t xml:space="preserve">Quail exposed to 90% argon in air (2% residual oxygen), or 30% carbon dioxide and 60% argon in air (2% residual oxygen) lose posture after an average of 8 and 9 s respectively. All movements, including spasms, cease within 1 minute, and on removal from the gaseous atmospheres, there is no recovery </w:t>
      </w:r>
      <w:r w:rsidRPr="00286A88">
        <w:rPr>
          <w:noProof/>
          <w:lang w:val="en-AU" w:eastAsia="en-AU"/>
        </w:rPr>
        <w:t>(Tserveni-Gousi et al., 1999)</w:t>
      </w:r>
      <w:r w:rsidRPr="00286A88">
        <w:rPr>
          <w:lang w:val="en-AU" w:eastAsia="en-AU"/>
        </w:rPr>
        <w:t>. As with chickens, quail appear to be able to detect the presence of carbon dioxide. Tserveni-Gousi et al. (1999) note that quail showed gasping and head-shaking as soon as they were immersed in the carbon dioxide rich atmosphere, but no behavioural reaction to the induction of unconsciousness was noted with exposure to argon alone. Tserveni-Gousi compared the carcase quality of birds killed using CAS to quail killed using a water-bath (60 mA at 50 Hz AC), and concluded that CAS resulted in fewer broken bones and other carcase defects than electrical water-bath stunning.</w:t>
      </w:r>
    </w:p>
    <w:p w14:paraId="078552F0" w14:textId="77777777" w:rsidR="00286A88" w:rsidRPr="00515938" w:rsidRDefault="00286A88" w:rsidP="00515938">
      <w:pPr>
        <w:pStyle w:val="Heading3"/>
      </w:pPr>
      <w:bookmarkStart w:id="399" w:name="_Toc495310866"/>
      <w:r w:rsidRPr="00515938">
        <w:t>SL3.8 Partridges</w:t>
      </w:r>
      <w:bookmarkEnd w:id="399"/>
    </w:p>
    <w:p w14:paraId="20CB6408" w14:textId="77777777" w:rsidR="00286A88" w:rsidRPr="00286A88" w:rsidRDefault="00286A88" w:rsidP="008B2327">
      <w:pPr>
        <w:rPr>
          <w:lang w:val="en-AU" w:eastAsia="en-AU"/>
        </w:rPr>
      </w:pPr>
      <w:r w:rsidRPr="00286A88">
        <w:rPr>
          <w:lang w:val="en-AU" w:eastAsia="en-AU"/>
        </w:rPr>
        <w:t xml:space="preserve">No peer-reviewed literature on the stunning of partridges has been found. Partridges are bigger than quail, but smaller than pheasants. If they are processed as game birds and not exsanguinated, then like quail, it is imperative that a stun/kill method is used to avoid birds regaining consciousness during processing. It is possible that electrical </w:t>
      </w:r>
      <w:r w:rsidR="00056878">
        <w:rPr>
          <w:lang w:val="en-AU" w:eastAsia="en-AU"/>
        </w:rPr>
        <w:t>w</w:t>
      </w:r>
      <w:r w:rsidRPr="00286A88">
        <w:rPr>
          <w:lang w:val="en-AU" w:eastAsia="en-AU"/>
        </w:rPr>
        <w:t>ater-bath stunning may be appropriate, however CAS or LAPS methods may be a safer option as these are stun-to-kill methods.</w:t>
      </w:r>
    </w:p>
    <w:p w14:paraId="35C957A4" w14:textId="77777777" w:rsidR="00286A88" w:rsidRPr="00515938" w:rsidRDefault="00286A88" w:rsidP="00515938">
      <w:pPr>
        <w:pStyle w:val="Heading3"/>
      </w:pPr>
      <w:bookmarkStart w:id="400" w:name="_Toc495310867"/>
      <w:r w:rsidRPr="00515938">
        <w:t>SL3.9 Pheasants</w:t>
      </w:r>
      <w:bookmarkEnd w:id="400"/>
    </w:p>
    <w:p w14:paraId="083410C6" w14:textId="77777777" w:rsidR="00286A88" w:rsidRPr="00286A88" w:rsidRDefault="00286A88" w:rsidP="008B2327">
      <w:pPr>
        <w:rPr>
          <w:lang w:val="en-AU" w:eastAsia="en-AU"/>
        </w:rPr>
      </w:pPr>
      <w:r w:rsidRPr="00286A88">
        <w:rPr>
          <w:lang w:val="en-AU" w:eastAsia="en-AU"/>
        </w:rPr>
        <w:t>No peer-reviewed literature on the stunning of pheasants has been found. If they are processed as game birds and not exsanguinated, then like quail, it is imperative that a stun/kill method is used to avoid birds regaining consciousness during processing. It is possible that electrical water-bath stunning may be appropriate, however CAS or LAPS methods may be a safer option as these are stun-to-kill methods.</w:t>
      </w:r>
    </w:p>
    <w:p w14:paraId="50744429" w14:textId="77777777" w:rsidR="00286A88" w:rsidRPr="00515938" w:rsidRDefault="00286A88" w:rsidP="00515938">
      <w:pPr>
        <w:pStyle w:val="Heading3"/>
      </w:pPr>
      <w:bookmarkStart w:id="401" w:name="_Toc495310868"/>
      <w:r w:rsidRPr="00515938">
        <w:t>SL3.10 Pigeons</w:t>
      </w:r>
      <w:bookmarkEnd w:id="401"/>
    </w:p>
    <w:p w14:paraId="1767B6A2" w14:textId="77777777" w:rsidR="00286A88" w:rsidRPr="00286A88" w:rsidRDefault="00286A88" w:rsidP="008B2327">
      <w:pPr>
        <w:rPr>
          <w:lang w:val="en-AU" w:eastAsia="en-AU"/>
        </w:rPr>
      </w:pPr>
      <w:r w:rsidRPr="00286A88">
        <w:rPr>
          <w:lang w:val="en-AU" w:eastAsia="en-AU"/>
        </w:rPr>
        <w:t>No peer-reviewed literature on the stunning of pigeons has been found. If they are processed as game birds and not exsanguinated, then like quail, it is imperative that a stun/kill method is used to avoid birds regaining consciousness during processing. Electrical water-bath stunning is unlikely to be an option for these birds because of their size. CAS or LAPS methods may be appropriate.</w:t>
      </w:r>
    </w:p>
    <w:p w14:paraId="00D6213F" w14:textId="77777777" w:rsidR="00286A88" w:rsidRPr="00515938" w:rsidRDefault="00286A88" w:rsidP="00515938">
      <w:pPr>
        <w:pStyle w:val="Heading3"/>
      </w:pPr>
      <w:bookmarkStart w:id="402" w:name="_Toc495310869"/>
      <w:r w:rsidRPr="00515938">
        <w:t>SL3.11 Ostriches</w:t>
      </w:r>
      <w:bookmarkEnd w:id="402"/>
    </w:p>
    <w:p w14:paraId="31C630CD" w14:textId="77777777" w:rsidR="00286A88" w:rsidRPr="00286A88" w:rsidRDefault="00286A88" w:rsidP="008B2327">
      <w:pPr>
        <w:rPr>
          <w:lang w:val="en-AU" w:eastAsia="en-AU"/>
        </w:rPr>
      </w:pPr>
      <w:r w:rsidRPr="00286A88">
        <w:rPr>
          <w:lang w:val="en-AU" w:eastAsia="en-AU"/>
        </w:rPr>
        <w:t>Ostriches are typically slaughtered for meat at 9-10 months of age, or at 14 months for leather. The primary stunning method is head-only electrical stunning, although mechanical percussive stunning has also been researched as a humane killing method. Ostriches appear to be easily stressed so significant efforts to maintain a calm atmosphere and long lairage times are needed (Hoffman, 2012).</w:t>
      </w:r>
    </w:p>
    <w:p w14:paraId="1B4AE3D2" w14:textId="77777777" w:rsidR="00286A88" w:rsidRPr="00515938" w:rsidRDefault="00286A88" w:rsidP="00515938">
      <w:pPr>
        <w:pStyle w:val="Heading41"/>
      </w:pPr>
      <w:r w:rsidRPr="00515938">
        <w:t>SL3.11a Electrical stunning</w:t>
      </w:r>
    </w:p>
    <w:p w14:paraId="2312A8E0" w14:textId="77777777" w:rsidR="00286A88" w:rsidRPr="00286A88" w:rsidRDefault="00286A88" w:rsidP="008B2327">
      <w:pPr>
        <w:rPr>
          <w:lang w:val="en-AU" w:eastAsia="en-AU"/>
        </w:rPr>
      </w:pPr>
      <w:r w:rsidRPr="00286A88">
        <w:rPr>
          <w:lang w:val="en-AU" w:eastAsia="en-AU"/>
        </w:rPr>
        <w:t>Electrical stunning, combined with an effective handling system, can produce an effective and humane stun in ostriches. Ostriches undergo head-only stunning, followed quickly by exsanguination.</w:t>
      </w:r>
    </w:p>
    <w:p w14:paraId="1DE55056" w14:textId="77777777" w:rsidR="00286A88" w:rsidRPr="00286A88" w:rsidRDefault="00286A88" w:rsidP="008B2327">
      <w:pPr>
        <w:rPr>
          <w:lang w:val="en-AU" w:eastAsia="en-AU"/>
        </w:rPr>
      </w:pPr>
      <w:r w:rsidRPr="00286A88">
        <w:rPr>
          <w:noProof/>
          <w:lang w:val="en-AU" w:eastAsia="en-AU"/>
        </w:rPr>
        <w:t>Wotton and Sparrey (2002)</w:t>
      </w:r>
      <w:r w:rsidRPr="00286A88">
        <w:rPr>
          <w:lang w:val="en-AU" w:eastAsia="en-AU"/>
        </w:rPr>
        <w:t xml:space="preserve"> reported on commercial practice for South African black ostrich slaughter in an abattoir in South Africa. They measured the current passed across the heads of over 400 ostriches and observed the birds afterwards for behavioural signs of unconsciousness. The stunning current was applied for approximately 10 s. The current varied according to the voltage setting used and the impedance of the individual birds. Current varied from less than 100 mA to over 800 mA. Wotton and Sparrey concluded from this observation that a 10 s exposure to a 50 Hz AC stun current of 312 mA should result in unconsciousness for 90% of birds. Ostriches were bled within 60 s of the start of the stun.</w:t>
      </w:r>
    </w:p>
    <w:p w14:paraId="0147C2DC" w14:textId="77777777" w:rsidR="00286A88" w:rsidRPr="00286A88" w:rsidRDefault="00286A88" w:rsidP="008B2327">
      <w:pPr>
        <w:rPr>
          <w:lang w:val="en-AU" w:eastAsia="en-AU"/>
        </w:rPr>
      </w:pPr>
      <w:r w:rsidRPr="00286A88">
        <w:rPr>
          <w:lang w:val="en-AU" w:eastAsia="en-AU"/>
        </w:rPr>
        <w:t xml:space="preserve">A minimum current of 500 mA (50Hz, presumed AC) for 3-6 s was recommended by </w:t>
      </w:r>
      <w:r w:rsidRPr="00286A88">
        <w:rPr>
          <w:noProof/>
          <w:lang w:val="en-AU" w:eastAsia="en-AU"/>
        </w:rPr>
        <w:t>Lambooij et al. (1999b)</w:t>
      </w:r>
      <w:r w:rsidRPr="00286A88">
        <w:rPr>
          <w:lang w:val="en-AU" w:eastAsia="en-AU"/>
        </w:rPr>
        <w:t xml:space="preserve"> to ensure adequate stunning in 90% of ostriches. This recommendation was made on the basis of examination of the EEG signals. It is worth noting that the duration of insensib</w:t>
      </w:r>
      <w:r w:rsidR="00992FC5">
        <w:rPr>
          <w:lang w:val="en-AU" w:eastAsia="en-AU"/>
        </w:rPr>
        <w:t xml:space="preserve">ility reported by Lambooij was </w:t>
      </w:r>
      <w:r w:rsidRPr="00286A88">
        <w:rPr>
          <w:lang w:val="en-AU" w:eastAsia="en-AU"/>
        </w:rPr>
        <w:t>only 25 s.</w:t>
      </w:r>
    </w:p>
    <w:p w14:paraId="390B11F4" w14:textId="77777777" w:rsidR="00286A88" w:rsidRPr="00286A88" w:rsidRDefault="00286A88" w:rsidP="008B2327">
      <w:pPr>
        <w:rPr>
          <w:lang w:val="en-AU" w:eastAsia="en-AU"/>
        </w:rPr>
      </w:pPr>
      <w:r w:rsidRPr="00286A88">
        <w:rPr>
          <w:lang w:val="en-AU" w:eastAsia="en-AU"/>
        </w:rPr>
        <w:t xml:space="preserve">Wotton and Sparrey report that shackling birds while stunning current was flowing allowed ostriches to be safely inverted and hung by their big toes before convulsions started. </w:t>
      </w:r>
      <w:r w:rsidRPr="00286A88">
        <w:rPr>
          <w:noProof/>
          <w:lang w:val="en-AU" w:eastAsia="en-AU"/>
        </w:rPr>
        <w:t>Hoffman (2012)</w:t>
      </w:r>
      <w:r w:rsidRPr="00286A88">
        <w:rPr>
          <w:lang w:val="en-AU" w:eastAsia="en-AU"/>
        </w:rPr>
        <w:t xml:space="preserve"> reports on a padded restraining and stunning box (Divac restraining and stunning box) which rotates 180° to allow for easier and safer shackling but no further references to this device can be found outside of this publication. </w:t>
      </w:r>
      <w:r w:rsidRPr="00286A88">
        <w:rPr>
          <w:noProof/>
          <w:lang w:val="en-AU" w:eastAsia="en-AU"/>
        </w:rPr>
        <w:t>Hoffman et al. (2009)</w:t>
      </w:r>
      <w:r w:rsidRPr="00286A88">
        <w:rPr>
          <w:lang w:val="en-AU" w:eastAsia="en-AU"/>
        </w:rPr>
        <w:t xml:space="preserve"> observes that bleed-out tends to be more efficient, and it appears time to death may be faster when a ventral throat cut is combined with thoracic sticking.</w:t>
      </w:r>
    </w:p>
    <w:p w14:paraId="78BC9D49" w14:textId="77777777" w:rsidR="00286A88" w:rsidRPr="00515938" w:rsidRDefault="00286A88" w:rsidP="00515938">
      <w:pPr>
        <w:pStyle w:val="Heading41"/>
      </w:pPr>
      <w:r w:rsidRPr="00515938">
        <w:t>SL</w:t>
      </w:r>
      <w:r w:rsidR="001A7691">
        <w:t>3.</w:t>
      </w:r>
      <w:r w:rsidRPr="00515938">
        <w:t>11b Mechanical stunning</w:t>
      </w:r>
    </w:p>
    <w:p w14:paraId="76EAECD5" w14:textId="77777777" w:rsidR="00286A88" w:rsidRPr="00286A88" w:rsidRDefault="00286A88" w:rsidP="007D5D6B">
      <w:pPr>
        <w:rPr>
          <w:lang w:val="en-AU" w:eastAsia="en-AU"/>
        </w:rPr>
      </w:pPr>
      <w:r w:rsidRPr="00286A88">
        <w:rPr>
          <w:lang w:val="en-AU" w:eastAsia="en-AU"/>
        </w:rPr>
        <w:t xml:space="preserve">A penetrating captive bolt can be used to stun ostriches, although it is not known whether the stun is caused by concussion, destruction of neural tissue, or bleeding of the brain. </w:t>
      </w:r>
      <w:r w:rsidRPr="00286A88">
        <w:rPr>
          <w:noProof/>
          <w:lang w:val="en-AU" w:eastAsia="en-AU"/>
        </w:rPr>
        <w:t>EFSA (2006)</w:t>
      </w:r>
      <w:r w:rsidRPr="00286A88">
        <w:rPr>
          <w:lang w:val="en-AU" w:eastAsia="en-AU"/>
        </w:rPr>
        <w:t xml:space="preserve"> recommend that the bolt is placed at the crossover point between imaginary lines drawn between the eyes and contralateral ears, or on the crown of the head with the bolt in the direction of the throat. Further parameters are not given. When using bolt stunning, adequate restraint is important, as the clonic spasms which follow make it difficult for the operator to safely handle and bleed the animal.</w:t>
      </w:r>
    </w:p>
    <w:p w14:paraId="2D8C9633" w14:textId="77777777" w:rsidR="00286A88" w:rsidRPr="00286A88" w:rsidRDefault="00286A88" w:rsidP="007D5D6B">
      <w:pPr>
        <w:rPr>
          <w:lang w:val="en-AU" w:eastAsia="en-AU"/>
        </w:rPr>
      </w:pPr>
      <w:r w:rsidRPr="00286A88">
        <w:rPr>
          <w:noProof/>
          <w:lang w:val="en-AU" w:eastAsia="en-AU"/>
        </w:rPr>
        <w:t>Lambooij et al. (1999b)</w:t>
      </w:r>
      <w:r w:rsidRPr="00286A88">
        <w:rPr>
          <w:lang w:val="en-AU" w:eastAsia="en-AU"/>
        </w:rPr>
        <w:t xml:space="preserve"> reports on an experimental design for an air-pressure mechanical stunning device. A modified nail gun was fitted with two hollow needles, each of which was equipped with holes to allow air to flow through in various directions. Compressed air was injected at 3 bar as the needles penetrated the skull. Lambooij reports that this appeared to cause insensibility for most animals, although further work would be necessary to develop this method as a suitable stunning device.</w:t>
      </w:r>
    </w:p>
    <w:p w14:paraId="056AEEE2" w14:textId="77777777" w:rsidR="00286A88" w:rsidRPr="00515938" w:rsidRDefault="00286A88" w:rsidP="00515938">
      <w:pPr>
        <w:pStyle w:val="Heading3"/>
      </w:pPr>
      <w:bookmarkStart w:id="403" w:name="_Toc495310870"/>
      <w:r w:rsidRPr="00515938">
        <w:t>SL3.12 Emus</w:t>
      </w:r>
      <w:bookmarkEnd w:id="403"/>
    </w:p>
    <w:p w14:paraId="725B0B19" w14:textId="77777777" w:rsidR="00286A88" w:rsidRPr="00286A88" w:rsidRDefault="00286A88" w:rsidP="007D5D6B">
      <w:pPr>
        <w:rPr>
          <w:noProof/>
          <w:lang w:val="en-AU" w:eastAsia="en-AU"/>
        </w:rPr>
      </w:pPr>
      <w:r w:rsidRPr="00286A88">
        <w:rPr>
          <w:noProof/>
          <w:lang w:val="en-AU" w:eastAsia="en-AU"/>
        </w:rPr>
        <w:t>Similar to ostriches, emus are ratites, large, flightless birds, farmed for their meat, hide and oil. No peer-reviewed publications have been found relating to the slaughter of emus. It seems likely that emus are slaughtered similarly to ostriches, and the welfare guidelines of various countries and organisations fail to distinguish between ostriches and emus. This does not however necessarily mean that the same stunning parameters are valid for both types of bird. The only reference found to stunning parameters for emus specifically is in the A</w:t>
      </w:r>
      <w:r w:rsidR="0083788F">
        <w:rPr>
          <w:noProof/>
          <w:lang w:val="en-AU" w:eastAsia="en-AU"/>
        </w:rPr>
        <w:t xml:space="preserve">merican </w:t>
      </w:r>
      <w:r w:rsidRPr="00286A88">
        <w:rPr>
          <w:noProof/>
          <w:lang w:val="en-AU" w:eastAsia="en-AU"/>
        </w:rPr>
        <w:t>V</w:t>
      </w:r>
      <w:r w:rsidR="0083788F">
        <w:rPr>
          <w:noProof/>
          <w:lang w:val="en-AU" w:eastAsia="en-AU"/>
        </w:rPr>
        <w:t xml:space="preserve">eterinary </w:t>
      </w:r>
      <w:r w:rsidRPr="00286A88">
        <w:rPr>
          <w:noProof/>
          <w:lang w:val="en-AU" w:eastAsia="en-AU"/>
        </w:rPr>
        <w:t>M</w:t>
      </w:r>
      <w:r w:rsidR="0083788F">
        <w:rPr>
          <w:noProof/>
          <w:lang w:val="en-AU" w:eastAsia="en-AU"/>
        </w:rPr>
        <w:t xml:space="preserve">edical </w:t>
      </w:r>
      <w:r w:rsidRPr="00286A88">
        <w:rPr>
          <w:noProof/>
          <w:lang w:val="en-AU" w:eastAsia="en-AU"/>
        </w:rPr>
        <w:t>A</w:t>
      </w:r>
      <w:r w:rsidR="0083788F">
        <w:rPr>
          <w:noProof/>
          <w:lang w:val="en-AU" w:eastAsia="en-AU"/>
        </w:rPr>
        <w:t>ssociation’s</w:t>
      </w:r>
      <w:r w:rsidRPr="00286A88">
        <w:rPr>
          <w:noProof/>
          <w:lang w:val="en-AU" w:eastAsia="en-AU"/>
        </w:rPr>
        <w:t xml:space="preserve"> (2016) Guidelines for the Humane Slaughter of Animals, but this appears to be taken from a publication concerned with minimising convulsions to reduce damage to the skin, rather than welfare. Furthermore, no waveform or frequency is specified, making the recommendation meaningless.</w:t>
      </w:r>
    </w:p>
    <w:p w14:paraId="29C5A45C" w14:textId="77777777" w:rsidR="00286A88" w:rsidRPr="00286A88" w:rsidRDefault="00286A88" w:rsidP="007D2446">
      <w:pPr>
        <w:pStyle w:val="Heading2"/>
        <w:rPr>
          <w:lang w:val="en-AU" w:eastAsia="en-AU"/>
        </w:rPr>
      </w:pPr>
      <w:bookmarkStart w:id="404" w:name="_Toc495310871"/>
      <w:r w:rsidRPr="00286A88">
        <w:rPr>
          <w:lang w:val="en-AU" w:eastAsia="en-AU"/>
        </w:rPr>
        <w:t>SL4. Welfare Considerations: Overview</w:t>
      </w:r>
      <w:bookmarkEnd w:id="404"/>
    </w:p>
    <w:p w14:paraId="1E3F3504" w14:textId="77777777" w:rsidR="00286A88" w:rsidRPr="00286A88" w:rsidRDefault="00286A88" w:rsidP="007D5D6B">
      <w:pPr>
        <w:rPr>
          <w:noProof/>
          <w:lang w:val="en-AU" w:eastAsia="en-AU"/>
        </w:rPr>
      </w:pPr>
      <w:r w:rsidRPr="00286A88">
        <w:rPr>
          <w:noProof/>
          <w:lang w:val="en-AU" w:eastAsia="en-AU"/>
        </w:rPr>
        <w:t>The main slaughter methods applied to poultry in high throughput processing plants are electrical water-bath stunning followed by bleeding, and controlled atmosphere stunning and killing (CAS) using carbon dioxide, nitrogen or argon. The balance of scientific opinion is that controlled atmosphere killing offers the higher standard of welfare.</w:t>
      </w:r>
    </w:p>
    <w:p w14:paraId="79E19AE3" w14:textId="77777777" w:rsidR="00286A88" w:rsidRPr="00286A88" w:rsidRDefault="00286A88" w:rsidP="007D5D6B">
      <w:pPr>
        <w:rPr>
          <w:noProof/>
          <w:lang w:val="en-AU" w:eastAsia="en-AU"/>
        </w:rPr>
      </w:pPr>
      <w:r w:rsidRPr="00286A88">
        <w:rPr>
          <w:noProof/>
          <w:lang w:val="en-AU" w:eastAsia="en-AU"/>
        </w:rPr>
        <w:t>Low atmospheric pressure stunning and killing (LAPS) is a new technique suitable for large throughput processing plants that may offer higher standards of welfare at slaughter than either the preceding methods. Its use has been extensively researched only for broiler chickens. Currently its use is very limited and it has not yet been approved for use in Europe.</w:t>
      </w:r>
    </w:p>
    <w:p w14:paraId="5EFFFEC2" w14:textId="77777777" w:rsidR="00286A88" w:rsidRPr="00286A88" w:rsidRDefault="00286A88" w:rsidP="007D5D6B">
      <w:pPr>
        <w:rPr>
          <w:noProof/>
          <w:lang w:val="en-AU" w:eastAsia="en-AU"/>
        </w:rPr>
      </w:pPr>
      <w:r w:rsidRPr="00286A88">
        <w:rPr>
          <w:noProof/>
          <w:lang w:val="en-AU" w:eastAsia="en-AU"/>
        </w:rPr>
        <w:t>Large scale head-only electrical stunning of poultry is another new approach, however it has received relatively little scientific scrutiny. This complex approach appears to solve some but not all of the problems of the electrical water-bath system for broilers. It may be uniquely suitable for halal slaughter.</w:t>
      </w:r>
    </w:p>
    <w:p w14:paraId="1DDD41E7" w14:textId="77777777" w:rsidR="00286A88" w:rsidRPr="00286A88" w:rsidRDefault="00286A88" w:rsidP="007D5D6B">
      <w:pPr>
        <w:rPr>
          <w:noProof/>
          <w:lang w:val="en-AU" w:eastAsia="en-AU"/>
        </w:rPr>
      </w:pPr>
      <w:r w:rsidRPr="00286A88">
        <w:rPr>
          <w:noProof/>
          <w:lang w:val="en-AU" w:eastAsia="en-AU"/>
        </w:rPr>
        <w:t>Electrical water-bath stunning is widely used for laying hens, broilers, ducks, geese, turkeys, quail and guinea fowl. CAS and LAPS may offer higher welfare at slaughter than the electrical water-bath for all these species and in addition may be suited to partridge, pheasants and pigeons.</w:t>
      </w:r>
    </w:p>
    <w:p w14:paraId="4C360433" w14:textId="77777777" w:rsidR="00286A88" w:rsidRPr="00286A88" w:rsidRDefault="00286A88" w:rsidP="007D5D6B">
      <w:pPr>
        <w:rPr>
          <w:noProof/>
          <w:lang w:val="en-AU" w:eastAsia="en-AU"/>
        </w:rPr>
      </w:pPr>
      <w:r w:rsidRPr="00286A88">
        <w:rPr>
          <w:noProof/>
          <w:lang w:val="en-AU" w:eastAsia="en-AU"/>
        </w:rPr>
        <w:t>Small scale stunning and killing methods for small producers and for killing stock at the end of their economically useful lives commonly include head only electric stunning and percussive stunning. Some mobile electrical water-bath, CAS and LAPS systems also exist that can be moved from farm to farm.</w:t>
      </w:r>
    </w:p>
    <w:p w14:paraId="4F4BE4BB" w14:textId="77777777" w:rsidR="00286A88" w:rsidRPr="00286A88" w:rsidRDefault="00286A88" w:rsidP="007D5D6B">
      <w:pPr>
        <w:rPr>
          <w:noProof/>
          <w:lang w:val="en-AU" w:eastAsia="en-AU"/>
        </w:rPr>
      </w:pPr>
      <w:r w:rsidRPr="00286A88">
        <w:rPr>
          <w:noProof/>
          <w:lang w:val="en-AU" w:eastAsia="en-AU"/>
        </w:rPr>
        <w:t>For large scale emergency slaughter due to disease, controlled atmosphere stunning and killing using carbon dioxide filled bins or whole house gas or foam systems have been developed. Whole house killing of laying hens using gas is also recommended on welfare grounds in some countries.</w:t>
      </w:r>
    </w:p>
    <w:p w14:paraId="2D92A95C" w14:textId="77777777" w:rsidR="00286A88" w:rsidRDefault="00286A88" w:rsidP="007D5D6B">
      <w:pPr>
        <w:rPr>
          <w:noProof/>
          <w:lang w:val="en-AU" w:eastAsia="en-AU"/>
        </w:rPr>
      </w:pPr>
      <w:r w:rsidRPr="00286A88">
        <w:rPr>
          <w:noProof/>
          <w:lang w:val="en-AU" w:eastAsia="en-AU"/>
        </w:rPr>
        <w:t>Reported research on ostrich stunning and killing is limited to head only electric stunning and a mechanical technique. It is not clear whether CAS or LAPS have potential to reduce stress at slaughter for ostrich and emu.</w:t>
      </w:r>
    </w:p>
    <w:p w14:paraId="6E77F693" w14:textId="77777777" w:rsidR="002F2711" w:rsidRDefault="002F2711" w:rsidP="007D5D6B">
      <w:pPr>
        <w:rPr>
          <w:noProof/>
          <w:lang w:val="en-AU" w:eastAsia="en-AU"/>
        </w:rPr>
      </w:pPr>
    </w:p>
    <w:p w14:paraId="0B3B6289" w14:textId="77777777" w:rsidR="002F2711" w:rsidRDefault="00363A83" w:rsidP="002F2711">
      <w:pPr>
        <w:pStyle w:val="Heading2"/>
        <w:rPr>
          <w:noProof/>
          <w:lang w:val="en-AU" w:eastAsia="en-AU"/>
        </w:rPr>
      </w:pPr>
      <w:bookmarkStart w:id="405" w:name="_Toc495310872"/>
      <w:r>
        <w:rPr>
          <w:noProof/>
          <w:lang w:val="en-AU" w:eastAsia="en-AU"/>
        </w:rPr>
        <w:t xml:space="preserve">SL5. </w:t>
      </w:r>
      <w:r w:rsidR="002F2711">
        <w:rPr>
          <w:noProof/>
          <w:lang w:val="en-AU" w:eastAsia="en-AU"/>
        </w:rPr>
        <w:t>References</w:t>
      </w:r>
      <w:bookmarkEnd w:id="405"/>
    </w:p>
    <w:p w14:paraId="003FE270" w14:textId="77777777" w:rsidR="002F2711" w:rsidRPr="002F2711" w:rsidRDefault="002F2711" w:rsidP="002F2711">
      <w:pPr>
        <w:rPr>
          <w:noProof/>
          <w:lang w:val="en-AU" w:eastAsia="en-AU"/>
        </w:rPr>
      </w:pPr>
      <w:r w:rsidRPr="002F2711">
        <w:rPr>
          <w:noProof/>
          <w:lang w:val="en-AU" w:eastAsia="en-AU"/>
        </w:rPr>
        <w:t>Abeyesinghe, S. M., D. E. F. McKeegan, M. A. McLeman, J. C. Lowe, T. G. M. Demmers, R. P. White, R. W. Kranen, H. van Bemmel, J. A. Lankhaar, and C. M. Wathes. 2007. Controlled atmosphere stunning of broiler chickens. I. Effects on behaviour, physiology and meat quality in a pilot scale system at a processing plant. Br</w:t>
      </w:r>
      <w:r w:rsidR="00F830E6">
        <w:rPr>
          <w:noProof/>
          <w:lang w:val="en-AU" w:eastAsia="en-AU"/>
        </w:rPr>
        <w:t>itish</w:t>
      </w:r>
      <w:r w:rsidRPr="002F2711">
        <w:rPr>
          <w:noProof/>
          <w:lang w:val="en-AU" w:eastAsia="en-AU"/>
        </w:rPr>
        <w:t xml:space="preserve"> Poult</w:t>
      </w:r>
      <w:r w:rsidR="00F830E6">
        <w:rPr>
          <w:noProof/>
          <w:lang w:val="en-AU" w:eastAsia="en-AU"/>
        </w:rPr>
        <w:t>ry</w:t>
      </w:r>
      <w:r w:rsidRPr="002F2711">
        <w:rPr>
          <w:noProof/>
          <w:lang w:val="en-AU" w:eastAsia="en-AU"/>
        </w:rPr>
        <w:t xml:space="preserve"> Sci</w:t>
      </w:r>
      <w:r w:rsidR="00F830E6">
        <w:rPr>
          <w:noProof/>
          <w:lang w:val="en-AU" w:eastAsia="en-AU"/>
        </w:rPr>
        <w:t>ence</w:t>
      </w:r>
      <w:r w:rsidRPr="002F2711">
        <w:rPr>
          <w:noProof/>
          <w:lang w:val="en-AU" w:eastAsia="en-AU"/>
        </w:rPr>
        <w:t xml:space="preserve"> 48:406</w:t>
      </w:r>
      <w:r w:rsidR="00F830E6">
        <w:rPr>
          <w:noProof/>
          <w:lang w:val="en-AU" w:eastAsia="en-AU"/>
        </w:rPr>
        <w:t>-</w:t>
      </w:r>
      <w:r w:rsidRPr="002F2711">
        <w:rPr>
          <w:noProof/>
          <w:lang w:val="en-AU" w:eastAsia="en-AU"/>
        </w:rPr>
        <w:t>423.</w:t>
      </w:r>
    </w:p>
    <w:p w14:paraId="2DDE8CCC" w14:textId="77777777" w:rsidR="002F2711" w:rsidRDefault="002F2711" w:rsidP="002F2711">
      <w:pPr>
        <w:rPr>
          <w:noProof/>
          <w:lang w:val="en-AU" w:eastAsia="en-AU"/>
        </w:rPr>
      </w:pPr>
      <w:r w:rsidRPr="002F2711">
        <w:rPr>
          <w:noProof/>
          <w:lang w:val="en-AU" w:eastAsia="en-AU"/>
        </w:rPr>
        <w:t xml:space="preserve">American Veterinary </w:t>
      </w:r>
      <w:r w:rsidR="0083788F">
        <w:rPr>
          <w:noProof/>
          <w:lang w:val="en-AU" w:eastAsia="en-AU"/>
        </w:rPr>
        <w:t>Medical Association. 2007. AVMA G</w:t>
      </w:r>
      <w:r w:rsidRPr="002F2711">
        <w:rPr>
          <w:noProof/>
          <w:lang w:val="en-AU" w:eastAsia="en-AU"/>
        </w:rPr>
        <w:t xml:space="preserve">uidelines on </w:t>
      </w:r>
      <w:r w:rsidR="0083788F">
        <w:rPr>
          <w:noProof/>
          <w:lang w:val="en-AU" w:eastAsia="en-AU"/>
        </w:rPr>
        <w:t>E</w:t>
      </w:r>
      <w:r w:rsidRPr="002F2711">
        <w:rPr>
          <w:noProof/>
          <w:lang w:val="en-AU" w:eastAsia="en-AU"/>
        </w:rPr>
        <w:t>uthanasia.</w:t>
      </w:r>
    </w:p>
    <w:p w14:paraId="4DCC4B19" w14:textId="77777777" w:rsidR="0083788F" w:rsidRDefault="0083788F" w:rsidP="002F2711">
      <w:pPr>
        <w:rPr>
          <w:noProof/>
          <w:lang w:val="en-AU" w:eastAsia="en-AU"/>
        </w:rPr>
      </w:pPr>
      <w:r w:rsidRPr="0083788F">
        <w:rPr>
          <w:noProof/>
          <w:lang w:val="en-AU" w:eastAsia="en-AU"/>
        </w:rPr>
        <w:t>American Veterinary Medical Association. 2016. AVMA Guidelines for the Humane Slaughter of Animals: 2016 Edition.</w:t>
      </w:r>
    </w:p>
    <w:p w14:paraId="3169CFE8" w14:textId="77777777" w:rsidR="002F2711" w:rsidRPr="002F2711" w:rsidRDefault="002F2711" w:rsidP="002F2711">
      <w:pPr>
        <w:rPr>
          <w:noProof/>
          <w:lang w:val="en-AU" w:eastAsia="en-AU"/>
        </w:rPr>
      </w:pPr>
      <w:r w:rsidRPr="002F2711">
        <w:rPr>
          <w:noProof/>
          <w:lang w:val="en-AU" w:eastAsia="en-AU"/>
        </w:rPr>
        <w:t>Anton, F., I. Euchner, and H. O. Handwerker. 1992. Psychophysical examination of pain induced by defined CO</w:t>
      </w:r>
      <w:r w:rsidRPr="00E11EAF">
        <w:rPr>
          <w:noProof/>
          <w:vertAlign w:val="subscript"/>
          <w:lang w:val="en-AU" w:eastAsia="en-AU"/>
        </w:rPr>
        <w:t>2</w:t>
      </w:r>
      <w:r w:rsidRPr="002F2711">
        <w:rPr>
          <w:noProof/>
          <w:lang w:val="en-AU" w:eastAsia="en-AU"/>
        </w:rPr>
        <w:t xml:space="preserve"> pulses applied to the nasal mucosa. Pain 49:53</w:t>
      </w:r>
      <w:r w:rsidR="00F830E6">
        <w:rPr>
          <w:noProof/>
          <w:lang w:val="en-AU" w:eastAsia="en-AU"/>
        </w:rPr>
        <w:t>-</w:t>
      </w:r>
      <w:r w:rsidRPr="002F2711">
        <w:rPr>
          <w:noProof/>
          <w:lang w:val="en-AU" w:eastAsia="en-AU"/>
        </w:rPr>
        <w:t>60.</w:t>
      </w:r>
    </w:p>
    <w:p w14:paraId="4359B83F" w14:textId="77777777" w:rsidR="002F2711" w:rsidRPr="002F2711" w:rsidRDefault="002F2711" w:rsidP="002F2711">
      <w:pPr>
        <w:rPr>
          <w:noProof/>
          <w:lang w:val="en-AU" w:eastAsia="en-AU"/>
        </w:rPr>
      </w:pPr>
      <w:r w:rsidRPr="002F2711">
        <w:rPr>
          <w:noProof/>
          <w:lang w:val="en-AU" w:eastAsia="en-AU"/>
        </w:rPr>
        <w:t>Bandow, J. H. 1987. The humane disposal of unwanted day old chicks and hatchery eggs in the poultry industry. Report for the Canadian Federation of Humane Societies, Ontario, Canada.</w:t>
      </w:r>
    </w:p>
    <w:p w14:paraId="63FE0EDE" w14:textId="77777777" w:rsidR="002F2711" w:rsidRPr="002F2711" w:rsidRDefault="002F2711" w:rsidP="002F2711">
      <w:pPr>
        <w:rPr>
          <w:noProof/>
          <w:lang w:val="en-AU" w:eastAsia="en-AU"/>
        </w:rPr>
      </w:pPr>
      <w:r w:rsidRPr="002F2711">
        <w:rPr>
          <w:noProof/>
          <w:lang w:val="en-AU" w:eastAsia="en-AU"/>
        </w:rPr>
        <w:t>Bedáňová, I., E. Voslářová, P. Chloupek, V. Pištěková, P. Suchy, J. Blahova, R. Dobsikova, and V. Vecerek. 2007. Stress in broilers resulting from shackling. Poult</w:t>
      </w:r>
      <w:r w:rsidR="00F830E6">
        <w:rPr>
          <w:noProof/>
          <w:lang w:val="en-AU" w:eastAsia="en-AU"/>
        </w:rPr>
        <w:t>ry</w:t>
      </w:r>
      <w:r w:rsidRPr="002F2711">
        <w:rPr>
          <w:noProof/>
          <w:lang w:val="en-AU" w:eastAsia="en-AU"/>
        </w:rPr>
        <w:t xml:space="preserve"> Sci</w:t>
      </w:r>
      <w:r w:rsidR="00F830E6">
        <w:rPr>
          <w:noProof/>
          <w:lang w:val="en-AU" w:eastAsia="en-AU"/>
        </w:rPr>
        <w:t>ence</w:t>
      </w:r>
      <w:r w:rsidRPr="002F2711">
        <w:rPr>
          <w:noProof/>
          <w:lang w:val="en-AU" w:eastAsia="en-AU"/>
        </w:rPr>
        <w:t xml:space="preserve"> 86:1065</w:t>
      </w:r>
      <w:r w:rsidR="003B207F">
        <w:rPr>
          <w:noProof/>
          <w:lang w:val="en-AU" w:eastAsia="en-AU"/>
        </w:rPr>
        <w:t>-</w:t>
      </w:r>
      <w:r w:rsidRPr="002F2711">
        <w:rPr>
          <w:noProof/>
          <w:lang w:val="en-AU" w:eastAsia="en-AU"/>
        </w:rPr>
        <w:t>1069.</w:t>
      </w:r>
    </w:p>
    <w:p w14:paraId="248D4D84" w14:textId="77777777" w:rsidR="002F2711" w:rsidRPr="002F2711" w:rsidRDefault="002F2711" w:rsidP="002F2711">
      <w:pPr>
        <w:rPr>
          <w:noProof/>
          <w:lang w:val="en-AU" w:eastAsia="en-AU"/>
        </w:rPr>
      </w:pPr>
      <w:r w:rsidRPr="002F2711">
        <w:rPr>
          <w:noProof/>
          <w:lang w:val="en-AU" w:eastAsia="en-AU"/>
        </w:rPr>
        <w:t>Bedáňová, I., E. Voslářová, V. Večerek, V. Pištěková, and P. Chloupek. 2006. Haematological profile of broiler chickens under acute stress due to shackling. Acta Vet</w:t>
      </w:r>
      <w:r w:rsidR="00F830E6">
        <w:rPr>
          <w:noProof/>
          <w:lang w:val="en-AU" w:eastAsia="en-AU"/>
        </w:rPr>
        <w:t>erinaria</w:t>
      </w:r>
      <w:r w:rsidRPr="002F2711">
        <w:rPr>
          <w:noProof/>
          <w:lang w:val="en-AU" w:eastAsia="en-AU"/>
        </w:rPr>
        <w:t xml:space="preserve"> Brno 76:129</w:t>
      </w:r>
      <w:r w:rsidR="003B207F">
        <w:rPr>
          <w:noProof/>
          <w:lang w:val="en-AU" w:eastAsia="en-AU"/>
        </w:rPr>
        <w:t>-</w:t>
      </w:r>
      <w:r w:rsidRPr="002F2711">
        <w:rPr>
          <w:noProof/>
          <w:lang w:val="en-AU" w:eastAsia="en-AU"/>
        </w:rPr>
        <w:t>135.</w:t>
      </w:r>
    </w:p>
    <w:p w14:paraId="5BE385E3" w14:textId="77777777" w:rsidR="002F2711" w:rsidRPr="002F2711" w:rsidRDefault="002F2711" w:rsidP="002F2711">
      <w:pPr>
        <w:rPr>
          <w:noProof/>
          <w:lang w:val="en-AU" w:eastAsia="en-AU"/>
        </w:rPr>
      </w:pPr>
      <w:r w:rsidRPr="002F2711">
        <w:rPr>
          <w:noProof/>
          <w:lang w:val="en-AU" w:eastAsia="en-AU"/>
        </w:rPr>
        <w:t xml:space="preserve">Benson, E. R., R. L. Alphin, M. K. Rankin, M. P. Caputo, D. P. Hougentogler, </w:t>
      </w:r>
      <w:r w:rsidR="00E20F13">
        <w:rPr>
          <w:noProof/>
          <w:lang w:val="en-AU" w:eastAsia="en-AU"/>
        </w:rPr>
        <w:t xml:space="preserve">and </w:t>
      </w:r>
      <w:r w:rsidRPr="002F2711">
        <w:rPr>
          <w:noProof/>
          <w:lang w:val="en-AU" w:eastAsia="en-AU"/>
        </w:rPr>
        <w:t>A. L. Johnson. 2012. Mass emergency water-based foam depopulation of poultry. Avian Dis</w:t>
      </w:r>
      <w:r w:rsidR="00F830E6">
        <w:rPr>
          <w:noProof/>
          <w:lang w:val="en-AU" w:eastAsia="en-AU"/>
        </w:rPr>
        <w:t>eases</w:t>
      </w:r>
      <w:r w:rsidRPr="002F2711">
        <w:rPr>
          <w:noProof/>
          <w:lang w:val="en-AU" w:eastAsia="en-AU"/>
        </w:rPr>
        <w:t xml:space="preserve"> 56:891</w:t>
      </w:r>
      <w:r w:rsidR="003B207F">
        <w:rPr>
          <w:noProof/>
          <w:lang w:val="en-AU" w:eastAsia="en-AU"/>
        </w:rPr>
        <w:t>-</w:t>
      </w:r>
      <w:r w:rsidRPr="002F2711">
        <w:rPr>
          <w:noProof/>
          <w:lang w:val="en-AU" w:eastAsia="en-AU"/>
        </w:rPr>
        <w:t>896.</w:t>
      </w:r>
    </w:p>
    <w:p w14:paraId="42943380" w14:textId="77777777" w:rsidR="002F2711" w:rsidRPr="002F2711" w:rsidRDefault="002F2711" w:rsidP="002F2711">
      <w:pPr>
        <w:rPr>
          <w:noProof/>
          <w:lang w:val="en-AU" w:eastAsia="en-AU"/>
        </w:rPr>
      </w:pPr>
      <w:r w:rsidRPr="002F2711">
        <w:rPr>
          <w:noProof/>
          <w:lang w:val="en-AU" w:eastAsia="en-AU"/>
        </w:rPr>
        <w:t>Berg, C., J. Yngvesson, S. Nimmermark, V. Sandström, and B. Algers. 2014. Killing of spent laying hens using CO</w:t>
      </w:r>
      <w:r w:rsidRPr="00E11EAF">
        <w:rPr>
          <w:noProof/>
          <w:vertAlign w:val="subscript"/>
          <w:lang w:val="en-AU" w:eastAsia="en-AU"/>
        </w:rPr>
        <w:t>2</w:t>
      </w:r>
      <w:r w:rsidRPr="002F2711">
        <w:rPr>
          <w:noProof/>
          <w:lang w:val="en-AU" w:eastAsia="en-AU"/>
        </w:rPr>
        <w:t xml:space="preserve"> in poultry barns. Anim</w:t>
      </w:r>
      <w:r w:rsidR="00F830E6">
        <w:rPr>
          <w:noProof/>
          <w:lang w:val="en-AU" w:eastAsia="en-AU"/>
        </w:rPr>
        <w:t>al</w:t>
      </w:r>
      <w:r w:rsidRPr="002F2711">
        <w:rPr>
          <w:noProof/>
          <w:lang w:val="en-AU" w:eastAsia="en-AU"/>
        </w:rPr>
        <w:t xml:space="preserve"> Welf</w:t>
      </w:r>
      <w:r w:rsidR="00F830E6">
        <w:rPr>
          <w:noProof/>
          <w:lang w:val="en-AU" w:eastAsia="en-AU"/>
        </w:rPr>
        <w:t>are</w:t>
      </w:r>
      <w:r w:rsidRPr="002F2711">
        <w:rPr>
          <w:noProof/>
          <w:lang w:val="en-AU" w:eastAsia="en-AU"/>
        </w:rPr>
        <w:t xml:space="preserve"> 23:445</w:t>
      </w:r>
      <w:r w:rsidR="003B207F">
        <w:rPr>
          <w:noProof/>
          <w:lang w:val="en-AU" w:eastAsia="en-AU"/>
        </w:rPr>
        <w:t>-</w:t>
      </w:r>
      <w:r w:rsidRPr="002F2711">
        <w:rPr>
          <w:noProof/>
          <w:lang w:val="en-AU" w:eastAsia="en-AU"/>
        </w:rPr>
        <w:t>457.</w:t>
      </w:r>
    </w:p>
    <w:p w14:paraId="4A888DC4" w14:textId="77777777" w:rsidR="002F2711" w:rsidRPr="002F2711" w:rsidRDefault="002F2711" w:rsidP="002F2711">
      <w:pPr>
        <w:rPr>
          <w:noProof/>
          <w:lang w:val="en-AU" w:eastAsia="en-AU"/>
        </w:rPr>
      </w:pPr>
      <w:r w:rsidRPr="002F2711">
        <w:rPr>
          <w:noProof/>
          <w:lang w:val="en-AU" w:eastAsia="en-AU"/>
        </w:rPr>
        <w:t>Beyessen, C., R. Babile, and X. Fernandez. 2003. The effect of current intensity during “head-only” electrical stunning on brain function in force-fed ducks. Anim</w:t>
      </w:r>
      <w:r w:rsidR="00F830E6">
        <w:rPr>
          <w:noProof/>
          <w:lang w:val="en-AU" w:eastAsia="en-AU"/>
        </w:rPr>
        <w:t>al</w:t>
      </w:r>
      <w:r w:rsidRPr="002F2711">
        <w:rPr>
          <w:noProof/>
          <w:lang w:val="en-AU" w:eastAsia="en-AU"/>
        </w:rPr>
        <w:t xml:space="preserve"> Res</w:t>
      </w:r>
      <w:r w:rsidR="00F830E6">
        <w:rPr>
          <w:noProof/>
          <w:lang w:val="en-AU" w:eastAsia="en-AU"/>
        </w:rPr>
        <w:t>earch</w:t>
      </w:r>
      <w:r w:rsidRPr="002F2711">
        <w:rPr>
          <w:noProof/>
          <w:lang w:val="en-AU" w:eastAsia="en-AU"/>
        </w:rPr>
        <w:t xml:space="preserve"> 53:155–161.</w:t>
      </w:r>
    </w:p>
    <w:p w14:paraId="73B370FE" w14:textId="77777777" w:rsidR="002F2711" w:rsidRPr="002F2711" w:rsidRDefault="002F2711" w:rsidP="002F2711">
      <w:pPr>
        <w:rPr>
          <w:noProof/>
          <w:lang w:val="en-AU" w:eastAsia="en-AU"/>
        </w:rPr>
      </w:pPr>
      <w:r w:rsidRPr="002F2711">
        <w:rPr>
          <w:noProof/>
          <w:lang w:val="en-AU" w:eastAsia="en-AU"/>
        </w:rPr>
        <w:t>Beyessen, C., R. Babile, and X. Fernandez. 2004. Electrocorticogram spectral analysis and somatosensory evoked potentials as tools to assess electrical stunning efficiency in ducks. Br</w:t>
      </w:r>
      <w:r w:rsidR="00F830E6">
        <w:rPr>
          <w:noProof/>
          <w:lang w:val="en-AU" w:eastAsia="en-AU"/>
        </w:rPr>
        <w:t>itish</w:t>
      </w:r>
      <w:r w:rsidRPr="002F2711">
        <w:rPr>
          <w:noProof/>
          <w:lang w:val="en-AU" w:eastAsia="en-AU"/>
        </w:rPr>
        <w:t xml:space="preserve"> Poult</w:t>
      </w:r>
      <w:r w:rsidR="00F830E6">
        <w:rPr>
          <w:noProof/>
          <w:lang w:val="en-AU" w:eastAsia="en-AU"/>
        </w:rPr>
        <w:t>ry</w:t>
      </w:r>
      <w:r w:rsidRPr="002F2711">
        <w:rPr>
          <w:noProof/>
          <w:lang w:val="en-AU" w:eastAsia="en-AU"/>
        </w:rPr>
        <w:t xml:space="preserve"> Sci</w:t>
      </w:r>
      <w:r w:rsidR="00F830E6">
        <w:rPr>
          <w:noProof/>
          <w:lang w:val="en-AU" w:eastAsia="en-AU"/>
        </w:rPr>
        <w:t>ence</w:t>
      </w:r>
      <w:r w:rsidRPr="002F2711">
        <w:rPr>
          <w:noProof/>
          <w:lang w:val="en-AU" w:eastAsia="en-AU"/>
        </w:rPr>
        <w:t xml:space="preserve"> 45:409</w:t>
      </w:r>
      <w:r w:rsidR="003B207F">
        <w:rPr>
          <w:noProof/>
          <w:lang w:val="en-AU" w:eastAsia="en-AU"/>
        </w:rPr>
        <w:t>-</w:t>
      </w:r>
      <w:r w:rsidR="00F830E6">
        <w:rPr>
          <w:noProof/>
          <w:lang w:val="en-AU" w:eastAsia="en-AU"/>
        </w:rPr>
        <w:t>4</w:t>
      </w:r>
      <w:r w:rsidRPr="002F2711">
        <w:rPr>
          <w:noProof/>
          <w:lang w:val="en-AU" w:eastAsia="en-AU"/>
        </w:rPr>
        <w:t>15</w:t>
      </w:r>
      <w:r w:rsidR="00F830E6">
        <w:rPr>
          <w:noProof/>
          <w:lang w:val="en-AU" w:eastAsia="en-AU"/>
        </w:rPr>
        <w:t>.</w:t>
      </w:r>
    </w:p>
    <w:p w14:paraId="4602A37A" w14:textId="77777777" w:rsidR="002F2711" w:rsidRPr="002F2711" w:rsidRDefault="002F2711" w:rsidP="002F2711">
      <w:pPr>
        <w:rPr>
          <w:noProof/>
          <w:lang w:val="en-AU" w:eastAsia="en-AU"/>
        </w:rPr>
      </w:pPr>
      <w:r w:rsidRPr="00C10F3F">
        <w:rPr>
          <w:noProof/>
          <w:lang w:val="en-AU" w:eastAsia="en-AU"/>
        </w:rPr>
        <w:t>Bilgili, S. 1992. Electrical stunning of broilers</w:t>
      </w:r>
      <w:r w:rsidR="00C10F3F" w:rsidRPr="00C10F3F">
        <w:rPr>
          <w:noProof/>
          <w:lang w:val="en-AU" w:eastAsia="en-AU"/>
        </w:rPr>
        <w:t xml:space="preserve"> - </w:t>
      </w:r>
      <w:r w:rsidRPr="00C10F3F">
        <w:rPr>
          <w:noProof/>
          <w:lang w:val="en-AU" w:eastAsia="en-AU"/>
        </w:rPr>
        <w:t>basic concepts and carcass quality implications: a review. J</w:t>
      </w:r>
      <w:r w:rsidR="00F830E6" w:rsidRPr="00C10F3F">
        <w:rPr>
          <w:noProof/>
          <w:lang w:val="en-AU" w:eastAsia="en-AU"/>
        </w:rPr>
        <w:t xml:space="preserve">ournal of </w:t>
      </w:r>
      <w:r w:rsidRPr="00C10F3F">
        <w:rPr>
          <w:noProof/>
          <w:lang w:val="en-AU" w:eastAsia="en-AU"/>
        </w:rPr>
        <w:t>Appl</w:t>
      </w:r>
      <w:r w:rsidR="00F830E6" w:rsidRPr="00C10F3F">
        <w:rPr>
          <w:noProof/>
          <w:lang w:val="en-AU" w:eastAsia="en-AU"/>
        </w:rPr>
        <w:t>ied</w:t>
      </w:r>
      <w:r w:rsidRPr="00C10F3F">
        <w:rPr>
          <w:noProof/>
          <w:lang w:val="en-AU" w:eastAsia="en-AU"/>
        </w:rPr>
        <w:t xml:space="preserve"> Poult</w:t>
      </w:r>
      <w:r w:rsidR="00F830E6" w:rsidRPr="00C10F3F">
        <w:rPr>
          <w:noProof/>
          <w:lang w:val="en-AU" w:eastAsia="en-AU"/>
        </w:rPr>
        <w:t>ry</w:t>
      </w:r>
      <w:r w:rsidRPr="00C10F3F">
        <w:rPr>
          <w:noProof/>
          <w:lang w:val="en-AU" w:eastAsia="en-AU"/>
        </w:rPr>
        <w:t xml:space="preserve"> </w:t>
      </w:r>
      <w:r w:rsidR="00F830E6" w:rsidRPr="00C10F3F">
        <w:rPr>
          <w:noProof/>
          <w:lang w:val="en-AU" w:eastAsia="en-AU"/>
        </w:rPr>
        <w:t>Research</w:t>
      </w:r>
      <w:r w:rsidRPr="00C10F3F">
        <w:rPr>
          <w:noProof/>
          <w:lang w:val="en-AU" w:eastAsia="en-AU"/>
        </w:rPr>
        <w:t xml:space="preserve"> 1</w:t>
      </w:r>
      <w:r w:rsidR="00F830E6" w:rsidRPr="00C10F3F">
        <w:rPr>
          <w:noProof/>
          <w:lang w:val="en-AU" w:eastAsia="en-AU"/>
        </w:rPr>
        <w:t>:135-146</w:t>
      </w:r>
      <w:r w:rsidRPr="00C10F3F">
        <w:rPr>
          <w:noProof/>
          <w:lang w:val="en-AU" w:eastAsia="en-AU"/>
        </w:rPr>
        <w:t>.</w:t>
      </w:r>
    </w:p>
    <w:p w14:paraId="6E466C0A" w14:textId="77777777" w:rsidR="002F2711" w:rsidRPr="002F2711" w:rsidRDefault="002F2711" w:rsidP="002F2711">
      <w:pPr>
        <w:rPr>
          <w:noProof/>
          <w:lang w:val="en-AU" w:eastAsia="en-AU"/>
        </w:rPr>
      </w:pPr>
      <w:r w:rsidRPr="002F2711">
        <w:rPr>
          <w:noProof/>
          <w:lang w:val="en-AU" w:eastAsia="en-AU"/>
        </w:rPr>
        <w:t>Budgell, K. L., and F. G. Silversides. 2004. Bone breakage in three strains of end-of-lay hens. Can</w:t>
      </w:r>
      <w:r w:rsidR="00C10F3F">
        <w:rPr>
          <w:noProof/>
          <w:lang w:val="en-AU" w:eastAsia="en-AU"/>
        </w:rPr>
        <w:t>adian Journal of Animal Science</w:t>
      </w:r>
      <w:r w:rsidRPr="002F2711">
        <w:rPr>
          <w:noProof/>
          <w:lang w:val="en-AU" w:eastAsia="en-AU"/>
        </w:rPr>
        <w:t xml:space="preserve"> 84:745</w:t>
      </w:r>
      <w:r w:rsidR="003B207F">
        <w:rPr>
          <w:noProof/>
          <w:lang w:val="en-AU" w:eastAsia="en-AU"/>
        </w:rPr>
        <w:t>-</w:t>
      </w:r>
      <w:r w:rsidRPr="002F2711">
        <w:rPr>
          <w:noProof/>
          <w:lang w:val="en-AU" w:eastAsia="en-AU"/>
        </w:rPr>
        <w:t>747.</w:t>
      </w:r>
    </w:p>
    <w:p w14:paraId="1EABAAFB" w14:textId="77777777" w:rsidR="002F2711" w:rsidRPr="002F2711" w:rsidRDefault="002F2711" w:rsidP="002F2711">
      <w:pPr>
        <w:rPr>
          <w:noProof/>
          <w:lang w:val="en-GB" w:eastAsia="en-AU"/>
        </w:rPr>
      </w:pPr>
      <w:r w:rsidRPr="002F2711">
        <w:rPr>
          <w:noProof/>
          <w:lang w:val="en-GB" w:eastAsia="en-AU"/>
        </w:rPr>
        <w:t>Concannon, K. T., J. R. Dodam, and P. W. Hellyer. 1995. Influence of a mu- and kappa-opioid agonists on isoflurane minimal anaesthetic concentration in chickens. Am</w:t>
      </w:r>
      <w:r w:rsidR="00C10F3F">
        <w:rPr>
          <w:noProof/>
          <w:lang w:val="en-GB" w:eastAsia="en-AU"/>
        </w:rPr>
        <w:t xml:space="preserve">erican </w:t>
      </w:r>
      <w:r w:rsidRPr="002F2711">
        <w:rPr>
          <w:noProof/>
          <w:lang w:val="en-GB" w:eastAsia="en-AU"/>
        </w:rPr>
        <w:t>J</w:t>
      </w:r>
      <w:r w:rsidR="00C10F3F">
        <w:rPr>
          <w:noProof/>
          <w:lang w:val="en-GB" w:eastAsia="en-AU"/>
        </w:rPr>
        <w:t xml:space="preserve">ournal of </w:t>
      </w:r>
      <w:r w:rsidRPr="002F2711">
        <w:rPr>
          <w:noProof/>
          <w:lang w:val="en-GB" w:eastAsia="en-AU"/>
        </w:rPr>
        <w:t>Vet</w:t>
      </w:r>
      <w:r w:rsidR="00C10F3F">
        <w:rPr>
          <w:noProof/>
          <w:lang w:val="en-GB" w:eastAsia="en-AU"/>
        </w:rPr>
        <w:t xml:space="preserve">erinary </w:t>
      </w:r>
      <w:r w:rsidRPr="002F2711">
        <w:rPr>
          <w:noProof/>
          <w:lang w:val="en-GB" w:eastAsia="en-AU"/>
        </w:rPr>
        <w:t>R</w:t>
      </w:r>
      <w:r w:rsidR="00C10F3F">
        <w:rPr>
          <w:noProof/>
          <w:lang w:val="en-GB" w:eastAsia="en-AU"/>
        </w:rPr>
        <w:t>e</w:t>
      </w:r>
      <w:r w:rsidRPr="002F2711">
        <w:rPr>
          <w:noProof/>
          <w:lang w:val="en-GB" w:eastAsia="en-AU"/>
        </w:rPr>
        <w:t>s</w:t>
      </w:r>
      <w:r w:rsidR="00C10F3F">
        <w:rPr>
          <w:noProof/>
          <w:lang w:val="en-GB" w:eastAsia="en-AU"/>
        </w:rPr>
        <w:t>earch</w:t>
      </w:r>
      <w:r w:rsidR="00F37A11">
        <w:rPr>
          <w:noProof/>
          <w:lang w:val="en-GB" w:eastAsia="en-AU"/>
        </w:rPr>
        <w:t xml:space="preserve"> 56:806-811.</w:t>
      </w:r>
    </w:p>
    <w:p w14:paraId="3ACB0FAA" w14:textId="77777777" w:rsidR="002F2711" w:rsidRPr="002F2711" w:rsidRDefault="002F2711" w:rsidP="002F2711">
      <w:pPr>
        <w:rPr>
          <w:noProof/>
          <w:lang w:val="en-AU" w:eastAsia="en-AU"/>
        </w:rPr>
      </w:pPr>
      <w:r w:rsidRPr="002F2711">
        <w:rPr>
          <w:noProof/>
          <w:lang w:val="en-AU" w:eastAsia="en-AU"/>
        </w:rPr>
        <w:t>Cors, J., A. D. Gruber, K. Esser, and S. Rautenschlein. 2015. Electroencephalographic evaluation of the effectiveness of blunt trauma to induce loss of consciousness for on-farm killing of chickens and turkeys. Poult</w:t>
      </w:r>
      <w:r w:rsidR="00F37A11">
        <w:rPr>
          <w:noProof/>
          <w:lang w:val="en-AU" w:eastAsia="en-AU"/>
        </w:rPr>
        <w:t xml:space="preserve">ry </w:t>
      </w:r>
      <w:r w:rsidRPr="002F2711">
        <w:rPr>
          <w:noProof/>
          <w:lang w:val="en-AU" w:eastAsia="en-AU"/>
        </w:rPr>
        <w:t>Sci</w:t>
      </w:r>
      <w:r w:rsidR="00F37A11">
        <w:rPr>
          <w:noProof/>
          <w:lang w:val="en-AU" w:eastAsia="en-AU"/>
        </w:rPr>
        <w:t>ience</w:t>
      </w:r>
      <w:r w:rsidRPr="002F2711">
        <w:rPr>
          <w:noProof/>
          <w:lang w:val="en-AU" w:eastAsia="en-AU"/>
        </w:rPr>
        <w:t xml:space="preserve"> 94:147</w:t>
      </w:r>
      <w:r w:rsidR="003B207F">
        <w:rPr>
          <w:noProof/>
          <w:lang w:val="en-AU" w:eastAsia="en-AU"/>
        </w:rPr>
        <w:t>-</w:t>
      </w:r>
      <w:r w:rsidRPr="002F2711">
        <w:rPr>
          <w:noProof/>
          <w:lang w:val="en-AU" w:eastAsia="en-AU"/>
        </w:rPr>
        <w:t>155.</w:t>
      </w:r>
    </w:p>
    <w:p w14:paraId="1B24B43E" w14:textId="77777777" w:rsidR="002F2711" w:rsidRPr="002F2711" w:rsidRDefault="002F2711" w:rsidP="002F2711">
      <w:pPr>
        <w:rPr>
          <w:noProof/>
          <w:lang w:val="en-AU" w:eastAsia="en-AU"/>
        </w:rPr>
      </w:pPr>
      <w:r w:rsidRPr="002F2711">
        <w:rPr>
          <w:noProof/>
          <w:lang w:val="en-AU" w:eastAsia="en-AU"/>
        </w:rPr>
        <w:t>Curro, T. G., D. B. Brun</w:t>
      </w:r>
      <w:r w:rsidR="00DF2484">
        <w:rPr>
          <w:noProof/>
          <w:lang w:val="en-AU" w:eastAsia="en-AU"/>
        </w:rPr>
        <w:t xml:space="preserve">son, and J. Paul-Murphy. 1994. </w:t>
      </w:r>
      <w:r w:rsidRPr="002F2711">
        <w:rPr>
          <w:noProof/>
          <w:lang w:val="en-AU" w:eastAsia="en-AU"/>
        </w:rPr>
        <w:t>Determination of the ED50 of isoflurane and evaluation of the isoflurane-sparing effect of butorphanol in cockatoos (</w:t>
      </w:r>
      <w:r w:rsidRPr="00F37A11">
        <w:rPr>
          <w:i/>
          <w:noProof/>
          <w:lang w:val="en-AU" w:eastAsia="en-AU"/>
        </w:rPr>
        <w:t>Cacatu</w:t>
      </w:r>
      <w:r w:rsidR="00F37A11" w:rsidRPr="00F37A11">
        <w:rPr>
          <w:i/>
          <w:noProof/>
          <w:lang w:val="en-AU" w:eastAsia="en-AU"/>
        </w:rPr>
        <w:t>a</w:t>
      </w:r>
      <w:r w:rsidR="00F37A11">
        <w:rPr>
          <w:noProof/>
          <w:lang w:val="en-AU" w:eastAsia="en-AU"/>
        </w:rPr>
        <w:t xml:space="preserve"> spp.). Veterinary Surgery 23:429-433.</w:t>
      </w:r>
    </w:p>
    <w:p w14:paraId="6A236CF0" w14:textId="77777777" w:rsidR="002F2711" w:rsidRPr="002F2711" w:rsidRDefault="002F2711" w:rsidP="002F2711">
      <w:pPr>
        <w:rPr>
          <w:noProof/>
          <w:lang w:val="en-AU" w:eastAsia="en-AU"/>
        </w:rPr>
      </w:pPr>
      <w:r w:rsidRPr="002F2711">
        <w:rPr>
          <w:noProof/>
          <w:lang w:val="en-AU" w:eastAsia="en-AU"/>
        </w:rPr>
        <w:t>Danbury, T. C., C. A. Weeks, A. E. Waterman-Pearson, S. C. Kestin, and J. P. Chambers. 2000. Self-selection of the analgesic drug carprofen by lame broiler chickens. Vet</w:t>
      </w:r>
      <w:r w:rsidR="00F37A11">
        <w:rPr>
          <w:noProof/>
          <w:lang w:val="en-AU" w:eastAsia="en-AU"/>
        </w:rPr>
        <w:t>erinary</w:t>
      </w:r>
      <w:r w:rsidRPr="002F2711">
        <w:rPr>
          <w:noProof/>
          <w:lang w:val="en-AU" w:eastAsia="en-AU"/>
        </w:rPr>
        <w:t xml:space="preserve"> Rec</w:t>
      </w:r>
      <w:r w:rsidR="00F37A11">
        <w:rPr>
          <w:noProof/>
          <w:lang w:val="en-AU" w:eastAsia="en-AU"/>
        </w:rPr>
        <w:t>ord</w:t>
      </w:r>
      <w:r w:rsidRPr="002F2711">
        <w:rPr>
          <w:noProof/>
          <w:lang w:val="en-AU" w:eastAsia="en-AU"/>
        </w:rPr>
        <w:t xml:space="preserve"> 146:307</w:t>
      </w:r>
      <w:r w:rsidR="00F37A11">
        <w:rPr>
          <w:noProof/>
          <w:lang w:val="en-AU" w:eastAsia="en-AU"/>
        </w:rPr>
        <w:t>-</w:t>
      </w:r>
      <w:r w:rsidRPr="002F2711">
        <w:rPr>
          <w:noProof/>
          <w:lang w:val="en-AU" w:eastAsia="en-AU"/>
        </w:rPr>
        <w:t>311.</w:t>
      </w:r>
    </w:p>
    <w:p w14:paraId="6C1718CA" w14:textId="77777777" w:rsidR="002F2711" w:rsidRPr="002F2711" w:rsidRDefault="002F2711" w:rsidP="002F2711">
      <w:pPr>
        <w:rPr>
          <w:noProof/>
          <w:lang w:val="en-AU" w:eastAsia="en-AU"/>
        </w:rPr>
      </w:pPr>
      <w:r w:rsidRPr="002F2711">
        <w:rPr>
          <w:noProof/>
          <w:lang w:val="en-AU" w:eastAsia="en-AU"/>
        </w:rPr>
        <w:t xml:space="preserve">Debut, M., C. Berri, C. Arnould, D. </w:t>
      </w:r>
      <w:r w:rsidR="003F3E9F" w:rsidRPr="00286A88">
        <w:rPr>
          <w:lang w:val="en-AU" w:eastAsia="en-AU"/>
        </w:rPr>
        <w:t>Guémené</w:t>
      </w:r>
      <w:r w:rsidRPr="002F2711">
        <w:rPr>
          <w:noProof/>
          <w:lang w:val="en-AU" w:eastAsia="en-AU"/>
        </w:rPr>
        <w:t>, V. Santé-Lhoutellier, N. Sellier, E. Baéza, N. Jehl, Y. Jégo, C. Beaumont, and E. Le Bihan-Duval. 2005. Behavioural and physiological responses of three chicken breeds to pre-slaughter shackling and acute heat stress. Br</w:t>
      </w:r>
      <w:r w:rsidR="00F37A11">
        <w:rPr>
          <w:noProof/>
          <w:lang w:val="en-AU" w:eastAsia="en-AU"/>
        </w:rPr>
        <w:t>itish</w:t>
      </w:r>
      <w:r w:rsidRPr="002F2711">
        <w:rPr>
          <w:noProof/>
          <w:lang w:val="en-AU" w:eastAsia="en-AU"/>
        </w:rPr>
        <w:t xml:space="preserve"> Poult</w:t>
      </w:r>
      <w:r w:rsidR="00F37A11">
        <w:rPr>
          <w:noProof/>
          <w:lang w:val="en-AU" w:eastAsia="en-AU"/>
        </w:rPr>
        <w:t>ry</w:t>
      </w:r>
      <w:r w:rsidRPr="002F2711">
        <w:rPr>
          <w:noProof/>
          <w:lang w:val="en-AU" w:eastAsia="en-AU"/>
        </w:rPr>
        <w:t xml:space="preserve"> Sci</w:t>
      </w:r>
      <w:r w:rsidR="00F37A11">
        <w:rPr>
          <w:noProof/>
          <w:lang w:val="en-AU" w:eastAsia="en-AU"/>
        </w:rPr>
        <w:t>ence 46:527-</w:t>
      </w:r>
      <w:r w:rsidRPr="002F2711">
        <w:rPr>
          <w:noProof/>
          <w:lang w:val="en-AU" w:eastAsia="en-AU"/>
        </w:rPr>
        <w:t>535.</w:t>
      </w:r>
    </w:p>
    <w:p w14:paraId="4D1EE2E9" w14:textId="77777777" w:rsidR="002F2711" w:rsidRPr="002F2711" w:rsidRDefault="002F2711" w:rsidP="002F2711">
      <w:pPr>
        <w:rPr>
          <w:noProof/>
          <w:lang w:val="en-AU" w:eastAsia="en-AU"/>
        </w:rPr>
      </w:pPr>
      <w:r w:rsidRPr="002F2711">
        <w:rPr>
          <w:noProof/>
          <w:lang w:val="en-AU" w:eastAsia="en-AU"/>
        </w:rPr>
        <w:t>EFSA. 2004. Opinion of the Scientific Panel on Animal Health and Welfare on a request from the Commission related to welfare aspects of the main systems of stunning and killing the main commercial species of animals. EFSA J</w:t>
      </w:r>
      <w:r w:rsidR="00706499">
        <w:rPr>
          <w:noProof/>
          <w:lang w:val="en-AU" w:eastAsia="en-AU"/>
        </w:rPr>
        <w:t>ournal</w:t>
      </w:r>
      <w:r w:rsidRPr="002F2711">
        <w:rPr>
          <w:noProof/>
          <w:lang w:val="en-AU" w:eastAsia="en-AU"/>
        </w:rPr>
        <w:t xml:space="preserve"> 45:1–29.</w:t>
      </w:r>
    </w:p>
    <w:p w14:paraId="34F3E348" w14:textId="77777777" w:rsidR="002F2711" w:rsidRPr="002F2711" w:rsidRDefault="002F2711" w:rsidP="002F2711">
      <w:pPr>
        <w:rPr>
          <w:noProof/>
          <w:lang w:val="en-AU" w:eastAsia="en-AU"/>
        </w:rPr>
      </w:pPr>
      <w:r w:rsidRPr="002F2711">
        <w:rPr>
          <w:noProof/>
          <w:lang w:val="en-AU" w:eastAsia="en-AU"/>
        </w:rPr>
        <w:t>EFSA. 2006. The welfare aspects of the main systems of stunning and killing applied to commercially farmed deer, goats, rabbits, ostriches, ducks, geese and quail. EFSA J</w:t>
      </w:r>
      <w:r w:rsidR="00F37A11">
        <w:rPr>
          <w:noProof/>
          <w:lang w:val="en-AU" w:eastAsia="en-AU"/>
        </w:rPr>
        <w:t>ournal</w:t>
      </w:r>
      <w:r w:rsidRPr="002F2711">
        <w:rPr>
          <w:noProof/>
          <w:lang w:val="en-AU" w:eastAsia="en-AU"/>
        </w:rPr>
        <w:t xml:space="preserve"> 326:1</w:t>
      </w:r>
      <w:r w:rsidR="00F37A11">
        <w:rPr>
          <w:noProof/>
          <w:lang w:val="en-AU" w:eastAsia="en-AU"/>
        </w:rPr>
        <w:t>-</w:t>
      </w:r>
      <w:r w:rsidRPr="002F2711">
        <w:rPr>
          <w:noProof/>
          <w:lang w:val="en-AU" w:eastAsia="en-AU"/>
        </w:rPr>
        <w:t>18.</w:t>
      </w:r>
    </w:p>
    <w:p w14:paraId="0B630472" w14:textId="77777777" w:rsidR="002F2711" w:rsidRPr="002F2711" w:rsidRDefault="002F2711" w:rsidP="002F2711">
      <w:pPr>
        <w:rPr>
          <w:noProof/>
          <w:lang w:val="en-AU" w:eastAsia="en-AU"/>
        </w:rPr>
      </w:pPr>
      <w:r w:rsidRPr="002F2711">
        <w:rPr>
          <w:noProof/>
          <w:lang w:val="en-AU" w:eastAsia="en-AU"/>
        </w:rPr>
        <w:t>EFSA. 2012. Scientific Opinion on the electrical requirements for waterbath stunning equipment applicable for poultry. EFSA J</w:t>
      </w:r>
      <w:r w:rsidR="00F37A11">
        <w:rPr>
          <w:noProof/>
          <w:lang w:val="en-AU" w:eastAsia="en-AU"/>
        </w:rPr>
        <w:t>ournal</w:t>
      </w:r>
      <w:r w:rsidRPr="002F2711">
        <w:rPr>
          <w:noProof/>
          <w:lang w:val="en-AU" w:eastAsia="en-AU"/>
        </w:rPr>
        <w:t xml:space="preserve"> 10:1</w:t>
      </w:r>
      <w:r w:rsidR="00F37A11">
        <w:rPr>
          <w:noProof/>
          <w:lang w:val="en-AU" w:eastAsia="en-AU"/>
        </w:rPr>
        <w:t>-</w:t>
      </w:r>
      <w:r w:rsidRPr="002F2711">
        <w:rPr>
          <w:noProof/>
          <w:lang w:val="en-AU" w:eastAsia="en-AU"/>
        </w:rPr>
        <w:t>80.</w:t>
      </w:r>
    </w:p>
    <w:p w14:paraId="70AE413C" w14:textId="77777777" w:rsidR="002F2711" w:rsidRPr="002F2711" w:rsidRDefault="002F2711" w:rsidP="002F2711">
      <w:pPr>
        <w:rPr>
          <w:noProof/>
          <w:lang w:val="en-AU" w:eastAsia="en-AU"/>
        </w:rPr>
      </w:pPr>
      <w:r w:rsidRPr="002F2711">
        <w:rPr>
          <w:noProof/>
          <w:lang w:val="en-AU" w:eastAsia="en-AU"/>
        </w:rPr>
        <w:t xml:space="preserve">EFSA. 2013. Guidance on the assessment criteria for studies evaluating the effectiveness of stunning interventions regarding animal protection at the time of killing. </w:t>
      </w:r>
      <w:r w:rsidR="00F37A11">
        <w:rPr>
          <w:noProof/>
          <w:lang w:val="en-AU" w:eastAsia="en-AU"/>
        </w:rPr>
        <w:t>EFSA Journal 11:3486.</w:t>
      </w:r>
    </w:p>
    <w:p w14:paraId="680980FF" w14:textId="77777777" w:rsidR="002F2711" w:rsidRPr="002F2711" w:rsidRDefault="002F2711" w:rsidP="002F2711">
      <w:pPr>
        <w:rPr>
          <w:noProof/>
          <w:lang w:val="en-AU" w:eastAsia="en-AU"/>
        </w:rPr>
      </w:pPr>
      <w:r w:rsidRPr="002F2711">
        <w:rPr>
          <w:noProof/>
          <w:lang w:val="en-AU" w:eastAsia="en-AU"/>
        </w:rPr>
        <w:t xml:space="preserve">Erasmus, M. </w:t>
      </w:r>
      <w:r w:rsidR="00706499">
        <w:rPr>
          <w:noProof/>
          <w:lang w:val="en-AU" w:eastAsia="en-AU"/>
        </w:rPr>
        <w:t>A.</w:t>
      </w:r>
      <w:r w:rsidRPr="002F2711">
        <w:rPr>
          <w:noProof/>
          <w:lang w:val="en-AU" w:eastAsia="en-AU"/>
        </w:rPr>
        <w:t>, P. Lawlis, I. J. H. Duncan, and T. M. Widowski. 2010. Using time to insensibility and estimated time of death to evaluate a nonpenetrating captive bolt, cervical dislocation, and blunt trauma for on-farm killing of turkeys. Poult</w:t>
      </w:r>
      <w:r w:rsidR="00DF2484">
        <w:rPr>
          <w:noProof/>
          <w:lang w:val="en-AU" w:eastAsia="en-AU"/>
        </w:rPr>
        <w:t>ry Science</w:t>
      </w:r>
      <w:r w:rsidRPr="002F2711">
        <w:rPr>
          <w:noProof/>
          <w:lang w:val="en-AU" w:eastAsia="en-AU"/>
        </w:rPr>
        <w:t xml:space="preserve"> 89:1345</w:t>
      </w:r>
      <w:r w:rsidR="00DF2484">
        <w:rPr>
          <w:noProof/>
          <w:lang w:val="en-AU" w:eastAsia="en-AU"/>
        </w:rPr>
        <w:t>-</w:t>
      </w:r>
      <w:r w:rsidRPr="002F2711">
        <w:rPr>
          <w:noProof/>
          <w:lang w:val="en-AU" w:eastAsia="en-AU"/>
        </w:rPr>
        <w:t>1354.</w:t>
      </w:r>
    </w:p>
    <w:p w14:paraId="4FA6AD8C" w14:textId="77777777" w:rsidR="002F2711" w:rsidRPr="002F2711" w:rsidRDefault="002F2711" w:rsidP="002F2711">
      <w:pPr>
        <w:rPr>
          <w:noProof/>
          <w:lang w:val="en-AU" w:eastAsia="en-AU"/>
        </w:rPr>
      </w:pPr>
      <w:r w:rsidRPr="002F2711">
        <w:rPr>
          <w:noProof/>
          <w:lang w:val="en-AU" w:eastAsia="en-AU"/>
        </w:rPr>
        <w:t xml:space="preserve">European Commission. 2012. Study on various methods of stunning for poultry. </w:t>
      </w:r>
      <w:r w:rsidR="00DF2484">
        <w:rPr>
          <w:noProof/>
          <w:lang w:val="en-AU" w:eastAsia="en-AU"/>
        </w:rPr>
        <w:t>Framework Contract for Evaluation and Evaluation Related Services – Lot 3: Food Chain. European Commission, Brussels</w:t>
      </w:r>
      <w:r w:rsidR="00D47BEF">
        <w:rPr>
          <w:noProof/>
          <w:lang w:val="en-AU" w:eastAsia="en-AU"/>
        </w:rPr>
        <w:t>, 137 pages</w:t>
      </w:r>
      <w:r w:rsidR="00DF2484">
        <w:rPr>
          <w:noProof/>
          <w:lang w:val="en-AU" w:eastAsia="en-AU"/>
        </w:rPr>
        <w:t>.</w:t>
      </w:r>
    </w:p>
    <w:p w14:paraId="485CB7D0" w14:textId="77777777" w:rsidR="002F2711" w:rsidRPr="002F2711" w:rsidRDefault="002F2711" w:rsidP="002F2711">
      <w:pPr>
        <w:rPr>
          <w:noProof/>
          <w:lang w:val="en-AU" w:eastAsia="en-AU"/>
        </w:rPr>
      </w:pPr>
      <w:r w:rsidRPr="002F2711">
        <w:rPr>
          <w:noProof/>
          <w:lang w:val="en-AU" w:eastAsia="en-AU"/>
        </w:rPr>
        <w:t xml:space="preserve">EUWelNet. 2014. Coordinated European Animal Welfare Network Deliverable 5, Appendix 29. </w:t>
      </w:r>
      <w:hyperlink r:id="rId85" w:tooltip="This is a link to an EuWelNet document that contains a standard operating procedure for electrical waterbath stunning of poultry." w:history="1">
        <w:r w:rsidR="00223BFC" w:rsidRPr="008D16A0">
          <w:rPr>
            <w:rStyle w:val="Hyperlink"/>
            <w:noProof/>
            <w:lang w:val="en-AU" w:eastAsia="en-AU"/>
          </w:rPr>
          <w:t>www.euwelnet.eu/euwelnet/53430/7/0/80</w:t>
        </w:r>
      </w:hyperlink>
      <w:r w:rsidR="00DF2484">
        <w:rPr>
          <w:noProof/>
          <w:lang w:val="en-AU" w:eastAsia="en-AU"/>
        </w:rPr>
        <w:t>. Accessed</w:t>
      </w:r>
      <w:r w:rsidRPr="002F2711">
        <w:rPr>
          <w:noProof/>
          <w:lang w:val="en-AU" w:eastAsia="en-AU"/>
        </w:rPr>
        <w:t xml:space="preserve"> 28</w:t>
      </w:r>
      <w:r w:rsidR="00DF2484">
        <w:rPr>
          <w:noProof/>
          <w:lang w:val="en-AU" w:eastAsia="en-AU"/>
        </w:rPr>
        <w:t>/05/</w:t>
      </w:r>
      <w:r w:rsidR="00CF022F">
        <w:rPr>
          <w:noProof/>
          <w:lang w:val="en-AU" w:eastAsia="en-AU"/>
        </w:rPr>
        <w:t>20</w:t>
      </w:r>
      <w:r w:rsidR="00DF2484">
        <w:rPr>
          <w:noProof/>
          <w:lang w:val="en-AU" w:eastAsia="en-AU"/>
        </w:rPr>
        <w:t>17</w:t>
      </w:r>
      <w:r w:rsidRPr="002F2711">
        <w:rPr>
          <w:noProof/>
          <w:lang w:val="en-AU" w:eastAsia="en-AU"/>
        </w:rPr>
        <w:t>.</w:t>
      </w:r>
    </w:p>
    <w:p w14:paraId="28048C3E" w14:textId="77777777" w:rsidR="00A862E9" w:rsidRPr="000E44E6" w:rsidRDefault="00A862E9" w:rsidP="002F2711">
      <w:pPr>
        <w:rPr>
          <w:b/>
          <w:noProof/>
          <w:lang w:val="en-AU" w:eastAsia="en-AU"/>
        </w:rPr>
      </w:pPr>
      <w:r>
        <w:rPr>
          <w:noProof/>
          <w:lang w:val="en-AU" w:eastAsia="en-AU"/>
        </w:rPr>
        <w:t xml:space="preserve">FAWC. 2012. Advice on LINCO Gas Stunning System. </w:t>
      </w:r>
      <w:hyperlink r:id="rId86" w:tooltip="This is a link to a pdf of the UK Farm Animal Welfare Committee's advice on a gas stunning system for birds." w:history="1">
        <w:r w:rsidR="000E44E6" w:rsidRPr="004977AE">
          <w:rPr>
            <w:rStyle w:val="Hyperlink"/>
            <w:noProof/>
            <w:lang w:val="en-AU" w:eastAsia="en-AU"/>
          </w:rPr>
          <w:t>www.gov.uk/government/uploads/system/uploads/attachment_data/file/324999/FAWC_advice_on_LINCO_gas_stunning_system_for_poultry.pdf</w:t>
        </w:r>
      </w:hyperlink>
      <w:r w:rsidR="000E44E6">
        <w:rPr>
          <w:noProof/>
          <w:lang w:val="en-AU" w:eastAsia="en-AU"/>
        </w:rPr>
        <w:t>. Accessed 8/05/2017.</w:t>
      </w:r>
    </w:p>
    <w:p w14:paraId="5184ECA8" w14:textId="77777777" w:rsidR="002F2711" w:rsidRPr="002F2711" w:rsidRDefault="002F2711" w:rsidP="002F2711">
      <w:pPr>
        <w:rPr>
          <w:noProof/>
          <w:lang w:val="en-AU" w:eastAsia="en-AU"/>
        </w:rPr>
      </w:pPr>
      <w:r w:rsidRPr="002F2711">
        <w:rPr>
          <w:noProof/>
          <w:lang w:val="en-AU" w:eastAsia="en-AU"/>
        </w:rPr>
        <w:t>Fernandez, X., E. Lahirigoyen, A. Auvergne, C. Molette, and M. Bouillier-Oudot. 2010. The effects of stunning methods on product qualities in force-fed ducks and geese. 2. Fatty liver quality. Animal 4:128</w:t>
      </w:r>
      <w:r w:rsidR="00DF2484">
        <w:rPr>
          <w:noProof/>
          <w:lang w:val="en-AU" w:eastAsia="en-AU"/>
        </w:rPr>
        <w:t>-1</w:t>
      </w:r>
      <w:r w:rsidRPr="002F2711">
        <w:rPr>
          <w:noProof/>
          <w:lang w:val="en-AU" w:eastAsia="en-AU"/>
        </w:rPr>
        <w:t>38</w:t>
      </w:r>
      <w:r w:rsidR="00DF2484">
        <w:rPr>
          <w:noProof/>
          <w:lang w:val="en-AU" w:eastAsia="en-AU"/>
        </w:rPr>
        <w:t>.</w:t>
      </w:r>
    </w:p>
    <w:p w14:paraId="7377C378" w14:textId="77777777" w:rsidR="002F2711" w:rsidRPr="002F2711" w:rsidRDefault="002F2711" w:rsidP="002F2711">
      <w:pPr>
        <w:rPr>
          <w:noProof/>
          <w:lang w:val="en-AU" w:eastAsia="en-AU"/>
        </w:rPr>
      </w:pPr>
      <w:r w:rsidRPr="002F2711">
        <w:rPr>
          <w:noProof/>
          <w:lang w:val="en-AU" w:eastAsia="en-AU"/>
        </w:rPr>
        <w:t xml:space="preserve">Fidan, E., M. K. Turkyilmaz, A. Nazligul, S. Ünübol Aypak, and S. Karaarslan. 2015. Effect of Preslaughter Shackling on Stress, Meat Quality Traits, and Glycolytic Potential in Broilers. </w:t>
      </w:r>
      <w:r w:rsidR="00DF2484">
        <w:rPr>
          <w:noProof/>
          <w:lang w:val="en-AU" w:eastAsia="en-AU"/>
        </w:rPr>
        <w:t>Journal of Agricultural Science and Technology 17:1141-</w:t>
      </w:r>
      <w:r w:rsidRPr="002F2711">
        <w:rPr>
          <w:noProof/>
          <w:lang w:val="en-AU" w:eastAsia="en-AU"/>
        </w:rPr>
        <w:t>1150.</w:t>
      </w:r>
    </w:p>
    <w:p w14:paraId="5492B5A6" w14:textId="77777777" w:rsidR="002F2711" w:rsidRPr="002F2711" w:rsidRDefault="002F2711" w:rsidP="002F2711">
      <w:pPr>
        <w:rPr>
          <w:noProof/>
          <w:lang w:val="en-AU" w:eastAsia="en-AU"/>
        </w:rPr>
      </w:pPr>
      <w:r w:rsidRPr="002F2711">
        <w:rPr>
          <w:noProof/>
          <w:lang w:val="en-AU" w:eastAsia="en-AU"/>
        </w:rPr>
        <w:t>Gentle, M. J. 1975. Using arousal changes in the electroencephalogram to measure taste sensitivity in the chicken. J</w:t>
      </w:r>
      <w:r w:rsidR="00F56EED">
        <w:rPr>
          <w:noProof/>
          <w:lang w:val="en-AU" w:eastAsia="en-AU"/>
        </w:rPr>
        <w:t xml:space="preserve">ournal of </w:t>
      </w:r>
      <w:r w:rsidRPr="002F2711">
        <w:rPr>
          <w:noProof/>
          <w:lang w:val="en-AU" w:eastAsia="en-AU"/>
        </w:rPr>
        <w:t>Physiol</w:t>
      </w:r>
      <w:r w:rsidR="00F56EED">
        <w:rPr>
          <w:noProof/>
          <w:lang w:val="en-AU" w:eastAsia="en-AU"/>
        </w:rPr>
        <w:t>ogy</w:t>
      </w:r>
      <w:r w:rsidRPr="002F2711">
        <w:rPr>
          <w:noProof/>
          <w:lang w:val="en-AU" w:eastAsia="en-AU"/>
        </w:rPr>
        <w:t xml:space="preserve"> 244:9</w:t>
      </w:r>
      <w:r w:rsidR="00F56EED">
        <w:rPr>
          <w:noProof/>
          <w:lang w:val="en-AU" w:eastAsia="en-AU"/>
        </w:rPr>
        <w:t>-</w:t>
      </w:r>
      <w:r w:rsidRPr="002F2711">
        <w:rPr>
          <w:noProof/>
          <w:lang w:val="en-AU" w:eastAsia="en-AU"/>
        </w:rPr>
        <w:t>10.</w:t>
      </w:r>
    </w:p>
    <w:p w14:paraId="1B4F803E" w14:textId="77777777" w:rsidR="002F2711" w:rsidRPr="002F2711" w:rsidRDefault="002F2711" w:rsidP="002F2711">
      <w:pPr>
        <w:rPr>
          <w:noProof/>
          <w:lang w:val="en-AU" w:eastAsia="en-AU"/>
        </w:rPr>
      </w:pPr>
      <w:r w:rsidRPr="002F2711">
        <w:rPr>
          <w:noProof/>
          <w:lang w:val="en-AU" w:eastAsia="en-AU"/>
        </w:rPr>
        <w:t>Gentle, M. J., and V. L. Tilston. 2000. Nococeptors in the legs of polutry: implications for the potential pain in pre-slaughter shackling. Anim</w:t>
      </w:r>
      <w:r w:rsidR="00F56EED">
        <w:rPr>
          <w:noProof/>
          <w:lang w:val="en-AU" w:eastAsia="en-AU"/>
        </w:rPr>
        <w:t>al</w:t>
      </w:r>
      <w:r w:rsidRPr="002F2711">
        <w:rPr>
          <w:noProof/>
          <w:lang w:val="en-AU" w:eastAsia="en-AU"/>
        </w:rPr>
        <w:t xml:space="preserve"> Welf</w:t>
      </w:r>
      <w:r w:rsidR="00F56EED">
        <w:rPr>
          <w:noProof/>
          <w:lang w:val="en-AU" w:eastAsia="en-AU"/>
        </w:rPr>
        <w:t>are</w:t>
      </w:r>
      <w:r w:rsidRPr="002F2711">
        <w:rPr>
          <w:noProof/>
          <w:lang w:val="en-AU" w:eastAsia="en-AU"/>
        </w:rPr>
        <w:t xml:space="preserve"> 9:227</w:t>
      </w:r>
      <w:r w:rsidR="00F56EED">
        <w:rPr>
          <w:noProof/>
          <w:lang w:val="en-AU" w:eastAsia="en-AU"/>
        </w:rPr>
        <w:t>-</w:t>
      </w:r>
      <w:r w:rsidRPr="002F2711">
        <w:rPr>
          <w:noProof/>
          <w:lang w:val="en-AU" w:eastAsia="en-AU"/>
        </w:rPr>
        <w:t>236.</w:t>
      </w:r>
    </w:p>
    <w:p w14:paraId="53F78351" w14:textId="77777777" w:rsidR="002F2711" w:rsidRPr="002F2711" w:rsidRDefault="002F2711" w:rsidP="002F2711">
      <w:pPr>
        <w:rPr>
          <w:noProof/>
          <w:lang w:val="en-AU" w:eastAsia="en-AU"/>
        </w:rPr>
      </w:pPr>
      <w:r w:rsidRPr="002F2711">
        <w:rPr>
          <w:noProof/>
          <w:lang w:val="en-AU" w:eastAsia="en-AU"/>
        </w:rPr>
        <w:t>Gerritzen, M. A., E. Lambooij, S. J. W. Hillebrand, J. A. Lankhaar, and C. Pieterse. 2000. Behavioral responses of broilers to different gaseous atmospheres. Poult</w:t>
      </w:r>
      <w:r w:rsidR="00F56EED">
        <w:rPr>
          <w:noProof/>
          <w:lang w:val="en-AU" w:eastAsia="en-AU"/>
        </w:rPr>
        <w:t>ry</w:t>
      </w:r>
      <w:r w:rsidRPr="002F2711">
        <w:rPr>
          <w:noProof/>
          <w:lang w:val="en-AU" w:eastAsia="en-AU"/>
        </w:rPr>
        <w:t xml:space="preserve"> Sci</w:t>
      </w:r>
      <w:r w:rsidR="00F56EED">
        <w:rPr>
          <w:noProof/>
          <w:lang w:val="en-AU" w:eastAsia="en-AU"/>
        </w:rPr>
        <w:t>ence</w:t>
      </w:r>
      <w:r w:rsidRPr="002F2711">
        <w:rPr>
          <w:noProof/>
          <w:lang w:val="en-AU" w:eastAsia="en-AU"/>
        </w:rPr>
        <w:t xml:space="preserve"> 79:928</w:t>
      </w:r>
      <w:r w:rsidR="00F56EED">
        <w:rPr>
          <w:noProof/>
          <w:lang w:val="en-AU" w:eastAsia="en-AU"/>
        </w:rPr>
        <w:t>-</w:t>
      </w:r>
      <w:r w:rsidRPr="002F2711">
        <w:rPr>
          <w:noProof/>
          <w:lang w:val="en-AU" w:eastAsia="en-AU"/>
        </w:rPr>
        <w:t>933</w:t>
      </w:r>
      <w:r w:rsidR="00F56EED">
        <w:rPr>
          <w:noProof/>
          <w:lang w:val="en-AU" w:eastAsia="en-AU"/>
        </w:rPr>
        <w:t>.</w:t>
      </w:r>
    </w:p>
    <w:p w14:paraId="5975AE7D" w14:textId="77777777" w:rsidR="002F2711" w:rsidRPr="002F2711" w:rsidRDefault="00BF7061" w:rsidP="002F2711">
      <w:pPr>
        <w:rPr>
          <w:noProof/>
          <w:lang w:val="en-AU" w:eastAsia="en-AU"/>
        </w:rPr>
      </w:pPr>
      <w:r>
        <w:rPr>
          <w:noProof/>
          <w:lang w:val="en-AU" w:eastAsia="en-AU"/>
        </w:rPr>
        <w:t>Gerritzen, M. A</w:t>
      </w:r>
      <w:r w:rsidR="002F2711" w:rsidRPr="002F2711">
        <w:rPr>
          <w:noProof/>
          <w:lang w:val="en-AU" w:eastAsia="en-AU"/>
        </w:rPr>
        <w:t xml:space="preserve">, E. Lambooij, </w:t>
      </w:r>
      <w:r>
        <w:rPr>
          <w:noProof/>
          <w:lang w:val="en-AU" w:eastAsia="en-AU"/>
        </w:rPr>
        <w:t xml:space="preserve">H. G. M. Reimert, B. M. Spruijt, and J. A. </w:t>
      </w:r>
      <w:r w:rsidR="002F2711" w:rsidRPr="002F2711">
        <w:rPr>
          <w:noProof/>
          <w:lang w:val="en-AU" w:eastAsia="en-AU"/>
        </w:rPr>
        <w:t>Stegeman. 2006. Susceptibility of duck and turkey to severe hypercapnic hypoxia. Poult</w:t>
      </w:r>
      <w:r w:rsidR="00F56EED">
        <w:rPr>
          <w:noProof/>
          <w:lang w:val="en-AU" w:eastAsia="en-AU"/>
        </w:rPr>
        <w:t>ry</w:t>
      </w:r>
      <w:r w:rsidR="002F2711" w:rsidRPr="002F2711">
        <w:rPr>
          <w:noProof/>
          <w:lang w:val="en-AU" w:eastAsia="en-AU"/>
        </w:rPr>
        <w:t xml:space="preserve"> Sci</w:t>
      </w:r>
      <w:r w:rsidR="00F56EED">
        <w:rPr>
          <w:noProof/>
          <w:lang w:val="en-AU" w:eastAsia="en-AU"/>
        </w:rPr>
        <w:t>ence</w:t>
      </w:r>
      <w:r w:rsidR="002F2711" w:rsidRPr="002F2711">
        <w:rPr>
          <w:noProof/>
          <w:lang w:val="en-AU" w:eastAsia="en-AU"/>
        </w:rPr>
        <w:t xml:space="preserve"> 85:1055</w:t>
      </w:r>
      <w:r w:rsidR="00F56EED">
        <w:rPr>
          <w:noProof/>
          <w:lang w:val="en-AU" w:eastAsia="en-AU"/>
        </w:rPr>
        <w:t>-</w:t>
      </w:r>
      <w:r w:rsidR="002F2711" w:rsidRPr="002F2711">
        <w:rPr>
          <w:noProof/>
          <w:lang w:val="en-AU" w:eastAsia="en-AU"/>
        </w:rPr>
        <w:t>1061.</w:t>
      </w:r>
    </w:p>
    <w:p w14:paraId="12B3D91D" w14:textId="77777777" w:rsidR="002F2711" w:rsidRPr="002F2711" w:rsidRDefault="002F2711" w:rsidP="002F2711">
      <w:pPr>
        <w:rPr>
          <w:noProof/>
          <w:lang w:val="en-AU" w:eastAsia="en-AU"/>
        </w:rPr>
      </w:pPr>
      <w:r w:rsidRPr="002F2711">
        <w:rPr>
          <w:noProof/>
          <w:lang w:val="en-AU" w:eastAsia="en-AU"/>
        </w:rPr>
        <w:t>Gerritzen, M</w:t>
      </w:r>
      <w:r w:rsidR="00BF7061">
        <w:rPr>
          <w:noProof/>
          <w:lang w:val="en-AU" w:eastAsia="en-AU"/>
        </w:rPr>
        <w:t xml:space="preserve">., </w:t>
      </w:r>
      <w:r w:rsidR="001804B9">
        <w:rPr>
          <w:noProof/>
          <w:lang w:val="en-AU" w:eastAsia="en-AU"/>
        </w:rPr>
        <w:t>E</w:t>
      </w:r>
      <w:r w:rsidRPr="002F2711">
        <w:rPr>
          <w:noProof/>
          <w:lang w:val="en-AU" w:eastAsia="en-AU"/>
        </w:rPr>
        <w:t>. Lambooij, H. Reimert, A. Stegeman, and B. Spruijt. 2007. A note on behaviour of poultry exposed to increasing carbon dioxide concentrations. Appl</w:t>
      </w:r>
      <w:r w:rsidR="00F56EED">
        <w:rPr>
          <w:noProof/>
          <w:lang w:val="en-AU" w:eastAsia="en-AU"/>
        </w:rPr>
        <w:t>ied</w:t>
      </w:r>
      <w:r w:rsidRPr="002F2711">
        <w:rPr>
          <w:noProof/>
          <w:lang w:val="en-AU" w:eastAsia="en-AU"/>
        </w:rPr>
        <w:t xml:space="preserve"> Anim</w:t>
      </w:r>
      <w:r w:rsidR="00F56EED">
        <w:rPr>
          <w:noProof/>
          <w:lang w:val="en-AU" w:eastAsia="en-AU"/>
        </w:rPr>
        <w:t>al</w:t>
      </w:r>
      <w:r w:rsidRPr="002F2711">
        <w:rPr>
          <w:noProof/>
          <w:lang w:val="en-AU" w:eastAsia="en-AU"/>
        </w:rPr>
        <w:t xml:space="preserve"> Behav</w:t>
      </w:r>
      <w:r w:rsidR="00F56EED">
        <w:rPr>
          <w:noProof/>
          <w:lang w:val="en-AU" w:eastAsia="en-AU"/>
        </w:rPr>
        <w:t>iour</w:t>
      </w:r>
      <w:r w:rsidRPr="002F2711">
        <w:rPr>
          <w:noProof/>
          <w:lang w:val="en-AU" w:eastAsia="en-AU"/>
        </w:rPr>
        <w:t xml:space="preserve"> Sci</w:t>
      </w:r>
      <w:r w:rsidR="00F56EED">
        <w:rPr>
          <w:noProof/>
          <w:lang w:val="en-AU" w:eastAsia="en-AU"/>
        </w:rPr>
        <w:t>ence</w:t>
      </w:r>
      <w:r w:rsidRPr="002F2711">
        <w:rPr>
          <w:noProof/>
          <w:lang w:val="en-AU" w:eastAsia="en-AU"/>
        </w:rPr>
        <w:t xml:space="preserve"> 108:179</w:t>
      </w:r>
      <w:r w:rsidR="00F56EED">
        <w:rPr>
          <w:noProof/>
          <w:lang w:val="en-AU" w:eastAsia="en-AU"/>
        </w:rPr>
        <w:t>-</w:t>
      </w:r>
      <w:r w:rsidRPr="002F2711">
        <w:rPr>
          <w:noProof/>
          <w:lang w:val="en-AU" w:eastAsia="en-AU"/>
        </w:rPr>
        <w:t>185.</w:t>
      </w:r>
    </w:p>
    <w:p w14:paraId="189CF000" w14:textId="77777777" w:rsidR="002F2711" w:rsidRPr="002F2711" w:rsidRDefault="002F2711" w:rsidP="002F2711">
      <w:pPr>
        <w:rPr>
          <w:noProof/>
          <w:lang w:val="en-AU" w:eastAsia="en-AU"/>
        </w:rPr>
      </w:pPr>
      <w:r w:rsidRPr="002F2711">
        <w:rPr>
          <w:noProof/>
          <w:lang w:val="en-AU" w:eastAsia="en-AU"/>
        </w:rPr>
        <w:t>Gerritzen, M. A., H. Reimert, V. A. Hindle, M. T. W. Verhoeven, and W. B. Veerkamp. 2013a. Multistage carbon dioxide gas stunning of broilers. Poult</w:t>
      </w:r>
      <w:r w:rsidR="00F56EED">
        <w:rPr>
          <w:noProof/>
          <w:lang w:val="en-AU" w:eastAsia="en-AU"/>
        </w:rPr>
        <w:t>ry</w:t>
      </w:r>
      <w:r w:rsidRPr="002F2711">
        <w:rPr>
          <w:noProof/>
          <w:lang w:val="en-AU" w:eastAsia="en-AU"/>
        </w:rPr>
        <w:t xml:space="preserve"> Sci</w:t>
      </w:r>
      <w:r w:rsidR="00F56EED">
        <w:rPr>
          <w:noProof/>
          <w:lang w:val="en-AU" w:eastAsia="en-AU"/>
        </w:rPr>
        <w:t>ence</w:t>
      </w:r>
      <w:r w:rsidRPr="002F2711">
        <w:rPr>
          <w:noProof/>
          <w:lang w:val="en-AU" w:eastAsia="en-AU"/>
        </w:rPr>
        <w:t xml:space="preserve"> 92:41</w:t>
      </w:r>
      <w:r w:rsidR="00F56EED">
        <w:rPr>
          <w:noProof/>
          <w:lang w:val="en-AU" w:eastAsia="en-AU"/>
        </w:rPr>
        <w:t>-</w:t>
      </w:r>
      <w:r w:rsidRPr="002F2711">
        <w:rPr>
          <w:noProof/>
          <w:lang w:val="en-AU" w:eastAsia="en-AU"/>
        </w:rPr>
        <w:t>50</w:t>
      </w:r>
      <w:r w:rsidR="00F56EED">
        <w:rPr>
          <w:noProof/>
          <w:lang w:val="en-AU" w:eastAsia="en-AU"/>
        </w:rPr>
        <w:t>.</w:t>
      </w:r>
    </w:p>
    <w:p w14:paraId="57AFE7E5" w14:textId="77777777" w:rsidR="002F2711" w:rsidRPr="002F2711" w:rsidRDefault="002F2711" w:rsidP="002F2711">
      <w:pPr>
        <w:rPr>
          <w:noProof/>
          <w:lang w:val="en-AU" w:eastAsia="en-AU"/>
        </w:rPr>
      </w:pPr>
      <w:r w:rsidRPr="00CC2340">
        <w:rPr>
          <w:noProof/>
          <w:lang w:val="en-AU" w:eastAsia="en-AU"/>
        </w:rPr>
        <w:t>Gerritzen, M. A., H. Reimert, A. Lourens, M. B. M. Bracke, and M. T. W. Verhoeven. 2013b. Killing wild geese with carbon dioxide or a mixture of carbon dioxide and argon. Anim</w:t>
      </w:r>
      <w:r w:rsidR="00F56EED" w:rsidRPr="00CC2340">
        <w:rPr>
          <w:noProof/>
          <w:lang w:val="en-AU" w:eastAsia="en-AU"/>
        </w:rPr>
        <w:t>al</w:t>
      </w:r>
      <w:r w:rsidRPr="00CC2340">
        <w:rPr>
          <w:noProof/>
          <w:lang w:val="en-AU" w:eastAsia="en-AU"/>
        </w:rPr>
        <w:t xml:space="preserve"> Welf</w:t>
      </w:r>
      <w:r w:rsidR="00F56EED" w:rsidRPr="00CC2340">
        <w:rPr>
          <w:noProof/>
          <w:lang w:val="en-AU" w:eastAsia="en-AU"/>
        </w:rPr>
        <w:t>are</w:t>
      </w:r>
      <w:r w:rsidRPr="00CC2340">
        <w:rPr>
          <w:noProof/>
          <w:lang w:val="en-AU" w:eastAsia="en-AU"/>
        </w:rPr>
        <w:t xml:space="preserve"> 22:5</w:t>
      </w:r>
      <w:r w:rsidR="00F56EED" w:rsidRPr="00CC2340">
        <w:rPr>
          <w:noProof/>
          <w:lang w:val="en-AU" w:eastAsia="en-AU"/>
        </w:rPr>
        <w:t>-</w:t>
      </w:r>
      <w:r w:rsidRPr="00CC2340">
        <w:rPr>
          <w:noProof/>
          <w:lang w:val="en-AU" w:eastAsia="en-AU"/>
        </w:rPr>
        <w:t>12.</w:t>
      </w:r>
    </w:p>
    <w:p w14:paraId="1260295D" w14:textId="77777777" w:rsidR="002F2711" w:rsidRPr="002F2711" w:rsidRDefault="002F2711" w:rsidP="002F2711">
      <w:pPr>
        <w:rPr>
          <w:noProof/>
          <w:lang w:val="en-AU" w:eastAsia="en-AU"/>
        </w:rPr>
      </w:pPr>
      <w:r w:rsidRPr="002F2711">
        <w:rPr>
          <w:noProof/>
          <w:lang w:val="en-AU" w:eastAsia="en-AU"/>
        </w:rPr>
        <w:t>Gibson, T. J., A. H. Taylor, and N. G. Gregory. 2016. Assessment of the effectiveness of head only and back-of-the-head electrical stunning of chickens. Br</w:t>
      </w:r>
      <w:r w:rsidR="00CC2340">
        <w:rPr>
          <w:noProof/>
          <w:lang w:val="en-AU" w:eastAsia="en-AU"/>
        </w:rPr>
        <w:t>itish</w:t>
      </w:r>
      <w:r w:rsidRPr="002F2711">
        <w:rPr>
          <w:noProof/>
          <w:lang w:val="en-AU" w:eastAsia="en-AU"/>
        </w:rPr>
        <w:t xml:space="preserve"> Poult</w:t>
      </w:r>
      <w:r w:rsidR="00CC2340">
        <w:rPr>
          <w:noProof/>
          <w:lang w:val="en-AU" w:eastAsia="en-AU"/>
        </w:rPr>
        <w:t>ry</w:t>
      </w:r>
      <w:r w:rsidRPr="002F2711">
        <w:rPr>
          <w:noProof/>
          <w:lang w:val="en-AU" w:eastAsia="en-AU"/>
        </w:rPr>
        <w:t xml:space="preserve"> Sci</w:t>
      </w:r>
      <w:r w:rsidR="00CC2340">
        <w:rPr>
          <w:noProof/>
          <w:lang w:val="en-AU" w:eastAsia="en-AU"/>
        </w:rPr>
        <w:t>ence</w:t>
      </w:r>
      <w:r w:rsidRPr="002F2711">
        <w:rPr>
          <w:noProof/>
          <w:lang w:val="en-AU" w:eastAsia="en-AU"/>
        </w:rPr>
        <w:t xml:space="preserve"> 1668:1</w:t>
      </w:r>
      <w:r w:rsidR="00CC2340">
        <w:rPr>
          <w:noProof/>
          <w:lang w:val="en-AU" w:eastAsia="en-AU"/>
        </w:rPr>
        <w:t>-</w:t>
      </w:r>
      <w:r w:rsidRPr="002F2711">
        <w:rPr>
          <w:noProof/>
          <w:lang w:val="en-AU" w:eastAsia="en-AU"/>
        </w:rPr>
        <w:t>11.</w:t>
      </w:r>
      <w:r w:rsidR="003B55FF">
        <w:rPr>
          <w:noProof/>
          <w:lang w:val="en-AU" w:eastAsia="en-AU"/>
        </w:rPr>
        <w:t xml:space="preserve"> doi </w:t>
      </w:r>
      <w:r w:rsidR="003B55FF" w:rsidRPr="003B55FF">
        <w:rPr>
          <w:noProof/>
          <w:lang w:val="en-AU" w:eastAsia="en-AU"/>
        </w:rPr>
        <w:t>10.1080/00071668.2016.1156648</w:t>
      </w:r>
    </w:p>
    <w:p w14:paraId="0E1FA137" w14:textId="77777777" w:rsidR="002F2711" w:rsidRPr="002F2711" w:rsidRDefault="002F2711" w:rsidP="002F2711">
      <w:pPr>
        <w:rPr>
          <w:noProof/>
          <w:lang w:val="en-AU" w:eastAsia="en-AU"/>
        </w:rPr>
      </w:pPr>
      <w:r w:rsidRPr="002F2711">
        <w:rPr>
          <w:noProof/>
          <w:lang w:val="en-AU" w:eastAsia="en-AU"/>
        </w:rPr>
        <w:t>Girasole, M., C. Chirollo, M. Ceruso, L. Vollano, A. Chianese, and M. L. Cortesi. 2015. Optimization of stunning electrical parameters to improve animal welfare in a poultry slaughterhouse. Ital</w:t>
      </w:r>
      <w:r w:rsidR="00CC2340">
        <w:rPr>
          <w:noProof/>
          <w:lang w:val="en-AU" w:eastAsia="en-AU"/>
        </w:rPr>
        <w:t>ian</w:t>
      </w:r>
      <w:r w:rsidRPr="002F2711">
        <w:rPr>
          <w:noProof/>
          <w:lang w:val="en-AU" w:eastAsia="en-AU"/>
        </w:rPr>
        <w:t xml:space="preserve"> J</w:t>
      </w:r>
      <w:r w:rsidR="00CC2340">
        <w:rPr>
          <w:noProof/>
          <w:lang w:val="en-AU" w:eastAsia="en-AU"/>
        </w:rPr>
        <w:t>ournal of</w:t>
      </w:r>
      <w:r w:rsidRPr="002F2711">
        <w:rPr>
          <w:noProof/>
          <w:lang w:val="en-AU" w:eastAsia="en-AU"/>
        </w:rPr>
        <w:t xml:space="preserve"> Food Saf</w:t>
      </w:r>
      <w:r w:rsidR="00CC2340">
        <w:rPr>
          <w:noProof/>
          <w:lang w:val="en-AU" w:eastAsia="en-AU"/>
        </w:rPr>
        <w:t>ety</w:t>
      </w:r>
      <w:r w:rsidRPr="002F2711">
        <w:rPr>
          <w:noProof/>
          <w:lang w:val="en-AU" w:eastAsia="en-AU"/>
        </w:rPr>
        <w:t xml:space="preserve"> 4:175</w:t>
      </w:r>
      <w:r w:rsidR="00CC2340">
        <w:rPr>
          <w:noProof/>
          <w:lang w:val="en-AU" w:eastAsia="en-AU"/>
        </w:rPr>
        <w:t>-</w:t>
      </w:r>
      <w:r w:rsidRPr="002F2711">
        <w:rPr>
          <w:noProof/>
          <w:lang w:val="en-AU" w:eastAsia="en-AU"/>
        </w:rPr>
        <w:t>178.</w:t>
      </w:r>
    </w:p>
    <w:p w14:paraId="6E7878F2" w14:textId="77777777" w:rsidR="002F2711" w:rsidRPr="002F2711" w:rsidRDefault="002F2711" w:rsidP="002F2711">
      <w:pPr>
        <w:rPr>
          <w:noProof/>
          <w:lang w:val="en-AU" w:eastAsia="en-AU"/>
        </w:rPr>
      </w:pPr>
      <w:r w:rsidRPr="002F2711">
        <w:rPr>
          <w:noProof/>
          <w:lang w:val="en-AU" w:eastAsia="en-AU"/>
        </w:rPr>
        <w:t>Gradwell, D. P., and A. J. F. Macmillan. 2015. Oxygen Systems, Pressure Cabin and Clothing.</w:t>
      </w:r>
      <w:r w:rsidR="009A6BA8">
        <w:rPr>
          <w:noProof/>
          <w:lang w:val="en-AU" w:eastAsia="en-AU"/>
        </w:rPr>
        <w:t xml:space="preserve"> </w:t>
      </w:r>
      <w:r w:rsidR="00F15959">
        <w:rPr>
          <w:noProof/>
          <w:lang w:val="en-AU" w:eastAsia="en-AU"/>
        </w:rPr>
        <w:t>In:</w:t>
      </w:r>
      <w:r w:rsidRPr="002F2711">
        <w:rPr>
          <w:noProof/>
          <w:lang w:val="en-AU" w:eastAsia="en-AU"/>
        </w:rPr>
        <w:t xml:space="preserve"> Earnsting’s Aviation and Space Medicine 5</w:t>
      </w:r>
      <w:r w:rsidR="00F15959">
        <w:rPr>
          <w:noProof/>
          <w:lang w:val="en-AU" w:eastAsia="en-AU"/>
        </w:rPr>
        <w:t>th edition</w:t>
      </w:r>
      <w:r w:rsidR="006B4AAF">
        <w:rPr>
          <w:noProof/>
          <w:lang w:val="en-AU" w:eastAsia="en-AU"/>
        </w:rPr>
        <w:t>,</w:t>
      </w:r>
      <w:r w:rsidR="00F15959">
        <w:rPr>
          <w:noProof/>
          <w:lang w:val="en-AU" w:eastAsia="en-AU"/>
        </w:rPr>
        <w:t xml:space="preserve"> </w:t>
      </w:r>
      <w:r w:rsidR="006B4AAF">
        <w:rPr>
          <w:noProof/>
          <w:lang w:val="en-AU" w:eastAsia="en-AU"/>
        </w:rPr>
        <w:t>Gradwell, D.P.</w:t>
      </w:r>
      <w:r w:rsidRPr="002F2711">
        <w:rPr>
          <w:noProof/>
          <w:lang w:val="en-AU" w:eastAsia="en-AU"/>
        </w:rPr>
        <w:t xml:space="preserve"> </w:t>
      </w:r>
      <w:r w:rsidR="00CC2340">
        <w:rPr>
          <w:noProof/>
          <w:lang w:val="en-AU" w:eastAsia="en-AU"/>
        </w:rPr>
        <w:t xml:space="preserve">and D. J. </w:t>
      </w:r>
      <w:r w:rsidRPr="002F2711">
        <w:rPr>
          <w:noProof/>
          <w:lang w:val="en-AU" w:eastAsia="en-AU"/>
        </w:rPr>
        <w:t>Rainford</w:t>
      </w:r>
      <w:r w:rsidR="003F5659">
        <w:rPr>
          <w:noProof/>
          <w:lang w:val="en-AU" w:eastAsia="en-AU"/>
        </w:rPr>
        <w:t xml:space="preserve"> (Eds.)</w:t>
      </w:r>
      <w:r w:rsidR="006B4AAF">
        <w:rPr>
          <w:noProof/>
          <w:lang w:val="en-AU" w:eastAsia="en-AU"/>
        </w:rPr>
        <w:t>,</w:t>
      </w:r>
      <w:r w:rsidRPr="002F2711">
        <w:rPr>
          <w:noProof/>
          <w:lang w:val="en-AU" w:eastAsia="en-AU"/>
        </w:rPr>
        <w:t xml:space="preserve"> CRC Press, Boca Raton</w:t>
      </w:r>
      <w:r w:rsidR="00CC2340">
        <w:rPr>
          <w:noProof/>
          <w:lang w:val="en-AU" w:eastAsia="en-AU"/>
        </w:rPr>
        <w:t>, Florida</w:t>
      </w:r>
      <w:r w:rsidR="00F15959">
        <w:rPr>
          <w:noProof/>
          <w:lang w:val="en-AU" w:eastAsia="en-AU"/>
        </w:rPr>
        <w:t>, pages 79-130.</w:t>
      </w:r>
    </w:p>
    <w:p w14:paraId="1EC4BE13" w14:textId="77777777" w:rsidR="002F2711" w:rsidRPr="002F2711" w:rsidRDefault="002F2711" w:rsidP="002F2711">
      <w:pPr>
        <w:rPr>
          <w:noProof/>
          <w:lang w:val="en-AU" w:eastAsia="en-AU"/>
        </w:rPr>
      </w:pPr>
      <w:r w:rsidRPr="002F2711">
        <w:rPr>
          <w:noProof/>
          <w:lang w:val="en-AU" w:eastAsia="en-AU"/>
        </w:rPr>
        <w:t>Gregory, N. G., and J. C. Bell. 1987. D</w:t>
      </w:r>
      <w:r w:rsidR="00CC2340">
        <w:rPr>
          <w:noProof/>
          <w:lang w:val="en-AU" w:eastAsia="en-AU"/>
        </w:rPr>
        <w:t>uration of wing flapping in chickens shackled before slaughter.</w:t>
      </w:r>
      <w:r w:rsidRPr="002F2711">
        <w:rPr>
          <w:noProof/>
          <w:lang w:val="en-AU" w:eastAsia="en-AU"/>
        </w:rPr>
        <w:t xml:space="preserve"> Vet</w:t>
      </w:r>
      <w:r w:rsidR="00CC2340">
        <w:rPr>
          <w:noProof/>
          <w:lang w:val="en-AU" w:eastAsia="en-AU"/>
        </w:rPr>
        <w:t>erinary</w:t>
      </w:r>
      <w:r w:rsidRPr="002F2711">
        <w:rPr>
          <w:noProof/>
          <w:lang w:val="en-AU" w:eastAsia="en-AU"/>
        </w:rPr>
        <w:t xml:space="preserve"> Rec</w:t>
      </w:r>
      <w:r w:rsidR="00CC2340">
        <w:rPr>
          <w:noProof/>
          <w:lang w:val="en-AU" w:eastAsia="en-AU"/>
        </w:rPr>
        <w:t>ord</w:t>
      </w:r>
      <w:r w:rsidRPr="002F2711">
        <w:rPr>
          <w:noProof/>
          <w:lang w:val="en-AU" w:eastAsia="en-AU"/>
        </w:rPr>
        <w:t xml:space="preserve"> 121:567</w:t>
      </w:r>
      <w:r w:rsidR="00CC2340">
        <w:rPr>
          <w:noProof/>
          <w:lang w:val="en-AU" w:eastAsia="en-AU"/>
        </w:rPr>
        <w:t>-</w:t>
      </w:r>
      <w:r w:rsidRPr="002F2711">
        <w:rPr>
          <w:noProof/>
          <w:lang w:val="en-AU" w:eastAsia="en-AU"/>
        </w:rPr>
        <w:t>569.</w:t>
      </w:r>
    </w:p>
    <w:p w14:paraId="7CBC9094" w14:textId="77777777" w:rsidR="002F2711" w:rsidRPr="002F2711" w:rsidRDefault="002F2711" w:rsidP="002F2711">
      <w:pPr>
        <w:rPr>
          <w:noProof/>
          <w:lang w:val="en-AU" w:eastAsia="en-AU"/>
        </w:rPr>
      </w:pPr>
      <w:r w:rsidRPr="002F2711">
        <w:rPr>
          <w:noProof/>
          <w:lang w:val="en-AU" w:eastAsia="en-AU"/>
        </w:rPr>
        <w:t>Gregory, N. G., and L. Wilkins. 1989a. Effect of slaughter on bleeding efficiency in chickens. J</w:t>
      </w:r>
      <w:r w:rsidR="00CC2340">
        <w:rPr>
          <w:noProof/>
          <w:lang w:val="en-AU" w:eastAsia="en-AU"/>
        </w:rPr>
        <w:t xml:space="preserve">ournal of the </w:t>
      </w:r>
      <w:r w:rsidRPr="002F2711">
        <w:rPr>
          <w:noProof/>
          <w:lang w:val="en-AU" w:eastAsia="en-AU"/>
        </w:rPr>
        <w:t>Sci</w:t>
      </w:r>
      <w:r w:rsidR="00CC2340">
        <w:rPr>
          <w:noProof/>
          <w:lang w:val="en-AU" w:eastAsia="en-AU"/>
        </w:rPr>
        <w:t xml:space="preserve">ence of </w:t>
      </w:r>
      <w:r w:rsidRPr="002F2711">
        <w:rPr>
          <w:noProof/>
          <w:lang w:val="en-AU" w:eastAsia="en-AU"/>
        </w:rPr>
        <w:t xml:space="preserve">Food </w:t>
      </w:r>
      <w:r w:rsidR="00CC2340">
        <w:rPr>
          <w:noProof/>
          <w:lang w:val="en-AU" w:eastAsia="en-AU"/>
        </w:rPr>
        <w:t>and Agriculture</w:t>
      </w:r>
      <w:r w:rsidRPr="002F2711">
        <w:rPr>
          <w:noProof/>
          <w:lang w:val="en-AU" w:eastAsia="en-AU"/>
        </w:rPr>
        <w:t xml:space="preserve"> 47:13–20.</w:t>
      </w:r>
    </w:p>
    <w:p w14:paraId="69036803" w14:textId="77777777" w:rsidR="002F2711" w:rsidRPr="002F2711" w:rsidRDefault="002F2711" w:rsidP="002F2711">
      <w:pPr>
        <w:rPr>
          <w:noProof/>
          <w:lang w:val="en-AU" w:eastAsia="en-AU"/>
        </w:rPr>
      </w:pPr>
      <w:r w:rsidRPr="002F2711">
        <w:rPr>
          <w:noProof/>
          <w:lang w:val="en-AU" w:eastAsia="en-AU"/>
        </w:rPr>
        <w:t>Gregory, N. G., and L. Wilkins. 1989b. Broken bones in domestic fowl: handling and processing damage in end-of-lay battery hens. Br</w:t>
      </w:r>
      <w:r w:rsidR="00CC2340">
        <w:rPr>
          <w:noProof/>
          <w:lang w:val="en-AU" w:eastAsia="en-AU"/>
        </w:rPr>
        <w:t>itish</w:t>
      </w:r>
      <w:r w:rsidRPr="002F2711">
        <w:rPr>
          <w:noProof/>
          <w:lang w:val="en-AU" w:eastAsia="en-AU"/>
        </w:rPr>
        <w:t xml:space="preserve"> Poult</w:t>
      </w:r>
      <w:r w:rsidR="00CC2340">
        <w:rPr>
          <w:noProof/>
          <w:lang w:val="en-AU" w:eastAsia="en-AU"/>
        </w:rPr>
        <w:t>ry</w:t>
      </w:r>
      <w:r w:rsidRPr="002F2711">
        <w:rPr>
          <w:noProof/>
          <w:lang w:val="en-AU" w:eastAsia="en-AU"/>
        </w:rPr>
        <w:t xml:space="preserve"> Sci</w:t>
      </w:r>
      <w:r w:rsidR="00CC2340">
        <w:rPr>
          <w:noProof/>
          <w:lang w:val="en-AU" w:eastAsia="en-AU"/>
        </w:rPr>
        <w:t>ence</w:t>
      </w:r>
      <w:r w:rsidRPr="002F2711">
        <w:rPr>
          <w:noProof/>
          <w:lang w:val="en-AU" w:eastAsia="en-AU"/>
        </w:rPr>
        <w:t xml:space="preserve"> 30:555</w:t>
      </w:r>
      <w:r w:rsidR="00CC2340">
        <w:rPr>
          <w:noProof/>
          <w:lang w:val="en-AU" w:eastAsia="en-AU"/>
        </w:rPr>
        <w:t>-</w:t>
      </w:r>
      <w:r w:rsidRPr="002F2711">
        <w:rPr>
          <w:noProof/>
          <w:lang w:val="en-AU" w:eastAsia="en-AU"/>
        </w:rPr>
        <w:t>562.</w:t>
      </w:r>
    </w:p>
    <w:p w14:paraId="42BA2ACF" w14:textId="77777777" w:rsidR="002F2711" w:rsidRPr="002F2711" w:rsidRDefault="002F2711" w:rsidP="002F2711">
      <w:pPr>
        <w:rPr>
          <w:noProof/>
          <w:lang w:val="en-AU" w:eastAsia="en-AU"/>
        </w:rPr>
      </w:pPr>
      <w:r w:rsidRPr="002F2711">
        <w:rPr>
          <w:noProof/>
          <w:lang w:val="en-AU" w:eastAsia="en-AU"/>
        </w:rPr>
        <w:t>Gregory, N. G., and L. Wilkins. 1990. Effect of stunning current on downgrading in ducks. Br</w:t>
      </w:r>
      <w:r w:rsidR="00CC2340">
        <w:rPr>
          <w:noProof/>
          <w:lang w:val="en-AU" w:eastAsia="en-AU"/>
        </w:rPr>
        <w:t>itish</w:t>
      </w:r>
      <w:r w:rsidRPr="002F2711">
        <w:rPr>
          <w:noProof/>
          <w:lang w:val="en-AU" w:eastAsia="en-AU"/>
        </w:rPr>
        <w:t xml:space="preserve"> Poult</w:t>
      </w:r>
      <w:r w:rsidR="00CC2340">
        <w:rPr>
          <w:noProof/>
          <w:lang w:val="en-AU" w:eastAsia="en-AU"/>
        </w:rPr>
        <w:t>ry</w:t>
      </w:r>
      <w:r w:rsidRPr="002F2711">
        <w:rPr>
          <w:noProof/>
          <w:lang w:val="en-AU" w:eastAsia="en-AU"/>
        </w:rPr>
        <w:t xml:space="preserve"> Sci</w:t>
      </w:r>
      <w:r w:rsidR="00CC2340">
        <w:rPr>
          <w:noProof/>
          <w:lang w:val="en-AU" w:eastAsia="en-AU"/>
        </w:rPr>
        <w:t>ence</w:t>
      </w:r>
      <w:r w:rsidRPr="002F2711">
        <w:rPr>
          <w:noProof/>
          <w:lang w:val="en-AU" w:eastAsia="en-AU"/>
        </w:rPr>
        <w:t xml:space="preserve"> 31:429</w:t>
      </w:r>
      <w:r w:rsidR="00CC2340">
        <w:rPr>
          <w:noProof/>
          <w:lang w:val="en-AU" w:eastAsia="en-AU"/>
        </w:rPr>
        <w:t>-</w:t>
      </w:r>
      <w:r w:rsidRPr="002F2711">
        <w:rPr>
          <w:noProof/>
          <w:lang w:val="en-AU" w:eastAsia="en-AU"/>
        </w:rPr>
        <w:t>431.</w:t>
      </w:r>
    </w:p>
    <w:p w14:paraId="7B091A5E" w14:textId="77777777" w:rsidR="002F2711" w:rsidRDefault="002F2711" w:rsidP="002F2711">
      <w:pPr>
        <w:rPr>
          <w:noProof/>
          <w:lang w:val="en-AU" w:eastAsia="en-AU"/>
        </w:rPr>
      </w:pPr>
      <w:r w:rsidRPr="002F2711">
        <w:rPr>
          <w:noProof/>
          <w:lang w:val="en-AU" w:eastAsia="en-AU"/>
        </w:rPr>
        <w:t>Gregory, N. G., L. Wilkins, and S. Wotton. 1991. Effect of electrical stunning frequency on ventricular fibrillation, downgrading and broken bones in broilers, hens and quails. B</w:t>
      </w:r>
      <w:r w:rsidR="00254045">
        <w:rPr>
          <w:noProof/>
          <w:lang w:val="en-AU" w:eastAsia="en-AU"/>
        </w:rPr>
        <w:t>ritish Veterinary Journal</w:t>
      </w:r>
      <w:r w:rsidRPr="002F2711">
        <w:rPr>
          <w:noProof/>
          <w:lang w:val="en-AU" w:eastAsia="en-AU"/>
        </w:rPr>
        <w:t xml:space="preserve"> 147:71</w:t>
      </w:r>
      <w:r w:rsidR="00CC2340">
        <w:rPr>
          <w:noProof/>
          <w:lang w:val="en-AU" w:eastAsia="en-AU"/>
        </w:rPr>
        <w:t>-</w:t>
      </w:r>
      <w:r w:rsidRPr="002F2711">
        <w:rPr>
          <w:noProof/>
          <w:lang w:val="en-AU" w:eastAsia="en-AU"/>
        </w:rPr>
        <w:t>77.</w:t>
      </w:r>
    </w:p>
    <w:p w14:paraId="274579D1" w14:textId="77777777" w:rsidR="00B217CE" w:rsidRDefault="00B217CE" w:rsidP="00B217CE">
      <w:pPr>
        <w:rPr>
          <w:noProof/>
          <w:lang w:val="en-AU" w:eastAsia="en-AU"/>
        </w:rPr>
      </w:pPr>
      <w:r>
        <w:rPr>
          <w:noProof/>
          <w:lang w:val="en-AU" w:eastAsia="en-AU"/>
        </w:rPr>
        <w:t xml:space="preserve">Gregory, N. G., and S. B. Wotton. 1986. </w:t>
      </w:r>
      <w:r w:rsidRPr="00B217CE">
        <w:rPr>
          <w:noProof/>
          <w:lang w:val="en-AU" w:eastAsia="en-AU"/>
        </w:rPr>
        <w:t>Effect</w:t>
      </w:r>
      <w:r>
        <w:rPr>
          <w:noProof/>
          <w:lang w:val="en-AU" w:eastAsia="en-AU"/>
        </w:rPr>
        <w:t xml:space="preserve"> of slaughter on the spontaneous and evoked activity of the brain. British Poultry Science 27:195-205.</w:t>
      </w:r>
    </w:p>
    <w:p w14:paraId="2F5F0F88" w14:textId="77777777" w:rsidR="00BE1EDB" w:rsidRPr="002F2711" w:rsidRDefault="00BE1EDB" w:rsidP="002F2711">
      <w:pPr>
        <w:rPr>
          <w:noProof/>
          <w:lang w:val="en-AU" w:eastAsia="en-AU"/>
        </w:rPr>
      </w:pPr>
      <w:r>
        <w:rPr>
          <w:noProof/>
          <w:lang w:val="en-AU" w:eastAsia="en-AU"/>
        </w:rPr>
        <w:t xml:space="preserve">Gregory, N. G., and S. </w:t>
      </w:r>
      <w:r w:rsidR="00B217CE">
        <w:rPr>
          <w:noProof/>
          <w:lang w:val="en-AU" w:eastAsia="en-AU"/>
        </w:rPr>
        <w:t xml:space="preserve">B. </w:t>
      </w:r>
      <w:r>
        <w:rPr>
          <w:noProof/>
          <w:lang w:val="en-AU" w:eastAsia="en-AU"/>
        </w:rPr>
        <w:t>Wotton. 1988. Turkey slaughtering procedures: time to loss of brain responsiveness after exsanguination or cardiac arrest. Research in Veterinary Science 44:183-185.</w:t>
      </w:r>
    </w:p>
    <w:p w14:paraId="6CE3AE9E" w14:textId="77777777" w:rsidR="002F2711" w:rsidRPr="002F2711" w:rsidRDefault="002F2711" w:rsidP="002F2711">
      <w:pPr>
        <w:rPr>
          <w:noProof/>
          <w:lang w:val="en-AU" w:eastAsia="en-AU"/>
        </w:rPr>
      </w:pPr>
      <w:r w:rsidRPr="002F2711">
        <w:rPr>
          <w:noProof/>
          <w:lang w:val="en-AU" w:eastAsia="en-AU"/>
        </w:rPr>
        <w:t xml:space="preserve">Gregory, N. G., and S. Wotton. 1991. Effect of </w:t>
      </w:r>
      <w:r w:rsidR="005F32C7">
        <w:rPr>
          <w:noProof/>
          <w:lang w:val="en-AU" w:eastAsia="en-AU"/>
        </w:rPr>
        <w:t>e</w:t>
      </w:r>
      <w:r w:rsidRPr="002F2711">
        <w:rPr>
          <w:noProof/>
          <w:lang w:val="en-AU" w:eastAsia="en-AU"/>
        </w:rPr>
        <w:t xml:space="preserve">lectrical </w:t>
      </w:r>
      <w:r w:rsidR="005F32C7">
        <w:rPr>
          <w:noProof/>
          <w:lang w:val="en-AU" w:eastAsia="en-AU"/>
        </w:rPr>
        <w:t>s</w:t>
      </w:r>
      <w:r w:rsidRPr="002F2711">
        <w:rPr>
          <w:noProof/>
          <w:lang w:val="en-AU" w:eastAsia="en-AU"/>
        </w:rPr>
        <w:t xml:space="preserve">tunning on </w:t>
      </w:r>
      <w:r w:rsidR="005F32C7">
        <w:rPr>
          <w:noProof/>
          <w:lang w:val="en-AU" w:eastAsia="en-AU"/>
        </w:rPr>
        <w:t>s</w:t>
      </w:r>
      <w:r w:rsidRPr="002F2711">
        <w:rPr>
          <w:noProof/>
          <w:lang w:val="en-AU" w:eastAsia="en-AU"/>
        </w:rPr>
        <w:t xml:space="preserve">omatosensory </w:t>
      </w:r>
      <w:r w:rsidR="005F32C7">
        <w:rPr>
          <w:noProof/>
          <w:lang w:val="en-AU" w:eastAsia="en-AU"/>
        </w:rPr>
        <w:t>evoked r</w:t>
      </w:r>
      <w:r w:rsidRPr="002F2711">
        <w:rPr>
          <w:noProof/>
          <w:lang w:val="en-AU" w:eastAsia="en-AU"/>
        </w:rPr>
        <w:t xml:space="preserve">esponses in the </w:t>
      </w:r>
      <w:r w:rsidR="005F32C7">
        <w:rPr>
          <w:noProof/>
          <w:lang w:val="en-AU" w:eastAsia="en-AU"/>
        </w:rPr>
        <w:t>t</w:t>
      </w:r>
      <w:r w:rsidRPr="002F2711">
        <w:rPr>
          <w:noProof/>
          <w:lang w:val="en-AU" w:eastAsia="en-AU"/>
        </w:rPr>
        <w:t xml:space="preserve">urkey’s </w:t>
      </w:r>
      <w:r w:rsidR="005F32C7">
        <w:rPr>
          <w:noProof/>
          <w:lang w:val="en-AU" w:eastAsia="en-AU"/>
        </w:rPr>
        <w:t>b</w:t>
      </w:r>
      <w:r w:rsidRPr="002F2711">
        <w:rPr>
          <w:noProof/>
          <w:lang w:val="en-AU" w:eastAsia="en-AU"/>
        </w:rPr>
        <w:t>rain. Br</w:t>
      </w:r>
      <w:r w:rsidR="00254045">
        <w:rPr>
          <w:noProof/>
          <w:lang w:val="en-AU" w:eastAsia="en-AU"/>
        </w:rPr>
        <w:t>itish</w:t>
      </w:r>
      <w:r w:rsidRPr="002F2711">
        <w:rPr>
          <w:noProof/>
          <w:lang w:val="en-AU" w:eastAsia="en-AU"/>
        </w:rPr>
        <w:t xml:space="preserve"> Vet</w:t>
      </w:r>
      <w:r w:rsidR="00254045">
        <w:rPr>
          <w:noProof/>
          <w:lang w:val="en-AU" w:eastAsia="en-AU"/>
        </w:rPr>
        <w:t>erinary</w:t>
      </w:r>
      <w:r w:rsidRPr="002F2711">
        <w:rPr>
          <w:noProof/>
          <w:lang w:val="en-AU" w:eastAsia="en-AU"/>
        </w:rPr>
        <w:t xml:space="preserve"> J</w:t>
      </w:r>
      <w:r w:rsidR="00254045">
        <w:rPr>
          <w:noProof/>
          <w:lang w:val="en-AU" w:eastAsia="en-AU"/>
        </w:rPr>
        <w:t>ournal</w:t>
      </w:r>
      <w:r w:rsidRPr="002F2711">
        <w:rPr>
          <w:noProof/>
          <w:lang w:val="en-AU" w:eastAsia="en-AU"/>
        </w:rPr>
        <w:t>. 147:270</w:t>
      </w:r>
      <w:r w:rsidR="00254045">
        <w:rPr>
          <w:noProof/>
          <w:lang w:val="en-AU" w:eastAsia="en-AU"/>
        </w:rPr>
        <w:t>-</w:t>
      </w:r>
      <w:r w:rsidRPr="002F2711">
        <w:rPr>
          <w:noProof/>
          <w:lang w:val="en-AU" w:eastAsia="en-AU"/>
        </w:rPr>
        <w:t>274.</w:t>
      </w:r>
    </w:p>
    <w:p w14:paraId="75AED7E9" w14:textId="77777777" w:rsidR="002F2711" w:rsidRPr="002F2711" w:rsidRDefault="002F2711" w:rsidP="002F2711">
      <w:pPr>
        <w:rPr>
          <w:noProof/>
          <w:lang w:val="en-AU" w:eastAsia="en-AU"/>
        </w:rPr>
      </w:pPr>
      <w:r w:rsidRPr="002F2711">
        <w:rPr>
          <w:noProof/>
          <w:lang w:val="en-AU" w:eastAsia="en-AU"/>
        </w:rPr>
        <w:t>Gregory, N. G., and S. Wotton. 1992. Effect of incomplete immersion of the head in waterbath stunners on the effectiveness of electrical stunning in ducks. Res</w:t>
      </w:r>
      <w:r w:rsidR="00254045">
        <w:rPr>
          <w:noProof/>
          <w:lang w:val="en-AU" w:eastAsia="en-AU"/>
        </w:rPr>
        <w:t xml:space="preserve">earch in </w:t>
      </w:r>
      <w:r w:rsidRPr="002F2711">
        <w:rPr>
          <w:noProof/>
          <w:lang w:val="en-AU" w:eastAsia="en-AU"/>
        </w:rPr>
        <w:t>Vet</w:t>
      </w:r>
      <w:r w:rsidR="00254045">
        <w:rPr>
          <w:noProof/>
          <w:lang w:val="en-AU" w:eastAsia="en-AU"/>
        </w:rPr>
        <w:t>erinary</w:t>
      </w:r>
      <w:r w:rsidRPr="002F2711">
        <w:rPr>
          <w:noProof/>
          <w:lang w:val="en-AU" w:eastAsia="en-AU"/>
        </w:rPr>
        <w:t xml:space="preserve"> Sci</w:t>
      </w:r>
      <w:r w:rsidR="00254045">
        <w:rPr>
          <w:noProof/>
          <w:lang w:val="en-AU" w:eastAsia="en-AU"/>
        </w:rPr>
        <w:t>ence</w:t>
      </w:r>
      <w:r w:rsidRPr="002F2711">
        <w:rPr>
          <w:noProof/>
          <w:lang w:val="en-AU" w:eastAsia="en-AU"/>
        </w:rPr>
        <w:t xml:space="preserve"> 53:269</w:t>
      </w:r>
      <w:r w:rsidR="00254045">
        <w:rPr>
          <w:noProof/>
          <w:lang w:val="en-AU" w:eastAsia="en-AU"/>
        </w:rPr>
        <w:t>-</w:t>
      </w:r>
      <w:r w:rsidRPr="002F2711">
        <w:rPr>
          <w:noProof/>
          <w:lang w:val="en-AU" w:eastAsia="en-AU"/>
        </w:rPr>
        <w:t>270.</w:t>
      </w:r>
    </w:p>
    <w:p w14:paraId="4F9DF0DE" w14:textId="77777777" w:rsidR="002F2711" w:rsidRPr="002F2711" w:rsidRDefault="002F2711" w:rsidP="002F2711">
      <w:pPr>
        <w:rPr>
          <w:noProof/>
          <w:lang w:val="en-GB" w:eastAsia="en-AU"/>
        </w:rPr>
      </w:pPr>
      <w:r w:rsidRPr="002F2711">
        <w:rPr>
          <w:noProof/>
          <w:lang w:val="en-GB" w:eastAsia="en-AU"/>
        </w:rPr>
        <w:t>Gustavsen, K.A., D. S. Guzman, H. K. Knych, O. A. Petritz, G. H. Olsen, and J. R. Paul-Murphy. 2014. Pharmacokinetics of buprenorphine hydrochloride following intramuscular and intravenous administration to American kestrels (</w:t>
      </w:r>
      <w:r w:rsidRPr="00254045">
        <w:rPr>
          <w:i/>
          <w:noProof/>
          <w:lang w:val="en-GB" w:eastAsia="en-AU"/>
        </w:rPr>
        <w:t>Falco sparverius</w:t>
      </w:r>
      <w:r w:rsidRPr="002F2711">
        <w:rPr>
          <w:noProof/>
          <w:lang w:val="en-GB" w:eastAsia="en-AU"/>
        </w:rPr>
        <w:t>). Am</w:t>
      </w:r>
      <w:r w:rsidR="00254045">
        <w:rPr>
          <w:noProof/>
          <w:lang w:val="en-GB" w:eastAsia="en-AU"/>
        </w:rPr>
        <w:t>erican</w:t>
      </w:r>
      <w:r w:rsidRPr="002F2711">
        <w:rPr>
          <w:noProof/>
          <w:lang w:val="en-GB" w:eastAsia="en-AU"/>
        </w:rPr>
        <w:t xml:space="preserve"> J</w:t>
      </w:r>
      <w:r w:rsidR="00254045">
        <w:rPr>
          <w:noProof/>
          <w:lang w:val="en-GB" w:eastAsia="en-AU"/>
        </w:rPr>
        <w:t xml:space="preserve">ournal of </w:t>
      </w:r>
      <w:r w:rsidRPr="002F2711">
        <w:rPr>
          <w:noProof/>
          <w:lang w:val="en-GB" w:eastAsia="en-AU"/>
        </w:rPr>
        <w:t>Vet</w:t>
      </w:r>
      <w:r w:rsidR="00254045">
        <w:rPr>
          <w:noProof/>
          <w:lang w:val="en-GB" w:eastAsia="en-AU"/>
        </w:rPr>
        <w:t>erinary</w:t>
      </w:r>
      <w:r w:rsidRPr="002F2711">
        <w:rPr>
          <w:noProof/>
          <w:lang w:val="en-GB" w:eastAsia="en-AU"/>
        </w:rPr>
        <w:t xml:space="preserve"> Res</w:t>
      </w:r>
      <w:r w:rsidR="00254045">
        <w:rPr>
          <w:noProof/>
          <w:lang w:val="en-GB" w:eastAsia="en-AU"/>
        </w:rPr>
        <w:t>each</w:t>
      </w:r>
      <w:r w:rsidRPr="002F2711">
        <w:rPr>
          <w:noProof/>
          <w:lang w:val="en-GB" w:eastAsia="en-AU"/>
        </w:rPr>
        <w:t xml:space="preserve"> 75:711-</w:t>
      </w:r>
      <w:r w:rsidR="009A6BA8">
        <w:rPr>
          <w:noProof/>
          <w:lang w:val="en-GB" w:eastAsia="en-AU"/>
        </w:rPr>
        <w:t>71</w:t>
      </w:r>
      <w:r w:rsidR="003B55FF">
        <w:rPr>
          <w:noProof/>
          <w:lang w:val="en-GB" w:eastAsia="en-AU"/>
        </w:rPr>
        <w:t>5. doi</w:t>
      </w:r>
      <w:r w:rsidRPr="002F2711">
        <w:rPr>
          <w:noProof/>
          <w:lang w:val="en-GB" w:eastAsia="en-AU"/>
        </w:rPr>
        <w:t xml:space="preserve"> 10.2460/ajvr.7</w:t>
      </w:r>
      <w:r w:rsidR="003B55FF">
        <w:rPr>
          <w:noProof/>
          <w:lang w:val="en-GB" w:eastAsia="en-AU"/>
        </w:rPr>
        <w:t>5.8.711</w:t>
      </w:r>
    </w:p>
    <w:p w14:paraId="792E4BC9" w14:textId="77777777" w:rsidR="002F2711" w:rsidRPr="002F2711" w:rsidRDefault="002F2711" w:rsidP="002F2711">
      <w:pPr>
        <w:rPr>
          <w:noProof/>
          <w:lang w:val="en-GB" w:eastAsia="en-AU"/>
        </w:rPr>
      </w:pPr>
      <w:r w:rsidRPr="002F2711">
        <w:rPr>
          <w:noProof/>
          <w:lang w:val="en-GB" w:eastAsia="en-AU"/>
        </w:rPr>
        <w:t>Guzman, D.S., K. Flammer, J. R. Paul-Murphy, S. A. Barker, and T. N. Tully. 2011. Pharmacokinetics of butorphanol after intravenous, intramuscular, and oral administration in Hispaniolan Amazon parrots (</w:t>
      </w:r>
      <w:r w:rsidRPr="00254045">
        <w:rPr>
          <w:i/>
          <w:noProof/>
          <w:lang w:val="en-GB" w:eastAsia="en-AU"/>
        </w:rPr>
        <w:t>Amazona ventralis</w:t>
      </w:r>
      <w:r w:rsidRPr="002F2711">
        <w:rPr>
          <w:noProof/>
          <w:lang w:val="en-GB" w:eastAsia="en-AU"/>
        </w:rPr>
        <w:t>). J</w:t>
      </w:r>
      <w:r w:rsidR="00254045">
        <w:rPr>
          <w:noProof/>
          <w:lang w:val="en-GB" w:eastAsia="en-AU"/>
        </w:rPr>
        <w:t xml:space="preserve">ournal of </w:t>
      </w:r>
      <w:r w:rsidRPr="002F2711">
        <w:rPr>
          <w:noProof/>
          <w:lang w:val="en-GB" w:eastAsia="en-AU"/>
        </w:rPr>
        <w:t>Avian Med</w:t>
      </w:r>
      <w:r w:rsidR="00254045">
        <w:rPr>
          <w:noProof/>
          <w:lang w:val="en-GB" w:eastAsia="en-AU"/>
        </w:rPr>
        <w:t>icine and S</w:t>
      </w:r>
      <w:r w:rsidRPr="002F2711">
        <w:rPr>
          <w:noProof/>
          <w:lang w:val="en-GB" w:eastAsia="en-AU"/>
        </w:rPr>
        <w:t>urg</w:t>
      </w:r>
      <w:r w:rsidR="00254045">
        <w:rPr>
          <w:noProof/>
          <w:lang w:val="en-GB" w:eastAsia="en-AU"/>
        </w:rPr>
        <w:t>ery</w:t>
      </w:r>
      <w:r w:rsidRPr="002F2711">
        <w:rPr>
          <w:noProof/>
          <w:lang w:val="en-GB" w:eastAsia="en-AU"/>
        </w:rPr>
        <w:t xml:space="preserve"> 25:185-</w:t>
      </w:r>
      <w:r w:rsidR="009A6BA8">
        <w:rPr>
          <w:noProof/>
          <w:lang w:val="en-GB" w:eastAsia="en-AU"/>
        </w:rPr>
        <w:t>1</w:t>
      </w:r>
      <w:r w:rsidRPr="002F2711">
        <w:rPr>
          <w:noProof/>
          <w:lang w:val="en-GB" w:eastAsia="en-AU"/>
        </w:rPr>
        <w:t>91.</w:t>
      </w:r>
    </w:p>
    <w:p w14:paraId="001E67BE" w14:textId="77777777" w:rsidR="002F2711" w:rsidRPr="002F2711" w:rsidRDefault="002F2711" w:rsidP="002F2711">
      <w:pPr>
        <w:rPr>
          <w:noProof/>
          <w:lang w:val="en-GB" w:eastAsia="en-AU"/>
        </w:rPr>
      </w:pPr>
      <w:r w:rsidRPr="002F2711">
        <w:rPr>
          <w:noProof/>
          <w:lang w:val="en-GB" w:eastAsia="en-AU"/>
        </w:rPr>
        <w:t>Guzman, D.S., T. L. Drazenovich, B. KuKanich, G.H. Olsen, N. H. Willits, and J. R. Paul-Murphy. 2014. Evaluation of thermal antinociceptive effects and pharmacokinetics after intramuscular administration of butorphanol tartrate to American kestrels (</w:t>
      </w:r>
      <w:r w:rsidRPr="009A6BA8">
        <w:rPr>
          <w:i/>
          <w:noProof/>
          <w:lang w:val="en-GB" w:eastAsia="en-AU"/>
        </w:rPr>
        <w:t>Falco sparverius</w:t>
      </w:r>
      <w:r w:rsidRPr="002F2711">
        <w:rPr>
          <w:noProof/>
          <w:lang w:val="en-GB" w:eastAsia="en-AU"/>
        </w:rPr>
        <w:t>). Am</w:t>
      </w:r>
      <w:r w:rsidR="009A6BA8">
        <w:rPr>
          <w:noProof/>
          <w:lang w:val="en-GB" w:eastAsia="en-AU"/>
        </w:rPr>
        <w:t xml:space="preserve">erican </w:t>
      </w:r>
      <w:r w:rsidRPr="002F2711">
        <w:rPr>
          <w:noProof/>
          <w:lang w:val="en-GB" w:eastAsia="en-AU"/>
        </w:rPr>
        <w:t>J</w:t>
      </w:r>
      <w:r w:rsidR="009A6BA8">
        <w:rPr>
          <w:noProof/>
          <w:lang w:val="en-GB" w:eastAsia="en-AU"/>
        </w:rPr>
        <w:t xml:space="preserve">ournal of </w:t>
      </w:r>
      <w:r w:rsidRPr="002F2711">
        <w:rPr>
          <w:noProof/>
          <w:lang w:val="en-GB" w:eastAsia="en-AU"/>
        </w:rPr>
        <w:t>Vet</w:t>
      </w:r>
      <w:r w:rsidR="009A6BA8">
        <w:rPr>
          <w:noProof/>
          <w:lang w:val="en-GB" w:eastAsia="en-AU"/>
        </w:rPr>
        <w:t>erinary</w:t>
      </w:r>
      <w:r w:rsidRPr="002F2711">
        <w:rPr>
          <w:noProof/>
          <w:lang w:val="en-GB" w:eastAsia="en-AU"/>
        </w:rPr>
        <w:t xml:space="preserve"> Res</w:t>
      </w:r>
      <w:r w:rsidR="009A6BA8">
        <w:rPr>
          <w:noProof/>
          <w:lang w:val="en-GB" w:eastAsia="en-AU"/>
        </w:rPr>
        <w:t>each</w:t>
      </w:r>
      <w:r w:rsidRPr="002F2711">
        <w:rPr>
          <w:noProof/>
          <w:lang w:val="en-GB" w:eastAsia="en-AU"/>
        </w:rPr>
        <w:t xml:space="preserve"> 75:11-</w:t>
      </w:r>
      <w:r w:rsidR="009A6BA8">
        <w:rPr>
          <w:noProof/>
          <w:lang w:val="en-GB" w:eastAsia="en-AU"/>
        </w:rPr>
        <w:t>1</w:t>
      </w:r>
      <w:r w:rsidR="003B55FF">
        <w:rPr>
          <w:noProof/>
          <w:lang w:val="en-GB" w:eastAsia="en-AU"/>
        </w:rPr>
        <w:t>8. doi 10.2460/ajvr.75.1.11</w:t>
      </w:r>
    </w:p>
    <w:p w14:paraId="297E921B" w14:textId="77777777" w:rsidR="002F2711" w:rsidRPr="002F2711" w:rsidRDefault="002F2711" w:rsidP="002F2711">
      <w:pPr>
        <w:rPr>
          <w:noProof/>
          <w:lang w:val="en-AU" w:eastAsia="en-AU"/>
        </w:rPr>
      </w:pPr>
      <w:r w:rsidRPr="002F2711">
        <w:rPr>
          <w:noProof/>
          <w:lang w:val="en-AU" w:eastAsia="en-AU"/>
        </w:rPr>
        <w:t>Hewitt, L. 2000. The development of a novel device for humanely dispatching casualty poultry.</w:t>
      </w:r>
      <w:r w:rsidR="00893DB9">
        <w:rPr>
          <w:noProof/>
          <w:lang w:val="en-AU" w:eastAsia="en-AU"/>
        </w:rPr>
        <w:t xml:space="preserve"> PhD t</w:t>
      </w:r>
      <w:r w:rsidR="000B1632">
        <w:rPr>
          <w:noProof/>
          <w:lang w:val="en-AU" w:eastAsia="en-AU"/>
        </w:rPr>
        <w:t>hesis</w:t>
      </w:r>
      <w:r w:rsidR="00893DB9">
        <w:rPr>
          <w:noProof/>
          <w:lang w:val="en-AU" w:eastAsia="en-AU"/>
        </w:rPr>
        <w:t>, University of Bristol</w:t>
      </w:r>
      <w:r w:rsidR="000B1632">
        <w:rPr>
          <w:noProof/>
          <w:lang w:val="en-AU" w:eastAsia="en-AU"/>
        </w:rPr>
        <w:t>.</w:t>
      </w:r>
    </w:p>
    <w:p w14:paraId="77B7E47B" w14:textId="77777777" w:rsidR="002F2711" w:rsidRPr="002F2711" w:rsidRDefault="002F2711" w:rsidP="002F2711">
      <w:pPr>
        <w:rPr>
          <w:noProof/>
          <w:lang w:val="en-AU" w:eastAsia="en-AU"/>
        </w:rPr>
      </w:pPr>
      <w:r w:rsidRPr="002F2711">
        <w:rPr>
          <w:noProof/>
          <w:lang w:val="en-AU" w:eastAsia="en-AU"/>
        </w:rPr>
        <w:t>Hindle, V. A., E. Lambooij, H. Reimert, L. D. Workel, and M. A. Gerritzen. 2010. Animal welfare concerns during the use of the water bath for stunning broilers, hens, and ducks. Poult</w:t>
      </w:r>
      <w:r w:rsidR="009A6BA8">
        <w:rPr>
          <w:noProof/>
          <w:lang w:val="en-AU" w:eastAsia="en-AU"/>
        </w:rPr>
        <w:t>ry</w:t>
      </w:r>
      <w:r w:rsidRPr="002F2711">
        <w:rPr>
          <w:noProof/>
          <w:lang w:val="en-AU" w:eastAsia="en-AU"/>
        </w:rPr>
        <w:t xml:space="preserve"> Sci</w:t>
      </w:r>
      <w:r w:rsidR="009A6BA8">
        <w:rPr>
          <w:noProof/>
          <w:lang w:val="en-AU" w:eastAsia="en-AU"/>
        </w:rPr>
        <w:t>ence</w:t>
      </w:r>
      <w:r w:rsidRPr="002F2711">
        <w:rPr>
          <w:noProof/>
          <w:lang w:val="en-AU" w:eastAsia="en-AU"/>
        </w:rPr>
        <w:t xml:space="preserve"> 89:</w:t>
      </w:r>
      <w:r w:rsidR="009A6BA8">
        <w:rPr>
          <w:noProof/>
          <w:lang w:val="en-AU" w:eastAsia="en-AU"/>
        </w:rPr>
        <w:t>401-412</w:t>
      </w:r>
      <w:r w:rsidRPr="002F2711">
        <w:rPr>
          <w:noProof/>
          <w:lang w:val="en-AU" w:eastAsia="en-AU"/>
        </w:rPr>
        <w:t>.</w:t>
      </w:r>
    </w:p>
    <w:p w14:paraId="64C546A1" w14:textId="77777777" w:rsidR="002F2711" w:rsidRPr="002F2711" w:rsidRDefault="002F2711" w:rsidP="002F2711">
      <w:pPr>
        <w:rPr>
          <w:noProof/>
          <w:lang w:val="en-AU" w:eastAsia="en-AU"/>
        </w:rPr>
      </w:pPr>
      <w:r w:rsidRPr="002F2711">
        <w:rPr>
          <w:noProof/>
          <w:lang w:val="en-AU" w:eastAsia="en-AU"/>
        </w:rPr>
        <w:t>Hoffman, L. C. 2012. Advances in the electrical stunning and bleeding of ostriches. Anim</w:t>
      </w:r>
      <w:r w:rsidR="009A6BA8">
        <w:rPr>
          <w:noProof/>
          <w:lang w:val="en-AU" w:eastAsia="en-AU"/>
        </w:rPr>
        <w:t>al</w:t>
      </w:r>
      <w:r w:rsidRPr="002F2711">
        <w:rPr>
          <w:noProof/>
          <w:lang w:val="en-AU" w:eastAsia="en-AU"/>
        </w:rPr>
        <w:t xml:space="preserve"> Welf</w:t>
      </w:r>
      <w:r w:rsidR="009A6BA8">
        <w:rPr>
          <w:noProof/>
          <w:lang w:val="en-AU" w:eastAsia="en-AU"/>
        </w:rPr>
        <w:t>are</w:t>
      </w:r>
      <w:r w:rsidRPr="002F2711">
        <w:rPr>
          <w:noProof/>
          <w:lang w:val="en-AU" w:eastAsia="en-AU"/>
        </w:rPr>
        <w:t xml:space="preserve"> 21:9</w:t>
      </w:r>
      <w:r w:rsidR="009A6BA8">
        <w:rPr>
          <w:noProof/>
          <w:lang w:val="en-AU" w:eastAsia="en-AU"/>
        </w:rPr>
        <w:t>-</w:t>
      </w:r>
      <w:r w:rsidRPr="002F2711">
        <w:rPr>
          <w:noProof/>
          <w:lang w:val="en-AU" w:eastAsia="en-AU"/>
        </w:rPr>
        <w:t>13.</w:t>
      </w:r>
    </w:p>
    <w:p w14:paraId="7F3389BE" w14:textId="77777777" w:rsidR="002F2711" w:rsidRPr="002F2711" w:rsidRDefault="002F2711" w:rsidP="002F2711">
      <w:pPr>
        <w:rPr>
          <w:noProof/>
          <w:lang w:val="en-AU" w:eastAsia="en-AU"/>
        </w:rPr>
      </w:pPr>
      <w:r w:rsidRPr="002F2711">
        <w:rPr>
          <w:noProof/>
          <w:lang w:val="en-AU" w:eastAsia="en-AU"/>
        </w:rPr>
        <w:t>Hoffman, L. C., S. W. P. Cloete, S. J. van Schalkwyk, and S. S. C. Botha. 2009. Effect of bleeding method and low voltage electrical stimulation on meat quality of ostriches. South African J</w:t>
      </w:r>
      <w:r w:rsidR="009A6BA8">
        <w:rPr>
          <w:noProof/>
          <w:lang w:val="en-AU" w:eastAsia="en-AU"/>
        </w:rPr>
        <w:t xml:space="preserve">ournal of </w:t>
      </w:r>
      <w:r w:rsidRPr="002F2711">
        <w:rPr>
          <w:noProof/>
          <w:lang w:val="en-AU" w:eastAsia="en-AU"/>
        </w:rPr>
        <w:t>Anim</w:t>
      </w:r>
      <w:r w:rsidR="009A6BA8">
        <w:rPr>
          <w:noProof/>
          <w:lang w:val="en-AU" w:eastAsia="en-AU"/>
        </w:rPr>
        <w:t>al</w:t>
      </w:r>
      <w:r w:rsidRPr="002F2711">
        <w:rPr>
          <w:noProof/>
          <w:lang w:val="en-AU" w:eastAsia="en-AU"/>
        </w:rPr>
        <w:t xml:space="preserve"> Sci</w:t>
      </w:r>
      <w:r w:rsidR="009A6BA8">
        <w:rPr>
          <w:noProof/>
          <w:lang w:val="en-AU" w:eastAsia="en-AU"/>
        </w:rPr>
        <w:t>ence</w:t>
      </w:r>
      <w:r w:rsidRPr="002F2711">
        <w:rPr>
          <w:noProof/>
          <w:lang w:val="en-AU" w:eastAsia="en-AU"/>
        </w:rPr>
        <w:t>. 39:206–213.</w:t>
      </w:r>
    </w:p>
    <w:p w14:paraId="77383681" w14:textId="77777777" w:rsidR="002F2711" w:rsidRPr="002F2711" w:rsidRDefault="002F2711" w:rsidP="002F2711">
      <w:pPr>
        <w:rPr>
          <w:noProof/>
          <w:lang w:val="en-AU" w:eastAsia="en-AU"/>
        </w:rPr>
      </w:pPr>
      <w:r w:rsidRPr="002F2711">
        <w:rPr>
          <w:noProof/>
          <w:lang w:val="en-AU" w:eastAsia="en-AU"/>
        </w:rPr>
        <w:t xml:space="preserve">Humane Slaughter Association. 2007. Instantaneous Mechanical destruction. </w:t>
      </w:r>
      <w:hyperlink r:id="rId87" w:tooltip="This is a ink to a technical note on instantaneous mechanical destruction of day-old chicks, written by the Humane Slaughter Association in the UK." w:history="1">
        <w:r w:rsidR="00223BFC" w:rsidRPr="008D16A0">
          <w:rPr>
            <w:rStyle w:val="Hyperlink"/>
            <w:noProof/>
            <w:lang w:val="en-AU" w:eastAsia="en-AU"/>
          </w:rPr>
          <w:t>www.hsa.org.uk/downloads/technical-notes/TN9-mechanical-destruction.pdf</w:t>
        </w:r>
      </w:hyperlink>
      <w:r w:rsidR="009A6BA8">
        <w:rPr>
          <w:noProof/>
          <w:lang w:val="en-AU" w:eastAsia="en-AU"/>
        </w:rPr>
        <w:t xml:space="preserve">. Accessed </w:t>
      </w:r>
      <w:r w:rsidRPr="002F2711">
        <w:rPr>
          <w:noProof/>
          <w:lang w:val="en-AU" w:eastAsia="en-AU"/>
        </w:rPr>
        <w:t>28</w:t>
      </w:r>
      <w:r w:rsidR="009A6BA8">
        <w:rPr>
          <w:noProof/>
          <w:lang w:val="en-AU" w:eastAsia="en-AU"/>
        </w:rPr>
        <w:t>/05/</w:t>
      </w:r>
      <w:r w:rsidR="00CF022F">
        <w:rPr>
          <w:noProof/>
          <w:lang w:val="en-AU" w:eastAsia="en-AU"/>
        </w:rPr>
        <w:t>20</w:t>
      </w:r>
      <w:r w:rsidR="009A6BA8">
        <w:rPr>
          <w:noProof/>
          <w:lang w:val="en-AU" w:eastAsia="en-AU"/>
        </w:rPr>
        <w:t>1</w:t>
      </w:r>
      <w:r w:rsidRPr="002F2711">
        <w:rPr>
          <w:noProof/>
          <w:lang w:val="en-AU" w:eastAsia="en-AU"/>
        </w:rPr>
        <w:t>7.</w:t>
      </w:r>
    </w:p>
    <w:p w14:paraId="428FF610" w14:textId="77777777" w:rsidR="002F2711" w:rsidRPr="002F2711" w:rsidRDefault="002F2711" w:rsidP="002F2711">
      <w:pPr>
        <w:rPr>
          <w:noProof/>
          <w:lang w:val="en-AU" w:eastAsia="en-AU"/>
        </w:rPr>
      </w:pPr>
      <w:r w:rsidRPr="002F2711">
        <w:rPr>
          <w:noProof/>
          <w:lang w:val="en-AU" w:eastAsia="en-AU"/>
        </w:rPr>
        <w:t>Humane Slaughter Association. 2015. Electrical Stunning of Poultry.</w:t>
      </w:r>
    </w:p>
    <w:p w14:paraId="27DF9FC0" w14:textId="77777777" w:rsidR="002F2711" w:rsidRPr="002F2711" w:rsidRDefault="002F2711" w:rsidP="002F2711">
      <w:pPr>
        <w:rPr>
          <w:noProof/>
          <w:lang w:val="en-AU" w:eastAsia="en-AU"/>
        </w:rPr>
      </w:pPr>
      <w:r w:rsidRPr="002F2711">
        <w:rPr>
          <w:noProof/>
          <w:lang w:val="en-AU" w:eastAsia="en-AU"/>
        </w:rPr>
        <w:t>Jones, R. B., D. G. Satterlee, and G. G. Cadd. 1998. Struggling responses of broiler chickens shackled in groups on a moving line: Effects of light intensity, hoods, and “curtains.” Appl</w:t>
      </w:r>
      <w:r w:rsidR="009A6BA8">
        <w:rPr>
          <w:noProof/>
          <w:lang w:val="en-AU" w:eastAsia="en-AU"/>
        </w:rPr>
        <w:t>ied</w:t>
      </w:r>
      <w:r w:rsidRPr="002F2711">
        <w:rPr>
          <w:noProof/>
          <w:lang w:val="en-AU" w:eastAsia="en-AU"/>
        </w:rPr>
        <w:t xml:space="preserve"> Anim</w:t>
      </w:r>
      <w:r w:rsidR="009A6BA8">
        <w:rPr>
          <w:noProof/>
          <w:lang w:val="en-AU" w:eastAsia="en-AU"/>
        </w:rPr>
        <w:t>al</w:t>
      </w:r>
      <w:r w:rsidRPr="002F2711">
        <w:rPr>
          <w:noProof/>
          <w:lang w:val="en-AU" w:eastAsia="en-AU"/>
        </w:rPr>
        <w:t xml:space="preserve"> Behav</w:t>
      </w:r>
      <w:r w:rsidR="009A6BA8">
        <w:rPr>
          <w:noProof/>
          <w:lang w:val="en-AU" w:eastAsia="en-AU"/>
        </w:rPr>
        <w:t>iour</w:t>
      </w:r>
      <w:r w:rsidRPr="002F2711">
        <w:rPr>
          <w:noProof/>
          <w:lang w:val="en-AU" w:eastAsia="en-AU"/>
        </w:rPr>
        <w:t xml:space="preserve"> Sci</w:t>
      </w:r>
      <w:r w:rsidR="009A6BA8">
        <w:rPr>
          <w:noProof/>
          <w:lang w:val="en-AU" w:eastAsia="en-AU"/>
        </w:rPr>
        <w:t>ence</w:t>
      </w:r>
      <w:r w:rsidRPr="002F2711">
        <w:rPr>
          <w:noProof/>
          <w:lang w:val="en-AU" w:eastAsia="en-AU"/>
        </w:rPr>
        <w:t xml:space="preserve"> 58:341</w:t>
      </w:r>
      <w:r w:rsidR="009A6BA8">
        <w:rPr>
          <w:noProof/>
          <w:lang w:val="en-AU" w:eastAsia="en-AU"/>
        </w:rPr>
        <w:t>-</w:t>
      </w:r>
      <w:r w:rsidRPr="002F2711">
        <w:rPr>
          <w:noProof/>
          <w:lang w:val="en-AU" w:eastAsia="en-AU"/>
        </w:rPr>
        <w:t>352.</w:t>
      </w:r>
    </w:p>
    <w:p w14:paraId="49005DB8" w14:textId="77777777" w:rsidR="002F2711" w:rsidRPr="002F2711" w:rsidRDefault="002F2711" w:rsidP="002F2711">
      <w:pPr>
        <w:rPr>
          <w:noProof/>
          <w:lang w:val="en-AU" w:eastAsia="en-AU"/>
        </w:rPr>
      </w:pPr>
      <w:r w:rsidRPr="002F2711">
        <w:rPr>
          <w:noProof/>
          <w:lang w:val="en-AU" w:eastAsia="en-AU"/>
        </w:rPr>
        <w:t xml:space="preserve">Knowles, T. G., and L. </w:t>
      </w:r>
      <w:r w:rsidR="00B21095">
        <w:rPr>
          <w:noProof/>
          <w:lang w:val="en-AU" w:eastAsia="en-AU"/>
        </w:rPr>
        <w:t>J</w:t>
      </w:r>
      <w:r w:rsidRPr="002F2711">
        <w:rPr>
          <w:noProof/>
          <w:lang w:val="en-AU" w:eastAsia="en-AU"/>
        </w:rPr>
        <w:t>. Wilkins. 1998. The problem of broken bones during the handling of laying h</w:t>
      </w:r>
      <w:r w:rsidR="009A6BA8">
        <w:rPr>
          <w:noProof/>
          <w:lang w:val="en-AU" w:eastAsia="en-AU"/>
        </w:rPr>
        <w:t xml:space="preserve">ens–a </w:t>
      </w:r>
      <w:r w:rsidRPr="002F2711">
        <w:rPr>
          <w:noProof/>
          <w:lang w:val="en-AU" w:eastAsia="en-AU"/>
        </w:rPr>
        <w:t>review. Poult</w:t>
      </w:r>
      <w:r w:rsidR="009A6BA8">
        <w:rPr>
          <w:noProof/>
          <w:lang w:val="en-AU" w:eastAsia="en-AU"/>
        </w:rPr>
        <w:t>ry</w:t>
      </w:r>
      <w:r w:rsidRPr="002F2711">
        <w:rPr>
          <w:noProof/>
          <w:lang w:val="en-AU" w:eastAsia="en-AU"/>
        </w:rPr>
        <w:t xml:space="preserve"> Sci</w:t>
      </w:r>
      <w:r w:rsidR="009A6BA8">
        <w:rPr>
          <w:noProof/>
          <w:lang w:val="en-AU" w:eastAsia="en-AU"/>
        </w:rPr>
        <w:t>ence</w:t>
      </w:r>
      <w:r w:rsidRPr="002F2711">
        <w:rPr>
          <w:noProof/>
          <w:lang w:val="en-AU" w:eastAsia="en-AU"/>
        </w:rPr>
        <w:t xml:space="preserve"> 77:1798</w:t>
      </w:r>
      <w:r w:rsidR="009A6BA8">
        <w:rPr>
          <w:noProof/>
          <w:lang w:val="en-AU" w:eastAsia="en-AU"/>
        </w:rPr>
        <w:t>-</w:t>
      </w:r>
      <w:r w:rsidRPr="002F2711">
        <w:rPr>
          <w:noProof/>
          <w:lang w:val="en-AU" w:eastAsia="en-AU"/>
        </w:rPr>
        <w:t>1802.</w:t>
      </w:r>
    </w:p>
    <w:p w14:paraId="2E1834EF" w14:textId="77777777" w:rsidR="002F2711" w:rsidRPr="002F2711" w:rsidRDefault="002F2711" w:rsidP="002F2711">
      <w:pPr>
        <w:rPr>
          <w:noProof/>
          <w:lang w:val="en-AU" w:eastAsia="en-AU"/>
        </w:rPr>
      </w:pPr>
      <w:r w:rsidRPr="002F2711">
        <w:rPr>
          <w:noProof/>
          <w:lang w:val="en-AU" w:eastAsia="en-AU"/>
        </w:rPr>
        <w:t>Lambooij, E., M. A. Gerritzen, B. Engel, S. J. W. Hillebrand, J. A. Lankhaar, and C. Pieterse. 1999a. Behavioural responses during exposure of broiler chickens to different gas mixtures. Appl</w:t>
      </w:r>
      <w:r w:rsidR="009A6BA8">
        <w:rPr>
          <w:noProof/>
          <w:lang w:val="en-AU" w:eastAsia="en-AU"/>
        </w:rPr>
        <w:t>ied</w:t>
      </w:r>
      <w:r w:rsidRPr="002F2711">
        <w:rPr>
          <w:noProof/>
          <w:lang w:val="en-AU" w:eastAsia="en-AU"/>
        </w:rPr>
        <w:t xml:space="preserve"> Anim</w:t>
      </w:r>
      <w:r w:rsidR="009A6BA8">
        <w:rPr>
          <w:noProof/>
          <w:lang w:val="en-AU" w:eastAsia="en-AU"/>
        </w:rPr>
        <w:t>al</w:t>
      </w:r>
      <w:r w:rsidRPr="002F2711">
        <w:rPr>
          <w:noProof/>
          <w:lang w:val="en-AU" w:eastAsia="en-AU"/>
        </w:rPr>
        <w:t xml:space="preserve"> Behav</w:t>
      </w:r>
      <w:r w:rsidR="009A6BA8">
        <w:rPr>
          <w:noProof/>
          <w:lang w:val="en-AU" w:eastAsia="en-AU"/>
        </w:rPr>
        <w:t>iour</w:t>
      </w:r>
      <w:r w:rsidRPr="002F2711">
        <w:rPr>
          <w:noProof/>
          <w:lang w:val="en-AU" w:eastAsia="en-AU"/>
        </w:rPr>
        <w:t xml:space="preserve"> Sci</w:t>
      </w:r>
      <w:r w:rsidR="009A6BA8">
        <w:rPr>
          <w:noProof/>
          <w:lang w:val="en-AU" w:eastAsia="en-AU"/>
        </w:rPr>
        <w:t>ence</w:t>
      </w:r>
      <w:r w:rsidRPr="002F2711">
        <w:rPr>
          <w:noProof/>
          <w:lang w:val="en-AU" w:eastAsia="en-AU"/>
        </w:rPr>
        <w:t xml:space="preserve"> 62:255</w:t>
      </w:r>
      <w:r w:rsidR="009A6BA8">
        <w:rPr>
          <w:noProof/>
          <w:lang w:val="en-AU" w:eastAsia="en-AU"/>
        </w:rPr>
        <w:t>-</w:t>
      </w:r>
      <w:r w:rsidRPr="002F2711">
        <w:rPr>
          <w:noProof/>
          <w:lang w:val="en-AU" w:eastAsia="en-AU"/>
        </w:rPr>
        <w:t>265.</w:t>
      </w:r>
    </w:p>
    <w:p w14:paraId="71B38D89" w14:textId="77777777" w:rsidR="002F2711" w:rsidRPr="002F2711" w:rsidRDefault="002F2711" w:rsidP="002F2711">
      <w:pPr>
        <w:rPr>
          <w:noProof/>
          <w:lang w:val="en-AU" w:eastAsia="en-AU"/>
        </w:rPr>
      </w:pPr>
      <w:r w:rsidRPr="002F2711">
        <w:rPr>
          <w:noProof/>
          <w:lang w:val="en-AU" w:eastAsia="en-AU"/>
        </w:rPr>
        <w:t>Lambooij, E., C. Pieterse, C. M. Potgieter, J. D. Snyman, and G. L. Nortje. 1999b. Some neural and behavioural aspects of electrical and mechanical stunning in ostriches. Meat Scien</w:t>
      </w:r>
      <w:r w:rsidR="009A6BA8">
        <w:rPr>
          <w:noProof/>
          <w:lang w:val="en-AU" w:eastAsia="en-AU"/>
        </w:rPr>
        <w:t>c</w:t>
      </w:r>
      <w:r w:rsidRPr="002F2711">
        <w:rPr>
          <w:noProof/>
          <w:lang w:val="en-AU" w:eastAsia="en-AU"/>
        </w:rPr>
        <w:t>e 52:339</w:t>
      </w:r>
      <w:r w:rsidR="009A6BA8">
        <w:rPr>
          <w:noProof/>
          <w:lang w:val="en-AU" w:eastAsia="en-AU"/>
        </w:rPr>
        <w:t>-</w:t>
      </w:r>
      <w:r w:rsidRPr="002F2711">
        <w:rPr>
          <w:noProof/>
          <w:lang w:val="en-AU" w:eastAsia="en-AU"/>
        </w:rPr>
        <w:t>345.</w:t>
      </w:r>
    </w:p>
    <w:p w14:paraId="1049C35F" w14:textId="77777777" w:rsidR="002F2711" w:rsidRPr="002F2711" w:rsidRDefault="002F2711" w:rsidP="002F2711">
      <w:pPr>
        <w:rPr>
          <w:noProof/>
          <w:lang w:val="en-AU" w:eastAsia="en-AU"/>
        </w:rPr>
      </w:pPr>
      <w:r w:rsidRPr="002F2711">
        <w:rPr>
          <w:noProof/>
          <w:lang w:val="en-AU" w:eastAsia="en-AU"/>
        </w:rPr>
        <w:t xml:space="preserve">Lambooij, E., H. Reimert, and V. A. Hindle. 2010a. Evaluation of head-only electrical stunning for practical application: assessment of neural and meat quality </w:t>
      </w:r>
      <w:r w:rsidR="009A6BA8">
        <w:rPr>
          <w:noProof/>
          <w:lang w:val="en-AU" w:eastAsia="en-AU"/>
        </w:rPr>
        <w:t>parameters. Poult</w:t>
      </w:r>
      <w:r w:rsidR="00BE17C0">
        <w:rPr>
          <w:noProof/>
          <w:lang w:val="en-AU" w:eastAsia="en-AU"/>
        </w:rPr>
        <w:t>ry</w:t>
      </w:r>
      <w:r w:rsidR="009A6BA8">
        <w:rPr>
          <w:noProof/>
          <w:lang w:val="en-AU" w:eastAsia="en-AU"/>
        </w:rPr>
        <w:t xml:space="preserve"> Sci</w:t>
      </w:r>
      <w:r w:rsidR="00BE17C0">
        <w:rPr>
          <w:noProof/>
          <w:lang w:val="en-AU" w:eastAsia="en-AU"/>
        </w:rPr>
        <w:t>ence</w:t>
      </w:r>
      <w:r w:rsidR="009A6BA8">
        <w:rPr>
          <w:noProof/>
          <w:lang w:val="en-AU" w:eastAsia="en-AU"/>
        </w:rPr>
        <w:t xml:space="preserve"> 89:2551-</w:t>
      </w:r>
      <w:r w:rsidR="0075139E">
        <w:rPr>
          <w:noProof/>
          <w:lang w:val="en-AU" w:eastAsia="en-AU"/>
        </w:rPr>
        <w:t>255</w:t>
      </w:r>
      <w:r w:rsidRPr="002F2711">
        <w:rPr>
          <w:noProof/>
          <w:lang w:val="en-AU" w:eastAsia="en-AU"/>
        </w:rPr>
        <w:t>8.</w:t>
      </w:r>
    </w:p>
    <w:p w14:paraId="78D8DE10" w14:textId="77777777" w:rsidR="00E10150" w:rsidRDefault="00E10150" w:rsidP="002F2711">
      <w:pPr>
        <w:rPr>
          <w:noProof/>
          <w:lang w:val="en-AU" w:eastAsia="en-AU"/>
        </w:rPr>
      </w:pPr>
      <w:r w:rsidRPr="00E10150">
        <w:rPr>
          <w:noProof/>
          <w:lang w:val="en-AU" w:eastAsia="en-AU"/>
        </w:rPr>
        <w:t>Lambooij, E., H. Reimert, J. W. Van De Vis, and M. A. Gerritzen. 2008. Head-to-Cloaca Electrical Stunning of Broilers. Poultry Science 87:2160-2165.</w:t>
      </w:r>
    </w:p>
    <w:p w14:paraId="32CC01C0" w14:textId="77777777" w:rsidR="002F2711" w:rsidRPr="002F2711" w:rsidRDefault="002F2711" w:rsidP="002F2711">
      <w:pPr>
        <w:rPr>
          <w:noProof/>
          <w:lang w:val="en-AU" w:eastAsia="en-AU"/>
        </w:rPr>
      </w:pPr>
      <w:r w:rsidRPr="002F2711">
        <w:rPr>
          <w:noProof/>
          <w:lang w:val="en-AU" w:eastAsia="en-AU"/>
        </w:rPr>
        <w:t xml:space="preserve">Lambooij, E., H. Reimert, M. T. W. Verhoeven, and V. A. Hindle. 2014. Cone restraining and head-only electrical stunning in broilers: Effects on physiological responses and meat quality. </w:t>
      </w:r>
      <w:r w:rsidR="00BE17C0">
        <w:rPr>
          <w:noProof/>
          <w:lang w:val="en-AU" w:eastAsia="en-AU"/>
        </w:rPr>
        <w:t>Poultry Science 119:512-</w:t>
      </w:r>
      <w:r w:rsidRPr="002F2711">
        <w:rPr>
          <w:noProof/>
          <w:lang w:val="en-AU" w:eastAsia="en-AU"/>
        </w:rPr>
        <w:t>518.</w:t>
      </w:r>
    </w:p>
    <w:p w14:paraId="576BF8FE" w14:textId="77777777" w:rsidR="002F2711" w:rsidRPr="002F2711" w:rsidRDefault="002F2711" w:rsidP="002F2711">
      <w:pPr>
        <w:rPr>
          <w:noProof/>
          <w:lang w:val="en-AU" w:eastAsia="en-AU"/>
        </w:rPr>
      </w:pPr>
      <w:r w:rsidRPr="002F2711">
        <w:rPr>
          <w:noProof/>
          <w:lang w:val="en-AU" w:eastAsia="en-AU"/>
        </w:rPr>
        <w:t xml:space="preserve">Lambooij, E., H. Reimert, L. D. Workel, and V. A. Hindle. 2012. Head-cloaca controlled current stunning: assessment of brain and heart activity and meat </w:t>
      </w:r>
      <w:r w:rsidR="00BE17C0">
        <w:rPr>
          <w:noProof/>
          <w:lang w:val="en-AU" w:eastAsia="en-AU"/>
        </w:rPr>
        <w:t>quality. British Poultry Science 53:168-</w:t>
      </w:r>
      <w:r w:rsidRPr="002F2711">
        <w:rPr>
          <w:noProof/>
          <w:lang w:val="en-AU" w:eastAsia="en-AU"/>
        </w:rPr>
        <w:t>174.</w:t>
      </w:r>
    </w:p>
    <w:p w14:paraId="643C04BC" w14:textId="77777777" w:rsidR="002F2711" w:rsidRPr="002F2711" w:rsidRDefault="002F2711" w:rsidP="002F2711">
      <w:pPr>
        <w:rPr>
          <w:noProof/>
          <w:lang w:val="en-AU" w:eastAsia="en-AU"/>
        </w:rPr>
      </w:pPr>
      <w:r w:rsidRPr="002F2711">
        <w:rPr>
          <w:noProof/>
          <w:lang w:val="en-AU" w:eastAsia="en-AU"/>
        </w:rPr>
        <w:t>Lambooij, E., L. D. Workel, H. Reimert, and V. A. Hindle. 2010b. Head to cloaca and head-only stunning of poultry. Anim</w:t>
      </w:r>
      <w:r w:rsidR="00BE17C0">
        <w:rPr>
          <w:noProof/>
          <w:lang w:val="en-AU" w:eastAsia="en-AU"/>
        </w:rPr>
        <w:t xml:space="preserve">al </w:t>
      </w:r>
      <w:r w:rsidRPr="002F2711">
        <w:rPr>
          <w:noProof/>
          <w:lang w:val="en-AU" w:eastAsia="en-AU"/>
        </w:rPr>
        <w:t>Sci</w:t>
      </w:r>
      <w:r w:rsidR="00BE17C0">
        <w:rPr>
          <w:noProof/>
          <w:lang w:val="en-AU" w:eastAsia="en-AU"/>
        </w:rPr>
        <w:t>ences</w:t>
      </w:r>
      <w:r w:rsidRPr="002F2711">
        <w:rPr>
          <w:noProof/>
          <w:lang w:val="en-AU" w:eastAsia="en-AU"/>
        </w:rPr>
        <w:t xml:space="preserve"> Gro</w:t>
      </w:r>
      <w:r w:rsidR="00BE17C0">
        <w:rPr>
          <w:noProof/>
          <w:lang w:val="en-AU" w:eastAsia="en-AU"/>
        </w:rPr>
        <w:t>up,</w:t>
      </w:r>
      <w:r w:rsidRPr="002F2711">
        <w:rPr>
          <w:noProof/>
          <w:lang w:val="en-AU" w:eastAsia="en-AU"/>
        </w:rPr>
        <w:t xml:space="preserve"> W</w:t>
      </w:r>
      <w:r w:rsidR="00BE17C0">
        <w:rPr>
          <w:noProof/>
          <w:lang w:val="en-AU" w:eastAsia="en-AU"/>
        </w:rPr>
        <w:t>ageningen UR Livestock Research, Lelystad</w:t>
      </w:r>
      <w:r w:rsidRPr="002F2711">
        <w:rPr>
          <w:noProof/>
          <w:lang w:val="en-AU" w:eastAsia="en-AU"/>
        </w:rPr>
        <w:t>.</w:t>
      </w:r>
    </w:p>
    <w:p w14:paraId="6D8E7FAE" w14:textId="77777777" w:rsidR="002F2711" w:rsidRPr="002F2711" w:rsidRDefault="002F2711" w:rsidP="002F2711">
      <w:pPr>
        <w:rPr>
          <w:noProof/>
          <w:lang w:val="en-AU" w:eastAsia="en-AU"/>
        </w:rPr>
      </w:pPr>
      <w:r w:rsidRPr="002F2711">
        <w:rPr>
          <w:noProof/>
          <w:lang w:val="en-AU" w:eastAsia="en-AU"/>
        </w:rPr>
        <w:t>Lines, J. A., P. S. Berry, P. Cook, C. P. Schofield, and T. G. Knowles. 2012. Improving the poultry shackle line. Anim</w:t>
      </w:r>
      <w:r w:rsidR="00BE17C0">
        <w:rPr>
          <w:noProof/>
          <w:lang w:val="en-AU" w:eastAsia="en-AU"/>
        </w:rPr>
        <w:t>al</w:t>
      </w:r>
      <w:r w:rsidRPr="002F2711">
        <w:rPr>
          <w:noProof/>
          <w:lang w:val="en-AU" w:eastAsia="en-AU"/>
        </w:rPr>
        <w:t xml:space="preserve"> Welf</w:t>
      </w:r>
      <w:r w:rsidR="00BE17C0">
        <w:rPr>
          <w:noProof/>
          <w:lang w:val="en-AU" w:eastAsia="en-AU"/>
        </w:rPr>
        <w:t>are</w:t>
      </w:r>
      <w:r w:rsidRPr="002F2711">
        <w:rPr>
          <w:noProof/>
          <w:lang w:val="en-AU" w:eastAsia="en-AU"/>
        </w:rPr>
        <w:t>. 21:69</w:t>
      </w:r>
      <w:r w:rsidR="00BE17C0">
        <w:rPr>
          <w:noProof/>
          <w:lang w:val="en-AU" w:eastAsia="en-AU"/>
        </w:rPr>
        <w:t>-</w:t>
      </w:r>
      <w:r w:rsidRPr="002F2711">
        <w:rPr>
          <w:noProof/>
          <w:lang w:val="en-AU" w:eastAsia="en-AU"/>
        </w:rPr>
        <w:t>74.</w:t>
      </w:r>
    </w:p>
    <w:p w14:paraId="0EC518D2" w14:textId="77777777" w:rsidR="002F2711" w:rsidRPr="002F2711" w:rsidRDefault="002F2711" w:rsidP="002F2711">
      <w:pPr>
        <w:rPr>
          <w:noProof/>
          <w:lang w:val="en-AU" w:eastAsia="en-AU"/>
        </w:rPr>
      </w:pPr>
      <w:r w:rsidRPr="002F2711">
        <w:rPr>
          <w:noProof/>
          <w:lang w:val="en-AU" w:eastAsia="en-AU"/>
        </w:rPr>
        <w:t xml:space="preserve">Lines, J. A., T. A. Jones, P. S. Berry, P. Cook, J. Spence, and C. P. Schofield. 2011. Evaluation of a breast support conveyor to improve poultry welfare on the </w:t>
      </w:r>
      <w:r w:rsidR="00BE17C0">
        <w:rPr>
          <w:noProof/>
          <w:lang w:val="en-AU" w:eastAsia="en-AU"/>
        </w:rPr>
        <w:t>shackle line. Veterinary Record. 168:129.</w:t>
      </w:r>
    </w:p>
    <w:p w14:paraId="3A55E544" w14:textId="77777777" w:rsidR="002F2711" w:rsidRPr="002F2711" w:rsidRDefault="002F2711" w:rsidP="002F2711">
      <w:pPr>
        <w:rPr>
          <w:noProof/>
          <w:lang w:val="en-AU" w:eastAsia="en-AU"/>
        </w:rPr>
      </w:pPr>
      <w:r w:rsidRPr="002F2711">
        <w:rPr>
          <w:noProof/>
          <w:lang w:val="en-AU" w:eastAsia="en-AU"/>
        </w:rPr>
        <w:t>Mackie, N., and D. E. F. McKeegan. 2016. Behavioural responses of broiler chickens during low atmospheric pressure stunning. Appl</w:t>
      </w:r>
      <w:r w:rsidR="0075139E">
        <w:rPr>
          <w:noProof/>
          <w:lang w:val="en-AU" w:eastAsia="en-AU"/>
        </w:rPr>
        <w:t>ied</w:t>
      </w:r>
      <w:r w:rsidRPr="002F2711">
        <w:rPr>
          <w:noProof/>
          <w:lang w:val="en-AU" w:eastAsia="en-AU"/>
        </w:rPr>
        <w:t xml:space="preserve"> Anim</w:t>
      </w:r>
      <w:r w:rsidR="0075139E">
        <w:rPr>
          <w:noProof/>
          <w:lang w:val="en-AU" w:eastAsia="en-AU"/>
        </w:rPr>
        <w:t>al</w:t>
      </w:r>
      <w:r w:rsidRPr="002F2711">
        <w:rPr>
          <w:noProof/>
          <w:lang w:val="en-AU" w:eastAsia="en-AU"/>
        </w:rPr>
        <w:t xml:space="preserve"> Behav</w:t>
      </w:r>
      <w:r w:rsidR="0075139E">
        <w:rPr>
          <w:noProof/>
          <w:lang w:val="en-AU" w:eastAsia="en-AU"/>
        </w:rPr>
        <w:t>iour</w:t>
      </w:r>
      <w:r w:rsidRPr="002F2711">
        <w:rPr>
          <w:noProof/>
          <w:lang w:val="en-AU" w:eastAsia="en-AU"/>
        </w:rPr>
        <w:t xml:space="preserve"> Sci</w:t>
      </w:r>
      <w:r w:rsidR="0075139E">
        <w:rPr>
          <w:noProof/>
          <w:lang w:val="en-AU" w:eastAsia="en-AU"/>
        </w:rPr>
        <w:t>ence</w:t>
      </w:r>
      <w:r w:rsidRPr="002F2711">
        <w:rPr>
          <w:noProof/>
          <w:lang w:val="en-AU" w:eastAsia="en-AU"/>
        </w:rPr>
        <w:t xml:space="preserve"> 174:90</w:t>
      </w:r>
      <w:r w:rsidR="0075139E">
        <w:rPr>
          <w:noProof/>
          <w:lang w:val="en-AU" w:eastAsia="en-AU"/>
        </w:rPr>
        <w:t>-</w:t>
      </w:r>
      <w:r w:rsidRPr="002F2711">
        <w:rPr>
          <w:noProof/>
          <w:lang w:val="en-AU" w:eastAsia="en-AU"/>
        </w:rPr>
        <w:t>98.</w:t>
      </w:r>
      <w:r w:rsidR="003B55FF">
        <w:rPr>
          <w:noProof/>
          <w:lang w:val="en-AU" w:eastAsia="en-AU"/>
        </w:rPr>
        <w:t xml:space="preserve"> doi </w:t>
      </w:r>
      <w:r w:rsidR="003B55FF" w:rsidRPr="003B55FF">
        <w:rPr>
          <w:noProof/>
          <w:lang w:val="en-AU" w:eastAsia="en-AU"/>
        </w:rPr>
        <w:t>10.1016/j.applanim.2015.11.001</w:t>
      </w:r>
    </w:p>
    <w:p w14:paraId="0C49254B" w14:textId="77777777" w:rsidR="002F2711" w:rsidRPr="002F2711" w:rsidRDefault="002F2711" w:rsidP="002F2711">
      <w:pPr>
        <w:rPr>
          <w:noProof/>
          <w:lang w:val="en-AU" w:eastAsia="en-AU"/>
        </w:rPr>
      </w:pPr>
      <w:r w:rsidRPr="002F2711">
        <w:rPr>
          <w:noProof/>
          <w:lang w:val="en-AU" w:eastAsia="en-AU"/>
        </w:rPr>
        <w:t>Martin, J. E., K. Christensen, Y. Vizzier-Thaxton, and D. E. F. McKeegan. 2016a. Effects of analgesic intervention on behavioural responses to Low Atmospheric Pressure Stunning. Appl</w:t>
      </w:r>
      <w:r w:rsidR="0075139E">
        <w:rPr>
          <w:noProof/>
          <w:lang w:val="en-AU" w:eastAsia="en-AU"/>
        </w:rPr>
        <w:t>ied Animal</w:t>
      </w:r>
      <w:r w:rsidRPr="002F2711">
        <w:rPr>
          <w:noProof/>
          <w:lang w:val="en-AU" w:eastAsia="en-AU"/>
        </w:rPr>
        <w:t xml:space="preserve"> Behav</w:t>
      </w:r>
      <w:r w:rsidR="0075139E">
        <w:rPr>
          <w:noProof/>
          <w:lang w:val="en-AU" w:eastAsia="en-AU"/>
        </w:rPr>
        <w:t>iour</w:t>
      </w:r>
      <w:r w:rsidRPr="002F2711">
        <w:rPr>
          <w:noProof/>
          <w:lang w:val="en-AU" w:eastAsia="en-AU"/>
        </w:rPr>
        <w:t xml:space="preserve"> Sci</w:t>
      </w:r>
      <w:r w:rsidR="0075139E">
        <w:rPr>
          <w:noProof/>
          <w:lang w:val="en-AU" w:eastAsia="en-AU"/>
        </w:rPr>
        <w:t>ence</w:t>
      </w:r>
      <w:r w:rsidRPr="002F2711">
        <w:rPr>
          <w:noProof/>
          <w:lang w:val="en-AU" w:eastAsia="en-AU"/>
        </w:rPr>
        <w:t xml:space="preserve"> 180:157</w:t>
      </w:r>
      <w:r w:rsidR="0075139E">
        <w:rPr>
          <w:noProof/>
          <w:lang w:val="en-AU" w:eastAsia="en-AU"/>
        </w:rPr>
        <w:t>-</w:t>
      </w:r>
      <w:r w:rsidRPr="002F2711">
        <w:rPr>
          <w:noProof/>
          <w:lang w:val="en-AU" w:eastAsia="en-AU"/>
        </w:rPr>
        <w:t>165.</w:t>
      </w:r>
      <w:r w:rsidR="003B55FF">
        <w:rPr>
          <w:noProof/>
          <w:lang w:val="en-AU" w:eastAsia="en-AU"/>
        </w:rPr>
        <w:t xml:space="preserve"> doi </w:t>
      </w:r>
      <w:r w:rsidR="003B55FF" w:rsidRPr="003B55FF">
        <w:rPr>
          <w:noProof/>
          <w:lang w:val="en-AU" w:eastAsia="en-AU"/>
        </w:rPr>
        <w:t>10.1016/j.applanim.2016.05.007</w:t>
      </w:r>
    </w:p>
    <w:p w14:paraId="6D285B93" w14:textId="77777777" w:rsidR="002F2711" w:rsidRPr="002F2711" w:rsidRDefault="002F2711" w:rsidP="002F2711">
      <w:pPr>
        <w:rPr>
          <w:noProof/>
          <w:lang w:val="en-AU" w:eastAsia="en-AU"/>
        </w:rPr>
      </w:pPr>
      <w:r w:rsidRPr="002F2711">
        <w:rPr>
          <w:noProof/>
          <w:lang w:val="en-AU" w:eastAsia="en-AU"/>
        </w:rPr>
        <w:t>Martin, J. E., K. Christensen, Y. Vizzier-Thaxton, D. E. F. McKeegan, Y. Vizzier-Thaxton, and D. E. F. McKeegan. 2016b. Effects of light on responses to low atmospheric pressure stunning in broilers. Br</w:t>
      </w:r>
      <w:r w:rsidR="0075139E">
        <w:rPr>
          <w:noProof/>
          <w:lang w:val="en-AU" w:eastAsia="en-AU"/>
        </w:rPr>
        <w:t>itish</w:t>
      </w:r>
      <w:r w:rsidRPr="002F2711">
        <w:rPr>
          <w:noProof/>
          <w:lang w:val="en-AU" w:eastAsia="en-AU"/>
        </w:rPr>
        <w:t xml:space="preserve"> Poult</w:t>
      </w:r>
      <w:r w:rsidR="0075139E">
        <w:rPr>
          <w:noProof/>
          <w:lang w:val="en-AU" w:eastAsia="en-AU"/>
        </w:rPr>
        <w:t xml:space="preserve">ry </w:t>
      </w:r>
      <w:r w:rsidRPr="002F2711">
        <w:rPr>
          <w:noProof/>
          <w:lang w:val="en-AU" w:eastAsia="en-AU"/>
        </w:rPr>
        <w:t>Sci</w:t>
      </w:r>
      <w:r w:rsidR="0075139E">
        <w:rPr>
          <w:noProof/>
          <w:lang w:val="en-AU" w:eastAsia="en-AU"/>
        </w:rPr>
        <w:t>ence</w:t>
      </w:r>
      <w:r w:rsidRPr="002F2711">
        <w:rPr>
          <w:noProof/>
          <w:lang w:val="en-AU" w:eastAsia="en-AU"/>
        </w:rPr>
        <w:t xml:space="preserve"> 57:585</w:t>
      </w:r>
      <w:r w:rsidR="0075139E">
        <w:rPr>
          <w:noProof/>
          <w:lang w:val="en-AU" w:eastAsia="en-AU"/>
        </w:rPr>
        <w:t>-</w:t>
      </w:r>
      <w:r w:rsidRPr="002F2711">
        <w:rPr>
          <w:noProof/>
          <w:lang w:val="en-AU" w:eastAsia="en-AU"/>
        </w:rPr>
        <w:t>6</w:t>
      </w:r>
      <w:r w:rsidR="0075139E">
        <w:rPr>
          <w:noProof/>
          <w:lang w:val="en-AU" w:eastAsia="en-AU"/>
        </w:rPr>
        <w:t>00.</w:t>
      </w:r>
      <w:r w:rsidR="003B55FF">
        <w:rPr>
          <w:noProof/>
          <w:lang w:val="en-AU" w:eastAsia="en-AU"/>
        </w:rPr>
        <w:t xml:space="preserve"> doi </w:t>
      </w:r>
      <w:r w:rsidR="003B55FF" w:rsidRPr="003B55FF">
        <w:rPr>
          <w:noProof/>
          <w:lang w:val="en-AU" w:eastAsia="en-AU"/>
        </w:rPr>
        <w:t>10.1080/00071668.2016.1201200</w:t>
      </w:r>
    </w:p>
    <w:p w14:paraId="404E127C" w14:textId="77777777" w:rsidR="002F2711" w:rsidRPr="002F2711" w:rsidRDefault="002F2711" w:rsidP="002F2711">
      <w:pPr>
        <w:rPr>
          <w:noProof/>
          <w:lang w:val="en-AU" w:eastAsia="en-AU"/>
        </w:rPr>
      </w:pPr>
      <w:r w:rsidRPr="002F2711">
        <w:rPr>
          <w:noProof/>
          <w:lang w:val="en-AU" w:eastAsia="en-AU"/>
        </w:rPr>
        <w:t xml:space="preserve">Martin, J. </w:t>
      </w:r>
      <w:r w:rsidR="00E10150">
        <w:rPr>
          <w:noProof/>
          <w:lang w:val="en-AU" w:eastAsia="en-AU"/>
        </w:rPr>
        <w:t>E., K. Christensen, Y. Vizzier-T</w:t>
      </w:r>
      <w:r w:rsidRPr="002F2711">
        <w:rPr>
          <w:noProof/>
          <w:lang w:val="en-AU" w:eastAsia="en-AU"/>
        </w:rPr>
        <w:t>haxton, M. A. Mitchell, and D. E. F. McKeegan. 2016c. Behavioural, brain and cardiac responses to hypobaric hypoxia in chickens. Physiol</w:t>
      </w:r>
      <w:r w:rsidR="0075139E">
        <w:rPr>
          <w:noProof/>
          <w:lang w:val="en-AU" w:eastAsia="en-AU"/>
        </w:rPr>
        <w:t>ogy and</w:t>
      </w:r>
      <w:r w:rsidRPr="002F2711">
        <w:rPr>
          <w:noProof/>
          <w:lang w:val="en-AU" w:eastAsia="en-AU"/>
        </w:rPr>
        <w:t xml:space="preserve"> Behav</w:t>
      </w:r>
      <w:r w:rsidR="0075139E">
        <w:rPr>
          <w:noProof/>
          <w:lang w:val="en-AU" w:eastAsia="en-AU"/>
        </w:rPr>
        <w:t>ior</w:t>
      </w:r>
      <w:r w:rsidRPr="002F2711">
        <w:rPr>
          <w:noProof/>
          <w:lang w:val="en-AU" w:eastAsia="en-AU"/>
        </w:rPr>
        <w:t xml:space="preserve"> 163:25</w:t>
      </w:r>
      <w:r w:rsidR="0075139E">
        <w:rPr>
          <w:noProof/>
          <w:lang w:val="en-AU" w:eastAsia="en-AU"/>
        </w:rPr>
        <w:t>-</w:t>
      </w:r>
      <w:r w:rsidRPr="002F2711">
        <w:rPr>
          <w:noProof/>
          <w:lang w:val="en-AU" w:eastAsia="en-AU"/>
        </w:rPr>
        <w:t>36.</w:t>
      </w:r>
      <w:r w:rsidR="003B55FF">
        <w:rPr>
          <w:noProof/>
          <w:lang w:val="en-AU" w:eastAsia="en-AU"/>
        </w:rPr>
        <w:t xml:space="preserve"> doi </w:t>
      </w:r>
      <w:r w:rsidR="003B55FF" w:rsidRPr="003B55FF">
        <w:rPr>
          <w:noProof/>
          <w:lang w:val="en-AU" w:eastAsia="en-AU"/>
        </w:rPr>
        <w:t>10.1016/j.physbeh.2016.04.038</w:t>
      </w:r>
    </w:p>
    <w:p w14:paraId="0E27F119" w14:textId="77777777" w:rsidR="002F2711" w:rsidRPr="002F2711" w:rsidRDefault="002F2711" w:rsidP="002F2711">
      <w:pPr>
        <w:rPr>
          <w:noProof/>
          <w:lang w:val="en-AU" w:eastAsia="en-AU"/>
        </w:rPr>
      </w:pPr>
      <w:r w:rsidRPr="002F2711">
        <w:rPr>
          <w:noProof/>
          <w:lang w:val="en-AU" w:eastAsia="en-AU"/>
        </w:rPr>
        <w:t>Martin, J. E., D. E. F. McKeegan, J. Sparrey, and V. Sandilands. 2016d. Comparison of novel mechanical cervical dislocation and a modified captive bolt for on-farm killing of poultry on behavioural reflex responses and anatomical pathology. Anim</w:t>
      </w:r>
      <w:r w:rsidR="0075139E">
        <w:rPr>
          <w:noProof/>
          <w:lang w:val="en-AU" w:eastAsia="en-AU"/>
        </w:rPr>
        <w:t>al</w:t>
      </w:r>
      <w:r w:rsidRPr="002F2711">
        <w:rPr>
          <w:noProof/>
          <w:lang w:val="en-AU" w:eastAsia="en-AU"/>
        </w:rPr>
        <w:t xml:space="preserve"> Welf</w:t>
      </w:r>
      <w:r w:rsidR="0075139E">
        <w:rPr>
          <w:noProof/>
          <w:lang w:val="en-AU" w:eastAsia="en-AU"/>
        </w:rPr>
        <w:t>are</w:t>
      </w:r>
      <w:r w:rsidRPr="002F2711">
        <w:rPr>
          <w:noProof/>
          <w:lang w:val="en-AU" w:eastAsia="en-AU"/>
        </w:rPr>
        <w:t xml:space="preserve"> 25:227</w:t>
      </w:r>
      <w:r w:rsidR="0075139E">
        <w:rPr>
          <w:noProof/>
          <w:lang w:val="en-AU" w:eastAsia="en-AU"/>
        </w:rPr>
        <w:t>-</w:t>
      </w:r>
      <w:r w:rsidRPr="002F2711">
        <w:rPr>
          <w:noProof/>
          <w:lang w:val="en-AU" w:eastAsia="en-AU"/>
        </w:rPr>
        <w:t>241.</w:t>
      </w:r>
    </w:p>
    <w:p w14:paraId="2D58FB97" w14:textId="77777777" w:rsidR="002F2711" w:rsidRPr="002F2711" w:rsidRDefault="002F2711" w:rsidP="002F2711">
      <w:pPr>
        <w:rPr>
          <w:noProof/>
          <w:lang w:val="en-AU" w:eastAsia="en-AU"/>
        </w:rPr>
      </w:pPr>
      <w:r w:rsidRPr="002F2711">
        <w:rPr>
          <w:noProof/>
          <w:lang w:val="en-AU" w:eastAsia="en-AU"/>
        </w:rPr>
        <w:t>McKeegan, D. E. F., J. McIntyre, T. G. M. Demmers, J. C. Lowe, C. M. Wathes, P. L. C. van den Broek, A. M. L. Coenen, and M. J. Gentle. 2007a. Physiological and behavioural responses of broilers to controlled atmosphere stunning: Implications for welfare. Anim</w:t>
      </w:r>
      <w:r w:rsidR="0075139E">
        <w:rPr>
          <w:noProof/>
          <w:lang w:val="en-AU" w:eastAsia="en-AU"/>
        </w:rPr>
        <w:t>al</w:t>
      </w:r>
      <w:r w:rsidRPr="002F2711">
        <w:rPr>
          <w:noProof/>
          <w:lang w:val="en-AU" w:eastAsia="en-AU"/>
        </w:rPr>
        <w:t xml:space="preserve"> Welf</w:t>
      </w:r>
      <w:r w:rsidR="0075139E">
        <w:rPr>
          <w:noProof/>
          <w:lang w:val="en-AU" w:eastAsia="en-AU"/>
        </w:rPr>
        <w:t>are</w:t>
      </w:r>
      <w:r w:rsidRPr="002F2711">
        <w:rPr>
          <w:noProof/>
          <w:lang w:val="en-AU" w:eastAsia="en-AU"/>
        </w:rPr>
        <w:t xml:space="preserve"> 16:409</w:t>
      </w:r>
      <w:r w:rsidR="0075139E">
        <w:rPr>
          <w:noProof/>
          <w:lang w:val="en-AU" w:eastAsia="en-AU"/>
        </w:rPr>
        <w:t>-</w:t>
      </w:r>
      <w:r w:rsidRPr="002F2711">
        <w:rPr>
          <w:noProof/>
          <w:lang w:val="en-AU" w:eastAsia="en-AU"/>
        </w:rPr>
        <w:t>426.</w:t>
      </w:r>
    </w:p>
    <w:p w14:paraId="49B8897A" w14:textId="77777777" w:rsidR="002F2711" w:rsidRPr="002F2711" w:rsidRDefault="002F2711" w:rsidP="002F2711">
      <w:pPr>
        <w:rPr>
          <w:noProof/>
          <w:lang w:val="en-AU" w:eastAsia="en-AU"/>
        </w:rPr>
      </w:pPr>
      <w:r w:rsidRPr="002F2711">
        <w:rPr>
          <w:noProof/>
          <w:lang w:val="en-AU" w:eastAsia="en-AU"/>
        </w:rPr>
        <w:t>McKeegan, D. E. F., J. McIntyre, T. G. M. Demmers, C. M. Wathes, and R. B. Jones. 2006. Behavioural responses of broiler chickens during acute exposure to gaseous stimulation. Appl</w:t>
      </w:r>
      <w:r w:rsidR="0075139E">
        <w:rPr>
          <w:noProof/>
          <w:lang w:val="en-AU" w:eastAsia="en-AU"/>
        </w:rPr>
        <w:t>ied</w:t>
      </w:r>
      <w:r w:rsidRPr="002F2711">
        <w:rPr>
          <w:noProof/>
          <w:lang w:val="en-AU" w:eastAsia="en-AU"/>
        </w:rPr>
        <w:t xml:space="preserve"> Anim</w:t>
      </w:r>
      <w:r w:rsidR="0075139E">
        <w:rPr>
          <w:noProof/>
          <w:lang w:val="en-AU" w:eastAsia="en-AU"/>
        </w:rPr>
        <w:t>al</w:t>
      </w:r>
      <w:r w:rsidRPr="002F2711">
        <w:rPr>
          <w:noProof/>
          <w:lang w:val="en-AU" w:eastAsia="en-AU"/>
        </w:rPr>
        <w:t xml:space="preserve"> Behav</w:t>
      </w:r>
      <w:r w:rsidR="0075139E">
        <w:rPr>
          <w:noProof/>
          <w:lang w:val="en-AU" w:eastAsia="en-AU"/>
        </w:rPr>
        <w:t>iour</w:t>
      </w:r>
      <w:r w:rsidRPr="002F2711">
        <w:rPr>
          <w:noProof/>
          <w:lang w:val="en-AU" w:eastAsia="en-AU"/>
        </w:rPr>
        <w:t xml:space="preserve"> Sci</w:t>
      </w:r>
      <w:r w:rsidR="0075139E">
        <w:rPr>
          <w:noProof/>
          <w:lang w:val="en-AU" w:eastAsia="en-AU"/>
        </w:rPr>
        <w:t>ence</w:t>
      </w:r>
      <w:r w:rsidRPr="002F2711">
        <w:rPr>
          <w:noProof/>
          <w:lang w:val="en-AU" w:eastAsia="en-AU"/>
        </w:rPr>
        <w:t xml:space="preserve"> 99:271</w:t>
      </w:r>
      <w:r w:rsidR="00590159">
        <w:rPr>
          <w:noProof/>
          <w:lang w:val="en-AU" w:eastAsia="en-AU"/>
        </w:rPr>
        <w:t>-</w:t>
      </w:r>
      <w:r w:rsidRPr="002F2711">
        <w:rPr>
          <w:noProof/>
          <w:lang w:val="en-AU" w:eastAsia="en-AU"/>
        </w:rPr>
        <w:t>286.</w:t>
      </w:r>
    </w:p>
    <w:p w14:paraId="477EDAF2" w14:textId="77777777" w:rsidR="002F2711" w:rsidRPr="002F2711" w:rsidRDefault="002F2711" w:rsidP="002F2711">
      <w:pPr>
        <w:rPr>
          <w:noProof/>
          <w:lang w:val="en-AU" w:eastAsia="en-AU"/>
        </w:rPr>
      </w:pPr>
      <w:r w:rsidRPr="002F2711">
        <w:rPr>
          <w:noProof/>
          <w:lang w:val="en-AU" w:eastAsia="en-AU"/>
        </w:rPr>
        <w:t>McKeegan, D. E. F., M. A. McLeman, J. C. Lowe, T. G. M. Demmers, R. P. White, R. W. W. Kranen, H. van Bemmel, J. A. Lankhaar, and C. M. Wathes. 2007b. Controlled atmosphere stunning of broiler chickens. II. Effects on behaviour, physiology and meat quality in a pilot scale system at a processing plant. Br</w:t>
      </w:r>
      <w:r w:rsidR="0075139E">
        <w:rPr>
          <w:noProof/>
          <w:lang w:val="en-AU" w:eastAsia="en-AU"/>
        </w:rPr>
        <w:t>itish</w:t>
      </w:r>
      <w:r w:rsidRPr="002F2711">
        <w:rPr>
          <w:noProof/>
          <w:lang w:val="en-AU" w:eastAsia="en-AU"/>
        </w:rPr>
        <w:t xml:space="preserve"> Poult</w:t>
      </w:r>
      <w:r w:rsidR="0075139E">
        <w:rPr>
          <w:noProof/>
          <w:lang w:val="en-AU" w:eastAsia="en-AU"/>
        </w:rPr>
        <w:t>ry</w:t>
      </w:r>
      <w:r w:rsidRPr="002F2711">
        <w:rPr>
          <w:noProof/>
          <w:lang w:val="en-AU" w:eastAsia="en-AU"/>
        </w:rPr>
        <w:t xml:space="preserve"> Sci</w:t>
      </w:r>
      <w:r w:rsidR="0075139E">
        <w:rPr>
          <w:noProof/>
          <w:lang w:val="en-AU" w:eastAsia="en-AU"/>
        </w:rPr>
        <w:t>ence</w:t>
      </w:r>
      <w:r w:rsidRPr="002F2711">
        <w:rPr>
          <w:noProof/>
          <w:lang w:val="en-AU" w:eastAsia="en-AU"/>
        </w:rPr>
        <w:t xml:space="preserve"> 48:430</w:t>
      </w:r>
      <w:r w:rsidR="0075139E">
        <w:rPr>
          <w:noProof/>
          <w:lang w:val="en-AU" w:eastAsia="en-AU"/>
        </w:rPr>
        <w:t>-</w:t>
      </w:r>
      <w:r w:rsidRPr="002F2711">
        <w:rPr>
          <w:noProof/>
          <w:lang w:val="en-AU" w:eastAsia="en-AU"/>
        </w:rPr>
        <w:t>442.</w:t>
      </w:r>
    </w:p>
    <w:p w14:paraId="68A256A5" w14:textId="77777777" w:rsidR="002F2711" w:rsidRPr="002F2711" w:rsidRDefault="002F2711" w:rsidP="002F2711">
      <w:pPr>
        <w:rPr>
          <w:noProof/>
          <w:lang w:val="en-AU" w:eastAsia="en-AU"/>
        </w:rPr>
      </w:pPr>
      <w:r w:rsidRPr="002F2711">
        <w:rPr>
          <w:noProof/>
          <w:lang w:val="en-AU" w:eastAsia="en-AU"/>
        </w:rPr>
        <w:t>McKeegan, D. E. F., H. Reimert, V. A. Hindle, P. Boulcott, J. Sparrey, C. M. Wathes, T. G. M. Demmers, and M. A. Gerritzen. 2013a. Physiological and behavioral responses of poultry exposed to gas-filled high expansion foa</w:t>
      </w:r>
      <w:r w:rsidR="0075139E">
        <w:rPr>
          <w:noProof/>
          <w:lang w:val="en-AU" w:eastAsia="en-AU"/>
        </w:rPr>
        <w:t>m. Poultry Science. 92:1145-</w:t>
      </w:r>
      <w:r w:rsidR="00590159">
        <w:rPr>
          <w:noProof/>
          <w:lang w:val="en-AU" w:eastAsia="en-AU"/>
        </w:rPr>
        <w:t>11</w:t>
      </w:r>
      <w:r w:rsidRPr="002F2711">
        <w:rPr>
          <w:noProof/>
          <w:lang w:val="en-AU" w:eastAsia="en-AU"/>
        </w:rPr>
        <w:t>54</w:t>
      </w:r>
      <w:r w:rsidR="0075139E">
        <w:rPr>
          <w:noProof/>
          <w:lang w:val="en-AU" w:eastAsia="en-AU"/>
        </w:rPr>
        <w:t>.</w:t>
      </w:r>
    </w:p>
    <w:p w14:paraId="36E2E4E3" w14:textId="77777777" w:rsidR="002F2711" w:rsidRPr="002F2711" w:rsidRDefault="002F2711" w:rsidP="002F2711">
      <w:pPr>
        <w:rPr>
          <w:noProof/>
          <w:lang w:val="en-AU" w:eastAsia="en-AU"/>
        </w:rPr>
      </w:pPr>
      <w:r w:rsidRPr="002F2711">
        <w:rPr>
          <w:noProof/>
          <w:lang w:val="en-AU" w:eastAsia="en-AU"/>
        </w:rPr>
        <w:t>McKeegan, D. E. F., D. A. Sandercock, and M. A. Gerritzen. 2013b. Physiological responses to low atmospheric pressure stunning (LAPS) and the implications for welfare. Poult</w:t>
      </w:r>
      <w:r w:rsidR="0075139E">
        <w:rPr>
          <w:noProof/>
          <w:lang w:val="en-AU" w:eastAsia="en-AU"/>
        </w:rPr>
        <w:t>ry</w:t>
      </w:r>
      <w:r w:rsidRPr="002F2711">
        <w:rPr>
          <w:noProof/>
          <w:lang w:val="en-AU" w:eastAsia="en-AU"/>
        </w:rPr>
        <w:t xml:space="preserve"> Sci</w:t>
      </w:r>
      <w:r w:rsidR="0075139E">
        <w:rPr>
          <w:noProof/>
          <w:lang w:val="en-AU" w:eastAsia="en-AU"/>
        </w:rPr>
        <w:t>ence 92:</w:t>
      </w:r>
      <w:r w:rsidRPr="002F2711">
        <w:rPr>
          <w:noProof/>
          <w:lang w:val="en-AU" w:eastAsia="en-AU"/>
        </w:rPr>
        <w:t>858–868.</w:t>
      </w:r>
    </w:p>
    <w:p w14:paraId="3973B65A" w14:textId="77777777" w:rsidR="002F2711" w:rsidRPr="002F2711" w:rsidRDefault="002F2711" w:rsidP="002F2711">
      <w:pPr>
        <w:rPr>
          <w:noProof/>
          <w:lang w:val="en-AU" w:eastAsia="en-AU"/>
        </w:rPr>
      </w:pPr>
      <w:r w:rsidRPr="002F2711">
        <w:rPr>
          <w:noProof/>
          <w:lang w:val="en-AU" w:eastAsia="en-AU"/>
        </w:rPr>
        <w:t xml:space="preserve">McKeegan, D. E. F., F. S. Smith, T. G. M. Demmers, C. M. Wathes, and R. B. Jones. 2005. Behavioral correlates of olfactory and trigeminal gaseous stimulation in chickens, </w:t>
      </w:r>
      <w:r w:rsidRPr="0075139E">
        <w:rPr>
          <w:i/>
          <w:noProof/>
          <w:lang w:val="en-AU" w:eastAsia="en-AU"/>
        </w:rPr>
        <w:t>Gallus domesticus</w:t>
      </w:r>
      <w:r w:rsidRPr="002F2711">
        <w:rPr>
          <w:noProof/>
          <w:lang w:val="en-AU" w:eastAsia="en-AU"/>
        </w:rPr>
        <w:t>. Physiol</w:t>
      </w:r>
      <w:r w:rsidR="0075139E">
        <w:rPr>
          <w:noProof/>
          <w:lang w:val="en-AU" w:eastAsia="en-AU"/>
        </w:rPr>
        <w:t xml:space="preserve">ogy and </w:t>
      </w:r>
      <w:r w:rsidRPr="002F2711">
        <w:rPr>
          <w:noProof/>
          <w:lang w:val="en-AU" w:eastAsia="en-AU"/>
        </w:rPr>
        <w:t>Behav</w:t>
      </w:r>
      <w:r w:rsidR="0075139E">
        <w:rPr>
          <w:noProof/>
          <w:lang w:val="en-AU" w:eastAsia="en-AU"/>
        </w:rPr>
        <w:t>ior</w:t>
      </w:r>
      <w:r w:rsidRPr="002F2711">
        <w:rPr>
          <w:noProof/>
          <w:lang w:val="en-AU" w:eastAsia="en-AU"/>
        </w:rPr>
        <w:t xml:space="preserve"> 84:761</w:t>
      </w:r>
      <w:r w:rsidR="0075139E">
        <w:rPr>
          <w:noProof/>
          <w:lang w:val="en-AU" w:eastAsia="en-AU"/>
        </w:rPr>
        <w:t>-</w:t>
      </w:r>
      <w:r w:rsidRPr="002F2711">
        <w:rPr>
          <w:noProof/>
          <w:lang w:val="en-AU" w:eastAsia="en-AU"/>
        </w:rPr>
        <w:t>768.</w:t>
      </w:r>
    </w:p>
    <w:p w14:paraId="27276507" w14:textId="77777777" w:rsidR="002F2711" w:rsidRPr="002F2711" w:rsidRDefault="002F2711" w:rsidP="002F2711">
      <w:pPr>
        <w:rPr>
          <w:noProof/>
          <w:lang w:val="en-AU" w:eastAsia="en-AU"/>
        </w:rPr>
      </w:pPr>
      <w:r w:rsidRPr="002F2711">
        <w:rPr>
          <w:noProof/>
          <w:lang w:val="en-AU" w:eastAsia="en-AU"/>
        </w:rPr>
        <w:t>Mouchonière, M., G. Le Pottier, and X. Fernandez. 2000. Effect of current frequency during electrical stunning in a water bath on somatosensory evoked responses in turkey’s brain. Res</w:t>
      </w:r>
      <w:r w:rsidR="0075139E">
        <w:rPr>
          <w:noProof/>
          <w:lang w:val="en-AU" w:eastAsia="en-AU"/>
        </w:rPr>
        <w:t xml:space="preserve">earch in </w:t>
      </w:r>
      <w:r w:rsidRPr="002F2711">
        <w:rPr>
          <w:noProof/>
          <w:lang w:val="en-AU" w:eastAsia="en-AU"/>
        </w:rPr>
        <w:t>Vet</w:t>
      </w:r>
      <w:r w:rsidR="0075139E">
        <w:rPr>
          <w:noProof/>
          <w:lang w:val="en-AU" w:eastAsia="en-AU"/>
        </w:rPr>
        <w:t>erinary</w:t>
      </w:r>
      <w:r w:rsidRPr="002F2711">
        <w:rPr>
          <w:noProof/>
          <w:lang w:val="en-AU" w:eastAsia="en-AU"/>
        </w:rPr>
        <w:t xml:space="preserve"> Sci</w:t>
      </w:r>
      <w:r w:rsidR="0075139E">
        <w:rPr>
          <w:noProof/>
          <w:lang w:val="en-AU" w:eastAsia="en-AU"/>
        </w:rPr>
        <w:t>ence</w:t>
      </w:r>
      <w:r w:rsidRPr="002F2711">
        <w:rPr>
          <w:noProof/>
          <w:lang w:val="en-AU" w:eastAsia="en-AU"/>
        </w:rPr>
        <w:t xml:space="preserve"> 69:53–55.</w:t>
      </w:r>
    </w:p>
    <w:p w14:paraId="2D5B7837" w14:textId="77777777" w:rsidR="002F2711" w:rsidRPr="002F2711" w:rsidRDefault="00430069" w:rsidP="002F2711">
      <w:pPr>
        <w:rPr>
          <w:noProof/>
          <w:lang w:val="en-GB" w:eastAsia="en-AU"/>
        </w:rPr>
      </w:pPr>
      <w:r>
        <w:rPr>
          <w:noProof/>
          <w:lang w:val="en-GB" w:eastAsia="en-AU"/>
        </w:rPr>
        <w:t>Paul-Murphy, J.</w:t>
      </w:r>
      <w:r w:rsidR="002F2711" w:rsidRPr="002F2711">
        <w:rPr>
          <w:noProof/>
          <w:lang w:val="en-GB" w:eastAsia="en-AU"/>
        </w:rPr>
        <w:t xml:space="preserve"> 2013. Pain Management</w:t>
      </w:r>
      <w:r w:rsidR="00F15959">
        <w:rPr>
          <w:noProof/>
          <w:lang w:val="en-GB" w:eastAsia="en-AU"/>
        </w:rPr>
        <w:t>. In:</w:t>
      </w:r>
      <w:r w:rsidR="002F2711" w:rsidRPr="002F2711">
        <w:rPr>
          <w:noProof/>
          <w:lang w:val="en-GB" w:eastAsia="en-AU"/>
        </w:rPr>
        <w:t xml:space="preserve"> Clinical Avian Medicine Volume 1</w:t>
      </w:r>
      <w:r w:rsidR="0075139E">
        <w:rPr>
          <w:noProof/>
          <w:lang w:val="en-GB" w:eastAsia="en-AU"/>
        </w:rPr>
        <w:t xml:space="preserve">, Harrison, G. </w:t>
      </w:r>
      <w:r>
        <w:rPr>
          <w:noProof/>
          <w:lang w:val="en-GB" w:eastAsia="en-AU"/>
        </w:rPr>
        <w:t xml:space="preserve">J. </w:t>
      </w:r>
      <w:r w:rsidR="0075139E">
        <w:rPr>
          <w:noProof/>
          <w:lang w:val="en-GB" w:eastAsia="en-AU"/>
        </w:rPr>
        <w:t>and T. Lightfoot (Eds</w:t>
      </w:r>
      <w:r>
        <w:rPr>
          <w:noProof/>
          <w:lang w:val="en-GB" w:eastAsia="en-AU"/>
        </w:rPr>
        <w:t>.</w:t>
      </w:r>
      <w:r w:rsidR="0075139E">
        <w:rPr>
          <w:noProof/>
          <w:lang w:val="en-GB" w:eastAsia="en-AU"/>
        </w:rPr>
        <w:t>)</w:t>
      </w:r>
      <w:r w:rsidR="006A5F0F">
        <w:rPr>
          <w:noProof/>
          <w:lang w:val="en-GB" w:eastAsia="en-AU"/>
        </w:rPr>
        <w:t>, pages 233-239</w:t>
      </w:r>
      <w:r w:rsidR="0075139E">
        <w:rPr>
          <w:noProof/>
          <w:lang w:val="en-GB" w:eastAsia="en-AU"/>
        </w:rPr>
        <w:t xml:space="preserve">. </w:t>
      </w:r>
      <w:hyperlink r:id="rId88" w:tooltip="This is a link to a pdf of a chapter on pain management of birds, in the book Clinical Avian Medicine." w:history="1">
        <w:r w:rsidR="0075139E" w:rsidRPr="007A6B2A">
          <w:rPr>
            <w:rStyle w:val="Hyperlink"/>
            <w:noProof/>
            <w:lang w:val="en-GB" w:eastAsia="en-AU"/>
          </w:rPr>
          <w:t>avianmedicine.net/content/uploads/2013/03/08_pain_management.pdf</w:t>
        </w:r>
      </w:hyperlink>
      <w:r w:rsidR="0075139E">
        <w:rPr>
          <w:noProof/>
          <w:lang w:val="en-GB" w:eastAsia="en-AU"/>
        </w:rPr>
        <w:t>. Accessed 28/05/</w:t>
      </w:r>
      <w:r w:rsidR="00CF022F">
        <w:rPr>
          <w:noProof/>
          <w:lang w:val="en-GB" w:eastAsia="en-AU"/>
        </w:rPr>
        <w:t>20</w:t>
      </w:r>
      <w:r w:rsidR="0075139E">
        <w:rPr>
          <w:noProof/>
          <w:lang w:val="en-GB" w:eastAsia="en-AU"/>
        </w:rPr>
        <w:t>17.</w:t>
      </w:r>
    </w:p>
    <w:p w14:paraId="291F9213" w14:textId="77777777" w:rsidR="00E10150" w:rsidRDefault="00E10150" w:rsidP="002F2711">
      <w:pPr>
        <w:rPr>
          <w:noProof/>
          <w:lang w:val="en-GB" w:eastAsia="en-AU"/>
        </w:rPr>
      </w:pPr>
      <w:r w:rsidRPr="00E10150">
        <w:rPr>
          <w:noProof/>
          <w:lang w:val="en-GB" w:eastAsia="en-AU"/>
        </w:rPr>
        <w:t>Paul-Murphy J.R., D. B. Brunson, and V. Miletic. 1999. A technique for evaluating analgesia in conscious perching birds. American Journal Veterinary Research 60:1213-1217.</w:t>
      </w:r>
    </w:p>
    <w:p w14:paraId="3B33B04E" w14:textId="77777777" w:rsidR="002F2711" w:rsidRPr="002F2711" w:rsidRDefault="002F2711" w:rsidP="002F2711">
      <w:pPr>
        <w:rPr>
          <w:noProof/>
          <w:lang w:val="en-GB" w:eastAsia="en-AU"/>
        </w:rPr>
      </w:pPr>
      <w:r w:rsidRPr="002F2711">
        <w:rPr>
          <w:noProof/>
          <w:lang w:val="en-GB" w:eastAsia="en-AU"/>
        </w:rPr>
        <w:t>Paul-Murphy, J., and J. Fialkowski. 2001. Injectable Anaesthes</w:t>
      </w:r>
      <w:r w:rsidR="0075139E">
        <w:rPr>
          <w:noProof/>
          <w:lang w:val="en-GB" w:eastAsia="en-AU"/>
        </w:rPr>
        <w:t xml:space="preserve">ia and Analgesia of Birds. In: </w:t>
      </w:r>
      <w:r w:rsidRPr="002F2711">
        <w:rPr>
          <w:noProof/>
          <w:lang w:val="en-GB" w:eastAsia="en-AU"/>
        </w:rPr>
        <w:t>Recent Advances in Veterinary Anaesthesia and Analgesia: Companion Animals, R.</w:t>
      </w:r>
      <w:r w:rsidR="006A5F0F">
        <w:rPr>
          <w:noProof/>
          <w:lang w:val="en-GB" w:eastAsia="en-AU"/>
        </w:rPr>
        <w:t xml:space="preserve"> </w:t>
      </w:r>
      <w:r w:rsidRPr="002F2711">
        <w:rPr>
          <w:noProof/>
          <w:lang w:val="en-GB" w:eastAsia="en-AU"/>
        </w:rPr>
        <w:t>D. Gleed and J.</w:t>
      </w:r>
      <w:r w:rsidR="006A5F0F">
        <w:rPr>
          <w:noProof/>
          <w:lang w:val="en-GB" w:eastAsia="en-AU"/>
        </w:rPr>
        <w:t xml:space="preserve"> </w:t>
      </w:r>
      <w:r w:rsidRPr="002F2711">
        <w:rPr>
          <w:noProof/>
          <w:lang w:val="en-GB" w:eastAsia="en-AU"/>
        </w:rPr>
        <w:t>W. Ludders (Eds.)</w:t>
      </w:r>
      <w:r w:rsidR="006D0CFB">
        <w:rPr>
          <w:noProof/>
          <w:lang w:val="en-GB" w:eastAsia="en-AU"/>
        </w:rPr>
        <w:t>.</w:t>
      </w:r>
      <w:r w:rsidRPr="002F2711">
        <w:rPr>
          <w:noProof/>
          <w:lang w:val="en-GB" w:eastAsia="en-AU"/>
        </w:rPr>
        <w:t xml:space="preserve"> International Veterinary Information Service</w:t>
      </w:r>
      <w:r w:rsidR="0037052C">
        <w:rPr>
          <w:noProof/>
          <w:lang w:val="en-GB" w:eastAsia="en-AU"/>
        </w:rPr>
        <w:t>,</w:t>
      </w:r>
      <w:r w:rsidR="00D8020C">
        <w:rPr>
          <w:noProof/>
          <w:lang w:val="en-GB" w:eastAsia="en-AU"/>
        </w:rPr>
        <w:t xml:space="preserve"> Ithaca, New York.</w:t>
      </w:r>
    </w:p>
    <w:p w14:paraId="48FF6C2A" w14:textId="77777777" w:rsidR="002F2711" w:rsidRPr="002F2711" w:rsidRDefault="002F2711" w:rsidP="002F2711">
      <w:pPr>
        <w:rPr>
          <w:noProof/>
          <w:lang w:val="en-GB" w:eastAsia="en-AU"/>
        </w:rPr>
      </w:pPr>
      <w:r w:rsidRPr="002F2711">
        <w:rPr>
          <w:noProof/>
          <w:lang w:val="en-GB" w:eastAsia="en-AU"/>
        </w:rPr>
        <w:t>Paul-Murphy J., and J. Ludders. 2001. Avian analgesia. Exot</w:t>
      </w:r>
      <w:r w:rsidR="00BE524B">
        <w:rPr>
          <w:noProof/>
          <w:lang w:val="en-GB" w:eastAsia="en-AU"/>
        </w:rPr>
        <w:t>ic</w:t>
      </w:r>
      <w:r w:rsidRPr="002F2711">
        <w:rPr>
          <w:noProof/>
          <w:lang w:val="en-GB" w:eastAsia="en-AU"/>
        </w:rPr>
        <w:t xml:space="preserve"> Anim</w:t>
      </w:r>
      <w:r w:rsidR="00BE524B">
        <w:rPr>
          <w:noProof/>
          <w:lang w:val="en-GB" w:eastAsia="en-AU"/>
        </w:rPr>
        <w:t>al</w:t>
      </w:r>
      <w:r w:rsidRPr="002F2711">
        <w:rPr>
          <w:noProof/>
          <w:lang w:val="en-GB" w:eastAsia="en-AU"/>
        </w:rPr>
        <w:t xml:space="preserve"> Prac</w:t>
      </w:r>
      <w:r w:rsidR="00BE524B">
        <w:rPr>
          <w:noProof/>
          <w:lang w:val="en-GB" w:eastAsia="en-AU"/>
        </w:rPr>
        <w:t>tice</w:t>
      </w:r>
      <w:r w:rsidRPr="002F2711">
        <w:rPr>
          <w:noProof/>
          <w:lang w:val="en-GB" w:eastAsia="en-AU"/>
        </w:rPr>
        <w:t xml:space="preserve"> 4:35-45.</w:t>
      </w:r>
    </w:p>
    <w:p w14:paraId="09E55A35" w14:textId="77777777" w:rsidR="002F2711" w:rsidRPr="002F2711" w:rsidRDefault="002F2711" w:rsidP="002F2711">
      <w:pPr>
        <w:rPr>
          <w:noProof/>
          <w:lang w:val="en-AU" w:eastAsia="en-AU"/>
        </w:rPr>
      </w:pPr>
      <w:r w:rsidRPr="002F2711">
        <w:rPr>
          <w:noProof/>
          <w:lang w:val="en-AU" w:eastAsia="en-AU"/>
        </w:rPr>
        <w:t>Perez-Palacios, S., and S. Wotton. 2006. Effects of salinity and the use of shackle/leg sprays on the electrical conductivity of a commercial waterbath stunner for broilers. Vet</w:t>
      </w:r>
      <w:r w:rsidR="00BE524B">
        <w:rPr>
          <w:noProof/>
          <w:lang w:val="en-AU" w:eastAsia="en-AU"/>
        </w:rPr>
        <w:t>erinary</w:t>
      </w:r>
      <w:r w:rsidRPr="002F2711">
        <w:rPr>
          <w:noProof/>
          <w:lang w:val="en-AU" w:eastAsia="en-AU"/>
        </w:rPr>
        <w:t xml:space="preserve"> Rec</w:t>
      </w:r>
      <w:r w:rsidR="00BE524B">
        <w:rPr>
          <w:noProof/>
          <w:lang w:val="en-AU" w:eastAsia="en-AU"/>
        </w:rPr>
        <w:t>ord</w:t>
      </w:r>
      <w:r w:rsidRPr="002F2711">
        <w:rPr>
          <w:noProof/>
          <w:lang w:val="en-AU" w:eastAsia="en-AU"/>
        </w:rPr>
        <w:t xml:space="preserve"> 158:654</w:t>
      </w:r>
      <w:r w:rsidR="00BE524B">
        <w:rPr>
          <w:noProof/>
          <w:lang w:val="en-AU" w:eastAsia="en-AU"/>
        </w:rPr>
        <w:t>-</w:t>
      </w:r>
      <w:r w:rsidRPr="002F2711">
        <w:rPr>
          <w:noProof/>
          <w:lang w:val="en-AU" w:eastAsia="en-AU"/>
        </w:rPr>
        <w:t>657.</w:t>
      </w:r>
    </w:p>
    <w:p w14:paraId="3EC259A7" w14:textId="77777777" w:rsidR="002F2711" w:rsidRPr="002F2711" w:rsidRDefault="002F2711" w:rsidP="002F2711">
      <w:pPr>
        <w:rPr>
          <w:noProof/>
          <w:lang w:val="en-AU" w:eastAsia="en-AU"/>
        </w:rPr>
      </w:pPr>
      <w:r w:rsidRPr="002F2711">
        <w:rPr>
          <w:noProof/>
          <w:lang w:val="en-AU" w:eastAsia="en-AU"/>
        </w:rPr>
        <w:t>Prayitno, D. S., C. J. Phillips, and H. Omed. 1997. The effects of color of lighting on the behavior and production of meat chickens. Poult</w:t>
      </w:r>
      <w:r w:rsidR="00BE524B">
        <w:rPr>
          <w:noProof/>
          <w:lang w:val="en-AU" w:eastAsia="en-AU"/>
        </w:rPr>
        <w:t>ry</w:t>
      </w:r>
      <w:r w:rsidRPr="002F2711">
        <w:rPr>
          <w:noProof/>
          <w:lang w:val="en-AU" w:eastAsia="en-AU"/>
        </w:rPr>
        <w:t xml:space="preserve"> Sci</w:t>
      </w:r>
      <w:r w:rsidR="00BE524B">
        <w:rPr>
          <w:noProof/>
          <w:lang w:val="en-AU" w:eastAsia="en-AU"/>
        </w:rPr>
        <w:t>ence</w:t>
      </w:r>
      <w:r w:rsidRPr="002F2711">
        <w:rPr>
          <w:noProof/>
          <w:lang w:val="en-AU" w:eastAsia="en-AU"/>
        </w:rPr>
        <w:t xml:space="preserve"> 76:452</w:t>
      </w:r>
      <w:r w:rsidR="00BE524B">
        <w:rPr>
          <w:noProof/>
          <w:lang w:val="en-AU" w:eastAsia="en-AU"/>
        </w:rPr>
        <w:t>-45</w:t>
      </w:r>
      <w:r w:rsidRPr="002F2711">
        <w:rPr>
          <w:noProof/>
          <w:lang w:val="en-AU" w:eastAsia="en-AU"/>
        </w:rPr>
        <w:t>7</w:t>
      </w:r>
      <w:r w:rsidR="00BE524B">
        <w:rPr>
          <w:noProof/>
          <w:lang w:val="en-AU" w:eastAsia="en-AU"/>
        </w:rPr>
        <w:t>.</w:t>
      </w:r>
    </w:p>
    <w:p w14:paraId="40F63090" w14:textId="77777777" w:rsidR="002F2711" w:rsidRPr="002F2711" w:rsidRDefault="002F2711" w:rsidP="002F2711">
      <w:pPr>
        <w:rPr>
          <w:noProof/>
          <w:lang w:val="en-AU" w:eastAsia="en-AU"/>
        </w:rPr>
      </w:pPr>
      <w:r w:rsidRPr="002F2711">
        <w:rPr>
          <w:noProof/>
          <w:lang w:val="en-AU" w:eastAsia="en-AU"/>
        </w:rPr>
        <w:t>Prinz, S., G. Van Oijen, F. Ehinger, W. Bessei, and A. M. L. Coenen. 2010a. Effects of waterbath stunning on the electroencephalograms and physical reflexes of broilers using a pulsed direct current. Poult</w:t>
      </w:r>
      <w:r w:rsidR="00BE524B">
        <w:rPr>
          <w:noProof/>
          <w:lang w:val="en-AU" w:eastAsia="en-AU"/>
        </w:rPr>
        <w:t>ry</w:t>
      </w:r>
      <w:r w:rsidRPr="002F2711">
        <w:rPr>
          <w:noProof/>
          <w:lang w:val="en-AU" w:eastAsia="en-AU"/>
        </w:rPr>
        <w:t xml:space="preserve"> Sci</w:t>
      </w:r>
      <w:r w:rsidR="00BE524B">
        <w:rPr>
          <w:noProof/>
          <w:lang w:val="en-AU" w:eastAsia="en-AU"/>
        </w:rPr>
        <w:t>ence</w:t>
      </w:r>
      <w:r w:rsidRPr="002F2711">
        <w:rPr>
          <w:noProof/>
          <w:lang w:val="en-AU" w:eastAsia="en-AU"/>
        </w:rPr>
        <w:t xml:space="preserve"> 89:1275</w:t>
      </w:r>
      <w:r w:rsidR="00BE524B">
        <w:rPr>
          <w:noProof/>
          <w:lang w:val="en-AU" w:eastAsia="en-AU"/>
        </w:rPr>
        <w:t>-</w:t>
      </w:r>
      <w:r w:rsidRPr="002F2711">
        <w:rPr>
          <w:noProof/>
          <w:lang w:val="en-AU" w:eastAsia="en-AU"/>
        </w:rPr>
        <w:t>1284.</w:t>
      </w:r>
    </w:p>
    <w:p w14:paraId="3FB1D66F" w14:textId="77777777" w:rsidR="002F2711" w:rsidRPr="002F2711" w:rsidRDefault="002F2711" w:rsidP="002F2711">
      <w:pPr>
        <w:rPr>
          <w:noProof/>
          <w:lang w:val="en-AU" w:eastAsia="en-AU"/>
        </w:rPr>
      </w:pPr>
      <w:r w:rsidRPr="002F2711">
        <w:rPr>
          <w:noProof/>
          <w:lang w:val="en-AU" w:eastAsia="en-AU"/>
        </w:rPr>
        <w:t>Prinz, S., G. Van Oijen, F. Ehinger, W. Bessei, and A. M. L. Coenen. 2010b. Electroencephalograms and physical reflexes of broilers after electrical waterbath stunning using an alternating current. Poult</w:t>
      </w:r>
      <w:r w:rsidR="00BE524B">
        <w:rPr>
          <w:noProof/>
          <w:lang w:val="en-AU" w:eastAsia="en-AU"/>
        </w:rPr>
        <w:t>ry</w:t>
      </w:r>
      <w:r w:rsidRPr="002F2711">
        <w:rPr>
          <w:noProof/>
          <w:lang w:val="en-AU" w:eastAsia="en-AU"/>
        </w:rPr>
        <w:t xml:space="preserve"> Sci</w:t>
      </w:r>
      <w:r w:rsidR="00BE524B">
        <w:rPr>
          <w:noProof/>
          <w:lang w:val="en-AU" w:eastAsia="en-AU"/>
        </w:rPr>
        <w:t>ence</w:t>
      </w:r>
      <w:r w:rsidRPr="002F2711">
        <w:rPr>
          <w:noProof/>
          <w:lang w:val="en-AU" w:eastAsia="en-AU"/>
        </w:rPr>
        <w:t xml:space="preserve"> 89:1265</w:t>
      </w:r>
      <w:r w:rsidR="00BE524B">
        <w:rPr>
          <w:noProof/>
          <w:lang w:val="en-AU" w:eastAsia="en-AU"/>
        </w:rPr>
        <w:t>-</w:t>
      </w:r>
      <w:r w:rsidRPr="002F2711">
        <w:rPr>
          <w:noProof/>
          <w:lang w:val="en-AU" w:eastAsia="en-AU"/>
        </w:rPr>
        <w:t>1274</w:t>
      </w:r>
      <w:r w:rsidR="00BE524B">
        <w:rPr>
          <w:noProof/>
          <w:lang w:val="en-AU" w:eastAsia="en-AU"/>
        </w:rPr>
        <w:t>.</w:t>
      </w:r>
    </w:p>
    <w:p w14:paraId="247C3D2A" w14:textId="77777777" w:rsidR="002F2711" w:rsidRPr="002F2711" w:rsidRDefault="002F2711" w:rsidP="002F2711">
      <w:pPr>
        <w:rPr>
          <w:noProof/>
          <w:lang w:val="en-AU" w:eastAsia="en-AU"/>
        </w:rPr>
      </w:pPr>
      <w:r w:rsidRPr="002F2711">
        <w:rPr>
          <w:noProof/>
          <w:lang w:val="en-AU" w:eastAsia="en-AU"/>
        </w:rPr>
        <w:t>Prinz, S., G. Van Oijen, F. Ehinger, W. Bessei, and A. M. L. Coenen. 2012. Electrical waterbath stunning: Influence of different waveform and voltage settings on the induction of unconsciousness and death in male and female broiler chickens. Poult</w:t>
      </w:r>
      <w:r w:rsidR="00BE524B">
        <w:rPr>
          <w:noProof/>
          <w:lang w:val="en-AU" w:eastAsia="en-AU"/>
        </w:rPr>
        <w:t>ry</w:t>
      </w:r>
      <w:r w:rsidRPr="002F2711">
        <w:rPr>
          <w:noProof/>
          <w:lang w:val="en-AU" w:eastAsia="en-AU"/>
        </w:rPr>
        <w:t xml:space="preserve"> Sci</w:t>
      </w:r>
      <w:r w:rsidR="00BE524B">
        <w:rPr>
          <w:noProof/>
          <w:lang w:val="en-AU" w:eastAsia="en-AU"/>
        </w:rPr>
        <w:t>ence</w:t>
      </w:r>
      <w:r w:rsidRPr="002F2711">
        <w:rPr>
          <w:noProof/>
          <w:lang w:val="en-AU" w:eastAsia="en-AU"/>
        </w:rPr>
        <w:t xml:space="preserve"> 91:998</w:t>
      </w:r>
      <w:r w:rsidR="00BE524B">
        <w:rPr>
          <w:noProof/>
          <w:lang w:val="en-AU" w:eastAsia="en-AU"/>
        </w:rPr>
        <w:t>-</w:t>
      </w:r>
      <w:r w:rsidRPr="002F2711">
        <w:rPr>
          <w:noProof/>
          <w:lang w:val="en-AU" w:eastAsia="en-AU"/>
        </w:rPr>
        <w:t>1008.</w:t>
      </w:r>
    </w:p>
    <w:p w14:paraId="4D4329C2" w14:textId="77777777" w:rsidR="002F2711" w:rsidRPr="002F2711" w:rsidRDefault="002F2711" w:rsidP="002F2711">
      <w:pPr>
        <w:rPr>
          <w:noProof/>
          <w:lang w:val="en-AU" w:eastAsia="en-AU"/>
        </w:rPr>
      </w:pPr>
      <w:r w:rsidRPr="002F2711">
        <w:rPr>
          <w:noProof/>
          <w:lang w:val="en-AU" w:eastAsia="en-AU"/>
        </w:rPr>
        <w:t>Purswell, J. L., J. P. Thaxton, and S. L. Branton. 2007. Identifying process variables for a low atmospheric pressure stunning-killing system. J</w:t>
      </w:r>
      <w:r w:rsidR="00BE524B">
        <w:rPr>
          <w:noProof/>
          <w:lang w:val="en-AU" w:eastAsia="en-AU"/>
        </w:rPr>
        <w:t>ournal of</w:t>
      </w:r>
      <w:r w:rsidRPr="002F2711">
        <w:rPr>
          <w:noProof/>
          <w:lang w:val="en-AU" w:eastAsia="en-AU"/>
        </w:rPr>
        <w:t xml:space="preserve"> Appl</w:t>
      </w:r>
      <w:r w:rsidR="00BE524B">
        <w:rPr>
          <w:noProof/>
          <w:lang w:val="en-AU" w:eastAsia="en-AU"/>
        </w:rPr>
        <w:t>ied</w:t>
      </w:r>
      <w:r w:rsidRPr="002F2711">
        <w:rPr>
          <w:noProof/>
          <w:lang w:val="en-AU" w:eastAsia="en-AU"/>
        </w:rPr>
        <w:t xml:space="preserve"> Poult</w:t>
      </w:r>
      <w:r w:rsidR="00BE524B">
        <w:rPr>
          <w:noProof/>
          <w:lang w:val="en-AU" w:eastAsia="en-AU"/>
        </w:rPr>
        <w:t>ry</w:t>
      </w:r>
      <w:r w:rsidRPr="002F2711">
        <w:rPr>
          <w:noProof/>
          <w:lang w:val="en-AU" w:eastAsia="en-AU"/>
        </w:rPr>
        <w:t xml:space="preserve"> Res</w:t>
      </w:r>
      <w:r w:rsidR="00BE524B">
        <w:rPr>
          <w:noProof/>
          <w:lang w:val="en-AU" w:eastAsia="en-AU"/>
        </w:rPr>
        <w:t>earch</w:t>
      </w:r>
      <w:r w:rsidRPr="002F2711">
        <w:rPr>
          <w:noProof/>
          <w:lang w:val="en-AU" w:eastAsia="en-AU"/>
        </w:rPr>
        <w:t xml:space="preserve"> 16:509</w:t>
      </w:r>
      <w:r w:rsidR="00BE524B">
        <w:rPr>
          <w:noProof/>
          <w:lang w:val="en-AU" w:eastAsia="en-AU"/>
        </w:rPr>
        <w:t>-</w:t>
      </w:r>
      <w:r w:rsidRPr="002F2711">
        <w:rPr>
          <w:noProof/>
          <w:lang w:val="en-AU" w:eastAsia="en-AU"/>
        </w:rPr>
        <w:t>513.</w:t>
      </w:r>
    </w:p>
    <w:p w14:paraId="24A5C57B" w14:textId="77777777" w:rsidR="002F2711" w:rsidRPr="002F2711" w:rsidRDefault="002F2711" w:rsidP="002F2711">
      <w:pPr>
        <w:rPr>
          <w:noProof/>
          <w:lang w:val="en-AU" w:eastAsia="en-AU"/>
        </w:rPr>
      </w:pPr>
      <w:r w:rsidRPr="002F2711">
        <w:rPr>
          <w:noProof/>
          <w:lang w:val="en-AU" w:eastAsia="en-AU"/>
        </w:rPr>
        <w:t>Raj, A. B. M. 2006. Recent developments in stunning and slaughter of poultry. World</w:t>
      </w:r>
      <w:r w:rsidR="00BE524B">
        <w:rPr>
          <w:noProof/>
          <w:lang w:val="en-AU" w:eastAsia="en-AU"/>
        </w:rPr>
        <w:t>’s</w:t>
      </w:r>
      <w:r w:rsidRPr="002F2711">
        <w:rPr>
          <w:noProof/>
          <w:lang w:val="en-AU" w:eastAsia="en-AU"/>
        </w:rPr>
        <w:t xml:space="preserve"> Poult</w:t>
      </w:r>
      <w:r w:rsidR="00BE524B">
        <w:rPr>
          <w:noProof/>
          <w:lang w:val="en-AU" w:eastAsia="en-AU"/>
        </w:rPr>
        <w:t>ry</w:t>
      </w:r>
      <w:r w:rsidRPr="002F2711">
        <w:rPr>
          <w:noProof/>
          <w:lang w:val="en-AU" w:eastAsia="en-AU"/>
        </w:rPr>
        <w:t xml:space="preserve"> Sci</w:t>
      </w:r>
      <w:r w:rsidR="00BE524B">
        <w:rPr>
          <w:noProof/>
          <w:lang w:val="en-AU" w:eastAsia="en-AU"/>
        </w:rPr>
        <w:t>ence</w:t>
      </w:r>
      <w:r w:rsidRPr="002F2711">
        <w:rPr>
          <w:noProof/>
          <w:lang w:val="en-AU" w:eastAsia="en-AU"/>
        </w:rPr>
        <w:t xml:space="preserve"> J</w:t>
      </w:r>
      <w:r w:rsidR="00BE524B">
        <w:rPr>
          <w:noProof/>
          <w:lang w:val="en-AU" w:eastAsia="en-AU"/>
        </w:rPr>
        <w:t>ournal</w:t>
      </w:r>
      <w:r w:rsidRPr="002F2711">
        <w:rPr>
          <w:noProof/>
          <w:lang w:val="en-AU" w:eastAsia="en-AU"/>
        </w:rPr>
        <w:t xml:space="preserve"> 62:467</w:t>
      </w:r>
      <w:r w:rsidR="00BE524B">
        <w:rPr>
          <w:noProof/>
          <w:lang w:val="en-AU" w:eastAsia="en-AU"/>
        </w:rPr>
        <w:t>-</w:t>
      </w:r>
      <w:r w:rsidRPr="002F2711">
        <w:rPr>
          <w:noProof/>
          <w:lang w:val="en-AU" w:eastAsia="en-AU"/>
        </w:rPr>
        <w:t>484.</w:t>
      </w:r>
    </w:p>
    <w:p w14:paraId="0695B689" w14:textId="77777777" w:rsidR="002F2711" w:rsidRPr="002F2711" w:rsidRDefault="002F2711" w:rsidP="002F2711">
      <w:pPr>
        <w:rPr>
          <w:noProof/>
          <w:lang w:val="en-AU" w:eastAsia="en-AU"/>
        </w:rPr>
      </w:pPr>
      <w:r w:rsidRPr="002F2711">
        <w:rPr>
          <w:noProof/>
          <w:lang w:val="en-AU" w:eastAsia="en-AU"/>
        </w:rPr>
        <w:t>Raj, A. B. M., and N. G. Gregory. 1994. An evaluation of humane gas stunning methods for turkeys. Vet</w:t>
      </w:r>
      <w:r w:rsidR="00FF6A52">
        <w:rPr>
          <w:noProof/>
          <w:lang w:val="en-AU" w:eastAsia="en-AU"/>
        </w:rPr>
        <w:t>erinary</w:t>
      </w:r>
      <w:r w:rsidRPr="002F2711">
        <w:rPr>
          <w:noProof/>
          <w:lang w:val="en-AU" w:eastAsia="en-AU"/>
        </w:rPr>
        <w:t xml:space="preserve"> Rec</w:t>
      </w:r>
      <w:r w:rsidR="00FF6A52">
        <w:rPr>
          <w:noProof/>
          <w:lang w:val="en-AU" w:eastAsia="en-AU"/>
        </w:rPr>
        <w:t>ord</w:t>
      </w:r>
      <w:r w:rsidRPr="002F2711">
        <w:rPr>
          <w:noProof/>
          <w:lang w:val="en-AU" w:eastAsia="en-AU"/>
        </w:rPr>
        <w:t xml:space="preserve"> 135:222</w:t>
      </w:r>
      <w:r w:rsidR="00FF6A52">
        <w:rPr>
          <w:noProof/>
          <w:lang w:val="en-AU" w:eastAsia="en-AU"/>
        </w:rPr>
        <w:t>-</w:t>
      </w:r>
      <w:r w:rsidRPr="002F2711">
        <w:rPr>
          <w:noProof/>
          <w:lang w:val="en-AU" w:eastAsia="en-AU"/>
        </w:rPr>
        <w:t>223.</w:t>
      </w:r>
    </w:p>
    <w:p w14:paraId="388857BF" w14:textId="77777777" w:rsidR="002F2711" w:rsidRPr="002F2711" w:rsidRDefault="002F2711" w:rsidP="002F2711">
      <w:pPr>
        <w:rPr>
          <w:noProof/>
          <w:lang w:val="en-AU" w:eastAsia="en-AU"/>
        </w:rPr>
      </w:pPr>
      <w:r w:rsidRPr="002F2711">
        <w:rPr>
          <w:noProof/>
          <w:lang w:val="en-AU" w:eastAsia="en-AU"/>
        </w:rPr>
        <w:t>Raj, A. B. M., and N. Gregory. 1996. Welfare implication of the gas stunning of pigs 2: stress of induction of anaesthesia. Anim</w:t>
      </w:r>
      <w:r w:rsidR="00FF6A52">
        <w:rPr>
          <w:noProof/>
          <w:lang w:val="en-AU" w:eastAsia="en-AU"/>
        </w:rPr>
        <w:t>al</w:t>
      </w:r>
      <w:r w:rsidRPr="002F2711">
        <w:rPr>
          <w:noProof/>
          <w:lang w:val="en-AU" w:eastAsia="en-AU"/>
        </w:rPr>
        <w:t xml:space="preserve"> Welf</w:t>
      </w:r>
      <w:r w:rsidR="00FF6A52">
        <w:rPr>
          <w:noProof/>
          <w:lang w:val="en-AU" w:eastAsia="en-AU"/>
        </w:rPr>
        <w:t>are</w:t>
      </w:r>
      <w:r w:rsidRPr="002F2711">
        <w:rPr>
          <w:noProof/>
          <w:lang w:val="en-AU" w:eastAsia="en-AU"/>
        </w:rPr>
        <w:t xml:space="preserve"> 5:71</w:t>
      </w:r>
      <w:r w:rsidR="00FF6A52">
        <w:rPr>
          <w:noProof/>
          <w:lang w:val="en-AU" w:eastAsia="en-AU"/>
        </w:rPr>
        <w:t>-</w:t>
      </w:r>
      <w:r w:rsidRPr="002F2711">
        <w:rPr>
          <w:noProof/>
          <w:lang w:val="en-AU" w:eastAsia="en-AU"/>
        </w:rPr>
        <w:t>78.</w:t>
      </w:r>
    </w:p>
    <w:p w14:paraId="619B1A25" w14:textId="77777777" w:rsidR="002F2711" w:rsidRPr="002F2711" w:rsidRDefault="002F2711" w:rsidP="002F2711">
      <w:pPr>
        <w:rPr>
          <w:noProof/>
          <w:lang w:val="en-AU" w:eastAsia="en-AU"/>
        </w:rPr>
      </w:pPr>
      <w:r w:rsidRPr="002F2711">
        <w:rPr>
          <w:noProof/>
          <w:lang w:val="en-AU" w:eastAsia="en-AU"/>
        </w:rPr>
        <w:t>Raj, A. B. M., and M. O’Callaghan. 2001. Evaluation of a pneumatically operated captive bolt for stunning/killing broiler chickens. Br</w:t>
      </w:r>
      <w:r w:rsidR="00FF6A52">
        <w:rPr>
          <w:noProof/>
          <w:lang w:val="en-AU" w:eastAsia="en-AU"/>
        </w:rPr>
        <w:t>itish</w:t>
      </w:r>
      <w:r w:rsidRPr="002F2711">
        <w:rPr>
          <w:noProof/>
          <w:lang w:val="en-AU" w:eastAsia="en-AU"/>
        </w:rPr>
        <w:t xml:space="preserve"> Poult</w:t>
      </w:r>
      <w:r w:rsidR="00FF6A52">
        <w:rPr>
          <w:noProof/>
          <w:lang w:val="en-AU" w:eastAsia="en-AU"/>
        </w:rPr>
        <w:t xml:space="preserve">ry </w:t>
      </w:r>
      <w:r w:rsidRPr="002F2711">
        <w:rPr>
          <w:noProof/>
          <w:lang w:val="en-AU" w:eastAsia="en-AU"/>
        </w:rPr>
        <w:t>Sci</w:t>
      </w:r>
      <w:r w:rsidR="00FF6A52">
        <w:rPr>
          <w:noProof/>
          <w:lang w:val="en-AU" w:eastAsia="en-AU"/>
        </w:rPr>
        <w:t>ence</w:t>
      </w:r>
      <w:r w:rsidRPr="002F2711">
        <w:rPr>
          <w:noProof/>
          <w:lang w:val="en-AU" w:eastAsia="en-AU"/>
        </w:rPr>
        <w:t xml:space="preserve"> 42:295</w:t>
      </w:r>
      <w:r w:rsidR="00FF6A52">
        <w:rPr>
          <w:noProof/>
          <w:lang w:val="en-AU" w:eastAsia="en-AU"/>
        </w:rPr>
        <w:t>-29</w:t>
      </w:r>
      <w:r w:rsidRPr="002F2711">
        <w:rPr>
          <w:noProof/>
          <w:lang w:val="en-AU" w:eastAsia="en-AU"/>
        </w:rPr>
        <w:t>9</w:t>
      </w:r>
      <w:r w:rsidR="00FF6A52">
        <w:rPr>
          <w:noProof/>
          <w:lang w:val="en-AU" w:eastAsia="en-AU"/>
        </w:rPr>
        <w:t>.</w:t>
      </w:r>
    </w:p>
    <w:p w14:paraId="1646DC87" w14:textId="77777777" w:rsidR="002F2711" w:rsidRPr="002F2711" w:rsidRDefault="002F2711" w:rsidP="002F2711">
      <w:pPr>
        <w:rPr>
          <w:noProof/>
          <w:lang w:val="en-AU" w:eastAsia="en-AU"/>
        </w:rPr>
      </w:pPr>
      <w:r w:rsidRPr="002F2711">
        <w:rPr>
          <w:noProof/>
          <w:lang w:val="en-AU" w:eastAsia="en-AU"/>
        </w:rPr>
        <w:t>Raj, A. B. M., and M. O’Callaghan. 2004a. Effects of electrical water bath stunning current frequencies on the spontaneous electroencephalogram and somatosensory evoked potentials in hens. Br</w:t>
      </w:r>
      <w:r w:rsidR="00FF6A52">
        <w:rPr>
          <w:noProof/>
          <w:lang w:val="en-AU" w:eastAsia="en-AU"/>
        </w:rPr>
        <w:t>itish</w:t>
      </w:r>
      <w:r w:rsidRPr="002F2711">
        <w:rPr>
          <w:noProof/>
          <w:lang w:val="en-AU" w:eastAsia="en-AU"/>
        </w:rPr>
        <w:t xml:space="preserve"> Poult</w:t>
      </w:r>
      <w:r w:rsidR="00FF6A52">
        <w:rPr>
          <w:noProof/>
          <w:lang w:val="en-AU" w:eastAsia="en-AU"/>
        </w:rPr>
        <w:t>ry</w:t>
      </w:r>
      <w:r w:rsidRPr="002F2711">
        <w:rPr>
          <w:noProof/>
          <w:lang w:val="en-AU" w:eastAsia="en-AU"/>
        </w:rPr>
        <w:t xml:space="preserve"> Sci</w:t>
      </w:r>
      <w:r w:rsidR="00FF6A52">
        <w:rPr>
          <w:noProof/>
          <w:lang w:val="en-AU" w:eastAsia="en-AU"/>
        </w:rPr>
        <w:t>ence</w:t>
      </w:r>
      <w:r w:rsidRPr="002F2711">
        <w:rPr>
          <w:noProof/>
          <w:lang w:val="en-AU" w:eastAsia="en-AU"/>
        </w:rPr>
        <w:t xml:space="preserve"> 45:230</w:t>
      </w:r>
      <w:r w:rsidR="00FF6A52">
        <w:rPr>
          <w:noProof/>
          <w:lang w:val="en-AU" w:eastAsia="en-AU"/>
        </w:rPr>
        <w:t>-</w:t>
      </w:r>
      <w:r w:rsidRPr="002F2711">
        <w:rPr>
          <w:noProof/>
          <w:lang w:val="en-AU" w:eastAsia="en-AU"/>
        </w:rPr>
        <w:t>236.</w:t>
      </w:r>
    </w:p>
    <w:p w14:paraId="3786EDC7" w14:textId="77777777" w:rsidR="002F2711" w:rsidRPr="002F2711" w:rsidRDefault="002F2711" w:rsidP="002F2711">
      <w:pPr>
        <w:rPr>
          <w:noProof/>
          <w:lang w:val="en-AU" w:eastAsia="en-AU"/>
        </w:rPr>
      </w:pPr>
      <w:r w:rsidRPr="002F2711">
        <w:rPr>
          <w:noProof/>
          <w:lang w:val="en-AU" w:eastAsia="en-AU"/>
        </w:rPr>
        <w:t>Raj, A. B. M., and M. O’Callaghan. 2004b. Effect of amount and frequency of head-only stunning currents on the electroencephalogram and somatosensory evoked potentials in broilers. Anim</w:t>
      </w:r>
      <w:r w:rsidR="00FF6A52">
        <w:rPr>
          <w:noProof/>
          <w:lang w:val="en-AU" w:eastAsia="en-AU"/>
        </w:rPr>
        <w:t>al</w:t>
      </w:r>
      <w:r w:rsidRPr="002F2711">
        <w:rPr>
          <w:noProof/>
          <w:lang w:val="en-AU" w:eastAsia="en-AU"/>
        </w:rPr>
        <w:t xml:space="preserve"> Welf</w:t>
      </w:r>
      <w:r w:rsidR="00FF6A52">
        <w:rPr>
          <w:noProof/>
          <w:lang w:val="en-AU" w:eastAsia="en-AU"/>
        </w:rPr>
        <w:t>are</w:t>
      </w:r>
      <w:r w:rsidRPr="002F2711">
        <w:rPr>
          <w:noProof/>
          <w:lang w:val="en-AU" w:eastAsia="en-AU"/>
        </w:rPr>
        <w:t xml:space="preserve"> 13:159</w:t>
      </w:r>
      <w:r w:rsidR="00FF6A52">
        <w:rPr>
          <w:noProof/>
          <w:lang w:val="en-AU" w:eastAsia="en-AU"/>
        </w:rPr>
        <w:t>-</w:t>
      </w:r>
      <w:r w:rsidRPr="002F2711">
        <w:rPr>
          <w:noProof/>
          <w:lang w:val="en-AU" w:eastAsia="en-AU"/>
        </w:rPr>
        <w:t>170.</w:t>
      </w:r>
    </w:p>
    <w:p w14:paraId="4E5CB0C0" w14:textId="77777777" w:rsidR="002F231F" w:rsidRPr="002F2711" w:rsidRDefault="002F231F" w:rsidP="002F231F">
      <w:pPr>
        <w:rPr>
          <w:noProof/>
          <w:lang w:val="en-AU" w:eastAsia="en-AU"/>
        </w:rPr>
      </w:pPr>
      <w:r w:rsidRPr="002F2711">
        <w:rPr>
          <w:noProof/>
          <w:lang w:val="en-AU" w:eastAsia="en-AU"/>
        </w:rPr>
        <w:t xml:space="preserve">Raj, A. B. M., M. O. Callaghan, and S. I. Hughes. 2006a. The effects of amount and frequency of pulsed direct current used in water bath stunning and of slaughter methods on spontaneous electroencephalograms in broilers. </w:t>
      </w:r>
      <w:r>
        <w:rPr>
          <w:noProof/>
          <w:lang w:val="en-AU" w:eastAsia="en-AU"/>
        </w:rPr>
        <w:t>Animal Welfare 15</w:t>
      </w:r>
      <w:r w:rsidRPr="002F2711">
        <w:rPr>
          <w:noProof/>
          <w:lang w:val="en-AU" w:eastAsia="en-AU"/>
        </w:rPr>
        <w:t>:19</w:t>
      </w:r>
      <w:r>
        <w:rPr>
          <w:noProof/>
          <w:lang w:val="en-AU" w:eastAsia="en-AU"/>
        </w:rPr>
        <w:t>-</w:t>
      </w:r>
      <w:r w:rsidRPr="002F2711">
        <w:rPr>
          <w:noProof/>
          <w:lang w:val="en-AU" w:eastAsia="en-AU"/>
        </w:rPr>
        <w:t>24.</w:t>
      </w:r>
    </w:p>
    <w:p w14:paraId="54F59E33" w14:textId="77777777" w:rsidR="002F2711" w:rsidRPr="002F2711" w:rsidRDefault="002F2711" w:rsidP="002F2711">
      <w:pPr>
        <w:rPr>
          <w:noProof/>
          <w:lang w:val="en-AU" w:eastAsia="en-AU"/>
        </w:rPr>
      </w:pPr>
      <w:r w:rsidRPr="002F2711">
        <w:rPr>
          <w:noProof/>
          <w:lang w:val="en-AU" w:eastAsia="en-AU"/>
        </w:rPr>
        <w:t>Raj, A. B. M., M. O’Callaghan, and S. I. Hughes. 2006b. The effects of pulse width of a direct current used in water bath stunning and of slaughter methods on spontaneous electroencephalograms in broilers. Anim</w:t>
      </w:r>
      <w:r w:rsidR="00FF6A52">
        <w:rPr>
          <w:noProof/>
          <w:lang w:val="en-AU" w:eastAsia="en-AU"/>
        </w:rPr>
        <w:t>al</w:t>
      </w:r>
      <w:r w:rsidRPr="002F2711">
        <w:rPr>
          <w:noProof/>
          <w:lang w:val="en-AU" w:eastAsia="en-AU"/>
        </w:rPr>
        <w:t xml:space="preserve"> Welf</w:t>
      </w:r>
      <w:r w:rsidR="00FF6A52">
        <w:rPr>
          <w:noProof/>
          <w:lang w:val="en-AU" w:eastAsia="en-AU"/>
        </w:rPr>
        <w:t>are</w:t>
      </w:r>
      <w:r w:rsidRPr="002F2711">
        <w:rPr>
          <w:noProof/>
          <w:lang w:val="en-AU" w:eastAsia="en-AU"/>
        </w:rPr>
        <w:t xml:space="preserve"> 15:25</w:t>
      </w:r>
      <w:r w:rsidR="00FF6A52">
        <w:rPr>
          <w:noProof/>
          <w:lang w:val="en-AU" w:eastAsia="en-AU"/>
        </w:rPr>
        <w:t>-</w:t>
      </w:r>
      <w:r w:rsidRPr="002F2711">
        <w:rPr>
          <w:noProof/>
          <w:lang w:val="en-AU" w:eastAsia="en-AU"/>
        </w:rPr>
        <w:t>30.</w:t>
      </w:r>
    </w:p>
    <w:p w14:paraId="6DC2EC4E" w14:textId="77777777" w:rsidR="002F2711" w:rsidRPr="002F2711" w:rsidRDefault="002F2711" w:rsidP="002F2711">
      <w:pPr>
        <w:rPr>
          <w:noProof/>
          <w:lang w:val="en-AU" w:eastAsia="en-AU"/>
        </w:rPr>
      </w:pPr>
      <w:r w:rsidRPr="002F2711">
        <w:rPr>
          <w:noProof/>
          <w:lang w:val="en-AU" w:eastAsia="en-AU"/>
        </w:rPr>
        <w:t>Raj, A. B. M., M. O’Callaghan, and T. G. Knowles. 2006c. The effects of amount and frequency of alternating current used in water bath stunning and of slaughter methods on electroencephalogram</w:t>
      </w:r>
      <w:r w:rsidR="00FF6A52">
        <w:rPr>
          <w:noProof/>
          <w:lang w:val="en-AU" w:eastAsia="en-AU"/>
        </w:rPr>
        <w:t>s in broilers. Animal Welfare 15:7-</w:t>
      </w:r>
      <w:r w:rsidRPr="002F2711">
        <w:rPr>
          <w:noProof/>
          <w:lang w:val="en-AU" w:eastAsia="en-AU"/>
        </w:rPr>
        <w:t>18.</w:t>
      </w:r>
    </w:p>
    <w:p w14:paraId="69F06E1C" w14:textId="77777777" w:rsidR="002F2711" w:rsidRPr="002F2711" w:rsidRDefault="002F2711" w:rsidP="002F2711">
      <w:pPr>
        <w:rPr>
          <w:noProof/>
          <w:lang w:val="en-AU" w:eastAsia="en-AU"/>
        </w:rPr>
      </w:pPr>
      <w:r w:rsidRPr="002F2711">
        <w:rPr>
          <w:noProof/>
          <w:lang w:val="en-AU" w:eastAsia="en-AU"/>
        </w:rPr>
        <w:t>Raj, A. B. M., and P. Whittington. 1995. Euthanasia of day-old chicks with carbon-dioxide and argon. Vet</w:t>
      </w:r>
      <w:r w:rsidR="00FF6A52">
        <w:rPr>
          <w:noProof/>
          <w:lang w:val="en-AU" w:eastAsia="en-AU"/>
        </w:rPr>
        <w:t>erinary</w:t>
      </w:r>
      <w:r w:rsidRPr="002F2711">
        <w:rPr>
          <w:noProof/>
          <w:lang w:val="en-AU" w:eastAsia="en-AU"/>
        </w:rPr>
        <w:t xml:space="preserve"> Rec</w:t>
      </w:r>
      <w:r w:rsidR="00FF6A52">
        <w:rPr>
          <w:noProof/>
          <w:lang w:val="en-AU" w:eastAsia="en-AU"/>
        </w:rPr>
        <w:t>ord</w:t>
      </w:r>
      <w:r w:rsidRPr="002F2711">
        <w:rPr>
          <w:noProof/>
          <w:lang w:val="en-AU" w:eastAsia="en-AU"/>
        </w:rPr>
        <w:t xml:space="preserve"> 136:292</w:t>
      </w:r>
      <w:r w:rsidR="00FF6A52">
        <w:rPr>
          <w:noProof/>
          <w:lang w:val="en-AU" w:eastAsia="en-AU"/>
        </w:rPr>
        <w:t>-</w:t>
      </w:r>
      <w:r w:rsidRPr="002F2711">
        <w:rPr>
          <w:noProof/>
          <w:lang w:val="en-AU" w:eastAsia="en-AU"/>
        </w:rPr>
        <w:t>294.</w:t>
      </w:r>
    </w:p>
    <w:p w14:paraId="47BD1917" w14:textId="77777777" w:rsidR="002F2711" w:rsidRPr="002F2711" w:rsidRDefault="002F2711" w:rsidP="002F2711">
      <w:pPr>
        <w:rPr>
          <w:noProof/>
          <w:lang w:val="en-AU" w:eastAsia="en-AU"/>
        </w:rPr>
      </w:pPr>
      <w:r w:rsidRPr="002F2711">
        <w:rPr>
          <w:noProof/>
          <w:lang w:val="en-AU" w:eastAsia="en-AU"/>
        </w:rPr>
        <w:t>Raj, A. B. M., S. Wotton, and N. G. Gregory. 1992. Changes in the somatosensory evoked potentials and spontaneous electroencephalogram of hens during stunning with a carbon dioxide and argon mixture. Br</w:t>
      </w:r>
      <w:r w:rsidR="00FF6A52">
        <w:rPr>
          <w:noProof/>
          <w:lang w:val="en-AU" w:eastAsia="en-AU"/>
        </w:rPr>
        <w:t>itish</w:t>
      </w:r>
      <w:r w:rsidRPr="002F2711">
        <w:rPr>
          <w:noProof/>
          <w:lang w:val="en-AU" w:eastAsia="en-AU"/>
        </w:rPr>
        <w:t xml:space="preserve"> Vet</w:t>
      </w:r>
      <w:r w:rsidR="00FF6A52">
        <w:rPr>
          <w:noProof/>
          <w:lang w:val="en-AU" w:eastAsia="en-AU"/>
        </w:rPr>
        <w:t>erinary</w:t>
      </w:r>
      <w:r w:rsidRPr="002F2711">
        <w:rPr>
          <w:noProof/>
          <w:lang w:val="en-AU" w:eastAsia="en-AU"/>
        </w:rPr>
        <w:t xml:space="preserve"> J</w:t>
      </w:r>
      <w:r w:rsidR="00FF6A52">
        <w:rPr>
          <w:noProof/>
          <w:lang w:val="en-AU" w:eastAsia="en-AU"/>
        </w:rPr>
        <w:t xml:space="preserve">ournal </w:t>
      </w:r>
      <w:r w:rsidRPr="002F2711">
        <w:rPr>
          <w:noProof/>
          <w:lang w:val="en-AU" w:eastAsia="en-AU"/>
        </w:rPr>
        <w:t>148:147</w:t>
      </w:r>
      <w:r w:rsidR="00FF6A52">
        <w:rPr>
          <w:noProof/>
          <w:lang w:val="en-AU" w:eastAsia="en-AU"/>
        </w:rPr>
        <w:t>-</w:t>
      </w:r>
      <w:r w:rsidRPr="002F2711">
        <w:rPr>
          <w:noProof/>
          <w:lang w:val="en-AU" w:eastAsia="en-AU"/>
        </w:rPr>
        <w:t>156.</w:t>
      </w:r>
    </w:p>
    <w:p w14:paraId="3C7856EE" w14:textId="77777777" w:rsidR="002F2711" w:rsidRPr="002F2711" w:rsidRDefault="002F2711" w:rsidP="002F2711">
      <w:pPr>
        <w:rPr>
          <w:noProof/>
          <w:lang w:val="en-AU" w:eastAsia="en-AU"/>
        </w:rPr>
      </w:pPr>
      <w:r w:rsidRPr="002F2711">
        <w:rPr>
          <w:noProof/>
          <w:lang w:val="en-AU" w:eastAsia="en-AU"/>
        </w:rPr>
        <w:t>Rao, M. A., T. G. Knowles, and S. Wotton. 2013. The effect of pre-stun shocks in electrical water-bath stunners on carcase and meat quality in broilers. Anim</w:t>
      </w:r>
      <w:r w:rsidR="00FF6A52">
        <w:rPr>
          <w:noProof/>
          <w:lang w:val="en-AU" w:eastAsia="en-AU"/>
        </w:rPr>
        <w:t>al</w:t>
      </w:r>
      <w:r w:rsidRPr="002F2711">
        <w:rPr>
          <w:noProof/>
          <w:lang w:val="en-AU" w:eastAsia="en-AU"/>
        </w:rPr>
        <w:t xml:space="preserve"> Welf</w:t>
      </w:r>
      <w:r w:rsidR="00FF6A52">
        <w:rPr>
          <w:noProof/>
          <w:lang w:val="en-AU" w:eastAsia="en-AU"/>
        </w:rPr>
        <w:t>are</w:t>
      </w:r>
      <w:r w:rsidRPr="002F2711">
        <w:rPr>
          <w:noProof/>
          <w:lang w:val="en-AU" w:eastAsia="en-AU"/>
        </w:rPr>
        <w:t xml:space="preserve"> 22:79–84.</w:t>
      </w:r>
    </w:p>
    <w:p w14:paraId="6FABBE8D" w14:textId="77777777" w:rsidR="002F2711" w:rsidRPr="002F2711" w:rsidRDefault="002F2711" w:rsidP="002F2711">
      <w:pPr>
        <w:rPr>
          <w:noProof/>
          <w:lang w:val="en-AU" w:eastAsia="en-AU"/>
        </w:rPr>
      </w:pPr>
      <w:r w:rsidRPr="002F2711">
        <w:rPr>
          <w:noProof/>
          <w:lang w:val="en-AU" w:eastAsia="en-AU"/>
        </w:rPr>
        <w:t xml:space="preserve">Sandilands, V., </w:t>
      </w:r>
      <w:r w:rsidR="00FF6A52">
        <w:rPr>
          <w:noProof/>
          <w:lang w:val="en-AU" w:eastAsia="en-AU"/>
        </w:rPr>
        <w:t xml:space="preserve">A. B. M. </w:t>
      </w:r>
      <w:r w:rsidRPr="002F2711">
        <w:rPr>
          <w:noProof/>
          <w:lang w:val="en-AU" w:eastAsia="en-AU"/>
        </w:rPr>
        <w:t>R</w:t>
      </w:r>
      <w:r w:rsidR="00FF6A52">
        <w:rPr>
          <w:noProof/>
          <w:lang w:val="en-AU" w:eastAsia="en-AU"/>
        </w:rPr>
        <w:t>aj</w:t>
      </w:r>
      <w:r w:rsidRPr="002F2711">
        <w:rPr>
          <w:noProof/>
          <w:lang w:val="en-AU" w:eastAsia="en-AU"/>
        </w:rPr>
        <w:t xml:space="preserve">, L. Baker, and </w:t>
      </w:r>
      <w:r w:rsidR="00FF6A52">
        <w:rPr>
          <w:noProof/>
          <w:lang w:val="en-AU" w:eastAsia="en-AU"/>
        </w:rPr>
        <w:t>N. H. C. Sparks</w:t>
      </w:r>
      <w:r w:rsidRPr="002F2711">
        <w:rPr>
          <w:noProof/>
          <w:lang w:val="en-AU" w:eastAsia="en-AU"/>
        </w:rPr>
        <w:t>. 2011. Aversion of chickens to various lethal gas mixtures. Anim</w:t>
      </w:r>
      <w:r w:rsidR="00FF6A52">
        <w:rPr>
          <w:noProof/>
          <w:lang w:val="en-AU" w:eastAsia="en-AU"/>
        </w:rPr>
        <w:t>al</w:t>
      </w:r>
      <w:r w:rsidRPr="002F2711">
        <w:rPr>
          <w:noProof/>
          <w:lang w:val="en-AU" w:eastAsia="en-AU"/>
        </w:rPr>
        <w:t xml:space="preserve"> Welf</w:t>
      </w:r>
      <w:r w:rsidR="00FF6A52">
        <w:rPr>
          <w:noProof/>
          <w:lang w:val="en-AU" w:eastAsia="en-AU"/>
        </w:rPr>
        <w:t>are</w:t>
      </w:r>
      <w:r w:rsidRPr="002F2711">
        <w:rPr>
          <w:noProof/>
          <w:lang w:val="en-AU" w:eastAsia="en-AU"/>
        </w:rPr>
        <w:t xml:space="preserve"> 20:253</w:t>
      </w:r>
      <w:r w:rsidR="00FF6A52">
        <w:rPr>
          <w:noProof/>
          <w:lang w:val="en-AU" w:eastAsia="en-AU"/>
        </w:rPr>
        <w:t>-</w:t>
      </w:r>
      <w:r w:rsidRPr="002F2711">
        <w:rPr>
          <w:noProof/>
          <w:lang w:val="en-AU" w:eastAsia="en-AU"/>
        </w:rPr>
        <w:t>262.</w:t>
      </w:r>
    </w:p>
    <w:p w14:paraId="2ABA1C1D" w14:textId="77777777" w:rsidR="002F2711" w:rsidRPr="002F2711" w:rsidRDefault="002F2711" w:rsidP="002F2711">
      <w:pPr>
        <w:rPr>
          <w:noProof/>
          <w:lang w:val="en-AU" w:eastAsia="en-AU"/>
        </w:rPr>
      </w:pPr>
      <w:r w:rsidRPr="002F2711">
        <w:rPr>
          <w:noProof/>
          <w:lang w:val="en-AU" w:eastAsia="en-AU"/>
        </w:rPr>
        <w:t>Satterlee, D. G., L. H. Parker,</w:t>
      </w:r>
      <w:r w:rsidR="00B21095">
        <w:rPr>
          <w:noProof/>
          <w:lang w:val="en-AU" w:eastAsia="en-AU"/>
        </w:rPr>
        <w:t xml:space="preserve"> S. A.</w:t>
      </w:r>
      <w:r w:rsidRPr="002F2711">
        <w:rPr>
          <w:noProof/>
          <w:lang w:val="en-AU" w:eastAsia="en-AU"/>
        </w:rPr>
        <w:t xml:space="preserve"> Castille, G. G. Cadd, and R. B. Jones. 2000. Struggling behavior in shackled male and female broiler chickens. Poult</w:t>
      </w:r>
      <w:r w:rsidR="00FF6A52">
        <w:rPr>
          <w:noProof/>
          <w:lang w:val="en-AU" w:eastAsia="en-AU"/>
        </w:rPr>
        <w:t>ry</w:t>
      </w:r>
      <w:r w:rsidRPr="002F2711">
        <w:rPr>
          <w:noProof/>
          <w:lang w:val="en-AU" w:eastAsia="en-AU"/>
        </w:rPr>
        <w:t xml:space="preserve"> Sci</w:t>
      </w:r>
      <w:r w:rsidR="00FF6A52">
        <w:rPr>
          <w:noProof/>
          <w:lang w:val="en-AU" w:eastAsia="en-AU"/>
        </w:rPr>
        <w:t>ence</w:t>
      </w:r>
      <w:r w:rsidRPr="002F2711">
        <w:rPr>
          <w:noProof/>
          <w:lang w:val="en-AU" w:eastAsia="en-AU"/>
        </w:rPr>
        <w:t xml:space="preserve"> 79:652</w:t>
      </w:r>
      <w:r w:rsidR="00FF6A52">
        <w:rPr>
          <w:noProof/>
          <w:lang w:val="en-AU" w:eastAsia="en-AU"/>
        </w:rPr>
        <w:t>-</w:t>
      </w:r>
      <w:r w:rsidRPr="002F2711">
        <w:rPr>
          <w:noProof/>
          <w:lang w:val="en-AU" w:eastAsia="en-AU"/>
        </w:rPr>
        <w:t>655.</w:t>
      </w:r>
    </w:p>
    <w:p w14:paraId="40D545CC" w14:textId="77777777" w:rsidR="002F2711" w:rsidRDefault="002F2711" w:rsidP="002F2711">
      <w:pPr>
        <w:rPr>
          <w:noProof/>
          <w:lang w:val="en-AU" w:eastAsia="en-AU"/>
        </w:rPr>
      </w:pPr>
      <w:r w:rsidRPr="002F2711">
        <w:rPr>
          <w:noProof/>
          <w:lang w:val="en-AU" w:eastAsia="en-AU"/>
        </w:rPr>
        <w:t>Schutt-Abraham, I., and H. J. Wormuth. 1991. Anforderungen an eine tierschutzgerechte elektrische betaub</w:t>
      </w:r>
      <w:r w:rsidR="00FF6A52">
        <w:rPr>
          <w:noProof/>
          <w:lang w:val="en-AU" w:eastAsia="en-AU"/>
        </w:rPr>
        <w:t>ung von schlachtegeflugel. Rund</w:t>
      </w:r>
      <w:r w:rsidRPr="002F2711">
        <w:rPr>
          <w:noProof/>
          <w:lang w:val="en-AU" w:eastAsia="en-AU"/>
        </w:rPr>
        <w:t>schau fur Fleischhygiene und Leb</w:t>
      </w:r>
      <w:r w:rsidR="00FF6A52">
        <w:rPr>
          <w:noProof/>
          <w:lang w:val="en-AU" w:eastAsia="en-AU"/>
        </w:rPr>
        <w:t>ensmitteluberwachung</w:t>
      </w:r>
      <w:r w:rsidRPr="002F2711">
        <w:rPr>
          <w:noProof/>
          <w:lang w:val="en-AU" w:eastAsia="en-AU"/>
        </w:rPr>
        <w:t xml:space="preserve"> 43:7</w:t>
      </w:r>
      <w:r w:rsidR="00FF6A52">
        <w:rPr>
          <w:noProof/>
          <w:lang w:val="en-AU" w:eastAsia="en-AU"/>
        </w:rPr>
        <w:t>-</w:t>
      </w:r>
      <w:r w:rsidRPr="002F2711">
        <w:rPr>
          <w:noProof/>
          <w:lang w:val="en-AU" w:eastAsia="en-AU"/>
        </w:rPr>
        <w:t>8.</w:t>
      </w:r>
    </w:p>
    <w:p w14:paraId="50E384F7" w14:textId="77777777" w:rsidR="00A6700D" w:rsidRPr="002F2711" w:rsidRDefault="00A6700D" w:rsidP="002F2711">
      <w:pPr>
        <w:rPr>
          <w:noProof/>
          <w:lang w:val="en-AU" w:eastAsia="en-AU"/>
        </w:rPr>
      </w:pPr>
      <w:r>
        <w:rPr>
          <w:noProof/>
          <w:lang w:val="en-AU" w:eastAsia="en-AU"/>
        </w:rPr>
        <w:t>Singh, P. M., C. B. Johnson, B. Gartrell, S. Mitchinson, A. Jacob, and P. Chambers. 2017. Analgesic effects of morphine and butorphanol in broiler chickens. Veterinary Anaesthesia and Analgesia 44:538-545.</w:t>
      </w:r>
    </w:p>
    <w:p w14:paraId="4370DA1D" w14:textId="77777777" w:rsidR="002F2711" w:rsidRPr="002F2711" w:rsidRDefault="002F2711" w:rsidP="002F2711">
      <w:pPr>
        <w:rPr>
          <w:noProof/>
          <w:lang w:val="en-AU" w:eastAsia="en-AU"/>
        </w:rPr>
      </w:pPr>
      <w:r w:rsidRPr="002F2711">
        <w:rPr>
          <w:noProof/>
          <w:lang w:val="en-AU" w:eastAsia="en-AU"/>
        </w:rPr>
        <w:t xml:space="preserve">Sparrey, J. 1995. Aspects in the design and operation of shackle lines for the slaughter of </w:t>
      </w:r>
      <w:r w:rsidR="00F01C86">
        <w:rPr>
          <w:noProof/>
          <w:lang w:val="en-AU" w:eastAsia="en-AU"/>
        </w:rPr>
        <w:t>p</w:t>
      </w:r>
      <w:r w:rsidRPr="002F2711">
        <w:rPr>
          <w:noProof/>
          <w:lang w:val="en-AU" w:eastAsia="en-AU"/>
        </w:rPr>
        <w:t>oultry.</w:t>
      </w:r>
      <w:r w:rsidR="00893DB9">
        <w:rPr>
          <w:noProof/>
          <w:lang w:val="en-AU" w:eastAsia="en-AU"/>
        </w:rPr>
        <w:t xml:space="preserve"> MPhil</w:t>
      </w:r>
      <w:r w:rsidR="00F01C86">
        <w:rPr>
          <w:noProof/>
          <w:lang w:val="en-AU" w:eastAsia="en-AU"/>
        </w:rPr>
        <w:t xml:space="preserve"> thesis, University of Newcastle upon Tyne.</w:t>
      </w:r>
    </w:p>
    <w:p w14:paraId="5B6C50F7" w14:textId="77777777" w:rsidR="002F2711" w:rsidRPr="002F2711" w:rsidRDefault="002F2711" w:rsidP="002F2711">
      <w:pPr>
        <w:rPr>
          <w:noProof/>
          <w:lang w:val="en-AU" w:eastAsia="en-AU"/>
        </w:rPr>
      </w:pPr>
      <w:r w:rsidRPr="002F2711">
        <w:rPr>
          <w:noProof/>
          <w:lang w:val="en-AU" w:eastAsia="en-AU"/>
        </w:rPr>
        <w:t>Sparrey, J. M., P. J. Ket</w:t>
      </w:r>
      <w:r w:rsidR="00310B17">
        <w:rPr>
          <w:noProof/>
          <w:lang w:val="en-AU" w:eastAsia="en-AU"/>
        </w:rPr>
        <w:t>t</w:t>
      </w:r>
      <w:r w:rsidRPr="002F2711">
        <w:rPr>
          <w:noProof/>
          <w:lang w:val="en-AU" w:eastAsia="en-AU"/>
        </w:rPr>
        <w:t>lewell, M. E. R. Paice, and W. C. Whetlor. 1993. Development of a Constant Current Water Bath Stunner for Poultry Processing. J</w:t>
      </w:r>
      <w:r w:rsidR="00F01C86">
        <w:rPr>
          <w:noProof/>
          <w:lang w:val="en-AU" w:eastAsia="en-AU"/>
        </w:rPr>
        <w:t xml:space="preserve">ournal of </w:t>
      </w:r>
      <w:r w:rsidRPr="002F2711">
        <w:rPr>
          <w:noProof/>
          <w:lang w:val="en-AU" w:eastAsia="en-AU"/>
        </w:rPr>
        <w:t>Agric</w:t>
      </w:r>
      <w:r w:rsidR="00F01C86">
        <w:rPr>
          <w:noProof/>
          <w:lang w:val="en-AU" w:eastAsia="en-AU"/>
        </w:rPr>
        <w:t>ultural</w:t>
      </w:r>
      <w:r w:rsidRPr="002F2711">
        <w:rPr>
          <w:noProof/>
          <w:lang w:val="en-AU" w:eastAsia="en-AU"/>
        </w:rPr>
        <w:t xml:space="preserve"> Eng</w:t>
      </w:r>
      <w:r w:rsidR="00F01C86">
        <w:rPr>
          <w:noProof/>
          <w:lang w:val="en-AU" w:eastAsia="en-AU"/>
        </w:rPr>
        <w:t>ineering</w:t>
      </w:r>
      <w:r w:rsidRPr="002F2711">
        <w:rPr>
          <w:noProof/>
          <w:lang w:val="en-AU" w:eastAsia="en-AU"/>
        </w:rPr>
        <w:t xml:space="preserve"> Res</w:t>
      </w:r>
      <w:r w:rsidR="00F01C86">
        <w:rPr>
          <w:noProof/>
          <w:lang w:val="en-AU" w:eastAsia="en-AU"/>
        </w:rPr>
        <w:t>earch</w:t>
      </w:r>
      <w:r w:rsidRPr="002F2711">
        <w:rPr>
          <w:noProof/>
          <w:lang w:val="en-AU" w:eastAsia="en-AU"/>
        </w:rPr>
        <w:t xml:space="preserve"> 56:267</w:t>
      </w:r>
      <w:r w:rsidR="00F01C86">
        <w:rPr>
          <w:noProof/>
          <w:lang w:val="en-AU" w:eastAsia="en-AU"/>
        </w:rPr>
        <w:t>-</w:t>
      </w:r>
      <w:r w:rsidRPr="002F2711">
        <w:rPr>
          <w:noProof/>
          <w:lang w:val="en-AU" w:eastAsia="en-AU"/>
        </w:rPr>
        <w:t>27</w:t>
      </w:r>
      <w:r w:rsidR="00F01C86">
        <w:rPr>
          <w:noProof/>
          <w:lang w:val="en-AU" w:eastAsia="en-AU"/>
        </w:rPr>
        <w:t>4</w:t>
      </w:r>
      <w:r w:rsidRPr="002F2711">
        <w:rPr>
          <w:noProof/>
          <w:lang w:val="en-AU" w:eastAsia="en-AU"/>
        </w:rPr>
        <w:t>.</w:t>
      </w:r>
    </w:p>
    <w:p w14:paraId="656B0A0A" w14:textId="77777777" w:rsidR="002F2711" w:rsidRPr="002F2711" w:rsidRDefault="002F2711" w:rsidP="002F2711">
      <w:pPr>
        <w:rPr>
          <w:noProof/>
          <w:lang w:val="en-AU" w:eastAsia="en-AU"/>
        </w:rPr>
      </w:pPr>
      <w:r w:rsidRPr="002F2711">
        <w:rPr>
          <w:noProof/>
          <w:lang w:val="en-AU" w:eastAsia="en-AU"/>
        </w:rPr>
        <w:t>Terlouw, C., C. C. Bourguet, and V. Deiss. 2016. Consciousness, unconsciousness and death in the context of slaughter. Part II. Evaluation methods. Meat Sci</w:t>
      </w:r>
      <w:r w:rsidR="00310B17">
        <w:rPr>
          <w:noProof/>
          <w:lang w:val="en-AU" w:eastAsia="en-AU"/>
        </w:rPr>
        <w:t>ence</w:t>
      </w:r>
      <w:r w:rsidRPr="002F2711">
        <w:rPr>
          <w:noProof/>
          <w:lang w:val="en-AU" w:eastAsia="en-AU"/>
        </w:rPr>
        <w:t xml:space="preserve"> 118:147</w:t>
      </w:r>
      <w:r w:rsidR="00310B17">
        <w:rPr>
          <w:noProof/>
          <w:lang w:val="en-AU" w:eastAsia="en-AU"/>
        </w:rPr>
        <w:t>-</w:t>
      </w:r>
      <w:r w:rsidRPr="002F2711">
        <w:rPr>
          <w:noProof/>
          <w:lang w:val="en-AU" w:eastAsia="en-AU"/>
        </w:rPr>
        <w:t>156</w:t>
      </w:r>
      <w:r w:rsidR="00310B17">
        <w:rPr>
          <w:noProof/>
          <w:lang w:val="en-AU" w:eastAsia="en-AU"/>
        </w:rPr>
        <w:t>.</w:t>
      </w:r>
      <w:r w:rsidR="003B55FF">
        <w:rPr>
          <w:noProof/>
          <w:lang w:val="en-AU" w:eastAsia="en-AU"/>
        </w:rPr>
        <w:t xml:space="preserve"> doi </w:t>
      </w:r>
      <w:r w:rsidR="003B55FF" w:rsidRPr="003B55FF">
        <w:rPr>
          <w:noProof/>
          <w:lang w:val="en-AU" w:eastAsia="en-AU"/>
        </w:rPr>
        <w:t>10.1016/j.meatsci.2016.03.010</w:t>
      </w:r>
    </w:p>
    <w:p w14:paraId="566D1A91" w14:textId="77777777" w:rsidR="002F2711" w:rsidRPr="002F2711" w:rsidRDefault="002F2711" w:rsidP="002F2711">
      <w:pPr>
        <w:rPr>
          <w:noProof/>
          <w:lang w:val="en-AU" w:eastAsia="en-AU"/>
        </w:rPr>
      </w:pPr>
      <w:r w:rsidRPr="002F2711">
        <w:rPr>
          <w:noProof/>
          <w:lang w:val="en-AU" w:eastAsia="en-AU"/>
        </w:rPr>
        <w:t xml:space="preserve">Tserveni-Gousi, </w:t>
      </w:r>
      <w:r w:rsidR="00D47BEF">
        <w:rPr>
          <w:noProof/>
          <w:lang w:val="en-AU" w:eastAsia="en-AU"/>
        </w:rPr>
        <w:t>A.</w:t>
      </w:r>
      <w:r w:rsidRPr="002F2711">
        <w:rPr>
          <w:noProof/>
          <w:lang w:val="en-AU" w:eastAsia="en-AU"/>
        </w:rPr>
        <w:t xml:space="preserve"> S., A. B. M. Raj, and M. O’Callaghan. 1999. Evaluation of stunning/killing methods for quail (</w:t>
      </w:r>
      <w:r w:rsidRPr="00310B17">
        <w:rPr>
          <w:i/>
          <w:noProof/>
          <w:lang w:val="en-AU" w:eastAsia="en-AU"/>
        </w:rPr>
        <w:t>Coturnix japonica</w:t>
      </w:r>
      <w:r w:rsidRPr="002F2711">
        <w:rPr>
          <w:noProof/>
          <w:lang w:val="en-AU" w:eastAsia="en-AU"/>
        </w:rPr>
        <w:t>): bird welfare and carcase quality. Br</w:t>
      </w:r>
      <w:r w:rsidR="00310B17">
        <w:rPr>
          <w:noProof/>
          <w:lang w:val="en-AU" w:eastAsia="en-AU"/>
        </w:rPr>
        <w:t>itish</w:t>
      </w:r>
      <w:r w:rsidRPr="002F2711">
        <w:rPr>
          <w:noProof/>
          <w:lang w:val="en-AU" w:eastAsia="en-AU"/>
        </w:rPr>
        <w:t xml:space="preserve"> Poult</w:t>
      </w:r>
      <w:r w:rsidR="00310B17">
        <w:rPr>
          <w:noProof/>
          <w:lang w:val="en-AU" w:eastAsia="en-AU"/>
        </w:rPr>
        <w:t>ry</w:t>
      </w:r>
      <w:r w:rsidRPr="002F2711">
        <w:rPr>
          <w:noProof/>
          <w:lang w:val="en-AU" w:eastAsia="en-AU"/>
        </w:rPr>
        <w:t xml:space="preserve"> Sci</w:t>
      </w:r>
      <w:r w:rsidR="00310B17">
        <w:rPr>
          <w:noProof/>
          <w:lang w:val="en-AU" w:eastAsia="en-AU"/>
        </w:rPr>
        <w:t>ence</w:t>
      </w:r>
      <w:r w:rsidRPr="002F2711">
        <w:rPr>
          <w:noProof/>
          <w:lang w:val="en-AU" w:eastAsia="en-AU"/>
        </w:rPr>
        <w:t xml:space="preserve"> 40:35</w:t>
      </w:r>
      <w:r w:rsidR="00310B17">
        <w:rPr>
          <w:noProof/>
          <w:lang w:val="en-AU" w:eastAsia="en-AU"/>
        </w:rPr>
        <w:t>-</w:t>
      </w:r>
      <w:r w:rsidRPr="002F2711">
        <w:rPr>
          <w:noProof/>
          <w:lang w:val="en-AU" w:eastAsia="en-AU"/>
        </w:rPr>
        <w:t>39.</w:t>
      </w:r>
    </w:p>
    <w:p w14:paraId="32A10CF6" w14:textId="77777777" w:rsidR="002F2711" w:rsidRPr="002F2711" w:rsidRDefault="002F2711" w:rsidP="002F2711">
      <w:pPr>
        <w:rPr>
          <w:noProof/>
          <w:lang w:val="en-AU" w:eastAsia="en-AU"/>
        </w:rPr>
      </w:pPr>
      <w:r w:rsidRPr="002F2711">
        <w:rPr>
          <w:noProof/>
          <w:lang w:val="en-AU" w:eastAsia="en-AU"/>
        </w:rPr>
        <w:t>Turner, P. V, H. Kloeze, A. Dam, D. Ward, N. Leung, E. E. L. Brown, A. Whiteman, M. E. Chiappetta, and D. B. Hunter. 2012. Mass depopulation of laying hens in whole barns with liquid carbon dioxide: evaluation of welfare impact. Poult</w:t>
      </w:r>
      <w:r w:rsidR="00310B17">
        <w:rPr>
          <w:noProof/>
          <w:lang w:val="en-AU" w:eastAsia="en-AU"/>
        </w:rPr>
        <w:t>ry</w:t>
      </w:r>
      <w:r w:rsidRPr="002F2711">
        <w:rPr>
          <w:noProof/>
          <w:lang w:val="en-AU" w:eastAsia="en-AU"/>
        </w:rPr>
        <w:t xml:space="preserve"> Sci</w:t>
      </w:r>
      <w:r w:rsidR="00310B17">
        <w:rPr>
          <w:noProof/>
          <w:lang w:val="en-AU" w:eastAsia="en-AU"/>
        </w:rPr>
        <w:t>ence</w:t>
      </w:r>
      <w:r w:rsidRPr="002F2711">
        <w:rPr>
          <w:noProof/>
          <w:lang w:val="en-AU" w:eastAsia="en-AU"/>
        </w:rPr>
        <w:t xml:space="preserve"> 91:1558</w:t>
      </w:r>
      <w:r w:rsidR="00310B17">
        <w:rPr>
          <w:noProof/>
          <w:lang w:val="en-AU" w:eastAsia="en-AU"/>
        </w:rPr>
        <w:t>-</w:t>
      </w:r>
      <w:r w:rsidRPr="002F2711">
        <w:rPr>
          <w:noProof/>
          <w:lang w:val="en-AU" w:eastAsia="en-AU"/>
        </w:rPr>
        <w:t>68</w:t>
      </w:r>
      <w:r w:rsidR="00310B17">
        <w:rPr>
          <w:noProof/>
          <w:lang w:val="en-AU" w:eastAsia="en-AU"/>
        </w:rPr>
        <w:t>.</w:t>
      </w:r>
    </w:p>
    <w:p w14:paraId="677AFC80" w14:textId="77777777" w:rsidR="002F2711" w:rsidRPr="002F2711" w:rsidRDefault="002F2711" w:rsidP="002F2711">
      <w:pPr>
        <w:rPr>
          <w:noProof/>
          <w:lang w:val="en-AU" w:eastAsia="en-AU"/>
        </w:rPr>
      </w:pPr>
      <w:r w:rsidRPr="002F2711">
        <w:rPr>
          <w:noProof/>
          <w:lang w:val="en-AU" w:eastAsia="en-AU"/>
        </w:rPr>
        <w:t>Vizzier-Thaxton, Y., K. Christensen, M. W. Schilling, R. J. Buhr, and J. P. Thaxton. 2010. A new humane method of stunning broilers using low atmospheric pressure. J</w:t>
      </w:r>
      <w:r w:rsidR="00310B17">
        <w:rPr>
          <w:noProof/>
          <w:lang w:val="en-AU" w:eastAsia="en-AU"/>
        </w:rPr>
        <w:t xml:space="preserve">ournal of </w:t>
      </w:r>
      <w:r w:rsidRPr="002F2711">
        <w:rPr>
          <w:noProof/>
          <w:lang w:val="en-AU" w:eastAsia="en-AU"/>
        </w:rPr>
        <w:t>Appl</w:t>
      </w:r>
      <w:r w:rsidR="00310B17">
        <w:rPr>
          <w:noProof/>
          <w:lang w:val="en-AU" w:eastAsia="en-AU"/>
        </w:rPr>
        <w:t>ied</w:t>
      </w:r>
      <w:r w:rsidRPr="002F2711">
        <w:rPr>
          <w:noProof/>
          <w:lang w:val="en-AU" w:eastAsia="en-AU"/>
        </w:rPr>
        <w:t xml:space="preserve"> Poult</w:t>
      </w:r>
      <w:r w:rsidR="00310B17">
        <w:rPr>
          <w:noProof/>
          <w:lang w:val="en-AU" w:eastAsia="en-AU"/>
        </w:rPr>
        <w:t>ry</w:t>
      </w:r>
      <w:r w:rsidRPr="002F2711">
        <w:rPr>
          <w:noProof/>
          <w:lang w:val="en-AU" w:eastAsia="en-AU"/>
        </w:rPr>
        <w:t xml:space="preserve"> Res</w:t>
      </w:r>
      <w:r w:rsidR="00310B17">
        <w:rPr>
          <w:noProof/>
          <w:lang w:val="en-AU" w:eastAsia="en-AU"/>
        </w:rPr>
        <w:t>earch</w:t>
      </w:r>
      <w:r w:rsidRPr="002F2711">
        <w:rPr>
          <w:noProof/>
          <w:lang w:val="en-AU" w:eastAsia="en-AU"/>
        </w:rPr>
        <w:t xml:space="preserve"> 19:341</w:t>
      </w:r>
      <w:r w:rsidR="00310B17">
        <w:rPr>
          <w:noProof/>
          <w:lang w:val="en-AU" w:eastAsia="en-AU"/>
        </w:rPr>
        <w:t>-</w:t>
      </w:r>
      <w:r w:rsidRPr="002F2711">
        <w:rPr>
          <w:noProof/>
          <w:lang w:val="en-AU" w:eastAsia="en-AU"/>
        </w:rPr>
        <w:t>348.</w:t>
      </w:r>
    </w:p>
    <w:p w14:paraId="7435B11C" w14:textId="77777777" w:rsidR="002F2711" w:rsidRPr="002F2711" w:rsidRDefault="002F2711" w:rsidP="002F2711">
      <w:pPr>
        <w:rPr>
          <w:noProof/>
          <w:lang w:val="en-AU" w:eastAsia="en-AU"/>
        </w:rPr>
      </w:pPr>
      <w:r w:rsidRPr="002F2711">
        <w:rPr>
          <w:noProof/>
          <w:lang w:val="en-AU" w:eastAsia="en-AU"/>
        </w:rPr>
        <w:t>Webster, A. B., and D. L. Fletcher. 2001. Reactions of Laying Hens and Broilers to Different Gases Used for Stunning Poultry. Poult</w:t>
      </w:r>
      <w:r w:rsidR="00310B17">
        <w:rPr>
          <w:noProof/>
          <w:lang w:val="en-AU" w:eastAsia="en-AU"/>
        </w:rPr>
        <w:t>ry</w:t>
      </w:r>
      <w:r w:rsidRPr="002F2711">
        <w:rPr>
          <w:noProof/>
          <w:lang w:val="en-AU" w:eastAsia="en-AU"/>
        </w:rPr>
        <w:t xml:space="preserve"> Sci</w:t>
      </w:r>
      <w:r w:rsidR="00310B17">
        <w:rPr>
          <w:noProof/>
          <w:lang w:val="en-AU" w:eastAsia="en-AU"/>
        </w:rPr>
        <w:t>ence</w:t>
      </w:r>
      <w:r w:rsidRPr="002F2711">
        <w:rPr>
          <w:noProof/>
          <w:lang w:val="en-AU" w:eastAsia="en-AU"/>
        </w:rPr>
        <w:t xml:space="preserve"> 80:1371</w:t>
      </w:r>
      <w:r w:rsidR="00310B17">
        <w:rPr>
          <w:noProof/>
          <w:lang w:val="en-AU" w:eastAsia="en-AU"/>
        </w:rPr>
        <w:t>-</w:t>
      </w:r>
      <w:r w:rsidRPr="002F2711">
        <w:rPr>
          <w:noProof/>
          <w:lang w:val="en-AU" w:eastAsia="en-AU"/>
        </w:rPr>
        <w:t>1377.</w:t>
      </w:r>
    </w:p>
    <w:p w14:paraId="4AD86D9E" w14:textId="77777777" w:rsidR="002F2711" w:rsidRPr="002F2711" w:rsidRDefault="002F2711" w:rsidP="002F2711">
      <w:pPr>
        <w:rPr>
          <w:noProof/>
          <w:lang w:val="en-AU" w:eastAsia="en-AU"/>
        </w:rPr>
      </w:pPr>
      <w:r w:rsidRPr="002F2711">
        <w:rPr>
          <w:noProof/>
          <w:lang w:val="en-AU" w:eastAsia="en-AU"/>
        </w:rPr>
        <w:t>Webster, A. B., and D. L. Fletcher. 2004. Assessment of the aversion of hens to different gas atmospheres using an approach-avoidance test. Appl</w:t>
      </w:r>
      <w:r w:rsidR="00310B17">
        <w:rPr>
          <w:noProof/>
          <w:lang w:val="en-AU" w:eastAsia="en-AU"/>
        </w:rPr>
        <w:t>ied</w:t>
      </w:r>
      <w:r w:rsidRPr="002F2711">
        <w:rPr>
          <w:noProof/>
          <w:lang w:val="en-AU" w:eastAsia="en-AU"/>
        </w:rPr>
        <w:t xml:space="preserve"> Anim</w:t>
      </w:r>
      <w:r w:rsidR="00310B17">
        <w:rPr>
          <w:noProof/>
          <w:lang w:val="en-AU" w:eastAsia="en-AU"/>
        </w:rPr>
        <w:t>al</w:t>
      </w:r>
      <w:r w:rsidRPr="002F2711">
        <w:rPr>
          <w:noProof/>
          <w:lang w:val="en-AU" w:eastAsia="en-AU"/>
        </w:rPr>
        <w:t xml:space="preserve"> Behav</w:t>
      </w:r>
      <w:r w:rsidR="00310B17">
        <w:rPr>
          <w:noProof/>
          <w:lang w:val="en-AU" w:eastAsia="en-AU"/>
        </w:rPr>
        <w:t>iour</w:t>
      </w:r>
      <w:r w:rsidRPr="002F2711">
        <w:rPr>
          <w:noProof/>
          <w:lang w:val="en-AU" w:eastAsia="en-AU"/>
        </w:rPr>
        <w:t xml:space="preserve"> Sci</w:t>
      </w:r>
      <w:r w:rsidR="00310B17">
        <w:rPr>
          <w:noProof/>
          <w:lang w:val="en-AU" w:eastAsia="en-AU"/>
        </w:rPr>
        <w:t>ence</w:t>
      </w:r>
      <w:r w:rsidRPr="002F2711">
        <w:rPr>
          <w:noProof/>
          <w:lang w:val="en-AU" w:eastAsia="en-AU"/>
        </w:rPr>
        <w:t xml:space="preserve"> 88:275</w:t>
      </w:r>
      <w:r w:rsidR="00310B17">
        <w:rPr>
          <w:noProof/>
          <w:lang w:val="en-AU" w:eastAsia="en-AU"/>
        </w:rPr>
        <w:t>-</w:t>
      </w:r>
      <w:r w:rsidRPr="002F2711">
        <w:rPr>
          <w:noProof/>
          <w:lang w:val="en-AU" w:eastAsia="en-AU"/>
        </w:rPr>
        <w:t>287.</w:t>
      </w:r>
    </w:p>
    <w:p w14:paraId="6BF21658" w14:textId="77777777" w:rsidR="002F2711" w:rsidRPr="002F2711" w:rsidRDefault="002F2711" w:rsidP="002F2711">
      <w:pPr>
        <w:rPr>
          <w:noProof/>
          <w:lang w:val="en-AU" w:eastAsia="en-AU"/>
        </w:rPr>
      </w:pPr>
      <w:r w:rsidRPr="002F2711">
        <w:rPr>
          <w:noProof/>
          <w:lang w:val="en-AU" w:eastAsia="en-AU"/>
        </w:rPr>
        <w:t>Wilkins, L. J., N. G. Gregory, S. B. Wotton, and I. D. Parkman. 1998. Effectiveness of electrical stunning applied using a variety of waveform-frequency combinations and consequences for carcase quality in broiler chickens. Br</w:t>
      </w:r>
      <w:r w:rsidR="00310B17">
        <w:rPr>
          <w:noProof/>
          <w:lang w:val="en-AU" w:eastAsia="en-AU"/>
        </w:rPr>
        <w:t>itish</w:t>
      </w:r>
      <w:r w:rsidRPr="002F2711">
        <w:rPr>
          <w:noProof/>
          <w:lang w:val="en-AU" w:eastAsia="en-AU"/>
        </w:rPr>
        <w:t xml:space="preserve"> Poult</w:t>
      </w:r>
      <w:r w:rsidR="00310B17">
        <w:rPr>
          <w:noProof/>
          <w:lang w:val="en-AU" w:eastAsia="en-AU"/>
        </w:rPr>
        <w:t>ry</w:t>
      </w:r>
      <w:r w:rsidRPr="002F2711">
        <w:rPr>
          <w:noProof/>
          <w:lang w:val="en-AU" w:eastAsia="en-AU"/>
        </w:rPr>
        <w:t xml:space="preserve"> Sci</w:t>
      </w:r>
      <w:r w:rsidR="00310B17">
        <w:rPr>
          <w:noProof/>
          <w:lang w:val="en-AU" w:eastAsia="en-AU"/>
        </w:rPr>
        <w:t>ence</w:t>
      </w:r>
      <w:r w:rsidRPr="002F2711">
        <w:rPr>
          <w:noProof/>
          <w:lang w:val="en-AU" w:eastAsia="en-AU"/>
        </w:rPr>
        <w:t xml:space="preserve"> 39:511</w:t>
      </w:r>
      <w:r w:rsidR="00310B17">
        <w:rPr>
          <w:noProof/>
          <w:lang w:val="en-AU" w:eastAsia="en-AU"/>
        </w:rPr>
        <w:t>-</w:t>
      </w:r>
      <w:r w:rsidRPr="002F2711">
        <w:rPr>
          <w:noProof/>
          <w:lang w:val="en-AU" w:eastAsia="en-AU"/>
        </w:rPr>
        <w:t>518.</w:t>
      </w:r>
    </w:p>
    <w:p w14:paraId="415026E7" w14:textId="77777777" w:rsidR="002F2711" w:rsidRPr="002F2711" w:rsidRDefault="00310B17" w:rsidP="002F2711">
      <w:pPr>
        <w:rPr>
          <w:noProof/>
          <w:lang w:val="en-AU" w:eastAsia="en-AU"/>
        </w:rPr>
      </w:pPr>
      <w:r>
        <w:rPr>
          <w:noProof/>
          <w:lang w:val="en-AU" w:eastAsia="en-AU"/>
        </w:rPr>
        <w:t>Wilkins, L.</w:t>
      </w:r>
      <w:r w:rsidR="002F2711" w:rsidRPr="002F2711">
        <w:rPr>
          <w:noProof/>
          <w:lang w:val="en-AU" w:eastAsia="en-AU"/>
        </w:rPr>
        <w:t>, S. Wotton, I. D. Parkman, P. J. Kettlewell, and P. Griffiths. 1999. Constant Current Stunning Effects on Bird Welfare and Carcass Quality. Appl</w:t>
      </w:r>
      <w:r>
        <w:rPr>
          <w:noProof/>
          <w:lang w:val="en-AU" w:eastAsia="en-AU"/>
        </w:rPr>
        <w:t>ied</w:t>
      </w:r>
      <w:r w:rsidR="002F2711" w:rsidRPr="002F2711">
        <w:rPr>
          <w:noProof/>
          <w:lang w:val="en-AU" w:eastAsia="en-AU"/>
        </w:rPr>
        <w:t xml:space="preserve"> Poult</w:t>
      </w:r>
      <w:r>
        <w:rPr>
          <w:noProof/>
          <w:lang w:val="en-AU" w:eastAsia="en-AU"/>
        </w:rPr>
        <w:t>ry</w:t>
      </w:r>
      <w:r w:rsidR="002F2711" w:rsidRPr="002F2711">
        <w:rPr>
          <w:noProof/>
          <w:lang w:val="en-AU" w:eastAsia="en-AU"/>
        </w:rPr>
        <w:t xml:space="preserve"> Sci</w:t>
      </w:r>
      <w:r>
        <w:rPr>
          <w:noProof/>
          <w:lang w:val="en-AU" w:eastAsia="en-AU"/>
        </w:rPr>
        <w:t>ence</w:t>
      </w:r>
      <w:r w:rsidR="002F2711" w:rsidRPr="002F2711">
        <w:rPr>
          <w:noProof/>
          <w:lang w:val="en-AU" w:eastAsia="en-AU"/>
        </w:rPr>
        <w:t xml:space="preserve"> 8:456</w:t>
      </w:r>
      <w:r>
        <w:rPr>
          <w:noProof/>
          <w:lang w:val="en-AU" w:eastAsia="en-AU"/>
        </w:rPr>
        <w:t>-</w:t>
      </w:r>
      <w:r w:rsidR="002F2711" w:rsidRPr="002F2711">
        <w:rPr>
          <w:noProof/>
          <w:lang w:val="en-AU" w:eastAsia="en-AU"/>
        </w:rPr>
        <w:t>471.</w:t>
      </w:r>
    </w:p>
    <w:p w14:paraId="3AF14C5A" w14:textId="77777777" w:rsidR="002F2711" w:rsidRPr="002F2711" w:rsidRDefault="002F2711" w:rsidP="002F2711">
      <w:pPr>
        <w:rPr>
          <w:noProof/>
          <w:lang w:val="en-AU" w:eastAsia="en-AU"/>
        </w:rPr>
      </w:pPr>
      <w:r w:rsidRPr="002F2711">
        <w:rPr>
          <w:noProof/>
          <w:lang w:val="en-AU" w:eastAsia="en-AU"/>
        </w:rPr>
        <w:t>Wotton, S., and J. Sparrey. 2002. Stunning and slaughter of ostriches. Meat Sci</w:t>
      </w:r>
      <w:r w:rsidR="00310B17">
        <w:rPr>
          <w:noProof/>
          <w:lang w:val="en-AU" w:eastAsia="en-AU"/>
        </w:rPr>
        <w:t>ence</w:t>
      </w:r>
      <w:r w:rsidRPr="002F2711">
        <w:rPr>
          <w:noProof/>
          <w:lang w:val="en-AU" w:eastAsia="en-AU"/>
        </w:rPr>
        <w:t xml:space="preserve"> 60:389</w:t>
      </w:r>
      <w:r w:rsidR="00310B17">
        <w:rPr>
          <w:noProof/>
          <w:lang w:val="en-AU" w:eastAsia="en-AU"/>
        </w:rPr>
        <w:t>-</w:t>
      </w:r>
      <w:r w:rsidRPr="002F2711">
        <w:rPr>
          <w:noProof/>
          <w:lang w:val="en-AU" w:eastAsia="en-AU"/>
        </w:rPr>
        <w:t>394.</w:t>
      </w:r>
    </w:p>
    <w:p w14:paraId="560AE9C4" w14:textId="77777777" w:rsidR="002F2711" w:rsidRPr="002F2711" w:rsidRDefault="002F2711" w:rsidP="002F2711">
      <w:pPr>
        <w:rPr>
          <w:noProof/>
          <w:lang w:val="en-AU" w:eastAsia="en-AU"/>
        </w:rPr>
      </w:pPr>
      <w:r w:rsidRPr="002F2711">
        <w:rPr>
          <w:noProof/>
          <w:lang w:val="en-AU" w:eastAsia="en-AU"/>
        </w:rPr>
        <w:t>Wotton, S. B., and L. J. Wilkins. 2004. Primary Processing of Poultry.</w:t>
      </w:r>
      <w:r w:rsidR="00310B17">
        <w:rPr>
          <w:noProof/>
          <w:lang w:val="en-AU" w:eastAsia="en-AU"/>
        </w:rPr>
        <w:t xml:space="preserve"> </w:t>
      </w:r>
      <w:r w:rsidR="006A5F0F">
        <w:rPr>
          <w:noProof/>
          <w:lang w:val="en-AU" w:eastAsia="en-AU"/>
        </w:rPr>
        <w:t>In:</w:t>
      </w:r>
      <w:r w:rsidRPr="002F2711">
        <w:rPr>
          <w:noProof/>
          <w:lang w:val="en-AU" w:eastAsia="en-AU"/>
        </w:rPr>
        <w:t xml:space="preserve"> Measuring and Auditing Broiler Welfare</w:t>
      </w:r>
      <w:r w:rsidR="006B4AAF">
        <w:rPr>
          <w:noProof/>
          <w:lang w:val="en-AU" w:eastAsia="en-AU"/>
        </w:rPr>
        <w:t>,</w:t>
      </w:r>
      <w:r w:rsidRPr="002F2711">
        <w:rPr>
          <w:noProof/>
          <w:lang w:val="en-AU" w:eastAsia="en-AU"/>
        </w:rPr>
        <w:t xml:space="preserve"> </w:t>
      </w:r>
      <w:r w:rsidR="00310B17">
        <w:rPr>
          <w:noProof/>
          <w:lang w:val="en-AU" w:eastAsia="en-AU"/>
        </w:rPr>
        <w:t>C. A. W</w:t>
      </w:r>
      <w:r w:rsidRPr="002F2711">
        <w:rPr>
          <w:noProof/>
          <w:lang w:val="en-AU" w:eastAsia="en-AU"/>
        </w:rPr>
        <w:t>eeks</w:t>
      </w:r>
      <w:r w:rsidR="00310B17">
        <w:rPr>
          <w:noProof/>
          <w:lang w:val="en-AU" w:eastAsia="en-AU"/>
        </w:rPr>
        <w:t xml:space="preserve"> and A. </w:t>
      </w:r>
      <w:r w:rsidRPr="002F2711">
        <w:rPr>
          <w:noProof/>
          <w:lang w:val="en-AU" w:eastAsia="en-AU"/>
        </w:rPr>
        <w:t>Butterworth</w:t>
      </w:r>
      <w:r w:rsidR="00310B17">
        <w:rPr>
          <w:noProof/>
          <w:lang w:val="en-AU" w:eastAsia="en-AU"/>
        </w:rPr>
        <w:t xml:space="preserve"> (E</w:t>
      </w:r>
      <w:r w:rsidRPr="002F2711">
        <w:rPr>
          <w:noProof/>
          <w:lang w:val="en-AU" w:eastAsia="en-AU"/>
        </w:rPr>
        <w:t>ds.</w:t>
      </w:r>
      <w:r w:rsidR="00310B17">
        <w:rPr>
          <w:noProof/>
          <w:lang w:val="en-AU" w:eastAsia="en-AU"/>
        </w:rPr>
        <w:t>)</w:t>
      </w:r>
      <w:r w:rsidR="006B4AAF">
        <w:rPr>
          <w:noProof/>
          <w:lang w:val="en-AU" w:eastAsia="en-AU"/>
        </w:rPr>
        <w:t>,</w:t>
      </w:r>
      <w:r w:rsidR="006A5F0F">
        <w:rPr>
          <w:noProof/>
          <w:lang w:val="en-AU" w:eastAsia="en-AU"/>
        </w:rPr>
        <w:t xml:space="preserve"> CAB International, Wallingford, Oxfordshire, pages 161-180.</w:t>
      </w:r>
    </w:p>
    <w:p w14:paraId="7BB6F292" w14:textId="77777777" w:rsidR="002F2711" w:rsidRDefault="002F2711" w:rsidP="007D5D6B">
      <w:pPr>
        <w:rPr>
          <w:noProof/>
          <w:lang w:val="en-AU" w:eastAsia="en-AU"/>
        </w:rPr>
      </w:pPr>
    </w:p>
    <w:p w14:paraId="3484BA3C" w14:textId="77777777" w:rsidR="00286A88" w:rsidRPr="00286A88" w:rsidRDefault="007D5D6B" w:rsidP="007D5D6B">
      <w:pPr>
        <w:pStyle w:val="Heading1"/>
        <w:rPr>
          <w:lang w:val="en-AU" w:eastAsia="en-AU"/>
        </w:rPr>
      </w:pPr>
      <w:r>
        <w:rPr>
          <w:sz w:val="22"/>
          <w:szCs w:val="22"/>
          <w:lang w:val="en-AU" w:eastAsia="en-AU"/>
        </w:rPr>
        <w:br w:type="column"/>
      </w:r>
      <w:bookmarkStart w:id="406" w:name="_Toc495310873"/>
      <w:r w:rsidR="00286A88" w:rsidRPr="00286A88">
        <w:rPr>
          <w:lang w:val="en-AU" w:eastAsia="en-AU"/>
        </w:rPr>
        <w:t>Glossary</w:t>
      </w:r>
      <w:bookmarkEnd w:id="406"/>
    </w:p>
    <w:tbl>
      <w:tblPr>
        <w:tblW w:w="0" w:type="auto"/>
        <w:tblLook w:val="04A0" w:firstRow="1" w:lastRow="0" w:firstColumn="1" w:lastColumn="0" w:noHBand="0" w:noVBand="1"/>
      </w:tblPr>
      <w:tblGrid>
        <w:gridCol w:w="2412"/>
        <w:gridCol w:w="7544"/>
      </w:tblGrid>
      <w:tr w:rsidR="00286A88" w:rsidRPr="007D5D6B" w14:paraId="1AFC85C9" w14:textId="77777777" w:rsidTr="00286A88">
        <w:tc>
          <w:tcPr>
            <w:tcW w:w="0" w:type="auto"/>
            <w:vAlign w:val="center"/>
          </w:tcPr>
          <w:p w14:paraId="62E9588D" w14:textId="77777777" w:rsidR="00286A88" w:rsidRPr="007D5D6B" w:rsidRDefault="00286A88" w:rsidP="007D5D6B">
            <w:pPr>
              <w:spacing w:before="120"/>
              <w:rPr>
                <w:b/>
                <w:lang w:val="en-AU" w:eastAsia="en-AU"/>
              </w:rPr>
            </w:pPr>
            <w:r w:rsidRPr="007D5D6B">
              <w:rPr>
                <w:b/>
                <w:lang w:val="en-AU" w:eastAsia="en-AU"/>
              </w:rPr>
              <w:t>Term</w:t>
            </w:r>
          </w:p>
        </w:tc>
        <w:tc>
          <w:tcPr>
            <w:tcW w:w="0" w:type="auto"/>
            <w:vAlign w:val="center"/>
          </w:tcPr>
          <w:p w14:paraId="2CF70160" w14:textId="77777777" w:rsidR="00286A88" w:rsidRPr="007D5D6B" w:rsidRDefault="00286A88" w:rsidP="007D5D6B">
            <w:pPr>
              <w:spacing w:before="120"/>
              <w:rPr>
                <w:b/>
                <w:lang w:val="en-AU" w:eastAsia="en-AU"/>
              </w:rPr>
            </w:pPr>
            <w:r w:rsidRPr="007D5D6B">
              <w:rPr>
                <w:b/>
                <w:lang w:val="en-AU" w:eastAsia="en-AU"/>
              </w:rPr>
              <w:t>Definition</w:t>
            </w:r>
          </w:p>
        </w:tc>
      </w:tr>
      <w:tr w:rsidR="00286A88" w:rsidRPr="00286A88" w14:paraId="0DBCDE3E" w14:textId="77777777" w:rsidTr="00286A88">
        <w:tc>
          <w:tcPr>
            <w:tcW w:w="0" w:type="auto"/>
            <w:vAlign w:val="center"/>
          </w:tcPr>
          <w:p w14:paraId="64A5358D" w14:textId="77777777" w:rsidR="00286A88" w:rsidRPr="00286A88" w:rsidRDefault="00286A88" w:rsidP="007D5D6B">
            <w:pPr>
              <w:spacing w:before="120"/>
              <w:rPr>
                <w:lang w:val="en-AU" w:eastAsia="en-AU"/>
              </w:rPr>
            </w:pPr>
            <w:r w:rsidRPr="00286A88">
              <w:rPr>
                <w:lang w:val="en-AU" w:eastAsia="en-AU"/>
              </w:rPr>
              <w:t>AC</w:t>
            </w:r>
          </w:p>
        </w:tc>
        <w:tc>
          <w:tcPr>
            <w:tcW w:w="0" w:type="auto"/>
            <w:vAlign w:val="center"/>
          </w:tcPr>
          <w:p w14:paraId="310451A4" w14:textId="77777777" w:rsidR="00286A88" w:rsidRPr="00286A88" w:rsidRDefault="00286A88" w:rsidP="007D5D6B">
            <w:pPr>
              <w:spacing w:before="120"/>
              <w:rPr>
                <w:lang w:val="en-AU" w:eastAsia="en-AU"/>
              </w:rPr>
            </w:pPr>
            <w:r w:rsidRPr="00286A88">
              <w:rPr>
                <w:lang w:val="en-AU" w:eastAsia="en-AU"/>
              </w:rPr>
              <w:t>Alternating current.</w:t>
            </w:r>
          </w:p>
        </w:tc>
      </w:tr>
      <w:tr w:rsidR="00286A88" w:rsidRPr="00286A88" w14:paraId="57E61208" w14:textId="77777777" w:rsidTr="00286A88">
        <w:tc>
          <w:tcPr>
            <w:tcW w:w="0" w:type="auto"/>
            <w:vAlign w:val="center"/>
          </w:tcPr>
          <w:p w14:paraId="21A6A5F3" w14:textId="77777777" w:rsidR="00286A88" w:rsidRPr="00286A88" w:rsidRDefault="00286A88" w:rsidP="007D5D6B">
            <w:pPr>
              <w:spacing w:before="120"/>
              <w:rPr>
                <w:lang w:val="en-AU" w:eastAsia="en-AU"/>
              </w:rPr>
            </w:pPr>
            <w:r w:rsidRPr="00286A88">
              <w:rPr>
                <w:lang w:val="en-AU" w:eastAsia="en-AU"/>
              </w:rPr>
              <w:t>ACTH</w:t>
            </w:r>
          </w:p>
        </w:tc>
        <w:tc>
          <w:tcPr>
            <w:tcW w:w="0" w:type="auto"/>
            <w:vAlign w:val="center"/>
          </w:tcPr>
          <w:p w14:paraId="11392250" w14:textId="77777777" w:rsidR="00286A88" w:rsidRPr="00286A88" w:rsidRDefault="00286A88" w:rsidP="007D5D6B">
            <w:pPr>
              <w:spacing w:before="120"/>
              <w:rPr>
                <w:lang w:val="en-AU" w:eastAsia="en-AU"/>
              </w:rPr>
            </w:pPr>
            <w:r w:rsidRPr="00286A88">
              <w:rPr>
                <w:lang w:val="en-AU" w:eastAsia="en-AU"/>
              </w:rPr>
              <w:t>Adrenocorticotropic hormone.</w:t>
            </w:r>
          </w:p>
        </w:tc>
      </w:tr>
      <w:tr w:rsidR="00286A88" w:rsidRPr="00286A88" w14:paraId="37749493" w14:textId="77777777" w:rsidTr="00286A88">
        <w:tc>
          <w:tcPr>
            <w:tcW w:w="0" w:type="auto"/>
            <w:vAlign w:val="center"/>
          </w:tcPr>
          <w:p w14:paraId="304E94E0" w14:textId="77777777" w:rsidR="00286A88" w:rsidRPr="00286A88" w:rsidRDefault="00286A88" w:rsidP="007D5D6B">
            <w:pPr>
              <w:spacing w:before="120"/>
              <w:rPr>
                <w:i/>
                <w:lang w:val="en-AU" w:eastAsia="en-AU"/>
              </w:rPr>
            </w:pPr>
            <w:r w:rsidRPr="00286A88">
              <w:rPr>
                <w:i/>
                <w:lang w:val="en-AU" w:eastAsia="en-AU"/>
              </w:rPr>
              <w:t>ad libitum</w:t>
            </w:r>
          </w:p>
        </w:tc>
        <w:tc>
          <w:tcPr>
            <w:tcW w:w="0" w:type="auto"/>
            <w:vAlign w:val="center"/>
          </w:tcPr>
          <w:p w14:paraId="51B2124A" w14:textId="77777777" w:rsidR="00286A88" w:rsidRPr="00286A88" w:rsidRDefault="00286A88" w:rsidP="007D5D6B">
            <w:pPr>
              <w:spacing w:before="120"/>
              <w:rPr>
                <w:lang w:val="en-AU" w:eastAsia="en-AU"/>
              </w:rPr>
            </w:pPr>
            <w:r w:rsidRPr="00286A88">
              <w:rPr>
                <w:lang w:val="en-AU" w:eastAsia="en-AU"/>
              </w:rPr>
              <w:t>Usually in conjunction with feed and water, meaning available all the time.</w:t>
            </w:r>
          </w:p>
        </w:tc>
      </w:tr>
      <w:tr w:rsidR="00286A88" w:rsidRPr="00286A88" w14:paraId="2FA73F2B" w14:textId="77777777" w:rsidTr="00286A88">
        <w:tc>
          <w:tcPr>
            <w:tcW w:w="0" w:type="auto"/>
            <w:vAlign w:val="center"/>
          </w:tcPr>
          <w:p w14:paraId="0E749044" w14:textId="77777777" w:rsidR="00286A88" w:rsidRPr="00286A88" w:rsidRDefault="00286A88" w:rsidP="007D5D6B">
            <w:pPr>
              <w:spacing w:before="120"/>
              <w:rPr>
                <w:lang w:val="en-AU" w:eastAsia="en-AU"/>
              </w:rPr>
            </w:pPr>
            <w:r w:rsidRPr="00286A88">
              <w:rPr>
                <w:lang w:val="en-AU" w:eastAsia="en-AU"/>
              </w:rPr>
              <w:t>aetiology</w:t>
            </w:r>
          </w:p>
        </w:tc>
        <w:tc>
          <w:tcPr>
            <w:tcW w:w="0" w:type="auto"/>
            <w:vAlign w:val="center"/>
          </w:tcPr>
          <w:p w14:paraId="28CF3169" w14:textId="77777777" w:rsidR="00286A88" w:rsidRPr="00286A88" w:rsidRDefault="00286A88" w:rsidP="007D5D6B">
            <w:pPr>
              <w:spacing w:before="120"/>
              <w:rPr>
                <w:lang w:val="en-AU" w:eastAsia="en-AU"/>
              </w:rPr>
            </w:pPr>
            <w:r w:rsidRPr="00286A88">
              <w:rPr>
                <w:lang w:val="en-AU" w:eastAsia="en-AU"/>
              </w:rPr>
              <w:t>The science that deals with the causes or origin of disease and factors which produce or predispose toward a certain disease or disorder.</w:t>
            </w:r>
          </w:p>
        </w:tc>
      </w:tr>
      <w:tr w:rsidR="00286A88" w:rsidRPr="00286A88" w14:paraId="46FD4999" w14:textId="77777777" w:rsidTr="00286A88">
        <w:tc>
          <w:tcPr>
            <w:tcW w:w="0" w:type="auto"/>
            <w:vAlign w:val="center"/>
          </w:tcPr>
          <w:p w14:paraId="3E2F2D09" w14:textId="77777777" w:rsidR="00286A88" w:rsidRPr="00286A88" w:rsidRDefault="00286A88" w:rsidP="007D5D6B">
            <w:pPr>
              <w:spacing w:before="120"/>
              <w:rPr>
                <w:lang w:val="en-AU" w:eastAsia="en-AU"/>
              </w:rPr>
            </w:pPr>
            <w:r w:rsidRPr="00286A88">
              <w:rPr>
                <w:lang w:val="en-AU" w:eastAsia="en-AU"/>
              </w:rPr>
              <w:t>agonistic</w:t>
            </w:r>
          </w:p>
        </w:tc>
        <w:tc>
          <w:tcPr>
            <w:tcW w:w="0" w:type="auto"/>
            <w:vAlign w:val="center"/>
          </w:tcPr>
          <w:p w14:paraId="32DF98FF" w14:textId="77777777" w:rsidR="00286A88" w:rsidRPr="00286A88" w:rsidRDefault="00286A88" w:rsidP="007D5D6B">
            <w:pPr>
              <w:spacing w:before="120"/>
              <w:rPr>
                <w:lang w:val="en-AU" w:eastAsia="en-AU"/>
              </w:rPr>
            </w:pPr>
            <w:r w:rsidRPr="00286A88">
              <w:rPr>
                <w:lang w:val="en-AU" w:eastAsia="en-AU"/>
              </w:rPr>
              <w:t>Any social behaviour related to fighting.</w:t>
            </w:r>
          </w:p>
        </w:tc>
      </w:tr>
      <w:tr w:rsidR="00286A88" w:rsidRPr="00286A88" w14:paraId="3FC5A906" w14:textId="77777777" w:rsidTr="00286A88">
        <w:tc>
          <w:tcPr>
            <w:tcW w:w="0" w:type="auto"/>
            <w:vAlign w:val="center"/>
          </w:tcPr>
          <w:p w14:paraId="7DFD600C" w14:textId="77777777" w:rsidR="00286A88" w:rsidRPr="00286A88" w:rsidRDefault="00286A88" w:rsidP="007D5D6B">
            <w:pPr>
              <w:spacing w:before="120"/>
              <w:rPr>
                <w:lang w:val="en-AU" w:eastAsia="en-AU"/>
              </w:rPr>
            </w:pPr>
            <w:r w:rsidRPr="00286A88">
              <w:rPr>
                <w:lang w:val="en-AU" w:eastAsia="en-AU"/>
              </w:rPr>
              <w:t>anoxia</w:t>
            </w:r>
          </w:p>
        </w:tc>
        <w:tc>
          <w:tcPr>
            <w:tcW w:w="0" w:type="auto"/>
            <w:vAlign w:val="center"/>
          </w:tcPr>
          <w:p w14:paraId="7C5ABB05" w14:textId="77777777" w:rsidR="00286A88" w:rsidRPr="00286A88" w:rsidRDefault="00286A88" w:rsidP="007D5D6B">
            <w:pPr>
              <w:spacing w:before="120"/>
              <w:rPr>
                <w:lang w:val="en-AU" w:eastAsia="en-AU"/>
              </w:rPr>
            </w:pPr>
            <w:r w:rsidRPr="00286A88">
              <w:rPr>
                <w:color w:val="auto"/>
                <w:lang w:val="en-AU" w:eastAsia="en-AU"/>
              </w:rPr>
              <w:t>Absence of oxygen.</w:t>
            </w:r>
          </w:p>
        </w:tc>
      </w:tr>
      <w:tr w:rsidR="00286A88" w:rsidRPr="00286A88" w14:paraId="6951E85D" w14:textId="77777777" w:rsidTr="00286A88">
        <w:tc>
          <w:tcPr>
            <w:tcW w:w="0" w:type="auto"/>
            <w:vAlign w:val="center"/>
          </w:tcPr>
          <w:p w14:paraId="1CF22EE9" w14:textId="77777777" w:rsidR="00286A88" w:rsidRPr="00286A88" w:rsidRDefault="00286A88" w:rsidP="007D5D6B">
            <w:pPr>
              <w:spacing w:before="120"/>
              <w:rPr>
                <w:lang w:val="en-AU" w:eastAsia="en-AU"/>
              </w:rPr>
            </w:pPr>
            <w:r w:rsidRPr="00286A88">
              <w:rPr>
                <w:lang w:val="en-AU" w:eastAsia="en-AU"/>
              </w:rPr>
              <w:t>anoxic atmosphere</w:t>
            </w:r>
          </w:p>
        </w:tc>
        <w:tc>
          <w:tcPr>
            <w:tcW w:w="0" w:type="auto"/>
            <w:vAlign w:val="center"/>
          </w:tcPr>
          <w:p w14:paraId="11FE716C" w14:textId="77777777" w:rsidR="00286A88" w:rsidRPr="00286A88" w:rsidRDefault="00286A88" w:rsidP="007D5D6B">
            <w:pPr>
              <w:spacing w:before="120"/>
              <w:rPr>
                <w:color w:val="auto"/>
                <w:lang w:val="en-AU" w:eastAsia="en-AU"/>
              </w:rPr>
            </w:pPr>
            <w:r w:rsidRPr="00286A88">
              <w:rPr>
                <w:color w:val="auto"/>
                <w:lang w:val="en-AU" w:eastAsia="en-AU"/>
              </w:rPr>
              <w:t>An atmosphere where oxygen is completely absent.</w:t>
            </w:r>
          </w:p>
        </w:tc>
      </w:tr>
      <w:tr w:rsidR="00286A88" w:rsidRPr="00286A88" w14:paraId="3FD86649" w14:textId="77777777" w:rsidTr="00286A88">
        <w:tc>
          <w:tcPr>
            <w:tcW w:w="0" w:type="auto"/>
            <w:vAlign w:val="center"/>
          </w:tcPr>
          <w:p w14:paraId="064C3778" w14:textId="77777777" w:rsidR="00286A88" w:rsidRPr="00286A88" w:rsidRDefault="00286A88" w:rsidP="007D5D6B">
            <w:pPr>
              <w:spacing w:before="120"/>
              <w:rPr>
                <w:lang w:val="en-AU" w:eastAsia="en-AU"/>
              </w:rPr>
            </w:pPr>
            <w:r w:rsidRPr="00286A88">
              <w:rPr>
                <w:lang w:val="en-AU" w:eastAsia="en-AU"/>
              </w:rPr>
              <w:t>anthelmintics</w:t>
            </w:r>
          </w:p>
        </w:tc>
        <w:tc>
          <w:tcPr>
            <w:tcW w:w="0" w:type="auto"/>
            <w:vAlign w:val="center"/>
          </w:tcPr>
          <w:p w14:paraId="34F8977D" w14:textId="77777777" w:rsidR="00286A88" w:rsidRPr="00286A88" w:rsidRDefault="00286A88" w:rsidP="007D5D6B">
            <w:pPr>
              <w:spacing w:before="120"/>
              <w:rPr>
                <w:lang w:val="en-AU" w:eastAsia="en-AU"/>
              </w:rPr>
            </w:pPr>
            <w:r w:rsidRPr="00286A88">
              <w:rPr>
                <w:lang w:val="en-AU" w:eastAsia="en-AU"/>
              </w:rPr>
              <w:t>Medicines used to treat parasitic worm infestations.</w:t>
            </w:r>
          </w:p>
        </w:tc>
      </w:tr>
      <w:tr w:rsidR="00286A88" w:rsidRPr="00286A88" w14:paraId="7B33C1E1" w14:textId="77777777" w:rsidTr="00286A88">
        <w:tc>
          <w:tcPr>
            <w:tcW w:w="0" w:type="auto"/>
            <w:vAlign w:val="center"/>
          </w:tcPr>
          <w:p w14:paraId="6BD8CA1F" w14:textId="77777777" w:rsidR="00286A88" w:rsidRPr="00286A88" w:rsidRDefault="00286A88" w:rsidP="007D5D6B">
            <w:pPr>
              <w:spacing w:before="120"/>
              <w:rPr>
                <w:lang w:val="en-AU" w:eastAsia="en-AU"/>
              </w:rPr>
            </w:pPr>
            <w:r w:rsidRPr="00286A88">
              <w:rPr>
                <w:lang w:val="en-AU" w:eastAsia="en-AU"/>
              </w:rPr>
              <w:t>antibody</w:t>
            </w:r>
          </w:p>
        </w:tc>
        <w:tc>
          <w:tcPr>
            <w:tcW w:w="0" w:type="auto"/>
            <w:vAlign w:val="center"/>
          </w:tcPr>
          <w:p w14:paraId="76CEEBAA" w14:textId="77777777" w:rsidR="00286A88" w:rsidRPr="00286A88" w:rsidRDefault="00286A88" w:rsidP="007D5D6B">
            <w:pPr>
              <w:spacing w:before="120"/>
              <w:rPr>
                <w:lang w:val="en-AU" w:eastAsia="en-AU"/>
              </w:rPr>
            </w:pPr>
            <w:r w:rsidRPr="00286A88">
              <w:rPr>
                <w:lang w:val="en-AU" w:eastAsia="en-AU"/>
              </w:rPr>
              <w:t>A blood protein produced in response to and counteracting a specific antigen. Antibodies combine chemically with substances which the body recognises as alien, such as bacteria, viruses, and foreign substances in the blood.</w:t>
            </w:r>
          </w:p>
        </w:tc>
      </w:tr>
      <w:tr w:rsidR="00286A88" w:rsidRPr="00286A88" w14:paraId="10EB73B8" w14:textId="77777777" w:rsidTr="00286A88">
        <w:tc>
          <w:tcPr>
            <w:tcW w:w="0" w:type="auto"/>
            <w:vAlign w:val="center"/>
          </w:tcPr>
          <w:p w14:paraId="0BA1CEF3" w14:textId="77777777" w:rsidR="00286A88" w:rsidRPr="00286A88" w:rsidRDefault="00286A88" w:rsidP="007D5D6B">
            <w:pPr>
              <w:spacing w:before="120"/>
              <w:rPr>
                <w:lang w:val="en-AU" w:eastAsia="en-AU"/>
              </w:rPr>
            </w:pPr>
            <w:r w:rsidRPr="00286A88">
              <w:rPr>
                <w:lang w:val="en-AU" w:eastAsia="en-AU"/>
              </w:rPr>
              <w:t>antigen</w:t>
            </w:r>
          </w:p>
        </w:tc>
        <w:tc>
          <w:tcPr>
            <w:tcW w:w="0" w:type="auto"/>
            <w:vAlign w:val="center"/>
          </w:tcPr>
          <w:p w14:paraId="598CFDA4" w14:textId="77777777" w:rsidR="00286A88" w:rsidRPr="00286A88" w:rsidRDefault="00286A88" w:rsidP="007D5D6B">
            <w:pPr>
              <w:spacing w:before="120"/>
              <w:rPr>
                <w:lang w:val="en-AU" w:eastAsia="en-AU"/>
              </w:rPr>
            </w:pPr>
            <w:r w:rsidRPr="00286A88">
              <w:rPr>
                <w:lang w:val="en-AU" w:eastAsia="en-AU"/>
              </w:rPr>
              <w:t>Any substance (e.g. toxin) that causes an immune system to produce antibodies against it.</w:t>
            </w:r>
          </w:p>
        </w:tc>
      </w:tr>
      <w:tr w:rsidR="00286A88" w:rsidRPr="00286A88" w14:paraId="4E0902F9" w14:textId="77777777" w:rsidTr="00286A88">
        <w:tc>
          <w:tcPr>
            <w:tcW w:w="0" w:type="auto"/>
            <w:vAlign w:val="center"/>
          </w:tcPr>
          <w:p w14:paraId="33C305FA" w14:textId="77777777" w:rsidR="00286A88" w:rsidRPr="00286A88" w:rsidRDefault="00286A88" w:rsidP="007D5D6B">
            <w:pPr>
              <w:spacing w:before="120"/>
              <w:rPr>
                <w:lang w:val="en-AU" w:eastAsia="en-AU"/>
              </w:rPr>
            </w:pPr>
            <w:r w:rsidRPr="00286A88">
              <w:rPr>
                <w:lang w:val="en-AU" w:eastAsia="en-AU"/>
              </w:rPr>
              <w:t>ascites</w:t>
            </w:r>
          </w:p>
        </w:tc>
        <w:tc>
          <w:tcPr>
            <w:tcW w:w="0" w:type="auto"/>
            <w:vAlign w:val="center"/>
          </w:tcPr>
          <w:p w14:paraId="5BC92122" w14:textId="77777777" w:rsidR="00286A88" w:rsidRPr="00286A88" w:rsidRDefault="00286A88" w:rsidP="007D5D6B">
            <w:pPr>
              <w:spacing w:before="120"/>
              <w:rPr>
                <w:lang w:val="en-AU" w:eastAsia="en-AU"/>
              </w:rPr>
            </w:pPr>
            <w:r w:rsidRPr="00286A88">
              <w:rPr>
                <w:lang w:val="en-AU" w:eastAsia="en-AU"/>
              </w:rPr>
              <w:t>The accumulation of fluid in the peritoneal cavity, causing abdominal swelling. Particularly prevalent in fast-growing birds (broilers) whose organ development lags in capacity. More prevalent at higher altitudes.</w:t>
            </w:r>
          </w:p>
        </w:tc>
      </w:tr>
      <w:tr w:rsidR="00286A88" w:rsidRPr="00286A88" w14:paraId="2F4DE517" w14:textId="77777777" w:rsidTr="00286A88">
        <w:tc>
          <w:tcPr>
            <w:tcW w:w="0" w:type="auto"/>
            <w:vAlign w:val="center"/>
          </w:tcPr>
          <w:p w14:paraId="4AC3DA55" w14:textId="77777777" w:rsidR="00286A88" w:rsidRPr="00286A88" w:rsidRDefault="00286A88" w:rsidP="007D5D6B">
            <w:pPr>
              <w:spacing w:before="120"/>
              <w:rPr>
                <w:lang w:val="en-AU" w:eastAsia="en-AU"/>
              </w:rPr>
            </w:pPr>
            <w:r w:rsidRPr="00286A88">
              <w:rPr>
                <w:lang w:val="en-AU" w:eastAsia="en-AU"/>
              </w:rPr>
              <w:t>aversive</w:t>
            </w:r>
          </w:p>
        </w:tc>
        <w:tc>
          <w:tcPr>
            <w:tcW w:w="0" w:type="auto"/>
            <w:vAlign w:val="center"/>
          </w:tcPr>
          <w:p w14:paraId="569BBA7B" w14:textId="77777777" w:rsidR="00286A88" w:rsidRPr="00286A88" w:rsidRDefault="00286A88" w:rsidP="007D5D6B">
            <w:pPr>
              <w:spacing w:before="120"/>
              <w:rPr>
                <w:lang w:val="en-AU" w:eastAsia="en-AU"/>
              </w:rPr>
            </w:pPr>
            <w:r w:rsidRPr="00286A88">
              <w:rPr>
                <w:lang w:val="en-AU" w:eastAsia="en-AU"/>
              </w:rPr>
              <w:t>A stimulus that an animal avoids, with negative valence (likely to be experienced as unpleasant).</w:t>
            </w:r>
          </w:p>
        </w:tc>
      </w:tr>
      <w:tr w:rsidR="00286A88" w:rsidRPr="00286A88" w14:paraId="4AE55CCF" w14:textId="77777777" w:rsidTr="00286A88">
        <w:tc>
          <w:tcPr>
            <w:tcW w:w="0" w:type="auto"/>
            <w:vAlign w:val="center"/>
          </w:tcPr>
          <w:p w14:paraId="5A5A661E" w14:textId="77777777" w:rsidR="00286A88" w:rsidRPr="00286A88" w:rsidRDefault="00286A88" w:rsidP="007D5D6B">
            <w:pPr>
              <w:spacing w:before="120"/>
              <w:rPr>
                <w:lang w:val="en-AU" w:eastAsia="en-AU"/>
              </w:rPr>
            </w:pPr>
            <w:r w:rsidRPr="00286A88">
              <w:rPr>
                <w:lang w:val="en-AU" w:eastAsia="en-AU"/>
              </w:rPr>
              <w:t>behavioural need</w:t>
            </w:r>
          </w:p>
        </w:tc>
        <w:tc>
          <w:tcPr>
            <w:tcW w:w="0" w:type="auto"/>
            <w:vAlign w:val="center"/>
          </w:tcPr>
          <w:p w14:paraId="590C60AB" w14:textId="77777777" w:rsidR="00286A88" w:rsidRPr="00286A88" w:rsidRDefault="00286A88" w:rsidP="007D5D6B">
            <w:pPr>
              <w:spacing w:before="120"/>
              <w:rPr>
                <w:lang w:val="en-AU" w:eastAsia="en-AU"/>
              </w:rPr>
            </w:pPr>
            <w:r w:rsidRPr="00286A88">
              <w:rPr>
                <w:lang w:val="en-AU" w:eastAsia="en-AU"/>
              </w:rPr>
              <w:t>A behaviour which experiments have demonstrated to be very important for the bird to perform. For example, laying hens will work hard for access to a nest as the time of day when they want to lay approaches, thus nesting is a behavioural need.</w:t>
            </w:r>
          </w:p>
        </w:tc>
      </w:tr>
      <w:tr w:rsidR="00286A88" w:rsidRPr="00286A88" w14:paraId="2606151D" w14:textId="77777777" w:rsidTr="00286A88">
        <w:tc>
          <w:tcPr>
            <w:tcW w:w="0" w:type="auto"/>
            <w:vAlign w:val="center"/>
          </w:tcPr>
          <w:p w14:paraId="5C263F20" w14:textId="77777777" w:rsidR="00286A88" w:rsidRPr="00286A88" w:rsidRDefault="00286A88" w:rsidP="007D5D6B">
            <w:pPr>
              <w:spacing w:before="120"/>
              <w:rPr>
                <w:lang w:val="en-AU" w:eastAsia="en-AU"/>
              </w:rPr>
            </w:pPr>
            <w:r w:rsidRPr="00286A88">
              <w:rPr>
                <w:lang w:val="en-AU" w:eastAsia="en-AU"/>
              </w:rPr>
              <w:t>BGSS</w:t>
            </w:r>
          </w:p>
        </w:tc>
        <w:tc>
          <w:tcPr>
            <w:tcW w:w="0" w:type="auto"/>
            <w:vAlign w:val="center"/>
          </w:tcPr>
          <w:p w14:paraId="425084DE" w14:textId="77777777" w:rsidR="00286A88" w:rsidRPr="00286A88" w:rsidRDefault="00286A88" w:rsidP="007D5D6B">
            <w:pPr>
              <w:spacing w:before="120"/>
              <w:rPr>
                <w:lang w:val="en-AU" w:eastAsia="en-AU"/>
              </w:rPr>
            </w:pPr>
            <w:r w:rsidRPr="00286A88">
              <w:rPr>
                <w:lang w:val="en-AU" w:eastAsia="en-AU"/>
              </w:rPr>
              <w:t>Bristol Gait Scoring System.</w:t>
            </w:r>
          </w:p>
        </w:tc>
      </w:tr>
      <w:tr w:rsidR="00286A88" w:rsidRPr="00286A88" w14:paraId="5F333723" w14:textId="77777777" w:rsidTr="00286A88">
        <w:tc>
          <w:tcPr>
            <w:tcW w:w="0" w:type="auto"/>
            <w:vAlign w:val="center"/>
          </w:tcPr>
          <w:p w14:paraId="5264B28E" w14:textId="77777777" w:rsidR="00286A88" w:rsidRPr="00286A88" w:rsidRDefault="00286A88" w:rsidP="007D5D6B">
            <w:pPr>
              <w:spacing w:before="120"/>
              <w:rPr>
                <w:lang w:val="en-AU" w:eastAsia="en-AU"/>
              </w:rPr>
            </w:pPr>
            <w:r w:rsidRPr="00286A88">
              <w:rPr>
                <w:lang w:val="en-AU" w:eastAsia="en-AU"/>
              </w:rPr>
              <w:t xml:space="preserve">binomial distribution </w:t>
            </w:r>
          </w:p>
        </w:tc>
        <w:tc>
          <w:tcPr>
            <w:tcW w:w="0" w:type="auto"/>
            <w:vAlign w:val="center"/>
          </w:tcPr>
          <w:p w14:paraId="7C22D430" w14:textId="77777777" w:rsidR="00286A88" w:rsidRPr="00286A88" w:rsidRDefault="00286A88" w:rsidP="007D5D6B">
            <w:pPr>
              <w:spacing w:before="120"/>
              <w:rPr>
                <w:lang w:val="en-AU" w:eastAsia="en-AU"/>
              </w:rPr>
            </w:pPr>
            <w:r w:rsidRPr="00286A88">
              <w:rPr>
                <w:lang w:val="en-AU" w:eastAsia="en-AU"/>
              </w:rPr>
              <w:t>Frequency distribution where only two (mutually exclusive) outcomes are possible, such as better or worse, using or not using a resource.</w:t>
            </w:r>
          </w:p>
        </w:tc>
      </w:tr>
      <w:tr w:rsidR="00286A88" w:rsidRPr="00286A88" w14:paraId="4A7E15C0" w14:textId="77777777" w:rsidTr="00286A88">
        <w:tc>
          <w:tcPr>
            <w:tcW w:w="0" w:type="auto"/>
            <w:vAlign w:val="center"/>
          </w:tcPr>
          <w:p w14:paraId="4AD723BD" w14:textId="77777777" w:rsidR="00286A88" w:rsidRPr="00286A88" w:rsidRDefault="00286A88" w:rsidP="007D5D6B">
            <w:pPr>
              <w:spacing w:before="120"/>
              <w:rPr>
                <w:lang w:val="en-AU" w:eastAsia="en-AU"/>
              </w:rPr>
            </w:pPr>
            <w:r w:rsidRPr="00286A88">
              <w:rPr>
                <w:lang w:val="en-AU" w:eastAsia="en-AU"/>
              </w:rPr>
              <w:t>biosecurity</w:t>
            </w:r>
          </w:p>
        </w:tc>
        <w:tc>
          <w:tcPr>
            <w:tcW w:w="0" w:type="auto"/>
            <w:vAlign w:val="center"/>
          </w:tcPr>
          <w:p w14:paraId="3A82E453" w14:textId="77777777" w:rsidR="00286A88" w:rsidRPr="00286A88" w:rsidRDefault="00286A88" w:rsidP="007D5D6B">
            <w:pPr>
              <w:spacing w:before="120"/>
              <w:rPr>
                <w:lang w:val="en-AU" w:eastAsia="en-AU"/>
              </w:rPr>
            </w:pPr>
            <w:r w:rsidRPr="00286A88">
              <w:rPr>
                <w:lang w:val="en-AU" w:eastAsia="en-AU"/>
              </w:rPr>
              <w:t>All measures designed to reduce the risk of harmful biological agents coming onto the farm, into the house or in contact with the birds. May include measures such as air filtration designed to reduce airborne pathogens.</w:t>
            </w:r>
          </w:p>
        </w:tc>
      </w:tr>
      <w:tr w:rsidR="00286A88" w:rsidRPr="00286A88" w14:paraId="07A1CB43" w14:textId="77777777" w:rsidTr="00286A88">
        <w:tc>
          <w:tcPr>
            <w:tcW w:w="0" w:type="auto"/>
            <w:vAlign w:val="center"/>
          </w:tcPr>
          <w:p w14:paraId="6215392B" w14:textId="77777777" w:rsidR="00286A88" w:rsidRPr="00286A88" w:rsidRDefault="00286A88" w:rsidP="007D5D6B">
            <w:pPr>
              <w:spacing w:before="120"/>
              <w:rPr>
                <w:lang w:val="en-AU" w:eastAsia="en-AU"/>
              </w:rPr>
            </w:pPr>
            <w:r w:rsidRPr="00286A88">
              <w:rPr>
                <w:lang w:val="en-AU" w:eastAsia="en-AU"/>
              </w:rPr>
              <w:t>bit</w:t>
            </w:r>
          </w:p>
        </w:tc>
        <w:tc>
          <w:tcPr>
            <w:tcW w:w="0" w:type="auto"/>
            <w:vAlign w:val="center"/>
          </w:tcPr>
          <w:p w14:paraId="633F1F54" w14:textId="77777777" w:rsidR="00286A88" w:rsidRPr="00286A88" w:rsidRDefault="00286A88" w:rsidP="007D5D6B">
            <w:pPr>
              <w:spacing w:before="120"/>
              <w:rPr>
                <w:lang w:val="en-AU" w:eastAsia="en-AU"/>
              </w:rPr>
            </w:pPr>
            <w:r w:rsidRPr="00286A88">
              <w:rPr>
                <w:lang w:val="en-AU" w:eastAsia="en-AU"/>
              </w:rPr>
              <w:t>A plastic ring or other plastic structure inserted through both nostrils to prevent the beak fully closing. Designed to prevent damage due to feather pecking</w:t>
            </w:r>
          </w:p>
        </w:tc>
      </w:tr>
      <w:tr w:rsidR="00286A88" w:rsidRPr="00286A88" w14:paraId="048DC510" w14:textId="77777777" w:rsidTr="00286A88">
        <w:tc>
          <w:tcPr>
            <w:tcW w:w="0" w:type="auto"/>
            <w:vAlign w:val="center"/>
          </w:tcPr>
          <w:p w14:paraId="64FF7279" w14:textId="77777777" w:rsidR="00286A88" w:rsidRPr="00286A88" w:rsidRDefault="00286A88" w:rsidP="007D5D6B">
            <w:pPr>
              <w:spacing w:before="120"/>
              <w:rPr>
                <w:lang w:val="en-AU" w:eastAsia="en-AU"/>
              </w:rPr>
            </w:pPr>
            <w:r w:rsidRPr="00286A88">
              <w:rPr>
                <w:lang w:val="en-AU" w:eastAsia="en-AU"/>
              </w:rPr>
              <w:t>broiler</w:t>
            </w:r>
          </w:p>
        </w:tc>
        <w:tc>
          <w:tcPr>
            <w:tcW w:w="0" w:type="auto"/>
            <w:vAlign w:val="center"/>
          </w:tcPr>
          <w:p w14:paraId="36D78172" w14:textId="77777777" w:rsidR="00286A88" w:rsidRPr="00286A88" w:rsidRDefault="00286A88" w:rsidP="007D5D6B">
            <w:pPr>
              <w:spacing w:before="120"/>
              <w:rPr>
                <w:lang w:val="en-AU" w:eastAsia="en-AU"/>
              </w:rPr>
            </w:pPr>
            <w:r w:rsidRPr="00286A88">
              <w:rPr>
                <w:lang w:val="en-AU" w:eastAsia="en-AU"/>
              </w:rPr>
              <w:t>A chicken bred specifically for meat production.</w:t>
            </w:r>
          </w:p>
        </w:tc>
      </w:tr>
      <w:tr w:rsidR="00286A88" w:rsidRPr="00286A88" w14:paraId="5D79ED67" w14:textId="77777777" w:rsidTr="00286A88">
        <w:tc>
          <w:tcPr>
            <w:tcW w:w="0" w:type="auto"/>
            <w:vAlign w:val="center"/>
          </w:tcPr>
          <w:p w14:paraId="4DCDB7B3" w14:textId="77777777" w:rsidR="00286A88" w:rsidRPr="00286A88" w:rsidRDefault="00286A88" w:rsidP="007D5D6B">
            <w:pPr>
              <w:spacing w:before="120"/>
              <w:rPr>
                <w:lang w:val="en-AU" w:eastAsia="en-AU"/>
              </w:rPr>
            </w:pPr>
            <w:r w:rsidRPr="00286A88">
              <w:rPr>
                <w:color w:val="auto"/>
                <w:lang w:val="en-AU" w:eastAsia="en-AU"/>
              </w:rPr>
              <w:t xml:space="preserve">cardiac or ventricular fibrillation </w:t>
            </w:r>
          </w:p>
        </w:tc>
        <w:tc>
          <w:tcPr>
            <w:tcW w:w="0" w:type="auto"/>
            <w:vAlign w:val="center"/>
          </w:tcPr>
          <w:p w14:paraId="680D3367" w14:textId="77777777" w:rsidR="00286A88" w:rsidRPr="00286A88" w:rsidRDefault="00286A88" w:rsidP="007D5D6B">
            <w:pPr>
              <w:spacing w:before="120"/>
              <w:rPr>
                <w:lang w:val="en-AU" w:eastAsia="en-AU"/>
              </w:rPr>
            </w:pPr>
            <w:r w:rsidRPr="00286A88">
              <w:rPr>
                <w:color w:val="auto"/>
                <w:lang w:val="en-AU" w:eastAsia="en-AU"/>
              </w:rPr>
              <w:t>When the heart quivers instead of pumping due to disorganised electrical activity in the heart.</w:t>
            </w:r>
          </w:p>
        </w:tc>
      </w:tr>
      <w:tr w:rsidR="00286A88" w:rsidRPr="00286A88" w14:paraId="159DBBC5" w14:textId="77777777" w:rsidTr="00286A88">
        <w:tc>
          <w:tcPr>
            <w:tcW w:w="0" w:type="auto"/>
            <w:vAlign w:val="center"/>
          </w:tcPr>
          <w:p w14:paraId="29957358" w14:textId="77777777" w:rsidR="00286A88" w:rsidRPr="00286A88" w:rsidRDefault="00286A88" w:rsidP="007D5D6B">
            <w:pPr>
              <w:spacing w:before="120"/>
              <w:rPr>
                <w:lang w:val="en-AU" w:eastAsia="en-AU"/>
              </w:rPr>
            </w:pPr>
            <w:r w:rsidRPr="00286A88">
              <w:rPr>
                <w:lang w:val="en-AU" w:eastAsia="en-AU"/>
              </w:rPr>
              <w:t>CAS</w:t>
            </w:r>
          </w:p>
        </w:tc>
        <w:tc>
          <w:tcPr>
            <w:tcW w:w="0" w:type="auto"/>
            <w:vAlign w:val="center"/>
          </w:tcPr>
          <w:p w14:paraId="6576B229" w14:textId="77777777" w:rsidR="00286A88" w:rsidRPr="00286A88" w:rsidRDefault="00286A88" w:rsidP="007D5D6B">
            <w:pPr>
              <w:spacing w:before="120"/>
              <w:rPr>
                <w:color w:val="auto"/>
                <w:lang w:val="en-AU" w:eastAsia="en-AU"/>
              </w:rPr>
            </w:pPr>
            <w:r w:rsidRPr="00286A88">
              <w:rPr>
                <w:color w:val="auto"/>
                <w:lang w:val="en-AU" w:eastAsia="en-AU"/>
              </w:rPr>
              <w:t>Controlled atmosphere stunning.</w:t>
            </w:r>
          </w:p>
        </w:tc>
      </w:tr>
      <w:tr w:rsidR="00286A88" w:rsidRPr="00286A88" w14:paraId="16BFFAC7" w14:textId="77777777" w:rsidTr="00286A88">
        <w:tc>
          <w:tcPr>
            <w:tcW w:w="0" w:type="auto"/>
            <w:vAlign w:val="center"/>
          </w:tcPr>
          <w:p w14:paraId="5F39251E" w14:textId="77777777" w:rsidR="00286A88" w:rsidRPr="00286A88" w:rsidRDefault="00286A88" w:rsidP="007D5D6B">
            <w:pPr>
              <w:spacing w:before="120"/>
              <w:rPr>
                <w:lang w:val="en-AU" w:eastAsia="en-AU"/>
              </w:rPr>
            </w:pPr>
            <w:r w:rsidRPr="00286A88">
              <w:rPr>
                <w:lang w:val="en-AU" w:eastAsia="en-AU"/>
              </w:rPr>
              <w:t>CC</w:t>
            </w:r>
          </w:p>
        </w:tc>
        <w:tc>
          <w:tcPr>
            <w:tcW w:w="0" w:type="auto"/>
            <w:vAlign w:val="center"/>
          </w:tcPr>
          <w:p w14:paraId="2E51E4B7" w14:textId="77777777" w:rsidR="00286A88" w:rsidRPr="00286A88" w:rsidRDefault="00286A88" w:rsidP="007D5D6B">
            <w:pPr>
              <w:spacing w:before="120"/>
              <w:rPr>
                <w:color w:val="auto"/>
                <w:lang w:val="en-AU" w:eastAsia="en-AU"/>
              </w:rPr>
            </w:pPr>
            <w:r w:rsidRPr="00286A88">
              <w:rPr>
                <w:color w:val="auto"/>
                <w:lang w:val="en-AU" w:eastAsia="en-AU"/>
              </w:rPr>
              <w:t>Conventional cages.</w:t>
            </w:r>
          </w:p>
        </w:tc>
      </w:tr>
      <w:tr w:rsidR="00286A88" w:rsidRPr="00286A88" w14:paraId="7993E9D5" w14:textId="77777777" w:rsidTr="00286A88">
        <w:tc>
          <w:tcPr>
            <w:tcW w:w="0" w:type="auto"/>
            <w:vAlign w:val="center"/>
          </w:tcPr>
          <w:p w14:paraId="5E0463E8" w14:textId="77777777" w:rsidR="00286A88" w:rsidRPr="00286A88" w:rsidRDefault="00286A88" w:rsidP="007D5D6B">
            <w:pPr>
              <w:spacing w:before="120"/>
              <w:rPr>
                <w:lang w:val="en-AU" w:eastAsia="en-AU"/>
              </w:rPr>
            </w:pPr>
            <w:r w:rsidRPr="00286A88">
              <w:rPr>
                <w:lang w:val="en-AU" w:eastAsia="en-AU"/>
              </w:rPr>
              <w:t>cerebral ischemia</w:t>
            </w:r>
          </w:p>
        </w:tc>
        <w:tc>
          <w:tcPr>
            <w:tcW w:w="0" w:type="auto"/>
            <w:vAlign w:val="center"/>
          </w:tcPr>
          <w:p w14:paraId="69799D49" w14:textId="77777777" w:rsidR="00286A88" w:rsidRPr="00286A88" w:rsidRDefault="00286A88" w:rsidP="007D5D6B">
            <w:pPr>
              <w:spacing w:before="120"/>
              <w:rPr>
                <w:lang w:val="en-AU" w:eastAsia="en-AU"/>
              </w:rPr>
            </w:pPr>
            <w:r w:rsidRPr="00286A88">
              <w:rPr>
                <w:color w:val="auto"/>
                <w:lang w:val="en-AU" w:eastAsia="en-AU"/>
              </w:rPr>
              <w:t>Insufficient blood supply to the brain to meet metabolic demand, leading to cerebral hypoxia and death of brain tissue.</w:t>
            </w:r>
          </w:p>
        </w:tc>
      </w:tr>
      <w:tr w:rsidR="00286A88" w:rsidRPr="00286A88" w14:paraId="1577F8F9" w14:textId="77777777" w:rsidTr="00286A88">
        <w:tc>
          <w:tcPr>
            <w:tcW w:w="0" w:type="auto"/>
            <w:vAlign w:val="center"/>
          </w:tcPr>
          <w:p w14:paraId="3A7E9B4C" w14:textId="77777777" w:rsidR="00286A88" w:rsidRPr="00286A88" w:rsidRDefault="00286A88" w:rsidP="007D5D6B">
            <w:pPr>
              <w:spacing w:before="120"/>
              <w:rPr>
                <w:lang w:val="en-AU" w:eastAsia="en-AU"/>
              </w:rPr>
            </w:pPr>
            <w:r w:rsidRPr="00286A88">
              <w:rPr>
                <w:lang w:val="en-AU" w:eastAsia="en-AU"/>
              </w:rPr>
              <w:t>coccidiosis</w:t>
            </w:r>
          </w:p>
        </w:tc>
        <w:tc>
          <w:tcPr>
            <w:tcW w:w="0" w:type="auto"/>
            <w:vAlign w:val="center"/>
          </w:tcPr>
          <w:p w14:paraId="26188375" w14:textId="77777777" w:rsidR="00286A88" w:rsidRPr="00286A88" w:rsidRDefault="00286A88" w:rsidP="007D5D6B">
            <w:pPr>
              <w:spacing w:before="120"/>
              <w:rPr>
                <w:lang w:val="en-AU" w:eastAsia="en-AU"/>
              </w:rPr>
            </w:pPr>
            <w:r w:rsidRPr="00286A88">
              <w:rPr>
                <w:lang w:val="en-AU" w:eastAsia="en-AU"/>
              </w:rPr>
              <w:t>Coccidiosis is an infectious parasitic disease of the intestinal tract of animals caused by several species of protozoa. </w:t>
            </w:r>
          </w:p>
        </w:tc>
      </w:tr>
      <w:tr w:rsidR="00286A88" w:rsidRPr="00286A88" w14:paraId="0F5C494F" w14:textId="77777777" w:rsidTr="00286A88">
        <w:tc>
          <w:tcPr>
            <w:tcW w:w="0" w:type="auto"/>
            <w:vAlign w:val="center"/>
          </w:tcPr>
          <w:p w14:paraId="3697174A" w14:textId="77777777" w:rsidR="00286A88" w:rsidRPr="00286A88" w:rsidRDefault="00286A88" w:rsidP="007D5D6B">
            <w:pPr>
              <w:spacing w:before="120"/>
              <w:rPr>
                <w:lang w:val="en-AU" w:eastAsia="en-AU"/>
              </w:rPr>
            </w:pPr>
            <w:r w:rsidRPr="00286A88">
              <w:rPr>
                <w:lang w:val="en-AU" w:eastAsia="en-AU"/>
              </w:rPr>
              <w:t>compensatory feed intake</w:t>
            </w:r>
          </w:p>
        </w:tc>
        <w:tc>
          <w:tcPr>
            <w:tcW w:w="0" w:type="auto"/>
            <w:vAlign w:val="center"/>
          </w:tcPr>
          <w:p w14:paraId="5D653983" w14:textId="77777777" w:rsidR="00286A88" w:rsidRPr="00286A88" w:rsidRDefault="00286A88" w:rsidP="007D5D6B">
            <w:pPr>
              <w:spacing w:before="120"/>
              <w:rPr>
                <w:lang w:val="en-AU" w:eastAsia="en-AU"/>
              </w:rPr>
            </w:pPr>
            <w:r w:rsidRPr="00286A88">
              <w:rPr>
                <w:lang w:val="en-AU" w:eastAsia="en-AU"/>
              </w:rPr>
              <w:t>The quantity of feed an animal consumes after a period of feed restriction.</w:t>
            </w:r>
          </w:p>
        </w:tc>
      </w:tr>
      <w:tr w:rsidR="00286A88" w:rsidRPr="00286A88" w14:paraId="02722112" w14:textId="77777777" w:rsidTr="00286A88">
        <w:tc>
          <w:tcPr>
            <w:tcW w:w="0" w:type="auto"/>
            <w:vAlign w:val="center"/>
          </w:tcPr>
          <w:p w14:paraId="627512B2" w14:textId="77777777" w:rsidR="00286A88" w:rsidRPr="00286A88" w:rsidRDefault="00286A88" w:rsidP="007D5D6B">
            <w:pPr>
              <w:spacing w:before="120"/>
              <w:rPr>
                <w:lang w:val="en-AU" w:eastAsia="en-AU"/>
              </w:rPr>
            </w:pPr>
            <w:r w:rsidRPr="00286A88">
              <w:rPr>
                <w:lang w:val="en-AU" w:eastAsia="en-AU"/>
              </w:rPr>
              <w:t>confounding</w:t>
            </w:r>
          </w:p>
        </w:tc>
        <w:tc>
          <w:tcPr>
            <w:tcW w:w="0" w:type="auto"/>
            <w:vAlign w:val="center"/>
          </w:tcPr>
          <w:p w14:paraId="405B1CF1" w14:textId="77777777" w:rsidR="00286A88" w:rsidRPr="00286A88" w:rsidRDefault="00286A88" w:rsidP="007D5D6B">
            <w:pPr>
              <w:spacing w:before="120"/>
              <w:rPr>
                <w:lang w:val="en-AU" w:eastAsia="en-AU"/>
              </w:rPr>
            </w:pPr>
            <w:r w:rsidRPr="00286A88">
              <w:rPr>
                <w:lang w:val="en-AU" w:eastAsia="en-AU"/>
              </w:rPr>
              <w:t>Confounding occurs when the effects of an experimental treatment are mixed in with the effects of one or more additional factors, resulting in a distortion of the true relationship.  Confounding factors can result in an apparent association between treatment and outcome when no real relationship exists.</w:t>
            </w:r>
          </w:p>
        </w:tc>
      </w:tr>
      <w:tr w:rsidR="00286A88" w:rsidRPr="00286A88" w14:paraId="033C6D59" w14:textId="77777777" w:rsidTr="00286A88">
        <w:tc>
          <w:tcPr>
            <w:tcW w:w="0" w:type="auto"/>
            <w:vAlign w:val="center"/>
          </w:tcPr>
          <w:p w14:paraId="6F6B6902" w14:textId="77777777" w:rsidR="00286A88" w:rsidRPr="00286A88" w:rsidRDefault="00286A88" w:rsidP="007D5D6B">
            <w:pPr>
              <w:spacing w:before="120"/>
              <w:rPr>
                <w:lang w:val="en-AU" w:eastAsia="en-AU"/>
              </w:rPr>
            </w:pPr>
            <w:r w:rsidRPr="00286A88">
              <w:rPr>
                <w:lang w:val="en-AU" w:eastAsia="en-AU"/>
              </w:rPr>
              <w:t>conspecifics</w:t>
            </w:r>
          </w:p>
        </w:tc>
        <w:tc>
          <w:tcPr>
            <w:tcW w:w="0" w:type="auto"/>
            <w:vAlign w:val="center"/>
          </w:tcPr>
          <w:p w14:paraId="06A857C9" w14:textId="77777777" w:rsidR="00286A88" w:rsidRPr="00286A88" w:rsidRDefault="00286A88" w:rsidP="007D5D6B">
            <w:pPr>
              <w:spacing w:before="120"/>
              <w:rPr>
                <w:lang w:val="en-AU" w:eastAsia="en-AU"/>
              </w:rPr>
            </w:pPr>
            <w:r w:rsidRPr="00286A88">
              <w:rPr>
                <w:lang w:val="en-AU" w:eastAsia="en-AU"/>
              </w:rPr>
              <w:t>Other birds in the same enclosure or flock.</w:t>
            </w:r>
          </w:p>
        </w:tc>
      </w:tr>
      <w:tr w:rsidR="00286A88" w:rsidRPr="00286A88" w14:paraId="48FB0DAE" w14:textId="77777777" w:rsidTr="00286A88">
        <w:tc>
          <w:tcPr>
            <w:tcW w:w="0" w:type="auto"/>
            <w:vAlign w:val="center"/>
          </w:tcPr>
          <w:p w14:paraId="403BB311" w14:textId="77777777" w:rsidR="00286A88" w:rsidRPr="00286A88" w:rsidRDefault="00286A88" w:rsidP="007D5D6B">
            <w:pPr>
              <w:spacing w:before="120"/>
              <w:rPr>
                <w:lang w:val="en-AU" w:eastAsia="en-AU"/>
              </w:rPr>
            </w:pPr>
            <w:r w:rsidRPr="00286A88">
              <w:rPr>
                <w:lang w:val="en-AU" w:eastAsia="en-AU"/>
              </w:rPr>
              <w:t>corticosterone</w:t>
            </w:r>
          </w:p>
        </w:tc>
        <w:tc>
          <w:tcPr>
            <w:tcW w:w="0" w:type="auto"/>
            <w:vAlign w:val="center"/>
          </w:tcPr>
          <w:p w14:paraId="4D5174CF" w14:textId="77777777" w:rsidR="00286A88" w:rsidRPr="00286A88" w:rsidRDefault="00286A88" w:rsidP="007D5D6B">
            <w:pPr>
              <w:spacing w:before="120"/>
              <w:rPr>
                <w:lang w:val="en-AU" w:eastAsia="en-AU"/>
              </w:rPr>
            </w:pPr>
            <w:r w:rsidRPr="00286A88">
              <w:rPr>
                <w:lang w:val="en-AU" w:eastAsia="en-AU"/>
              </w:rPr>
              <w:t>A hormone which has raised levels in the blood when birds are aroused. Similar to cortisone in humans it can indicate both positive (excitement) and negative (stress) states. As it is excreted it may be measured in the droppings of commercial flocks to indicate more chronic states.</w:t>
            </w:r>
          </w:p>
        </w:tc>
      </w:tr>
      <w:tr w:rsidR="00286A88" w:rsidRPr="00286A88" w14:paraId="2B069797" w14:textId="77777777" w:rsidTr="00286A88">
        <w:tc>
          <w:tcPr>
            <w:tcW w:w="0" w:type="auto"/>
            <w:vAlign w:val="center"/>
          </w:tcPr>
          <w:p w14:paraId="624895F0" w14:textId="77777777" w:rsidR="00286A88" w:rsidRPr="00286A88" w:rsidRDefault="00286A88" w:rsidP="007D5D6B">
            <w:pPr>
              <w:spacing w:before="120"/>
              <w:rPr>
                <w:lang w:val="en-AU" w:eastAsia="en-AU"/>
              </w:rPr>
            </w:pPr>
            <w:r w:rsidRPr="00286A88">
              <w:rPr>
                <w:lang w:val="en-AU" w:eastAsia="en-AU"/>
              </w:rPr>
              <w:t>contra-freeloading</w:t>
            </w:r>
          </w:p>
        </w:tc>
        <w:tc>
          <w:tcPr>
            <w:tcW w:w="0" w:type="auto"/>
            <w:vAlign w:val="center"/>
          </w:tcPr>
          <w:p w14:paraId="15AD0E34" w14:textId="77777777" w:rsidR="00286A88" w:rsidRPr="00286A88" w:rsidRDefault="00286A88" w:rsidP="007D5D6B">
            <w:pPr>
              <w:spacing w:before="120"/>
              <w:rPr>
                <w:lang w:val="en-AU" w:eastAsia="en-AU"/>
              </w:rPr>
            </w:pPr>
            <w:r w:rsidRPr="00286A88">
              <w:rPr>
                <w:lang w:val="en-AU" w:eastAsia="en-AU"/>
              </w:rPr>
              <w:t>Working/foraging for food even when an adequate diet is freely available. Also applies to other resources.</w:t>
            </w:r>
          </w:p>
        </w:tc>
      </w:tr>
      <w:tr w:rsidR="00286A88" w:rsidRPr="00286A88" w14:paraId="10830A29" w14:textId="77777777" w:rsidTr="00286A88">
        <w:tc>
          <w:tcPr>
            <w:tcW w:w="0" w:type="auto"/>
            <w:vAlign w:val="center"/>
          </w:tcPr>
          <w:p w14:paraId="36F24643" w14:textId="77777777" w:rsidR="00286A88" w:rsidRPr="00286A88" w:rsidRDefault="00286A88" w:rsidP="007D5D6B">
            <w:pPr>
              <w:spacing w:before="120"/>
              <w:rPr>
                <w:lang w:val="en-AU" w:eastAsia="en-AU"/>
              </w:rPr>
            </w:pPr>
            <w:r w:rsidRPr="00286A88">
              <w:rPr>
                <w:lang w:val="en-AU" w:eastAsia="en-AU"/>
              </w:rPr>
              <w:t>cue</w:t>
            </w:r>
          </w:p>
        </w:tc>
        <w:tc>
          <w:tcPr>
            <w:tcW w:w="0" w:type="auto"/>
            <w:vAlign w:val="center"/>
          </w:tcPr>
          <w:p w14:paraId="077E39FB" w14:textId="77777777" w:rsidR="00286A88" w:rsidRPr="00286A88" w:rsidRDefault="00286A88" w:rsidP="007D5D6B">
            <w:pPr>
              <w:spacing w:before="120"/>
              <w:rPr>
                <w:lang w:val="en-AU" w:eastAsia="en-AU"/>
              </w:rPr>
            </w:pPr>
            <w:r w:rsidRPr="00286A88">
              <w:rPr>
                <w:lang w:val="en-AU" w:eastAsia="en-AU"/>
              </w:rPr>
              <w:t>A cue is any feature that an organism (bird) can use as a guide to display a particular behaviour or series of behaviours.</w:t>
            </w:r>
          </w:p>
        </w:tc>
      </w:tr>
      <w:tr w:rsidR="00286A88" w:rsidRPr="00286A88" w14:paraId="61562C11" w14:textId="77777777" w:rsidTr="00286A88">
        <w:tc>
          <w:tcPr>
            <w:tcW w:w="0" w:type="auto"/>
            <w:vAlign w:val="center"/>
          </w:tcPr>
          <w:p w14:paraId="0E296E4F" w14:textId="77777777" w:rsidR="00286A88" w:rsidRPr="00286A88" w:rsidRDefault="00286A88" w:rsidP="007D5D6B">
            <w:pPr>
              <w:spacing w:before="120"/>
              <w:rPr>
                <w:lang w:val="en-AU" w:eastAsia="en-AU"/>
              </w:rPr>
            </w:pPr>
            <w:r w:rsidRPr="00286A88">
              <w:rPr>
                <w:lang w:val="en-AU" w:eastAsia="en-AU"/>
              </w:rPr>
              <w:t>demand experiment</w:t>
            </w:r>
          </w:p>
        </w:tc>
        <w:tc>
          <w:tcPr>
            <w:tcW w:w="0" w:type="auto"/>
            <w:vAlign w:val="center"/>
          </w:tcPr>
          <w:p w14:paraId="66799501" w14:textId="77777777" w:rsidR="00286A88" w:rsidRPr="00286A88" w:rsidRDefault="00286A88" w:rsidP="007D5D6B">
            <w:pPr>
              <w:spacing w:before="120"/>
              <w:rPr>
                <w:lang w:val="en-AU" w:eastAsia="en-AU"/>
              </w:rPr>
            </w:pPr>
            <w:r w:rsidRPr="00286A88">
              <w:rPr>
                <w:lang w:val="en-AU" w:eastAsia="en-AU"/>
              </w:rPr>
              <w:t>Based on economic consumer demand theory, animals are asked to 'pay a price' to determine how important, for example, access to an enclosed nest site or to a perch is to them. The 'price' is often pushing through doors, which can have altered, weighted resistance.</w:t>
            </w:r>
          </w:p>
        </w:tc>
      </w:tr>
      <w:tr w:rsidR="00286A88" w:rsidRPr="00286A88" w14:paraId="32E1EF05" w14:textId="77777777" w:rsidTr="00286A88">
        <w:tc>
          <w:tcPr>
            <w:tcW w:w="0" w:type="auto"/>
            <w:vAlign w:val="center"/>
          </w:tcPr>
          <w:p w14:paraId="41E566CF" w14:textId="77777777" w:rsidR="00286A88" w:rsidRPr="00286A88" w:rsidRDefault="00286A88" w:rsidP="007D5D6B">
            <w:pPr>
              <w:spacing w:before="120"/>
              <w:rPr>
                <w:lang w:val="en-AU" w:eastAsia="en-AU"/>
              </w:rPr>
            </w:pPr>
            <w:r w:rsidRPr="00286A88">
              <w:rPr>
                <w:lang w:val="en-AU" w:eastAsia="en-AU"/>
              </w:rPr>
              <w:t>depopulation/depletion</w:t>
            </w:r>
          </w:p>
        </w:tc>
        <w:tc>
          <w:tcPr>
            <w:tcW w:w="0" w:type="auto"/>
            <w:vAlign w:val="center"/>
          </w:tcPr>
          <w:p w14:paraId="18A5FCDA" w14:textId="77777777" w:rsidR="00286A88" w:rsidRPr="00286A88" w:rsidRDefault="00286A88" w:rsidP="007D5D6B">
            <w:pPr>
              <w:spacing w:before="120"/>
              <w:rPr>
                <w:lang w:val="en-AU" w:eastAsia="en-AU"/>
              </w:rPr>
            </w:pPr>
            <w:r w:rsidRPr="00286A88">
              <w:rPr>
                <w:lang w:val="en-AU" w:eastAsia="en-AU"/>
              </w:rPr>
              <w:t>Removal of the flock of birds from their housing system at the end of the production period.</w:t>
            </w:r>
          </w:p>
        </w:tc>
      </w:tr>
      <w:tr w:rsidR="00286A88" w:rsidRPr="00286A88" w14:paraId="0EFB5CB9" w14:textId="77777777" w:rsidTr="00286A88">
        <w:tc>
          <w:tcPr>
            <w:tcW w:w="0" w:type="auto"/>
            <w:vAlign w:val="center"/>
          </w:tcPr>
          <w:p w14:paraId="209B52A8" w14:textId="77777777" w:rsidR="00286A88" w:rsidRPr="00286A88" w:rsidRDefault="00286A88" w:rsidP="007D5D6B">
            <w:pPr>
              <w:spacing w:before="120"/>
              <w:rPr>
                <w:lang w:val="en-AU" w:eastAsia="en-AU"/>
              </w:rPr>
            </w:pPr>
            <w:r w:rsidRPr="00286A88">
              <w:rPr>
                <w:lang w:val="en-AU" w:eastAsia="en-AU"/>
              </w:rPr>
              <w:t>desnooding</w:t>
            </w:r>
          </w:p>
        </w:tc>
        <w:tc>
          <w:tcPr>
            <w:tcW w:w="0" w:type="auto"/>
            <w:vAlign w:val="center"/>
          </w:tcPr>
          <w:p w14:paraId="01BEC795" w14:textId="77777777" w:rsidR="00286A88" w:rsidRPr="00286A88" w:rsidRDefault="00286A88" w:rsidP="007D5D6B">
            <w:pPr>
              <w:spacing w:before="120"/>
              <w:rPr>
                <w:lang w:val="en-AU" w:eastAsia="en-AU"/>
              </w:rPr>
            </w:pPr>
            <w:r w:rsidRPr="00286A88">
              <w:rPr>
                <w:lang w:val="en-AU" w:eastAsia="en-AU"/>
              </w:rPr>
              <w:t>The removal of the fleshy ornamental head appendage of turkeys.</w:t>
            </w:r>
          </w:p>
        </w:tc>
      </w:tr>
      <w:tr w:rsidR="00286A88" w:rsidRPr="00286A88" w14:paraId="1410B44D" w14:textId="77777777" w:rsidTr="00286A88">
        <w:tc>
          <w:tcPr>
            <w:tcW w:w="0" w:type="auto"/>
            <w:vAlign w:val="center"/>
          </w:tcPr>
          <w:p w14:paraId="5C20E486" w14:textId="77777777" w:rsidR="00286A88" w:rsidRPr="00286A88" w:rsidRDefault="00286A88" w:rsidP="007D5D6B">
            <w:pPr>
              <w:spacing w:before="120"/>
              <w:rPr>
                <w:lang w:val="en-AU" w:eastAsia="en-AU"/>
              </w:rPr>
            </w:pPr>
            <w:r w:rsidRPr="00286A88">
              <w:rPr>
                <w:lang w:val="en-AU" w:eastAsia="en-AU"/>
              </w:rPr>
              <w:t>dopamine receptors</w:t>
            </w:r>
          </w:p>
        </w:tc>
        <w:tc>
          <w:tcPr>
            <w:tcW w:w="0" w:type="auto"/>
            <w:vAlign w:val="center"/>
          </w:tcPr>
          <w:p w14:paraId="74EBC5D0" w14:textId="77777777" w:rsidR="00286A88" w:rsidRPr="00286A88" w:rsidRDefault="00286A88" w:rsidP="007D5D6B">
            <w:pPr>
              <w:spacing w:before="120"/>
              <w:rPr>
                <w:lang w:val="en-AU" w:eastAsia="en-AU"/>
              </w:rPr>
            </w:pPr>
            <w:r w:rsidRPr="00286A88">
              <w:rPr>
                <w:lang w:val="en-AU" w:eastAsia="en-AU"/>
              </w:rPr>
              <w:t>Areas in the brain which bind to dopamine, a neurotransmitter associated with mood.</w:t>
            </w:r>
          </w:p>
        </w:tc>
      </w:tr>
      <w:tr w:rsidR="00286A88" w:rsidRPr="00286A88" w14:paraId="7B63784B" w14:textId="77777777" w:rsidTr="00286A88">
        <w:tc>
          <w:tcPr>
            <w:tcW w:w="0" w:type="auto"/>
            <w:vAlign w:val="center"/>
          </w:tcPr>
          <w:p w14:paraId="5FE1ABA3" w14:textId="77777777" w:rsidR="00286A88" w:rsidRPr="00286A88" w:rsidRDefault="00286A88" w:rsidP="007D5D6B">
            <w:pPr>
              <w:spacing w:before="120"/>
              <w:rPr>
                <w:lang w:val="en-AU" w:eastAsia="en-AU"/>
              </w:rPr>
            </w:pPr>
            <w:r w:rsidRPr="00286A88">
              <w:rPr>
                <w:lang w:val="en-AU" w:eastAsia="en-AU"/>
              </w:rPr>
              <w:t>EC</w:t>
            </w:r>
          </w:p>
        </w:tc>
        <w:tc>
          <w:tcPr>
            <w:tcW w:w="0" w:type="auto"/>
            <w:vAlign w:val="center"/>
          </w:tcPr>
          <w:p w14:paraId="6F8278DC" w14:textId="77777777" w:rsidR="00286A88" w:rsidRPr="00286A88" w:rsidRDefault="00286A88" w:rsidP="007D5D6B">
            <w:pPr>
              <w:spacing w:before="120"/>
              <w:rPr>
                <w:lang w:val="en-AU" w:eastAsia="en-AU"/>
              </w:rPr>
            </w:pPr>
            <w:r w:rsidRPr="00286A88">
              <w:rPr>
                <w:lang w:val="en-AU" w:eastAsia="en-AU"/>
              </w:rPr>
              <w:t>European Commission (the Regulatory Body of the EU).</w:t>
            </w:r>
          </w:p>
        </w:tc>
      </w:tr>
      <w:tr w:rsidR="00286A88" w:rsidRPr="00286A88" w14:paraId="2795B582" w14:textId="77777777" w:rsidTr="00286A88">
        <w:tc>
          <w:tcPr>
            <w:tcW w:w="0" w:type="auto"/>
            <w:vAlign w:val="center"/>
          </w:tcPr>
          <w:p w14:paraId="320AD680" w14:textId="77777777" w:rsidR="00286A88" w:rsidRPr="00286A88" w:rsidRDefault="00286A88" w:rsidP="007D5D6B">
            <w:pPr>
              <w:spacing w:before="120"/>
              <w:rPr>
                <w:lang w:val="en-AU" w:eastAsia="en-AU"/>
              </w:rPr>
            </w:pPr>
            <w:r w:rsidRPr="00286A88">
              <w:rPr>
                <w:lang w:val="en-AU" w:eastAsia="en-AU"/>
              </w:rPr>
              <w:t>ectoparasites</w:t>
            </w:r>
          </w:p>
        </w:tc>
        <w:tc>
          <w:tcPr>
            <w:tcW w:w="0" w:type="auto"/>
            <w:vAlign w:val="center"/>
          </w:tcPr>
          <w:p w14:paraId="64D3ACB6" w14:textId="77777777" w:rsidR="00286A88" w:rsidRPr="00286A88" w:rsidRDefault="00286A88" w:rsidP="007D5D6B">
            <w:pPr>
              <w:spacing w:before="120"/>
              <w:rPr>
                <w:lang w:val="en-AU" w:eastAsia="en-AU"/>
              </w:rPr>
            </w:pPr>
            <w:r w:rsidRPr="00286A88">
              <w:rPr>
                <w:lang w:val="en-AU" w:eastAsia="en-AU"/>
              </w:rPr>
              <w:t>Parasites such as mites and lice found on the outside surfaces of the body.</w:t>
            </w:r>
          </w:p>
        </w:tc>
      </w:tr>
      <w:tr w:rsidR="00286A88" w:rsidRPr="00286A88" w14:paraId="69868487" w14:textId="77777777" w:rsidTr="00286A88">
        <w:tc>
          <w:tcPr>
            <w:tcW w:w="0" w:type="auto"/>
            <w:vAlign w:val="center"/>
          </w:tcPr>
          <w:p w14:paraId="35610B94" w14:textId="77777777" w:rsidR="00286A88" w:rsidRPr="00286A88" w:rsidRDefault="00286A88" w:rsidP="007D5D6B">
            <w:pPr>
              <w:spacing w:before="120"/>
              <w:rPr>
                <w:lang w:val="en-AU" w:eastAsia="en-AU"/>
              </w:rPr>
            </w:pPr>
            <w:r w:rsidRPr="00286A88">
              <w:rPr>
                <w:lang w:val="en-AU" w:eastAsia="en-AU"/>
              </w:rPr>
              <w:t>EEG</w:t>
            </w:r>
          </w:p>
        </w:tc>
        <w:tc>
          <w:tcPr>
            <w:tcW w:w="0" w:type="auto"/>
            <w:vAlign w:val="center"/>
          </w:tcPr>
          <w:p w14:paraId="6705EDF4" w14:textId="77777777" w:rsidR="00286A88" w:rsidRPr="00286A88" w:rsidRDefault="00286A88" w:rsidP="007D5D6B">
            <w:pPr>
              <w:spacing w:before="120"/>
              <w:rPr>
                <w:color w:val="auto"/>
                <w:lang w:val="en-AU" w:eastAsia="en-AU"/>
              </w:rPr>
            </w:pPr>
            <w:r w:rsidRPr="00286A88">
              <w:rPr>
                <w:color w:val="auto"/>
                <w:lang w:val="en-AU" w:eastAsia="en-AU"/>
              </w:rPr>
              <w:t>Electroencephalogram, a measurement of the electrical activity of the brain which can be used as an indication of unconsciousness and brain death.</w:t>
            </w:r>
          </w:p>
        </w:tc>
      </w:tr>
      <w:tr w:rsidR="00286A88" w:rsidRPr="00286A88" w14:paraId="4D1347D7" w14:textId="77777777" w:rsidTr="00286A88">
        <w:tc>
          <w:tcPr>
            <w:tcW w:w="0" w:type="auto"/>
            <w:vAlign w:val="center"/>
          </w:tcPr>
          <w:p w14:paraId="6897158B" w14:textId="77777777" w:rsidR="00286A88" w:rsidRPr="00286A88" w:rsidRDefault="00286A88" w:rsidP="007D5D6B">
            <w:pPr>
              <w:spacing w:before="120"/>
              <w:rPr>
                <w:lang w:val="en-AU" w:eastAsia="en-AU"/>
              </w:rPr>
            </w:pPr>
            <w:r w:rsidRPr="00286A88">
              <w:rPr>
                <w:lang w:val="en-AU" w:eastAsia="en-AU"/>
              </w:rPr>
              <w:t>embryogenesis</w:t>
            </w:r>
          </w:p>
        </w:tc>
        <w:tc>
          <w:tcPr>
            <w:tcW w:w="0" w:type="auto"/>
            <w:vAlign w:val="center"/>
          </w:tcPr>
          <w:p w14:paraId="072261EC" w14:textId="77777777" w:rsidR="00286A88" w:rsidRPr="00286A88" w:rsidRDefault="00286A88" w:rsidP="007D5D6B">
            <w:pPr>
              <w:spacing w:before="120"/>
              <w:rPr>
                <w:lang w:val="en-AU" w:eastAsia="en-AU"/>
              </w:rPr>
            </w:pPr>
            <w:r w:rsidRPr="00286A88">
              <w:rPr>
                <w:lang w:val="en-AU" w:eastAsia="en-AU"/>
              </w:rPr>
              <w:t>The process by which the embryo forms and develops.</w:t>
            </w:r>
          </w:p>
        </w:tc>
      </w:tr>
      <w:tr w:rsidR="00286A88" w:rsidRPr="00286A88" w14:paraId="52D3516B" w14:textId="77777777" w:rsidTr="00286A88">
        <w:tc>
          <w:tcPr>
            <w:tcW w:w="0" w:type="auto"/>
            <w:vAlign w:val="center"/>
          </w:tcPr>
          <w:p w14:paraId="77B7EA47" w14:textId="77777777" w:rsidR="00286A88" w:rsidRPr="00286A88" w:rsidRDefault="00286A88" w:rsidP="007D5D6B">
            <w:pPr>
              <w:spacing w:before="120"/>
              <w:rPr>
                <w:lang w:val="en-AU" w:eastAsia="en-AU"/>
              </w:rPr>
            </w:pPr>
            <w:r w:rsidRPr="00286A88">
              <w:rPr>
                <w:lang w:val="en-AU" w:eastAsia="en-AU"/>
              </w:rPr>
              <w:t>endochondral</w:t>
            </w:r>
          </w:p>
        </w:tc>
        <w:tc>
          <w:tcPr>
            <w:tcW w:w="0" w:type="auto"/>
            <w:vAlign w:val="center"/>
          </w:tcPr>
          <w:p w14:paraId="65A3AA90" w14:textId="77777777" w:rsidR="00286A88" w:rsidRPr="00286A88" w:rsidRDefault="00286A88" w:rsidP="007D5D6B">
            <w:pPr>
              <w:spacing w:before="120"/>
              <w:rPr>
                <w:lang w:val="en-AU" w:eastAsia="en-AU"/>
              </w:rPr>
            </w:pPr>
            <w:r w:rsidRPr="00286A88">
              <w:rPr>
                <w:lang w:val="en-AU" w:eastAsia="en-AU"/>
              </w:rPr>
              <w:t>Any bone that develops in and replaces cartilage by a process of calcification.</w:t>
            </w:r>
          </w:p>
        </w:tc>
      </w:tr>
      <w:tr w:rsidR="00286A88" w:rsidRPr="00286A88" w14:paraId="2E6BBE64" w14:textId="77777777" w:rsidTr="00286A88">
        <w:tc>
          <w:tcPr>
            <w:tcW w:w="0" w:type="auto"/>
            <w:vAlign w:val="center"/>
          </w:tcPr>
          <w:p w14:paraId="0FE7606C" w14:textId="77777777" w:rsidR="00286A88" w:rsidRPr="00286A88" w:rsidRDefault="00286A88" w:rsidP="007D5D6B">
            <w:pPr>
              <w:spacing w:before="120"/>
              <w:rPr>
                <w:lang w:val="en-AU" w:eastAsia="en-AU"/>
              </w:rPr>
            </w:pPr>
            <w:r w:rsidRPr="00286A88">
              <w:rPr>
                <w:lang w:val="en-AU" w:eastAsia="en-AU"/>
              </w:rPr>
              <w:t>endotoxin</w:t>
            </w:r>
          </w:p>
        </w:tc>
        <w:tc>
          <w:tcPr>
            <w:tcW w:w="0" w:type="auto"/>
            <w:vAlign w:val="center"/>
          </w:tcPr>
          <w:p w14:paraId="3A6ACDF3" w14:textId="77777777" w:rsidR="00286A88" w:rsidRPr="00286A88" w:rsidRDefault="00286A88" w:rsidP="007D5D6B">
            <w:pPr>
              <w:spacing w:before="120"/>
              <w:rPr>
                <w:lang w:val="en-AU" w:eastAsia="en-AU"/>
              </w:rPr>
            </w:pPr>
            <w:r w:rsidRPr="00286A88">
              <w:rPr>
                <w:lang w:val="en-AU" w:eastAsia="en-AU"/>
              </w:rPr>
              <w:t>A toxin present inside a bacterial cell that is released when it disintegrates.</w:t>
            </w:r>
          </w:p>
        </w:tc>
      </w:tr>
      <w:tr w:rsidR="00286A88" w:rsidRPr="00286A88" w14:paraId="69D2B0C8" w14:textId="77777777" w:rsidTr="00286A88">
        <w:tc>
          <w:tcPr>
            <w:tcW w:w="0" w:type="auto"/>
            <w:vAlign w:val="center"/>
          </w:tcPr>
          <w:p w14:paraId="7673D75E" w14:textId="77777777" w:rsidR="00286A88" w:rsidRPr="00286A88" w:rsidRDefault="00286A88" w:rsidP="007D5D6B">
            <w:pPr>
              <w:spacing w:before="120"/>
              <w:rPr>
                <w:lang w:val="en-AU" w:eastAsia="en-AU"/>
              </w:rPr>
            </w:pPr>
            <w:r w:rsidRPr="00286A88">
              <w:rPr>
                <w:lang w:val="en-AU" w:eastAsia="en-AU"/>
              </w:rPr>
              <w:t>et al.</w:t>
            </w:r>
          </w:p>
        </w:tc>
        <w:tc>
          <w:tcPr>
            <w:tcW w:w="0" w:type="auto"/>
            <w:vAlign w:val="center"/>
          </w:tcPr>
          <w:p w14:paraId="551A3792" w14:textId="77777777" w:rsidR="00286A88" w:rsidRPr="00286A88" w:rsidRDefault="00286A88" w:rsidP="007D5D6B">
            <w:pPr>
              <w:spacing w:before="120"/>
              <w:rPr>
                <w:lang w:val="en-AU" w:eastAsia="en-AU"/>
              </w:rPr>
            </w:pPr>
            <w:r w:rsidRPr="00286A88">
              <w:rPr>
                <w:lang w:val="en-AU" w:eastAsia="en-AU"/>
              </w:rPr>
              <w:t xml:space="preserve">A shorthand used to denote several authors (abbreviated form of the Latin </w:t>
            </w:r>
            <w:r w:rsidRPr="00286A88">
              <w:rPr>
                <w:i/>
                <w:iCs/>
                <w:lang w:val="en-AU" w:eastAsia="en-AU"/>
              </w:rPr>
              <w:t>et alia</w:t>
            </w:r>
            <w:r w:rsidRPr="00286A88">
              <w:rPr>
                <w:lang w:val="en-AU" w:eastAsia="en-AU"/>
              </w:rPr>
              <w:t>) i.e. 'and others'.</w:t>
            </w:r>
          </w:p>
        </w:tc>
      </w:tr>
      <w:tr w:rsidR="00286A88" w:rsidRPr="00286A88" w14:paraId="19904336" w14:textId="77777777" w:rsidTr="00286A88">
        <w:tc>
          <w:tcPr>
            <w:tcW w:w="0" w:type="auto"/>
            <w:vAlign w:val="center"/>
          </w:tcPr>
          <w:p w14:paraId="52D4D334" w14:textId="77777777" w:rsidR="00286A88" w:rsidRPr="00286A88" w:rsidRDefault="00286A88" w:rsidP="007D5D6B">
            <w:pPr>
              <w:spacing w:before="120"/>
              <w:rPr>
                <w:lang w:val="en-AU" w:eastAsia="en-AU"/>
              </w:rPr>
            </w:pPr>
            <w:r w:rsidRPr="00286A88">
              <w:rPr>
                <w:lang w:val="en-AU" w:eastAsia="en-AU"/>
              </w:rPr>
              <w:t>EU</w:t>
            </w:r>
          </w:p>
        </w:tc>
        <w:tc>
          <w:tcPr>
            <w:tcW w:w="0" w:type="auto"/>
            <w:vAlign w:val="center"/>
          </w:tcPr>
          <w:p w14:paraId="49B756F8" w14:textId="77777777" w:rsidR="00286A88" w:rsidRPr="00286A88" w:rsidRDefault="00286A88" w:rsidP="007D5D6B">
            <w:pPr>
              <w:spacing w:before="120"/>
              <w:rPr>
                <w:lang w:val="en-AU" w:eastAsia="en-AU"/>
              </w:rPr>
            </w:pPr>
            <w:r w:rsidRPr="00286A88">
              <w:rPr>
                <w:lang w:val="en-AU" w:eastAsia="en-AU"/>
              </w:rPr>
              <w:t>European Union (of Member states or countries).</w:t>
            </w:r>
          </w:p>
        </w:tc>
      </w:tr>
      <w:tr w:rsidR="00286A88" w:rsidRPr="00286A88" w14:paraId="4D8F90B7" w14:textId="77777777" w:rsidTr="00286A88">
        <w:tc>
          <w:tcPr>
            <w:tcW w:w="0" w:type="auto"/>
            <w:vAlign w:val="center"/>
          </w:tcPr>
          <w:p w14:paraId="4E6F1D4C" w14:textId="77777777" w:rsidR="00286A88" w:rsidRPr="00286A88" w:rsidRDefault="00286A88" w:rsidP="007D5D6B">
            <w:pPr>
              <w:spacing w:before="120"/>
              <w:rPr>
                <w:lang w:val="en-AU" w:eastAsia="en-AU"/>
              </w:rPr>
            </w:pPr>
            <w:r w:rsidRPr="00286A88">
              <w:rPr>
                <w:lang w:val="en-AU" w:eastAsia="en-AU"/>
              </w:rPr>
              <w:t>exsanguination</w:t>
            </w:r>
          </w:p>
        </w:tc>
        <w:tc>
          <w:tcPr>
            <w:tcW w:w="0" w:type="auto"/>
            <w:vAlign w:val="center"/>
          </w:tcPr>
          <w:p w14:paraId="17C3CCAC" w14:textId="77777777" w:rsidR="00286A88" w:rsidRPr="00286A88" w:rsidRDefault="00286A88" w:rsidP="007D5D6B">
            <w:pPr>
              <w:spacing w:before="120"/>
              <w:rPr>
                <w:lang w:val="en-AU" w:eastAsia="en-AU"/>
              </w:rPr>
            </w:pPr>
            <w:r w:rsidRPr="00286A88">
              <w:rPr>
                <w:color w:val="auto"/>
                <w:lang w:val="en-AU" w:eastAsia="en-AU"/>
              </w:rPr>
              <w:t>The process of blood loss to a degree sufficient to cause death.</w:t>
            </w:r>
          </w:p>
        </w:tc>
      </w:tr>
      <w:tr w:rsidR="00286A88" w:rsidRPr="00286A88" w14:paraId="42076B36" w14:textId="77777777" w:rsidTr="00286A88">
        <w:tc>
          <w:tcPr>
            <w:tcW w:w="0" w:type="auto"/>
            <w:vAlign w:val="center"/>
          </w:tcPr>
          <w:p w14:paraId="17AF9918" w14:textId="77777777" w:rsidR="00286A88" w:rsidRPr="00286A88" w:rsidRDefault="00286A88" w:rsidP="007D5D6B">
            <w:pPr>
              <w:spacing w:before="120"/>
              <w:rPr>
                <w:lang w:val="en-AU" w:eastAsia="en-AU"/>
              </w:rPr>
            </w:pPr>
            <w:r w:rsidRPr="00286A88">
              <w:rPr>
                <w:lang w:val="en-AU" w:eastAsia="en-AU"/>
              </w:rPr>
              <w:t>FC</w:t>
            </w:r>
          </w:p>
        </w:tc>
        <w:tc>
          <w:tcPr>
            <w:tcW w:w="0" w:type="auto"/>
            <w:vAlign w:val="center"/>
          </w:tcPr>
          <w:p w14:paraId="4690F4AD" w14:textId="77777777" w:rsidR="00286A88" w:rsidRPr="00286A88" w:rsidRDefault="00286A88" w:rsidP="007D5D6B">
            <w:pPr>
              <w:spacing w:before="120"/>
              <w:rPr>
                <w:lang w:val="en-AU" w:eastAsia="en-AU"/>
              </w:rPr>
            </w:pPr>
            <w:r w:rsidRPr="00286A88">
              <w:rPr>
                <w:lang w:val="en-AU" w:eastAsia="en-AU"/>
              </w:rPr>
              <w:t>Furnished (enriched or colony) cages.</w:t>
            </w:r>
          </w:p>
        </w:tc>
      </w:tr>
      <w:tr w:rsidR="00286A88" w:rsidRPr="00286A88" w14:paraId="31D20275" w14:textId="77777777" w:rsidTr="00286A88">
        <w:tc>
          <w:tcPr>
            <w:tcW w:w="0" w:type="auto"/>
            <w:vAlign w:val="center"/>
          </w:tcPr>
          <w:p w14:paraId="31A8D2B5" w14:textId="77777777" w:rsidR="00286A88" w:rsidRPr="00286A88" w:rsidRDefault="00286A88" w:rsidP="007D5D6B">
            <w:pPr>
              <w:spacing w:before="120"/>
              <w:rPr>
                <w:lang w:val="en-AU" w:eastAsia="en-AU"/>
              </w:rPr>
            </w:pPr>
            <w:r w:rsidRPr="00286A88">
              <w:rPr>
                <w:lang w:val="en-AU" w:eastAsia="en-AU"/>
              </w:rPr>
              <w:t>feed conversion efficiency (FCE)</w:t>
            </w:r>
          </w:p>
        </w:tc>
        <w:tc>
          <w:tcPr>
            <w:tcW w:w="0" w:type="auto"/>
            <w:vAlign w:val="center"/>
          </w:tcPr>
          <w:p w14:paraId="34A8264C" w14:textId="77777777" w:rsidR="00286A88" w:rsidRPr="00286A88" w:rsidRDefault="00286A88" w:rsidP="007D5D6B">
            <w:pPr>
              <w:spacing w:before="120"/>
              <w:rPr>
                <w:lang w:val="en-AU" w:eastAsia="en-AU"/>
              </w:rPr>
            </w:pPr>
            <w:r w:rsidRPr="00286A88">
              <w:rPr>
                <w:lang w:val="en-AU" w:eastAsia="en-AU"/>
              </w:rPr>
              <w:t>Weight of productive output (bodyweight or eggs) divided by the amount of feed consumed. Inverse of FCR.</w:t>
            </w:r>
          </w:p>
        </w:tc>
      </w:tr>
      <w:tr w:rsidR="00286A88" w:rsidRPr="00286A88" w14:paraId="303CB484" w14:textId="77777777" w:rsidTr="00286A88">
        <w:tc>
          <w:tcPr>
            <w:tcW w:w="0" w:type="auto"/>
            <w:vAlign w:val="center"/>
          </w:tcPr>
          <w:p w14:paraId="60B51BF7" w14:textId="77777777" w:rsidR="00286A88" w:rsidRPr="00286A88" w:rsidRDefault="00286A88" w:rsidP="007D5D6B">
            <w:pPr>
              <w:spacing w:before="120"/>
              <w:rPr>
                <w:lang w:val="en-AU" w:eastAsia="en-AU"/>
              </w:rPr>
            </w:pPr>
            <w:r w:rsidRPr="00286A88">
              <w:rPr>
                <w:lang w:val="en-AU" w:eastAsia="en-AU"/>
              </w:rPr>
              <w:t>feed conversion ratio (FCR)</w:t>
            </w:r>
          </w:p>
        </w:tc>
        <w:tc>
          <w:tcPr>
            <w:tcW w:w="0" w:type="auto"/>
            <w:vAlign w:val="center"/>
          </w:tcPr>
          <w:p w14:paraId="1EFECE4A" w14:textId="77777777" w:rsidR="00286A88" w:rsidRPr="00286A88" w:rsidRDefault="00286A88" w:rsidP="007D5D6B">
            <w:pPr>
              <w:spacing w:before="120"/>
              <w:rPr>
                <w:lang w:val="en-AU" w:eastAsia="en-AU"/>
              </w:rPr>
            </w:pPr>
            <w:r w:rsidRPr="00286A88">
              <w:rPr>
                <w:lang w:val="en-AU" w:eastAsia="en-AU"/>
              </w:rPr>
              <w:t>The amount of feed consumed divided by output (i.e. weight of eggs or meat). Inverse of FCE.</w:t>
            </w:r>
          </w:p>
        </w:tc>
      </w:tr>
      <w:tr w:rsidR="00286A88" w:rsidRPr="00286A88" w14:paraId="17A883F2" w14:textId="77777777" w:rsidTr="00286A88">
        <w:tc>
          <w:tcPr>
            <w:tcW w:w="0" w:type="auto"/>
            <w:vAlign w:val="center"/>
          </w:tcPr>
          <w:p w14:paraId="23E5F84F" w14:textId="77777777" w:rsidR="00286A88" w:rsidRPr="00286A88" w:rsidRDefault="00286A88" w:rsidP="007D5D6B">
            <w:pPr>
              <w:spacing w:before="120"/>
              <w:rPr>
                <w:lang w:val="en-AU" w:eastAsia="en-AU"/>
              </w:rPr>
            </w:pPr>
            <w:r w:rsidRPr="00286A88">
              <w:rPr>
                <w:lang w:val="en-AU" w:eastAsia="en-AU"/>
              </w:rPr>
              <w:t>FHN</w:t>
            </w:r>
          </w:p>
        </w:tc>
        <w:tc>
          <w:tcPr>
            <w:tcW w:w="0" w:type="auto"/>
            <w:vAlign w:val="center"/>
          </w:tcPr>
          <w:p w14:paraId="4873A5B2" w14:textId="77777777" w:rsidR="00286A88" w:rsidRPr="00286A88" w:rsidRDefault="00286A88" w:rsidP="007D5D6B">
            <w:pPr>
              <w:spacing w:before="120"/>
              <w:rPr>
                <w:lang w:val="en-AU" w:eastAsia="en-AU"/>
              </w:rPr>
            </w:pPr>
            <w:r w:rsidRPr="00286A88">
              <w:rPr>
                <w:lang w:val="en-AU" w:eastAsia="en-AU"/>
              </w:rPr>
              <w:t>Femoral head necrosis.</w:t>
            </w:r>
          </w:p>
        </w:tc>
      </w:tr>
      <w:tr w:rsidR="00286A88" w:rsidRPr="00286A88" w14:paraId="18A35AC8" w14:textId="77777777" w:rsidTr="00286A88">
        <w:tc>
          <w:tcPr>
            <w:tcW w:w="0" w:type="auto"/>
            <w:vAlign w:val="center"/>
          </w:tcPr>
          <w:p w14:paraId="36DA8C11" w14:textId="77777777" w:rsidR="00286A88" w:rsidRPr="00286A88" w:rsidRDefault="00286A88" w:rsidP="007D5D6B">
            <w:pPr>
              <w:spacing w:before="120"/>
              <w:rPr>
                <w:lang w:val="en-AU" w:eastAsia="en-AU"/>
              </w:rPr>
            </w:pPr>
            <w:r w:rsidRPr="00286A88">
              <w:rPr>
                <w:lang w:val="en-AU" w:eastAsia="en-AU"/>
              </w:rPr>
              <w:t>focal observations</w:t>
            </w:r>
          </w:p>
        </w:tc>
        <w:tc>
          <w:tcPr>
            <w:tcW w:w="0" w:type="auto"/>
            <w:vAlign w:val="center"/>
          </w:tcPr>
          <w:p w14:paraId="793C4802" w14:textId="77777777" w:rsidR="00286A88" w:rsidRPr="00286A88" w:rsidRDefault="00286A88" w:rsidP="007D5D6B">
            <w:pPr>
              <w:spacing w:before="120"/>
              <w:rPr>
                <w:lang w:val="en-AU" w:eastAsia="en-AU"/>
              </w:rPr>
            </w:pPr>
            <w:r w:rsidRPr="00286A88">
              <w:rPr>
                <w:lang w:val="en-AU" w:eastAsia="en-AU"/>
              </w:rPr>
              <w:t>Methods of observing animal behaviour: either recording occurrence of specific (focal) behaviours, or continuously monitoring a given individual's behaviour (the focal animal) for a specific period of time.</w:t>
            </w:r>
          </w:p>
        </w:tc>
      </w:tr>
      <w:tr w:rsidR="00286A88" w:rsidRPr="00286A88" w14:paraId="6A65F143" w14:textId="77777777" w:rsidTr="00286A88">
        <w:tc>
          <w:tcPr>
            <w:tcW w:w="0" w:type="auto"/>
            <w:vAlign w:val="center"/>
          </w:tcPr>
          <w:p w14:paraId="4DDE6D6B" w14:textId="77777777" w:rsidR="00286A88" w:rsidRPr="00286A88" w:rsidRDefault="00286A88" w:rsidP="007D5D6B">
            <w:pPr>
              <w:spacing w:before="120"/>
              <w:rPr>
                <w:lang w:val="en-AU" w:eastAsia="en-AU"/>
              </w:rPr>
            </w:pPr>
            <w:r w:rsidRPr="00286A88">
              <w:rPr>
                <w:lang w:val="en-AU" w:eastAsia="en-AU"/>
              </w:rPr>
              <w:t>foot pad dermatitis (FPD)</w:t>
            </w:r>
          </w:p>
        </w:tc>
        <w:tc>
          <w:tcPr>
            <w:tcW w:w="0" w:type="auto"/>
            <w:vAlign w:val="center"/>
          </w:tcPr>
          <w:p w14:paraId="691875A4" w14:textId="77777777" w:rsidR="00286A88" w:rsidRPr="00286A88" w:rsidRDefault="00286A88" w:rsidP="007D5D6B">
            <w:pPr>
              <w:spacing w:before="120"/>
              <w:rPr>
                <w:lang w:val="en-AU" w:eastAsia="en-AU"/>
              </w:rPr>
            </w:pPr>
            <w:r w:rsidRPr="00286A88">
              <w:rPr>
                <w:lang w:val="en-AU" w:eastAsia="en-AU"/>
              </w:rPr>
              <w:t>Particularly found in meat birds, this is a skin condition of the pads of the feet comprising lesions resulting from contact with wet, abrasive or corrosive litter. The extent of lesions can be measured by automated image analysis at the abattoir.</w:t>
            </w:r>
          </w:p>
        </w:tc>
      </w:tr>
      <w:tr w:rsidR="00286A88" w:rsidRPr="00286A88" w14:paraId="0FF36366" w14:textId="77777777" w:rsidTr="00286A88">
        <w:tc>
          <w:tcPr>
            <w:tcW w:w="0" w:type="auto"/>
            <w:vAlign w:val="center"/>
          </w:tcPr>
          <w:p w14:paraId="63E58BA0" w14:textId="77777777" w:rsidR="00286A88" w:rsidRPr="00286A88" w:rsidRDefault="00286A88" w:rsidP="007D5D6B">
            <w:pPr>
              <w:spacing w:before="120"/>
              <w:rPr>
                <w:lang w:val="en-AU" w:eastAsia="en-AU"/>
              </w:rPr>
            </w:pPr>
            <w:r w:rsidRPr="00286A88">
              <w:rPr>
                <w:lang w:val="en-AU" w:eastAsia="en-AU"/>
              </w:rPr>
              <w:t>forbs</w:t>
            </w:r>
          </w:p>
        </w:tc>
        <w:tc>
          <w:tcPr>
            <w:tcW w:w="0" w:type="auto"/>
            <w:vAlign w:val="center"/>
          </w:tcPr>
          <w:p w14:paraId="782A75BA" w14:textId="77777777" w:rsidR="00286A88" w:rsidRPr="00286A88" w:rsidRDefault="00286A88" w:rsidP="007D5D6B">
            <w:pPr>
              <w:spacing w:before="120"/>
              <w:rPr>
                <w:lang w:val="en-AU" w:eastAsia="en-AU"/>
              </w:rPr>
            </w:pPr>
            <w:r w:rsidRPr="00286A88">
              <w:rPr>
                <w:lang w:val="en-AU" w:eastAsia="en-AU"/>
              </w:rPr>
              <w:t>Herbaceous flowering plants other than graminoids (grasses, sedges and rushes).</w:t>
            </w:r>
          </w:p>
        </w:tc>
      </w:tr>
      <w:tr w:rsidR="00286A88" w:rsidRPr="00286A88" w14:paraId="24B69A59" w14:textId="77777777" w:rsidTr="00286A88">
        <w:tc>
          <w:tcPr>
            <w:tcW w:w="0" w:type="auto"/>
            <w:vAlign w:val="center"/>
          </w:tcPr>
          <w:p w14:paraId="0738F93B" w14:textId="77777777" w:rsidR="00286A88" w:rsidRPr="00286A88" w:rsidRDefault="00286A88" w:rsidP="007D5D6B">
            <w:pPr>
              <w:spacing w:before="120"/>
              <w:rPr>
                <w:lang w:val="en-AU" w:eastAsia="en-AU"/>
              </w:rPr>
            </w:pPr>
            <w:r w:rsidRPr="00286A88">
              <w:rPr>
                <w:lang w:val="en-AU" w:eastAsia="en-AU"/>
              </w:rPr>
              <w:t>FP</w:t>
            </w:r>
          </w:p>
        </w:tc>
        <w:tc>
          <w:tcPr>
            <w:tcW w:w="0" w:type="auto"/>
            <w:vAlign w:val="center"/>
          </w:tcPr>
          <w:p w14:paraId="2FBDF040" w14:textId="77777777" w:rsidR="00286A88" w:rsidRPr="00286A88" w:rsidRDefault="00286A88" w:rsidP="007D5D6B">
            <w:pPr>
              <w:spacing w:before="120"/>
              <w:rPr>
                <w:lang w:val="en-AU" w:eastAsia="en-AU"/>
              </w:rPr>
            </w:pPr>
            <w:r w:rsidRPr="00286A88">
              <w:rPr>
                <w:lang w:val="en-AU" w:eastAsia="en-AU"/>
              </w:rPr>
              <w:t>Feather pecking.</w:t>
            </w:r>
          </w:p>
        </w:tc>
      </w:tr>
      <w:tr w:rsidR="00286A88" w:rsidRPr="00286A88" w14:paraId="6CB926CC" w14:textId="77777777" w:rsidTr="00286A88">
        <w:tc>
          <w:tcPr>
            <w:tcW w:w="0" w:type="auto"/>
            <w:vAlign w:val="center"/>
          </w:tcPr>
          <w:p w14:paraId="0C4C0CAC" w14:textId="77777777" w:rsidR="00286A88" w:rsidRPr="00286A88" w:rsidRDefault="00286A88" w:rsidP="007D5D6B">
            <w:pPr>
              <w:spacing w:before="120"/>
              <w:rPr>
                <w:lang w:val="en-AU" w:eastAsia="en-AU"/>
              </w:rPr>
            </w:pPr>
            <w:r w:rsidRPr="00286A88">
              <w:rPr>
                <w:lang w:val="en-AU" w:eastAsia="en-AU"/>
              </w:rPr>
              <w:t>FR</w:t>
            </w:r>
          </w:p>
        </w:tc>
        <w:tc>
          <w:tcPr>
            <w:tcW w:w="0" w:type="auto"/>
            <w:vAlign w:val="center"/>
          </w:tcPr>
          <w:p w14:paraId="5C8EC8C5" w14:textId="77777777" w:rsidR="00286A88" w:rsidRPr="00286A88" w:rsidRDefault="00286A88" w:rsidP="007D5D6B">
            <w:pPr>
              <w:spacing w:before="120"/>
              <w:rPr>
                <w:lang w:val="en-AU" w:eastAsia="en-AU"/>
              </w:rPr>
            </w:pPr>
            <w:r w:rsidRPr="00286A88">
              <w:rPr>
                <w:lang w:val="en-AU" w:eastAsia="en-AU"/>
              </w:rPr>
              <w:t>Free-range systems.</w:t>
            </w:r>
          </w:p>
        </w:tc>
      </w:tr>
      <w:tr w:rsidR="00286A88" w:rsidRPr="00286A88" w14:paraId="6435C576" w14:textId="77777777" w:rsidTr="00286A88">
        <w:tc>
          <w:tcPr>
            <w:tcW w:w="0" w:type="auto"/>
            <w:vAlign w:val="center"/>
          </w:tcPr>
          <w:p w14:paraId="16125C45" w14:textId="77777777" w:rsidR="00286A88" w:rsidRPr="00286A88" w:rsidRDefault="00286A88" w:rsidP="007D5D6B">
            <w:pPr>
              <w:spacing w:before="120"/>
              <w:rPr>
                <w:lang w:val="en-AU" w:eastAsia="en-AU"/>
              </w:rPr>
            </w:pPr>
            <w:r w:rsidRPr="00286A88">
              <w:rPr>
                <w:lang w:val="en-AU" w:eastAsia="en-AU"/>
              </w:rPr>
              <w:t>friable</w:t>
            </w:r>
          </w:p>
        </w:tc>
        <w:tc>
          <w:tcPr>
            <w:tcW w:w="0" w:type="auto"/>
            <w:vAlign w:val="center"/>
          </w:tcPr>
          <w:p w14:paraId="596A75CB" w14:textId="77777777" w:rsidR="00286A88" w:rsidRPr="00286A88" w:rsidRDefault="00286A88" w:rsidP="007D5D6B">
            <w:pPr>
              <w:spacing w:before="120"/>
              <w:rPr>
                <w:lang w:val="en-AU" w:eastAsia="en-AU"/>
              </w:rPr>
            </w:pPr>
            <w:r w:rsidRPr="00286A88">
              <w:rPr>
                <w:lang w:val="en-AU" w:eastAsia="en-AU"/>
              </w:rPr>
              <w:t>Litter that is dry and easily separated.</w:t>
            </w:r>
          </w:p>
        </w:tc>
      </w:tr>
      <w:tr w:rsidR="00286A88" w:rsidRPr="00286A88" w14:paraId="528899A3" w14:textId="77777777" w:rsidTr="00286A88">
        <w:tc>
          <w:tcPr>
            <w:tcW w:w="0" w:type="auto"/>
            <w:vAlign w:val="center"/>
          </w:tcPr>
          <w:p w14:paraId="7DE51C1A" w14:textId="77777777" w:rsidR="00286A88" w:rsidRPr="00286A88" w:rsidRDefault="00286A88" w:rsidP="007D5D6B">
            <w:pPr>
              <w:spacing w:before="120"/>
              <w:rPr>
                <w:lang w:val="en-AU" w:eastAsia="en-AU"/>
              </w:rPr>
            </w:pPr>
            <w:r w:rsidRPr="00286A88">
              <w:rPr>
                <w:lang w:val="en-AU" w:eastAsia="en-AU"/>
              </w:rPr>
              <w:t>gait score (GS)</w:t>
            </w:r>
          </w:p>
        </w:tc>
        <w:tc>
          <w:tcPr>
            <w:tcW w:w="0" w:type="auto"/>
            <w:vAlign w:val="center"/>
          </w:tcPr>
          <w:p w14:paraId="59740249" w14:textId="77777777" w:rsidR="00286A88" w:rsidRPr="00286A88" w:rsidRDefault="00286A88" w:rsidP="007D5D6B">
            <w:pPr>
              <w:spacing w:before="120"/>
              <w:rPr>
                <w:lang w:val="en-AU" w:eastAsia="en-AU"/>
              </w:rPr>
            </w:pPr>
            <w:r w:rsidRPr="00286A88">
              <w:rPr>
                <w:lang w:val="en-AU" w:eastAsia="en-AU"/>
              </w:rPr>
              <w:t>Various qualitative systems have been devised to score walking ability on a defined scale, i.e. gait score.</w:t>
            </w:r>
          </w:p>
        </w:tc>
      </w:tr>
      <w:tr w:rsidR="00286A88" w:rsidRPr="00286A88" w14:paraId="2ABCAAFC" w14:textId="77777777" w:rsidTr="00286A88">
        <w:tc>
          <w:tcPr>
            <w:tcW w:w="0" w:type="auto"/>
            <w:vAlign w:val="center"/>
          </w:tcPr>
          <w:p w14:paraId="5D7AEA5D" w14:textId="77777777" w:rsidR="00286A88" w:rsidRPr="00286A88" w:rsidRDefault="00286A88" w:rsidP="007D5D6B">
            <w:pPr>
              <w:spacing w:before="120"/>
              <w:rPr>
                <w:lang w:val="en-AU" w:eastAsia="en-AU"/>
              </w:rPr>
            </w:pPr>
            <w:r w:rsidRPr="00286A88">
              <w:rPr>
                <w:lang w:val="en-AU" w:eastAsia="en-AU"/>
              </w:rPr>
              <w:t>genotype</w:t>
            </w:r>
          </w:p>
        </w:tc>
        <w:tc>
          <w:tcPr>
            <w:tcW w:w="0" w:type="auto"/>
            <w:vAlign w:val="center"/>
          </w:tcPr>
          <w:p w14:paraId="4F7DDE0E" w14:textId="77777777" w:rsidR="00286A88" w:rsidRPr="00286A88" w:rsidRDefault="00286A88" w:rsidP="007D5D6B">
            <w:pPr>
              <w:spacing w:before="120"/>
              <w:rPr>
                <w:lang w:val="en-AU" w:eastAsia="en-AU"/>
              </w:rPr>
            </w:pPr>
            <w:r w:rsidRPr="00286A88">
              <w:rPr>
                <w:lang w:val="en-AU" w:eastAsia="en-AU"/>
              </w:rPr>
              <w:t>Breed or strain.</w:t>
            </w:r>
          </w:p>
        </w:tc>
      </w:tr>
      <w:tr w:rsidR="00286A88" w:rsidRPr="00286A88" w14:paraId="4583E119" w14:textId="77777777" w:rsidTr="00286A88">
        <w:tc>
          <w:tcPr>
            <w:tcW w:w="0" w:type="auto"/>
            <w:vAlign w:val="center"/>
          </w:tcPr>
          <w:p w14:paraId="22F84E9B" w14:textId="77777777" w:rsidR="00286A88" w:rsidRPr="00286A88" w:rsidRDefault="00286A88" w:rsidP="007D5D6B">
            <w:pPr>
              <w:spacing w:before="120"/>
              <w:rPr>
                <w:lang w:val="en-AU" w:eastAsia="en-AU"/>
              </w:rPr>
            </w:pPr>
            <w:r w:rsidRPr="00286A88">
              <w:rPr>
                <w:lang w:val="en-AU" w:eastAsia="en-AU"/>
              </w:rPr>
              <w:t>GFP</w:t>
            </w:r>
          </w:p>
        </w:tc>
        <w:tc>
          <w:tcPr>
            <w:tcW w:w="0" w:type="auto"/>
            <w:vAlign w:val="center"/>
          </w:tcPr>
          <w:p w14:paraId="2AEC479B" w14:textId="77777777" w:rsidR="00286A88" w:rsidRPr="00286A88" w:rsidRDefault="00286A88" w:rsidP="007D5D6B">
            <w:pPr>
              <w:spacing w:before="120"/>
              <w:rPr>
                <w:lang w:val="en-AU" w:eastAsia="en-AU"/>
              </w:rPr>
            </w:pPr>
            <w:r w:rsidRPr="00286A88">
              <w:rPr>
                <w:lang w:val="en-AU" w:eastAsia="en-AU"/>
              </w:rPr>
              <w:t>Gentle feather pecking.</w:t>
            </w:r>
          </w:p>
        </w:tc>
      </w:tr>
      <w:tr w:rsidR="00286A88" w:rsidRPr="00286A88" w14:paraId="42286CB0" w14:textId="77777777" w:rsidTr="00286A88">
        <w:tc>
          <w:tcPr>
            <w:tcW w:w="0" w:type="auto"/>
            <w:vAlign w:val="center"/>
          </w:tcPr>
          <w:p w14:paraId="6F5F431D" w14:textId="77777777" w:rsidR="00286A88" w:rsidRPr="00286A88" w:rsidRDefault="00286A88" w:rsidP="007D5D6B">
            <w:pPr>
              <w:spacing w:before="120"/>
              <w:rPr>
                <w:lang w:val="en-AU" w:eastAsia="en-AU"/>
              </w:rPr>
            </w:pPr>
            <w:r w:rsidRPr="00286A88">
              <w:rPr>
                <w:lang w:val="en-AU" w:eastAsia="en-AU"/>
              </w:rPr>
              <w:t>gizzard</w:t>
            </w:r>
          </w:p>
        </w:tc>
        <w:tc>
          <w:tcPr>
            <w:tcW w:w="0" w:type="auto"/>
            <w:vAlign w:val="center"/>
          </w:tcPr>
          <w:p w14:paraId="349E90DE" w14:textId="77777777" w:rsidR="00286A88" w:rsidRPr="00286A88" w:rsidRDefault="00286A88" w:rsidP="007D5D6B">
            <w:pPr>
              <w:spacing w:before="120"/>
              <w:rPr>
                <w:lang w:val="en-AU" w:eastAsia="en-AU"/>
              </w:rPr>
            </w:pPr>
            <w:r w:rsidRPr="00286A88">
              <w:rPr>
                <w:lang w:val="en-AU" w:eastAsia="en-AU"/>
              </w:rPr>
              <w:t>A thick-walled, muscular pouch in the lower stomach of many birds that grinds food, often with the aid of ingested stones or grit.</w:t>
            </w:r>
          </w:p>
        </w:tc>
      </w:tr>
      <w:tr w:rsidR="00286A88" w:rsidRPr="00286A88" w14:paraId="5528872D" w14:textId="77777777" w:rsidTr="00286A88">
        <w:tc>
          <w:tcPr>
            <w:tcW w:w="0" w:type="auto"/>
            <w:vAlign w:val="center"/>
          </w:tcPr>
          <w:p w14:paraId="23DE8630" w14:textId="77777777" w:rsidR="00286A88" w:rsidRPr="00286A88" w:rsidRDefault="00286A88" w:rsidP="007D5D6B">
            <w:pPr>
              <w:spacing w:before="120"/>
              <w:rPr>
                <w:lang w:val="en-AU" w:eastAsia="en-AU"/>
              </w:rPr>
            </w:pPr>
            <w:r w:rsidRPr="00286A88">
              <w:rPr>
                <w:lang w:val="en-AU" w:eastAsia="en-AU"/>
              </w:rPr>
              <w:t>HB</w:t>
            </w:r>
          </w:p>
        </w:tc>
        <w:tc>
          <w:tcPr>
            <w:tcW w:w="0" w:type="auto"/>
            <w:vAlign w:val="center"/>
          </w:tcPr>
          <w:p w14:paraId="2ACEA8A5" w14:textId="77777777" w:rsidR="00286A88" w:rsidRPr="00286A88" w:rsidRDefault="00286A88" w:rsidP="007D5D6B">
            <w:pPr>
              <w:spacing w:before="120"/>
              <w:rPr>
                <w:lang w:val="en-AU" w:eastAsia="en-AU"/>
              </w:rPr>
            </w:pPr>
            <w:r w:rsidRPr="00286A88">
              <w:rPr>
                <w:lang w:val="en-AU" w:eastAsia="en-AU"/>
              </w:rPr>
              <w:t>Hockburn (contact dermatitis found on the skin of the caudal (back) part of the hock joint).</w:t>
            </w:r>
          </w:p>
        </w:tc>
      </w:tr>
      <w:tr w:rsidR="00286A88" w:rsidRPr="00286A88" w14:paraId="748A5EBE" w14:textId="77777777" w:rsidTr="00286A88">
        <w:tc>
          <w:tcPr>
            <w:tcW w:w="0" w:type="auto"/>
            <w:vAlign w:val="center"/>
          </w:tcPr>
          <w:p w14:paraId="0ED69CE5" w14:textId="77777777" w:rsidR="00286A88" w:rsidRPr="00286A88" w:rsidRDefault="00286A88" w:rsidP="007D5D6B">
            <w:pPr>
              <w:spacing w:before="120"/>
              <w:rPr>
                <w:lang w:val="en-AU" w:eastAsia="en-AU"/>
              </w:rPr>
            </w:pPr>
            <w:r w:rsidRPr="00286A88">
              <w:rPr>
                <w:lang w:val="en-AU" w:eastAsia="en-AU"/>
              </w:rPr>
              <w:t>HB</w:t>
            </w:r>
          </w:p>
        </w:tc>
        <w:tc>
          <w:tcPr>
            <w:tcW w:w="0" w:type="auto"/>
            <w:vAlign w:val="center"/>
          </w:tcPr>
          <w:p w14:paraId="5A4DC4F9" w14:textId="77777777" w:rsidR="00286A88" w:rsidRPr="00286A88" w:rsidRDefault="00286A88" w:rsidP="007D5D6B">
            <w:pPr>
              <w:spacing w:before="120"/>
              <w:rPr>
                <w:lang w:val="en-AU" w:eastAsia="en-AU"/>
              </w:rPr>
            </w:pPr>
            <w:r w:rsidRPr="00286A88">
              <w:rPr>
                <w:lang w:val="en-AU" w:eastAsia="en-AU"/>
              </w:rPr>
              <w:t>Hot blade (method of beak trimming).</w:t>
            </w:r>
          </w:p>
        </w:tc>
      </w:tr>
      <w:tr w:rsidR="00286A88" w:rsidRPr="00286A88" w14:paraId="12FA5461" w14:textId="77777777" w:rsidTr="00286A88">
        <w:tc>
          <w:tcPr>
            <w:tcW w:w="0" w:type="auto"/>
            <w:vAlign w:val="center"/>
          </w:tcPr>
          <w:p w14:paraId="7B619A81" w14:textId="77777777" w:rsidR="00286A88" w:rsidRPr="00286A88" w:rsidRDefault="00286A88" w:rsidP="007D5D6B">
            <w:pPr>
              <w:spacing w:before="120"/>
              <w:rPr>
                <w:lang w:val="en-AU" w:eastAsia="en-AU"/>
              </w:rPr>
            </w:pPr>
            <w:r w:rsidRPr="00286A88">
              <w:rPr>
                <w:lang w:val="en-AU" w:eastAsia="en-AU"/>
              </w:rPr>
              <w:t>H:L ratio</w:t>
            </w:r>
          </w:p>
        </w:tc>
        <w:tc>
          <w:tcPr>
            <w:tcW w:w="0" w:type="auto"/>
            <w:vAlign w:val="center"/>
          </w:tcPr>
          <w:p w14:paraId="6A712DE3" w14:textId="77777777" w:rsidR="00286A88" w:rsidRPr="00286A88" w:rsidRDefault="00286A88" w:rsidP="007D5D6B">
            <w:pPr>
              <w:spacing w:before="120"/>
              <w:rPr>
                <w:lang w:val="en-AU" w:eastAsia="en-AU"/>
              </w:rPr>
            </w:pPr>
            <w:r w:rsidRPr="00286A88">
              <w:rPr>
                <w:lang w:val="en-AU" w:eastAsia="en-AU"/>
              </w:rPr>
              <w:t>The relative proportion of heterophylls to leucocytes (types of white blood cells involved in immune function) as measured in blood samples, is used as a measure of stress.</w:t>
            </w:r>
          </w:p>
        </w:tc>
      </w:tr>
      <w:tr w:rsidR="00286A88" w:rsidRPr="00286A88" w14:paraId="6D38CECB" w14:textId="77777777" w:rsidTr="00286A88">
        <w:tc>
          <w:tcPr>
            <w:tcW w:w="0" w:type="auto"/>
            <w:vAlign w:val="center"/>
          </w:tcPr>
          <w:p w14:paraId="2883CAD5" w14:textId="77777777" w:rsidR="00286A88" w:rsidRPr="00286A88" w:rsidRDefault="00286A88" w:rsidP="007D5D6B">
            <w:pPr>
              <w:spacing w:before="120"/>
              <w:rPr>
                <w:lang w:val="en-AU" w:eastAsia="en-AU"/>
              </w:rPr>
            </w:pPr>
            <w:r w:rsidRPr="00286A88">
              <w:rPr>
                <w:lang w:val="en-AU" w:eastAsia="en-AU"/>
              </w:rPr>
              <w:t>helminth</w:t>
            </w:r>
          </w:p>
        </w:tc>
        <w:tc>
          <w:tcPr>
            <w:tcW w:w="0" w:type="auto"/>
            <w:vAlign w:val="center"/>
          </w:tcPr>
          <w:p w14:paraId="63090CB1" w14:textId="77777777" w:rsidR="00286A88" w:rsidRPr="00286A88" w:rsidRDefault="00286A88" w:rsidP="007D5D6B">
            <w:pPr>
              <w:spacing w:before="120"/>
              <w:rPr>
                <w:lang w:val="en-AU" w:eastAsia="en-AU"/>
              </w:rPr>
            </w:pPr>
            <w:r w:rsidRPr="00286A88">
              <w:rPr>
                <w:lang w:val="en-AU" w:eastAsia="en-AU"/>
              </w:rPr>
              <w:t>A common type of ectoparasitic worm in poultry.</w:t>
            </w:r>
          </w:p>
        </w:tc>
      </w:tr>
      <w:tr w:rsidR="00286A88" w:rsidRPr="00286A88" w14:paraId="422DEAAA" w14:textId="77777777" w:rsidTr="00286A88">
        <w:tc>
          <w:tcPr>
            <w:tcW w:w="0" w:type="auto"/>
            <w:vAlign w:val="center"/>
          </w:tcPr>
          <w:p w14:paraId="3762428C" w14:textId="77777777" w:rsidR="00286A88" w:rsidRPr="00286A88" w:rsidRDefault="00286A88" w:rsidP="007D5D6B">
            <w:pPr>
              <w:spacing w:before="120"/>
              <w:rPr>
                <w:lang w:val="en-AU" w:eastAsia="en-AU"/>
              </w:rPr>
            </w:pPr>
            <w:r w:rsidRPr="00286A88">
              <w:rPr>
                <w:lang w:val="en-AU" w:eastAsia="en-AU"/>
              </w:rPr>
              <w:t>heritability</w:t>
            </w:r>
          </w:p>
        </w:tc>
        <w:tc>
          <w:tcPr>
            <w:tcW w:w="0" w:type="auto"/>
            <w:vAlign w:val="center"/>
          </w:tcPr>
          <w:p w14:paraId="4F9FD7FD" w14:textId="77777777" w:rsidR="00286A88" w:rsidRPr="00286A88" w:rsidRDefault="00286A88" w:rsidP="007D5D6B">
            <w:pPr>
              <w:spacing w:before="120"/>
              <w:rPr>
                <w:lang w:val="en-AU" w:eastAsia="en-AU"/>
              </w:rPr>
            </w:pPr>
            <w:r w:rsidRPr="00286A88">
              <w:rPr>
                <w:lang w:val="en-AU" w:eastAsia="en-AU"/>
              </w:rPr>
              <w:t>A statistic used in breeding and genetics that estimates how much variation in a phenotypic trait in a population is due to genetic variation among individuals in that population. Other causes of measured variation in a trait are characterised as environmental factors.</w:t>
            </w:r>
          </w:p>
        </w:tc>
      </w:tr>
      <w:tr w:rsidR="00286A88" w:rsidRPr="00286A88" w14:paraId="1BBE6598" w14:textId="77777777" w:rsidTr="00286A88">
        <w:tc>
          <w:tcPr>
            <w:tcW w:w="0" w:type="auto"/>
            <w:vAlign w:val="center"/>
          </w:tcPr>
          <w:p w14:paraId="769048DB" w14:textId="77777777" w:rsidR="00286A88" w:rsidRPr="00286A88" w:rsidRDefault="00286A88" w:rsidP="007D5D6B">
            <w:pPr>
              <w:spacing w:before="120"/>
              <w:rPr>
                <w:lang w:val="en-AU" w:eastAsia="en-AU"/>
              </w:rPr>
            </w:pPr>
            <w:r w:rsidRPr="00286A88">
              <w:rPr>
                <w:lang w:val="en-AU" w:eastAsia="en-AU"/>
              </w:rPr>
              <w:t>homeostasis</w:t>
            </w:r>
          </w:p>
        </w:tc>
        <w:tc>
          <w:tcPr>
            <w:tcW w:w="0" w:type="auto"/>
            <w:vAlign w:val="center"/>
          </w:tcPr>
          <w:p w14:paraId="1847F63E" w14:textId="77777777" w:rsidR="00286A88" w:rsidRPr="00286A88" w:rsidRDefault="00286A88" w:rsidP="007D5D6B">
            <w:pPr>
              <w:spacing w:before="120"/>
              <w:rPr>
                <w:lang w:val="en-AU" w:eastAsia="en-AU"/>
              </w:rPr>
            </w:pPr>
            <w:r w:rsidRPr="00286A88">
              <w:rPr>
                <w:lang w:val="en-AU" w:eastAsia="en-AU"/>
              </w:rPr>
              <w:t>Maintaining a condition of balance or equilibrium within the body's internal environment, even when faced with external changes.</w:t>
            </w:r>
          </w:p>
        </w:tc>
      </w:tr>
      <w:tr w:rsidR="00286A88" w:rsidRPr="00286A88" w14:paraId="12ED21A2" w14:textId="77777777" w:rsidTr="00286A88">
        <w:tc>
          <w:tcPr>
            <w:tcW w:w="0" w:type="auto"/>
            <w:vAlign w:val="center"/>
          </w:tcPr>
          <w:p w14:paraId="724C2D1E" w14:textId="77777777" w:rsidR="00286A88" w:rsidRPr="00286A88" w:rsidRDefault="00286A88" w:rsidP="007D5D6B">
            <w:pPr>
              <w:spacing w:before="120"/>
              <w:rPr>
                <w:lang w:val="en-AU" w:eastAsia="en-AU"/>
              </w:rPr>
            </w:pPr>
            <w:r w:rsidRPr="00286A88">
              <w:rPr>
                <w:lang w:val="en-AU" w:eastAsia="en-AU"/>
              </w:rPr>
              <w:t>humerus</w:t>
            </w:r>
          </w:p>
        </w:tc>
        <w:tc>
          <w:tcPr>
            <w:tcW w:w="0" w:type="auto"/>
            <w:vAlign w:val="center"/>
          </w:tcPr>
          <w:p w14:paraId="6F6BBAE0" w14:textId="77777777" w:rsidR="00286A88" w:rsidRPr="00286A88" w:rsidRDefault="00286A88" w:rsidP="007D5D6B">
            <w:pPr>
              <w:spacing w:before="120"/>
              <w:rPr>
                <w:lang w:val="en-AU" w:eastAsia="en-AU"/>
              </w:rPr>
            </w:pPr>
            <w:r w:rsidRPr="00286A88">
              <w:rPr>
                <w:lang w:val="en-AU" w:eastAsia="en-AU"/>
              </w:rPr>
              <w:t>Portion of the wing formed of two short bones; it is located between the radius, the ulna and the metacarpus.</w:t>
            </w:r>
          </w:p>
        </w:tc>
      </w:tr>
      <w:tr w:rsidR="00286A88" w:rsidRPr="00286A88" w14:paraId="541CD21C" w14:textId="77777777" w:rsidTr="00286A88">
        <w:tc>
          <w:tcPr>
            <w:tcW w:w="0" w:type="auto"/>
            <w:vAlign w:val="center"/>
          </w:tcPr>
          <w:p w14:paraId="2E2FF9E0" w14:textId="77777777" w:rsidR="00286A88" w:rsidRPr="00286A88" w:rsidRDefault="00286A88" w:rsidP="007D5D6B">
            <w:pPr>
              <w:spacing w:before="120"/>
              <w:rPr>
                <w:lang w:val="en-AU" w:eastAsia="en-AU"/>
              </w:rPr>
            </w:pPr>
            <w:r w:rsidRPr="00286A88">
              <w:rPr>
                <w:lang w:val="en-AU" w:eastAsia="en-AU"/>
              </w:rPr>
              <w:t>hybrid</w:t>
            </w:r>
          </w:p>
        </w:tc>
        <w:tc>
          <w:tcPr>
            <w:tcW w:w="0" w:type="auto"/>
            <w:vAlign w:val="center"/>
          </w:tcPr>
          <w:p w14:paraId="0191DECB" w14:textId="77777777" w:rsidR="00286A88" w:rsidRPr="00286A88" w:rsidRDefault="00286A88" w:rsidP="007D5D6B">
            <w:pPr>
              <w:spacing w:before="120"/>
              <w:rPr>
                <w:lang w:val="en-AU" w:eastAsia="en-AU"/>
              </w:rPr>
            </w:pPr>
            <w:r w:rsidRPr="00286A88">
              <w:rPr>
                <w:lang w:val="en-AU" w:eastAsia="en-AU"/>
              </w:rPr>
              <w:t>A cross between two or more pure breeds.</w:t>
            </w:r>
          </w:p>
        </w:tc>
      </w:tr>
      <w:tr w:rsidR="00286A88" w:rsidRPr="00286A88" w14:paraId="67CA4CF3" w14:textId="77777777" w:rsidTr="00286A88">
        <w:tc>
          <w:tcPr>
            <w:tcW w:w="0" w:type="auto"/>
            <w:vAlign w:val="center"/>
          </w:tcPr>
          <w:p w14:paraId="70B55722" w14:textId="77777777" w:rsidR="00286A88" w:rsidRPr="00286A88" w:rsidRDefault="00286A88" w:rsidP="007D5D6B">
            <w:pPr>
              <w:spacing w:before="120"/>
              <w:rPr>
                <w:lang w:val="en-AU" w:eastAsia="en-AU"/>
              </w:rPr>
            </w:pPr>
            <w:r w:rsidRPr="00286A88">
              <w:rPr>
                <w:lang w:val="en-AU" w:eastAsia="en-AU"/>
              </w:rPr>
              <w:t>hypercapnia</w:t>
            </w:r>
          </w:p>
        </w:tc>
        <w:tc>
          <w:tcPr>
            <w:tcW w:w="0" w:type="auto"/>
            <w:vAlign w:val="center"/>
          </w:tcPr>
          <w:p w14:paraId="77DCAC48" w14:textId="77777777" w:rsidR="00286A88" w:rsidRPr="00286A88" w:rsidRDefault="00286A88" w:rsidP="007D5D6B">
            <w:pPr>
              <w:spacing w:before="120"/>
              <w:rPr>
                <w:lang w:val="en-AU" w:eastAsia="en-AU"/>
              </w:rPr>
            </w:pPr>
            <w:r w:rsidRPr="00286A88">
              <w:rPr>
                <w:color w:val="auto"/>
                <w:lang w:val="en-AU" w:eastAsia="en-AU"/>
              </w:rPr>
              <w:t>The presence of excessive amounts of carbon dioxide in the blood.</w:t>
            </w:r>
          </w:p>
        </w:tc>
      </w:tr>
      <w:tr w:rsidR="00286A88" w:rsidRPr="00286A88" w14:paraId="426E7722" w14:textId="77777777" w:rsidTr="00286A88">
        <w:tc>
          <w:tcPr>
            <w:tcW w:w="0" w:type="auto"/>
            <w:vAlign w:val="center"/>
          </w:tcPr>
          <w:p w14:paraId="56F6FDC9" w14:textId="77777777" w:rsidR="00286A88" w:rsidRPr="00286A88" w:rsidRDefault="00286A88" w:rsidP="007D5D6B">
            <w:pPr>
              <w:spacing w:before="120"/>
              <w:rPr>
                <w:lang w:val="en-AU" w:eastAsia="en-AU"/>
              </w:rPr>
            </w:pPr>
            <w:r w:rsidRPr="00286A88">
              <w:rPr>
                <w:lang w:val="en-AU" w:eastAsia="en-AU"/>
              </w:rPr>
              <w:t>hypercapnic atmosphere</w:t>
            </w:r>
          </w:p>
        </w:tc>
        <w:tc>
          <w:tcPr>
            <w:tcW w:w="0" w:type="auto"/>
            <w:vAlign w:val="center"/>
          </w:tcPr>
          <w:p w14:paraId="5C72FD5B" w14:textId="77777777" w:rsidR="00286A88" w:rsidRPr="00286A88" w:rsidRDefault="00286A88" w:rsidP="007D5D6B">
            <w:pPr>
              <w:spacing w:before="120"/>
              <w:rPr>
                <w:color w:val="auto"/>
                <w:lang w:val="en-AU" w:eastAsia="en-AU"/>
              </w:rPr>
            </w:pPr>
            <w:r w:rsidRPr="00286A88">
              <w:rPr>
                <w:color w:val="auto"/>
                <w:lang w:val="en-AU" w:eastAsia="en-AU"/>
              </w:rPr>
              <w:t>An atmosphere with elevated partial pressure of carbon dioxide compared to ‘normal’ atmospheric levels.</w:t>
            </w:r>
          </w:p>
        </w:tc>
      </w:tr>
      <w:tr w:rsidR="00286A88" w:rsidRPr="00286A88" w14:paraId="1D12F7BB" w14:textId="77777777" w:rsidTr="00286A88">
        <w:tc>
          <w:tcPr>
            <w:tcW w:w="0" w:type="auto"/>
            <w:vAlign w:val="center"/>
          </w:tcPr>
          <w:p w14:paraId="22DD1C7C" w14:textId="77777777" w:rsidR="00286A88" w:rsidRPr="00286A88" w:rsidRDefault="00286A88" w:rsidP="007D5D6B">
            <w:pPr>
              <w:spacing w:before="120"/>
              <w:rPr>
                <w:lang w:val="en-AU" w:eastAsia="en-AU"/>
              </w:rPr>
            </w:pPr>
            <w:r w:rsidRPr="00286A88">
              <w:rPr>
                <w:lang w:val="en-AU" w:eastAsia="en-AU"/>
              </w:rPr>
              <w:t>hypoxia</w:t>
            </w:r>
          </w:p>
        </w:tc>
        <w:tc>
          <w:tcPr>
            <w:tcW w:w="0" w:type="auto"/>
            <w:vAlign w:val="center"/>
          </w:tcPr>
          <w:p w14:paraId="179A7F51" w14:textId="77777777" w:rsidR="00286A88" w:rsidRPr="00286A88" w:rsidRDefault="00286A88" w:rsidP="007D5D6B">
            <w:pPr>
              <w:spacing w:before="120"/>
              <w:rPr>
                <w:color w:val="auto"/>
                <w:lang w:val="en-AU" w:eastAsia="en-AU"/>
              </w:rPr>
            </w:pPr>
            <w:r w:rsidRPr="00286A88">
              <w:rPr>
                <w:color w:val="auto"/>
                <w:lang w:val="en-AU" w:eastAsia="en-AU"/>
              </w:rPr>
              <w:t>A condition in which tissues in the body are deprived of adequate oxygen.</w:t>
            </w:r>
          </w:p>
        </w:tc>
      </w:tr>
      <w:tr w:rsidR="00286A88" w:rsidRPr="00286A88" w14:paraId="28887F3C" w14:textId="77777777" w:rsidTr="00286A88">
        <w:tc>
          <w:tcPr>
            <w:tcW w:w="0" w:type="auto"/>
            <w:vAlign w:val="center"/>
          </w:tcPr>
          <w:p w14:paraId="7BB68856" w14:textId="77777777" w:rsidR="00286A88" w:rsidRPr="00286A88" w:rsidRDefault="00286A88" w:rsidP="007D5D6B">
            <w:pPr>
              <w:spacing w:before="120"/>
              <w:rPr>
                <w:lang w:val="en-AU" w:eastAsia="en-AU"/>
              </w:rPr>
            </w:pPr>
            <w:r w:rsidRPr="00286A88">
              <w:rPr>
                <w:lang w:val="en-AU" w:eastAsia="en-AU"/>
              </w:rPr>
              <w:t>hypoxic atmosphere</w:t>
            </w:r>
          </w:p>
        </w:tc>
        <w:tc>
          <w:tcPr>
            <w:tcW w:w="0" w:type="auto"/>
            <w:vAlign w:val="center"/>
          </w:tcPr>
          <w:p w14:paraId="24994F6B" w14:textId="77777777" w:rsidR="00286A88" w:rsidRPr="00286A88" w:rsidRDefault="00286A88" w:rsidP="007D5D6B">
            <w:pPr>
              <w:spacing w:before="120"/>
              <w:rPr>
                <w:color w:val="auto"/>
                <w:lang w:val="en-AU" w:eastAsia="en-AU"/>
              </w:rPr>
            </w:pPr>
            <w:r w:rsidRPr="00286A88">
              <w:rPr>
                <w:color w:val="auto"/>
                <w:lang w:val="en-AU" w:eastAsia="en-AU"/>
              </w:rPr>
              <w:t>An atmosphere with reduced partial oxygen pressure compared to ‘normal’ atmospheric conditions.</w:t>
            </w:r>
          </w:p>
        </w:tc>
      </w:tr>
      <w:tr w:rsidR="00286A88" w:rsidRPr="00286A88" w14:paraId="65625B53" w14:textId="77777777" w:rsidTr="00286A88">
        <w:tc>
          <w:tcPr>
            <w:tcW w:w="0" w:type="auto"/>
            <w:vAlign w:val="center"/>
          </w:tcPr>
          <w:p w14:paraId="1785DF97" w14:textId="77777777" w:rsidR="00286A88" w:rsidRPr="00286A88" w:rsidRDefault="00286A88" w:rsidP="007D5D6B">
            <w:pPr>
              <w:spacing w:before="120"/>
              <w:rPr>
                <w:lang w:val="en-AU" w:eastAsia="en-AU"/>
              </w:rPr>
            </w:pPr>
            <w:r w:rsidRPr="00286A88">
              <w:rPr>
                <w:lang w:val="en-AU" w:eastAsia="en-AU"/>
              </w:rPr>
              <w:t>immune function</w:t>
            </w:r>
          </w:p>
        </w:tc>
        <w:tc>
          <w:tcPr>
            <w:tcW w:w="0" w:type="auto"/>
          </w:tcPr>
          <w:p w14:paraId="05DF5F94" w14:textId="77777777" w:rsidR="00286A88" w:rsidRPr="00286A88" w:rsidRDefault="00286A88" w:rsidP="007D5D6B">
            <w:pPr>
              <w:spacing w:before="120"/>
              <w:rPr>
                <w:lang w:val="en-AU" w:eastAsia="en-AU"/>
              </w:rPr>
            </w:pPr>
            <w:r w:rsidRPr="00286A88">
              <w:rPr>
                <w:lang w:val="en-AU" w:eastAsia="en-AU"/>
              </w:rPr>
              <w:t>How well the immune system is functioning to protect the body against disease. Stress may impair immune function.</w:t>
            </w:r>
          </w:p>
        </w:tc>
      </w:tr>
      <w:tr w:rsidR="00286A88" w:rsidRPr="00286A88" w14:paraId="2E0A58AF" w14:textId="77777777" w:rsidTr="00286A88">
        <w:tc>
          <w:tcPr>
            <w:tcW w:w="0" w:type="auto"/>
          </w:tcPr>
          <w:p w14:paraId="09565F97" w14:textId="77777777" w:rsidR="00286A88" w:rsidRPr="00286A88" w:rsidRDefault="00286A88" w:rsidP="007D5D6B">
            <w:pPr>
              <w:spacing w:before="120"/>
              <w:rPr>
                <w:lang w:val="en-AU" w:eastAsia="en-AU"/>
              </w:rPr>
            </w:pPr>
            <w:r w:rsidRPr="00286A88">
              <w:rPr>
                <w:lang w:val="en-AU" w:eastAsia="en-AU"/>
              </w:rPr>
              <w:t>ingest</w:t>
            </w:r>
          </w:p>
        </w:tc>
        <w:tc>
          <w:tcPr>
            <w:tcW w:w="0" w:type="auto"/>
          </w:tcPr>
          <w:p w14:paraId="519DCE90" w14:textId="77777777" w:rsidR="00286A88" w:rsidRPr="00286A88" w:rsidRDefault="00286A88" w:rsidP="007D5D6B">
            <w:pPr>
              <w:spacing w:before="120"/>
              <w:rPr>
                <w:lang w:val="en-AU" w:eastAsia="en-AU"/>
              </w:rPr>
            </w:pPr>
            <w:r w:rsidRPr="00286A88">
              <w:rPr>
                <w:lang w:val="en-AU" w:eastAsia="en-AU"/>
              </w:rPr>
              <w:t>Consume, eat.</w:t>
            </w:r>
          </w:p>
        </w:tc>
      </w:tr>
      <w:tr w:rsidR="00286A88" w:rsidRPr="00286A88" w14:paraId="4971DFEB" w14:textId="77777777" w:rsidTr="00286A88">
        <w:trPr>
          <w:trHeight w:val="708"/>
        </w:trPr>
        <w:tc>
          <w:tcPr>
            <w:tcW w:w="0" w:type="auto"/>
            <w:vAlign w:val="center"/>
          </w:tcPr>
          <w:p w14:paraId="5DF8FA67" w14:textId="77777777" w:rsidR="00286A88" w:rsidRPr="00286A88" w:rsidRDefault="00286A88" w:rsidP="007D5D6B">
            <w:pPr>
              <w:spacing w:before="120"/>
              <w:rPr>
                <w:lang w:val="en-AU" w:eastAsia="en-AU"/>
              </w:rPr>
            </w:pPr>
            <w:r w:rsidRPr="00286A88">
              <w:rPr>
                <w:lang w:val="en-AU" w:eastAsia="en-AU"/>
              </w:rPr>
              <w:t>Inter-quartile range</w:t>
            </w:r>
          </w:p>
        </w:tc>
        <w:tc>
          <w:tcPr>
            <w:tcW w:w="0" w:type="auto"/>
            <w:vAlign w:val="center"/>
          </w:tcPr>
          <w:p w14:paraId="33AB308A" w14:textId="77777777" w:rsidR="00286A88" w:rsidRPr="00286A88" w:rsidRDefault="00286A88" w:rsidP="007D5D6B">
            <w:pPr>
              <w:spacing w:before="120"/>
              <w:rPr>
                <w:rFonts w:cs="Segoe UI"/>
                <w:iCs/>
                <w:color w:val="212121"/>
                <w:lang w:eastAsia="en-GB"/>
              </w:rPr>
            </w:pPr>
            <w:r w:rsidRPr="00286A88">
              <w:rPr>
                <w:lang w:val="en-AU" w:eastAsia="en-AU"/>
              </w:rPr>
              <w:t>A statistical measure of “midspread”, being the difference between the 25</w:t>
            </w:r>
            <w:r w:rsidRPr="00286A88">
              <w:rPr>
                <w:vertAlign w:val="superscript"/>
                <w:lang w:val="en-AU" w:eastAsia="en-AU"/>
              </w:rPr>
              <w:t>th</w:t>
            </w:r>
            <w:r w:rsidRPr="00286A88">
              <w:rPr>
                <w:lang w:val="en-AU" w:eastAsia="en-AU"/>
              </w:rPr>
              <w:t xml:space="preserve"> and 75</w:t>
            </w:r>
            <w:r w:rsidRPr="00286A88">
              <w:rPr>
                <w:vertAlign w:val="superscript"/>
                <w:lang w:val="en-AU" w:eastAsia="en-AU"/>
              </w:rPr>
              <w:t>th</w:t>
            </w:r>
            <w:r w:rsidRPr="00286A88">
              <w:rPr>
                <w:lang w:val="en-AU" w:eastAsia="en-AU"/>
              </w:rPr>
              <w:t xml:space="preserve"> percentiles.</w:t>
            </w:r>
          </w:p>
        </w:tc>
      </w:tr>
      <w:tr w:rsidR="00286A88" w:rsidRPr="00286A88" w14:paraId="3AAC0A60" w14:textId="77777777" w:rsidTr="00286A88">
        <w:trPr>
          <w:trHeight w:val="708"/>
        </w:trPr>
        <w:tc>
          <w:tcPr>
            <w:tcW w:w="0" w:type="auto"/>
            <w:vAlign w:val="center"/>
          </w:tcPr>
          <w:p w14:paraId="30A826A5" w14:textId="77777777" w:rsidR="00286A88" w:rsidRPr="00286A88" w:rsidRDefault="00286A88" w:rsidP="007D5D6B">
            <w:pPr>
              <w:spacing w:before="120"/>
              <w:rPr>
                <w:lang w:val="en-AU" w:eastAsia="en-AU"/>
              </w:rPr>
            </w:pPr>
            <w:r w:rsidRPr="00286A88">
              <w:rPr>
                <w:lang w:val="en-AU" w:eastAsia="en-AU"/>
              </w:rPr>
              <w:t>IP</w:t>
            </w:r>
          </w:p>
        </w:tc>
        <w:tc>
          <w:tcPr>
            <w:tcW w:w="0" w:type="auto"/>
            <w:vAlign w:val="center"/>
          </w:tcPr>
          <w:p w14:paraId="3DDF4D7A" w14:textId="77777777" w:rsidR="00286A88" w:rsidRPr="00286A88" w:rsidRDefault="00286A88" w:rsidP="007D5D6B">
            <w:pPr>
              <w:spacing w:before="120"/>
              <w:rPr>
                <w:rFonts w:cs="Segoe UI"/>
                <w:iCs/>
                <w:color w:val="212121"/>
                <w:lang w:eastAsia="en-GB"/>
              </w:rPr>
            </w:pPr>
            <w:r w:rsidRPr="00286A88">
              <w:rPr>
                <w:rFonts w:cs="Segoe UI"/>
                <w:iCs/>
                <w:color w:val="212121"/>
                <w:lang w:eastAsia="en-GB"/>
              </w:rPr>
              <w:t>Injurious pecking.</w:t>
            </w:r>
          </w:p>
        </w:tc>
      </w:tr>
      <w:tr w:rsidR="00286A88" w:rsidRPr="00286A88" w14:paraId="5CC69E0E" w14:textId="77777777" w:rsidTr="00286A88">
        <w:tc>
          <w:tcPr>
            <w:tcW w:w="0" w:type="auto"/>
            <w:vAlign w:val="center"/>
          </w:tcPr>
          <w:p w14:paraId="7516E288" w14:textId="77777777" w:rsidR="00286A88" w:rsidRPr="00286A88" w:rsidRDefault="00286A88" w:rsidP="007D5D6B">
            <w:pPr>
              <w:spacing w:before="120"/>
              <w:rPr>
                <w:lang w:val="en-AU" w:eastAsia="en-AU"/>
              </w:rPr>
            </w:pPr>
            <w:r w:rsidRPr="00286A88">
              <w:rPr>
                <w:lang w:val="en-AU" w:eastAsia="en-AU"/>
              </w:rPr>
              <w:t>IR</w:t>
            </w:r>
          </w:p>
        </w:tc>
        <w:tc>
          <w:tcPr>
            <w:tcW w:w="0" w:type="auto"/>
            <w:vAlign w:val="center"/>
          </w:tcPr>
          <w:p w14:paraId="09FD7D8F" w14:textId="77777777" w:rsidR="00286A88" w:rsidRPr="00286A88" w:rsidRDefault="00286A88" w:rsidP="007D5D6B">
            <w:pPr>
              <w:spacing w:before="120"/>
              <w:rPr>
                <w:rFonts w:cs="Segoe UI"/>
                <w:iCs/>
                <w:color w:val="212121"/>
                <w:lang w:eastAsia="en-GB"/>
              </w:rPr>
            </w:pPr>
            <w:r w:rsidRPr="00286A88">
              <w:rPr>
                <w:rFonts w:cs="Segoe UI"/>
                <w:iCs/>
                <w:color w:val="212121"/>
                <w:lang w:eastAsia="en-GB"/>
              </w:rPr>
              <w:t>Infra-red (method of beak trimming).</w:t>
            </w:r>
          </w:p>
        </w:tc>
      </w:tr>
      <w:tr w:rsidR="00286A88" w:rsidRPr="00286A88" w14:paraId="56242CDA" w14:textId="77777777" w:rsidTr="00286A88">
        <w:tc>
          <w:tcPr>
            <w:tcW w:w="0" w:type="auto"/>
            <w:vAlign w:val="center"/>
          </w:tcPr>
          <w:p w14:paraId="4AAA6763" w14:textId="77777777" w:rsidR="00286A88" w:rsidRPr="00286A88" w:rsidRDefault="00286A88" w:rsidP="007D5D6B">
            <w:pPr>
              <w:spacing w:before="120"/>
              <w:rPr>
                <w:lang w:val="en-AU" w:eastAsia="en-AU"/>
              </w:rPr>
            </w:pPr>
            <w:r w:rsidRPr="00286A88">
              <w:rPr>
                <w:lang w:val="en-AU" w:eastAsia="en-AU"/>
              </w:rPr>
              <w:t>Isoelectric electroencephalogram (EEG)</w:t>
            </w:r>
          </w:p>
        </w:tc>
        <w:tc>
          <w:tcPr>
            <w:tcW w:w="0" w:type="auto"/>
            <w:vAlign w:val="center"/>
          </w:tcPr>
          <w:p w14:paraId="064D14D0" w14:textId="77777777" w:rsidR="00286A88" w:rsidRPr="00286A88" w:rsidRDefault="00286A88" w:rsidP="007D5D6B">
            <w:pPr>
              <w:spacing w:before="120"/>
              <w:rPr>
                <w:lang w:val="en-AU" w:eastAsia="en-AU"/>
              </w:rPr>
            </w:pPr>
            <w:r w:rsidRPr="00286A88">
              <w:rPr>
                <w:rFonts w:cs="Segoe UI"/>
                <w:iCs/>
                <w:color w:val="212121"/>
                <w:lang w:eastAsia="en-GB"/>
              </w:rPr>
              <w:t>Very low or no brain activity, often resulting in brain death.</w:t>
            </w:r>
          </w:p>
        </w:tc>
      </w:tr>
      <w:tr w:rsidR="00286A88" w:rsidRPr="00286A88" w14:paraId="498CC55C" w14:textId="77777777" w:rsidTr="00286A88">
        <w:tc>
          <w:tcPr>
            <w:tcW w:w="0" w:type="auto"/>
            <w:vAlign w:val="center"/>
          </w:tcPr>
          <w:p w14:paraId="44D9975D" w14:textId="77777777" w:rsidR="00286A88" w:rsidRPr="00286A88" w:rsidRDefault="00286A88" w:rsidP="007D5D6B">
            <w:pPr>
              <w:spacing w:before="120"/>
              <w:rPr>
                <w:lang w:val="en-AU" w:eastAsia="en-AU"/>
              </w:rPr>
            </w:pPr>
            <w:r w:rsidRPr="00286A88">
              <w:rPr>
                <w:lang w:val="en-AU" w:eastAsia="en-AU"/>
              </w:rPr>
              <w:t>kurtosis</w:t>
            </w:r>
          </w:p>
        </w:tc>
        <w:tc>
          <w:tcPr>
            <w:tcW w:w="0" w:type="auto"/>
            <w:vAlign w:val="center"/>
          </w:tcPr>
          <w:p w14:paraId="6A90A166" w14:textId="77777777" w:rsidR="00286A88" w:rsidRPr="00286A88" w:rsidRDefault="00286A88" w:rsidP="007D5D6B">
            <w:pPr>
              <w:spacing w:before="120"/>
              <w:rPr>
                <w:lang w:val="en-AU" w:eastAsia="en-AU"/>
              </w:rPr>
            </w:pPr>
            <w:r w:rsidRPr="00286A88">
              <w:rPr>
                <w:lang w:val="en-AU" w:eastAsia="en-AU"/>
              </w:rPr>
              <w:t>A measure of whether data are heavy-tailed or light-tailed relative to a normal distribution. (see skew also)</w:t>
            </w:r>
          </w:p>
        </w:tc>
      </w:tr>
      <w:tr w:rsidR="00286A88" w:rsidRPr="00286A88" w14:paraId="19A2E875" w14:textId="77777777" w:rsidTr="00286A88">
        <w:tc>
          <w:tcPr>
            <w:tcW w:w="0" w:type="auto"/>
            <w:vAlign w:val="center"/>
          </w:tcPr>
          <w:p w14:paraId="387C2533" w14:textId="77777777" w:rsidR="00286A88" w:rsidRPr="00286A88" w:rsidRDefault="00286A88" w:rsidP="007D5D6B">
            <w:pPr>
              <w:spacing w:before="120"/>
              <w:rPr>
                <w:lang w:val="en-AU" w:eastAsia="en-AU"/>
              </w:rPr>
            </w:pPr>
            <w:r w:rsidRPr="00286A88">
              <w:rPr>
                <w:lang w:val="en-AU" w:eastAsia="en-AU"/>
              </w:rPr>
              <w:t>LAPS</w:t>
            </w:r>
          </w:p>
        </w:tc>
        <w:tc>
          <w:tcPr>
            <w:tcW w:w="0" w:type="auto"/>
            <w:vAlign w:val="center"/>
          </w:tcPr>
          <w:p w14:paraId="0DABFA02" w14:textId="77777777" w:rsidR="00286A88" w:rsidRPr="00286A88" w:rsidRDefault="00286A88" w:rsidP="007D5D6B">
            <w:pPr>
              <w:spacing w:before="120"/>
              <w:rPr>
                <w:lang w:val="en-AU" w:eastAsia="en-AU"/>
              </w:rPr>
            </w:pPr>
            <w:r w:rsidRPr="00286A88">
              <w:rPr>
                <w:lang w:val="en-AU" w:eastAsia="en-AU"/>
              </w:rPr>
              <w:t>Low atmospheric pressure stunning.</w:t>
            </w:r>
          </w:p>
        </w:tc>
      </w:tr>
      <w:tr w:rsidR="00286A88" w:rsidRPr="00286A88" w14:paraId="0EF902D7" w14:textId="77777777" w:rsidTr="00286A88">
        <w:tc>
          <w:tcPr>
            <w:tcW w:w="0" w:type="auto"/>
            <w:vAlign w:val="center"/>
          </w:tcPr>
          <w:p w14:paraId="19BCA028" w14:textId="77777777" w:rsidR="00286A88" w:rsidRPr="00286A88" w:rsidRDefault="00286A88" w:rsidP="007D5D6B">
            <w:pPr>
              <w:spacing w:before="120"/>
              <w:rPr>
                <w:lang w:val="en-AU" w:eastAsia="en-AU"/>
              </w:rPr>
            </w:pPr>
            <w:r w:rsidRPr="00286A88">
              <w:rPr>
                <w:lang w:val="en-AU" w:eastAsia="en-AU"/>
              </w:rPr>
              <w:t>locomotory</w:t>
            </w:r>
          </w:p>
        </w:tc>
        <w:tc>
          <w:tcPr>
            <w:tcW w:w="0" w:type="auto"/>
            <w:vAlign w:val="center"/>
          </w:tcPr>
          <w:p w14:paraId="7458D53A" w14:textId="77777777" w:rsidR="00286A88" w:rsidRPr="00286A88" w:rsidRDefault="00286A88" w:rsidP="007D5D6B">
            <w:pPr>
              <w:spacing w:before="120"/>
              <w:rPr>
                <w:lang w:val="en-AU" w:eastAsia="en-AU"/>
              </w:rPr>
            </w:pPr>
            <w:r w:rsidRPr="00286A88">
              <w:rPr>
                <w:lang w:val="en-AU" w:eastAsia="en-AU"/>
              </w:rPr>
              <w:t>Activities including walking and running.</w:t>
            </w:r>
          </w:p>
        </w:tc>
      </w:tr>
      <w:tr w:rsidR="00286A88" w:rsidRPr="00286A88" w14:paraId="55E12717" w14:textId="77777777" w:rsidTr="00286A88">
        <w:tc>
          <w:tcPr>
            <w:tcW w:w="0" w:type="auto"/>
            <w:vAlign w:val="center"/>
          </w:tcPr>
          <w:p w14:paraId="01EEB3D2" w14:textId="77777777" w:rsidR="00286A88" w:rsidRPr="00286A88" w:rsidRDefault="00286A88" w:rsidP="007D5D6B">
            <w:pPr>
              <w:spacing w:before="120"/>
              <w:rPr>
                <w:color w:val="auto"/>
                <w:lang w:val="en-AU" w:eastAsia="en-AU"/>
              </w:rPr>
            </w:pPr>
            <w:r w:rsidRPr="00286A88">
              <w:rPr>
                <w:color w:val="auto"/>
                <w:lang w:val="en-AU" w:eastAsia="en-AU"/>
              </w:rPr>
              <w:t>LTL</w:t>
            </w:r>
          </w:p>
        </w:tc>
        <w:tc>
          <w:tcPr>
            <w:tcW w:w="0" w:type="auto"/>
            <w:vAlign w:val="center"/>
          </w:tcPr>
          <w:p w14:paraId="3D753E3B" w14:textId="77777777" w:rsidR="00286A88" w:rsidRPr="00286A88" w:rsidRDefault="00286A88" w:rsidP="007D5D6B">
            <w:pPr>
              <w:spacing w:before="120"/>
              <w:rPr>
                <w:color w:val="auto"/>
                <w:lang w:val="en-AU" w:eastAsia="en-AU"/>
              </w:rPr>
            </w:pPr>
            <w:r w:rsidRPr="00286A88">
              <w:rPr>
                <w:color w:val="auto"/>
                <w:lang w:val="en-AU" w:eastAsia="en-AU"/>
              </w:rPr>
              <w:t>Latency to lie.</w:t>
            </w:r>
          </w:p>
        </w:tc>
      </w:tr>
      <w:tr w:rsidR="00286A88" w:rsidRPr="00286A88" w14:paraId="4381509A" w14:textId="77777777" w:rsidTr="00286A88">
        <w:tc>
          <w:tcPr>
            <w:tcW w:w="0" w:type="auto"/>
            <w:vAlign w:val="center"/>
          </w:tcPr>
          <w:p w14:paraId="39A57D0A" w14:textId="77777777" w:rsidR="00286A88" w:rsidRPr="00286A88" w:rsidRDefault="00286A88" w:rsidP="007D5D6B">
            <w:pPr>
              <w:spacing w:before="120"/>
              <w:rPr>
                <w:lang w:val="en-AU" w:eastAsia="en-AU"/>
              </w:rPr>
            </w:pPr>
            <w:r w:rsidRPr="00286A88">
              <w:rPr>
                <w:color w:val="auto"/>
                <w:lang w:val="en-AU" w:eastAsia="en-AU"/>
              </w:rPr>
              <w:t>mandibulation</w:t>
            </w:r>
          </w:p>
        </w:tc>
        <w:tc>
          <w:tcPr>
            <w:tcW w:w="0" w:type="auto"/>
            <w:vAlign w:val="center"/>
          </w:tcPr>
          <w:p w14:paraId="1CBAC0C0" w14:textId="77777777" w:rsidR="00286A88" w:rsidRPr="00286A88" w:rsidRDefault="00286A88" w:rsidP="007D5D6B">
            <w:pPr>
              <w:spacing w:before="120"/>
              <w:rPr>
                <w:lang w:val="en-AU" w:eastAsia="en-AU"/>
              </w:rPr>
            </w:pPr>
            <w:r w:rsidRPr="00286A88">
              <w:rPr>
                <w:color w:val="auto"/>
                <w:lang w:val="en-AU" w:eastAsia="en-AU"/>
              </w:rPr>
              <w:t>Distinctive bouts of rapid bill movements.</w:t>
            </w:r>
          </w:p>
        </w:tc>
      </w:tr>
      <w:tr w:rsidR="00286A88" w:rsidRPr="00286A88" w14:paraId="04386900" w14:textId="77777777" w:rsidTr="00286A88">
        <w:tc>
          <w:tcPr>
            <w:tcW w:w="0" w:type="auto"/>
            <w:vAlign w:val="center"/>
          </w:tcPr>
          <w:p w14:paraId="52FE0F64" w14:textId="77777777" w:rsidR="00286A88" w:rsidRPr="00286A88" w:rsidRDefault="00286A88" w:rsidP="007D5D6B">
            <w:pPr>
              <w:spacing w:before="120"/>
              <w:rPr>
                <w:lang w:val="en-AU" w:eastAsia="en-AU"/>
              </w:rPr>
            </w:pPr>
            <w:r w:rsidRPr="00286A88">
              <w:rPr>
                <w:lang w:val="en-AU" w:eastAsia="en-AU"/>
              </w:rPr>
              <w:t>meal feeding</w:t>
            </w:r>
          </w:p>
        </w:tc>
        <w:tc>
          <w:tcPr>
            <w:tcW w:w="0" w:type="auto"/>
            <w:vAlign w:val="center"/>
          </w:tcPr>
          <w:p w14:paraId="77A15B4C" w14:textId="77777777" w:rsidR="00286A88" w:rsidRPr="00286A88" w:rsidRDefault="00286A88" w:rsidP="007D5D6B">
            <w:pPr>
              <w:spacing w:before="120"/>
              <w:rPr>
                <w:lang w:val="en-AU" w:eastAsia="en-AU"/>
              </w:rPr>
            </w:pPr>
            <w:r w:rsidRPr="00286A88">
              <w:rPr>
                <w:lang w:val="en-AU" w:eastAsia="en-AU"/>
              </w:rPr>
              <w:t>An alternative to having feed continuously available (</w:t>
            </w:r>
            <w:r w:rsidRPr="00286A88">
              <w:rPr>
                <w:i/>
                <w:lang w:val="en-AU" w:eastAsia="en-AU"/>
              </w:rPr>
              <w:t>ad libitum</w:t>
            </w:r>
            <w:r w:rsidRPr="00286A88">
              <w:rPr>
                <w:lang w:val="en-AU" w:eastAsia="en-AU"/>
              </w:rPr>
              <w:t>), where feed is distributed in several portions during the day with periods when feed is not available in between. For broilers in particular this may enhance digestion and allow periods of undisturbed rest.</w:t>
            </w:r>
          </w:p>
        </w:tc>
      </w:tr>
      <w:tr w:rsidR="00286A88" w:rsidRPr="00286A88" w14:paraId="365CEF1A" w14:textId="77777777" w:rsidTr="00286A88">
        <w:tc>
          <w:tcPr>
            <w:tcW w:w="0" w:type="auto"/>
            <w:vAlign w:val="center"/>
          </w:tcPr>
          <w:p w14:paraId="0320D82E" w14:textId="77777777" w:rsidR="00286A88" w:rsidRPr="00286A88" w:rsidRDefault="00286A88" w:rsidP="007D5D6B">
            <w:pPr>
              <w:spacing w:before="120"/>
              <w:rPr>
                <w:lang w:val="en-AU" w:eastAsia="en-AU"/>
              </w:rPr>
            </w:pPr>
            <w:r w:rsidRPr="00286A88">
              <w:rPr>
                <w:lang w:val="en-AU" w:eastAsia="en-AU"/>
              </w:rPr>
              <w:t>meta-analysis</w:t>
            </w:r>
          </w:p>
        </w:tc>
        <w:tc>
          <w:tcPr>
            <w:tcW w:w="0" w:type="auto"/>
            <w:vAlign w:val="center"/>
          </w:tcPr>
          <w:p w14:paraId="1E121283" w14:textId="77777777" w:rsidR="00286A88" w:rsidRPr="00286A88" w:rsidRDefault="00286A88" w:rsidP="007D5D6B">
            <w:pPr>
              <w:spacing w:before="120"/>
              <w:rPr>
                <w:lang w:val="en-AU" w:eastAsia="en-AU"/>
              </w:rPr>
            </w:pPr>
            <w:r w:rsidRPr="00286A88">
              <w:rPr>
                <w:lang w:val="en-AU" w:eastAsia="en-AU"/>
              </w:rPr>
              <w:t>A statistical analysis of a large number of studies that may give more solid evidence than single studies alone or sometimes find new relationships.</w:t>
            </w:r>
          </w:p>
        </w:tc>
      </w:tr>
      <w:tr w:rsidR="00286A88" w:rsidRPr="00286A88" w14:paraId="1B81E6C3" w14:textId="77777777" w:rsidTr="00286A88">
        <w:tc>
          <w:tcPr>
            <w:tcW w:w="0" w:type="auto"/>
            <w:vAlign w:val="center"/>
          </w:tcPr>
          <w:p w14:paraId="264D9C2D" w14:textId="77777777" w:rsidR="00286A88" w:rsidRPr="00286A88" w:rsidRDefault="00286A88" w:rsidP="007D5D6B">
            <w:pPr>
              <w:spacing w:before="120"/>
              <w:rPr>
                <w:lang w:val="en-AU" w:eastAsia="en-AU"/>
              </w:rPr>
            </w:pPr>
            <w:r w:rsidRPr="00286A88">
              <w:rPr>
                <w:lang w:val="en-AU" w:eastAsia="en-AU"/>
              </w:rPr>
              <w:t>metabolism</w:t>
            </w:r>
          </w:p>
        </w:tc>
        <w:tc>
          <w:tcPr>
            <w:tcW w:w="0" w:type="auto"/>
            <w:vAlign w:val="center"/>
          </w:tcPr>
          <w:p w14:paraId="0A6D3B20" w14:textId="77777777" w:rsidR="00286A88" w:rsidRPr="00286A88" w:rsidRDefault="00286A88" w:rsidP="007D5D6B">
            <w:pPr>
              <w:spacing w:before="120"/>
              <w:rPr>
                <w:lang w:val="en-AU" w:eastAsia="en-AU"/>
              </w:rPr>
            </w:pPr>
            <w:r w:rsidRPr="00286A88">
              <w:rPr>
                <w:lang w:val="en-AU" w:eastAsia="en-AU"/>
              </w:rPr>
              <w:t>The chemical processes that occur within a living organism (here, bird) in order to maintain life.</w:t>
            </w:r>
          </w:p>
        </w:tc>
      </w:tr>
      <w:tr w:rsidR="00286A88" w:rsidRPr="00286A88" w14:paraId="15F27E3D" w14:textId="77777777" w:rsidTr="00286A88">
        <w:tc>
          <w:tcPr>
            <w:tcW w:w="0" w:type="auto"/>
            <w:vAlign w:val="center"/>
          </w:tcPr>
          <w:p w14:paraId="617E79CA" w14:textId="77777777" w:rsidR="00286A88" w:rsidRPr="00286A88" w:rsidRDefault="00286A88" w:rsidP="007D5D6B">
            <w:pPr>
              <w:spacing w:before="120"/>
              <w:rPr>
                <w:lang w:val="en-AU" w:eastAsia="en-AU"/>
              </w:rPr>
            </w:pPr>
            <w:r w:rsidRPr="00286A88">
              <w:rPr>
                <w:lang w:val="en-AU" w:eastAsia="en-AU"/>
              </w:rPr>
              <w:t>metabolite</w:t>
            </w:r>
          </w:p>
        </w:tc>
        <w:tc>
          <w:tcPr>
            <w:tcW w:w="0" w:type="auto"/>
            <w:vAlign w:val="center"/>
          </w:tcPr>
          <w:p w14:paraId="4C132801" w14:textId="77777777" w:rsidR="00286A88" w:rsidRPr="00286A88" w:rsidRDefault="00286A88" w:rsidP="007D5D6B">
            <w:pPr>
              <w:spacing w:before="120"/>
              <w:rPr>
                <w:lang w:val="en-AU" w:eastAsia="en-AU"/>
              </w:rPr>
            </w:pPr>
            <w:r w:rsidRPr="00286A88">
              <w:rPr>
                <w:lang w:val="en-AU" w:eastAsia="en-AU"/>
              </w:rPr>
              <w:t>An end product of a biochemical reaction in the body.</w:t>
            </w:r>
          </w:p>
        </w:tc>
      </w:tr>
      <w:tr w:rsidR="00286A88" w:rsidRPr="00286A88" w14:paraId="3A88D9A6" w14:textId="77777777" w:rsidTr="00286A88">
        <w:tc>
          <w:tcPr>
            <w:tcW w:w="0" w:type="auto"/>
            <w:vAlign w:val="center"/>
          </w:tcPr>
          <w:p w14:paraId="12E1B5C4" w14:textId="77777777" w:rsidR="00286A88" w:rsidRPr="00286A88" w:rsidRDefault="00286A88" w:rsidP="007D5D6B">
            <w:pPr>
              <w:spacing w:before="120"/>
              <w:rPr>
                <w:lang w:val="en-AU" w:eastAsia="en-AU"/>
              </w:rPr>
            </w:pPr>
            <w:r w:rsidRPr="00286A88">
              <w:rPr>
                <w:lang w:val="en-AU" w:eastAsia="en-AU"/>
              </w:rPr>
              <w:t xml:space="preserve">morphological </w:t>
            </w:r>
          </w:p>
        </w:tc>
        <w:tc>
          <w:tcPr>
            <w:tcW w:w="0" w:type="auto"/>
            <w:vAlign w:val="center"/>
          </w:tcPr>
          <w:p w14:paraId="7806DE3E" w14:textId="77777777" w:rsidR="00286A88" w:rsidRPr="00286A88" w:rsidRDefault="00286A88" w:rsidP="007D5D6B">
            <w:pPr>
              <w:spacing w:before="120"/>
              <w:rPr>
                <w:lang w:val="en-AU" w:eastAsia="en-AU"/>
              </w:rPr>
            </w:pPr>
            <w:r w:rsidRPr="00286A88">
              <w:rPr>
                <w:lang w:val="en-AU" w:eastAsia="en-AU"/>
              </w:rPr>
              <w:t>The size, shape, and structure of an animal (or body part).</w:t>
            </w:r>
          </w:p>
        </w:tc>
      </w:tr>
      <w:tr w:rsidR="00286A88" w:rsidRPr="00286A88" w14:paraId="0EAF2AAD" w14:textId="77777777" w:rsidTr="00286A88">
        <w:tc>
          <w:tcPr>
            <w:tcW w:w="0" w:type="auto"/>
            <w:vAlign w:val="center"/>
          </w:tcPr>
          <w:p w14:paraId="2F128927" w14:textId="77777777" w:rsidR="00286A88" w:rsidRPr="00286A88" w:rsidRDefault="00286A88" w:rsidP="007D5D6B">
            <w:pPr>
              <w:spacing w:before="120"/>
              <w:rPr>
                <w:lang w:val="en-AU" w:eastAsia="en-AU"/>
              </w:rPr>
            </w:pPr>
            <w:r w:rsidRPr="00286A88">
              <w:rPr>
                <w:lang w:val="en-AU" w:eastAsia="en-AU"/>
              </w:rPr>
              <w:t>moulting</w:t>
            </w:r>
          </w:p>
        </w:tc>
        <w:tc>
          <w:tcPr>
            <w:tcW w:w="0" w:type="auto"/>
            <w:vAlign w:val="center"/>
          </w:tcPr>
          <w:p w14:paraId="75245A75" w14:textId="77777777" w:rsidR="00286A88" w:rsidRPr="00286A88" w:rsidRDefault="00286A88" w:rsidP="007D5D6B">
            <w:pPr>
              <w:spacing w:before="120"/>
              <w:rPr>
                <w:lang w:val="en-AU" w:eastAsia="en-AU"/>
              </w:rPr>
            </w:pPr>
            <w:r w:rsidRPr="00286A88">
              <w:rPr>
                <w:lang w:val="en-AU" w:eastAsia="en-AU"/>
              </w:rPr>
              <w:t>Shedding of feathers and then re-growing a new set. This may be induced by severely restricting feed, which causes the birds to stop laying eggs. After the moult they lay eggs at an enhanced rate of production.</w:t>
            </w:r>
          </w:p>
        </w:tc>
      </w:tr>
      <w:tr w:rsidR="00286A88" w:rsidRPr="00286A88" w14:paraId="112127A3" w14:textId="77777777" w:rsidTr="00286A88">
        <w:tc>
          <w:tcPr>
            <w:tcW w:w="0" w:type="auto"/>
            <w:vAlign w:val="center"/>
          </w:tcPr>
          <w:p w14:paraId="7104DF2C" w14:textId="77777777" w:rsidR="00286A88" w:rsidRPr="00286A88" w:rsidRDefault="00286A88" w:rsidP="007D5D6B">
            <w:pPr>
              <w:spacing w:before="120"/>
              <w:rPr>
                <w:lang w:val="en-AU" w:eastAsia="en-AU"/>
              </w:rPr>
            </w:pPr>
            <w:r w:rsidRPr="00286A88">
              <w:rPr>
                <w:lang w:val="en-AU" w:eastAsia="en-AU"/>
              </w:rPr>
              <w:t>MT</w:t>
            </w:r>
          </w:p>
        </w:tc>
        <w:tc>
          <w:tcPr>
            <w:tcW w:w="0" w:type="auto"/>
            <w:vAlign w:val="center"/>
          </w:tcPr>
          <w:p w14:paraId="62F2A141" w14:textId="77777777" w:rsidR="00286A88" w:rsidRPr="00286A88" w:rsidRDefault="00286A88" w:rsidP="007D5D6B">
            <w:pPr>
              <w:spacing w:before="120"/>
              <w:rPr>
                <w:lang w:val="en-AU" w:eastAsia="en-AU"/>
              </w:rPr>
            </w:pPr>
            <w:r w:rsidRPr="00286A88">
              <w:rPr>
                <w:lang w:val="en-AU" w:eastAsia="en-AU"/>
              </w:rPr>
              <w:t>Multi-tier barn or aviary.</w:t>
            </w:r>
          </w:p>
        </w:tc>
      </w:tr>
      <w:tr w:rsidR="00286A88" w:rsidRPr="00286A88" w14:paraId="1BB975C7" w14:textId="77777777" w:rsidTr="00286A88">
        <w:tc>
          <w:tcPr>
            <w:tcW w:w="0" w:type="auto"/>
            <w:vAlign w:val="center"/>
          </w:tcPr>
          <w:p w14:paraId="3FFA56B5" w14:textId="77777777" w:rsidR="00286A88" w:rsidRPr="00286A88" w:rsidRDefault="00286A88" w:rsidP="007D5D6B">
            <w:pPr>
              <w:spacing w:before="120"/>
              <w:rPr>
                <w:lang w:val="en-AU" w:eastAsia="en-AU"/>
              </w:rPr>
            </w:pPr>
            <w:r w:rsidRPr="00286A88">
              <w:rPr>
                <w:lang w:val="en-AU" w:eastAsia="en-AU"/>
              </w:rPr>
              <w:t>n-3</w:t>
            </w:r>
          </w:p>
        </w:tc>
        <w:tc>
          <w:tcPr>
            <w:tcW w:w="0" w:type="auto"/>
            <w:vAlign w:val="center"/>
          </w:tcPr>
          <w:p w14:paraId="01DD23F7" w14:textId="77777777" w:rsidR="00286A88" w:rsidRPr="00286A88" w:rsidRDefault="00286A88" w:rsidP="007D5D6B">
            <w:pPr>
              <w:spacing w:before="120"/>
              <w:rPr>
                <w:lang w:val="en-AU" w:eastAsia="en-AU"/>
              </w:rPr>
            </w:pPr>
            <w:r w:rsidRPr="00286A88">
              <w:rPr>
                <w:lang w:val="en-AU" w:eastAsia="en-AU"/>
              </w:rPr>
              <w:t>Also known as omega 3 - in relation to a type of polyunsaturated fatty acid important in the diet for normal health.</w:t>
            </w:r>
          </w:p>
        </w:tc>
      </w:tr>
      <w:tr w:rsidR="00286A88" w:rsidRPr="00286A88" w14:paraId="6122E769" w14:textId="77777777" w:rsidTr="00286A88">
        <w:tc>
          <w:tcPr>
            <w:tcW w:w="0" w:type="auto"/>
            <w:vAlign w:val="center"/>
          </w:tcPr>
          <w:p w14:paraId="34E80BDE" w14:textId="77777777" w:rsidR="00286A88" w:rsidRPr="00286A88" w:rsidRDefault="00286A88" w:rsidP="007D5D6B">
            <w:pPr>
              <w:spacing w:before="120"/>
              <w:rPr>
                <w:lang w:val="en-AU" w:eastAsia="en-AU"/>
              </w:rPr>
            </w:pPr>
            <w:r w:rsidRPr="00286A88">
              <w:rPr>
                <w:lang w:val="en-AU" w:eastAsia="en-AU"/>
              </w:rPr>
              <w:t>NC</w:t>
            </w:r>
          </w:p>
        </w:tc>
        <w:tc>
          <w:tcPr>
            <w:tcW w:w="0" w:type="auto"/>
            <w:vAlign w:val="center"/>
          </w:tcPr>
          <w:p w14:paraId="451C1372" w14:textId="77777777" w:rsidR="00286A88" w:rsidRPr="00286A88" w:rsidRDefault="00286A88" w:rsidP="007D5D6B">
            <w:pPr>
              <w:spacing w:before="120"/>
              <w:rPr>
                <w:lang w:val="en-AU" w:eastAsia="en-AU"/>
              </w:rPr>
            </w:pPr>
            <w:r w:rsidRPr="00286A88">
              <w:rPr>
                <w:lang w:val="en-AU" w:eastAsia="en-AU"/>
              </w:rPr>
              <w:t>Non-cage systems (barns).</w:t>
            </w:r>
          </w:p>
        </w:tc>
      </w:tr>
      <w:tr w:rsidR="00286A88" w:rsidRPr="00286A88" w14:paraId="0A14F14F" w14:textId="77777777" w:rsidTr="00286A88">
        <w:tc>
          <w:tcPr>
            <w:tcW w:w="0" w:type="auto"/>
            <w:vAlign w:val="center"/>
          </w:tcPr>
          <w:p w14:paraId="13148FAC" w14:textId="77777777" w:rsidR="00286A88" w:rsidRPr="00286A88" w:rsidRDefault="00286A88" w:rsidP="007D5D6B">
            <w:pPr>
              <w:spacing w:before="120"/>
              <w:rPr>
                <w:lang w:val="en-AU" w:eastAsia="en-AU"/>
              </w:rPr>
            </w:pPr>
            <w:r w:rsidRPr="00286A88">
              <w:rPr>
                <w:lang w:val="en-AU" w:eastAsia="en-AU"/>
              </w:rPr>
              <w:t>necropsy</w:t>
            </w:r>
          </w:p>
        </w:tc>
        <w:tc>
          <w:tcPr>
            <w:tcW w:w="0" w:type="auto"/>
            <w:vAlign w:val="center"/>
          </w:tcPr>
          <w:p w14:paraId="16D87BE0" w14:textId="77777777" w:rsidR="00286A88" w:rsidRPr="00286A88" w:rsidRDefault="00286A88" w:rsidP="007D5D6B">
            <w:pPr>
              <w:spacing w:before="120"/>
              <w:rPr>
                <w:lang w:val="en-AU" w:eastAsia="en-AU"/>
              </w:rPr>
            </w:pPr>
            <w:r w:rsidRPr="00286A88">
              <w:rPr>
                <w:lang w:val="en-AU" w:eastAsia="en-AU"/>
              </w:rPr>
              <w:t>Post mortem examination.</w:t>
            </w:r>
          </w:p>
        </w:tc>
      </w:tr>
      <w:tr w:rsidR="00286A88" w:rsidRPr="00286A88" w14:paraId="2BA3A7F7" w14:textId="77777777" w:rsidTr="00286A88">
        <w:tc>
          <w:tcPr>
            <w:tcW w:w="0" w:type="auto"/>
            <w:vAlign w:val="center"/>
          </w:tcPr>
          <w:p w14:paraId="607A0843" w14:textId="77777777" w:rsidR="00286A88" w:rsidRPr="00286A88" w:rsidRDefault="00286A88" w:rsidP="007D5D6B">
            <w:pPr>
              <w:spacing w:before="120"/>
              <w:rPr>
                <w:lang w:val="en-AU" w:eastAsia="en-AU"/>
              </w:rPr>
            </w:pPr>
            <w:r w:rsidRPr="00286A88">
              <w:rPr>
                <w:lang w:val="en-AU" w:eastAsia="en-AU"/>
              </w:rPr>
              <w:t>nociceptors</w:t>
            </w:r>
          </w:p>
        </w:tc>
        <w:tc>
          <w:tcPr>
            <w:tcW w:w="0" w:type="auto"/>
            <w:vAlign w:val="center"/>
          </w:tcPr>
          <w:p w14:paraId="449BE4C1" w14:textId="77777777" w:rsidR="00286A88" w:rsidRPr="00286A88" w:rsidRDefault="00286A88" w:rsidP="007D5D6B">
            <w:pPr>
              <w:spacing w:before="120"/>
              <w:rPr>
                <w:lang w:val="en-AU" w:eastAsia="en-AU"/>
              </w:rPr>
            </w:pPr>
            <w:r w:rsidRPr="00286A88">
              <w:rPr>
                <w:color w:val="auto"/>
                <w:lang w:val="en-AU" w:eastAsia="en-AU"/>
              </w:rPr>
              <w:t>Specialised peripheral sensory neurons for detecting pain.</w:t>
            </w:r>
          </w:p>
        </w:tc>
      </w:tr>
      <w:tr w:rsidR="00286A88" w:rsidRPr="00286A88" w14:paraId="3D807349" w14:textId="77777777" w:rsidTr="00286A88">
        <w:tc>
          <w:tcPr>
            <w:tcW w:w="0" w:type="auto"/>
            <w:vAlign w:val="center"/>
          </w:tcPr>
          <w:p w14:paraId="406F7F21" w14:textId="77777777" w:rsidR="00286A88" w:rsidRPr="00286A88" w:rsidRDefault="00286A88" w:rsidP="007D5D6B">
            <w:pPr>
              <w:spacing w:before="120"/>
              <w:rPr>
                <w:lang w:val="en-AU" w:eastAsia="en-AU"/>
              </w:rPr>
            </w:pPr>
            <w:r w:rsidRPr="00286A88">
              <w:rPr>
                <w:lang w:val="en-AU" w:eastAsia="en-AU"/>
              </w:rPr>
              <w:t>operant tasks</w:t>
            </w:r>
          </w:p>
        </w:tc>
        <w:tc>
          <w:tcPr>
            <w:tcW w:w="0" w:type="auto"/>
            <w:vAlign w:val="center"/>
          </w:tcPr>
          <w:p w14:paraId="106CEB02" w14:textId="77777777" w:rsidR="00286A88" w:rsidRPr="00286A88" w:rsidRDefault="00286A88" w:rsidP="007D5D6B">
            <w:pPr>
              <w:spacing w:before="120"/>
              <w:rPr>
                <w:lang w:val="en-AU" w:eastAsia="en-AU"/>
              </w:rPr>
            </w:pPr>
            <w:r w:rsidRPr="00286A88">
              <w:rPr>
                <w:lang w:val="en-AU" w:eastAsia="en-AU"/>
              </w:rPr>
              <w:t>Tasks where the bird is trained to do something like key pecking for a feed reward or even to halt an unpleasant sensation such as noise or vibration.</w:t>
            </w:r>
          </w:p>
        </w:tc>
      </w:tr>
      <w:tr w:rsidR="00286A88" w:rsidRPr="00286A88" w14:paraId="2FCFADF5" w14:textId="77777777" w:rsidTr="00286A88">
        <w:tc>
          <w:tcPr>
            <w:tcW w:w="0" w:type="auto"/>
            <w:vAlign w:val="center"/>
          </w:tcPr>
          <w:p w14:paraId="03D37CE8" w14:textId="77777777" w:rsidR="00286A88" w:rsidRPr="00286A88" w:rsidRDefault="00286A88" w:rsidP="007D5D6B">
            <w:pPr>
              <w:spacing w:before="120"/>
              <w:rPr>
                <w:lang w:val="en-AU" w:eastAsia="en-AU"/>
              </w:rPr>
            </w:pPr>
            <w:r w:rsidRPr="00286A88">
              <w:rPr>
                <w:lang w:val="en-AU" w:eastAsia="en-AU"/>
              </w:rPr>
              <w:t>oviposition</w:t>
            </w:r>
          </w:p>
        </w:tc>
        <w:tc>
          <w:tcPr>
            <w:tcW w:w="0" w:type="auto"/>
            <w:vAlign w:val="center"/>
          </w:tcPr>
          <w:p w14:paraId="636B8B66" w14:textId="77777777" w:rsidR="00286A88" w:rsidRPr="00286A88" w:rsidRDefault="00286A88" w:rsidP="007D5D6B">
            <w:pPr>
              <w:spacing w:before="120"/>
              <w:rPr>
                <w:lang w:val="en-AU" w:eastAsia="en-AU"/>
              </w:rPr>
            </w:pPr>
            <w:r w:rsidRPr="00286A88">
              <w:rPr>
                <w:lang w:val="en-AU" w:eastAsia="en-AU"/>
              </w:rPr>
              <w:t>Egg laying.</w:t>
            </w:r>
          </w:p>
        </w:tc>
      </w:tr>
      <w:tr w:rsidR="00286A88" w:rsidRPr="00286A88" w14:paraId="3A73BDB8" w14:textId="77777777" w:rsidTr="00286A88">
        <w:tc>
          <w:tcPr>
            <w:tcW w:w="0" w:type="auto"/>
            <w:vAlign w:val="center"/>
          </w:tcPr>
          <w:p w14:paraId="4D516B0B" w14:textId="77777777" w:rsidR="00286A88" w:rsidRPr="00286A88" w:rsidRDefault="00286A88" w:rsidP="007D5D6B">
            <w:pPr>
              <w:spacing w:before="120"/>
              <w:rPr>
                <w:lang w:val="en-AU" w:eastAsia="en-AU"/>
              </w:rPr>
            </w:pPr>
            <w:r w:rsidRPr="00286A88">
              <w:rPr>
                <w:lang w:val="en-AU" w:eastAsia="en-AU"/>
              </w:rPr>
              <w:t>pathogen</w:t>
            </w:r>
          </w:p>
        </w:tc>
        <w:tc>
          <w:tcPr>
            <w:tcW w:w="0" w:type="auto"/>
            <w:vAlign w:val="center"/>
          </w:tcPr>
          <w:p w14:paraId="47845312" w14:textId="77777777" w:rsidR="00286A88" w:rsidRPr="00286A88" w:rsidRDefault="00286A88" w:rsidP="007D5D6B">
            <w:pPr>
              <w:spacing w:before="120"/>
              <w:rPr>
                <w:lang w:val="en-AU" w:eastAsia="en-AU"/>
              </w:rPr>
            </w:pPr>
            <w:r w:rsidRPr="00286A88">
              <w:rPr>
                <w:lang w:val="en-AU" w:eastAsia="en-AU"/>
              </w:rPr>
              <w:t>An agent that causes infection or disease, e.g. bacteria, viruses.</w:t>
            </w:r>
          </w:p>
        </w:tc>
      </w:tr>
      <w:tr w:rsidR="00286A88" w:rsidRPr="00286A88" w14:paraId="0AA9C07B" w14:textId="77777777" w:rsidTr="00286A88">
        <w:tc>
          <w:tcPr>
            <w:tcW w:w="0" w:type="auto"/>
            <w:vAlign w:val="center"/>
          </w:tcPr>
          <w:p w14:paraId="05421011" w14:textId="77777777" w:rsidR="00286A88" w:rsidRPr="00286A88" w:rsidRDefault="00286A88" w:rsidP="007D5D6B">
            <w:pPr>
              <w:spacing w:before="120"/>
              <w:rPr>
                <w:lang w:val="en-AU" w:eastAsia="en-AU"/>
              </w:rPr>
            </w:pPr>
            <w:r w:rsidRPr="00286A88">
              <w:rPr>
                <w:lang w:val="en-AU" w:eastAsia="en-AU"/>
              </w:rPr>
              <w:t>pathology</w:t>
            </w:r>
          </w:p>
        </w:tc>
        <w:tc>
          <w:tcPr>
            <w:tcW w:w="0" w:type="auto"/>
            <w:vAlign w:val="center"/>
          </w:tcPr>
          <w:p w14:paraId="526F15F2" w14:textId="77777777" w:rsidR="00286A88" w:rsidRPr="00286A88" w:rsidRDefault="00286A88" w:rsidP="007D5D6B">
            <w:pPr>
              <w:spacing w:before="120"/>
              <w:rPr>
                <w:lang w:val="en-AU" w:eastAsia="en-AU"/>
              </w:rPr>
            </w:pPr>
            <w:r w:rsidRPr="00286A88">
              <w:rPr>
                <w:lang w:val="en-AU" w:eastAsia="en-AU"/>
              </w:rPr>
              <w:t>The study of diseases and of the changes that they cause.</w:t>
            </w:r>
          </w:p>
        </w:tc>
      </w:tr>
      <w:tr w:rsidR="00286A88" w:rsidRPr="00286A88" w14:paraId="3972F209" w14:textId="77777777" w:rsidTr="00286A88">
        <w:tc>
          <w:tcPr>
            <w:tcW w:w="0" w:type="auto"/>
            <w:vAlign w:val="center"/>
          </w:tcPr>
          <w:p w14:paraId="2D49E0D0" w14:textId="77777777" w:rsidR="00286A88" w:rsidRPr="00286A88" w:rsidRDefault="00286A88" w:rsidP="007D5D6B">
            <w:pPr>
              <w:spacing w:before="120"/>
              <w:rPr>
                <w:lang w:val="en-AU" w:eastAsia="en-AU"/>
              </w:rPr>
            </w:pPr>
            <w:r w:rsidRPr="00286A88">
              <w:rPr>
                <w:lang w:val="en-AU" w:eastAsia="en-AU"/>
              </w:rPr>
              <w:t>pDC</w:t>
            </w:r>
          </w:p>
        </w:tc>
        <w:tc>
          <w:tcPr>
            <w:tcW w:w="0" w:type="auto"/>
            <w:vAlign w:val="center"/>
          </w:tcPr>
          <w:p w14:paraId="064252E6" w14:textId="77777777" w:rsidR="00286A88" w:rsidRPr="00286A88" w:rsidRDefault="00286A88" w:rsidP="007D5D6B">
            <w:pPr>
              <w:spacing w:before="120"/>
              <w:rPr>
                <w:lang w:val="en-AU" w:eastAsia="en-AU"/>
              </w:rPr>
            </w:pPr>
            <w:r w:rsidRPr="00286A88">
              <w:rPr>
                <w:lang w:val="en-AU" w:eastAsia="en-AU"/>
              </w:rPr>
              <w:t>Pulsed direct current.</w:t>
            </w:r>
          </w:p>
        </w:tc>
      </w:tr>
      <w:tr w:rsidR="00286A88" w:rsidRPr="00286A88" w14:paraId="1685BCA6" w14:textId="77777777" w:rsidTr="00286A88">
        <w:tc>
          <w:tcPr>
            <w:tcW w:w="0" w:type="auto"/>
            <w:vAlign w:val="center"/>
          </w:tcPr>
          <w:p w14:paraId="09BC0AC1" w14:textId="77777777" w:rsidR="00286A88" w:rsidRPr="00286A88" w:rsidRDefault="00286A88" w:rsidP="007D5D6B">
            <w:pPr>
              <w:spacing w:before="120"/>
              <w:rPr>
                <w:lang w:val="en-AU" w:eastAsia="en-AU"/>
              </w:rPr>
            </w:pPr>
            <w:r w:rsidRPr="00286A88">
              <w:rPr>
                <w:lang w:val="en-AU" w:eastAsia="en-AU"/>
              </w:rPr>
              <w:t>phenotypic</w:t>
            </w:r>
          </w:p>
        </w:tc>
        <w:tc>
          <w:tcPr>
            <w:tcW w:w="0" w:type="auto"/>
            <w:vAlign w:val="center"/>
          </w:tcPr>
          <w:p w14:paraId="0DF54C88" w14:textId="77777777" w:rsidR="00286A88" w:rsidRPr="00286A88" w:rsidRDefault="00286A88" w:rsidP="007D5D6B">
            <w:pPr>
              <w:spacing w:before="120"/>
              <w:rPr>
                <w:lang w:val="en-AU" w:eastAsia="en-AU"/>
              </w:rPr>
            </w:pPr>
            <w:r w:rsidRPr="00286A88">
              <w:rPr>
                <w:lang w:val="en-AU" w:eastAsia="en-AU"/>
              </w:rPr>
              <w:t>The observable physical or biochemical characteristics of an organism (here, bird), as determined by both genetic makeup and environmental influences.</w:t>
            </w:r>
          </w:p>
        </w:tc>
      </w:tr>
      <w:tr w:rsidR="00286A88" w:rsidRPr="00286A88" w14:paraId="210D6FDA" w14:textId="77777777" w:rsidTr="00286A88">
        <w:tc>
          <w:tcPr>
            <w:tcW w:w="0" w:type="auto"/>
            <w:vAlign w:val="center"/>
          </w:tcPr>
          <w:p w14:paraId="23A2EB79" w14:textId="77777777" w:rsidR="00286A88" w:rsidRPr="00286A88" w:rsidRDefault="00286A88" w:rsidP="007D5D6B">
            <w:pPr>
              <w:spacing w:before="120"/>
              <w:rPr>
                <w:lang w:val="en-AU" w:eastAsia="en-AU"/>
              </w:rPr>
            </w:pPr>
            <w:r w:rsidRPr="00286A88">
              <w:rPr>
                <w:lang w:val="en-AU" w:eastAsia="en-AU"/>
              </w:rPr>
              <w:t>photoperiod</w:t>
            </w:r>
          </w:p>
        </w:tc>
        <w:tc>
          <w:tcPr>
            <w:tcW w:w="0" w:type="auto"/>
            <w:vAlign w:val="center"/>
          </w:tcPr>
          <w:p w14:paraId="3C303927" w14:textId="77777777" w:rsidR="00286A88" w:rsidRPr="00286A88" w:rsidRDefault="00286A88" w:rsidP="007D5D6B">
            <w:pPr>
              <w:spacing w:before="120"/>
              <w:rPr>
                <w:lang w:val="en-AU" w:eastAsia="en-AU"/>
              </w:rPr>
            </w:pPr>
            <w:r w:rsidRPr="00286A88">
              <w:rPr>
                <w:lang w:val="en-AU" w:eastAsia="en-AU"/>
              </w:rPr>
              <w:t>Period of light. Generally used to describe (the duration of lights on in) a lighting programme. For example, 16L:8D means 16 hours of light and 8 hours of darkness.</w:t>
            </w:r>
          </w:p>
        </w:tc>
      </w:tr>
      <w:tr w:rsidR="00286A88" w:rsidRPr="00286A88" w14:paraId="77BCC690" w14:textId="77777777" w:rsidTr="00286A88">
        <w:tc>
          <w:tcPr>
            <w:tcW w:w="0" w:type="auto"/>
            <w:vAlign w:val="center"/>
          </w:tcPr>
          <w:p w14:paraId="1B88BA24" w14:textId="77777777" w:rsidR="00286A88" w:rsidRPr="00286A88" w:rsidRDefault="00286A88" w:rsidP="007D5D6B">
            <w:pPr>
              <w:spacing w:before="120"/>
              <w:rPr>
                <w:lang w:val="en-AU" w:eastAsia="en-AU"/>
              </w:rPr>
            </w:pPr>
            <w:r w:rsidRPr="00286A88">
              <w:rPr>
                <w:lang w:val="en-AU" w:eastAsia="en-AU"/>
              </w:rPr>
              <w:t>physiology</w:t>
            </w:r>
          </w:p>
        </w:tc>
        <w:tc>
          <w:tcPr>
            <w:tcW w:w="0" w:type="auto"/>
            <w:vAlign w:val="center"/>
          </w:tcPr>
          <w:p w14:paraId="6759B68A" w14:textId="77777777" w:rsidR="00286A88" w:rsidRPr="00286A88" w:rsidRDefault="00286A88" w:rsidP="007D5D6B">
            <w:pPr>
              <w:spacing w:before="120"/>
              <w:rPr>
                <w:lang w:val="en-AU" w:eastAsia="en-AU"/>
              </w:rPr>
            </w:pPr>
            <w:r w:rsidRPr="00286A88">
              <w:rPr>
                <w:lang w:val="en-AU" w:eastAsia="en-AU"/>
              </w:rPr>
              <w:t>The (study of) normal biological functioning of a bird.</w:t>
            </w:r>
          </w:p>
        </w:tc>
      </w:tr>
      <w:tr w:rsidR="00286A88" w:rsidRPr="00286A88" w14:paraId="2171298A" w14:textId="77777777" w:rsidTr="00286A88">
        <w:tc>
          <w:tcPr>
            <w:tcW w:w="0" w:type="auto"/>
            <w:vAlign w:val="center"/>
          </w:tcPr>
          <w:p w14:paraId="201A7AE0" w14:textId="77777777" w:rsidR="00286A88" w:rsidRPr="00286A88" w:rsidRDefault="00286A88" w:rsidP="007D5D6B">
            <w:pPr>
              <w:spacing w:before="120"/>
              <w:rPr>
                <w:lang w:val="en-AU" w:eastAsia="en-AU"/>
              </w:rPr>
            </w:pPr>
            <w:r w:rsidRPr="00286A88">
              <w:rPr>
                <w:lang w:val="en-AU" w:eastAsia="en-AU"/>
              </w:rPr>
              <w:t>plumage</w:t>
            </w:r>
          </w:p>
        </w:tc>
        <w:tc>
          <w:tcPr>
            <w:tcW w:w="0" w:type="auto"/>
            <w:vAlign w:val="center"/>
          </w:tcPr>
          <w:p w14:paraId="32E8A0E4" w14:textId="77777777" w:rsidR="00286A88" w:rsidRPr="00286A88" w:rsidRDefault="00286A88" w:rsidP="007D5D6B">
            <w:pPr>
              <w:spacing w:before="120"/>
              <w:rPr>
                <w:lang w:val="en-AU" w:eastAsia="en-AU"/>
              </w:rPr>
            </w:pPr>
            <w:r w:rsidRPr="00286A88">
              <w:rPr>
                <w:lang w:val="en-AU" w:eastAsia="en-AU"/>
              </w:rPr>
              <w:t>Overall feather cover and characteristics.</w:t>
            </w:r>
          </w:p>
        </w:tc>
      </w:tr>
      <w:tr w:rsidR="00286A88" w:rsidRPr="00286A88" w14:paraId="7559E81E" w14:textId="77777777" w:rsidTr="00286A88">
        <w:tc>
          <w:tcPr>
            <w:tcW w:w="0" w:type="auto"/>
            <w:vAlign w:val="center"/>
          </w:tcPr>
          <w:p w14:paraId="0D535D64" w14:textId="77777777" w:rsidR="00286A88" w:rsidRPr="00286A88" w:rsidRDefault="00286A88" w:rsidP="007D5D6B">
            <w:pPr>
              <w:spacing w:before="120"/>
              <w:rPr>
                <w:lang w:val="en-AU" w:eastAsia="en-AU"/>
              </w:rPr>
            </w:pPr>
            <w:r w:rsidRPr="00286A88">
              <w:rPr>
                <w:lang w:val="en-AU" w:eastAsia="en-AU"/>
              </w:rPr>
              <w:t>poult</w:t>
            </w:r>
          </w:p>
        </w:tc>
        <w:tc>
          <w:tcPr>
            <w:tcW w:w="0" w:type="auto"/>
            <w:vAlign w:val="center"/>
          </w:tcPr>
          <w:p w14:paraId="52327907" w14:textId="77777777" w:rsidR="00286A88" w:rsidRPr="00286A88" w:rsidRDefault="00286A88" w:rsidP="007D5D6B">
            <w:pPr>
              <w:spacing w:before="120"/>
              <w:rPr>
                <w:lang w:val="en-AU" w:eastAsia="en-AU"/>
              </w:rPr>
            </w:pPr>
            <w:r w:rsidRPr="00286A88">
              <w:rPr>
                <w:lang w:val="en-AU" w:eastAsia="en-AU"/>
              </w:rPr>
              <w:t>A young fowl, (e.g. turkey, pheasant etc.).</w:t>
            </w:r>
          </w:p>
        </w:tc>
      </w:tr>
      <w:tr w:rsidR="00286A88" w:rsidRPr="00286A88" w14:paraId="6EC656FB" w14:textId="77777777" w:rsidTr="00286A88">
        <w:tc>
          <w:tcPr>
            <w:tcW w:w="0" w:type="auto"/>
            <w:vAlign w:val="center"/>
          </w:tcPr>
          <w:p w14:paraId="152ABA4A" w14:textId="77777777" w:rsidR="00286A88" w:rsidRPr="00286A88" w:rsidRDefault="00286A88" w:rsidP="007D5D6B">
            <w:pPr>
              <w:spacing w:before="120"/>
              <w:rPr>
                <w:lang w:val="en-AU" w:eastAsia="en-AU"/>
              </w:rPr>
            </w:pPr>
            <w:r w:rsidRPr="00286A88">
              <w:rPr>
                <w:lang w:val="en-AU" w:eastAsia="en-AU"/>
              </w:rPr>
              <w:t>probiotics</w:t>
            </w:r>
          </w:p>
        </w:tc>
        <w:tc>
          <w:tcPr>
            <w:tcW w:w="0" w:type="auto"/>
            <w:vAlign w:val="center"/>
          </w:tcPr>
          <w:p w14:paraId="2339783C" w14:textId="77777777" w:rsidR="00286A88" w:rsidRPr="00286A88" w:rsidRDefault="00286A88" w:rsidP="007D5D6B">
            <w:pPr>
              <w:spacing w:before="120"/>
              <w:rPr>
                <w:lang w:val="en-AU" w:eastAsia="en-AU"/>
              </w:rPr>
            </w:pPr>
            <w:r w:rsidRPr="00286A88">
              <w:rPr>
                <w:lang w:val="en-AU" w:eastAsia="en-AU"/>
              </w:rPr>
              <w:t>Live micro-organisms which, when administered in adequate amounts, confer a health beneﬁt on the host. For example, lactobacilli fed to 'crowd-out' potentially pathogenic gut bacteria.</w:t>
            </w:r>
          </w:p>
        </w:tc>
      </w:tr>
      <w:tr w:rsidR="00286A88" w:rsidRPr="00286A88" w14:paraId="718D8EF1" w14:textId="77777777" w:rsidTr="00286A88">
        <w:tc>
          <w:tcPr>
            <w:tcW w:w="0" w:type="auto"/>
            <w:vAlign w:val="center"/>
          </w:tcPr>
          <w:p w14:paraId="4A03DC6F" w14:textId="77777777" w:rsidR="00286A88" w:rsidRPr="00286A88" w:rsidRDefault="00286A88" w:rsidP="007D5D6B">
            <w:pPr>
              <w:spacing w:before="120"/>
              <w:rPr>
                <w:lang w:val="en-AU" w:eastAsia="en-AU"/>
              </w:rPr>
            </w:pPr>
            <w:r w:rsidRPr="00286A88">
              <w:rPr>
                <w:lang w:val="en-AU" w:eastAsia="en-AU"/>
              </w:rPr>
              <w:t>prospective studies</w:t>
            </w:r>
          </w:p>
        </w:tc>
        <w:tc>
          <w:tcPr>
            <w:tcW w:w="0" w:type="auto"/>
            <w:vAlign w:val="center"/>
          </w:tcPr>
          <w:p w14:paraId="112C74E7" w14:textId="77777777" w:rsidR="00286A88" w:rsidRPr="00286A88" w:rsidRDefault="00286A88" w:rsidP="007D5D6B">
            <w:pPr>
              <w:spacing w:before="120"/>
              <w:rPr>
                <w:lang w:val="en-AU" w:eastAsia="en-AU"/>
              </w:rPr>
            </w:pPr>
            <w:r w:rsidRPr="00286A88">
              <w:rPr>
                <w:lang w:val="en-AU" w:eastAsia="en-AU"/>
              </w:rPr>
              <w:t>A prospective study watches for outcomes, such as the development of a disease, during the study period and relates this to other factors such as suspected risk or protection factor(s).</w:t>
            </w:r>
          </w:p>
        </w:tc>
      </w:tr>
      <w:tr w:rsidR="00286A88" w:rsidRPr="00286A88" w14:paraId="74902395" w14:textId="77777777" w:rsidTr="00286A88">
        <w:tc>
          <w:tcPr>
            <w:tcW w:w="0" w:type="auto"/>
            <w:vAlign w:val="center"/>
          </w:tcPr>
          <w:p w14:paraId="5EB1A943" w14:textId="77777777" w:rsidR="00286A88" w:rsidRPr="00286A88" w:rsidRDefault="00286A88" w:rsidP="007D5D6B">
            <w:pPr>
              <w:spacing w:before="120"/>
              <w:rPr>
                <w:lang w:val="en-AU" w:eastAsia="en-AU"/>
              </w:rPr>
            </w:pPr>
            <w:r w:rsidRPr="00286A88">
              <w:rPr>
                <w:lang w:val="en-AU" w:eastAsia="en-AU"/>
              </w:rPr>
              <w:t>pullet</w:t>
            </w:r>
          </w:p>
        </w:tc>
        <w:tc>
          <w:tcPr>
            <w:tcW w:w="0" w:type="auto"/>
            <w:vAlign w:val="center"/>
          </w:tcPr>
          <w:p w14:paraId="60B756F7" w14:textId="77777777" w:rsidR="00286A88" w:rsidRPr="00286A88" w:rsidRDefault="00286A88" w:rsidP="007D5D6B">
            <w:pPr>
              <w:spacing w:before="120"/>
              <w:rPr>
                <w:lang w:val="en-AU" w:eastAsia="en-AU"/>
              </w:rPr>
            </w:pPr>
            <w:r w:rsidRPr="00286A88">
              <w:rPr>
                <w:lang w:val="en-AU" w:eastAsia="en-AU"/>
              </w:rPr>
              <w:t>A young female bird that has not reached sexual maturity (i.e. pre-egg laying).</w:t>
            </w:r>
          </w:p>
        </w:tc>
      </w:tr>
      <w:tr w:rsidR="00286A88" w:rsidRPr="00286A88" w14:paraId="24C63B05" w14:textId="77777777" w:rsidTr="00286A88">
        <w:tc>
          <w:tcPr>
            <w:tcW w:w="0" w:type="auto"/>
            <w:vAlign w:val="center"/>
          </w:tcPr>
          <w:p w14:paraId="58B213DF" w14:textId="77777777" w:rsidR="00286A88" w:rsidRPr="00286A88" w:rsidRDefault="00286A88" w:rsidP="007D5D6B">
            <w:pPr>
              <w:spacing w:before="120"/>
              <w:rPr>
                <w:lang w:val="en-AU" w:eastAsia="en-AU"/>
              </w:rPr>
            </w:pPr>
            <w:r w:rsidRPr="00286A88">
              <w:rPr>
                <w:lang w:val="en-AU" w:eastAsia="en-AU"/>
              </w:rPr>
              <w:t>radiography</w:t>
            </w:r>
          </w:p>
        </w:tc>
        <w:tc>
          <w:tcPr>
            <w:tcW w:w="0" w:type="auto"/>
            <w:vAlign w:val="center"/>
          </w:tcPr>
          <w:p w14:paraId="42B13EE2" w14:textId="77777777" w:rsidR="00286A88" w:rsidRPr="00286A88" w:rsidRDefault="00286A88" w:rsidP="007D5D6B">
            <w:pPr>
              <w:spacing w:before="120"/>
              <w:rPr>
                <w:lang w:val="en-AU" w:eastAsia="en-AU"/>
              </w:rPr>
            </w:pPr>
            <w:r w:rsidRPr="00286A88">
              <w:rPr>
                <w:lang w:val="en-AU" w:eastAsia="en-AU"/>
              </w:rPr>
              <w:t>Examination of bones using x-rays or similar technology.</w:t>
            </w:r>
          </w:p>
        </w:tc>
      </w:tr>
      <w:tr w:rsidR="00286A88" w:rsidRPr="00286A88" w14:paraId="47738166" w14:textId="77777777" w:rsidTr="00286A88">
        <w:tc>
          <w:tcPr>
            <w:tcW w:w="0" w:type="auto"/>
            <w:vAlign w:val="center"/>
          </w:tcPr>
          <w:p w14:paraId="63D2FD44" w14:textId="77777777" w:rsidR="00286A88" w:rsidRPr="00286A88" w:rsidRDefault="00286A88" w:rsidP="007D5D6B">
            <w:pPr>
              <w:spacing w:before="120"/>
              <w:rPr>
                <w:lang w:val="en-AU" w:eastAsia="en-AU"/>
              </w:rPr>
            </w:pPr>
            <w:r w:rsidRPr="00286A88">
              <w:rPr>
                <w:lang w:val="en-AU" w:eastAsia="en-AU"/>
              </w:rPr>
              <w:t>retrospective studies</w:t>
            </w:r>
          </w:p>
        </w:tc>
        <w:tc>
          <w:tcPr>
            <w:tcW w:w="0" w:type="auto"/>
            <w:vAlign w:val="center"/>
          </w:tcPr>
          <w:p w14:paraId="304AFA5D" w14:textId="77777777" w:rsidR="00286A88" w:rsidRPr="00286A88" w:rsidRDefault="00286A88" w:rsidP="007D5D6B">
            <w:pPr>
              <w:spacing w:before="120"/>
              <w:rPr>
                <w:lang w:val="en-AU" w:eastAsia="en-AU"/>
              </w:rPr>
            </w:pPr>
            <w:r w:rsidRPr="00286A88">
              <w:rPr>
                <w:lang w:val="en-AU" w:eastAsia="en-AU"/>
              </w:rPr>
              <w:t>A retrospective study looks backwards and examines exposures to suspected risk or protection factors in relation to an outcome that is established at the start of the study.</w:t>
            </w:r>
          </w:p>
        </w:tc>
      </w:tr>
      <w:tr w:rsidR="00286A88" w:rsidRPr="00286A88" w14:paraId="4F8E9EC2" w14:textId="77777777" w:rsidTr="00286A88">
        <w:tc>
          <w:tcPr>
            <w:tcW w:w="0" w:type="auto"/>
            <w:vAlign w:val="center"/>
          </w:tcPr>
          <w:p w14:paraId="35380810" w14:textId="77777777" w:rsidR="00286A88" w:rsidRPr="00286A88" w:rsidRDefault="00286A88" w:rsidP="007D5D6B">
            <w:pPr>
              <w:spacing w:before="120"/>
              <w:rPr>
                <w:lang w:val="en-AU" w:eastAsia="en-AU"/>
              </w:rPr>
            </w:pPr>
            <w:r w:rsidRPr="00286A88">
              <w:rPr>
                <w:lang w:val="en-AU" w:eastAsia="en-AU"/>
              </w:rPr>
              <w:t>RH</w:t>
            </w:r>
          </w:p>
        </w:tc>
        <w:tc>
          <w:tcPr>
            <w:tcW w:w="0" w:type="auto"/>
            <w:vAlign w:val="center"/>
          </w:tcPr>
          <w:p w14:paraId="419A17C4" w14:textId="77777777" w:rsidR="00286A88" w:rsidRPr="00286A88" w:rsidRDefault="00286A88" w:rsidP="007D5D6B">
            <w:pPr>
              <w:spacing w:before="120"/>
              <w:rPr>
                <w:lang w:val="en-AU" w:eastAsia="en-AU"/>
              </w:rPr>
            </w:pPr>
            <w:r w:rsidRPr="00286A88">
              <w:rPr>
                <w:lang w:val="en-AU" w:eastAsia="en-AU"/>
              </w:rPr>
              <w:t>Relative humidity.</w:t>
            </w:r>
          </w:p>
        </w:tc>
      </w:tr>
      <w:tr w:rsidR="00286A88" w:rsidRPr="00286A88" w14:paraId="285084D0" w14:textId="77777777" w:rsidTr="00286A88">
        <w:tc>
          <w:tcPr>
            <w:tcW w:w="0" w:type="auto"/>
            <w:vAlign w:val="center"/>
          </w:tcPr>
          <w:p w14:paraId="2D6D492D" w14:textId="77777777" w:rsidR="00286A88" w:rsidRPr="00286A88" w:rsidRDefault="00286A88" w:rsidP="007D5D6B">
            <w:pPr>
              <w:spacing w:before="120"/>
              <w:rPr>
                <w:lang w:val="en-AU" w:eastAsia="en-AU"/>
              </w:rPr>
            </w:pPr>
            <w:r w:rsidRPr="00286A88">
              <w:rPr>
                <w:lang w:val="en-AU" w:eastAsia="en-AU"/>
              </w:rPr>
              <w:t>scotophase</w:t>
            </w:r>
          </w:p>
        </w:tc>
        <w:tc>
          <w:tcPr>
            <w:tcW w:w="0" w:type="auto"/>
            <w:vAlign w:val="center"/>
          </w:tcPr>
          <w:p w14:paraId="549D0EE0" w14:textId="77777777" w:rsidR="00286A88" w:rsidRPr="00286A88" w:rsidRDefault="00286A88" w:rsidP="007D5D6B">
            <w:pPr>
              <w:spacing w:before="120"/>
              <w:rPr>
                <w:lang w:val="en-AU" w:eastAsia="en-AU"/>
              </w:rPr>
            </w:pPr>
            <w:r w:rsidRPr="00286A88">
              <w:rPr>
                <w:lang w:val="en-AU" w:eastAsia="en-AU"/>
              </w:rPr>
              <w:t>The dark phase in a cycle of light and darkness</w:t>
            </w:r>
            <w:r w:rsidR="00637F50">
              <w:rPr>
                <w:lang w:val="en-AU" w:eastAsia="en-AU"/>
              </w:rPr>
              <w:t>.</w:t>
            </w:r>
          </w:p>
        </w:tc>
      </w:tr>
      <w:tr w:rsidR="00286A88" w:rsidRPr="00286A88" w14:paraId="3756C368" w14:textId="77777777" w:rsidTr="00286A88">
        <w:tc>
          <w:tcPr>
            <w:tcW w:w="0" w:type="auto"/>
            <w:vAlign w:val="center"/>
          </w:tcPr>
          <w:p w14:paraId="3403E672" w14:textId="77777777" w:rsidR="00286A88" w:rsidRPr="00286A88" w:rsidRDefault="00286A88" w:rsidP="007D5D6B">
            <w:pPr>
              <w:spacing w:before="120"/>
              <w:rPr>
                <w:lang w:val="en-AU" w:eastAsia="en-AU"/>
              </w:rPr>
            </w:pPr>
            <w:r w:rsidRPr="00286A88">
              <w:rPr>
                <w:lang w:val="en-AU" w:eastAsia="en-AU"/>
              </w:rPr>
              <w:t>SDS</w:t>
            </w:r>
          </w:p>
        </w:tc>
        <w:tc>
          <w:tcPr>
            <w:tcW w:w="0" w:type="auto"/>
            <w:vAlign w:val="center"/>
          </w:tcPr>
          <w:p w14:paraId="14AC76D0" w14:textId="77777777" w:rsidR="00286A88" w:rsidRPr="00286A88" w:rsidRDefault="00286A88" w:rsidP="003C2DE8">
            <w:pPr>
              <w:spacing w:before="120"/>
              <w:rPr>
                <w:lang w:val="en-AU" w:eastAsia="en-AU"/>
              </w:rPr>
            </w:pPr>
            <w:r w:rsidRPr="00286A88">
              <w:rPr>
                <w:lang w:val="en-AU" w:eastAsia="en-AU"/>
              </w:rPr>
              <w:t xml:space="preserve">Sudden </w:t>
            </w:r>
            <w:r w:rsidR="003C2DE8">
              <w:rPr>
                <w:lang w:val="en-AU" w:eastAsia="en-AU"/>
              </w:rPr>
              <w:t>death s</w:t>
            </w:r>
            <w:r w:rsidRPr="00286A88">
              <w:rPr>
                <w:lang w:val="en-AU" w:eastAsia="en-AU"/>
              </w:rPr>
              <w:t>yndrome.</w:t>
            </w:r>
          </w:p>
        </w:tc>
      </w:tr>
      <w:tr w:rsidR="00286A88" w:rsidRPr="00286A88" w14:paraId="0E235E09" w14:textId="77777777" w:rsidTr="00286A88">
        <w:tc>
          <w:tcPr>
            <w:tcW w:w="0" w:type="auto"/>
            <w:vAlign w:val="center"/>
          </w:tcPr>
          <w:p w14:paraId="16934F51" w14:textId="77777777" w:rsidR="00286A88" w:rsidRPr="00286A88" w:rsidRDefault="00286A88" w:rsidP="007D5D6B">
            <w:pPr>
              <w:spacing w:before="120"/>
              <w:rPr>
                <w:lang w:val="en-AU" w:eastAsia="en-AU"/>
              </w:rPr>
            </w:pPr>
            <w:r w:rsidRPr="00286A88">
              <w:rPr>
                <w:lang w:val="en-AU" w:eastAsia="en-AU"/>
              </w:rPr>
              <w:t>SE (se)</w:t>
            </w:r>
          </w:p>
        </w:tc>
        <w:tc>
          <w:tcPr>
            <w:tcW w:w="0" w:type="auto"/>
            <w:vAlign w:val="center"/>
          </w:tcPr>
          <w:p w14:paraId="2C56846F" w14:textId="77777777" w:rsidR="00286A88" w:rsidRPr="00286A88" w:rsidRDefault="00286A88" w:rsidP="007D5D6B">
            <w:pPr>
              <w:spacing w:before="120"/>
              <w:rPr>
                <w:lang w:val="en-AU" w:eastAsia="en-AU"/>
              </w:rPr>
            </w:pPr>
            <w:r w:rsidRPr="00286A88">
              <w:rPr>
                <w:lang w:val="en-AU" w:eastAsia="en-AU"/>
              </w:rPr>
              <w:t>Standard error (of the mean) - a measure of variability of the data from which the mean is derived.</w:t>
            </w:r>
          </w:p>
        </w:tc>
      </w:tr>
      <w:tr w:rsidR="00286A88" w:rsidRPr="00286A88" w14:paraId="18F96B6E" w14:textId="77777777" w:rsidTr="00286A88">
        <w:tc>
          <w:tcPr>
            <w:tcW w:w="0" w:type="auto"/>
            <w:vAlign w:val="center"/>
          </w:tcPr>
          <w:p w14:paraId="7DDB2C39" w14:textId="77777777" w:rsidR="00286A88" w:rsidRPr="00286A88" w:rsidRDefault="00286A88" w:rsidP="007D5D6B">
            <w:pPr>
              <w:spacing w:before="120"/>
              <w:rPr>
                <w:lang w:val="en-AU" w:eastAsia="en-AU"/>
              </w:rPr>
            </w:pPr>
            <w:r w:rsidRPr="00286A88">
              <w:rPr>
                <w:lang w:val="en-AU" w:eastAsia="en-AU"/>
              </w:rPr>
              <w:t>SEP</w:t>
            </w:r>
          </w:p>
        </w:tc>
        <w:tc>
          <w:tcPr>
            <w:tcW w:w="0" w:type="auto"/>
            <w:vAlign w:val="center"/>
          </w:tcPr>
          <w:p w14:paraId="5C3C864F" w14:textId="77777777" w:rsidR="00286A88" w:rsidRPr="00286A88" w:rsidRDefault="00286A88" w:rsidP="007D5D6B">
            <w:pPr>
              <w:spacing w:before="120"/>
              <w:rPr>
                <w:lang w:val="en-AU" w:eastAsia="en-AU"/>
              </w:rPr>
            </w:pPr>
            <w:r w:rsidRPr="00286A88">
              <w:rPr>
                <w:color w:val="auto"/>
                <w:lang w:val="en-AU" w:eastAsia="en-AU"/>
              </w:rPr>
              <w:t>Somatosensory Evoked Potential, is the electrical response of the brain to stimulation from touch.</w:t>
            </w:r>
          </w:p>
        </w:tc>
      </w:tr>
      <w:tr w:rsidR="00286A88" w:rsidRPr="00286A88" w14:paraId="3FEBC72C" w14:textId="77777777" w:rsidTr="00286A88">
        <w:tc>
          <w:tcPr>
            <w:tcW w:w="0" w:type="auto"/>
            <w:vAlign w:val="center"/>
          </w:tcPr>
          <w:p w14:paraId="339B0F90" w14:textId="77777777" w:rsidR="00286A88" w:rsidRPr="00286A88" w:rsidRDefault="00286A88" w:rsidP="007D5D6B">
            <w:pPr>
              <w:spacing w:before="120"/>
              <w:rPr>
                <w:lang w:val="en-AU" w:eastAsia="en-AU"/>
              </w:rPr>
            </w:pPr>
            <w:r w:rsidRPr="00286A88">
              <w:rPr>
                <w:lang w:val="en-AU" w:eastAsia="en-AU"/>
              </w:rPr>
              <w:t>serotonin</w:t>
            </w:r>
          </w:p>
        </w:tc>
        <w:tc>
          <w:tcPr>
            <w:tcW w:w="0" w:type="auto"/>
            <w:vAlign w:val="center"/>
          </w:tcPr>
          <w:p w14:paraId="5EB0CE6B" w14:textId="77777777" w:rsidR="00286A88" w:rsidRPr="00286A88" w:rsidRDefault="00286A88" w:rsidP="007D5D6B">
            <w:pPr>
              <w:spacing w:before="120"/>
              <w:rPr>
                <w:lang w:val="en-AU" w:eastAsia="en-AU"/>
              </w:rPr>
            </w:pPr>
            <w:r w:rsidRPr="00286A88">
              <w:rPr>
                <w:lang w:val="en-AU" w:eastAsia="en-AU"/>
              </w:rPr>
              <w:t>Serotonin is a neurotransmitter (i.e. a chemical made in the body that affects how nerves in the brain function), which is believed to affect mood. In humans low levels of the chemical have been associated with depression.</w:t>
            </w:r>
          </w:p>
        </w:tc>
      </w:tr>
      <w:tr w:rsidR="00286A88" w:rsidRPr="00286A88" w14:paraId="00A07E4B" w14:textId="77777777" w:rsidTr="00286A88">
        <w:tc>
          <w:tcPr>
            <w:tcW w:w="0" w:type="auto"/>
            <w:vAlign w:val="center"/>
          </w:tcPr>
          <w:p w14:paraId="5344B6D4" w14:textId="77777777" w:rsidR="00286A88" w:rsidRPr="00286A88" w:rsidRDefault="00286A88" w:rsidP="007D5D6B">
            <w:pPr>
              <w:spacing w:before="120"/>
              <w:rPr>
                <w:lang w:val="en-AU" w:eastAsia="en-AU"/>
              </w:rPr>
            </w:pPr>
            <w:r w:rsidRPr="00286A88">
              <w:rPr>
                <w:lang w:val="en-AU" w:eastAsia="en-AU"/>
              </w:rPr>
              <w:t>SFP</w:t>
            </w:r>
          </w:p>
        </w:tc>
        <w:tc>
          <w:tcPr>
            <w:tcW w:w="0" w:type="auto"/>
            <w:vAlign w:val="center"/>
          </w:tcPr>
          <w:p w14:paraId="0E26C6AC" w14:textId="77777777" w:rsidR="00286A88" w:rsidRPr="00286A88" w:rsidRDefault="00286A88" w:rsidP="007D5D6B">
            <w:pPr>
              <w:spacing w:before="120"/>
              <w:rPr>
                <w:lang w:val="en-AU" w:eastAsia="en-AU"/>
              </w:rPr>
            </w:pPr>
            <w:r w:rsidRPr="00286A88">
              <w:rPr>
                <w:lang w:val="en-AU" w:eastAsia="en-AU"/>
              </w:rPr>
              <w:t>Severe feather pecking.</w:t>
            </w:r>
          </w:p>
        </w:tc>
      </w:tr>
      <w:tr w:rsidR="00286A88" w:rsidRPr="00286A88" w14:paraId="391EDB55" w14:textId="77777777" w:rsidTr="00286A88">
        <w:tc>
          <w:tcPr>
            <w:tcW w:w="0" w:type="auto"/>
            <w:vAlign w:val="center"/>
          </w:tcPr>
          <w:p w14:paraId="2819B380" w14:textId="77777777" w:rsidR="00286A88" w:rsidRPr="00286A88" w:rsidRDefault="00286A88" w:rsidP="007D5D6B">
            <w:pPr>
              <w:spacing w:before="120"/>
              <w:rPr>
                <w:lang w:val="en-AU" w:eastAsia="en-AU"/>
              </w:rPr>
            </w:pPr>
            <w:r w:rsidRPr="00286A88">
              <w:rPr>
                <w:lang w:val="en-AU" w:eastAsia="en-AU"/>
              </w:rPr>
              <w:t>shear strength</w:t>
            </w:r>
          </w:p>
        </w:tc>
        <w:tc>
          <w:tcPr>
            <w:tcW w:w="0" w:type="auto"/>
            <w:vAlign w:val="center"/>
          </w:tcPr>
          <w:p w14:paraId="7D080E70" w14:textId="77777777" w:rsidR="00286A88" w:rsidRPr="00286A88" w:rsidRDefault="00286A88" w:rsidP="007D5D6B">
            <w:pPr>
              <w:spacing w:before="120"/>
              <w:rPr>
                <w:lang w:val="en-AU" w:eastAsia="en-AU"/>
              </w:rPr>
            </w:pPr>
            <w:r w:rsidRPr="00286A88">
              <w:rPr>
                <w:lang w:val="en-AU" w:eastAsia="en-AU"/>
              </w:rPr>
              <w:t>A measure of bone or eggshell strength, determining how well they can resist parallel forces.</w:t>
            </w:r>
          </w:p>
        </w:tc>
      </w:tr>
      <w:tr w:rsidR="00286A88" w:rsidRPr="00286A88" w14:paraId="5250095E" w14:textId="77777777" w:rsidTr="00286A88">
        <w:tc>
          <w:tcPr>
            <w:tcW w:w="0" w:type="auto"/>
            <w:vAlign w:val="center"/>
          </w:tcPr>
          <w:p w14:paraId="6FD118AE" w14:textId="77777777" w:rsidR="00286A88" w:rsidRPr="00286A88" w:rsidRDefault="00286A88" w:rsidP="007D5D6B">
            <w:pPr>
              <w:spacing w:before="120"/>
              <w:rPr>
                <w:lang w:val="en-AU" w:eastAsia="en-AU"/>
              </w:rPr>
            </w:pPr>
            <w:r w:rsidRPr="00286A88">
              <w:rPr>
                <w:lang w:val="en-AU" w:eastAsia="en-AU"/>
              </w:rPr>
              <w:t>skew</w:t>
            </w:r>
          </w:p>
        </w:tc>
        <w:tc>
          <w:tcPr>
            <w:tcW w:w="0" w:type="auto"/>
            <w:vAlign w:val="center"/>
          </w:tcPr>
          <w:p w14:paraId="43ACAC05" w14:textId="77777777" w:rsidR="00286A88" w:rsidRPr="00286A88" w:rsidRDefault="00286A88" w:rsidP="007D5D6B">
            <w:pPr>
              <w:spacing w:before="120"/>
              <w:rPr>
                <w:lang w:val="en-AU" w:eastAsia="en-AU"/>
              </w:rPr>
            </w:pPr>
            <w:r w:rsidRPr="00286A88">
              <w:rPr>
                <w:lang w:val="en-AU" w:eastAsia="en-AU"/>
              </w:rPr>
              <w:t>Skewness is a measure of symmetry, or more precisely, the lack of symmetry. A distribution, or data set, is symmetric if it looks the same to the left and right of the centre point. (see also kurtosis)</w:t>
            </w:r>
          </w:p>
        </w:tc>
      </w:tr>
      <w:tr w:rsidR="00286A88" w:rsidRPr="00286A88" w14:paraId="1F3D86A1" w14:textId="77777777" w:rsidTr="00286A88">
        <w:tc>
          <w:tcPr>
            <w:tcW w:w="0" w:type="auto"/>
            <w:vAlign w:val="center"/>
          </w:tcPr>
          <w:p w14:paraId="638434E9" w14:textId="77777777" w:rsidR="00286A88" w:rsidRPr="00286A88" w:rsidRDefault="00286A88" w:rsidP="007D5D6B">
            <w:pPr>
              <w:spacing w:before="120"/>
              <w:rPr>
                <w:lang w:val="en-AU" w:eastAsia="en-AU"/>
              </w:rPr>
            </w:pPr>
            <w:r w:rsidRPr="00286A88">
              <w:rPr>
                <w:lang w:val="en-AU" w:eastAsia="en-AU"/>
              </w:rPr>
              <w:t>smothering</w:t>
            </w:r>
          </w:p>
        </w:tc>
        <w:tc>
          <w:tcPr>
            <w:tcW w:w="0" w:type="auto"/>
            <w:vAlign w:val="center"/>
          </w:tcPr>
          <w:p w14:paraId="61EEBFB6" w14:textId="77777777" w:rsidR="00286A88" w:rsidRPr="00286A88" w:rsidRDefault="00286A88" w:rsidP="007D5D6B">
            <w:pPr>
              <w:spacing w:before="120"/>
              <w:rPr>
                <w:lang w:val="en-AU" w:eastAsia="en-AU"/>
              </w:rPr>
            </w:pPr>
            <w:r w:rsidRPr="00286A88">
              <w:rPr>
                <w:lang w:val="en-AU" w:eastAsia="en-AU"/>
              </w:rPr>
              <w:t>Death from lack of air when birds aggregate and pile on top of each other.</w:t>
            </w:r>
          </w:p>
        </w:tc>
      </w:tr>
      <w:tr w:rsidR="00286A88" w:rsidRPr="00286A88" w14:paraId="0E3A8C53" w14:textId="77777777" w:rsidTr="00286A88">
        <w:tc>
          <w:tcPr>
            <w:tcW w:w="0" w:type="auto"/>
            <w:vAlign w:val="center"/>
          </w:tcPr>
          <w:p w14:paraId="16629C57" w14:textId="77777777" w:rsidR="00286A88" w:rsidRPr="00286A88" w:rsidRDefault="00286A88" w:rsidP="007D5D6B">
            <w:pPr>
              <w:spacing w:before="120"/>
              <w:rPr>
                <w:lang w:val="en-AU" w:eastAsia="en-AU"/>
              </w:rPr>
            </w:pPr>
            <w:r w:rsidRPr="00286A88">
              <w:rPr>
                <w:lang w:val="en-AU" w:eastAsia="en-AU"/>
              </w:rPr>
              <w:t>social reinstatement</w:t>
            </w:r>
          </w:p>
        </w:tc>
        <w:tc>
          <w:tcPr>
            <w:tcW w:w="0" w:type="auto"/>
            <w:vAlign w:val="center"/>
          </w:tcPr>
          <w:p w14:paraId="601484E1" w14:textId="77777777" w:rsidR="00286A88" w:rsidRPr="00286A88" w:rsidRDefault="00286A88" w:rsidP="007D5D6B">
            <w:pPr>
              <w:spacing w:before="120"/>
              <w:rPr>
                <w:lang w:val="en-AU" w:eastAsia="en-AU"/>
              </w:rPr>
            </w:pPr>
            <w:r w:rsidRPr="00286A88">
              <w:rPr>
                <w:lang w:val="en-AU" w:eastAsia="en-AU"/>
              </w:rPr>
              <w:t>The tendency of a bird to seek company of its companions.</w:t>
            </w:r>
          </w:p>
        </w:tc>
      </w:tr>
      <w:tr w:rsidR="00286A88" w:rsidRPr="00286A88" w14:paraId="077DA9D2" w14:textId="77777777" w:rsidTr="00286A88">
        <w:tc>
          <w:tcPr>
            <w:tcW w:w="0" w:type="auto"/>
            <w:vAlign w:val="center"/>
          </w:tcPr>
          <w:p w14:paraId="772604CC" w14:textId="77777777" w:rsidR="00286A88" w:rsidRPr="00286A88" w:rsidRDefault="00286A88" w:rsidP="007D5D6B">
            <w:pPr>
              <w:spacing w:before="120"/>
              <w:rPr>
                <w:lang w:val="en-AU" w:eastAsia="en-AU"/>
              </w:rPr>
            </w:pPr>
            <w:r w:rsidRPr="00286A88">
              <w:rPr>
                <w:lang w:val="en-AU" w:eastAsia="en-AU"/>
              </w:rPr>
              <w:t>spectacles</w:t>
            </w:r>
          </w:p>
        </w:tc>
        <w:tc>
          <w:tcPr>
            <w:tcW w:w="0" w:type="auto"/>
            <w:vAlign w:val="center"/>
          </w:tcPr>
          <w:p w14:paraId="0892EC3E" w14:textId="77777777" w:rsidR="00286A88" w:rsidRPr="00286A88" w:rsidRDefault="00286A88" w:rsidP="007D5D6B">
            <w:pPr>
              <w:spacing w:before="120"/>
              <w:rPr>
                <w:lang w:val="en-AU" w:eastAsia="en-AU"/>
              </w:rPr>
            </w:pPr>
            <w:r w:rsidRPr="00286A88">
              <w:rPr>
                <w:lang w:val="en-AU" w:eastAsia="en-AU"/>
              </w:rPr>
              <w:t xml:space="preserve">Plastic devices fitted to through the nostrils of the beak, which act as forward-facing blinkers preventing the bird from seeing directly forwards. Designed to reduce damage due to feather pecking. </w:t>
            </w:r>
          </w:p>
        </w:tc>
      </w:tr>
      <w:tr w:rsidR="00286A88" w:rsidRPr="00286A88" w14:paraId="3A8E31E1" w14:textId="77777777" w:rsidTr="00286A88">
        <w:tc>
          <w:tcPr>
            <w:tcW w:w="0" w:type="auto"/>
            <w:vAlign w:val="center"/>
          </w:tcPr>
          <w:p w14:paraId="7AE87F9A" w14:textId="77777777" w:rsidR="00286A88" w:rsidRPr="00286A88" w:rsidRDefault="00286A88" w:rsidP="007D5D6B">
            <w:pPr>
              <w:spacing w:before="120"/>
              <w:rPr>
                <w:lang w:val="en-AU" w:eastAsia="en-AU"/>
              </w:rPr>
            </w:pPr>
            <w:r w:rsidRPr="00286A88">
              <w:rPr>
                <w:lang w:val="en-AU" w:eastAsia="en-AU"/>
              </w:rPr>
              <w:t>spiking</w:t>
            </w:r>
          </w:p>
        </w:tc>
        <w:tc>
          <w:tcPr>
            <w:tcW w:w="0" w:type="auto"/>
            <w:vAlign w:val="center"/>
          </w:tcPr>
          <w:p w14:paraId="44743E7E" w14:textId="77777777" w:rsidR="00286A88" w:rsidRPr="00286A88" w:rsidRDefault="00286A88" w:rsidP="007D5D6B">
            <w:pPr>
              <w:spacing w:before="120"/>
              <w:rPr>
                <w:lang w:val="en-AU" w:eastAsia="en-AU"/>
              </w:rPr>
            </w:pPr>
            <w:r w:rsidRPr="00286A88">
              <w:rPr>
                <w:lang w:val="en-AU" w:eastAsia="en-AU"/>
              </w:rPr>
              <w:t>A common management practice in some countries whereby about halfway through the breeding period some of the older males are replaced with younger males, to maintain fertility levels within breeder flocks.</w:t>
            </w:r>
          </w:p>
        </w:tc>
      </w:tr>
      <w:tr w:rsidR="00286A88" w:rsidRPr="00286A88" w14:paraId="5A046129" w14:textId="77777777" w:rsidTr="00286A88">
        <w:tc>
          <w:tcPr>
            <w:tcW w:w="0" w:type="auto"/>
            <w:vAlign w:val="center"/>
          </w:tcPr>
          <w:p w14:paraId="7C1C50DD" w14:textId="77777777" w:rsidR="00286A88" w:rsidRPr="00286A88" w:rsidRDefault="00286A88" w:rsidP="007D5D6B">
            <w:pPr>
              <w:spacing w:before="120"/>
              <w:rPr>
                <w:lang w:val="en-AU" w:eastAsia="en-AU"/>
              </w:rPr>
            </w:pPr>
            <w:r w:rsidRPr="00286A88">
              <w:rPr>
                <w:lang w:val="en-AU" w:eastAsia="en-AU"/>
              </w:rPr>
              <w:t>ST</w:t>
            </w:r>
          </w:p>
        </w:tc>
        <w:tc>
          <w:tcPr>
            <w:tcW w:w="0" w:type="auto"/>
            <w:vAlign w:val="center"/>
          </w:tcPr>
          <w:p w14:paraId="65571D1A" w14:textId="77777777" w:rsidR="00286A88" w:rsidRPr="00286A88" w:rsidRDefault="00286A88" w:rsidP="007D5D6B">
            <w:pPr>
              <w:spacing w:before="120"/>
              <w:rPr>
                <w:lang w:val="en-AU" w:eastAsia="en-AU"/>
              </w:rPr>
            </w:pPr>
            <w:r w:rsidRPr="00286A88">
              <w:rPr>
                <w:lang w:val="en-AU" w:eastAsia="en-AU"/>
              </w:rPr>
              <w:t>Single tier barn</w:t>
            </w:r>
          </w:p>
        </w:tc>
      </w:tr>
      <w:tr w:rsidR="00286A88" w:rsidRPr="00286A88" w14:paraId="37DEB06C" w14:textId="77777777" w:rsidTr="00286A88">
        <w:tc>
          <w:tcPr>
            <w:tcW w:w="0" w:type="auto"/>
            <w:vAlign w:val="center"/>
          </w:tcPr>
          <w:p w14:paraId="75103F41" w14:textId="77777777" w:rsidR="00286A88" w:rsidRPr="00286A88" w:rsidRDefault="00286A88" w:rsidP="007D5D6B">
            <w:pPr>
              <w:spacing w:before="120"/>
              <w:rPr>
                <w:lang w:val="en-AU" w:eastAsia="en-AU"/>
              </w:rPr>
            </w:pPr>
            <w:r w:rsidRPr="00286A88">
              <w:rPr>
                <w:lang w:val="en-AU" w:eastAsia="en-AU"/>
              </w:rPr>
              <w:t>stereotypic behaviour</w:t>
            </w:r>
          </w:p>
        </w:tc>
        <w:tc>
          <w:tcPr>
            <w:tcW w:w="0" w:type="auto"/>
            <w:vAlign w:val="center"/>
          </w:tcPr>
          <w:p w14:paraId="0B5786E5" w14:textId="77777777" w:rsidR="00286A88" w:rsidRPr="00286A88" w:rsidRDefault="00286A88" w:rsidP="007D5D6B">
            <w:pPr>
              <w:spacing w:before="120"/>
              <w:rPr>
                <w:lang w:val="en-AU" w:eastAsia="en-AU"/>
              </w:rPr>
            </w:pPr>
            <w:r w:rsidRPr="00286A88">
              <w:rPr>
                <w:lang w:val="en-AU" w:eastAsia="en-AU"/>
              </w:rPr>
              <w:t>Repetitive actions with no obvious purpose such as big cats in a zoo pacing up and down the sides of their cage. Often seen in barren environments where the animal does not have the materials or facilities to perform the behaviour it wishes to.</w:t>
            </w:r>
          </w:p>
        </w:tc>
      </w:tr>
      <w:tr w:rsidR="00286A88" w:rsidRPr="00286A88" w14:paraId="4D1BEAEE" w14:textId="77777777" w:rsidTr="00286A88">
        <w:tc>
          <w:tcPr>
            <w:tcW w:w="0" w:type="auto"/>
            <w:vAlign w:val="center"/>
          </w:tcPr>
          <w:p w14:paraId="7522DFAB" w14:textId="77777777" w:rsidR="00286A88" w:rsidRPr="00286A88" w:rsidRDefault="00286A88" w:rsidP="007D5D6B">
            <w:pPr>
              <w:spacing w:before="120"/>
              <w:rPr>
                <w:color w:val="auto"/>
                <w:lang w:val="en-AU" w:eastAsia="en-AU"/>
              </w:rPr>
            </w:pPr>
            <w:r w:rsidRPr="00286A88">
              <w:rPr>
                <w:color w:val="auto"/>
                <w:lang w:val="en-AU" w:eastAsia="en-AU"/>
              </w:rPr>
              <w:t xml:space="preserve">stun </w:t>
            </w:r>
          </w:p>
        </w:tc>
        <w:tc>
          <w:tcPr>
            <w:tcW w:w="0" w:type="auto"/>
            <w:vAlign w:val="center"/>
          </w:tcPr>
          <w:p w14:paraId="55EBAB6A" w14:textId="77777777" w:rsidR="00286A88" w:rsidRPr="00286A88" w:rsidRDefault="00286A88" w:rsidP="007D5D6B">
            <w:pPr>
              <w:spacing w:before="120"/>
              <w:rPr>
                <w:color w:val="auto"/>
                <w:lang w:val="en-AU" w:eastAsia="en-AU"/>
              </w:rPr>
            </w:pPr>
            <w:r w:rsidRPr="00286A88">
              <w:rPr>
                <w:color w:val="auto"/>
                <w:lang w:val="en-AU" w:eastAsia="en-AU"/>
              </w:rPr>
              <w:t>Any intentionally induced process which causes loss of consciousness and sensibility without pain.</w:t>
            </w:r>
          </w:p>
        </w:tc>
      </w:tr>
      <w:tr w:rsidR="00286A88" w:rsidRPr="00286A88" w14:paraId="3F723684" w14:textId="77777777" w:rsidTr="00286A88">
        <w:tc>
          <w:tcPr>
            <w:tcW w:w="0" w:type="auto"/>
            <w:vAlign w:val="center"/>
          </w:tcPr>
          <w:p w14:paraId="43109C1B" w14:textId="77777777" w:rsidR="00286A88" w:rsidRPr="00286A88" w:rsidRDefault="00286A88" w:rsidP="007D5D6B">
            <w:pPr>
              <w:spacing w:before="120"/>
              <w:rPr>
                <w:lang w:val="en-AU" w:eastAsia="en-AU"/>
              </w:rPr>
            </w:pPr>
            <w:r w:rsidRPr="00286A88">
              <w:rPr>
                <w:lang w:val="en-AU" w:eastAsia="en-AU"/>
              </w:rPr>
              <w:t>substrate</w:t>
            </w:r>
          </w:p>
        </w:tc>
        <w:tc>
          <w:tcPr>
            <w:tcW w:w="0" w:type="auto"/>
            <w:vAlign w:val="center"/>
          </w:tcPr>
          <w:p w14:paraId="6F418402" w14:textId="77777777" w:rsidR="00286A88" w:rsidRPr="00286A88" w:rsidRDefault="00286A88" w:rsidP="007D5D6B">
            <w:pPr>
              <w:spacing w:before="120"/>
              <w:rPr>
                <w:lang w:val="en-AU" w:eastAsia="en-AU"/>
              </w:rPr>
            </w:pPr>
            <w:r w:rsidRPr="00286A88">
              <w:rPr>
                <w:lang w:val="en-AU" w:eastAsia="en-AU"/>
              </w:rPr>
              <w:t>Material found on the floor e.g. various types of litter.</w:t>
            </w:r>
          </w:p>
        </w:tc>
      </w:tr>
      <w:tr w:rsidR="00286A88" w:rsidRPr="00286A88" w14:paraId="37DCE411" w14:textId="77777777" w:rsidTr="00286A88">
        <w:tc>
          <w:tcPr>
            <w:tcW w:w="0" w:type="auto"/>
            <w:vAlign w:val="center"/>
          </w:tcPr>
          <w:p w14:paraId="1BA22E1D" w14:textId="77777777" w:rsidR="00286A88" w:rsidRPr="00286A88" w:rsidRDefault="00286A88" w:rsidP="007D5D6B">
            <w:pPr>
              <w:spacing w:before="120"/>
              <w:rPr>
                <w:lang w:val="en-AU" w:eastAsia="en-AU"/>
              </w:rPr>
            </w:pPr>
            <w:r w:rsidRPr="00286A88">
              <w:rPr>
                <w:rFonts w:cs="Segoe UI"/>
                <w:iCs/>
                <w:color w:val="212121"/>
                <w:lang w:eastAsia="en-GB"/>
              </w:rPr>
              <w:t>Suppressed Electroencephalogram (EEG)</w:t>
            </w:r>
          </w:p>
        </w:tc>
        <w:tc>
          <w:tcPr>
            <w:tcW w:w="0" w:type="auto"/>
            <w:vAlign w:val="center"/>
          </w:tcPr>
          <w:p w14:paraId="37CFBEF1" w14:textId="77777777" w:rsidR="00286A88" w:rsidRPr="00286A88" w:rsidRDefault="00286A88" w:rsidP="007D5D6B">
            <w:pPr>
              <w:spacing w:before="120"/>
              <w:rPr>
                <w:lang w:val="en-AU" w:eastAsia="en-AU"/>
              </w:rPr>
            </w:pPr>
            <w:r w:rsidRPr="00286A88">
              <w:rPr>
                <w:rFonts w:cs="Segoe UI"/>
                <w:iCs/>
                <w:color w:val="212121"/>
                <w:lang w:eastAsia="en-GB"/>
              </w:rPr>
              <w:t>EEG with strongly reduced frequency compared to normal EEG, generally accepted as an indicator of unconsciousness.</w:t>
            </w:r>
          </w:p>
        </w:tc>
      </w:tr>
      <w:tr w:rsidR="00286A88" w:rsidRPr="00286A88" w14:paraId="421E6A05" w14:textId="77777777" w:rsidTr="00286A88">
        <w:tc>
          <w:tcPr>
            <w:tcW w:w="0" w:type="auto"/>
            <w:vAlign w:val="center"/>
          </w:tcPr>
          <w:p w14:paraId="302622B7" w14:textId="77777777" w:rsidR="00286A88" w:rsidRPr="00286A88" w:rsidRDefault="00286A88" w:rsidP="007D5D6B">
            <w:pPr>
              <w:spacing w:before="120"/>
              <w:rPr>
                <w:lang w:val="en-AU" w:eastAsia="en-AU"/>
              </w:rPr>
            </w:pPr>
            <w:r w:rsidRPr="00286A88">
              <w:rPr>
                <w:lang w:val="en-AU" w:eastAsia="en-AU"/>
              </w:rPr>
              <w:t>T maze</w:t>
            </w:r>
          </w:p>
        </w:tc>
        <w:tc>
          <w:tcPr>
            <w:tcW w:w="0" w:type="auto"/>
            <w:vAlign w:val="center"/>
          </w:tcPr>
          <w:p w14:paraId="420E8558" w14:textId="77777777" w:rsidR="00286A88" w:rsidRPr="00286A88" w:rsidRDefault="00286A88" w:rsidP="007D5D6B">
            <w:pPr>
              <w:spacing w:before="120"/>
              <w:rPr>
                <w:lang w:val="en-AU" w:eastAsia="en-AU"/>
              </w:rPr>
            </w:pPr>
            <w:r w:rsidRPr="00286A88">
              <w:rPr>
                <w:lang w:val="en-AU" w:eastAsia="en-AU"/>
              </w:rPr>
              <w:t>An experimental test where the bird is placed one end of a passageway and when it reaches the junction can chose to move to one two options. Viewed from above, the setup is in the shape of a T. The options are altered to control for left/right bias.</w:t>
            </w:r>
          </w:p>
        </w:tc>
      </w:tr>
      <w:tr w:rsidR="00286A88" w:rsidRPr="00286A88" w14:paraId="01D752CF" w14:textId="77777777" w:rsidTr="00286A88">
        <w:tc>
          <w:tcPr>
            <w:tcW w:w="0" w:type="auto"/>
            <w:vAlign w:val="center"/>
          </w:tcPr>
          <w:p w14:paraId="23D60E9F" w14:textId="77777777" w:rsidR="00286A88" w:rsidRPr="00286A88" w:rsidRDefault="00286A88" w:rsidP="007D5D6B">
            <w:pPr>
              <w:spacing w:before="120"/>
              <w:rPr>
                <w:lang w:val="en-AU" w:eastAsia="en-AU"/>
              </w:rPr>
            </w:pPr>
            <w:r w:rsidRPr="00286A88">
              <w:rPr>
                <w:lang w:val="en-AU" w:eastAsia="en-AU"/>
              </w:rPr>
              <w:t>thermoneutral zone</w:t>
            </w:r>
          </w:p>
        </w:tc>
        <w:tc>
          <w:tcPr>
            <w:tcW w:w="0" w:type="auto"/>
            <w:vAlign w:val="center"/>
          </w:tcPr>
          <w:p w14:paraId="65FBA434" w14:textId="77777777" w:rsidR="00286A88" w:rsidRPr="00286A88" w:rsidRDefault="00286A88" w:rsidP="007D5D6B">
            <w:pPr>
              <w:spacing w:before="120"/>
              <w:rPr>
                <w:lang w:val="en-AU" w:eastAsia="en-AU"/>
              </w:rPr>
            </w:pPr>
            <w:r w:rsidRPr="00286A88">
              <w:rPr>
                <w:lang w:val="en-AU" w:eastAsia="en-AU"/>
              </w:rPr>
              <w:t>A range of air temperatures where the birds are thermally most comfortable</w:t>
            </w:r>
          </w:p>
        </w:tc>
      </w:tr>
      <w:tr w:rsidR="00286A88" w:rsidRPr="00286A88" w14:paraId="05918CD2" w14:textId="77777777" w:rsidTr="00286A88">
        <w:tc>
          <w:tcPr>
            <w:tcW w:w="0" w:type="auto"/>
            <w:vAlign w:val="center"/>
          </w:tcPr>
          <w:p w14:paraId="3C90829A" w14:textId="77777777" w:rsidR="00286A88" w:rsidRPr="00286A88" w:rsidRDefault="00286A88" w:rsidP="007D5D6B">
            <w:pPr>
              <w:spacing w:before="120"/>
              <w:rPr>
                <w:lang w:val="en-AU" w:eastAsia="en-AU"/>
              </w:rPr>
            </w:pPr>
            <w:r w:rsidRPr="00286A88">
              <w:rPr>
                <w:lang w:val="en-AU" w:eastAsia="en-AU"/>
              </w:rPr>
              <w:t>thinning</w:t>
            </w:r>
          </w:p>
        </w:tc>
        <w:tc>
          <w:tcPr>
            <w:tcW w:w="0" w:type="auto"/>
            <w:vAlign w:val="center"/>
          </w:tcPr>
          <w:p w14:paraId="0EEF18A8" w14:textId="77777777" w:rsidR="00286A88" w:rsidRPr="00286A88" w:rsidRDefault="00286A88" w:rsidP="007D5D6B">
            <w:pPr>
              <w:spacing w:before="120"/>
              <w:rPr>
                <w:lang w:val="en-AU" w:eastAsia="en-AU"/>
              </w:rPr>
            </w:pPr>
            <w:r w:rsidRPr="00286A88">
              <w:rPr>
                <w:lang w:val="en-AU" w:eastAsia="en-AU"/>
              </w:rPr>
              <w:t>(Broilers) A practice where the heavier birds are removed for transport to slaughter leaving the lighter birds to continue to grow for about 10 days longer. This enables more birds to be stocked per house within any regulatory maximum stocking density.</w:t>
            </w:r>
          </w:p>
        </w:tc>
      </w:tr>
      <w:tr w:rsidR="00286A88" w:rsidRPr="00286A88" w14:paraId="79CFE681" w14:textId="77777777" w:rsidTr="00286A88">
        <w:tc>
          <w:tcPr>
            <w:tcW w:w="0" w:type="auto"/>
            <w:vAlign w:val="center"/>
          </w:tcPr>
          <w:p w14:paraId="3BD41913" w14:textId="77777777" w:rsidR="00286A88" w:rsidRPr="00286A88" w:rsidRDefault="00286A88" w:rsidP="007D5D6B">
            <w:pPr>
              <w:spacing w:before="120"/>
              <w:rPr>
                <w:lang w:val="en-AU" w:eastAsia="en-AU"/>
              </w:rPr>
            </w:pPr>
            <w:r w:rsidRPr="00286A88">
              <w:rPr>
                <w:lang w:val="en-AU" w:eastAsia="en-AU"/>
              </w:rPr>
              <w:t>tibia</w:t>
            </w:r>
          </w:p>
        </w:tc>
        <w:tc>
          <w:tcPr>
            <w:tcW w:w="0" w:type="auto"/>
            <w:vAlign w:val="center"/>
          </w:tcPr>
          <w:p w14:paraId="52D2BE00" w14:textId="77777777" w:rsidR="00286A88" w:rsidRPr="00286A88" w:rsidRDefault="00286A88" w:rsidP="007D5D6B">
            <w:pPr>
              <w:spacing w:before="120"/>
              <w:rPr>
                <w:lang w:val="en-AU" w:eastAsia="en-AU"/>
              </w:rPr>
            </w:pPr>
            <w:r w:rsidRPr="00286A88">
              <w:rPr>
                <w:lang w:val="en-AU" w:eastAsia="en-AU"/>
              </w:rPr>
              <w:t>Strictly, the tibiotarsus, which is the main bone of the leg of a bird, between the femur and tarsometatarsus, formed by the fusion of several tarsal bones with the tibia.</w:t>
            </w:r>
          </w:p>
        </w:tc>
      </w:tr>
      <w:tr w:rsidR="00286A88" w:rsidRPr="00286A88" w14:paraId="55DC54B7" w14:textId="77777777" w:rsidTr="00286A88">
        <w:tc>
          <w:tcPr>
            <w:tcW w:w="0" w:type="auto"/>
            <w:vAlign w:val="center"/>
          </w:tcPr>
          <w:p w14:paraId="37CAE145" w14:textId="77777777" w:rsidR="00286A88" w:rsidRPr="00286A88" w:rsidRDefault="00286A88" w:rsidP="007D5D6B">
            <w:pPr>
              <w:spacing w:before="120"/>
              <w:rPr>
                <w:lang w:val="en-AU" w:eastAsia="en-AU"/>
              </w:rPr>
            </w:pPr>
            <w:r w:rsidRPr="00286A88">
              <w:rPr>
                <w:lang w:val="en-AU" w:eastAsia="en-AU"/>
              </w:rPr>
              <w:t>tibial dyschondroplasia (TD)</w:t>
            </w:r>
          </w:p>
        </w:tc>
        <w:tc>
          <w:tcPr>
            <w:tcW w:w="0" w:type="auto"/>
            <w:vAlign w:val="center"/>
          </w:tcPr>
          <w:p w14:paraId="7D30D806" w14:textId="77777777" w:rsidR="00286A88" w:rsidRPr="00286A88" w:rsidRDefault="00286A88" w:rsidP="007D5D6B">
            <w:pPr>
              <w:spacing w:before="120"/>
              <w:rPr>
                <w:lang w:val="en-AU" w:eastAsia="en-AU"/>
              </w:rPr>
            </w:pPr>
            <w:r w:rsidRPr="00286A88">
              <w:rPr>
                <w:lang w:val="en-AU" w:eastAsia="en-AU"/>
              </w:rPr>
              <w:t>A disease which disrupts the growth plates on the tibiotarsus, often leading to bowed legs and lameness. Associated with fast growth rates, particularly in meat birds such as broilers and turkeys.</w:t>
            </w:r>
          </w:p>
        </w:tc>
      </w:tr>
      <w:tr w:rsidR="00286A88" w:rsidRPr="00286A88" w14:paraId="43160D24" w14:textId="77777777" w:rsidTr="00286A88">
        <w:tc>
          <w:tcPr>
            <w:tcW w:w="0" w:type="auto"/>
            <w:vAlign w:val="center"/>
          </w:tcPr>
          <w:p w14:paraId="00AAD81C" w14:textId="77777777" w:rsidR="00286A88" w:rsidRPr="00286A88" w:rsidRDefault="00286A88" w:rsidP="007D5D6B">
            <w:pPr>
              <w:spacing w:before="120"/>
              <w:rPr>
                <w:lang w:val="en-AU" w:eastAsia="en-AU"/>
              </w:rPr>
            </w:pPr>
            <w:r w:rsidRPr="00286A88">
              <w:rPr>
                <w:lang w:val="en-AU" w:eastAsia="en-AU"/>
              </w:rPr>
              <w:t>tom</w:t>
            </w:r>
          </w:p>
        </w:tc>
        <w:tc>
          <w:tcPr>
            <w:tcW w:w="0" w:type="auto"/>
            <w:vAlign w:val="center"/>
          </w:tcPr>
          <w:p w14:paraId="353165AA" w14:textId="77777777" w:rsidR="00286A88" w:rsidRPr="00286A88" w:rsidRDefault="00286A88" w:rsidP="007D5D6B">
            <w:pPr>
              <w:spacing w:before="120"/>
              <w:rPr>
                <w:lang w:val="en-AU" w:eastAsia="en-AU"/>
              </w:rPr>
            </w:pPr>
            <w:r w:rsidRPr="00286A88">
              <w:rPr>
                <w:lang w:val="en-AU" w:eastAsia="en-AU"/>
              </w:rPr>
              <w:t>A male adult turkey (breeder).</w:t>
            </w:r>
          </w:p>
        </w:tc>
      </w:tr>
      <w:tr w:rsidR="00286A88" w:rsidRPr="00286A88" w14:paraId="66809FFC" w14:textId="77777777" w:rsidTr="00286A88">
        <w:tc>
          <w:tcPr>
            <w:tcW w:w="0" w:type="auto"/>
            <w:vAlign w:val="center"/>
          </w:tcPr>
          <w:p w14:paraId="4002F003" w14:textId="77777777" w:rsidR="00286A88" w:rsidRPr="00286A88" w:rsidRDefault="00286A88" w:rsidP="007D5D6B">
            <w:pPr>
              <w:spacing w:before="120"/>
              <w:rPr>
                <w:lang w:val="en-AU" w:eastAsia="en-AU"/>
              </w:rPr>
            </w:pPr>
            <w:r w:rsidRPr="00286A88">
              <w:rPr>
                <w:lang w:val="en-AU" w:eastAsia="en-AU"/>
              </w:rPr>
              <w:t>tonic immobility</w:t>
            </w:r>
          </w:p>
        </w:tc>
        <w:tc>
          <w:tcPr>
            <w:tcW w:w="0" w:type="auto"/>
            <w:vAlign w:val="center"/>
          </w:tcPr>
          <w:p w14:paraId="4BBE81A6" w14:textId="77777777" w:rsidR="00286A88" w:rsidRPr="00286A88" w:rsidRDefault="00286A88" w:rsidP="007D5D6B">
            <w:pPr>
              <w:spacing w:before="120"/>
              <w:rPr>
                <w:lang w:val="en-AU" w:eastAsia="en-AU"/>
              </w:rPr>
            </w:pPr>
            <w:r w:rsidRPr="00286A88">
              <w:rPr>
                <w:lang w:val="en-AU" w:eastAsia="en-AU"/>
              </w:rPr>
              <w:t>Birds commonly 'freeze' when frightened (to reduce the chance of being predated). Experimentally, a similar state can be induced by placing a bird on its side or back. The period of tonic immobility appears to correlate with levels of fear experienced immediately before the test.</w:t>
            </w:r>
          </w:p>
        </w:tc>
      </w:tr>
      <w:tr w:rsidR="00D54F6B" w:rsidRPr="00286A88" w14:paraId="21710F54" w14:textId="77777777" w:rsidTr="00286A88">
        <w:tc>
          <w:tcPr>
            <w:tcW w:w="0" w:type="auto"/>
            <w:vAlign w:val="center"/>
          </w:tcPr>
          <w:p w14:paraId="6F8668DA" w14:textId="77777777" w:rsidR="00D54F6B" w:rsidRPr="00286A88" w:rsidRDefault="00D54F6B" w:rsidP="007D5D6B">
            <w:pPr>
              <w:spacing w:before="120"/>
              <w:rPr>
                <w:rFonts w:cs="Segoe UI"/>
                <w:iCs/>
                <w:color w:val="212121"/>
                <w:lang w:eastAsia="en-GB"/>
              </w:rPr>
            </w:pPr>
          </w:p>
        </w:tc>
        <w:tc>
          <w:tcPr>
            <w:tcW w:w="0" w:type="auto"/>
            <w:vAlign w:val="center"/>
          </w:tcPr>
          <w:p w14:paraId="12715907" w14:textId="77777777" w:rsidR="00D54F6B" w:rsidRPr="00286A88" w:rsidRDefault="00D54F6B" w:rsidP="007D5D6B">
            <w:pPr>
              <w:spacing w:before="120"/>
              <w:rPr>
                <w:rFonts w:cs="Segoe UI"/>
                <w:iCs/>
                <w:color w:val="212121"/>
                <w:lang w:eastAsia="en-GB"/>
              </w:rPr>
            </w:pPr>
          </w:p>
        </w:tc>
      </w:tr>
      <w:tr w:rsidR="00286A88" w:rsidRPr="00286A88" w14:paraId="6A45BD49" w14:textId="77777777" w:rsidTr="00286A88">
        <w:tc>
          <w:tcPr>
            <w:tcW w:w="0" w:type="auto"/>
            <w:vAlign w:val="center"/>
          </w:tcPr>
          <w:p w14:paraId="0965BC52" w14:textId="77777777" w:rsidR="00286A88" w:rsidRPr="00286A88" w:rsidRDefault="00286A88" w:rsidP="007D5D6B">
            <w:pPr>
              <w:spacing w:before="120"/>
              <w:rPr>
                <w:lang w:val="en-AU" w:eastAsia="en-AU"/>
              </w:rPr>
            </w:pPr>
            <w:r w:rsidRPr="00286A88">
              <w:rPr>
                <w:rFonts w:cs="Segoe UI"/>
                <w:iCs/>
                <w:color w:val="212121"/>
                <w:lang w:eastAsia="en-GB"/>
              </w:rPr>
              <w:t>Transitional Electroencephalogram (EEG)</w:t>
            </w:r>
          </w:p>
        </w:tc>
        <w:tc>
          <w:tcPr>
            <w:tcW w:w="0" w:type="auto"/>
            <w:vAlign w:val="center"/>
          </w:tcPr>
          <w:p w14:paraId="1EF64F1D" w14:textId="77777777" w:rsidR="00286A88" w:rsidRPr="00286A88" w:rsidRDefault="00286A88" w:rsidP="007D5D6B">
            <w:pPr>
              <w:spacing w:before="120"/>
              <w:rPr>
                <w:lang w:val="en-AU" w:eastAsia="en-AU"/>
              </w:rPr>
            </w:pPr>
            <w:r w:rsidRPr="00286A88">
              <w:rPr>
                <w:rFonts w:cs="Segoe UI"/>
                <w:iCs/>
                <w:color w:val="212121"/>
                <w:lang w:eastAsia="en-GB"/>
              </w:rPr>
              <w:t>Slow wave EEG indicating reduced consciousness, or the onset of unconsciousness.</w:t>
            </w:r>
          </w:p>
        </w:tc>
      </w:tr>
      <w:tr w:rsidR="00286A88" w:rsidRPr="00286A88" w14:paraId="2E6219FF" w14:textId="77777777" w:rsidTr="00286A88">
        <w:tc>
          <w:tcPr>
            <w:tcW w:w="0" w:type="auto"/>
            <w:vAlign w:val="center"/>
          </w:tcPr>
          <w:p w14:paraId="107B8ABD" w14:textId="77777777" w:rsidR="00286A88" w:rsidRPr="00286A88" w:rsidRDefault="00286A88" w:rsidP="007D5D6B">
            <w:pPr>
              <w:spacing w:before="120"/>
              <w:rPr>
                <w:lang w:val="en-AU" w:eastAsia="en-AU"/>
              </w:rPr>
            </w:pPr>
            <w:r w:rsidRPr="00286A88">
              <w:rPr>
                <w:lang w:val="en-AU" w:eastAsia="en-AU"/>
              </w:rPr>
              <w:t>tryptophan</w:t>
            </w:r>
          </w:p>
        </w:tc>
        <w:tc>
          <w:tcPr>
            <w:tcW w:w="0" w:type="auto"/>
            <w:vAlign w:val="center"/>
          </w:tcPr>
          <w:p w14:paraId="6E8639BE" w14:textId="77777777" w:rsidR="00286A88" w:rsidRPr="00286A88" w:rsidRDefault="00286A88" w:rsidP="007D5D6B">
            <w:pPr>
              <w:spacing w:before="120"/>
              <w:rPr>
                <w:lang w:val="en-AU" w:eastAsia="en-AU"/>
              </w:rPr>
            </w:pPr>
            <w:r w:rsidRPr="00286A88">
              <w:rPr>
                <w:lang w:val="en-AU" w:eastAsia="en-AU"/>
              </w:rPr>
              <w:t>An amino acid (building block of proteins) that is a precursor to serotonin.</w:t>
            </w:r>
          </w:p>
        </w:tc>
      </w:tr>
      <w:tr w:rsidR="00286A88" w:rsidRPr="00286A88" w14:paraId="37CD45E1" w14:textId="77777777" w:rsidTr="00286A88">
        <w:tc>
          <w:tcPr>
            <w:tcW w:w="0" w:type="auto"/>
            <w:vAlign w:val="center"/>
          </w:tcPr>
          <w:p w14:paraId="048C1BBD" w14:textId="77777777" w:rsidR="00286A88" w:rsidRPr="00286A88" w:rsidRDefault="00286A88" w:rsidP="007D5D6B">
            <w:pPr>
              <w:spacing w:before="120"/>
              <w:rPr>
                <w:lang w:val="en-AU" w:eastAsia="en-AU"/>
              </w:rPr>
            </w:pPr>
            <w:r w:rsidRPr="00286A88">
              <w:rPr>
                <w:lang w:val="en-AU" w:eastAsia="en-AU"/>
              </w:rPr>
              <w:t>valence</w:t>
            </w:r>
          </w:p>
        </w:tc>
        <w:tc>
          <w:tcPr>
            <w:tcW w:w="0" w:type="auto"/>
            <w:vAlign w:val="center"/>
          </w:tcPr>
          <w:p w14:paraId="0E10DBCF" w14:textId="77777777" w:rsidR="00286A88" w:rsidRPr="00286A88" w:rsidRDefault="00286A88" w:rsidP="007D5D6B">
            <w:pPr>
              <w:spacing w:before="120"/>
              <w:rPr>
                <w:lang w:val="en-AU" w:eastAsia="en-AU"/>
              </w:rPr>
            </w:pPr>
            <w:r w:rsidRPr="00286A88">
              <w:rPr>
                <w:rFonts w:cs="Arial"/>
                <w:color w:val="222222"/>
                <w:shd w:val="clear" w:color="auto" w:fill="FFFFFF"/>
                <w:lang w:val="en-AU" w:eastAsia="en-AU"/>
              </w:rPr>
              <w:t>A term used in the study of animal emotion. It describes the intrinsic attractiveness (positive valence) or aversiveness (negative valence) of a</w:t>
            </w:r>
            <w:r w:rsidR="00637F50">
              <w:rPr>
                <w:rFonts w:cs="Arial"/>
                <w:color w:val="222222"/>
                <w:shd w:val="clear" w:color="auto" w:fill="FFFFFF"/>
                <w:lang w:val="en-AU" w:eastAsia="en-AU"/>
              </w:rPr>
              <w:t xml:space="preserve">n event, object or situation. </w:t>
            </w:r>
            <w:r w:rsidRPr="00286A88">
              <w:rPr>
                <w:rFonts w:cs="Arial"/>
                <w:color w:val="222222"/>
                <w:shd w:val="clear" w:color="auto" w:fill="FFFFFF"/>
                <w:lang w:val="en-AU" w:eastAsia="en-AU"/>
              </w:rPr>
              <w:t xml:space="preserve">It may be accompanied by positive or negative subjective experiences, but these are not amenable to study. </w:t>
            </w:r>
          </w:p>
        </w:tc>
      </w:tr>
      <w:tr w:rsidR="00286A88" w:rsidRPr="00286A88" w14:paraId="2D9E451D" w14:textId="77777777" w:rsidTr="00286A88">
        <w:tc>
          <w:tcPr>
            <w:tcW w:w="0" w:type="auto"/>
            <w:vAlign w:val="center"/>
          </w:tcPr>
          <w:p w14:paraId="58FE8C9F" w14:textId="77777777" w:rsidR="00286A88" w:rsidRPr="00286A88" w:rsidRDefault="00286A88" w:rsidP="007D5D6B">
            <w:pPr>
              <w:spacing w:before="120"/>
              <w:rPr>
                <w:lang w:val="en-AU" w:eastAsia="en-AU"/>
              </w:rPr>
            </w:pPr>
            <w:r w:rsidRPr="00286A88">
              <w:rPr>
                <w:lang w:val="en-AU" w:eastAsia="en-AU"/>
              </w:rPr>
              <w:t>valgus</w:t>
            </w:r>
          </w:p>
        </w:tc>
        <w:tc>
          <w:tcPr>
            <w:tcW w:w="0" w:type="auto"/>
            <w:vAlign w:val="center"/>
          </w:tcPr>
          <w:p w14:paraId="38659F55" w14:textId="77777777" w:rsidR="00286A88" w:rsidRPr="00286A88" w:rsidRDefault="00286A88" w:rsidP="007D5D6B">
            <w:pPr>
              <w:spacing w:before="120"/>
              <w:rPr>
                <w:lang w:val="en-AU" w:eastAsia="en-AU"/>
              </w:rPr>
            </w:pPr>
            <w:r w:rsidRPr="00286A88">
              <w:rPr>
                <w:lang w:val="en-AU" w:eastAsia="en-AU"/>
              </w:rPr>
              <w:t>A deformity in which an anatomical part (e.g. leg bone) is turned outward away from the midline of the body to an abnormal degree.</w:t>
            </w:r>
          </w:p>
        </w:tc>
      </w:tr>
      <w:tr w:rsidR="00286A88" w:rsidRPr="00286A88" w14:paraId="780A946E" w14:textId="77777777" w:rsidTr="00286A88">
        <w:tc>
          <w:tcPr>
            <w:tcW w:w="0" w:type="auto"/>
            <w:vAlign w:val="center"/>
          </w:tcPr>
          <w:p w14:paraId="2BCE3D15" w14:textId="77777777" w:rsidR="00286A88" w:rsidRPr="00286A88" w:rsidRDefault="00286A88" w:rsidP="007D5D6B">
            <w:pPr>
              <w:spacing w:before="120"/>
              <w:rPr>
                <w:lang w:val="en-AU" w:eastAsia="en-AU"/>
              </w:rPr>
            </w:pPr>
            <w:r w:rsidRPr="00286A88">
              <w:rPr>
                <w:lang w:val="en-AU" w:eastAsia="en-AU"/>
              </w:rPr>
              <w:t>varus</w:t>
            </w:r>
          </w:p>
        </w:tc>
        <w:tc>
          <w:tcPr>
            <w:tcW w:w="0" w:type="auto"/>
            <w:vAlign w:val="center"/>
          </w:tcPr>
          <w:p w14:paraId="220A166A" w14:textId="77777777" w:rsidR="00286A88" w:rsidRPr="00286A88" w:rsidRDefault="00286A88" w:rsidP="007D5D6B">
            <w:pPr>
              <w:spacing w:before="120"/>
              <w:rPr>
                <w:lang w:val="en-AU" w:eastAsia="en-AU"/>
              </w:rPr>
            </w:pPr>
            <w:r w:rsidRPr="00286A88">
              <w:rPr>
                <w:lang w:val="en-AU" w:eastAsia="en-AU"/>
              </w:rPr>
              <w:t>A deformity in which an anatomical part is turned inward toward the midline of the body to an abnormal degree.</w:t>
            </w:r>
          </w:p>
        </w:tc>
      </w:tr>
      <w:tr w:rsidR="00286A88" w:rsidRPr="00286A88" w14:paraId="4E7CE0BD" w14:textId="77777777" w:rsidTr="00286A88">
        <w:tc>
          <w:tcPr>
            <w:tcW w:w="0" w:type="auto"/>
            <w:vAlign w:val="center"/>
          </w:tcPr>
          <w:p w14:paraId="48ED3B71" w14:textId="77777777" w:rsidR="00286A88" w:rsidRPr="00286A88" w:rsidRDefault="00286A88" w:rsidP="007D5D6B">
            <w:pPr>
              <w:spacing w:before="120"/>
              <w:rPr>
                <w:lang w:val="en-AU" w:eastAsia="en-AU"/>
              </w:rPr>
            </w:pPr>
            <w:r w:rsidRPr="00286A88">
              <w:rPr>
                <w:lang w:val="en-AU" w:eastAsia="en-AU"/>
              </w:rPr>
              <w:t>vocalisation</w:t>
            </w:r>
          </w:p>
        </w:tc>
        <w:tc>
          <w:tcPr>
            <w:tcW w:w="0" w:type="auto"/>
            <w:vAlign w:val="center"/>
          </w:tcPr>
          <w:p w14:paraId="500E4514" w14:textId="77777777" w:rsidR="00286A88" w:rsidRPr="00286A88" w:rsidRDefault="00286A88" w:rsidP="007D5D6B">
            <w:pPr>
              <w:spacing w:before="120"/>
              <w:rPr>
                <w:lang w:val="en-AU" w:eastAsia="en-AU"/>
              </w:rPr>
            </w:pPr>
            <w:r w:rsidRPr="00286A88">
              <w:rPr>
                <w:lang w:val="en-AU" w:eastAsia="en-AU"/>
              </w:rPr>
              <w:t>Sound produced by birds such as clucks and squawks, similar to the voice/speech in humans.</w:t>
            </w:r>
          </w:p>
        </w:tc>
      </w:tr>
      <w:tr w:rsidR="00286A88" w:rsidRPr="00286A88" w14:paraId="1180BCC9" w14:textId="77777777" w:rsidTr="00286A88">
        <w:tc>
          <w:tcPr>
            <w:tcW w:w="0" w:type="auto"/>
            <w:vAlign w:val="center"/>
          </w:tcPr>
          <w:p w14:paraId="27C68FA6" w14:textId="77777777" w:rsidR="00286A88" w:rsidRPr="00286A88" w:rsidRDefault="00286A88" w:rsidP="007D5D6B">
            <w:pPr>
              <w:spacing w:before="120"/>
              <w:rPr>
                <w:lang w:val="en-AU" w:eastAsia="en-AU"/>
              </w:rPr>
            </w:pPr>
            <w:r w:rsidRPr="00286A88">
              <w:rPr>
                <w:lang w:val="en-AU" w:eastAsia="en-AU"/>
              </w:rPr>
              <w:t>Y maze</w:t>
            </w:r>
          </w:p>
        </w:tc>
        <w:tc>
          <w:tcPr>
            <w:tcW w:w="0" w:type="auto"/>
            <w:vAlign w:val="center"/>
          </w:tcPr>
          <w:p w14:paraId="078196BE" w14:textId="77777777" w:rsidR="00286A88" w:rsidRPr="00286A88" w:rsidRDefault="00286A88" w:rsidP="007D5D6B">
            <w:pPr>
              <w:spacing w:before="120"/>
              <w:rPr>
                <w:lang w:val="en-AU" w:eastAsia="en-AU"/>
              </w:rPr>
            </w:pPr>
            <w:r w:rsidRPr="00286A88">
              <w:rPr>
                <w:lang w:val="en-AU" w:eastAsia="en-AU"/>
              </w:rPr>
              <w:t>A variation of a T maze.</w:t>
            </w:r>
          </w:p>
        </w:tc>
      </w:tr>
      <w:tr w:rsidR="00286A88" w:rsidRPr="00286A88" w14:paraId="5F210193" w14:textId="77777777" w:rsidTr="00286A88">
        <w:tc>
          <w:tcPr>
            <w:tcW w:w="0" w:type="auto"/>
            <w:vAlign w:val="center"/>
          </w:tcPr>
          <w:p w14:paraId="12D7229F" w14:textId="77777777" w:rsidR="00286A88" w:rsidRPr="00286A88" w:rsidRDefault="00286A88" w:rsidP="007D5D6B">
            <w:pPr>
              <w:spacing w:before="120"/>
              <w:rPr>
                <w:lang w:val="en-AU" w:eastAsia="en-AU"/>
              </w:rPr>
            </w:pPr>
            <w:r w:rsidRPr="00286A88">
              <w:rPr>
                <w:lang w:val="en-AU" w:eastAsia="en-AU"/>
              </w:rPr>
              <w:t>zoonotic diseases</w:t>
            </w:r>
          </w:p>
        </w:tc>
        <w:tc>
          <w:tcPr>
            <w:tcW w:w="0" w:type="auto"/>
            <w:vAlign w:val="center"/>
          </w:tcPr>
          <w:p w14:paraId="6257D8B2" w14:textId="77777777" w:rsidR="00286A88" w:rsidRPr="00286A88" w:rsidRDefault="00286A88" w:rsidP="007D5D6B">
            <w:pPr>
              <w:spacing w:before="120"/>
              <w:rPr>
                <w:lang w:val="en-AU" w:eastAsia="en-AU"/>
              </w:rPr>
            </w:pPr>
            <w:r w:rsidRPr="00286A88">
              <w:rPr>
                <w:lang w:val="en-AU" w:eastAsia="en-AU"/>
              </w:rPr>
              <w:t>Ones which may be transmissible to humans.</w:t>
            </w:r>
          </w:p>
        </w:tc>
      </w:tr>
    </w:tbl>
    <w:p w14:paraId="1046473C" w14:textId="77777777" w:rsidR="00286A88" w:rsidRDefault="00286A88" w:rsidP="004C2EAE">
      <w:pPr>
        <w:rPr>
          <w:lang w:val="en-AU" w:eastAsia="en-AU"/>
        </w:rPr>
      </w:pPr>
    </w:p>
    <w:p w14:paraId="732792AC" w14:textId="77777777" w:rsidR="00286A88" w:rsidRPr="00286A88" w:rsidRDefault="0081036A" w:rsidP="0081036A">
      <w:pPr>
        <w:pStyle w:val="Heading1"/>
        <w:rPr>
          <w:lang w:val="en-GB"/>
        </w:rPr>
      </w:pPr>
      <w:r w:rsidRPr="004C2EAE">
        <w:br w:type="column"/>
      </w:r>
      <w:bookmarkStart w:id="407" w:name="_Toc495310874"/>
      <w:r w:rsidR="00B34561">
        <w:rPr>
          <w:lang w:val="en-GB"/>
        </w:rPr>
        <w:t xml:space="preserve">Appendix A: </w:t>
      </w:r>
      <w:r w:rsidR="00024569">
        <w:rPr>
          <w:lang w:val="en-GB"/>
        </w:rPr>
        <w:t>Literature Searches</w:t>
      </w:r>
      <w:bookmarkEnd w:id="407"/>
    </w:p>
    <w:p w14:paraId="5032D46F" w14:textId="77777777" w:rsidR="00B34561" w:rsidRPr="0081036A" w:rsidRDefault="00A84F28" w:rsidP="0081036A">
      <w:r>
        <w:rPr>
          <w:lang w:val="en-GB"/>
        </w:rPr>
        <w:t xml:space="preserve">The tables in this appendix </w:t>
      </w:r>
      <w:r w:rsidR="0081036A">
        <w:rPr>
          <w:lang w:val="en-GB"/>
        </w:rPr>
        <w:t>show the re</w:t>
      </w:r>
      <w:r>
        <w:rPr>
          <w:lang w:val="en-GB"/>
        </w:rPr>
        <w:t xml:space="preserve">sults of the primary and secondary literature searches </w:t>
      </w:r>
      <w:r w:rsidR="0081036A">
        <w:rPr>
          <w:lang w:val="en-GB"/>
        </w:rPr>
        <w:t>by farmed bird type.</w:t>
      </w:r>
    </w:p>
    <w:p w14:paraId="490C7B38" w14:textId="77777777" w:rsidR="0081036A" w:rsidRDefault="0081036A" w:rsidP="0081036A">
      <w:pPr>
        <w:rPr>
          <w:lang w:val="en-GB"/>
        </w:rPr>
      </w:pPr>
    </w:p>
    <w:p w14:paraId="7EDFE576" w14:textId="77777777" w:rsidR="00286A88" w:rsidRPr="00867EA0" w:rsidRDefault="00286A88" w:rsidP="009E50B5">
      <w:pPr>
        <w:spacing w:before="120"/>
        <w:rPr>
          <w:b/>
          <w:sz w:val="24"/>
          <w:szCs w:val="24"/>
          <w:lang w:val="en-GB"/>
        </w:rPr>
      </w:pPr>
      <w:r w:rsidRPr="00867EA0">
        <w:rPr>
          <w:b/>
          <w:sz w:val="24"/>
          <w:szCs w:val="24"/>
          <w:lang w:val="en-GB"/>
        </w:rPr>
        <w:t>Laying Hen</w:t>
      </w:r>
      <w:r w:rsidR="004D4B06">
        <w:rPr>
          <w:b/>
          <w:sz w:val="24"/>
          <w:szCs w:val="24"/>
          <w:lang w:val="en-GB"/>
        </w:rPr>
        <w:t>s</w:t>
      </w:r>
    </w:p>
    <w:p w14:paraId="6E72E310" w14:textId="77777777" w:rsidR="00286A88" w:rsidRPr="00867EA0" w:rsidRDefault="00286A88" w:rsidP="0002516E">
      <w:pPr>
        <w:spacing w:before="240" w:after="240"/>
        <w:rPr>
          <w:b/>
          <w:lang w:val="en-GB"/>
        </w:rPr>
      </w:pPr>
      <w:r w:rsidRPr="00867EA0">
        <w:rPr>
          <w:b/>
          <w:lang w:val="en-GB"/>
        </w:rPr>
        <w:t>Primary Search</w:t>
      </w:r>
      <w:r w:rsidR="00046273">
        <w:rPr>
          <w:b/>
          <w:lang w:val="en-GB"/>
        </w:rPr>
        <w:t>:</w:t>
      </w:r>
      <w:r w:rsidRPr="00867EA0">
        <w:rPr>
          <w:b/>
          <w:lang w:val="en-GB"/>
        </w:rPr>
        <w:t xml:space="preserve"> (hen* NOT hence* OR “domestic fowl”) AND </w:t>
      </w:r>
      <w:r w:rsidR="00046273">
        <w:rPr>
          <w:b/>
          <w:lang w:val="en-GB"/>
        </w:rPr>
        <w:t>w</w:t>
      </w:r>
      <w:r w:rsidRPr="00867EA0">
        <w:rPr>
          <w:b/>
          <w:lang w:val="en-GB"/>
        </w:rPr>
        <w:t>elfare = 8</w:t>
      </w:r>
      <w:r w:rsidR="004A3DB9">
        <w:rPr>
          <w:b/>
          <w:lang w:val="en-GB"/>
        </w:rPr>
        <w:t>95</w:t>
      </w:r>
    </w:p>
    <w:tbl>
      <w:tblPr>
        <w:tblStyle w:val="TableGrid11"/>
        <w:tblW w:w="9977" w:type="dxa"/>
        <w:tblLook w:val="06A0" w:firstRow="1" w:lastRow="0" w:firstColumn="1" w:lastColumn="0" w:noHBand="1" w:noVBand="1"/>
        <w:tblCaption w:val="Papers excluded after primary literature search for laying hen welfare"/>
        <w:tblDescription w:val="This table shows the number of papers excluded after the primary literature search for laying hens. The left hand column shows the primary reason for exclusion. The middle column shows the number of papers excluded. The right hand column gives an example of a paper excluded for each reason."/>
      </w:tblPr>
      <w:tblGrid>
        <w:gridCol w:w="3628"/>
        <w:gridCol w:w="1020"/>
        <w:gridCol w:w="5329"/>
      </w:tblGrid>
      <w:tr w:rsidR="00286A88" w:rsidRPr="00286A88" w14:paraId="3A38DC3F" w14:textId="77777777" w:rsidTr="00587D34">
        <w:trPr>
          <w:tblHeader/>
        </w:trPr>
        <w:tc>
          <w:tcPr>
            <w:tcW w:w="3628" w:type="dxa"/>
            <w:shd w:val="clear" w:color="auto" w:fill="auto"/>
          </w:tcPr>
          <w:p w14:paraId="487DDF1D" w14:textId="77777777" w:rsidR="00286A88" w:rsidRPr="00EA27D5" w:rsidRDefault="00EA27D5" w:rsidP="00EA27D5">
            <w:pPr>
              <w:spacing w:before="60"/>
              <w:rPr>
                <w:b/>
              </w:rPr>
            </w:pPr>
            <w:r w:rsidRPr="00EA27D5">
              <w:rPr>
                <w:b/>
              </w:rPr>
              <w:t>Primary Reason for Exclusion</w:t>
            </w:r>
          </w:p>
        </w:tc>
        <w:tc>
          <w:tcPr>
            <w:tcW w:w="1020" w:type="dxa"/>
            <w:shd w:val="clear" w:color="auto" w:fill="auto"/>
          </w:tcPr>
          <w:p w14:paraId="1FE53095" w14:textId="77777777" w:rsidR="00286A88" w:rsidRPr="007D5D6B" w:rsidRDefault="00286A88" w:rsidP="0002516E">
            <w:pPr>
              <w:spacing w:before="60"/>
            </w:pPr>
            <w:r w:rsidRPr="007D5D6B">
              <w:t>Number Excluded</w:t>
            </w:r>
          </w:p>
        </w:tc>
        <w:tc>
          <w:tcPr>
            <w:tcW w:w="5329" w:type="dxa"/>
            <w:shd w:val="clear" w:color="auto" w:fill="auto"/>
          </w:tcPr>
          <w:p w14:paraId="36857DD3" w14:textId="77777777" w:rsidR="00286A88" w:rsidRPr="007D5D6B" w:rsidRDefault="00286A88" w:rsidP="0002516E">
            <w:pPr>
              <w:spacing w:before="60"/>
            </w:pPr>
            <w:r w:rsidRPr="007D5D6B">
              <w:rPr>
                <w:i/>
              </w:rPr>
              <w:t xml:space="preserve">Example </w:t>
            </w:r>
            <w:r w:rsidRPr="007D5D6B">
              <w:t>of Paper Excluded for Each Reason</w:t>
            </w:r>
          </w:p>
        </w:tc>
      </w:tr>
      <w:tr w:rsidR="00706EB9" w:rsidRPr="00286A88" w14:paraId="7960E2BC" w14:textId="77777777" w:rsidTr="00043C78">
        <w:tc>
          <w:tcPr>
            <w:tcW w:w="3628" w:type="dxa"/>
            <w:shd w:val="clear" w:color="auto" w:fill="auto"/>
          </w:tcPr>
          <w:p w14:paraId="32663980" w14:textId="77777777" w:rsidR="00706EB9" w:rsidRPr="007D5D6B" w:rsidRDefault="00706EB9" w:rsidP="00D22A51">
            <w:pPr>
              <w:spacing w:before="60"/>
            </w:pPr>
            <w:r w:rsidRPr="007D5D6B">
              <w:t>Not hens – other farmed birds</w:t>
            </w:r>
          </w:p>
        </w:tc>
        <w:tc>
          <w:tcPr>
            <w:tcW w:w="1020" w:type="dxa"/>
          </w:tcPr>
          <w:p w14:paraId="16B8AA76" w14:textId="77777777" w:rsidR="00706EB9" w:rsidRPr="007D5D6B" w:rsidRDefault="00706EB9" w:rsidP="00D22A51">
            <w:pPr>
              <w:spacing w:before="60" w:after="40" w:line="240" w:lineRule="auto"/>
              <w:rPr>
                <w:rFonts w:cs="Arial"/>
                <w:color w:val="auto"/>
                <w:szCs w:val="18"/>
              </w:rPr>
            </w:pPr>
            <w:r w:rsidRPr="007D5D6B">
              <w:rPr>
                <w:rFonts w:cs="Arial"/>
                <w:color w:val="auto"/>
                <w:szCs w:val="18"/>
              </w:rPr>
              <w:t>175</w:t>
            </w:r>
          </w:p>
        </w:tc>
        <w:tc>
          <w:tcPr>
            <w:tcW w:w="5329" w:type="dxa"/>
          </w:tcPr>
          <w:p w14:paraId="457024DE" w14:textId="77777777" w:rsidR="00706EB9" w:rsidRPr="00D266FB" w:rsidRDefault="00706EB9" w:rsidP="00D266FB">
            <w:pPr>
              <w:pStyle w:val="NoSpacing"/>
              <w:spacing w:before="40" w:after="40"/>
              <w:contextualSpacing/>
              <w:rPr>
                <w:sz w:val="16"/>
                <w:szCs w:val="16"/>
              </w:rPr>
            </w:pPr>
            <w:r w:rsidRPr="00D266FB">
              <w:rPr>
                <w:sz w:val="16"/>
                <w:szCs w:val="16"/>
              </w:rPr>
              <w:t>A comparison of post-mortem findings in broilers dead-on-farm and broilers dead-on-arrival at the abattoir</w:t>
            </w:r>
          </w:p>
          <w:p w14:paraId="7A4334BB" w14:textId="77777777" w:rsidR="00706EB9" w:rsidRPr="00D266FB" w:rsidRDefault="00706EB9" w:rsidP="00D266FB">
            <w:pPr>
              <w:pStyle w:val="NoSpacing"/>
              <w:spacing w:before="40" w:after="40"/>
              <w:contextualSpacing/>
              <w:rPr>
                <w:sz w:val="16"/>
                <w:szCs w:val="16"/>
              </w:rPr>
            </w:pPr>
            <w:r w:rsidRPr="00D266FB">
              <w:rPr>
                <w:sz w:val="16"/>
                <w:szCs w:val="16"/>
              </w:rPr>
              <w:t>By: Kittelsen, K. E.; Granquist, E. G.; Kolbjornsen, O.; et al.</w:t>
            </w:r>
          </w:p>
          <w:p w14:paraId="7F4AF333" w14:textId="77777777" w:rsidR="00706EB9" w:rsidRPr="00D266FB" w:rsidRDefault="00706EB9" w:rsidP="00D266FB">
            <w:pPr>
              <w:pStyle w:val="NoSpacing"/>
              <w:spacing w:before="40" w:after="40"/>
              <w:contextualSpacing/>
              <w:rPr>
                <w:i/>
                <w:sz w:val="16"/>
                <w:szCs w:val="16"/>
              </w:rPr>
            </w:pPr>
            <w:r w:rsidRPr="00D266FB">
              <w:rPr>
                <w:sz w:val="16"/>
                <w:szCs w:val="16"/>
              </w:rPr>
              <w:t>POULTRY SCIENCE   Volume: 94   Issue: 11   Pages: 2622-2629   Published: NOV 201</w:t>
            </w:r>
            <w:r w:rsidR="00D266FB" w:rsidRPr="00D266FB">
              <w:rPr>
                <w:sz w:val="16"/>
                <w:szCs w:val="16"/>
              </w:rPr>
              <w:t>5</w:t>
            </w:r>
          </w:p>
        </w:tc>
      </w:tr>
      <w:tr w:rsidR="00706EB9" w:rsidRPr="00286A88" w14:paraId="5F46053F" w14:textId="77777777" w:rsidTr="00043C78">
        <w:tc>
          <w:tcPr>
            <w:tcW w:w="3628" w:type="dxa"/>
            <w:shd w:val="clear" w:color="auto" w:fill="auto"/>
          </w:tcPr>
          <w:p w14:paraId="14E74634" w14:textId="77777777" w:rsidR="00706EB9" w:rsidRPr="007D5D6B" w:rsidRDefault="00706EB9" w:rsidP="00D22A51">
            <w:pPr>
              <w:spacing w:before="60"/>
            </w:pPr>
            <w:r w:rsidRPr="007D5D6B">
              <w:t>Not hens – other animals</w:t>
            </w:r>
          </w:p>
        </w:tc>
        <w:tc>
          <w:tcPr>
            <w:tcW w:w="1020" w:type="dxa"/>
          </w:tcPr>
          <w:p w14:paraId="077CEEC5" w14:textId="77777777" w:rsidR="00706EB9" w:rsidRPr="007D5D6B" w:rsidRDefault="00706EB9" w:rsidP="00D22A51">
            <w:pPr>
              <w:spacing w:before="60" w:after="40" w:line="240" w:lineRule="auto"/>
              <w:rPr>
                <w:rFonts w:cs="Arial"/>
                <w:color w:val="auto"/>
                <w:szCs w:val="18"/>
              </w:rPr>
            </w:pPr>
            <w:r w:rsidRPr="007D5D6B">
              <w:rPr>
                <w:rFonts w:cs="Arial"/>
                <w:color w:val="auto"/>
                <w:szCs w:val="18"/>
              </w:rPr>
              <w:t>58</w:t>
            </w:r>
          </w:p>
        </w:tc>
        <w:tc>
          <w:tcPr>
            <w:tcW w:w="5329" w:type="dxa"/>
          </w:tcPr>
          <w:p w14:paraId="5EE09FAE" w14:textId="77777777" w:rsidR="00D266FB" w:rsidRPr="00D266FB" w:rsidRDefault="00D266FB" w:rsidP="00D266FB">
            <w:pPr>
              <w:pStyle w:val="NoSpacing"/>
              <w:spacing w:before="40" w:after="40"/>
              <w:contextualSpacing/>
              <w:rPr>
                <w:sz w:val="16"/>
                <w:szCs w:val="16"/>
              </w:rPr>
            </w:pPr>
            <w:r w:rsidRPr="00D266FB">
              <w:rPr>
                <w:sz w:val="16"/>
                <w:szCs w:val="16"/>
              </w:rPr>
              <w:t>Bones as enrichment for farmed blue foxes (Vulpes lagopus): Interaction with the bones and preference for a cage with the bones</w:t>
            </w:r>
          </w:p>
          <w:p w14:paraId="6A5AC52D" w14:textId="77777777" w:rsidR="00D266FB" w:rsidRPr="00D266FB" w:rsidRDefault="00D266FB" w:rsidP="00D266FB">
            <w:pPr>
              <w:pStyle w:val="NoSpacing"/>
              <w:spacing w:before="40" w:after="40"/>
              <w:contextualSpacing/>
              <w:rPr>
                <w:sz w:val="16"/>
                <w:szCs w:val="16"/>
              </w:rPr>
            </w:pPr>
            <w:r w:rsidRPr="00D266FB">
              <w:rPr>
                <w:sz w:val="16"/>
                <w:szCs w:val="16"/>
              </w:rPr>
              <w:t>By: Koistinen, Tarja; Turunen, Antti; Kiviniemi, Vesa; et al.</w:t>
            </w:r>
          </w:p>
          <w:p w14:paraId="374B4FED" w14:textId="77777777" w:rsidR="00706EB9" w:rsidRPr="00D266FB" w:rsidRDefault="00D266FB" w:rsidP="00D266FB">
            <w:pPr>
              <w:pStyle w:val="NoSpacing"/>
              <w:spacing w:before="40" w:after="40"/>
              <w:contextualSpacing/>
              <w:rPr>
                <w:sz w:val="16"/>
                <w:szCs w:val="16"/>
              </w:rPr>
            </w:pPr>
            <w:r w:rsidRPr="00D266FB">
              <w:rPr>
                <w:sz w:val="16"/>
                <w:szCs w:val="16"/>
              </w:rPr>
              <w:t>APPLIED ANIMAL BEHAVIOUR SCIENCE   Volume: 120   Issue: 1-2   Pages: 108-116   Published: AUG 2009</w:t>
            </w:r>
          </w:p>
        </w:tc>
      </w:tr>
      <w:tr w:rsidR="00706EB9" w:rsidRPr="00286A88" w14:paraId="73789796" w14:textId="77777777" w:rsidTr="00043C78">
        <w:tc>
          <w:tcPr>
            <w:tcW w:w="3628" w:type="dxa"/>
            <w:shd w:val="clear" w:color="auto" w:fill="auto"/>
          </w:tcPr>
          <w:p w14:paraId="1C442D09" w14:textId="77777777" w:rsidR="00706EB9" w:rsidRPr="007D5D6B" w:rsidRDefault="00706EB9" w:rsidP="00D22A51">
            <w:pPr>
              <w:spacing w:before="60"/>
            </w:pPr>
            <w:r w:rsidRPr="007D5D6B">
              <w:t>Paper on consumer attitudes, policy, ethics</w:t>
            </w:r>
          </w:p>
        </w:tc>
        <w:tc>
          <w:tcPr>
            <w:tcW w:w="1020" w:type="dxa"/>
          </w:tcPr>
          <w:p w14:paraId="7E80825D" w14:textId="77777777" w:rsidR="00706EB9" w:rsidRPr="007D5D6B" w:rsidRDefault="00706EB9" w:rsidP="00D22A51">
            <w:pPr>
              <w:spacing w:before="60" w:after="40" w:line="240" w:lineRule="auto"/>
              <w:rPr>
                <w:rFonts w:cs="Arial"/>
                <w:color w:val="auto"/>
                <w:szCs w:val="18"/>
              </w:rPr>
            </w:pPr>
            <w:r w:rsidRPr="007D5D6B">
              <w:rPr>
                <w:rFonts w:cs="Arial"/>
                <w:color w:val="auto"/>
                <w:szCs w:val="18"/>
              </w:rPr>
              <w:t>24</w:t>
            </w:r>
          </w:p>
        </w:tc>
        <w:tc>
          <w:tcPr>
            <w:tcW w:w="5329" w:type="dxa"/>
          </w:tcPr>
          <w:p w14:paraId="231630A8" w14:textId="77777777" w:rsidR="00D266FB" w:rsidRPr="00D266FB" w:rsidRDefault="00D266FB" w:rsidP="00D266FB">
            <w:pPr>
              <w:pStyle w:val="NoSpacing"/>
              <w:spacing w:before="40" w:after="40"/>
              <w:contextualSpacing/>
              <w:rPr>
                <w:sz w:val="16"/>
                <w:szCs w:val="16"/>
              </w:rPr>
            </w:pPr>
            <w:r w:rsidRPr="00D266FB">
              <w:rPr>
                <w:sz w:val="16"/>
                <w:szCs w:val="16"/>
              </w:rPr>
              <w:t>Consumer Preferences for Improved Hen Housing: Is a Cage a Cage?</w:t>
            </w:r>
          </w:p>
          <w:p w14:paraId="25557513" w14:textId="77777777" w:rsidR="00D266FB" w:rsidRPr="00D266FB" w:rsidRDefault="00D266FB" w:rsidP="00D266FB">
            <w:pPr>
              <w:pStyle w:val="NoSpacing"/>
              <w:spacing w:before="40" w:after="40"/>
              <w:contextualSpacing/>
              <w:rPr>
                <w:sz w:val="16"/>
                <w:szCs w:val="16"/>
              </w:rPr>
            </w:pPr>
            <w:r w:rsidRPr="00D266FB">
              <w:rPr>
                <w:sz w:val="16"/>
                <w:szCs w:val="16"/>
              </w:rPr>
              <w:t>By: Doyon, Maurice; Bergeron, Stephane; Cranfield, John; et al.</w:t>
            </w:r>
          </w:p>
          <w:p w14:paraId="5A791DC9" w14:textId="77777777" w:rsidR="00706EB9" w:rsidRPr="00D266FB" w:rsidRDefault="00D266FB" w:rsidP="00D266FB">
            <w:pPr>
              <w:pStyle w:val="NoSpacing"/>
              <w:spacing w:before="40" w:after="40"/>
              <w:contextualSpacing/>
              <w:rPr>
                <w:sz w:val="16"/>
                <w:szCs w:val="16"/>
              </w:rPr>
            </w:pPr>
            <w:r w:rsidRPr="00D266FB">
              <w:rPr>
                <w:sz w:val="16"/>
                <w:szCs w:val="16"/>
              </w:rPr>
              <w:t>CANADIAN JOURNAL OF AGRICULTURAL ECONOMICS-REVUE CANADIENNE D AGROECONOMIE   Volume: 64</w:t>
            </w:r>
            <w:r w:rsidR="00DC3F04">
              <w:rPr>
                <w:sz w:val="16"/>
                <w:szCs w:val="16"/>
              </w:rPr>
              <w:t xml:space="preserve">  Published SEP 2016</w:t>
            </w:r>
          </w:p>
        </w:tc>
      </w:tr>
      <w:tr w:rsidR="00706EB9" w:rsidRPr="00286A88" w14:paraId="143473BA" w14:textId="77777777" w:rsidTr="00043C78">
        <w:tc>
          <w:tcPr>
            <w:tcW w:w="3628" w:type="dxa"/>
            <w:shd w:val="clear" w:color="auto" w:fill="auto"/>
          </w:tcPr>
          <w:p w14:paraId="745C4116" w14:textId="77777777" w:rsidR="00706EB9" w:rsidRPr="007D5D6B" w:rsidRDefault="00706EB9" w:rsidP="00D22A51">
            <w:pPr>
              <w:spacing w:before="60"/>
            </w:pPr>
            <w:r w:rsidRPr="007D5D6B">
              <w:t>Paper on fundamental study of genetics, immune function, disease mechanism or stress biology with no immediate welfare relevance</w:t>
            </w:r>
          </w:p>
        </w:tc>
        <w:tc>
          <w:tcPr>
            <w:tcW w:w="1020" w:type="dxa"/>
          </w:tcPr>
          <w:p w14:paraId="1239E2E7" w14:textId="77777777" w:rsidR="00706EB9" w:rsidRPr="007D5D6B" w:rsidRDefault="00706EB9" w:rsidP="00D22A51">
            <w:pPr>
              <w:spacing w:before="60" w:after="40" w:line="240" w:lineRule="auto"/>
              <w:rPr>
                <w:rFonts w:cs="Arial"/>
                <w:color w:val="auto"/>
                <w:szCs w:val="18"/>
              </w:rPr>
            </w:pPr>
            <w:r w:rsidRPr="007D5D6B">
              <w:rPr>
                <w:rFonts w:cs="Arial"/>
                <w:color w:val="auto"/>
                <w:szCs w:val="18"/>
              </w:rPr>
              <w:t>53</w:t>
            </w:r>
          </w:p>
        </w:tc>
        <w:tc>
          <w:tcPr>
            <w:tcW w:w="5329" w:type="dxa"/>
          </w:tcPr>
          <w:p w14:paraId="51C27FC6" w14:textId="77777777" w:rsidR="00D266FB" w:rsidRPr="00D266FB" w:rsidRDefault="00D266FB" w:rsidP="00D266FB">
            <w:pPr>
              <w:pStyle w:val="NoSpacing"/>
              <w:spacing w:before="40" w:after="40"/>
              <w:contextualSpacing/>
              <w:rPr>
                <w:sz w:val="16"/>
                <w:szCs w:val="16"/>
              </w:rPr>
            </w:pPr>
            <w:r w:rsidRPr="00D266FB">
              <w:rPr>
                <w:sz w:val="16"/>
                <w:szCs w:val="16"/>
              </w:rPr>
              <w:t>Immunological Changes at Point-of-Lay Increase Susceptibility to Salmonella enterica Serovar Enteritidis Infection in Vaccinated Chickens</w:t>
            </w:r>
          </w:p>
          <w:p w14:paraId="2DACB030" w14:textId="77777777" w:rsidR="00D266FB" w:rsidRPr="00D266FB" w:rsidRDefault="00D266FB" w:rsidP="00D266FB">
            <w:pPr>
              <w:pStyle w:val="NoSpacing"/>
              <w:spacing w:before="40" w:after="40"/>
              <w:contextualSpacing/>
              <w:rPr>
                <w:sz w:val="16"/>
                <w:szCs w:val="16"/>
              </w:rPr>
            </w:pPr>
            <w:r w:rsidRPr="00D266FB">
              <w:rPr>
                <w:sz w:val="16"/>
                <w:szCs w:val="16"/>
              </w:rPr>
              <w:t>By: Johnston, Claire E.; Hartley, Catherine; Salisbury, Anne-Marie; et al.</w:t>
            </w:r>
          </w:p>
          <w:p w14:paraId="54EFF26F" w14:textId="77777777" w:rsidR="00706EB9" w:rsidRPr="00D266FB" w:rsidRDefault="00D266FB" w:rsidP="00D266FB">
            <w:pPr>
              <w:pStyle w:val="NoSpacing"/>
              <w:spacing w:before="40" w:after="40"/>
              <w:contextualSpacing/>
              <w:rPr>
                <w:sz w:val="16"/>
                <w:szCs w:val="16"/>
              </w:rPr>
            </w:pPr>
            <w:r w:rsidRPr="00D266FB">
              <w:rPr>
                <w:sz w:val="16"/>
                <w:szCs w:val="16"/>
              </w:rPr>
              <w:t>PLOS ONE   Volume: 7   Issue: 10 Article Number: e48195   Published: OCT 25 2012</w:t>
            </w:r>
          </w:p>
        </w:tc>
      </w:tr>
      <w:tr w:rsidR="00706EB9" w:rsidRPr="00286A88" w14:paraId="4970FE4E" w14:textId="77777777" w:rsidTr="00043C78">
        <w:tc>
          <w:tcPr>
            <w:tcW w:w="3628" w:type="dxa"/>
            <w:shd w:val="clear" w:color="auto" w:fill="auto"/>
          </w:tcPr>
          <w:p w14:paraId="3B487386" w14:textId="77777777" w:rsidR="00706EB9" w:rsidRPr="007D5D6B" w:rsidRDefault="00706EB9" w:rsidP="00D22A51">
            <w:pPr>
              <w:spacing w:before="60"/>
            </w:pPr>
            <w:r w:rsidRPr="007D5D6B">
              <w:t>Paper proposing new technology or method for assessing welfare but no useful results yet</w:t>
            </w:r>
          </w:p>
        </w:tc>
        <w:tc>
          <w:tcPr>
            <w:tcW w:w="1020" w:type="dxa"/>
          </w:tcPr>
          <w:p w14:paraId="6584A40F" w14:textId="77777777" w:rsidR="00706EB9" w:rsidRPr="007D5D6B" w:rsidRDefault="00706EB9" w:rsidP="00D22A51">
            <w:pPr>
              <w:spacing w:before="60" w:after="40" w:line="240" w:lineRule="auto"/>
              <w:rPr>
                <w:rFonts w:cs="Arial"/>
                <w:color w:val="auto"/>
                <w:szCs w:val="18"/>
              </w:rPr>
            </w:pPr>
            <w:r w:rsidRPr="007D5D6B">
              <w:rPr>
                <w:rFonts w:cs="Arial"/>
                <w:color w:val="auto"/>
                <w:szCs w:val="18"/>
              </w:rPr>
              <w:t>35</w:t>
            </w:r>
          </w:p>
        </w:tc>
        <w:tc>
          <w:tcPr>
            <w:tcW w:w="5329" w:type="dxa"/>
          </w:tcPr>
          <w:p w14:paraId="2C96BF1F" w14:textId="77777777" w:rsidR="00D266FB" w:rsidRPr="00D266FB" w:rsidRDefault="00D266FB" w:rsidP="00D266FB">
            <w:pPr>
              <w:pStyle w:val="NoSpacing"/>
              <w:spacing w:before="40" w:after="40"/>
              <w:contextualSpacing/>
              <w:rPr>
                <w:sz w:val="16"/>
                <w:szCs w:val="16"/>
              </w:rPr>
            </w:pPr>
            <w:r w:rsidRPr="00D266FB">
              <w:rPr>
                <w:sz w:val="16"/>
                <w:szCs w:val="16"/>
              </w:rPr>
              <w:t>Performance of an image analysis processing system for hen tracking in an environmental preference chamber</w:t>
            </w:r>
          </w:p>
          <w:p w14:paraId="2E2EE2C7" w14:textId="77777777" w:rsidR="00D266FB" w:rsidRPr="00D266FB" w:rsidRDefault="00D266FB" w:rsidP="00D266FB">
            <w:pPr>
              <w:pStyle w:val="NoSpacing"/>
              <w:spacing w:before="40" w:after="40"/>
              <w:contextualSpacing/>
              <w:rPr>
                <w:sz w:val="16"/>
                <w:szCs w:val="16"/>
              </w:rPr>
            </w:pPr>
            <w:r w:rsidRPr="00D266FB">
              <w:rPr>
                <w:sz w:val="16"/>
                <w:szCs w:val="16"/>
              </w:rPr>
              <w:t>By: Kashiha, Mohammad Amin; Green, Angela R.; Sales, Tatiana Glogerley; et al.</w:t>
            </w:r>
          </w:p>
          <w:p w14:paraId="57BEAFF4" w14:textId="77777777" w:rsidR="00706EB9" w:rsidRPr="00D266FB" w:rsidRDefault="00D266FB" w:rsidP="00D266FB">
            <w:pPr>
              <w:pStyle w:val="NoSpacing"/>
              <w:spacing w:before="40" w:after="40"/>
              <w:contextualSpacing/>
              <w:rPr>
                <w:sz w:val="16"/>
                <w:szCs w:val="16"/>
              </w:rPr>
            </w:pPr>
            <w:r w:rsidRPr="00D266FB">
              <w:rPr>
                <w:sz w:val="16"/>
                <w:szCs w:val="16"/>
              </w:rPr>
              <w:t>POULTRY SCIENCE   Volume: 93   Issue: 10   Pages: 2439-2448   Published: OCT 2014</w:t>
            </w:r>
          </w:p>
        </w:tc>
      </w:tr>
      <w:tr w:rsidR="00706EB9" w:rsidRPr="00286A88" w14:paraId="249AFAF5" w14:textId="77777777" w:rsidTr="00043C78">
        <w:tc>
          <w:tcPr>
            <w:tcW w:w="3628" w:type="dxa"/>
            <w:shd w:val="clear" w:color="auto" w:fill="auto"/>
          </w:tcPr>
          <w:p w14:paraId="0ED8C7F0" w14:textId="77777777" w:rsidR="00706EB9" w:rsidRPr="007D5D6B" w:rsidRDefault="00706EB9" w:rsidP="00D22A51">
            <w:pPr>
              <w:spacing w:before="60"/>
            </w:pPr>
            <w:r w:rsidRPr="007D5D6B">
              <w:t>Review/opinion pieces</w:t>
            </w:r>
          </w:p>
        </w:tc>
        <w:tc>
          <w:tcPr>
            <w:tcW w:w="1020" w:type="dxa"/>
          </w:tcPr>
          <w:p w14:paraId="2D7AEE3F" w14:textId="77777777" w:rsidR="00706EB9" w:rsidRPr="007D5D6B" w:rsidRDefault="00706EB9" w:rsidP="00D22A51">
            <w:pPr>
              <w:spacing w:before="60" w:after="40" w:line="240" w:lineRule="auto"/>
              <w:rPr>
                <w:rFonts w:cs="Arial"/>
                <w:color w:val="auto"/>
                <w:szCs w:val="18"/>
              </w:rPr>
            </w:pPr>
            <w:r w:rsidRPr="007D5D6B">
              <w:rPr>
                <w:rFonts w:cs="Arial"/>
                <w:color w:val="auto"/>
                <w:szCs w:val="18"/>
              </w:rPr>
              <w:t>85</w:t>
            </w:r>
          </w:p>
        </w:tc>
        <w:tc>
          <w:tcPr>
            <w:tcW w:w="5329" w:type="dxa"/>
          </w:tcPr>
          <w:p w14:paraId="6012B93B" w14:textId="77777777" w:rsidR="00D266FB" w:rsidRPr="00D266FB" w:rsidRDefault="00D266FB" w:rsidP="00D266FB">
            <w:pPr>
              <w:pStyle w:val="NoSpacing"/>
              <w:spacing w:before="40" w:after="40"/>
              <w:contextualSpacing/>
              <w:rPr>
                <w:sz w:val="16"/>
                <w:szCs w:val="16"/>
              </w:rPr>
            </w:pPr>
            <w:r w:rsidRPr="00D266FB">
              <w:rPr>
                <w:sz w:val="16"/>
                <w:szCs w:val="16"/>
              </w:rPr>
              <w:t>Science-based management of livestock welfare in intensive systems: looking to the future</w:t>
            </w:r>
          </w:p>
          <w:p w14:paraId="4958FE2D" w14:textId="77777777" w:rsidR="00D266FB" w:rsidRPr="00D266FB" w:rsidRDefault="00D266FB" w:rsidP="00D266FB">
            <w:pPr>
              <w:pStyle w:val="NoSpacing"/>
              <w:spacing w:before="40" w:after="40"/>
              <w:contextualSpacing/>
              <w:rPr>
                <w:sz w:val="16"/>
                <w:szCs w:val="16"/>
              </w:rPr>
            </w:pPr>
            <w:r w:rsidRPr="00D266FB">
              <w:rPr>
                <w:sz w:val="16"/>
                <w:szCs w:val="16"/>
              </w:rPr>
              <w:t>By: Vannier, P.; Michel, V.; Keeling, L. J.</w:t>
            </w:r>
          </w:p>
          <w:p w14:paraId="761BD3D8" w14:textId="77777777" w:rsidR="00706EB9" w:rsidRPr="00D266FB" w:rsidRDefault="00D266FB" w:rsidP="00D266FB">
            <w:pPr>
              <w:pStyle w:val="NoSpacing"/>
              <w:spacing w:before="40" w:after="40"/>
              <w:contextualSpacing/>
              <w:rPr>
                <w:sz w:val="16"/>
                <w:szCs w:val="16"/>
              </w:rPr>
            </w:pPr>
            <w:r w:rsidRPr="00D266FB">
              <w:rPr>
                <w:sz w:val="16"/>
                <w:szCs w:val="16"/>
              </w:rPr>
              <w:t>REVUE SCIENTIFIQUE ET TECHNIQUE-OFFICE INTERNATIONAL DES EPIZOOTIES   Volume: 33   Issue: 1   Pages: 153-160   Published: APR 2014</w:t>
            </w:r>
          </w:p>
        </w:tc>
      </w:tr>
      <w:tr w:rsidR="00706EB9" w:rsidRPr="00286A88" w14:paraId="7556FFF4" w14:textId="77777777" w:rsidTr="00043C78">
        <w:tc>
          <w:tcPr>
            <w:tcW w:w="3628" w:type="dxa"/>
            <w:shd w:val="clear" w:color="auto" w:fill="auto"/>
          </w:tcPr>
          <w:p w14:paraId="689A5BA6" w14:textId="77777777" w:rsidR="00706EB9" w:rsidRPr="007D5D6B" w:rsidRDefault="00706EB9" w:rsidP="00D22A51">
            <w:pPr>
              <w:spacing w:before="60"/>
            </w:pPr>
            <w:r w:rsidRPr="007D5D6B">
              <w:t>Paper on production qu</w:t>
            </w:r>
            <w:r w:rsidR="00A84F28">
              <w:t>ality, safety or sustainability</w:t>
            </w:r>
          </w:p>
        </w:tc>
        <w:tc>
          <w:tcPr>
            <w:tcW w:w="1020" w:type="dxa"/>
          </w:tcPr>
          <w:p w14:paraId="04BAD68F" w14:textId="77777777" w:rsidR="00706EB9" w:rsidRPr="007D5D6B" w:rsidRDefault="00706EB9" w:rsidP="00D22A51">
            <w:pPr>
              <w:spacing w:before="60" w:after="40" w:line="240" w:lineRule="auto"/>
              <w:rPr>
                <w:rFonts w:cs="Arial"/>
                <w:color w:val="auto"/>
                <w:szCs w:val="18"/>
              </w:rPr>
            </w:pPr>
            <w:r w:rsidRPr="007D5D6B">
              <w:rPr>
                <w:rFonts w:cs="Arial"/>
                <w:color w:val="auto"/>
                <w:szCs w:val="18"/>
              </w:rPr>
              <w:t>19</w:t>
            </w:r>
          </w:p>
        </w:tc>
        <w:tc>
          <w:tcPr>
            <w:tcW w:w="5329" w:type="dxa"/>
          </w:tcPr>
          <w:p w14:paraId="0EC5EAF8" w14:textId="77777777" w:rsidR="00D266FB" w:rsidRPr="00D266FB" w:rsidRDefault="00D266FB" w:rsidP="00D266FB">
            <w:pPr>
              <w:pStyle w:val="NoSpacing"/>
              <w:spacing w:before="40" w:after="40"/>
              <w:contextualSpacing/>
              <w:rPr>
                <w:sz w:val="16"/>
                <w:szCs w:val="16"/>
              </w:rPr>
            </w:pPr>
            <w:r w:rsidRPr="00D266FB">
              <w:rPr>
                <w:sz w:val="16"/>
                <w:szCs w:val="16"/>
              </w:rPr>
              <w:t>Quality of Eggs in Different Production Systems</w:t>
            </w:r>
          </w:p>
          <w:p w14:paraId="59D3D65A" w14:textId="77777777" w:rsidR="00D266FB" w:rsidRPr="00D266FB" w:rsidRDefault="00D266FB" w:rsidP="00D266FB">
            <w:pPr>
              <w:pStyle w:val="NoSpacing"/>
              <w:spacing w:before="40" w:after="40"/>
              <w:contextualSpacing/>
              <w:rPr>
                <w:sz w:val="16"/>
                <w:szCs w:val="16"/>
              </w:rPr>
            </w:pPr>
            <w:r w:rsidRPr="00D266FB">
              <w:rPr>
                <w:sz w:val="16"/>
                <w:szCs w:val="16"/>
              </w:rPr>
              <w:t>By: Yenice, Guler; Kaynar, Ozgur; Ileriturk, Mustafa; et al.</w:t>
            </w:r>
          </w:p>
          <w:p w14:paraId="2ED3259F" w14:textId="77777777" w:rsidR="00706EB9" w:rsidRPr="00D266FB" w:rsidRDefault="00D266FB" w:rsidP="00D266FB">
            <w:pPr>
              <w:pStyle w:val="NoSpacing"/>
              <w:spacing w:before="40" w:after="40"/>
              <w:contextualSpacing/>
              <w:rPr>
                <w:sz w:val="16"/>
                <w:szCs w:val="16"/>
              </w:rPr>
            </w:pPr>
            <w:r w:rsidRPr="00D266FB">
              <w:rPr>
                <w:sz w:val="16"/>
                <w:szCs w:val="16"/>
              </w:rPr>
              <w:t>CZECH JOURNAL OF FOOD SCIENCES   Volume: 34   Issue: 4   Pages: 370-376   Published: 2016</w:t>
            </w:r>
          </w:p>
        </w:tc>
      </w:tr>
      <w:tr w:rsidR="00706EB9" w:rsidRPr="00286A88" w14:paraId="6AADFD7A" w14:textId="77777777" w:rsidTr="00043C78">
        <w:tc>
          <w:tcPr>
            <w:tcW w:w="3628" w:type="dxa"/>
            <w:shd w:val="clear" w:color="auto" w:fill="auto"/>
          </w:tcPr>
          <w:p w14:paraId="25A62083" w14:textId="77777777" w:rsidR="00706EB9" w:rsidRPr="007D5D6B" w:rsidRDefault="00706EB9" w:rsidP="00D22A51">
            <w:pPr>
              <w:spacing w:before="60"/>
            </w:pPr>
            <w:r w:rsidRPr="007D5D6B">
              <w:t>Paper on fundamental nutrition</w:t>
            </w:r>
          </w:p>
        </w:tc>
        <w:tc>
          <w:tcPr>
            <w:tcW w:w="1020" w:type="dxa"/>
          </w:tcPr>
          <w:p w14:paraId="713A1894" w14:textId="77777777" w:rsidR="00706EB9" w:rsidRPr="007D5D6B" w:rsidRDefault="00706EB9" w:rsidP="00D22A51">
            <w:pPr>
              <w:spacing w:before="60" w:after="40" w:line="240" w:lineRule="auto"/>
              <w:rPr>
                <w:rFonts w:cs="Arial"/>
                <w:color w:val="auto"/>
                <w:szCs w:val="18"/>
              </w:rPr>
            </w:pPr>
            <w:r w:rsidRPr="007D5D6B">
              <w:rPr>
                <w:rFonts w:cs="Arial"/>
                <w:color w:val="auto"/>
                <w:szCs w:val="18"/>
              </w:rPr>
              <w:t>9</w:t>
            </w:r>
          </w:p>
        </w:tc>
        <w:tc>
          <w:tcPr>
            <w:tcW w:w="5329" w:type="dxa"/>
          </w:tcPr>
          <w:p w14:paraId="5CCDE18C" w14:textId="77777777" w:rsidR="00D266FB" w:rsidRPr="00D266FB" w:rsidRDefault="00D266FB" w:rsidP="00D266FB">
            <w:pPr>
              <w:pStyle w:val="NoSpacing"/>
              <w:spacing w:before="40" w:after="40"/>
              <w:contextualSpacing/>
              <w:rPr>
                <w:sz w:val="16"/>
                <w:szCs w:val="16"/>
              </w:rPr>
            </w:pPr>
            <w:r w:rsidRPr="00D266FB">
              <w:rPr>
                <w:sz w:val="16"/>
                <w:szCs w:val="16"/>
              </w:rPr>
              <w:t>alpha-Linolenic acid- and docosahexaenoic acid-enriched eggs from hens fed flaxseed: influence on blood lipids and platelet phospholipid fatty acids in humans</w:t>
            </w:r>
          </w:p>
          <w:p w14:paraId="61529465" w14:textId="77777777" w:rsidR="00D266FB" w:rsidRPr="00D266FB" w:rsidRDefault="00D266FB" w:rsidP="00D266FB">
            <w:pPr>
              <w:pStyle w:val="NoSpacing"/>
              <w:spacing w:before="40" w:after="40"/>
              <w:contextualSpacing/>
              <w:rPr>
                <w:sz w:val="16"/>
                <w:szCs w:val="16"/>
              </w:rPr>
            </w:pPr>
            <w:r w:rsidRPr="00D266FB">
              <w:rPr>
                <w:sz w:val="16"/>
                <w:szCs w:val="16"/>
              </w:rPr>
              <w:t>By: Ferrier, Les K.; Caston, Linda J.; Leeson, Steve; et al.</w:t>
            </w:r>
          </w:p>
          <w:p w14:paraId="3813CD0B" w14:textId="77777777" w:rsidR="00706EB9" w:rsidRPr="00D266FB" w:rsidRDefault="00D266FB" w:rsidP="00D266FB">
            <w:pPr>
              <w:pStyle w:val="NoSpacing"/>
              <w:spacing w:before="40" w:after="40"/>
              <w:contextualSpacing/>
              <w:rPr>
                <w:sz w:val="16"/>
                <w:szCs w:val="16"/>
              </w:rPr>
            </w:pPr>
            <w:r w:rsidRPr="00D266FB">
              <w:rPr>
                <w:sz w:val="16"/>
                <w:szCs w:val="16"/>
              </w:rPr>
              <w:t>GUT   Volume: 60   Supplement: 1   Pages: 81-86   Published: APR 2011</w:t>
            </w:r>
          </w:p>
        </w:tc>
      </w:tr>
      <w:tr w:rsidR="00706EB9" w:rsidRPr="00286A88" w14:paraId="0F32BEB9" w14:textId="77777777" w:rsidTr="00043C78">
        <w:tc>
          <w:tcPr>
            <w:tcW w:w="3628" w:type="dxa"/>
            <w:shd w:val="clear" w:color="auto" w:fill="auto"/>
          </w:tcPr>
          <w:p w14:paraId="2FE23366" w14:textId="77777777" w:rsidR="00706EB9" w:rsidRPr="007D5D6B" w:rsidRDefault="00706EB9" w:rsidP="00D22A51">
            <w:pPr>
              <w:spacing w:before="60"/>
            </w:pPr>
            <w:r w:rsidRPr="007D5D6B">
              <w:t>Paper on economics with no welfare measures</w:t>
            </w:r>
          </w:p>
        </w:tc>
        <w:tc>
          <w:tcPr>
            <w:tcW w:w="1020" w:type="dxa"/>
          </w:tcPr>
          <w:p w14:paraId="13DA901F" w14:textId="77777777" w:rsidR="00706EB9" w:rsidRPr="007D5D6B" w:rsidRDefault="00706EB9" w:rsidP="00D22A51">
            <w:pPr>
              <w:spacing w:before="60" w:after="40" w:line="240" w:lineRule="auto"/>
              <w:rPr>
                <w:rFonts w:cs="Arial"/>
                <w:color w:val="auto"/>
                <w:szCs w:val="18"/>
              </w:rPr>
            </w:pPr>
            <w:r w:rsidRPr="007D5D6B">
              <w:rPr>
                <w:rFonts w:cs="Arial"/>
                <w:color w:val="auto"/>
                <w:szCs w:val="18"/>
              </w:rPr>
              <w:t>8</w:t>
            </w:r>
          </w:p>
        </w:tc>
        <w:tc>
          <w:tcPr>
            <w:tcW w:w="5329" w:type="dxa"/>
          </w:tcPr>
          <w:p w14:paraId="42D7B45A" w14:textId="77777777" w:rsidR="00D266FB" w:rsidRPr="00D266FB" w:rsidRDefault="00D266FB" w:rsidP="00D266FB">
            <w:pPr>
              <w:pStyle w:val="NoSpacing"/>
              <w:spacing w:before="40" w:after="40"/>
              <w:contextualSpacing/>
              <w:rPr>
                <w:sz w:val="16"/>
                <w:szCs w:val="16"/>
              </w:rPr>
            </w:pPr>
            <w:r w:rsidRPr="00D266FB">
              <w:rPr>
                <w:sz w:val="16"/>
                <w:szCs w:val="16"/>
              </w:rPr>
              <w:t>Determinants of economic success in egg production in Germany - here: laying hens kept in aviaries or small-group housing systems</w:t>
            </w:r>
          </w:p>
          <w:p w14:paraId="682EB849" w14:textId="77777777" w:rsidR="00D266FB" w:rsidRPr="00D266FB" w:rsidRDefault="00D266FB" w:rsidP="00D266FB">
            <w:pPr>
              <w:pStyle w:val="NoSpacing"/>
              <w:spacing w:before="40" w:after="40"/>
              <w:contextualSpacing/>
              <w:rPr>
                <w:sz w:val="16"/>
                <w:szCs w:val="16"/>
              </w:rPr>
            </w:pPr>
            <w:r w:rsidRPr="00D266FB">
              <w:rPr>
                <w:sz w:val="16"/>
                <w:szCs w:val="16"/>
              </w:rPr>
              <w:t>By: Campe, Amely; Hoes, Catherina; Koesters, Sarah; et al.</w:t>
            </w:r>
          </w:p>
          <w:p w14:paraId="6360AF52" w14:textId="77777777" w:rsidR="00706EB9" w:rsidRPr="00D266FB" w:rsidRDefault="00D266FB" w:rsidP="00D266FB">
            <w:pPr>
              <w:pStyle w:val="NoSpacing"/>
              <w:spacing w:before="40" w:after="40"/>
              <w:contextualSpacing/>
              <w:rPr>
                <w:sz w:val="16"/>
                <w:szCs w:val="16"/>
              </w:rPr>
            </w:pPr>
            <w:r w:rsidRPr="00D266FB">
              <w:rPr>
                <w:sz w:val="16"/>
                <w:szCs w:val="16"/>
              </w:rPr>
              <w:t>LANDBAUFORSCHUNG   Volume: 65   Issue: 3-4   Pages: 227-237   Published: DEC 2015</w:t>
            </w:r>
          </w:p>
        </w:tc>
      </w:tr>
      <w:tr w:rsidR="00706EB9" w:rsidRPr="00286A88" w14:paraId="768FBECC" w14:textId="77777777" w:rsidTr="00043C78">
        <w:tc>
          <w:tcPr>
            <w:tcW w:w="3628" w:type="dxa"/>
            <w:shd w:val="clear" w:color="auto" w:fill="auto"/>
          </w:tcPr>
          <w:p w14:paraId="28CB8232" w14:textId="77777777" w:rsidR="00706EB9" w:rsidRPr="007D5D6B" w:rsidRDefault="00706EB9" w:rsidP="00D22A51">
            <w:pPr>
              <w:spacing w:before="60"/>
            </w:pPr>
            <w:r w:rsidRPr="007D5D6B">
              <w:t>Paper on fundamental study of behaviour or cognition with no immediate welfare relevance</w:t>
            </w:r>
          </w:p>
        </w:tc>
        <w:tc>
          <w:tcPr>
            <w:tcW w:w="1020" w:type="dxa"/>
          </w:tcPr>
          <w:p w14:paraId="224E7A7A" w14:textId="77777777" w:rsidR="00706EB9" w:rsidRPr="007D5D6B" w:rsidRDefault="00706EB9" w:rsidP="00D22A51">
            <w:pPr>
              <w:spacing w:before="60" w:after="40" w:line="240" w:lineRule="auto"/>
              <w:rPr>
                <w:rFonts w:cs="Arial"/>
                <w:color w:val="auto"/>
                <w:szCs w:val="18"/>
              </w:rPr>
            </w:pPr>
            <w:r w:rsidRPr="007D5D6B">
              <w:rPr>
                <w:rFonts w:cs="Arial"/>
                <w:color w:val="auto"/>
                <w:szCs w:val="18"/>
              </w:rPr>
              <w:t>28</w:t>
            </w:r>
          </w:p>
        </w:tc>
        <w:tc>
          <w:tcPr>
            <w:tcW w:w="5329" w:type="dxa"/>
          </w:tcPr>
          <w:p w14:paraId="37BD6AA5" w14:textId="77777777" w:rsidR="00D266FB" w:rsidRPr="00D266FB" w:rsidRDefault="00D266FB" w:rsidP="00D266FB">
            <w:pPr>
              <w:pStyle w:val="NoSpacing"/>
              <w:spacing w:before="40" w:after="40"/>
              <w:contextualSpacing/>
              <w:rPr>
                <w:sz w:val="16"/>
                <w:szCs w:val="16"/>
              </w:rPr>
            </w:pPr>
            <w:r w:rsidRPr="00D266FB">
              <w:rPr>
                <w:sz w:val="16"/>
                <w:szCs w:val="16"/>
              </w:rPr>
              <w:t>Avian maternal response to chick distress</w:t>
            </w:r>
          </w:p>
          <w:p w14:paraId="78B10AFD" w14:textId="77777777" w:rsidR="00D266FB" w:rsidRPr="00D266FB" w:rsidRDefault="00D266FB" w:rsidP="00D266FB">
            <w:pPr>
              <w:pStyle w:val="NoSpacing"/>
              <w:spacing w:before="40" w:after="40"/>
              <w:contextualSpacing/>
              <w:rPr>
                <w:sz w:val="16"/>
                <w:szCs w:val="16"/>
              </w:rPr>
            </w:pPr>
            <w:r w:rsidRPr="00D266FB">
              <w:rPr>
                <w:sz w:val="16"/>
                <w:szCs w:val="16"/>
              </w:rPr>
              <w:t>By: Edgar, J. L.; Lowe, J. C.; Paul, E. S.; et al.</w:t>
            </w:r>
          </w:p>
          <w:p w14:paraId="3AFF7DF4" w14:textId="77777777" w:rsidR="00706EB9" w:rsidRPr="00D266FB" w:rsidRDefault="00D266FB" w:rsidP="00D266FB">
            <w:pPr>
              <w:pStyle w:val="NoSpacing"/>
              <w:spacing w:before="40" w:after="40"/>
              <w:contextualSpacing/>
              <w:rPr>
                <w:sz w:val="16"/>
                <w:szCs w:val="16"/>
              </w:rPr>
            </w:pPr>
            <w:r w:rsidRPr="00D266FB">
              <w:rPr>
                <w:sz w:val="16"/>
                <w:szCs w:val="16"/>
              </w:rPr>
              <w:t>PROCEEDINGS OF THE ROYAL SOCIETY B-BIOLOGICAL SCIENCES   Volume: 278   Issue: 1721   Pages: 3129-3134   Published: OCT 22 2011</w:t>
            </w:r>
          </w:p>
        </w:tc>
      </w:tr>
      <w:tr w:rsidR="00706EB9" w:rsidRPr="00286A88" w14:paraId="597C235D" w14:textId="77777777" w:rsidTr="00043C78">
        <w:tc>
          <w:tcPr>
            <w:tcW w:w="3628" w:type="dxa"/>
            <w:shd w:val="clear" w:color="auto" w:fill="auto"/>
          </w:tcPr>
          <w:p w14:paraId="03978B0E" w14:textId="77777777" w:rsidR="00706EB9" w:rsidRPr="007D5D6B" w:rsidRDefault="00706EB9" w:rsidP="00D22A51">
            <w:pPr>
              <w:spacing w:before="60"/>
            </w:pPr>
            <w:r w:rsidRPr="007D5D6B">
              <w:t>Paper on slaughter</w:t>
            </w:r>
          </w:p>
        </w:tc>
        <w:tc>
          <w:tcPr>
            <w:tcW w:w="1020" w:type="dxa"/>
          </w:tcPr>
          <w:p w14:paraId="67BE3DC6" w14:textId="77777777" w:rsidR="00706EB9" w:rsidRPr="007D5D6B" w:rsidRDefault="00706EB9" w:rsidP="00D22A51">
            <w:pPr>
              <w:spacing w:before="60" w:after="40" w:line="240" w:lineRule="auto"/>
              <w:rPr>
                <w:rFonts w:cs="Arial"/>
                <w:color w:val="auto"/>
                <w:szCs w:val="18"/>
              </w:rPr>
            </w:pPr>
            <w:r w:rsidRPr="007D5D6B">
              <w:rPr>
                <w:rFonts w:cs="Arial"/>
                <w:color w:val="auto"/>
                <w:szCs w:val="18"/>
              </w:rPr>
              <w:t>16</w:t>
            </w:r>
          </w:p>
        </w:tc>
        <w:tc>
          <w:tcPr>
            <w:tcW w:w="5329" w:type="dxa"/>
          </w:tcPr>
          <w:p w14:paraId="0854BCC9" w14:textId="77777777" w:rsidR="00D266FB" w:rsidRPr="00D266FB" w:rsidRDefault="00D266FB" w:rsidP="00D266FB">
            <w:pPr>
              <w:pStyle w:val="NoSpacing"/>
              <w:spacing w:before="40" w:after="40"/>
              <w:contextualSpacing/>
              <w:rPr>
                <w:sz w:val="16"/>
                <w:szCs w:val="16"/>
              </w:rPr>
            </w:pPr>
            <w:r w:rsidRPr="00D266FB">
              <w:rPr>
                <w:sz w:val="16"/>
                <w:szCs w:val="16"/>
              </w:rPr>
              <w:t>Killing of spent laying hens using CO2 in poultry barns</w:t>
            </w:r>
          </w:p>
          <w:p w14:paraId="35DB150E" w14:textId="77777777" w:rsidR="00D266FB" w:rsidRPr="00D266FB" w:rsidRDefault="00D266FB" w:rsidP="00D266FB">
            <w:pPr>
              <w:pStyle w:val="NoSpacing"/>
              <w:spacing w:before="40" w:after="40"/>
              <w:contextualSpacing/>
              <w:rPr>
                <w:sz w:val="16"/>
                <w:szCs w:val="16"/>
              </w:rPr>
            </w:pPr>
            <w:r w:rsidRPr="00D266FB">
              <w:rPr>
                <w:sz w:val="16"/>
                <w:szCs w:val="16"/>
              </w:rPr>
              <w:t>By: Berg, C.; Yngvesson, J.; Nimmermark, S.; et al.</w:t>
            </w:r>
          </w:p>
          <w:p w14:paraId="30C3901B" w14:textId="77777777" w:rsidR="00706EB9" w:rsidRPr="00D266FB" w:rsidRDefault="00D266FB" w:rsidP="00D266FB">
            <w:pPr>
              <w:pStyle w:val="NoSpacing"/>
              <w:spacing w:before="40" w:after="40"/>
              <w:contextualSpacing/>
              <w:rPr>
                <w:sz w:val="16"/>
                <w:szCs w:val="16"/>
              </w:rPr>
            </w:pPr>
            <w:r w:rsidRPr="00D266FB">
              <w:rPr>
                <w:sz w:val="16"/>
                <w:szCs w:val="16"/>
              </w:rPr>
              <w:t>ANIMAL WELFARE   Volume: 23   Issue: 4   Pages: 445-457   Published: SEP 2014</w:t>
            </w:r>
          </w:p>
        </w:tc>
      </w:tr>
      <w:tr w:rsidR="00706EB9" w:rsidRPr="00286A88" w14:paraId="2C04DFB7" w14:textId="77777777" w:rsidTr="00043C78">
        <w:tc>
          <w:tcPr>
            <w:tcW w:w="3628" w:type="dxa"/>
            <w:shd w:val="clear" w:color="auto" w:fill="auto"/>
          </w:tcPr>
          <w:p w14:paraId="0A659289" w14:textId="77777777" w:rsidR="00706EB9" w:rsidRPr="007D5D6B" w:rsidRDefault="00706EB9" w:rsidP="00D22A51">
            <w:pPr>
              <w:spacing w:before="60"/>
            </w:pPr>
            <w:r w:rsidRPr="007D5D6B">
              <w:t>Paper on transport</w:t>
            </w:r>
          </w:p>
        </w:tc>
        <w:tc>
          <w:tcPr>
            <w:tcW w:w="1020" w:type="dxa"/>
          </w:tcPr>
          <w:p w14:paraId="75B34CE3" w14:textId="77777777" w:rsidR="00706EB9" w:rsidRPr="007D5D6B" w:rsidRDefault="00706EB9" w:rsidP="00D22A51">
            <w:pPr>
              <w:spacing w:before="60" w:after="40" w:line="240" w:lineRule="auto"/>
              <w:rPr>
                <w:rFonts w:cs="Arial"/>
                <w:color w:val="auto"/>
                <w:szCs w:val="18"/>
              </w:rPr>
            </w:pPr>
            <w:r w:rsidRPr="007D5D6B">
              <w:rPr>
                <w:rFonts w:cs="Arial"/>
                <w:color w:val="auto"/>
                <w:szCs w:val="18"/>
              </w:rPr>
              <w:t>2</w:t>
            </w:r>
          </w:p>
        </w:tc>
        <w:tc>
          <w:tcPr>
            <w:tcW w:w="5329" w:type="dxa"/>
          </w:tcPr>
          <w:p w14:paraId="7A99865D" w14:textId="77777777" w:rsidR="00D266FB" w:rsidRPr="00D266FB" w:rsidRDefault="00D266FB" w:rsidP="00D266FB">
            <w:pPr>
              <w:pStyle w:val="NoSpacing"/>
              <w:spacing w:before="40" w:after="40"/>
              <w:contextualSpacing/>
              <w:rPr>
                <w:sz w:val="16"/>
                <w:szCs w:val="16"/>
              </w:rPr>
            </w:pPr>
            <w:r w:rsidRPr="00D266FB">
              <w:rPr>
                <w:sz w:val="16"/>
                <w:szCs w:val="16"/>
              </w:rPr>
              <w:t>Effects of transport distance and the season of the year on death rates among hens and roosters intransport to poultry processing plants in the Czech Republic in the period from 1997 to 2004</w:t>
            </w:r>
          </w:p>
          <w:p w14:paraId="6EC49F2F" w14:textId="77777777" w:rsidR="00D266FB" w:rsidRPr="00D266FB" w:rsidRDefault="00D266FB" w:rsidP="00D266FB">
            <w:pPr>
              <w:pStyle w:val="NoSpacing"/>
              <w:spacing w:before="40" w:after="40"/>
              <w:contextualSpacing/>
              <w:rPr>
                <w:sz w:val="16"/>
                <w:szCs w:val="16"/>
              </w:rPr>
            </w:pPr>
            <w:r w:rsidRPr="00D266FB">
              <w:rPr>
                <w:sz w:val="16"/>
                <w:szCs w:val="16"/>
              </w:rPr>
              <w:t>By: Voslarova, E.; Janackova, B.; Vitula, F.; et al.</w:t>
            </w:r>
          </w:p>
          <w:p w14:paraId="081BC297" w14:textId="77777777" w:rsidR="00706EB9" w:rsidRPr="00D266FB" w:rsidRDefault="00D266FB" w:rsidP="00D266FB">
            <w:pPr>
              <w:pStyle w:val="NoSpacing"/>
              <w:spacing w:before="40" w:after="40"/>
              <w:contextualSpacing/>
              <w:rPr>
                <w:sz w:val="16"/>
                <w:szCs w:val="16"/>
              </w:rPr>
            </w:pPr>
            <w:r w:rsidRPr="00D266FB">
              <w:rPr>
                <w:sz w:val="16"/>
                <w:szCs w:val="16"/>
              </w:rPr>
              <w:t>VETERINARNI MEDICINA   Volume: 52   Issue: 6   Pages: 262-266   Published: JUN 2007</w:t>
            </w:r>
          </w:p>
        </w:tc>
      </w:tr>
      <w:tr w:rsidR="00706EB9" w:rsidRPr="00286A88" w14:paraId="58EA4253" w14:textId="77777777" w:rsidTr="00043C78">
        <w:tc>
          <w:tcPr>
            <w:tcW w:w="3628" w:type="dxa"/>
            <w:shd w:val="clear" w:color="auto" w:fill="auto"/>
          </w:tcPr>
          <w:p w14:paraId="5207468C" w14:textId="77777777" w:rsidR="00706EB9" w:rsidRPr="007D5D6B" w:rsidRDefault="00706EB9" w:rsidP="00D22A51">
            <w:pPr>
              <w:spacing w:before="60"/>
            </w:pPr>
            <w:r w:rsidRPr="007D5D6B">
              <w:t>Paper on rare breeds, local varieties or backyard flocks</w:t>
            </w:r>
          </w:p>
        </w:tc>
        <w:tc>
          <w:tcPr>
            <w:tcW w:w="1020" w:type="dxa"/>
          </w:tcPr>
          <w:p w14:paraId="7C2A453E" w14:textId="77777777" w:rsidR="00706EB9" w:rsidRPr="007D5D6B" w:rsidRDefault="00706EB9" w:rsidP="00D22A51">
            <w:pPr>
              <w:spacing w:before="60" w:after="40" w:line="240" w:lineRule="auto"/>
              <w:rPr>
                <w:rFonts w:cs="Arial"/>
                <w:color w:val="auto"/>
                <w:szCs w:val="18"/>
              </w:rPr>
            </w:pPr>
            <w:r w:rsidRPr="007D5D6B">
              <w:rPr>
                <w:rFonts w:cs="Arial"/>
                <w:color w:val="auto"/>
                <w:szCs w:val="18"/>
              </w:rPr>
              <w:t>17</w:t>
            </w:r>
          </w:p>
        </w:tc>
        <w:tc>
          <w:tcPr>
            <w:tcW w:w="5329" w:type="dxa"/>
          </w:tcPr>
          <w:p w14:paraId="7CAF5A4C" w14:textId="77777777" w:rsidR="00D266FB" w:rsidRPr="00D266FB" w:rsidRDefault="00D266FB" w:rsidP="00D266FB">
            <w:pPr>
              <w:pStyle w:val="NoSpacing"/>
              <w:spacing w:before="40" w:after="40"/>
              <w:contextualSpacing/>
              <w:rPr>
                <w:sz w:val="16"/>
                <w:szCs w:val="16"/>
              </w:rPr>
            </w:pPr>
            <w:r w:rsidRPr="00D266FB">
              <w:rPr>
                <w:sz w:val="16"/>
                <w:szCs w:val="16"/>
              </w:rPr>
              <w:t>Characterization of two Indian native chicken breeds for production, egg and semen quality, andwelfare traits</w:t>
            </w:r>
          </w:p>
          <w:p w14:paraId="6E2822B2" w14:textId="77777777" w:rsidR="00D266FB" w:rsidRPr="00D266FB" w:rsidRDefault="00D266FB" w:rsidP="00D266FB">
            <w:pPr>
              <w:pStyle w:val="NoSpacing"/>
              <w:spacing w:before="40" w:after="40"/>
              <w:contextualSpacing/>
              <w:rPr>
                <w:sz w:val="16"/>
                <w:szCs w:val="16"/>
              </w:rPr>
            </w:pPr>
            <w:r w:rsidRPr="00D266FB">
              <w:rPr>
                <w:sz w:val="16"/>
                <w:szCs w:val="16"/>
              </w:rPr>
              <w:t>By: Haunshi, S.; Niranjan, M.; Shanmugam, M.; et al.</w:t>
            </w:r>
          </w:p>
          <w:p w14:paraId="14C80811" w14:textId="77777777" w:rsidR="00706EB9" w:rsidRPr="00D266FB" w:rsidRDefault="00D266FB" w:rsidP="00D266FB">
            <w:pPr>
              <w:pStyle w:val="NoSpacing"/>
              <w:spacing w:before="40" w:after="40"/>
              <w:contextualSpacing/>
              <w:rPr>
                <w:sz w:val="16"/>
                <w:szCs w:val="16"/>
              </w:rPr>
            </w:pPr>
            <w:r w:rsidRPr="00D266FB">
              <w:rPr>
                <w:sz w:val="16"/>
                <w:szCs w:val="16"/>
              </w:rPr>
              <w:t>POULTRY SCIENCE   Volume: 90   Issue: 2   Pages: 314-320   Published: FEB 1 201</w:t>
            </w:r>
          </w:p>
        </w:tc>
      </w:tr>
      <w:tr w:rsidR="00706EB9" w:rsidRPr="00286A88" w14:paraId="7186CE8A" w14:textId="77777777" w:rsidTr="00043C78">
        <w:tc>
          <w:tcPr>
            <w:tcW w:w="3628" w:type="dxa"/>
            <w:shd w:val="clear" w:color="auto" w:fill="auto"/>
          </w:tcPr>
          <w:p w14:paraId="2DFF554D" w14:textId="77777777" w:rsidR="00706EB9" w:rsidRPr="007D5D6B" w:rsidRDefault="00706EB9" w:rsidP="00D22A51">
            <w:pPr>
              <w:spacing w:before="60"/>
            </w:pPr>
            <w:r w:rsidRPr="007D5D6B">
              <w:t>Totally</w:t>
            </w:r>
            <w:r w:rsidR="00EA5ED8">
              <w:t xml:space="preserve"> irrelevant e.g. people’s names</w:t>
            </w:r>
          </w:p>
        </w:tc>
        <w:tc>
          <w:tcPr>
            <w:tcW w:w="1020" w:type="dxa"/>
          </w:tcPr>
          <w:p w14:paraId="37783B12" w14:textId="77777777" w:rsidR="00706EB9" w:rsidRPr="007D5D6B" w:rsidRDefault="00706EB9" w:rsidP="00D22A51">
            <w:pPr>
              <w:spacing w:before="60" w:after="40" w:line="240" w:lineRule="auto"/>
              <w:rPr>
                <w:rFonts w:cs="Arial"/>
                <w:color w:val="auto"/>
                <w:szCs w:val="18"/>
              </w:rPr>
            </w:pPr>
            <w:r w:rsidRPr="007D5D6B">
              <w:rPr>
                <w:rFonts w:cs="Arial"/>
                <w:color w:val="auto"/>
                <w:szCs w:val="18"/>
              </w:rPr>
              <w:t>16</w:t>
            </w:r>
          </w:p>
        </w:tc>
        <w:tc>
          <w:tcPr>
            <w:tcW w:w="5329" w:type="dxa"/>
          </w:tcPr>
          <w:p w14:paraId="1A7F020D" w14:textId="77777777" w:rsidR="00D266FB" w:rsidRPr="00D266FB" w:rsidRDefault="00D266FB" w:rsidP="00D266FB">
            <w:pPr>
              <w:pStyle w:val="NoSpacing"/>
              <w:spacing w:before="40" w:after="40"/>
              <w:contextualSpacing/>
              <w:rPr>
                <w:sz w:val="16"/>
                <w:szCs w:val="16"/>
              </w:rPr>
            </w:pPr>
            <w:r w:rsidRPr="00D266FB">
              <w:rPr>
                <w:sz w:val="16"/>
                <w:szCs w:val="16"/>
              </w:rPr>
              <w:t>Making Better Sense of Animal Disenhancement: A Reply to Henschke</w:t>
            </w:r>
          </w:p>
          <w:p w14:paraId="157E5E67" w14:textId="77777777" w:rsidR="00D266FB" w:rsidRPr="00D266FB" w:rsidRDefault="00D266FB" w:rsidP="00D266FB">
            <w:pPr>
              <w:pStyle w:val="NoSpacing"/>
              <w:spacing w:before="40" w:after="40"/>
              <w:contextualSpacing/>
              <w:rPr>
                <w:sz w:val="16"/>
                <w:szCs w:val="16"/>
              </w:rPr>
            </w:pPr>
            <w:r w:rsidRPr="00D266FB">
              <w:rPr>
                <w:sz w:val="16"/>
                <w:szCs w:val="16"/>
              </w:rPr>
              <w:t>By: Schultz-Bergin, Marcus</w:t>
            </w:r>
          </w:p>
          <w:p w14:paraId="2BF8594E" w14:textId="77777777" w:rsidR="00706EB9" w:rsidRPr="00D266FB" w:rsidRDefault="00D266FB" w:rsidP="00D266FB">
            <w:pPr>
              <w:pStyle w:val="NoSpacing"/>
              <w:spacing w:before="40" w:after="40"/>
              <w:contextualSpacing/>
              <w:rPr>
                <w:sz w:val="16"/>
                <w:szCs w:val="16"/>
              </w:rPr>
            </w:pPr>
            <w:r w:rsidRPr="00D266FB">
              <w:rPr>
                <w:sz w:val="16"/>
                <w:szCs w:val="16"/>
              </w:rPr>
              <w:t>NANOETHICS   Volume: 8   Issue: 1   Pages: 101-109   Published: APR 2014</w:t>
            </w:r>
          </w:p>
        </w:tc>
      </w:tr>
      <w:tr w:rsidR="00286A88" w:rsidRPr="00286A88" w14:paraId="07E0D986" w14:textId="77777777" w:rsidTr="00043C78">
        <w:tc>
          <w:tcPr>
            <w:tcW w:w="3628" w:type="dxa"/>
          </w:tcPr>
          <w:p w14:paraId="5BAE6FBA" w14:textId="77777777" w:rsidR="00286A88" w:rsidRPr="00435E31" w:rsidRDefault="005D3F8F" w:rsidP="002B2473">
            <w:pPr>
              <w:spacing w:before="60" w:line="240" w:lineRule="auto"/>
              <w:rPr>
                <w:rFonts w:cs="Arial"/>
                <w:b/>
                <w:color w:val="auto"/>
                <w:szCs w:val="18"/>
              </w:rPr>
            </w:pPr>
            <w:r w:rsidRPr="00435E31">
              <w:rPr>
                <w:rFonts w:cs="Arial"/>
                <w:b/>
                <w:color w:val="auto"/>
                <w:szCs w:val="18"/>
              </w:rPr>
              <w:t>Papers excluded from primary search</w:t>
            </w:r>
          </w:p>
        </w:tc>
        <w:tc>
          <w:tcPr>
            <w:tcW w:w="1020" w:type="dxa"/>
          </w:tcPr>
          <w:p w14:paraId="4E012C7A" w14:textId="77777777" w:rsidR="00286A88" w:rsidRPr="00435E31" w:rsidRDefault="005D3F8F" w:rsidP="002B2473">
            <w:pPr>
              <w:spacing w:before="60" w:line="240" w:lineRule="auto"/>
              <w:rPr>
                <w:rFonts w:cs="Arial"/>
                <w:b/>
                <w:color w:val="auto"/>
                <w:szCs w:val="18"/>
              </w:rPr>
            </w:pPr>
            <w:r w:rsidRPr="00435E31">
              <w:rPr>
                <w:rFonts w:cs="Arial"/>
                <w:b/>
                <w:color w:val="auto"/>
                <w:szCs w:val="18"/>
              </w:rPr>
              <w:t>545</w:t>
            </w:r>
          </w:p>
        </w:tc>
        <w:tc>
          <w:tcPr>
            <w:tcW w:w="5329" w:type="dxa"/>
          </w:tcPr>
          <w:p w14:paraId="1E143278" w14:textId="77777777" w:rsidR="00286A88" w:rsidRPr="007D5D6B" w:rsidRDefault="00435E31" w:rsidP="004A3DB9">
            <w:pPr>
              <w:spacing w:before="60" w:line="240" w:lineRule="auto"/>
              <w:rPr>
                <w:rFonts w:cs="Arial"/>
                <w:b/>
                <w:color w:val="auto"/>
                <w:szCs w:val="18"/>
              </w:rPr>
            </w:pPr>
            <w:r>
              <w:rPr>
                <w:rFonts w:cs="Arial"/>
                <w:b/>
                <w:color w:val="auto"/>
                <w:szCs w:val="18"/>
              </w:rPr>
              <w:t>Papers retained from primary search: 8</w:t>
            </w:r>
            <w:r w:rsidR="004A3DB9">
              <w:rPr>
                <w:rFonts w:cs="Arial"/>
                <w:b/>
                <w:color w:val="auto"/>
                <w:szCs w:val="18"/>
              </w:rPr>
              <w:t>95</w:t>
            </w:r>
            <w:r>
              <w:rPr>
                <w:rFonts w:cs="Arial"/>
                <w:b/>
                <w:color w:val="auto"/>
                <w:szCs w:val="18"/>
              </w:rPr>
              <w:t xml:space="preserve"> – 545 = 3</w:t>
            </w:r>
            <w:r w:rsidR="004A3DB9">
              <w:rPr>
                <w:rFonts w:cs="Arial"/>
                <w:b/>
                <w:color w:val="auto"/>
                <w:szCs w:val="18"/>
              </w:rPr>
              <w:t>50</w:t>
            </w:r>
          </w:p>
        </w:tc>
      </w:tr>
    </w:tbl>
    <w:p w14:paraId="5805986F" w14:textId="77777777" w:rsidR="00286A88" w:rsidRPr="00B34561" w:rsidRDefault="00286A88" w:rsidP="0002516E">
      <w:pPr>
        <w:spacing w:before="240" w:after="240"/>
        <w:rPr>
          <w:b/>
          <w:i/>
          <w:lang w:val="en-GB"/>
        </w:rPr>
      </w:pPr>
      <w:r w:rsidRPr="00B34561">
        <w:rPr>
          <w:b/>
          <w:i/>
          <w:lang w:val="en-GB"/>
        </w:rPr>
        <w:t>Laying Hen Secondary Searches</w:t>
      </w:r>
    </w:p>
    <w:tbl>
      <w:tblPr>
        <w:tblStyle w:val="TableGrid11"/>
        <w:tblW w:w="9954" w:type="dxa"/>
        <w:tblLook w:val="04A0" w:firstRow="1" w:lastRow="0" w:firstColumn="1" w:lastColumn="0" w:noHBand="0" w:noVBand="1"/>
        <w:tblCaption w:val="Results of secondary literature searches for laying hens"/>
        <w:tblDescription w:val="This table shows the results of secondary literature searches for laying hens. The left hand column shows the search terms used in the secondary searches. The second column shows the number of papers returned from each of these searches. The third column shows the additional papers included from these searches. The right hand column makes broad comments on the secondary searches."/>
      </w:tblPr>
      <w:tblGrid>
        <w:gridCol w:w="4025"/>
        <w:gridCol w:w="1020"/>
        <w:gridCol w:w="1020"/>
        <w:gridCol w:w="3889"/>
      </w:tblGrid>
      <w:tr w:rsidR="00286A88" w:rsidRPr="00286A88" w14:paraId="22003BCE" w14:textId="77777777" w:rsidTr="00587D34">
        <w:trPr>
          <w:tblHeader/>
        </w:trPr>
        <w:tc>
          <w:tcPr>
            <w:tcW w:w="4025" w:type="dxa"/>
            <w:shd w:val="clear" w:color="auto" w:fill="auto"/>
          </w:tcPr>
          <w:p w14:paraId="69B5C159" w14:textId="77777777" w:rsidR="00286A88" w:rsidRPr="0002516E" w:rsidRDefault="00286A88" w:rsidP="0002516E">
            <w:pPr>
              <w:spacing w:before="60"/>
              <w:rPr>
                <w:b/>
              </w:rPr>
            </w:pPr>
            <w:r w:rsidRPr="0002516E">
              <w:rPr>
                <w:b/>
              </w:rPr>
              <w:t>Search terms for synonyms of species or welfare</w:t>
            </w:r>
          </w:p>
        </w:tc>
        <w:tc>
          <w:tcPr>
            <w:tcW w:w="1020" w:type="dxa"/>
            <w:shd w:val="clear" w:color="auto" w:fill="auto"/>
          </w:tcPr>
          <w:p w14:paraId="7CC76A2A" w14:textId="77777777" w:rsidR="00286A88" w:rsidRPr="0002516E" w:rsidRDefault="00286A88" w:rsidP="0002516E">
            <w:pPr>
              <w:spacing w:before="60"/>
            </w:pPr>
            <w:r w:rsidRPr="0002516E">
              <w:t>Hits</w:t>
            </w:r>
          </w:p>
        </w:tc>
        <w:tc>
          <w:tcPr>
            <w:tcW w:w="1020" w:type="dxa"/>
            <w:shd w:val="clear" w:color="auto" w:fill="auto"/>
          </w:tcPr>
          <w:p w14:paraId="0940D09C" w14:textId="77777777" w:rsidR="00286A88" w:rsidRPr="0002516E" w:rsidRDefault="00286A88" w:rsidP="0002516E">
            <w:pPr>
              <w:spacing w:before="60"/>
            </w:pPr>
            <w:r w:rsidRPr="0002516E">
              <w:t>Additional Papers Included</w:t>
            </w:r>
          </w:p>
        </w:tc>
        <w:tc>
          <w:tcPr>
            <w:tcW w:w="3889" w:type="dxa"/>
            <w:shd w:val="clear" w:color="auto" w:fill="auto"/>
          </w:tcPr>
          <w:p w14:paraId="168FB42F" w14:textId="77777777" w:rsidR="00286A88" w:rsidRPr="0002516E" w:rsidRDefault="00286A88" w:rsidP="0002516E">
            <w:pPr>
              <w:spacing w:before="60"/>
            </w:pPr>
            <w:r w:rsidRPr="0002516E">
              <w:t>Comments</w:t>
            </w:r>
          </w:p>
        </w:tc>
      </w:tr>
      <w:tr w:rsidR="00286A88" w:rsidRPr="00286A88" w14:paraId="64DC64CA" w14:textId="77777777" w:rsidTr="007975A6">
        <w:tc>
          <w:tcPr>
            <w:tcW w:w="4025" w:type="dxa"/>
          </w:tcPr>
          <w:p w14:paraId="7E03014F" w14:textId="77777777" w:rsidR="00286A88" w:rsidRPr="0002516E" w:rsidRDefault="00286A88" w:rsidP="0002516E">
            <w:pPr>
              <w:spacing w:before="60"/>
            </w:pPr>
            <w:r w:rsidRPr="0002516E">
              <w:t>(hen* NOT hence* OR “domestic fowl”) AND Wellbeing</w:t>
            </w:r>
          </w:p>
        </w:tc>
        <w:tc>
          <w:tcPr>
            <w:tcW w:w="1020" w:type="dxa"/>
          </w:tcPr>
          <w:p w14:paraId="54562BBC" w14:textId="77777777" w:rsidR="00286A88" w:rsidRPr="0002516E" w:rsidRDefault="00286A88" w:rsidP="0002516E">
            <w:pPr>
              <w:spacing w:before="60"/>
              <w:rPr>
                <w:rFonts w:cs="Arial"/>
                <w:color w:val="auto"/>
                <w:szCs w:val="18"/>
              </w:rPr>
            </w:pPr>
            <w:r w:rsidRPr="0002516E">
              <w:rPr>
                <w:rFonts w:cs="Arial"/>
                <w:color w:val="auto"/>
                <w:szCs w:val="18"/>
              </w:rPr>
              <w:t>18</w:t>
            </w:r>
          </w:p>
        </w:tc>
        <w:tc>
          <w:tcPr>
            <w:tcW w:w="1020" w:type="dxa"/>
          </w:tcPr>
          <w:p w14:paraId="08D8A4D7" w14:textId="77777777" w:rsidR="00286A88" w:rsidRPr="0002516E" w:rsidRDefault="00286A88" w:rsidP="0002516E">
            <w:pPr>
              <w:spacing w:before="60"/>
              <w:rPr>
                <w:rFonts w:cs="Arial"/>
                <w:color w:val="auto"/>
                <w:szCs w:val="18"/>
              </w:rPr>
            </w:pPr>
            <w:r w:rsidRPr="0002516E">
              <w:rPr>
                <w:rFonts w:cs="Arial"/>
                <w:color w:val="auto"/>
                <w:szCs w:val="18"/>
              </w:rPr>
              <w:t>0</w:t>
            </w:r>
          </w:p>
        </w:tc>
        <w:tc>
          <w:tcPr>
            <w:tcW w:w="3889" w:type="dxa"/>
          </w:tcPr>
          <w:p w14:paraId="7A3881E7" w14:textId="77777777" w:rsidR="00286A88" w:rsidRPr="0002516E" w:rsidRDefault="00286A88" w:rsidP="0002516E">
            <w:pPr>
              <w:spacing w:before="60"/>
            </w:pPr>
          </w:p>
        </w:tc>
      </w:tr>
      <w:tr w:rsidR="00286A88" w:rsidRPr="00286A88" w14:paraId="758DA9F3" w14:textId="77777777" w:rsidTr="007975A6">
        <w:tc>
          <w:tcPr>
            <w:tcW w:w="4025" w:type="dxa"/>
          </w:tcPr>
          <w:p w14:paraId="76138C8B" w14:textId="77777777" w:rsidR="00286A88" w:rsidRPr="0002516E" w:rsidRDefault="00286A88" w:rsidP="0002516E">
            <w:pPr>
              <w:spacing w:before="60"/>
            </w:pPr>
            <w:r w:rsidRPr="0002516E">
              <w:t>(hen* NOT hence* OR “domestic fowl”) AND Well-being</w:t>
            </w:r>
          </w:p>
        </w:tc>
        <w:tc>
          <w:tcPr>
            <w:tcW w:w="1020" w:type="dxa"/>
          </w:tcPr>
          <w:p w14:paraId="6703B7AA" w14:textId="77777777" w:rsidR="00286A88" w:rsidRPr="0002516E" w:rsidRDefault="00286A88" w:rsidP="0002516E">
            <w:pPr>
              <w:spacing w:before="60"/>
              <w:rPr>
                <w:rFonts w:cs="Arial"/>
                <w:color w:val="auto"/>
                <w:szCs w:val="18"/>
              </w:rPr>
            </w:pPr>
            <w:r w:rsidRPr="0002516E">
              <w:rPr>
                <w:rFonts w:cs="Arial"/>
                <w:color w:val="auto"/>
                <w:szCs w:val="18"/>
              </w:rPr>
              <w:t>77</w:t>
            </w:r>
          </w:p>
        </w:tc>
        <w:tc>
          <w:tcPr>
            <w:tcW w:w="1020" w:type="dxa"/>
          </w:tcPr>
          <w:p w14:paraId="14A9E8AD" w14:textId="77777777" w:rsidR="00286A88" w:rsidRPr="0002516E" w:rsidRDefault="00286A88" w:rsidP="0002516E">
            <w:pPr>
              <w:spacing w:before="60"/>
              <w:rPr>
                <w:rFonts w:cs="Arial"/>
                <w:color w:val="auto"/>
                <w:szCs w:val="18"/>
              </w:rPr>
            </w:pPr>
            <w:r w:rsidRPr="0002516E">
              <w:rPr>
                <w:rFonts w:cs="Arial"/>
                <w:color w:val="auto"/>
                <w:szCs w:val="18"/>
              </w:rPr>
              <w:t>12</w:t>
            </w:r>
          </w:p>
        </w:tc>
        <w:tc>
          <w:tcPr>
            <w:tcW w:w="3889" w:type="dxa"/>
          </w:tcPr>
          <w:p w14:paraId="554FE83F" w14:textId="77777777" w:rsidR="00286A88" w:rsidRPr="0002516E" w:rsidRDefault="00286A88" w:rsidP="0002516E">
            <w:pPr>
              <w:spacing w:before="60"/>
            </w:pPr>
          </w:p>
        </w:tc>
      </w:tr>
      <w:tr w:rsidR="00286A88" w:rsidRPr="00286A88" w14:paraId="496E6832" w14:textId="77777777" w:rsidTr="007975A6">
        <w:tc>
          <w:tcPr>
            <w:tcW w:w="4025" w:type="dxa"/>
          </w:tcPr>
          <w:p w14:paraId="56BDD326" w14:textId="77777777" w:rsidR="00286A88" w:rsidRPr="0002516E" w:rsidRDefault="00046273" w:rsidP="0002516E">
            <w:pPr>
              <w:spacing w:before="60"/>
            </w:pPr>
            <w:r>
              <w:t>(chick* NOT broiler*) AND w</w:t>
            </w:r>
            <w:r w:rsidR="00286A88" w:rsidRPr="0002516E">
              <w:t>elfare</w:t>
            </w:r>
          </w:p>
        </w:tc>
        <w:tc>
          <w:tcPr>
            <w:tcW w:w="1020" w:type="dxa"/>
          </w:tcPr>
          <w:p w14:paraId="4B5A4D05" w14:textId="77777777" w:rsidR="00286A88" w:rsidRPr="0002516E" w:rsidRDefault="00286A88" w:rsidP="0002516E">
            <w:pPr>
              <w:spacing w:before="60"/>
              <w:rPr>
                <w:rFonts w:cs="Arial"/>
                <w:color w:val="auto"/>
                <w:szCs w:val="18"/>
              </w:rPr>
            </w:pPr>
            <w:r w:rsidRPr="0002516E">
              <w:rPr>
                <w:rFonts w:cs="Arial"/>
                <w:color w:val="auto"/>
                <w:szCs w:val="18"/>
              </w:rPr>
              <w:t>464</w:t>
            </w:r>
          </w:p>
        </w:tc>
        <w:tc>
          <w:tcPr>
            <w:tcW w:w="1020" w:type="dxa"/>
          </w:tcPr>
          <w:p w14:paraId="62498817" w14:textId="77777777" w:rsidR="00286A88" w:rsidRPr="0002516E" w:rsidRDefault="00286A88" w:rsidP="0002516E">
            <w:pPr>
              <w:spacing w:before="60"/>
              <w:rPr>
                <w:rFonts w:cs="Arial"/>
                <w:color w:val="auto"/>
                <w:szCs w:val="18"/>
              </w:rPr>
            </w:pPr>
            <w:r w:rsidRPr="0002516E">
              <w:rPr>
                <w:rFonts w:cs="Arial"/>
                <w:color w:val="auto"/>
                <w:szCs w:val="18"/>
              </w:rPr>
              <w:t>7</w:t>
            </w:r>
          </w:p>
        </w:tc>
        <w:tc>
          <w:tcPr>
            <w:tcW w:w="3889" w:type="dxa"/>
          </w:tcPr>
          <w:p w14:paraId="39F6BAF0" w14:textId="77777777" w:rsidR="00286A88" w:rsidRPr="0002516E" w:rsidRDefault="00286A88" w:rsidP="0002516E">
            <w:pPr>
              <w:spacing w:before="60"/>
            </w:pPr>
          </w:p>
        </w:tc>
      </w:tr>
      <w:tr w:rsidR="00286A88" w:rsidRPr="00286A88" w14:paraId="0298CF09" w14:textId="77777777" w:rsidTr="007975A6">
        <w:tc>
          <w:tcPr>
            <w:tcW w:w="4025" w:type="dxa"/>
          </w:tcPr>
          <w:p w14:paraId="2BA02C4B" w14:textId="77777777" w:rsidR="00286A88" w:rsidRPr="0002516E" w:rsidRDefault="00286A88" w:rsidP="0002516E">
            <w:pPr>
              <w:spacing w:before="60"/>
            </w:pPr>
            <w:r w:rsidRPr="0002516E">
              <w:t>“laying hen” AND welfare</w:t>
            </w:r>
          </w:p>
        </w:tc>
        <w:tc>
          <w:tcPr>
            <w:tcW w:w="1020" w:type="dxa"/>
          </w:tcPr>
          <w:p w14:paraId="3AD002D4" w14:textId="77777777" w:rsidR="00286A88" w:rsidRPr="0002516E" w:rsidRDefault="00286A88" w:rsidP="0002516E">
            <w:pPr>
              <w:spacing w:before="60"/>
              <w:rPr>
                <w:rFonts w:cs="Arial"/>
                <w:color w:val="auto"/>
                <w:szCs w:val="18"/>
              </w:rPr>
            </w:pPr>
            <w:r w:rsidRPr="0002516E">
              <w:rPr>
                <w:rFonts w:cs="Arial"/>
                <w:color w:val="auto"/>
                <w:szCs w:val="18"/>
              </w:rPr>
              <w:t>253</w:t>
            </w:r>
          </w:p>
        </w:tc>
        <w:tc>
          <w:tcPr>
            <w:tcW w:w="1020" w:type="dxa"/>
          </w:tcPr>
          <w:p w14:paraId="590940BA" w14:textId="77777777" w:rsidR="00286A88" w:rsidRPr="0002516E" w:rsidRDefault="00286A88" w:rsidP="0002516E">
            <w:pPr>
              <w:spacing w:before="60"/>
              <w:rPr>
                <w:rFonts w:cs="Arial"/>
                <w:color w:val="auto"/>
                <w:szCs w:val="18"/>
              </w:rPr>
            </w:pPr>
            <w:r w:rsidRPr="0002516E">
              <w:rPr>
                <w:rFonts w:cs="Arial"/>
                <w:color w:val="auto"/>
                <w:szCs w:val="18"/>
              </w:rPr>
              <w:t>0</w:t>
            </w:r>
          </w:p>
        </w:tc>
        <w:tc>
          <w:tcPr>
            <w:tcW w:w="3889" w:type="dxa"/>
          </w:tcPr>
          <w:p w14:paraId="530504DF" w14:textId="77777777" w:rsidR="00286A88" w:rsidRPr="0002516E" w:rsidRDefault="00286A88" w:rsidP="0002516E">
            <w:pPr>
              <w:spacing w:before="60"/>
            </w:pPr>
            <w:r w:rsidRPr="0002516E">
              <w:t>All relevant papers already detected</w:t>
            </w:r>
          </w:p>
        </w:tc>
      </w:tr>
      <w:tr w:rsidR="00286A88" w:rsidRPr="00286A88" w14:paraId="5F598790" w14:textId="77777777" w:rsidTr="00587D34">
        <w:tc>
          <w:tcPr>
            <w:tcW w:w="4025" w:type="dxa"/>
            <w:shd w:val="clear" w:color="auto" w:fill="auto"/>
          </w:tcPr>
          <w:p w14:paraId="3B4B2E96" w14:textId="77777777" w:rsidR="00286A88" w:rsidRPr="0002516E" w:rsidRDefault="00286A88" w:rsidP="0002516E">
            <w:pPr>
              <w:spacing w:before="60"/>
              <w:rPr>
                <w:b/>
              </w:rPr>
            </w:pPr>
            <w:r w:rsidRPr="0002516E">
              <w:rPr>
                <w:b/>
              </w:rPr>
              <w:t>Search for sub-sets of terms relevant to welfare</w:t>
            </w:r>
          </w:p>
        </w:tc>
        <w:tc>
          <w:tcPr>
            <w:tcW w:w="1020" w:type="dxa"/>
            <w:shd w:val="clear" w:color="auto" w:fill="auto"/>
          </w:tcPr>
          <w:p w14:paraId="4E4711AD" w14:textId="77777777" w:rsidR="00286A88" w:rsidRPr="0002516E" w:rsidRDefault="00286A88" w:rsidP="0002516E">
            <w:pPr>
              <w:spacing w:before="60"/>
              <w:rPr>
                <w:rFonts w:cs="Arial"/>
                <w:color w:val="auto"/>
                <w:szCs w:val="18"/>
              </w:rPr>
            </w:pPr>
          </w:p>
        </w:tc>
        <w:tc>
          <w:tcPr>
            <w:tcW w:w="1020" w:type="dxa"/>
            <w:shd w:val="clear" w:color="auto" w:fill="auto"/>
          </w:tcPr>
          <w:p w14:paraId="177DFAE2" w14:textId="77777777" w:rsidR="00286A88" w:rsidRPr="0002516E" w:rsidRDefault="00286A88" w:rsidP="0002516E">
            <w:pPr>
              <w:spacing w:before="60"/>
              <w:rPr>
                <w:rFonts w:cs="Arial"/>
                <w:color w:val="auto"/>
                <w:szCs w:val="18"/>
              </w:rPr>
            </w:pPr>
          </w:p>
        </w:tc>
        <w:tc>
          <w:tcPr>
            <w:tcW w:w="3889" w:type="dxa"/>
            <w:shd w:val="clear" w:color="auto" w:fill="auto"/>
          </w:tcPr>
          <w:p w14:paraId="570E6C31" w14:textId="77777777" w:rsidR="00286A88" w:rsidRPr="0002516E" w:rsidRDefault="00286A88" w:rsidP="0002516E">
            <w:pPr>
              <w:spacing w:before="60"/>
            </w:pPr>
          </w:p>
        </w:tc>
      </w:tr>
      <w:tr w:rsidR="00286A88" w:rsidRPr="00286A88" w14:paraId="53595376" w14:textId="77777777" w:rsidTr="007975A6">
        <w:tc>
          <w:tcPr>
            <w:tcW w:w="4025" w:type="dxa"/>
          </w:tcPr>
          <w:p w14:paraId="08B29182" w14:textId="77777777" w:rsidR="00286A88" w:rsidRPr="0002516E" w:rsidRDefault="00286A88" w:rsidP="00046273">
            <w:pPr>
              <w:spacing w:before="60"/>
            </w:pPr>
            <w:r w:rsidRPr="0002516E">
              <w:t xml:space="preserve">“laying hen” AND </w:t>
            </w:r>
            <w:r w:rsidR="00046273">
              <w:t>h</w:t>
            </w:r>
            <w:r w:rsidRPr="0002516E">
              <w:t>ealth</w:t>
            </w:r>
          </w:p>
        </w:tc>
        <w:tc>
          <w:tcPr>
            <w:tcW w:w="1020" w:type="dxa"/>
          </w:tcPr>
          <w:p w14:paraId="4584D4CF" w14:textId="77777777" w:rsidR="00286A88" w:rsidRPr="0002516E" w:rsidRDefault="00286A88" w:rsidP="0002516E">
            <w:pPr>
              <w:spacing w:before="60"/>
              <w:rPr>
                <w:rFonts w:cs="Arial"/>
                <w:color w:val="auto"/>
                <w:szCs w:val="18"/>
              </w:rPr>
            </w:pPr>
            <w:r w:rsidRPr="0002516E">
              <w:rPr>
                <w:rFonts w:cs="Arial"/>
                <w:color w:val="auto"/>
                <w:szCs w:val="18"/>
              </w:rPr>
              <w:t>172</w:t>
            </w:r>
          </w:p>
        </w:tc>
        <w:tc>
          <w:tcPr>
            <w:tcW w:w="1020" w:type="dxa"/>
          </w:tcPr>
          <w:p w14:paraId="13E4E5F7" w14:textId="77777777" w:rsidR="00286A88" w:rsidRPr="0002516E" w:rsidRDefault="00286A88" w:rsidP="0002516E">
            <w:pPr>
              <w:spacing w:before="60"/>
              <w:rPr>
                <w:rFonts w:cs="Arial"/>
                <w:color w:val="auto"/>
                <w:szCs w:val="18"/>
              </w:rPr>
            </w:pPr>
            <w:r w:rsidRPr="0002516E">
              <w:rPr>
                <w:rFonts w:cs="Arial"/>
                <w:color w:val="auto"/>
                <w:szCs w:val="18"/>
              </w:rPr>
              <w:t>37</w:t>
            </w:r>
          </w:p>
        </w:tc>
        <w:tc>
          <w:tcPr>
            <w:tcW w:w="3889" w:type="dxa"/>
          </w:tcPr>
          <w:p w14:paraId="4F56E343" w14:textId="77777777" w:rsidR="00286A88" w:rsidRPr="0002516E" w:rsidRDefault="00286A88" w:rsidP="0002516E">
            <w:pPr>
              <w:spacing w:before="60"/>
            </w:pPr>
            <w:r w:rsidRPr="0002516E">
              <w:t>Only papers with a welfare focus, not papers on e.g. diet and gut flora</w:t>
            </w:r>
          </w:p>
        </w:tc>
      </w:tr>
      <w:tr w:rsidR="00286A88" w:rsidRPr="00286A88" w14:paraId="2C2A3B3B" w14:textId="77777777" w:rsidTr="007975A6">
        <w:tc>
          <w:tcPr>
            <w:tcW w:w="4025" w:type="dxa"/>
          </w:tcPr>
          <w:p w14:paraId="24E3B2B5" w14:textId="77777777" w:rsidR="00286A88" w:rsidRPr="0002516E" w:rsidRDefault="00286A88" w:rsidP="00EA5ED8">
            <w:pPr>
              <w:spacing w:before="60"/>
            </w:pPr>
            <w:r w:rsidRPr="0002516E">
              <w:t xml:space="preserve">“laying hen” AND (stress* </w:t>
            </w:r>
            <w:r w:rsidR="00EA5ED8">
              <w:t>OR</w:t>
            </w:r>
            <w:r w:rsidRPr="0002516E">
              <w:t xml:space="preserve"> fear*)</w:t>
            </w:r>
          </w:p>
        </w:tc>
        <w:tc>
          <w:tcPr>
            <w:tcW w:w="1020" w:type="dxa"/>
          </w:tcPr>
          <w:p w14:paraId="4E4B7F41" w14:textId="77777777" w:rsidR="00286A88" w:rsidRPr="0002516E" w:rsidRDefault="00286A88" w:rsidP="0002516E">
            <w:pPr>
              <w:spacing w:before="60"/>
              <w:rPr>
                <w:rFonts w:cs="Arial"/>
                <w:color w:val="auto"/>
                <w:szCs w:val="18"/>
              </w:rPr>
            </w:pPr>
            <w:r w:rsidRPr="0002516E">
              <w:rPr>
                <w:rFonts w:cs="Arial"/>
                <w:color w:val="auto"/>
                <w:szCs w:val="18"/>
              </w:rPr>
              <w:t>158</w:t>
            </w:r>
          </w:p>
        </w:tc>
        <w:tc>
          <w:tcPr>
            <w:tcW w:w="1020" w:type="dxa"/>
          </w:tcPr>
          <w:p w14:paraId="415DAE9D" w14:textId="77777777" w:rsidR="00286A88" w:rsidRPr="0002516E" w:rsidRDefault="00286A88" w:rsidP="0002516E">
            <w:pPr>
              <w:spacing w:before="60"/>
              <w:rPr>
                <w:rFonts w:cs="Arial"/>
                <w:color w:val="auto"/>
                <w:szCs w:val="18"/>
              </w:rPr>
            </w:pPr>
            <w:r w:rsidRPr="0002516E">
              <w:rPr>
                <w:rFonts w:cs="Arial"/>
                <w:color w:val="auto"/>
                <w:szCs w:val="18"/>
              </w:rPr>
              <w:t>26</w:t>
            </w:r>
          </w:p>
        </w:tc>
        <w:tc>
          <w:tcPr>
            <w:tcW w:w="3889" w:type="dxa"/>
          </w:tcPr>
          <w:p w14:paraId="42009A3F" w14:textId="77777777" w:rsidR="00286A88" w:rsidRPr="0002516E" w:rsidRDefault="00286A88" w:rsidP="0002516E">
            <w:pPr>
              <w:spacing w:before="60"/>
            </w:pPr>
            <w:r w:rsidRPr="0002516E">
              <w:t>Not papers on deliberate induction of heat stress, or papers on dietary supplements with vague aim of improving overall performance</w:t>
            </w:r>
          </w:p>
        </w:tc>
      </w:tr>
      <w:tr w:rsidR="00286A88" w:rsidRPr="00286A88" w14:paraId="0BC3F4F7" w14:textId="77777777" w:rsidTr="007975A6">
        <w:tc>
          <w:tcPr>
            <w:tcW w:w="4025" w:type="dxa"/>
          </w:tcPr>
          <w:p w14:paraId="6B2EFFD4" w14:textId="77777777" w:rsidR="00286A88" w:rsidRPr="0002516E" w:rsidRDefault="00286A88" w:rsidP="00EA5ED8">
            <w:pPr>
              <w:spacing w:before="60"/>
            </w:pPr>
            <w:r w:rsidRPr="0002516E">
              <w:t xml:space="preserve">“laying hen” AND (injur* </w:t>
            </w:r>
            <w:r w:rsidR="00EA5ED8">
              <w:t>OR</w:t>
            </w:r>
            <w:r w:rsidRPr="0002516E">
              <w:t xml:space="preserve"> cull* </w:t>
            </w:r>
            <w:r w:rsidR="00EA5ED8">
              <w:t>OR</w:t>
            </w:r>
            <w:r w:rsidRPr="0002516E">
              <w:t xml:space="preserve"> mortali*)</w:t>
            </w:r>
          </w:p>
        </w:tc>
        <w:tc>
          <w:tcPr>
            <w:tcW w:w="1020" w:type="dxa"/>
          </w:tcPr>
          <w:p w14:paraId="0519471B" w14:textId="77777777" w:rsidR="00286A88" w:rsidRPr="0002516E" w:rsidRDefault="00286A88" w:rsidP="0002516E">
            <w:pPr>
              <w:spacing w:before="60"/>
              <w:rPr>
                <w:rFonts w:cs="Arial"/>
                <w:color w:val="auto"/>
                <w:szCs w:val="18"/>
              </w:rPr>
            </w:pPr>
            <w:r w:rsidRPr="0002516E">
              <w:rPr>
                <w:rFonts w:cs="Arial"/>
                <w:color w:val="auto"/>
                <w:szCs w:val="18"/>
              </w:rPr>
              <w:t>156</w:t>
            </w:r>
          </w:p>
        </w:tc>
        <w:tc>
          <w:tcPr>
            <w:tcW w:w="1020" w:type="dxa"/>
          </w:tcPr>
          <w:p w14:paraId="35C97741" w14:textId="77777777" w:rsidR="00286A88" w:rsidRPr="0002516E" w:rsidRDefault="00286A88" w:rsidP="0002516E">
            <w:pPr>
              <w:spacing w:before="60"/>
              <w:rPr>
                <w:rFonts w:cs="Arial"/>
                <w:color w:val="auto"/>
                <w:szCs w:val="18"/>
              </w:rPr>
            </w:pPr>
            <w:r w:rsidRPr="0002516E">
              <w:rPr>
                <w:rFonts w:cs="Arial"/>
                <w:color w:val="auto"/>
                <w:szCs w:val="18"/>
              </w:rPr>
              <w:t>25</w:t>
            </w:r>
          </w:p>
        </w:tc>
        <w:tc>
          <w:tcPr>
            <w:tcW w:w="3889" w:type="dxa"/>
          </w:tcPr>
          <w:p w14:paraId="0CF0C50B" w14:textId="77777777" w:rsidR="00286A88" w:rsidRPr="0002516E" w:rsidRDefault="00286A88" w:rsidP="0002516E">
            <w:pPr>
              <w:spacing w:before="60"/>
            </w:pPr>
            <w:r w:rsidRPr="0002516E">
              <w:t>Not dietary supplementation or case reports of specific disease outbreaks</w:t>
            </w:r>
          </w:p>
        </w:tc>
      </w:tr>
      <w:tr w:rsidR="00286A88" w:rsidRPr="00286A88" w14:paraId="3F5DE3D1" w14:textId="77777777" w:rsidTr="007975A6">
        <w:tc>
          <w:tcPr>
            <w:tcW w:w="4025" w:type="dxa"/>
          </w:tcPr>
          <w:p w14:paraId="77996385" w14:textId="77777777" w:rsidR="00286A88" w:rsidRPr="0002516E" w:rsidRDefault="00286A88" w:rsidP="00EA5ED8">
            <w:pPr>
              <w:spacing w:before="60"/>
            </w:pPr>
            <w:r w:rsidRPr="0002516E">
              <w:t xml:space="preserve">“laying hen” AND (density </w:t>
            </w:r>
            <w:r w:rsidR="00EA5ED8">
              <w:t>OR</w:t>
            </w:r>
            <w:r w:rsidRPr="0002516E">
              <w:t xml:space="preserve"> space)</w:t>
            </w:r>
          </w:p>
        </w:tc>
        <w:tc>
          <w:tcPr>
            <w:tcW w:w="1020" w:type="dxa"/>
          </w:tcPr>
          <w:p w14:paraId="528BE392" w14:textId="77777777" w:rsidR="00286A88" w:rsidRPr="0002516E" w:rsidRDefault="00286A88" w:rsidP="0002516E">
            <w:pPr>
              <w:spacing w:before="60"/>
              <w:rPr>
                <w:rFonts w:cs="Arial"/>
                <w:color w:val="auto"/>
                <w:szCs w:val="18"/>
              </w:rPr>
            </w:pPr>
            <w:r w:rsidRPr="0002516E">
              <w:rPr>
                <w:rFonts w:cs="Arial"/>
                <w:color w:val="auto"/>
                <w:szCs w:val="18"/>
              </w:rPr>
              <w:t>177</w:t>
            </w:r>
          </w:p>
        </w:tc>
        <w:tc>
          <w:tcPr>
            <w:tcW w:w="1020" w:type="dxa"/>
          </w:tcPr>
          <w:p w14:paraId="5BA6346D" w14:textId="77777777" w:rsidR="00286A88" w:rsidRPr="0002516E" w:rsidRDefault="00286A88" w:rsidP="0002516E">
            <w:pPr>
              <w:spacing w:before="60"/>
              <w:rPr>
                <w:rFonts w:cs="Arial"/>
                <w:color w:val="auto"/>
                <w:szCs w:val="18"/>
              </w:rPr>
            </w:pPr>
            <w:r w:rsidRPr="0002516E">
              <w:rPr>
                <w:rFonts w:cs="Arial"/>
                <w:color w:val="auto"/>
                <w:szCs w:val="18"/>
              </w:rPr>
              <w:t>4</w:t>
            </w:r>
          </w:p>
        </w:tc>
        <w:tc>
          <w:tcPr>
            <w:tcW w:w="3889" w:type="dxa"/>
          </w:tcPr>
          <w:p w14:paraId="12361204" w14:textId="77777777" w:rsidR="00286A88" w:rsidRPr="0002516E" w:rsidRDefault="00286A88" w:rsidP="0002516E">
            <w:pPr>
              <w:spacing w:before="60"/>
            </w:pPr>
            <w:r w:rsidRPr="0002516E">
              <w:t>Nearly all relevant papers already detected in previous searches</w:t>
            </w:r>
          </w:p>
        </w:tc>
      </w:tr>
      <w:tr w:rsidR="00286A88" w:rsidRPr="00286A88" w14:paraId="198BAB40" w14:textId="77777777" w:rsidTr="007975A6">
        <w:tc>
          <w:tcPr>
            <w:tcW w:w="4025" w:type="dxa"/>
          </w:tcPr>
          <w:p w14:paraId="0FF9A3E4" w14:textId="77777777" w:rsidR="00286A88" w:rsidRPr="0002516E" w:rsidRDefault="00286A88" w:rsidP="0002516E">
            <w:pPr>
              <w:spacing w:before="60"/>
            </w:pPr>
            <w:r w:rsidRPr="0002516E">
              <w:t>“laying hen” AND litter OR “laying hen”AND perch* OR “laying hen” AND nest* OR “laying hen” AND enrich*</w:t>
            </w:r>
          </w:p>
        </w:tc>
        <w:tc>
          <w:tcPr>
            <w:tcW w:w="1020" w:type="dxa"/>
          </w:tcPr>
          <w:p w14:paraId="771128EF" w14:textId="77777777" w:rsidR="00286A88" w:rsidRPr="0002516E" w:rsidRDefault="00286A88" w:rsidP="0002516E">
            <w:pPr>
              <w:spacing w:before="60"/>
              <w:rPr>
                <w:rFonts w:cs="Arial"/>
                <w:color w:val="auto"/>
                <w:szCs w:val="18"/>
              </w:rPr>
            </w:pPr>
            <w:r w:rsidRPr="0002516E">
              <w:rPr>
                <w:rFonts w:cs="Arial"/>
                <w:color w:val="auto"/>
                <w:szCs w:val="18"/>
              </w:rPr>
              <w:t xml:space="preserve">275 </w:t>
            </w:r>
          </w:p>
        </w:tc>
        <w:tc>
          <w:tcPr>
            <w:tcW w:w="1020" w:type="dxa"/>
          </w:tcPr>
          <w:p w14:paraId="685C411F" w14:textId="77777777" w:rsidR="00286A88" w:rsidRPr="0002516E" w:rsidRDefault="00286A88" w:rsidP="0002516E">
            <w:pPr>
              <w:spacing w:before="60"/>
              <w:rPr>
                <w:rFonts w:cs="Arial"/>
                <w:color w:val="auto"/>
                <w:szCs w:val="18"/>
              </w:rPr>
            </w:pPr>
            <w:r w:rsidRPr="0002516E">
              <w:rPr>
                <w:rFonts w:cs="Arial"/>
                <w:color w:val="auto"/>
                <w:szCs w:val="18"/>
              </w:rPr>
              <w:t>18</w:t>
            </w:r>
          </w:p>
        </w:tc>
        <w:tc>
          <w:tcPr>
            <w:tcW w:w="3889" w:type="dxa"/>
          </w:tcPr>
          <w:p w14:paraId="363B3C78" w14:textId="77777777" w:rsidR="00286A88" w:rsidRPr="0002516E" w:rsidRDefault="00286A88" w:rsidP="0002516E">
            <w:pPr>
              <w:spacing w:before="60"/>
            </w:pPr>
            <w:r w:rsidRPr="0002516E">
              <w:t>Nearly all relevant papers already detected in previous searches. Papers on enriching diets or eggs not included</w:t>
            </w:r>
          </w:p>
        </w:tc>
      </w:tr>
      <w:tr w:rsidR="00286A88" w:rsidRPr="00286A88" w14:paraId="02F42984" w14:textId="77777777" w:rsidTr="007975A6">
        <w:tc>
          <w:tcPr>
            <w:tcW w:w="4025" w:type="dxa"/>
          </w:tcPr>
          <w:p w14:paraId="1E35800F" w14:textId="77777777" w:rsidR="00286A88" w:rsidRPr="0002516E" w:rsidRDefault="00286A88" w:rsidP="0010235B">
            <w:pPr>
              <w:spacing w:before="60"/>
            </w:pPr>
            <w:r w:rsidRPr="0002516E">
              <w:t>“laying hen” AND dustbath* or</w:t>
            </w:r>
            <w:r w:rsidR="0010235B">
              <w:t xml:space="preserve"> </w:t>
            </w:r>
            <w:r w:rsidRPr="0002516E">
              <w:t>“laying hen” AND dust-bath*</w:t>
            </w:r>
          </w:p>
        </w:tc>
        <w:tc>
          <w:tcPr>
            <w:tcW w:w="1020" w:type="dxa"/>
          </w:tcPr>
          <w:p w14:paraId="057E6FB5" w14:textId="77777777" w:rsidR="00286A88" w:rsidRPr="0002516E" w:rsidRDefault="00286A88" w:rsidP="0002516E">
            <w:pPr>
              <w:spacing w:before="60"/>
              <w:rPr>
                <w:rFonts w:cs="Arial"/>
                <w:color w:val="auto"/>
                <w:szCs w:val="18"/>
              </w:rPr>
            </w:pPr>
            <w:r w:rsidRPr="0002516E">
              <w:rPr>
                <w:rFonts w:cs="Arial"/>
                <w:color w:val="auto"/>
                <w:szCs w:val="18"/>
              </w:rPr>
              <w:t>35</w:t>
            </w:r>
          </w:p>
        </w:tc>
        <w:tc>
          <w:tcPr>
            <w:tcW w:w="1020" w:type="dxa"/>
          </w:tcPr>
          <w:p w14:paraId="5E902554" w14:textId="77777777" w:rsidR="00286A88" w:rsidRPr="0002516E" w:rsidRDefault="00286A88" w:rsidP="0002516E">
            <w:pPr>
              <w:spacing w:before="60"/>
              <w:rPr>
                <w:rFonts w:cs="Arial"/>
                <w:color w:val="auto"/>
                <w:szCs w:val="18"/>
              </w:rPr>
            </w:pPr>
            <w:r w:rsidRPr="0002516E">
              <w:rPr>
                <w:rFonts w:cs="Arial"/>
                <w:color w:val="auto"/>
                <w:szCs w:val="18"/>
              </w:rPr>
              <w:t>0</w:t>
            </w:r>
          </w:p>
        </w:tc>
        <w:tc>
          <w:tcPr>
            <w:tcW w:w="3889" w:type="dxa"/>
          </w:tcPr>
          <w:p w14:paraId="5AF4F8A8" w14:textId="77777777" w:rsidR="00286A88" w:rsidRPr="0002516E" w:rsidRDefault="00286A88" w:rsidP="0002516E">
            <w:pPr>
              <w:spacing w:before="60"/>
            </w:pPr>
            <w:r w:rsidRPr="0002516E">
              <w:t>All relevant papers already detected in previous searches</w:t>
            </w:r>
          </w:p>
        </w:tc>
      </w:tr>
      <w:tr w:rsidR="00286A88" w:rsidRPr="00286A88" w14:paraId="61C74679" w14:textId="77777777" w:rsidTr="007975A6">
        <w:tc>
          <w:tcPr>
            <w:tcW w:w="4025" w:type="dxa"/>
          </w:tcPr>
          <w:p w14:paraId="6BE95051" w14:textId="77777777" w:rsidR="00286A88" w:rsidRPr="0002516E" w:rsidRDefault="00286A88" w:rsidP="00EA5ED8">
            <w:pPr>
              <w:spacing w:before="60"/>
            </w:pPr>
            <w:r w:rsidRPr="0002516E">
              <w:t xml:space="preserve">“laying hen” </w:t>
            </w:r>
            <w:r w:rsidR="00EA5ED8">
              <w:t>AND</w:t>
            </w:r>
            <w:r w:rsidRPr="0002516E">
              <w:t xml:space="preserve"> peck* OR “laying hen” </w:t>
            </w:r>
            <w:r w:rsidR="00EA5ED8">
              <w:t>AND</w:t>
            </w:r>
            <w:r w:rsidRPr="0002516E">
              <w:t xml:space="preserve"> beak*</w:t>
            </w:r>
          </w:p>
        </w:tc>
        <w:tc>
          <w:tcPr>
            <w:tcW w:w="1020" w:type="dxa"/>
          </w:tcPr>
          <w:p w14:paraId="70BB2970" w14:textId="77777777" w:rsidR="00286A88" w:rsidRPr="0002516E" w:rsidRDefault="00286A88" w:rsidP="0002516E">
            <w:pPr>
              <w:spacing w:before="60"/>
              <w:rPr>
                <w:rFonts w:cs="Arial"/>
                <w:color w:val="auto"/>
                <w:szCs w:val="18"/>
              </w:rPr>
            </w:pPr>
            <w:r w:rsidRPr="0002516E">
              <w:rPr>
                <w:rFonts w:cs="Arial"/>
                <w:color w:val="auto"/>
                <w:szCs w:val="18"/>
              </w:rPr>
              <w:t>147</w:t>
            </w:r>
          </w:p>
        </w:tc>
        <w:tc>
          <w:tcPr>
            <w:tcW w:w="1020" w:type="dxa"/>
          </w:tcPr>
          <w:p w14:paraId="5731A1C0" w14:textId="77777777" w:rsidR="00286A88" w:rsidRPr="0002516E" w:rsidRDefault="00286A88" w:rsidP="0002516E">
            <w:pPr>
              <w:spacing w:before="60"/>
              <w:rPr>
                <w:rFonts w:cs="Arial"/>
                <w:color w:val="auto"/>
                <w:szCs w:val="18"/>
              </w:rPr>
            </w:pPr>
            <w:r w:rsidRPr="0002516E">
              <w:rPr>
                <w:rFonts w:cs="Arial"/>
                <w:color w:val="auto"/>
                <w:szCs w:val="18"/>
              </w:rPr>
              <w:t>13</w:t>
            </w:r>
          </w:p>
        </w:tc>
        <w:tc>
          <w:tcPr>
            <w:tcW w:w="3889" w:type="dxa"/>
          </w:tcPr>
          <w:p w14:paraId="26172A87" w14:textId="77777777" w:rsidR="00286A88" w:rsidRPr="0002516E" w:rsidRDefault="00286A88" w:rsidP="0002516E">
            <w:pPr>
              <w:spacing w:before="60"/>
            </w:pPr>
            <w:r w:rsidRPr="0002516E">
              <w:t>Many relevant papers already detected in previous searches</w:t>
            </w:r>
          </w:p>
        </w:tc>
      </w:tr>
      <w:tr w:rsidR="005712F7" w:rsidRPr="00286A88" w14:paraId="46D61FB8" w14:textId="77777777" w:rsidTr="007975A6">
        <w:tc>
          <w:tcPr>
            <w:tcW w:w="4025" w:type="dxa"/>
          </w:tcPr>
          <w:p w14:paraId="34E76A19" w14:textId="77777777" w:rsidR="005712F7" w:rsidRPr="005712F7" w:rsidRDefault="005712F7" w:rsidP="00301F37">
            <w:pPr>
              <w:spacing w:before="60"/>
              <w:rPr>
                <w:b/>
              </w:rPr>
            </w:pPr>
            <w:r>
              <w:rPr>
                <w:b/>
              </w:rPr>
              <w:t>Pa</w:t>
            </w:r>
            <w:r w:rsidR="00301F37">
              <w:rPr>
                <w:b/>
              </w:rPr>
              <w:t>p</w:t>
            </w:r>
            <w:r>
              <w:rPr>
                <w:b/>
              </w:rPr>
              <w:t>er</w:t>
            </w:r>
            <w:r w:rsidR="00301F37">
              <w:rPr>
                <w:b/>
              </w:rPr>
              <w:t>s</w:t>
            </w:r>
            <w:r>
              <w:rPr>
                <w:b/>
              </w:rPr>
              <w:t xml:space="preserve"> retained from secondar</w:t>
            </w:r>
            <w:r w:rsidR="00301F37">
              <w:rPr>
                <w:b/>
              </w:rPr>
              <w:t>y</w:t>
            </w:r>
            <w:r>
              <w:rPr>
                <w:b/>
              </w:rPr>
              <w:t xml:space="preserve"> searches</w:t>
            </w:r>
          </w:p>
        </w:tc>
        <w:tc>
          <w:tcPr>
            <w:tcW w:w="1020" w:type="dxa"/>
          </w:tcPr>
          <w:p w14:paraId="2CDE0844" w14:textId="77777777" w:rsidR="005712F7" w:rsidRPr="0002516E" w:rsidRDefault="005712F7" w:rsidP="0002516E">
            <w:pPr>
              <w:spacing w:before="60"/>
              <w:rPr>
                <w:rFonts w:cs="Arial"/>
                <w:color w:val="auto"/>
                <w:szCs w:val="18"/>
              </w:rPr>
            </w:pPr>
          </w:p>
        </w:tc>
        <w:tc>
          <w:tcPr>
            <w:tcW w:w="1020" w:type="dxa"/>
          </w:tcPr>
          <w:p w14:paraId="5CEFE19B" w14:textId="77777777" w:rsidR="005712F7" w:rsidRPr="005712F7" w:rsidRDefault="005712F7" w:rsidP="0002516E">
            <w:pPr>
              <w:spacing w:before="60"/>
              <w:rPr>
                <w:rFonts w:cs="Arial"/>
                <w:b/>
                <w:color w:val="auto"/>
                <w:szCs w:val="18"/>
              </w:rPr>
            </w:pPr>
            <w:r>
              <w:rPr>
                <w:rFonts w:cs="Arial"/>
                <w:b/>
                <w:color w:val="auto"/>
                <w:szCs w:val="18"/>
              </w:rPr>
              <w:t>142</w:t>
            </w:r>
          </w:p>
        </w:tc>
        <w:tc>
          <w:tcPr>
            <w:tcW w:w="3889" w:type="dxa"/>
          </w:tcPr>
          <w:p w14:paraId="79AEED64" w14:textId="77777777" w:rsidR="005712F7" w:rsidRPr="0002516E" w:rsidRDefault="005712F7" w:rsidP="0002516E">
            <w:pPr>
              <w:spacing w:before="60"/>
            </w:pPr>
          </w:p>
        </w:tc>
      </w:tr>
    </w:tbl>
    <w:p w14:paraId="1F8BC291" w14:textId="77777777" w:rsidR="005712F7" w:rsidRPr="005712F7" w:rsidRDefault="005712F7" w:rsidP="00301F37">
      <w:pPr>
        <w:spacing w:before="240"/>
        <w:rPr>
          <w:b/>
          <w:lang w:val="en-GB"/>
        </w:rPr>
      </w:pPr>
      <w:r>
        <w:rPr>
          <w:b/>
          <w:lang w:val="en-GB"/>
        </w:rPr>
        <w:t>Total number of papers retained from primary and secondary searches: 3</w:t>
      </w:r>
      <w:r w:rsidR="004A3DB9">
        <w:rPr>
          <w:b/>
          <w:lang w:val="en-GB"/>
        </w:rPr>
        <w:t>50</w:t>
      </w:r>
      <w:r>
        <w:rPr>
          <w:b/>
          <w:lang w:val="en-GB"/>
        </w:rPr>
        <w:t xml:space="preserve"> + 142 = 4</w:t>
      </w:r>
      <w:r w:rsidR="004A3DB9">
        <w:rPr>
          <w:b/>
          <w:lang w:val="en-GB"/>
        </w:rPr>
        <w:t>92</w:t>
      </w:r>
    </w:p>
    <w:p w14:paraId="4FB3FDA8" w14:textId="77777777" w:rsidR="005712F7" w:rsidRDefault="005712F7" w:rsidP="001123AA">
      <w:pPr>
        <w:rPr>
          <w:lang w:val="en-GB"/>
        </w:rPr>
      </w:pPr>
    </w:p>
    <w:p w14:paraId="4716ECB9" w14:textId="77777777" w:rsidR="00FA0BB9" w:rsidRPr="00FA0BB9" w:rsidRDefault="00FA0BB9" w:rsidP="009E50B5">
      <w:pPr>
        <w:spacing w:before="120"/>
        <w:rPr>
          <w:b/>
          <w:sz w:val="24"/>
          <w:szCs w:val="24"/>
          <w:lang w:val="en-GB"/>
        </w:rPr>
      </w:pPr>
      <w:r w:rsidRPr="00864384">
        <w:rPr>
          <w:rFonts w:eastAsia="Calibri" w:cs="Arial"/>
          <w:color w:val="auto"/>
          <w:sz w:val="22"/>
          <w:szCs w:val="22"/>
          <w:lang w:val="en-GB"/>
        </w:rPr>
        <w:br w:type="column"/>
      </w:r>
      <w:r w:rsidR="004D4B06">
        <w:rPr>
          <w:b/>
          <w:sz w:val="24"/>
          <w:szCs w:val="24"/>
          <w:lang w:val="en-GB"/>
        </w:rPr>
        <w:t xml:space="preserve">Laying Hen </w:t>
      </w:r>
      <w:r w:rsidRPr="00FA0BB9">
        <w:rPr>
          <w:b/>
          <w:sz w:val="24"/>
          <w:szCs w:val="24"/>
          <w:lang w:val="en-GB"/>
        </w:rPr>
        <w:t>Breeders</w:t>
      </w:r>
    </w:p>
    <w:p w14:paraId="5584551D" w14:textId="77777777" w:rsidR="00FA0BB9" w:rsidRDefault="009E50B5" w:rsidP="00590F0B">
      <w:pPr>
        <w:spacing w:before="240" w:after="240"/>
        <w:rPr>
          <w:b/>
          <w:lang w:val="en-GB"/>
        </w:rPr>
      </w:pPr>
      <w:r>
        <w:rPr>
          <w:b/>
          <w:lang w:val="en-GB"/>
        </w:rPr>
        <w:t>Primary Search</w:t>
      </w:r>
      <w:r w:rsidR="00046273">
        <w:rPr>
          <w:b/>
          <w:lang w:val="en-GB"/>
        </w:rPr>
        <w:t>:</w:t>
      </w:r>
      <w:r w:rsidR="00FA0BB9" w:rsidRPr="00590F0B">
        <w:rPr>
          <w:b/>
          <w:lang w:val="en-GB"/>
        </w:rPr>
        <w:t xml:space="preserve"> (lay* </w:t>
      </w:r>
      <w:r w:rsidR="008102AF">
        <w:rPr>
          <w:b/>
          <w:lang w:val="en-GB"/>
        </w:rPr>
        <w:t xml:space="preserve">and parent*) </w:t>
      </w:r>
      <w:r w:rsidR="00AE59F9">
        <w:rPr>
          <w:b/>
          <w:lang w:val="en-GB"/>
        </w:rPr>
        <w:t>AND</w:t>
      </w:r>
      <w:r w:rsidR="008102AF">
        <w:rPr>
          <w:b/>
          <w:lang w:val="en-GB"/>
        </w:rPr>
        <w:t xml:space="preserve"> welfare = 14</w:t>
      </w:r>
    </w:p>
    <w:tbl>
      <w:tblPr>
        <w:tblStyle w:val="TableGrid11"/>
        <w:tblW w:w="9977" w:type="dxa"/>
        <w:tblLook w:val="04A0" w:firstRow="1" w:lastRow="0" w:firstColumn="1" w:lastColumn="0" w:noHBand="0" w:noVBand="1"/>
        <w:tblCaption w:val="Papers excluded after primary literature search for laying hen breeder welfare"/>
        <w:tblDescription w:val="This table shows the number of papers excluded after the primary literature search for laying hen breeder welfare. The left hand column shows the primary reason for exclusion. The middle column shows the number of papers excluded. The right hand column gives an example of a paper excluded for each reason."/>
      </w:tblPr>
      <w:tblGrid>
        <w:gridCol w:w="3628"/>
        <w:gridCol w:w="1020"/>
        <w:gridCol w:w="5329"/>
      </w:tblGrid>
      <w:tr w:rsidR="00FA0BB9" w:rsidRPr="00EA27D5" w14:paraId="4D8AD062" w14:textId="77777777" w:rsidTr="00587D34">
        <w:trPr>
          <w:tblHeader/>
        </w:trPr>
        <w:tc>
          <w:tcPr>
            <w:tcW w:w="3628" w:type="dxa"/>
            <w:shd w:val="clear" w:color="auto" w:fill="auto"/>
          </w:tcPr>
          <w:p w14:paraId="50C2268E" w14:textId="77777777" w:rsidR="00FA0BB9" w:rsidRPr="00EA27D5" w:rsidRDefault="00FA0BB9" w:rsidP="00EA27D5">
            <w:pPr>
              <w:spacing w:before="60"/>
              <w:rPr>
                <w:b/>
              </w:rPr>
            </w:pPr>
            <w:r w:rsidRPr="00EA27D5">
              <w:rPr>
                <w:b/>
              </w:rPr>
              <w:t>Primary Reason for Exclusion</w:t>
            </w:r>
          </w:p>
        </w:tc>
        <w:tc>
          <w:tcPr>
            <w:tcW w:w="1020" w:type="dxa"/>
            <w:shd w:val="clear" w:color="auto" w:fill="auto"/>
          </w:tcPr>
          <w:p w14:paraId="434DFA71" w14:textId="77777777" w:rsidR="00FA0BB9" w:rsidRPr="00EA27D5" w:rsidRDefault="00FA0BB9" w:rsidP="00EA27D5">
            <w:pPr>
              <w:spacing w:before="60" w:line="240" w:lineRule="auto"/>
              <w:rPr>
                <w:rFonts w:cs="Arial"/>
                <w:color w:val="auto"/>
                <w:szCs w:val="18"/>
              </w:rPr>
            </w:pPr>
            <w:r w:rsidRPr="00EA27D5">
              <w:rPr>
                <w:rFonts w:cs="Arial"/>
                <w:color w:val="auto"/>
                <w:szCs w:val="18"/>
              </w:rPr>
              <w:t>Number Excluded</w:t>
            </w:r>
          </w:p>
        </w:tc>
        <w:tc>
          <w:tcPr>
            <w:tcW w:w="5329" w:type="dxa"/>
            <w:shd w:val="clear" w:color="auto" w:fill="auto"/>
          </w:tcPr>
          <w:p w14:paraId="218D8743" w14:textId="77777777" w:rsidR="00FA0BB9" w:rsidRPr="00EA27D5" w:rsidRDefault="00FA0BB9" w:rsidP="00EA27D5">
            <w:pPr>
              <w:spacing w:before="60" w:line="240" w:lineRule="auto"/>
              <w:rPr>
                <w:rFonts w:cs="Arial"/>
                <w:color w:val="auto"/>
                <w:szCs w:val="18"/>
              </w:rPr>
            </w:pPr>
            <w:r w:rsidRPr="00EA27D5">
              <w:rPr>
                <w:rFonts w:cs="Arial"/>
                <w:i/>
                <w:color w:val="auto"/>
                <w:szCs w:val="18"/>
              </w:rPr>
              <w:t xml:space="preserve">Example </w:t>
            </w:r>
            <w:r w:rsidRPr="00EA27D5">
              <w:rPr>
                <w:rFonts w:cs="Arial"/>
                <w:color w:val="auto"/>
                <w:szCs w:val="18"/>
              </w:rPr>
              <w:t>of Paper Excluded for Each Reason</w:t>
            </w:r>
          </w:p>
        </w:tc>
      </w:tr>
      <w:tr w:rsidR="00FA0BB9" w:rsidRPr="00EA27D5" w14:paraId="714F4454" w14:textId="77777777" w:rsidTr="00043C78">
        <w:tc>
          <w:tcPr>
            <w:tcW w:w="3628" w:type="dxa"/>
          </w:tcPr>
          <w:p w14:paraId="61691E89" w14:textId="77777777" w:rsidR="00FA0BB9" w:rsidRPr="008C43DD" w:rsidRDefault="00FA0BB9" w:rsidP="008C43DD">
            <w:pPr>
              <w:spacing w:before="60"/>
            </w:pPr>
            <w:r w:rsidRPr="008C43DD">
              <w:t>Laying hens not breeders</w:t>
            </w:r>
          </w:p>
        </w:tc>
        <w:tc>
          <w:tcPr>
            <w:tcW w:w="1020" w:type="dxa"/>
          </w:tcPr>
          <w:p w14:paraId="18C54CEE" w14:textId="77777777" w:rsidR="00FA0BB9" w:rsidRPr="008C43DD" w:rsidRDefault="00FA0BB9" w:rsidP="008C43DD">
            <w:pPr>
              <w:spacing w:before="60"/>
            </w:pPr>
            <w:r w:rsidRPr="008C43DD">
              <w:t>5</w:t>
            </w:r>
          </w:p>
        </w:tc>
        <w:tc>
          <w:tcPr>
            <w:tcW w:w="5329" w:type="dxa"/>
          </w:tcPr>
          <w:p w14:paraId="64251429" w14:textId="77777777" w:rsidR="00DC3F04" w:rsidRPr="00DC3F04" w:rsidRDefault="00DC3F04" w:rsidP="00DC3F04">
            <w:pPr>
              <w:pStyle w:val="NoSpacing"/>
              <w:rPr>
                <w:sz w:val="16"/>
                <w:szCs w:val="16"/>
              </w:rPr>
            </w:pPr>
            <w:r w:rsidRPr="00DC3F04">
              <w:rPr>
                <w:sz w:val="16"/>
                <w:szCs w:val="16"/>
              </w:rPr>
              <w:t>Genomic prediction of survival time in a population of brown laying hens showing cannibalistic behavior</w:t>
            </w:r>
          </w:p>
          <w:p w14:paraId="7D835098" w14:textId="77777777" w:rsidR="00DC3F04" w:rsidRPr="00DC3F04" w:rsidRDefault="00DC3F04" w:rsidP="00DC3F04">
            <w:pPr>
              <w:pStyle w:val="NoSpacing"/>
              <w:rPr>
                <w:sz w:val="16"/>
                <w:szCs w:val="16"/>
              </w:rPr>
            </w:pPr>
            <w:r w:rsidRPr="00DC3F04">
              <w:rPr>
                <w:sz w:val="16"/>
                <w:szCs w:val="16"/>
              </w:rPr>
              <w:t>By: Alemu, Setegn W.; Calus, Mario P. L.; Muir, William M.; et al.</w:t>
            </w:r>
          </w:p>
          <w:p w14:paraId="31B7C00B" w14:textId="77777777" w:rsidR="00FA0BB9" w:rsidRPr="00DC3F04" w:rsidRDefault="00DC3F04" w:rsidP="00DC3F04">
            <w:pPr>
              <w:pStyle w:val="NoSpacing"/>
              <w:rPr>
                <w:sz w:val="16"/>
                <w:szCs w:val="16"/>
              </w:rPr>
            </w:pPr>
            <w:r w:rsidRPr="00DC3F04">
              <w:rPr>
                <w:sz w:val="16"/>
                <w:szCs w:val="16"/>
              </w:rPr>
              <w:t>GENETICS SELECTION EVOLUTION   Volume: 48  Article Number: 68   Published: SEP 13 2016</w:t>
            </w:r>
          </w:p>
        </w:tc>
      </w:tr>
      <w:tr w:rsidR="00FA0BB9" w:rsidRPr="00EA27D5" w14:paraId="1547AFEF" w14:textId="77777777" w:rsidTr="00043C78">
        <w:tc>
          <w:tcPr>
            <w:tcW w:w="3628" w:type="dxa"/>
          </w:tcPr>
          <w:p w14:paraId="08FD3EA8" w14:textId="77777777" w:rsidR="00FA0BB9" w:rsidRPr="008C43DD" w:rsidRDefault="00FA0BB9" w:rsidP="008C43DD">
            <w:pPr>
              <w:spacing w:before="60"/>
            </w:pPr>
            <w:r w:rsidRPr="008C43DD">
              <w:t>Broiler breeders</w:t>
            </w:r>
          </w:p>
        </w:tc>
        <w:tc>
          <w:tcPr>
            <w:tcW w:w="1020" w:type="dxa"/>
          </w:tcPr>
          <w:p w14:paraId="76597B7C" w14:textId="77777777" w:rsidR="00FA0BB9" w:rsidRPr="008C43DD" w:rsidRDefault="00FA0BB9" w:rsidP="008C43DD">
            <w:pPr>
              <w:spacing w:before="60"/>
            </w:pPr>
            <w:r w:rsidRPr="008C43DD">
              <w:t>4</w:t>
            </w:r>
          </w:p>
        </w:tc>
        <w:tc>
          <w:tcPr>
            <w:tcW w:w="5329" w:type="dxa"/>
          </w:tcPr>
          <w:p w14:paraId="61E336AF" w14:textId="77777777" w:rsidR="00DC3F04" w:rsidRPr="00DC3F04" w:rsidRDefault="00DC3F04" w:rsidP="00DC3F04">
            <w:pPr>
              <w:pStyle w:val="NoSpacing"/>
              <w:rPr>
                <w:sz w:val="16"/>
                <w:szCs w:val="16"/>
              </w:rPr>
            </w:pPr>
            <w:r w:rsidRPr="00DC3F04">
              <w:rPr>
                <w:sz w:val="16"/>
                <w:szCs w:val="16"/>
              </w:rPr>
              <w:t>Measuring Motivation for Appetitive Behaviour: Food-Restricted Broiler Breeder Chickens Cross a Water Barrier to Forage in an Area of Wood Shavings without Food</w:t>
            </w:r>
          </w:p>
          <w:p w14:paraId="64B5D47A" w14:textId="77777777" w:rsidR="00DC3F04" w:rsidRPr="00DC3F04" w:rsidRDefault="00DC3F04" w:rsidP="00DC3F04">
            <w:pPr>
              <w:pStyle w:val="NoSpacing"/>
              <w:rPr>
                <w:sz w:val="16"/>
                <w:szCs w:val="16"/>
              </w:rPr>
            </w:pPr>
            <w:r w:rsidRPr="00DC3F04">
              <w:rPr>
                <w:sz w:val="16"/>
                <w:szCs w:val="16"/>
              </w:rPr>
              <w:t>By: Dixon, Laura M.; Brocklehurst, Sarah; Sandilands, Vicky; et al.</w:t>
            </w:r>
          </w:p>
          <w:p w14:paraId="2EA544A8" w14:textId="77777777" w:rsidR="00FA0BB9" w:rsidRPr="00DC3F04" w:rsidRDefault="00DC3F04" w:rsidP="00DC3F04">
            <w:pPr>
              <w:pStyle w:val="NoSpacing"/>
              <w:rPr>
                <w:sz w:val="16"/>
                <w:szCs w:val="16"/>
              </w:rPr>
            </w:pPr>
            <w:r w:rsidRPr="00DC3F04">
              <w:rPr>
                <w:sz w:val="16"/>
                <w:szCs w:val="16"/>
              </w:rPr>
              <w:t>PLOS ONE   Volume: 9   Issue: 7 Article Number: e102322   Published: JUL 28 2014</w:t>
            </w:r>
          </w:p>
        </w:tc>
      </w:tr>
      <w:tr w:rsidR="00FA0BB9" w:rsidRPr="00EA27D5" w14:paraId="22FB31AD" w14:textId="77777777" w:rsidTr="00043C78">
        <w:tc>
          <w:tcPr>
            <w:tcW w:w="3628" w:type="dxa"/>
          </w:tcPr>
          <w:p w14:paraId="7A352190" w14:textId="77777777" w:rsidR="00FA0BB9" w:rsidRPr="008C43DD" w:rsidRDefault="00FA0BB9" w:rsidP="008C43DD">
            <w:pPr>
              <w:spacing w:before="60"/>
            </w:pPr>
            <w:r w:rsidRPr="008C43DD">
              <w:t>reviews</w:t>
            </w:r>
          </w:p>
        </w:tc>
        <w:tc>
          <w:tcPr>
            <w:tcW w:w="1020" w:type="dxa"/>
          </w:tcPr>
          <w:p w14:paraId="635584ED" w14:textId="77777777" w:rsidR="00FA0BB9" w:rsidRPr="008C43DD" w:rsidRDefault="00FA0BB9" w:rsidP="008C43DD">
            <w:pPr>
              <w:spacing w:before="60"/>
            </w:pPr>
            <w:r w:rsidRPr="008C43DD">
              <w:t>2</w:t>
            </w:r>
          </w:p>
        </w:tc>
        <w:tc>
          <w:tcPr>
            <w:tcW w:w="5329" w:type="dxa"/>
          </w:tcPr>
          <w:p w14:paraId="62D95C6D" w14:textId="77777777" w:rsidR="00DC3F04" w:rsidRPr="00DC3F04" w:rsidRDefault="00DC3F04" w:rsidP="00DC3F04">
            <w:pPr>
              <w:pStyle w:val="NoSpacing"/>
              <w:rPr>
                <w:sz w:val="16"/>
                <w:szCs w:val="16"/>
              </w:rPr>
            </w:pPr>
            <w:r w:rsidRPr="00DC3F04">
              <w:rPr>
                <w:sz w:val="16"/>
                <w:szCs w:val="16"/>
              </w:rPr>
              <w:t>Domestication, selection, behaviour and welfare of animals – genetic mechanisms for rapid responses</w:t>
            </w:r>
          </w:p>
          <w:p w14:paraId="47BBA3C1" w14:textId="77777777" w:rsidR="00DC3F04" w:rsidRPr="00DC3F04" w:rsidRDefault="00DC3F04" w:rsidP="00DC3F04">
            <w:pPr>
              <w:pStyle w:val="NoSpacing"/>
              <w:rPr>
                <w:sz w:val="16"/>
                <w:szCs w:val="16"/>
              </w:rPr>
            </w:pPr>
            <w:r w:rsidRPr="00DC3F04">
              <w:rPr>
                <w:sz w:val="16"/>
                <w:szCs w:val="16"/>
              </w:rPr>
              <w:t>By: Jensen, P.</w:t>
            </w:r>
          </w:p>
          <w:p w14:paraId="0485FB02" w14:textId="77777777" w:rsidR="00FA0BB9" w:rsidRPr="00DC3F04" w:rsidRDefault="00DC3F04" w:rsidP="00DC3F04">
            <w:pPr>
              <w:pStyle w:val="NoSpacing"/>
              <w:rPr>
                <w:sz w:val="16"/>
                <w:szCs w:val="16"/>
              </w:rPr>
            </w:pPr>
            <w:r w:rsidRPr="00DC3F04">
              <w:rPr>
                <w:sz w:val="16"/>
                <w:szCs w:val="16"/>
              </w:rPr>
              <w:t>ANIMAL WELFARE   Volume: 19   Supplement: S   Pages: 7-9   Published: MAY 2010</w:t>
            </w:r>
          </w:p>
        </w:tc>
      </w:tr>
      <w:tr w:rsidR="00FA0BB9" w:rsidRPr="00EA27D5" w14:paraId="0065A980" w14:textId="77777777" w:rsidTr="00043C78">
        <w:tc>
          <w:tcPr>
            <w:tcW w:w="3628" w:type="dxa"/>
          </w:tcPr>
          <w:p w14:paraId="19AD8B4C" w14:textId="77777777" w:rsidR="00FA0BB9" w:rsidRPr="008C43DD" w:rsidRDefault="00FA0BB9" w:rsidP="008C43DD">
            <w:pPr>
              <w:spacing w:before="60"/>
            </w:pPr>
            <w:r w:rsidRPr="008C43DD">
              <w:t>Totally irrelevant</w:t>
            </w:r>
          </w:p>
        </w:tc>
        <w:tc>
          <w:tcPr>
            <w:tcW w:w="1020" w:type="dxa"/>
          </w:tcPr>
          <w:p w14:paraId="31C5A718" w14:textId="77777777" w:rsidR="00FA0BB9" w:rsidRPr="008C43DD" w:rsidRDefault="00FA0BB9" w:rsidP="008C43DD">
            <w:pPr>
              <w:spacing w:before="60"/>
            </w:pPr>
            <w:r w:rsidRPr="008C43DD">
              <w:t>2</w:t>
            </w:r>
          </w:p>
        </w:tc>
        <w:tc>
          <w:tcPr>
            <w:tcW w:w="5329" w:type="dxa"/>
          </w:tcPr>
          <w:p w14:paraId="06A81E50" w14:textId="77777777" w:rsidR="00DC3F04" w:rsidRPr="00DC3F04" w:rsidRDefault="00DC3F04" w:rsidP="00DC3F04">
            <w:pPr>
              <w:pStyle w:val="NoSpacing"/>
              <w:rPr>
                <w:sz w:val="16"/>
                <w:szCs w:val="16"/>
              </w:rPr>
            </w:pPr>
            <w:r w:rsidRPr="00DC3F04">
              <w:rPr>
                <w:sz w:val="16"/>
                <w:szCs w:val="16"/>
              </w:rPr>
              <w:t>What can ecological data tell us about reasons for divergence in health status between West Central Scotland and other regions of post-industrial Europe?</w:t>
            </w:r>
          </w:p>
          <w:p w14:paraId="7A9F8753" w14:textId="77777777" w:rsidR="00DC3F04" w:rsidRPr="00DC3F04" w:rsidRDefault="00DC3F04" w:rsidP="00DC3F04">
            <w:pPr>
              <w:pStyle w:val="NoSpacing"/>
              <w:rPr>
                <w:sz w:val="16"/>
                <w:szCs w:val="16"/>
              </w:rPr>
            </w:pPr>
            <w:r w:rsidRPr="00DC3F04">
              <w:rPr>
                <w:sz w:val="16"/>
                <w:szCs w:val="16"/>
              </w:rPr>
              <w:t>By: Taulbut, M.; Walsh, D.; Parcell, S.; et al.</w:t>
            </w:r>
          </w:p>
          <w:p w14:paraId="5517780F" w14:textId="77777777" w:rsidR="00FA0BB9" w:rsidRPr="00DC3F04" w:rsidRDefault="00DC3F04" w:rsidP="00DC3F04">
            <w:pPr>
              <w:pStyle w:val="NoSpacing"/>
              <w:rPr>
                <w:sz w:val="16"/>
                <w:szCs w:val="16"/>
              </w:rPr>
            </w:pPr>
            <w:r w:rsidRPr="00DC3F04">
              <w:rPr>
                <w:sz w:val="16"/>
                <w:szCs w:val="16"/>
              </w:rPr>
              <w:t>PUBLIC HEALTH   Volume: 127   Issue: 2   Pages: 153-163   Published: FEB 2013</w:t>
            </w:r>
          </w:p>
        </w:tc>
      </w:tr>
      <w:tr w:rsidR="00FA0BB9" w:rsidRPr="00EA27D5" w14:paraId="6CBF3AE7" w14:textId="77777777" w:rsidTr="00043C78">
        <w:tc>
          <w:tcPr>
            <w:tcW w:w="3628" w:type="dxa"/>
          </w:tcPr>
          <w:p w14:paraId="57244301" w14:textId="77777777" w:rsidR="00FA0BB9" w:rsidRPr="00EA27D5" w:rsidRDefault="00FA0BB9" w:rsidP="00435E31">
            <w:pPr>
              <w:spacing w:before="60" w:line="240" w:lineRule="auto"/>
              <w:rPr>
                <w:rFonts w:cs="Arial"/>
                <w:b/>
                <w:color w:val="auto"/>
                <w:szCs w:val="18"/>
              </w:rPr>
            </w:pPr>
            <w:r w:rsidRPr="00EA27D5">
              <w:rPr>
                <w:rFonts w:cs="Arial"/>
                <w:b/>
                <w:color w:val="auto"/>
                <w:szCs w:val="18"/>
              </w:rPr>
              <w:t xml:space="preserve">Papers </w:t>
            </w:r>
            <w:r w:rsidR="00435E31">
              <w:rPr>
                <w:rFonts w:cs="Arial"/>
                <w:b/>
                <w:color w:val="auto"/>
                <w:szCs w:val="18"/>
              </w:rPr>
              <w:t>excluded from primary search</w:t>
            </w:r>
          </w:p>
        </w:tc>
        <w:tc>
          <w:tcPr>
            <w:tcW w:w="1020" w:type="dxa"/>
          </w:tcPr>
          <w:p w14:paraId="252B5D5A" w14:textId="77777777" w:rsidR="00FA0BB9" w:rsidRPr="00EA27D5" w:rsidRDefault="00435E31" w:rsidP="002B2473">
            <w:pPr>
              <w:spacing w:before="60" w:line="240" w:lineRule="auto"/>
              <w:rPr>
                <w:rFonts w:cs="Arial"/>
                <w:b/>
                <w:color w:val="auto"/>
                <w:szCs w:val="18"/>
              </w:rPr>
            </w:pPr>
            <w:r>
              <w:rPr>
                <w:rFonts w:cs="Arial"/>
                <w:b/>
                <w:color w:val="auto"/>
                <w:szCs w:val="18"/>
              </w:rPr>
              <w:t>13</w:t>
            </w:r>
          </w:p>
        </w:tc>
        <w:tc>
          <w:tcPr>
            <w:tcW w:w="5329" w:type="dxa"/>
          </w:tcPr>
          <w:p w14:paraId="0BA8FB59" w14:textId="77777777" w:rsidR="00FA0BB9" w:rsidRPr="008C43DD" w:rsidRDefault="008C43DD" w:rsidP="00435E31">
            <w:pPr>
              <w:spacing w:before="60" w:line="240" w:lineRule="auto"/>
              <w:rPr>
                <w:rFonts w:cs="Arial"/>
                <w:b/>
                <w:color w:val="auto"/>
                <w:szCs w:val="18"/>
              </w:rPr>
            </w:pPr>
            <w:r>
              <w:rPr>
                <w:rFonts w:cs="Arial"/>
                <w:b/>
                <w:color w:val="auto"/>
                <w:szCs w:val="18"/>
              </w:rPr>
              <w:t xml:space="preserve">Papers </w:t>
            </w:r>
            <w:r w:rsidR="00435E31">
              <w:rPr>
                <w:rFonts w:cs="Arial"/>
                <w:b/>
                <w:color w:val="auto"/>
                <w:szCs w:val="18"/>
              </w:rPr>
              <w:t>retained from primary search: 14 – 13 = 1</w:t>
            </w:r>
          </w:p>
        </w:tc>
      </w:tr>
    </w:tbl>
    <w:p w14:paraId="7F43AB3F" w14:textId="77777777" w:rsidR="00FA0BB9" w:rsidRPr="00590F0B" w:rsidRDefault="00FA0BB9" w:rsidP="00590F0B">
      <w:pPr>
        <w:spacing w:before="240" w:after="240"/>
        <w:rPr>
          <w:b/>
          <w:i/>
          <w:lang w:val="en-GB"/>
        </w:rPr>
      </w:pPr>
      <w:r w:rsidRPr="00590F0B">
        <w:rPr>
          <w:b/>
          <w:i/>
          <w:lang w:val="en-GB"/>
        </w:rPr>
        <w:t>Layer Breeder Secondary Searches</w:t>
      </w:r>
    </w:p>
    <w:tbl>
      <w:tblPr>
        <w:tblStyle w:val="TableGrid11"/>
        <w:tblW w:w="9954" w:type="dxa"/>
        <w:tblLook w:val="04A0" w:firstRow="1" w:lastRow="0" w:firstColumn="1" w:lastColumn="0" w:noHBand="0" w:noVBand="1"/>
        <w:tblCaption w:val="Results of secondary literature searches for laying hen breeders"/>
        <w:tblDescription w:val="This table shows the results of secondary literature searches for laying hen breeders. The left hand column shows the search terms used in the secondary searches. The second column shows the number of papers returned from each of these searches. The third column shows the additional papers included from these searches. The right hand column makes broad comments on the secondary searches."/>
      </w:tblPr>
      <w:tblGrid>
        <w:gridCol w:w="4025"/>
        <w:gridCol w:w="1020"/>
        <w:gridCol w:w="1020"/>
        <w:gridCol w:w="3889"/>
      </w:tblGrid>
      <w:tr w:rsidR="00FA0BB9" w:rsidRPr="00286A88" w14:paraId="2705C7BA" w14:textId="77777777" w:rsidTr="00587D34">
        <w:trPr>
          <w:tblHeader/>
        </w:trPr>
        <w:tc>
          <w:tcPr>
            <w:tcW w:w="4025" w:type="dxa"/>
            <w:shd w:val="clear" w:color="auto" w:fill="auto"/>
          </w:tcPr>
          <w:p w14:paraId="620D8F7D" w14:textId="77777777" w:rsidR="00FA0BB9" w:rsidRPr="006E6B22" w:rsidRDefault="00FA0BB9" w:rsidP="006E6B22">
            <w:pPr>
              <w:spacing w:before="60" w:line="240" w:lineRule="auto"/>
              <w:rPr>
                <w:rFonts w:cs="Arial"/>
                <w:b/>
                <w:color w:val="auto"/>
                <w:szCs w:val="18"/>
              </w:rPr>
            </w:pPr>
            <w:r w:rsidRPr="006E6B22">
              <w:rPr>
                <w:rFonts w:cs="Arial"/>
                <w:b/>
                <w:color w:val="auto"/>
                <w:szCs w:val="18"/>
              </w:rPr>
              <w:t>Search terms for synonyms of species or welfare</w:t>
            </w:r>
          </w:p>
        </w:tc>
        <w:tc>
          <w:tcPr>
            <w:tcW w:w="1020" w:type="dxa"/>
            <w:shd w:val="clear" w:color="auto" w:fill="auto"/>
          </w:tcPr>
          <w:p w14:paraId="3D469523" w14:textId="77777777" w:rsidR="00FA0BB9" w:rsidRPr="006E6B22" w:rsidRDefault="00FA0BB9" w:rsidP="006E6B22">
            <w:pPr>
              <w:spacing w:before="60" w:line="240" w:lineRule="auto"/>
              <w:rPr>
                <w:rFonts w:cs="Arial"/>
                <w:color w:val="auto"/>
                <w:szCs w:val="18"/>
              </w:rPr>
            </w:pPr>
            <w:r w:rsidRPr="006E6B22">
              <w:rPr>
                <w:rFonts w:cs="Arial"/>
                <w:color w:val="auto"/>
                <w:szCs w:val="18"/>
              </w:rPr>
              <w:t>Hits</w:t>
            </w:r>
          </w:p>
        </w:tc>
        <w:tc>
          <w:tcPr>
            <w:tcW w:w="1020" w:type="dxa"/>
            <w:shd w:val="clear" w:color="auto" w:fill="auto"/>
          </w:tcPr>
          <w:p w14:paraId="57D43AAD" w14:textId="77777777" w:rsidR="00FA0BB9" w:rsidRPr="006E6B22" w:rsidRDefault="00FA0BB9" w:rsidP="006E6B22">
            <w:pPr>
              <w:spacing w:before="60" w:line="240" w:lineRule="auto"/>
              <w:rPr>
                <w:rFonts w:cs="Arial"/>
                <w:color w:val="auto"/>
                <w:szCs w:val="18"/>
              </w:rPr>
            </w:pPr>
            <w:r w:rsidRPr="006E6B22">
              <w:rPr>
                <w:rFonts w:cs="Arial"/>
                <w:color w:val="auto"/>
                <w:szCs w:val="18"/>
              </w:rPr>
              <w:t>Additional Papers Included</w:t>
            </w:r>
          </w:p>
        </w:tc>
        <w:tc>
          <w:tcPr>
            <w:tcW w:w="3889" w:type="dxa"/>
            <w:shd w:val="clear" w:color="auto" w:fill="auto"/>
          </w:tcPr>
          <w:p w14:paraId="03DBEC52" w14:textId="77777777" w:rsidR="00FA0BB9" w:rsidRPr="006E6B22" w:rsidRDefault="00FA0BB9" w:rsidP="006E6B22">
            <w:pPr>
              <w:spacing w:before="60" w:line="240" w:lineRule="auto"/>
              <w:rPr>
                <w:rFonts w:cs="Arial"/>
                <w:color w:val="auto"/>
                <w:szCs w:val="18"/>
              </w:rPr>
            </w:pPr>
            <w:r w:rsidRPr="006E6B22">
              <w:rPr>
                <w:rFonts w:cs="Arial"/>
                <w:color w:val="auto"/>
                <w:szCs w:val="18"/>
              </w:rPr>
              <w:t>Comments</w:t>
            </w:r>
          </w:p>
        </w:tc>
      </w:tr>
      <w:tr w:rsidR="00FA0BB9" w:rsidRPr="00286A88" w14:paraId="7706D9E6" w14:textId="77777777" w:rsidTr="007975A6">
        <w:tc>
          <w:tcPr>
            <w:tcW w:w="4025" w:type="dxa"/>
          </w:tcPr>
          <w:p w14:paraId="23CBFE6B" w14:textId="77777777" w:rsidR="00FA0BB9" w:rsidRPr="006E6B22" w:rsidRDefault="00FA0BB9" w:rsidP="006E6B22">
            <w:pPr>
              <w:spacing w:before="60" w:line="240" w:lineRule="auto"/>
              <w:rPr>
                <w:rFonts w:cs="Arial"/>
                <w:color w:val="auto"/>
                <w:szCs w:val="18"/>
              </w:rPr>
            </w:pPr>
            <w:r w:rsidRPr="006E6B22">
              <w:rPr>
                <w:rFonts w:cs="Arial"/>
                <w:color w:val="auto"/>
                <w:szCs w:val="18"/>
              </w:rPr>
              <w:t>“layer breeder” and welfare</w:t>
            </w:r>
          </w:p>
        </w:tc>
        <w:tc>
          <w:tcPr>
            <w:tcW w:w="1020" w:type="dxa"/>
          </w:tcPr>
          <w:p w14:paraId="63EC0C29" w14:textId="77777777" w:rsidR="00FA0BB9" w:rsidRPr="006E6B22" w:rsidRDefault="00FA0BB9" w:rsidP="006E6B22">
            <w:pPr>
              <w:spacing w:before="60" w:line="240" w:lineRule="auto"/>
              <w:rPr>
                <w:rFonts w:cs="Arial"/>
                <w:color w:val="auto"/>
                <w:szCs w:val="18"/>
              </w:rPr>
            </w:pPr>
            <w:r w:rsidRPr="006E6B22">
              <w:rPr>
                <w:rFonts w:cs="Arial"/>
                <w:color w:val="auto"/>
                <w:szCs w:val="18"/>
              </w:rPr>
              <w:t>1</w:t>
            </w:r>
          </w:p>
        </w:tc>
        <w:tc>
          <w:tcPr>
            <w:tcW w:w="1020" w:type="dxa"/>
          </w:tcPr>
          <w:p w14:paraId="719B710F" w14:textId="77777777" w:rsidR="00FA0BB9" w:rsidRPr="006E6B22" w:rsidRDefault="00FA0BB9" w:rsidP="006E6B22">
            <w:pPr>
              <w:spacing w:before="60" w:line="240" w:lineRule="auto"/>
              <w:rPr>
                <w:rFonts w:cs="Arial"/>
                <w:color w:val="auto"/>
                <w:szCs w:val="18"/>
              </w:rPr>
            </w:pPr>
            <w:r w:rsidRPr="006E6B22">
              <w:rPr>
                <w:rFonts w:cs="Arial"/>
                <w:color w:val="auto"/>
                <w:szCs w:val="18"/>
              </w:rPr>
              <w:t>0</w:t>
            </w:r>
          </w:p>
        </w:tc>
        <w:tc>
          <w:tcPr>
            <w:tcW w:w="3889" w:type="dxa"/>
          </w:tcPr>
          <w:p w14:paraId="734D496D" w14:textId="77777777" w:rsidR="00FA0BB9" w:rsidRPr="006E6B22" w:rsidRDefault="00FA0BB9" w:rsidP="006E6B22">
            <w:pPr>
              <w:spacing w:before="60" w:line="240" w:lineRule="auto"/>
              <w:rPr>
                <w:rFonts w:cs="Arial"/>
                <w:color w:val="auto"/>
                <w:szCs w:val="18"/>
              </w:rPr>
            </w:pPr>
          </w:p>
        </w:tc>
      </w:tr>
      <w:tr w:rsidR="00FA0BB9" w:rsidRPr="00286A88" w14:paraId="00E0D53B" w14:textId="77777777" w:rsidTr="007975A6">
        <w:tc>
          <w:tcPr>
            <w:tcW w:w="4025" w:type="dxa"/>
          </w:tcPr>
          <w:p w14:paraId="5CE23DC5" w14:textId="77777777" w:rsidR="00FA0BB9" w:rsidRPr="006E6B22" w:rsidRDefault="00FA0BB9" w:rsidP="006E6B22">
            <w:pPr>
              <w:spacing w:before="60" w:line="240" w:lineRule="auto"/>
              <w:rPr>
                <w:rFonts w:cs="Arial"/>
                <w:color w:val="auto"/>
                <w:szCs w:val="18"/>
              </w:rPr>
            </w:pPr>
            <w:r w:rsidRPr="006E6B22">
              <w:rPr>
                <w:rFonts w:cs="Arial"/>
                <w:color w:val="auto"/>
                <w:szCs w:val="18"/>
              </w:rPr>
              <w:t>“layer breeder” and well-being</w:t>
            </w:r>
          </w:p>
        </w:tc>
        <w:tc>
          <w:tcPr>
            <w:tcW w:w="1020" w:type="dxa"/>
          </w:tcPr>
          <w:p w14:paraId="6E689A16" w14:textId="77777777" w:rsidR="00FA0BB9" w:rsidRPr="006E6B22" w:rsidRDefault="00FA0BB9" w:rsidP="006E6B22">
            <w:pPr>
              <w:spacing w:before="60" w:line="240" w:lineRule="auto"/>
              <w:rPr>
                <w:rFonts w:cs="Arial"/>
                <w:color w:val="auto"/>
                <w:szCs w:val="18"/>
              </w:rPr>
            </w:pPr>
            <w:r w:rsidRPr="006E6B22">
              <w:rPr>
                <w:rFonts w:cs="Arial"/>
                <w:color w:val="auto"/>
                <w:szCs w:val="18"/>
              </w:rPr>
              <w:t>2</w:t>
            </w:r>
          </w:p>
        </w:tc>
        <w:tc>
          <w:tcPr>
            <w:tcW w:w="1020" w:type="dxa"/>
          </w:tcPr>
          <w:p w14:paraId="3DEC30EF" w14:textId="77777777" w:rsidR="00FA0BB9" w:rsidRPr="006E6B22" w:rsidRDefault="00FA0BB9" w:rsidP="006E6B22">
            <w:pPr>
              <w:spacing w:before="60" w:line="240" w:lineRule="auto"/>
              <w:rPr>
                <w:rFonts w:cs="Arial"/>
                <w:color w:val="auto"/>
                <w:szCs w:val="18"/>
              </w:rPr>
            </w:pPr>
            <w:r w:rsidRPr="006E6B22">
              <w:rPr>
                <w:rFonts w:cs="Arial"/>
                <w:color w:val="auto"/>
                <w:szCs w:val="18"/>
              </w:rPr>
              <w:t>0</w:t>
            </w:r>
          </w:p>
        </w:tc>
        <w:tc>
          <w:tcPr>
            <w:tcW w:w="3889" w:type="dxa"/>
          </w:tcPr>
          <w:p w14:paraId="291E0CE1" w14:textId="77777777" w:rsidR="00FA0BB9" w:rsidRPr="006E6B22" w:rsidRDefault="00FA0BB9" w:rsidP="006E6B22">
            <w:pPr>
              <w:spacing w:before="60" w:line="240" w:lineRule="auto"/>
              <w:rPr>
                <w:rFonts w:cs="Arial"/>
                <w:color w:val="auto"/>
                <w:szCs w:val="18"/>
              </w:rPr>
            </w:pPr>
          </w:p>
        </w:tc>
      </w:tr>
      <w:tr w:rsidR="00FA0BB9" w:rsidRPr="00286A88" w14:paraId="68EAEFB2" w14:textId="77777777" w:rsidTr="007975A6">
        <w:tc>
          <w:tcPr>
            <w:tcW w:w="4025" w:type="dxa"/>
          </w:tcPr>
          <w:p w14:paraId="4C60E278" w14:textId="77777777" w:rsidR="00FA0BB9" w:rsidRPr="006E6B22" w:rsidRDefault="00FA0BB9" w:rsidP="006E6B22">
            <w:pPr>
              <w:spacing w:before="60" w:line="240" w:lineRule="auto"/>
              <w:rPr>
                <w:rFonts w:cs="Arial"/>
                <w:color w:val="auto"/>
                <w:szCs w:val="18"/>
              </w:rPr>
            </w:pPr>
            <w:r w:rsidRPr="006E6B22">
              <w:rPr>
                <w:rFonts w:cs="Arial"/>
                <w:color w:val="auto"/>
                <w:szCs w:val="18"/>
              </w:rPr>
              <w:t>(hen* and parent*) and welfare</w:t>
            </w:r>
          </w:p>
        </w:tc>
        <w:tc>
          <w:tcPr>
            <w:tcW w:w="1020" w:type="dxa"/>
          </w:tcPr>
          <w:p w14:paraId="3BDCEB9D" w14:textId="77777777" w:rsidR="00FA0BB9" w:rsidRPr="006E6B22" w:rsidRDefault="00FA0BB9" w:rsidP="006E6B22">
            <w:pPr>
              <w:spacing w:before="60" w:line="240" w:lineRule="auto"/>
              <w:rPr>
                <w:rFonts w:cs="Arial"/>
                <w:color w:val="auto"/>
                <w:szCs w:val="18"/>
              </w:rPr>
            </w:pPr>
            <w:r w:rsidRPr="006E6B22">
              <w:rPr>
                <w:rFonts w:cs="Arial"/>
                <w:color w:val="auto"/>
                <w:szCs w:val="18"/>
              </w:rPr>
              <w:t>28</w:t>
            </w:r>
          </w:p>
        </w:tc>
        <w:tc>
          <w:tcPr>
            <w:tcW w:w="1020" w:type="dxa"/>
          </w:tcPr>
          <w:p w14:paraId="2547B90F" w14:textId="77777777" w:rsidR="00FA0BB9" w:rsidRPr="006E6B22" w:rsidRDefault="00FA0BB9" w:rsidP="006E6B22">
            <w:pPr>
              <w:spacing w:before="60" w:line="240" w:lineRule="auto"/>
              <w:rPr>
                <w:rFonts w:cs="Arial"/>
                <w:color w:val="auto"/>
                <w:szCs w:val="18"/>
              </w:rPr>
            </w:pPr>
            <w:r w:rsidRPr="006E6B22">
              <w:rPr>
                <w:rFonts w:cs="Arial"/>
                <w:color w:val="auto"/>
                <w:szCs w:val="18"/>
              </w:rPr>
              <w:t>0</w:t>
            </w:r>
          </w:p>
        </w:tc>
        <w:tc>
          <w:tcPr>
            <w:tcW w:w="3889" w:type="dxa"/>
          </w:tcPr>
          <w:p w14:paraId="4B9331D1" w14:textId="77777777" w:rsidR="00FA0BB9" w:rsidRPr="006E6B22" w:rsidRDefault="00FA0BB9" w:rsidP="006E6B22">
            <w:pPr>
              <w:spacing w:before="60" w:line="240" w:lineRule="auto"/>
              <w:rPr>
                <w:rFonts w:cs="Arial"/>
                <w:color w:val="auto"/>
                <w:szCs w:val="18"/>
              </w:rPr>
            </w:pPr>
          </w:p>
        </w:tc>
      </w:tr>
      <w:tr w:rsidR="00FA0BB9" w:rsidRPr="00286A88" w14:paraId="2E7972A7" w14:textId="77777777" w:rsidTr="007975A6">
        <w:tc>
          <w:tcPr>
            <w:tcW w:w="4025" w:type="dxa"/>
          </w:tcPr>
          <w:p w14:paraId="17FA7887" w14:textId="77777777" w:rsidR="00FA0BB9" w:rsidRPr="006E6B22" w:rsidRDefault="00FA0BB9" w:rsidP="006E6B22">
            <w:pPr>
              <w:spacing w:before="60" w:line="240" w:lineRule="auto"/>
              <w:rPr>
                <w:rFonts w:cs="Arial"/>
                <w:color w:val="auto"/>
                <w:szCs w:val="18"/>
              </w:rPr>
            </w:pPr>
            <w:r w:rsidRPr="006E6B22">
              <w:rPr>
                <w:rFonts w:cs="Arial"/>
                <w:color w:val="auto"/>
                <w:szCs w:val="18"/>
              </w:rPr>
              <w:t>(Lay* and parent*) and well-being</w:t>
            </w:r>
          </w:p>
        </w:tc>
        <w:tc>
          <w:tcPr>
            <w:tcW w:w="1020" w:type="dxa"/>
          </w:tcPr>
          <w:p w14:paraId="7EEE85FE" w14:textId="77777777" w:rsidR="00FA0BB9" w:rsidRPr="006E6B22" w:rsidRDefault="00FA0BB9" w:rsidP="006E6B22">
            <w:pPr>
              <w:spacing w:before="60" w:line="240" w:lineRule="auto"/>
              <w:rPr>
                <w:rFonts w:cs="Arial"/>
                <w:color w:val="auto"/>
                <w:szCs w:val="18"/>
              </w:rPr>
            </w:pPr>
            <w:r w:rsidRPr="006E6B22">
              <w:rPr>
                <w:rFonts w:cs="Arial"/>
                <w:color w:val="auto"/>
                <w:szCs w:val="18"/>
              </w:rPr>
              <w:t>6</w:t>
            </w:r>
          </w:p>
        </w:tc>
        <w:tc>
          <w:tcPr>
            <w:tcW w:w="1020" w:type="dxa"/>
          </w:tcPr>
          <w:p w14:paraId="1F974EE5" w14:textId="77777777" w:rsidR="00FA0BB9" w:rsidRPr="006E6B22" w:rsidRDefault="00FA0BB9" w:rsidP="006E6B22">
            <w:pPr>
              <w:spacing w:before="60" w:line="240" w:lineRule="auto"/>
              <w:rPr>
                <w:rFonts w:cs="Arial"/>
                <w:color w:val="auto"/>
                <w:szCs w:val="18"/>
              </w:rPr>
            </w:pPr>
            <w:r w:rsidRPr="006E6B22">
              <w:rPr>
                <w:rFonts w:cs="Arial"/>
                <w:color w:val="auto"/>
                <w:szCs w:val="18"/>
              </w:rPr>
              <w:t>0</w:t>
            </w:r>
          </w:p>
        </w:tc>
        <w:tc>
          <w:tcPr>
            <w:tcW w:w="3889" w:type="dxa"/>
          </w:tcPr>
          <w:p w14:paraId="0ABA7725" w14:textId="77777777" w:rsidR="00FA0BB9" w:rsidRPr="006E6B22" w:rsidRDefault="00FA0BB9" w:rsidP="006E6B22">
            <w:pPr>
              <w:spacing w:before="60" w:line="240" w:lineRule="auto"/>
              <w:rPr>
                <w:rFonts w:cs="Arial"/>
                <w:color w:val="auto"/>
                <w:szCs w:val="18"/>
              </w:rPr>
            </w:pPr>
          </w:p>
        </w:tc>
      </w:tr>
      <w:tr w:rsidR="00FA0BB9" w:rsidRPr="00286A88" w14:paraId="33550DA4" w14:textId="77777777" w:rsidTr="00587D34">
        <w:tc>
          <w:tcPr>
            <w:tcW w:w="4025" w:type="dxa"/>
            <w:shd w:val="clear" w:color="auto" w:fill="auto"/>
          </w:tcPr>
          <w:p w14:paraId="04302A97" w14:textId="77777777" w:rsidR="00FA0BB9" w:rsidRPr="006E6B22" w:rsidRDefault="00FA0BB9" w:rsidP="006E6B22">
            <w:pPr>
              <w:spacing w:before="60" w:line="240" w:lineRule="auto"/>
              <w:rPr>
                <w:rFonts w:cs="Arial"/>
                <w:color w:val="auto"/>
                <w:szCs w:val="18"/>
              </w:rPr>
            </w:pPr>
            <w:r w:rsidRPr="006E6B22">
              <w:rPr>
                <w:rFonts w:cs="Arial"/>
                <w:b/>
                <w:color w:val="auto"/>
                <w:szCs w:val="18"/>
              </w:rPr>
              <w:t>Search for sub-sets of terms relevant to welfare</w:t>
            </w:r>
          </w:p>
        </w:tc>
        <w:tc>
          <w:tcPr>
            <w:tcW w:w="1020" w:type="dxa"/>
            <w:shd w:val="clear" w:color="auto" w:fill="auto"/>
          </w:tcPr>
          <w:p w14:paraId="46DEA5FE" w14:textId="77777777" w:rsidR="00FA0BB9" w:rsidRPr="006E6B22" w:rsidRDefault="00FA0BB9" w:rsidP="006E6B22">
            <w:pPr>
              <w:spacing w:before="60" w:line="240" w:lineRule="auto"/>
              <w:rPr>
                <w:rFonts w:cs="Arial"/>
                <w:color w:val="auto"/>
                <w:szCs w:val="18"/>
              </w:rPr>
            </w:pPr>
          </w:p>
        </w:tc>
        <w:tc>
          <w:tcPr>
            <w:tcW w:w="1020" w:type="dxa"/>
            <w:shd w:val="clear" w:color="auto" w:fill="auto"/>
          </w:tcPr>
          <w:p w14:paraId="6692D185" w14:textId="77777777" w:rsidR="00FA0BB9" w:rsidRPr="006E6B22" w:rsidRDefault="00FA0BB9" w:rsidP="006E6B22">
            <w:pPr>
              <w:spacing w:before="60" w:line="240" w:lineRule="auto"/>
              <w:rPr>
                <w:rFonts w:cs="Arial"/>
                <w:color w:val="auto"/>
                <w:szCs w:val="18"/>
              </w:rPr>
            </w:pPr>
          </w:p>
        </w:tc>
        <w:tc>
          <w:tcPr>
            <w:tcW w:w="3889" w:type="dxa"/>
            <w:shd w:val="clear" w:color="auto" w:fill="auto"/>
          </w:tcPr>
          <w:p w14:paraId="297CC9C3" w14:textId="77777777" w:rsidR="00FA0BB9" w:rsidRPr="006E6B22" w:rsidRDefault="00FA0BB9" w:rsidP="006E6B22">
            <w:pPr>
              <w:spacing w:before="60" w:line="240" w:lineRule="auto"/>
              <w:rPr>
                <w:rFonts w:cs="Arial"/>
                <w:color w:val="auto"/>
                <w:szCs w:val="18"/>
              </w:rPr>
            </w:pPr>
          </w:p>
        </w:tc>
      </w:tr>
      <w:tr w:rsidR="00FA0BB9" w:rsidRPr="00286A88" w14:paraId="4143A3A1" w14:textId="77777777" w:rsidTr="007975A6">
        <w:tc>
          <w:tcPr>
            <w:tcW w:w="4025" w:type="dxa"/>
          </w:tcPr>
          <w:p w14:paraId="60F91136" w14:textId="77777777" w:rsidR="00FA0BB9" w:rsidRPr="006E6B22" w:rsidRDefault="00FA0BB9" w:rsidP="006E6B22">
            <w:pPr>
              <w:spacing w:before="60" w:line="240" w:lineRule="auto"/>
              <w:rPr>
                <w:rFonts w:cs="Arial"/>
                <w:color w:val="auto"/>
                <w:szCs w:val="18"/>
              </w:rPr>
            </w:pPr>
            <w:r w:rsidRPr="00587D34">
              <w:rPr>
                <w:rFonts w:cs="Arial"/>
                <w:color w:val="auto"/>
                <w:szCs w:val="18"/>
              </w:rPr>
              <w:t>(</w:t>
            </w:r>
            <w:r w:rsidRPr="006E6B22">
              <w:rPr>
                <w:rFonts w:cs="Arial"/>
                <w:color w:val="auto"/>
                <w:szCs w:val="18"/>
              </w:rPr>
              <w:t>lay* and parent*) and health</w:t>
            </w:r>
          </w:p>
        </w:tc>
        <w:tc>
          <w:tcPr>
            <w:tcW w:w="1020" w:type="dxa"/>
          </w:tcPr>
          <w:p w14:paraId="4E162D24" w14:textId="77777777" w:rsidR="00FA0BB9" w:rsidRPr="006E6B22" w:rsidRDefault="00FA0BB9" w:rsidP="006E6B22">
            <w:pPr>
              <w:spacing w:before="60" w:line="240" w:lineRule="auto"/>
              <w:rPr>
                <w:rFonts w:cs="Arial"/>
                <w:color w:val="auto"/>
                <w:szCs w:val="18"/>
              </w:rPr>
            </w:pPr>
            <w:r w:rsidRPr="006E6B22">
              <w:rPr>
                <w:rFonts w:cs="Arial"/>
                <w:color w:val="auto"/>
                <w:szCs w:val="18"/>
              </w:rPr>
              <w:t>264</w:t>
            </w:r>
          </w:p>
        </w:tc>
        <w:tc>
          <w:tcPr>
            <w:tcW w:w="1020" w:type="dxa"/>
          </w:tcPr>
          <w:p w14:paraId="43CEA6D4" w14:textId="77777777" w:rsidR="00FA0BB9" w:rsidRPr="006E6B22" w:rsidRDefault="00FA0BB9" w:rsidP="006E6B22">
            <w:pPr>
              <w:spacing w:before="60" w:line="240" w:lineRule="auto"/>
              <w:rPr>
                <w:rFonts w:cs="Arial"/>
                <w:color w:val="auto"/>
                <w:szCs w:val="18"/>
              </w:rPr>
            </w:pPr>
            <w:r w:rsidRPr="006E6B22">
              <w:rPr>
                <w:rFonts w:cs="Arial"/>
                <w:color w:val="auto"/>
                <w:szCs w:val="18"/>
              </w:rPr>
              <w:t>0</w:t>
            </w:r>
          </w:p>
        </w:tc>
        <w:tc>
          <w:tcPr>
            <w:tcW w:w="3889" w:type="dxa"/>
          </w:tcPr>
          <w:p w14:paraId="69E2EA4E" w14:textId="77777777" w:rsidR="00FA0BB9" w:rsidRPr="006E6B22" w:rsidRDefault="00FA0BB9" w:rsidP="006E6B22">
            <w:pPr>
              <w:spacing w:before="60" w:line="240" w:lineRule="auto"/>
              <w:rPr>
                <w:rFonts w:cs="Arial"/>
                <w:color w:val="auto"/>
                <w:szCs w:val="18"/>
              </w:rPr>
            </w:pPr>
            <w:r w:rsidRPr="006E6B22">
              <w:rPr>
                <w:rFonts w:cs="Arial"/>
                <w:color w:val="auto"/>
                <w:szCs w:val="18"/>
              </w:rPr>
              <w:t>Mostly paediatrics</w:t>
            </w:r>
          </w:p>
        </w:tc>
      </w:tr>
      <w:tr w:rsidR="00FA0BB9" w:rsidRPr="00286A88" w14:paraId="1C739462" w14:textId="77777777" w:rsidTr="007975A6">
        <w:tc>
          <w:tcPr>
            <w:tcW w:w="4025" w:type="dxa"/>
          </w:tcPr>
          <w:p w14:paraId="5AE9238A" w14:textId="77777777" w:rsidR="00FA0BB9" w:rsidRPr="006E6B22" w:rsidRDefault="00FA0BB9" w:rsidP="006E6B22">
            <w:pPr>
              <w:spacing w:before="60" w:line="240" w:lineRule="auto"/>
              <w:rPr>
                <w:rFonts w:cs="Arial"/>
                <w:color w:val="auto"/>
                <w:szCs w:val="18"/>
              </w:rPr>
            </w:pPr>
            <w:r w:rsidRPr="006E6B22">
              <w:rPr>
                <w:rFonts w:cs="Arial"/>
                <w:color w:val="auto"/>
                <w:szCs w:val="18"/>
              </w:rPr>
              <w:t>“layer breeder” and health</w:t>
            </w:r>
          </w:p>
        </w:tc>
        <w:tc>
          <w:tcPr>
            <w:tcW w:w="1020" w:type="dxa"/>
          </w:tcPr>
          <w:p w14:paraId="3D054CFC" w14:textId="77777777" w:rsidR="00FA0BB9" w:rsidRPr="006E6B22" w:rsidRDefault="00FA0BB9" w:rsidP="006E6B22">
            <w:pPr>
              <w:spacing w:before="60" w:line="240" w:lineRule="auto"/>
              <w:rPr>
                <w:rFonts w:cs="Arial"/>
                <w:color w:val="auto"/>
                <w:szCs w:val="18"/>
              </w:rPr>
            </w:pPr>
            <w:r w:rsidRPr="006E6B22">
              <w:rPr>
                <w:rFonts w:cs="Arial"/>
                <w:color w:val="auto"/>
                <w:szCs w:val="18"/>
              </w:rPr>
              <w:t>4</w:t>
            </w:r>
          </w:p>
        </w:tc>
        <w:tc>
          <w:tcPr>
            <w:tcW w:w="1020" w:type="dxa"/>
          </w:tcPr>
          <w:p w14:paraId="0F672FF3" w14:textId="77777777" w:rsidR="00FA0BB9" w:rsidRPr="006E6B22" w:rsidRDefault="00FA0BB9" w:rsidP="006E6B22">
            <w:pPr>
              <w:spacing w:before="60" w:line="240" w:lineRule="auto"/>
              <w:rPr>
                <w:rFonts w:cs="Arial"/>
                <w:color w:val="auto"/>
                <w:szCs w:val="18"/>
              </w:rPr>
            </w:pPr>
            <w:r w:rsidRPr="006E6B22">
              <w:rPr>
                <w:rFonts w:cs="Arial"/>
                <w:color w:val="auto"/>
                <w:szCs w:val="18"/>
              </w:rPr>
              <w:t>0</w:t>
            </w:r>
          </w:p>
        </w:tc>
        <w:tc>
          <w:tcPr>
            <w:tcW w:w="3889" w:type="dxa"/>
          </w:tcPr>
          <w:p w14:paraId="04A72CF0" w14:textId="77777777" w:rsidR="00FA0BB9" w:rsidRPr="006E6B22" w:rsidRDefault="00FA0BB9" w:rsidP="006E6B22">
            <w:pPr>
              <w:spacing w:before="60" w:line="240" w:lineRule="auto"/>
              <w:rPr>
                <w:rFonts w:cs="Arial"/>
                <w:color w:val="auto"/>
                <w:szCs w:val="18"/>
              </w:rPr>
            </w:pPr>
          </w:p>
        </w:tc>
      </w:tr>
      <w:tr w:rsidR="00FA0BB9" w:rsidRPr="00286A88" w14:paraId="12E6534B" w14:textId="77777777" w:rsidTr="007975A6">
        <w:tc>
          <w:tcPr>
            <w:tcW w:w="4025" w:type="dxa"/>
          </w:tcPr>
          <w:p w14:paraId="191038FD" w14:textId="77777777" w:rsidR="00FA0BB9" w:rsidRPr="006E6B22" w:rsidRDefault="00FA0BB9" w:rsidP="006E6B22">
            <w:pPr>
              <w:spacing w:before="60" w:line="240" w:lineRule="auto"/>
              <w:rPr>
                <w:rFonts w:cs="Arial"/>
                <w:b/>
                <w:color w:val="auto"/>
                <w:szCs w:val="18"/>
              </w:rPr>
            </w:pPr>
            <w:r w:rsidRPr="006E6B22">
              <w:rPr>
                <w:rFonts w:cs="Arial"/>
                <w:color w:val="auto"/>
                <w:szCs w:val="18"/>
              </w:rPr>
              <w:t>(lay* and parent*) and (stress* or fear*)</w:t>
            </w:r>
          </w:p>
        </w:tc>
        <w:tc>
          <w:tcPr>
            <w:tcW w:w="1020" w:type="dxa"/>
          </w:tcPr>
          <w:p w14:paraId="1E66FD08" w14:textId="77777777" w:rsidR="00FA0BB9" w:rsidRPr="006E6B22" w:rsidRDefault="00FA0BB9" w:rsidP="006E6B22">
            <w:pPr>
              <w:spacing w:before="60" w:line="240" w:lineRule="auto"/>
              <w:rPr>
                <w:rFonts w:cs="Arial"/>
                <w:color w:val="auto"/>
                <w:szCs w:val="18"/>
              </w:rPr>
            </w:pPr>
            <w:r w:rsidRPr="006E6B22">
              <w:rPr>
                <w:rFonts w:cs="Arial"/>
                <w:color w:val="auto"/>
                <w:szCs w:val="18"/>
              </w:rPr>
              <w:t>282</w:t>
            </w:r>
          </w:p>
        </w:tc>
        <w:tc>
          <w:tcPr>
            <w:tcW w:w="1020" w:type="dxa"/>
          </w:tcPr>
          <w:p w14:paraId="7005DB71" w14:textId="77777777" w:rsidR="00FA0BB9" w:rsidRPr="006E6B22" w:rsidRDefault="00FA0BB9" w:rsidP="006E6B22">
            <w:pPr>
              <w:spacing w:before="60" w:line="240" w:lineRule="auto"/>
              <w:rPr>
                <w:rFonts w:cs="Arial"/>
                <w:color w:val="auto"/>
                <w:szCs w:val="18"/>
              </w:rPr>
            </w:pPr>
            <w:r w:rsidRPr="006E6B22">
              <w:rPr>
                <w:rFonts w:cs="Arial"/>
                <w:color w:val="auto"/>
                <w:szCs w:val="18"/>
              </w:rPr>
              <w:t>0</w:t>
            </w:r>
          </w:p>
        </w:tc>
        <w:tc>
          <w:tcPr>
            <w:tcW w:w="3889" w:type="dxa"/>
          </w:tcPr>
          <w:p w14:paraId="2BC07F74" w14:textId="77777777" w:rsidR="00FA0BB9" w:rsidRPr="006E6B22" w:rsidRDefault="00FA0BB9" w:rsidP="006E6B22">
            <w:pPr>
              <w:spacing w:before="60" w:line="240" w:lineRule="auto"/>
              <w:rPr>
                <w:rFonts w:cs="Arial"/>
                <w:color w:val="auto"/>
                <w:szCs w:val="18"/>
              </w:rPr>
            </w:pPr>
            <w:r w:rsidRPr="006E6B22">
              <w:rPr>
                <w:rFonts w:cs="Arial"/>
                <w:color w:val="auto"/>
                <w:szCs w:val="18"/>
              </w:rPr>
              <w:t>Mostly paediatrics</w:t>
            </w:r>
          </w:p>
        </w:tc>
      </w:tr>
      <w:tr w:rsidR="00FA0BB9" w:rsidRPr="00286A88" w14:paraId="35AB71F9" w14:textId="77777777" w:rsidTr="007975A6">
        <w:tc>
          <w:tcPr>
            <w:tcW w:w="4025" w:type="dxa"/>
          </w:tcPr>
          <w:p w14:paraId="29162908" w14:textId="77777777" w:rsidR="00FA0BB9" w:rsidRPr="006E6B22" w:rsidRDefault="00FA0BB9" w:rsidP="006E6B22">
            <w:pPr>
              <w:spacing w:before="60" w:line="240" w:lineRule="auto"/>
              <w:rPr>
                <w:rFonts w:cs="Arial"/>
                <w:color w:val="auto"/>
                <w:szCs w:val="18"/>
              </w:rPr>
            </w:pPr>
            <w:r w:rsidRPr="006E6B22">
              <w:rPr>
                <w:rFonts w:cs="Arial"/>
                <w:color w:val="auto"/>
                <w:szCs w:val="18"/>
              </w:rPr>
              <w:t>“layer breeder” and (stress* or fear*)</w:t>
            </w:r>
          </w:p>
        </w:tc>
        <w:tc>
          <w:tcPr>
            <w:tcW w:w="1020" w:type="dxa"/>
          </w:tcPr>
          <w:p w14:paraId="5230E801" w14:textId="77777777" w:rsidR="00FA0BB9" w:rsidRPr="006E6B22" w:rsidRDefault="00FA0BB9" w:rsidP="006E6B22">
            <w:pPr>
              <w:spacing w:before="60" w:line="240" w:lineRule="auto"/>
              <w:rPr>
                <w:rFonts w:cs="Arial"/>
                <w:color w:val="auto"/>
                <w:szCs w:val="18"/>
              </w:rPr>
            </w:pPr>
            <w:r w:rsidRPr="006E6B22">
              <w:rPr>
                <w:rFonts w:cs="Arial"/>
                <w:color w:val="auto"/>
                <w:szCs w:val="18"/>
              </w:rPr>
              <w:t>7</w:t>
            </w:r>
          </w:p>
        </w:tc>
        <w:tc>
          <w:tcPr>
            <w:tcW w:w="1020" w:type="dxa"/>
          </w:tcPr>
          <w:p w14:paraId="39414EDF" w14:textId="77777777" w:rsidR="00FA0BB9" w:rsidRPr="006E6B22" w:rsidRDefault="00FA0BB9" w:rsidP="006E6B22">
            <w:pPr>
              <w:spacing w:before="60" w:line="240" w:lineRule="auto"/>
              <w:rPr>
                <w:rFonts w:cs="Arial"/>
                <w:color w:val="auto"/>
                <w:szCs w:val="18"/>
              </w:rPr>
            </w:pPr>
            <w:r w:rsidRPr="006E6B22">
              <w:rPr>
                <w:rFonts w:cs="Arial"/>
                <w:color w:val="auto"/>
                <w:szCs w:val="18"/>
              </w:rPr>
              <w:t>1</w:t>
            </w:r>
          </w:p>
        </w:tc>
        <w:tc>
          <w:tcPr>
            <w:tcW w:w="3889" w:type="dxa"/>
          </w:tcPr>
          <w:p w14:paraId="197B990E" w14:textId="77777777" w:rsidR="00FA0BB9" w:rsidRPr="006E6B22" w:rsidRDefault="00FA0BB9" w:rsidP="006E6B22">
            <w:pPr>
              <w:spacing w:before="60" w:line="240" w:lineRule="auto"/>
              <w:rPr>
                <w:rFonts w:cs="Arial"/>
                <w:color w:val="auto"/>
                <w:szCs w:val="18"/>
              </w:rPr>
            </w:pPr>
          </w:p>
        </w:tc>
      </w:tr>
      <w:tr w:rsidR="00FA0BB9" w:rsidRPr="00286A88" w14:paraId="380923B3" w14:textId="77777777" w:rsidTr="007975A6">
        <w:tc>
          <w:tcPr>
            <w:tcW w:w="4025" w:type="dxa"/>
          </w:tcPr>
          <w:p w14:paraId="0D4026AA" w14:textId="77777777" w:rsidR="00FA0BB9" w:rsidRPr="006E6B22" w:rsidRDefault="00FA0BB9" w:rsidP="006E6B22">
            <w:pPr>
              <w:spacing w:before="60" w:line="240" w:lineRule="auto"/>
              <w:rPr>
                <w:rFonts w:cs="Arial"/>
                <w:b/>
                <w:color w:val="auto"/>
                <w:szCs w:val="18"/>
              </w:rPr>
            </w:pPr>
            <w:r w:rsidRPr="006E6B22">
              <w:rPr>
                <w:rFonts w:cs="Arial"/>
                <w:color w:val="auto"/>
                <w:szCs w:val="18"/>
              </w:rPr>
              <w:t xml:space="preserve">(lay* and parent*) and injur* OR </w:t>
            </w:r>
            <w:r w:rsidRPr="006E6B22">
              <w:rPr>
                <w:rFonts w:cs="Arial"/>
                <w:b/>
                <w:color w:val="auto"/>
                <w:szCs w:val="18"/>
              </w:rPr>
              <w:t>(</w:t>
            </w:r>
            <w:r w:rsidRPr="006E6B22">
              <w:rPr>
                <w:rFonts w:cs="Arial"/>
                <w:color w:val="auto"/>
                <w:szCs w:val="18"/>
              </w:rPr>
              <w:t xml:space="preserve">lay* and parent*) and cull OR </w:t>
            </w:r>
            <w:r w:rsidRPr="006E6B22">
              <w:rPr>
                <w:rFonts w:cs="Arial"/>
                <w:b/>
                <w:color w:val="auto"/>
                <w:szCs w:val="18"/>
              </w:rPr>
              <w:t>(</w:t>
            </w:r>
            <w:r w:rsidRPr="006E6B22">
              <w:rPr>
                <w:rFonts w:cs="Arial"/>
                <w:color w:val="auto"/>
                <w:szCs w:val="18"/>
              </w:rPr>
              <w:t>lay* and parent*) and mortali*</w:t>
            </w:r>
          </w:p>
        </w:tc>
        <w:tc>
          <w:tcPr>
            <w:tcW w:w="1020" w:type="dxa"/>
          </w:tcPr>
          <w:p w14:paraId="71180CFD" w14:textId="77777777" w:rsidR="00FA0BB9" w:rsidRPr="006E6B22" w:rsidRDefault="00FA0BB9" w:rsidP="006E6B22">
            <w:pPr>
              <w:spacing w:before="60" w:line="240" w:lineRule="auto"/>
              <w:rPr>
                <w:rFonts w:cs="Arial"/>
                <w:color w:val="auto"/>
                <w:szCs w:val="18"/>
              </w:rPr>
            </w:pPr>
            <w:r w:rsidRPr="006E6B22">
              <w:rPr>
                <w:rFonts w:cs="Arial"/>
                <w:color w:val="auto"/>
                <w:szCs w:val="18"/>
              </w:rPr>
              <w:t>208</w:t>
            </w:r>
          </w:p>
        </w:tc>
        <w:tc>
          <w:tcPr>
            <w:tcW w:w="1020" w:type="dxa"/>
          </w:tcPr>
          <w:p w14:paraId="42B73FD2" w14:textId="77777777" w:rsidR="00FA0BB9" w:rsidRPr="006E6B22" w:rsidRDefault="00FA0BB9" w:rsidP="006E6B22">
            <w:pPr>
              <w:spacing w:before="60" w:line="240" w:lineRule="auto"/>
              <w:rPr>
                <w:rFonts w:cs="Arial"/>
                <w:color w:val="auto"/>
                <w:szCs w:val="18"/>
              </w:rPr>
            </w:pPr>
            <w:r w:rsidRPr="006E6B22">
              <w:rPr>
                <w:rFonts w:cs="Arial"/>
                <w:color w:val="auto"/>
                <w:szCs w:val="18"/>
              </w:rPr>
              <w:t>1</w:t>
            </w:r>
          </w:p>
        </w:tc>
        <w:tc>
          <w:tcPr>
            <w:tcW w:w="3889" w:type="dxa"/>
          </w:tcPr>
          <w:p w14:paraId="0B182326" w14:textId="77777777" w:rsidR="00FA0BB9" w:rsidRPr="006E6B22" w:rsidRDefault="00FA0BB9" w:rsidP="006E6B22">
            <w:pPr>
              <w:spacing w:before="60" w:line="240" w:lineRule="auto"/>
              <w:rPr>
                <w:rFonts w:cs="Arial"/>
                <w:color w:val="auto"/>
                <w:szCs w:val="18"/>
              </w:rPr>
            </w:pPr>
            <w:r w:rsidRPr="006E6B22">
              <w:rPr>
                <w:rFonts w:cs="Arial"/>
                <w:color w:val="auto"/>
                <w:szCs w:val="18"/>
              </w:rPr>
              <w:t xml:space="preserve">Mostly ecology of other birds, or ornithology. Some human medicine </w:t>
            </w:r>
            <w:r w:rsidR="009E50B5">
              <w:rPr>
                <w:rFonts w:cs="Arial"/>
                <w:color w:val="auto"/>
                <w:szCs w:val="18"/>
              </w:rPr>
              <w:t>and some papers on egg quality.</w:t>
            </w:r>
          </w:p>
        </w:tc>
      </w:tr>
      <w:tr w:rsidR="00FA0BB9" w:rsidRPr="00286A88" w14:paraId="6F0BE366" w14:textId="77777777" w:rsidTr="007975A6">
        <w:tc>
          <w:tcPr>
            <w:tcW w:w="4025" w:type="dxa"/>
          </w:tcPr>
          <w:p w14:paraId="51AB5B06" w14:textId="77777777" w:rsidR="00FA0BB9" w:rsidRPr="006E6B22" w:rsidRDefault="00FA0BB9" w:rsidP="006E6B22">
            <w:pPr>
              <w:spacing w:before="60" w:line="240" w:lineRule="auto"/>
              <w:rPr>
                <w:rFonts w:cs="Arial"/>
                <w:b/>
                <w:color w:val="auto"/>
                <w:szCs w:val="18"/>
              </w:rPr>
            </w:pPr>
            <w:r w:rsidRPr="006E6B22">
              <w:rPr>
                <w:rFonts w:cs="Arial"/>
                <w:color w:val="auto"/>
                <w:szCs w:val="18"/>
              </w:rPr>
              <w:t>“layer breeder” and injur* OR “layer breeder” and cull OR “layer breeder” and mortali*</w:t>
            </w:r>
          </w:p>
        </w:tc>
        <w:tc>
          <w:tcPr>
            <w:tcW w:w="1020" w:type="dxa"/>
          </w:tcPr>
          <w:p w14:paraId="35CFDC95" w14:textId="77777777" w:rsidR="00FA0BB9" w:rsidRPr="006E6B22" w:rsidRDefault="00FA0BB9" w:rsidP="006E6B22">
            <w:pPr>
              <w:spacing w:before="60" w:line="240" w:lineRule="auto"/>
              <w:rPr>
                <w:rFonts w:cs="Arial"/>
                <w:color w:val="auto"/>
                <w:szCs w:val="18"/>
              </w:rPr>
            </w:pPr>
            <w:r w:rsidRPr="006E6B22">
              <w:rPr>
                <w:rFonts w:cs="Arial"/>
                <w:color w:val="auto"/>
                <w:szCs w:val="18"/>
              </w:rPr>
              <w:t>8</w:t>
            </w:r>
          </w:p>
        </w:tc>
        <w:tc>
          <w:tcPr>
            <w:tcW w:w="1020" w:type="dxa"/>
          </w:tcPr>
          <w:p w14:paraId="024E0D16" w14:textId="77777777" w:rsidR="00FA0BB9" w:rsidRPr="006E6B22" w:rsidRDefault="00FA0BB9" w:rsidP="006E6B22">
            <w:pPr>
              <w:spacing w:before="60" w:line="240" w:lineRule="auto"/>
              <w:rPr>
                <w:rFonts w:cs="Arial"/>
                <w:color w:val="auto"/>
                <w:szCs w:val="18"/>
              </w:rPr>
            </w:pPr>
            <w:r w:rsidRPr="006E6B22">
              <w:rPr>
                <w:rFonts w:cs="Arial"/>
                <w:color w:val="auto"/>
                <w:szCs w:val="18"/>
              </w:rPr>
              <w:t>0</w:t>
            </w:r>
          </w:p>
        </w:tc>
        <w:tc>
          <w:tcPr>
            <w:tcW w:w="3889" w:type="dxa"/>
          </w:tcPr>
          <w:p w14:paraId="0758A703" w14:textId="77777777" w:rsidR="00FA0BB9" w:rsidRPr="006E6B22" w:rsidRDefault="00FA0BB9" w:rsidP="006E6B22">
            <w:pPr>
              <w:spacing w:before="60" w:line="240" w:lineRule="auto"/>
              <w:rPr>
                <w:rFonts w:cs="Arial"/>
                <w:color w:val="auto"/>
                <w:szCs w:val="18"/>
              </w:rPr>
            </w:pPr>
          </w:p>
        </w:tc>
      </w:tr>
      <w:tr w:rsidR="00FA0BB9" w:rsidRPr="00286A88" w14:paraId="0DF74535" w14:textId="77777777" w:rsidTr="007975A6">
        <w:tc>
          <w:tcPr>
            <w:tcW w:w="4025" w:type="dxa"/>
          </w:tcPr>
          <w:p w14:paraId="361FB190" w14:textId="77777777" w:rsidR="00FA0BB9" w:rsidRPr="006E6B22" w:rsidRDefault="00FA0BB9" w:rsidP="006E6B22">
            <w:pPr>
              <w:spacing w:before="60" w:line="240" w:lineRule="auto"/>
              <w:rPr>
                <w:rFonts w:cs="Arial"/>
                <w:b/>
                <w:color w:val="auto"/>
                <w:szCs w:val="18"/>
              </w:rPr>
            </w:pPr>
            <w:r w:rsidRPr="006E6B22">
              <w:rPr>
                <w:rFonts w:cs="Arial"/>
                <w:color w:val="auto"/>
                <w:szCs w:val="18"/>
              </w:rPr>
              <w:t>(lay* and parent*) and (density or space)</w:t>
            </w:r>
          </w:p>
        </w:tc>
        <w:tc>
          <w:tcPr>
            <w:tcW w:w="1020" w:type="dxa"/>
          </w:tcPr>
          <w:p w14:paraId="78EBB30E" w14:textId="77777777" w:rsidR="00FA0BB9" w:rsidRPr="006E6B22" w:rsidRDefault="00FA0BB9" w:rsidP="006E6B22">
            <w:pPr>
              <w:spacing w:before="60" w:line="240" w:lineRule="auto"/>
              <w:rPr>
                <w:rFonts w:cs="Arial"/>
                <w:color w:val="auto"/>
                <w:szCs w:val="18"/>
              </w:rPr>
            </w:pPr>
            <w:r w:rsidRPr="006E6B22">
              <w:rPr>
                <w:rFonts w:cs="Arial"/>
                <w:color w:val="auto"/>
                <w:szCs w:val="18"/>
              </w:rPr>
              <w:t>814</w:t>
            </w:r>
          </w:p>
        </w:tc>
        <w:tc>
          <w:tcPr>
            <w:tcW w:w="1020" w:type="dxa"/>
          </w:tcPr>
          <w:p w14:paraId="054126D0" w14:textId="77777777" w:rsidR="00FA0BB9" w:rsidRPr="006E6B22" w:rsidRDefault="00FA0BB9" w:rsidP="006E6B22">
            <w:pPr>
              <w:spacing w:before="60" w:line="240" w:lineRule="auto"/>
              <w:rPr>
                <w:rFonts w:cs="Arial"/>
                <w:color w:val="auto"/>
                <w:szCs w:val="18"/>
              </w:rPr>
            </w:pPr>
            <w:r w:rsidRPr="006E6B22">
              <w:rPr>
                <w:rFonts w:cs="Arial"/>
                <w:color w:val="auto"/>
                <w:szCs w:val="18"/>
              </w:rPr>
              <w:t>0</w:t>
            </w:r>
          </w:p>
        </w:tc>
        <w:tc>
          <w:tcPr>
            <w:tcW w:w="3889" w:type="dxa"/>
          </w:tcPr>
          <w:p w14:paraId="2F7A9D74" w14:textId="77777777" w:rsidR="00FA0BB9" w:rsidRPr="006E6B22" w:rsidRDefault="00FA0BB9" w:rsidP="006E6B22">
            <w:pPr>
              <w:spacing w:before="60" w:line="240" w:lineRule="auto"/>
              <w:rPr>
                <w:rFonts w:cs="Arial"/>
                <w:color w:val="auto"/>
                <w:szCs w:val="18"/>
              </w:rPr>
            </w:pPr>
            <w:r w:rsidRPr="006E6B22">
              <w:rPr>
                <w:rFonts w:cs="Arial"/>
                <w:color w:val="auto"/>
                <w:szCs w:val="18"/>
              </w:rPr>
              <w:t>Mostly material scienc</w:t>
            </w:r>
            <w:r w:rsidR="009E50B5">
              <w:rPr>
                <w:rFonts w:cs="Arial"/>
                <w:color w:val="auto"/>
                <w:szCs w:val="18"/>
              </w:rPr>
              <w:t>e, physical chemistry, physics.</w:t>
            </w:r>
          </w:p>
        </w:tc>
      </w:tr>
      <w:tr w:rsidR="00FA0BB9" w:rsidRPr="00286A88" w14:paraId="58BBEE3E" w14:textId="77777777" w:rsidTr="007975A6">
        <w:tc>
          <w:tcPr>
            <w:tcW w:w="4025" w:type="dxa"/>
          </w:tcPr>
          <w:p w14:paraId="6226C277" w14:textId="77777777" w:rsidR="00FA0BB9" w:rsidRPr="006E6B22" w:rsidRDefault="00FA0BB9" w:rsidP="006E6B22">
            <w:pPr>
              <w:spacing w:before="60" w:line="240" w:lineRule="auto"/>
              <w:rPr>
                <w:rFonts w:cs="Arial"/>
                <w:b/>
                <w:color w:val="auto"/>
                <w:szCs w:val="18"/>
              </w:rPr>
            </w:pPr>
            <w:r w:rsidRPr="006E6B22">
              <w:rPr>
                <w:rFonts w:cs="Arial"/>
                <w:color w:val="auto"/>
                <w:szCs w:val="18"/>
              </w:rPr>
              <w:t>“layer breeder” and (density or space)</w:t>
            </w:r>
          </w:p>
        </w:tc>
        <w:tc>
          <w:tcPr>
            <w:tcW w:w="1020" w:type="dxa"/>
          </w:tcPr>
          <w:p w14:paraId="03FF42A0" w14:textId="77777777" w:rsidR="00FA0BB9" w:rsidRPr="006E6B22" w:rsidRDefault="00FA0BB9" w:rsidP="006E6B22">
            <w:pPr>
              <w:spacing w:before="60" w:line="240" w:lineRule="auto"/>
              <w:rPr>
                <w:rFonts w:cs="Arial"/>
                <w:color w:val="auto"/>
                <w:szCs w:val="18"/>
              </w:rPr>
            </w:pPr>
            <w:r w:rsidRPr="006E6B22">
              <w:rPr>
                <w:rFonts w:cs="Arial"/>
                <w:color w:val="auto"/>
                <w:szCs w:val="18"/>
              </w:rPr>
              <w:t>4</w:t>
            </w:r>
          </w:p>
        </w:tc>
        <w:tc>
          <w:tcPr>
            <w:tcW w:w="1020" w:type="dxa"/>
          </w:tcPr>
          <w:p w14:paraId="72AB9D1C" w14:textId="77777777" w:rsidR="00FA0BB9" w:rsidRPr="006E6B22" w:rsidRDefault="00FA0BB9" w:rsidP="006E6B22">
            <w:pPr>
              <w:spacing w:before="60" w:line="240" w:lineRule="auto"/>
              <w:rPr>
                <w:rFonts w:cs="Arial"/>
                <w:color w:val="auto"/>
                <w:szCs w:val="18"/>
              </w:rPr>
            </w:pPr>
            <w:r w:rsidRPr="006E6B22">
              <w:rPr>
                <w:rFonts w:cs="Arial"/>
                <w:color w:val="auto"/>
                <w:szCs w:val="18"/>
              </w:rPr>
              <w:t>0</w:t>
            </w:r>
          </w:p>
        </w:tc>
        <w:tc>
          <w:tcPr>
            <w:tcW w:w="3889" w:type="dxa"/>
          </w:tcPr>
          <w:p w14:paraId="3CB722B9" w14:textId="77777777" w:rsidR="00FA0BB9" w:rsidRPr="006E6B22" w:rsidRDefault="00FA0BB9" w:rsidP="006E6B22">
            <w:pPr>
              <w:spacing w:before="60" w:line="240" w:lineRule="auto"/>
              <w:rPr>
                <w:rFonts w:cs="Arial"/>
                <w:color w:val="auto"/>
                <w:szCs w:val="18"/>
              </w:rPr>
            </w:pPr>
            <w:r w:rsidRPr="006E6B22">
              <w:rPr>
                <w:rFonts w:cs="Arial"/>
                <w:color w:val="auto"/>
                <w:szCs w:val="18"/>
              </w:rPr>
              <w:t>All on egg quality</w:t>
            </w:r>
          </w:p>
        </w:tc>
      </w:tr>
      <w:tr w:rsidR="00FA0BB9" w:rsidRPr="00286A88" w14:paraId="35F7679E" w14:textId="77777777" w:rsidTr="007975A6">
        <w:tc>
          <w:tcPr>
            <w:tcW w:w="4025" w:type="dxa"/>
          </w:tcPr>
          <w:p w14:paraId="3CAFB4F6" w14:textId="77777777" w:rsidR="00FA0BB9" w:rsidRPr="006E6B22" w:rsidRDefault="00FA0BB9" w:rsidP="006E6B22">
            <w:pPr>
              <w:spacing w:before="60" w:line="240" w:lineRule="auto"/>
              <w:rPr>
                <w:rFonts w:cs="Arial"/>
                <w:color w:val="auto"/>
                <w:szCs w:val="18"/>
              </w:rPr>
            </w:pPr>
            <w:r w:rsidRPr="006E6B22">
              <w:rPr>
                <w:rFonts w:cs="Arial"/>
                <w:b/>
                <w:color w:val="auto"/>
                <w:szCs w:val="18"/>
              </w:rPr>
              <w:t>(</w:t>
            </w:r>
            <w:r w:rsidRPr="006E6B22">
              <w:rPr>
                <w:rFonts w:cs="Arial"/>
                <w:color w:val="auto"/>
                <w:szCs w:val="18"/>
              </w:rPr>
              <w:t xml:space="preserve">lay* and parent*) and litter OR </w:t>
            </w:r>
            <w:r w:rsidRPr="006E6B22">
              <w:rPr>
                <w:rFonts w:cs="Arial"/>
                <w:b/>
                <w:color w:val="auto"/>
                <w:szCs w:val="18"/>
              </w:rPr>
              <w:t>(</w:t>
            </w:r>
            <w:r w:rsidRPr="006E6B22">
              <w:rPr>
                <w:rFonts w:cs="Arial"/>
                <w:color w:val="auto"/>
                <w:szCs w:val="18"/>
              </w:rPr>
              <w:t xml:space="preserve">lay* and parent*) </w:t>
            </w:r>
            <w:r w:rsidR="0010235B">
              <w:rPr>
                <w:rFonts w:cs="Arial"/>
                <w:color w:val="auto"/>
                <w:szCs w:val="18"/>
              </w:rPr>
              <w:t>“</w:t>
            </w:r>
            <w:r w:rsidRPr="006E6B22">
              <w:rPr>
                <w:rFonts w:cs="Arial"/>
                <w:color w:val="auto"/>
                <w:szCs w:val="18"/>
              </w:rPr>
              <w:t xml:space="preserve"> and perch* OR </w:t>
            </w:r>
            <w:r w:rsidRPr="006E6B22">
              <w:rPr>
                <w:rFonts w:cs="Arial"/>
                <w:b/>
                <w:color w:val="auto"/>
                <w:szCs w:val="18"/>
              </w:rPr>
              <w:t>(</w:t>
            </w:r>
            <w:r w:rsidRPr="006E6B22">
              <w:rPr>
                <w:rFonts w:cs="Arial"/>
                <w:color w:val="auto"/>
                <w:szCs w:val="18"/>
              </w:rPr>
              <w:t xml:space="preserve">lay* and parent*) and nest* OR </w:t>
            </w:r>
            <w:r w:rsidRPr="006E6B22">
              <w:rPr>
                <w:rFonts w:cs="Arial"/>
                <w:b/>
                <w:color w:val="auto"/>
                <w:szCs w:val="18"/>
              </w:rPr>
              <w:t>(</w:t>
            </w:r>
            <w:r w:rsidRPr="006E6B22">
              <w:rPr>
                <w:rFonts w:cs="Arial"/>
                <w:color w:val="auto"/>
                <w:szCs w:val="18"/>
              </w:rPr>
              <w:t>lay* and parent*) and enrich*</w:t>
            </w:r>
          </w:p>
        </w:tc>
        <w:tc>
          <w:tcPr>
            <w:tcW w:w="1020" w:type="dxa"/>
          </w:tcPr>
          <w:p w14:paraId="3BBE258C" w14:textId="77777777" w:rsidR="00FA0BB9" w:rsidRPr="006E6B22" w:rsidRDefault="00FA0BB9" w:rsidP="006E6B22">
            <w:pPr>
              <w:spacing w:before="60" w:line="240" w:lineRule="auto"/>
              <w:rPr>
                <w:rFonts w:cs="Arial"/>
                <w:color w:val="auto"/>
                <w:szCs w:val="18"/>
              </w:rPr>
            </w:pPr>
            <w:r w:rsidRPr="006E6B22">
              <w:rPr>
                <w:rFonts w:cs="Arial"/>
                <w:color w:val="auto"/>
                <w:szCs w:val="18"/>
              </w:rPr>
              <w:t>1019</w:t>
            </w:r>
          </w:p>
        </w:tc>
        <w:tc>
          <w:tcPr>
            <w:tcW w:w="1020" w:type="dxa"/>
          </w:tcPr>
          <w:p w14:paraId="08B34015" w14:textId="77777777" w:rsidR="00FA0BB9" w:rsidRPr="006E6B22" w:rsidRDefault="00FA0BB9" w:rsidP="006E6B22">
            <w:pPr>
              <w:spacing w:before="60" w:line="240" w:lineRule="auto"/>
              <w:rPr>
                <w:rFonts w:cs="Arial"/>
                <w:color w:val="auto"/>
                <w:szCs w:val="18"/>
              </w:rPr>
            </w:pPr>
            <w:r w:rsidRPr="006E6B22">
              <w:rPr>
                <w:rFonts w:cs="Arial"/>
                <w:color w:val="auto"/>
                <w:szCs w:val="18"/>
              </w:rPr>
              <w:t>1</w:t>
            </w:r>
          </w:p>
        </w:tc>
        <w:tc>
          <w:tcPr>
            <w:tcW w:w="3889" w:type="dxa"/>
          </w:tcPr>
          <w:p w14:paraId="5FAE1F66" w14:textId="77777777" w:rsidR="00FA0BB9" w:rsidRPr="006E6B22" w:rsidRDefault="00FA0BB9" w:rsidP="006E6B22">
            <w:pPr>
              <w:spacing w:before="60" w:line="240" w:lineRule="auto"/>
              <w:rPr>
                <w:rFonts w:cs="Arial"/>
                <w:color w:val="auto"/>
                <w:szCs w:val="18"/>
              </w:rPr>
            </w:pPr>
            <w:r w:rsidRPr="006E6B22">
              <w:rPr>
                <w:rFonts w:cs="Arial"/>
                <w:color w:val="auto"/>
                <w:szCs w:val="18"/>
              </w:rPr>
              <w:t>Mostly ornithology, ecology, geoscience</w:t>
            </w:r>
          </w:p>
        </w:tc>
      </w:tr>
      <w:tr w:rsidR="00FA0BB9" w:rsidRPr="00286A88" w14:paraId="6A0F78DB" w14:textId="77777777" w:rsidTr="007975A6">
        <w:tc>
          <w:tcPr>
            <w:tcW w:w="4025" w:type="dxa"/>
          </w:tcPr>
          <w:p w14:paraId="6F4EF0E3" w14:textId="77777777" w:rsidR="00FA0BB9" w:rsidRPr="006E6B22" w:rsidRDefault="0010235B" w:rsidP="006E6B22">
            <w:pPr>
              <w:spacing w:before="60" w:line="240" w:lineRule="auto"/>
              <w:rPr>
                <w:rFonts w:cs="Arial"/>
                <w:color w:val="auto"/>
                <w:szCs w:val="18"/>
              </w:rPr>
            </w:pPr>
            <w:r>
              <w:rPr>
                <w:rFonts w:cs="Arial"/>
                <w:color w:val="auto"/>
                <w:szCs w:val="18"/>
              </w:rPr>
              <w:t>“</w:t>
            </w:r>
            <w:r w:rsidR="00FA0BB9" w:rsidRPr="006E6B22">
              <w:rPr>
                <w:rFonts w:cs="Arial"/>
                <w:color w:val="auto"/>
                <w:szCs w:val="18"/>
              </w:rPr>
              <w:t>layer breeder</w:t>
            </w:r>
            <w:r>
              <w:rPr>
                <w:rFonts w:cs="Arial"/>
                <w:color w:val="auto"/>
                <w:szCs w:val="18"/>
              </w:rPr>
              <w:t>”</w:t>
            </w:r>
            <w:r w:rsidR="00FA0BB9" w:rsidRPr="006E6B22">
              <w:rPr>
                <w:rFonts w:cs="Arial"/>
                <w:color w:val="auto"/>
                <w:szCs w:val="18"/>
              </w:rPr>
              <w:t xml:space="preserve"> and litter OR </w:t>
            </w:r>
            <w:r>
              <w:rPr>
                <w:rFonts w:cs="Arial"/>
                <w:color w:val="auto"/>
                <w:szCs w:val="18"/>
              </w:rPr>
              <w:t>“</w:t>
            </w:r>
            <w:r w:rsidR="00FA0BB9" w:rsidRPr="006E6B22">
              <w:rPr>
                <w:rFonts w:cs="Arial"/>
                <w:color w:val="auto"/>
                <w:szCs w:val="18"/>
              </w:rPr>
              <w:t>layer breeder</w:t>
            </w:r>
            <w:r>
              <w:rPr>
                <w:rFonts w:cs="Arial"/>
                <w:color w:val="auto"/>
                <w:szCs w:val="18"/>
              </w:rPr>
              <w:t>”</w:t>
            </w:r>
            <w:r w:rsidR="00FA0BB9" w:rsidRPr="006E6B22">
              <w:rPr>
                <w:rFonts w:cs="Arial"/>
                <w:color w:val="auto"/>
                <w:szCs w:val="18"/>
              </w:rPr>
              <w:t xml:space="preserve"> and perch* OR </w:t>
            </w:r>
            <w:r>
              <w:rPr>
                <w:rFonts w:cs="Arial"/>
                <w:color w:val="auto"/>
                <w:szCs w:val="18"/>
              </w:rPr>
              <w:t>“</w:t>
            </w:r>
            <w:r w:rsidR="00FA0BB9" w:rsidRPr="006E6B22">
              <w:rPr>
                <w:rFonts w:cs="Arial"/>
                <w:color w:val="auto"/>
                <w:szCs w:val="18"/>
              </w:rPr>
              <w:t>layer breeder</w:t>
            </w:r>
            <w:r>
              <w:rPr>
                <w:rFonts w:cs="Arial"/>
                <w:color w:val="auto"/>
                <w:szCs w:val="18"/>
              </w:rPr>
              <w:t>”</w:t>
            </w:r>
            <w:r w:rsidR="00FA0BB9" w:rsidRPr="006E6B22">
              <w:rPr>
                <w:rFonts w:cs="Arial"/>
                <w:color w:val="auto"/>
                <w:szCs w:val="18"/>
              </w:rPr>
              <w:t xml:space="preserve"> and nest* OR </w:t>
            </w:r>
            <w:r>
              <w:rPr>
                <w:rFonts w:cs="Arial"/>
                <w:color w:val="auto"/>
                <w:szCs w:val="18"/>
              </w:rPr>
              <w:t>“</w:t>
            </w:r>
            <w:r w:rsidR="00FA0BB9" w:rsidRPr="006E6B22">
              <w:rPr>
                <w:rFonts w:cs="Arial"/>
                <w:color w:val="auto"/>
                <w:szCs w:val="18"/>
              </w:rPr>
              <w:t>layer breeder</w:t>
            </w:r>
            <w:r>
              <w:rPr>
                <w:rFonts w:cs="Arial"/>
                <w:color w:val="auto"/>
                <w:szCs w:val="18"/>
              </w:rPr>
              <w:t>”</w:t>
            </w:r>
            <w:r w:rsidR="00FA0BB9" w:rsidRPr="006E6B22">
              <w:rPr>
                <w:rFonts w:cs="Arial"/>
                <w:color w:val="auto"/>
                <w:szCs w:val="18"/>
              </w:rPr>
              <w:t xml:space="preserve"> and enrich*</w:t>
            </w:r>
          </w:p>
        </w:tc>
        <w:tc>
          <w:tcPr>
            <w:tcW w:w="1020" w:type="dxa"/>
          </w:tcPr>
          <w:p w14:paraId="427C2229" w14:textId="77777777" w:rsidR="00FA0BB9" w:rsidRPr="006E6B22" w:rsidRDefault="00FA0BB9" w:rsidP="006E6B22">
            <w:pPr>
              <w:spacing w:before="60" w:line="240" w:lineRule="auto"/>
              <w:rPr>
                <w:rFonts w:cs="Arial"/>
                <w:color w:val="auto"/>
                <w:szCs w:val="18"/>
              </w:rPr>
            </w:pPr>
            <w:r w:rsidRPr="006E6B22">
              <w:rPr>
                <w:rFonts w:cs="Arial"/>
                <w:color w:val="auto"/>
                <w:szCs w:val="18"/>
              </w:rPr>
              <w:t>2</w:t>
            </w:r>
          </w:p>
        </w:tc>
        <w:tc>
          <w:tcPr>
            <w:tcW w:w="1020" w:type="dxa"/>
          </w:tcPr>
          <w:p w14:paraId="2F3755BD" w14:textId="77777777" w:rsidR="00FA0BB9" w:rsidRPr="006E6B22" w:rsidRDefault="00FA0BB9" w:rsidP="006E6B22">
            <w:pPr>
              <w:spacing w:before="60" w:line="240" w:lineRule="auto"/>
              <w:rPr>
                <w:rFonts w:cs="Arial"/>
                <w:color w:val="auto"/>
                <w:szCs w:val="18"/>
              </w:rPr>
            </w:pPr>
            <w:r w:rsidRPr="006E6B22">
              <w:rPr>
                <w:rFonts w:cs="Arial"/>
                <w:color w:val="auto"/>
                <w:szCs w:val="18"/>
              </w:rPr>
              <w:t>0</w:t>
            </w:r>
          </w:p>
        </w:tc>
        <w:tc>
          <w:tcPr>
            <w:tcW w:w="3889" w:type="dxa"/>
          </w:tcPr>
          <w:p w14:paraId="78E0FB23" w14:textId="77777777" w:rsidR="00FA0BB9" w:rsidRPr="006E6B22" w:rsidRDefault="00FA0BB9" w:rsidP="006E6B22">
            <w:pPr>
              <w:spacing w:before="60" w:line="240" w:lineRule="auto"/>
              <w:rPr>
                <w:rFonts w:cs="Arial"/>
                <w:color w:val="auto"/>
                <w:szCs w:val="18"/>
              </w:rPr>
            </w:pPr>
          </w:p>
        </w:tc>
      </w:tr>
      <w:tr w:rsidR="00FA0BB9" w:rsidRPr="00286A88" w14:paraId="140D2B25" w14:textId="77777777" w:rsidTr="007975A6">
        <w:tc>
          <w:tcPr>
            <w:tcW w:w="4025" w:type="dxa"/>
          </w:tcPr>
          <w:p w14:paraId="6E9C4F3C" w14:textId="77777777" w:rsidR="00FA0BB9" w:rsidRPr="006E6B22" w:rsidRDefault="00FA0BB9" w:rsidP="006E6B22">
            <w:pPr>
              <w:spacing w:before="60" w:line="240" w:lineRule="auto"/>
              <w:rPr>
                <w:rFonts w:cs="Arial"/>
                <w:color w:val="auto"/>
                <w:szCs w:val="18"/>
              </w:rPr>
            </w:pPr>
            <w:r w:rsidRPr="006E6B22">
              <w:rPr>
                <w:rFonts w:cs="Arial"/>
                <w:b/>
                <w:color w:val="auto"/>
                <w:szCs w:val="18"/>
              </w:rPr>
              <w:t>(</w:t>
            </w:r>
            <w:r w:rsidRPr="006E6B22">
              <w:rPr>
                <w:rFonts w:cs="Arial"/>
                <w:color w:val="auto"/>
                <w:szCs w:val="18"/>
              </w:rPr>
              <w:t>lay* and parent*) and (dustbath* or dust-bath*)</w:t>
            </w:r>
          </w:p>
        </w:tc>
        <w:tc>
          <w:tcPr>
            <w:tcW w:w="1020" w:type="dxa"/>
          </w:tcPr>
          <w:p w14:paraId="7D989D4A" w14:textId="77777777" w:rsidR="00FA0BB9" w:rsidRPr="006E6B22" w:rsidRDefault="00FA0BB9" w:rsidP="006E6B22">
            <w:pPr>
              <w:spacing w:before="60" w:line="240" w:lineRule="auto"/>
              <w:rPr>
                <w:rFonts w:cs="Arial"/>
                <w:color w:val="auto"/>
                <w:szCs w:val="18"/>
              </w:rPr>
            </w:pPr>
            <w:r w:rsidRPr="006E6B22">
              <w:rPr>
                <w:rFonts w:cs="Arial"/>
                <w:color w:val="auto"/>
                <w:szCs w:val="18"/>
              </w:rPr>
              <w:t>0</w:t>
            </w:r>
          </w:p>
        </w:tc>
        <w:tc>
          <w:tcPr>
            <w:tcW w:w="1020" w:type="dxa"/>
          </w:tcPr>
          <w:p w14:paraId="62D720AF" w14:textId="77777777" w:rsidR="00FA0BB9" w:rsidRPr="006E6B22" w:rsidRDefault="00FA0BB9" w:rsidP="006E6B22">
            <w:pPr>
              <w:spacing w:before="60" w:line="240" w:lineRule="auto"/>
              <w:rPr>
                <w:rFonts w:cs="Arial"/>
                <w:color w:val="auto"/>
                <w:szCs w:val="18"/>
              </w:rPr>
            </w:pPr>
            <w:r w:rsidRPr="006E6B22">
              <w:rPr>
                <w:rFonts w:cs="Arial"/>
                <w:color w:val="auto"/>
                <w:szCs w:val="18"/>
              </w:rPr>
              <w:t>0</w:t>
            </w:r>
          </w:p>
        </w:tc>
        <w:tc>
          <w:tcPr>
            <w:tcW w:w="3889" w:type="dxa"/>
          </w:tcPr>
          <w:p w14:paraId="720DBCB4" w14:textId="77777777" w:rsidR="00FA0BB9" w:rsidRPr="006E6B22" w:rsidRDefault="00FA0BB9" w:rsidP="006E6B22">
            <w:pPr>
              <w:spacing w:before="60" w:line="240" w:lineRule="auto"/>
              <w:rPr>
                <w:rFonts w:cs="Arial"/>
                <w:color w:val="auto"/>
                <w:szCs w:val="18"/>
              </w:rPr>
            </w:pPr>
          </w:p>
        </w:tc>
      </w:tr>
      <w:tr w:rsidR="00FA0BB9" w:rsidRPr="00286A88" w14:paraId="4A506F7D" w14:textId="77777777" w:rsidTr="007975A6">
        <w:tc>
          <w:tcPr>
            <w:tcW w:w="4025" w:type="dxa"/>
          </w:tcPr>
          <w:p w14:paraId="583CF7B1" w14:textId="77777777" w:rsidR="00FA0BB9" w:rsidRPr="006E6B22" w:rsidRDefault="0010235B" w:rsidP="006E6B22">
            <w:pPr>
              <w:spacing w:before="60" w:line="240" w:lineRule="auto"/>
              <w:rPr>
                <w:rFonts w:cs="Arial"/>
                <w:b/>
                <w:color w:val="auto"/>
                <w:szCs w:val="18"/>
              </w:rPr>
            </w:pPr>
            <w:r>
              <w:rPr>
                <w:rFonts w:cs="Arial"/>
                <w:color w:val="auto"/>
                <w:szCs w:val="18"/>
              </w:rPr>
              <w:t>“</w:t>
            </w:r>
            <w:r w:rsidR="00FA0BB9" w:rsidRPr="006E6B22">
              <w:rPr>
                <w:rFonts w:cs="Arial"/>
                <w:color w:val="auto"/>
                <w:szCs w:val="18"/>
              </w:rPr>
              <w:t>layer breeder</w:t>
            </w:r>
            <w:r>
              <w:rPr>
                <w:rFonts w:cs="Arial"/>
                <w:color w:val="auto"/>
                <w:szCs w:val="18"/>
              </w:rPr>
              <w:t>”</w:t>
            </w:r>
            <w:r w:rsidR="00FA0BB9" w:rsidRPr="006E6B22">
              <w:rPr>
                <w:rFonts w:cs="Arial"/>
                <w:color w:val="auto"/>
                <w:szCs w:val="18"/>
              </w:rPr>
              <w:t xml:space="preserve"> and (dustbath* or dust-bath*)</w:t>
            </w:r>
          </w:p>
        </w:tc>
        <w:tc>
          <w:tcPr>
            <w:tcW w:w="1020" w:type="dxa"/>
          </w:tcPr>
          <w:p w14:paraId="35F7258E" w14:textId="77777777" w:rsidR="00FA0BB9" w:rsidRPr="006E6B22" w:rsidRDefault="00FA0BB9" w:rsidP="006E6B22">
            <w:pPr>
              <w:spacing w:before="60" w:line="240" w:lineRule="auto"/>
              <w:rPr>
                <w:rFonts w:cs="Arial"/>
                <w:color w:val="auto"/>
                <w:szCs w:val="18"/>
              </w:rPr>
            </w:pPr>
            <w:r w:rsidRPr="006E6B22">
              <w:rPr>
                <w:rFonts w:cs="Arial"/>
                <w:color w:val="auto"/>
                <w:szCs w:val="18"/>
              </w:rPr>
              <w:t>0</w:t>
            </w:r>
          </w:p>
        </w:tc>
        <w:tc>
          <w:tcPr>
            <w:tcW w:w="1020" w:type="dxa"/>
          </w:tcPr>
          <w:p w14:paraId="656893C6" w14:textId="77777777" w:rsidR="00FA0BB9" w:rsidRPr="006E6B22" w:rsidRDefault="00FA0BB9" w:rsidP="006E6B22">
            <w:pPr>
              <w:spacing w:before="60" w:line="240" w:lineRule="auto"/>
              <w:rPr>
                <w:rFonts w:cs="Arial"/>
                <w:color w:val="auto"/>
                <w:szCs w:val="18"/>
              </w:rPr>
            </w:pPr>
            <w:r w:rsidRPr="006E6B22">
              <w:rPr>
                <w:rFonts w:cs="Arial"/>
                <w:color w:val="auto"/>
                <w:szCs w:val="18"/>
              </w:rPr>
              <w:t>0</w:t>
            </w:r>
          </w:p>
        </w:tc>
        <w:tc>
          <w:tcPr>
            <w:tcW w:w="3889" w:type="dxa"/>
          </w:tcPr>
          <w:p w14:paraId="77F9EEF0" w14:textId="77777777" w:rsidR="00FA0BB9" w:rsidRPr="006E6B22" w:rsidRDefault="00FA0BB9" w:rsidP="006E6B22">
            <w:pPr>
              <w:spacing w:before="60" w:line="240" w:lineRule="auto"/>
              <w:rPr>
                <w:rFonts w:cs="Arial"/>
                <w:color w:val="auto"/>
                <w:szCs w:val="18"/>
              </w:rPr>
            </w:pPr>
          </w:p>
        </w:tc>
      </w:tr>
      <w:tr w:rsidR="00FA0BB9" w:rsidRPr="00286A88" w14:paraId="69EED354" w14:textId="77777777" w:rsidTr="007975A6">
        <w:tc>
          <w:tcPr>
            <w:tcW w:w="4025" w:type="dxa"/>
          </w:tcPr>
          <w:p w14:paraId="0AD1E375" w14:textId="77777777" w:rsidR="00FA0BB9" w:rsidRPr="006E6B22" w:rsidRDefault="00FA0BB9" w:rsidP="006E6B22">
            <w:pPr>
              <w:spacing w:before="60" w:line="240" w:lineRule="auto"/>
              <w:rPr>
                <w:rFonts w:cs="Arial"/>
                <w:color w:val="auto"/>
                <w:szCs w:val="18"/>
              </w:rPr>
            </w:pPr>
            <w:r w:rsidRPr="006E6B22">
              <w:rPr>
                <w:rFonts w:cs="Arial"/>
                <w:b/>
                <w:color w:val="auto"/>
                <w:szCs w:val="18"/>
              </w:rPr>
              <w:t>(</w:t>
            </w:r>
            <w:r w:rsidRPr="006E6B22">
              <w:rPr>
                <w:rFonts w:cs="Arial"/>
                <w:color w:val="auto"/>
                <w:szCs w:val="18"/>
              </w:rPr>
              <w:t>lay* and parent*) and (peck* or beak*)</w:t>
            </w:r>
          </w:p>
        </w:tc>
        <w:tc>
          <w:tcPr>
            <w:tcW w:w="1020" w:type="dxa"/>
          </w:tcPr>
          <w:p w14:paraId="310FB933" w14:textId="77777777" w:rsidR="00FA0BB9" w:rsidRPr="006E6B22" w:rsidRDefault="00FA0BB9" w:rsidP="006E6B22">
            <w:pPr>
              <w:spacing w:before="60" w:line="240" w:lineRule="auto"/>
              <w:rPr>
                <w:rFonts w:cs="Arial"/>
                <w:color w:val="auto"/>
                <w:szCs w:val="18"/>
              </w:rPr>
            </w:pPr>
            <w:r w:rsidRPr="006E6B22">
              <w:rPr>
                <w:rFonts w:cs="Arial"/>
                <w:color w:val="auto"/>
                <w:szCs w:val="18"/>
              </w:rPr>
              <w:t>20</w:t>
            </w:r>
          </w:p>
        </w:tc>
        <w:tc>
          <w:tcPr>
            <w:tcW w:w="1020" w:type="dxa"/>
          </w:tcPr>
          <w:p w14:paraId="4340AE1F" w14:textId="77777777" w:rsidR="00FA0BB9" w:rsidRPr="006E6B22" w:rsidRDefault="00FA0BB9" w:rsidP="006E6B22">
            <w:pPr>
              <w:spacing w:before="60" w:line="240" w:lineRule="auto"/>
              <w:rPr>
                <w:rFonts w:cs="Arial"/>
                <w:color w:val="auto"/>
                <w:szCs w:val="18"/>
              </w:rPr>
            </w:pPr>
            <w:r w:rsidRPr="006E6B22">
              <w:rPr>
                <w:rFonts w:cs="Arial"/>
                <w:color w:val="auto"/>
                <w:szCs w:val="18"/>
              </w:rPr>
              <w:t>0</w:t>
            </w:r>
          </w:p>
        </w:tc>
        <w:tc>
          <w:tcPr>
            <w:tcW w:w="3889" w:type="dxa"/>
          </w:tcPr>
          <w:p w14:paraId="2364B7E0" w14:textId="77777777" w:rsidR="00FA0BB9" w:rsidRPr="006E6B22" w:rsidRDefault="00FA0BB9" w:rsidP="006E6B22">
            <w:pPr>
              <w:spacing w:before="60" w:line="240" w:lineRule="auto"/>
              <w:rPr>
                <w:rFonts w:cs="Arial"/>
                <w:color w:val="auto"/>
                <w:szCs w:val="18"/>
              </w:rPr>
            </w:pPr>
          </w:p>
        </w:tc>
      </w:tr>
      <w:tr w:rsidR="00FA0BB9" w:rsidRPr="00286A88" w14:paraId="0C4F9D81" w14:textId="77777777" w:rsidTr="007975A6">
        <w:tc>
          <w:tcPr>
            <w:tcW w:w="4025" w:type="dxa"/>
          </w:tcPr>
          <w:p w14:paraId="0A2E3E3F" w14:textId="77777777" w:rsidR="00FA0BB9" w:rsidRPr="006E6B22" w:rsidRDefault="0010235B" w:rsidP="006E6B22">
            <w:pPr>
              <w:spacing w:before="60" w:line="240" w:lineRule="auto"/>
              <w:rPr>
                <w:rFonts w:cs="Arial"/>
                <w:color w:val="auto"/>
                <w:szCs w:val="18"/>
              </w:rPr>
            </w:pPr>
            <w:r>
              <w:rPr>
                <w:rFonts w:cs="Arial"/>
                <w:color w:val="auto"/>
                <w:szCs w:val="18"/>
              </w:rPr>
              <w:t>“</w:t>
            </w:r>
            <w:r w:rsidR="00FA0BB9" w:rsidRPr="006E6B22">
              <w:rPr>
                <w:rFonts w:cs="Arial"/>
                <w:color w:val="auto"/>
                <w:szCs w:val="18"/>
              </w:rPr>
              <w:t>layer breeder</w:t>
            </w:r>
            <w:r>
              <w:rPr>
                <w:rFonts w:cs="Arial"/>
                <w:color w:val="auto"/>
                <w:szCs w:val="18"/>
              </w:rPr>
              <w:t>”</w:t>
            </w:r>
            <w:r w:rsidR="00FA0BB9" w:rsidRPr="006E6B22">
              <w:rPr>
                <w:rFonts w:cs="Arial"/>
                <w:color w:val="auto"/>
                <w:szCs w:val="18"/>
              </w:rPr>
              <w:t xml:space="preserve"> and (peck* or beak*)</w:t>
            </w:r>
          </w:p>
        </w:tc>
        <w:tc>
          <w:tcPr>
            <w:tcW w:w="1020" w:type="dxa"/>
          </w:tcPr>
          <w:p w14:paraId="2B16AC9D" w14:textId="77777777" w:rsidR="00FA0BB9" w:rsidRPr="006E6B22" w:rsidRDefault="00FA0BB9" w:rsidP="006E6B22">
            <w:pPr>
              <w:spacing w:before="60" w:line="240" w:lineRule="auto"/>
              <w:rPr>
                <w:rFonts w:cs="Arial"/>
                <w:color w:val="auto"/>
                <w:szCs w:val="18"/>
              </w:rPr>
            </w:pPr>
            <w:r w:rsidRPr="006E6B22">
              <w:rPr>
                <w:rFonts w:cs="Arial"/>
                <w:color w:val="auto"/>
                <w:szCs w:val="18"/>
              </w:rPr>
              <w:t>0</w:t>
            </w:r>
          </w:p>
        </w:tc>
        <w:tc>
          <w:tcPr>
            <w:tcW w:w="1020" w:type="dxa"/>
          </w:tcPr>
          <w:p w14:paraId="1FE8BF94" w14:textId="77777777" w:rsidR="00FA0BB9" w:rsidRPr="006E6B22" w:rsidRDefault="00FA0BB9" w:rsidP="006E6B22">
            <w:pPr>
              <w:spacing w:before="60" w:line="240" w:lineRule="auto"/>
              <w:rPr>
                <w:rFonts w:cs="Arial"/>
                <w:color w:val="auto"/>
                <w:szCs w:val="18"/>
              </w:rPr>
            </w:pPr>
            <w:r w:rsidRPr="006E6B22">
              <w:rPr>
                <w:rFonts w:cs="Arial"/>
                <w:color w:val="auto"/>
                <w:szCs w:val="18"/>
              </w:rPr>
              <w:t>0</w:t>
            </w:r>
          </w:p>
        </w:tc>
        <w:tc>
          <w:tcPr>
            <w:tcW w:w="3889" w:type="dxa"/>
          </w:tcPr>
          <w:p w14:paraId="3F0A619D" w14:textId="77777777" w:rsidR="00FA0BB9" w:rsidRPr="006E6B22" w:rsidRDefault="00FA0BB9" w:rsidP="006E6B22">
            <w:pPr>
              <w:spacing w:before="60" w:line="240" w:lineRule="auto"/>
              <w:rPr>
                <w:rFonts w:cs="Arial"/>
                <w:color w:val="auto"/>
                <w:szCs w:val="18"/>
              </w:rPr>
            </w:pPr>
          </w:p>
        </w:tc>
      </w:tr>
      <w:tr w:rsidR="005712F7" w:rsidRPr="00286A88" w14:paraId="7F424ED8" w14:textId="77777777" w:rsidTr="007975A6">
        <w:tc>
          <w:tcPr>
            <w:tcW w:w="4025" w:type="dxa"/>
          </w:tcPr>
          <w:p w14:paraId="655A0CB1" w14:textId="77777777" w:rsidR="005712F7" w:rsidRPr="005712F7" w:rsidRDefault="005712F7" w:rsidP="006E6B22">
            <w:pPr>
              <w:spacing w:before="60" w:line="240" w:lineRule="auto"/>
              <w:rPr>
                <w:rFonts w:cs="Arial"/>
                <w:b/>
                <w:color w:val="auto"/>
                <w:szCs w:val="18"/>
              </w:rPr>
            </w:pPr>
            <w:r>
              <w:rPr>
                <w:rFonts w:cs="Arial"/>
                <w:b/>
                <w:color w:val="auto"/>
                <w:szCs w:val="18"/>
              </w:rPr>
              <w:t>Papers retained from secondary searches</w:t>
            </w:r>
          </w:p>
        </w:tc>
        <w:tc>
          <w:tcPr>
            <w:tcW w:w="1020" w:type="dxa"/>
          </w:tcPr>
          <w:p w14:paraId="4AA5D04C" w14:textId="77777777" w:rsidR="005712F7" w:rsidRPr="006E6B22" w:rsidRDefault="005712F7" w:rsidP="006E6B22">
            <w:pPr>
              <w:spacing w:before="60" w:line="240" w:lineRule="auto"/>
              <w:rPr>
                <w:rFonts w:cs="Arial"/>
                <w:color w:val="auto"/>
                <w:szCs w:val="18"/>
              </w:rPr>
            </w:pPr>
          </w:p>
        </w:tc>
        <w:tc>
          <w:tcPr>
            <w:tcW w:w="1020" w:type="dxa"/>
          </w:tcPr>
          <w:p w14:paraId="5634BFF6" w14:textId="77777777" w:rsidR="005712F7" w:rsidRPr="005712F7" w:rsidRDefault="005712F7" w:rsidP="006E6B22">
            <w:pPr>
              <w:spacing w:before="60" w:line="240" w:lineRule="auto"/>
              <w:rPr>
                <w:rFonts w:cs="Arial"/>
                <w:b/>
                <w:color w:val="auto"/>
                <w:szCs w:val="18"/>
              </w:rPr>
            </w:pPr>
            <w:r w:rsidRPr="005712F7">
              <w:rPr>
                <w:rFonts w:cs="Arial"/>
                <w:b/>
                <w:color w:val="auto"/>
                <w:szCs w:val="18"/>
              </w:rPr>
              <w:t>3</w:t>
            </w:r>
          </w:p>
        </w:tc>
        <w:tc>
          <w:tcPr>
            <w:tcW w:w="3889" w:type="dxa"/>
          </w:tcPr>
          <w:p w14:paraId="40B51DBA" w14:textId="77777777" w:rsidR="005712F7" w:rsidRPr="006E6B22" w:rsidRDefault="005712F7" w:rsidP="006E6B22">
            <w:pPr>
              <w:spacing w:before="60" w:line="240" w:lineRule="auto"/>
              <w:rPr>
                <w:rFonts w:cs="Arial"/>
                <w:color w:val="auto"/>
                <w:szCs w:val="18"/>
              </w:rPr>
            </w:pPr>
          </w:p>
        </w:tc>
      </w:tr>
    </w:tbl>
    <w:p w14:paraId="2DD7B25A" w14:textId="77777777" w:rsidR="005712F7" w:rsidRPr="005712F7" w:rsidRDefault="005712F7" w:rsidP="00301F37">
      <w:pPr>
        <w:spacing w:before="240"/>
        <w:rPr>
          <w:b/>
          <w:lang w:val="en-GB"/>
        </w:rPr>
      </w:pPr>
      <w:r>
        <w:rPr>
          <w:b/>
          <w:lang w:val="en-GB"/>
        </w:rPr>
        <w:t>Tot</w:t>
      </w:r>
      <w:r w:rsidR="00301F37">
        <w:rPr>
          <w:b/>
          <w:lang w:val="en-GB"/>
        </w:rPr>
        <w:t>al number of papers retained fro</w:t>
      </w:r>
      <w:r>
        <w:rPr>
          <w:b/>
          <w:lang w:val="en-GB"/>
        </w:rPr>
        <w:t>m primary and secondary searches: 1 + 3 = 4</w:t>
      </w:r>
    </w:p>
    <w:p w14:paraId="46E1E02A" w14:textId="77777777" w:rsidR="005712F7" w:rsidRDefault="005712F7" w:rsidP="001123AA">
      <w:pPr>
        <w:rPr>
          <w:lang w:val="en-GB"/>
        </w:rPr>
      </w:pPr>
    </w:p>
    <w:p w14:paraId="6261914F" w14:textId="77777777" w:rsidR="00286A88" w:rsidRPr="00FA0BB9" w:rsidRDefault="00FA0BB9" w:rsidP="009E50B5">
      <w:pPr>
        <w:spacing w:before="120"/>
        <w:rPr>
          <w:b/>
          <w:sz w:val="24"/>
          <w:szCs w:val="24"/>
          <w:lang w:val="en-GB"/>
        </w:rPr>
      </w:pPr>
      <w:r w:rsidRPr="00864384">
        <w:rPr>
          <w:rFonts w:eastAsia="Calibri" w:cs="Arial"/>
          <w:color w:val="auto"/>
          <w:sz w:val="22"/>
          <w:szCs w:val="22"/>
          <w:lang w:val="en-GB"/>
        </w:rPr>
        <w:br w:type="column"/>
      </w:r>
      <w:r w:rsidR="00286A88" w:rsidRPr="00FA0BB9">
        <w:rPr>
          <w:b/>
          <w:sz w:val="24"/>
          <w:szCs w:val="24"/>
          <w:lang w:val="en-GB"/>
        </w:rPr>
        <w:t>Broilers</w:t>
      </w:r>
    </w:p>
    <w:p w14:paraId="54106CAC" w14:textId="77777777" w:rsidR="00286A88" w:rsidRPr="00590F0B" w:rsidRDefault="00AE59F9" w:rsidP="00590F0B">
      <w:pPr>
        <w:spacing w:before="240" w:after="240"/>
        <w:rPr>
          <w:b/>
          <w:lang w:val="en-GB"/>
        </w:rPr>
      </w:pPr>
      <w:r>
        <w:rPr>
          <w:b/>
          <w:lang w:val="en-GB"/>
        </w:rPr>
        <w:t>Primary Search</w:t>
      </w:r>
      <w:r w:rsidR="00046273">
        <w:rPr>
          <w:b/>
          <w:lang w:val="en-GB"/>
        </w:rPr>
        <w:t>:</w:t>
      </w:r>
      <w:r>
        <w:rPr>
          <w:b/>
          <w:lang w:val="en-GB"/>
        </w:rPr>
        <w:t xml:space="preserve"> (b</w:t>
      </w:r>
      <w:r w:rsidR="00286A88" w:rsidRPr="00590F0B">
        <w:rPr>
          <w:b/>
          <w:lang w:val="en-GB"/>
        </w:rPr>
        <w:t>roiler* NOT “broiler breeder”) AND welfare = 910</w:t>
      </w:r>
    </w:p>
    <w:tbl>
      <w:tblPr>
        <w:tblStyle w:val="TableGrid11"/>
        <w:tblW w:w="9977" w:type="dxa"/>
        <w:tblLook w:val="04A0" w:firstRow="1" w:lastRow="0" w:firstColumn="1" w:lastColumn="0" w:noHBand="0" w:noVBand="1"/>
        <w:tblCaption w:val="Papers excluded after primary literature search for broiler welfare"/>
        <w:tblDescription w:val="This table shows the number of papers excluded after the primary literature search for broiler welfare. The left hand column shows the primary reason for exclusion. The middle column shows the number of papers excluded. The right hand column gives an example of a paper excluded for each reason."/>
      </w:tblPr>
      <w:tblGrid>
        <w:gridCol w:w="3628"/>
        <w:gridCol w:w="1020"/>
        <w:gridCol w:w="5329"/>
      </w:tblGrid>
      <w:tr w:rsidR="00F67C8B" w:rsidRPr="00EA27D5" w14:paraId="787D230C" w14:textId="77777777" w:rsidTr="00587D34">
        <w:trPr>
          <w:tblHeader/>
        </w:trPr>
        <w:tc>
          <w:tcPr>
            <w:tcW w:w="3628" w:type="dxa"/>
            <w:shd w:val="clear" w:color="auto" w:fill="auto"/>
          </w:tcPr>
          <w:p w14:paraId="1525EEAF" w14:textId="77777777" w:rsidR="00F67C8B" w:rsidRPr="00EA27D5" w:rsidRDefault="00F67C8B" w:rsidP="00D22A51">
            <w:pPr>
              <w:spacing w:before="60"/>
              <w:rPr>
                <w:b/>
              </w:rPr>
            </w:pPr>
            <w:r w:rsidRPr="00EA27D5">
              <w:rPr>
                <w:b/>
              </w:rPr>
              <w:t>Primary Reason for Exclusion</w:t>
            </w:r>
          </w:p>
        </w:tc>
        <w:tc>
          <w:tcPr>
            <w:tcW w:w="1020" w:type="dxa"/>
            <w:shd w:val="clear" w:color="auto" w:fill="auto"/>
          </w:tcPr>
          <w:p w14:paraId="6B426E23" w14:textId="77777777" w:rsidR="00F67C8B" w:rsidRPr="00EA27D5" w:rsidRDefault="00F67C8B" w:rsidP="00D22A51">
            <w:pPr>
              <w:spacing w:before="60" w:line="240" w:lineRule="auto"/>
              <w:rPr>
                <w:rFonts w:cs="Arial"/>
                <w:color w:val="auto"/>
                <w:szCs w:val="18"/>
              </w:rPr>
            </w:pPr>
            <w:r w:rsidRPr="00EA27D5">
              <w:rPr>
                <w:rFonts w:cs="Arial"/>
                <w:color w:val="auto"/>
                <w:szCs w:val="18"/>
              </w:rPr>
              <w:t>Number Excluded</w:t>
            </w:r>
          </w:p>
        </w:tc>
        <w:tc>
          <w:tcPr>
            <w:tcW w:w="5329" w:type="dxa"/>
            <w:shd w:val="clear" w:color="auto" w:fill="auto"/>
          </w:tcPr>
          <w:p w14:paraId="6E882840" w14:textId="77777777" w:rsidR="00F67C8B" w:rsidRPr="00EA27D5" w:rsidRDefault="00F67C8B" w:rsidP="00D22A51">
            <w:pPr>
              <w:spacing w:before="60" w:line="240" w:lineRule="auto"/>
              <w:rPr>
                <w:rFonts w:cs="Arial"/>
                <w:color w:val="auto"/>
                <w:szCs w:val="18"/>
              </w:rPr>
            </w:pPr>
            <w:r w:rsidRPr="00EA27D5">
              <w:rPr>
                <w:rFonts w:cs="Arial"/>
                <w:i/>
                <w:color w:val="auto"/>
                <w:szCs w:val="18"/>
              </w:rPr>
              <w:t xml:space="preserve">Example </w:t>
            </w:r>
            <w:r w:rsidRPr="00EA27D5">
              <w:rPr>
                <w:rFonts w:cs="Arial"/>
                <w:color w:val="auto"/>
                <w:szCs w:val="18"/>
              </w:rPr>
              <w:t>of Paper Excluded for Each Reason</w:t>
            </w:r>
          </w:p>
        </w:tc>
      </w:tr>
      <w:tr w:rsidR="00286A88" w:rsidRPr="00286A88" w14:paraId="03F4D4AA" w14:textId="77777777" w:rsidTr="00043C78">
        <w:tc>
          <w:tcPr>
            <w:tcW w:w="3628" w:type="dxa"/>
          </w:tcPr>
          <w:p w14:paraId="73B670AD" w14:textId="77777777" w:rsidR="00286A88" w:rsidRPr="008C43DD" w:rsidRDefault="00286A88" w:rsidP="008C43DD">
            <w:pPr>
              <w:spacing w:before="60"/>
            </w:pPr>
            <w:r w:rsidRPr="008C43DD">
              <w:t>Not hens – other farmed birds</w:t>
            </w:r>
          </w:p>
        </w:tc>
        <w:tc>
          <w:tcPr>
            <w:tcW w:w="1020" w:type="dxa"/>
          </w:tcPr>
          <w:p w14:paraId="390D9DA6" w14:textId="77777777" w:rsidR="00286A88" w:rsidRPr="008C43DD" w:rsidRDefault="00286A88" w:rsidP="008C43DD">
            <w:pPr>
              <w:spacing w:before="60"/>
            </w:pPr>
            <w:r w:rsidRPr="008C43DD">
              <w:t>97</w:t>
            </w:r>
          </w:p>
        </w:tc>
        <w:tc>
          <w:tcPr>
            <w:tcW w:w="5329" w:type="dxa"/>
          </w:tcPr>
          <w:p w14:paraId="5A65CC6F" w14:textId="77777777" w:rsidR="00DC3F04" w:rsidRPr="00DC3F04" w:rsidRDefault="00DC3F04" w:rsidP="00DC3F04">
            <w:pPr>
              <w:pStyle w:val="NoSpacing"/>
              <w:rPr>
                <w:rFonts w:cs="Arial"/>
                <w:sz w:val="16"/>
                <w:szCs w:val="16"/>
              </w:rPr>
            </w:pPr>
            <w:r w:rsidRPr="00DC3F04">
              <w:rPr>
                <w:rFonts w:cs="Arial"/>
                <w:sz w:val="16"/>
                <w:szCs w:val="16"/>
              </w:rPr>
              <w:t>Influence of genetic strain and access to litter on spatial distribution of 4 strains of laying hens in an aviary system</w:t>
            </w:r>
          </w:p>
          <w:p w14:paraId="0E60A415" w14:textId="77777777" w:rsidR="00DC3F04" w:rsidRPr="00DC3F04" w:rsidRDefault="00DC3F04" w:rsidP="00DC3F04">
            <w:pPr>
              <w:pStyle w:val="NoSpacing"/>
              <w:rPr>
                <w:rFonts w:cs="Arial"/>
                <w:sz w:val="16"/>
                <w:szCs w:val="16"/>
              </w:rPr>
            </w:pPr>
            <w:r w:rsidRPr="00DC3F04">
              <w:rPr>
                <w:rFonts w:cs="Arial"/>
                <w:sz w:val="16"/>
                <w:szCs w:val="16"/>
              </w:rPr>
              <w:t>By: Ali, A. B. A.; Campbell, D. L. M.; Karcher, D. M.; et al.</w:t>
            </w:r>
          </w:p>
          <w:p w14:paraId="2C83605E" w14:textId="77777777" w:rsidR="00DC3F04" w:rsidRPr="00DC3F04" w:rsidRDefault="00DC3F04" w:rsidP="00DC3F04">
            <w:pPr>
              <w:pStyle w:val="NoSpacing"/>
              <w:rPr>
                <w:rFonts w:cs="Arial"/>
                <w:sz w:val="16"/>
                <w:szCs w:val="16"/>
              </w:rPr>
            </w:pPr>
            <w:r w:rsidRPr="00DC3F04">
              <w:rPr>
                <w:rFonts w:cs="Arial"/>
                <w:sz w:val="16"/>
                <w:szCs w:val="16"/>
              </w:rPr>
              <w:t xml:space="preserve">POULTRY SCIENCE  Volume: 95   Issue: 11 </w:t>
            </w:r>
          </w:p>
          <w:p w14:paraId="4714CC77" w14:textId="77777777" w:rsidR="00286A88" w:rsidRPr="00DC3F04" w:rsidRDefault="00DC3F04" w:rsidP="00DC3F04">
            <w:pPr>
              <w:pStyle w:val="NoSpacing"/>
              <w:rPr>
                <w:rFonts w:cs="Arial"/>
                <w:sz w:val="16"/>
                <w:szCs w:val="16"/>
              </w:rPr>
            </w:pPr>
            <w:r w:rsidRPr="00DC3F04">
              <w:rPr>
                <w:rFonts w:cs="Arial"/>
                <w:sz w:val="16"/>
                <w:szCs w:val="16"/>
              </w:rPr>
              <w:t>Pages: 2489-2502   Published: NOV 2016</w:t>
            </w:r>
          </w:p>
        </w:tc>
      </w:tr>
      <w:tr w:rsidR="00286A88" w:rsidRPr="00286A88" w14:paraId="2A85DA0B" w14:textId="77777777" w:rsidTr="00043C78">
        <w:tc>
          <w:tcPr>
            <w:tcW w:w="3628" w:type="dxa"/>
          </w:tcPr>
          <w:p w14:paraId="628F32A8" w14:textId="77777777" w:rsidR="00286A88" w:rsidRPr="008C43DD" w:rsidRDefault="00286A88" w:rsidP="008C43DD">
            <w:pPr>
              <w:spacing w:before="60"/>
            </w:pPr>
            <w:r w:rsidRPr="008C43DD">
              <w:t>Not hens – other animals</w:t>
            </w:r>
          </w:p>
        </w:tc>
        <w:tc>
          <w:tcPr>
            <w:tcW w:w="1020" w:type="dxa"/>
          </w:tcPr>
          <w:p w14:paraId="2A973A03" w14:textId="77777777" w:rsidR="00286A88" w:rsidRPr="008C43DD" w:rsidRDefault="00286A88" w:rsidP="008C43DD">
            <w:pPr>
              <w:spacing w:before="60"/>
            </w:pPr>
            <w:r w:rsidRPr="008C43DD">
              <w:t>24</w:t>
            </w:r>
          </w:p>
        </w:tc>
        <w:tc>
          <w:tcPr>
            <w:tcW w:w="5329" w:type="dxa"/>
          </w:tcPr>
          <w:p w14:paraId="06995CE9" w14:textId="77777777" w:rsidR="00DC3F04" w:rsidRPr="00DC3F04" w:rsidRDefault="00DC3F04" w:rsidP="00DC3F04">
            <w:pPr>
              <w:pStyle w:val="NoSpacing"/>
              <w:rPr>
                <w:rFonts w:cs="Arial"/>
                <w:sz w:val="16"/>
                <w:szCs w:val="16"/>
              </w:rPr>
            </w:pPr>
            <w:r w:rsidRPr="00DC3F04">
              <w:rPr>
                <w:rFonts w:cs="Arial"/>
                <w:sz w:val="16"/>
                <w:szCs w:val="16"/>
              </w:rPr>
              <w:t>Evaluation of an innovative approach for sensory enrichment in zoos: semiochemical stimulation for captive lions (</w:t>
            </w:r>
            <w:r w:rsidRPr="00DC3F04">
              <w:rPr>
                <w:rFonts w:cs="Arial"/>
                <w:i/>
                <w:sz w:val="16"/>
                <w:szCs w:val="16"/>
              </w:rPr>
              <w:t>Panthera leo</w:t>
            </w:r>
            <w:r w:rsidRPr="00DC3F04">
              <w:rPr>
                <w:rFonts w:cs="Arial"/>
                <w:sz w:val="16"/>
                <w:szCs w:val="16"/>
              </w:rPr>
              <w:t>)</w:t>
            </w:r>
          </w:p>
          <w:p w14:paraId="448E05A0" w14:textId="77777777" w:rsidR="00DC3F04" w:rsidRPr="00DC3F04" w:rsidRDefault="00DC3F04" w:rsidP="00DC3F04">
            <w:pPr>
              <w:pStyle w:val="NoSpacing"/>
              <w:rPr>
                <w:rFonts w:cs="Arial"/>
                <w:sz w:val="16"/>
                <w:szCs w:val="16"/>
              </w:rPr>
            </w:pPr>
            <w:r w:rsidRPr="00DC3F04">
              <w:rPr>
                <w:rFonts w:cs="Arial"/>
                <w:sz w:val="16"/>
                <w:szCs w:val="16"/>
              </w:rPr>
              <w:t>By: Martinez-Macipe, M.; Lafont-Lecuelle, C.; Manteca, X.; et al.</w:t>
            </w:r>
          </w:p>
          <w:p w14:paraId="177AA0B2" w14:textId="77777777" w:rsidR="00DC3F04" w:rsidRPr="00DC3F04" w:rsidRDefault="00DC3F04" w:rsidP="00DC3F04">
            <w:pPr>
              <w:pStyle w:val="NoSpacing"/>
              <w:rPr>
                <w:rFonts w:cs="Arial"/>
                <w:sz w:val="16"/>
                <w:szCs w:val="16"/>
              </w:rPr>
            </w:pPr>
            <w:r w:rsidRPr="00DC3F04">
              <w:rPr>
                <w:rFonts w:cs="Arial"/>
                <w:sz w:val="16"/>
                <w:szCs w:val="16"/>
              </w:rPr>
              <w:t xml:space="preserve">ANIMAL WELFARE  Volume: 24  Issue: 4  </w:t>
            </w:r>
          </w:p>
          <w:p w14:paraId="567390C6" w14:textId="77777777" w:rsidR="00286A88" w:rsidRPr="00DC3F04" w:rsidRDefault="00DC3F04" w:rsidP="00DC3F04">
            <w:pPr>
              <w:pStyle w:val="NoSpacing"/>
              <w:rPr>
                <w:rFonts w:cs="Arial"/>
                <w:sz w:val="16"/>
                <w:szCs w:val="16"/>
              </w:rPr>
            </w:pPr>
            <w:r w:rsidRPr="00DC3F04">
              <w:rPr>
                <w:rFonts w:cs="Arial"/>
                <w:sz w:val="16"/>
                <w:szCs w:val="16"/>
              </w:rPr>
              <w:t>Pages: 455-461   Published: SEP 2015</w:t>
            </w:r>
          </w:p>
        </w:tc>
      </w:tr>
      <w:tr w:rsidR="00286A88" w:rsidRPr="00286A88" w14:paraId="3D8FCB61" w14:textId="77777777" w:rsidTr="00043C78">
        <w:tc>
          <w:tcPr>
            <w:tcW w:w="3628" w:type="dxa"/>
          </w:tcPr>
          <w:p w14:paraId="6C0A90DD" w14:textId="77777777" w:rsidR="00286A88" w:rsidRPr="008C43DD" w:rsidRDefault="00286A88" w:rsidP="008C43DD">
            <w:pPr>
              <w:spacing w:before="60"/>
            </w:pPr>
            <w:r w:rsidRPr="008C43DD">
              <w:t>Paper on consumer attitudes, policy, ethics</w:t>
            </w:r>
          </w:p>
        </w:tc>
        <w:tc>
          <w:tcPr>
            <w:tcW w:w="1020" w:type="dxa"/>
          </w:tcPr>
          <w:p w14:paraId="6C646951" w14:textId="77777777" w:rsidR="00286A88" w:rsidRPr="008C43DD" w:rsidRDefault="00286A88" w:rsidP="008C43DD">
            <w:pPr>
              <w:spacing w:before="60"/>
            </w:pPr>
            <w:r w:rsidRPr="008C43DD">
              <w:t>20</w:t>
            </w:r>
          </w:p>
        </w:tc>
        <w:tc>
          <w:tcPr>
            <w:tcW w:w="5329" w:type="dxa"/>
          </w:tcPr>
          <w:p w14:paraId="63292C27" w14:textId="77777777" w:rsidR="00286A88" w:rsidRPr="00DC3F04" w:rsidRDefault="00DC3F04" w:rsidP="00DC3F04">
            <w:pPr>
              <w:pStyle w:val="NoSpacing"/>
              <w:rPr>
                <w:rFonts w:cs="Arial"/>
                <w:sz w:val="16"/>
                <w:szCs w:val="16"/>
              </w:rPr>
            </w:pPr>
            <w:r w:rsidRPr="00DC3F04">
              <w:rPr>
                <w:rFonts w:cs="Arial"/>
                <w:sz w:val="16"/>
                <w:szCs w:val="16"/>
              </w:rPr>
              <w:t>Farm openings and their impacts on the attitudes of the visitors towards intensive egg and poultry meat production. Heijne, D (Heijne, D.); Windhorst, HW (Windhorst, H. –W.) WORLD’S POULTRY SCIENCE JOURNAL Volume: 73, Issue: 1, Pages: 105-120. 2017</w:t>
            </w:r>
          </w:p>
        </w:tc>
      </w:tr>
      <w:tr w:rsidR="00286A88" w:rsidRPr="00286A88" w14:paraId="006CDB6F" w14:textId="77777777" w:rsidTr="00043C78">
        <w:tc>
          <w:tcPr>
            <w:tcW w:w="3628" w:type="dxa"/>
          </w:tcPr>
          <w:p w14:paraId="507A21B4" w14:textId="77777777" w:rsidR="00286A88" w:rsidRPr="008C43DD" w:rsidRDefault="00286A88" w:rsidP="008C43DD">
            <w:pPr>
              <w:spacing w:before="60"/>
            </w:pPr>
            <w:r w:rsidRPr="008C43DD">
              <w:t>Paper on fundamental study of genetics, immune function, disease mechanism or stress biology with no immediate welfare relevance</w:t>
            </w:r>
          </w:p>
        </w:tc>
        <w:tc>
          <w:tcPr>
            <w:tcW w:w="1020" w:type="dxa"/>
          </w:tcPr>
          <w:p w14:paraId="786BCB95" w14:textId="77777777" w:rsidR="00286A88" w:rsidRPr="008C43DD" w:rsidRDefault="00286A88" w:rsidP="008C43DD">
            <w:pPr>
              <w:spacing w:before="60"/>
            </w:pPr>
            <w:r w:rsidRPr="008C43DD">
              <w:t>77</w:t>
            </w:r>
          </w:p>
        </w:tc>
        <w:tc>
          <w:tcPr>
            <w:tcW w:w="5329" w:type="dxa"/>
          </w:tcPr>
          <w:p w14:paraId="5A6E011F" w14:textId="77777777" w:rsidR="00DC3F04" w:rsidRPr="00DC3F04" w:rsidRDefault="00DC3F04" w:rsidP="00DC3F04">
            <w:pPr>
              <w:pStyle w:val="NoSpacing"/>
              <w:rPr>
                <w:rFonts w:cs="Arial"/>
                <w:sz w:val="16"/>
                <w:szCs w:val="16"/>
              </w:rPr>
            </w:pPr>
            <w:r w:rsidRPr="00DC3F04">
              <w:rPr>
                <w:rFonts w:cs="Arial"/>
                <w:sz w:val="16"/>
                <w:szCs w:val="16"/>
              </w:rPr>
              <w:t>Prevalence of histopathological intestinal lesions and enteric pathogens in Dutch commercial broilers with time</w:t>
            </w:r>
          </w:p>
          <w:p w14:paraId="492DF4FA" w14:textId="77777777" w:rsidR="00DC3F04" w:rsidRPr="00DC3F04" w:rsidRDefault="00DC3F04" w:rsidP="00DC3F04">
            <w:pPr>
              <w:pStyle w:val="NoSpacing"/>
              <w:rPr>
                <w:rFonts w:cs="Arial"/>
                <w:sz w:val="16"/>
                <w:szCs w:val="16"/>
              </w:rPr>
            </w:pPr>
            <w:r w:rsidRPr="00DC3F04">
              <w:rPr>
                <w:rFonts w:cs="Arial"/>
                <w:sz w:val="16"/>
                <w:szCs w:val="16"/>
              </w:rPr>
              <w:t>By:ter Veen, C; de Bruijn, ND ; Dijkman, R; de Wit, JJ</w:t>
            </w:r>
          </w:p>
          <w:p w14:paraId="031BF82F" w14:textId="77777777" w:rsidR="00DC3F04" w:rsidRPr="00DC3F04" w:rsidRDefault="00DC3F04" w:rsidP="00DC3F04">
            <w:pPr>
              <w:pStyle w:val="NoSpacing"/>
              <w:rPr>
                <w:rFonts w:cs="Arial"/>
                <w:sz w:val="16"/>
                <w:szCs w:val="16"/>
              </w:rPr>
            </w:pPr>
            <w:r w:rsidRPr="00DC3F04">
              <w:rPr>
                <w:rFonts w:cs="Arial"/>
                <w:sz w:val="16"/>
                <w:szCs w:val="16"/>
              </w:rPr>
              <w:t>AVIAN PATHOLOGY Volume: 46, Issue: 1</w:t>
            </w:r>
          </w:p>
          <w:p w14:paraId="630CE2FC" w14:textId="77777777" w:rsidR="00286A88" w:rsidRPr="00DC3F04" w:rsidRDefault="00DC3F04" w:rsidP="00DC3F04">
            <w:pPr>
              <w:pStyle w:val="NoSpacing"/>
              <w:rPr>
                <w:rFonts w:cs="Arial"/>
                <w:sz w:val="16"/>
                <w:szCs w:val="16"/>
              </w:rPr>
            </w:pPr>
            <w:r w:rsidRPr="00DC3F04">
              <w:rPr>
                <w:rFonts w:cs="Arial"/>
                <w:sz w:val="16"/>
                <w:szCs w:val="16"/>
              </w:rPr>
              <w:t>Pages: 95-105</w:t>
            </w:r>
          </w:p>
        </w:tc>
      </w:tr>
      <w:tr w:rsidR="00286A88" w:rsidRPr="00286A88" w14:paraId="49B44DE8" w14:textId="77777777" w:rsidTr="00043C78">
        <w:tc>
          <w:tcPr>
            <w:tcW w:w="3628" w:type="dxa"/>
          </w:tcPr>
          <w:p w14:paraId="6B2ADB6E" w14:textId="77777777" w:rsidR="00286A88" w:rsidRPr="008C43DD" w:rsidRDefault="00286A88" w:rsidP="008C43DD">
            <w:pPr>
              <w:spacing w:before="60"/>
            </w:pPr>
            <w:r w:rsidRPr="008C43DD">
              <w:t>Paper proposing new technology or method for assessing welfare but no useful results yet</w:t>
            </w:r>
          </w:p>
        </w:tc>
        <w:tc>
          <w:tcPr>
            <w:tcW w:w="1020" w:type="dxa"/>
          </w:tcPr>
          <w:p w14:paraId="66310E4F" w14:textId="77777777" w:rsidR="00286A88" w:rsidRPr="008C43DD" w:rsidRDefault="00286A88" w:rsidP="008C43DD">
            <w:pPr>
              <w:spacing w:before="60"/>
            </w:pPr>
            <w:r w:rsidRPr="008C43DD">
              <w:t>37</w:t>
            </w:r>
          </w:p>
        </w:tc>
        <w:tc>
          <w:tcPr>
            <w:tcW w:w="5329" w:type="dxa"/>
          </w:tcPr>
          <w:p w14:paraId="02FEE21E" w14:textId="77777777" w:rsidR="00DC3F04" w:rsidRPr="00DC3F04" w:rsidRDefault="00DC3F04" w:rsidP="00DC3F04">
            <w:pPr>
              <w:pStyle w:val="NoSpacing"/>
              <w:rPr>
                <w:rFonts w:cs="Arial"/>
                <w:sz w:val="16"/>
                <w:szCs w:val="16"/>
              </w:rPr>
            </w:pPr>
            <w:r w:rsidRPr="00DC3F04">
              <w:rPr>
                <w:rFonts w:cs="Arial"/>
                <w:sz w:val="16"/>
                <w:szCs w:val="16"/>
              </w:rPr>
              <w:t>Bioimpedance as a Non-Invasive Method to Evaluate Eggs and Poultry</w:t>
            </w:r>
          </w:p>
          <w:p w14:paraId="07353E37" w14:textId="77777777" w:rsidR="00DC3F04" w:rsidRPr="00DC3F04" w:rsidRDefault="00DC3F04" w:rsidP="00DC3F04">
            <w:pPr>
              <w:pStyle w:val="NoSpacing"/>
              <w:rPr>
                <w:rFonts w:cs="Arial"/>
                <w:sz w:val="16"/>
                <w:szCs w:val="16"/>
              </w:rPr>
            </w:pPr>
            <w:r w:rsidRPr="00DC3F04">
              <w:rPr>
                <w:rFonts w:cs="Arial"/>
                <w:sz w:val="16"/>
                <w:szCs w:val="16"/>
              </w:rPr>
              <w:t>By: Klein, D. R.; Vale, M. M.; Silva, L. P.; et al.</w:t>
            </w:r>
          </w:p>
          <w:p w14:paraId="20A088FE" w14:textId="77777777" w:rsidR="00286A88" w:rsidRPr="00DC3F04" w:rsidRDefault="00DC3F04" w:rsidP="00DC3F04">
            <w:pPr>
              <w:pStyle w:val="NoSpacing"/>
              <w:rPr>
                <w:rFonts w:cs="Arial"/>
                <w:sz w:val="16"/>
                <w:szCs w:val="16"/>
              </w:rPr>
            </w:pPr>
            <w:r w:rsidRPr="00DC3F04">
              <w:rPr>
                <w:rFonts w:cs="Arial"/>
                <w:sz w:val="16"/>
                <w:szCs w:val="16"/>
              </w:rPr>
              <w:t>BRAZILIAN JOURNAL OF POULTRY SCIENCE   Volume: 18   Issue: 2   Pages: 203-207   Published: APR-JUN 2016</w:t>
            </w:r>
          </w:p>
        </w:tc>
      </w:tr>
      <w:tr w:rsidR="00286A88" w:rsidRPr="00286A88" w14:paraId="50A41D26" w14:textId="77777777" w:rsidTr="00043C78">
        <w:tc>
          <w:tcPr>
            <w:tcW w:w="3628" w:type="dxa"/>
          </w:tcPr>
          <w:p w14:paraId="251D9F7A" w14:textId="77777777" w:rsidR="00286A88" w:rsidRPr="008C43DD" w:rsidRDefault="00286A88" w:rsidP="008C43DD">
            <w:pPr>
              <w:spacing w:before="60"/>
            </w:pPr>
            <w:r w:rsidRPr="008C43DD">
              <w:t>Review/opinion pieces</w:t>
            </w:r>
          </w:p>
        </w:tc>
        <w:tc>
          <w:tcPr>
            <w:tcW w:w="1020" w:type="dxa"/>
          </w:tcPr>
          <w:p w14:paraId="7C7BD38C" w14:textId="77777777" w:rsidR="00286A88" w:rsidRPr="008C43DD" w:rsidRDefault="00286A88" w:rsidP="008C43DD">
            <w:pPr>
              <w:spacing w:before="60"/>
            </w:pPr>
            <w:r w:rsidRPr="008C43DD">
              <w:t>118</w:t>
            </w:r>
          </w:p>
        </w:tc>
        <w:tc>
          <w:tcPr>
            <w:tcW w:w="5329" w:type="dxa"/>
          </w:tcPr>
          <w:p w14:paraId="356FA5F5" w14:textId="77777777" w:rsidR="00DC3F04" w:rsidRPr="00DC3F04" w:rsidRDefault="00DC3F04" w:rsidP="00DC3F04">
            <w:pPr>
              <w:pStyle w:val="NoSpacing"/>
              <w:rPr>
                <w:rFonts w:cs="Arial"/>
                <w:sz w:val="16"/>
                <w:szCs w:val="16"/>
              </w:rPr>
            </w:pPr>
            <w:r w:rsidRPr="00DC3F04">
              <w:rPr>
                <w:rFonts w:cs="Arial"/>
                <w:sz w:val="16"/>
                <w:szCs w:val="16"/>
              </w:rPr>
              <w:t>Animal welfare challenges for today and tomorrow</w:t>
            </w:r>
          </w:p>
          <w:p w14:paraId="173E8AD6" w14:textId="77777777" w:rsidR="00DC3F04" w:rsidRPr="00DC3F04" w:rsidRDefault="00DC3F04" w:rsidP="00DC3F04">
            <w:pPr>
              <w:pStyle w:val="NoSpacing"/>
              <w:rPr>
                <w:rFonts w:cs="Arial"/>
                <w:sz w:val="16"/>
                <w:szCs w:val="16"/>
              </w:rPr>
            </w:pPr>
            <w:r w:rsidRPr="00DC3F04">
              <w:rPr>
                <w:rFonts w:cs="Arial"/>
                <w:sz w:val="16"/>
                <w:szCs w:val="16"/>
              </w:rPr>
              <w:t>By: Thaxton, Yvonne Vizzier; Christensen, Karen D.; Mench, Joy A.; et al.</w:t>
            </w:r>
          </w:p>
          <w:p w14:paraId="5560FD9F" w14:textId="77777777" w:rsidR="00DC3F04" w:rsidRPr="00DC3F04" w:rsidRDefault="00DC3F04" w:rsidP="00DC3F04">
            <w:pPr>
              <w:pStyle w:val="NoSpacing"/>
              <w:rPr>
                <w:rFonts w:cs="Arial"/>
                <w:sz w:val="16"/>
                <w:szCs w:val="16"/>
              </w:rPr>
            </w:pPr>
            <w:r w:rsidRPr="00DC3F04">
              <w:rPr>
                <w:rFonts w:cs="Arial"/>
                <w:sz w:val="16"/>
                <w:szCs w:val="16"/>
              </w:rPr>
              <w:t>POULTRY SCIENCE   Volume: 95   Issue: 9</w:t>
            </w:r>
          </w:p>
          <w:p w14:paraId="04EE9A5A" w14:textId="77777777" w:rsidR="00286A88" w:rsidRPr="00DC3F04" w:rsidRDefault="00DC3F04" w:rsidP="00DC3F04">
            <w:pPr>
              <w:pStyle w:val="NoSpacing"/>
              <w:rPr>
                <w:rFonts w:cs="Arial"/>
                <w:sz w:val="16"/>
                <w:szCs w:val="16"/>
              </w:rPr>
            </w:pPr>
            <w:r w:rsidRPr="00DC3F04">
              <w:rPr>
                <w:rFonts w:cs="Arial"/>
                <w:sz w:val="16"/>
                <w:szCs w:val="16"/>
              </w:rPr>
              <w:t>Pages: 2198-2207   Published: SEP 2016</w:t>
            </w:r>
          </w:p>
        </w:tc>
      </w:tr>
      <w:tr w:rsidR="00286A88" w:rsidRPr="00286A88" w14:paraId="020BDFA9" w14:textId="77777777" w:rsidTr="00043C78">
        <w:tc>
          <w:tcPr>
            <w:tcW w:w="3628" w:type="dxa"/>
          </w:tcPr>
          <w:p w14:paraId="42FF2C52" w14:textId="77777777" w:rsidR="00286A88" w:rsidRPr="008C43DD" w:rsidRDefault="00286A88" w:rsidP="008C43DD">
            <w:pPr>
              <w:spacing w:before="60"/>
            </w:pPr>
            <w:r w:rsidRPr="008C43DD">
              <w:t>Paper on production qu</w:t>
            </w:r>
            <w:r w:rsidR="00A84F28">
              <w:t>ality, safety or sustainability</w:t>
            </w:r>
          </w:p>
        </w:tc>
        <w:tc>
          <w:tcPr>
            <w:tcW w:w="1020" w:type="dxa"/>
          </w:tcPr>
          <w:p w14:paraId="525426BF" w14:textId="77777777" w:rsidR="00286A88" w:rsidRPr="008C43DD" w:rsidRDefault="00286A88" w:rsidP="008C43DD">
            <w:pPr>
              <w:spacing w:before="60"/>
            </w:pPr>
            <w:r w:rsidRPr="008C43DD">
              <w:t>63</w:t>
            </w:r>
          </w:p>
        </w:tc>
        <w:tc>
          <w:tcPr>
            <w:tcW w:w="5329" w:type="dxa"/>
          </w:tcPr>
          <w:p w14:paraId="015F48E1" w14:textId="77777777" w:rsidR="00DC3F04" w:rsidRPr="00DC3F04" w:rsidRDefault="00DC3F04" w:rsidP="00DC3F04">
            <w:pPr>
              <w:pStyle w:val="NoSpacing"/>
              <w:rPr>
                <w:rFonts w:cs="Arial"/>
                <w:sz w:val="16"/>
                <w:szCs w:val="16"/>
              </w:rPr>
            </w:pPr>
            <w:r w:rsidRPr="00DC3F04">
              <w:rPr>
                <w:rFonts w:cs="Arial"/>
                <w:sz w:val="16"/>
                <w:szCs w:val="16"/>
              </w:rPr>
              <w:t>Combining livestock and tree crops to improve sustainability in agriculture: a case study using the Life Cycle Assessment (LCA) approach</w:t>
            </w:r>
          </w:p>
          <w:p w14:paraId="3F7B8AE6" w14:textId="77777777" w:rsidR="00DC3F04" w:rsidRPr="00DC3F04" w:rsidRDefault="00DC3F04" w:rsidP="00DC3F04">
            <w:pPr>
              <w:pStyle w:val="NoSpacing"/>
              <w:rPr>
                <w:rFonts w:cs="Arial"/>
                <w:sz w:val="16"/>
                <w:szCs w:val="16"/>
              </w:rPr>
            </w:pPr>
            <w:r w:rsidRPr="00DC3F04">
              <w:rPr>
                <w:rFonts w:cs="Arial"/>
                <w:sz w:val="16"/>
                <w:szCs w:val="16"/>
              </w:rPr>
              <w:t>By: Paolotti, Luisa; Boggia, Antonio; Castellini, Cesare; et al.</w:t>
            </w:r>
          </w:p>
          <w:p w14:paraId="018C6503" w14:textId="77777777" w:rsidR="00286A88" w:rsidRPr="00DC3F04" w:rsidRDefault="00DC3F04" w:rsidP="00DC3F04">
            <w:pPr>
              <w:pStyle w:val="NoSpacing"/>
              <w:rPr>
                <w:rFonts w:cs="Arial"/>
                <w:sz w:val="16"/>
                <w:szCs w:val="16"/>
              </w:rPr>
            </w:pPr>
            <w:r w:rsidRPr="00DC3F04">
              <w:rPr>
                <w:rFonts w:cs="Arial"/>
                <w:sz w:val="16"/>
                <w:szCs w:val="16"/>
              </w:rPr>
              <w:t>JOURNAL OF CLEANER PRODUCTION   Volume: 131   Pages: 351-363   Published: SEP 10 2016</w:t>
            </w:r>
          </w:p>
        </w:tc>
      </w:tr>
      <w:tr w:rsidR="00286A88" w:rsidRPr="00286A88" w14:paraId="314CDFAB" w14:textId="77777777" w:rsidTr="00043C78">
        <w:tc>
          <w:tcPr>
            <w:tcW w:w="3628" w:type="dxa"/>
          </w:tcPr>
          <w:p w14:paraId="1C901962" w14:textId="77777777" w:rsidR="00286A88" w:rsidRPr="008C43DD" w:rsidRDefault="00286A88" w:rsidP="008C43DD">
            <w:pPr>
              <w:spacing w:before="60"/>
            </w:pPr>
            <w:r w:rsidRPr="008C43DD">
              <w:t>Paper on fundamental nutrition</w:t>
            </w:r>
          </w:p>
        </w:tc>
        <w:tc>
          <w:tcPr>
            <w:tcW w:w="1020" w:type="dxa"/>
          </w:tcPr>
          <w:p w14:paraId="5F2A9269" w14:textId="77777777" w:rsidR="00286A88" w:rsidRPr="008C43DD" w:rsidRDefault="00286A88" w:rsidP="008C43DD">
            <w:pPr>
              <w:spacing w:before="60"/>
            </w:pPr>
            <w:r w:rsidRPr="008C43DD">
              <w:t>21</w:t>
            </w:r>
          </w:p>
        </w:tc>
        <w:tc>
          <w:tcPr>
            <w:tcW w:w="5329" w:type="dxa"/>
          </w:tcPr>
          <w:p w14:paraId="7F3FB479" w14:textId="77777777" w:rsidR="00DC3F04" w:rsidRPr="00DC3F04" w:rsidRDefault="00DC3F04" w:rsidP="00DC3F04">
            <w:pPr>
              <w:pStyle w:val="NoSpacing"/>
              <w:rPr>
                <w:rFonts w:cs="Arial"/>
                <w:sz w:val="16"/>
                <w:szCs w:val="16"/>
              </w:rPr>
            </w:pPr>
            <w:r w:rsidRPr="00DC3F04">
              <w:rPr>
                <w:rFonts w:cs="Arial"/>
                <w:sz w:val="16"/>
                <w:szCs w:val="16"/>
              </w:rPr>
              <w:t>Alternative feeding strategies and genetics for providing adequate methionine in organic poultry diets with limited use of synthetic amino acids</w:t>
            </w:r>
          </w:p>
          <w:p w14:paraId="49FB84E3" w14:textId="77777777" w:rsidR="00DC3F04" w:rsidRPr="00DC3F04" w:rsidRDefault="00DC3F04" w:rsidP="00DC3F04">
            <w:pPr>
              <w:pStyle w:val="NoSpacing"/>
              <w:rPr>
                <w:rFonts w:cs="Arial"/>
                <w:sz w:val="16"/>
                <w:szCs w:val="16"/>
              </w:rPr>
            </w:pPr>
            <w:r w:rsidRPr="00DC3F04">
              <w:rPr>
                <w:rFonts w:cs="Arial"/>
                <w:sz w:val="16"/>
                <w:szCs w:val="16"/>
              </w:rPr>
              <w:t>By: Burley, H. K.; Patterson, P. H.; Anderson, K. E.</w:t>
            </w:r>
          </w:p>
          <w:p w14:paraId="5125C6EA" w14:textId="77777777" w:rsidR="00286A88" w:rsidRPr="00DC3F04" w:rsidRDefault="00DC3F04" w:rsidP="00DC3F04">
            <w:pPr>
              <w:pStyle w:val="NoSpacing"/>
              <w:rPr>
                <w:rFonts w:cs="Arial"/>
                <w:sz w:val="16"/>
                <w:szCs w:val="16"/>
              </w:rPr>
            </w:pPr>
            <w:r w:rsidRPr="00DC3F04">
              <w:rPr>
                <w:rFonts w:cs="Arial"/>
                <w:sz w:val="16"/>
                <w:szCs w:val="16"/>
              </w:rPr>
              <w:t>WORLD’S POULTRY SCIENCE JOURNAL   Volume: 72   Issue: 1   Pages: 168-177   Published: MAR 2016</w:t>
            </w:r>
          </w:p>
        </w:tc>
      </w:tr>
      <w:tr w:rsidR="00286A88" w:rsidRPr="00286A88" w14:paraId="1268DB87" w14:textId="77777777" w:rsidTr="00043C78">
        <w:tc>
          <w:tcPr>
            <w:tcW w:w="3628" w:type="dxa"/>
          </w:tcPr>
          <w:p w14:paraId="6D2D62BC" w14:textId="77777777" w:rsidR="00286A88" w:rsidRPr="008C43DD" w:rsidRDefault="00286A88" w:rsidP="008C43DD">
            <w:pPr>
              <w:spacing w:before="60"/>
            </w:pPr>
            <w:r w:rsidRPr="008C43DD">
              <w:t>Paper on economics with no welfare measures</w:t>
            </w:r>
          </w:p>
        </w:tc>
        <w:tc>
          <w:tcPr>
            <w:tcW w:w="1020" w:type="dxa"/>
          </w:tcPr>
          <w:p w14:paraId="0131A84F" w14:textId="77777777" w:rsidR="00286A88" w:rsidRPr="008C43DD" w:rsidRDefault="00286A88" w:rsidP="008C43DD">
            <w:pPr>
              <w:spacing w:before="60"/>
            </w:pPr>
            <w:r w:rsidRPr="008C43DD">
              <w:t>20</w:t>
            </w:r>
          </w:p>
        </w:tc>
        <w:tc>
          <w:tcPr>
            <w:tcW w:w="5329" w:type="dxa"/>
          </w:tcPr>
          <w:p w14:paraId="6912824A" w14:textId="77777777" w:rsidR="00DC3F04" w:rsidRPr="00DC3F04" w:rsidRDefault="00DC3F04" w:rsidP="00DC3F04">
            <w:pPr>
              <w:pStyle w:val="NoSpacing"/>
              <w:rPr>
                <w:rFonts w:cs="Arial"/>
                <w:sz w:val="16"/>
                <w:szCs w:val="16"/>
              </w:rPr>
            </w:pPr>
            <w:r w:rsidRPr="00DC3F04">
              <w:rPr>
                <w:rFonts w:cs="Arial"/>
                <w:sz w:val="16"/>
                <w:szCs w:val="16"/>
              </w:rPr>
              <w:t xml:space="preserve">Cost-efficiency of animal welfare in broiler </w:t>
            </w:r>
          </w:p>
          <w:p w14:paraId="061D3571" w14:textId="77777777" w:rsidR="00DC3F04" w:rsidRPr="00DC3F04" w:rsidRDefault="00DC3F04" w:rsidP="00DC3F04">
            <w:pPr>
              <w:pStyle w:val="NoSpacing"/>
              <w:rPr>
                <w:rFonts w:cs="Arial"/>
                <w:sz w:val="16"/>
                <w:szCs w:val="16"/>
              </w:rPr>
            </w:pPr>
            <w:r w:rsidRPr="00DC3F04">
              <w:rPr>
                <w:rFonts w:cs="Arial"/>
                <w:sz w:val="16"/>
                <w:szCs w:val="16"/>
              </w:rPr>
              <w:t>production systems: A pilot study using the WelfareQuality I assessment protocol</w:t>
            </w:r>
          </w:p>
          <w:p w14:paraId="2997E5DA" w14:textId="77777777" w:rsidR="00DC3F04" w:rsidRPr="00DC3F04" w:rsidRDefault="00DC3F04" w:rsidP="00DC3F04">
            <w:pPr>
              <w:pStyle w:val="NoSpacing"/>
              <w:rPr>
                <w:rFonts w:cs="Arial"/>
                <w:sz w:val="16"/>
                <w:szCs w:val="16"/>
              </w:rPr>
            </w:pPr>
            <w:r w:rsidRPr="00DC3F04">
              <w:rPr>
                <w:rFonts w:cs="Arial"/>
                <w:sz w:val="16"/>
                <w:szCs w:val="16"/>
              </w:rPr>
              <w:t>By: Gocsik, Eva; Brooshooft, Suzanne D.; de Jong, Ingrid C.; et al.</w:t>
            </w:r>
          </w:p>
          <w:p w14:paraId="43599FB5" w14:textId="77777777" w:rsidR="00DC3F04" w:rsidRPr="00DC3F04" w:rsidRDefault="00DC3F04" w:rsidP="00DC3F04">
            <w:pPr>
              <w:pStyle w:val="NoSpacing"/>
              <w:rPr>
                <w:rFonts w:cs="Arial"/>
                <w:sz w:val="16"/>
                <w:szCs w:val="16"/>
              </w:rPr>
            </w:pPr>
            <w:r w:rsidRPr="00DC3F04">
              <w:rPr>
                <w:rFonts w:cs="Arial"/>
                <w:sz w:val="16"/>
                <w:szCs w:val="16"/>
              </w:rPr>
              <w:t>AGRICULTURAL SYSTEMS   Volume: 146</w:t>
            </w:r>
          </w:p>
          <w:p w14:paraId="6050AF7B" w14:textId="77777777" w:rsidR="00286A88" w:rsidRPr="00DC3F04" w:rsidRDefault="00DC3F04" w:rsidP="00DC3F04">
            <w:pPr>
              <w:pStyle w:val="NoSpacing"/>
              <w:rPr>
                <w:rFonts w:cs="Arial"/>
                <w:sz w:val="16"/>
                <w:szCs w:val="16"/>
              </w:rPr>
            </w:pPr>
            <w:r w:rsidRPr="00DC3F04">
              <w:rPr>
                <w:rFonts w:cs="Arial"/>
                <w:sz w:val="16"/>
                <w:szCs w:val="16"/>
              </w:rPr>
              <w:t>Pages: 55-69   Published: JUL 2016</w:t>
            </w:r>
          </w:p>
        </w:tc>
      </w:tr>
      <w:tr w:rsidR="00286A88" w:rsidRPr="00286A88" w14:paraId="7F0B5854" w14:textId="77777777" w:rsidTr="00043C78">
        <w:tc>
          <w:tcPr>
            <w:tcW w:w="3628" w:type="dxa"/>
          </w:tcPr>
          <w:p w14:paraId="5BBA755A" w14:textId="77777777" w:rsidR="00286A88" w:rsidRPr="008C43DD" w:rsidRDefault="00286A88" w:rsidP="008C43DD">
            <w:pPr>
              <w:spacing w:before="60"/>
            </w:pPr>
            <w:r w:rsidRPr="008C43DD">
              <w:t>Paper on fundamental study of behaviour or cognition with no immediate welfare relevance</w:t>
            </w:r>
          </w:p>
        </w:tc>
        <w:tc>
          <w:tcPr>
            <w:tcW w:w="1020" w:type="dxa"/>
          </w:tcPr>
          <w:p w14:paraId="1B34D716" w14:textId="77777777" w:rsidR="00286A88" w:rsidRPr="008C43DD" w:rsidRDefault="00286A88" w:rsidP="008C43DD">
            <w:pPr>
              <w:spacing w:before="60"/>
            </w:pPr>
            <w:r w:rsidRPr="008C43DD">
              <w:t>14</w:t>
            </w:r>
          </w:p>
        </w:tc>
        <w:tc>
          <w:tcPr>
            <w:tcW w:w="5329" w:type="dxa"/>
          </w:tcPr>
          <w:p w14:paraId="552C3537" w14:textId="77777777" w:rsidR="00DC3F04" w:rsidRPr="00DC3F04" w:rsidRDefault="00DC3F04" w:rsidP="00DC3F04">
            <w:pPr>
              <w:pStyle w:val="NoSpacing"/>
              <w:rPr>
                <w:rFonts w:cs="Arial"/>
                <w:sz w:val="16"/>
                <w:szCs w:val="16"/>
              </w:rPr>
            </w:pPr>
            <w:r w:rsidRPr="00DC3F04">
              <w:rPr>
                <w:rFonts w:cs="Arial"/>
                <w:sz w:val="16"/>
                <w:szCs w:val="16"/>
              </w:rPr>
              <w:t>Vocalisation sound pattern identification in young broiler chickens</w:t>
            </w:r>
          </w:p>
          <w:p w14:paraId="1C027119" w14:textId="77777777" w:rsidR="00DC3F04" w:rsidRPr="00DC3F04" w:rsidRDefault="00DC3F04" w:rsidP="00DC3F04">
            <w:pPr>
              <w:pStyle w:val="NoSpacing"/>
              <w:rPr>
                <w:rFonts w:cs="Arial"/>
                <w:sz w:val="16"/>
                <w:szCs w:val="16"/>
              </w:rPr>
            </w:pPr>
            <w:r w:rsidRPr="00DC3F04">
              <w:rPr>
                <w:rFonts w:cs="Arial"/>
                <w:sz w:val="16"/>
                <w:szCs w:val="16"/>
              </w:rPr>
              <w:t>By: Fontana, I.; Tullo, E.; Scrase, A.; et al.</w:t>
            </w:r>
          </w:p>
          <w:p w14:paraId="24B99810" w14:textId="77777777" w:rsidR="00286A88" w:rsidRPr="00DC3F04" w:rsidRDefault="00DC3F04" w:rsidP="00DC3F04">
            <w:pPr>
              <w:pStyle w:val="NoSpacing"/>
              <w:rPr>
                <w:rFonts w:cs="Arial"/>
                <w:sz w:val="16"/>
                <w:szCs w:val="16"/>
              </w:rPr>
            </w:pPr>
            <w:r w:rsidRPr="00DC3F04">
              <w:rPr>
                <w:rFonts w:cs="Arial"/>
                <w:sz w:val="16"/>
                <w:szCs w:val="16"/>
              </w:rPr>
              <w:t>ANIMAL   Volume: 10   Issue: 9   Pages: 1567-1574   Published: SEP 2016</w:t>
            </w:r>
          </w:p>
        </w:tc>
      </w:tr>
      <w:tr w:rsidR="00286A88" w:rsidRPr="00286A88" w14:paraId="5956049E" w14:textId="77777777" w:rsidTr="00043C78">
        <w:tc>
          <w:tcPr>
            <w:tcW w:w="3628" w:type="dxa"/>
          </w:tcPr>
          <w:p w14:paraId="71488965" w14:textId="77777777" w:rsidR="00286A88" w:rsidRPr="008C43DD" w:rsidRDefault="00286A88" w:rsidP="008C43DD">
            <w:pPr>
              <w:spacing w:before="60"/>
            </w:pPr>
            <w:r w:rsidRPr="008C43DD">
              <w:t>Paper on slaughter</w:t>
            </w:r>
          </w:p>
        </w:tc>
        <w:tc>
          <w:tcPr>
            <w:tcW w:w="1020" w:type="dxa"/>
          </w:tcPr>
          <w:p w14:paraId="06CBE3B4" w14:textId="77777777" w:rsidR="00286A88" w:rsidRPr="008C43DD" w:rsidRDefault="00286A88" w:rsidP="008C43DD">
            <w:pPr>
              <w:spacing w:before="60"/>
            </w:pPr>
            <w:r w:rsidRPr="008C43DD">
              <w:t>71</w:t>
            </w:r>
          </w:p>
        </w:tc>
        <w:tc>
          <w:tcPr>
            <w:tcW w:w="5329" w:type="dxa"/>
          </w:tcPr>
          <w:p w14:paraId="56EB152E" w14:textId="77777777" w:rsidR="00DC3F04" w:rsidRPr="00DC3F04" w:rsidRDefault="00DC3F04" w:rsidP="00DC3F04">
            <w:pPr>
              <w:pStyle w:val="NoSpacing"/>
              <w:rPr>
                <w:rFonts w:cs="Arial"/>
                <w:sz w:val="16"/>
                <w:szCs w:val="16"/>
              </w:rPr>
            </w:pPr>
            <w:r w:rsidRPr="00DC3F04">
              <w:rPr>
                <w:rFonts w:cs="Arial"/>
                <w:sz w:val="16"/>
                <w:szCs w:val="16"/>
              </w:rPr>
              <w:t>Effects of light on responses to low atmospheric pressure stunning in broilers</w:t>
            </w:r>
          </w:p>
          <w:p w14:paraId="139866AC" w14:textId="77777777" w:rsidR="00DC3F04" w:rsidRPr="00DC3F04" w:rsidRDefault="00DC3F04" w:rsidP="00DC3F04">
            <w:pPr>
              <w:pStyle w:val="NoSpacing"/>
              <w:rPr>
                <w:rFonts w:cs="Arial"/>
                <w:sz w:val="16"/>
                <w:szCs w:val="16"/>
              </w:rPr>
            </w:pPr>
            <w:r w:rsidRPr="00DC3F04">
              <w:rPr>
                <w:rFonts w:cs="Arial"/>
                <w:sz w:val="16"/>
                <w:szCs w:val="16"/>
              </w:rPr>
              <w:t>By: Martin, J. E.; Christensen, K.; Vizzier-Thaxton, Y.; et al.</w:t>
            </w:r>
          </w:p>
          <w:p w14:paraId="58A7899B" w14:textId="77777777" w:rsidR="00DC3F04" w:rsidRPr="00DC3F04" w:rsidRDefault="00DC3F04" w:rsidP="00DC3F04">
            <w:pPr>
              <w:pStyle w:val="NoSpacing"/>
              <w:rPr>
                <w:rFonts w:cs="Arial"/>
                <w:sz w:val="16"/>
                <w:szCs w:val="16"/>
              </w:rPr>
            </w:pPr>
            <w:r w:rsidRPr="00DC3F04">
              <w:rPr>
                <w:rFonts w:cs="Arial"/>
                <w:sz w:val="16"/>
                <w:szCs w:val="16"/>
              </w:rPr>
              <w:t>BRITISH POULTRY SCIENCE Volume: 57   Issue: 5</w:t>
            </w:r>
          </w:p>
          <w:p w14:paraId="2E56F732" w14:textId="77777777" w:rsidR="00286A88" w:rsidRPr="00DC3F04" w:rsidRDefault="00DC3F04" w:rsidP="00DC3F04">
            <w:pPr>
              <w:pStyle w:val="NoSpacing"/>
              <w:rPr>
                <w:rFonts w:cs="Arial"/>
                <w:sz w:val="16"/>
                <w:szCs w:val="16"/>
              </w:rPr>
            </w:pPr>
            <w:r w:rsidRPr="00DC3F04">
              <w:rPr>
                <w:rFonts w:cs="Arial"/>
                <w:sz w:val="16"/>
                <w:szCs w:val="16"/>
              </w:rPr>
              <w:t>Pages: 585-600   Published: OCT 2016</w:t>
            </w:r>
          </w:p>
        </w:tc>
      </w:tr>
      <w:tr w:rsidR="00286A88" w:rsidRPr="00286A88" w14:paraId="1B9B5A41" w14:textId="77777777" w:rsidTr="00043C78">
        <w:tc>
          <w:tcPr>
            <w:tcW w:w="3628" w:type="dxa"/>
          </w:tcPr>
          <w:p w14:paraId="53FBF7DD" w14:textId="77777777" w:rsidR="00286A88" w:rsidRPr="008C43DD" w:rsidRDefault="00286A88" w:rsidP="008C43DD">
            <w:pPr>
              <w:spacing w:before="60"/>
            </w:pPr>
            <w:r w:rsidRPr="008C43DD">
              <w:t>Paper on transport</w:t>
            </w:r>
          </w:p>
        </w:tc>
        <w:tc>
          <w:tcPr>
            <w:tcW w:w="1020" w:type="dxa"/>
          </w:tcPr>
          <w:p w14:paraId="0460CAA8" w14:textId="77777777" w:rsidR="00286A88" w:rsidRPr="008C43DD" w:rsidRDefault="00286A88" w:rsidP="008C43DD">
            <w:pPr>
              <w:spacing w:before="60"/>
            </w:pPr>
            <w:r w:rsidRPr="008C43DD">
              <w:t>39</w:t>
            </w:r>
          </w:p>
        </w:tc>
        <w:tc>
          <w:tcPr>
            <w:tcW w:w="5329" w:type="dxa"/>
          </w:tcPr>
          <w:p w14:paraId="104B3BB1" w14:textId="77777777" w:rsidR="00DC3F04" w:rsidRPr="00DC3F04" w:rsidRDefault="00DC3F04" w:rsidP="00DC3F04">
            <w:pPr>
              <w:pStyle w:val="NoSpacing"/>
              <w:rPr>
                <w:rFonts w:cs="Arial"/>
                <w:sz w:val="16"/>
                <w:szCs w:val="16"/>
              </w:rPr>
            </w:pPr>
            <w:r w:rsidRPr="00DC3F04">
              <w:rPr>
                <w:rFonts w:cs="Arial"/>
                <w:sz w:val="16"/>
                <w:szCs w:val="16"/>
              </w:rPr>
              <w:t>Effect of post-hatch transportation duration and parental age on broiler chicken quality, welfare, and productivity</w:t>
            </w:r>
          </w:p>
          <w:p w14:paraId="313DB2AB" w14:textId="77777777" w:rsidR="00DC3F04" w:rsidRPr="00DC3F04" w:rsidRDefault="00DC3F04" w:rsidP="00DC3F04">
            <w:pPr>
              <w:pStyle w:val="NoSpacing"/>
              <w:rPr>
                <w:rFonts w:cs="Arial"/>
                <w:sz w:val="16"/>
                <w:szCs w:val="16"/>
              </w:rPr>
            </w:pPr>
            <w:r w:rsidRPr="00DC3F04">
              <w:rPr>
                <w:rFonts w:cs="Arial"/>
                <w:sz w:val="16"/>
                <w:szCs w:val="16"/>
              </w:rPr>
              <w:t>By: Jacobs, Leonie; Delezie, Evelyne; Duchateau, Luc; et al.</w:t>
            </w:r>
          </w:p>
          <w:p w14:paraId="26FC1AE5" w14:textId="77777777" w:rsidR="00DC3F04" w:rsidRPr="00DC3F04" w:rsidRDefault="00DC3F04" w:rsidP="00DC3F04">
            <w:pPr>
              <w:pStyle w:val="NoSpacing"/>
              <w:rPr>
                <w:rFonts w:cs="Arial"/>
                <w:sz w:val="16"/>
                <w:szCs w:val="16"/>
              </w:rPr>
            </w:pPr>
            <w:r w:rsidRPr="00DC3F04">
              <w:rPr>
                <w:rFonts w:cs="Arial"/>
                <w:sz w:val="16"/>
                <w:szCs w:val="16"/>
              </w:rPr>
              <w:t>POULTRY SCIENCE   Volume: 95   Issue: 9</w:t>
            </w:r>
          </w:p>
          <w:p w14:paraId="30A095B0" w14:textId="77777777" w:rsidR="00286A88" w:rsidRPr="00DC3F04" w:rsidRDefault="00DC3F04" w:rsidP="00DC3F04">
            <w:pPr>
              <w:pStyle w:val="NoSpacing"/>
              <w:rPr>
                <w:rFonts w:cs="Arial"/>
                <w:sz w:val="16"/>
                <w:szCs w:val="16"/>
              </w:rPr>
            </w:pPr>
            <w:r w:rsidRPr="00DC3F04">
              <w:rPr>
                <w:rFonts w:cs="Arial"/>
                <w:sz w:val="16"/>
                <w:szCs w:val="16"/>
              </w:rPr>
              <w:t>Pages: 1973-1979   Published: SEP 2016</w:t>
            </w:r>
          </w:p>
        </w:tc>
      </w:tr>
      <w:tr w:rsidR="00286A88" w:rsidRPr="00286A88" w14:paraId="43C44E45" w14:textId="77777777" w:rsidTr="00043C78">
        <w:tc>
          <w:tcPr>
            <w:tcW w:w="3628" w:type="dxa"/>
          </w:tcPr>
          <w:p w14:paraId="31E236DF" w14:textId="77777777" w:rsidR="00286A88" w:rsidRPr="008C43DD" w:rsidRDefault="00286A88" w:rsidP="008C43DD">
            <w:pPr>
              <w:spacing w:before="60"/>
            </w:pPr>
            <w:r w:rsidRPr="008C43DD">
              <w:t>Paper on rare breeds, local varieties or backyard flocks</w:t>
            </w:r>
          </w:p>
        </w:tc>
        <w:tc>
          <w:tcPr>
            <w:tcW w:w="1020" w:type="dxa"/>
          </w:tcPr>
          <w:p w14:paraId="4E5FD8E2" w14:textId="77777777" w:rsidR="00286A88" w:rsidRPr="008C43DD" w:rsidRDefault="00286A88" w:rsidP="008C43DD">
            <w:pPr>
              <w:spacing w:before="60"/>
            </w:pPr>
            <w:r w:rsidRPr="008C43DD">
              <w:t>17</w:t>
            </w:r>
          </w:p>
        </w:tc>
        <w:tc>
          <w:tcPr>
            <w:tcW w:w="5329" w:type="dxa"/>
          </w:tcPr>
          <w:p w14:paraId="4E104811" w14:textId="77777777" w:rsidR="00DC3F04" w:rsidRPr="00DC3F04" w:rsidRDefault="00DC3F04" w:rsidP="00DC3F04">
            <w:pPr>
              <w:pStyle w:val="NoSpacing"/>
              <w:rPr>
                <w:rFonts w:cs="Arial"/>
                <w:sz w:val="16"/>
                <w:szCs w:val="16"/>
              </w:rPr>
            </w:pPr>
            <w:r w:rsidRPr="00DC3F04">
              <w:rPr>
                <w:rFonts w:cs="Arial"/>
                <w:sz w:val="16"/>
                <w:szCs w:val="16"/>
              </w:rPr>
              <w:t>Blood biochemistry and immune response in Aseel chicken under free range, semi-intensive, and confinement rearing systems</w:t>
            </w:r>
          </w:p>
          <w:p w14:paraId="61A99894" w14:textId="77777777" w:rsidR="00DC3F04" w:rsidRPr="00DC3F04" w:rsidRDefault="00DC3F04" w:rsidP="00DC3F04">
            <w:pPr>
              <w:pStyle w:val="NoSpacing"/>
              <w:rPr>
                <w:rFonts w:cs="Arial"/>
                <w:sz w:val="16"/>
                <w:szCs w:val="16"/>
              </w:rPr>
            </w:pPr>
            <w:r w:rsidRPr="00DC3F04">
              <w:rPr>
                <w:rFonts w:cs="Arial"/>
                <w:sz w:val="16"/>
                <w:szCs w:val="16"/>
              </w:rPr>
              <w:t>By: Rehman, M. S.; Mahmud, A.; Mehmood, S.; et al.</w:t>
            </w:r>
          </w:p>
          <w:p w14:paraId="424F4EE4" w14:textId="77777777" w:rsidR="00DC3F04" w:rsidRPr="00DC3F04" w:rsidRDefault="00DC3F04" w:rsidP="00DC3F04">
            <w:pPr>
              <w:pStyle w:val="NoSpacing"/>
              <w:rPr>
                <w:rFonts w:cs="Arial"/>
                <w:sz w:val="16"/>
                <w:szCs w:val="16"/>
              </w:rPr>
            </w:pPr>
            <w:r w:rsidRPr="00DC3F04">
              <w:rPr>
                <w:rFonts w:cs="Arial"/>
                <w:sz w:val="16"/>
                <w:szCs w:val="16"/>
              </w:rPr>
              <w:t>POULTRY SCIENCE   Volume: 96   Issue: 1</w:t>
            </w:r>
          </w:p>
          <w:p w14:paraId="77925498" w14:textId="77777777" w:rsidR="00286A88" w:rsidRPr="00DC3F04" w:rsidRDefault="00DC3F04" w:rsidP="00DC3F04">
            <w:pPr>
              <w:pStyle w:val="NoSpacing"/>
              <w:rPr>
                <w:rFonts w:cs="Arial"/>
                <w:sz w:val="16"/>
                <w:szCs w:val="16"/>
              </w:rPr>
            </w:pPr>
            <w:r w:rsidRPr="00DC3F04">
              <w:rPr>
                <w:rFonts w:cs="Arial"/>
                <w:sz w:val="16"/>
                <w:szCs w:val="16"/>
              </w:rPr>
              <w:t>Pages: 226-233   Published: JAN 2017</w:t>
            </w:r>
          </w:p>
        </w:tc>
      </w:tr>
      <w:tr w:rsidR="00286A88" w:rsidRPr="00286A88" w14:paraId="309A9E18" w14:textId="77777777" w:rsidTr="00043C78">
        <w:tc>
          <w:tcPr>
            <w:tcW w:w="3628" w:type="dxa"/>
          </w:tcPr>
          <w:p w14:paraId="5CFB7B11" w14:textId="77777777" w:rsidR="00286A88" w:rsidRPr="008C43DD" w:rsidRDefault="00286A88" w:rsidP="008C43DD">
            <w:pPr>
              <w:spacing w:before="60"/>
            </w:pPr>
            <w:r w:rsidRPr="008C43DD">
              <w:t>Totally</w:t>
            </w:r>
            <w:r w:rsidR="00A84F28">
              <w:t xml:space="preserve"> irrelevant e.g. people’s names</w:t>
            </w:r>
          </w:p>
        </w:tc>
        <w:tc>
          <w:tcPr>
            <w:tcW w:w="1020" w:type="dxa"/>
          </w:tcPr>
          <w:p w14:paraId="36AD1863" w14:textId="77777777" w:rsidR="00286A88" w:rsidRPr="008C43DD" w:rsidRDefault="00286A88" w:rsidP="008C43DD">
            <w:pPr>
              <w:spacing w:before="60"/>
            </w:pPr>
            <w:r w:rsidRPr="008C43DD">
              <w:t>0</w:t>
            </w:r>
          </w:p>
        </w:tc>
        <w:tc>
          <w:tcPr>
            <w:tcW w:w="5329" w:type="dxa"/>
          </w:tcPr>
          <w:p w14:paraId="298D664F" w14:textId="77777777" w:rsidR="00286A88" w:rsidRPr="00DC3F04" w:rsidRDefault="00286A88" w:rsidP="00DC3F04">
            <w:pPr>
              <w:pStyle w:val="NoSpacing"/>
              <w:rPr>
                <w:rFonts w:cs="Arial"/>
                <w:sz w:val="16"/>
                <w:szCs w:val="16"/>
              </w:rPr>
            </w:pPr>
          </w:p>
        </w:tc>
      </w:tr>
      <w:tr w:rsidR="00286A88" w:rsidRPr="00286A88" w14:paraId="4EFA5AD4" w14:textId="77777777" w:rsidTr="00043C78">
        <w:tc>
          <w:tcPr>
            <w:tcW w:w="3628" w:type="dxa"/>
          </w:tcPr>
          <w:p w14:paraId="36AFDDCE" w14:textId="77777777" w:rsidR="00286A88" w:rsidRPr="008C43DD" w:rsidRDefault="00286A88" w:rsidP="008C43DD">
            <w:pPr>
              <w:spacing w:before="60"/>
            </w:pPr>
            <w:r w:rsidRPr="008C43DD">
              <w:t>Conference proceedings</w:t>
            </w:r>
          </w:p>
        </w:tc>
        <w:tc>
          <w:tcPr>
            <w:tcW w:w="1020" w:type="dxa"/>
          </w:tcPr>
          <w:p w14:paraId="13DCEE92" w14:textId="77777777" w:rsidR="00286A88" w:rsidRPr="008C43DD" w:rsidRDefault="00286A88" w:rsidP="008C43DD">
            <w:pPr>
              <w:spacing w:before="60"/>
            </w:pPr>
            <w:r w:rsidRPr="008C43DD">
              <w:t>39</w:t>
            </w:r>
          </w:p>
        </w:tc>
        <w:tc>
          <w:tcPr>
            <w:tcW w:w="5329" w:type="dxa"/>
          </w:tcPr>
          <w:p w14:paraId="1DB91C80" w14:textId="77777777" w:rsidR="00DC3F04" w:rsidRPr="00DC3F04" w:rsidRDefault="00DC3F04" w:rsidP="00DC3F04">
            <w:pPr>
              <w:pStyle w:val="NoSpacing"/>
              <w:rPr>
                <w:rFonts w:cs="Arial"/>
                <w:sz w:val="16"/>
                <w:szCs w:val="16"/>
              </w:rPr>
            </w:pPr>
            <w:r w:rsidRPr="00DC3F04">
              <w:rPr>
                <w:rFonts w:cs="Arial"/>
                <w:sz w:val="16"/>
                <w:szCs w:val="16"/>
              </w:rPr>
              <w:t>Improved animal welfare, the right technology and increased business</w:t>
            </w:r>
          </w:p>
          <w:p w14:paraId="61871C96" w14:textId="77777777" w:rsidR="00DC3F04" w:rsidRPr="00DC3F04" w:rsidRDefault="00DC3F04" w:rsidP="00DC3F04">
            <w:pPr>
              <w:pStyle w:val="NoSpacing"/>
              <w:rPr>
                <w:rFonts w:cs="Arial"/>
                <w:sz w:val="16"/>
                <w:szCs w:val="16"/>
              </w:rPr>
            </w:pPr>
            <w:r w:rsidRPr="00DC3F04">
              <w:rPr>
                <w:rFonts w:cs="Arial"/>
                <w:sz w:val="16"/>
                <w:szCs w:val="16"/>
              </w:rPr>
              <w:t>By: Stoier, S.; Larsen, H. D.; Aaslyng, M. D.; et al.</w:t>
            </w:r>
          </w:p>
          <w:p w14:paraId="17608847" w14:textId="77777777" w:rsidR="00DC3F04" w:rsidRPr="00DC3F04" w:rsidRDefault="00DC3F04" w:rsidP="00DC3F04">
            <w:pPr>
              <w:pStyle w:val="NoSpacing"/>
              <w:rPr>
                <w:rFonts w:cs="Arial"/>
                <w:sz w:val="16"/>
                <w:szCs w:val="16"/>
              </w:rPr>
            </w:pPr>
            <w:r w:rsidRPr="00DC3F04">
              <w:rPr>
                <w:rFonts w:cs="Arial"/>
                <w:sz w:val="16"/>
                <w:szCs w:val="16"/>
              </w:rPr>
              <w:t>Conference: 62nd International Congress of Meat Science and Technology (ICoMST) Location: Bangkok, THAILANDDate: AUG 14-19, 2016</w:t>
            </w:r>
          </w:p>
          <w:p w14:paraId="6D58C0D7" w14:textId="77777777" w:rsidR="00DC3F04" w:rsidRPr="00DC3F04" w:rsidRDefault="00DC3F04" w:rsidP="00DC3F04">
            <w:pPr>
              <w:pStyle w:val="NoSpacing"/>
              <w:rPr>
                <w:rFonts w:cs="Arial"/>
                <w:sz w:val="16"/>
                <w:szCs w:val="16"/>
              </w:rPr>
            </w:pPr>
            <w:r w:rsidRPr="00DC3F04">
              <w:rPr>
                <w:rFonts w:cs="Arial"/>
                <w:sz w:val="16"/>
                <w:szCs w:val="16"/>
              </w:rPr>
              <w:t>Sponsor(s): Anim Husbandry Assoc Thailand</w:t>
            </w:r>
          </w:p>
          <w:p w14:paraId="00EAE907" w14:textId="77777777" w:rsidR="00286A88" w:rsidRPr="00DC3F04" w:rsidRDefault="00DC3F04" w:rsidP="00DC3F04">
            <w:pPr>
              <w:pStyle w:val="NoSpacing"/>
              <w:rPr>
                <w:rFonts w:cs="Arial"/>
                <w:sz w:val="16"/>
                <w:szCs w:val="16"/>
              </w:rPr>
            </w:pPr>
            <w:r w:rsidRPr="00DC3F04">
              <w:rPr>
                <w:rFonts w:cs="Arial"/>
                <w:sz w:val="16"/>
                <w:szCs w:val="16"/>
              </w:rPr>
              <w:t>MEAT SCIENCE   Volume: 120   Special Issue: SI   Pages: 71-77   Published: OCT 2016</w:t>
            </w:r>
          </w:p>
        </w:tc>
      </w:tr>
      <w:tr w:rsidR="00286A88" w:rsidRPr="00286A88" w14:paraId="572E699C" w14:textId="77777777" w:rsidTr="00043C78">
        <w:tc>
          <w:tcPr>
            <w:tcW w:w="3628" w:type="dxa"/>
          </w:tcPr>
          <w:p w14:paraId="757B5413" w14:textId="77777777" w:rsidR="00286A88" w:rsidRPr="00EA27D5" w:rsidRDefault="00286A88" w:rsidP="00435E31">
            <w:pPr>
              <w:spacing w:before="60" w:line="240" w:lineRule="auto"/>
              <w:rPr>
                <w:rFonts w:cs="Arial"/>
                <w:b/>
                <w:color w:val="auto"/>
                <w:szCs w:val="18"/>
              </w:rPr>
            </w:pPr>
            <w:r w:rsidRPr="00EA27D5">
              <w:rPr>
                <w:rFonts w:cs="Arial"/>
                <w:b/>
                <w:color w:val="auto"/>
                <w:szCs w:val="18"/>
              </w:rPr>
              <w:t xml:space="preserve">Papers </w:t>
            </w:r>
            <w:r w:rsidR="00435E31">
              <w:rPr>
                <w:rFonts w:cs="Arial"/>
                <w:b/>
                <w:color w:val="auto"/>
                <w:szCs w:val="18"/>
              </w:rPr>
              <w:t>excluded from primary search</w:t>
            </w:r>
          </w:p>
        </w:tc>
        <w:tc>
          <w:tcPr>
            <w:tcW w:w="1020" w:type="dxa"/>
          </w:tcPr>
          <w:p w14:paraId="17555923" w14:textId="77777777" w:rsidR="00286A88" w:rsidRPr="00EA27D5" w:rsidRDefault="00435E31" w:rsidP="002B2473">
            <w:pPr>
              <w:spacing w:before="60" w:line="240" w:lineRule="auto"/>
              <w:rPr>
                <w:rFonts w:cs="Arial"/>
                <w:b/>
                <w:color w:val="auto"/>
                <w:szCs w:val="18"/>
              </w:rPr>
            </w:pPr>
            <w:r>
              <w:rPr>
                <w:rFonts w:cs="Arial"/>
                <w:b/>
                <w:color w:val="auto"/>
                <w:szCs w:val="18"/>
              </w:rPr>
              <w:t>657</w:t>
            </w:r>
          </w:p>
        </w:tc>
        <w:tc>
          <w:tcPr>
            <w:tcW w:w="5329" w:type="dxa"/>
          </w:tcPr>
          <w:p w14:paraId="40494D7C" w14:textId="77777777" w:rsidR="00286A88" w:rsidRPr="00EA27D5" w:rsidRDefault="00286A88" w:rsidP="00435E31">
            <w:pPr>
              <w:spacing w:before="60" w:line="240" w:lineRule="auto"/>
              <w:rPr>
                <w:rFonts w:cs="Arial"/>
                <w:b/>
                <w:color w:val="auto"/>
                <w:szCs w:val="18"/>
              </w:rPr>
            </w:pPr>
            <w:r w:rsidRPr="00EA27D5">
              <w:rPr>
                <w:rFonts w:cs="Arial"/>
                <w:b/>
                <w:color w:val="auto"/>
                <w:szCs w:val="18"/>
              </w:rPr>
              <w:t xml:space="preserve">Papers </w:t>
            </w:r>
            <w:r w:rsidR="00435E31">
              <w:rPr>
                <w:rFonts w:cs="Arial"/>
                <w:b/>
                <w:color w:val="auto"/>
                <w:szCs w:val="18"/>
              </w:rPr>
              <w:t>retained from primary search: 910 – 657 =</w:t>
            </w:r>
            <w:r w:rsidRPr="00EA27D5">
              <w:rPr>
                <w:rFonts w:cs="Arial"/>
                <w:b/>
                <w:color w:val="auto"/>
                <w:szCs w:val="18"/>
              </w:rPr>
              <w:t xml:space="preserve"> </w:t>
            </w:r>
            <w:r w:rsidR="00435E31">
              <w:rPr>
                <w:rFonts w:cs="Arial"/>
                <w:b/>
                <w:color w:val="auto"/>
                <w:szCs w:val="18"/>
              </w:rPr>
              <w:t>253</w:t>
            </w:r>
          </w:p>
        </w:tc>
      </w:tr>
    </w:tbl>
    <w:p w14:paraId="2A965E2A" w14:textId="77777777" w:rsidR="00286A88" w:rsidRPr="00590F0B" w:rsidRDefault="00286A88" w:rsidP="00590F0B">
      <w:pPr>
        <w:spacing w:before="240" w:after="240"/>
        <w:rPr>
          <w:b/>
          <w:i/>
          <w:lang w:val="en-GB"/>
        </w:rPr>
      </w:pPr>
      <w:r w:rsidRPr="00590F0B">
        <w:rPr>
          <w:b/>
          <w:i/>
          <w:lang w:val="en-GB"/>
        </w:rPr>
        <w:t>Broiler Secondary Searches</w:t>
      </w:r>
    </w:p>
    <w:tbl>
      <w:tblPr>
        <w:tblStyle w:val="TableGrid11"/>
        <w:tblW w:w="9954" w:type="dxa"/>
        <w:tblLook w:val="04A0" w:firstRow="1" w:lastRow="0" w:firstColumn="1" w:lastColumn="0" w:noHBand="0" w:noVBand="1"/>
        <w:tblCaption w:val="Results of secondary literature searches for meat chickens (broilers)"/>
        <w:tblDescription w:val="This table shows the results of secondary literature searches for meat chickens (broilers). The left hand column shows the search terms used in the secondary searches. The second column shows the number of papers returned from each of these searches. The third column shows the additional papers included from these searches. The right hand column makes broad comments on the secondary searches."/>
      </w:tblPr>
      <w:tblGrid>
        <w:gridCol w:w="4025"/>
        <w:gridCol w:w="1020"/>
        <w:gridCol w:w="1020"/>
        <w:gridCol w:w="3889"/>
      </w:tblGrid>
      <w:tr w:rsidR="00286A88" w:rsidRPr="00286A88" w14:paraId="4F8FE0F7" w14:textId="77777777" w:rsidTr="00587D34">
        <w:trPr>
          <w:tblHeader/>
        </w:trPr>
        <w:tc>
          <w:tcPr>
            <w:tcW w:w="4025" w:type="dxa"/>
            <w:shd w:val="clear" w:color="auto" w:fill="auto"/>
          </w:tcPr>
          <w:p w14:paraId="65A73896" w14:textId="77777777" w:rsidR="00286A88" w:rsidRPr="006E6B22" w:rsidRDefault="00286A88" w:rsidP="006E6B22">
            <w:pPr>
              <w:spacing w:before="60" w:line="240" w:lineRule="auto"/>
              <w:rPr>
                <w:rFonts w:cs="Arial"/>
                <w:b/>
                <w:color w:val="auto"/>
                <w:szCs w:val="18"/>
              </w:rPr>
            </w:pPr>
            <w:r w:rsidRPr="006E6B22">
              <w:rPr>
                <w:rFonts w:cs="Arial"/>
                <w:b/>
                <w:color w:val="auto"/>
                <w:szCs w:val="18"/>
              </w:rPr>
              <w:t>Search terms for synonyms of species or welfare</w:t>
            </w:r>
          </w:p>
        </w:tc>
        <w:tc>
          <w:tcPr>
            <w:tcW w:w="1020" w:type="dxa"/>
            <w:shd w:val="clear" w:color="auto" w:fill="auto"/>
          </w:tcPr>
          <w:p w14:paraId="5B32CFB2" w14:textId="77777777" w:rsidR="00286A88" w:rsidRPr="00A772EA" w:rsidRDefault="00286A88" w:rsidP="006E6B22">
            <w:pPr>
              <w:spacing w:before="60" w:line="240" w:lineRule="auto"/>
              <w:rPr>
                <w:rFonts w:cs="Arial"/>
                <w:color w:val="auto"/>
                <w:szCs w:val="18"/>
              </w:rPr>
            </w:pPr>
            <w:r w:rsidRPr="00A772EA">
              <w:rPr>
                <w:rFonts w:cs="Arial"/>
                <w:color w:val="auto"/>
                <w:szCs w:val="18"/>
              </w:rPr>
              <w:t>Hits</w:t>
            </w:r>
          </w:p>
        </w:tc>
        <w:tc>
          <w:tcPr>
            <w:tcW w:w="1020" w:type="dxa"/>
            <w:shd w:val="clear" w:color="auto" w:fill="auto"/>
          </w:tcPr>
          <w:p w14:paraId="4756CD82" w14:textId="77777777" w:rsidR="00286A88" w:rsidRPr="00A772EA" w:rsidRDefault="00286A88" w:rsidP="006E6B22">
            <w:pPr>
              <w:spacing w:before="60" w:line="240" w:lineRule="auto"/>
              <w:rPr>
                <w:rFonts w:cs="Arial"/>
                <w:color w:val="auto"/>
                <w:szCs w:val="18"/>
              </w:rPr>
            </w:pPr>
            <w:r w:rsidRPr="00A772EA">
              <w:rPr>
                <w:rFonts w:cs="Arial"/>
                <w:color w:val="auto"/>
                <w:szCs w:val="18"/>
              </w:rPr>
              <w:t>Additional Papers Included</w:t>
            </w:r>
          </w:p>
        </w:tc>
        <w:tc>
          <w:tcPr>
            <w:tcW w:w="3889" w:type="dxa"/>
            <w:shd w:val="clear" w:color="auto" w:fill="auto"/>
          </w:tcPr>
          <w:p w14:paraId="6816D901" w14:textId="77777777" w:rsidR="00286A88" w:rsidRPr="00A772EA" w:rsidRDefault="00286A88" w:rsidP="006E6B22">
            <w:pPr>
              <w:spacing w:before="60" w:line="240" w:lineRule="auto"/>
              <w:rPr>
                <w:rFonts w:cs="Arial"/>
                <w:color w:val="auto"/>
                <w:szCs w:val="18"/>
              </w:rPr>
            </w:pPr>
            <w:r w:rsidRPr="00A772EA">
              <w:rPr>
                <w:rFonts w:cs="Arial"/>
                <w:color w:val="auto"/>
                <w:szCs w:val="18"/>
              </w:rPr>
              <w:t>Comments</w:t>
            </w:r>
          </w:p>
        </w:tc>
      </w:tr>
      <w:tr w:rsidR="00286A88" w:rsidRPr="00286A88" w14:paraId="2A258E75" w14:textId="77777777" w:rsidTr="007975A6">
        <w:tc>
          <w:tcPr>
            <w:tcW w:w="4025" w:type="dxa"/>
          </w:tcPr>
          <w:p w14:paraId="5DB64942" w14:textId="77777777" w:rsidR="00286A88" w:rsidRPr="006E6B22" w:rsidRDefault="00286A88" w:rsidP="006E6B22">
            <w:pPr>
              <w:spacing w:before="60" w:line="240" w:lineRule="auto"/>
              <w:rPr>
                <w:rFonts w:cs="Arial"/>
                <w:color w:val="auto"/>
                <w:szCs w:val="18"/>
              </w:rPr>
            </w:pPr>
            <w:r w:rsidRPr="006E6B22">
              <w:rPr>
                <w:rFonts w:cs="Arial"/>
                <w:color w:val="auto"/>
                <w:szCs w:val="18"/>
              </w:rPr>
              <w:t>(“meat chicken” OR “meat-type chicken”) AND Welfare</w:t>
            </w:r>
          </w:p>
        </w:tc>
        <w:tc>
          <w:tcPr>
            <w:tcW w:w="1020" w:type="dxa"/>
          </w:tcPr>
          <w:p w14:paraId="35254789" w14:textId="77777777" w:rsidR="00286A88" w:rsidRPr="006E6B22" w:rsidRDefault="00286A88" w:rsidP="006E6B22">
            <w:pPr>
              <w:spacing w:before="60" w:line="240" w:lineRule="auto"/>
              <w:rPr>
                <w:rFonts w:cs="Arial"/>
                <w:color w:val="auto"/>
                <w:szCs w:val="18"/>
              </w:rPr>
            </w:pPr>
            <w:r w:rsidRPr="006E6B22">
              <w:rPr>
                <w:rFonts w:cs="Arial"/>
                <w:color w:val="auto"/>
                <w:szCs w:val="18"/>
              </w:rPr>
              <w:t>11</w:t>
            </w:r>
          </w:p>
        </w:tc>
        <w:tc>
          <w:tcPr>
            <w:tcW w:w="1020" w:type="dxa"/>
          </w:tcPr>
          <w:p w14:paraId="72363573" w14:textId="77777777" w:rsidR="00286A88" w:rsidRPr="006E6B22" w:rsidRDefault="00286A88" w:rsidP="006E6B22">
            <w:pPr>
              <w:spacing w:before="60" w:line="240" w:lineRule="auto"/>
              <w:rPr>
                <w:rFonts w:cs="Arial"/>
                <w:color w:val="auto"/>
                <w:szCs w:val="18"/>
              </w:rPr>
            </w:pPr>
            <w:r w:rsidRPr="006E6B22">
              <w:rPr>
                <w:rFonts w:cs="Arial"/>
                <w:color w:val="auto"/>
                <w:szCs w:val="18"/>
              </w:rPr>
              <w:t>0</w:t>
            </w:r>
          </w:p>
        </w:tc>
        <w:tc>
          <w:tcPr>
            <w:tcW w:w="3889" w:type="dxa"/>
          </w:tcPr>
          <w:p w14:paraId="24AD5F16" w14:textId="77777777" w:rsidR="00286A88" w:rsidRPr="006E6B22" w:rsidRDefault="00286A88" w:rsidP="006E6B22">
            <w:pPr>
              <w:spacing w:before="60" w:line="240" w:lineRule="auto"/>
              <w:rPr>
                <w:rFonts w:cs="Arial"/>
                <w:color w:val="auto"/>
                <w:szCs w:val="18"/>
              </w:rPr>
            </w:pPr>
            <w:r w:rsidRPr="006E6B22">
              <w:rPr>
                <w:rFonts w:cs="Arial"/>
                <w:color w:val="auto"/>
                <w:szCs w:val="18"/>
              </w:rPr>
              <w:t>No additional relevant papers</w:t>
            </w:r>
          </w:p>
        </w:tc>
      </w:tr>
      <w:tr w:rsidR="00286A88" w:rsidRPr="00286A88" w14:paraId="41A61905" w14:textId="77777777" w:rsidTr="007975A6">
        <w:tc>
          <w:tcPr>
            <w:tcW w:w="4025" w:type="dxa"/>
          </w:tcPr>
          <w:p w14:paraId="7DD6F292" w14:textId="77777777" w:rsidR="00286A88" w:rsidRPr="006E6B22" w:rsidRDefault="00286A88" w:rsidP="006E6B22">
            <w:pPr>
              <w:spacing w:before="60" w:line="240" w:lineRule="auto"/>
              <w:rPr>
                <w:rFonts w:cs="Arial"/>
                <w:color w:val="auto"/>
                <w:szCs w:val="18"/>
              </w:rPr>
            </w:pPr>
            <w:r w:rsidRPr="006E6B22">
              <w:rPr>
                <w:rFonts w:cs="Arial"/>
                <w:color w:val="auto"/>
                <w:szCs w:val="18"/>
              </w:rPr>
              <w:t>Broiler* NOT “broiler breeder”) AND wellbeing</w:t>
            </w:r>
          </w:p>
        </w:tc>
        <w:tc>
          <w:tcPr>
            <w:tcW w:w="1020" w:type="dxa"/>
          </w:tcPr>
          <w:p w14:paraId="3A24C399" w14:textId="77777777" w:rsidR="00286A88" w:rsidRPr="006E6B22" w:rsidRDefault="00286A88" w:rsidP="006E6B22">
            <w:pPr>
              <w:spacing w:before="60" w:line="240" w:lineRule="auto"/>
              <w:rPr>
                <w:rFonts w:cs="Arial"/>
                <w:color w:val="auto"/>
                <w:szCs w:val="18"/>
              </w:rPr>
            </w:pPr>
            <w:r w:rsidRPr="006E6B22">
              <w:rPr>
                <w:rFonts w:cs="Arial"/>
                <w:color w:val="auto"/>
                <w:szCs w:val="18"/>
              </w:rPr>
              <w:t>15</w:t>
            </w:r>
          </w:p>
        </w:tc>
        <w:tc>
          <w:tcPr>
            <w:tcW w:w="1020" w:type="dxa"/>
          </w:tcPr>
          <w:p w14:paraId="2F70A876" w14:textId="77777777" w:rsidR="00286A88" w:rsidRPr="006E6B22" w:rsidRDefault="00286A88" w:rsidP="006E6B22">
            <w:pPr>
              <w:spacing w:before="60" w:line="240" w:lineRule="auto"/>
              <w:rPr>
                <w:rFonts w:cs="Arial"/>
                <w:color w:val="auto"/>
                <w:szCs w:val="18"/>
              </w:rPr>
            </w:pPr>
            <w:r w:rsidRPr="006E6B22">
              <w:rPr>
                <w:rFonts w:cs="Arial"/>
                <w:color w:val="auto"/>
                <w:szCs w:val="18"/>
              </w:rPr>
              <w:t>0</w:t>
            </w:r>
          </w:p>
        </w:tc>
        <w:tc>
          <w:tcPr>
            <w:tcW w:w="3889" w:type="dxa"/>
          </w:tcPr>
          <w:p w14:paraId="0FFB9594" w14:textId="77777777" w:rsidR="00286A88" w:rsidRPr="006E6B22" w:rsidRDefault="00286A88" w:rsidP="006E6B22">
            <w:pPr>
              <w:spacing w:before="60" w:line="240" w:lineRule="auto"/>
              <w:rPr>
                <w:rFonts w:cs="Arial"/>
                <w:color w:val="auto"/>
                <w:szCs w:val="18"/>
              </w:rPr>
            </w:pPr>
            <w:r w:rsidRPr="006E6B22">
              <w:rPr>
                <w:rFonts w:cs="Arial"/>
                <w:color w:val="auto"/>
                <w:szCs w:val="18"/>
              </w:rPr>
              <w:t>No additional relevant papers</w:t>
            </w:r>
          </w:p>
        </w:tc>
      </w:tr>
      <w:tr w:rsidR="00286A88" w:rsidRPr="00286A88" w14:paraId="4B450409" w14:textId="77777777" w:rsidTr="007975A6">
        <w:tc>
          <w:tcPr>
            <w:tcW w:w="4025" w:type="dxa"/>
          </w:tcPr>
          <w:p w14:paraId="1C1AAEE2" w14:textId="77777777" w:rsidR="00286A88" w:rsidRPr="006E6B22" w:rsidRDefault="00286A88" w:rsidP="006E6B22">
            <w:pPr>
              <w:spacing w:before="60" w:line="240" w:lineRule="auto"/>
              <w:rPr>
                <w:rFonts w:cs="Arial"/>
                <w:color w:val="auto"/>
                <w:szCs w:val="18"/>
              </w:rPr>
            </w:pPr>
            <w:r w:rsidRPr="006E6B22">
              <w:rPr>
                <w:rFonts w:cs="Arial"/>
                <w:color w:val="auto"/>
                <w:szCs w:val="18"/>
              </w:rPr>
              <w:t>Broiler* NOT “broiler breeder”) AND well-being</w:t>
            </w:r>
          </w:p>
        </w:tc>
        <w:tc>
          <w:tcPr>
            <w:tcW w:w="1020" w:type="dxa"/>
          </w:tcPr>
          <w:p w14:paraId="46B3D451" w14:textId="77777777" w:rsidR="00286A88" w:rsidRPr="006E6B22" w:rsidRDefault="00286A88" w:rsidP="006E6B22">
            <w:pPr>
              <w:spacing w:before="60" w:line="240" w:lineRule="auto"/>
              <w:rPr>
                <w:rFonts w:cs="Arial"/>
                <w:color w:val="auto"/>
                <w:szCs w:val="18"/>
              </w:rPr>
            </w:pPr>
            <w:r w:rsidRPr="006E6B22">
              <w:rPr>
                <w:rFonts w:cs="Arial"/>
                <w:color w:val="auto"/>
                <w:szCs w:val="18"/>
              </w:rPr>
              <w:t>64</w:t>
            </w:r>
          </w:p>
        </w:tc>
        <w:tc>
          <w:tcPr>
            <w:tcW w:w="1020" w:type="dxa"/>
          </w:tcPr>
          <w:p w14:paraId="7BE4F473" w14:textId="77777777" w:rsidR="00286A88" w:rsidRPr="006E6B22" w:rsidRDefault="00286A88" w:rsidP="006E6B22">
            <w:pPr>
              <w:spacing w:before="60" w:line="240" w:lineRule="auto"/>
              <w:rPr>
                <w:rFonts w:cs="Arial"/>
                <w:color w:val="auto"/>
                <w:szCs w:val="18"/>
              </w:rPr>
            </w:pPr>
            <w:r w:rsidRPr="006E6B22">
              <w:rPr>
                <w:rFonts w:cs="Arial"/>
                <w:color w:val="auto"/>
                <w:szCs w:val="18"/>
              </w:rPr>
              <w:t>9</w:t>
            </w:r>
          </w:p>
        </w:tc>
        <w:tc>
          <w:tcPr>
            <w:tcW w:w="3889" w:type="dxa"/>
          </w:tcPr>
          <w:p w14:paraId="1982D57E" w14:textId="77777777" w:rsidR="00286A88" w:rsidRPr="006E6B22" w:rsidRDefault="00286A88" w:rsidP="006E6B22">
            <w:pPr>
              <w:spacing w:before="60" w:line="240" w:lineRule="auto"/>
              <w:rPr>
                <w:rFonts w:cs="Arial"/>
                <w:color w:val="auto"/>
                <w:szCs w:val="18"/>
              </w:rPr>
            </w:pPr>
            <w:r w:rsidRPr="006E6B22">
              <w:rPr>
                <w:rFonts w:cs="Arial"/>
                <w:color w:val="auto"/>
                <w:szCs w:val="18"/>
              </w:rPr>
              <w:t>Papers on the effects of prebiotics and antibiotics not included</w:t>
            </w:r>
          </w:p>
        </w:tc>
      </w:tr>
      <w:tr w:rsidR="00286A88" w:rsidRPr="00286A88" w14:paraId="5A0B050A" w14:textId="77777777" w:rsidTr="007975A6">
        <w:tc>
          <w:tcPr>
            <w:tcW w:w="4025" w:type="dxa"/>
            <w:tcBorders>
              <w:bottom w:val="single" w:sz="4" w:space="0" w:color="auto"/>
            </w:tcBorders>
          </w:tcPr>
          <w:p w14:paraId="31B8AF21" w14:textId="77777777" w:rsidR="00286A88" w:rsidRPr="006E6B22" w:rsidRDefault="00286A88" w:rsidP="006E6B22">
            <w:pPr>
              <w:spacing w:before="60" w:line="240" w:lineRule="auto"/>
              <w:rPr>
                <w:rFonts w:cs="Arial"/>
                <w:color w:val="auto"/>
                <w:szCs w:val="18"/>
              </w:rPr>
            </w:pPr>
            <w:r w:rsidRPr="006E6B22">
              <w:rPr>
                <w:rFonts w:cs="Arial"/>
                <w:color w:val="auto"/>
                <w:szCs w:val="18"/>
              </w:rPr>
              <w:t>(Chick* NOT lay*) AND welfare</w:t>
            </w:r>
          </w:p>
        </w:tc>
        <w:tc>
          <w:tcPr>
            <w:tcW w:w="1020" w:type="dxa"/>
          </w:tcPr>
          <w:p w14:paraId="15234102" w14:textId="77777777" w:rsidR="00286A88" w:rsidRPr="006E6B22" w:rsidRDefault="00286A88" w:rsidP="006E6B22">
            <w:pPr>
              <w:spacing w:before="60" w:line="240" w:lineRule="auto"/>
              <w:rPr>
                <w:rFonts w:cs="Arial"/>
                <w:color w:val="auto"/>
                <w:szCs w:val="18"/>
              </w:rPr>
            </w:pPr>
            <w:r w:rsidRPr="006E6B22">
              <w:rPr>
                <w:rFonts w:cs="Arial"/>
                <w:color w:val="auto"/>
                <w:szCs w:val="18"/>
              </w:rPr>
              <w:t>871</w:t>
            </w:r>
          </w:p>
        </w:tc>
        <w:tc>
          <w:tcPr>
            <w:tcW w:w="1020" w:type="dxa"/>
          </w:tcPr>
          <w:p w14:paraId="0481B02A" w14:textId="77777777" w:rsidR="00286A88" w:rsidRPr="006E6B22" w:rsidRDefault="00286A88" w:rsidP="006E6B22">
            <w:pPr>
              <w:spacing w:before="60" w:line="240" w:lineRule="auto"/>
              <w:rPr>
                <w:rFonts w:cs="Arial"/>
                <w:color w:val="auto"/>
                <w:szCs w:val="18"/>
              </w:rPr>
            </w:pPr>
            <w:r w:rsidRPr="006E6B22">
              <w:rPr>
                <w:rFonts w:cs="Arial"/>
                <w:color w:val="auto"/>
                <w:szCs w:val="18"/>
              </w:rPr>
              <w:t>0</w:t>
            </w:r>
          </w:p>
        </w:tc>
        <w:tc>
          <w:tcPr>
            <w:tcW w:w="3889" w:type="dxa"/>
          </w:tcPr>
          <w:p w14:paraId="7E4FE4D7" w14:textId="77777777" w:rsidR="00286A88" w:rsidRPr="006E6B22" w:rsidRDefault="00286A88" w:rsidP="006E6B22">
            <w:pPr>
              <w:spacing w:before="60" w:line="240" w:lineRule="auto"/>
              <w:rPr>
                <w:rFonts w:cs="Arial"/>
                <w:color w:val="auto"/>
                <w:szCs w:val="18"/>
              </w:rPr>
            </w:pPr>
            <w:r w:rsidRPr="006E6B22">
              <w:rPr>
                <w:rFonts w:cs="Arial"/>
                <w:color w:val="auto"/>
                <w:szCs w:val="18"/>
              </w:rPr>
              <w:t>No additional relevant papers</w:t>
            </w:r>
          </w:p>
        </w:tc>
      </w:tr>
      <w:tr w:rsidR="00286A88" w:rsidRPr="00286A88" w14:paraId="3E6186BD" w14:textId="77777777" w:rsidTr="00587D34">
        <w:tc>
          <w:tcPr>
            <w:tcW w:w="4025" w:type="dxa"/>
            <w:shd w:val="clear" w:color="auto" w:fill="auto"/>
          </w:tcPr>
          <w:p w14:paraId="73CD3110" w14:textId="77777777" w:rsidR="00286A88" w:rsidRPr="006E6B22" w:rsidRDefault="00286A88" w:rsidP="006E6B22">
            <w:pPr>
              <w:spacing w:before="60" w:line="240" w:lineRule="auto"/>
              <w:rPr>
                <w:rFonts w:cs="Arial"/>
                <w:b/>
                <w:color w:val="auto"/>
                <w:szCs w:val="18"/>
              </w:rPr>
            </w:pPr>
            <w:r w:rsidRPr="006E6B22">
              <w:rPr>
                <w:rFonts w:cs="Arial"/>
                <w:b/>
                <w:color w:val="auto"/>
                <w:szCs w:val="18"/>
              </w:rPr>
              <w:t>Search for sub-sets of terms relevant to welfare</w:t>
            </w:r>
          </w:p>
        </w:tc>
        <w:tc>
          <w:tcPr>
            <w:tcW w:w="1020" w:type="dxa"/>
            <w:shd w:val="clear" w:color="auto" w:fill="auto"/>
          </w:tcPr>
          <w:p w14:paraId="21E02A40" w14:textId="77777777" w:rsidR="00286A88" w:rsidRPr="006E6B22" w:rsidRDefault="00286A88" w:rsidP="006E6B22">
            <w:pPr>
              <w:spacing w:before="60" w:line="240" w:lineRule="auto"/>
              <w:rPr>
                <w:rFonts w:cs="Arial"/>
                <w:color w:val="auto"/>
                <w:szCs w:val="18"/>
              </w:rPr>
            </w:pPr>
          </w:p>
        </w:tc>
        <w:tc>
          <w:tcPr>
            <w:tcW w:w="1020" w:type="dxa"/>
            <w:shd w:val="clear" w:color="auto" w:fill="auto"/>
          </w:tcPr>
          <w:p w14:paraId="2FC1A168" w14:textId="77777777" w:rsidR="00286A88" w:rsidRPr="006E6B22" w:rsidRDefault="00286A88" w:rsidP="006E6B22">
            <w:pPr>
              <w:spacing w:before="60" w:line="240" w:lineRule="auto"/>
              <w:rPr>
                <w:rFonts w:cs="Arial"/>
                <w:color w:val="auto"/>
                <w:szCs w:val="18"/>
              </w:rPr>
            </w:pPr>
          </w:p>
        </w:tc>
        <w:tc>
          <w:tcPr>
            <w:tcW w:w="3889" w:type="dxa"/>
            <w:shd w:val="clear" w:color="auto" w:fill="auto"/>
          </w:tcPr>
          <w:p w14:paraId="3259E98D" w14:textId="77777777" w:rsidR="00286A88" w:rsidRPr="006E6B22" w:rsidRDefault="00286A88" w:rsidP="006E6B22">
            <w:pPr>
              <w:spacing w:before="60" w:line="240" w:lineRule="auto"/>
              <w:rPr>
                <w:rFonts w:cs="Arial"/>
                <w:color w:val="auto"/>
                <w:szCs w:val="18"/>
              </w:rPr>
            </w:pPr>
          </w:p>
        </w:tc>
      </w:tr>
      <w:tr w:rsidR="00286A88" w:rsidRPr="00286A88" w14:paraId="13248D71" w14:textId="77777777" w:rsidTr="007975A6">
        <w:tc>
          <w:tcPr>
            <w:tcW w:w="4025" w:type="dxa"/>
          </w:tcPr>
          <w:p w14:paraId="3E7AC332" w14:textId="77777777" w:rsidR="00286A88" w:rsidRPr="006E6B22" w:rsidRDefault="00046273" w:rsidP="006E6B22">
            <w:pPr>
              <w:spacing w:before="60" w:line="240" w:lineRule="auto"/>
              <w:rPr>
                <w:rFonts w:cs="Arial"/>
                <w:color w:val="auto"/>
                <w:szCs w:val="18"/>
              </w:rPr>
            </w:pPr>
            <w:r>
              <w:rPr>
                <w:rFonts w:cs="Arial"/>
                <w:color w:val="auto"/>
                <w:szCs w:val="18"/>
              </w:rPr>
              <w:t>(b</w:t>
            </w:r>
            <w:r w:rsidR="00286A88" w:rsidRPr="006E6B22">
              <w:rPr>
                <w:rFonts w:cs="Arial"/>
                <w:color w:val="auto"/>
                <w:szCs w:val="18"/>
              </w:rPr>
              <w:t>roil</w:t>
            </w:r>
            <w:r>
              <w:rPr>
                <w:rFonts w:cs="Arial"/>
                <w:color w:val="auto"/>
                <w:szCs w:val="18"/>
              </w:rPr>
              <w:t>er* NOT “broiler breeder”) AND h</w:t>
            </w:r>
            <w:r w:rsidR="00286A88" w:rsidRPr="006E6B22">
              <w:rPr>
                <w:rFonts w:cs="Arial"/>
                <w:color w:val="auto"/>
                <w:szCs w:val="18"/>
              </w:rPr>
              <w:t>ealth</w:t>
            </w:r>
          </w:p>
        </w:tc>
        <w:tc>
          <w:tcPr>
            <w:tcW w:w="1020" w:type="dxa"/>
          </w:tcPr>
          <w:p w14:paraId="069F3A65" w14:textId="77777777" w:rsidR="00286A88" w:rsidRPr="006E6B22" w:rsidRDefault="00286A88" w:rsidP="006E6B22">
            <w:pPr>
              <w:spacing w:before="60" w:line="240" w:lineRule="auto"/>
              <w:rPr>
                <w:rFonts w:cs="Arial"/>
                <w:color w:val="auto"/>
                <w:szCs w:val="18"/>
              </w:rPr>
            </w:pPr>
            <w:r w:rsidRPr="006E6B22">
              <w:rPr>
                <w:rFonts w:cs="Arial"/>
                <w:color w:val="auto"/>
                <w:szCs w:val="18"/>
              </w:rPr>
              <w:t>1853</w:t>
            </w:r>
          </w:p>
        </w:tc>
        <w:tc>
          <w:tcPr>
            <w:tcW w:w="1020" w:type="dxa"/>
          </w:tcPr>
          <w:p w14:paraId="258FF761" w14:textId="77777777" w:rsidR="00286A88" w:rsidRPr="006E6B22" w:rsidRDefault="00286A88" w:rsidP="006E6B22">
            <w:pPr>
              <w:spacing w:before="60" w:line="240" w:lineRule="auto"/>
              <w:rPr>
                <w:rFonts w:cs="Arial"/>
                <w:color w:val="auto"/>
                <w:szCs w:val="18"/>
              </w:rPr>
            </w:pPr>
            <w:r w:rsidRPr="006E6B22">
              <w:rPr>
                <w:rFonts w:cs="Arial"/>
                <w:color w:val="auto"/>
                <w:szCs w:val="18"/>
              </w:rPr>
              <w:t>25</w:t>
            </w:r>
          </w:p>
        </w:tc>
        <w:tc>
          <w:tcPr>
            <w:tcW w:w="3889" w:type="dxa"/>
          </w:tcPr>
          <w:p w14:paraId="1F12110B" w14:textId="77777777" w:rsidR="00286A88" w:rsidRPr="006E6B22" w:rsidRDefault="00286A88" w:rsidP="006E6B22">
            <w:pPr>
              <w:spacing w:before="60" w:line="240" w:lineRule="auto"/>
              <w:rPr>
                <w:rFonts w:cs="Arial"/>
                <w:color w:val="auto"/>
                <w:szCs w:val="18"/>
              </w:rPr>
            </w:pPr>
            <w:r w:rsidRPr="006E6B22">
              <w:rPr>
                <w:rFonts w:cs="Arial"/>
                <w:color w:val="auto"/>
                <w:szCs w:val="18"/>
              </w:rPr>
              <w:t>Papers on epidemiology, control of disease and dietary supplements not included</w:t>
            </w:r>
          </w:p>
        </w:tc>
      </w:tr>
      <w:tr w:rsidR="00286A88" w:rsidRPr="00286A88" w14:paraId="31DE7141" w14:textId="77777777" w:rsidTr="007975A6">
        <w:tc>
          <w:tcPr>
            <w:tcW w:w="4025" w:type="dxa"/>
          </w:tcPr>
          <w:p w14:paraId="7C52F599" w14:textId="77777777" w:rsidR="00286A88" w:rsidRPr="006E6B22" w:rsidRDefault="00046273" w:rsidP="006E6B22">
            <w:pPr>
              <w:spacing w:before="60" w:line="240" w:lineRule="auto"/>
              <w:rPr>
                <w:rFonts w:cs="Arial"/>
                <w:color w:val="auto"/>
                <w:szCs w:val="18"/>
              </w:rPr>
            </w:pPr>
            <w:r>
              <w:rPr>
                <w:rFonts w:cs="Arial"/>
                <w:color w:val="auto"/>
                <w:szCs w:val="18"/>
              </w:rPr>
              <w:t>(b</w:t>
            </w:r>
            <w:r w:rsidR="00286A88" w:rsidRPr="006E6B22">
              <w:rPr>
                <w:rFonts w:cs="Arial"/>
                <w:color w:val="auto"/>
                <w:szCs w:val="18"/>
              </w:rPr>
              <w:t>roiler* NOT “broiler breeder”) AND (stress* or fear*)</w:t>
            </w:r>
          </w:p>
        </w:tc>
        <w:tc>
          <w:tcPr>
            <w:tcW w:w="1020" w:type="dxa"/>
          </w:tcPr>
          <w:p w14:paraId="15A4EEB6" w14:textId="77777777" w:rsidR="00286A88" w:rsidRPr="006E6B22" w:rsidRDefault="00286A88" w:rsidP="006E6B22">
            <w:pPr>
              <w:spacing w:before="60" w:line="240" w:lineRule="auto"/>
              <w:rPr>
                <w:rFonts w:cs="Arial"/>
                <w:color w:val="auto"/>
                <w:szCs w:val="18"/>
              </w:rPr>
            </w:pPr>
            <w:r w:rsidRPr="006E6B22">
              <w:rPr>
                <w:rFonts w:cs="Arial"/>
                <w:color w:val="auto"/>
                <w:szCs w:val="18"/>
              </w:rPr>
              <w:t>2450</w:t>
            </w:r>
          </w:p>
        </w:tc>
        <w:tc>
          <w:tcPr>
            <w:tcW w:w="1020" w:type="dxa"/>
          </w:tcPr>
          <w:p w14:paraId="736686F8" w14:textId="77777777" w:rsidR="00286A88" w:rsidRPr="006E6B22" w:rsidRDefault="00286A88" w:rsidP="006E6B22">
            <w:pPr>
              <w:spacing w:before="60" w:line="240" w:lineRule="auto"/>
              <w:rPr>
                <w:rFonts w:cs="Arial"/>
                <w:color w:val="auto"/>
                <w:szCs w:val="18"/>
              </w:rPr>
            </w:pPr>
            <w:r w:rsidRPr="006E6B22">
              <w:rPr>
                <w:rFonts w:cs="Arial"/>
                <w:color w:val="auto"/>
                <w:szCs w:val="18"/>
              </w:rPr>
              <w:t>42</w:t>
            </w:r>
          </w:p>
        </w:tc>
        <w:tc>
          <w:tcPr>
            <w:tcW w:w="3889" w:type="dxa"/>
          </w:tcPr>
          <w:p w14:paraId="3F54C38B" w14:textId="77777777" w:rsidR="00286A88" w:rsidRPr="006E6B22" w:rsidRDefault="00286A88" w:rsidP="006E6B22">
            <w:pPr>
              <w:spacing w:before="60" w:line="240" w:lineRule="auto"/>
              <w:rPr>
                <w:rFonts w:cs="Arial"/>
                <w:color w:val="auto"/>
                <w:szCs w:val="18"/>
              </w:rPr>
            </w:pPr>
            <w:r w:rsidRPr="006E6B22">
              <w:rPr>
                <w:rFonts w:cs="Arial"/>
                <w:color w:val="auto"/>
                <w:szCs w:val="18"/>
              </w:rPr>
              <w:t>Papers relating to meat quality not included. A lot of articles on dietary supplements to combat heat stress not included.</w:t>
            </w:r>
          </w:p>
        </w:tc>
      </w:tr>
      <w:tr w:rsidR="00286A88" w:rsidRPr="00286A88" w14:paraId="1DAE82B3" w14:textId="77777777" w:rsidTr="007975A6">
        <w:tc>
          <w:tcPr>
            <w:tcW w:w="4025" w:type="dxa"/>
          </w:tcPr>
          <w:p w14:paraId="3DABA893" w14:textId="77777777" w:rsidR="00286A88" w:rsidRPr="006E6B22" w:rsidRDefault="00046273" w:rsidP="006E6B22">
            <w:pPr>
              <w:spacing w:before="60" w:line="240" w:lineRule="auto"/>
              <w:rPr>
                <w:rFonts w:cs="Arial"/>
                <w:color w:val="auto"/>
                <w:szCs w:val="18"/>
              </w:rPr>
            </w:pPr>
            <w:r>
              <w:rPr>
                <w:rFonts w:cs="Arial"/>
                <w:color w:val="auto"/>
                <w:szCs w:val="18"/>
              </w:rPr>
              <w:t xml:space="preserve">(broiler* NOT “broiler breeder”) </w:t>
            </w:r>
            <w:r w:rsidR="00286A88" w:rsidRPr="006E6B22">
              <w:rPr>
                <w:rFonts w:cs="Arial"/>
                <w:color w:val="auto"/>
                <w:szCs w:val="18"/>
              </w:rPr>
              <w:t>AND (injur* OR cull* OR mortali*)</w:t>
            </w:r>
          </w:p>
        </w:tc>
        <w:tc>
          <w:tcPr>
            <w:tcW w:w="1020" w:type="dxa"/>
          </w:tcPr>
          <w:p w14:paraId="7D6EE0B2" w14:textId="77777777" w:rsidR="00286A88" w:rsidRPr="006E6B22" w:rsidRDefault="00286A88" w:rsidP="006E6B22">
            <w:pPr>
              <w:spacing w:before="60" w:line="240" w:lineRule="auto"/>
              <w:rPr>
                <w:rFonts w:cs="Arial"/>
                <w:color w:val="auto"/>
                <w:szCs w:val="18"/>
              </w:rPr>
            </w:pPr>
            <w:r w:rsidRPr="006E6B22">
              <w:rPr>
                <w:rFonts w:cs="Arial"/>
                <w:color w:val="auto"/>
                <w:szCs w:val="18"/>
              </w:rPr>
              <w:t>2094</w:t>
            </w:r>
          </w:p>
        </w:tc>
        <w:tc>
          <w:tcPr>
            <w:tcW w:w="1020" w:type="dxa"/>
          </w:tcPr>
          <w:p w14:paraId="21AF0FF1" w14:textId="77777777" w:rsidR="00286A88" w:rsidRPr="006E6B22" w:rsidRDefault="00286A88" w:rsidP="006E6B22">
            <w:pPr>
              <w:spacing w:before="60" w:line="240" w:lineRule="auto"/>
              <w:rPr>
                <w:rFonts w:cs="Arial"/>
                <w:color w:val="auto"/>
                <w:szCs w:val="18"/>
              </w:rPr>
            </w:pPr>
            <w:r w:rsidRPr="006E6B22">
              <w:rPr>
                <w:rFonts w:cs="Arial"/>
                <w:color w:val="auto"/>
                <w:szCs w:val="18"/>
              </w:rPr>
              <w:t>17</w:t>
            </w:r>
          </w:p>
        </w:tc>
        <w:tc>
          <w:tcPr>
            <w:tcW w:w="3889" w:type="dxa"/>
          </w:tcPr>
          <w:p w14:paraId="54034D04" w14:textId="77777777" w:rsidR="00286A88" w:rsidRPr="006E6B22" w:rsidRDefault="00286A88" w:rsidP="006E6B22">
            <w:pPr>
              <w:spacing w:before="60" w:line="240" w:lineRule="auto"/>
              <w:rPr>
                <w:rFonts w:cs="Arial"/>
                <w:color w:val="auto"/>
                <w:szCs w:val="18"/>
              </w:rPr>
            </w:pPr>
            <w:r w:rsidRPr="006E6B22">
              <w:rPr>
                <w:rFonts w:cs="Arial"/>
                <w:color w:val="auto"/>
                <w:szCs w:val="18"/>
              </w:rPr>
              <w:t>Papers relating to vaccination or dietary supplementation omitted.</w:t>
            </w:r>
          </w:p>
        </w:tc>
      </w:tr>
      <w:tr w:rsidR="00286A88" w:rsidRPr="00286A88" w14:paraId="24CA4F56" w14:textId="77777777" w:rsidTr="007975A6">
        <w:tc>
          <w:tcPr>
            <w:tcW w:w="4025" w:type="dxa"/>
          </w:tcPr>
          <w:p w14:paraId="4AD8C440" w14:textId="77777777" w:rsidR="00286A88" w:rsidRPr="006E6B22" w:rsidRDefault="00046273" w:rsidP="00046273">
            <w:pPr>
              <w:spacing w:before="60" w:line="240" w:lineRule="auto"/>
              <w:rPr>
                <w:rFonts w:cs="Arial"/>
                <w:color w:val="auto"/>
                <w:szCs w:val="18"/>
              </w:rPr>
            </w:pPr>
            <w:r>
              <w:rPr>
                <w:rFonts w:cs="Arial"/>
                <w:color w:val="auto"/>
                <w:szCs w:val="18"/>
              </w:rPr>
              <w:t>(b</w:t>
            </w:r>
            <w:r w:rsidR="00286A88" w:rsidRPr="006E6B22">
              <w:rPr>
                <w:rFonts w:cs="Arial"/>
                <w:color w:val="auto"/>
                <w:szCs w:val="18"/>
              </w:rPr>
              <w:t>roiler* NOT “broiler breeder”) AND (density OR space)</w:t>
            </w:r>
          </w:p>
        </w:tc>
        <w:tc>
          <w:tcPr>
            <w:tcW w:w="1020" w:type="dxa"/>
          </w:tcPr>
          <w:p w14:paraId="78EDA011" w14:textId="77777777" w:rsidR="00286A88" w:rsidRPr="006E6B22" w:rsidRDefault="00286A88" w:rsidP="006E6B22">
            <w:pPr>
              <w:spacing w:before="60" w:line="240" w:lineRule="auto"/>
              <w:rPr>
                <w:rFonts w:cs="Arial"/>
                <w:color w:val="auto"/>
                <w:szCs w:val="18"/>
              </w:rPr>
            </w:pPr>
            <w:r w:rsidRPr="006E6B22">
              <w:rPr>
                <w:rFonts w:cs="Arial"/>
                <w:color w:val="auto"/>
                <w:szCs w:val="18"/>
              </w:rPr>
              <w:t>217</w:t>
            </w:r>
          </w:p>
        </w:tc>
        <w:tc>
          <w:tcPr>
            <w:tcW w:w="1020" w:type="dxa"/>
          </w:tcPr>
          <w:p w14:paraId="4F229DB1" w14:textId="77777777" w:rsidR="00286A88" w:rsidRPr="006E6B22" w:rsidRDefault="00286A88" w:rsidP="006E6B22">
            <w:pPr>
              <w:spacing w:before="60" w:line="240" w:lineRule="auto"/>
              <w:rPr>
                <w:rFonts w:cs="Arial"/>
                <w:color w:val="auto"/>
                <w:szCs w:val="18"/>
              </w:rPr>
            </w:pPr>
            <w:r w:rsidRPr="006E6B22">
              <w:rPr>
                <w:rFonts w:cs="Arial"/>
                <w:color w:val="auto"/>
                <w:szCs w:val="18"/>
              </w:rPr>
              <w:t>15</w:t>
            </w:r>
          </w:p>
        </w:tc>
        <w:tc>
          <w:tcPr>
            <w:tcW w:w="3889" w:type="dxa"/>
          </w:tcPr>
          <w:p w14:paraId="7E087054" w14:textId="77777777" w:rsidR="00286A88" w:rsidRPr="006E6B22" w:rsidRDefault="00286A88" w:rsidP="006E6B22">
            <w:pPr>
              <w:spacing w:before="60" w:line="240" w:lineRule="auto"/>
              <w:rPr>
                <w:rFonts w:cs="Arial"/>
                <w:color w:val="auto"/>
                <w:szCs w:val="18"/>
              </w:rPr>
            </w:pPr>
            <w:r w:rsidRPr="006E6B22">
              <w:rPr>
                <w:rFonts w:cs="Arial"/>
                <w:color w:val="auto"/>
                <w:szCs w:val="18"/>
              </w:rPr>
              <w:t>Papers relating to production (weight gain) omitted</w:t>
            </w:r>
          </w:p>
        </w:tc>
      </w:tr>
      <w:tr w:rsidR="00286A88" w:rsidRPr="00286A88" w14:paraId="56FB115E" w14:textId="77777777" w:rsidTr="007975A6">
        <w:tc>
          <w:tcPr>
            <w:tcW w:w="4025" w:type="dxa"/>
          </w:tcPr>
          <w:p w14:paraId="005263CC" w14:textId="77777777" w:rsidR="00286A88" w:rsidRPr="006E6B22" w:rsidRDefault="00046273" w:rsidP="00046273">
            <w:pPr>
              <w:spacing w:before="60" w:line="240" w:lineRule="auto"/>
              <w:rPr>
                <w:rFonts w:cs="Arial"/>
                <w:color w:val="auto"/>
                <w:szCs w:val="18"/>
              </w:rPr>
            </w:pPr>
            <w:r>
              <w:rPr>
                <w:rFonts w:cs="Arial"/>
                <w:color w:val="auto"/>
                <w:szCs w:val="18"/>
              </w:rPr>
              <w:t>(b</w:t>
            </w:r>
            <w:r w:rsidR="00286A88" w:rsidRPr="006E6B22">
              <w:rPr>
                <w:rFonts w:cs="Arial"/>
                <w:color w:val="auto"/>
                <w:szCs w:val="18"/>
              </w:rPr>
              <w:t>roiler* NOT “broiler breeder”) AND (enrich* OR nest* OR perch* OR litter)</w:t>
            </w:r>
          </w:p>
        </w:tc>
        <w:tc>
          <w:tcPr>
            <w:tcW w:w="1020" w:type="dxa"/>
          </w:tcPr>
          <w:p w14:paraId="73CB3C82" w14:textId="77777777" w:rsidR="00286A88" w:rsidRPr="006E6B22" w:rsidRDefault="00286A88" w:rsidP="006E6B22">
            <w:pPr>
              <w:spacing w:before="60" w:line="240" w:lineRule="auto"/>
              <w:rPr>
                <w:rFonts w:cs="Arial"/>
                <w:color w:val="auto"/>
                <w:szCs w:val="18"/>
              </w:rPr>
            </w:pPr>
            <w:r w:rsidRPr="006E6B22">
              <w:rPr>
                <w:rFonts w:cs="Arial"/>
                <w:color w:val="auto"/>
                <w:szCs w:val="18"/>
              </w:rPr>
              <w:t>2463</w:t>
            </w:r>
          </w:p>
        </w:tc>
        <w:tc>
          <w:tcPr>
            <w:tcW w:w="1020" w:type="dxa"/>
          </w:tcPr>
          <w:p w14:paraId="56DD384B" w14:textId="77777777" w:rsidR="00286A88" w:rsidRPr="006E6B22" w:rsidRDefault="00286A88" w:rsidP="006E6B22">
            <w:pPr>
              <w:spacing w:before="60" w:line="240" w:lineRule="auto"/>
              <w:rPr>
                <w:rFonts w:cs="Arial"/>
                <w:color w:val="auto"/>
                <w:szCs w:val="18"/>
              </w:rPr>
            </w:pPr>
            <w:r w:rsidRPr="006E6B22">
              <w:rPr>
                <w:rFonts w:cs="Arial"/>
                <w:color w:val="auto"/>
                <w:szCs w:val="18"/>
              </w:rPr>
              <w:t>21</w:t>
            </w:r>
          </w:p>
        </w:tc>
        <w:tc>
          <w:tcPr>
            <w:tcW w:w="3889" w:type="dxa"/>
          </w:tcPr>
          <w:p w14:paraId="7FC58137" w14:textId="77777777" w:rsidR="00286A88" w:rsidRPr="006E6B22" w:rsidRDefault="00286A88" w:rsidP="006E6B22">
            <w:pPr>
              <w:spacing w:before="60" w:line="240" w:lineRule="auto"/>
              <w:rPr>
                <w:rFonts w:cs="Arial"/>
                <w:color w:val="auto"/>
                <w:szCs w:val="18"/>
              </w:rPr>
            </w:pPr>
            <w:r w:rsidRPr="006E6B22">
              <w:rPr>
                <w:rFonts w:cs="Arial"/>
                <w:color w:val="auto"/>
                <w:szCs w:val="18"/>
              </w:rPr>
              <w:t>Papers on litter and just production parameters (i.e. growth) omitted.</w:t>
            </w:r>
          </w:p>
        </w:tc>
      </w:tr>
      <w:tr w:rsidR="00286A88" w:rsidRPr="00286A88" w14:paraId="04F53A8F" w14:textId="77777777" w:rsidTr="007975A6">
        <w:tc>
          <w:tcPr>
            <w:tcW w:w="4025" w:type="dxa"/>
          </w:tcPr>
          <w:p w14:paraId="78D61CAF" w14:textId="77777777" w:rsidR="00286A88" w:rsidRPr="006E6B22" w:rsidRDefault="00046273" w:rsidP="00046273">
            <w:pPr>
              <w:spacing w:before="60" w:line="240" w:lineRule="auto"/>
              <w:rPr>
                <w:rFonts w:cs="Arial"/>
                <w:color w:val="auto"/>
                <w:szCs w:val="18"/>
              </w:rPr>
            </w:pPr>
            <w:r>
              <w:rPr>
                <w:rFonts w:cs="Arial"/>
                <w:color w:val="auto"/>
                <w:szCs w:val="18"/>
              </w:rPr>
              <w:t>(b</w:t>
            </w:r>
            <w:r w:rsidR="00286A88" w:rsidRPr="006E6B22">
              <w:rPr>
                <w:rFonts w:cs="Arial"/>
                <w:color w:val="auto"/>
                <w:szCs w:val="18"/>
              </w:rPr>
              <w:t>roiler* NOT “broiler breeder</w:t>
            </w:r>
            <w:r>
              <w:rPr>
                <w:rFonts w:cs="Arial"/>
                <w:color w:val="auto"/>
                <w:szCs w:val="18"/>
              </w:rPr>
              <w:t>”</w:t>
            </w:r>
            <w:r w:rsidR="00286A88" w:rsidRPr="006E6B22">
              <w:rPr>
                <w:rFonts w:cs="Arial"/>
                <w:color w:val="auto"/>
                <w:szCs w:val="18"/>
              </w:rPr>
              <w:t>) AND (“dust bath” OR dustbath*)</w:t>
            </w:r>
          </w:p>
        </w:tc>
        <w:tc>
          <w:tcPr>
            <w:tcW w:w="1020" w:type="dxa"/>
          </w:tcPr>
          <w:p w14:paraId="49176819" w14:textId="77777777" w:rsidR="00286A88" w:rsidRPr="006E6B22" w:rsidRDefault="00286A88" w:rsidP="006E6B22">
            <w:pPr>
              <w:spacing w:before="60" w:line="240" w:lineRule="auto"/>
              <w:rPr>
                <w:rFonts w:cs="Arial"/>
                <w:color w:val="auto"/>
                <w:szCs w:val="18"/>
              </w:rPr>
            </w:pPr>
            <w:r w:rsidRPr="006E6B22">
              <w:rPr>
                <w:rFonts w:cs="Arial"/>
                <w:color w:val="auto"/>
                <w:szCs w:val="18"/>
              </w:rPr>
              <w:t>1</w:t>
            </w:r>
          </w:p>
        </w:tc>
        <w:tc>
          <w:tcPr>
            <w:tcW w:w="1020" w:type="dxa"/>
          </w:tcPr>
          <w:p w14:paraId="2201711C" w14:textId="77777777" w:rsidR="00286A88" w:rsidRPr="006E6B22" w:rsidRDefault="00286A88" w:rsidP="006E6B22">
            <w:pPr>
              <w:spacing w:before="60" w:line="240" w:lineRule="auto"/>
              <w:rPr>
                <w:rFonts w:cs="Arial"/>
                <w:color w:val="auto"/>
                <w:szCs w:val="18"/>
              </w:rPr>
            </w:pPr>
            <w:r w:rsidRPr="006E6B22">
              <w:rPr>
                <w:rFonts w:cs="Arial"/>
                <w:color w:val="auto"/>
                <w:szCs w:val="18"/>
              </w:rPr>
              <w:t>6</w:t>
            </w:r>
          </w:p>
        </w:tc>
        <w:tc>
          <w:tcPr>
            <w:tcW w:w="3889" w:type="dxa"/>
          </w:tcPr>
          <w:p w14:paraId="2C5CF379" w14:textId="77777777" w:rsidR="00286A88" w:rsidRPr="006E6B22" w:rsidRDefault="00286A88" w:rsidP="006E6B22">
            <w:pPr>
              <w:spacing w:before="60" w:line="240" w:lineRule="auto"/>
              <w:rPr>
                <w:rFonts w:cs="Arial"/>
                <w:color w:val="auto"/>
                <w:szCs w:val="18"/>
              </w:rPr>
            </w:pPr>
          </w:p>
        </w:tc>
      </w:tr>
      <w:tr w:rsidR="00286A88" w:rsidRPr="00286A88" w14:paraId="282FDC28" w14:textId="77777777" w:rsidTr="007975A6">
        <w:tc>
          <w:tcPr>
            <w:tcW w:w="4025" w:type="dxa"/>
          </w:tcPr>
          <w:p w14:paraId="4ED42C02" w14:textId="77777777" w:rsidR="00286A88" w:rsidRPr="006E6B22" w:rsidRDefault="00046273" w:rsidP="00046273">
            <w:pPr>
              <w:spacing w:before="60" w:line="240" w:lineRule="auto"/>
              <w:rPr>
                <w:rFonts w:cs="Arial"/>
                <w:color w:val="auto"/>
                <w:szCs w:val="18"/>
              </w:rPr>
            </w:pPr>
            <w:r>
              <w:rPr>
                <w:rFonts w:cs="Arial"/>
                <w:color w:val="auto"/>
                <w:szCs w:val="18"/>
              </w:rPr>
              <w:t>(b</w:t>
            </w:r>
            <w:r w:rsidR="00286A88" w:rsidRPr="006E6B22">
              <w:rPr>
                <w:rFonts w:cs="Arial"/>
                <w:color w:val="auto"/>
                <w:szCs w:val="18"/>
              </w:rPr>
              <w:t>roiler* NOT “broiler breeder</w:t>
            </w:r>
            <w:r>
              <w:rPr>
                <w:rFonts w:cs="Arial"/>
                <w:color w:val="auto"/>
                <w:szCs w:val="18"/>
              </w:rPr>
              <w:t>”</w:t>
            </w:r>
            <w:r w:rsidR="00286A88" w:rsidRPr="006E6B22">
              <w:rPr>
                <w:rFonts w:cs="Arial"/>
                <w:color w:val="auto"/>
                <w:szCs w:val="18"/>
              </w:rPr>
              <w:t>) AND (peck* OR beak*)</w:t>
            </w:r>
          </w:p>
        </w:tc>
        <w:tc>
          <w:tcPr>
            <w:tcW w:w="1020" w:type="dxa"/>
          </w:tcPr>
          <w:p w14:paraId="3CA91B13" w14:textId="77777777" w:rsidR="00286A88" w:rsidRPr="006E6B22" w:rsidRDefault="00286A88" w:rsidP="006E6B22">
            <w:pPr>
              <w:spacing w:before="60" w:line="240" w:lineRule="auto"/>
              <w:rPr>
                <w:rFonts w:cs="Arial"/>
                <w:color w:val="auto"/>
                <w:szCs w:val="18"/>
              </w:rPr>
            </w:pPr>
            <w:r w:rsidRPr="006E6B22">
              <w:rPr>
                <w:rFonts w:cs="Arial"/>
                <w:color w:val="auto"/>
                <w:szCs w:val="18"/>
              </w:rPr>
              <w:t>165</w:t>
            </w:r>
          </w:p>
        </w:tc>
        <w:tc>
          <w:tcPr>
            <w:tcW w:w="1020" w:type="dxa"/>
          </w:tcPr>
          <w:p w14:paraId="3E807348" w14:textId="77777777" w:rsidR="00286A88" w:rsidRPr="006E6B22" w:rsidRDefault="00286A88" w:rsidP="006E6B22">
            <w:pPr>
              <w:spacing w:before="60" w:line="240" w:lineRule="auto"/>
              <w:rPr>
                <w:rFonts w:cs="Arial"/>
                <w:color w:val="auto"/>
                <w:szCs w:val="18"/>
              </w:rPr>
            </w:pPr>
            <w:r w:rsidRPr="006E6B22">
              <w:rPr>
                <w:rFonts w:cs="Arial"/>
                <w:color w:val="auto"/>
                <w:szCs w:val="18"/>
              </w:rPr>
              <w:t>5</w:t>
            </w:r>
          </w:p>
        </w:tc>
        <w:tc>
          <w:tcPr>
            <w:tcW w:w="3889" w:type="dxa"/>
          </w:tcPr>
          <w:p w14:paraId="60D360A7" w14:textId="77777777" w:rsidR="00286A88" w:rsidRPr="006E6B22" w:rsidRDefault="00286A88" w:rsidP="006E6B22">
            <w:pPr>
              <w:spacing w:before="60" w:line="240" w:lineRule="auto"/>
              <w:rPr>
                <w:rFonts w:cs="Arial"/>
                <w:color w:val="auto"/>
                <w:szCs w:val="18"/>
              </w:rPr>
            </w:pPr>
            <w:r w:rsidRPr="006E6B22">
              <w:rPr>
                <w:rFonts w:cs="Arial"/>
                <w:color w:val="auto"/>
                <w:szCs w:val="18"/>
              </w:rPr>
              <w:t>Mainly to do with specific diet and nutrition studies</w:t>
            </w:r>
          </w:p>
        </w:tc>
      </w:tr>
      <w:tr w:rsidR="00286A88" w:rsidRPr="00286A88" w14:paraId="58B315D5" w14:textId="77777777" w:rsidTr="007975A6">
        <w:tc>
          <w:tcPr>
            <w:tcW w:w="4025" w:type="dxa"/>
          </w:tcPr>
          <w:p w14:paraId="4F1DBD2D" w14:textId="77777777" w:rsidR="00286A88" w:rsidRPr="006E6B22" w:rsidRDefault="00046273" w:rsidP="00046273">
            <w:pPr>
              <w:spacing w:before="60" w:line="240" w:lineRule="auto"/>
              <w:rPr>
                <w:rFonts w:cs="Arial"/>
                <w:color w:val="auto"/>
                <w:szCs w:val="18"/>
              </w:rPr>
            </w:pPr>
            <w:r>
              <w:rPr>
                <w:rFonts w:cs="Arial"/>
                <w:color w:val="auto"/>
                <w:szCs w:val="18"/>
              </w:rPr>
              <w:t>(b</w:t>
            </w:r>
            <w:r w:rsidR="00286A88" w:rsidRPr="006E6B22">
              <w:rPr>
                <w:rFonts w:cs="Arial"/>
                <w:color w:val="auto"/>
                <w:szCs w:val="18"/>
              </w:rPr>
              <w:t>roiler* NOT “broiler breeder</w:t>
            </w:r>
            <w:r>
              <w:rPr>
                <w:rFonts w:cs="Arial"/>
                <w:color w:val="auto"/>
                <w:szCs w:val="18"/>
              </w:rPr>
              <w:t>”</w:t>
            </w:r>
            <w:r w:rsidR="00286A88" w:rsidRPr="006E6B22">
              <w:rPr>
                <w:rFonts w:cs="Arial"/>
                <w:color w:val="auto"/>
                <w:szCs w:val="18"/>
              </w:rPr>
              <w:t>) AND “hock burn”</w:t>
            </w:r>
          </w:p>
        </w:tc>
        <w:tc>
          <w:tcPr>
            <w:tcW w:w="1020" w:type="dxa"/>
          </w:tcPr>
          <w:p w14:paraId="42EF4E99" w14:textId="77777777" w:rsidR="00286A88" w:rsidRPr="006E6B22" w:rsidRDefault="00286A88" w:rsidP="006E6B22">
            <w:pPr>
              <w:spacing w:before="60" w:line="240" w:lineRule="auto"/>
              <w:rPr>
                <w:rFonts w:cs="Arial"/>
                <w:color w:val="auto"/>
                <w:szCs w:val="18"/>
              </w:rPr>
            </w:pPr>
            <w:r w:rsidRPr="006E6B22">
              <w:rPr>
                <w:rFonts w:cs="Arial"/>
                <w:color w:val="auto"/>
                <w:szCs w:val="18"/>
              </w:rPr>
              <w:t>60</w:t>
            </w:r>
          </w:p>
        </w:tc>
        <w:tc>
          <w:tcPr>
            <w:tcW w:w="1020" w:type="dxa"/>
          </w:tcPr>
          <w:p w14:paraId="71A728F5" w14:textId="77777777" w:rsidR="00286A88" w:rsidRPr="006E6B22" w:rsidRDefault="00286A88" w:rsidP="006E6B22">
            <w:pPr>
              <w:spacing w:before="60" w:line="240" w:lineRule="auto"/>
              <w:rPr>
                <w:rFonts w:cs="Arial"/>
                <w:color w:val="auto"/>
                <w:szCs w:val="18"/>
              </w:rPr>
            </w:pPr>
            <w:r w:rsidRPr="006E6B22">
              <w:rPr>
                <w:rFonts w:cs="Arial"/>
                <w:color w:val="auto"/>
                <w:szCs w:val="18"/>
              </w:rPr>
              <w:t>0</w:t>
            </w:r>
          </w:p>
        </w:tc>
        <w:tc>
          <w:tcPr>
            <w:tcW w:w="3889" w:type="dxa"/>
          </w:tcPr>
          <w:p w14:paraId="34DB35FE" w14:textId="77777777" w:rsidR="00286A88" w:rsidRPr="006E6B22" w:rsidRDefault="00286A88" w:rsidP="006E6B22">
            <w:pPr>
              <w:spacing w:before="60" w:line="240" w:lineRule="auto"/>
              <w:rPr>
                <w:rFonts w:cs="Arial"/>
                <w:color w:val="auto"/>
                <w:szCs w:val="18"/>
              </w:rPr>
            </w:pPr>
            <w:r w:rsidRPr="006E6B22">
              <w:rPr>
                <w:rFonts w:cs="Arial"/>
                <w:color w:val="auto"/>
                <w:szCs w:val="18"/>
              </w:rPr>
              <w:t>No additional relevant papers</w:t>
            </w:r>
          </w:p>
        </w:tc>
      </w:tr>
      <w:tr w:rsidR="00286A88" w:rsidRPr="00286A88" w14:paraId="6827F16C" w14:textId="77777777" w:rsidTr="007975A6">
        <w:tc>
          <w:tcPr>
            <w:tcW w:w="4025" w:type="dxa"/>
          </w:tcPr>
          <w:p w14:paraId="69596DEF" w14:textId="77777777" w:rsidR="00286A88" w:rsidRPr="006E6B22" w:rsidRDefault="00046273" w:rsidP="006E6B22">
            <w:pPr>
              <w:spacing w:before="60" w:line="240" w:lineRule="auto"/>
              <w:rPr>
                <w:rFonts w:cs="Arial"/>
                <w:color w:val="auto"/>
                <w:szCs w:val="18"/>
              </w:rPr>
            </w:pPr>
            <w:r>
              <w:rPr>
                <w:rFonts w:cs="Arial"/>
                <w:color w:val="auto"/>
                <w:szCs w:val="18"/>
              </w:rPr>
              <w:t>(broiler* NOT “broiler breeder”</w:t>
            </w:r>
            <w:r w:rsidR="00286A88" w:rsidRPr="006E6B22">
              <w:rPr>
                <w:rFonts w:cs="Arial"/>
                <w:color w:val="auto"/>
                <w:szCs w:val="18"/>
              </w:rPr>
              <w:t>) AND (“breast blister” OR “breast burn”)</w:t>
            </w:r>
          </w:p>
        </w:tc>
        <w:tc>
          <w:tcPr>
            <w:tcW w:w="1020" w:type="dxa"/>
          </w:tcPr>
          <w:p w14:paraId="26DB56B2" w14:textId="77777777" w:rsidR="00286A88" w:rsidRPr="006E6B22" w:rsidRDefault="00286A88" w:rsidP="006E6B22">
            <w:pPr>
              <w:spacing w:before="60" w:line="240" w:lineRule="auto"/>
              <w:rPr>
                <w:rFonts w:cs="Arial"/>
                <w:color w:val="auto"/>
                <w:szCs w:val="18"/>
              </w:rPr>
            </w:pPr>
            <w:r w:rsidRPr="006E6B22">
              <w:rPr>
                <w:rFonts w:cs="Arial"/>
                <w:color w:val="auto"/>
                <w:szCs w:val="18"/>
              </w:rPr>
              <w:t>15</w:t>
            </w:r>
          </w:p>
        </w:tc>
        <w:tc>
          <w:tcPr>
            <w:tcW w:w="1020" w:type="dxa"/>
          </w:tcPr>
          <w:p w14:paraId="4799C195" w14:textId="77777777" w:rsidR="00286A88" w:rsidRPr="006E6B22" w:rsidRDefault="00286A88" w:rsidP="006E6B22">
            <w:pPr>
              <w:spacing w:before="60" w:line="240" w:lineRule="auto"/>
              <w:rPr>
                <w:rFonts w:cs="Arial"/>
                <w:color w:val="auto"/>
                <w:szCs w:val="18"/>
              </w:rPr>
            </w:pPr>
            <w:r w:rsidRPr="006E6B22">
              <w:rPr>
                <w:rFonts w:cs="Arial"/>
                <w:color w:val="auto"/>
                <w:szCs w:val="18"/>
              </w:rPr>
              <w:t>0</w:t>
            </w:r>
          </w:p>
        </w:tc>
        <w:tc>
          <w:tcPr>
            <w:tcW w:w="3889" w:type="dxa"/>
          </w:tcPr>
          <w:p w14:paraId="70A43F94" w14:textId="77777777" w:rsidR="00286A88" w:rsidRPr="006E6B22" w:rsidRDefault="00286A88" w:rsidP="006E6B22">
            <w:pPr>
              <w:spacing w:before="60" w:line="240" w:lineRule="auto"/>
              <w:rPr>
                <w:rFonts w:cs="Arial"/>
                <w:color w:val="auto"/>
                <w:szCs w:val="18"/>
              </w:rPr>
            </w:pPr>
            <w:r w:rsidRPr="006E6B22">
              <w:rPr>
                <w:rFonts w:cs="Arial"/>
                <w:color w:val="auto"/>
                <w:szCs w:val="18"/>
              </w:rPr>
              <w:t>No additional relevant papers</w:t>
            </w:r>
          </w:p>
        </w:tc>
      </w:tr>
      <w:tr w:rsidR="00286A88" w:rsidRPr="00286A88" w14:paraId="348F71BA" w14:textId="77777777" w:rsidTr="007975A6">
        <w:tc>
          <w:tcPr>
            <w:tcW w:w="4025" w:type="dxa"/>
          </w:tcPr>
          <w:p w14:paraId="5F65A25C" w14:textId="77777777" w:rsidR="00286A88" w:rsidRPr="006E6B22" w:rsidRDefault="00046273" w:rsidP="006E6B22">
            <w:pPr>
              <w:spacing w:before="60" w:line="240" w:lineRule="auto"/>
              <w:rPr>
                <w:rFonts w:cs="Arial"/>
                <w:color w:val="auto"/>
                <w:szCs w:val="18"/>
              </w:rPr>
            </w:pPr>
            <w:r>
              <w:rPr>
                <w:rFonts w:cs="Arial"/>
                <w:color w:val="auto"/>
                <w:szCs w:val="18"/>
              </w:rPr>
              <w:t>(broiler* NOT “broiler breeder”</w:t>
            </w:r>
            <w:r w:rsidR="00286A88" w:rsidRPr="006E6B22">
              <w:rPr>
                <w:rFonts w:cs="Arial"/>
                <w:color w:val="auto"/>
                <w:szCs w:val="18"/>
              </w:rPr>
              <w:t>) AND (lame* OR “leg weakness” OR “leg health”)</w:t>
            </w:r>
          </w:p>
        </w:tc>
        <w:tc>
          <w:tcPr>
            <w:tcW w:w="1020" w:type="dxa"/>
          </w:tcPr>
          <w:p w14:paraId="5912935D" w14:textId="77777777" w:rsidR="00286A88" w:rsidRPr="006E6B22" w:rsidRDefault="00286A88" w:rsidP="006E6B22">
            <w:pPr>
              <w:spacing w:before="60" w:line="240" w:lineRule="auto"/>
              <w:rPr>
                <w:rFonts w:cs="Arial"/>
                <w:color w:val="auto"/>
                <w:szCs w:val="18"/>
              </w:rPr>
            </w:pPr>
            <w:r w:rsidRPr="006E6B22">
              <w:rPr>
                <w:rFonts w:cs="Arial"/>
                <w:color w:val="auto"/>
                <w:szCs w:val="18"/>
              </w:rPr>
              <w:t>272</w:t>
            </w:r>
          </w:p>
        </w:tc>
        <w:tc>
          <w:tcPr>
            <w:tcW w:w="1020" w:type="dxa"/>
          </w:tcPr>
          <w:p w14:paraId="38AC3EDC" w14:textId="77777777" w:rsidR="00286A88" w:rsidRPr="006E6B22" w:rsidRDefault="00286A88" w:rsidP="006E6B22">
            <w:pPr>
              <w:spacing w:before="60" w:line="240" w:lineRule="auto"/>
              <w:rPr>
                <w:rFonts w:cs="Arial"/>
                <w:color w:val="auto"/>
                <w:szCs w:val="18"/>
              </w:rPr>
            </w:pPr>
            <w:r w:rsidRPr="006E6B22">
              <w:rPr>
                <w:rFonts w:cs="Arial"/>
                <w:color w:val="auto"/>
                <w:szCs w:val="18"/>
              </w:rPr>
              <w:t>16</w:t>
            </w:r>
          </w:p>
        </w:tc>
        <w:tc>
          <w:tcPr>
            <w:tcW w:w="3889" w:type="dxa"/>
          </w:tcPr>
          <w:p w14:paraId="42F4633A" w14:textId="77777777" w:rsidR="00286A88" w:rsidRPr="006E6B22" w:rsidRDefault="00286A88" w:rsidP="006E6B22">
            <w:pPr>
              <w:spacing w:before="60" w:line="240" w:lineRule="auto"/>
              <w:rPr>
                <w:rFonts w:cs="Arial"/>
                <w:color w:val="auto"/>
                <w:szCs w:val="18"/>
              </w:rPr>
            </w:pPr>
          </w:p>
        </w:tc>
      </w:tr>
      <w:tr w:rsidR="00286A88" w:rsidRPr="00286A88" w14:paraId="36FD2BAF" w14:textId="77777777" w:rsidTr="007975A6">
        <w:tc>
          <w:tcPr>
            <w:tcW w:w="4025" w:type="dxa"/>
          </w:tcPr>
          <w:p w14:paraId="7E0AB53F" w14:textId="77777777" w:rsidR="00286A88" w:rsidRPr="006E6B22" w:rsidRDefault="00046273" w:rsidP="006E6B22">
            <w:pPr>
              <w:spacing w:before="60" w:line="240" w:lineRule="auto"/>
              <w:rPr>
                <w:rFonts w:cs="Arial"/>
                <w:color w:val="auto"/>
                <w:szCs w:val="18"/>
              </w:rPr>
            </w:pPr>
            <w:r>
              <w:rPr>
                <w:rFonts w:cs="Arial"/>
                <w:color w:val="auto"/>
                <w:szCs w:val="18"/>
              </w:rPr>
              <w:t>(broiler* NOT “broiler breeder”</w:t>
            </w:r>
            <w:r w:rsidR="00286A88" w:rsidRPr="006E6B22">
              <w:rPr>
                <w:rFonts w:cs="Arial"/>
                <w:color w:val="auto"/>
                <w:szCs w:val="18"/>
              </w:rPr>
              <w:t>) AND *dermatitis</w:t>
            </w:r>
          </w:p>
        </w:tc>
        <w:tc>
          <w:tcPr>
            <w:tcW w:w="1020" w:type="dxa"/>
          </w:tcPr>
          <w:p w14:paraId="7BD8396E" w14:textId="77777777" w:rsidR="00286A88" w:rsidRPr="006E6B22" w:rsidRDefault="00286A88" w:rsidP="006E6B22">
            <w:pPr>
              <w:spacing w:before="60" w:line="240" w:lineRule="auto"/>
              <w:rPr>
                <w:rFonts w:cs="Arial"/>
                <w:color w:val="auto"/>
                <w:szCs w:val="18"/>
              </w:rPr>
            </w:pPr>
            <w:r w:rsidRPr="006E6B22">
              <w:rPr>
                <w:rFonts w:cs="Arial"/>
                <w:color w:val="auto"/>
                <w:szCs w:val="18"/>
              </w:rPr>
              <w:t>310</w:t>
            </w:r>
          </w:p>
        </w:tc>
        <w:tc>
          <w:tcPr>
            <w:tcW w:w="1020" w:type="dxa"/>
          </w:tcPr>
          <w:p w14:paraId="3120216E" w14:textId="77777777" w:rsidR="00286A88" w:rsidRPr="006E6B22" w:rsidRDefault="00286A88" w:rsidP="006E6B22">
            <w:pPr>
              <w:spacing w:before="60" w:line="240" w:lineRule="auto"/>
              <w:rPr>
                <w:rFonts w:cs="Arial"/>
                <w:color w:val="auto"/>
                <w:szCs w:val="18"/>
              </w:rPr>
            </w:pPr>
            <w:r w:rsidRPr="006E6B22">
              <w:rPr>
                <w:rFonts w:cs="Arial"/>
                <w:color w:val="auto"/>
                <w:szCs w:val="18"/>
              </w:rPr>
              <w:t>7</w:t>
            </w:r>
          </w:p>
        </w:tc>
        <w:tc>
          <w:tcPr>
            <w:tcW w:w="3889" w:type="dxa"/>
          </w:tcPr>
          <w:p w14:paraId="38AF452A" w14:textId="77777777" w:rsidR="00286A88" w:rsidRPr="006E6B22" w:rsidRDefault="00286A88" w:rsidP="006E6B22">
            <w:pPr>
              <w:spacing w:before="60" w:line="240" w:lineRule="auto"/>
              <w:rPr>
                <w:rFonts w:cs="Arial"/>
                <w:color w:val="auto"/>
                <w:szCs w:val="18"/>
              </w:rPr>
            </w:pPr>
          </w:p>
        </w:tc>
      </w:tr>
      <w:tr w:rsidR="00286A88" w:rsidRPr="00286A88" w14:paraId="07FBF207" w14:textId="77777777" w:rsidTr="007975A6">
        <w:tc>
          <w:tcPr>
            <w:tcW w:w="4025" w:type="dxa"/>
          </w:tcPr>
          <w:p w14:paraId="2981A0BB" w14:textId="77777777" w:rsidR="00286A88" w:rsidRPr="006E6B22" w:rsidRDefault="00046273" w:rsidP="006E6B22">
            <w:pPr>
              <w:spacing w:before="60" w:line="240" w:lineRule="auto"/>
              <w:rPr>
                <w:rFonts w:cs="Arial"/>
                <w:color w:val="auto"/>
                <w:szCs w:val="18"/>
              </w:rPr>
            </w:pPr>
            <w:r>
              <w:rPr>
                <w:rFonts w:cs="Arial"/>
                <w:color w:val="auto"/>
                <w:szCs w:val="18"/>
              </w:rPr>
              <w:t>(broiler* NOT “broiler breeder”</w:t>
            </w:r>
            <w:r w:rsidR="00A84F28">
              <w:rPr>
                <w:rFonts w:cs="Arial"/>
                <w:color w:val="auto"/>
                <w:szCs w:val="18"/>
              </w:rPr>
              <w:t xml:space="preserve">) AND “tibial </w:t>
            </w:r>
            <w:r w:rsidR="00286A88" w:rsidRPr="006E6B22">
              <w:rPr>
                <w:rFonts w:cs="Arial"/>
                <w:color w:val="auto"/>
                <w:szCs w:val="18"/>
              </w:rPr>
              <w:t>dyschondroplasia”</w:t>
            </w:r>
          </w:p>
        </w:tc>
        <w:tc>
          <w:tcPr>
            <w:tcW w:w="1020" w:type="dxa"/>
          </w:tcPr>
          <w:p w14:paraId="6CFFFCB3" w14:textId="77777777" w:rsidR="00286A88" w:rsidRPr="006E6B22" w:rsidRDefault="00286A88" w:rsidP="006E6B22">
            <w:pPr>
              <w:spacing w:before="60" w:line="240" w:lineRule="auto"/>
              <w:rPr>
                <w:rFonts w:cs="Arial"/>
                <w:color w:val="auto"/>
                <w:szCs w:val="18"/>
              </w:rPr>
            </w:pPr>
            <w:r w:rsidRPr="006E6B22">
              <w:rPr>
                <w:rFonts w:cs="Arial"/>
                <w:color w:val="auto"/>
                <w:szCs w:val="18"/>
              </w:rPr>
              <w:t>28</w:t>
            </w:r>
          </w:p>
        </w:tc>
        <w:tc>
          <w:tcPr>
            <w:tcW w:w="1020" w:type="dxa"/>
          </w:tcPr>
          <w:p w14:paraId="338E45E8" w14:textId="77777777" w:rsidR="00286A88" w:rsidRPr="006E6B22" w:rsidRDefault="00286A88" w:rsidP="006E6B22">
            <w:pPr>
              <w:spacing w:before="60" w:line="240" w:lineRule="auto"/>
              <w:rPr>
                <w:rFonts w:cs="Arial"/>
                <w:color w:val="auto"/>
                <w:szCs w:val="18"/>
              </w:rPr>
            </w:pPr>
            <w:r w:rsidRPr="006E6B22">
              <w:rPr>
                <w:rFonts w:cs="Arial"/>
                <w:color w:val="auto"/>
                <w:szCs w:val="18"/>
              </w:rPr>
              <w:t>4</w:t>
            </w:r>
          </w:p>
        </w:tc>
        <w:tc>
          <w:tcPr>
            <w:tcW w:w="3889" w:type="dxa"/>
          </w:tcPr>
          <w:p w14:paraId="741C97E4" w14:textId="77777777" w:rsidR="00286A88" w:rsidRPr="006E6B22" w:rsidRDefault="00286A88" w:rsidP="006E6B22">
            <w:pPr>
              <w:spacing w:before="60" w:line="240" w:lineRule="auto"/>
              <w:rPr>
                <w:rFonts w:cs="Arial"/>
                <w:color w:val="auto"/>
                <w:szCs w:val="18"/>
              </w:rPr>
            </w:pPr>
          </w:p>
        </w:tc>
      </w:tr>
      <w:tr w:rsidR="00286A88" w:rsidRPr="00286A88" w14:paraId="74E3A263" w14:textId="77777777" w:rsidTr="007975A6">
        <w:tc>
          <w:tcPr>
            <w:tcW w:w="4025" w:type="dxa"/>
          </w:tcPr>
          <w:p w14:paraId="6780B51B" w14:textId="77777777" w:rsidR="00286A88" w:rsidRPr="006E6B22" w:rsidRDefault="00046273" w:rsidP="006E6B22">
            <w:pPr>
              <w:spacing w:before="60" w:line="240" w:lineRule="auto"/>
              <w:rPr>
                <w:rFonts w:cs="Arial"/>
                <w:color w:val="auto"/>
                <w:szCs w:val="18"/>
              </w:rPr>
            </w:pPr>
            <w:r>
              <w:rPr>
                <w:rFonts w:cs="Arial"/>
                <w:color w:val="auto"/>
                <w:szCs w:val="18"/>
              </w:rPr>
              <w:t>(broiler* NOT “broiler breeder”</w:t>
            </w:r>
            <w:r w:rsidR="00286A88" w:rsidRPr="006E6B22">
              <w:rPr>
                <w:rFonts w:cs="Arial"/>
                <w:color w:val="auto"/>
                <w:szCs w:val="18"/>
              </w:rPr>
              <w:t>) AND (ammonia OR “air quality”)</w:t>
            </w:r>
          </w:p>
        </w:tc>
        <w:tc>
          <w:tcPr>
            <w:tcW w:w="1020" w:type="dxa"/>
          </w:tcPr>
          <w:p w14:paraId="4FB0C059" w14:textId="77777777" w:rsidR="00286A88" w:rsidRPr="006E6B22" w:rsidRDefault="00286A88" w:rsidP="006E6B22">
            <w:pPr>
              <w:spacing w:before="60" w:line="240" w:lineRule="auto"/>
              <w:rPr>
                <w:rFonts w:cs="Arial"/>
                <w:color w:val="auto"/>
                <w:szCs w:val="18"/>
              </w:rPr>
            </w:pPr>
            <w:r w:rsidRPr="006E6B22">
              <w:rPr>
                <w:rFonts w:cs="Arial"/>
                <w:color w:val="auto"/>
                <w:szCs w:val="18"/>
              </w:rPr>
              <w:t>664</w:t>
            </w:r>
          </w:p>
        </w:tc>
        <w:tc>
          <w:tcPr>
            <w:tcW w:w="1020" w:type="dxa"/>
          </w:tcPr>
          <w:p w14:paraId="4ACFF39E" w14:textId="77777777" w:rsidR="00286A88" w:rsidRPr="006E6B22" w:rsidRDefault="00286A88" w:rsidP="006E6B22">
            <w:pPr>
              <w:spacing w:before="60" w:line="240" w:lineRule="auto"/>
              <w:rPr>
                <w:rFonts w:cs="Arial"/>
                <w:color w:val="auto"/>
                <w:szCs w:val="18"/>
              </w:rPr>
            </w:pPr>
            <w:r w:rsidRPr="006E6B22">
              <w:rPr>
                <w:rFonts w:cs="Arial"/>
                <w:color w:val="auto"/>
                <w:szCs w:val="18"/>
              </w:rPr>
              <w:t>6</w:t>
            </w:r>
          </w:p>
        </w:tc>
        <w:tc>
          <w:tcPr>
            <w:tcW w:w="3889" w:type="dxa"/>
          </w:tcPr>
          <w:p w14:paraId="26C1D3B6" w14:textId="77777777" w:rsidR="00286A88" w:rsidRPr="006E6B22" w:rsidRDefault="00286A88" w:rsidP="006E6B22">
            <w:pPr>
              <w:spacing w:before="60" w:line="240" w:lineRule="auto"/>
              <w:rPr>
                <w:rFonts w:cs="Arial"/>
                <w:color w:val="auto"/>
                <w:szCs w:val="18"/>
              </w:rPr>
            </w:pPr>
          </w:p>
        </w:tc>
      </w:tr>
      <w:tr w:rsidR="00286A88" w:rsidRPr="00286A88" w14:paraId="4D8627E2" w14:textId="77777777" w:rsidTr="007975A6">
        <w:tc>
          <w:tcPr>
            <w:tcW w:w="4025" w:type="dxa"/>
          </w:tcPr>
          <w:p w14:paraId="5BD9B5C9" w14:textId="77777777" w:rsidR="00286A88" w:rsidRPr="006E6B22" w:rsidRDefault="00046273" w:rsidP="006E6B22">
            <w:pPr>
              <w:spacing w:before="60" w:line="240" w:lineRule="auto"/>
              <w:rPr>
                <w:rFonts w:cs="Arial"/>
                <w:color w:val="auto"/>
                <w:szCs w:val="18"/>
              </w:rPr>
            </w:pPr>
            <w:r>
              <w:rPr>
                <w:rFonts w:cs="Arial"/>
                <w:color w:val="auto"/>
                <w:szCs w:val="18"/>
              </w:rPr>
              <w:t>(broiler* NOT “broiler breeder”</w:t>
            </w:r>
            <w:r w:rsidR="00286A88" w:rsidRPr="006E6B22">
              <w:rPr>
                <w:rFonts w:cs="Arial"/>
                <w:color w:val="auto"/>
                <w:szCs w:val="18"/>
              </w:rPr>
              <w:t>) AND pain</w:t>
            </w:r>
          </w:p>
        </w:tc>
        <w:tc>
          <w:tcPr>
            <w:tcW w:w="1020" w:type="dxa"/>
          </w:tcPr>
          <w:p w14:paraId="4A1FC9BE" w14:textId="77777777" w:rsidR="00286A88" w:rsidRPr="006E6B22" w:rsidRDefault="00286A88" w:rsidP="006E6B22">
            <w:pPr>
              <w:spacing w:before="60" w:line="240" w:lineRule="auto"/>
              <w:rPr>
                <w:rFonts w:cs="Arial"/>
                <w:color w:val="auto"/>
                <w:szCs w:val="18"/>
              </w:rPr>
            </w:pPr>
            <w:r w:rsidRPr="006E6B22">
              <w:rPr>
                <w:rFonts w:cs="Arial"/>
                <w:color w:val="auto"/>
                <w:szCs w:val="18"/>
              </w:rPr>
              <w:t>76</w:t>
            </w:r>
          </w:p>
        </w:tc>
        <w:tc>
          <w:tcPr>
            <w:tcW w:w="1020" w:type="dxa"/>
          </w:tcPr>
          <w:p w14:paraId="408B632D" w14:textId="77777777" w:rsidR="00286A88" w:rsidRPr="006E6B22" w:rsidRDefault="00286A88" w:rsidP="006E6B22">
            <w:pPr>
              <w:spacing w:before="60" w:line="240" w:lineRule="auto"/>
              <w:rPr>
                <w:rFonts w:cs="Arial"/>
                <w:color w:val="auto"/>
                <w:szCs w:val="18"/>
              </w:rPr>
            </w:pPr>
            <w:r w:rsidRPr="006E6B22">
              <w:rPr>
                <w:rFonts w:cs="Arial"/>
                <w:color w:val="auto"/>
                <w:szCs w:val="18"/>
              </w:rPr>
              <w:t>4</w:t>
            </w:r>
          </w:p>
        </w:tc>
        <w:tc>
          <w:tcPr>
            <w:tcW w:w="3889" w:type="dxa"/>
          </w:tcPr>
          <w:p w14:paraId="3E68976E" w14:textId="77777777" w:rsidR="00286A88" w:rsidRPr="006E6B22" w:rsidRDefault="00286A88" w:rsidP="006E6B22">
            <w:pPr>
              <w:spacing w:before="60" w:line="240" w:lineRule="auto"/>
              <w:rPr>
                <w:rFonts w:cs="Arial"/>
                <w:color w:val="auto"/>
                <w:szCs w:val="18"/>
              </w:rPr>
            </w:pPr>
          </w:p>
        </w:tc>
      </w:tr>
      <w:tr w:rsidR="00286A88" w:rsidRPr="00286A88" w14:paraId="3F3D74DF" w14:textId="77777777" w:rsidTr="007975A6">
        <w:tc>
          <w:tcPr>
            <w:tcW w:w="4025" w:type="dxa"/>
          </w:tcPr>
          <w:p w14:paraId="2EB4E989" w14:textId="77777777" w:rsidR="00286A88" w:rsidRPr="006E6B22" w:rsidRDefault="00046273" w:rsidP="006E6B22">
            <w:pPr>
              <w:spacing w:before="60" w:line="240" w:lineRule="auto"/>
              <w:rPr>
                <w:rFonts w:cs="Arial"/>
                <w:color w:val="auto"/>
                <w:szCs w:val="18"/>
              </w:rPr>
            </w:pPr>
            <w:r>
              <w:rPr>
                <w:rFonts w:cs="Arial"/>
                <w:color w:val="auto"/>
                <w:szCs w:val="18"/>
              </w:rPr>
              <w:t>(b</w:t>
            </w:r>
            <w:r w:rsidR="00286A88" w:rsidRPr="006E6B22">
              <w:rPr>
                <w:rFonts w:cs="Arial"/>
                <w:color w:val="auto"/>
                <w:szCs w:val="18"/>
              </w:rPr>
              <w:t>roiler*</w:t>
            </w:r>
            <w:r>
              <w:rPr>
                <w:rFonts w:cs="Arial"/>
                <w:color w:val="auto"/>
                <w:szCs w:val="18"/>
              </w:rPr>
              <w:t xml:space="preserve"> NOT “broiler breeder”</w:t>
            </w:r>
            <w:r w:rsidR="00286A88" w:rsidRPr="006E6B22">
              <w:rPr>
                <w:rFonts w:cs="Arial"/>
                <w:color w:val="auto"/>
                <w:szCs w:val="18"/>
              </w:rPr>
              <w:t>) AND (thirst* OR hunger OR hungry)</w:t>
            </w:r>
          </w:p>
        </w:tc>
        <w:tc>
          <w:tcPr>
            <w:tcW w:w="1020" w:type="dxa"/>
          </w:tcPr>
          <w:p w14:paraId="6D6FFDD7" w14:textId="77777777" w:rsidR="00286A88" w:rsidRPr="006E6B22" w:rsidRDefault="00286A88" w:rsidP="006E6B22">
            <w:pPr>
              <w:spacing w:before="60" w:line="240" w:lineRule="auto"/>
              <w:rPr>
                <w:rFonts w:cs="Arial"/>
                <w:color w:val="auto"/>
                <w:szCs w:val="18"/>
              </w:rPr>
            </w:pPr>
            <w:r w:rsidRPr="006E6B22">
              <w:rPr>
                <w:rFonts w:cs="Arial"/>
                <w:color w:val="auto"/>
                <w:szCs w:val="18"/>
              </w:rPr>
              <w:t>27</w:t>
            </w:r>
          </w:p>
        </w:tc>
        <w:tc>
          <w:tcPr>
            <w:tcW w:w="1020" w:type="dxa"/>
          </w:tcPr>
          <w:p w14:paraId="7C6A0F79" w14:textId="77777777" w:rsidR="00286A88" w:rsidRPr="006E6B22" w:rsidRDefault="00286A88" w:rsidP="006E6B22">
            <w:pPr>
              <w:spacing w:before="60" w:line="240" w:lineRule="auto"/>
              <w:rPr>
                <w:rFonts w:cs="Arial"/>
                <w:color w:val="auto"/>
                <w:szCs w:val="18"/>
              </w:rPr>
            </w:pPr>
            <w:r w:rsidRPr="006E6B22">
              <w:rPr>
                <w:rFonts w:cs="Arial"/>
                <w:color w:val="auto"/>
                <w:szCs w:val="18"/>
              </w:rPr>
              <w:t>0</w:t>
            </w:r>
          </w:p>
        </w:tc>
        <w:tc>
          <w:tcPr>
            <w:tcW w:w="3889" w:type="dxa"/>
          </w:tcPr>
          <w:p w14:paraId="0BE0843B" w14:textId="77777777" w:rsidR="00286A88" w:rsidRPr="006E6B22" w:rsidRDefault="00286A88" w:rsidP="006E6B22">
            <w:pPr>
              <w:spacing w:before="60" w:line="240" w:lineRule="auto"/>
              <w:rPr>
                <w:rFonts w:cs="Arial"/>
                <w:color w:val="auto"/>
                <w:szCs w:val="18"/>
              </w:rPr>
            </w:pPr>
          </w:p>
        </w:tc>
      </w:tr>
      <w:tr w:rsidR="00286A88" w:rsidRPr="00286A88" w14:paraId="18548940" w14:textId="77777777" w:rsidTr="007975A6">
        <w:tc>
          <w:tcPr>
            <w:tcW w:w="4025" w:type="dxa"/>
          </w:tcPr>
          <w:p w14:paraId="33B953A6" w14:textId="77777777" w:rsidR="00286A88" w:rsidRPr="006E6B22" w:rsidRDefault="00046273" w:rsidP="006E6B22">
            <w:pPr>
              <w:spacing w:before="60" w:line="240" w:lineRule="auto"/>
              <w:rPr>
                <w:rFonts w:cs="Arial"/>
                <w:color w:val="auto"/>
                <w:szCs w:val="18"/>
              </w:rPr>
            </w:pPr>
            <w:r>
              <w:rPr>
                <w:rFonts w:cs="Arial"/>
                <w:color w:val="auto"/>
                <w:szCs w:val="18"/>
              </w:rPr>
              <w:t>(broiler* NOT “broiler breeder”</w:t>
            </w:r>
            <w:r w:rsidR="00286A88" w:rsidRPr="006E6B22">
              <w:rPr>
                <w:rFonts w:cs="Arial"/>
                <w:color w:val="auto"/>
                <w:szCs w:val="18"/>
              </w:rPr>
              <w:t>) AND light*</w:t>
            </w:r>
          </w:p>
        </w:tc>
        <w:tc>
          <w:tcPr>
            <w:tcW w:w="1020" w:type="dxa"/>
          </w:tcPr>
          <w:p w14:paraId="67CAC977" w14:textId="77777777" w:rsidR="00286A88" w:rsidRPr="006E6B22" w:rsidRDefault="00286A88" w:rsidP="006E6B22">
            <w:pPr>
              <w:spacing w:before="60" w:line="240" w:lineRule="auto"/>
              <w:rPr>
                <w:rFonts w:cs="Arial"/>
                <w:color w:val="auto"/>
                <w:szCs w:val="18"/>
              </w:rPr>
            </w:pPr>
            <w:r w:rsidRPr="006E6B22">
              <w:rPr>
                <w:rFonts w:cs="Arial"/>
                <w:color w:val="auto"/>
                <w:szCs w:val="18"/>
              </w:rPr>
              <w:t>946</w:t>
            </w:r>
          </w:p>
        </w:tc>
        <w:tc>
          <w:tcPr>
            <w:tcW w:w="1020" w:type="dxa"/>
          </w:tcPr>
          <w:p w14:paraId="699FC2FA" w14:textId="77777777" w:rsidR="00286A88" w:rsidRPr="006E6B22" w:rsidRDefault="00286A88" w:rsidP="006E6B22">
            <w:pPr>
              <w:spacing w:before="60" w:line="240" w:lineRule="auto"/>
              <w:rPr>
                <w:rFonts w:cs="Arial"/>
                <w:color w:val="auto"/>
                <w:szCs w:val="18"/>
              </w:rPr>
            </w:pPr>
            <w:r w:rsidRPr="006E6B22">
              <w:rPr>
                <w:rFonts w:cs="Arial"/>
                <w:color w:val="auto"/>
                <w:szCs w:val="18"/>
              </w:rPr>
              <w:t>6</w:t>
            </w:r>
          </w:p>
        </w:tc>
        <w:tc>
          <w:tcPr>
            <w:tcW w:w="3889" w:type="dxa"/>
          </w:tcPr>
          <w:p w14:paraId="3107EE7A" w14:textId="77777777" w:rsidR="00286A88" w:rsidRPr="006E6B22" w:rsidRDefault="00286A88" w:rsidP="006E6B22">
            <w:pPr>
              <w:spacing w:before="60" w:line="240" w:lineRule="auto"/>
              <w:rPr>
                <w:rFonts w:cs="Arial"/>
                <w:color w:val="auto"/>
                <w:szCs w:val="18"/>
              </w:rPr>
            </w:pPr>
          </w:p>
        </w:tc>
      </w:tr>
      <w:tr w:rsidR="00286A88" w:rsidRPr="00286A88" w14:paraId="6D5AA03B" w14:textId="77777777" w:rsidTr="007975A6">
        <w:tc>
          <w:tcPr>
            <w:tcW w:w="4025" w:type="dxa"/>
          </w:tcPr>
          <w:p w14:paraId="7E22284C" w14:textId="77777777" w:rsidR="00286A88" w:rsidRPr="006E6B22" w:rsidRDefault="00046273" w:rsidP="006E6B22">
            <w:pPr>
              <w:spacing w:before="60" w:line="240" w:lineRule="auto"/>
              <w:rPr>
                <w:rFonts w:cs="Arial"/>
                <w:color w:val="auto"/>
                <w:szCs w:val="18"/>
              </w:rPr>
            </w:pPr>
            <w:r>
              <w:rPr>
                <w:rFonts w:cs="Arial"/>
                <w:color w:val="auto"/>
                <w:szCs w:val="18"/>
              </w:rPr>
              <w:t>(broiler* NOT “broiler breeder”</w:t>
            </w:r>
            <w:r w:rsidR="00286A88" w:rsidRPr="006E6B22">
              <w:rPr>
                <w:rFonts w:cs="Arial"/>
                <w:color w:val="auto"/>
                <w:szCs w:val="18"/>
              </w:rPr>
              <w:t>) AND (aggressi* OR “adverse behaviour” OR “detrimental behaviour”)</w:t>
            </w:r>
          </w:p>
        </w:tc>
        <w:tc>
          <w:tcPr>
            <w:tcW w:w="1020" w:type="dxa"/>
          </w:tcPr>
          <w:p w14:paraId="7F70F9D2" w14:textId="77777777" w:rsidR="00286A88" w:rsidRPr="006E6B22" w:rsidRDefault="00286A88" w:rsidP="006E6B22">
            <w:pPr>
              <w:spacing w:before="60" w:line="240" w:lineRule="auto"/>
              <w:rPr>
                <w:rFonts w:cs="Arial"/>
                <w:color w:val="auto"/>
                <w:szCs w:val="18"/>
              </w:rPr>
            </w:pPr>
            <w:r w:rsidRPr="006E6B22">
              <w:rPr>
                <w:rFonts w:cs="Arial"/>
                <w:color w:val="auto"/>
                <w:szCs w:val="18"/>
              </w:rPr>
              <w:t>46</w:t>
            </w:r>
          </w:p>
        </w:tc>
        <w:tc>
          <w:tcPr>
            <w:tcW w:w="1020" w:type="dxa"/>
          </w:tcPr>
          <w:p w14:paraId="2C2CE434" w14:textId="77777777" w:rsidR="00286A88" w:rsidRPr="006E6B22" w:rsidRDefault="00286A88" w:rsidP="006E6B22">
            <w:pPr>
              <w:spacing w:before="60" w:line="240" w:lineRule="auto"/>
              <w:rPr>
                <w:rFonts w:cs="Arial"/>
                <w:color w:val="auto"/>
                <w:szCs w:val="18"/>
              </w:rPr>
            </w:pPr>
            <w:r w:rsidRPr="006E6B22">
              <w:rPr>
                <w:rFonts w:cs="Arial"/>
                <w:color w:val="auto"/>
                <w:szCs w:val="18"/>
              </w:rPr>
              <w:t>1</w:t>
            </w:r>
          </w:p>
        </w:tc>
        <w:tc>
          <w:tcPr>
            <w:tcW w:w="3889" w:type="dxa"/>
          </w:tcPr>
          <w:p w14:paraId="513B5C8E" w14:textId="77777777" w:rsidR="00286A88" w:rsidRPr="006E6B22" w:rsidRDefault="00286A88" w:rsidP="006E6B22">
            <w:pPr>
              <w:spacing w:before="60" w:line="240" w:lineRule="auto"/>
              <w:rPr>
                <w:rFonts w:cs="Arial"/>
                <w:color w:val="auto"/>
                <w:szCs w:val="18"/>
              </w:rPr>
            </w:pPr>
          </w:p>
        </w:tc>
      </w:tr>
      <w:tr w:rsidR="005712F7" w:rsidRPr="00286A88" w14:paraId="66B2D8A2" w14:textId="77777777" w:rsidTr="007975A6">
        <w:tc>
          <w:tcPr>
            <w:tcW w:w="4025" w:type="dxa"/>
          </w:tcPr>
          <w:p w14:paraId="48C1DFCF" w14:textId="77777777" w:rsidR="005712F7" w:rsidRPr="005712F7" w:rsidRDefault="005712F7" w:rsidP="006E6B22">
            <w:pPr>
              <w:spacing w:before="60" w:line="240" w:lineRule="auto"/>
              <w:rPr>
                <w:rFonts w:cs="Arial"/>
                <w:b/>
                <w:color w:val="auto"/>
                <w:szCs w:val="18"/>
              </w:rPr>
            </w:pPr>
            <w:r>
              <w:rPr>
                <w:rFonts w:cs="Arial"/>
                <w:b/>
                <w:color w:val="auto"/>
                <w:szCs w:val="18"/>
              </w:rPr>
              <w:t>Papers retained from secondary searches</w:t>
            </w:r>
          </w:p>
        </w:tc>
        <w:tc>
          <w:tcPr>
            <w:tcW w:w="1020" w:type="dxa"/>
          </w:tcPr>
          <w:p w14:paraId="50B3E316" w14:textId="77777777" w:rsidR="005712F7" w:rsidRPr="006E6B22" w:rsidRDefault="005712F7" w:rsidP="006E6B22">
            <w:pPr>
              <w:spacing w:before="60" w:line="240" w:lineRule="auto"/>
              <w:rPr>
                <w:rFonts w:cs="Arial"/>
                <w:color w:val="auto"/>
                <w:szCs w:val="18"/>
              </w:rPr>
            </w:pPr>
          </w:p>
        </w:tc>
        <w:tc>
          <w:tcPr>
            <w:tcW w:w="1020" w:type="dxa"/>
          </w:tcPr>
          <w:p w14:paraId="201BA97F" w14:textId="77777777" w:rsidR="005712F7" w:rsidRPr="005712F7" w:rsidRDefault="005712F7" w:rsidP="006E6B22">
            <w:pPr>
              <w:spacing w:before="60" w:line="240" w:lineRule="auto"/>
              <w:rPr>
                <w:rFonts w:cs="Arial"/>
                <w:b/>
                <w:color w:val="auto"/>
                <w:szCs w:val="18"/>
              </w:rPr>
            </w:pPr>
            <w:r w:rsidRPr="005712F7">
              <w:rPr>
                <w:rFonts w:cs="Arial"/>
                <w:b/>
                <w:color w:val="auto"/>
                <w:szCs w:val="18"/>
              </w:rPr>
              <w:t>184</w:t>
            </w:r>
          </w:p>
        </w:tc>
        <w:tc>
          <w:tcPr>
            <w:tcW w:w="3889" w:type="dxa"/>
          </w:tcPr>
          <w:p w14:paraId="60423331" w14:textId="77777777" w:rsidR="005712F7" w:rsidRPr="006E6B22" w:rsidRDefault="005712F7" w:rsidP="006E6B22">
            <w:pPr>
              <w:spacing w:before="60" w:line="240" w:lineRule="auto"/>
              <w:rPr>
                <w:rFonts w:cs="Arial"/>
                <w:color w:val="auto"/>
                <w:szCs w:val="18"/>
              </w:rPr>
            </w:pPr>
          </w:p>
        </w:tc>
      </w:tr>
    </w:tbl>
    <w:p w14:paraId="762DA606" w14:textId="77777777" w:rsidR="005712F7" w:rsidRPr="005712F7" w:rsidRDefault="005712F7" w:rsidP="00301F37">
      <w:pPr>
        <w:spacing w:before="240"/>
        <w:rPr>
          <w:b/>
          <w:lang w:val="en-GB"/>
        </w:rPr>
      </w:pPr>
      <w:r>
        <w:rPr>
          <w:b/>
          <w:lang w:val="en-GB"/>
        </w:rPr>
        <w:t>Total number of papers retained from primary and secondary searches: 253 + 184 = 437</w:t>
      </w:r>
    </w:p>
    <w:p w14:paraId="504738F4" w14:textId="77777777" w:rsidR="005712F7" w:rsidRDefault="005712F7" w:rsidP="001123AA">
      <w:pPr>
        <w:rPr>
          <w:lang w:val="en-GB"/>
        </w:rPr>
      </w:pPr>
    </w:p>
    <w:p w14:paraId="5760BD62" w14:textId="77777777" w:rsidR="00286A88" w:rsidRPr="00FA0BB9" w:rsidRDefault="00FA0BB9" w:rsidP="00AE59F9">
      <w:pPr>
        <w:spacing w:before="120"/>
        <w:rPr>
          <w:b/>
          <w:sz w:val="24"/>
          <w:szCs w:val="24"/>
          <w:lang w:val="en-GB"/>
        </w:rPr>
      </w:pPr>
      <w:r w:rsidRPr="00864384">
        <w:rPr>
          <w:rFonts w:eastAsia="Calibri" w:cs="Arial"/>
          <w:color w:val="auto"/>
          <w:sz w:val="22"/>
          <w:szCs w:val="22"/>
          <w:lang w:val="en-GB"/>
        </w:rPr>
        <w:br w:type="column"/>
      </w:r>
      <w:r w:rsidR="00286A88" w:rsidRPr="00FA0BB9">
        <w:rPr>
          <w:b/>
          <w:sz w:val="24"/>
          <w:szCs w:val="24"/>
          <w:lang w:val="en-GB"/>
        </w:rPr>
        <w:t>Broiler</w:t>
      </w:r>
      <w:r w:rsidR="0051176B">
        <w:rPr>
          <w:b/>
          <w:sz w:val="24"/>
          <w:szCs w:val="24"/>
          <w:lang w:val="en-GB"/>
        </w:rPr>
        <w:t xml:space="preserve"> Breeders</w:t>
      </w:r>
    </w:p>
    <w:p w14:paraId="354E4327" w14:textId="77777777" w:rsidR="00286A88" w:rsidRPr="00590F0B" w:rsidRDefault="00AE59F9" w:rsidP="00590F0B">
      <w:pPr>
        <w:spacing w:before="240" w:after="240"/>
        <w:rPr>
          <w:b/>
          <w:lang w:val="en-GB"/>
        </w:rPr>
      </w:pPr>
      <w:r>
        <w:rPr>
          <w:b/>
          <w:lang w:val="en-GB"/>
        </w:rPr>
        <w:t>Primary Search</w:t>
      </w:r>
      <w:r w:rsidR="00046273">
        <w:rPr>
          <w:b/>
          <w:lang w:val="en-GB"/>
        </w:rPr>
        <w:t>:</w:t>
      </w:r>
      <w:r>
        <w:rPr>
          <w:b/>
          <w:lang w:val="en-GB"/>
        </w:rPr>
        <w:t xml:space="preserve"> “b</w:t>
      </w:r>
      <w:r w:rsidR="00286A88" w:rsidRPr="00590F0B">
        <w:rPr>
          <w:b/>
          <w:lang w:val="en-GB"/>
        </w:rPr>
        <w:t>roiler breeder*” AND welfare = 108</w:t>
      </w:r>
    </w:p>
    <w:tbl>
      <w:tblPr>
        <w:tblStyle w:val="TableGrid11"/>
        <w:tblW w:w="9977" w:type="dxa"/>
        <w:tblLook w:val="04A0" w:firstRow="1" w:lastRow="0" w:firstColumn="1" w:lastColumn="0" w:noHBand="0" w:noVBand="1"/>
        <w:tblCaption w:val="Papers excluded after primary literature search for broiler breeder welfare"/>
        <w:tblDescription w:val="This table shows the number of papers excluded after the primary literature search for broiler breeder welfare. The left hand column shows the primary reason for exclusion. The middle column shows the number of papers excluded. The right hand column gives an example of a paper excluded for each reason."/>
      </w:tblPr>
      <w:tblGrid>
        <w:gridCol w:w="3628"/>
        <w:gridCol w:w="1020"/>
        <w:gridCol w:w="5329"/>
      </w:tblGrid>
      <w:tr w:rsidR="00F67C8B" w:rsidRPr="00EA27D5" w14:paraId="00328F3E" w14:textId="77777777" w:rsidTr="00587D34">
        <w:trPr>
          <w:tblHeader/>
        </w:trPr>
        <w:tc>
          <w:tcPr>
            <w:tcW w:w="3628" w:type="dxa"/>
            <w:shd w:val="clear" w:color="auto" w:fill="auto"/>
          </w:tcPr>
          <w:p w14:paraId="1672EDE3" w14:textId="77777777" w:rsidR="00F67C8B" w:rsidRPr="00EA27D5" w:rsidRDefault="00F67C8B" w:rsidP="00D22A51">
            <w:pPr>
              <w:spacing w:before="60"/>
              <w:rPr>
                <w:b/>
              </w:rPr>
            </w:pPr>
            <w:r w:rsidRPr="00EA27D5">
              <w:rPr>
                <w:b/>
              </w:rPr>
              <w:t>Primary Reason for Exclusion</w:t>
            </w:r>
          </w:p>
        </w:tc>
        <w:tc>
          <w:tcPr>
            <w:tcW w:w="1020" w:type="dxa"/>
            <w:shd w:val="clear" w:color="auto" w:fill="auto"/>
          </w:tcPr>
          <w:p w14:paraId="521CD237" w14:textId="77777777" w:rsidR="00F67C8B" w:rsidRPr="00EA27D5" w:rsidRDefault="00F67C8B" w:rsidP="00D22A51">
            <w:pPr>
              <w:spacing w:before="60" w:line="240" w:lineRule="auto"/>
              <w:rPr>
                <w:rFonts w:cs="Arial"/>
                <w:color w:val="auto"/>
                <w:szCs w:val="18"/>
              </w:rPr>
            </w:pPr>
            <w:r w:rsidRPr="00EA27D5">
              <w:rPr>
                <w:rFonts w:cs="Arial"/>
                <w:color w:val="auto"/>
                <w:szCs w:val="18"/>
              </w:rPr>
              <w:t>Number Excluded</w:t>
            </w:r>
          </w:p>
        </w:tc>
        <w:tc>
          <w:tcPr>
            <w:tcW w:w="5329" w:type="dxa"/>
            <w:shd w:val="clear" w:color="auto" w:fill="auto"/>
          </w:tcPr>
          <w:p w14:paraId="36B95D06" w14:textId="77777777" w:rsidR="00F67C8B" w:rsidRPr="00EA27D5" w:rsidRDefault="00F67C8B" w:rsidP="00D22A51">
            <w:pPr>
              <w:spacing w:before="60" w:line="240" w:lineRule="auto"/>
              <w:rPr>
                <w:rFonts w:cs="Arial"/>
                <w:color w:val="auto"/>
                <w:szCs w:val="18"/>
              </w:rPr>
            </w:pPr>
            <w:r w:rsidRPr="00EA27D5">
              <w:rPr>
                <w:rFonts w:cs="Arial"/>
                <w:i/>
                <w:color w:val="auto"/>
                <w:szCs w:val="18"/>
              </w:rPr>
              <w:t xml:space="preserve">Example </w:t>
            </w:r>
            <w:r w:rsidRPr="00EA27D5">
              <w:rPr>
                <w:rFonts w:cs="Arial"/>
                <w:color w:val="auto"/>
                <w:szCs w:val="18"/>
              </w:rPr>
              <w:t>of Paper Excluded for Each Reason</w:t>
            </w:r>
          </w:p>
        </w:tc>
      </w:tr>
      <w:tr w:rsidR="00286A88" w:rsidRPr="00286A88" w14:paraId="14948D49" w14:textId="77777777" w:rsidTr="005F7B38">
        <w:tc>
          <w:tcPr>
            <w:tcW w:w="3628" w:type="dxa"/>
          </w:tcPr>
          <w:p w14:paraId="2EADEBC1" w14:textId="77777777" w:rsidR="00286A88" w:rsidRPr="008C43DD" w:rsidRDefault="00286A88" w:rsidP="008C43DD">
            <w:pPr>
              <w:spacing w:before="60"/>
            </w:pPr>
            <w:r w:rsidRPr="008C43DD">
              <w:t>Not hens – other farmed birds</w:t>
            </w:r>
          </w:p>
        </w:tc>
        <w:tc>
          <w:tcPr>
            <w:tcW w:w="1020" w:type="dxa"/>
          </w:tcPr>
          <w:p w14:paraId="613A27B9" w14:textId="77777777" w:rsidR="00286A88" w:rsidRPr="008C43DD" w:rsidRDefault="00286A88" w:rsidP="008C43DD">
            <w:pPr>
              <w:spacing w:before="60"/>
            </w:pPr>
            <w:r w:rsidRPr="008C43DD">
              <w:t>6</w:t>
            </w:r>
          </w:p>
        </w:tc>
        <w:tc>
          <w:tcPr>
            <w:tcW w:w="5329" w:type="dxa"/>
          </w:tcPr>
          <w:p w14:paraId="0F12DFEB" w14:textId="77777777" w:rsidR="00DC3F04" w:rsidRPr="00DC3F04" w:rsidRDefault="00DC3F04" w:rsidP="00DC3F04">
            <w:pPr>
              <w:pStyle w:val="NoSpacing"/>
              <w:rPr>
                <w:szCs w:val="18"/>
              </w:rPr>
            </w:pPr>
            <w:r w:rsidRPr="00DC3F04">
              <w:rPr>
                <w:szCs w:val="18"/>
              </w:rPr>
              <w:t>Providing laying hens in group-housed enriched cages with access to barley silage reduces aggressive and feather-pecking behaviour</w:t>
            </w:r>
          </w:p>
          <w:p w14:paraId="6224E993" w14:textId="77777777" w:rsidR="00DC3F04" w:rsidRPr="00DC3F04" w:rsidRDefault="00DC3F04" w:rsidP="00DC3F04">
            <w:pPr>
              <w:pStyle w:val="NoSpacing"/>
              <w:rPr>
                <w:szCs w:val="18"/>
              </w:rPr>
            </w:pPr>
            <w:r w:rsidRPr="00DC3F04">
              <w:rPr>
                <w:szCs w:val="18"/>
              </w:rPr>
              <w:t>By: Johannson, S. G.; Raginski, C.; Schwean-Lardner, K.; et al.</w:t>
            </w:r>
          </w:p>
          <w:p w14:paraId="3D2196E0" w14:textId="77777777" w:rsidR="00DC3F04" w:rsidRPr="00DC3F04" w:rsidRDefault="00DC3F04" w:rsidP="00DC3F04">
            <w:pPr>
              <w:pStyle w:val="NoSpacing"/>
              <w:rPr>
                <w:szCs w:val="18"/>
              </w:rPr>
            </w:pPr>
            <w:r w:rsidRPr="00DC3F04">
              <w:rPr>
                <w:szCs w:val="18"/>
              </w:rPr>
              <w:t>CANADIAN JOURNAL OF ANIMAL SCIENCE   Volume: 96   Issue: 2</w:t>
            </w:r>
          </w:p>
          <w:p w14:paraId="4CA5ED7C" w14:textId="77777777" w:rsidR="00286A88" w:rsidRPr="00DC3F04" w:rsidRDefault="00DC3F04" w:rsidP="00DC3F04">
            <w:pPr>
              <w:pStyle w:val="NoSpacing"/>
              <w:rPr>
                <w:szCs w:val="18"/>
              </w:rPr>
            </w:pPr>
            <w:r w:rsidRPr="00DC3F04">
              <w:rPr>
                <w:szCs w:val="18"/>
              </w:rPr>
              <w:t>Pages: 161-171   Published: JUN 2016</w:t>
            </w:r>
          </w:p>
        </w:tc>
      </w:tr>
      <w:tr w:rsidR="00286A88" w:rsidRPr="00286A88" w14:paraId="7781C888" w14:textId="77777777" w:rsidTr="005F7B38">
        <w:tc>
          <w:tcPr>
            <w:tcW w:w="3628" w:type="dxa"/>
          </w:tcPr>
          <w:p w14:paraId="21FCD7D4" w14:textId="77777777" w:rsidR="00286A88" w:rsidRPr="008C43DD" w:rsidRDefault="00286A88" w:rsidP="008C43DD">
            <w:pPr>
              <w:spacing w:before="60"/>
            </w:pPr>
            <w:r w:rsidRPr="008C43DD">
              <w:t>Not hens – other animals</w:t>
            </w:r>
          </w:p>
        </w:tc>
        <w:tc>
          <w:tcPr>
            <w:tcW w:w="1020" w:type="dxa"/>
          </w:tcPr>
          <w:p w14:paraId="7BF09D3B" w14:textId="77777777" w:rsidR="00286A88" w:rsidRPr="008C43DD" w:rsidRDefault="00286A88" w:rsidP="008C43DD">
            <w:pPr>
              <w:spacing w:before="60"/>
            </w:pPr>
            <w:r w:rsidRPr="008C43DD">
              <w:t>2</w:t>
            </w:r>
          </w:p>
        </w:tc>
        <w:tc>
          <w:tcPr>
            <w:tcW w:w="5329" w:type="dxa"/>
          </w:tcPr>
          <w:p w14:paraId="58CCC9A2" w14:textId="77777777" w:rsidR="00DC3F04" w:rsidRPr="00DC3F04" w:rsidRDefault="00DC3F04" w:rsidP="00DC3F04">
            <w:pPr>
              <w:pStyle w:val="NoSpacing"/>
              <w:rPr>
                <w:szCs w:val="18"/>
              </w:rPr>
            </w:pPr>
            <w:r w:rsidRPr="00DC3F04">
              <w:rPr>
                <w:szCs w:val="18"/>
              </w:rPr>
              <w:t>Behavioural indicators of hunger in dairy calves</w:t>
            </w:r>
          </w:p>
          <w:p w14:paraId="43602697" w14:textId="77777777" w:rsidR="00DC3F04" w:rsidRPr="00DC3F04" w:rsidRDefault="00DC3F04" w:rsidP="00DC3F04">
            <w:pPr>
              <w:pStyle w:val="NoSpacing"/>
              <w:rPr>
                <w:szCs w:val="18"/>
              </w:rPr>
            </w:pPr>
            <w:r w:rsidRPr="00DC3F04">
              <w:rPr>
                <w:szCs w:val="18"/>
              </w:rPr>
              <w:t>By: Vieira, Andreia De Paula; Guesdon, Vanessa; De Passille, Anne Marie; et al.</w:t>
            </w:r>
          </w:p>
          <w:p w14:paraId="5AB5476B" w14:textId="77777777" w:rsidR="00286A88" w:rsidRPr="00DC3F04" w:rsidRDefault="00DC3F04" w:rsidP="00DC3F04">
            <w:pPr>
              <w:pStyle w:val="NoSpacing"/>
              <w:rPr>
                <w:szCs w:val="18"/>
              </w:rPr>
            </w:pPr>
            <w:r w:rsidRPr="00DC3F04">
              <w:rPr>
                <w:szCs w:val="18"/>
              </w:rPr>
              <w:t>APPLIED ANIMAL BEHAVIOUR SCIENCE   Volume: 109   Issue: 2-4   Pages: 180-189   Published: FEB 2008</w:t>
            </w:r>
          </w:p>
        </w:tc>
      </w:tr>
      <w:tr w:rsidR="00286A88" w:rsidRPr="00286A88" w14:paraId="44C48862" w14:textId="77777777" w:rsidTr="005F7B38">
        <w:tc>
          <w:tcPr>
            <w:tcW w:w="3628" w:type="dxa"/>
          </w:tcPr>
          <w:p w14:paraId="48F7027D" w14:textId="77777777" w:rsidR="00286A88" w:rsidRPr="008C43DD" w:rsidRDefault="00286A88" w:rsidP="008C43DD">
            <w:pPr>
              <w:spacing w:before="60"/>
            </w:pPr>
            <w:r w:rsidRPr="008C43DD">
              <w:t>Paper on consumer attitudes, policy, ethics</w:t>
            </w:r>
          </w:p>
        </w:tc>
        <w:tc>
          <w:tcPr>
            <w:tcW w:w="1020" w:type="dxa"/>
          </w:tcPr>
          <w:p w14:paraId="472763A1" w14:textId="77777777" w:rsidR="00286A88" w:rsidRPr="008C43DD" w:rsidRDefault="00286A88" w:rsidP="008C43DD">
            <w:pPr>
              <w:spacing w:before="60"/>
            </w:pPr>
            <w:r w:rsidRPr="008C43DD">
              <w:t>0</w:t>
            </w:r>
          </w:p>
        </w:tc>
        <w:tc>
          <w:tcPr>
            <w:tcW w:w="5329" w:type="dxa"/>
          </w:tcPr>
          <w:p w14:paraId="4D25F8BF" w14:textId="77777777" w:rsidR="00286A88" w:rsidRPr="00DC3F04" w:rsidRDefault="00286A88" w:rsidP="00DC3F04">
            <w:pPr>
              <w:pStyle w:val="NoSpacing"/>
              <w:rPr>
                <w:szCs w:val="18"/>
              </w:rPr>
            </w:pPr>
          </w:p>
        </w:tc>
      </w:tr>
      <w:tr w:rsidR="00286A88" w:rsidRPr="00286A88" w14:paraId="0895C4B0" w14:textId="77777777" w:rsidTr="005F7B38">
        <w:tc>
          <w:tcPr>
            <w:tcW w:w="3628" w:type="dxa"/>
          </w:tcPr>
          <w:p w14:paraId="42B0FF01" w14:textId="77777777" w:rsidR="00286A88" w:rsidRPr="008C43DD" w:rsidRDefault="00286A88" w:rsidP="008C43DD">
            <w:pPr>
              <w:spacing w:before="60"/>
            </w:pPr>
            <w:r w:rsidRPr="008C43DD">
              <w:t>Paper on fundamental study of genetics, immune function, disease mechanism or stress biology with no immediate welfare relevance</w:t>
            </w:r>
          </w:p>
        </w:tc>
        <w:tc>
          <w:tcPr>
            <w:tcW w:w="1020" w:type="dxa"/>
          </w:tcPr>
          <w:p w14:paraId="1B339651" w14:textId="77777777" w:rsidR="00286A88" w:rsidRPr="008C43DD" w:rsidRDefault="00286A88" w:rsidP="008C43DD">
            <w:pPr>
              <w:spacing w:before="60"/>
            </w:pPr>
            <w:r w:rsidRPr="008C43DD">
              <w:t>10</w:t>
            </w:r>
          </w:p>
        </w:tc>
        <w:tc>
          <w:tcPr>
            <w:tcW w:w="5329" w:type="dxa"/>
          </w:tcPr>
          <w:p w14:paraId="251A69CF" w14:textId="77777777" w:rsidR="00DC3F04" w:rsidRPr="00DC3F04" w:rsidRDefault="00DC3F04" w:rsidP="00DC3F04">
            <w:pPr>
              <w:pStyle w:val="NoSpacing"/>
              <w:rPr>
                <w:szCs w:val="18"/>
              </w:rPr>
            </w:pPr>
            <w:r w:rsidRPr="00DC3F04">
              <w:rPr>
                <w:szCs w:val="18"/>
              </w:rPr>
              <w:t>Maternal immunization with vaccines containing recombinant NetB toxin partially protects progeny chickens from necrotic enteritis</w:t>
            </w:r>
          </w:p>
          <w:p w14:paraId="0159EF83" w14:textId="77777777" w:rsidR="00DC3F04" w:rsidRPr="00DC3F04" w:rsidRDefault="00DC3F04" w:rsidP="00DC3F04">
            <w:pPr>
              <w:pStyle w:val="NoSpacing"/>
              <w:rPr>
                <w:szCs w:val="18"/>
              </w:rPr>
            </w:pPr>
            <w:r w:rsidRPr="00DC3F04">
              <w:rPr>
                <w:szCs w:val="18"/>
              </w:rPr>
              <w:t>By: Keyburn, Anthony L.; Portela, Ricardo W.; Ford, Mark E.; et al.</w:t>
            </w:r>
          </w:p>
          <w:p w14:paraId="724628BD" w14:textId="77777777" w:rsidR="00286A88" w:rsidRPr="00DC3F04" w:rsidRDefault="00DC3F04" w:rsidP="00DC3F04">
            <w:pPr>
              <w:pStyle w:val="NoSpacing"/>
              <w:rPr>
                <w:szCs w:val="18"/>
              </w:rPr>
            </w:pPr>
            <w:r w:rsidRPr="00DC3F04">
              <w:rPr>
                <w:szCs w:val="18"/>
              </w:rPr>
              <w:t>VETERINARY RESEARCH   Volume: 44 Article Number: 108   Published: NOV 13 2013</w:t>
            </w:r>
          </w:p>
        </w:tc>
      </w:tr>
      <w:tr w:rsidR="00286A88" w:rsidRPr="00286A88" w14:paraId="5BB5BB3C" w14:textId="77777777" w:rsidTr="005F7B38">
        <w:tc>
          <w:tcPr>
            <w:tcW w:w="3628" w:type="dxa"/>
          </w:tcPr>
          <w:p w14:paraId="74A753D9" w14:textId="77777777" w:rsidR="00286A88" w:rsidRPr="008C43DD" w:rsidRDefault="00286A88" w:rsidP="008C43DD">
            <w:pPr>
              <w:spacing w:before="60"/>
            </w:pPr>
            <w:r w:rsidRPr="008C43DD">
              <w:t>Paper proposing new technology or method for assessing welfare but no useful results yet</w:t>
            </w:r>
          </w:p>
        </w:tc>
        <w:tc>
          <w:tcPr>
            <w:tcW w:w="1020" w:type="dxa"/>
          </w:tcPr>
          <w:p w14:paraId="5248A9B6" w14:textId="77777777" w:rsidR="00286A88" w:rsidRPr="008C43DD" w:rsidRDefault="00286A88" w:rsidP="008C43DD">
            <w:pPr>
              <w:spacing w:before="60"/>
            </w:pPr>
            <w:r w:rsidRPr="008C43DD">
              <w:t>2</w:t>
            </w:r>
          </w:p>
        </w:tc>
        <w:tc>
          <w:tcPr>
            <w:tcW w:w="5329" w:type="dxa"/>
          </w:tcPr>
          <w:p w14:paraId="48A38AF3" w14:textId="77777777" w:rsidR="00DC3F04" w:rsidRPr="00DC3F04" w:rsidRDefault="00DC3F04" w:rsidP="00DC3F04">
            <w:pPr>
              <w:pStyle w:val="NoSpacing"/>
              <w:rPr>
                <w:szCs w:val="18"/>
              </w:rPr>
            </w:pPr>
            <w:r w:rsidRPr="00DC3F04">
              <w:rPr>
                <w:szCs w:val="18"/>
              </w:rPr>
              <w:t>MATHEMATICAL WELFARE ASSESSMENT MODEL OF CHICKEN BREEDER FLOCKS</w:t>
            </w:r>
          </w:p>
          <w:p w14:paraId="45167254" w14:textId="77777777" w:rsidR="00DC3F04" w:rsidRPr="00DC3F04" w:rsidRDefault="00DC3F04" w:rsidP="00DC3F04">
            <w:pPr>
              <w:pStyle w:val="NoSpacing"/>
              <w:rPr>
                <w:szCs w:val="18"/>
              </w:rPr>
            </w:pPr>
            <w:r w:rsidRPr="00DC3F04">
              <w:rPr>
                <w:szCs w:val="18"/>
              </w:rPr>
              <w:t>By:Bozakova, N; Popova-Ralcheva, S; Sredkova, V</w:t>
            </w:r>
            <w:r w:rsidR="00290373">
              <w:rPr>
                <w:szCs w:val="18"/>
              </w:rPr>
              <w:t>; Gerzilov, V</w:t>
            </w:r>
            <w:r w:rsidRPr="00DC3F04">
              <w:rPr>
                <w:szCs w:val="18"/>
              </w:rPr>
              <w:t>; Atanasova, S; Atanasov, A; Sotirov, L; Georgieva, N</w:t>
            </w:r>
          </w:p>
          <w:p w14:paraId="092CE97E" w14:textId="77777777" w:rsidR="00DC3F04" w:rsidRPr="00DC3F04" w:rsidRDefault="00DC3F04" w:rsidP="00DC3F04">
            <w:pPr>
              <w:pStyle w:val="NoSpacing"/>
              <w:rPr>
                <w:szCs w:val="18"/>
              </w:rPr>
            </w:pPr>
            <w:r w:rsidRPr="00DC3F04">
              <w:rPr>
                <w:szCs w:val="18"/>
              </w:rPr>
              <w:t>BULGARIAN JOURNAL OF AGRICULTURAL SCIENCE</w:t>
            </w:r>
          </w:p>
          <w:p w14:paraId="1B064C9C" w14:textId="77777777" w:rsidR="00286A88" w:rsidRPr="00DC3F04" w:rsidRDefault="00DC3F04" w:rsidP="00DC3F04">
            <w:pPr>
              <w:pStyle w:val="NoSpacing"/>
              <w:rPr>
                <w:szCs w:val="18"/>
              </w:rPr>
            </w:pPr>
            <w:r w:rsidRPr="00DC3F04">
              <w:rPr>
                <w:szCs w:val="18"/>
              </w:rPr>
              <w:t>Volume: 18  Issue: 2 Pages: 278-287 Published: APR 2012</w:t>
            </w:r>
          </w:p>
        </w:tc>
      </w:tr>
      <w:tr w:rsidR="00DC3F04" w:rsidRPr="00286A88" w14:paraId="6D89BD2E" w14:textId="77777777" w:rsidTr="005F7B38">
        <w:tc>
          <w:tcPr>
            <w:tcW w:w="3628" w:type="dxa"/>
          </w:tcPr>
          <w:p w14:paraId="65DCE056" w14:textId="77777777" w:rsidR="00DC3F04" w:rsidRPr="008C43DD" w:rsidRDefault="00DC3F04" w:rsidP="008C43DD">
            <w:pPr>
              <w:spacing w:before="60"/>
            </w:pPr>
            <w:r w:rsidRPr="008C43DD">
              <w:t>Review/opinion pieces</w:t>
            </w:r>
          </w:p>
        </w:tc>
        <w:tc>
          <w:tcPr>
            <w:tcW w:w="1020" w:type="dxa"/>
          </w:tcPr>
          <w:p w14:paraId="65972087" w14:textId="77777777" w:rsidR="00DC3F04" w:rsidRPr="008C43DD" w:rsidRDefault="00DC3F04" w:rsidP="008C43DD">
            <w:pPr>
              <w:spacing w:before="60"/>
            </w:pPr>
            <w:r w:rsidRPr="008C43DD">
              <w:t>25</w:t>
            </w:r>
          </w:p>
        </w:tc>
        <w:tc>
          <w:tcPr>
            <w:tcW w:w="5329" w:type="dxa"/>
          </w:tcPr>
          <w:p w14:paraId="71C7BA59" w14:textId="77777777" w:rsidR="00DC3F04" w:rsidRPr="00DC3F04" w:rsidRDefault="00DC3F04" w:rsidP="00DC3F04">
            <w:pPr>
              <w:pStyle w:val="NoSpacing"/>
              <w:rPr>
                <w:szCs w:val="18"/>
              </w:rPr>
            </w:pPr>
            <w:r w:rsidRPr="00DC3F04">
              <w:rPr>
                <w:szCs w:val="18"/>
              </w:rPr>
              <w:t>Immunosuppressive interactions of viral diseases in poultry</w:t>
            </w:r>
          </w:p>
          <w:p w14:paraId="1644EA56" w14:textId="77777777" w:rsidR="00DC3F04" w:rsidRPr="00DC3F04" w:rsidRDefault="00DC3F04" w:rsidP="00DC3F04">
            <w:pPr>
              <w:pStyle w:val="NoSpacing"/>
              <w:rPr>
                <w:szCs w:val="18"/>
              </w:rPr>
            </w:pPr>
            <w:r w:rsidRPr="00DC3F04">
              <w:rPr>
                <w:szCs w:val="18"/>
              </w:rPr>
              <w:t>By:Umar, S ; Munir, MT; Ahsan, U; Raza, I; Chowdhury, MR; Ahmed, Z; Shah, MAA</w:t>
            </w:r>
          </w:p>
          <w:p w14:paraId="6CDE9E69" w14:textId="77777777" w:rsidR="00DC3F04" w:rsidRPr="00DC3F04" w:rsidRDefault="00DC3F04" w:rsidP="00DC3F04">
            <w:pPr>
              <w:pStyle w:val="NoSpacing"/>
              <w:rPr>
                <w:szCs w:val="18"/>
              </w:rPr>
            </w:pPr>
            <w:r w:rsidRPr="00DC3F04">
              <w:rPr>
                <w:szCs w:val="18"/>
              </w:rPr>
              <w:t>WORLD’S POULTRY SCIENCE JOURNAL</w:t>
            </w:r>
          </w:p>
          <w:p w14:paraId="337012B0" w14:textId="77777777" w:rsidR="00DC3F04" w:rsidRPr="00DC3F04" w:rsidRDefault="00DC3F04" w:rsidP="00DC3F04">
            <w:pPr>
              <w:pStyle w:val="NoSpacing"/>
              <w:rPr>
                <w:szCs w:val="18"/>
              </w:rPr>
            </w:pPr>
            <w:r w:rsidRPr="00DC3F04">
              <w:rPr>
                <w:szCs w:val="18"/>
              </w:rPr>
              <w:t>Volume: 73, Issue: 1, Pages: 121-135</w:t>
            </w:r>
          </w:p>
        </w:tc>
      </w:tr>
      <w:tr w:rsidR="00DC3F04" w:rsidRPr="00286A88" w14:paraId="5F90BA4F" w14:textId="77777777" w:rsidTr="005F7B38">
        <w:tc>
          <w:tcPr>
            <w:tcW w:w="3628" w:type="dxa"/>
          </w:tcPr>
          <w:p w14:paraId="582B8658" w14:textId="77777777" w:rsidR="00DC3F04" w:rsidRPr="008C43DD" w:rsidRDefault="00DC3F04" w:rsidP="008C43DD">
            <w:pPr>
              <w:spacing w:before="60"/>
            </w:pPr>
            <w:r w:rsidRPr="008C43DD">
              <w:t>Paper on production qu</w:t>
            </w:r>
            <w:r>
              <w:t>ality, safety or sustainability</w:t>
            </w:r>
          </w:p>
        </w:tc>
        <w:tc>
          <w:tcPr>
            <w:tcW w:w="1020" w:type="dxa"/>
          </w:tcPr>
          <w:p w14:paraId="18CDC8E5" w14:textId="77777777" w:rsidR="00DC3F04" w:rsidRPr="008C43DD" w:rsidRDefault="00DC3F04" w:rsidP="008C43DD">
            <w:pPr>
              <w:spacing w:before="60"/>
            </w:pPr>
            <w:r w:rsidRPr="008C43DD">
              <w:t>9</w:t>
            </w:r>
          </w:p>
        </w:tc>
        <w:tc>
          <w:tcPr>
            <w:tcW w:w="5329" w:type="dxa"/>
          </w:tcPr>
          <w:p w14:paraId="29A0B463" w14:textId="77777777" w:rsidR="00DC3F04" w:rsidRPr="00DC3F04" w:rsidRDefault="00DC3F04" w:rsidP="00DC3F04">
            <w:pPr>
              <w:pStyle w:val="NoSpacing"/>
              <w:rPr>
                <w:szCs w:val="18"/>
              </w:rPr>
            </w:pPr>
            <w:r w:rsidRPr="00DC3F04">
              <w:rPr>
                <w:szCs w:val="18"/>
              </w:rPr>
              <w:t>Evaluation of egg quality traits in a synthetic coloured broiler female line</w:t>
            </w:r>
          </w:p>
          <w:p w14:paraId="1535007A" w14:textId="77777777" w:rsidR="00DC3F04" w:rsidRPr="00DC3F04" w:rsidRDefault="00DC3F04" w:rsidP="00DC3F04">
            <w:pPr>
              <w:pStyle w:val="NoSpacing"/>
              <w:rPr>
                <w:szCs w:val="18"/>
              </w:rPr>
            </w:pPr>
            <w:r w:rsidRPr="00DC3F04">
              <w:rPr>
                <w:szCs w:val="18"/>
              </w:rPr>
              <w:t>By: Rajaravindra, K. S.; Rajkumar, U.; Rekha, K.; et al.</w:t>
            </w:r>
          </w:p>
          <w:p w14:paraId="2D5FF8E0" w14:textId="77777777" w:rsidR="00DC3F04" w:rsidRPr="00DC3F04" w:rsidRDefault="00DC3F04" w:rsidP="00DC3F04">
            <w:pPr>
              <w:pStyle w:val="NoSpacing"/>
              <w:rPr>
                <w:szCs w:val="18"/>
              </w:rPr>
            </w:pPr>
            <w:r w:rsidRPr="00DC3F04">
              <w:rPr>
                <w:szCs w:val="18"/>
              </w:rPr>
              <w:t>JOURNAL OF APPLIED ANIMAL RESEARCH   Volume: 43   Issue: 1</w:t>
            </w:r>
          </w:p>
          <w:p w14:paraId="55DB77D3" w14:textId="77777777" w:rsidR="00DC3F04" w:rsidRPr="00DC3F04" w:rsidRDefault="00DC3F04" w:rsidP="00DC3F04">
            <w:pPr>
              <w:pStyle w:val="NoSpacing"/>
              <w:rPr>
                <w:szCs w:val="18"/>
              </w:rPr>
            </w:pPr>
            <w:r w:rsidRPr="00DC3F04">
              <w:rPr>
                <w:szCs w:val="18"/>
              </w:rPr>
              <w:t>Pages: 10-14   Published: JAN 2 2015</w:t>
            </w:r>
          </w:p>
        </w:tc>
      </w:tr>
      <w:tr w:rsidR="00DC3F04" w:rsidRPr="00286A88" w14:paraId="379B1925" w14:textId="77777777" w:rsidTr="005F7B38">
        <w:tc>
          <w:tcPr>
            <w:tcW w:w="3628" w:type="dxa"/>
          </w:tcPr>
          <w:p w14:paraId="4E484EAD" w14:textId="77777777" w:rsidR="00DC3F04" w:rsidRPr="008C43DD" w:rsidRDefault="00DC3F04" w:rsidP="008C43DD">
            <w:pPr>
              <w:spacing w:before="60"/>
            </w:pPr>
            <w:r w:rsidRPr="008C43DD">
              <w:t>Paper on fundamental nutrition</w:t>
            </w:r>
          </w:p>
        </w:tc>
        <w:tc>
          <w:tcPr>
            <w:tcW w:w="1020" w:type="dxa"/>
          </w:tcPr>
          <w:p w14:paraId="46FF24DB" w14:textId="77777777" w:rsidR="00DC3F04" w:rsidRPr="008C43DD" w:rsidRDefault="00DC3F04" w:rsidP="0010235B">
            <w:pPr>
              <w:spacing w:before="60"/>
            </w:pPr>
            <w:r w:rsidRPr="008C43DD">
              <w:t>0</w:t>
            </w:r>
          </w:p>
        </w:tc>
        <w:tc>
          <w:tcPr>
            <w:tcW w:w="5329" w:type="dxa"/>
          </w:tcPr>
          <w:p w14:paraId="4535AF83" w14:textId="77777777" w:rsidR="00DC3F04" w:rsidRPr="00DC3F04" w:rsidRDefault="00DC3F04" w:rsidP="00DC3F04">
            <w:pPr>
              <w:pStyle w:val="NoSpacing"/>
              <w:rPr>
                <w:szCs w:val="18"/>
              </w:rPr>
            </w:pPr>
          </w:p>
        </w:tc>
      </w:tr>
      <w:tr w:rsidR="00DC3F04" w:rsidRPr="00043C78" w14:paraId="7151A657" w14:textId="77777777" w:rsidTr="005F7B38">
        <w:trPr>
          <w:trHeight w:val="624"/>
        </w:trPr>
        <w:tc>
          <w:tcPr>
            <w:tcW w:w="3628" w:type="dxa"/>
          </w:tcPr>
          <w:p w14:paraId="54207123" w14:textId="77777777" w:rsidR="00DC3F04" w:rsidRPr="008C43DD" w:rsidRDefault="00DC3F04" w:rsidP="008C43DD">
            <w:pPr>
              <w:spacing w:before="60"/>
            </w:pPr>
            <w:r w:rsidRPr="008C43DD">
              <w:t>Paper on economics with no welfare measures</w:t>
            </w:r>
          </w:p>
        </w:tc>
        <w:tc>
          <w:tcPr>
            <w:tcW w:w="1020" w:type="dxa"/>
          </w:tcPr>
          <w:p w14:paraId="7BA13D9A" w14:textId="77777777" w:rsidR="00DC3F04" w:rsidRPr="008C43DD" w:rsidRDefault="00DC3F04" w:rsidP="008C43DD">
            <w:pPr>
              <w:spacing w:before="60"/>
            </w:pPr>
            <w:r w:rsidRPr="008C43DD">
              <w:t>0</w:t>
            </w:r>
          </w:p>
        </w:tc>
        <w:tc>
          <w:tcPr>
            <w:tcW w:w="5329" w:type="dxa"/>
          </w:tcPr>
          <w:p w14:paraId="73C540BE" w14:textId="77777777" w:rsidR="00DC3F04" w:rsidRPr="00DC3F04" w:rsidRDefault="00DC3F04" w:rsidP="00DC3F04">
            <w:pPr>
              <w:pStyle w:val="NoSpacing"/>
              <w:rPr>
                <w:szCs w:val="18"/>
              </w:rPr>
            </w:pPr>
          </w:p>
        </w:tc>
      </w:tr>
      <w:tr w:rsidR="00DC3F04" w:rsidRPr="00286A88" w14:paraId="19B919E7" w14:textId="77777777" w:rsidTr="005F7B38">
        <w:tc>
          <w:tcPr>
            <w:tcW w:w="3628" w:type="dxa"/>
          </w:tcPr>
          <w:p w14:paraId="64675868" w14:textId="77777777" w:rsidR="00DC3F04" w:rsidRPr="008C43DD" w:rsidRDefault="00DC3F04" w:rsidP="008C43DD">
            <w:pPr>
              <w:spacing w:before="60"/>
            </w:pPr>
            <w:r w:rsidRPr="008C43DD">
              <w:t>Paper on fundamental study of behaviour or cognition with no immediate welfare relevance</w:t>
            </w:r>
          </w:p>
        </w:tc>
        <w:tc>
          <w:tcPr>
            <w:tcW w:w="1020" w:type="dxa"/>
          </w:tcPr>
          <w:p w14:paraId="6BB770E9" w14:textId="77777777" w:rsidR="00DC3F04" w:rsidRPr="008C43DD" w:rsidRDefault="00DC3F04" w:rsidP="0010235B">
            <w:pPr>
              <w:spacing w:before="60"/>
            </w:pPr>
            <w:r w:rsidRPr="008C43DD">
              <w:t>4</w:t>
            </w:r>
          </w:p>
        </w:tc>
        <w:tc>
          <w:tcPr>
            <w:tcW w:w="5329" w:type="dxa"/>
          </w:tcPr>
          <w:p w14:paraId="77738065" w14:textId="77777777" w:rsidR="00DC3F04" w:rsidRPr="00DC3F04" w:rsidRDefault="00DC3F04" w:rsidP="00DC3F04">
            <w:pPr>
              <w:pStyle w:val="NoSpacing"/>
              <w:rPr>
                <w:szCs w:val="18"/>
              </w:rPr>
            </w:pPr>
            <w:r w:rsidRPr="00DC3F04">
              <w:rPr>
                <w:szCs w:val="18"/>
              </w:rPr>
              <w:t>Mating behavior and fertility of broiler breeder males reared on shortened growth cycles</w:t>
            </w:r>
          </w:p>
          <w:p w14:paraId="2511964F" w14:textId="77777777" w:rsidR="00DC3F04" w:rsidRPr="00DC3F04" w:rsidRDefault="00DC3F04" w:rsidP="00DC3F04">
            <w:pPr>
              <w:pStyle w:val="NoSpacing"/>
              <w:rPr>
                <w:szCs w:val="18"/>
              </w:rPr>
            </w:pPr>
            <w:r w:rsidRPr="00DC3F04">
              <w:rPr>
                <w:szCs w:val="18"/>
              </w:rPr>
              <w:t>By: Moyle, J. R.; Yoho, D. E.; Whipple, S. M.; et al.</w:t>
            </w:r>
          </w:p>
          <w:p w14:paraId="2EC012AB" w14:textId="77777777" w:rsidR="00DC3F04" w:rsidRPr="00DC3F04" w:rsidRDefault="00DC3F04" w:rsidP="00DC3F04">
            <w:pPr>
              <w:pStyle w:val="NoSpacing"/>
              <w:rPr>
                <w:szCs w:val="18"/>
              </w:rPr>
            </w:pPr>
            <w:r w:rsidRPr="00DC3F04">
              <w:rPr>
                <w:szCs w:val="18"/>
              </w:rPr>
              <w:t>JOURNAL OF APPLIED POULTRY RESEARCH   Volume: 21   Issue: 2</w:t>
            </w:r>
          </w:p>
          <w:p w14:paraId="1998E5EB" w14:textId="77777777" w:rsidR="00DC3F04" w:rsidRPr="00DC3F04" w:rsidRDefault="00DC3F04" w:rsidP="00DC3F04">
            <w:pPr>
              <w:pStyle w:val="NoSpacing"/>
              <w:rPr>
                <w:szCs w:val="18"/>
              </w:rPr>
            </w:pPr>
            <w:r w:rsidRPr="00DC3F04">
              <w:rPr>
                <w:szCs w:val="18"/>
              </w:rPr>
              <w:t>Pages: 272-278   Published: JUN 2012</w:t>
            </w:r>
          </w:p>
        </w:tc>
      </w:tr>
      <w:tr w:rsidR="00DC3F04" w:rsidRPr="00286A88" w14:paraId="7FE754EB" w14:textId="77777777" w:rsidTr="005F7B38">
        <w:tc>
          <w:tcPr>
            <w:tcW w:w="3628" w:type="dxa"/>
          </w:tcPr>
          <w:p w14:paraId="6D2368DD" w14:textId="77777777" w:rsidR="00DC3F04" w:rsidRPr="008C43DD" w:rsidRDefault="00DC3F04" w:rsidP="008C43DD">
            <w:pPr>
              <w:spacing w:before="60"/>
            </w:pPr>
            <w:r w:rsidRPr="008C43DD">
              <w:t>Paper on slaughter</w:t>
            </w:r>
          </w:p>
        </w:tc>
        <w:tc>
          <w:tcPr>
            <w:tcW w:w="1020" w:type="dxa"/>
          </w:tcPr>
          <w:p w14:paraId="027ADE19" w14:textId="77777777" w:rsidR="00DC3F04" w:rsidRPr="008C43DD" w:rsidRDefault="00DC3F04" w:rsidP="008C43DD">
            <w:pPr>
              <w:spacing w:before="60"/>
            </w:pPr>
          </w:p>
        </w:tc>
        <w:tc>
          <w:tcPr>
            <w:tcW w:w="5329" w:type="dxa"/>
          </w:tcPr>
          <w:p w14:paraId="3EA729A4" w14:textId="77777777" w:rsidR="00DC3F04" w:rsidRPr="00DC3F04" w:rsidRDefault="00DC3F04" w:rsidP="00DC3F04">
            <w:pPr>
              <w:pStyle w:val="NoSpacing"/>
              <w:rPr>
                <w:szCs w:val="18"/>
              </w:rPr>
            </w:pPr>
            <w:r w:rsidRPr="00DC3F04">
              <w:rPr>
                <w:szCs w:val="18"/>
              </w:rPr>
              <w:t>Electroencephalographic evaluation of the effectiveness of blunt trauma to induce loss of consciousness for on-farm killing of chickens and turkeys</w:t>
            </w:r>
          </w:p>
          <w:p w14:paraId="2DF55A23" w14:textId="77777777" w:rsidR="00DC3F04" w:rsidRPr="00DC3F04" w:rsidRDefault="00DC3F04" w:rsidP="00DC3F04">
            <w:pPr>
              <w:pStyle w:val="NoSpacing"/>
              <w:rPr>
                <w:szCs w:val="18"/>
              </w:rPr>
            </w:pPr>
            <w:r w:rsidRPr="00DC3F04">
              <w:rPr>
                <w:szCs w:val="18"/>
              </w:rPr>
              <w:t>By: Cors, J. –C.; Gruber, A. D.; Guenther, R.; et al.</w:t>
            </w:r>
          </w:p>
          <w:p w14:paraId="388FCE3A" w14:textId="77777777" w:rsidR="00DC3F04" w:rsidRPr="00DC3F04" w:rsidRDefault="00DC3F04" w:rsidP="00DC3F04">
            <w:pPr>
              <w:pStyle w:val="NoSpacing"/>
              <w:rPr>
                <w:szCs w:val="18"/>
              </w:rPr>
            </w:pPr>
            <w:r w:rsidRPr="00DC3F04">
              <w:rPr>
                <w:szCs w:val="18"/>
              </w:rPr>
              <w:t>POULTRY SCIENCE   Volume: 94   Issue: 2   Pages: 147-155   Published: FEB 2015</w:t>
            </w:r>
          </w:p>
        </w:tc>
      </w:tr>
      <w:tr w:rsidR="00DC3F04" w:rsidRPr="00286A88" w14:paraId="45DE64AA" w14:textId="77777777" w:rsidTr="005F7B38">
        <w:tc>
          <w:tcPr>
            <w:tcW w:w="3628" w:type="dxa"/>
          </w:tcPr>
          <w:p w14:paraId="68B1B102" w14:textId="77777777" w:rsidR="00DC3F04" w:rsidRPr="008C43DD" w:rsidRDefault="00DC3F04" w:rsidP="008C43DD">
            <w:pPr>
              <w:spacing w:before="60"/>
            </w:pPr>
            <w:r w:rsidRPr="008C43DD">
              <w:t>Paper on transport</w:t>
            </w:r>
          </w:p>
        </w:tc>
        <w:tc>
          <w:tcPr>
            <w:tcW w:w="1020" w:type="dxa"/>
          </w:tcPr>
          <w:p w14:paraId="03E07A77" w14:textId="77777777" w:rsidR="00DC3F04" w:rsidRPr="008C43DD" w:rsidRDefault="00DC3F04" w:rsidP="00043C78">
            <w:pPr>
              <w:spacing w:before="60"/>
            </w:pPr>
            <w:r w:rsidRPr="008C43DD">
              <w:t>0</w:t>
            </w:r>
          </w:p>
        </w:tc>
        <w:tc>
          <w:tcPr>
            <w:tcW w:w="5329" w:type="dxa"/>
          </w:tcPr>
          <w:p w14:paraId="55C6C773" w14:textId="77777777" w:rsidR="00DC3F04" w:rsidRPr="00DC3F04" w:rsidRDefault="00DC3F04" w:rsidP="00DC3F04">
            <w:pPr>
              <w:pStyle w:val="NoSpacing"/>
              <w:rPr>
                <w:szCs w:val="18"/>
              </w:rPr>
            </w:pPr>
          </w:p>
        </w:tc>
      </w:tr>
      <w:tr w:rsidR="00DC3F04" w:rsidRPr="00286A88" w14:paraId="3C710F7D" w14:textId="77777777" w:rsidTr="005F7B38">
        <w:tc>
          <w:tcPr>
            <w:tcW w:w="3628" w:type="dxa"/>
          </w:tcPr>
          <w:p w14:paraId="7FC89815" w14:textId="77777777" w:rsidR="00DC3F04" w:rsidRPr="008C43DD" w:rsidRDefault="00DC3F04" w:rsidP="008C43DD">
            <w:pPr>
              <w:spacing w:before="60"/>
            </w:pPr>
            <w:r w:rsidRPr="008C43DD">
              <w:t>Paper on rare breeds, local varieties or backyard flocks</w:t>
            </w:r>
          </w:p>
        </w:tc>
        <w:tc>
          <w:tcPr>
            <w:tcW w:w="1020" w:type="dxa"/>
          </w:tcPr>
          <w:p w14:paraId="4D7F6506" w14:textId="77777777" w:rsidR="00DC3F04" w:rsidRPr="008C43DD" w:rsidRDefault="00DC3F04" w:rsidP="008C43DD">
            <w:pPr>
              <w:spacing w:before="60"/>
            </w:pPr>
            <w:r w:rsidRPr="008C43DD">
              <w:t>0</w:t>
            </w:r>
          </w:p>
        </w:tc>
        <w:tc>
          <w:tcPr>
            <w:tcW w:w="5329" w:type="dxa"/>
          </w:tcPr>
          <w:p w14:paraId="2B5379B6" w14:textId="77777777" w:rsidR="00DC3F04" w:rsidRPr="00DC3F04" w:rsidRDefault="00DC3F04" w:rsidP="00DC3F04">
            <w:pPr>
              <w:pStyle w:val="NoSpacing"/>
              <w:rPr>
                <w:szCs w:val="18"/>
              </w:rPr>
            </w:pPr>
          </w:p>
        </w:tc>
      </w:tr>
      <w:tr w:rsidR="00DC3F04" w:rsidRPr="00286A88" w14:paraId="255793C8" w14:textId="77777777" w:rsidTr="005F7B38">
        <w:tc>
          <w:tcPr>
            <w:tcW w:w="3628" w:type="dxa"/>
          </w:tcPr>
          <w:p w14:paraId="586BF61E" w14:textId="77777777" w:rsidR="00DC3F04" w:rsidRPr="008C43DD" w:rsidRDefault="00DC3F04" w:rsidP="008C43DD">
            <w:pPr>
              <w:spacing w:before="60"/>
            </w:pPr>
            <w:r w:rsidRPr="008C43DD">
              <w:t>Totally</w:t>
            </w:r>
            <w:r>
              <w:t xml:space="preserve"> irrelevant e.g. people’s names</w:t>
            </w:r>
          </w:p>
        </w:tc>
        <w:tc>
          <w:tcPr>
            <w:tcW w:w="1020" w:type="dxa"/>
          </w:tcPr>
          <w:p w14:paraId="40CDB038" w14:textId="77777777" w:rsidR="00DC3F04" w:rsidRPr="008C43DD" w:rsidRDefault="00DC3F04" w:rsidP="008C43DD">
            <w:pPr>
              <w:spacing w:before="60"/>
            </w:pPr>
            <w:r w:rsidRPr="008C43DD">
              <w:t>0</w:t>
            </w:r>
          </w:p>
        </w:tc>
        <w:tc>
          <w:tcPr>
            <w:tcW w:w="5329" w:type="dxa"/>
          </w:tcPr>
          <w:p w14:paraId="2DEE2D96" w14:textId="77777777" w:rsidR="00DC3F04" w:rsidRPr="00DC3F04" w:rsidRDefault="00DC3F04" w:rsidP="00DC3F04">
            <w:pPr>
              <w:pStyle w:val="NoSpacing"/>
              <w:rPr>
                <w:szCs w:val="18"/>
              </w:rPr>
            </w:pPr>
          </w:p>
        </w:tc>
      </w:tr>
      <w:tr w:rsidR="00DC3F04" w:rsidRPr="00286A88" w14:paraId="04DE3D32" w14:textId="77777777" w:rsidTr="005F7B38">
        <w:tc>
          <w:tcPr>
            <w:tcW w:w="3628" w:type="dxa"/>
          </w:tcPr>
          <w:p w14:paraId="2BCD33A7" w14:textId="77777777" w:rsidR="00DC3F04" w:rsidRPr="008C43DD" w:rsidRDefault="00DC3F04" w:rsidP="008C43DD">
            <w:pPr>
              <w:spacing w:before="60"/>
            </w:pPr>
            <w:r w:rsidRPr="008C43DD">
              <w:t>Conference proceedings</w:t>
            </w:r>
          </w:p>
        </w:tc>
        <w:tc>
          <w:tcPr>
            <w:tcW w:w="1020" w:type="dxa"/>
          </w:tcPr>
          <w:p w14:paraId="7A4358E5" w14:textId="77777777" w:rsidR="00DC3F04" w:rsidRPr="008C43DD" w:rsidRDefault="00DC3F04" w:rsidP="008C43DD">
            <w:pPr>
              <w:spacing w:before="60"/>
            </w:pPr>
            <w:r w:rsidRPr="008C43DD">
              <w:t>3</w:t>
            </w:r>
          </w:p>
        </w:tc>
        <w:tc>
          <w:tcPr>
            <w:tcW w:w="5329" w:type="dxa"/>
          </w:tcPr>
          <w:p w14:paraId="04B6311F" w14:textId="77777777" w:rsidR="00DC3F04" w:rsidRPr="00DC3F04" w:rsidRDefault="00DC3F04" w:rsidP="00DC3F04">
            <w:pPr>
              <w:pStyle w:val="NoSpacing"/>
              <w:rPr>
                <w:szCs w:val="18"/>
              </w:rPr>
            </w:pPr>
            <w:r w:rsidRPr="00DC3F04">
              <w:rPr>
                <w:szCs w:val="18"/>
              </w:rPr>
              <w:t>The Wood-Gush legacy: A sociobiology perspective to fertility and welfare in chickens</w:t>
            </w:r>
          </w:p>
          <w:p w14:paraId="5C872357" w14:textId="77777777" w:rsidR="00DC3F04" w:rsidRPr="00DC3F04" w:rsidRDefault="00DC3F04" w:rsidP="00DC3F04">
            <w:pPr>
              <w:pStyle w:val="NoSpacing"/>
              <w:rPr>
                <w:szCs w:val="18"/>
              </w:rPr>
            </w:pPr>
            <w:r w:rsidRPr="00DC3F04">
              <w:rPr>
                <w:szCs w:val="18"/>
              </w:rPr>
              <w:t>By: Pizzari, Tommaso</w:t>
            </w:r>
          </w:p>
          <w:p w14:paraId="47639978" w14:textId="77777777" w:rsidR="00DC3F04" w:rsidRPr="00DC3F04" w:rsidRDefault="00DC3F04" w:rsidP="00DC3F04">
            <w:pPr>
              <w:pStyle w:val="NoSpacing"/>
              <w:rPr>
                <w:szCs w:val="18"/>
              </w:rPr>
            </w:pPr>
            <w:r w:rsidRPr="00DC3F04">
              <w:rPr>
                <w:szCs w:val="18"/>
              </w:rPr>
              <w:t xml:space="preserve">Conference: Congress of the International-Society-for-Applied-Ethology (ISAE) Location: Vitoria Gasteiz, SPAIN Date: 2014 </w:t>
            </w:r>
          </w:p>
          <w:p w14:paraId="53037AC4" w14:textId="77777777" w:rsidR="00DC3F04" w:rsidRPr="00DC3F04" w:rsidRDefault="00DC3F04" w:rsidP="00DC3F04">
            <w:pPr>
              <w:pStyle w:val="NoSpacing"/>
              <w:rPr>
                <w:szCs w:val="18"/>
              </w:rPr>
            </w:pPr>
            <w:r w:rsidRPr="00DC3F04">
              <w:rPr>
                <w:szCs w:val="18"/>
              </w:rPr>
              <w:t>Sponsor(s): Int Soc Appl Ethol</w:t>
            </w:r>
          </w:p>
          <w:p w14:paraId="478999CE" w14:textId="77777777" w:rsidR="00DC3F04" w:rsidRPr="00DC3F04" w:rsidRDefault="00DC3F04" w:rsidP="00DC3F04">
            <w:pPr>
              <w:pStyle w:val="NoSpacing"/>
              <w:rPr>
                <w:szCs w:val="18"/>
              </w:rPr>
            </w:pPr>
            <w:r w:rsidRPr="00DC3F04">
              <w:rPr>
                <w:szCs w:val="18"/>
              </w:rPr>
              <w:t>APPLIED ANIMAL BEHAVIOUR SCIENCE   Volume: 181   Pages: 12-18   Published: AUG 2016</w:t>
            </w:r>
          </w:p>
        </w:tc>
      </w:tr>
      <w:tr w:rsidR="00DC3F04" w:rsidRPr="00286A88" w14:paraId="1CF93EC2" w14:textId="77777777" w:rsidTr="005F7B38">
        <w:tc>
          <w:tcPr>
            <w:tcW w:w="3628" w:type="dxa"/>
          </w:tcPr>
          <w:p w14:paraId="5CDE53F8" w14:textId="77777777" w:rsidR="00DC3F04" w:rsidRPr="00916B30" w:rsidRDefault="00DC3F04" w:rsidP="00770A44">
            <w:pPr>
              <w:spacing w:before="60" w:line="240" w:lineRule="auto"/>
              <w:rPr>
                <w:rFonts w:cs="Arial"/>
                <w:b/>
                <w:color w:val="auto"/>
                <w:szCs w:val="18"/>
              </w:rPr>
            </w:pPr>
            <w:r w:rsidRPr="00916B30">
              <w:rPr>
                <w:rFonts w:cs="Arial"/>
                <w:b/>
                <w:color w:val="auto"/>
                <w:szCs w:val="18"/>
              </w:rPr>
              <w:t xml:space="preserve">Papers </w:t>
            </w:r>
            <w:r>
              <w:rPr>
                <w:rFonts w:cs="Arial"/>
                <w:b/>
                <w:color w:val="auto"/>
                <w:szCs w:val="18"/>
              </w:rPr>
              <w:t>excluded from primary search</w:t>
            </w:r>
          </w:p>
        </w:tc>
        <w:tc>
          <w:tcPr>
            <w:tcW w:w="1020" w:type="dxa"/>
          </w:tcPr>
          <w:p w14:paraId="584842C2" w14:textId="77777777" w:rsidR="00DC3F04" w:rsidRPr="00916B30" w:rsidRDefault="00DC3F04" w:rsidP="002B2473">
            <w:pPr>
              <w:spacing w:before="60" w:line="240" w:lineRule="auto"/>
              <w:rPr>
                <w:rFonts w:cs="Arial"/>
                <w:b/>
                <w:color w:val="auto"/>
                <w:szCs w:val="18"/>
              </w:rPr>
            </w:pPr>
            <w:r>
              <w:rPr>
                <w:rFonts w:cs="Arial"/>
                <w:b/>
                <w:color w:val="auto"/>
                <w:szCs w:val="18"/>
              </w:rPr>
              <w:t>61</w:t>
            </w:r>
          </w:p>
        </w:tc>
        <w:tc>
          <w:tcPr>
            <w:tcW w:w="5329" w:type="dxa"/>
          </w:tcPr>
          <w:p w14:paraId="6735FB5E" w14:textId="77777777" w:rsidR="00DC3F04" w:rsidRPr="00916B30" w:rsidRDefault="00DC3F04" w:rsidP="00301F37">
            <w:pPr>
              <w:spacing w:before="60" w:line="240" w:lineRule="auto"/>
              <w:rPr>
                <w:rFonts w:cs="Arial"/>
                <w:b/>
                <w:color w:val="auto"/>
                <w:szCs w:val="18"/>
              </w:rPr>
            </w:pPr>
            <w:r w:rsidRPr="00916B30">
              <w:rPr>
                <w:rFonts w:cs="Arial"/>
                <w:b/>
                <w:color w:val="auto"/>
                <w:szCs w:val="18"/>
              </w:rPr>
              <w:t xml:space="preserve">Papers </w:t>
            </w:r>
            <w:r>
              <w:rPr>
                <w:rFonts w:cs="Arial"/>
                <w:b/>
                <w:color w:val="auto"/>
                <w:szCs w:val="18"/>
              </w:rPr>
              <w:t>retained</w:t>
            </w:r>
            <w:r w:rsidRPr="00916B30">
              <w:rPr>
                <w:rFonts w:cs="Arial"/>
                <w:b/>
                <w:color w:val="auto"/>
                <w:szCs w:val="18"/>
              </w:rPr>
              <w:t xml:space="preserve"> </w:t>
            </w:r>
            <w:r>
              <w:rPr>
                <w:rFonts w:cs="Arial"/>
                <w:b/>
                <w:color w:val="auto"/>
                <w:szCs w:val="18"/>
              </w:rPr>
              <w:t>from primary search: 108 – 61 = 47</w:t>
            </w:r>
          </w:p>
        </w:tc>
      </w:tr>
    </w:tbl>
    <w:p w14:paraId="20E96AC0" w14:textId="77777777" w:rsidR="00286A88" w:rsidRPr="00590F0B" w:rsidRDefault="00286A88" w:rsidP="00590F0B">
      <w:pPr>
        <w:spacing w:before="240" w:after="240"/>
        <w:rPr>
          <w:b/>
          <w:i/>
          <w:lang w:val="en-GB"/>
        </w:rPr>
      </w:pPr>
      <w:r w:rsidRPr="00590F0B">
        <w:rPr>
          <w:b/>
          <w:i/>
          <w:lang w:val="en-GB"/>
        </w:rPr>
        <w:t>Broiler Breeder Secondary Searches</w:t>
      </w:r>
    </w:p>
    <w:tbl>
      <w:tblPr>
        <w:tblStyle w:val="TableGrid11"/>
        <w:tblW w:w="9954" w:type="dxa"/>
        <w:tblLook w:val="04A0" w:firstRow="1" w:lastRow="0" w:firstColumn="1" w:lastColumn="0" w:noHBand="0" w:noVBand="1"/>
        <w:tblCaption w:val="Results of secondary literature searches for meat chicken (broiler) breeder"/>
        <w:tblDescription w:val="This table shows the results of secondary literature searches for meat chicken (broiler) breeders. The left hand column shows the search terms used in the secondary searches. The second column shows the number of papers returned from each of these searches. The third column shows the additional papers included from these searches. The right hand column makes broad comments on the secondary searches."/>
      </w:tblPr>
      <w:tblGrid>
        <w:gridCol w:w="4025"/>
        <w:gridCol w:w="1020"/>
        <w:gridCol w:w="1020"/>
        <w:gridCol w:w="3889"/>
      </w:tblGrid>
      <w:tr w:rsidR="00286A88" w:rsidRPr="00286A88" w14:paraId="7923E070" w14:textId="77777777" w:rsidTr="00587D34">
        <w:trPr>
          <w:tblHeader/>
        </w:trPr>
        <w:tc>
          <w:tcPr>
            <w:tcW w:w="4025" w:type="dxa"/>
            <w:shd w:val="clear" w:color="auto" w:fill="auto"/>
          </w:tcPr>
          <w:p w14:paraId="35B10C29" w14:textId="77777777" w:rsidR="00286A88" w:rsidRPr="008970FA" w:rsidRDefault="00286A88" w:rsidP="008970FA">
            <w:pPr>
              <w:spacing w:before="60" w:line="240" w:lineRule="auto"/>
              <w:rPr>
                <w:rFonts w:cs="Arial"/>
                <w:b/>
                <w:color w:val="auto"/>
                <w:szCs w:val="18"/>
              </w:rPr>
            </w:pPr>
            <w:r w:rsidRPr="008970FA">
              <w:rPr>
                <w:rFonts w:cs="Arial"/>
                <w:b/>
                <w:color w:val="auto"/>
                <w:szCs w:val="18"/>
              </w:rPr>
              <w:t>Search terms for synonyms of species or welfare</w:t>
            </w:r>
          </w:p>
        </w:tc>
        <w:tc>
          <w:tcPr>
            <w:tcW w:w="1020" w:type="dxa"/>
            <w:shd w:val="clear" w:color="auto" w:fill="auto"/>
          </w:tcPr>
          <w:p w14:paraId="642C5483" w14:textId="77777777" w:rsidR="00286A88" w:rsidRPr="00A772EA" w:rsidRDefault="00286A88" w:rsidP="008970FA">
            <w:pPr>
              <w:spacing w:before="60" w:line="240" w:lineRule="auto"/>
              <w:rPr>
                <w:rFonts w:cs="Arial"/>
                <w:color w:val="auto"/>
                <w:szCs w:val="18"/>
              </w:rPr>
            </w:pPr>
            <w:r w:rsidRPr="00A772EA">
              <w:rPr>
                <w:rFonts w:cs="Arial"/>
                <w:color w:val="auto"/>
                <w:szCs w:val="18"/>
              </w:rPr>
              <w:t>Hits</w:t>
            </w:r>
          </w:p>
        </w:tc>
        <w:tc>
          <w:tcPr>
            <w:tcW w:w="1020" w:type="dxa"/>
            <w:shd w:val="clear" w:color="auto" w:fill="auto"/>
          </w:tcPr>
          <w:p w14:paraId="13B31AB5" w14:textId="77777777" w:rsidR="00286A88" w:rsidRPr="00A772EA" w:rsidRDefault="00286A88" w:rsidP="008970FA">
            <w:pPr>
              <w:spacing w:before="60" w:line="240" w:lineRule="auto"/>
              <w:rPr>
                <w:rFonts w:cs="Arial"/>
                <w:color w:val="auto"/>
                <w:szCs w:val="18"/>
              </w:rPr>
            </w:pPr>
            <w:r w:rsidRPr="00A772EA">
              <w:rPr>
                <w:rFonts w:cs="Arial"/>
                <w:color w:val="auto"/>
                <w:szCs w:val="18"/>
              </w:rPr>
              <w:t>Additional Papers Included</w:t>
            </w:r>
          </w:p>
        </w:tc>
        <w:tc>
          <w:tcPr>
            <w:tcW w:w="3889" w:type="dxa"/>
            <w:shd w:val="clear" w:color="auto" w:fill="auto"/>
          </w:tcPr>
          <w:p w14:paraId="5914418F" w14:textId="77777777" w:rsidR="00286A88" w:rsidRPr="00A772EA" w:rsidRDefault="00286A88" w:rsidP="008970FA">
            <w:pPr>
              <w:spacing w:before="60" w:line="240" w:lineRule="auto"/>
              <w:rPr>
                <w:rFonts w:cs="Arial"/>
                <w:color w:val="auto"/>
                <w:szCs w:val="18"/>
              </w:rPr>
            </w:pPr>
            <w:r w:rsidRPr="00A772EA">
              <w:rPr>
                <w:rFonts w:cs="Arial"/>
                <w:color w:val="auto"/>
                <w:szCs w:val="18"/>
              </w:rPr>
              <w:t>Comments</w:t>
            </w:r>
          </w:p>
        </w:tc>
      </w:tr>
      <w:tr w:rsidR="00286A88" w:rsidRPr="00286A88" w14:paraId="32025D55" w14:textId="77777777" w:rsidTr="007975A6">
        <w:tc>
          <w:tcPr>
            <w:tcW w:w="4025" w:type="dxa"/>
          </w:tcPr>
          <w:p w14:paraId="7066328E" w14:textId="77777777" w:rsidR="00286A88" w:rsidRPr="008970FA" w:rsidRDefault="00286A88" w:rsidP="008970FA">
            <w:pPr>
              <w:spacing w:before="60" w:line="240" w:lineRule="auto"/>
              <w:rPr>
                <w:rFonts w:cs="Arial"/>
                <w:color w:val="auto"/>
                <w:szCs w:val="18"/>
              </w:rPr>
            </w:pPr>
            <w:r w:rsidRPr="008970FA">
              <w:rPr>
                <w:rFonts w:cs="Arial"/>
                <w:color w:val="auto"/>
                <w:szCs w:val="18"/>
              </w:rPr>
              <w:t>“broiler breeder” AND wellbeing</w:t>
            </w:r>
          </w:p>
        </w:tc>
        <w:tc>
          <w:tcPr>
            <w:tcW w:w="1020" w:type="dxa"/>
          </w:tcPr>
          <w:p w14:paraId="1BAE53D2" w14:textId="77777777" w:rsidR="00286A88" w:rsidRPr="008970FA" w:rsidRDefault="00286A88" w:rsidP="008970FA">
            <w:pPr>
              <w:spacing w:before="60" w:line="240" w:lineRule="auto"/>
              <w:rPr>
                <w:rFonts w:cs="Arial"/>
                <w:color w:val="auto"/>
                <w:szCs w:val="18"/>
              </w:rPr>
            </w:pPr>
            <w:r w:rsidRPr="008970FA">
              <w:rPr>
                <w:rFonts w:cs="Arial"/>
                <w:color w:val="auto"/>
                <w:szCs w:val="18"/>
              </w:rPr>
              <w:t>1</w:t>
            </w:r>
          </w:p>
        </w:tc>
        <w:tc>
          <w:tcPr>
            <w:tcW w:w="1020" w:type="dxa"/>
          </w:tcPr>
          <w:p w14:paraId="09D257DD" w14:textId="77777777" w:rsidR="00286A88" w:rsidRPr="008970FA" w:rsidRDefault="00286A88" w:rsidP="008970FA">
            <w:pPr>
              <w:spacing w:before="60" w:line="240" w:lineRule="auto"/>
              <w:rPr>
                <w:rFonts w:cs="Arial"/>
                <w:color w:val="auto"/>
                <w:szCs w:val="18"/>
              </w:rPr>
            </w:pPr>
            <w:r w:rsidRPr="008970FA">
              <w:rPr>
                <w:rFonts w:cs="Arial"/>
                <w:color w:val="auto"/>
                <w:szCs w:val="18"/>
              </w:rPr>
              <w:t>0</w:t>
            </w:r>
          </w:p>
        </w:tc>
        <w:tc>
          <w:tcPr>
            <w:tcW w:w="3889" w:type="dxa"/>
          </w:tcPr>
          <w:p w14:paraId="65817214" w14:textId="77777777" w:rsidR="00286A88" w:rsidRPr="008970FA" w:rsidRDefault="00286A88" w:rsidP="008970FA">
            <w:pPr>
              <w:spacing w:before="60" w:line="240" w:lineRule="auto"/>
              <w:rPr>
                <w:rFonts w:cs="Arial"/>
                <w:color w:val="auto"/>
                <w:szCs w:val="18"/>
              </w:rPr>
            </w:pPr>
            <w:r w:rsidRPr="008970FA">
              <w:rPr>
                <w:rFonts w:cs="Arial"/>
                <w:color w:val="auto"/>
                <w:szCs w:val="18"/>
              </w:rPr>
              <w:t>No additional relevant papers</w:t>
            </w:r>
          </w:p>
        </w:tc>
      </w:tr>
      <w:tr w:rsidR="00286A88" w:rsidRPr="00286A88" w14:paraId="45E56241" w14:textId="77777777" w:rsidTr="007975A6">
        <w:tc>
          <w:tcPr>
            <w:tcW w:w="4025" w:type="dxa"/>
            <w:tcBorders>
              <w:bottom w:val="single" w:sz="4" w:space="0" w:color="auto"/>
            </w:tcBorders>
          </w:tcPr>
          <w:p w14:paraId="1FC34738" w14:textId="77777777" w:rsidR="00286A88" w:rsidRPr="008970FA" w:rsidRDefault="00286A88" w:rsidP="008970FA">
            <w:pPr>
              <w:spacing w:before="60" w:line="240" w:lineRule="auto"/>
              <w:rPr>
                <w:rFonts w:cs="Arial"/>
                <w:color w:val="auto"/>
                <w:szCs w:val="18"/>
              </w:rPr>
            </w:pPr>
            <w:r w:rsidRPr="008970FA">
              <w:rPr>
                <w:rFonts w:cs="Arial"/>
                <w:color w:val="auto"/>
                <w:szCs w:val="18"/>
              </w:rPr>
              <w:t>“broiler breeder” AND well-being</w:t>
            </w:r>
          </w:p>
        </w:tc>
        <w:tc>
          <w:tcPr>
            <w:tcW w:w="1020" w:type="dxa"/>
          </w:tcPr>
          <w:p w14:paraId="218FF1CF" w14:textId="77777777" w:rsidR="00286A88" w:rsidRPr="008970FA" w:rsidRDefault="00286A88" w:rsidP="008970FA">
            <w:pPr>
              <w:spacing w:before="60" w:line="240" w:lineRule="auto"/>
              <w:rPr>
                <w:rFonts w:cs="Arial"/>
                <w:color w:val="auto"/>
                <w:szCs w:val="18"/>
              </w:rPr>
            </w:pPr>
            <w:r w:rsidRPr="008970FA">
              <w:rPr>
                <w:rFonts w:cs="Arial"/>
                <w:color w:val="auto"/>
                <w:szCs w:val="18"/>
              </w:rPr>
              <w:t>7</w:t>
            </w:r>
          </w:p>
        </w:tc>
        <w:tc>
          <w:tcPr>
            <w:tcW w:w="1020" w:type="dxa"/>
          </w:tcPr>
          <w:p w14:paraId="2A3C4A19" w14:textId="77777777" w:rsidR="00286A88" w:rsidRPr="008970FA" w:rsidRDefault="00286A88" w:rsidP="008970FA">
            <w:pPr>
              <w:spacing w:before="60" w:line="240" w:lineRule="auto"/>
              <w:rPr>
                <w:rFonts w:cs="Arial"/>
                <w:color w:val="auto"/>
                <w:szCs w:val="18"/>
              </w:rPr>
            </w:pPr>
            <w:r w:rsidRPr="008970FA">
              <w:rPr>
                <w:rFonts w:cs="Arial"/>
                <w:color w:val="auto"/>
                <w:szCs w:val="18"/>
              </w:rPr>
              <w:t>0</w:t>
            </w:r>
          </w:p>
        </w:tc>
        <w:tc>
          <w:tcPr>
            <w:tcW w:w="3889" w:type="dxa"/>
          </w:tcPr>
          <w:p w14:paraId="65F367E3" w14:textId="77777777" w:rsidR="00286A88" w:rsidRPr="008970FA" w:rsidRDefault="00286A88" w:rsidP="008970FA">
            <w:pPr>
              <w:spacing w:before="60" w:line="240" w:lineRule="auto"/>
              <w:rPr>
                <w:rFonts w:cs="Arial"/>
                <w:color w:val="auto"/>
                <w:szCs w:val="18"/>
              </w:rPr>
            </w:pPr>
            <w:r w:rsidRPr="008970FA">
              <w:rPr>
                <w:rFonts w:cs="Arial"/>
                <w:color w:val="auto"/>
                <w:szCs w:val="18"/>
              </w:rPr>
              <w:t>No additional relevant papers</w:t>
            </w:r>
          </w:p>
        </w:tc>
      </w:tr>
      <w:tr w:rsidR="00286A88" w:rsidRPr="00286A88" w14:paraId="427F220F" w14:textId="77777777" w:rsidTr="00587D34">
        <w:tc>
          <w:tcPr>
            <w:tcW w:w="4025" w:type="dxa"/>
            <w:shd w:val="clear" w:color="auto" w:fill="auto"/>
          </w:tcPr>
          <w:p w14:paraId="0BF73BF2" w14:textId="77777777" w:rsidR="00286A88" w:rsidRPr="008970FA" w:rsidRDefault="00286A88" w:rsidP="008970FA">
            <w:pPr>
              <w:spacing w:before="60" w:line="240" w:lineRule="auto"/>
              <w:rPr>
                <w:rFonts w:cs="Arial"/>
                <w:b/>
                <w:color w:val="auto"/>
                <w:szCs w:val="18"/>
              </w:rPr>
            </w:pPr>
            <w:r w:rsidRPr="008970FA">
              <w:rPr>
                <w:rFonts w:cs="Arial"/>
                <w:b/>
                <w:color w:val="auto"/>
                <w:szCs w:val="18"/>
              </w:rPr>
              <w:t>Search for sub-sets of terms relevant to welfare</w:t>
            </w:r>
          </w:p>
        </w:tc>
        <w:tc>
          <w:tcPr>
            <w:tcW w:w="1020" w:type="dxa"/>
            <w:shd w:val="clear" w:color="auto" w:fill="auto"/>
          </w:tcPr>
          <w:p w14:paraId="26C36EB5" w14:textId="77777777" w:rsidR="00286A88" w:rsidRPr="008970FA" w:rsidRDefault="00286A88" w:rsidP="008970FA">
            <w:pPr>
              <w:spacing w:before="60" w:line="240" w:lineRule="auto"/>
              <w:rPr>
                <w:rFonts w:cs="Arial"/>
                <w:color w:val="auto"/>
                <w:szCs w:val="18"/>
              </w:rPr>
            </w:pPr>
          </w:p>
        </w:tc>
        <w:tc>
          <w:tcPr>
            <w:tcW w:w="1020" w:type="dxa"/>
            <w:shd w:val="clear" w:color="auto" w:fill="auto"/>
          </w:tcPr>
          <w:p w14:paraId="327AEDA5" w14:textId="77777777" w:rsidR="00286A88" w:rsidRPr="008970FA" w:rsidRDefault="00286A88" w:rsidP="008970FA">
            <w:pPr>
              <w:spacing w:before="60" w:line="240" w:lineRule="auto"/>
              <w:rPr>
                <w:rFonts w:cs="Arial"/>
                <w:color w:val="auto"/>
                <w:szCs w:val="18"/>
              </w:rPr>
            </w:pPr>
          </w:p>
        </w:tc>
        <w:tc>
          <w:tcPr>
            <w:tcW w:w="3889" w:type="dxa"/>
            <w:shd w:val="clear" w:color="auto" w:fill="auto"/>
          </w:tcPr>
          <w:p w14:paraId="30FBAF41" w14:textId="77777777" w:rsidR="00286A88" w:rsidRPr="008970FA" w:rsidRDefault="00286A88" w:rsidP="008970FA">
            <w:pPr>
              <w:spacing w:before="60" w:line="240" w:lineRule="auto"/>
              <w:rPr>
                <w:rFonts w:cs="Arial"/>
                <w:color w:val="auto"/>
                <w:szCs w:val="18"/>
              </w:rPr>
            </w:pPr>
          </w:p>
        </w:tc>
      </w:tr>
      <w:tr w:rsidR="00286A88" w:rsidRPr="00286A88" w14:paraId="725E2CF2" w14:textId="77777777" w:rsidTr="007975A6">
        <w:tc>
          <w:tcPr>
            <w:tcW w:w="4025" w:type="dxa"/>
          </w:tcPr>
          <w:p w14:paraId="224A844D" w14:textId="77777777" w:rsidR="00286A88" w:rsidRPr="008970FA" w:rsidRDefault="00046273" w:rsidP="008970FA">
            <w:pPr>
              <w:spacing w:before="60" w:line="240" w:lineRule="auto"/>
              <w:rPr>
                <w:rFonts w:cs="Arial"/>
                <w:color w:val="auto"/>
                <w:szCs w:val="18"/>
              </w:rPr>
            </w:pPr>
            <w:r>
              <w:rPr>
                <w:rFonts w:cs="Arial"/>
                <w:color w:val="auto"/>
                <w:szCs w:val="18"/>
              </w:rPr>
              <w:t>“broiler breeder” AND h</w:t>
            </w:r>
            <w:r w:rsidR="00286A88" w:rsidRPr="008970FA">
              <w:rPr>
                <w:rFonts w:cs="Arial"/>
                <w:color w:val="auto"/>
                <w:szCs w:val="18"/>
              </w:rPr>
              <w:t>ealth</w:t>
            </w:r>
          </w:p>
        </w:tc>
        <w:tc>
          <w:tcPr>
            <w:tcW w:w="1020" w:type="dxa"/>
          </w:tcPr>
          <w:p w14:paraId="1FC23233" w14:textId="77777777" w:rsidR="00286A88" w:rsidRPr="008970FA" w:rsidRDefault="00286A88" w:rsidP="008970FA">
            <w:pPr>
              <w:spacing w:before="60" w:line="240" w:lineRule="auto"/>
              <w:rPr>
                <w:rFonts w:cs="Arial"/>
                <w:color w:val="auto"/>
                <w:szCs w:val="18"/>
              </w:rPr>
            </w:pPr>
            <w:r w:rsidRPr="008970FA">
              <w:rPr>
                <w:rFonts w:cs="Arial"/>
                <w:color w:val="auto"/>
                <w:szCs w:val="18"/>
              </w:rPr>
              <w:t>66</w:t>
            </w:r>
          </w:p>
        </w:tc>
        <w:tc>
          <w:tcPr>
            <w:tcW w:w="1020" w:type="dxa"/>
          </w:tcPr>
          <w:p w14:paraId="780C9927" w14:textId="77777777" w:rsidR="00286A88" w:rsidRPr="008970FA" w:rsidRDefault="00286A88" w:rsidP="008970FA">
            <w:pPr>
              <w:spacing w:before="60" w:line="240" w:lineRule="auto"/>
              <w:rPr>
                <w:rFonts w:cs="Arial"/>
                <w:color w:val="auto"/>
                <w:szCs w:val="18"/>
              </w:rPr>
            </w:pPr>
            <w:r w:rsidRPr="008970FA">
              <w:rPr>
                <w:rFonts w:cs="Arial"/>
                <w:color w:val="auto"/>
                <w:szCs w:val="18"/>
              </w:rPr>
              <w:t>4</w:t>
            </w:r>
          </w:p>
        </w:tc>
        <w:tc>
          <w:tcPr>
            <w:tcW w:w="3889" w:type="dxa"/>
          </w:tcPr>
          <w:p w14:paraId="165C6A14" w14:textId="77777777" w:rsidR="00286A88" w:rsidRPr="008970FA" w:rsidRDefault="00286A88" w:rsidP="008970FA">
            <w:pPr>
              <w:spacing w:before="60" w:line="240" w:lineRule="auto"/>
              <w:rPr>
                <w:rFonts w:cs="Arial"/>
                <w:color w:val="auto"/>
                <w:szCs w:val="18"/>
              </w:rPr>
            </w:pPr>
            <w:r w:rsidRPr="008970FA">
              <w:rPr>
                <w:rFonts w:cs="Arial"/>
                <w:color w:val="auto"/>
                <w:szCs w:val="18"/>
              </w:rPr>
              <w:t>Papers on dietary supplements not included</w:t>
            </w:r>
          </w:p>
        </w:tc>
      </w:tr>
      <w:tr w:rsidR="00286A88" w:rsidRPr="00286A88" w14:paraId="218582C8" w14:textId="77777777" w:rsidTr="007975A6">
        <w:tc>
          <w:tcPr>
            <w:tcW w:w="4025" w:type="dxa"/>
          </w:tcPr>
          <w:p w14:paraId="21EF3C26" w14:textId="77777777" w:rsidR="00286A88" w:rsidRPr="008970FA" w:rsidRDefault="00286A88" w:rsidP="008970FA">
            <w:pPr>
              <w:spacing w:before="60" w:line="240" w:lineRule="auto"/>
              <w:rPr>
                <w:rFonts w:cs="Arial"/>
                <w:color w:val="auto"/>
                <w:szCs w:val="18"/>
              </w:rPr>
            </w:pPr>
            <w:r w:rsidRPr="008970FA">
              <w:rPr>
                <w:rFonts w:cs="Arial"/>
                <w:color w:val="auto"/>
                <w:szCs w:val="18"/>
              </w:rPr>
              <w:t>“broiler breeder” AND (stress* or fear*)</w:t>
            </w:r>
          </w:p>
        </w:tc>
        <w:tc>
          <w:tcPr>
            <w:tcW w:w="1020" w:type="dxa"/>
          </w:tcPr>
          <w:p w14:paraId="71E33792" w14:textId="77777777" w:rsidR="00286A88" w:rsidRPr="008970FA" w:rsidRDefault="00286A88" w:rsidP="008970FA">
            <w:pPr>
              <w:spacing w:before="60" w:line="240" w:lineRule="auto"/>
              <w:rPr>
                <w:rFonts w:cs="Arial"/>
                <w:color w:val="auto"/>
                <w:szCs w:val="18"/>
              </w:rPr>
            </w:pPr>
            <w:r w:rsidRPr="008970FA">
              <w:rPr>
                <w:rFonts w:cs="Arial"/>
                <w:color w:val="auto"/>
                <w:szCs w:val="18"/>
              </w:rPr>
              <w:t>181</w:t>
            </w:r>
          </w:p>
        </w:tc>
        <w:tc>
          <w:tcPr>
            <w:tcW w:w="1020" w:type="dxa"/>
          </w:tcPr>
          <w:p w14:paraId="34D7DDF7" w14:textId="77777777" w:rsidR="00286A88" w:rsidRPr="008970FA" w:rsidRDefault="00286A88" w:rsidP="008970FA">
            <w:pPr>
              <w:spacing w:before="60" w:line="240" w:lineRule="auto"/>
              <w:rPr>
                <w:rFonts w:cs="Arial"/>
                <w:color w:val="auto"/>
                <w:szCs w:val="18"/>
              </w:rPr>
            </w:pPr>
            <w:r w:rsidRPr="008970FA">
              <w:rPr>
                <w:rFonts w:cs="Arial"/>
                <w:color w:val="auto"/>
                <w:szCs w:val="18"/>
              </w:rPr>
              <w:t>4</w:t>
            </w:r>
          </w:p>
        </w:tc>
        <w:tc>
          <w:tcPr>
            <w:tcW w:w="3889" w:type="dxa"/>
          </w:tcPr>
          <w:p w14:paraId="586B255F" w14:textId="77777777" w:rsidR="00286A88" w:rsidRPr="008970FA" w:rsidRDefault="00286A88" w:rsidP="008970FA">
            <w:pPr>
              <w:spacing w:before="60" w:line="240" w:lineRule="auto"/>
              <w:rPr>
                <w:rFonts w:cs="Arial"/>
                <w:color w:val="auto"/>
                <w:szCs w:val="18"/>
              </w:rPr>
            </w:pPr>
            <w:r w:rsidRPr="008970FA">
              <w:rPr>
                <w:rFonts w:cs="Arial"/>
                <w:color w:val="auto"/>
                <w:szCs w:val="18"/>
              </w:rPr>
              <w:t>Papers relating to incubation temp and egg quality not included</w:t>
            </w:r>
          </w:p>
        </w:tc>
      </w:tr>
      <w:tr w:rsidR="00286A88" w:rsidRPr="00286A88" w14:paraId="0E2E6A09" w14:textId="77777777" w:rsidTr="007975A6">
        <w:tc>
          <w:tcPr>
            <w:tcW w:w="4025" w:type="dxa"/>
          </w:tcPr>
          <w:p w14:paraId="19F70142" w14:textId="77777777" w:rsidR="00286A88" w:rsidRPr="008970FA" w:rsidRDefault="00286A88" w:rsidP="00046273">
            <w:pPr>
              <w:spacing w:before="60" w:line="240" w:lineRule="auto"/>
              <w:rPr>
                <w:rFonts w:cs="Arial"/>
                <w:color w:val="auto"/>
                <w:szCs w:val="18"/>
              </w:rPr>
            </w:pPr>
            <w:r w:rsidRPr="008970FA">
              <w:rPr>
                <w:rFonts w:cs="Arial"/>
                <w:color w:val="auto"/>
                <w:szCs w:val="18"/>
              </w:rPr>
              <w:t>“broiler breeder” AND (injur* OR cull* OR mortali*)</w:t>
            </w:r>
          </w:p>
        </w:tc>
        <w:tc>
          <w:tcPr>
            <w:tcW w:w="1020" w:type="dxa"/>
          </w:tcPr>
          <w:p w14:paraId="33F80935" w14:textId="77777777" w:rsidR="00286A88" w:rsidRPr="008970FA" w:rsidRDefault="00286A88" w:rsidP="008970FA">
            <w:pPr>
              <w:spacing w:before="60" w:line="240" w:lineRule="auto"/>
              <w:rPr>
                <w:rFonts w:cs="Arial"/>
                <w:color w:val="auto"/>
                <w:szCs w:val="18"/>
              </w:rPr>
            </w:pPr>
            <w:r w:rsidRPr="008970FA">
              <w:rPr>
                <w:rFonts w:cs="Arial"/>
                <w:color w:val="auto"/>
                <w:szCs w:val="18"/>
              </w:rPr>
              <w:t>279</w:t>
            </w:r>
          </w:p>
        </w:tc>
        <w:tc>
          <w:tcPr>
            <w:tcW w:w="1020" w:type="dxa"/>
          </w:tcPr>
          <w:p w14:paraId="4D8613FD" w14:textId="77777777" w:rsidR="00286A88" w:rsidRPr="008970FA" w:rsidRDefault="00286A88" w:rsidP="008970FA">
            <w:pPr>
              <w:spacing w:before="60" w:line="240" w:lineRule="auto"/>
              <w:rPr>
                <w:rFonts w:cs="Arial"/>
                <w:color w:val="auto"/>
                <w:szCs w:val="18"/>
              </w:rPr>
            </w:pPr>
            <w:r w:rsidRPr="008970FA">
              <w:rPr>
                <w:rFonts w:cs="Arial"/>
                <w:color w:val="auto"/>
                <w:szCs w:val="18"/>
              </w:rPr>
              <w:t>15</w:t>
            </w:r>
          </w:p>
        </w:tc>
        <w:tc>
          <w:tcPr>
            <w:tcW w:w="3889" w:type="dxa"/>
          </w:tcPr>
          <w:p w14:paraId="2BB9B3AB" w14:textId="77777777" w:rsidR="00286A88" w:rsidRPr="008970FA" w:rsidRDefault="00286A88" w:rsidP="008970FA">
            <w:pPr>
              <w:spacing w:before="60" w:line="240" w:lineRule="auto"/>
              <w:rPr>
                <w:rFonts w:cs="Arial"/>
                <w:color w:val="auto"/>
                <w:szCs w:val="18"/>
              </w:rPr>
            </w:pPr>
            <w:r w:rsidRPr="008970FA">
              <w:rPr>
                <w:rFonts w:cs="Arial"/>
                <w:color w:val="auto"/>
                <w:szCs w:val="18"/>
              </w:rPr>
              <w:t>Papers relating to vaccination or dietary supplementation omitted.</w:t>
            </w:r>
          </w:p>
        </w:tc>
      </w:tr>
      <w:tr w:rsidR="00286A88" w:rsidRPr="00286A88" w14:paraId="38161E61" w14:textId="77777777" w:rsidTr="007975A6">
        <w:tc>
          <w:tcPr>
            <w:tcW w:w="4025" w:type="dxa"/>
          </w:tcPr>
          <w:p w14:paraId="25A6969D" w14:textId="77777777" w:rsidR="00286A88" w:rsidRPr="008970FA" w:rsidRDefault="00286A88" w:rsidP="009E50B5">
            <w:pPr>
              <w:spacing w:before="60" w:line="240" w:lineRule="auto"/>
              <w:rPr>
                <w:rFonts w:cs="Arial"/>
                <w:color w:val="auto"/>
                <w:szCs w:val="18"/>
              </w:rPr>
            </w:pPr>
            <w:r w:rsidRPr="008970FA">
              <w:rPr>
                <w:rFonts w:cs="Arial"/>
                <w:color w:val="auto"/>
                <w:szCs w:val="18"/>
              </w:rPr>
              <w:t>“broiler breeder”  AND (density OR space)</w:t>
            </w:r>
          </w:p>
        </w:tc>
        <w:tc>
          <w:tcPr>
            <w:tcW w:w="1020" w:type="dxa"/>
          </w:tcPr>
          <w:p w14:paraId="02ECD97C" w14:textId="77777777" w:rsidR="00286A88" w:rsidRPr="008970FA" w:rsidRDefault="00286A88" w:rsidP="008970FA">
            <w:pPr>
              <w:spacing w:before="60" w:line="240" w:lineRule="auto"/>
              <w:rPr>
                <w:rFonts w:cs="Arial"/>
                <w:color w:val="auto"/>
                <w:szCs w:val="18"/>
              </w:rPr>
            </w:pPr>
            <w:r w:rsidRPr="008970FA">
              <w:rPr>
                <w:rFonts w:cs="Arial"/>
                <w:color w:val="auto"/>
                <w:szCs w:val="18"/>
              </w:rPr>
              <w:t>88</w:t>
            </w:r>
          </w:p>
        </w:tc>
        <w:tc>
          <w:tcPr>
            <w:tcW w:w="1020" w:type="dxa"/>
          </w:tcPr>
          <w:p w14:paraId="5360125C" w14:textId="77777777" w:rsidR="00286A88" w:rsidRPr="008970FA" w:rsidRDefault="00286A88" w:rsidP="008970FA">
            <w:pPr>
              <w:spacing w:before="60" w:line="240" w:lineRule="auto"/>
              <w:rPr>
                <w:rFonts w:cs="Arial"/>
                <w:color w:val="auto"/>
                <w:szCs w:val="18"/>
              </w:rPr>
            </w:pPr>
            <w:r w:rsidRPr="008970FA">
              <w:rPr>
                <w:rFonts w:cs="Arial"/>
                <w:color w:val="auto"/>
                <w:szCs w:val="18"/>
              </w:rPr>
              <w:t>0</w:t>
            </w:r>
          </w:p>
        </w:tc>
        <w:tc>
          <w:tcPr>
            <w:tcW w:w="3889" w:type="dxa"/>
          </w:tcPr>
          <w:p w14:paraId="27AD22A0" w14:textId="77777777" w:rsidR="00286A88" w:rsidRPr="008970FA" w:rsidRDefault="00286A88" w:rsidP="008970FA">
            <w:pPr>
              <w:spacing w:before="60" w:line="240" w:lineRule="auto"/>
              <w:rPr>
                <w:rFonts w:cs="Arial"/>
                <w:color w:val="auto"/>
                <w:szCs w:val="18"/>
              </w:rPr>
            </w:pPr>
            <w:r w:rsidRPr="008970FA">
              <w:rPr>
                <w:rFonts w:cs="Arial"/>
                <w:color w:val="auto"/>
                <w:szCs w:val="18"/>
              </w:rPr>
              <w:t>No additional relevant papers</w:t>
            </w:r>
          </w:p>
        </w:tc>
      </w:tr>
      <w:tr w:rsidR="00286A88" w:rsidRPr="00286A88" w14:paraId="35718A22" w14:textId="77777777" w:rsidTr="007975A6">
        <w:tc>
          <w:tcPr>
            <w:tcW w:w="4025" w:type="dxa"/>
          </w:tcPr>
          <w:p w14:paraId="4398494D" w14:textId="77777777" w:rsidR="00286A88" w:rsidRPr="008970FA" w:rsidRDefault="00286A88" w:rsidP="008970FA">
            <w:pPr>
              <w:spacing w:before="60" w:line="240" w:lineRule="auto"/>
              <w:rPr>
                <w:rFonts w:cs="Arial"/>
                <w:color w:val="auto"/>
                <w:szCs w:val="18"/>
              </w:rPr>
            </w:pPr>
            <w:r w:rsidRPr="008970FA">
              <w:rPr>
                <w:rFonts w:cs="Arial"/>
                <w:color w:val="auto"/>
                <w:szCs w:val="18"/>
              </w:rPr>
              <w:t>“broiler breeder”  AND (enrich* OR nest* OR perch* OR litter)</w:t>
            </w:r>
          </w:p>
        </w:tc>
        <w:tc>
          <w:tcPr>
            <w:tcW w:w="1020" w:type="dxa"/>
          </w:tcPr>
          <w:p w14:paraId="4440F58D" w14:textId="77777777" w:rsidR="00286A88" w:rsidRPr="008970FA" w:rsidRDefault="00286A88" w:rsidP="008970FA">
            <w:pPr>
              <w:spacing w:before="60" w:line="240" w:lineRule="auto"/>
              <w:rPr>
                <w:rFonts w:cs="Arial"/>
                <w:color w:val="auto"/>
                <w:szCs w:val="18"/>
              </w:rPr>
            </w:pPr>
            <w:r w:rsidRPr="008970FA">
              <w:rPr>
                <w:rFonts w:cs="Arial"/>
                <w:color w:val="auto"/>
                <w:szCs w:val="18"/>
              </w:rPr>
              <w:t>130</w:t>
            </w:r>
          </w:p>
        </w:tc>
        <w:tc>
          <w:tcPr>
            <w:tcW w:w="1020" w:type="dxa"/>
          </w:tcPr>
          <w:p w14:paraId="0B18EF41" w14:textId="77777777" w:rsidR="00286A88" w:rsidRPr="008970FA" w:rsidRDefault="00286A88" w:rsidP="008970FA">
            <w:pPr>
              <w:spacing w:before="60" w:line="240" w:lineRule="auto"/>
              <w:rPr>
                <w:rFonts w:cs="Arial"/>
                <w:color w:val="auto"/>
                <w:szCs w:val="18"/>
              </w:rPr>
            </w:pPr>
            <w:r w:rsidRPr="008970FA">
              <w:rPr>
                <w:rFonts w:cs="Arial"/>
                <w:color w:val="auto"/>
                <w:szCs w:val="18"/>
              </w:rPr>
              <w:t>2</w:t>
            </w:r>
          </w:p>
        </w:tc>
        <w:tc>
          <w:tcPr>
            <w:tcW w:w="3889" w:type="dxa"/>
          </w:tcPr>
          <w:p w14:paraId="569F3999" w14:textId="77777777" w:rsidR="00286A88" w:rsidRPr="008970FA" w:rsidRDefault="00286A88" w:rsidP="008970FA">
            <w:pPr>
              <w:spacing w:before="60" w:line="240" w:lineRule="auto"/>
              <w:rPr>
                <w:rFonts w:cs="Arial"/>
                <w:color w:val="auto"/>
                <w:szCs w:val="18"/>
              </w:rPr>
            </w:pPr>
            <w:r w:rsidRPr="008970FA">
              <w:rPr>
                <w:rFonts w:cs="Arial"/>
                <w:color w:val="auto"/>
                <w:szCs w:val="18"/>
              </w:rPr>
              <w:t>Papers on egg production parameters not included</w:t>
            </w:r>
          </w:p>
        </w:tc>
      </w:tr>
      <w:tr w:rsidR="00286A88" w:rsidRPr="00286A88" w14:paraId="6D4D48DE" w14:textId="77777777" w:rsidTr="007975A6">
        <w:tc>
          <w:tcPr>
            <w:tcW w:w="4025" w:type="dxa"/>
          </w:tcPr>
          <w:p w14:paraId="5FCD153D" w14:textId="77777777" w:rsidR="00286A88" w:rsidRPr="008970FA" w:rsidRDefault="00286A88" w:rsidP="008970FA">
            <w:pPr>
              <w:spacing w:before="60" w:line="240" w:lineRule="auto"/>
              <w:rPr>
                <w:rFonts w:cs="Arial"/>
                <w:color w:val="auto"/>
                <w:szCs w:val="18"/>
              </w:rPr>
            </w:pPr>
            <w:r w:rsidRPr="008970FA">
              <w:rPr>
                <w:rFonts w:cs="Arial"/>
                <w:color w:val="auto"/>
                <w:szCs w:val="18"/>
              </w:rPr>
              <w:t>“broiler breeder” AND (“dust bath” OR dustbath*)</w:t>
            </w:r>
          </w:p>
        </w:tc>
        <w:tc>
          <w:tcPr>
            <w:tcW w:w="1020" w:type="dxa"/>
          </w:tcPr>
          <w:p w14:paraId="59B4ABA9" w14:textId="77777777" w:rsidR="00286A88" w:rsidRPr="008970FA" w:rsidRDefault="00286A88" w:rsidP="008970FA">
            <w:pPr>
              <w:spacing w:before="60" w:line="240" w:lineRule="auto"/>
              <w:rPr>
                <w:rFonts w:cs="Arial"/>
                <w:color w:val="auto"/>
                <w:szCs w:val="18"/>
              </w:rPr>
            </w:pPr>
            <w:r w:rsidRPr="008970FA">
              <w:rPr>
                <w:rFonts w:cs="Arial"/>
                <w:color w:val="auto"/>
                <w:szCs w:val="18"/>
              </w:rPr>
              <w:t>1</w:t>
            </w:r>
          </w:p>
        </w:tc>
        <w:tc>
          <w:tcPr>
            <w:tcW w:w="1020" w:type="dxa"/>
          </w:tcPr>
          <w:p w14:paraId="032A5ED2" w14:textId="77777777" w:rsidR="00286A88" w:rsidRPr="008970FA" w:rsidRDefault="00286A88" w:rsidP="008970FA">
            <w:pPr>
              <w:spacing w:before="60" w:line="240" w:lineRule="auto"/>
              <w:rPr>
                <w:rFonts w:cs="Arial"/>
                <w:color w:val="auto"/>
                <w:szCs w:val="18"/>
              </w:rPr>
            </w:pPr>
            <w:r w:rsidRPr="008970FA">
              <w:rPr>
                <w:rFonts w:cs="Arial"/>
                <w:color w:val="auto"/>
                <w:szCs w:val="18"/>
              </w:rPr>
              <w:t>0</w:t>
            </w:r>
          </w:p>
        </w:tc>
        <w:tc>
          <w:tcPr>
            <w:tcW w:w="3889" w:type="dxa"/>
          </w:tcPr>
          <w:p w14:paraId="0B844B66" w14:textId="77777777" w:rsidR="00286A88" w:rsidRPr="008970FA" w:rsidRDefault="00286A88" w:rsidP="008970FA">
            <w:pPr>
              <w:spacing w:before="60" w:line="240" w:lineRule="auto"/>
              <w:rPr>
                <w:rFonts w:cs="Arial"/>
                <w:color w:val="auto"/>
                <w:szCs w:val="18"/>
              </w:rPr>
            </w:pPr>
            <w:r w:rsidRPr="008970FA">
              <w:rPr>
                <w:rFonts w:cs="Arial"/>
                <w:color w:val="auto"/>
                <w:szCs w:val="18"/>
              </w:rPr>
              <w:t>No additional relevant papers</w:t>
            </w:r>
          </w:p>
        </w:tc>
      </w:tr>
      <w:tr w:rsidR="00286A88" w:rsidRPr="00286A88" w14:paraId="3F42147C" w14:textId="77777777" w:rsidTr="007975A6">
        <w:tc>
          <w:tcPr>
            <w:tcW w:w="4025" w:type="dxa"/>
          </w:tcPr>
          <w:p w14:paraId="48F1620D" w14:textId="77777777" w:rsidR="00286A88" w:rsidRPr="008970FA" w:rsidRDefault="00286A88" w:rsidP="008970FA">
            <w:pPr>
              <w:spacing w:before="60" w:line="240" w:lineRule="auto"/>
              <w:rPr>
                <w:rFonts w:cs="Arial"/>
                <w:color w:val="auto"/>
                <w:szCs w:val="18"/>
              </w:rPr>
            </w:pPr>
            <w:r w:rsidRPr="008970FA">
              <w:rPr>
                <w:rFonts w:cs="Arial"/>
                <w:color w:val="auto"/>
                <w:szCs w:val="18"/>
              </w:rPr>
              <w:t>“broiler breeder” AND (peck* OR beak*)</w:t>
            </w:r>
          </w:p>
        </w:tc>
        <w:tc>
          <w:tcPr>
            <w:tcW w:w="1020" w:type="dxa"/>
          </w:tcPr>
          <w:p w14:paraId="6F4B6F8D" w14:textId="77777777" w:rsidR="00286A88" w:rsidRPr="008970FA" w:rsidRDefault="00286A88" w:rsidP="008970FA">
            <w:pPr>
              <w:spacing w:before="60" w:line="240" w:lineRule="auto"/>
              <w:rPr>
                <w:rFonts w:cs="Arial"/>
                <w:color w:val="auto"/>
                <w:szCs w:val="18"/>
              </w:rPr>
            </w:pPr>
            <w:r w:rsidRPr="008970FA">
              <w:rPr>
                <w:rFonts w:cs="Arial"/>
                <w:color w:val="auto"/>
                <w:szCs w:val="18"/>
              </w:rPr>
              <w:t>43</w:t>
            </w:r>
          </w:p>
        </w:tc>
        <w:tc>
          <w:tcPr>
            <w:tcW w:w="1020" w:type="dxa"/>
          </w:tcPr>
          <w:p w14:paraId="3C036477" w14:textId="77777777" w:rsidR="00286A88" w:rsidRPr="008970FA" w:rsidRDefault="00286A88" w:rsidP="008970FA">
            <w:pPr>
              <w:spacing w:before="60" w:line="240" w:lineRule="auto"/>
              <w:rPr>
                <w:rFonts w:cs="Arial"/>
                <w:color w:val="auto"/>
                <w:szCs w:val="18"/>
              </w:rPr>
            </w:pPr>
            <w:r w:rsidRPr="008970FA">
              <w:rPr>
                <w:rFonts w:cs="Arial"/>
                <w:color w:val="auto"/>
                <w:szCs w:val="18"/>
              </w:rPr>
              <w:t>3</w:t>
            </w:r>
          </w:p>
        </w:tc>
        <w:tc>
          <w:tcPr>
            <w:tcW w:w="3889" w:type="dxa"/>
          </w:tcPr>
          <w:p w14:paraId="693206F7" w14:textId="77777777" w:rsidR="00286A88" w:rsidRPr="008970FA" w:rsidRDefault="00286A88" w:rsidP="008970FA">
            <w:pPr>
              <w:spacing w:before="60" w:line="240" w:lineRule="auto"/>
              <w:rPr>
                <w:rFonts w:cs="Arial"/>
                <w:color w:val="auto"/>
                <w:szCs w:val="18"/>
              </w:rPr>
            </w:pPr>
            <w:r w:rsidRPr="008970FA">
              <w:rPr>
                <w:rFonts w:cs="Arial"/>
                <w:color w:val="auto"/>
                <w:szCs w:val="18"/>
              </w:rPr>
              <w:t>Mainly to do with specific diet and nutrition studies</w:t>
            </w:r>
          </w:p>
        </w:tc>
      </w:tr>
      <w:tr w:rsidR="00286A88" w:rsidRPr="00286A88" w14:paraId="04C5140B" w14:textId="77777777" w:rsidTr="007975A6">
        <w:tc>
          <w:tcPr>
            <w:tcW w:w="4025" w:type="dxa"/>
          </w:tcPr>
          <w:p w14:paraId="6518C252" w14:textId="77777777" w:rsidR="00286A88" w:rsidRPr="008970FA" w:rsidRDefault="00286A88" w:rsidP="008970FA">
            <w:pPr>
              <w:spacing w:before="60" w:line="240" w:lineRule="auto"/>
              <w:rPr>
                <w:rFonts w:cs="Arial"/>
                <w:color w:val="auto"/>
                <w:szCs w:val="18"/>
              </w:rPr>
            </w:pPr>
            <w:r w:rsidRPr="008970FA">
              <w:rPr>
                <w:rFonts w:cs="Arial"/>
                <w:color w:val="auto"/>
                <w:szCs w:val="18"/>
              </w:rPr>
              <w:t>“broiler breeder” AND (thirst* OR hunger OR hungry)</w:t>
            </w:r>
          </w:p>
        </w:tc>
        <w:tc>
          <w:tcPr>
            <w:tcW w:w="1020" w:type="dxa"/>
          </w:tcPr>
          <w:p w14:paraId="01E3A580" w14:textId="77777777" w:rsidR="00286A88" w:rsidRPr="008970FA" w:rsidRDefault="00286A88" w:rsidP="008970FA">
            <w:pPr>
              <w:spacing w:before="60" w:line="240" w:lineRule="auto"/>
              <w:rPr>
                <w:rFonts w:cs="Arial"/>
                <w:color w:val="auto"/>
                <w:szCs w:val="18"/>
              </w:rPr>
            </w:pPr>
            <w:r w:rsidRPr="008970FA">
              <w:rPr>
                <w:rFonts w:cs="Arial"/>
                <w:color w:val="auto"/>
                <w:szCs w:val="18"/>
              </w:rPr>
              <w:t>37</w:t>
            </w:r>
          </w:p>
        </w:tc>
        <w:tc>
          <w:tcPr>
            <w:tcW w:w="1020" w:type="dxa"/>
          </w:tcPr>
          <w:p w14:paraId="1550CD95" w14:textId="77777777" w:rsidR="00286A88" w:rsidRPr="008970FA" w:rsidRDefault="00286A88" w:rsidP="008970FA">
            <w:pPr>
              <w:spacing w:before="60" w:line="240" w:lineRule="auto"/>
              <w:rPr>
                <w:rFonts w:cs="Arial"/>
                <w:color w:val="auto"/>
                <w:szCs w:val="18"/>
              </w:rPr>
            </w:pPr>
            <w:r w:rsidRPr="008970FA">
              <w:rPr>
                <w:rFonts w:cs="Arial"/>
                <w:color w:val="auto"/>
                <w:szCs w:val="18"/>
              </w:rPr>
              <w:t>0</w:t>
            </w:r>
          </w:p>
        </w:tc>
        <w:tc>
          <w:tcPr>
            <w:tcW w:w="3889" w:type="dxa"/>
          </w:tcPr>
          <w:p w14:paraId="57EB9BCE" w14:textId="77777777" w:rsidR="00286A88" w:rsidRPr="008970FA" w:rsidRDefault="00286A88" w:rsidP="008970FA">
            <w:pPr>
              <w:spacing w:before="60" w:line="240" w:lineRule="auto"/>
              <w:rPr>
                <w:rFonts w:cs="Arial"/>
                <w:color w:val="auto"/>
                <w:szCs w:val="18"/>
              </w:rPr>
            </w:pPr>
            <w:r w:rsidRPr="008970FA">
              <w:rPr>
                <w:rFonts w:cs="Arial"/>
                <w:color w:val="auto"/>
                <w:szCs w:val="18"/>
              </w:rPr>
              <w:t>No additional relevant papers</w:t>
            </w:r>
          </w:p>
        </w:tc>
      </w:tr>
      <w:tr w:rsidR="00286A88" w:rsidRPr="00286A88" w14:paraId="47E63BBA" w14:textId="77777777" w:rsidTr="007975A6">
        <w:tc>
          <w:tcPr>
            <w:tcW w:w="4025" w:type="dxa"/>
          </w:tcPr>
          <w:p w14:paraId="179E942F" w14:textId="77777777" w:rsidR="00286A88" w:rsidRPr="008970FA" w:rsidRDefault="00286A88" w:rsidP="008970FA">
            <w:pPr>
              <w:spacing w:before="60" w:line="240" w:lineRule="auto"/>
              <w:rPr>
                <w:rFonts w:cs="Arial"/>
                <w:color w:val="auto"/>
                <w:szCs w:val="18"/>
              </w:rPr>
            </w:pPr>
            <w:r w:rsidRPr="008970FA">
              <w:rPr>
                <w:rFonts w:cs="Arial"/>
                <w:color w:val="auto"/>
                <w:szCs w:val="18"/>
              </w:rPr>
              <w:t>“broiler breeder” AND light*</w:t>
            </w:r>
          </w:p>
        </w:tc>
        <w:tc>
          <w:tcPr>
            <w:tcW w:w="1020" w:type="dxa"/>
          </w:tcPr>
          <w:p w14:paraId="39A78CAA" w14:textId="77777777" w:rsidR="00286A88" w:rsidRPr="008970FA" w:rsidRDefault="00286A88" w:rsidP="008970FA">
            <w:pPr>
              <w:spacing w:before="60" w:line="240" w:lineRule="auto"/>
              <w:rPr>
                <w:rFonts w:cs="Arial"/>
                <w:color w:val="auto"/>
                <w:szCs w:val="18"/>
              </w:rPr>
            </w:pPr>
            <w:r w:rsidRPr="008970FA">
              <w:rPr>
                <w:rFonts w:cs="Arial"/>
                <w:color w:val="auto"/>
                <w:szCs w:val="18"/>
              </w:rPr>
              <w:t>109</w:t>
            </w:r>
          </w:p>
        </w:tc>
        <w:tc>
          <w:tcPr>
            <w:tcW w:w="1020" w:type="dxa"/>
          </w:tcPr>
          <w:p w14:paraId="6BCC3B6F" w14:textId="77777777" w:rsidR="00286A88" w:rsidRPr="008970FA" w:rsidRDefault="00286A88" w:rsidP="008970FA">
            <w:pPr>
              <w:spacing w:before="60" w:line="240" w:lineRule="auto"/>
              <w:rPr>
                <w:rFonts w:cs="Arial"/>
                <w:color w:val="auto"/>
                <w:szCs w:val="18"/>
              </w:rPr>
            </w:pPr>
            <w:r w:rsidRPr="008970FA">
              <w:rPr>
                <w:rFonts w:cs="Arial"/>
                <w:color w:val="auto"/>
                <w:szCs w:val="18"/>
              </w:rPr>
              <w:t>0</w:t>
            </w:r>
          </w:p>
        </w:tc>
        <w:tc>
          <w:tcPr>
            <w:tcW w:w="3889" w:type="dxa"/>
          </w:tcPr>
          <w:p w14:paraId="1510FDD3" w14:textId="77777777" w:rsidR="00286A88" w:rsidRPr="008970FA" w:rsidRDefault="00286A88" w:rsidP="008970FA">
            <w:pPr>
              <w:spacing w:before="60" w:line="240" w:lineRule="auto"/>
              <w:rPr>
                <w:rFonts w:cs="Arial"/>
                <w:color w:val="auto"/>
                <w:szCs w:val="18"/>
              </w:rPr>
            </w:pPr>
            <w:r w:rsidRPr="008970FA">
              <w:rPr>
                <w:rFonts w:cs="Arial"/>
                <w:color w:val="auto"/>
                <w:szCs w:val="18"/>
              </w:rPr>
              <w:t>No additional relevant papers</w:t>
            </w:r>
          </w:p>
        </w:tc>
      </w:tr>
      <w:tr w:rsidR="00286A88" w:rsidRPr="00286A88" w14:paraId="558D05E2" w14:textId="77777777" w:rsidTr="007975A6">
        <w:tc>
          <w:tcPr>
            <w:tcW w:w="4025" w:type="dxa"/>
          </w:tcPr>
          <w:p w14:paraId="668E31A0" w14:textId="77777777" w:rsidR="00286A88" w:rsidRPr="008970FA" w:rsidRDefault="00286A88" w:rsidP="008970FA">
            <w:pPr>
              <w:spacing w:before="60" w:line="240" w:lineRule="auto"/>
              <w:rPr>
                <w:rFonts w:cs="Arial"/>
                <w:color w:val="auto"/>
                <w:szCs w:val="18"/>
              </w:rPr>
            </w:pPr>
            <w:r w:rsidRPr="008970FA">
              <w:rPr>
                <w:rFonts w:cs="Arial"/>
                <w:color w:val="auto"/>
                <w:szCs w:val="18"/>
              </w:rPr>
              <w:t>“broiler breeder” AND (aggressi* OR “adverse behaviour” OR “detrimental behaviour”)</w:t>
            </w:r>
          </w:p>
        </w:tc>
        <w:tc>
          <w:tcPr>
            <w:tcW w:w="1020" w:type="dxa"/>
          </w:tcPr>
          <w:p w14:paraId="7812A5E8" w14:textId="77777777" w:rsidR="00286A88" w:rsidRPr="008970FA" w:rsidRDefault="00286A88" w:rsidP="008970FA">
            <w:pPr>
              <w:spacing w:before="60" w:line="240" w:lineRule="auto"/>
              <w:rPr>
                <w:rFonts w:cs="Arial"/>
                <w:color w:val="auto"/>
                <w:szCs w:val="18"/>
              </w:rPr>
            </w:pPr>
            <w:r w:rsidRPr="008970FA">
              <w:rPr>
                <w:rFonts w:cs="Arial"/>
                <w:color w:val="auto"/>
                <w:szCs w:val="18"/>
              </w:rPr>
              <w:t>29</w:t>
            </w:r>
          </w:p>
        </w:tc>
        <w:tc>
          <w:tcPr>
            <w:tcW w:w="1020" w:type="dxa"/>
          </w:tcPr>
          <w:p w14:paraId="7E73ACDD" w14:textId="77777777" w:rsidR="00286A88" w:rsidRPr="008970FA" w:rsidRDefault="00286A88" w:rsidP="008970FA">
            <w:pPr>
              <w:spacing w:before="60" w:line="240" w:lineRule="auto"/>
              <w:rPr>
                <w:rFonts w:cs="Arial"/>
                <w:color w:val="auto"/>
                <w:szCs w:val="18"/>
              </w:rPr>
            </w:pPr>
            <w:r w:rsidRPr="008970FA">
              <w:rPr>
                <w:rFonts w:cs="Arial"/>
                <w:color w:val="auto"/>
                <w:szCs w:val="18"/>
              </w:rPr>
              <w:t>4</w:t>
            </w:r>
          </w:p>
        </w:tc>
        <w:tc>
          <w:tcPr>
            <w:tcW w:w="3889" w:type="dxa"/>
          </w:tcPr>
          <w:p w14:paraId="36BB9698" w14:textId="77777777" w:rsidR="00286A88" w:rsidRPr="008970FA" w:rsidRDefault="00286A88" w:rsidP="008970FA">
            <w:pPr>
              <w:spacing w:before="60" w:line="240" w:lineRule="auto"/>
              <w:rPr>
                <w:rFonts w:cs="Arial"/>
                <w:color w:val="auto"/>
                <w:szCs w:val="18"/>
              </w:rPr>
            </w:pPr>
          </w:p>
        </w:tc>
      </w:tr>
      <w:tr w:rsidR="0010235B" w:rsidRPr="00286A88" w14:paraId="18CAE954" w14:textId="77777777" w:rsidTr="007975A6">
        <w:tc>
          <w:tcPr>
            <w:tcW w:w="4025" w:type="dxa"/>
          </w:tcPr>
          <w:p w14:paraId="1E277F94" w14:textId="77777777" w:rsidR="0010235B" w:rsidRPr="0010235B" w:rsidRDefault="0010235B" w:rsidP="008970FA">
            <w:pPr>
              <w:spacing w:before="60" w:line="240" w:lineRule="auto"/>
              <w:rPr>
                <w:rFonts w:cs="Arial"/>
                <w:b/>
                <w:color w:val="auto"/>
                <w:szCs w:val="18"/>
              </w:rPr>
            </w:pPr>
            <w:r>
              <w:rPr>
                <w:rFonts w:cs="Arial"/>
                <w:b/>
                <w:color w:val="auto"/>
                <w:szCs w:val="18"/>
              </w:rPr>
              <w:t>Papers retained from secondary searches</w:t>
            </w:r>
          </w:p>
        </w:tc>
        <w:tc>
          <w:tcPr>
            <w:tcW w:w="1020" w:type="dxa"/>
          </w:tcPr>
          <w:p w14:paraId="6C560763" w14:textId="77777777" w:rsidR="0010235B" w:rsidRPr="008970FA" w:rsidRDefault="0010235B" w:rsidP="008970FA">
            <w:pPr>
              <w:spacing w:before="60" w:line="240" w:lineRule="auto"/>
              <w:rPr>
                <w:rFonts w:cs="Arial"/>
                <w:color w:val="auto"/>
                <w:szCs w:val="18"/>
              </w:rPr>
            </w:pPr>
          </w:p>
        </w:tc>
        <w:tc>
          <w:tcPr>
            <w:tcW w:w="1020" w:type="dxa"/>
          </w:tcPr>
          <w:p w14:paraId="3B664AC4" w14:textId="77777777" w:rsidR="0010235B" w:rsidRPr="0010235B" w:rsidRDefault="0010235B" w:rsidP="008970FA">
            <w:pPr>
              <w:spacing w:before="60" w:line="240" w:lineRule="auto"/>
              <w:rPr>
                <w:rFonts w:cs="Arial"/>
                <w:b/>
                <w:color w:val="auto"/>
                <w:szCs w:val="18"/>
              </w:rPr>
            </w:pPr>
            <w:r>
              <w:rPr>
                <w:rFonts w:cs="Arial"/>
                <w:b/>
                <w:color w:val="auto"/>
                <w:szCs w:val="18"/>
              </w:rPr>
              <w:t>32</w:t>
            </w:r>
          </w:p>
        </w:tc>
        <w:tc>
          <w:tcPr>
            <w:tcW w:w="3889" w:type="dxa"/>
          </w:tcPr>
          <w:p w14:paraId="5E4F06F6" w14:textId="77777777" w:rsidR="0010235B" w:rsidRPr="008970FA" w:rsidRDefault="0010235B" w:rsidP="008970FA">
            <w:pPr>
              <w:spacing w:before="60" w:line="240" w:lineRule="auto"/>
              <w:rPr>
                <w:rFonts w:cs="Arial"/>
                <w:color w:val="auto"/>
                <w:szCs w:val="18"/>
              </w:rPr>
            </w:pPr>
          </w:p>
        </w:tc>
      </w:tr>
    </w:tbl>
    <w:p w14:paraId="3B660CD0" w14:textId="77777777" w:rsidR="00043C78" w:rsidRDefault="0010235B" w:rsidP="005F7B38">
      <w:pPr>
        <w:spacing w:before="240"/>
        <w:rPr>
          <w:b/>
          <w:lang w:val="en-GB"/>
        </w:rPr>
      </w:pPr>
      <w:r>
        <w:rPr>
          <w:b/>
          <w:lang w:val="en-GB"/>
        </w:rPr>
        <w:t>Total number of papers retained from primary and secondary searches: 47 + 32 = 79</w:t>
      </w:r>
    </w:p>
    <w:p w14:paraId="55066479" w14:textId="77777777" w:rsidR="005F7B38" w:rsidRDefault="005F7B38" w:rsidP="005F7B38">
      <w:pPr>
        <w:rPr>
          <w:lang w:val="en-GB"/>
        </w:rPr>
      </w:pPr>
    </w:p>
    <w:p w14:paraId="714958C9" w14:textId="77777777" w:rsidR="00286A88" w:rsidRPr="00301F37" w:rsidRDefault="00043C78" w:rsidP="00AE59F9">
      <w:pPr>
        <w:spacing w:before="120"/>
        <w:rPr>
          <w:b/>
          <w:sz w:val="24"/>
          <w:szCs w:val="24"/>
          <w:lang w:val="en-GB"/>
        </w:rPr>
      </w:pPr>
      <w:r>
        <w:rPr>
          <w:lang w:val="en-GB"/>
        </w:rPr>
        <w:br w:type="column"/>
      </w:r>
      <w:r w:rsidR="00286A88" w:rsidRPr="00FA0BB9">
        <w:rPr>
          <w:b/>
          <w:sz w:val="24"/>
          <w:szCs w:val="24"/>
          <w:lang w:val="en-GB"/>
        </w:rPr>
        <w:t>Duck</w:t>
      </w:r>
      <w:r w:rsidR="004D4B06">
        <w:rPr>
          <w:b/>
          <w:sz w:val="24"/>
          <w:szCs w:val="24"/>
          <w:lang w:val="en-GB"/>
        </w:rPr>
        <w:t>s</w:t>
      </w:r>
    </w:p>
    <w:p w14:paraId="25E00744" w14:textId="77777777" w:rsidR="00286A88" w:rsidRPr="00590F0B" w:rsidRDefault="00286A88" w:rsidP="00590F0B">
      <w:pPr>
        <w:spacing w:before="240" w:after="240"/>
        <w:rPr>
          <w:b/>
          <w:lang w:val="en-GB"/>
        </w:rPr>
      </w:pPr>
      <w:r w:rsidRPr="00590F0B">
        <w:rPr>
          <w:b/>
          <w:lang w:val="en-GB"/>
        </w:rPr>
        <w:t>Primary Sear</w:t>
      </w:r>
      <w:r w:rsidR="00AE59F9">
        <w:rPr>
          <w:b/>
          <w:lang w:val="en-GB"/>
        </w:rPr>
        <w:t>ch</w:t>
      </w:r>
      <w:r w:rsidR="00046273">
        <w:rPr>
          <w:b/>
          <w:lang w:val="en-GB"/>
        </w:rPr>
        <w:t>:</w:t>
      </w:r>
      <w:r w:rsidR="00AE59F9">
        <w:rPr>
          <w:b/>
          <w:lang w:val="en-GB"/>
        </w:rPr>
        <w:t xml:space="preserve"> duck* AND we</w:t>
      </w:r>
      <w:r w:rsidRPr="00590F0B">
        <w:rPr>
          <w:b/>
          <w:lang w:val="en-GB"/>
        </w:rPr>
        <w:t>lfare = 60</w:t>
      </w:r>
    </w:p>
    <w:tbl>
      <w:tblPr>
        <w:tblStyle w:val="TableGrid11"/>
        <w:tblW w:w="9977" w:type="dxa"/>
        <w:tblLook w:val="04A0" w:firstRow="1" w:lastRow="0" w:firstColumn="1" w:lastColumn="0" w:noHBand="0" w:noVBand="1"/>
        <w:tblCaption w:val="Papers excluded after primary literature search for duck welfare"/>
        <w:tblDescription w:val="This table shows the number of papers excluded after the primary literature search for duck welfare. The left hand column shows the primary reason for exclusion. The middle column shows the number of papers excluded. The right hand column gives an example of a paper excluded for each reason."/>
      </w:tblPr>
      <w:tblGrid>
        <w:gridCol w:w="3628"/>
        <w:gridCol w:w="1020"/>
        <w:gridCol w:w="5329"/>
      </w:tblGrid>
      <w:tr w:rsidR="00F67C8B" w:rsidRPr="00EA27D5" w14:paraId="1404A20C" w14:textId="77777777" w:rsidTr="00587D34">
        <w:trPr>
          <w:tblHeader/>
        </w:trPr>
        <w:tc>
          <w:tcPr>
            <w:tcW w:w="3628" w:type="dxa"/>
            <w:shd w:val="clear" w:color="auto" w:fill="auto"/>
          </w:tcPr>
          <w:p w14:paraId="1E837314" w14:textId="77777777" w:rsidR="00F67C8B" w:rsidRPr="00EA27D5" w:rsidRDefault="00F67C8B" w:rsidP="00D22A51">
            <w:pPr>
              <w:spacing w:before="60"/>
              <w:rPr>
                <w:b/>
              </w:rPr>
            </w:pPr>
            <w:r w:rsidRPr="00EA27D5">
              <w:rPr>
                <w:b/>
              </w:rPr>
              <w:t>Primary Reason for Exclusion</w:t>
            </w:r>
          </w:p>
        </w:tc>
        <w:tc>
          <w:tcPr>
            <w:tcW w:w="1020" w:type="dxa"/>
            <w:shd w:val="clear" w:color="auto" w:fill="auto"/>
          </w:tcPr>
          <w:p w14:paraId="33E282A9" w14:textId="77777777" w:rsidR="00F67C8B" w:rsidRPr="00EA27D5" w:rsidRDefault="00F67C8B" w:rsidP="00D22A51">
            <w:pPr>
              <w:spacing w:before="60" w:line="240" w:lineRule="auto"/>
              <w:rPr>
                <w:rFonts w:cs="Arial"/>
                <w:color w:val="auto"/>
                <w:szCs w:val="18"/>
              </w:rPr>
            </w:pPr>
            <w:r w:rsidRPr="00EA27D5">
              <w:rPr>
                <w:rFonts w:cs="Arial"/>
                <w:color w:val="auto"/>
                <w:szCs w:val="18"/>
              </w:rPr>
              <w:t>Number Excluded</w:t>
            </w:r>
          </w:p>
        </w:tc>
        <w:tc>
          <w:tcPr>
            <w:tcW w:w="5329" w:type="dxa"/>
            <w:shd w:val="clear" w:color="auto" w:fill="auto"/>
          </w:tcPr>
          <w:p w14:paraId="13BB504F" w14:textId="77777777" w:rsidR="00F67C8B" w:rsidRPr="00EA27D5" w:rsidRDefault="00F67C8B" w:rsidP="00D22A51">
            <w:pPr>
              <w:spacing w:before="60" w:line="240" w:lineRule="auto"/>
              <w:rPr>
                <w:rFonts w:cs="Arial"/>
                <w:color w:val="auto"/>
                <w:szCs w:val="18"/>
              </w:rPr>
            </w:pPr>
            <w:r w:rsidRPr="00EA27D5">
              <w:rPr>
                <w:rFonts w:cs="Arial"/>
                <w:i/>
                <w:color w:val="auto"/>
                <w:szCs w:val="18"/>
              </w:rPr>
              <w:t xml:space="preserve">Example </w:t>
            </w:r>
            <w:r w:rsidRPr="00EA27D5">
              <w:rPr>
                <w:rFonts w:cs="Arial"/>
                <w:color w:val="auto"/>
                <w:szCs w:val="18"/>
              </w:rPr>
              <w:t>of Paper Excluded for Each Reason</w:t>
            </w:r>
          </w:p>
        </w:tc>
      </w:tr>
      <w:tr w:rsidR="00286A88" w:rsidRPr="00286A88" w14:paraId="4E6E76DC" w14:textId="77777777" w:rsidTr="00043C78">
        <w:tc>
          <w:tcPr>
            <w:tcW w:w="3628" w:type="dxa"/>
          </w:tcPr>
          <w:p w14:paraId="10C95472" w14:textId="77777777" w:rsidR="00286A88" w:rsidRPr="008C43DD" w:rsidRDefault="00286A88" w:rsidP="008C43DD">
            <w:pPr>
              <w:spacing w:before="60"/>
            </w:pPr>
            <w:r w:rsidRPr="008C43DD">
              <w:t>Not ducks – other species</w:t>
            </w:r>
          </w:p>
        </w:tc>
        <w:tc>
          <w:tcPr>
            <w:tcW w:w="1020" w:type="dxa"/>
          </w:tcPr>
          <w:p w14:paraId="16B941BA" w14:textId="77777777" w:rsidR="00286A88" w:rsidRPr="008C43DD" w:rsidRDefault="00286A88" w:rsidP="008C43DD">
            <w:pPr>
              <w:spacing w:before="60"/>
            </w:pPr>
            <w:r w:rsidRPr="008C43DD">
              <w:t>2</w:t>
            </w:r>
          </w:p>
        </w:tc>
        <w:tc>
          <w:tcPr>
            <w:tcW w:w="5329" w:type="dxa"/>
          </w:tcPr>
          <w:p w14:paraId="5C1B4BC5" w14:textId="77777777" w:rsidR="00290373" w:rsidRPr="00290373" w:rsidRDefault="00290373" w:rsidP="00290373">
            <w:pPr>
              <w:pStyle w:val="NoSpacing"/>
              <w:rPr>
                <w:sz w:val="16"/>
                <w:szCs w:val="16"/>
              </w:rPr>
            </w:pPr>
            <w:r w:rsidRPr="00290373">
              <w:rPr>
                <w:sz w:val="16"/>
                <w:szCs w:val="16"/>
              </w:rPr>
              <w:t>Water quality, growth and stress responses of juvenile barramundi (</w:t>
            </w:r>
            <w:r w:rsidRPr="00290373">
              <w:rPr>
                <w:i/>
                <w:sz w:val="16"/>
                <w:szCs w:val="16"/>
              </w:rPr>
              <w:t>Lates calcarifer</w:t>
            </w:r>
            <w:r w:rsidRPr="00290373">
              <w:rPr>
                <w:sz w:val="16"/>
                <w:szCs w:val="16"/>
              </w:rPr>
              <w:t xml:space="preserve"> Bloch), reared at four different densities in integrated recirculating aquaculture systems</w:t>
            </w:r>
          </w:p>
          <w:p w14:paraId="1E369E2F" w14:textId="77777777" w:rsidR="00290373" w:rsidRPr="00290373" w:rsidRDefault="00290373" w:rsidP="00290373">
            <w:pPr>
              <w:pStyle w:val="NoSpacing"/>
              <w:rPr>
                <w:sz w:val="16"/>
                <w:szCs w:val="16"/>
              </w:rPr>
            </w:pPr>
            <w:r w:rsidRPr="00290373">
              <w:rPr>
                <w:sz w:val="16"/>
                <w:szCs w:val="16"/>
              </w:rPr>
              <w:t>By: Ardiansyah; Fotedar, Ravi</w:t>
            </w:r>
          </w:p>
          <w:p w14:paraId="305F2DD8" w14:textId="77777777" w:rsidR="00286A88" w:rsidRPr="00290373" w:rsidRDefault="00290373" w:rsidP="00290373">
            <w:pPr>
              <w:pStyle w:val="NoSpacing"/>
              <w:rPr>
                <w:sz w:val="16"/>
                <w:szCs w:val="16"/>
              </w:rPr>
            </w:pPr>
            <w:r w:rsidRPr="00290373">
              <w:rPr>
                <w:sz w:val="16"/>
                <w:szCs w:val="16"/>
              </w:rPr>
              <w:t>AQUACULTURE   Volume: 458   Pages: 113-120   Published: MAY 1 2016</w:t>
            </w:r>
          </w:p>
        </w:tc>
      </w:tr>
      <w:tr w:rsidR="00286A88" w:rsidRPr="00286A88" w14:paraId="5363DC54" w14:textId="77777777" w:rsidTr="00043C78">
        <w:tc>
          <w:tcPr>
            <w:tcW w:w="3628" w:type="dxa"/>
          </w:tcPr>
          <w:p w14:paraId="7ED2A305" w14:textId="77777777" w:rsidR="00286A88" w:rsidRPr="008C43DD" w:rsidRDefault="00286A88" w:rsidP="008C43DD">
            <w:pPr>
              <w:spacing w:before="60"/>
            </w:pPr>
            <w:r w:rsidRPr="008C43DD">
              <w:t>Paper on slaughter</w:t>
            </w:r>
          </w:p>
        </w:tc>
        <w:tc>
          <w:tcPr>
            <w:tcW w:w="1020" w:type="dxa"/>
          </w:tcPr>
          <w:p w14:paraId="71C4F37F" w14:textId="77777777" w:rsidR="00286A88" w:rsidRPr="008C43DD" w:rsidRDefault="00286A88" w:rsidP="008C43DD">
            <w:pPr>
              <w:spacing w:before="60"/>
            </w:pPr>
            <w:r w:rsidRPr="008C43DD">
              <w:t>6</w:t>
            </w:r>
          </w:p>
        </w:tc>
        <w:tc>
          <w:tcPr>
            <w:tcW w:w="5329" w:type="dxa"/>
          </w:tcPr>
          <w:p w14:paraId="2BBE3291" w14:textId="77777777" w:rsidR="00290373" w:rsidRPr="00290373" w:rsidRDefault="00290373" w:rsidP="00290373">
            <w:pPr>
              <w:pStyle w:val="NoSpacing"/>
              <w:rPr>
                <w:sz w:val="16"/>
                <w:szCs w:val="16"/>
              </w:rPr>
            </w:pPr>
            <w:r w:rsidRPr="00290373">
              <w:rPr>
                <w:sz w:val="16"/>
                <w:szCs w:val="16"/>
              </w:rPr>
              <w:t>Physiological and behavioral responses of poultry exposed to gas-filled high expansion foam</w:t>
            </w:r>
          </w:p>
          <w:p w14:paraId="3AA6C004" w14:textId="77777777" w:rsidR="00290373" w:rsidRPr="00290373" w:rsidRDefault="00290373" w:rsidP="00290373">
            <w:pPr>
              <w:pStyle w:val="NoSpacing"/>
              <w:rPr>
                <w:sz w:val="16"/>
                <w:szCs w:val="16"/>
              </w:rPr>
            </w:pPr>
            <w:r w:rsidRPr="00290373">
              <w:rPr>
                <w:sz w:val="16"/>
                <w:szCs w:val="16"/>
              </w:rPr>
              <w:t>By: McKeegan, D. E. F.; Reimert, H. G. M.; Hindle, V. A.; et al.</w:t>
            </w:r>
          </w:p>
          <w:p w14:paraId="2A211D0A" w14:textId="77777777" w:rsidR="00286A88" w:rsidRPr="00290373" w:rsidRDefault="00290373" w:rsidP="00290373">
            <w:pPr>
              <w:pStyle w:val="NoSpacing"/>
              <w:rPr>
                <w:sz w:val="16"/>
                <w:szCs w:val="16"/>
              </w:rPr>
            </w:pPr>
            <w:r w:rsidRPr="00290373">
              <w:rPr>
                <w:sz w:val="16"/>
                <w:szCs w:val="16"/>
              </w:rPr>
              <w:t>POULTRY SCIENCE   Volume: 92   Issue: 5   Pages: 1145-1154   Published: MAY 2013</w:t>
            </w:r>
          </w:p>
        </w:tc>
      </w:tr>
      <w:tr w:rsidR="00286A88" w:rsidRPr="00286A88" w14:paraId="20CDE966" w14:textId="77777777" w:rsidTr="00043C78">
        <w:tc>
          <w:tcPr>
            <w:tcW w:w="3628" w:type="dxa"/>
          </w:tcPr>
          <w:p w14:paraId="3908583C" w14:textId="77777777" w:rsidR="00286A88" w:rsidRPr="008C43DD" w:rsidRDefault="00286A88" w:rsidP="008C43DD">
            <w:pPr>
              <w:spacing w:before="60"/>
            </w:pPr>
            <w:r w:rsidRPr="008C43DD">
              <w:t>Paper on transport</w:t>
            </w:r>
          </w:p>
        </w:tc>
        <w:tc>
          <w:tcPr>
            <w:tcW w:w="1020" w:type="dxa"/>
          </w:tcPr>
          <w:p w14:paraId="102DC7D9" w14:textId="77777777" w:rsidR="00286A88" w:rsidRPr="008C43DD" w:rsidRDefault="00286A88" w:rsidP="008C43DD">
            <w:pPr>
              <w:spacing w:before="60"/>
            </w:pPr>
            <w:r w:rsidRPr="008C43DD">
              <w:t>2</w:t>
            </w:r>
          </w:p>
        </w:tc>
        <w:tc>
          <w:tcPr>
            <w:tcW w:w="5329" w:type="dxa"/>
          </w:tcPr>
          <w:p w14:paraId="47587F56" w14:textId="77777777" w:rsidR="00290373" w:rsidRPr="00290373" w:rsidRDefault="00290373" w:rsidP="00290373">
            <w:pPr>
              <w:pStyle w:val="NoSpacing"/>
              <w:rPr>
                <w:sz w:val="16"/>
                <w:szCs w:val="16"/>
              </w:rPr>
            </w:pPr>
            <w:r w:rsidRPr="00290373">
              <w:rPr>
                <w:sz w:val="16"/>
                <w:szCs w:val="16"/>
              </w:rPr>
              <w:t>Transport-induced mortality in Pekin ducks transported for slaughter in the Czech Republic</w:t>
            </w:r>
          </w:p>
          <w:p w14:paraId="2919E63A" w14:textId="77777777" w:rsidR="00290373" w:rsidRPr="00290373" w:rsidRDefault="00290373" w:rsidP="00290373">
            <w:pPr>
              <w:pStyle w:val="NoSpacing"/>
              <w:rPr>
                <w:sz w:val="16"/>
                <w:szCs w:val="16"/>
              </w:rPr>
            </w:pPr>
            <w:r w:rsidRPr="00290373">
              <w:rPr>
                <w:sz w:val="16"/>
                <w:szCs w:val="16"/>
              </w:rPr>
              <w:t>By: Voslarova, Eva; Hytychova, Tat’ana; Vecerek, Vladimir; et al.</w:t>
            </w:r>
          </w:p>
          <w:p w14:paraId="61A20CB2" w14:textId="77777777" w:rsidR="00286A88" w:rsidRPr="00290373" w:rsidRDefault="00290373" w:rsidP="00290373">
            <w:pPr>
              <w:pStyle w:val="NoSpacing"/>
              <w:rPr>
                <w:sz w:val="16"/>
                <w:szCs w:val="16"/>
              </w:rPr>
            </w:pPr>
            <w:r w:rsidRPr="00290373">
              <w:rPr>
                <w:sz w:val="16"/>
                <w:szCs w:val="16"/>
              </w:rPr>
              <w:t>ACTA VETERINARIA BRNO   Volume: 85   Issue: 2   Pages: 205-212   Published: 2016</w:t>
            </w:r>
          </w:p>
        </w:tc>
      </w:tr>
      <w:tr w:rsidR="00286A88" w:rsidRPr="00286A88" w14:paraId="5C71050D" w14:textId="77777777" w:rsidTr="00043C78">
        <w:tc>
          <w:tcPr>
            <w:tcW w:w="3628" w:type="dxa"/>
          </w:tcPr>
          <w:p w14:paraId="167FB4A4" w14:textId="77777777" w:rsidR="00286A88" w:rsidRPr="008C43DD" w:rsidRDefault="00286A88" w:rsidP="008C43DD">
            <w:pPr>
              <w:spacing w:before="60"/>
            </w:pPr>
            <w:r w:rsidRPr="008C43DD">
              <w:t>Paper on Wildfowl capture</w:t>
            </w:r>
          </w:p>
        </w:tc>
        <w:tc>
          <w:tcPr>
            <w:tcW w:w="1020" w:type="dxa"/>
          </w:tcPr>
          <w:p w14:paraId="3C41AF1A" w14:textId="77777777" w:rsidR="00286A88" w:rsidRPr="008C43DD" w:rsidRDefault="00286A88" w:rsidP="008C43DD">
            <w:pPr>
              <w:spacing w:before="60"/>
            </w:pPr>
            <w:r w:rsidRPr="008C43DD">
              <w:t>1</w:t>
            </w:r>
          </w:p>
        </w:tc>
        <w:tc>
          <w:tcPr>
            <w:tcW w:w="5329" w:type="dxa"/>
          </w:tcPr>
          <w:p w14:paraId="3EE742C6" w14:textId="77777777" w:rsidR="00290373" w:rsidRPr="00290373" w:rsidRDefault="00290373" w:rsidP="00290373">
            <w:pPr>
              <w:pStyle w:val="NoSpacing"/>
              <w:rPr>
                <w:sz w:val="16"/>
                <w:szCs w:val="16"/>
              </w:rPr>
            </w:pPr>
            <w:r w:rsidRPr="00290373">
              <w:rPr>
                <w:sz w:val="16"/>
                <w:szCs w:val="16"/>
              </w:rPr>
              <w:t>ASSESSMENT OF THE RATES OF INJURY AND MORTALITY IN WATERFOWL CAPTURED WITH FIVE METHODS OF CAPTURE AND TECHNIQUES FOR MINIMIZING RISKS</w:t>
            </w:r>
          </w:p>
          <w:p w14:paraId="48F986F6" w14:textId="77777777" w:rsidR="00290373" w:rsidRPr="00290373" w:rsidRDefault="00290373" w:rsidP="00290373">
            <w:pPr>
              <w:pStyle w:val="NoSpacing"/>
              <w:rPr>
                <w:sz w:val="16"/>
                <w:szCs w:val="16"/>
              </w:rPr>
            </w:pPr>
            <w:r w:rsidRPr="00290373">
              <w:rPr>
                <w:sz w:val="16"/>
                <w:szCs w:val="16"/>
              </w:rPr>
              <w:t>By: O’Brien, Michelle F.; Lee, Rebecca; Cromie, Ruth; et al.</w:t>
            </w:r>
          </w:p>
          <w:p w14:paraId="27BB6DD3" w14:textId="77777777" w:rsidR="00286A88" w:rsidRPr="00290373" w:rsidRDefault="00290373" w:rsidP="00290373">
            <w:pPr>
              <w:pStyle w:val="NoSpacing"/>
              <w:rPr>
                <w:sz w:val="16"/>
                <w:szCs w:val="16"/>
              </w:rPr>
            </w:pPr>
            <w:r w:rsidRPr="00290373">
              <w:rPr>
                <w:sz w:val="16"/>
                <w:szCs w:val="16"/>
              </w:rPr>
              <w:t>JOURNAL OF WILDLIFE DISEASES   Volume: 52   Supplement: 2   Pages: S86-S95   Published: APR 2016</w:t>
            </w:r>
          </w:p>
        </w:tc>
      </w:tr>
      <w:tr w:rsidR="00286A88" w:rsidRPr="00286A88" w14:paraId="4361D41D" w14:textId="77777777" w:rsidTr="00043C78">
        <w:tc>
          <w:tcPr>
            <w:tcW w:w="3628" w:type="dxa"/>
          </w:tcPr>
          <w:p w14:paraId="76DBB5E9" w14:textId="77777777" w:rsidR="00286A88" w:rsidRPr="008C43DD" w:rsidRDefault="00286A88" w:rsidP="008C43DD">
            <w:pPr>
              <w:spacing w:before="60"/>
            </w:pPr>
            <w:r w:rsidRPr="008C43DD">
              <w:t>Paper proposing new technology or method for assessing welfare but no useful results yet</w:t>
            </w:r>
          </w:p>
        </w:tc>
        <w:tc>
          <w:tcPr>
            <w:tcW w:w="1020" w:type="dxa"/>
          </w:tcPr>
          <w:p w14:paraId="65DEA4F4" w14:textId="77777777" w:rsidR="00286A88" w:rsidRPr="008C43DD" w:rsidRDefault="00286A88" w:rsidP="008C43DD">
            <w:pPr>
              <w:spacing w:before="60"/>
            </w:pPr>
            <w:r w:rsidRPr="008C43DD">
              <w:t>4</w:t>
            </w:r>
          </w:p>
        </w:tc>
        <w:tc>
          <w:tcPr>
            <w:tcW w:w="5329" w:type="dxa"/>
          </w:tcPr>
          <w:p w14:paraId="296B017A" w14:textId="77777777" w:rsidR="00290373" w:rsidRPr="00290373" w:rsidRDefault="00290373" w:rsidP="00290373">
            <w:pPr>
              <w:pStyle w:val="NoSpacing"/>
              <w:rPr>
                <w:sz w:val="16"/>
                <w:szCs w:val="16"/>
              </w:rPr>
            </w:pPr>
            <w:r w:rsidRPr="00290373">
              <w:rPr>
                <w:sz w:val="16"/>
                <w:szCs w:val="16"/>
              </w:rPr>
              <w:t>Evaluating Pekin duck walking ability using a treadmill performance test</w:t>
            </w:r>
          </w:p>
          <w:p w14:paraId="09248130" w14:textId="77777777" w:rsidR="00290373" w:rsidRPr="00290373" w:rsidRDefault="00290373" w:rsidP="00290373">
            <w:pPr>
              <w:pStyle w:val="NoSpacing"/>
              <w:rPr>
                <w:sz w:val="16"/>
                <w:szCs w:val="16"/>
              </w:rPr>
            </w:pPr>
            <w:r w:rsidRPr="00290373">
              <w:rPr>
                <w:sz w:val="16"/>
                <w:szCs w:val="16"/>
              </w:rPr>
              <w:t>By: Byrd, C. J.; Main, R. P.; Makagon, M. M.</w:t>
            </w:r>
          </w:p>
          <w:p w14:paraId="587CB613" w14:textId="77777777" w:rsidR="00286A88" w:rsidRPr="00290373" w:rsidRDefault="00290373" w:rsidP="00290373">
            <w:pPr>
              <w:pStyle w:val="NoSpacing"/>
              <w:rPr>
                <w:sz w:val="16"/>
                <w:szCs w:val="16"/>
              </w:rPr>
            </w:pPr>
            <w:r w:rsidRPr="00290373">
              <w:rPr>
                <w:sz w:val="16"/>
                <w:szCs w:val="16"/>
              </w:rPr>
              <w:t>POULTRY SCIENCE   Volume: 95   Issue: 10   Pages: 2244-2249   Published: OCT 2016</w:t>
            </w:r>
          </w:p>
        </w:tc>
      </w:tr>
      <w:tr w:rsidR="00286A88" w:rsidRPr="00286A88" w14:paraId="375691D4" w14:textId="77777777" w:rsidTr="00043C78">
        <w:tc>
          <w:tcPr>
            <w:tcW w:w="3628" w:type="dxa"/>
          </w:tcPr>
          <w:p w14:paraId="1B1334E1" w14:textId="77777777" w:rsidR="00286A88" w:rsidRPr="008C43DD" w:rsidRDefault="00286A88" w:rsidP="008C43DD">
            <w:pPr>
              <w:spacing w:before="60"/>
            </w:pPr>
            <w:r w:rsidRPr="008C43DD">
              <w:t>Paper on the control of avian influenza</w:t>
            </w:r>
          </w:p>
        </w:tc>
        <w:tc>
          <w:tcPr>
            <w:tcW w:w="1020" w:type="dxa"/>
          </w:tcPr>
          <w:p w14:paraId="4AE05522" w14:textId="77777777" w:rsidR="00286A88" w:rsidRPr="008C43DD" w:rsidRDefault="00286A88" w:rsidP="008C43DD">
            <w:pPr>
              <w:spacing w:before="60"/>
            </w:pPr>
            <w:r w:rsidRPr="008C43DD">
              <w:t>2</w:t>
            </w:r>
          </w:p>
        </w:tc>
        <w:tc>
          <w:tcPr>
            <w:tcW w:w="5329" w:type="dxa"/>
          </w:tcPr>
          <w:p w14:paraId="1B2ED870" w14:textId="77777777" w:rsidR="00290373" w:rsidRPr="00290373" w:rsidRDefault="00290373" w:rsidP="00290373">
            <w:pPr>
              <w:pStyle w:val="NoSpacing"/>
              <w:rPr>
                <w:sz w:val="16"/>
                <w:szCs w:val="16"/>
              </w:rPr>
            </w:pPr>
            <w:r w:rsidRPr="00290373">
              <w:rPr>
                <w:sz w:val="16"/>
                <w:szCs w:val="16"/>
              </w:rPr>
              <w:t>Controlling highly pathogenic avian influenza outbreaks: An epidemiological and economic model analysis</w:t>
            </w:r>
          </w:p>
          <w:p w14:paraId="6F32076B" w14:textId="77777777" w:rsidR="00290373" w:rsidRPr="00290373" w:rsidRDefault="00290373" w:rsidP="00290373">
            <w:pPr>
              <w:pStyle w:val="NoSpacing"/>
              <w:rPr>
                <w:sz w:val="16"/>
                <w:szCs w:val="16"/>
              </w:rPr>
            </w:pPr>
            <w:r w:rsidRPr="00290373">
              <w:rPr>
                <w:sz w:val="16"/>
                <w:szCs w:val="16"/>
              </w:rPr>
              <w:t>By: Backer, J. A.; van Roermund, H. J. W.; Fischer, E. A. J.; et al.</w:t>
            </w:r>
          </w:p>
          <w:p w14:paraId="6D537FB1" w14:textId="77777777" w:rsidR="00286A88" w:rsidRPr="00290373" w:rsidRDefault="00290373" w:rsidP="00290373">
            <w:pPr>
              <w:pStyle w:val="NoSpacing"/>
              <w:rPr>
                <w:sz w:val="16"/>
                <w:szCs w:val="16"/>
              </w:rPr>
            </w:pPr>
            <w:r w:rsidRPr="00290373">
              <w:rPr>
                <w:sz w:val="16"/>
                <w:szCs w:val="16"/>
              </w:rPr>
              <w:t>PREVENTIVE VETERINARY MEDICINE   Volume: 121   Issue: 1-2   Pages: 142-150   Published: SEP 1 2015</w:t>
            </w:r>
          </w:p>
        </w:tc>
      </w:tr>
      <w:tr w:rsidR="00286A88" w:rsidRPr="00286A88" w14:paraId="33D077F1" w14:textId="77777777" w:rsidTr="00043C78">
        <w:tc>
          <w:tcPr>
            <w:tcW w:w="3628" w:type="dxa"/>
          </w:tcPr>
          <w:p w14:paraId="0F25347B" w14:textId="77777777" w:rsidR="00286A88" w:rsidRPr="008C43DD" w:rsidRDefault="00286A88" w:rsidP="008C43DD">
            <w:pPr>
              <w:spacing w:before="60"/>
            </w:pPr>
            <w:r w:rsidRPr="008C43DD">
              <w:t>Paper on fundamental study of genetics, morphology, immune function, disease mechanism or stress biology with no immediate welfare relevance</w:t>
            </w:r>
          </w:p>
        </w:tc>
        <w:tc>
          <w:tcPr>
            <w:tcW w:w="1020" w:type="dxa"/>
          </w:tcPr>
          <w:p w14:paraId="215B0A95" w14:textId="77777777" w:rsidR="00286A88" w:rsidRPr="008C43DD" w:rsidRDefault="00286A88" w:rsidP="008C43DD">
            <w:pPr>
              <w:spacing w:before="60"/>
            </w:pPr>
            <w:r w:rsidRPr="008C43DD">
              <w:t>4</w:t>
            </w:r>
          </w:p>
        </w:tc>
        <w:tc>
          <w:tcPr>
            <w:tcW w:w="5329" w:type="dxa"/>
          </w:tcPr>
          <w:p w14:paraId="3CB1BCF0" w14:textId="77777777" w:rsidR="00290373" w:rsidRPr="00290373" w:rsidRDefault="00290373" w:rsidP="00290373">
            <w:pPr>
              <w:pStyle w:val="NoSpacing"/>
              <w:rPr>
                <w:sz w:val="16"/>
                <w:szCs w:val="16"/>
              </w:rPr>
            </w:pPr>
            <w:r w:rsidRPr="00290373">
              <w:rPr>
                <w:sz w:val="16"/>
                <w:szCs w:val="16"/>
              </w:rPr>
              <w:t>Duck gait: Relationship to hip angle, bone ash, bone density, and morphology</w:t>
            </w:r>
          </w:p>
          <w:p w14:paraId="09AA0F9E" w14:textId="77777777" w:rsidR="00290373" w:rsidRPr="00290373" w:rsidRDefault="00290373" w:rsidP="00290373">
            <w:pPr>
              <w:pStyle w:val="NoSpacing"/>
              <w:rPr>
                <w:sz w:val="16"/>
                <w:szCs w:val="16"/>
              </w:rPr>
            </w:pPr>
            <w:r w:rsidRPr="00290373">
              <w:rPr>
                <w:sz w:val="16"/>
                <w:szCs w:val="16"/>
              </w:rPr>
              <w:t>By: Robison, Cara I.; Rice, Meredith; Makagon, Maja M.; et al.</w:t>
            </w:r>
          </w:p>
          <w:p w14:paraId="5C25DE5D" w14:textId="77777777" w:rsidR="00286A88" w:rsidRPr="00290373" w:rsidRDefault="00290373" w:rsidP="00290373">
            <w:pPr>
              <w:pStyle w:val="NoSpacing"/>
              <w:rPr>
                <w:sz w:val="16"/>
                <w:szCs w:val="16"/>
              </w:rPr>
            </w:pPr>
            <w:r w:rsidRPr="00290373">
              <w:rPr>
                <w:sz w:val="16"/>
                <w:szCs w:val="16"/>
              </w:rPr>
              <w:t>POULTRY SCIENCE   Volume: 94   Issue: 5   Pages: 1060-1067   Published: MAY 2015</w:t>
            </w:r>
          </w:p>
        </w:tc>
      </w:tr>
      <w:tr w:rsidR="00286A88" w:rsidRPr="00286A88" w14:paraId="71FF4016" w14:textId="77777777" w:rsidTr="00043C78">
        <w:tc>
          <w:tcPr>
            <w:tcW w:w="3628" w:type="dxa"/>
          </w:tcPr>
          <w:p w14:paraId="5F963071" w14:textId="77777777" w:rsidR="00286A88" w:rsidRPr="008C43DD" w:rsidRDefault="00286A88" w:rsidP="008C43DD">
            <w:pPr>
              <w:spacing w:before="60"/>
            </w:pPr>
            <w:r w:rsidRPr="008C43DD">
              <w:t>Paper on fundamental study of behaviour or with no immediate welfare relevance</w:t>
            </w:r>
          </w:p>
        </w:tc>
        <w:tc>
          <w:tcPr>
            <w:tcW w:w="1020" w:type="dxa"/>
          </w:tcPr>
          <w:p w14:paraId="1FCD3B5D" w14:textId="77777777" w:rsidR="00286A88" w:rsidRPr="008C43DD" w:rsidRDefault="00286A88" w:rsidP="008C43DD">
            <w:pPr>
              <w:spacing w:before="60"/>
            </w:pPr>
            <w:r w:rsidRPr="008C43DD">
              <w:t>2</w:t>
            </w:r>
          </w:p>
        </w:tc>
        <w:tc>
          <w:tcPr>
            <w:tcW w:w="5329" w:type="dxa"/>
          </w:tcPr>
          <w:p w14:paraId="1F6B303C" w14:textId="77777777" w:rsidR="00290373" w:rsidRPr="00290373" w:rsidRDefault="00290373" w:rsidP="00290373">
            <w:pPr>
              <w:pStyle w:val="NoSpacing"/>
              <w:rPr>
                <w:sz w:val="16"/>
                <w:szCs w:val="16"/>
              </w:rPr>
            </w:pPr>
            <w:r w:rsidRPr="00290373">
              <w:rPr>
                <w:sz w:val="16"/>
                <w:szCs w:val="16"/>
              </w:rPr>
              <w:t>When a Duck Initiates Movement, Do Others Follow? Testing Preference in Groups</w:t>
            </w:r>
          </w:p>
          <w:p w14:paraId="6E263247" w14:textId="77777777" w:rsidR="00290373" w:rsidRPr="00290373" w:rsidRDefault="00290373" w:rsidP="00290373">
            <w:pPr>
              <w:pStyle w:val="NoSpacing"/>
              <w:rPr>
                <w:sz w:val="16"/>
                <w:szCs w:val="16"/>
              </w:rPr>
            </w:pPr>
            <w:r w:rsidRPr="00290373">
              <w:rPr>
                <w:sz w:val="16"/>
                <w:szCs w:val="16"/>
              </w:rPr>
              <w:t>By: Liste, Guiomar; Asher, Lucy; Broom, Donald M.</w:t>
            </w:r>
          </w:p>
          <w:p w14:paraId="4A63CEBF" w14:textId="77777777" w:rsidR="00286A88" w:rsidRPr="00290373" w:rsidRDefault="00290373" w:rsidP="00290373">
            <w:pPr>
              <w:pStyle w:val="NoSpacing"/>
              <w:rPr>
                <w:sz w:val="16"/>
                <w:szCs w:val="16"/>
              </w:rPr>
            </w:pPr>
            <w:r w:rsidRPr="00290373">
              <w:rPr>
                <w:sz w:val="16"/>
                <w:szCs w:val="16"/>
              </w:rPr>
              <w:t>ETHOLOGY   Volume: 120   Issue: 12   Pages: 1199-1206   Published: DEC 2014</w:t>
            </w:r>
          </w:p>
        </w:tc>
      </w:tr>
      <w:tr w:rsidR="00286A88" w:rsidRPr="00286A88" w14:paraId="00E62596" w14:textId="77777777" w:rsidTr="00043C78">
        <w:tc>
          <w:tcPr>
            <w:tcW w:w="3628" w:type="dxa"/>
          </w:tcPr>
          <w:p w14:paraId="684A8FDD" w14:textId="77777777" w:rsidR="00286A88" w:rsidRPr="008C43DD" w:rsidRDefault="00286A88" w:rsidP="008C43DD">
            <w:pPr>
              <w:spacing w:before="60"/>
            </w:pPr>
            <w:r w:rsidRPr="008C43DD">
              <w:t>Paper on production quality / human consumption</w:t>
            </w:r>
          </w:p>
        </w:tc>
        <w:tc>
          <w:tcPr>
            <w:tcW w:w="1020" w:type="dxa"/>
          </w:tcPr>
          <w:p w14:paraId="0F7E0581" w14:textId="77777777" w:rsidR="00286A88" w:rsidRPr="008C43DD" w:rsidRDefault="00286A88" w:rsidP="008C43DD">
            <w:pPr>
              <w:spacing w:before="60"/>
            </w:pPr>
            <w:r w:rsidRPr="008C43DD">
              <w:t>2</w:t>
            </w:r>
          </w:p>
        </w:tc>
        <w:tc>
          <w:tcPr>
            <w:tcW w:w="5329" w:type="dxa"/>
          </w:tcPr>
          <w:p w14:paraId="70A5CEC6" w14:textId="77777777" w:rsidR="00290373" w:rsidRPr="00290373" w:rsidRDefault="00290373" w:rsidP="00290373">
            <w:pPr>
              <w:pStyle w:val="NoSpacing"/>
              <w:rPr>
                <w:sz w:val="16"/>
                <w:szCs w:val="16"/>
              </w:rPr>
            </w:pPr>
            <w:r w:rsidRPr="00290373">
              <w:rPr>
                <w:sz w:val="16"/>
                <w:szCs w:val="16"/>
              </w:rPr>
              <w:t>Influence of housing system on the growth and histological structure of duck muscles</w:t>
            </w:r>
          </w:p>
          <w:p w14:paraId="23FA6284" w14:textId="77777777" w:rsidR="00290373" w:rsidRPr="00290373" w:rsidRDefault="00290373" w:rsidP="00290373">
            <w:pPr>
              <w:pStyle w:val="NoSpacing"/>
              <w:rPr>
                <w:sz w:val="16"/>
                <w:szCs w:val="16"/>
              </w:rPr>
            </w:pPr>
            <w:r w:rsidRPr="00290373">
              <w:rPr>
                <w:sz w:val="16"/>
                <w:szCs w:val="16"/>
              </w:rPr>
              <w:t>By: Damaziak, K.; Michalczuk, M.; Adamek, D.; et al.</w:t>
            </w:r>
          </w:p>
          <w:p w14:paraId="57A21AAC" w14:textId="77777777" w:rsidR="00286A88" w:rsidRPr="00290373" w:rsidRDefault="00290373" w:rsidP="00290373">
            <w:pPr>
              <w:pStyle w:val="NoSpacing"/>
              <w:rPr>
                <w:sz w:val="16"/>
                <w:szCs w:val="16"/>
              </w:rPr>
            </w:pPr>
            <w:r w:rsidRPr="00290373">
              <w:rPr>
                <w:sz w:val="16"/>
                <w:szCs w:val="16"/>
              </w:rPr>
              <w:t>SOUTH AFRICAN JOURNAL OF ANIMAL SCIENCE   Volume: 44   Issue: 2   Pages: 97-109   Published: 2014</w:t>
            </w:r>
          </w:p>
        </w:tc>
      </w:tr>
      <w:tr w:rsidR="00286A88" w:rsidRPr="00286A88" w14:paraId="76CB2FD7" w14:textId="77777777" w:rsidTr="00043C78">
        <w:tc>
          <w:tcPr>
            <w:tcW w:w="3628" w:type="dxa"/>
          </w:tcPr>
          <w:p w14:paraId="183C8A97" w14:textId="77777777" w:rsidR="00286A88" w:rsidRPr="008C43DD" w:rsidRDefault="00286A88" w:rsidP="008C43DD">
            <w:pPr>
              <w:spacing w:before="60"/>
            </w:pPr>
            <w:r w:rsidRPr="008C43DD">
              <w:t>A review paper</w:t>
            </w:r>
          </w:p>
        </w:tc>
        <w:tc>
          <w:tcPr>
            <w:tcW w:w="1020" w:type="dxa"/>
          </w:tcPr>
          <w:p w14:paraId="659D84F1" w14:textId="77777777" w:rsidR="00286A88" w:rsidRPr="008C43DD" w:rsidRDefault="00286A88" w:rsidP="008C43DD">
            <w:pPr>
              <w:spacing w:before="60"/>
            </w:pPr>
            <w:r w:rsidRPr="008C43DD">
              <w:t>2</w:t>
            </w:r>
          </w:p>
        </w:tc>
        <w:tc>
          <w:tcPr>
            <w:tcW w:w="5329" w:type="dxa"/>
          </w:tcPr>
          <w:p w14:paraId="6701FED5" w14:textId="77777777" w:rsidR="00290373" w:rsidRPr="00290373" w:rsidRDefault="00290373" w:rsidP="00290373">
            <w:pPr>
              <w:pStyle w:val="NoSpacing"/>
              <w:rPr>
                <w:sz w:val="16"/>
                <w:szCs w:val="16"/>
              </w:rPr>
            </w:pPr>
            <w:r w:rsidRPr="00290373">
              <w:rPr>
                <w:sz w:val="16"/>
                <w:szCs w:val="16"/>
              </w:rPr>
              <w:t>Welfare of ducks in European duck husbandry systems</w:t>
            </w:r>
          </w:p>
          <w:p w14:paraId="529A1B7A" w14:textId="77777777" w:rsidR="00290373" w:rsidRPr="00290373" w:rsidRDefault="00290373" w:rsidP="00290373">
            <w:pPr>
              <w:pStyle w:val="NoSpacing"/>
              <w:rPr>
                <w:sz w:val="16"/>
                <w:szCs w:val="16"/>
              </w:rPr>
            </w:pPr>
            <w:r w:rsidRPr="00290373">
              <w:rPr>
                <w:sz w:val="16"/>
                <w:szCs w:val="16"/>
              </w:rPr>
              <w:t>By: Rodenburg, TB; Bracke, MBM; Berk, J; et al.</w:t>
            </w:r>
          </w:p>
          <w:p w14:paraId="7D1CF8F3" w14:textId="77777777" w:rsidR="00290373" w:rsidRPr="00290373" w:rsidRDefault="00290373" w:rsidP="00290373">
            <w:pPr>
              <w:pStyle w:val="NoSpacing"/>
              <w:rPr>
                <w:sz w:val="16"/>
                <w:szCs w:val="16"/>
              </w:rPr>
            </w:pPr>
            <w:r w:rsidRPr="00290373">
              <w:rPr>
                <w:sz w:val="16"/>
                <w:szCs w:val="16"/>
              </w:rPr>
              <w:t>Conference: Workshop on Duck Welfare Location: Wageningen, NETHERLANDS Date: SEP 30-OCT 02, 2004</w:t>
            </w:r>
          </w:p>
          <w:p w14:paraId="5B87761D" w14:textId="77777777" w:rsidR="00286A88" w:rsidRPr="00290373" w:rsidRDefault="00290373" w:rsidP="00290373">
            <w:pPr>
              <w:pStyle w:val="NoSpacing"/>
              <w:rPr>
                <w:sz w:val="16"/>
                <w:szCs w:val="16"/>
              </w:rPr>
            </w:pPr>
            <w:r w:rsidRPr="00290373">
              <w:rPr>
                <w:sz w:val="16"/>
                <w:szCs w:val="16"/>
              </w:rPr>
              <w:t>WORLD’S POULTRY SCIENCE JOURNAL   Volume: 61   Issue: 4   Pages: 633-646   Published: DEC 2005</w:t>
            </w:r>
          </w:p>
        </w:tc>
      </w:tr>
      <w:tr w:rsidR="00286A88" w:rsidRPr="00286A88" w14:paraId="436EE16F" w14:textId="77777777" w:rsidTr="00043C78">
        <w:tc>
          <w:tcPr>
            <w:tcW w:w="3628" w:type="dxa"/>
          </w:tcPr>
          <w:p w14:paraId="6BF74E3A" w14:textId="77777777" w:rsidR="00286A88" w:rsidRPr="008C43DD" w:rsidRDefault="00286A88" w:rsidP="008C43DD">
            <w:pPr>
              <w:spacing w:before="60"/>
            </w:pPr>
            <w:r w:rsidRPr="008C43DD">
              <w:t>Paper on ecological study</w:t>
            </w:r>
          </w:p>
        </w:tc>
        <w:tc>
          <w:tcPr>
            <w:tcW w:w="1020" w:type="dxa"/>
          </w:tcPr>
          <w:p w14:paraId="0981027B" w14:textId="77777777" w:rsidR="00286A88" w:rsidRPr="008C43DD" w:rsidRDefault="00286A88" w:rsidP="008C43DD">
            <w:pPr>
              <w:spacing w:before="60"/>
            </w:pPr>
            <w:r w:rsidRPr="008C43DD">
              <w:t>1</w:t>
            </w:r>
          </w:p>
        </w:tc>
        <w:tc>
          <w:tcPr>
            <w:tcW w:w="5329" w:type="dxa"/>
          </w:tcPr>
          <w:p w14:paraId="3548E274" w14:textId="77777777" w:rsidR="00290373" w:rsidRPr="00290373" w:rsidRDefault="00290373" w:rsidP="00290373">
            <w:pPr>
              <w:pStyle w:val="NoSpacing"/>
              <w:rPr>
                <w:sz w:val="16"/>
                <w:szCs w:val="16"/>
              </w:rPr>
            </w:pPr>
            <w:r w:rsidRPr="00290373">
              <w:rPr>
                <w:sz w:val="16"/>
                <w:szCs w:val="16"/>
              </w:rPr>
              <w:t>Ecological assessment of Cheffa Wetland in the Borkena Valley, northeast Ethiopia: Macroinvertebrate and bird communities</w:t>
            </w:r>
          </w:p>
          <w:p w14:paraId="482457B4" w14:textId="77777777" w:rsidR="00290373" w:rsidRPr="00290373" w:rsidRDefault="00290373" w:rsidP="00290373">
            <w:pPr>
              <w:pStyle w:val="NoSpacing"/>
              <w:rPr>
                <w:sz w:val="16"/>
                <w:szCs w:val="16"/>
              </w:rPr>
            </w:pPr>
            <w:r w:rsidRPr="00290373">
              <w:rPr>
                <w:sz w:val="16"/>
                <w:szCs w:val="16"/>
              </w:rPr>
              <w:t>By: Getachew, Melaku; Ambelu, Argaw; Tiku, Seid; et al.</w:t>
            </w:r>
          </w:p>
          <w:p w14:paraId="35456CE2" w14:textId="77777777" w:rsidR="00286A88" w:rsidRPr="00290373" w:rsidRDefault="00290373" w:rsidP="00290373">
            <w:pPr>
              <w:pStyle w:val="NoSpacing"/>
              <w:rPr>
                <w:sz w:val="16"/>
                <w:szCs w:val="16"/>
              </w:rPr>
            </w:pPr>
            <w:r w:rsidRPr="00290373">
              <w:rPr>
                <w:sz w:val="16"/>
                <w:szCs w:val="16"/>
              </w:rPr>
              <w:t>ECOLOGICAL INDICATORS   Volume: 15   Issue: 1   Pages: 63-71   Published: APR 2012</w:t>
            </w:r>
          </w:p>
        </w:tc>
      </w:tr>
      <w:tr w:rsidR="00286A88" w:rsidRPr="00286A88" w14:paraId="7B7FA14F" w14:textId="77777777" w:rsidTr="00043C78">
        <w:tc>
          <w:tcPr>
            <w:tcW w:w="3628" w:type="dxa"/>
          </w:tcPr>
          <w:p w14:paraId="0FCB362B" w14:textId="77777777" w:rsidR="00286A88" w:rsidRPr="00916B30" w:rsidRDefault="00286A88" w:rsidP="002B2473">
            <w:pPr>
              <w:spacing w:before="60" w:line="240" w:lineRule="auto"/>
              <w:rPr>
                <w:rFonts w:cs="Arial"/>
                <w:b/>
                <w:color w:val="auto"/>
                <w:szCs w:val="18"/>
              </w:rPr>
            </w:pPr>
            <w:r w:rsidRPr="00916B30">
              <w:rPr>
                <w:rFonts w:cs="Arial"/>
                <w:b/>
                <w:color w:val="auto"/>
                <w:szCs w:val="18"/>
              </w:rPr>
              <w:t xml:space="preserve">Papers </w:t>
            </w:r>
            <w:r w:rsidR="00770A44">
              <w:rPr>
                <w:rFonts w:cs="Arial"/>
                <w:b/>
                <w:color w:val="auto"/>
                <w:szCs w:val="18"/>
              </w:rPr>
              <w:t>excluded from primary search</w:t>
            </w:r>
          </w:p>
        </w:tc>
        <w:tc>
          <w:tcPr>
            <w:tcW w:w="1020" w:type="dxa"/>
          </w:tcPr>
          <w:p w14:paraId="01E9D71B" w14:textId="77777777" w:rsidR="00286A88" w:rsidRPr="00916B30" w:rsidRDefault="00770A44" w:rsidP="002B2473">
            <w:pPr>
              <w:spacing w:before="60" w:line="240" w:lineRule="auto"/>
              <w:rPr>
                <w:rFonts w:cs="Arial"/>
                <w:b/>
                <w:color w:val="auto"/>
                <w:szCs w:val="18"/>
              </w:rPr>
            </w:pPr>
            <w:r>
              <w:rPr>
                <w:rFonts w:cs="Arial"/>
                <w:b/>
                <w:color w:val="auto"/>
                <w:szCs w:val="18"/>
              </w:rPr>
              <w:t>28</w:t>
            </w:r>
          </w:p>
        </w:tc>
        <w:tc>
          <w:tcPr>
            <w:tcW w:w="5329" w:type="dxa"/>
          </w:tcPr>
          <w:p w14:paraId="02EDE53A" w14:textId="77777777" w:rsidR="00286A88" w:rsidRPr="008C43DD" w:rsidRDefault="00286A88" w:rsidP="00770A44">
            <w:pPr>
              <w:spacing w:before="60" w:line="240" w:lineRule="auto"/>
              <w:rPr>
                <w:rFonts w:cs="Arial"/>
                <w:b/>
                <w:color w:val="auto"/>
                <w:szCs w:val="18"/>
              </w:rPr>
            </w:pPr>
            <w:r w:rsidRPr="008C43DD">
              <w:rPr>
                <w:rFonts w:cs="Arial"/>
                <w:b/>
                <w:color w:val="auto"/>
                <w:szCs w:val="18"/>
              </w:rPr>
              <w:t xml:space="preserve">Papers </w:t>
            </w:r>
            <w:r w:rsidR="00770A44">
              <w:rPr>
                <w:rFonts w:cs="Arial"/>
                <w:b/>
                <w:color w:val="auto"/>
                <w:szCs w:val="18"/>
              </w:rPr>
              <w:t xml:space="preserve">retained from primary search: </w:t>
            </w:r>
            <w:r w:rsidRPr="008C43DD">
              <w:rPr>
                <w:rFonts w:cs="Arial"/>
                <w:b/>
                <w:color w:val="auto"/>
                <w:szCs w:val="18"/>
              </w:rPr>
              <w:t xml:space="preserve"> </w:t>
            </w:r>
            <w:r w:rsidR="00770A44">
              <w:rPr>
                <w:rFonts w:cs="Arial"/>
                <w:b/>
                <w:color w:val="auto"/>
                <w:szCs w:val="18"/>
              </w:rPr>
              <w:t>60 – 28 = 32</w:t>
            </w:r>
          </w:p>
        </w:tc>
      </w:tr>
    </w:tbl>
    <w:p w14:paraId="6A5C5039" w14:textId="77777777" w:rsidR="000F7827" w:rsidRPr="000F7827" w:rsidRDefault="000F7827" w:rsidP="000F7827">
      <w:pPr>
        <w:rPr>
          <w:lang w:val="en-GB"/>
        </w:rPr>
      </w:pPr>
    </w:p>
    <w:p w14:paraId="727E8F11" w14:textId="77777777" w:rsidR="00286A88" w:rsidRPr="00590F0B" w:rsidRDefault="000F7827" w:rsidP="00590F0B">
      <w:pPr>
        <w:spacing w:before="240" w:after="240"/>
        <w:rPr>
          <w:b/>
          <w:i/>
          <w:lang w:val="en-GB"/>
        </w:rPr>
      </w:pPr>
      <w:r>
        <w:rPr>
          <w:b/>
          <w:i/>
          <w:lang w:val="en-GB"/>
        </w:rPr>
        <w:br w:type="column"/>
      </w:r>
      <w:r w:rsidR="00286A88" w:rsidRPr="00590F0B">
        <w:rPr>
          <w:b/>
          <w:i/>
          <w:lang w:val="en-GB"/>
        </w:rPr>
        <w:t xml:space="preserve">Duck Secondary Searches </w:t>
      </w:r>
    </w:p>
    <w:tbl>
      <w:tblPr>
        <w:tblStyle w:val="TableGrid11"/>
        <w:tblW w:w="9954" w:type="dxa"/>
        <w:tblLook w:val="04A0" w:firstRow="1" w:lastRow="0" w:firstColumn="1" w:lastColumn="0" w:noHBand="0" w:noVBand="1"/>
        <w:tblCaption w:val="Results of secondary literature searches for ducks"/>
        <w:tblDescription w:val="This table shows the results of secondary literature searches for ducks. The left hand column shows the search terms used in the secondary searches. The second column shows the number of papers returned from each of these searches. The third column shows the additional papers included from these searches. The right hand column makes broad comments on the secondary searches."/>
      </w:tblPr>
      <w:tblGrid>
        <w:gridCol w:w="4025"/>
        <w:gridCol w:w="1020"/>
        <w:gridCol w:w="1020"/>
        <w:gridCol w:w="3889"/>
      </w:tblGrid>
      <w:tr w:rsidR="00286A88" w:rsidRPr="00286A88" w14:paraId="08DB9963" w14:textId="77777777" w:rsidTr="00587D34">
        <w:trPr>
          <w:tblHeader/>
        </w:trPr>
        <w:tc>
          <w:tcPr>
            <w:tcW w:w="4025" w:type="dxa"/>
            <w:shd w:val="clear" w:color="auto" w:fill="auto"/>
          </w:tcPr>
          <w:p w14:paraId="7C4382BF" w14:textId="77777777" w:rsidR="00286A88" w:rsidRPr="008970FA" w:rsidRDefault="00286A88" w:rsidP="008970FA">
            <w:pPr>
              <w:spacing w:before="60" w:line="240" w:lineRule="auto"/>
              <w:rPr>
                <w:rFonts w:cs="Arial"/>
                <w:b/>
                <w:color w:val="auto"/>
                <w:szCs w:val="18"/>
              </w:rPr>
            </w:pPr>
            <w:r w:rsidRPr="008970FA">
              <w:rPr>
                <w:rFonts w:cs="Arial"/>
                <w:b/>
                <w:color w:val="auto"/>
                <w:szCs w:val="18"/>
              </w:rPr>
              <w:t>Search terms for synonyms of species or welfare</w:t>
            </w:r>
          </w:p>
        </w:tc>
        <w:tc>
          <w:tcPr>
            <w:tcW w:w="1020" w:type="dxa"/>
            <w:shd w:val="clear" w:color="auto" w:fill="auto"/>
          </w:tcPr>
          <w:p w14:paraId="44FBD817" w14:textId="77777777" w:rsidR="004D4B06" w:rsidRPr="008970FA" w:rsidRDefault="00286A88" w:rsidP="008970FA">
            <w:pPr>
              <w:spacing w:before="60" w:line="240" w:lineRule="auto"/>
              <w:rPr>
                <w:rFonts w:cs="Arial"/>
                <w:color w:val="auto"/>
                <w:szCs w:val="18"/>
              </w:rPr>
            </w:pPr>
            <w:r w:rsidRPr="008970FA">
              <w:rPr>
                <w:rFonts w:cs="Arial"/>
                <w:color w:val="auto"/>
                <w:szCs w:val="18"/>
              </w:rPr>
              <w:t>Hits</w:t>
            </w:r>
          </w:p>
        </w:tc>
        <w:tc>
          <w:tcPr>
            <w:tcW w:w="1020" w:type="dxa"/>
            <w:shd w:val="clear" w:color="auto" w:fill="auto"/>
          </w:tcPr>
          <w:p w14:paraId="0C9DCA31" w14:textId="77777777" w:rsidR="00286A88" w:rsidRPr="008970FA" w:rsidRDefault="00286A88" w:rsidP="008970FA">
            <w:pPr>
              <w:spacing w:before="60" w:line="240" w:lineRule="auto"/>
              <w:rPr>
                <w:rFonts w:cs="Arial"/>
                <w:color w:val="auto"/>
                <w:szCs w:val="18"/>
              </w:rPr>
            </w:pPr>
            <w:r w:rsidRPr="008970FA">
              <w:rPr>
                <w:rFonts w:cs="Arial"/>
                <w:color w:val="auto"/>
                <w:szCs w:val="18"/>
              </w:rPr>
              <w:t>Additional Papers Included</w:t>
            </w:r>
          </w:p>
        </w:tc>
        <w:tc>
          <w:tcPr>
            <w:tcW w:w="3889" w:type="dxa"/>
            <w:shd w:val="clear" w:color="auto" w:fill="auto"/>
          </w:tcPr>
          <w:p w14:paraId="1C62797E" w14:textId="77777777" w:rsidR="00286A88" w:rsidRPr="008970FA" w:rsidRDefault="00286A88" w:rsidP="008970FA">
            <w:pPr>
              <w:spacing w:before="60" w:line="240" w:lineRule="auto"/>
              <w:rPr>
                <w:rFonts w:cs="Arial"/>
                <w:color w:val="auto"/>
                <w:szCs w:val="18"/>
              </w:rPr>
            </w:pPr>
            <w:r w:rsidRPr="008970FA">
              <w:rPr>
                <w:rFonts w:cs="Arial"/>
                <w:color w:val="auto"/>
                <w:szCs w:val="18"/>
              </w:rPr>
              <w:t>Comments</w:t>
            </w:r>
          </w:p>
        </w:tc>
      </w:tr>
      <w:tr w:rsidR="00286A88" w:rsidRPr="00286A88" w14:paraId="10992740" w14:textId="77777777" w:rsidTr="007975A6">
        <w:tc>
          <w:tcPr>
            <w:tcW w:w="4025" w:type="dxa"/>
          </w:tcPr>
          <w:p w14:paraId="6B9830CC" w14:textId="77777777" w:rsidR="00286A88" w:rsidRPr="008970FA" w:rsidRDefault="00286A88" w:rsidP="00046273">
            <w:pPr>
              <w:spacing w:before="60" w:line="240" w:lineRule="auto"/>
              <w:rPr>
                <w:rFonts w:cs="Arial"/>
                <w:color w:val="auto"/>
                <w:szCs w:val="18"/>
              </w:rPr>
            </w:pPr>
            <w:r w:rsidRPr="008970FA">
              <w:rPr>
                <w:rFonts w:cs="Arial"/>
                <w:color w:val="auto"/>
                <w:szCs w:val="18"/>
              </w:rPr>
              <w:t xml:space="preserve">Anas AND </w:t>
            </w:r>
            <w:r w:rsidR="00046273">
              <w:rPr>
                <w:rFonts w:cs="Arial"/>
                <w:color w:val="auto"/>
                <w:szCs w:val="18"/>
              </w:rPr>
              <w:t>w</w:t>
            </w:r>
            <w:r w:rsidRPr="008970FA">
              <w:rPr>
                <w:rFonts w:cs="Arial"/>
                <w:color w:val="auto"/>
                <w:szCs w:val="18"/>
              </w:rPr>
              <w:t>elfare</w:t>
            </w:r>
          </w:p>
        </w:tc>
        <w:tc>
          <w:tcPr>
            <w:tcW w:w="1020" w:type="dxa"/>
          </w:tcPr>
          <w:p w14:paraId="4894E70A" w14:textId="77777777" w:rsidR="00286A88" w:rsidRPr="008970FA" w:rsidRDefault="00286A88" w:rsidP="008970FA">
            <w:pPr>
              <w:spacing w:before="60" w:line="240" w:lineRule="auto"/>
              <w:rPr>
                <w:rFonts w:cs="Arial"/>
                <w:color w:val="auto"/>
                <w:szCs w:val="18"/>
              </w:rPr>
            </w:pPr>
            <w:r w:rsidRPr="008970FA">
              <w:rPr>
                <w:rFonts w:cs="Arial"/>
                <w:color w:val="auto"/>
                <w:szCs w:val="18"/>
              </w:rPr>
              <w:t>19</w:t>
            </w:r>
          </w:p>
        </w:tc>
        <w:tc>
          <w:tcPr>
            <w:tcW w:w="1020" w:type="dxa"/>
          </w:tcPr>
          <w:p w14:paraId="137037E3" w14:textId="77777777" w:rsidR="00286A88" w:rsidRPr="008970FA" w:rsidRDefault="00286A88" w:rsidP="008970FA">
            <w:pPr>
              <w:spacing w:before="60" w:line="240" w:lineRule="auto"/>
              <w:rPr>
                <w:rFonts w:cs="Arial"/>
                <w:color w:val="auto"/>
                <w:szCs w:val="18"/>
              </w:rPr>
            </w:pPr>
            <w:r w:rsidRPr="008970FA">
              <w:rPr>
                <w:rFonts w:cs="Arial"/>
                <w:color w:val="auto"/>
                <w:szCs w:val="18"/>
              </w:rPr>
              <w:t>0</w:t>
            </w:r>
          </w:p>
        </w:tc>
        <w:tc>
          <w:tcPr>
            <w:tcW w:w="3889" w:type="dxa"/>
          </w:tcPr>
          <w:p w14:paraId="531CBD5B" w14:textId="77777777" w:rsidR="00286A88" w:rsidRPr="008970FA" w:rsidRDefault="00286A88" w:rsidP="008970FA">
            <w:pPr>
              <w:spacing w:before="60" w:line="240" w:lineRule="auto"/>
              <w:rPr>
                <w:rFonts w:cs="Arial"/>
                <w:color w:val="auto"/>
                <w:szCs w:val="18"/>
              </w:rPr>
            </w:pPr>
            <w:r w:rsidRPr="008970FA">
              <w:rPr>
                <w:rFonts w:cs="Arial"/>
                <w:color w:val="auto"/>
                <w:szCs w:val="18"/>
              </w:rPr>
              <w:t>No additional relevant papers</w:t>
            </w:r>
          </w:p>
        </w:tc>
      </w:tr>
      <w:tr w:rsidR="00286A88" w:rsidRPr="00286A88" w14:paraId="728366FD" w14:textId="77777777" w:rsidTr="007975A6">
        <w:tc>
          <w:tcPr>
            <w:tcW w:w="4025" w:type="dxa"/>
          </w:tcPr>
          <w:p w14:paraId="5E8377E6" w14:textId="77777777" w:rsidR="00286A88" w:rsidRPr="008970FA" w:rsidRDefault="00046273" w:rsidP="008970FA">
            <w:pPr>
              <w:spacing w:before="60" w:line="240" w:lineRule="auto"/>
              <w:rPr>
                <w:rFonts w:cs="Arial"/>
                <w:color w:val="auto"/>
                <w:szCs w:val="18"/>
              </w:rPr>
            </w:pPr>
            <w:r>
              <w:rPr>
                <w:rFonts w:cs="Arial"/>
                <w:color w:val="auto"/>
                <w:szCs w:val="18"/>
              </w:rPr>
              <w:t>waterfowl AND w</w:t>
            </w:r>
            <w:r w:rsidR="00286A88" w:rsidRPr="008970FA">
              <w:rPr>
                <w:rFonts w:cs="Arial"/>
                <w:color w:val="auto"/>
                <w:szCs w:val="18"/>
              </w:rPr>
              <w:t>elfare</w:t>
            </w:r>
          </w:p>
        </w:tc>
        <w:tc>
          <w:tcPr>
            <w:tcW w:w="1020" w:type="dxa"/>
          </w:tcPr>
          <w:p w14:paraId="749B8E7D" w14:textId="77777777" w:rsidR="00286A88" w:rsidRPr="008970FA" w:rsidRDefault="00286A88" w:rsidP="008970FA">
            <w:pPr>
              <w:spacing w:before="60" w:line="240" w:lineRule="auto"/>
              <w:rPr>
                <w:rFonts w:cs="Arial"/>
                <w:color w:val="auto"/>
                <w:szCs w:val="18"/>
              </w:rPr>
            </w:pPr>
            <w:r w:rsidRPr="008970FA">
              <w:rPr>
                <w:rFonts w:cs="Arial"/>
                <w:color w:val="auto"/>
                <w:szCs w:val="18"/>
              </w:rPr>
              <w:t>7</w:t>
            </w:r>
          </w:p>
        </w:tc>
        <w:tc>
          <w:tcPr>
            <w:tcW w:w="1020" w:type="dxa"/>
          </w:tcPr>
          <w:p w14:paraId="0EB64CBF" w14:textId="77777777" w:rsidR="00286A88" w:rsidRPr="008970FA" w:rsidRDefault="00286A88" w:rsidP="008970FA">
            <w:pPr>
              <w:spacing w:before="60" w:line="240" w:lineRule="auto"/>
              <w:rPr>
                <w:rFonts w:cs="Arial"/>
                <w:color w:val="auto"/>
                <w:szCs w:val="18"/>
              </w:rPr>
            </w:pPr>
            <w:r w:rsidRPr="008970FA">
              <w:rPr>
                <w:rFonts w:cs="Arial"/>
                <w:color w:val="auto"/>
                <w:szCs w:val="18"/>
              </w:rPr>
              <w:t>0</w:t>
            </w:r>
          </w:p>
        </w:tc>
        <w:tc>
          <w:tcPr>
            <w:tcW w:w="3889" w:type="dxa"/>
          </w:tcPr>
          <w:p w14:paraId="02AAEE44" w14:textId="77777777" w:rsidR="00286A88" w:rsidRPr="008970FA" w:rsidRDefault="00286A88" w:rsidP="008970FA">
            <w:pPr>
              <w:spacing w:before="60" w:line="240" w:lineRule="auto"/>
              <w:rPr>
                <w:rFonts w:cs="Arial"/>
                <w:color w:val="auto"/>
                <w:szCs w:val="18"/>
              </w:rPr>
            </w:pPr>
            <w:r w:rsidRPr="008970FA">
              <w:rPr>
                <w:rFonts w:cs="Arial"/>
                <w:color w:val="auto"/>
                <w:szCs w:val="18"/>
              </w:rPr>
              <w:t>No additional relevant papers</w:t>
            </w:r>
          </w:p>
        </w:tc>
      </w:tr>
      <w:tr w:rsidR="00286A88" w:rsidRPr="00286A88" w14:paraId="214718D8" w14:textId="77777777" w:rsidTr="007975A6">
        <w:tc>
          <w:tcPr>
            <w:tcW w:w="4025" w:type="dxa"/>
          </w:tcPr>
          <w:p w14:paraId="3612F245" w14:textId="77777777" w:rsidR="00286A88" w:rsidRPr="008970FA" w:rsidRDefault="00046273" w:rsidP="008970FA">
            <w:pPr>
              <w:spacing w:before="60" w:line="240" w:lineRule="auto"/>
              <w:rPr>
                <w:rFonts w:cs="Arial"/>
                <w:color w:val="auto"/>
                <w:szCs w:val="18"/>
              </w:rPr>
            </w:pPr>
            <w:r>
              <w:rPr>
                <w:rFonts w:cs="Arial"/>
                <w:color w:val="auto"/>
                <w:szCs w:val="18"/>
              </w:rPr>
              <w:t>d</w:t>
            </w:r>
            <w:r w:rsidR="00286A88" w:rsidRPr="008970FA">
              <w:rPr>
                <w:rFonts w:cs="Arial"/>
                <w:color w:val="auto"/>
                <w:szCs w:val="18"/>
              </w:rPr>
              <w:t>uck* AND wellbeing</w:t>
            </w:r>
          </w:p>
        </w:tc>
        <w:tc>
          <w:tcPr>
            <w:tcW w:w="1020" w:type="dxa"/>
          </w:tcPr>
          <w:p w14:paraId="0FE5234D" w14:textId="77777777" w:rsidR="00286A88" w:rsidRPr="008970FA" w:rsidRDefault="00286A88" w:rsidP="008970FA">
            <w:pPr>
              <w:spacing w:before="60" w:line="240" w:lineRule="auto"/>
              <w:rPr>
                <w:rFonts w:cs="Arial"/>
                <w:color w:val="auto"/>
                <w:szCs w:val="18"/>
              </w:rPr>
            </w:pPr>
            <w:r w:rsidRPr="008970FA">
              <w:rPr>
                <w:rFonts w:cs="Arial"/>
                <w:color w:val="auto"/>
                <w:szCs w:val="18"/>
              </w:rPr>
              <w:t>1</w:t>
            </w:r>
          </w:p>
        </w:tc>
        <w:tc>
          <w:tcPr>
            <w:tcW w:w="1020" w:type="dxa"/>
          </w:tcPr>
          <w:p w14:paraId="6487F977" w14:textId="77777777" w:rsidR="00286A88" w:rsidRPr="008970FA" w:rsidRDefault="00286A88" w:rsidP="008970FA">
            <w:pPr>
              <w:spacing w:before="60" w:line="240" w:lineRule="auto"/>
              <w:rPr>
                <w:rFonts w:cs="Arial"/>
                <w:color w:val="auto"/>
                <w:szCs w:val="18"/>
              </w:rPr>
            </w:pPr>
            <w:r w:rsidRPr="008970FA">
              <w:rPr>
                <w:rFonts w:cs="Arial"/>
                <w:color w:val="auto"/>
                <w:szCs w:val="18"/>
              </w:rPr>
              <w:t>0</w:t>
            </w:r>
          </w:p>
        </w:tc>
        <w:tc>
          <w:tcPr>
            <w:tcW w:w="3889" w:type="dxa"/>
          </w:tcPr>
          <w:p w14:paraId="4F7A48C9" w14:textId="77777777" w:rsidR="00286A88" w:rsidRPr="008970FA" w:rsidRDefault="00286A88" w:rsidP="008970FA">
            <w:pPr>
              <w:spacing w:before="60" w:line="240" w:lineRule="auto"/>
              <w:rPr>
                <w:rFonts w:cs="Arial"/>
                <w:color w:val="auto"/>
                <w:szCs w:val="18"/>
              </w:rPr>
            </w:pPr>
            <w:r w:rsidRPr="008970FA">
              <w:rPr>
                <w:rFonts w:cs="Arial"/>
                <w:color w:val="auto"/>
                <w:szCs w:val="18"/>
              </w:rPr>
              <w:t>Irrelevant article on marine management and environment</w:t>
            </w:r>
          </w:p>
        </w:tc>
      </w:tr>
      <w:tr w:rsidR="00286A88" w:rsidRPr="00286A88" w14:paraId="5720F9B0" w14:textId="77777777" w:rsidTr="007975A6">
        <w:tc>
          <w:tcPr>
            <w:tcW w:w="4025" w:type="dxa"/>
            <w:tcBorders>
              <w:bottom w:val="single" w:sz="4" w:space="0" w:color="auto"/>
            </w:tcBorders>
          </w:tcPr>
          <w:p w14:paraId="3F90D76F" w14:textId="77777777" w:rsidR="00286A88" w:rsidRPr="008970FA" w:rsidRDefault="00046273" w:rsidP="008970FA">
            <w:pPr>
              <w:spacing w:before="60" w:line="240" w:lineRule="auto"/>
              <w:rPr>
                <w:rFonts w:cs="Arial"/>
                <w:color w:val="auto"/>
                <w:szCs w:val="18"/>
              </w:rPr>
            </w:pPr>
            <w:r>
              <w:rPr>
                <w:rFonts w:cs="Arial"/>
                <w:color w:val="auto"/>
                <w:szCs w:val="18"/>
              </w:rPr>
              <w:t>d</w:t>
            </w:r>
            <w:r w:rsidR="00286A88" w:rsidRPr="008970FA">
              <w:rPr>
                <w:rFonts w:cs="Arial"/>
                <w:color w:val="auto"/>
                <w:szCs w:val="18"/>
              </w:rPr>
              <w:t>uck* AND well-being</w:t>
            </w:r>
          </w:p>
        </w:tc>
        <w:tc>
          <w:tcPr>
            <w:tcW w:w="1020" w:type="dxa"/>
          </w:tcPr>
          <w:p w14:paraId="32A5834F" w14:textId="77777777" w:rsidR="00286A88" w:rsidRPr="008970FA" w:rsidRDefault="00286A88" w:rsidP="008970FA">
            <w:pPr>
              <w:spacing w:before="60" w:line="240" w:lineRule="auto"/>
              <w:rPr>
                <w:rFonts w:cs="Arial"/>
                <w:color w:val="auto"/>
                <w:szCs w:val="18"/>
              </w:rPr>
            </w:pPr>
            <w:r w:rsidRPr="008970FA">
              <w:rPr>
                <w:rFonts w:cs="Arial"/>
                <w:color w:val="auto"/>
                <w:szCs w:val="18"/>
              </w:rPr>
              <w:t>11</w:t>
            </w:r>
          </w:p>
        </w:tc>
        <w:tc>
          <w:tcPr>
            <w:tcW w:w="1020" w:type="dxa"/>
          </w:tcPr>
          <w:p w14:paraId="12AB3A34" w14:textId="77777777" w:rsidR="00286A88" w:rsidRPr="008970FA" w:rsidRDefault="00286A88" w:rsidP="008970FA">
            <w:pPr>
              <w:spacing w:before="60" w:line="240" w:lineRule="auto"/>
              <w:rPr>
                <w:rFonts w:cs="Arial"/>
                <w:color w:val="auto"/>
                <w:szCs w:val="18"/>
              </w:rPr>
            </w:pPr>
            <w:r w:rsidRPr="008970FA">
              <w:rPr>
                <w:rFonts w:cs="Arial"/>
                <w:color w:val="auto"/>
                <w:szCs w:val="18"/>
              </w:rPr>
              <w:t>2</w:t>
            </w:r>
          </w:p>
        </w:tc>
        <w:tc>
          <w:tcPr>
            <w:tcW w:w="3889" w:type="dxa"/>
          </w:tcPr>
          <w:p w14:paraId="4DE4A1D3" w14:textId="77777777" w:rsidR="00286A88" w:rsidRPr="008970FA" w:rsidRDefault="00286A88" w:rsidP="008970FA">
            <w:pPr>
              <w:spacing w:before="60" w:line="240" w:lineRule="auto"/>
              <w:rPr>
                <w:rFonts w:cs="Arial"/>
                <w:color w:val="auto"/>
                <w:szCs w:val="18"/>
              </w:rPr>
            </w:pPr>
            <w:r w:rsidRPr="008970FA">
              <w:rPr>
                <w:rFonts w:cs="Arial"/>
                <w:color w:val="auto"/>
                <w:szCs w:val="18"/>
              </w:rPr>
              <w:t>Articles on cognitive identification not included. Articles on ecological studies of ducks not included.</w:t>
            </w:r>
          </w:p>
        </w:tc>
      </w:tr>
      <w:tr w:rsidR="00286A88" w:rsidRPr="00286A88" w14:paraId="6B2A6569" w14:textId="77777777" w:rsidTr="00587D34">
        <w:tc>
          <w:tcPr>
            <w:tcW w:w="4025" w:type="dxa"/>
            <w:shd w:val="clear" w:color="auto" w:fill="auto"/>
          </w:tcPr>
          <w:p w14:paraId="2717AD34" w14:textId="77777777" w:rsidR="00286A88" w:rsidRPr="008970FA" w:rsidRDefault="00286A88" w:rsidP="008970FA">
            <w:pPr>
              <w:spacing w:before="60" w:line="240" w:lineRule="auto"/>
              <w:rPr>
                <w:rFonts w:cs="Arial"/>
                <w:b/>
                <w:color w:val="auto"/>
                <w:szCs w:val="18"/>
              </w:rPr>
            </w:pPr>
            <w:r w:rsidRPr="008970FA">
              <w:rPr>
                <w:rFonts w:cs="Arial"/>
                <w:b/>
                <w:color w:val="auto"/>
                <w:szCs w:val="18"/>
              </w:rPr>
              <w:t>Search for sub-sets of terms relevant to welfare</w:t>
            </w:r>
          </w:p>
        </w:tc>
        <w:tc>
          <w:tcPr>
            <w:tcW w:w="1020" w:type="dxa"/>
            <w:shd w:val="clear" w:color="auto" w:fill="auto"/>
          </w:tcPr>
          <w:p w14:paraId="525C7CAE" w14:textId="77777777" w:rsidR="00286A88" w:rsidRPr="008970FA" w:rsidRDefault="00286A88" w:rsidP="008970FA">
            <w:pPr>
              <w:spacing w:before="60" w:line="240" w:lineRule="auto"/>
              <w:rPr>
                <w:rFonts w:cs="Arial"/>
                <w:color w:val="auto"/>
                <w:szCs w:val="18"/>
              </w:rPr>
            </w:pPr>
          </w:p>
        </w:tc>
        <w:tc>
          <w:tcPr>
            <w:tcW w:w="1020" w:type="dxa"/>
            <w:shd w:val="clear" w:color="auto" w:fill="auto"/>
          </w:tcPr>
          <w:p w14:paraId="4128026B" w14:textId="77777777" w:rsidR="00286A88" w:rsidRPr="008970FA" w:rsidRDefault="00286A88" w:rsidP="008970FA">
            <w:pPr>
              <w:spacing w:before="60" w:line="240" w:lineRule="auto"/>
              <w:rPr>
                <w:rFonts w:cs="Arial"/>
                <w:color w:val="auto"/>
                <w:szCs w:val="18"/>
              </w:rPr>
            </w:pPr>
          </w:p>
        </w:tc>
        <w:tc>
          <w:tcPr>
            <w:tcW w:w="3889" w:type="dxa"/>
            <w:shd w:val="clear" w:color="auto" w:fill="auto"/>
          </w:tcPr>
          <w:p w14:paraId="36F1893B" w14:textId="77777777" w:rsidR="00286A88" w:rsidRPr="008970FA" w:rsidRDefault="00286A88" w:rsidP="008970FA">
            <w:pPr>
              <w:spacing w:before="60" w:line="240" w:lineRule="auto"/>
              <w:rPr>
                <w:rFonts w:cs="Arial"/>
                <w:color w:val="auto"/>
                <w:szCs w:val="18"/>
              </w:rPr>
            </w:pPr>
          </w:p>
        </w:tc>
      </w:tr>
      <w:tr w:rsidR="00286A88" w:rsidRPr="00286A88" w14:paraId="4D865E23" w14:textId="77777777" w:rsidTr="007975A6">
        <w:tc>
          <w:tcPr>
            <w:tcW w:w="4025" w:type="dxa"/>
          </w:tcPr>
          <w:p w14:paraId="54816A33" w14:textId="77777777" w:rsidR="00286A88" w:rsidRPr="008970FA" w:rsidRDefault="00046273" w:rsidP="00046273">
            <w:pPr>
              <w:spacing w:before="60" w:line="240" w:lineRule="auto"/>
              <w:rPr>
                <w:rFonts w:cs="Arial"/>
                <w:color w:val="auto"/>
                <w:szCs w:val="18"/>
              </w:rPr>
            </w:pPr>
            <w:r>
              <w:rPr>
                <w:rFonts w:cs="Arial"/>
                <w:color w:val="auto"/>
                <w:szCs w:val="18"/>
              </w:rPr>
              <w:t>d</w:t>
            </w:r>
            <w:r w:rsidR="00286A88" w:rsidRPr="008970FA">
              <w:rPr>
                <w:rFonts w:cs="Arial"/>
                <w:color w:val="auto"/>
                <w:szCs w:val="18"/>
              </w:rPr>
              <w:t xml:space="preserve">uck* AND </w:t>
            </w:r>
            <w:r>
              <w:rPr>
                <w:rFonts w:cs="Arial"/>
                <w:color w:val="auto"/>
                <w:szCs w:val="18"/>
              </w:rPr>
              <w:t>h</w:t>
            </w:r>
            <w:r w:rsidR="00286A88" w:rsidRPr="008970FA">
              <w:rPr>
                <w:rFonts w:cs="Arial"/>
                <w:color w:val="auto"/>
                <w:szCs w:val="18"/>
              </w:rPr>
              <w:t>ealth</w:t>
            </w:r>
          </w:p>
        </w:tc>
        <w:tc>
          <w:tcPr>
            <w:tcW w:w="1020" w:type="dxa"/>
          </w:tcPr>
          <w:p w14:paraId="03D40684" w14:textId="77777777" w:rsidR="00286A88" w:rsidRPr="008970FA" w:rsidRDefault="00286A88" w:rsidP="008970FA">
            <w:pPr>
              <w:spacing w:before="60" w:line="240" w:lineRule="auto"/>
              <w:rPr>
                <w:rFonts w:cs="Arial"/>
                <w:color w:val="auto"/>
                <w:szCs w:val="18"/>
              </w:rPr>
            </w:pPr>
            <w:r w:rsidRPr="008970FA">
              <w:rPr>
                <w:rFonts w:cs="Arial"/>
                <w:color w:val="auto"/>
                <w:szCs w:val="18"/>
              </w:rPr>
              <w:t>503</w:t>
            </w:r>
          </w:p>
        </w:tc>
        <w:tc>
          <w:tcPr>
            <w:tcW w:w="1020" w:type="dxa"/>
          </w:tcPr>
          <w:p w14:paraId="780A9D36" w14:textId="77777777" w:rsidR="00286A88" w:rsidRPr="008970FA" w:rsidRDefault="00286A88" w:rsidP="008970FA">
            <w:pPr>
              <w:spacing w:before="60" w:line="240" w:lineRule="auto"/>
              <w:rPr>
                <w:rFonts w:cs="Arial"/>
                <w:color w:val="auto"/>
                <w:szCs w:val="18"/>
              </w:rPr>
            </w:pPr>
            <w:r w:rsidRPr="008970FA">
              <w:rPr>
                <w:rFonts w:cs="Arial"/>
                <w:color w:val="auto"/>
                <w:szCs w:val="18"/>
              </w:rPr>
              <w:t>3</w:t>
            </w:r>
          </w:p>
        </w:tc>
        <w:tc>
          <w:tcPr>
            <w:tcW w:w="3889" w:type="dxa"/>
          </w:tcPr>
          <w:p w14:paraId="4A3E27B6" w14:textId="77777777" w:rsidR="00286A88" w:rsidRPr="008970FA" w:rsidRDefault="00286A88" w:rsidP="008970FA">
            <w:pPr>
              <w:spacing w:before="60" w:line="240" w:lineRule="auto"/>
              <w:rPr>
                <w:rFonts w:cs="Arial"/>
                <w:color w:val="auto"/>
                <w:szCs w:val="18"/>
              </w:rPr>
            </w:pPr>
            <w:r w:rsidRPr="008970FA">
              <w:rPr>
                <w:rFonts w:cs="Arial"/>
                <w:color w:val="auto"/>
                <w:szCs w:val="18"/>
              </w:rPr>
              <w:t>Articles on control of avian influenza, general immunity not included.</w:t>
            </w:r>
          </w:p>
        </w:tc>
      </w:tr>
      <w:tr w:rsidR="00286A88" w:rsidRPr="00286A88" w14:paraId="4F842DDF" w14:textId="77777777" w:rsidTr="007975A6">
        <w:tc>
          <w:tcPr>
            <w:tcW w:w="4025" w:type="dxa"/>
          </w:tcPr>
          <w:p w14:paraId="36D64992" w14:textId="77777777" w:rsidR="00286A88" w:rsidRPr="008970FA" w:rsidRDefault="00046273" w:rsidP="008970FA">
            <w:pPr>
              <w:spacing w:before="60" w:line="240" w:lineRule="auto"/>
              <w:rPr>
                <w:rFonts w:cs="Arial"/>
                <w:color w:val="auto"/>
                <w:szCs w:val="18"/>
              </w:rPr>
            </w:pPr>
            <w:r>
              <w:rPr>
                <w:rFonts w:cs="Arial"/>
                <w:color w:val="auto"/>
                <w:szCs w:val="18"/>
              </w:rPr>
              <w:t>d</w:t>
            </w:r>
            <w:r w:rsidR="00286A88" w:rsidRPr="008970FA">
              <w:rPr>
                <w:rFonts w:cs="Arial"/>
                <w:color w:val="auto"/>
                <w:szCs w:val="18"/>
              </w:rPr>
              <w:t>uck* AND (stress* or fear*)</w:t>
            </w:r>
          </w:p>
        </w:tc>
        <w:tc>
          <w:tcPr>
            <w:tcW w:w="1020" w:type="dxa"/>
          </w:tcPr>
          <w:p w14:paraId="55D12C3F" w14:textId="77777777" w:rsidR="00286A88" w:rsidRPr="008970FA" w:rsidRDefault="00286A88" w:rsidP="008970FA">
            <w:pPr>
              <w:spacing w:before="60" w:line="240" w:lineRule="auto"/>
              <w:rPr>
                <w:rFonts w:cs="Arial"/>
                <w:color w:val="auto"/>
                <w:szCs w:val="18"/>
              </w:rPr>
            </w:pPr>
            <w:r w:rsidRPr="008970FA">
              <w:rPr>
                <w:rFonts w:cs="Arial"/>
                <w:color w:val="auto"/>
                <w:szCs w:val="18"/>
              </w:rPr>
              <w:t>529</w:t>
            </w:r>
          </w:p>
        </w:tc>
        <w:tc>
          <w:tcPr>
            <w:tcW w:w="1020" w:type="dxa"/>
          </w:tcPr>
          <w:p w14:paraId="549B4E4B" w14:textId="77777777" w:rsidR="00286A88" w:rsidRPr="008970FA" w:rsidRDefault="00286A88" w:rsidP="008970FA">
            <w:pPr>
              <w:spacing w:before="60" w:line="240" w:lineRule="auto"/>
              <w:rPr>
                <w:rFonts w:cs="Arial"/>
                <w:color w:val="auto"/>
                <w:szCs w:val="18"/>
              </w:rPr>
            </w:pPr>
            <w:r w:rsidRPr="008970FA">
              <w:rPr>
                <w:rFonts w:cs="Arial"/>
                <w:color w:val="auto"/>
                <w:szCs w:val="18"/>
              </w:rPr>
              <w:t>12</w:t>
            </w:r>
          </w:p>
        </w:tc>
        <w:tc>
          <w:tcPr>
            <w:tcW w:w="3889" w:type="dxa"/>
          </w:tcPr>
          <w:p w14:paraId="6517722E" w14:textId="77777777" w:rsidR="00286A88" w:rsidRPr="008970FA" w:rsidRDefault="00286A88" w:rsidP="008970FA">
            <w:pPr>
              <w:spacing w:before="60" w:line="240" w:lineRule="auto"/>
              <w:rPr>
                <w:rFonts w:cs="Arial"/>
                <w:color w:val="auto"/>
                <w:szCs w:val="18"/>
              </w:rPr>
            </w:pPr>
            <w:r w:rsidRPr="008970FA">
              <w:rPr>
                <w:rFonts w:cs="Arial"/>
                <w:color w:val="auto"/>
                <w:szCs w:val="18"/>
              </w:rPr>
              <w:t>Papers relating to meat quality not included. Papers on wild duck biology not included. A lot of articles on oxidative stress in duckweed not included.</w:t>
            </w:r>
          </w:p>
        </w:tc>
      </w:tr>
      <w:tr w:rsidR="00286A88" w:rsidRPr="00286A88" w14:paraId="79B279C4" w14:textId="77777777" w:rsidTr="007975A6">
        <w:tc>
          <w:tcPr>
            <w:tcW w:w="4025" w:type="dxa"/>
          </w:tcPr>
          <w:p w14:paraId="1CE091B7" w14:textId="77777777" w:rsidR="00286A88" w:rsidRPr="008970FA" w:rsidRDefault="00046273" w:rsidP="008970FA">
            <w:pPr>
              <w:spacing w:before="60" w:line="240" w:lineRule="auto"/>
              <w:rPr>
                <w:rFonts w:cs="Arial"/>
                <w:color w:val="auto"/>
                <w:szCs w:val="18"/>
              </w:rPr>
            </w:pPr>
            <w:r>
              <w:rPr>
                <w:rFonts w:cs="Arial"/>
                <w:color w:val="auto"/>
                <w:szCs w:val="18"/>
              </w:rPr>
              <w:t>duck* AND injur* OR duck* AND cull OR d</w:t>
            </w:r>
            <w:r w:rsidR="00286A88" w:rsidRPr="008970FA">
              <w:rPr>
                <w:rFonts w:cs="Arial"/>
                <w:color w:val="auto"/>
                <w:szCs w:val="18"/>
              </w:rPr>
              <w:t>uck* AND mortali*</w:t>
            </w:r>
          </w:p>
        </w:tc>
        <w:tc>
          <w:tcPr>
            <w:tcW w:w="1020" w:type="dxa"/>
          </w:tcPr>
          <w:p w14:paraId="6E42DAD1" w14:textId="77777777" w:rsidR="00286A88" w:rsidRPr="008970FA" w:rsidRDefault="00286A88" w:rsidP="008970FA">
            <w:pPr>
              <w:spacing w:before="60" w:line="240" w:lineRule="auto"/>
              <w:rPr>
                <w:rFonts w:cs="Arial"/>
                <w:color w:val="auto"/>
                <w:szCs w:val="18"/>
              </w:rPr>
            </w:pPr>
            <w:r w:rsidRPr="008970FA">
              <w:rPr>
                <w:rFonts w:cs="Arial"/>
                <w:color w:val="auto"/>
                <w:szCs w:val="18"/>
              </w:rPr>
              <w:t>856</w:t>
            </w:r>
          </w:p>
        </w:tc>
        <w:tc>
          <w:tcPr>
            <w:tcW w:w="1020" w:type="dxa"/>
          </w:tcPr>
          <w:p w14:paraId="15D16CC1" w14:textId="77777777" w:rsidR="00286A88" w:rsidRPr="008970FA" w:rsidRDefault="00286A88" w:rsidP="008970FA">
            <w:pPr>
              <w:spacing w:before="60" w:line="240" w:lineRule="auto"/>
              <w:rPr>
                <w:rFonts w:cs="Arial"/>
                <w:color w:val="auto"/>
                <w:szCs w:val="18"/>
              </w:rPr>
            </w:pPr>
            <w:r w:rsidRPr="008970FA">
              <w:rPr>
                <w:rFonts w:cs="Arial"/>
                <w:color w:val="auto"/>
                <w:szCs w:val="18"/>
              </w:rPr>
              <w:t>3</w:t>
            </w:r>
          </w:p>
        </w:tc>
        <w:tc>
          <w:tcPr>
            <w:tcW w:w="3889" w:type="dxa"/>
          </w:tcPr>
          <w:p w14:paraId="1E45E016" w14:textId="77777777" w:rsidR="00286A88" w:rsidRPr="008970FA" w:rsidRDefault="00286A88" w:rsidP="008970FA">
            <w:pPr>
              <w:spacing w:before="60" w:line="240" w:lineRule="auto"/>
              <w:rPr>
                <w:rFonts w:cs="Arial"/>
                <w:color w:val="auto"/>
                <w:szCs w:val="18"/>
              </w:rPr>
            </w:pPr>
            <w:r w:rsidRPr="008970FA">
              <w:rPr>
                <w:rFonts w:cs="Arial"/>
                <w:color w:val="auto"/>
                <w:szCs w:val="18"/>
              </w:rPr>
              <w:t>Mostly papers on wild ducks. Fundamental studies on immunological resistance not included.</w:t>
            </w:r>
          </w:p>
        </w:tc>
      </w:tr>
      <w:tr w:rsidR="00286A88" w:rsidRPr="00286A88" w14:paraId="28AC8377" w14:textId="77777777" w:rsidTr="007975A6">
        <w:tc>
          <w:tcPr>
            <w:tcW w:w="4025" w:type="dxa"/>
          </w:tcPr>
          <w:p w14:paraId="4EF642DF" w14:textId="77777777" w:rsidR="00286A88" w:rsidRPr="008970FA" w:rsidRDefault="00286A88" w:rsidP="00A84F28">
            <w:pPr>
              <w:spacing w:before="60" w:line="240" w:lineRule="auto"/>
              <w:rPr>
                <w:rFonts w:cs="Arial"/>
                <w:color w:val="auto"/>
                <w:szCs w:val="18"/>
              </w:rPr>
            </w:pPr>
            <w:r w:rsidRPr="008970FA">
              <w:rPr>
                <w:rFonts w:cs="Arial"/>
                <w:color w:val="auto"/>
                <w:szCs w:val="18"/>
              </w:rPr>
              <w:t>(</w:t>
            </w:r>
            <w:r w:rsidR="00046273">
              <w:rPr>
                <w:rFonts w:cs="Arial"/>
                <w:color w:val="auto"/>
                <w:szCs w:val="18"/>
              </w:rPr>
              <w:t>d</w:t>
            </w:r>
            <w:r w:rsidRPr="008970FA">
              <w:rPr>
                <w:rFonts w:cs="Arial"/>
                <w:color w:val="auto"/>
                <w:szCs w:val="18"/>
              </w:rPr>
              <w:t>uck* NOT duckweed) AND (density OR space)</w:t>
            </w:r>
          </w:p>
        </w:tc>
        <w:tc>
          <w:tcPr>
            <w:tcW w:w="1020" w:type="dxa"/>
          </w:tcPr>
          <w:p w14:paraId="587049CA" w14:textId="77777777" w:rsidR="00286A88" w:rsidRPr="008970FA" w:rsidRDefault="00286A88" w:rsidP="008970FA">
            <w:pPr>
              <w:spacing w:before="60" w:line="240" w:lineRule="auto"/>
              <w:rPr>
                <w:rFonts w:cs="Arial"/>
                <w:color w:val="auto"/>
                <w:szCs w:val="18"/>
              </w:rPr>
            </w:pPr>
            <w:r w:rsidRPr="008970FA">
              <w:rPr>
                <w:rFonts w:cs="Arial"/>
                <w:color w:val="auto"/>
                <w:szCs w:val="18"/>
              </w:rPr>
              <w:t>847</w:t>
            </w:r>
          </w:p>
        </w:tc>
        <w:tc>
          <w:tcPr>
            <w:tcW w:w="1020" w:type="dxa"/>
          </w:tcPr>
          <w:p w14:paraId="66CBAFFC" w14:textId="77777777" w:rsidR="00286A88" w:rsidRPr="008970FA" w:rsidRDefault="00286A88" w:rsidP="008970FA">
            <w:pPr>
              <w:spacing w:before="60" w:line="240" w:lineRule="auto"/>
              <w:rPr>
                <w:rFonts w:cs="Arial"/>
                <w:color w:val="auto"/>
                <w:szCs w:val="18"/>
              </w:rPr>
            </w:pPr>
            <w:r w:rsidRPr="008970FA">
              <w:rPr>
                <w:rFonts w:cs="Arial"/>
                <w:color w:val="auto"/>
                <w:szCs w:val="18"/>
              </w:rPr>
              <w:t>2</w:t>
            </w:r>
          </w:p>
        </w:tc>
        <w:tc>
          <w:tcPr>
            <w:tcW w:w="3889" w:type="dxa"/>
          </w:tcPr>
          <w:p w14:paraId="2F2B3C13" w14:textId="77777777" w:rsidR="00286A88" w:rsidRPr="008970FA" w:rsidRDefault="00286A88" w:rsidP="008970FA">
            <w:pPr>
              <w:spacing w:before="60" w:line="240" w:lineRule="auto"/>
              <w:rPr>
                <w:rFonts w:cs="Arial"/>
                <w:color w:val="auto"/>
                <w:szCs w:val="18"/>
              </w:rPr>
            </w:pPr>
            <w:r w:rsidRPr="008970FA">
              <w:rPr>
                <w:rFonts w:cs="Arial"/>
                <w:color w:val="auto"/>
                <w:szCs w:val="18"/>
              </w:rPr>
              <w:t>Largely papers on wild ducks.</w:t>
            </w:r>
          </w:p>
        </w:tc>
      </w:tr>
      <w:tr w:rsidR="00286A88" w:rsidRPr="00286A88" w14:paraId="666F4A02" w14:textId="77777777" w:rsidTr="007975A6">
        <w:tc>
          <w:tcPr>
            <w:tcW w:w="4025" w:type="dxa"/>
          </w:tcPr>
          <w:p w14:paraId="7D3C288B" w14:textId="77777777" w:rsidR="00286A88" w:rsidRPr="008970FA" w:rsidRDefault="00046273" w:rsidP="008970FA">
            <w:pPr>
              <w:spacing w:before="60" w:line="240" w:lineRule="auto"/>
              <w:rPr>
                <w:rFonts w:cs="Arial"/>
                <w:color w:val="auto"/>
                <w:szCs w:val="18"/>
              </w:rPr>
            </w:pPr>
            <w:r>
              <w:rPr>
                <w:rFonts w:cs="Arial"/>
                <w:color w:val="auto"/>
                <w:szCs w:val="18"/>
              </w:rPr>
              <w:t>d</w:t>
            </w:r>
            <w:r w:rsidR="00286A88" w:rsidRPr="008970FA">
              <w:rPr>
                <w:rFonts w:cs="Arial"/>
                <w:color w:val="auto"/>
                <w:szCs w:val="18"/>
              </w:rPr>
              <w:t>uck* AND (enrich* OR nest* OR perch* OR litter)</w:t>
            </w:r>
          </w:p>
        </w:tc>
        <w:tc>
          <w:tcPr>
            <w:tcW w:w="1020" w:type="dxa"/>
          </w:tcPr>
          <w:p w14:paraId="07EC652B" w14:textId="77777777" w:rsidR="00286A88" w:rsidRPr="008970FA" w:rsidRDefault="00286A88" w:rsidP="008970FA">
            <w:pPr>
              <w:spacing w:before="60" w:line="240" w:lineRule="auto"/>
              <w:rPr>
                <w:rFonts w:cs="Arial"/>
                <w:color w:val="auto"/>
                <w:szCs w:val="18"/>
              </w:rPr>
            </w:pPr>
            <w:r w:rsidRPr="008970FA">
              <w:rPr>
                <w:rFonts w:cs="Arial"/>
                <w:color w:val="auto"/>
                <w:szCs w:val="18"/>
              </w:rPr>
              <w:t>986</w:t>
            </w:r>
          </w:p>
        </w:tc>
        <w:tc>
          <w:tcPr>
            <w:tcW w:w="1020" w:type="dxa"/>
          </w:tcPr>
          <w:p w14:paraId="12F1E217" w14:textId="77777777" w:rsidR="00286A88" w:rsidRPr="008970FA" w:rsidRDefault="00286A88" w:rsidP="008970FA">
            <w:pPr>
              <w:spacing w:before="60" w:line="240" w:lineRule="auto"/>
              <w:rPr>
                <w:rFonts w:cs="Arial"/>
                <w:color w:val="auto"/>
                <w:szCs w:val="18"/>
              </w:rPr>
            </w:pPr>
            <w:r w:rsidRPr="008970FA">
              <w:rPr>
                <w:rFonts w:cs="Arial"/>
                <w:color w:val="auto"/>
                <w:szCs w:val="18"/>
              </w:rPr>
              <w:t>2</w:t>
            </w:r>
          </w:p>
        </w:tc>
        <w:tc>
          <w:tcPr>
            <w:tcW w:w="3889" w:type="dxa"/>
          </w:tcPr>
          <w:p w14:paraId="647B3A0F" w14:textId="77777777" w:rsidR="00286A88" w:rsidRPr="008970FA" w:rsidRDefault="00286A88" w:rsidP="008970FA">
            <w:pPr>
              <w:spacing w:before="60" w:line="240" w:lineRule="auto"/>
              <w:rPr>
                <w:rFonts w:cs="Arial"/>
                <w:color w:val="auto"/>
                <w:szCs w:val="18"/>
              </w:rPr>
            </w:pPr>
            <w:r w:rsidRPr="008970FA">
              <w:rPr>
                <w:rFonts w:cs="Arial"/>
                <w:color w:val="auto"/>
                <w:szCs w:val="18"/>
              </w:rPr>
              <w:t>Mostly papers on wild ducks e.g habitat selection. 2 papers added on nest preferences / laying behaviour in domestic ducks.</w:t>
            </w:r>
          </w:p>
        </w:tc>
      </w:tr>
      <w:tr w:rsidR="00286A88" w:rsidRPr="00286A88" w14:paraId="00248828" w14:textId="77777777" w:rsidTr="007975A6">
        <w:tc>
          <w:tcPr>
            <w:tcW w:w="4025" w:type="dxa"/>
          </w:tcPr>
          <w:p w14:paraId="56771288" w14:textId="77777777" w:rsidR="00286A88" w:rsidRPr="008970FA" w:rsidRDefault="00046273" w:rsidP="008970FA">
            <w:pPr>
              <w:spacing w:before="60" w:line="240" w:lineRule="auto"/>
              <w:rPr>
                <w:rFonts w:cs="Arial"/>
                <w:color w:val="auto"/>
                <w:szCs w:val="18"/>
              </w:rPr>
            </w:pPr>
            <w:r>
              <w:rPr>
                <w:rFonts w:cs="Arial"/>
                <w:color w:val="auto"/>
                <w:szCs w:val="18"/>
              </w:rPr>
              <w:t>d</w:t>
            </w:r>
            <w:r w:rsidR="00286A88" w:rsidRPr="008970FA">
              <w:rPr>
                <w:rFonts w:cs="Arial"/>
                <w:color w:val="auto"/>
                <w:szCs w:val="18"/>
              </w:rPr>
              <w:t>uck* AND (waterbath* OR water-bath*)</w:t>
            </w:r>
          </w:p>
        </w:tc>
        <w:tc>
          <w:tcPr>
            <w:tcW w:w="1020" w:type="dxa"/>
          </w:tcPr>
          <w:p w14:paraId="310EC326" w14:textId="77777777" w:rsidR="00286A88" w:rsidRPr="008970FA" w:rsidRDefault="00286A88" w:rsidP="008970FA">
            <w:pPr>
              <w:spacing w:before="60" w:line="240" w:lineRule="auto"/>
              <w:rPr>
                <w:rFonts w:cs="Arial"/>
                <w:color w:val="auto"/>
                <w:szCs w:val="18"/>
              </w:rPr>
            </w:pPr>
            <w:r w:rsidRPr="008970FA">
              <w:rPr>
                <w:rFonts w:cs="Arial"/>
                <w:color w:val="auto"/>
                <w:szCs w:val="18"/>
              </w:rPr>
              <w:t>12</w:t>
            </w:r>
          </w:p>
        </w:tc>
        <w:tc>
          <w:tcPr>
            <w:tcW w:w="1020" w:type="dxa"/>
          </w:tcPr>
          <w:p w14:paraId="1E61572F" w14:textId="77777777" w:rsidR="00286A88" w:rsidRPr="008970FA" w:rsidRDefault="00286A88" w:rsidP="008970FA">
            <w:pPr>
              <w:spacing w:before="60" w:line="240" w:lineRule="auto"/>
              <w:rPr>
                <w:rFonts w:cs="Arial"/>
                <w:color w:val="auto"/>
                <w:szCs w:val="18"/>
              </w:rPr>
            </w:pPr>
            <w:r w:rsidRPr="008970FA">
              <w:rPr>
                <w:rFonts w:cs="Arial"/>
                <w:color w:val="auto"/>
                <w:szCs w:val="18"/>
              </w:rPr>
              <w:t>0</w:t>
            </w:r>
          </w:p>
        </w:tc>
        <w:tc>
          <w:tcPr>
            <w:tcW w:w="3889" w:type="dxa"/>
          </w:tcPr>
          <w:p w14:paraId="175A5967" w14:textId="77777777" w:rsidR="00286A88" w:rsidRPr="008970FA" w:rsidRDefault="00286A88" w:rsidP="008970FA">
            <w:pPr>
              <w:spacing w:before="60" w:line="240" w:lineRule="auto"/>
              <w:rPr>
                <w:rFonts w:cs="Arial"/>
                <w:color w:val="auto"/>
                <w:szCs w:val="18"/>
              </w:rPr>
            </w:pPr>
            <w:r w:rsidRPr="008970FA">
              <w:rPr>
                <w:rFonts w:cs="Arial"/>
                <w:color w:val="auto"/>
                <w:szCs w:val="18"/>
              </w:rPr>
              <w:t>All articles on stunning or meat quality.</w:t>
            </w:r>
          </w:p>
        </w:tc>
      </w:tr>
      <w:tr w:rsidR="00286A88" w:rsidRPr="00286A88" w14:paraId="61BE5F35" w14:textId="77777777" w:rsidTr="007975A6">
        <w:tc>
          <w:tcPr>
            <w:tcW w:w="4025" w:type="dxa"/>
          </w:tcPr>
          <w:p w14:paraId="148821CD" w14:textId="77777777" w:rsidR="00286A88" w:rsidRPr="008970FA" w:rsidRDefault="00046273" w:rsidP="008970FA">
            <w:pPr>
              <w:spacing w:before="60" w:line="240" w:lineRule="auto"/>
              <w:rPr>
                <w:rFonts w:cs="Arial"/>
                <w:color w:val="auto"/>
                <w:szCs w:val="18"/>
              </w:rPr>
            </w:pPr>
            <w:r>
              <w:rPr>
                <w:rFonts w:cs="Arial"/>
                <w:color w:val="auto"/>
                <w:szCs w:val="18"/>
              </w:rPr>
              <w:t>d</w:t>
            </w:r>
            <w:r w:rsidR="00286A88" w:rsidRPr="008970FA">
              <w:rPr>
                <w:rFonts w:cs="Arial"/>
                <w:color w:val="auto"/>
                <w:szCs w:val="18"/>
              </w:rPr>
              <w:t>uck* AND (peck* OR beak* OR bill*)</w:t>
            </w:r>
          </w:p>
        </w:tc>
        <w:tc>
          <w:tcPr>
            <w:tcW w:w="1020" w:type="dxa"/>
          </w:tcPr>
          <w:p w14:paraId="458582F3" w14:textId="77777777" w:rsidR="00286A88" w:rsidRPr="008970FA" w:rsidRDefault="00286A88" w:rsidP="008970FA">
            <w:pPr>
              <w:spacing w:before="60" w:line="240" w:lineRule="auto"/>
              <w:rPr>
                <w:rFonts w:cs="Arial"/>
                <w:color w:val="auto"/>
                <w:szCs w:val="18"/>
              </w:rPr>
            </w:pPr>
            <w:r w:rsidRPr="008970FA">
              <w:rPr>
                <w:rFonts w:cs="Arial"/>
                <w:color w:val="auto"/>
                <w:szCs w:val="18"/>
              </w:rPr>
              <w:t>288</w:t>
            </w:r>
          </w:p>
        </w:tc>
        <w:tc>
          <w:tcPr>
            <w:tcW w:w="1020" w:type="dxa"/>
          </w:tcPr>
          <w:p w14:paraId="2DFD8571" w14:textId="77777777" w:rsidR="00286A88" w:rsidRPr="008970FA" w:rsidRDefault="00286A88" w:rsidP="008970FA">
            <w:pPr>
              <w:spacing w:before="60" w:line="240" w:lineRule="auto"/>
              <w:rPr>
                <w:rFonts w:cs="Arial"/>
                <w:color w:val="auto"/>
                <w:szCs w:val="18"/>
              </w:rPr>
            </w:pPr>
            <w:r w:rsidRPr="008970FA">
              <w:rPr>
                <w:rFonts w:cs="Arial"/>
                <w:color w:val="auto"/>
                <w:szCs w:val="18"/>
              </w:rPr>
              <w:t>0</w:t>
            </w:r>
          </w:p>
        </w:tc>
        <w:tc>
          <w:tcPr>
            <w:tcW w:w="3889" w:type="dxa"/>
          </w:tcPr>
          <w:p w14:paraId="71F511F2" w14:textId="77777777" w:rsidR="00286A88" w:rsidRPr="008970FA" w:rsidRDefault="00286A88" w:rsidP="008970FA">
            <w:pPr>
              <w:spacing w:before="60" w:line="240" w:lineRule="auto"/>
              <w:rPr>
                <w:rFonts w:cs="Arial"/>
                <w:color w:val="auto"/>
                <w:szCs w:val="18"/>
              </w:rPr>
            </w:pPr>
            <w:r w:rsidRPr="008970FA">
              <w:rPr>
                <w:rFonts w:cs="Arial"/>
                <w:color w:val="auto"/>
                <w:szCs w:val="18"/>
              </w:rPr>
              <w:t>Largely on wild duck beak morphology or species name e.g duck-billed.</w:t>
            </w:r>
          </w:p>
        </w:tc>
      </w:tr>
      <w:tr w:rsidR="00286A88" w:rsidRPr="00286A88" w14:paraId="1EA83F24" w14:textId="77777777" w:rsidTr="007975A6">
        <w:tc>
          <w:tcPr>
            <w:tcW w:w="4025" w:type="dxa"/>
          </w:tcPr>
          <w:p w14:paraId="5F575C7A" w14:textId="77777777" w:rsidR="00286A88" w:rsidRPr="008970FA" w:rsidRDefault="00046273" w:rsidP="008970FA">
            <w:pPr>
              <w:spacing w:before="60" w:line="240" w:lineRule="auto"/>
              <w:rPr>
                <w:rFonts w:cs="Arial"/>
                <w:color w:val="auto"/>
                <w:szCs w:val="18"/>
              </w:rPr>
            </w:pPr>
            <w:r>
              <w:rPr>
                <w:rFonts w:cs="Arial"/>
                <w:color w:val="auto"/>
                <w:szCs w:val="18"/>
              </w:rPr>
              <w:t>d</w:t>
            </w:r>
            <w:r w:rsidR="00286A88" w:rsidRPr="008970FA">
              <w:rPr>
                <w:rFonts w:cs="Arial"/>
                <w:color w:val="auto"/>
                <w:szCs w:val="18"/>
              </w:rPr>
              <w:t>uck* AND “foie gras”</w:t>
            </w:r>
          </w:p>
        </w:tc>
        <w:tc>
          <w:tcPr>
            <w:tcW w:w="1020" w:type="dxa"/>
          </w:tcPr>
          <w:p w14:paraId="3583A790" w14:textId="77777777" w:rsidR="00286A88" w:rsidRPr="008970FA" w:rsidRDefault="00286A88" w:rsidP="008970FA">
            <w:pPr>
              <w:spacing w:before="60" w:line="240" w:lineRule="auto"/>
              <w:rPr>
                <w:rFonts w:cs="Arial"/>
                <w:color w:val="auto"/>
                <w:szCs w:val="18"/>
              </w:rPr>
            </w:pPr>
            <w:r w:rsidRPr="008970FA">
              <w:rPr>
                <w:rFonts w:cs="Arial"/>
                <w:color w:val="auto"/>
                <w:szCs w:val="18"/>
              </w:rPr>
              <w:t>43</w:t>
            </w:r>
          </w:p>
        </w:tc>
        <w:tc>
          <w:tcPr>
            <w:tcW w:w="1020" w:type="dxa"/>
          </w:tcPr>
          <w:p w14:paraId="16C000BA" w14:textId="77777777" w:rsidR="00286A88" w:rsidRPr="008970FA" w:rsidRDefault="00286A88" w:rsidP="008970FA">
            <w:pPr>
              <w:spacing w:before="60" w:line="240" w:lineRule="auto"/>
              <w:rPr>
                <w:rFonts w:cs="Arial"/>
                <w:color w:val="auto"/>
                <w:szCs w:val="18"/>
              </w:rPr>
            </w:pPr>
            <w:r w:rsidRPr="008970FA">
              <w:rPr>
                <w:rFonts w:cs="Arial"/>
                <w:color w:val="auto"/>
                <w:szCs w:val="18"/>
              </w:rPr>
              <w:t>0</w:t>
            </w:r>
          </w:p>
        </w:tc>
        <w:tc>
          <w:tcPr>
            <w:tcW w:w="3889" w:type="dxa"/>
          </w:tcPr>
          <w:p w14:paraId="5EE8A900" w14:textId="77777777" w:rsidR="00286A88" w:rsidRPr="008970FA" w:rsidRDefault="00286A88" w:rsidP="008970FA">
            <w:pPr>
              <w:spacing w:before="60" w:line="240" w:lineRule="auto"/>
              <w:rPr>
                <w:rFonts w:cs="Arial"/>
                <w:color w:val="auto"/>
                <w:szCs w:val="18"/>
              </w:rPr>
            </w:pPr>
            <w:r w:rsidRPr="008970FA">
              <w:rPr>
                <w:rFonts w:cs="Arial"/>
                <w:color w:val="auto"/>
                <w:szCs w:val="18"/>
              </w:rPr>
              <w:t>Articles on feed conversion, liver quality and production.</w:t>
            </w:r>
          </w:p>
        </w:tc>
      </w:tr>
      <w:tr w:rsidR="00286A88" w:rsidRPr="00286A88" w14:paraId="3BFF11AD" w14:textId="77777777" w:rsidTr="007975A6">
        <w:tc>
          <w:tcPr>
            <w:tcW w:w="4025" w:type="dxa"/>
          </w:tcPr>
          <w:p w14:paraId="378B0F43" w14:textId="77777777" w:rsidR="00286A88" w:rsidRPr="008970FA" w:rsidRDefault="00046273" w:rsidP="008970FA">
            <w:pPr>
              <w:spacing w:before="60" w:line="240" w:lineRule="auto"/>
              <w:rPr>
                <w:rFonts w:cs="Arial"/>
                <w:color w:val="auto"/>
                <w:szCs w:val="18"/>
              </w:rPr>
            </w:pPr>
            <w:r>
              <w:rPr>
                <w:rFonts w:cs="Arial"/>
                <w:color w:val="auto"/>
                <w:szCs w:val="18"/>
              </w:rPr>
              <w:t>d</w:t>
            </w:r>
            <w:r w:rsidR="00286A88" w:rsidRPr="008970FA">
              <w:rPr>
                <w:rFonts w:cs="Arial"/>
                <w:color w:val="auto"/>
                <w:szCs w:val="18"/>
              </w:rPr>
              <w:t xml:space="preserve">uck* AND (force-fed OR force-feed* OR </w:t>
            </w:r>
            <w:r w:rsidR="0010235B">
              <w:rPr>
                <w:rFonts w:cs="Arial"/>
                <w:color w:val="auto"/>
                <w:szCs w:val="18"/>
              </w:rPr>
              <w:t>“</w:t>
            </w:r>
            <w:r w:rsidR="00286A88" w:rsidRPr="008970FA">
              <w:rPr>
                <w:rFonts w:cs="Arial"/>
                <w:color w:val="auto"/>
                <w:szCs w:val="18"/>
              </w:rPr>
              <w:t>force fed</w:t>
            </w:r>
            <w:r w:rsidR="0010235B">
              <w:rPr>
                <w:rFonts w:cs="Arial"/>
                <w:color w:val="auto"/>
                <w:szCs w:val="18"/>
              </w:rPr>
              <w:t>”</w:t>
            </w:r>
            <w:r w:rsidR="00286A88" w:rsidRPr="008970FA">
              <w:rPr>
                <w:rFonts w:cs="Arial"/>
                <w:color w:val="auto"/>
                <w:szCs w:val="18"/>
              </w:rPr>
              <w:t xml:space="preserve"> OR </w:t>
            </w:r>
            <w:r w:rsidR="0010235B">
              <w:rPr>
                <w:rFonts w:cs="Arial"/>
                <w:color w:val="auto"/>
                <w:szCs w:val="18"/>
              </w:rPr>
              <w:t>“</w:t>
            </w:r>
            <w:r w:rsidR="00286A88" w:rsidRPr="008970FA">
              <w:rPr>
                <w:rFonts w:cs="Arial"/>
                <w:color w:val="auto"/>
                <w:szCs w:val="18"/>
              </w:rPr>
              <w:t>force feed</w:t>
            </w:r>
            <w:r w:rsidR="0010235B">
              <w:rPr>
                <w:rFonts w:cs="Arial"/>
                <w:color w:val="auto"/>
                <w:szCs w:val="18"/>
              </w:rPr>
              <w:t>”</w:t>
            </w:r>
            <w:r w:rsidR="00286A88" w:rsidRPr="008970FA">
              <w:rPr>
                <w:rFonts w:cs="Arial"/>
                <w:color w:val="auto"/>
                <w:szCs w:val="18"/>
              </w:rPr>
              <w:t>)</w:t>
            </w:r>
          </w:p>
        </w:tc>
        <w:tc>
          <w:tcPr>
            <w:tcW w:w="1020" w:type="dxa"/>
          </w:tcPr>
          <w:p w14:paraId="6CD5463E" w14:textId="77777777" w:rsidR="00286A88" w:rsidRPr="008970FA" w:rsidRDefault="00286A88" w:rsidP="008970FA">
            <w:pPr>
              <w:spacing w:before="60" w:line="240" w:lineRule="auto"/>
              <w:rPr>
                <w:rFonts w:cs="Arial"/>
                <w:color w:val="auto"/>
                <w:szCs w:val="18"/>
              </w:rPr>
            </w:pPr>
            <w:r w:rsidRPr="008970FA">
              <w:rPr>
                <w:rFonts w:cs="Arial"/>
                <w:color w:val="auto"/>
                <w:szCs w:val="18"/>
              </w:rPr>
              <w:t>37</w:t>
            </w:r>
          </w:p>
        </w:tc>
        <w:tc>
          <w:tcPr>
            <w:tcW w:w="1020" w:type="dxa"/>
          </w:tcPr>
          <w:p w14:paraId="4CF4AE9C" w14:textId="77777777" w:rsidR="00286A88" w:rsidRPr="008970FA" w:rsidRDefault="00286A88" w:rsidP="008970FA">
            <w:pPr>
              <w:spacing w:before="60" w:line="240" w:lineRule="auto"/>
              <w:rPr>
                <w:rFonts w:cs="Arial"/>
                <w:color w:val="auto"/>
                <w:szCs w:val="18"/>
              </w:rPr>
            </w:pPr>
            <w:r w:rsidRPr="008970FA">
              <w:rPr>
                <w:rFonts w:cs="Arial"/>
                <w:color w:val="auto"/>
                <w:szCs w:val="18"/>
              </w:rPr>
              <w:t>0</w:t>
            </w:r>
          </w:p>
        </w:tc>
        <w:tc>
          <w:tcPr>
            <w:tcW w:w="3889" w:type="dxa"/>
          </w:tcPr>
          <w:p w14:paraId="61DB7AB3" w14:textId="77777777" w:rsidR="00286A88" w:rsidRPr="008970FA" w:rsidRDefault="00286A88" w:rsidP="008970FA">
            <w:pPr>
              <w:spacing w:before="60" w:line="240" w:lineRule="auto"/>
              <w:rPr>
                <w:rFonts w:cs="Arial"/>
                <w:color w:val="auto"/>
                <w:szCs w:val="18"/>
              </w:rPr>
            </w:pPr>
            <w:r w:rsidRPr="008970FA">
              <w:rPr>
                <w:rFonts w:cs="Arial"/>
                <w:color w:val="auto"/>
                <w:szCs w:val="18"/>
              </w:rPr>
              <w:t>Articles on feed conversion, liver quality and production.</w:t>
            </w:r>
          </w:p>
        </w:tc>
      </w:tr>
      <w:tr w:rsidR="0010235B" w:rsidRPr="00286A88" w14:paraId="40C08A32" w14:textId="77777777" w:rsidTr="007975A6">
        <w:tc>
          <w:tcPr>
            <w:tcW w:w="4025" w:type="dxa"/>
          </w:tcPr>
          <w:p w14:paraId="4355DBDC" w14:textId="77777777" w:rsidR="0010235B" w:rsidRPr="0010235B" w:rsidRDefault="0010235B" w:rsidP="008970FA">
            <w:pPr>
              <w:spacing w:before="60" w:line="240" w:lineRule="auto"/>
              <w:rPr>
                <w:rFonts w:cs="Arial"/>
                <w:b/>
                <w:color w:val="auto"/>
                <w:szCs w:val="18"/>
              </w:rPr>
            </w:pPr>
            <w:r>
              <w:rPr>
                <w:rFonts w:cs="Arial"/>
                <w:b/>
                <w:color w:val="auto"/>
                <w:szCs w:val="18"/>
              </w:rPr>
              <w:t>Papers retained from secondary searches</w:t>
            </w:r>
          </w:p>
        </w:tc>
        <w:tc>
          <w:tcPr>
            <w:tcW w:w="1020" w:type="dxa"/>
          </w:tcPr>
          <w:p w14:paraId="4FE061BC" w14:textId="77777777" w:rsidR="0010235B" w:rsidRPr="008970FA" w:rsidRDefault="0010235B" w:rsidP="008970FA">
            <w:pPr>
              <w:spacing w:before="60" w:line="240" w:lineRule="auto"/>
              <w:rPr>
                <w:rFonts w:cs="Arial"/>
                <w:color w:val="auto"/>
                <w:szCs w:val="18"/>
              </w:rPr>
            </w:pPr>
          </w:p>
        </w:tc>
        <w:tc>
          <w:tcPr>
            <w:tcW w:w="1020" w:type="dxa"/>
          </w:tcPr>
          <w:p w14:paraId="6E1248D4" w14:textId="77777777" w:rsidR="0010235B" w:rsidRPr="0010235B" w:rsidRDefault="0010235B" w:rsidP="008970FA">
            <w:pPr>
              <w:spacing w:before="60" w:line="240" w:lineRule="auto"/>
              <w:rPr>
                <w:rFonts w:cs="Arial"/>
                <w:b/>
                <w:color w:val="auto"/>
                <w:szCs w:val="18"/>
              </w:rPr>
            </w:pPr>
            <w:r>
              <w:rPr>
                <w:rFonts w:cs="Arial"/>
                <w:b/>
                <w:color w:val="auto"/>
                <w:szCs w:val="18"/>
              </w:rPr>
              <w:t>24</w:t>
            </w:r>
          </w:p>
        </w:tc>
        <w:tc>
          <w:tcPr>
            <w:tcW w:w="3889" w:type="dxa"/>
          </w:tcPr>
          <w:p w14:paraId="4E80DD8F" w14:textId="77777777" w:rsidR="0010235B" w:rsidRPr="008970FA" w:rsidRDefault="0010235B" w:rsidP="008970FA">
            <w:pPr>
              <w:spacing w:before="60" w:line="240" w:lineRule="auto"/>
              <w:rPr>
                <w:rFonts w:cs="Arial"/>
                <w:color w:val="auto"/>
                <w:szCs w:val="18"/>
              </w:rPr>
            </w:pPr>
          </w:p>
        </w:tc>
      </w:tr>
    </w:tbl>
    <w:p w14:paraId="35827270" w14:textId="77777777" w:rsidR="0010235B" w:rsidRPr="0010235B" w:rsidRDefault="0010235B" w:rsidP="005F7B38">
      <w:pPr>
        <w:spacing w:before="240"/>
        <w:rPr>
          <w:b/>
          <w:lang w:val="en-GB"/>
        </w:rPr>
      </w:pPr>
      <w:r>
        <w:rPr>
          <w:b/>
          <w:lang w:val="en-GB"/>
        </w:rPr>
        <w:t>Total number of papers retained from primary and secondary searches: 32 + 24 = 56</w:t>
      </w:r>
    </w:p>
    <w:p w14:paraId="686CF718" w14:textId="77777777" w:rsidR="0010235B" w:rsidRDefault="0010235B" w:rsidP="001123AA">
      <w:pPr>
        <w:rPr>
          <w:lang w:val="en-GB"/>
        </w:rPr>
      </w:pPr>
    </w:p>
    <w:p w14:paraId="37504DB4" w14:textId="77777777" w:rsidR="00FA0BB9" w:rsidRPr="00FA0BB9" w:rsidRDefault="00FA0BB9" w:rsidP="00AE59F9">
      <w:pPr>
        <w:spacing w:before="120"/>
        <w:rPr>
          <w:b/>
          <w:sz w:val="24"/>
          <w:szCs w:val="24"/>
          <w:lang w:val="en-GB"/>
        </w:rPr>
      </w:pPr>
      <w:r>
        <w:rPr>
          <w:lang w:val="en-GB"/>
        </w:rPr>
        <w:br w:type="column"/>
      </w:r>
      <w:r w:rsidRPr="00FA0BB9">
        <w:rPr>
          <w:b/>
          <w:sz w:val="24"/>
          <w:szCs w:val="24"/>
          <w:lang w:val="en-GB"/>
        </w:rPr>
        <w:t>Geese</w:t>
      </w:r>
    </w:p>
    <w:p w14:paraId="1EC1C125" w14:textId="77777777" w:rsidR="00FA0BB9" w:rsidRPr="00590F0B" w:rsidRDefault="00FA0BB9" w:rsidP="00590F0B">
      <w:pPr>
        <w:spacing w:before="240" w:after="240"/>
        <w:rPr>
          <w:b/>
          <w:lang w:val="en-GB"/>
        </w:rPr>
      </w:pPr>
      <w:r w:rsidRPr="00590F0B">
        <w:rPr>
          <w:b/>
          <w:lang w:val="en-GB"/>
        </w:rPr>
        <w:t>Prima</w:t>
      </w:r>
      <w:r w:rsidR="00AE59F9">
        <w:rPr>
          <w:b/>
          <w:lang w:val="en-GB"/>
        </w:rPr>
        <w:t>ry Search</w:t>
      </w:r>
      <w:r w:rsidR="00046273">
        <w:rPr>
          <w:b/>
          <w:lang w:val="en-GB"/>
        </w:rPr>
        <w:t>:</w:t>
      </w:r>
      <w:r w:rsidR="00AE59F9">
        <w:rPr>
          <w:b/>
          <w:lang w:val="en-GB"/>
        </w:rPr>
        <w:t xml:space="preserve"> (goose OR geese) AND w</w:t>
      </w:r>
      <w:r w:rsidRPr="00590F0B">
        <w:rPr>
          <w:b/>
          <w:lang w:val="en-GB"/>
        </w:rPr>
        <w:t>elfare = 15</w:t>
      </w:r>
    </w:p>
    <w:tbl>
      <w:tblPr>
        <w:tblStyle w:val="TableGrid11"/>
        <w:tblW w:w="9977" w:type="dxa"/>
        <w:tblLook w:val="04A0" w:firstRow="1" w:lastRow="0" w:firstColumn="1" w:lastColumn="0" w:noHBand="0" w:noVBand="1"/>
        <w:tblCaption w:val="Papers excluded after primary literature search for geese welfare"/>
        <w:tblDescription w:val="This table shows the number of papers excluded after the primary literature search for geese welfare. The left hand column shows the primary reason for exclusion. The middle column shows the number of papers excluded. The right hand column gives an example of a paper excluded for each reason."/>
      </w:tblPr>
      <w:tblGrid>
        <w:gridCol w:w="3628"/>
        <w:gridCol w:w="1020"/>
        <w:gridCol w:w="5329"/>
      </w:tblGrid>
      <w:tr w:rsidR="00F67C8B" w:rsidRPr="00EA27D5" w14:paraId="0D9B4542" w14:textId="77777777" w:rsidTr="00587D34">
        <w:trPr>
          <w:tblHeader/>
        </w:trPr>
        <w:tc>
          <w:tcPr>
            <w:tcW w:w="3628" w:type="dxa"/>
            <w:shd w:val="clear" w:color="auto" w:fill="auto"/>
          </w:tcPr>
          <w:p w14:paraId="0A1B5840" w14:textId="77777777" w:rsidR="00F67C8B" w:rsidRPr="00EA27D5" w:rsidRDefault="00F67C8B" w:rsidP="00D22A51">
            <w:pPr>
              <w:spacing w:before="60"/>
              <w:rPr>
                <w:b/>
              </w:rPr>
            </w:pPr>
            <w:r w:rsidRPr="00EA27D5">
              <w:rPr>
                <w:b/>
              </w:rPr>
              <w:t>Primary Reason for Exclusion</w:t>
            </w:r>
          </w:p>
        </w:tc>
        <w:tc>
          <w:tcPr>
            <w:tcW w:w="1020" w:type="dxa"/>
            <w:shd w:val="clear" w:color="auto" w:fill="auto"/>
          </w:tcPr>
          <w:p w14:paraId="56153E61" w14:textId="77777777" w:rsidR="00F67C8B" w:rsidRPr="00EA27D5" w:rsidRDefault="00F67C8B" w:rsidP="00D22A51">
            <w:pPr>
              <w:spacing w:before="60" w:line="240" w:lineRule="auto"/>
              <w:rPr>
                <w:rFonts w:cs="Arial"/>
                <w:color w:val="auto"/>
                <w:szCs w:val="18"/>
              </w:rPr>
            </w:pPr>
            <w:r w:rsidRPr="00EA27D5">
              <w:rPr>
                <w:rFonts w:cs="Arial"/>
                <w:color w:val="auto"/>
                <w:szCs w:val="18"/>
              </w:rPr>
              <w:t>Number Excluded</w:t>
            </w:r>
          </w:p>
        </w:tc>
        <w:tc>
          <w:tcPr>
            <w:tcW w:w="5329" w:type="dxa"/>
            <w:shd w:val="clear" w:color="auto" w:fill="auto"/>
          </w:tcPr>
          <w:p w14:paraId="0806F2BF" w14:textId="77777777" w:rsidR="00F67C8B" w:rsidRPr="00EA27D5" w:rsidRDefault="00F67C8B" w:rsidP="00D22A51">
            <w:pPr>
              <w:spacing w:before="60" w:line="240" w:lineRule="auto"/>
              <w:rPr>
                <w:rFonts w:cs="Arial"/>
                <w:color w:val="auto"/>
                <w:szCs w:val="18"/>
              </w:rPr>
            </w:pPr>
            <w:r w:rsidRPr="00EA27D5">
              <w:rPr>
                <w:rFonts w:cs="Arial"/>
                <w:i/>
                <w:color w:val="auto"/>
                <w:szCs w:val="18"/>
              </w:rPr>
              <w:t xml:space="preserve">Example </w:t>
            </w:r>
            <w:r w:rsidRPr="00EA27D5">
              <w:rPr>
                <w:rFonts w:cs="Arial"/>
                <w:color w:val="auto"/>
                <w:szCs w:val="18"/>
              </w:rPr>
              <w:t>of Paper Excluded for Each Reason</w:t>
            </w:r>
          </w:p>
        </w:tc>
      </w:tr>
      <w:tr w:rsidR="00FA0BB9" w:rsidRPr="00286A88" w14:paraId="35549B21" w14:textId="77777777" w:rsidTr="005F7B38">
        <w:tc>
          <w:tcPr>
            <w:tcW w:w="3628" w:type="dxa"/>
          </w:tcPr>
          <w:p w14:paraId="18BCAD7A" w14:textId="77777777" w:rsidR="00FA0BB9" w:rsidRPr="008C43DD" w:rsidRDefault="00FA0BB9" w:rsidP="008C43DD">
            <w:pPr>
              <w:spacing w:before="60"/>
            </w:pPr>
            <w:r w:rsidRPr="008C43DD">
              <w:t>Not Geese – other species</w:t>
            </w:r>
          </w:p>
        </w:tc>
        <w:tc>
          <w:tcPr>
            <w:tcW w:w="1020" w:type="dxa"/>
          </w:tcPr>
          <w:p w14:paraId="1957D326" w14:textId="77777777" w:rsidR="00FA0BB9" w:rsidRPr="008C43DD" w:rsidRDefault="00FA0BB9" w:rsidP="008C43DD">
            <w:pPr>
              <w:spacing w:before="60"/>
            </w:pPr>
            <w:r w:rsidRPr="008C43DD">
              <w:t>5</w:t>
            </w:r>
          </w:p>
        </w:tc>
        <w:tc>
          <w:tcPr>
            <w:tcW w:w="5329" w:type="dxa"/>
          </w:tcPr>
          <w:p w14:paraId="594C2AA0" w14:textId="77777777" w:rsidR="00C26326" w:rsidRPr="00C26326" w:rsidRDefault="00C26326" w:rsidP="00C26326">
            <w:pPr>
              <w:pStyle w:val="NoSpacing"/>
              <w:rPr>
                <w:sz w:val="16"/>
                <w:szCs w:val="16"/>
              </w:rPr>
            </w:pPr>
            <w:r w:rsidRPr="00C26326">
              <w:rPr>
                <w:sz w:val="16"/>
                <w:szCs w:val="16"/>
              </w:rPr>
              <w:t>When a Duck Initiates Movement, Do Others Follow? Testing Preference in Groups</w:t>
            </w:r>
          </w:p>
          <w:p w14:paraId="5A0C2373" w14:textId="77777777" w:rsidR="00C26326" w:rsidRPr="00C26326" w:rsidRDefault="00C26326" w:rsidP="00C26326">
            <w:pPr>
              <w:pStyle w:val="NoSpacing"/>
              <w:rPr>
                <w:sz w:val="16"/>
                <w:szCs w:val="16"/>
              </w:rPr>
            </w:pPr>
            <w:r w:rsidRPr="00C26326">
              <w:rPr>
                <w:sz w:val="16"/>
                <w:szCs w:val="16"/>
              </w:rPr>
              <w:t>By: Liste, Guiomar; Asher, Lucy; Broom, Donald M.</w:t>
            </w:r>
          </w:p>
          <w:p w14:paraId="1EB8DF20" w14:textId="77777777" w:rsidR="00FA0BB9" w:rsidRPr="00C26326" w:rsidRDefault="00C26326" w:rsidP="00C26326">
            <w:pPr>
              <w:pStyle w:val="NoSpacing"/>
              <w:rPr>
                <w:sz w:val="16"/>
                <w:szCs w:val="16"/>
              </w:rPr>
            </w:pPr>
            <w:r w:rsidRPr="00C26326">
              <w:rPr>
                <w:sz w:val="16"/>
                <w:szCs w:val="16"/>
              </w:rPr>
              <w:t>ETHOLOGY   Volume: 120   Issue: 12   Pages: 1199-1206   Published: DEC 2014</w:t>
            </w:r>
          </w:p>
        </w:tc>
      </w:tr>
      <w:tr w:rsidR="00FA0BB9" w:rsidRPr="00286A88" w14:paraId="6F5D905F" w14:textId="77777777" w:rsidTr="005F7B38">
        <w:tc>
          <w:tcPr>
            <w:tcW w:w="3628" w:type="dxa"/>
          </w:tcPr>
          <w:p w14:paraId="09D005ED" w14:textId="77777777" w:rsidR="00FA0BB9" w:rsidRPr="008C43DD" w:rsidRDefault="00FA0BB9" w:rsidP="008C43DD">
            <w:pPr>
              <w:spacing w:before="60"/>
            </w:pPr>
            <w:r w:rsidRPr="008C43DD">
              <w:t>Paper on slaughter</w:t>
            </w:r>
          </w:p>
        </w:tc>
        <w:tc>
          <w:tcPr>
            <w:tcW w:w="1020" w:type="dxa"/>
          </w:tcPr>
          <w:p w14:paraId="0C800CC6" w14:textId="77777777" w:rsidR="00FA0BB9" w:rsidRPr="008C43DD" w:rsidRDefault="00FA0BB9" w:rsidP="008C43DD">
            <w:pPr>
              <w:spacing w:before="60"/>
            </w:pPr>
            <w:r w:rsidRPr="008C43DD">
              <w:t>2</w:t>
            </w:r>
          </w:p>
        </w:tc>
        <w:tc>
          <w:tcPr>
            <w:tcW w:w="5329" w:type="dxa"/>
          </w:tcPr>
          <w:p w14:paraId="2776B9D5" w14:textId="77777777" w:rsidR="00C26326" w:rsidRPr="00C26326" w:rsidRDefault="00C26326" w:rsidP="00C26326">
            <w:pPr>
              <w:pStyle w:val="NoSpacing"/>
              <w:rPr>
                <w:sz w:val="16"/>
                <w:szCs w:val="16"/>
              </w:rPr>
            </w:pPr>
            <w:r w:rsidRPr="00C26326">
              <w:rPr>
                <w:sz w:val="16"/>
                <w:szCs w:val="16"/>
              </w:rPr>
              <w:t>Killing wild geese with carbon dioxide or a mixture of carbon dioxide and argon</w:t>
            </w:r>
          </w:p>
          <w:p w14:paraId="10C3F92C" w14:textId="77777777" w:rsidR="00C26326" w:rsidRPr="00C26326" w:rsidRDefault="00C26326" w:rsidP="00C26326">
            <w:pPr>
              <w:pStyle w:val="NoSpacing"/>
              <w:rPr>
                <w:sz w:val="16"/>
                <w:szCs w:val="16"/>
              </w:rPr>
            </w:pPr>
            <w:r w:rsidRPr="00C26326">
              <w:rPr>
                <w:sz w:val="16"/>
                <w:szCs w:val="16"/>
              </w:rPr>
              <w:t>By: Gerritzen, M. A.; Reimert, H. G. M.; Lourens, A.; et al.</w:t>
            </w:r>
          </w:p>
          <w:p w14:paraId="493AC9D3" w14:textId="77777777" w:rsidR="00FA0BB9" w:rsidRPr="00C26326" w:rsidRDefault="00C26326" w:rsidP="00C26326">
            <w:pPr>
              <w:pStyle w:val="NoSpacing"/>
              <w:rPr>
                <w:sz w:val="16"/>
                <w:szCs w:val="16"/>
              </w:rPr>
            </w:pPr>
            <w:r w:rsidRPr="00C26326">
              <w:rPr>
                <w:sz w:val="16"/>
                <w:szCs w:val="16"/>
              </w:rPr>
              <w:t>ANIMAL WELFARE   Volume: 22   Issue: 1   Pages: 5-12   Published: FEB 2013</w:t>
            </w:r>
          </w:p>
        </w:tc>
      </w:tr>
      <w:tr w:rsidR="00FA0BB9" w:rsidRPr="00286A88" w14:paraId="43A2394E" w14:textId="77777777" w:rsidTr="005F7B38">
        <w:tc>
          <w:tcPr>
            <w:tcW w:w="3628" w:type="dxa"/>
          </w:tcPr>
          <w:p w14:paraId="73787BDA" w14:textId="77777777" w:rsidR="00FA0BB9" w:rsidRPr="008C43DD" w:rsidRDefault="00FA0BB9" w:rsidP="008C43DD">
            <w:pPr>
              <w:spacing w:before="60"/>
            </w:pPr>
            <w:r w:rsidRPr="008C43DD">
              <w:t>Paper on production / meat quality</w:t>
            </w:r>
          </w:p>
        </w:tc>
        <w:tc>
          <w:tcPr>
            <w:tcW w:w="1020" w:type="dxa"/>
          </w:tcPr>
          <w:p w14:paraId="70345766" w14:textId="77777777" w:rsidR="00FA0BB9" w:rsidRPr="008C43DD" w:rsidRDefault="00FA0BB9" w:rsidP="008C43DD">
            <w:pPr>
              <w:spacing w:before="60"/>
            </w:pPr>
            <w:r w:rsidRPr="008C43DD">
              <w:t>1</w:t>
            </w:r>
          </w:p>
        </w:tc>
        <w:tc>
          <w:tcPr>
            <w:tcW w:w="5329" w:type="dxa"/>
          </w:tcPr>
          <w:p w14:paraId="2309D1FA" w14:textId="77777777" w:rsidR="00C26326" w:rsidRPr="00C26326" w:rsidRDefault="00C26326" w:rsidP="00C26326">
            <w:pPr>
              <w:pStyle w:val="NoSpacing"/>
              <w:rPr>
                <w:sz w:val="16"/>
                <w:szCs w:val="16"/>
              </w:rPr>
            </w:pPr>
            <w:r w:rsidRPr="00C26326">
              <w:rPr>
                <w:sz w:val="16"/>
                <w:szCs w:val="16"/>
              </w:rPr>
              <w:t>Association analysis of g.68G -&gt; A SNP in CAPN1 gene with carcass and meat quality traits in goose raised in organic dehesa</w:t>
            </w:r>
          </w:p>
          <w:p w14:paraId="4AC92947" w14:textId="77777777" w:rsidR="00C26326" w:rsidRPr="00C26326" w:rsidRDefault="00C26326" w:rsidP="00C26326">
            <w:pPr>
              <w:pStyle w:val="NoSpacing"/>
              <w:rPr>
                <w:sz w:val="16"/>
                <w:szCs w:val="16"/>
              </w:rPr>
            </w:pPr>
            <w:r w:rsidRPr="00C26326">
              <w:rPr>
                <w:sz w:val="16"/>
                <w:szCs w:val="16"/>
              </w:rPr>
              <w:t>By: Sole, Marina; Negro, Sara; Membrillo, Alberto; et al.</w:t>
            </w:r>
          </w:p>
          <w:p w14:paraId="2241713F" w14:textId="77777777" w:rsidR="00FA0BB9" w:rsidRPr="00C26326" w:rsidRDefault="00C26326" w:rsidP="00C26326">
            <w:pPr>
              <w:pStyle w:val="NoSpacing"/>
              <w:rPr>
                <w:sz w:val="16"/>
                <w:szCs w:val="16"/>
              </w:rPr>
            </w:pPr>
            <w:r w:rsidRPr="00C26326">
              <w:rPr>
                <w:sz w:val="16"/>
                <w:szCs w:val="16"/>
              </w:rPr>
              <w:t>ARCHIVES ANIMAL BREEDING   Volume: 59   Issue: 4   Pages: 423-428   Published: OCT 17 2016</w:t>
            </w:r>
          </w:p>
        </w:tc>
      </w:tr>
      <w:tr w:rsidR="00FA0BB9" w:rsidRPr="00286A88" w14:paraId="233ACE7C" w14:textId="77777777" w:rsidTr="005F7B38">
        <w:tc>
          <w:tcPr>
            <w:tcW w:w="3628" w:type="dxa"/>
          </w:tcPr>
          <w:p w14:paraId="417D40C0" w14:textId="77777777" w:rsidR="00FA0BB9" w:rsidRPr="008C43DD" w:rsidRDefault="00FA0BB9" w:rsidP="008C43DD">
            <w:pPr>
              <w:spacing w:before="60"/>
            </w:pPr>
            <w:r w:rsidRPr="008C43DD">
              <w:t>Review Paper</w:t>
            </w:r>
          </w:p>
        </w:tc>
        <w:tc>
          <w:tcPr>
            <w:tcW w:w="1020" w:type="dxa"/>
          </w:tcPr>
          <w:p w14:paraId="7D29D04D" w14:textId="77777777" w:rsidR="00FA0BB9" w:rsidRPr="008C43DD" w:rsidRDefault="00FA0BB9" w:rsidP="008C43DD">
            <w:pPr>
              <w:spacing w:before="60"/>
            </w:pPr>
            <w:r w:rsidRPr="008C43DD">
              <w:t>3</w:t>
            </w:r>
          </w:p>
        </w:tc>
        <w:tc>
          <w:tcPr>
            <w:tcW w:w="5329" w:type="dxa"/>
          </w:tcPr>
          <w:p w14:paraId="48290FE9" w14:textId="77777777" w:rsidR="00C26326" w:rsidRPr="00C26326" w:rsidRDefault="00C26326" w:rsidP="00C26326">
            <w:pPr>
              <w:pStyle w:val="NoSpacing"/>
              <w:rPr>
                <w:sz w:val="16"/>
                <w:szCs w:val="16"/>
              </w:rPr>
            </w:pPr>
            <w:r w:rsidRPr="00C26326">
              <w:rPr>
                <w:sz w:val="16"/>
                <w:szCs w:val="16"/>
              </w:rPr>
              <w:t>Waterfowl welfare and rearing conditions for meat and foie gras production</w:t>
            </w:r>
          </w:p>
          <w:p w14:paraId="6A5433E2" w14:textId="77777777" w:rsidR="00C26326" w:rsidRPr="00C26326" w:rsidRDefault="00C26326" w:rsidP="00C26326">
            <w:pPr>
              <w:pStyle w:val="NoSpacing"/>
              <w:rPr>
                <w:sz w:val="16"/>
                <w:szCs w:val="16"/>
              </w:rPr>
            </w:pPr>
            <w:r w:rsidRPr="00C26326">
              <w:rPr>
                <w:sz w:val="16"/>
                <w:szCs w:val="16"/>
              </w:rPr>
              <w:t>By: Guemene, D.; Guy, G.; Mirabito, L.; et al.</w:t>
            </w:r>
          </w:p>
          <w:p w14:paraId="3B5767ED" w14:textId="77777777" w:rsidR="00FA0BB9" w:rsidRPr="00C26326" w:rsidRDefault="00C26326" w:rsidP="00C26326">
            <w:pPr>
              <w:pStyle w:val="NoSpacing"/>
              <w:rPr>
                <w:sz w:val="16"/>
                <w:szCs w:val="16"/>
              </w:rPr>
            </w:pPr>
            <w:r w:rsidRPr="00C26326">
              <w:rPr>
                <w:sz w:val="16"/>
                <w:szCs w:val="16"/>
              </w:rPr>
              <w:t>PRODUCTIONS ANIMALES   Volume: 20   Issue: 1   Pages: 53-57   Published: FEB 2007</w:t>
            </w:r>
          </w:p>
        </w:tc>
      </w:tr>
      <w:tr w:rsidR="00FA0BB9" w:rsidRPr="00286A88" w14:paraId="1883331E" w14:textId="77777777" w:rsidTr="005F7B38">
        <w:tc>
          <w:tcPr>
            <w:tcW w:w="3628" w:type="dxa"/>
          </w:tcPr>
          <w:p w14:paraId="2210274B" w14:textId="77777777" w:rsidR="00FA0BB9" w:rsidRPr="008C43DD" w:rsidRDefault="00FA0BB9" w:rsidP="008C43DD">
            <w:pPr>
              <w:spacing w:before="60"/>
            </w:pPr>
            <w:r w:rsidRPr="008C43DD">
              <w:t>Paper on capture of wildfowl</w:t>
            </w:r>
          </w:p>
        </w:tc>
        <w:tc>
          <w:tcPr>
            <w:tcW w:w="1020" w:type="dxa"/>
          </w:tcPr>
          <w:p w14:paraId="60C01D38" w14:textId="77777777" w:rsidR="00FA0BB9" w:rsidRPr="008C43DD" w:rsidRDefault="00FA0BB9" w:rsidP="008C43DD">
            <w:pPr>
              <w:spacing w:before="60"/>
            </w:pPr>
            <w:r w:rsidRPr="008C43DD">
              <w:t>1</w:t>
            </w:r>
          </w:p>
        </w:tc>
        <w:tc>
          <w:tcPr>
            <w:tcW w:w="5329" w:type="dxa"/>
          </w:tcPr>
          <w:p w14:paraId="452DD74B" w14:textId="77777777" w:rsidR="00C26326" w:rsidRPr="00C26326" w:rsidRDefault="00C26326" w:rsidP="00C26326">
            <w:pPr>
              <w:pStyle w:val="NoSpacing"/>
              <w:rPr>
                <w:sz w:val="16"/>
                <w:szCs w:val="16"/>
              </w:rPr>
            </w:pPr>
            <w:r w:rsidRPr="00C26326">
              <w:rPr>
                <w:sz w:val="16"/>
                <w:szCs w:val="16"/>
              </w:rPr>
              <w:t>ASSESSMENT OF THE RATES OF INJURY AND MORTALITY IN WATERFOWL CAPTURED WITH FIVE METHODS OF CAPTURE AND TECHNIQUES FOR MINIMIZING RISKS</w:t>
            </w:r>
          </w:p>
          <w:p w14:paraId="0AA92BF2" w14:textId="77777777" w:rsidR="00C26326" w:rsidRPr="00C26326" w:rsidRDefault="00C26326" w:rsidP="00C26326">
            <w:pPr>
              <w:pStyle w:val="NoSpacing"/>
              <w:rPr>
                <w:sz w:val="16"/>
                <w:szCs w:val="16"/>
              </w:rPr>
            </w:pPr>
            <w:r w:rsidRPr="00C26326">
              <w:rPr>
                <w:sz w:val="16"/>
                <w:szCs w:val="16"/>
              </w:rPr>
              <w:t>By: O’Brien, Michelle F.; Lee, Rebecca; Cromie, Ruth; et al.</w:t>
            </w:r>
          </w:p>
          <w:p w14:paraId="17079246" w14:textId="77777777" w:rsidR="00FA0BB9" w:rsidRPr="00C26326" w:rsidRDefault="00C26326" w:rsidP="00C26326">
            <w:pPr>
              <w:pStyle w:val="NoSpacing"/>
              <w:rPr>
                <w:sz w:val="16"/>
                <w:szCs w:val="16"/>
              </w:rPr>
            </w:pPr>
            <w:r w:rsidRPr="00C26326">
              <w:rPr>
                <w:sz w:val="16"/>
                <w:szCs w:val="16"/>
              </w:rPr>
              <w:t>JOURNAL OF WILDLIFE DISEASES   Volume: 52   Supplement: 2   Pages: S86-S95   Published: APR 2016</w:t>
            </w:r>
          </w:p>
        </w:tc>
      </w:tr>
      <w:tr w:rsidR="00FA0BB9" w:rsidRPr="00286A88" w14:paraId="2DE6890B" w14:textId="77777777" w:rsidTr="005F7B38">
        <w:tc>
          <w:tcPr>
            <w:tcW w:w="3628" w:type="dxa"/>
          </w:tcPr>
          <w:p w14:paraId="7C4CB566" w14:textId="77777777" w:rsidR="00FA0BB9" w:rsidRPr="008C43DD" w:rsidRDefault="00FA0BB9" w:rsidP="008C43DD">
            <w:pPr>
              <w:spacing w:before="60"/>
            </w:pPr>
            <w:r w:rsidRPr="008C43DD">
              <w:t>Paper on ecological study</w:t>
            </w:r>
          </w:p>
        </w:tc>
        <w:tc>
          <w:tcPr>
            <w:tcW w:w="1020" w:type="dxa"/>
          </w:tcPr>
          <w:p w14:paraId="25D81067" w14:textId="77777777" w:rsidR="00FA0BB9" w:rsidRPr="008C43DD" w:rsidRDefault="00FA0BB9" w:rsidP="008C43DD">
            <w:pPr>
              <w:spacing w:before="60"/>
            </w:pPr>
            <w:r w:rsidRPr="008C43DD">
              <w:t>1</w:t>
            </w:r>
          </w:p>
        </w:tc>
        <w:tc>
          <w:tcPr>
            <w:tcW w:w="5329" w:type="dxa"/>
          </w:tcPr>
          <w:p w14:paraId="6CFA0D1E" w14:textId="77777777" w:rsidR="00C26326" w:rsidRPr="00C26326" w:rsidRDefault="00C26326" w:rsidP="00C26326">
            <w:pPr>
              <w:pStyle w:val="NoSpacing"/>
              <w:rPr>
                <w:sz w:val="16"/>
                <w:szCs w:val="16"/>
              </w:rPr>
            </w:pPr>
            <w:r w:rsidRPr="00C26326">
              <w:rPr>
                <w:sz w:val="16"/>
                <w:szCs w:val="16"/>
              </w:rPr>
              <w:t>Ecological assessment of Cheffa Wetland in the Borkena Valley, northeast Ethiopia: Macroinvertebrate and bird communities</w:t>
            </w:r>
          </w:p>
          <w:p w14:paraId="4FD61F99" w14:textId="77777777" w:rsidR="00C26326" w:rsidRPr="00C26326" w:rsidRDefault="00C26326" w:rsidP="00C26326">
            <w:pPr>
              <w:pStyle w:val="NoSpacing"/>
              <w:rPr>
                <w:sz w:val="16"/>
                <w:szCs w:val="16"/>
              </w:rPr>
            </w:pPr>
            <w:r w:rsidRPr="00C26326">
              <w:rPr>
                <w:sz w:val="16"/>
                <w:szCs w:val="16"/>
              </w:rPr>
              <w:t>By: Getachew, Melaku; Ambelu, Argaw; Tiku, Seid; et al.</w:t>
            </w:r>
          </w:p>
          <w:p w14:paraId="64871968" w14:textId="77777777" w:rsidR="00FA0BB9" w:rsidRPr="00C26326" w:rsidRDefault="00C26326" w:rsidP="00C26326">
            <w:pPr>
              <w:pStyle w:val="NoSpacing"/>
              <w:rPr>
                <w:sz w:val="16"/>
                <w:szCs w:val="16"/>
              </w:rPr>
            </w:pPr>
            <w:r w:rsidRPr="00C26326">
              <w:rPr>
                <w:sz w:val="16"/>
                <w:szCs w:val="16"/>
              </w:rPr>
              <w:t>ECOLOGICAL INDICATORS   Volume: 15   Issue: 1   Pages: 63-71   Published: APR 2012</w:t>
            </w:r>
          </w:p>
        </w:tc>
      </w:tr>
      <w:tr w:rsidR="00FA0BB9" w:rsidRPr="00286A88" w14:paraId="2B543EA8" w14:textId="77777777" w:rsidTr="005F7B38">
        <w:tc>
          <w:tcPr>
            <w:tcW w:w="3628" w:type="dxa"/>
          </w:tcPr>
          <w:p w14:paraId="002431CF" w14:textId="77777777" w:rsidR="00FA0BB9" w:rsidRPr="008C43DD" w:rsidRDefault="00FA0BB9" w:rsidP="00770A44">
            <w:pPr>
              <w:spacing w:before="60" w:line="240" w:lineRule="auto"/>
              <w:rPr>
                <w:rFonts w:cs="Arial"/>
                <w:b/>
                <w:color w:val="auto"/>
                <w:szCs w:val="18"/>
              </w:rPr>
            </w:pPr>
            <w:r w:rsidRPr="008C43DD">
              <w:rPr>
                <w:rFonts w:cs="Arial"/>
                <w:b/>
                <w:color w:val="auto"/>
                <w:szCs w:val="18"/>
              </w:rPr>
              <w:t xml:space="preserve">Papers </w:t>
            </w:r>
            <w:r w:rsidR="00770A44">
              <w:rPr>
                <w:rFonts w:cs="Arial"/>
                <w:b/>
                <w:color w:val="auto"/>
                <w:szCs w:val="18"/>
              </w:rPr>
              <w:t>excluded from primary search</w:t>
            </w:r>
          </w:p>
        </w:tc>
        <w:tc>
          <w:tcPr>
            <w:tcW w:w="1020" w:type="dxa"/>
          </w:tcPr>
          <w:p w14:paraId="07977844" w14:textId="77777777" w:rsidR="00FA0BB9" w:rsidRPr="008C43DD" w:rsidRDefault="00770A44" w:rsidP="002B2473">
            <w:pPr>
              <w:spacing w:before="60" w:line="240" w:lineRule="auto"/>
              <w:rPr>
                <w:rFonts w:cs="Arial"/>
                <w:b/>
                <w:color w:val="auto"/>
                <w:szCs w:val="18"/>
              </w:rPr>
            </w:pPr>
            <w:r>
              <w:rPr>
                <w:rFonts w:cs="Arial"/>
                <w:b/>
                <w:color w:val="auto"/>
                <w:szCs w:val="18"/>
              </w:rPr>
              <w:t>13</w:t>
            </w:r>
          </w:p>
        </w:tc>
        <w:tc>
          <w:tcPr>
            <w:tcW w:w="5329" w:type="dxa"/>
          </w:tcPr>
          <w:p w14:paraId="58ED86AB" w14:textId="77777777" w:rsidR="00FA0BB9" w:rsidRPr="008C43DD" w:rsidRDefault="00FA0BB9" w:rsidP="00770A44">
            <w:pPr>
              <w:spacing w:before="60" w:line="240" w:lineRule="auto"/>
              <w:rPr>
                <w:rFonts w:cs="Arial"/>
                <w:b/>
                <w:color w:val="auto"/>
                <w:szCs w:val="18"/>
              </w:rPr>
            </w:pPr>
            <w:r w:rsidRPr="008C43DD">
              <w:rPr>
                <w:rFonts w:cs="Arial"/>
                <w:b/>
                <w:color w:val="auto"/>
                <w:szCs w:val="18"/>
              </w:rPr>
              <w:t xml:space="preserve">Papers </w:t>
            </w:r>
            <w:r w:rsidR="00770A44">
              <w:rPr>
                <w:rFonts w:cs="Arial"/>
                <w:b/>
                <w:color w:val="auto"/>
                <w:szCs w:val="18"/>
              </w:rPr>
              <w:t>retained from primary search: 15 – 13 = 2</w:t>
            </w:r>
          </w:p>
        </w:tc>
      </w:tr>
    </w:tbl>
    <w:p w14:paraId="59F476D7" w14:textId="77777777" w:rsidR="00FA0BB9" w:rsidRPr="00590F0B" w:rsidRDefault="00FA0BB9" w:rsidP="00590F0B">
      <w:pPr>
        <w:spacing w:before="240" w:after="240"/>
        <w:rPr>
          <w:b/>
          <w:i/>
          <w:lang w:val="en-GB"/>
        </w:rPr>
      </w:pPr>
      <w:r w:rsidRPr="00590F0B">
        <w:rPr>
          <w:b/>
          <w:i/>
          <w:lang w:val="en-GB"/>
        </w:rPr>
        <w:t xml:space="preserve">Geese </w:t>
      </w:r>
      <w:r w:rsidR="00AE59F9">
        <w:rPr>
          <w:b/>
          <w:i/>
          <w:lang w:val="en-GB"/>
        </w:rPr>
        <w:t>Secondary Searches</w:t>
      </w:r>
    </w:p>
    <w:tbl>
      <w:tblPr>
        <w:tblStyle w:val="TableGrid11"/>
        <w:tblW w:w="9954" w:type="dxa"/>
        <w:tblLook w:val="04A0" w:firstRow="1" w:lastRow="0" w:firstColumn="1" w:lastColumn="0" w:noHBand="0" w:noVBand="1"/>
        <w:tblCaption w:val="Results of secondary literature searches for geese"/>
        <w:tblDescription w:val="This table shows the results of secondary literature searches for geese. The left hand column shows the search terms used in the secondary searches. The second column shows the number of papers returned from each of these searches. The third column shows the additional papers included from these searches. The right hand column makes broad comments on the secondary searches."/>
      </w:tblPr>
      <w:tblGrid>
        <w:gridCol w:w="4025"/>
        <w:gridCol w:w="1020"/>
        <w:gridCol w:w="1020"/>
        <w:gridCol w:w="3889"/>
      </w:tblGrid>
      <w:tr w:rsidR="00FA0BB9" w:rsidRPr="00286A88" w14:paraId="75574D08" w14:textId="77777777" w:rsidTr="00587D34">
        <w:trPr>
          <w:tblHeader/>
        </w:trPr>
        <w:tc>
          <w:tcPr>
            <w:tcW w:w="4025" w:type="dxa"/>
            <w:shd w:val="clear" w:color="auto" w:fill="auto"/>
          </w:tcPr>
          <w:p w14:paraId="127FFEB5" w14:textId="77777777" w:rsidR="00FA0BB9" w:rsidRPr="008970FA" w:rsidRDefault="00FA0BB9" w:rsidP="008970FA">
            <w:pPr>
              <w:spacing w:before="60" w:line="240" w:lineRule="auto"/>
              <w:rPr>
                <w:rFonts w:cs="Arial"/>
                <w:b/>
                <w:color w:val="auto"/>
                <w:szCs w:val="18"/>
              </w:rPr>
            </w:pPr>
            <w:r w:rsidRPr="008970FA">
              <w:rPr>
                <w:rFonts w:cs="Arial"/>
                <w:b/>
                <w:color w:val="auto"/>
                <w:szCs w:val="18"/>
              </w:rPr>
              <w:t>Search terms for synonyms of species or welfare</w:t>
            </w:r>
          </w:p>
        </w:tc>
        <w:tc>
          <w:tcPr>
            <w:tcW w:w="1020" w:type="dxa"/>
            <w:shd w:val="clear" w:color="auto" w:fill="auto"/>
          </w:tcPr>
          <w:p w14:paraId="535B2F1C" w14:textId="77777777" w:rsidR="004D4B06" w:rsidRPr="008970FA" w:rsidRDefault="00FA0BB9" w:rsidP="008970FA">
            <w:pPr>
              <w:spacing w:before="60" w:line="240" w:lineRule="auto"/>
              <w:rPr>
                <w:rFonts w:cs="Arial"/>
                <w:color w:val="auto"/>
                <w:szCs w:val="18"/>
              </w:rPr>
            </w:pPr>
            <w:r w:rsidRPr="008970FA">
              <w:rPr>
                <w:rFonts w:cs="Arial"/>
                <w:color w:val="auto"/>
                <w:szCs w:val="18"/>
              </w:rPr>
              <w:t>Hits</w:t>
            </w:r>
          </w:p>
        </w:tc>
        <w:tc>
          <w:tcPr>
            <w:tcW w:w="1020" w:type="dxa"/>
            <w:shd w:val="clear" w:color="auto" w:fill="auto"/>
          </w:tcPr>
          <w:p w14:paraId="6C2B1857" w14:textId="77777777" w:rsidR="00FA0BB9" w:rsidRPr="008970FA" w:rsidRDefault="00FA0BB9" w:rsidP="008970FA">
            <w:pPr>
              <w:spacing w:before="60" w:line="240" w:lineRule="auto"/>
              <w:rPr>
                <w:rFonts w:cs="Arial"/>
                <w:color w:val="auto"/>
                <w:szCs w:val="18"/>
              </w:rPr>
            </w:pPr>
            <w:r w:rsidRPr="008970FA">
              <w:rPr>
                <w:rFonts w:cs="Arial"/>
                <w:color w:val="auto"/>
                <w:szCs w:val="18"/>
              </w:rPr>
              <w:t>Additional Papers Included</w:t>
            </w:r>
          </w:p>
        </w:tc>
        <w:tc>
          <w:tcPr>
            <w:tcW w:w="3889" w:type="dxa"/>
            <w:shd w:val="clear" w:color="auto" w:fill="auto"/>
          </w:tcPr>
          <w:p w14:paraId="4C51B345" w14:textId="77777777" w:rsidR="00FA0BB9" w:rsidRPr="008970FA" w:rsidRDefault="00FA0BB9" w:rsidP="008970FA">
            <w:pPr>
              <w:spacing w:before="60" w:line="240" w:lineRule="auto"/>
              <w:rPr>
                <w:rFonts w:cs="Arial"/>
                <w:color w:val="auto"/>
                <w:szCs w:val="18"/>
              </w:rPr>
            </w:pPr>
            <w:r w:rsidRPr="008970FA">
              <w:rPr>
                <w:rFonts w:cs="Arial"/>
                <w:color w:val="auto"/>
                <w:szCs w:val="18"/>
              </w:rPr>
              <w:t>Comments</w:t>
            </w:r>
          </w:p>
        </w:tc>
      </w:tr>
      <w:tr w:rsidR="00FA0BB9" w:rsidRPr="00286A88" w14:paraId="347ECA67" w14:textId="77777777" w:rsidTr="00D561AB">
        <w:tc>
          <w:tcPr>
            <w:tcW w:w="4025" w:type="dxa"/>
          </w:tcPr>
          <w:p w14:paraId="31332C7C" w14:textId="77777777" w:rsidR="00FA0BB9" w:rsidRPr="008970FA" w:rsidRDefault="00046273" w:rsidP="008970FA">
            <w:pPr>
              <w:spacing w:before="60" w:line="240" w:lineRule="auto"/>
              <w:rPr>
                <w:rFonts w:cs="Arial"/>
                <w:color w:val="auto"/>
                <w:szCs w:val="18"/>
              </w:rPr>
            </w:pPr>
            <w:r>
              <w:rPr>
                <w:rFonts w:cs="Arial"/>
                <w:color w:val="auto"/>
                <w:szCs w:val="18"/>
              </w:rPr>
              <w:t>Anser AND w</w:t>
            </w:r>
            <w:r w:rsidR="00FA0BB9" w:rsidRPr="008970FA">
              <w:rPr>
                <w:rFonts w:cs="Arial"/>
                <w:color w:val="auto"/>
                <w:szCs w:val="18"/>
              </w:rPr>
              <w:t>elfare</w:t>
            </w:r>
          </w:p>
        </w:tc>
        <w:tc>
          <w:tcPr>
            <w:tcW w:w="1020" w:type="dxa"/>
          </w:tcPr>
          <w:p w14:paraId="133E5F33" w14:textId="77777777" w:rsidR="00FA0BB9" w:rsidRPr="008970FA" w:rsidRDefault="00FA0BB9" w:rsidP="008970FA">
            <w:pPr>
              <w:spacing w:before="60" w:line="240" w:lineRule="auto"/>
              <w:rPr>
                <w:rFonts w:cs="Arial"/>
                <w:color w:val="auto"/>
                <w:szCs w:val="18"/>
              </w:rPr>
            </w:pPr>
            <w:r w:rsidRPr="008970FA">
              <w:rPr>
                <w:rFonts w:cs="Arial"/>
                <w:color w:val="auto"/>
                <w:szCs w:val="18"/>
              </w:rPr>
              <w:t>2</w:t>
            </w:r>
          </w:p>
        </w:tc>
        <w:tc>
          <w:tcPr>
            <w:tcW w:w="1020" w:type="dxa"/>
          </w:tcPr>
          <w:p w14:paraId="5AD6EC4F"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c>
          <w:tcPr>
            <w:tcW w:w="3889" w:type="dxa"/>
          </w:tcPr>
          <w:p w14:paraId="0234892A" w14:textId="77777777" w:rsidR="00FA0BB9" w:rsidRPr="008970FA" w:rsidRDefault="00FA0BB9" w:rsidP="008970FA">
            <w:pPr>
              <w:spacing w:before="60" w:line="240" w:lineRule="auto"/>
              <w:rPr>
                <w:rFonts w:cs="Arial"/>
                <w:color w:val="auto"/>
                <w:szCs w:val="18"/>
              </w:rPr>
            </w:pPr>
            <w:r w:rsidRPr="008970FA">
              <w:rPr>
                <w:rFonts w:cs="Arial"/>
                <w:color w:val="auto"/>
                <w:szCs w:val="18"/>
              </w:rPr>
              <w:t>One already detected, one on carcass quality.</w:t>
            </w:r>
          </w:p>
        </w:tc>
      </w:tr>
      <w:tr w:rsidR="00FA0BB9" w:rsidRPr="00286A88" w14:paraId="629514DD" w14:textId="77777777" w:rsidTr="00D561AB">
        <w:tc>
          <w:tcPr>
            <w:tcW w:w="4025" w:type="dxa"/>
          </w:tcPr>
          <w:p w14:paraId="7F27A975" w14:textId="77777777" w:rsidR="00FA0BB9" w:rsidRPr="008970FA" w:rsidRDefault="00046273" w:rsidP="008970FA">
            <w:pPr>
              <w:spacing w:before="60" w:line="240" w:lineRule="auto"/>
              <w:rPr>
                <w:rFonts w:cs="Arial"/>
                <w:color w:val="auto"/>
                <w:szCs w:val="18"/>
              </w:rPr>
            </w:pPr>
            <w:r>
              <w:rPr>
                <w:rFonts w:cs="Arial"/>
                <w:color w:val="auto"/>
                <w:szCs w:val="18"/>
              </w:rPr>
              <w:t>waterfowl AND w</w:t>
            </w:r>
            <w:r w:rsidR="00FA0BB9" w:rsidRPr="008970FA">
              <w:rPr>
                <w:rFonts w:cs="Arial"/>
                <w:color w:val="auto"/>
                <w:szCs w:val="18"/>
              </w:rPr>
              <w:t>elfare</w:t>
            </w:r>
          </w:p>
        </w:tc>
        <w:tc>
          <w:tcPr>
            <w:tcW w:w="1020" w:type="dxa"/>
          </w:tcPr>
          <w:p w14:paraId="2F9CEEC2" w14:textId="77777777" w:rsidR="00FA0BB9" w:rsidRPr="008970FA" w:rsidRDefault="00FA0BB9" w:rsidP="008970FA">
            <w:pPr>
              <w:spacing w:before="60" w:line="240" w:lineRule="auto"/>
              <w:rPr>
                <w:rFonts w:cs="Arial"/>
                <w:color w:val="auto"/>
                <w:szCs w:val="18"/>
              </w:rPr>
            </w:pPr>
            <w:r w:rsidRPr="008970FA">
              <w:rPr>
                <w:rFonts w:cs="Arial"/>
                <w:color w:val="auto"/>
                <w:szCs w:val="18"/>
              </w:rPr>
              <w:t>7</w:t>
            </w:r>
          </w:p>
        </w:tc>
        <w:tc>
          <w:tcPr>
            <w:tcW w:w="1020" w:type="dxa"/>
          </w:tcPr>
          <w:p w14:paraId="328048B1"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c>
          <w:tcPr>
            <w:tcW w:w="3889" w:type="dxa"/>
          </w:tcPr>
          <w:p w14:paraId="7E717B53" w14:textId="77777777" w:rsidR="00FA0BB9" w:rsidRPr="008970FA" w:rsidRDefault="00FA0BB9" w:rsidP="008970FA">
            <w:pPr>
              <w:spacing w:before="60" w:line="240" w:lineRule="auto"/>
              <w:rPr>
                <w:rFonts w:cs="Arial"/>
                <w:color w:val="auto"/>
                <w:szCs w:val="18"/>
              </w:rPr>
            </w:pPr>
            <w:r w:rsidRPr="008970FA">
              <w:rPr>
                <w:rFonts w:cs="Arial"/>
                <w:color w:val="auto"/>
                <w:szCs w:val="18"/>
              </w:rPr>
              <w:t>No additional articles detected</w:t>
            </w:r>
          </w:p>
        </w:tc>
      </w:tr>
      <w:tr w:rsidR="00FA0BB9" w:rsidRPr="00286A88" w14:paraId="7DFF10B7" w14:textId="77777777" w:rsidTr="00D561AB">
        <w:tc>
          <w:tcPr>
            <w:tcW w:w="4025" w:type="dxa"/>
          </w:tcPr>
          <w:p w14:paraId="0C4E49EA" w14:textId="77777777" w:rsidR="00FA0BB9" w:rsidRPr="008970FA" w:rsidRDefault="00046273" w:rsidP="00046273">
            <w:pPr>
              <w:spacing w:before="60" w:line="240" w:lineRule="auto"/>
              <w:rPr>
                <w:rFonts w:cs="Arial"/>
                <w:color w:val="auto"/>
                <w:szCs w:val="18"/>
              </w:rPr>
            </w:pPr>
            <w:r>
              <w:rPr>
                <w:rFonts w:cs="Arial"/>
                <w:color w:val="auto"/>
                <w:szCs w:val="18"/>
              </w:rPr>
              <w:t>(g</w:t>
            </w:r>
            <w:r w:rsidR="00FA0BB9" w:rsidRPr="008970FA">
              <w:rPr>
                <w:rFonts w:cs="Arial"/>
                <w:color w:val="auto"/>
                <w:szCs w:val="18"/>
              </w:rPr>
              <w:t xml:space="preserve">oose OR </w:t>
            </w:r>
            <w:r>
              <w:rPr>
                <w:rFonts w:cs="Arial"/>
                <w:color w:val="auto"/>
                <w:szCs w:val="18"/>
              </w:rPr>
              <w:t>g</w:t>
            </w:r>
            <w:r w:rsidR="00FA0BB9" w:rsidRPr="008970FA">
              <w:rPr>
                <w:rFonts w:cs="Arial"/>
                <w:color w:val="auto"/>
                <w:szCs w:val="18"/>
              </w:rPr>
              <w:t>eese) AND wellbeing</w:t>
            </w:r>
          </w:p>
        </w:tc>
        <w:tc>
          <w:tcPr>
            <w:tcW w:w="1020" w:type="dxa"/>
          </w:tcPr>
          <w:p w14:paraId="32765181" w14:textId="77777777" w:rsidR="00FA0BB9" w:rsidRPr="008970FA" w:rsidRDefault="00FA0BB9" w:rsidP="008970FA">
            <w:pPr>
              <w:spacing w:before="60" w:line="240" w:lineRule="auto"/>
              <w:rPr>
                <w:rFonts w:cs="Arial"/>
                <w:color w:val="auto"/>
                <w:szCs w:val="18"/>
              </w:rPr>
            </w:pPr>
            <w:r w:rsidRPr="008970FA">
              <w:rPr>
                <w:rFonts w:cs="Arial"/>
                <w:color w:val="auto"/>
                <w:szCs w:val="18"/>
              </w:rPr>
              <w:t>1</w:t>
            </w:r>
          </w:p>
        </w:tc>
        <w:tc>
          <w:tcPr>
            <w:tcW w:w="1020" w:type="dxa"/>
          </w:tcPr>
          <w:p w14:paraId="00217DE3"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c>
          <w:tcPr>
            <w:tcW w:w="3889" w:type="dxa"/>
          </w:tcPr>
          <w:p w14:paraId="1FE70D89" w14:textId="77777777" w:rsidR="00FA0BB9" w:rsidRPr="008970FA" w:rsidRDefault="00FA0BB9" w:rsidP="008970FA">
            <w:pPr>
              <w:spacing w:before="60" w:line="240" w:lineRule="auto"/>
              <w:rPr>
                <w:rFonts w:cs="Arial"/>
                <w:color w:val="auto"/>
                <w:szCs w:val="18"/>
              </w:rPr>
            </w:pPr>
            <w:r w:rsidRPr="008970FA">
              <w:rPr>
                <w:rFonts w:cs="Arial"/>
                <w:color w:val="auto"/>
                <w:szCs w:val="18"/>
              </w:rPr>
              <w:t>Paper on microbial flora in intestinal tract with no welfare relevance.</w:t>
            </w:r>
          </w:p>
        </w:tc>
      </w:tr>
      <w:tr w:rsidR="00FA0BB9" w:rsidRPr="00286A88" w14:paraId="3699CF08" w14:textId="77777777" w:rsidTr="00D561AB">
        <w:tc>
          <w:tcPr>
            <w:tcW w:w="4025" w:type="dxa"/>
            <w:tcBorders>
              <w:bottom w:val="single" w:sz="4" w:space="0" w:color="auto"/>
            </w:tcBorders>
          </w:tcPr>
          <w:p w14:paraId="3D3143CD" w14:textId="77777777" w:rsidR="00FA0BB9" w:rsidRPr="008970FA" w:rsidRDefault="00FA0BB9" w:rsidP="00046273">
            <w:pPr>
              <w:spacing w:before="60" w:line="240" w:lineRule="auto"/>
              <w:rPr>
                <w:rFonts w:cs="Arial"/>
                <w:color w:val="auto"/>
                <w:szCs w:val="18"/>
              </w:rPr>
            </w:pPr>
            <w:r w:rsidRPr="008970FA">
              <w:rPr>
                <w:rFonts w:cs="Arial"/>
                <w:color w:val="auto"/>
                <w:szCs w:val="18"/>
              </w:rPr>
              <w:t>(</w:t>
            </w:r>
            <w:r w:rsidR="00046273">
              <w:rPr>
                <w:rFonts w:cs="Arial"/>
                <w:color w:val="auto"/>
                <w:szCs w:val="18"/>
              </w:rPr>
              <w:t>goose OR g</w:t>
            </w:r>
            <w:r w:rsidRPr="008970FA">
              <w:rPr>
                <w:rFonts w:cs="Arial"/>
                <w:color w:val="auto"/>
                <w:szCs w:val="18"/>
              </w:rPr>
              <w:t>eese) AND well-being</w:t>
            </w:r>
          </w:p>
        </w:tc>
        <w:tc>
          <w:tcPr>
            <w:tcW w:w="1020" w:type="dxa"/>
          </w:tcPr>
          <w:p w14:paraId="2602EB1D" w14:textId="77777777" w:rsidR="00FA0BB9" w:rsidRPr="008970FA" w:rsidRDefault="00FA0BB9" w:rsidP="008970FA">
            <w:pPr>
              <w:spacing w:before="60" w:line="240" w:lineRule="auto"/>
              <w:rPr>
                <w:rFonts w:cs="Arial"/>
                <w:color w:val="auto"/>
                <w:szCs w:val="18"/>
              </w:rPr>
            </w:pPr>
            <w:r w:rsidRPr="008970FA">
              <w:rPr>
                <w:rFonts w:cs="Arial"/>
                <w:color w:val="auto"/>
                <w:szCs w:val="18"/>
              </w:rPr>
              <w:t>6</w:t>
            </w:r>
          </w:p>
        </w:tc>
        <w:tc>
          <w:tcPr>
            <w:tcW w:w="1020" w:type="dxa"/>
          </w:tcPr>
          <w:p w14:paraId="590270A1" w14:textId="77777777" w:rsidR="00FA0BB9" w:rsidRPr="008970FA" w:rsidRDefault="00FA0BB9" w:rsidP="008970FA">
            <w:pPr>
              <w:spacing w:before="60" w:line="240" w:lineRule="auto"/>
              <w:rPr>
                <w:rFonts w:cs="Arial"/>
                <w:color w:val="auto"/>
                <w:szCs w:val="18"/>
              </w:rPr>
            </w:pPr>
            <w:r w:rsidRPr="008970FA">
              <w:rPr>
                <w:rFonts w:cs="Arial"/>
                <w:color w:val="auto"/>
                <w:szCs w:val="18"/>
              </w:rPr>
              <w:t>2</w:t>
            </w:r>
          </w:p>
        </w:tc>
        <w:tc>
          <w:tcPr>
            <w:tcW w:w="3889" w:type="dxa"/>
          </w:tcPr>
          <w:p w14:paraId="4DA7BA10" w14:textId="77777777" w:rsidR="00FA0BB9" w:rsidRPr="008970FA" w:rsidRDefault="00FA0BB9" w:rsidP="008970FA">
            <w:pPr>
              <w:spacing w:before="60" w:line="240" w:lineRule="auto"/>
              <w:rPr>
                <w:rFonts w:cs="Arial"/>
                <w:color w:val="auto"/>
                <w:szCs w:val="18"/>
              </w:rPr>
            </w:pPr>
            <w:r w:rsidRPr="008970FA">
              <w:rPr>
                <w:rFonts w:cs="Arial"/>
                <w:color w:val="auto"/>
                <w:szCs w:val="18"/>
              </w:rPr>
              <w:t>Papers on chronic and acute stressors in captive geese detected.</w:t>
            </w:r>
          </w:p>
        </w:tc>
      </w:tr>
      <w:tr w:rsidR="00FA0BB9" w:rsidRPr="00286A88" w14:paraId="60408AE2" w14:textId="77777777" w:rsidTr="00587D34">
        <w:tc>
          <w:tcPr>
            <w:tcW w:w="4025" w:type="dxa"/>
            <w:shd w:val="clear" w:color="auto" w:fill="auto"/>
          </w:tcPr>
          <w:p w14:paraId="45A829DE" w14:textId="77777777" w:rsidR="00FA0BB9" w:rsidRPr="008970FA" w:rsidRDefault="00FA0BB9" w:rsidP="008970FA">
            <w:pPr>
              <w:spacing w:before="60" w:line="240" w:lineRule="auto"/>
              <w:rPr>
                <w:rFonts w:cs="Arial"/>
                <w:b/>
                <w:color w:val="auto"/>
                <w:szCs w:val="18"/>
              </w:rPr>
            </w:pPr>
            <w:r w:rsidRPr="008970FA">
              <w:rPr>
                <w:rFonts w:cs="Arial"/>
                <w:b/>
                <w:color w:val="auto"/>
                <w:szCs w:val="18"/>
              </w:rPr>
              <w:t>Search for sub-sets of terms relevant to welfare</w:t>
            </w:r>
          </w:p>
        </w:tc>
        <w:tc>
          <w:tcPr>
            <w:tcW w:w="1020" w:type="dxa"/>
            <w:shd w:val="clear" w:color="auto" w:fill="auto"/>
          </w:tcPr>
          <w:p w14:paraId="5F5AF9D2" w14:textId="77777777" w:rsidR="00FA0BB9" w:rsidRPr="008970FA" w:rsidRDefault="00FA0BB9" w:rsidP="008970FA">
            <w:pPr>
              <w:spacing w:before="60" w:line="240" w:lineRule="auto"/>
              <w:rPr>
                <w:rFonts w:cs="Arial"/>
                <w:color w:val="auto"/>
                <w:szCs w:val="18"/>
              </w:rPr>
            </w:pPr>
          </w:p>
        </w:tc>
        <w:tc>
          <w:tcPr>
            <w:tcW w:w="1020" w:type="dxa"/>
            <w:shd w:val="clear" w:color="auto" w:fill="auto"/>
          </w:tcPr>
          <w:p w14:paraId="402ED4C4" w14:textId="77777777" w:rsidR="00FA0BB9" w:rsidRPr="008970FA" w:rsidRDefault="00FA0BB9" w:rsidP="008970FA">
            <w:pPr>
              <w:spacing w:before="60" w:line="240" w:lineRule="auto"/>
              <w:rPr>
                <w:rFonts w:cs="Arial"/>
                <w:color w:val="auto"/>
                <w:szCs w:val="18"/>
              </w:rPr>
            </w:pPr>
          </w:p>
        </w:tc>
        <w:tc>
          <w:tcPr>
            <w:tcW w:w="3889" w:type="dxa"/>
            <w:shd w:val="clear" w:color="auto" w:fill="auto"/>
          </w:tcPr>
          <w:p w14:paraId="5FA5371F" w14:textId="77777777" w:rsidR="00FA0BB9" w:rsidRPr="008970FA" w:rsidRDefault="00FA0BB9" w:rsidP="008970FA">
            <w:pPr>
              <w:spacing w:before="60" w:line="240" w:lineRule="auto"/>
              <w:rPr>
                <w:rFonts w:cs="Arial"/>
                <w:color w:val="auto"/>
                <w:szCs w:val="18"/>
              </w:rPr>
            </w:pPr>
          </w:p>
        </w:tc>
      </w:tr>
      <w:tr w:rsidR="00FA0BB9" w:rsidRPr="00286A88" w14:paraId="43DEA21E" w14:textId="77777777" w:rsidTr="00D561AB">
        <w:tc>
          <w:tcPr>
            <w:tcW w:w="4025" w:type="dxa"/>
          </w:tcPr>
          <w:p w14:paraId="271CEC26" w14:textId="77777777" w:rsidR="00FA0BB9" w:rsidRPr="008970FA" w:rsidRDefault="00046273" w:rsidP="00046273">
            <w:pPr>
              <w:spacing w:before="60" w:line="240" w:lineRule="auto"/>
              <w:rPr>
                <w:rFonts w:cs="Arial"/>
                <w:color w:val="auto"/>
                <w:szCs w:val="18"/>
              </w:rPr>
            </w:pPr>
            <w:r>
              <w:rPr>
                <w:rFonts w:cs="Arial"/>
                <w:color w:val="auto"/>
                <w:szCs w:val="18"/>
              </w:rPr>
              <w:t>(g</w:t>
            </w:r>
            <w:r w:rsidR="00FA0BB9" w:rsidRPr="008970FA">
              <w:rPr>
                <w:rFonts w:cs="Arial"/>
                <w:color w:val="auto"/>
                <w:szCs w:val="18"/>
              </w:rPr>
              <w:t xml:space="preserve">oose OR </w:t>
            </w:r>
            <w:r>
              <w:rPr>
                <w:rFonts w:cs="Arial"/>
                <w:color w:val="auto"/>
                <w:szCs w:val="18"/>
              </w:rPr>
              <w:t>g</w:t>
            </w:r>
            <w:r w:rsidR="00FA0BB9" w:rsidRPr="008970FA">
              <w:rPr>
                <w:rFonts w:cs="Arial"/>
                <w:color w:val="auto"/>
                <w:szCs w:val="18"/>
              </w:rPr>
              <w:t xml:space="preserve">eese) AND </w:t>
            </w:r>
            <w:r>
              <w:rPr>
                <w:rFonts w:cs="Arial"/>
                <w:color w:val="auto"/>
                <w:szCs w:val="18"/>
              </w:rPr>
              <w:t>h</w:t>
            </w:r>
            <w:r w:rsidR="00FA0BB9" w:rsidRPr="008970FA">
              <w:rPr>
                <w:rFonts w:cs="Arial"/>
                <w:color w:val="auto"/>
                <w:szCs w:val="18"/>
              </w:rPr>
              <w:t>ealth</w:t>
            </w:r>
          </w:p>
        </w:tc>
        <w:tc>
          <w:tcPr>
            <w:tcW w:w="1020" w:type="dxa"/>
          </w:tcPr>
          <w:p w14:paraId="1B9C44CD" w14:textId="77777777" w:rsidR="00FA0BB9" w:rsidRPr="008970FA" w:rsidRDefault="00FA0BB9" w:rsidP="008970FA">
            <w:pPr>
              <w:spacing w:before="60" w:line="240" w:lineRule="auto"/>
              <w:rPr>
                <w:rFonts w:cs="Arial"/>
                <w:color w:val="auto"/>
                <w:szCs w:val="18"/>
              </w:rPr>
            </w:pPr>
            <w:r w:rsidRPr="008970FA">
              <w:rPr>
                <w:rFonts w:cs="Arial"/>
                <w:color w:val="auto"/>
                <w:szCs w:val="18"/>
              </w:rPr>
              <w:t>168</w:t>
            </w:r>
          </w:p>
        </w:tc>
        <w:tc>
          <w:tcPr>
            <w:tcW w:w="1020" w:type="dxa"/>
          </w:tcPr>
          <w:p w14:paraId="55081B87"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c>
          <w:tcPr>
            <w:tcW w:w="3889" w:type="dxa"/>
          </w:tcPr>
          <w:p w14:paraId="3314E695" w14:textId="77777777" w:rsidR="00FA0BB9" w:rsidRPr="008970FA" w:rsidRDefault="00FA0BB9" w:rsidP="008970FA">
            <w:pPr>
              <w:spacing w:before="60" w:line="240" w:lineRule="auto"/>
              <w:rPr>
                <w:rFonts w:cs="Arial"/>
                <w:color w:val="auto"/>
                <w:szCs w:val="18"/>
              </w:rPr>
            </w:pPr>
            <w:r w:rsidRPr="008970FA">
              <w:rPr>
                <w:rFonts w:cs="Arial"/>
                <w:color w:val="auto"/>
                <w:szCs w:val="18"/>
              </w:rPr>
              <w:t>Largely papers on wild geese and transmission of avian influenza.</w:t>
            </w:r>
          </w:p>
        </w:tc>
      </w:tr>
      <w:tr w:rsidR="00FA0BB9" w:rsidRPr="00286A88" w14:paraId="6D59EEE0" w14:textId="77777777" w:rsidTr="00D561AB">
        <w:tc>
          <w:tcPr>
            <w:tcW w:w="4025" w:type="dxa"/>
          </w:tcPr>
          <w:p w14:paraId="4EFE3762" w14:textId="77777777" w:rsidR="00FA0BB9" w:rsidRPr="008970FA" w:rsidRDefault="00046273" w:rsidP="00046273">
            <w:pPr>
              <w:spacing w:before="60" w:line="240" w:lineRule="auto"/>
              <w:rPr>
                <w:rFonts w:cs="Arial"/>
                <w:color w:val="auto"/>
                <w:szCs w:val="18"/>
              </w:rPr>
            </w:pPr>
            <w:r>
              <w:rPr>
                <w:rFonts w:cs="Arial"/>
                <w:color w:val="auto"/>
                <w:szCs w:val="18"/>
              </w:rPr>
              <w:t>(g</w:t>
            </w:r>
            <w:r w:rsidR="00FA0BB9" w:rsidRPr="008970FA">
              <w:rPr>
                <w:rFonts w:cs="Arial"/>
                <w:color w:val="auto"/>
                <w:szCs w:val="18"/>
              </w:rPr>
              <w:t xml:space="preserve">oose OR </w:t>
            </w:r>
            <w:r>
              <w:rPr>
                <w:rFonts w:cs="Arial"/>
                <w:color w:val="auto"/>
                <w:szCs w:val="18"/>
              </w:rPr>
              <w:t>g</w:t>
            </w:r>
            <w:r w:rsidR="00FA0BB9" w:rsidRPr="008970FA">
              <w:rPr>
                <w:rFonts w:cs="Arial"/>
                <w:color w:val="auto"/>
                <w:szCs w:val="18"/>
              </w:rPr>
              <w:t>eese) AND (stress* or fear*)</w:t>
            </w:r>
          </w:p>
        </w:tc>
        <w:tc>
          <w:tcPr>
            <w:tcW w:w="1020" w:type="dxa"/>
          </w:tcPr>
          <w:p w14:paraId="099F8651" w14:textId="77777777" w:rsidR="00FA0BB9" w:rsidRPr="008970FA" w:rsidRDefault="00FA0BB9" w:rsidP="008970FA">
            <w:pPr>
              <w:spacing w:before="60" w:line="240" w:lineRule="auto"/>
              <w:rPr>
                <w:rFonts w:cs="Arial"/>
                <w:color w:val="auto"/>
                <w:szCs w:val="18"/>
              </w:rPr>
            </w:pPr>
            <w:r w:rsidRPr="008970FA">
              <w:rPr>
                <w:rFonts w:cs="Arial"/>
                <w:color w:val="auto"/>
                <w:szCs w:val="18"/>
              </w:rPr>
              <w:t>182</w:t>
            </w:r>
          </w:p>
        </w:tc>
        <w:tc>
          <w:tcPr>
            <w:tcW w:w="1020" w:type="dxa"/>
          </w:tcPr>
          <w:p w14:paraId="47F0917D" w14:textId="77777777" w:rsidR="00FA0BB9" w:rsidRPr="008970FA" w:rsidRDefault="00FA0BB9" w:rsidP="008970FA">
            <w:pPr>
              <w:spacing w:before="60" w:line="240" w:lineRule="auto"/>
              <w:rPr>
                <w:rFonts w:cs="Arial"/>
                <w:color w:val="auto"/>
                <w:szCs w:val="18"/>
              </w:rPr>
            </w:pPr>
            <w:r w:rsidRPr="008970FA">
              <w:rPr>
                <w:rFonts w:cs="Arial"/>
                <w:color w:val="auto"/>
                <w:szCs w:val="18"/>
              </w:rPr>
              <w:t>4</w:t>
            </w:r>
          </w:p>
        </w:tc>
        <w:tc>
          <w:tcPr>
            <w:tcW w:w="3889" w:type="dxa"/>
          </w:tcPr>
          <w:p w14:paraId="730A4DDC" w14:textId="77777777" w:rsidR="00FA0BB9" w:rsidRPr="008970FA" w:rsidRDefault="00FA0BB9" w:rsidP="008970FA">
            <w:pPr>
              <w:spacing w:before="60" w:line="240" w:lineRule="auto"/>
              <w:rPr>
                <w:rFonts w:cs="Arial"/>
                <w:color w:val="auto"/>
                <w:szCs w:val="18"/>
              </w:rPr>
            </w:pPr>
            <w:r w:rsidRPr="008970FA">
              <w:rPr>
                <w:rFonts w:cs="Arial"/>
                <w:color w:val="auto"/>
                <w:szCs w:val="18"/>
              </w:rPr>
              <w:t>Mostly papers on wild geese. One on blood cort around feather gathering and one on stress physiology / behaviour.</w:t>
            </w:r>
          </w:p>
        </w:tc>
      </w:tr>
      <w:tr w:rsidR="00FA0BB9" w:rsidRPr="00286A88" w14:paraId="38650002" w14:textId="77777777" w:rsidTr="00D561AB">
        <w:tc>
          <w:tcPr>
            <w:tcW w:w="4025" w:type="dxa"/>
          </w:tcPr>
          <w:p w14:paraId="2E2DEE41" w14:textId="77777777" w:rsidR="00FA0BB9" w:rsidRPr="008970FA" w:rsidRDefault="00FA0BB9" w:rsidP="00046273">
            <w:pPr>
              <w:spacing w:before="60" w:line="240" w:lineRule="auto"/>
              <w:rPr>
                <w:rFonts w:cs="Arial"/>
                <w:color w:val="auto"/>
                <w:szCs w:val="18"/>
              </w:rPr>
            </w:pPr>
            <w:r w:rsidRPr="008970FA">
              <w:rPr>
                <w:rFonts w:cs="Arial"/>
                <w:color w:val="auto"/>
                <w:szCs w:val="18"/>
              </w:rPr>
              <w:t>(</w:t>
            </w:r>
            <w:r w:rsidR="00046273">
              <w:rPr>
                <w:rFonts w:cs="Arial"/>
                <w:color w:val="auto"/>
                <w:szCs w:val="18"/>
              </w:rPr>
              <w:t>g</w:t>
            </w:r>
            <w:r w:rsidRPr="008970FA">
              <w:rPr>
                <w:rFonts w:cs="Arial"/>
                <w:color w:val="auto"/>
                <w:szCs w:val="18"/>
              </w:rPr>
              <w:t xml:space="preserve">oose OR </w:t>
            </w:r>
            <w:r w:rsidR="00046273">
              <w:rPr>
                <w:rFonts w:cs="Arial"/>
                <w:color w:val="auto"/>
                <w:szCs w:val="18"/>
              </w:rPr>
              <w:t>g</w:t>
            </w:r>
            <w:r w:rsidRPr="008970FA">
              <w:rPr>
                <w:rFonts w:cs="Arial"/>
                <w:color w:val="auto"/>
                <w:szCs w:val="18"/>
              </w:rPr>
              <w:t>eese) AND injur* OR (</w:t>
            </w:r>
            <w:r w:rsidR="00046273">
              <w:rPr>
                <w:rFonts w:cs="Arial"/>
                <w:color w:val="auto"/>
                <w:szCs w:val="18"/>
              </w:rPr>
              <w:t>goose OR g</w:t>
            </w:r>
            <w:r w:rsidRPr="008970FA">
              <w:rPr>
                <w:rFonts w:cs="Arial"/>
                <w:color w:val="auto"/>
                <w:szCs w:val="18"/>
              </w:rPr>
              <w:t>eese) AND cull OR (</w:t>
            </w:r>
            <w:r w:rsidR="00046273">
              <w:rPr>
                <w:rFonts w:cs="Arial"/>
                <w:color w:val="auto"/>
                <w:szCs w:val="18"/>
              </w:rPr>
              <w:t>g</w:t>
            </w:r>
            <w:r w:rsidRPr="008970FA">
              <w:rPr>
                <w:rFonts w:cs="Arial"/>
                <w:color w:val="auto"/>
                <w:szCs w:val="18"/>
              </w:rPr>
              <w:t xml:space="preserve">oose OR </w:t>
            </w:r>
            <w:r w:rsidR="00046273">
              <w:rPr>
                <w:rFonts w:cs="Arial"/>
                <w:color w:val="auto"/>
                <w:szCs w:val="18"/>
              </w:rPr>
              <w:t>g</w:t>
            </w:r>
            <w:r w:rsidRPr="008970FA">
              <w:rPr>
                <w:rFonts w:cs="Arial"/>
                <w:color w:val="auto"/>
                <w:szCs w:val="18"/>
              </w:rPr>
              <w:t>eese) AND mortali*</w:t>
            </w:r>
          </w:p>
        </w:tc>
        <w:tc>
          <w:tcPr>
            <w:tcW w:w="1020" w:type="dxa"/>
          </w:tcPr>
          <w:p w14:paraId="3319F63A" w14:textId="77777777" w:rsidR="00FA0BB9" w:rsidRPr="008970FA" w:rsidRDefault="00FA0BB9" w:rsidP="008970FA">
            <w:pPr>
              <w:spacing w:before="60" w:line="240" w:lineRule="auto"/>
              <w:rPr>
                <w:rFonts w:cs="Arial"/>
                <w:color w:val="auto"/>
                <w:szCs w:val="18"/>
              </w:rPr>
            </w:pPr>
            <w:r w:rsidRPr="008970FA">
              <w:rPr>
                <w:rFonts w:cs="Arial"/>
                <w:color w:val="auto"/>
                <w:szCs w:val="18"/>
              </w:rPr>
              <w:t>363</w:t>
            </w:r>
          </w:p>
        </w:tc>
        <w:tc>
          <w:tcPr>
            <w:tcW w:w="1020" w:type="dxa"/>
          </w:tcPr>
          <w:p w14:paraId="0607D4E8"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c>
          <w:tcPr>
            <w:tcW w:w="3889" w:type="dxa"/>
          </w:tcPr>
          <w:p w14:paraId="757F86D8" w14:textId="77777777" w:rsidR="00FA0BB9" w:rsidRPr="008970FA" w:rsidRDefault="00FA0BB9" w:rsidP="008970FA">
            <w:pPr>
              <w:spacing w:before="60" w:line="240" w:lineRule="auto"/>
              <w:rPr>
                <w:rFonts w:cs="Arial"/>
                <w:color w:val="auto"/>
                <w:szCs w:val="18"/>
              </w:rPr>
            </w:pPr>
            <w:r w:rsidRPr="008970FA">
              <w:rPr>
                <w:rFonts w:cs="Arial"/>
                <w:color w:val="auto"/>
                <w:szCs w:val="18"/>
              </w:rPr>
              <w:t>Mostly papers on wild geese.</w:t>
            </w:r>
          </w:p>
        </w:tc>
      </w:tr>
      <w:tr w:rsidR="00FA0BB9" w:rsidRPr="00286A88" w14:paraId="52DE83CA" w14:textId="77777777" w:rsidTr="00D561AB">
        <w:tc>
          <w:tcPr>
            <w:tcW w:w="4025" w:type="dxa"/>
          </w:tcPr>
          <w:p w14:paraId="15BE2A2A" w14:textId="77777777" w:rsidR="00FA0BB9" w:rsidRPr="008970FA" w:rsidRDefault="00046273" w:rsidP="00AE59F9">
            <w:pPr>
              <w:spacing w:before="60" w:line="240" w:lineRule="auto"/>
              <w:rPr>
                <w:rFonts w:cs="Arial"/>
                <w:color w:val="auto"/>
                <w:szCs w:val="18"/>
              </w:rPr>
            </w:pPr>
            <w:r>
              <w:rPr>
                <w:rFonts w:cs="Arial"/>
                <w:color w:val="auto"/>
                <w:szCs w:val="18"/>
              </w:rPr>
              <w:t>(goose OR g</w:t>
            </w:r>
            <w:r w:rsidR="00FA0BB9" w:rsidRPr="008970FA">
              <w:rPr>
                <w:rFonts w:cs="Arial"/>
                <w:color w:val="auto"/>
                <w:szCs w:val="18"/>
              </w:rPr>
              <w:t>eese) AND (density OR space)</w:t>
            </w:r>
          </w:p>
        </w:tc>
        <w:tc>
          <w:tcPr>
            <w:tcW w:w="1020" w:type="dxa"/>
          </w:tcPr>
          <w:p w14:paraId="3B645424" w14:textId="77777777" w:rsidR="00FA0BB9" w:rsidRPr="008970FA" w:rsidRDefault="00FA0BB9" w:rsidP="008970FA">
            <w:pPr>
              <w:spacing w:before="60" w:line="240" w:lineRule="auto"/>
              <w:rPr>
                <w:rFonts w:cs="Arial"/>
                <w:color w:val="auto"/>
                <w:szCs w:val="18"/>
              </w:rPr>
            </w:pPr>
            <w:r w:rsidRPr="008970FA">
              <w:rPr>
                <w:rFonts w:cs="Arial"/>
                <w:color w:val="auto"/>
                <w:szCs w:val="18"/>
              </w:rPr>
              <w:t>440</w:t>
            </w:r>
          </w:p>
        </w:tc>
        <w:tc>
          <w:tcPr>
            <w:tcW w:w="1020" w:type="dxa"/>
          </w:tcPr>
          <w:p w14:paraId="12FCBC7A"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c>
          <w:tcPr>
            <w:tcW w:w="3889" w:type="dxa"/>
          </w:tcPr>
          <w:p w14:paraId="04D74E2B" w14:textId="77777777" w:rsidR="00FA0BB9" w:rsidRPr="008970FA" w:rsidRDefault="00FA0BB9" w:rsidP="008970FA">
            <w:pPr>
              <w:spacing w:before="60" w:line="240" w:lineRule="auto"/>
              <w:rPr>
                <w:rFonts w:cs="Arial"/>
                <w:color w:val="auto"/>
                <w:szCs w:val="18"/>
              </w:rPr>
            </w:pPr>
            <w:r w:rsidRPr="008970FA">
              <w:rPr>
                <w:rFonts w:cs="Arial"/>
                <w:color w:val="auto"/>
                <w:szCs w:val="18"/>
              </w:rPr>
              <w:t>Mostly relating to wild bird populations.</w:t>
            </w:r>
          </w:p>
        </w:tc>
      </w:tr>
      <w:tr w:rsidR="00FA0BB9" w:rsidRPr="00286A88" w14:paraId="4A0E984C" w14:textId="77777777" w:rsidTr="00D561AB">
        <w:tc>
          <w:tcPr>
            <w:tcW w:w="4025" w:type="dxa"/>
          </w:tcPr>
          <w:p w14:paraId="3D72B0C1" w14:textId="77777777" w:rsidR="00FA0BB9" w:rsidRPr="008970FA" w:rsidRDefault="00046273" w:rsidP="00046273">
            <w:pPr>
              <w:spacing w:before="60" w:line="240" w:lineRule="auto"/>
              <w:rPr>
                <w:rFonts w:cs="Arial"/>
                <w:color w:val="auto"/>
                <w:szCs w:val="18"/>
              </w:rPr>
            </w:pPr>
            <w:r>
              <w:rPr>
                <w:rFonts w:cs="Arial"/>
                <w:color w:val="auto"/>
                <w:szCs w:val="18"/>
              </w:rPr>
              <w:t>(g</w:t>
            </w:r>
            <w:r w:rsidR="00FA0BB9" w:rsidRPr="008970FA">
              <w:rPr>
                <w:rFonts w:cs="Arial"/>
                <w:color w:val="auto"/>
                <w:szCs w:val="18"/>
              </w:rPr>
              <w:t xml:space="preserve">oose OR </w:t>
            </w:r>
            <w:r>
              <w:rPr>
                <w:rFonts w:cs="Arial"/>
                <w:color w:val="auto"/>
                <w:szCs w:val="18"/>
              </w:rPr>
              <w:t>g</w:t>
            </w:r>
            <w:r w:rsidR="00FA0BB9" w:rsidRPr="008970FA">
              <w:rPr>
                <w:rFonts w:cs="Arial"/>
                <w:color w:val="auto"/>
                <w:szCs w:val="18"/>
              </w:rPr>
              <w:t>eese) AND (enrich* OR nest* OR litter)</w:t>
            </w:r>
          </w:p>
        </w:tc>
        <w:tc>
          <w:tcPr>
            <w:tcW w:w="1020" w:type="dxa"/>
          </w:tcPr>
          <w:p w14:paraId="73F3A3D1" w14:textId="77777777" w:rsidR="00FA0BB9" w:rsidRPr="008970FA" w:rsidRDefault="00FA0BB9" w:rsidP="008970FA">
            <w:pPr>
              <w:spacing w:before="60" w:line="240" w:lineRule="auto"/>
              <w:rPr>
                <w:rFonts w:cs="Arial"/>
                <w:color w:val="auto"/>
                <w:szCs w:val="18"/>
              </w:rPr>
            </w:pPr>
            <w:r w:rsidRPr="008970FA">
              <w:rPr>
                <w:rFonts w:cs="Arial"/>
                <w:color w:val="auto"/>
                <w:szCs w:val="18"/>
              </w:rPr>
              <w:t>603</w:t>
            </w:r>
          </w:p>
        </w:tc>
        <w:tc>
          <w:tcPr>
            <w:tcW w:w="1020" w:type="dxa"/>
          </w:tcPr>
          <w:p w14:paraId="64E0829B"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c>
          <w:tcPr>
            <w:tcW w:w="3889" w:type="dxa"/>
          </w:tcPr>
          <w:p w14:paraId="13FF73EA" w14:textId="77777777" w:rsidR="00FA0BB9" w:rsidRPr="008970FA" w:rsidRDefault="00FA0BB9" w:rsidP="008970FA">
            <w:pPr>
              <w:spacing w:before="60" w:line="240" w:lineRule="auto"/>
              <w:rPr>
                <w:rFonts w:cs="Arial"/>
                <w:color w:val="auto"/>
                <w:szCs w:val="18"/>
              </w:rPr>
            </w:pPr>
            <w:r w:rsidRPr="008970FA">
              <w:rPr>
                <w:rFonts w:cs="Arial"/>
                <w:color w:val="auto"/>
                <w:szCs w:val="18"/>
              </w:rPr>
              <w:t>Mostly ecological studies of wild species.</w:t>
            </w:r>
          </w:p>
        </w:tc>
      </w:tr>
      <w:tr w:rsidR="00FA0BB9" w:rsidRPr="00286A88" w14:paraId="41D8D7CE" w14:textId="77777777" w:rsidTr="00D561AB">
        <w:tc>
          <w:tcPr>
            <w:tcW w:w="4025" w:type="dxa"/>
          </w:tcPr>
          <w:p w14:paraId="2CF56F9B" w14:textId="77777777" w:rsidR="00FA0BB9" w:rsidRPr="008970FA" w:rsidRDefault="00046273" w:rsidP="00046273">
            <w:pPr>
              <w:spacing w:before="60" w:line="240" w:lineRule="auto"/>
              <w:rPr>
                <w:rFonts w:cs="Arial"/>
                <w:color w:val="auto"/>
                <w:szCs w:val="18"/>
              </w:rPr>
            </w:pPr>
            <w:r>
              <w:rPr>
                <w:rFonts w:cs="Arial"/>
                <w:color w:val="auto"/>
                <w:szCs w:val="18"/>
              </w:rPr>
              <w:t>(g</w:t>
            </w:r>
            <w:r w:rsidR="00FA0BB9" w:rsidRPr="008970FA">
              <w:rPr>
                <w:rFonts w:cs="Arial"/>
                <w:color w:val="auto"/>
                <w:szCs w:val="18"/>
              </w:rPr>
              <w:t xml:space="preserve">oose OR </w:t>
            </w:r>
            <w:r>
              <w:rPr>
                <w:rFonts w:cs="Arial"/>
                <w:color w:val="auto"/>
                <w:szCs w:val="18"/>
              </w:rPr>
              <w:t>g</w:t>
            </w:r>
            <w:r w:rsidR="00FA0BB9" w:rsidRPr="008970FA">
              <w:rPr>
                <w:rFonts w:cs="Arial"/>
                <w:color w:val="auto"/>
                <w:szCs w:val="18"/>
              </w:rPr>
              <w:t>eese) AND (waterbath* OR water-bath)</w:t>
            </w:r>
          </w:p>
        </w:tc>
        <w:tc>
          <w:tcPr>
            <w:tcW w:w="1020" w:type="dxa"/>
          </w:tcPr>
          <w:p w14:paraId="5EC75889" w14:textId="77777777" w:rsidR="00FA0BB9" w:rsidRPr="008970FA" w:rsidRDefault="00FA0BB9" w:rsidP="008970FA">
            <w:pPr>
              <w:spacing w:before="60" w:line="240" w:lineRule="auto"/>
              <w:rPr>
                <w:rFonts w:cs="Arial"/>
                <w:color w:val="auto"/>
                <w:szCs w:val="18"/>
              </w:rPr>
            </w:pPr>
            <w:r w:rsidRPr="008970FA">
              <w:rPr>
                <w:rFonts w:cs="Arial"/>
                <w:color w:val="auto"/>
                <w:szCs w:val="18"/>
              </w:rPr>
              <w:t>11</w:t>
            </w:r>
          </w:p>
        </w:tc>
        <w:tc>
          <w:tcPr>
            <w:tcW w:w="1020" w:type="dxa"/>
          </w:tcPr>
          <w:p w14:paraId="209C67B3"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c>
          <w:tcPr>
            <w:tcW w:w="3889" w:type="dxa"/>
          </w:tcPr>
          <w:p w14:paraId="2B42EF08" w14:textId="77777777" w:rsidR="00FA0BB9" w:rsidRPr="008970FA" w:rsidRDefault="00FA0BB9" w:rsidP="008970FA">
            <w:pPr>
              <w:spacing w:before="60" w:line="240" w:lineRule="auto"/>
              <w:rPr>
                <w:rFonts w:cs="Arial"/>
                <w:color w:val="auto"/>
                <w:szCs w:val="18"/>
              </w:rPr>
            </w:pPr>
            <w:r w:rsidRPr="008970FA">
              <w:rPr>
                <w:rFonts w:cs="Arial"/>
                <w:color w:val="auto"/>
                <w:szCs w:val="18"/>
              </w:rPr>
              <w:t>Mainly relating to stunning or freezing semen.</w:t>
            </w:r>
          </w:p>
        </w:tc>
      </w:tr>
      <w:tr w:rsidR="00FA0BB9" w:rsidRPr="00286A88" w14:paraId="2FEDA8BF" w14:textId="77777777" w:rsidTr="00D561AB">
        <w:tc>
          <w:tcPr>
            <w:tcW w:w="4025" w:type="dxa"/>
          </w:tcPr>
          <w:p w14:paraId="36DBC1C5" w14:textId="77777777" w:rsidR="00FA0BB9" w:rsidRPr="008970FA" w:rsidRDefault="00046273" w:rsidP="008970FA">
            <w:pPr>
              <w:spacing w:before="60" w:line="240" w:lineRule="auto"/>
              <w:rPr>
                <w:rFonts w:cs="Arial"/>
                <w:color w:val="auto"/>
                <w:szCs w:val="18"/>
              </w:rPr>
            </w:pPr>
            <w:r>
              <w:rPr>
                <w:rFonts w:cs="Arial"/>
                <w:color w:val="auto"/>
                <w:szCs w:val="18"/>
              </w:rPr>
              <w:t>(goose OR g</w:t>
            </w:r>
            <w:r w:rsidR="00FA0BB9" w:rsidRPr="008970FA">
              <w:rPr>
                <w:rFonts w:cs="Arial"/>
                <w:color w:val="auto"/>
                <w:szCs w:val="18"/>
              </w:rPr>
              <w:t>eese) AND (peck* OR beak* OR bill*)</w:t>
            </w:r>
          </w:p>
        </w:tc>
        <w:tc>
          <w:tcPr>
            <w:tcW w:w="1020" w:type="dxa"/>
          </w:tcPr>
          <w:p w14:paraId="27A5646E" w14:textId="77777777" w:rsidR="00FA0BB9" w:rsidRPr="008970FA" w:rsidRDefault="00FA0BB9" w:rsidP="008970FA">
            <w:pPr>
              <w:spacing w:before="60" w:line="240" w:lineRule="auto"/>
              <w:rPr>
                <w:rFonts w:cs="Arial"/>
                <w:color w:val="auto"/>
                <w:szCs w:val="18"/>
              </w:rPr>
            </w:pPr>
            <w:r w:rsidRPr="008970FA">
              <w:rPr>
                <w:rFonts w:cs="Arial"/>
                <w:color w:val="auto"/>
                <w:szCs w:val="18"/>
              </w:rPr>
              <w:t>131</w:t>
            </w:r>
          </w:p>
        </w:tc>
        <w:tc>
          <w:tcPr>
            <w:tcW w:w="1020" w:type="dxa"/>
          </w:tcPr>
          <w:p w14:paraId="0F0A9CD7"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c>
          <w:tcPr>
            <w:tcW w:w="3889" w:type="dxa"/>
          </w:tcPr>
          <w:p w14:paraId="252FA585" w14:textId="77777777" w:rsidR="00FA0BB9" w:rsidRPr="008970FA" w:rsidRDefault="00FA0BB9" w:rsidP="008970FA">
            <w:pPr>
              <w:spacing w:before="60" w:line="240" w:lineRule="auto"/>
              <w:rPr>
                <w:rFonts w:cs="Arial"/>
                <w:color w:val="auto"/>
                <w:szCs w:val="18"/>
              </w:rPr>
            </w:pPr>
            <w:r w:rsidRPr="008970FA">
              <w:rPr>
                <w:rFonts w:cs="Arial"/>
                <w:color w:val="auto"/>
                <w:szCs w:val="18"/>
              </w:rPr>
              <w:t>Mainly relating to wild birds / morphology.</w:t>
            </w:r>
          </w:p>
        </w:tc>
      </w:tr>
      <w:tr w:rsidR="00FA0BB9" w:rsidRPr="00286A88" w14:paraId="621E8286" w14:textId="77777777" w:rsidTr="00D561AB">
        <w:tc>
          <w:tcPr>
            <w:tcW w:w="4025" w:type="dxa"/>
          </w:tcPr>
          <w:p w14:paraId="4B6F8186" w14:textId="77777777" w:rsidR="00FA0BB9" w:rsidRPr="008970FA" w:rsidRDefault="00046273" w:rsidP="008970FA">
            <w:pPr>
              <w:spacing w:before="60" w:line="240" w:lineRule="auto"/>
              <w:rPr>
                <w:rFonts w:cs="Arial"/>
                <w:color w:val="auto"/>
                <w:szCs w:val="18"/>
              </w:rPr>
            </w:pPr>
            <w:r>
              <w:rPr>
                <w:rFonts w:cs="Arial"/>
                <w:color w:val="auto"/>
                <w:szCs w:val="18"/>
              </w:rPr>
              <w:t>(goose OR g</w:t>
            </w:r>
            <w:r w:rsidR="00FA0BB9" w:rsidRPr="008970FA">
              <w:rPr>
                <w:rFonts w:cs="Arial"/>
                <w:color w:val="auto"/>
                <w:szCs w:val="18"/>
              </w:rPr>
              <w:t>eese) AND “foie gras”</w:t>
            </w:r>
          </w:p>
        </w:tc>
        <w:tc>
          <w:tcPr>
            <w:tcW w:w="1020" w:type="dxa"/>
          </w:tcPr>
          <w:p w14:paraId="0FC8DF3A" w14:textId="77777777" w:rsidR="00FA0BB9" w:rsidRPr="008970FA" w:rsidRDefault="00FA0BB9" w:rsidP="008970FA">
            <w:pPr>
              <w:spacing w:before="60" w:line="240" w:lineRule="auto"/>
              <w:rPr>
                <w:rFonts w:cs="Arial"/>
                <w:color w:val="auto"/>
                <w:szCs w:val="18"/>
              </w:rPr>
            </w:pPr>
            <w:r w:rsidRPr="008970FA">
              <w:rPr>
                <w:rFonts w:cs="Arial"/>
                <w:color w:val="auto"/>
                <w:szCs w:val="18"/>
              </w:rPr>
              <w:t>24</w:t>
            </w:r>
          </w:p>
        </w:tc>
        <w:tc>
          <w:tcPr>
            <w:tcW w:w="1020" w:type="dxa"/>
          </w:tcPr>
          <w:p w14:paraId="28287CFA"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c>
          <w:tcPr>
            <w:tcW w:w="3889" w:type="dxa"/>
          </w:tcPr>
          <w:p w14:paraId="344F528C" w14:textId="77777777" w:rsidR="00FA0BB9" w:rsidRPr="008970FA" w:rsidRDefault="00FA0BB9" w:rsidP="008970FA">
            <w:pPr>
              <w:spacing w:before="60" w:line="240" w:lineRule="auto"/>
              <w:rPr>
                <w:rFonts w:cs="Arial"/>
                <w:color w:val="auto"/>
                <w:szCs w:val="18"/>
              </w:rPr>
            </w:pPr>
            <w:r w:rsidRPr="008970FA">
              <w:rPr>
                <w:rFonts w:cs="Arial"/>
                <w:color w:val="auto"/>
                <w:szCs w:val="18"/>
              </w:rPr>
              <w:t>All relating to meat quality.</w:t>
            </w:r>
          </w:p>
        </w:tc>
      </w:tr>
      <w:tr w:rsidR="00FA0BB9" w:rsidRPr="00286A88" w14:paraId="2AB80FE6" w14:textId="77777777" w:rsidTr="00D561AB">
        <w:tc>
          <w:tcPr>
            <w:tcW w:w="4025" w:type="dxa"/>
          </w:tcPr>
          <w:p w14:paraId="47823B53" w14:textId="77777777" w:rsidR="00FA0BB9" w:rsidRPr="008970FA" w:rsidRDefault="00046273" w:rsidP="00046273">
            <w:pPr>
              <w:spacing w:before="60" w:line="240" w:lineRule="auto"/>
              <w:rPr>
                <w:rFonts w:cs="Arial"/>
                <w:color w:val="auto"/>
                <w:szCs w:val="18"/>
              </w:rPr>
            </w:pPr>
            <w:r>
              <w:rPr>
                <w:rFonts w:cs="Arial"/>
                <w:color w:val="auto"/>
                <w:szCs w:val="18"/>
              </w:rPr>
              <w:t>(g</w:t>
            </w:r>
            <w:r w:rsidR="00FA0BB9" w:rsidRPr="008970FA">
              <w:rPr>
                <w:rFonts w:cs="Arial"/>
                <w:color w:val="auto"/>
                <w:szCs w:val="18"/>
              </w:rPr>
              <w:t xml:space="preserve">oose OR </w:t>
            </w:r>
            <w:r>
              <w:rPr>
                <w:rFonts w:cs="Arial"/>
                <w:color w:val="auto"/>
                <w:szCs w:val="18"/>
              </w:rPr>
              <w:t>g</w:t>
            </w:r>
            <w:r w:rsidR="00FA0BB9" w:rsidRPr="008970FA">
              <w:rPr>
                <w:rFonts w:cs="Arial"/>
                <w:color w:val="auto"/>
                <w:szCs w:val="18"/>
              </w:rPr>
              <w:t xml:space="preserve">eese) AND (force-fed OR force-feed* OR </w:t>
            </w:r>
            <w:r w:rsidR="0010235B">
              <w:rPr>
                <w:rFonts w:cs="Arial"/>
                <w:color w:val="auto"/>
                <w:szCs w:val="18"/>
              </w:rPr>
              <w:t>“</w:t>
            </w:r>
            <w:r w:rsidR="00FA0BB9" w:rsidRPr="008970FA">
              <w:rPr>
                <w:rFonts w:cs="Arial"/>
                <w:color w:val="auto"/>
                <w:szCs w:val="18"/>
              </w:rPr>
              <w:t>force fed</w:t>
            </w:r>
            <w:r w:rsidR="0010235B">
              <w:rPr>
                <w:rFonts w:cs="Arial"/>
                <w:color w:val="auto"/>
                <w:szCs w:val="18"/>
              </w:rPr>
              <w:t>”</w:t>
            </w:r>
            <w:r w:rsidR="00FA0BB9" w:rsidRPr="008970FA">
              <w:rPr>
                <w:rFonts w:cs="Arial"/>
                <w:color w:val="auto"/>
                <w:szCs w:val="18"/>
              </w:rPr>
              <w:t xml:space="preserve"> OR </w:t>
            </w:r>
            <w:r w:rsidR="0010235B">
              <w:rPr>
                <w:rFonts w:cs="Arial"/>
                <w:color w:val="auto"/>
                <w:szCs w:val="18"/>
              </w:rPr>
              <w:t>“</w:t>
            </w:r>
            <w:r w:rsidR="00FA0BB9" w:rsidRPr="008970FA">
              <w:rPr>
                <w:rFonts w:cs="Arial"/>
                <w:color w:val="auto"/>
                <w:szCs w:val="18"/>
              </w:rPr>
              <w:t>force feed</w:t>
            </w:r>
            <w:r w:rsidR="0010235B">
              <w:rPr>
                <w:rFonts w:cs="Arial"/>
                <w:color w:val="auto"/>
                <w:szCs w:val="18"/>
              </w:rPr>
              <w:t>”</w:t>
            </w:r>
            <w:r w:rsidR="00FA0BB9" w:rsidRPr="008970FA">
              <w:rPr>
                <w:rFonts w:cs="Arial"/>
                <w:color w:val="auto"/>
                <w:szCs w:val="18"/>
              </w:rPr>
              <w:t>)</w:t>
            </w:r>
          </w:p>
        </w:tc>
        <w:tc>
          <w:tcPr>
            <w:tcW w:w="1020" w:type="dxa"/>
          </w:tcPr>
          <w:p w14:paraId="6A2AC786" w14:textId="77777777" w:rsidR="00FA0BB9" w:rsidRPr="008970FA" w:rsidRDefault="00FA0BB9" w:rsidP="008970FA">
            <w:pPr>
              <w:spacing w:before="60" w:line="240" w:lineRule="auto"/>
              <w:rPr>
                <w:rFonts w:cs="Arial"/>
                <w:color w:val="auto"/>
                <w:szCs w:val="18"/>
              </w:rPr>
            </w:pPr>
            <w:r w:rsidRPr="008970FA">
              <w:rPr>
                <w:rFonts w:cs="Arial"/>
                <w:color w:val="auto"/>
                <w:szCs w:val="18"/>
              </w:rPr>
              <w:t>20</w:t>
            </w:r>
          </w:p>
        </w:tc>
        <w:tc>
          <w:tcPr>
            <w:tcW w:w="1020" w:type="dxa"/>
          </w:tcPr>
          <w:p w14:paraId="063560DC" w14:textId="77777777" w:rsidR="00FA0BB9" w:rsidRPr="008970FA" w:rsidRDefault="00FA0BB9" w:rsidP="008970FA">
            <w:pPr>
              <w:spacing w:before="60" w:line="240" w:lineRule="auto"/>
              <w:rPr>
                <w:rFonts w:cs="Arial"/>
                <w:color w:val="auto"/>
                <w:szCs w:val="18"/>
              </w:rPr>
            </w:pPr>
            <w:r w:rsidRPr="008970FA">
              <w:rPr>
                <w:rFonts w:cs="Arial"/>
                <w:color w:val="auto"/>
                <w:szCs w:val="18"/>
              </w:rPr>
              <w:t>1</w:t>
            </w:r>
          </w:p>
        </w:tc>
        <w:tc>
          <w:tcPr>
            <w:tcW w:w="3889" w:type="dxa"/>
          </w:tcPr>
          <w:p w14:paraId="48D19118" w14:textId="77777777" w:rsidR="00FA0BB9" w:rsidRPr="008970FA" w:rsidRDefault="00FA0BB9" w:rsidP="008970FA">
            <w:pPr>
              <w:spacing w:before="60" w:line="240" w:lineRule="auto"/>
              <w:rPr>
                <w:rFonts w:cs="Arial"/>
                <w:color w:val="auto"/>
                <w:szCs w:val="18"/>
              </w:rPr>
            </w:pPr>
            <w:r w:rsidRPr="008970FA">
              <w:rPr>
                <w:rFonts w:cs="Arial"/>
                <w:color w:val="auto"/>
                <w:szCs w:val="18"/>
              </w:rPr>
              <w:t>Mostly relating to meat quality. One on physiological effect of force feeding.</w:t>
            </w:r>
          </w:p>
        </w:tc>
      </w:tr>
      <w:tr w:rsidR="0010235B" w:rsidRPr="00286A88" w14:paraId="47B390F2" w14:textId="77777777" w:rsidTr="00D561AB">
        <w:tc>
          <w:tcPr>
            <w:tcW w:w="4025" w:type="dxa"/>
          </w:tcPr>
          <w:p w14:paraId="7246BDA6" w14:textId="77777777" w:rsidR="0010235B" w:rsidRPr="0010235B" w:rsidRDefault="0010235B" w:rsidP="008970FA">
            <w:pPr>
              <w:spacing w:before="60" w:line="240" w:lineRule="auto"/>
              <w:rPr>
                <w:rFonts w:cs="Arial"/>
                <w:b/>
                <w:color w:val="auto"/>
                <w:szCs w:val="18"/>
              </w:rPr>
            </w:pPr>
            <w:r>
              <w:rPr>
                <w:rFonts w:cs="Arial"/>
                <w:b/>
                <w:color w:val="auto"/>
                <w:szCs w:val="18"/>
              </w:rPr>
              <w:t>Papers retained from secondary searches</w:t>
            </w:r>
          </w:p>
        </w:tc>
        <w:tc>
          <w:tcPr>
            <w:tcW w:w="1020" w:type="dxa"/>
          </w:tcPr>
          <w:p w14:paraId="1EE67401" w14:textId="77777777" w:rsidR="0010235B" w:rsidRPr="008970FA" w:rsidRDefault="0010235B" w:rsidP="008970FA">
            <w:pPr>
              <w:spacing w:before="60" w:line="240" w:lineRule="auto"/>
              <w:rPr>
                <w:rFonts w:cs="Arial"/>
                <w:color w:val="auto"/>
                <w:szCs w:val="18"/>
              </w:rPr>
            </w:pPr>
          </w:p>
        </w:tc>
        <w:tc>
          <w:tcPr>
            <w:tcW w:w="1020" w:type="dxa"/>
          </w:tcPr>
          <w:p w14:paraId="09FD1705" w14:textId="77777777" w:rsidR="0010235B" w:rsidRPr="0010235B" w:rsidRDefault="0010235B" w:rsidP="008970FA">
            <w:pPr>
              <w:spacing w:before="60" w:line="240" w:lineRule="auto"/>
              <w:rPr>
                <w:rFonts w:cs="Arial"/>
                <w:b/>
                <w:color w:val="auto"/>
                <w:szCs w:val="18"/>
              </w:rPr>
            </w:pPr>
            <w:r>
              <w:rPr>
                <w:rFonts w:cs="Arial"/>
                <w:b/>
                <w:color w:val="auto"/>
                <w:szCs w:val="18"/>
              </w:rPr>
              <w:t>7</w:t>
            </w:r>
          </w:p>
        </w:tc>
        <w:tc>
          <w:tcPr>
            <w:tcW w:w="3889" w:type="dxa"/>
          </w:tcPr>
          <w:p w14:paraId="4D68C753" w14:textId="77777777" w:rsidR="0010235B" w:rsidRPr="008970FA" w:rsidRDefault="0010235B" w:rsidP="008970FA">
            <w:pPr>
              <w:spacing w:before="60" w:line="240" w:lineRule="auto"/>
              <w:rPr>
                <w:rFonts w:cs="Arial"/>
                <w:color w:val="auto"/>
                <w:szCs w:val="18"/>
              </w:rPr>
            </w:pPr>
          </w:p>
        </w:tc>
      </w:tr>
    </w:tbl>
    <w:p w14:paraId="4ECC6CEE" w14:textId="77777777" w:rsidR="0010235B" w:rsidRPr="0010235B" w:rsidRDefault="0010235B" w:rsidP="005F7B38">
      <w:pPr>
        <w:spacing w:before="240"/>
        <w:rPr>
          <w:b/>
          <w:lang w:val="en-GB"/>
        </w:rPr>
      </w:pPr>
      <w:r>
        <w:rPr>
          <w:b/>
          <w:lang w:val="en-GB"/>
        </w:rPr>
        <w:t>Total number of papers retained from primary and secondary searches: 2 + 7 = 9</w:t>
      </w:r>
    </w:p>
    <w:p w14:paraId="137BB836" w14:textId="77777777" w:rsidR="0010235B" w:rsidRDefault="0010235B" w:rsidP="001123AA">
      <w:pPr>
        <w:rPr>
          <w:lang w:val="en-GB"/>
        </w:rPr>
      </w:pPr>
    </w:p>
    <w:p w14:paraId="0C56A99D" w14:textId="77777777" w:rsidR="00FA0BB9" w:rsidRPr="00FA0BB9" w:rsidRDefault="00FA0BB9" w:rsidP="00AE59F9">
      <w:pPr>
        <w:spacing w:before="120"/>
        <w:rPr>
          <w:b/>
          <w:sz w:val="24"/>
          <w:szCs w:val="24"/>
          <w:lang w:val="en-GB"/>
        </w:rPr>
      </w:pPr>
      <w:r>
        <w:rPr>
          <w:lang w:val="en-GB"/>
        </w:rPr>
        <w:br w:type="column"/>
      </w:r>
      <w:r w:rsidRPr="00FA0BB9">
        <w:rPr>
          <w:b/>
          <w:sz w:val="24"/>
          <w:szCs w:val="24"/>
          <w:lang w:val="en-GB"/>
        </w:rPr>
        <w:t>Turkey</w:t>
      </w:r>
      <w:r w:rsidR="004D4B06">
        <w:rPr>
          <w:b/>
          <w:sz w:val="24"/>
          <w:szCs w:val="24"/>
          <w:lang w:val="en-GB"/>
        </w:rPr>
        <w:t>s</w:t>
      </w:r>
    </w:p>
    <w:p w14:paraId="73B5B623" w14:textId="77777777" w:rsidR="00FA0BB9" w:rsidRPr="00590F0B" w:rsidRDefault="00AE59F9" w:rsidP="00590F0B">
      <w:pPr>
        <w:spacing w:before="240" w:after="240"/>
        <w:rPr>
          <w:b/>
          <w:lang w:val="en-GB"/>
        </w:rPr>
      </w:pPr>
      <w:r>
        <w:rPr>
          <w:b/>
          <w:lang w:val="en-GB"/>
        </w:rPr>
        <w:t>Primary Search</w:t>
      </w:r>
      <w:r w:rsidR="00046273">
        <w:rPr>
          <w:b/>
          <w:lang w:val="en-GB"/>
        </w:rPr>
        <w:t>:</w:t>
      </w:r>
      <w:r>
        <w:rPr>
          <w:b/>
          <w:lang w:val="en-GB"/>
        </w:rPr>
        <w:t xml:space="preserve"> w</w:t>
      </w:r>
      <w:r w:rsidR="00FA0BB9" w:rsidRPr="00590F0B">
        <w:rPr>
          <w:b/>
          <w:lang w:val="en-GB"/>
        </w:rPr>
        <w:t>elfare AND turkey* OR welfare AND Meleagris NOT fritillaria = 198</w:t>
      </w:r>
    </w:p>
    <w:tbl>
      <w:tblPr>
        <w:tblStyle w:val="TableGrid2"/>
        <w:tblW w:w="9977" w:type="dxa"/>
        <w:tblLook w:val="04A0" w:firstRow="1" w:lastRow="0" w:firstColumn="1" w:lastColumn="0" w:noHBand="0" w:noVBand="1"/>
        <w:tblCaption w:val="Papers excluded after primary literature search for turkey welfare"/>
        <w:tblDescription w:val="This table shows the number of papers excluded after the primary literature search for turkey welfare. The left hand column shows the primary reason for exclusion. The middle column shows the number of papers excluded. The right hand column gives an example of a paper excluded for each reason."/>
      </w:tblPr>
      <w:tblGrid>
        <w:gridCol w:w="3628"/>
        <w:gridCol w:w="1020"/>
        <w:gridCol w:w="5329"/>
      </w:tblGrid>
      <w:tr w:rsidR="009928C2" w:rsidRPr="00286A88" w14:paraId="76674F3B" w14:textId="77777777" w:rsidTr="00587D34">
        <w:trPr>
          <w:tblHeader/>
        </w:trPr>
        <w:tc>
          <w:tcPr>
            <w:tcW w:w="3628" w:type="dxa"/>
            <w:shd w:val="clear" w:color="auto" w:fill="auto"/>
          </w:tcPr>
          <w:p w14:paraId="1D194F35" w14:textId="77777777" w:rsidR="009928C2" w:rsidRPr="009928C2" w:rsidRDefault="009928C2" w:rsidP="009928C2">
            <w:pPr>
              <w:spacing w:before="60"/>
              <w:rPr>
                <w:b/>
              </w:rPr>
            </w:pPr>
            <w:r w:rsidRPr="009928C2">
              <w:rPr>
                <w:b/>
              </w:rPr>
              <w:t>Primary Reason for Exclusion</w:t>
            </w:r>
          </w:p>
        </w:tc>
        <w:tc>
          <w:tcPr>
            <w:tcW w:w="1020" w:type="dxa"/>
            <w:shd w:val="clear" w:color="auto" w:fill="auto"/>
          </w:tcPr>
          <w:p w14:paraId="6F006CB5" w14:textId="77777777" w:rsidR="009928C2" w:rsidRPr="00FF1017" w:rsidRDefault="009928C2" w:rsidP="009928C2">
            <w:pPr>
              <w:spacing w:before="60"/>
            </w:pPr>
            <w:r w:rsidRPr="00FF1017">
              <w:t>Number Excluded</w:t>
            </w:r>
          </w:p>
        </w:tc>
        <w:tc>
          <w:tcPr>
            <w:tcW w:w="5329" w:type="dxa"/>
            <w:shd w:val="clear" w:color="auto" w:fill="auto"/>
          </w:tcPr>
          <w:p w14:paraId="7E574E64" w14:textId="77777777" w:rsidR="009928C2" w:rsidRDefault="009928C2" w:rsidP="009928C2">
            <w:pPr>
              <w:spacing w:before="60"/>
            </w:pPr>
            <w:r w:rsidRPr="00FF1017">
              <w:t>Example of Paper Excluded for Each Reason</w:t>
            </w:r>
          </w:p>
        </w:tc>
      </w:tr>
      <w:tr w:rsidR="00FA0BB9" w:rsidRPr="00286A88" w14:paraId="624EEC3F" w14:textId="77777777" w:rsidTr="005F7B38">
        <w:tc>
          <w:tcPr>
            <w:tcW w:w="3628" w:type="dxa"/>
          </w:tcPr>
          <w:p w14:paraId="745782D7" w14:textId="77777777" w:rsidR="00FA0BB9" w:rsidRPr="008C43DD" w:rsidRDefault="00FA0BB9" w:rsidP="008C43DD">
            <w:pPr>
              <w:spacing w:before="60"/>
            </w:pPr>
            <w:r w:rsidRPr="008C43DD">
              <w:t>Turkey the country</w:t>
            </w:r>
          </w:p>
        </w:tc>
        <w:tc>
          <w:tcPr>
            <w:tcW w:w="1020" w:type="dxa"/>
          </w:tcPr>
          <w:p w14:paraId="5C436E69" w14:textId="77777777" w:rsidR="00FA0BB9" w:rsidRPr="008C43DD" w:rsidRDefault="00FA0BB9" w:rsidP="008C43DD">
            <w:pPr>
              <w:spacing w:before="60"/>
            </w:pPr>
            <w:r w:rsidRPr="008C43DD">
              <w:t>45</w:t>
            </w:r>
          </w:p>
        </w:tc>
        <w:tc>
          <w:tcPr>
            <w:tcW w:w="5329" w:type="dxa"/>
          </w:tcPr>
          <w:p w14:paraId="21EF992C" w14:textId="77777777" w:rsidR="00FA0BB9" w:rsidRPr="008102AF" w:rsidRDefault="00FA0BB9" w:rsidP="008102AF">
            <w:pPr>
              <w:pStyle w:val="NoSpacing"/>
              <w:spacing w:before="40" w:after="40"/>
              <w:contextualSpacing/>
              <w:rPr>
                <w:sz w:val="16"/>
                <w:szCs w:val="16"/>
              </w:rPr>
            </w:pPr>
            <w:r w:rsidRPr="008102AF">
              <w:rPr>
                <w:sz w:val="16"/>
                <w:szCs w:val="16"/>
              </w:rPr>
              <w:t xml:space="preserve">Environmental impacts of coal subsidies in Turkey: A general equilibrium analysis  </w:t>
            </w:r>
          </w:p>
          <w:p w14:paraId="7FD3FD74" w14:textId="77777777" w:rsidR="00FA0BB9" w:rsidRPr="008102AF" w:rsidRDefault="00FA0BB9" w:rsidP="008102AF">
            <w:pPr>
              <w:pStyle w:val="NoSpacing"/>
              <w:spacing w:before="40" w:after="40"/>
              <w:contextualSpacing/>
              <w:rPr>
                <w:sz w:val="16"/>
                <w:szCs w:val="16"/>
              </w:rPr>
            </w:pPr>
            <w:r w:rsidRPr="008102AF">
              <w:rPr>
                <w:sz w:val="16"/>
                <w:szCs w:val="16"/>
              </w:rPr>
              <w:t>Acar, Sevil; Yeldan, A. Erinc</w:t>
            </w:r>
          </w:p>
          <w:p w14:paraId="02AF4E7E" w14:textId="77777777" w:rsidR="00FA0BB9" w:rsidRPr="008102AF" w:rsidRDefault="00FA0BB9" w:rsidP="008102AF">
            <w:pPr>
              <w:pStyle w:val="NoSpacing"/>
              <w:spacing w:before="40" w:after="40"/>
              <w:contextualSpacing/>
              <w:rPr>
                <w:sz w:val="16"/>
                <w:szCs w:val="16"/>
              </w:rPr>
            </w:pPr>
            <w:r w:rsidRPr="008102AF">
              <w:rPr>
                <w:sz w:val="16"/>
                <w:szCs w:val="16"/>
              </w:rPr>
              <w:t xml:space="preserve">ENERGY POLICY </w:t>
            </w:r>
          </w:p>
          <w:p w14:paraId="1A62FB49" w14:textId="77777777" w:rsidR="00FA0BB9" w:rsidRPr="008102AF" w:rsidRDefault="00BC07F1" w:rsidP="008102AF">
            <w:pPr>
              <w:pStyle w:val="NoSpacing"/>
              <w:spacing w:before="40" w:after="40"/>
              <w:contextualSpacing/>
              <w:rPr>
                <w:sz w:val="16"/>
                <w:szCs w:val="16"/>
              </w:rPr>
            </w:pPr>
            <w:r w:rsidRPr="008102AF">
              <w:rPr>
                <w:sz w:val="16"/>
                <w:szCs w:val="16"/>
              </w:rPr>
              <w:t xml:space="preserve">Volume:  90 Pages:  1-15 </w:t>
            </w:r>
            <w:r w:rsidR="00FA0BB9" w:rsidRPr="008102AF">
              <w:rPr>
                <w:sz w:val="16"/>
                <w:szCs w:val="16"/>
              </w:rPr>
              <w:t>Published:  MAR 2016</w:t>
            </w:r>
          </w:p>
        </w:tc>
      </w:tr>
      <w:tr w:rsidR="00FA0BB9" w:rsidRPr="00286A88" w14:paraId="7D893FD3" w14:textId="77777777" w:rsidTr="005F7B38">
        <w:tc>
          <w:tcPr>
            <w:tcW w:w="3628" w:type="dxa"/>
          </w:tcPr>
          <w:p w14:paraId="08CA1DBB" w14:textId="77777777" w:rsidR="00FA0BB9" w:rsidRPr="008C43DD" w:rsidRDefault="00FA0BB9" w:rsidP="008C43DD">
            <w:pPr>
              <w:spacing w:before="60"/>
            </w:pPr>
            <w:r w:rsidRPr="008C43DD">
              <w:t>Not animal</w:t>
            </w:r>
          </w:p>
        </w:tc>
        <w:tc>
          <w:tcPr>
            <w:tcW w:w="1020" w:type="dxa"/>
          </w:tcPr>
          <w:p w14:paraId="4CE3578A" w14:textId="77777777" w:rsidR="00FA0BB9" w:rsidRPr="008C43DD" w:rsidRDefault="00FA0BB9" w:rsidP="008C43DD">
            <w:pPr>
              <w:spacing w:before="60"/>
            </w:pPr>
            <w:r w:rsidRPr="008C43DD">
              <w:t>6</w:t>
            </w:r>
          </w:p>
        </w:tc>
        <w:tc>
          <w:tcPr>
            <w:tcW w:w="5329" w:type="dxa"/>
          </w:tcPr>
          <w:p w14:paraId="48A22359" w14:textId="77777777" w:rsidR="00FA0BB9" w:rsidRPr="008102AF" w:rsidRDefault="00FA0BB9" w:rsidP="008102AF">
            <w:pPr>
              <w:pStyle w:val="NoSpacing"/>
              <w:spacing w:before="40" w:after="40"/>
              <w:contextualSpacing/>
              <w:rPr>
                <w:sz w:val="16"/>
                <w:szCs w:val="16"/>
              </w:rPr>
            </w:pPr>
            <w:r w:rsidRPr="008102AF">
              <w:rPr>
                <w:sz w:val="16"/>
                <w:szCs w:val="16"/>
              </w:rPr>
              <w:t xml:space="preserve">Application of simple and low-cost toxicity tests for ecotoxicological assessment of industrial wastewaters  </w:t>
            </w:r>
          </w:p>
          <w:p w14:paraId="0F32DB7C" w14:textId="77777777" w:rsidR="00FA0BB9" w:rsidRPr="008102AF" w:rsidRDefault="00FA0BB9" w:rsidP="008102AF">
            <w:pPr>
              <w:pStyle w:val="NoSpacing"/>
              <w:spacing w:before="40" w:after="40"/>
              <w:contextualSpacing/>
              <w:rPr>
                <w:sz w:val="16"/>
                <w:szCs w:val="16"/>
              </w:rPr>
            </w:pPr>
            <w:r w:rsidRPr="008102AF">
              <w:rPr>
                <w:sz w:val="16"/>
                <w:szCs w:val="16"/>
              </w:rPr>
              <w:t>Aydin, Mehmet Emin; Aydin, Senar; Tongur, Sueheyla; et al.</w:t>
            </w:r>
          </w:p>
          <w:p w14:paraId="2D1AE8D5" w14:textId="77777777" w:rsidR="00FA0BB9" w:rsidRPr="008102AF" w:rsidRDefault="00FA0BB9" w:rsidP="008102AF">
            <w:pPr>
              <w:pStyle w:val="NoSpacing"/>
              <w:spacing w:before="40" w:after="40"/>
              <w:contextualSpacing/>
              <w:rPr>
                <w:sz w:val="16"/>
                <w:szCs w:val="16"/>
              </w:rPr>
            </w:pPr>
            <w:r w:rsidRPr="008102AF">
              <w:rPr>
                <w:sz w:val="16"/>
                <w:szCs w:val="16"/>
              </w:rPr>
              <w:t xml:space="preserve">ENVIRONMENTAL TECHNOLOGY </w:t>
            </w:r>
          </w:p>
          <w:p w14:paraId="7C630379" w14:textId="77777777" w:rsidR="00FA0BB9" w:rsidRPr="008102AF" w:rsidRDefault="00630BFA" w:rsidP="008102AF">
            <w:pPr>
              <w:pStyle w:val="NoSpacing"/>
              <w:spacing w:before="40" w:after="40"/>
              <w:contextualSpacing/>
              <w:rPr>
                <w:sz w:val="16"/>
                <w:szCs w:val="16"/>
              </w:rPr>
            </w:pPr>
            <w:r w:rsidRPr="008102AF">
              <w:rPr>
                <w:sz w:val="16"/>
                <w:szCs w:val="16"/>
              </w:rPr>
              <w:t xml:space="preserve">Volume:  36 </w:t>
            </w:r>
            <w:r w:rsidR="00BC07F1" w:rsidRPr="008102AF">
              <w:rPr>
                <w:sz w:val="16"/>
                <w:szCs w:val="16"/>
              </w:rPr>
              <w:t xml:space="preserve">Issue:  22 Pages:  2825-2834 </w:t>
            </w:r>
            <w:r w:rsidR="00FA0BB9" w:rsidRPr="008102AF">
              <w:rPr>
                <w:sz w:val="16"/>
                <w:szCs w:val="16"/>
              </w:rPr>
              <w:t>Published:  NOV 17 2015</w:t>
            </w:r>
          </w:p>
        </w:tc>
      </w:tr>
      <w:tr w:rsidR="00FA0BB9" w:rsidRPr="00286A88" w14:paraId="0BC7863E" w14:textId="77777777" w:rsidTr="005F7B38">
        <w:tc>
          <w:tcPr>
            <w:tcW w:w="3628" w:type="dxa"/>
          </w:tcPr>
          <w:p w14:paraId="1562800F" w14:textId="77777777" w:rsidR="00FA0BB9" w:rsidRPr="008C43DD" w:rsidRDefault="00FA0BB9" w:rsidP="008C43DD">
            <w:pPr>
              <w:spacing w:before="60"/>
            </w:pPr>
            <w:r w:rsidRPr="008C43DD">
              <w:t>Consumer attitudes, policy, ethics</w:t>
            </w:r>
          </w:p>
        </w:tc>
        <w:tc>
          <w:tcPr>
            <w:tcW w:w="1020" w:type="dxa"/>
          </w:tcPr>
          <w:p w14:paraId="7ED78368" w14:textId="77777777" w:rsidR="00FA0BB9" w:rsidRPr="008C43DD" w:rsidRDefault="00FA0BB9" w:rsidP="008C43DD">
            <w:pPr>
              <w:spacing w:before="60"/>
            </w:pPr>
            <w:r w:rsidRPr="008C43DD">
              <w:t>7</w:t>
            </w:r>
          </w:p>
        </w:tc>
        <w:tc>
          <w:tcPr>
            <w:tcW w:w="5329" w:type="dxa"/>
          </w:tcPr>
          <w:p w14:paraId="2CD92352" w14:textId="77777777" w:rsidR="00FA0BB9" w:rsidRPr="008102AF" w:rsidRDefault="00FA0BB9" w:rsidP="008102AF">
            <w:pPr>
              <w:pStyle w:val="NoSpacing"/>
              <w:spacing w:before="40" w:after="40"/>
              <w:contextualSpacing/>
              <w:rPr>
                <w:sz w:val="16"/>
                <w:szCs w:val="16"/>
              </w:rPr>
            </w:pPr>
            <w:r w:rsidRPr="008102AF">
              <w:rPr>
                <w:sz w:val="16"/>
                <w:szCs w:val="16"/>
              </w:rPr>
              <w:t xml:space="preserve">Farm openings and their impacts on the attitudes of the visitors towards intensive egg and poultry meat production  </w:t>
            </w:r>
          </w:p>
          <w:p w14:paraId="212CC20E" w14:textId="77777777" w:rsidR="00FA0BB9" w:rsidRPr="008102AF" w:rsidRDefault="00FA0BB9" w:rsidP="008102AF">
            <w:pPr>
              <w:pStyle w:val="NoSpacing"/>
              <w:spacing w:before="40" w:after="40"/>
              <w:contextualSpacing/>
              <w:rPr>
                <w:sz w:val="16"/>
                <w:szCs w:val="16"/>
              </w:rPr>
            </w:pPr>
            <w:r w:rsidRPr="008102AF">
              <w:rPr>
                <w:sz w:val="16"/>
                <w:szCs w:val="16"/>
              </w:rPr>
              <w:t xml:space="preserve">Heijne, D.; Windhorst, H. </w:t>
            </w:r>
            <w:r w:rsidR="0010235B">
              <w:rPr>
                <w:sz w:val="16"/>
                <w:szCs w:val="16"/>
              </w:rPr>
              <w:t>–</w:t>
            </w:r>
            <w:r w:rsidRPr="008102AF">
              <w:rPr>
                <w:sz w:val="16"/>
                <w:szCs w:val="16"/>
              </w:rPr>
              <w:t>W.</w:t>
            </w:r>
          </w:p>
          <w:p w14:paraId="4D1D4E94" w14:textId="77777777" w:rsidR="00FA0BB9" w:rsidRPr="008102AF" w:rsidRDefault="00FA0BB9" w:rsidP="008102AF">
            <w:pPr>
              <w:pStyle w:val="NoSpacing"/>
              <w:spacing w:before="40" w:after="40"/>
              <w:contextualSpacing/>
              <w:rPr>
                <w:sz w:val="16"/>
                <w:szCs w:val="16"/>
              </w:rPr>
            </w:pPr>
            <w:r w:rsidRPr="008102AF">
              <w:rPr>
                <w:sz w:val="16"/>
                <w:szCs w:val="16"/>
              </w:rPr>
              <w:t>WORLD</w:t>
            </w:r>
            <w:r w:rsidR="005F0055">
              <w:rPr>
                <w:sz w:val="16"/>
                <w:szCs w:val="16"/>
              </w:rPr>
              <w:t>’</w:t>
            </w:r>
            <w:r w:rsidRPr="008102AF">
              <w:rPr>
                <w:sz w:val="16"/>
                <w:szCs w:val="16"/>
              </w:rPr>
              <w:t xml:space="preserve">S POULTRY SCIENCE JOURNAL </w:t>
            </w:r>
          </w:p>
          <w:p w14:paraId="785C6625" w14:textId="77777777" w:rsidR="00FA0BB9" w:rsidRPr="008102AF" w:rsidRDefault="00630BFA" w:rsidP="008102AF">
            <w:pPr>
              <w:pStyle w:val="NoSpacing"/>
              <w:spacing w:before="40" w:after="40"/>
              <w:contextualSpacing/>
              <w:rPr>
                <w:sz w:val="16"/>
                <w:szCs w:val="16"/>
              </w:rPr>
            </w:pPr>
            <w:r w:rsidRPr="008102AF">
              <w:rPr>
                <w:sz w:val="16"/>
                <w:szCs w:val="16"/>
              </w:rPr>
              <w:t xml:space="preserve">Volume:  73 Issue:  1 </w:t>
            </w:r>
            <w:r w:rsidR="00FA0BB9" w:rsidRPr="008102AF">
              <w:rPr>
                <w:sz w:val="16"/>
                <w:szCs w:val="16"/>
              </w:rPr>
              <w:t>Pages:  105-120</w:t>
            </w:r>
            <w:r w:rsidRPr="008102AF">
              <w:rPr>
                <w:sz w:val="16"/>
                <w:szCs w:val="16"/>
              </w:rPr>
              <w:t xml:space="preserve"> </w:t>
            </w:r>
            <w:r w:rsidR="00FA0BB9" w:rsidRPr="008102AF">
              <w:rPr>
                <w:sz w:val="16"/>
                <w:szCs w:val="16"/>
              </w:rPr>
              <w:t>Published:  MAR 2017</w:t>
            </w:r>
          </w:p>
        </w:tc>
      </w:tr>
      <w:tr w:rsidR="00FA0BB9" w:rsidRPr="00286A88" w14:paraId="30F9AEF5" w14:textId="77777777" w:rsidTr="005F7B38">
        <w:tc>
          <w:tcPr>
            <w:tcW w:w="3628" w:type="dxa"/>
          </w:tcPr>
          <w:p w14:paraId="0075A21D" w14:textId="77777777" w:rsidR="00FA0BB9" w:rsidRPr="008C43DD" w:rsidRDefault="00FA0BB9" w:rsidP="008C43DD">
            <w:pPr>
              <w:spacing w:before="60"/>
            </w:pPr>
            <w:r w:rsidRPr="008C43DD">
              <w:t>Review/opinion</w:t>
            </w:r>
          </w:p>
        </w:tc>
        <w:tc>
          <w:tcPr>
            <w:tcW w:w="1020" w:type="dxa"/>
          </w:tcPr>
          <w:p w14:paraId="3BD8DEBE" w14:textId="77777777" w:rsidR="00FA0BB9" w:rsidRPr="008C43DD" w:rsidRDefault="00FA0BB9" w:rsidP="008C43DD">
            <w:pPr>
              <w:spacing w:before="60"/>
            </w:pPr>
            <w:r w:rsidRPr="008C43DD">
              <w:t>11</w:t>
            </w:r>
          </w:p>
        </w:tc>
        <w:tc>
          <w:tcPr>
            <w:tcW w:w="5329" w:type="dxa"/>
          </w:tcPr>
          <w:p w14:paraId="09E5FF50" w14:textId="77777777" w:rsidR="00FA0BB9" w:rsidRPr="008102AF" w:rsidRDefault="00FA0BB9" w:rsidP="008102AF">
            <w:pPr>
              <w:pStyle w:val="NoSpacing"/>
              <w:spacing w:before="40" w:after="40"/>
              <w:contextualSpacing/>
              <w:rPr>
                <w:sz w:val="16"/>
                <w:szCs w:val="16"/>
              </w:rPr>
            </w:pPr>
            <w:r w:rsidRPr="008102AF">
              <w:rPr>
                <w:sz w:val="16"/>
                <w:szCs w:val="16"/>
              </w:rPr>
              <w:t xml:space="preserve">Unexpected consequences of genetic selection in broilers and turkeys: problems and solutions  </w:t>
            </w:r>
          </w:p>
          <w:p w14:paraId="5780484C" w14:textId="77777777" w:rsidR="00FA0BB9" w:rsidRPr="008102AF" w:rsidRDefault="00FA0BB9" w:rsidP="008102AF">
            <w:pPr>
              <w:pStyle w:val="NoSpacing"/>
              <w:spacing w:before="40" w:after="40"/>
              <w:contextualSpacing/>
              <w:rPr>
                <w:sz w:val="16"/>
                <w:szCs w:val="16"/>
              </w:rPr>
            </w:pPr>
            <w:r w:rsidRPr="008102AF">
              <w:rPr>
                <w:sz w:val="16"/>
                <w:szCs w:val="16"/>
              </w:rPr>
              <w:t>Hocking, P. M.</w:t>
            </w:r>
          </w:p>
          <w:p w14:paraId="6F627A33" w14:textId="77777777" w:rsidR="00FA0BB9" w:rsidRPr="008102AF" w:rsidRDefault="00FA0BB9" w:rsidP="008102AF">
            <w:pPr>
              <w:pStyle w:val="NoSpacing"/>
              <w:spacing w:before="40" w:after="40"/>
              <w:contextualSpacing/>
              <w:rPr>
                <w:sz w:val="16"/>
                <w:szCs w:val="16"/>
              </w:rPr>
            </w:pPr>
            <w:r w:rsidRPr="008102AF">
              <w:rPr>
                <w:sz w:val="16"/>
                <w:szCs w:val="16"/>
              </w:rPr>
              <w:t xml:space="preserve">BRITISH POULTRY SCIENCE </w:t>
            </w:r>
          </w:p>
          <w:p w14:paraId="2FF6FAA1" w14:textId="77777777" w:rsidR="00FA0BB9" w:rsidRPr="008102AF" w:rsidRDefault="00FA0BB9" w:rsidP="008102AF">
            <w:pPr>
              <w:pStyle w:val="NoSpacing"/>
              <w:spacing w:before="40" w:after="40"/>
              <w:contextualSpacing/>
              <w:rPr>
                <w:sz w:val="16"/>
                <w:szCs w:val="16"/>
              </w:rPr>
            </w:pPr>
            <w:r w:rsidRPr="008102AF">
              <w:rPr>
                <w:sz w:val="16"/>
                <w:szCs w:val="16"/>
              </w:rPr>
              <w:t>Volume:  55</w:t>
            </w:r>
            <w:r w:rsidR="00630BFA" w:rsidRPr="008102AF">
              <w:rPr>
                <w:sz w:val="16"/>
                <w:szCs w:val="16"/>
              </w:rPr>
              <w:t xml:space="preserve"> Issue:  1 Pages:  1-12 </w:t>
            </w:r>
            <w:r w:rsidRPr="008102AF">
              <w:rPr>
                <w:sz w:val="16"/>
                <w:szCs w:val="16"/>
              </w:rPr>
              <w:t>Published:  JAN 2 2014</w:t>
            </w:r>
          </w:p>
        </w:tc>
      </w:tr>
      <w:tr w:rsidR="00FA0BB9" w:rsidRPr="00286A88" w14:paraId="7BACB9FE" w14:textId="77777777" w:rsidTr="005F7B38">
        <w:tc>
          <w:tcPr>
            <w:tcW w:w="3628" w:type="dxa"/>
          </w:tcPr>
          <w:p w14:paraId="75B9B6E1" w14:textId="77777777" w:rsidR="00FA0BB9" w:rsidRPr="008C43DD" w:rsidRDefault="00FA0BB9" w:rsidP="008C43DD">
            <w:pPr>
              <w:spacing w:before="60"/>
            </w:pPr>
            <w:r w:rsidRPr="008C43DD">
              <w:t>Fundamental study on genetics, immune function, disease mechanism or stress biology with no immediate welfare relevance</w:t>
            </w:r>
          </w:p>
        </w:tc>
        <w:tc>
          <w:tcPr>
            <w:tcW w:w="1020" w:type="dxa"/>
          </w:tcPr>
          <w:p w14:paraId="70A9D9AF" w14:textId="77777777" w:rsidR="00FA0BB9" w:rsidRPr="008C43DD" w:rsidRDefault="00FA0BB9" w:rsidP="008C43DD">
            <w:pPr>
              <w:spacing w:before="60"/>
            </w:pPr>
            <w:r w:rsidRPr="008C43DD">
              <w:t>8</w:t>
            </w:r>
          </w:p>
        </w:tc>
        <w:tc>
          <w:tcPr>
            <w:tcW w:w="5329" w:type="dxa"/>
          </w:tcPr>
          <w:p w14:paraId="3F1109D5" w14:textId="77777777" w:rsidR="00FA0BB9" w:rsidRPr="008102AF" w:rsidRDefault="00FA0BB9" w:rsidP="008102AF">
            <w:pPr>
              <w:pStyle w:val="NoSpacing"/>
              <w:spacing w:before="40" w:after="40"/>
              <w:contextualSpacing/>
              <w:rPr>
                <w:sz w:val="16"/>
                <w:szCs w:val="16"/>
              </w:rPr>
            </w:pPr>
            <w:r w:rsidRPr="008102AF">
              <w:rPr>
                <w:sz w:val="16"/>
                <w:szCs w:val="16"/>
              </w:rPr>
              <w:t xml:space="preserve">Effects of genotype on </w:t>
            </w:r>
            <w:r w:rsidR="00970C04">
              <w:rPr>
                <w:sz w:val="16"/>
                <w:szCs w:val="16"/>
              </w:rPr>
              <w:t>h</w:t>
            </w:r>
            <w:r w:rsidR="005F0055">
              <w:rPr>
                <w:sz w:val="16"/>
                <w:szCs w:val="16"/>
              </w:rPr>
              <w:t>ematological</w:t>
            </w:r>
            <w:r w:rsidRPr="008102AF">
              <w:rPr>
                <w:sz w:val="16"/>
                <w:szCs w:val="16"/>
              </w:rPr>
              <w:t xml:space="preserve"> and serum biochemical responses of turkey hens to stress  </w:t>
            </w:r>
          </w:p>
          <w:p w14:paraId="0BB30294" w14:textId="77777777" w:rsidR="00FA0BB9" w:rsidRPr="008102AF" w:rsidRDefault="00FA0BB9" w:rsidP="008102AF">
            <w:pPr>
              <w:pStyle w:val="NoSpacing"/>
              <w:spacing w:before="40" w:after="40"/>
              <w:contextualSpacing/>
              <w:rPr>
                <w:sz w:val="16"/>
                <w:szCs w:val="16"/>
              </w:rPr>
            </w:pPr>
            <w:r w:rsidRPr="008102AF">
              <w:rPr>
                <w:sz w:val="16"/>
                <w:szCs w:val="16"/>
              </w:rPr>
              <w:t>Damaziak, Krzysztof; Michalczuk, Monika; Zdanowska-Sasiadek, Zaneta; et al.</w:t>
            </w:r>
          </w:p>
          <w:p w14:paraId="6D76A534" w14:textId="77777777" w:rsidR="00FA0BB9" w:rsidRPr="008102AF" w:rsidRDefault="00FA0BB9" w:rsidP="008102AF">
            <w:pPr>
              <w:pStyle w:val="NoSpacing"/>
              <w:spacing w:before="40" w:after="40"/>
              <w:contextualSpacing/>
              <w:rPr>
                <w:sz w:val="16"/>
                <w:szCs w:val="16"/>
              </w:rPr>
            </w:pPr>
            <w:r w:rsidRPr="008102AF">
              <w:rPr>
                <w:sz w:val="16"/>
                <w:szCs w:val="16"/>
              </w:rPr>
              <w:t xml:space="preserve">ARCHIVES ANIMAL BREEDING   </w:t>
            </w:r>
            <w:r w:rsidR="00630BFA" w:rsidRPr="008102AF">
              <w:rPr>
                <w:sz w:val="16"/>
                <w:szCs w:val="16"/>
              </w:rPr>
              <w:t xml:space="preserve">Volume:  60 </w:t>
            </w:r>
            <w:r w:rsidRPr="008102AF">
              <w:rPr>
                <w:sz w:val="16"/>
                <w:szCs w:val="16"/>
              </w:rPr>
              <w:t>Issue:  1</w:t>
            </w:r>
            <w:r w:rsidR="00630BFA" w:rsidRPr="008102AF">
              <w:rPr>
                <w:sz w:val="16"/>
                <w:szCs w:val="16"/>
              </w:rPr>
              <w:t xml:space="preserve"> Pages:  9-17 </w:t>
            </w:r>
            <w:r w:rsidRPr="008102AF">
              <w:rPr>
                <w:sz w:val="16"/>
                <w:szCs w:val="16"/>
              </w:rPr>
              <w:t>Published:  JAN 30 2017</w:t>
            </w:r>
          </w:p>
        </w:tc>
      </w:tr>
      <w:tr w:rsidR="00FA0BB9" w:rsidRPr="00286A88" w14:paraId="2D31867B" w14:textId="77777777" w:rsidTr="005F7B38">
        <w:tc>
          <w:tcPr>
            <w:tcW w:w="3628" w:type="dxa"/>
          </w:tcPr>
          <w:p w14:paraId="2C683A17" w14:textId="77777777" w:rsidR="00FA0BB9" w:rsidRPr="008C43DD" w:rsidRDefault="00FA0BB9" w:rsidP="008C43DD">
            <w:pPr>
              <w:spacing w:before="60"/>
            </w:pPr>
            <w:r w:rsidRPr="008C43DD">
              <w:t>Not turkeys</w:t>
            </w:r>
          </w:p>
        </w:tc>
        <w:tc>
          <w:tcPr>
            <w:tcW w:w="1020" w:type="dxa"/>
          </w:tcPr>
          <w:p w14:paraId="35893EBA" w14:textId="77777777" w:rsidR="00FA0BB9" w:rsidRPr="008C43DD" w:rsidRDefault="00FA0BB9" w:rsidP="008C43DD">
            <w:pPr>
              <w:spacing w:before="60"/>
            </w:pPr>
            <w:r w:rsidRPr="008C43DD">
              <w:t>70 (lots of papers on broiler chickens)</w:t>
            </w:r>
          </w:p>
        </w:tc>
        <w:tc>
          <w:tcPr>
            <w:tcW w:w="5329" w:type="dxa"/>
          </w:tcPr>
          <w:p w14:paraId="6D382C26" w14:textId="77777777" w:rsidR="00FA0BB9" w:rsidRPr="008102AF" w:rsidRDefault="00FA0BB9" w:rsidP="008102AF">
            <w:pPr>
              <w:pStyle w:val="NoSpacing"/>
              <w:spacing w:before="40" w:after="40"/>
              <w:contextualSpacing/>
              <w:rPr>
                <w:sz w:val="16"/>
                <w:szCs w:val="16"/>
              </w:rPr>
            </w:pPr>
            <w:r w:rsidRPr="008102AF">
              <w:rPr>
                <w:sz w:val="16"/>
                <w:szCs w:val="16"/>
              </w:rPr>
              <w:t xml:space="preserve">High dietary levels of biotin and zinc to improve health of foot pads in broilers exposed experimentally to litter with critical moisture content  </w:t>
            </w:r>
          </w:p>
          <w:p w14:paraId="1F02B20E" w14:textId="77777777" w:rsidR="00FA0BB9" w:rsidRPr="008102AF" w:rsidRDefault="00FA0BB9" w:rsidP="008102AF">
            <w:pPr>
              <w:pStyle w:val="NoSpacing"/>
              <w:spacing w:before="40" w:after="40"/>
              <w:contextualSpacing/>
              <w:rPr>
                <w:sz w:val="16"/>
                <w:szCs w:val="16"/>
              </w:rPr>
            </w:pPr>
            <w:r w:rsidRPr="008102AF">
              <w:rPr>
                <w:sz w:val="16"/>
                <w:szCs w:val="16"/>
              </w:rPr>
              <w:t>Abd El-Wahab, A.; Radko, D.; Kamphues, J.</w:t>
            </w:r>
          </w:p>
          <w:p w14:paraId="45758D7D" w14:textId="77777777" w:rsidR="00FA0BB9" w:rsidRPr="008102AF" w:rsidRDefault="00FA0BB9" w:rsidP="008102AF">
            <w:pPr>
              <w:pStyle w:val="NoSpacing"/>
              <w:spacing w:before="40" w:after="40"/>
              <w:contextualSpacing/>
              <w:rPr>
                <w:sz w:val="16"/>
                <w:szCs w:val="16"/>
              </w:rPr>
            </w:pPr>
            <w:r w:rsidRPr="008102AF">
              <w:rPr>
                <w:sz w:val="16"/>
                <w:szCs w:val="16"/>
              </w:rPr>
              <w:t xml:space="preserve">POULTRY SCIENCE </w:t>
            </w:r>
          </w:p>
          <w:p w14:paraId="49C1DC69" w14:textId="77777777" w:rsidR="00FA0BB9" w:rsidRPr="008102AF" w:rsidRDefault="00FA0BB9" w:rsidP="008102AF">
            <w:pPr>
              <w:pStyle w:val="NoSpacing"/>
              <w:spacing w:before="40" w:after="40"/>
              <w:contextualSpacing/>
              <w:rPr>
                <w:sz w:val="16"/>
                <w:szCs w:val="16"/>
              </w:rPr>
            </w:pPr>
            <w:r w:rsidRPr="008102AF">
              <w:rPr>
                <w:sz w:val="16"/>
                <w:szCs w:val="16"/>
              </w:rPr>
              <w:t>Volume:  92</w:t>
            </w:r>
            <w:r w:rsidR="00630BFA" w:rsidRPr="008102AF">
              <w:rPr>
                <w:sz w:val="16"/>
                <w:szCs w:val="16"/>
              </w:rPr>
              <w:t xml:space="preserve"> </w:t>
            </w:r>
            <w:r w:rsidRPr="008102AF">
              <w:rPr>
                <w:sz w:val="16"/>
                <w:szCs w:val="16"/>
              </w:rPr>
              <w:t>Issue:  7</w:t>
            </w:r>
            <w:r w:rsidR="00630BFA" w:rsidRPr="008102AF">
              <w:rPr>
                <w:sz w:val="16"/>
                <w:szCs w:val="16"/>
              </w:rPr>
              <w:t xml:space="preserve"> </w:t>
            </w:r>
            <w:r w:rsidRPr="008102AF">
              <w:rPr>
                <w:sz w:val="16"/>
                <w:szCs w:val="16"/>
              </w:rPr>
              <w:t>Pages:  1774-1782</w:t>
            </w:r>
            <w:r w:rsidR="00630BFA" w:rsidRPr="008102AF">
              <w:rPr>
                <w:sz w:val="16"/>
                <w:szCs w:val="16"/>
              </w:rPr>
              <w:t xml:space="preserve"> </w:t>
            </w:r>
            <w:r w:rsidRPr="008102AF">
              <w:rPr>
                <w:sz w:val="16"/>
                <w:szCs w:val="16"/>
              </w:rPr>
              <w:t>Published:  JUL 2013</w:t>
            </w:r>
          </w:p>
        </w:tc>
      </w:tr>
      <w:tr w:rsidR="00FA0BB9" w:rsidRPr="00286A88" w14:paraId="0A3BFFC9" w14:textId="77777777" w:rsidTr="005F7B38">
        <w:tc>
          <w:tcPr>
            <w:tcW w:w="3628" w:type="dxa"/>
          </w:tcPr>
          <w:p w14:paraId="6000EA75" w14:textId="77777777" w:rsidR="00FA0BB9" w:rsidRPr="008C43DD" w:rsidRDefault="00FA0BB9" w:rsidP="008C43DD">
            <w:pPr>
              <w:spacing w:before="60"/>
            </w:pPr>
            <w:r w:rsidRPr="008C43DD">
              <w:t>Conference proceedings</w:t>
            </w:r>
          </w:p>
        </w:tc>
        <w:tc>
          <w:tcPr>
            <w:tcW w:w="1020" w:type="dxa"/>
          </w:tcPr>
          <w:p w14:paraId="1E2F792D" w14:textId="77777777" w:rsidR="00FA0BB9" w:rsidRPr="008C43DD" w:rsidRDefault="00FA0BB9" w:rsidP="008C43DD">
            <w:pPr>
              <w:spacing w:before="60"/>
            </w:pPr>
            <w:r w:rsidRPr="008C43DD">
              <w:t>2</w:t>
            </w:r>
          </w:p>
        </w:tc>
        <w:tc>
          <w:tcPr>
            <w:tcW w:w="5329" w:type="dxa"/>
          </w:tcPr>
          <w:p w14:paraId="1E4871B1" w14:textId="77777777" w:rsidR="00FA0BB9" w:rsidRPr="008102AF" w:rsidRDefault="00FA0BB9" w:rsidP="008102AF">
            <w:pPr>
              <w:pStyle w:val="NoSpacing"/>
              <w:spacing w:before="40" w:after="40"/>
              <w:contextualSpacing/>
              <w:rPr>
                <w:sz w:val="16"/>
                <w:szCs w:val="16"/>
              </w:rPr>
            </w:pPr>
            <w:r w:rsidRPr="008102AF">
              <w:rPr>
                <w:sz w:val="16"/>
                <w:szCs w:val="16"/>
              </w:rPr>
              <w:t xml:space="preserve">Tibial dyschondroplasia </w:t>
            </w:r>
            <w:r w:rsidR="0010235B">
              <w:rPr>
                <w:sz w:val="16"/>
                <w:szCs w:val="16"/>
              </w:rPr>
              <w:t>–</w:t>
            </w:r>
            <w:r w:rsidRPr="008102AF">
              <w:rPr>
                <w:sz w:val="16"/>
                <w:szCs w:val="16"/>
              </w:rPr>
              <w:t xml:space="preserve"> tools, new insights and future prospects  </w:t>
            </w:r>
          </w:p>
          <w:p w14:paraId="5C3E4B92" w14:textId="77777777" w:rsidR="00FA0BB9" w:rsidRPr="008102AF" w:rsidRDefault="00FA0BB9" w:rsidP="008102AF">
            <w:pPr>
              <w:pStyle w:val="NoSpacing"/>
              <w:spacing w:before="40" w:after="40"/>
              <w:contextualSpacing/>
              <w:rPr>
                <w:sz w:val="16"/>
                <w:szCs w:val="16"/>
              </w:rPr>
            </w:pPr>
            <w:r w:rsidRPr="008102AF">
              <w:rPr>
                <w:sz w:val="16"/>
                <w:szCs w:val="16"/>
              </w:rPr>
              <w:t>Pines, M; Hasdai, A; Monsonego-Ornan, E</w:t>
            </w:r>
          </w:p>
          <w:p w14:paraId="5CE609B0" w14:textId="77777777" w:rsidR="00FA0BB9" w:rsidRPr="008102AF" w:rsidRDefault="00FA0BB9" w:rsidP="008102AF">
            <w:pPr>
              <w:pStyle w:val="NoSpacing"/>
              <w:spacing w:before="40" w:after="40"/>
              <w:contextualSpacing/>
              <w:rPr>
                <w:sz w:val="16"/>
                <w:szCs w:val="16"/>
              </w:rPr>
            </w:pPr>
            <w:r w:rsidRPr="008102AF">
              <w:rPr>
                <w:sz w:val="16"/>
                <w:szCs w:val="16"/>
              </w:rPr>
              <w:t>Conference:  22</w:t>
            </w:r>
            <w:r w:rsidRPr="0010235B">
              <w:rPr>
                <w:sz w:val="16"/>
                <w:szCs w:val="16"/>
                <w:vertAlign w:val="superscript"/>
              </w:rPr>
              <w:t>nd</w:t>
            </w:r>
            <w:r w:rsidRPr="008102AF">
              <w:rPr>
                <w:sz w:val="16"/>
                <w:szCs w:val="16"/>
              </w:rPr>
              <w:t xml:space="preserve"> World Poultry Congress  Location:  Istanbul, TURKEY  Date:  JUN 08-13, 2004  </w:t>
            </w:r>
          </w:p>
          <w:p w14:paraId="000E8320" w14:textId="77777777" w:rsidR="00FA0BB9" w:rsidRPr="008102AF" w:rsidRDefault="00FA0BB9" w:rsidP="008102AF">
            <w:pPr>
              <w:pStyle w:val="NoSpacing"/>
              <w:spacing w:before="40" w:after="40"/>
              <w:contextualSpacing/>
              <w:rPr>
                <w:sz w:val="16"/>
                <w:szCs w:val="16"/>
              </w:rPr>
            </w:pPr>
            <w:r w:rsidRPr="008102AF">
              <w:rPr>
                <w:sz w:val="16"/>
                <w:szCs w:val="16"/>
              </w:rPr>
              <w:t>WORLD</w:t>
            </w:r>
            <w:r w:rsidR="005F0055">
              <w:rPr>
                <w:sz w:val="16"/>
                <w:szCs w:val="16"/>
              </w:rPr>
              <w:t>’</w:t>
            </w:r>
            <w:r w:rsidRPr="008102AF">
              <w:rPr>
                <w:sz w:val="16"/>
                <w:szCs w:val="16"/>
              </w:rPr>
              <w:t xml:space="preserve">S POULTRY SCIENCE JOURNAL </w:t>
            </w:r>
          </w:p>
          <w:p w14:paraId="47C92277" w14:textId="77777777" w:rsidR="00FA0BB9" w:rsidRPr="008102AF" w:rsidRDefault="00FA0BB9" w:rsidP="008102AF">
            <w:pPr>
              <w:pStyle w:val="NoSpacing"/>
              <w:spacing w:before="40" w:after="40"/>
              <w:contextualSpacing/>
              <w:rPr>
                <w:sz w:val="16"/>
                <w:szCs w:val="16"/>
              </w:rPr>
            </w:pPr>
            <w:r w:rsidRPr="008102AF">
              <w:rPr>
                <w:sz w:val="16"/>
                <w:szCs w:val="16"/>
              </w:rPr>
              <w:t>Volume:  61</w:t>
            </w:r>
            <w:r w:rsidR="00630BFA" w:rsidRPr="008102AF">
              <w:rPr>
                <w:sz w:val="16"/>
                <w:szCs w:val="16"/>
              </w:rPr>
              <w:t xml:space="preserve"> </w:t>
            </w:r>
            <w:r w:rsidRPr="008102AF">
              <w:rPr>
                <w:sz w:val="16"/>
                <w:szCs w:val="16"/>
              </w:rPr>
              <w:t>Issue:  2</w:t>
            </w:r>
            <w:r w:rsidR="00630BFA" w:rsidRPr="008102AF">
              <w:rPr>
                <w:sz w:val="16"/>
                <w:szCs w:val="16"/>
              </w:rPr>
              <w:t xml:space="preserve"> </w:t>
            </w:r>
            <w:r w:rsidRPr="008102AF">
              <w:rPr>
                <w:sz w:val="16"/>
                <w:szCs w:val="16"/>
              </w:rPr>
              <w:t>Pages:  285-297</w:t>
            </w:r>
            <w:r w:rsidR="00630BFA" w:rsidRPr="008102AF">
              <w:rPr>
                <w:sz w:val="16"/>
                <w:szCs w:val="16"/>
              </w:rPr>
              <w:t xml:space="preserve"> </w:t>
            </w:r>
            <w:r w:rsidRPr="008102AF">
              <w:rPr>
                <w:sz w:val="16"/>
                <w:szCs w:val="16"/>
              </w:rPr>
              <w:t>Published:  JUN 2005</w:t>
            </w:r>
          </w:p>
        </w:tc>
      </w:tr>
      <w:tr w:rsidR="00FA0BB9" w:rsidRPr="00286A88" w14:paraId="47D25387" w14:textId="77777777" w:rsidTr="005F7B38">
        <w:tc>
          <w:tcPr>
            <w:tcW w:w="3628" w:type="dxa"/>
          </w:tcPr>
          <w:p w14:paraId="3AD066E3" w14:textId="77777777" w:rsidR="00FA0BB9" w:rsidRPr="008C43DD" w:rsidRDefault="00FA0BB9" w:rsidP="008C43DD">
            <w:pPr>
              <w:spacing w:before="60"/>
            </w:pPr>
            <w:r w:rsidRPr="008C43DD">
              <w:t>Transport</w:t>
            </w:r>
          </w:p>
        </w:tc>
        <w:tc>
          <w:tcPr>
            <w:tcW w:w="1020" w:type="dxa"/>
          </w:tcPr>
          <w:p w14:paraId="6807D406" w14:textId="77777777" w:rsidR="00FA0BB9" w:rsidRPr="008C43DD" w:rsidRDefault="00FA0BB9" w:rsidP="008C43DD">
            <w:pPr>
              <w:spacing w:before="60"/>
            </w:pPr>
            <w:r w:rsidRPr="008C43DD">
              <w:t>5</w:t>
            </w:r>
          </w:p>
        </w:tc>
        <w:tc>
          <w:tcPr>
            <w:tcW w:w="5329" w:type="dxa"/>
          </w:tcPr>
          <w:p w14:paraId="0F5DE7EA" w14:textId="77777777" w:rsidR="00FA0BB9" w:rsidRPr="008102AF" w:rsidRDefault="00FA0BB9" w:rsidP="008102AF">
            <w:pPr>
              <w:pStyle w:val="NoSpacing"/>
              <w:spacing w:before="40" w:after="40"/>
              <w:contextualSpacing/>
              <w:rPr>
                <w:sz w:val="16"/>
                <w:szCs w:val="16"/>
              </w:rPr>
            </w:pPr>
            <w:r w:rsidRPr="008102AF">
              <w:rPr>
                <w:sz w:val="16"/>
                <w:szCs w:val="16"/>
              </w:rPr>
              <w:t xml:space="preserve">Catching and crating turkeys: Effects on carcass damage, heart rate, and other welfare parameters  </w:t>
            </w:r>
          </w:p>
          <w:p w14:paraId="2096A78B" w14:textId="77777777" w:rsidR="00FA0BB9" w:rsidRPr="008102AF" w:rsidRDefault="00FA0BB9" w:rsidP="008102AF">
            <w:pPr>
              <w:pStyle w:val="NoSpacing"/>
              <w:spacing w:before="40" w:after="40"/>
              <w:contextualSpacing/>
              <w:rPr>
                <w:sz w:val="16"/>
                <w:szCs w:val="16"/>
              </w:rPr>
            </w:pPr>
            <w:r w:rsidRPr="008102AF">
              <w:rPr>
                <w:sz w:val="16"/>
                <w:szCs w:val="16"/>
              </w:rPr>
              <w:t>Prescott, NB; Berry, PS; Haslam, S; et al.</w:t>
            </w:r>
          </w:p>
          <w:p w14:paraId="4EA6476D" w14:textId="77777777" w:rsidR="00FA0BB9" w:rsidRPr="008102AF" w:rsidRDefault="00FA0BB9" w:rsidP="008102AF">
            <w:pPr>
              <w:pStyle w:val="NoSpacing"/>
              <w:spacing w:before="40" w:after="40"/>
              <w:contextualSpacing/>
              <w:rPr>
                <w:sz w:val="16"/>
                <w:szCs w:val="16"/>
              </w:rPr>
            </w:pPr>
            <w:r w:rsidRPr="008102AF">
              <w:rPr>
                <w:sz w:val="16"/>
                <w:szCs w:val="16"/>
              </w:rPr>
              <w:t xml:space="preserve">JOURNAL OF APPLIED POULTRY RESEARCH </w:t>
            </w:r>
          </w:p>
          <w:p w14:paraId="5C0F08D2" w14:textId="77777777" w:rsidR="00FA0BB9" w:rsidRPr="008102AF" w:rsidRDefault="00FA0BB9" w:rsidP="008102AF">
            <w:pPr>
              <w:pStyle w:val="NoSpacing"/>
              <w:spacing w:before="40" w:after="40"/>
              <w:contextualSpacing/>
              <w:rPr>
                <w:sz w:val="16"/>
                <w:szCs w:val="16"/>
              </w:rPr>
            </w:pPr>
            <w:r w:rsidRPr="008102AF">
              <w:rPr>
                <w:sz w:val="16"/>
                <w:szCs w:val="16"/>
              </w:rPr>
              <w:t>Volume:  9</w:t>
            </w:r>
            <w:r w:rsidR="00630BFA" w:rsidRPr="008102AF">
              <w:rPr>
                <w:sz w:val="16"/>
                <w:szCs w:val="16"/>
              </w:rPr>
              <w:t xml:space="preserve"> </w:t>
            </w:r>
            <w:r w:rsidRPr="008102AF">
              <w:rPr>
                <w:sz w:val="16"/>
                <w:szCs w:val="16"/>
              </w:rPr>
              <w:t>Issue:  3</w:t>
            </w:r>
            <w:r w:rsidR="00630BFA" w:rsidRPr="008102AF">
              <w:rPr>
                <w:sz w:val="16"/>
                <w:szCs w:val="16"/>
              </w:rPr>
              <w:t xml:space="preserve"> </w:t>
            </w:r>
            <w:r w:rsidRPr="008102AF">
              <w:rPr>
                <w:sz w:val="16"/>
                <w:szCs w:val="16"/>
              </w:rPr>
              <w:t>Pages:  424-432</w:t>
            </w:r>
            <w:r w:rsidR="00630BFA" w:rsidRPr="008102AF">
              <w:rPr>
                <w:sz w:val="16"/>
                <w:szCs w:val="16"/>
              </w:rPr>
              <w:t xml:space="preserve"> </w:t>
            </w:r>
            <w:r w:rsidRPr="008102AF">
              <w:rPr>
                <w:sz w:val="16"/>
                <w:szCs w:val="16"/>
              </w:rPr>
              <w:t>Published:  FAL 2000</w:t>
            </w:r>
          </w:p>
        </w:tc>
      </w:tr>
      <w:tr w:rsidR="00FA0BB9" w:rsidRPr="00286A88" w14:paraId="60AD6E3F" w14:textId="77777777" w:rsidTr="005F7B38">
        <w:tc>
          <w:tcPr>
            <w:tcW w:w="3628" w:type="dxa"/>
          </w:tcPr>
          <w:p w14:paraId="6ADB49D1" w14:textId="77777777" w:rsidR="00FA0BB9" w:rsidRPr="008C43DD" w:rsidRDefault="00FA0BB9" w:rsidP="008C43DD">
            <w:pPr>
              <w:spacing w:before="60"/>
            </w:pPr>
            <w:r w:rsidRPr="008C43DD">
              <w:t>Slaughter</w:t>
            </w:r>
          </w:p>
        </w:tc>
        <w:tc>
          <w:tcPr>
            <w:tcW w:w="1020" w:type="dxa"/>
          </w:tcPr>
          <w:p w14:paraId="79ABC6B7" w14:textId="77777777" w:rsidR="00FA0BB9" w:rsidRPr="008C43DD" w:rsidRDefault="00FA0BB9" w:rsidP="008C43DD">
            <w:pPr>
              <w:spacing w:before="60"/>
            </w:pPr>
            <w:r w:rsidRPr="008C43DD">
              <w:t>12</w:t>
            </w:r>
          </w:p>
        </w:tc>
        <w:tc>
          <w:tcPr>
            <w:tcW w:w="5329" w:type="dxa"/>
          </w:tcPr>
          <w:p w14:paraId="4DF35AFB" w14:textId="77777777" w:rsidR="00FA0BB9" w:rsidRPr="008102AF" w:rsidRDefault="00FA0BB9" w:rsidP="008102AF">
            <w:pPr>
              <w:pStyle w:val="NoSpacing"/>
              <w:spacing w:before="40" w:after="40"/>
              <w:contextualSpacing/>
              <w:rPr>
                <w:sz w:val="16"/>
                <w:szCs w:val="16"/>
              </w:rPr>
            </w:pPr>
            <w:r w:rsidRPr="008102AF">
              <w:rPr>
                <w:sz w:val="16"/>
                <w:szCs w:val="16"/>
              </w:rPr>
              <w:t>Electroencephalographic evaluation of the effectiveness of blunt trauma to induce loss of consciousness for on-farm killing of chickens and turkeys</w:t>
            </w:r>
          </w:p>
          <w:p w14:paraId="0BF63CCF" w14:textId="77777777" w:rsidR="00FA0BB9" w:rsidRPr="008102AF" w:rsidRDefault="00FA0BB9" w:rsidP="008102AF">
            <w:pPr>
              <w:pStyle w:val="NoSpacing"/>
              <w:spacing w:before="40" w:after="40"/>
              <w:contextualSpacing/>
              <w:rPr>
                <w:sz w:val="16"/>
                <w:szCs w:val="16"/>
              </w:rPr>
            </w:pPr>
            <w:r w:rsidRPr="008102AF">
              <w:rPr>
                <w:sz w:val="16"/>
                <w:szCs w:val="16"/>
              </w:rPr>
              <w:t xml:space="preserve">Cors, J. </w:t>
            </w:r>
            <w:r w:rsidR="0010235B">
              <w:rPr>
                <w:sz w:val="16"/>
                <w:szCs w:val="16"/>
              </w:rPr>
              <w:t>–</w:t>
            </w:r>
            <w:r w:rsidRPr="008102AF">
              <w:rPr>
                <w:sz w:val="16"/>
                <w:szCs w:val="16"/>
              </w:rPr>
              <w:t>C.; Gruber, A. D.; Guenther, R.; et al.</w:t>
            </w:r>
          </w:p>
          <w:p w14:paraId="00877AB7" w14:textId="77777777" w:rsidR="00FA0BB9" w:rsidRPr="008102AF" w:rsidRDefault="00FA0BB9" w:rsidP="008102AF">
            <w:pPr>
              <w:pStyle w:val="NoSpacing"/>
              <w:spacing w:before="40" w:after="40"/>
              <w:contextualSpacing/>
              <w:rPr>
                <w:sz w:val="16"/>
                <w:szCs w:val="16"/>
              </w:rPr>
            </w:pPr>
            <w:r w:rsidRPr="008102AF">
              <w:rPr>
                <w:sz w:val="16"/>
                <w:szCs w:val="16"/>
              </w:rPr>
              <w:t xml:space="preserve">POULTRY SCIENCE </w:t>
            </w:r>
          </w:p>
          <w:p w14:paraId="687B63B8" w14:textId="77777777" w:rsidR="00FA0BB9" w:rsidRPr="008102AF" w:rsidRDefault="00FA0BB9" w:rsidP="008102AF">
            <w:pPr>
              <w:pStyle w:val="NoSpacing"/>
              <w:spacing w:before="40" w:after="40"/>
              <w:contextualSpacing/>
              <w:rPr>
                <w:sz w:val="16"/>
                <w:szCs w:val="16"/>
              </w:rPr>
            </w:pPr>
            <w:r w:rsidRPr="008102AF">
              <w:rPr>
                <w:sz w:val="16"/>
                <w:szCs w:val="16"/>
              </w:rPr>
              <w:t>Volume:  94</w:t>
            </w:r>
            <w:r w:rsidR="002A1EAE" w:rsidRPr="008102AF">
              <w:rPr>
                <w:sz w:val="16"/>
                <w:szCs w:val="16"/>
              </w:rPr>
              <w:t xml:space="preserve"> </w:t>
            </w:r>
            <w:r w:rsidRPr="008102AF">
              <w:rPr>
                <w:sz w:val="16"/>
                <w:szCs w:val="16"/>
              </w:rPr>
              <w:t>Issue:  2</w:t>
            </w:r>
            <w:r w:rsidR="002A1EAE" w:rsidRPr="008102AF">
              <w:rPr>
                <w:sz w:val="16"/>
                <w:szCs w:val="16"/>
              </w:rPr>
              <w:t xml:space="preserve"> </w:t>
            </w:r>
            <w:r w:rsidRPr="008102AF">
              <w:rPr>
                <w:sz w:val="16"/>
                <w:szCs w:val="16"/>
              </w:rPr>
              <w:t>Pages:  147-155</w:t>
            </w:r>
            <w:r w:rsidR="002A1EAE" w:rsidRPr="008102AF">
              <w:rPr>
                <w:sz w:val="16"/>
                <w:szCs w:val="16"/>
              </w:rPr>
              <w:t xml:space="preserve"> </w:t>
            </w:r>
            <w:r w:rsidRPr="008102AF">
              <w:rPr>
                <w:sz w:val="16"/>
                <w:szCs w:val="16"/>
              </w:rPr>
              <w:t>Published:  FEB 2015</w:t>
            </w:r>
          </w:p>
        </w:tc>
      </w:tr>
      <w:tr w:rsidR="00FA0BB9" w:rsidRPr="00286A88" w14:paraId="161648EC" w14:textId="77777777" w:rsidTr="005F7B38">
        <w:tc>
          <w:tcPr>
            <w:tcW w:w="3628" w:type="dxa"/>
          </w:tcPr>
          <w:p w14:paraId="786B5B79" w14:textId="77777777" w:rsidR="00FA0BB9" w:rsidRPr="008C43DD" w:rsidRDefault="00FA0BB9" w:rsidP="008C43DD">
            <w:pPr>
              <w:spacing w:before="60"/>
            </w:pPr>
            <w:r w:rsidRPr="008C43DD">
              <w:t>New technology or methods for assessing welfare but no useful results yet</w:t>
            </w:r>
          </w:p>
        </w:tc>
        <w:tc>
          <w:tcPr>
            <w:tcW w:w="1020" w:type="dxa"/>
          </w:tcPr>
          <w:p w14:paraId="49A12313" w14:textId="77777777" w:rsidR="00FA0BB9" w:rsidRPr="008C43DD" w:rsidRDefault="00FA0BB9" w:rsidP="008C43DD">
            <w:pPr>
              <w:spacing w:before="60"/>
            </w:pPr>
            <w:r w:rsidRPr="008C43DD">
              <w:t>5</w:t>
            </w:r>
          </w:p>
        </w:tc>
        <w:tc>
          <w:tcPr>
            <w:tcW w:w="5329" w:type="dxa"/>
          </w:tcPr>
          <w:p w14:paraId="45CB5BF4" w14:textId="77777777" w:rsidR="00FA0BB9" w:rsidRPr="008102AF" w:rsidRDefault="00FA0BB9" w:rsidP="008102AF">
            <w:pPr>
              <w:pStyle w:val="NoSpacing"/>
              <w:spacing w:before="40" w:after="40"/>
              <w:contextualSpacing/>
              <w:rPr>
                <w:sz w:val="16"/>
                <w:szCs w:val="16"/>
              </w:rPr>
            </w:pPr>
            <w:r w:rsidRPr="008102AF">
              <w:rPr>
                <w:sz w:val="16"/>
                <w:szCs w:val="16"/>
              </w:rPr>
              <w:t xml:space="preserve">Prevalence of skin lesions in turkeys at slaughter  </w:t>
            </w:r>
          </w:p>
          <w:p w14:paraId="2593877E" w14:textId="77777777" w:rsidR="00FA0BB9" w:rsidRPr="008102AF" w:rsidRDefault="00FA0BB9" w:rsidP="008102AF">
            <w:pPr>
              <w:pStyle w:val="NoSpacing"/>
              <w:spacing w:before="40" w:after="40"/>
              <w:contextualSpacing/>
              <w:rPr>
                <w:sz w:val="16"/>
                <w:szCs w:val="16"/>
              </w:rPr>
            </w:pPr>
            <w:r w:rsidRPr="008102AF">
              <w:rPr>
                <w:sz w:val="16"/>
                <w:szCs w:val="16"/>
              </w:rPr>
              <w:t>Allain, V.; Huonnic, D.; Rouina, M.; et al.</w:t>
            </w:r>
          </w:p>
          <w:p w14:paraId="27C1BD2C" w14:textId="77777777" w:rsidR="00FA0BB9" w:rsidRPr="008102AF" w:rsidRDefault="00FA0BB9" w:rsidP="008102AF">
            <w:pPr>
              <w:pStyle w:val="NoSpacing"/>
              <w:spacing w:before="40" w:after="40"/>
              <w:contextualSpacing/>
              <w:rPr>
                <w:sz w:val="16"/>
                <w:szCs w:val="16"/>
              </w:rPr>
            </w:pPr>
            <w:r w:rsidRPr="008102AF">
              <w:rPr>
                <w:sz w:val="16"/>
                <w:szCs w:val="16"/>
              </w:rPr>
              <w:t xml:space="preserve">BRITISH POULTRY SCIENCE </w:t>
            </w:r>
          </w:p>
          <w:p w14:paraId="4E831700" w14:textId="77777777" w:rsidR="00FA0BB9" w:rsidRPr="008102AF" w:rsidRDefault="00FA0BB9" w:rsidP="008102AF">
            <w:pPr>
              <w:pStyle w:val="NoSpacing"/>
              <w:spacing w:before="40" w:after="40"/>
              <w:contextualSpacing/>
              <w:rPr>
                <w:sz w:val="16"/>
                <w:szCs w:val="16"/>
              </w:rPr>
            </w:pPr>
            <w:r w:rsidRPr="008102AF">
              <w:rPr>
                <w:sz w:val="16"/>
                <w:szCs w:val="16"/>
              </w:rPr>
              <w:t>Volume:  54</w:t>
            </w:r>
            <w:r w:rsidR="002A1EAE" w:rsidRPr="008102AF">
              <w:rPr>
                <w:sz w:val="16"/>
                <w:szCs w:val="16"/>
              </w:rPr>
              <w:t xml:space="preserve"> </w:t>
            </w:r>
            <w:r w:rsidRPr="008102AF">
              <w:rPr>
                <w:sz w:val="16"/>
                <w:szCs w:val="16"/>
              </w:rPr>
              <w:t>Issue:  1</w:t>
            </w:r>
            <w:r w:rsidR="002A1EAE" w:rsidRPr="008102AF">
              <w:rPr>
                <w:sz w:val="16"/>
                <w:szCs w:val="16"/>
              </w:rPr>
              <w:t xml:space="preserve"> </w:t>
            </w:r>
            <w:r w:rsidRPr="008102AF">
              <w:rPr>
                <w:sz w:val="16"/>
                <w:szCs w:val="16"/>
              </w:rPr>
              <w:t>Pages:  33-41</w:t>
            </w:r>
            <w:r w:rsidR="002A1EAE" w:rsidRPr="008102AF">
              <w:rPr>
                <w:sz w:val="16"/>
                <w:szCs w:val="16"/>
              </w:rPr>
              <w:t xml:space="preserve"> </w:t>
            </w:r>
            <w:r w:rsidRPr="008102AF">
              <w:rPr>
                <w:sz w:val="16"/>
                <w:szCs w:val="16"/>
              </w:rPr>
              <w:t>Published:  FEB 1 2013</w:t>
            </w:r>
          </w:p>
        </w:tc>
      </w:tr>
      <w:tr w:rsidR="00FA0BB9" w:rsidRPr="00286A88" w14:paraId="799ABACD" w14:textId="77777777" w:rsidTr="005F7B38">
        <w:tc>
          <w:tcPr>
            <w:tcW w:w="3628" w:type="dxa"/>
          </w:tcPr>
          <w:p w14:paraId="6FF84B1E" w14:textId="77777777" w:rsidR="00FA0BB9" w:rsidRPr="008C43DD" w:rsidRDefault="00FA0BB9" w:rsidP="008C43DD">
            <w:pPr>
              <w:spacing w:before="60"/>
            </w:pPr>
            <w:r w:rsidRPr="008C43DD">
              <w:t>Paper on nutrition/diet with no welfare implications</w:t>
            </w:r>
          </w:p>
        </w:tc>
        <w:tc>
          <w:tcPr>
            <w:tcW w:w="1020" w:type="dxa"/>
          </w:tcPr>
          <w:p w14:paraId="23669F62" w14:textId="77777777" w:rsidR="00FA0BB9" w:rsidRPr="008C43DD" w:rsidRDefault="00FA0BB9" w:rsidP="008C43DD">
            <w:pPr>
              <w:spacing w:before="60"/>
            </w:pPr>
            <w:r w:rsidRPr="008C43DD">
              <w:t>1</w:t>
            </w:r>
          </w:p>
        </w:tc>
        <w:tc>
          <w:tcPr>
            <w:tcW w:w="5329" w:type="dxa"/>
          </w:tcPr>
          <w:p w14:paraId="32FD3238" w14:textId="77777777" w:rsidR="00FA0BB9" w:rsidRPr="008102AF" w:rsidRDefault="00FA0BB9" w:rsidP="008102AF">
            <w:pPr>
              <w:pStyle w:val="NoSpacing"/>
              <w:spacing w:before="40" w:after="40"/>
              <w:contextualSpacing/>
              <w:rPr>
                <w:sz w:val="16"/>
                <w:szCs w:val="16"/>
              </w:rPr>
            </w:pPr>
            <w:r w:rsidRPr="008102AF">
              <w:rPr>
                <w:sz w:val="16"/>
                <w:szCs w:val="16"/>
              </w:rPr>
              <w:t>Influence of feed form and corn particle size on nutrient digestibility and energy utilization by young turkeys</w:t>
            </w:r>
          </w:p>
          <w:p w14:paraId="367C49FD" w14:textId="77777777" w:rsidR="00FA0BB9" w:rsidRPr="008102AF" w:rsidRDefault="00FA0BB9" w:rsidP="008102AF">
            <w:pPr>
              <w:pStyle w:val="NoSpacing"/>
              <w:spacing w:before="40" w:after="40"/>
              <w:contextualSpacing/>
              <w:rPr>
                <w:sz w:val="16"/>
                <w:szCs w:val="16"/>
              </w:rPr>
            </w:pPr>
            <w:r w:rsidRPr="008102AF">
              <w:rPr>
                <w:sz w:val="16"/>
                <w:szCs w:val="16"/>
              </w:rPr>
              <w:t>Favero, Andre; Maiorka, Alex; Fischer da Silva, Ana Vitoria; et al.</w:t>
            </w:r>
          </w:p>
          <w:p w14:paraId="592F38DD" w14:textId="77777777" w:rsidR="00FA0BB9" w:rsidRPr="008102AF" w:rsidRDefault="00FA0BB9" w:rsidP="008102AF">
            <w:pPr>
              <w:pStyle w:val="NoSpacing"/>
              <w:spacing w:before="40" w:after="40"/>
              <w:contextualSpacing/>
              <w:rPr>
                <w:sz w:val="16"/>
                <w:szCs w:val="16"/>
              </w:rPr>
            </w:pPr>
            <w:r w:rsidRPr="008102AF">
              <w:rPr>
                <w:sz w:val="16"/>
                <w:szCs w:val="16"/>
              </w:rPr>
              <w:t xml:space="preserve">REVISTA BRASILEIRA DE ZOOTECNIA-BRAZILIAN JOURNAL OF ANIMAL SCIENCE </w:t>
            </w:r>
          </w:p>
          <w:p w14:paraId="03A55AD8" w14:textId="77777777" w:rsidR="00FA0BB9" w:rsidRPr="008102AF" w:rsidRDefault="00FA0BB9" w:rsidP="008102AF">
            <w:pPr>
              <w:pStyle w:val="NoSpacing"/>
              <w:spacing w:before="40" w:after="40"/>
              <w:contextualSpacing/>
              <w:rPr>
                <w:sz w:val="16"/>
                <w:szCs w:val="16"/>
              </w:rPr>
            </w:pPr>
            <w:r w:rsidRPr="008102AF">
              <w:rPr>
                <w:sz w:val="16"/>
                <w:szCs w:val="16"/>
              </w:rPr>
              <w:t>Volume:  41</w:t>
            </w:r>
            <w:r w:rsidR="002A1EAE" w:rsidRPr="008102AF">
              <w:rPr>
                <w:sz w:val="16"/>
                <w:szCs w:val="16"/>
              </w:rPr>
              <w:t xml:space="preserve"> </w:t>
            </w:r>
            <w:r w:rsidRPr="008102AF">
              <w:rPr>
                <w:sz w:val="16"/>
                <w:szCs w:val="16"/>
              </w:rPr>
              <w:t>Issue:  1</w:t>
            </w:r>
            <w:r w:rsidR="002A1EAE" w:rsidRPr="008102AF">
              <w:rPr>
                <w:sz w:val="16"/>
                <w:szCs w:val="16"/>
              </w:rPr>
              <w:t xml:space="preserve"> </w:t>
            </w:r>
            <w:r w:rsidRPr="008102AF">
              <w:rPr>
                <w:sz w:val="16"/>
                <w:szCs w:val="16"/>
              </w:rPr>
              <w:t>Pages:  86-90</w:t>
            </w:r>
            <w:r w:rsidR="002A1EAE" w:rsidRPr="008102AF">
              <w:rPr>
                <w:sz w:val="16"/>
                <w:szCs w:val="16"/>
              </w:rPr>
              <w:t xml:space="preserve"> </w:t>
            </w:r>
            <w:r w:rsidRPr="008102AF">
              <w:rPr>
                <w:sz w:val="16"/>
                <w:szCs w:val="16"/>
              </w:rPr>
              <w:t>Published:  JAN 2012</w:t>
            </w:r>
          </w:p>
        </w:tc>
      </w:tr>
      <w:tr w:rsidR="00FA0BB9" w:rsidRPr="00286A88" w14:paraId="2B1E0267" w14:textId="77777777" w:rsidTr="005F7B38">
        <w:tc>
          <w:tcPr>
            <w:tcW w:w="3628" w:type="dxa"/>
          </w:tcPr>
          <w:p w14:paraId="3FFD3C5D" w14:textId="77777777" w:rsidR="00FA0BB9" w:rsidRPr="00F67C8B" w:rsidRDefault="00FA0BB9" w:rsidP="00770A44">
            <w:pPr>
              <w:spacing w:before="60" w:line="240" w:lineRule="auto"/>
              <w:rPr>
                <w:rFonts w:cs="Arial"/>
                <w:b/>
                <w:color w:val="auto"/>
                <w:szCs w:val="18"/>
              </w:rPr>
            </w:pPr>
            <w:r w:rsidRPr="00F67C8B">
              <w:rPr>
                <w:rFonts w:cs="Arial"/>
                <w:b/>
                <w:color w:val="auto"/>
                <w:szCs w:val="18"/>
              </w:rPr>
              <w:t xml:space="preserve">Papers </w:t>
            </w:r>
            <w:r w:rsidR="00770A44">
              <w:rPr>
                <w:rFonts w:cs="Arial"/>
                <w:b/>
                <w:color w:val="auto"/>
                <w:szCs w:val="18"/>
              </w:rPr>
              <w:t>excluded from primary search</w:t>
            </w:r>
          </w:p>
        </w:tc>
        <w:tc>
          <w:tcPr>
            <w:tcW w:w="1020" w:type="dxa"/>
          </w:tcPr>
          <w:p w14:paraId="71019938" w14:textId="77777777" w:rsidR="00FA0BB9" w:rsidRPr="00F67C8B" w:rsidRDefault="00770A44" w:rsidP="002B2473">
            <w:pPr>
              <w:spacing w:before="60" w:line="240" w:lineRule="auto"/>
              <w:rPr>
                <w:rFonts w:cs="Arial"/>
                <w:b/>
                <w:color w:val="auto"/>
                <w:szCs w:val="18"/>
              </w:rPr>
            </w:pPr>
            <w:r>
              <w:rPr>
                <w:rFonts w:cs="Arial"/>
                <w:b/>
                <w:color w:val="auto"/>
                <w:szCs w:val="18"/>
              </w:rPr>
              <w:t>174</w:t>
            </w:r>
          </w:p>
        </w:tc>
        <w:tc>
          <w:tcPr>
            <w:tcW w:w="5329" w:type="dxa"/>
          </w:tcPr>
          <w:p w14:paraId="655FE696" w14:textId="77777777" w:rsidR="00FA0BB9" w:rsidRPr="00F67C8B" w:rsidRDefault="00FA0BB9" w:rsidP="00770A44">
            <w:pPr>
              <w:spacing w:before="60" w:line="240" w:lineRule="auto"/>
              <w:rPr>
                <w:rFonts w:cs="Arial"/>
                <w:b/>
                <w:color w:val="auto"/>
                <w:szCs w:val="18"/>
              </w:rPr>
            </w:pPr>
            <w:r w:rsidRPr="00F67C8B">
              <w:rPr>
                <w:rFonts w:cs="Arial"/>
                <w:b/>
                <w:color w:val="auto"/>
                <w:szCs w:val="18"/>
              </w:rPr>
              <w:t xml:space="preserve">Papers </w:t>
            </w:r>
            <w:r w:rsidR="00770A44">
              <w:rPr>
                <w:rFonts w:cs="Arial"/>
                <w:b/>
                <w:color w:val="auto"/>
                <w:szCs w:val="18"/>
              </w:rPr>
              <w:t>retained from primary search: 198 – 174 = 24</w:t>
            </w:r>
          </w:p>
        </w:tc>
      </w:tr>
    </w:tbl>
    <w:p w14:paraId="394EF133" w14:textId="77777777" w:rsidR="00FA0BB9" w:rsidRPr="00590F0B" w:rsidRDefault="00FA0BB9" w:rsidP="00590F0B">
      <w:pPr>
        <w:spacing w:before="240" w:after="240"/>
        <w:rPr>
          <w:b/>
          <w:i/>
          <w:lang w:val="en-GB"/>
        </w:rPr>
      </w:pPr>
      <w:r w:rsidRPr="00590F0B">
        <w:rPr>
          <w:b/>
          <w:i/>
          <w:lang w:val="en-GB"/>
        </w:rPr>
        <w:t>Turkey Secondary Searches</w:t>
      </w:r>
    </w:p>
    <w:tbl>
      <w:tblPr>
        <w:tblStyle w:val="TableGrid2"/>
        <w:tblW w:w="0" w:type="auto"/>
        <w:tblLook w:val="04A0" w:firstRow="1" w:lastRow="0" w:firstColumn="1" w:lastColumn="0" w:noHBand="0" w:noVBand="1"/>
        <w:tblCaption w:val="Results of secondary literature searches for turkeys"/>
        <w:tblDescription w:val="This table shows the results of secondary literature searches for turkeys. The left hand column shows the search terms used in the secondary searches. The second column shows the number of papers returned from each of these searches. The third column shows the number of papers from additional refinements of these secondary searches. The right hand column shows the number of papers retained from these searches."/>
      </w:tblPr>
      <w:tblGrid>
        <w:gridCol w:w="3832"/>
        <w:gridCol w:w="1020"/>
        <w:gridCol w:w="3969"/>
        <w:gridCol w:w="1134"/>
      </w:tblGrid>
      <w:tr w:rsidR="00FA0BB9" w:rsidRPr="00286A88" w14:paraId="427D74A7" w14:textId="77777777" w:rsidTr="00587D34">
        <w:trPr>
          <w:tblHeader/>
        </w:trPr>
        <w:tc>
          <w:tcPr>
            <w:tcW w:w="3832" w:type="dxa"/>
            <w:shd w:val="clear" w:color="auto" w:fill="auto"/>
          </w:tcPr>
          <w:p w14:paraId="24880BD1" w14:textId="77777777" w:rsidR="00FA0BB9" w:rsidRPr="008970FA" w:rsidRDefault="00FA0BB9" w:rsidP="008970FA">
            <w:pPr>
              <w:spacing w:before="60" w:line="240" w:lineRule="auto"/>
              <w:rPr>
                <w:rFonts w:cs="Arial"/>
                <w:b/>
                <w:color w:val="auto"/>
                <w:szCs w:val="18"/>
              </w:rPr>
            </w:pPr>
            <w:r w:rsidRPr="008970FA">
              <w:rPr>
                <w:rFonts w:cs="Arial"/>
                <w:b/>
                <w:color w:val="auto"/>
                <w:szCs w:val="18"/>
              </w:rPr>
              <w:t xml:space="preserve">Search terms for synonyms of species or welfare </w:t>
            </w:r>
          </w:p>
        </w:tc>
        <w:tc>
          <w:tcPr>
            <w:tcW w:w="1020" w:type="dxa"/>
            <w:shd w:val="clear" w:color="auto" w:fill="auto"/>
          </w:tcPr>
          <w:p w14:paraId="123A260C" w14:textId="77777777" w:rsidR="00FA0BB9" w:rsidRPr="008970FA" w:rsidRDefault="00FA0BB9" w:rsidP="008970FA">
            <w:pPr>
              <w:spacing w:before="60" w:line="240" w:lineRule="auto"/>
              <w:rPr>
                <w:rFonts w:cs="Arial"/>
                <w:color w:val="auto"/>
                <w:szCs w:val="18"/>
              </w:rPr>
            </w:pPr>
            <w:r w:rsidRPr="008970FA">
              <w:rPr>
                <w:rFonts w:cs="Arial"/>
                <w:color w:val="auto"/>
                <w:szCs w:val="18"/>
              </w:rPr>
              <w:t>Hits</w:t>
            </w:r>
          </w:p>
        </w:tc>
        <w:tc>
          <w:tcPr>
            <w:tcW w:w="3969" w:type="dxa"/>
            <w:shd w:val="clear" w:color="auto" w:fill="auto"/>
          </w:tcPr>
          <w:p w14:paraId="5BD25B05" w14:textId="77777777" w:rsidR="00FA0BB9" w:rsidRPr="008970FA" w:rsidRDefault="00FA0BB9" w:rsidP="004C1EB8">
            <w:pPr>
              <w:spacing w:before="60" w:line="240" w:lineRule="auto"/>
              <w:rPr>
                <w:rFonts w:cs="Arial"/>
                <w:color w:val="auto"/>
                <w:szCs w:val="18"/>
              </w:rPr>
            </w:pPr>
            <w:r w:rsidRPr="008970FA">
              <w:rPr>
                <w:rFonts w:cs="Arial"/>
                <w:color w:val="auto"/>
                <w:szCs w:val="18"/>
              </w:rPr>
              <w:t xml:space="preserve">Refined </w:t>
            </w:r>
            <w:r w:rsidR="004C1EB8">
              <w:rPr>
                <w:rFonts w:cs="Arial"/>
                <w:color w:val="auto"/>
                <w:szCs w:val="18"/>
              </w:rPr>
              <w:t>B</w:t>
            </w:r>
            <w:r w:rsidRPr="008970FA">
              <w:rPr>
                <w:rFonts w:cs="Arial"/>
                <w:color w:val="auto"/>
                <w:szCs w:val="18"/>
              </w:rPr>
              <w:t>y</w:t>
            </w:r>
          </w:p>
        </w:tc>
        <w:tc>
          <w:tcPr>
            <w:tcW w:w="1134" w:type="dxa"/>
            <w:shd w:val="clear" w:color="auto" w:fill="auto"/>
          </w:tcPr>
          <w:p w14:paraId="2FFAC5A7" w14:textId="77777777" w:rsidR="00354982" w:rsidRPr="008970FA" w:rsidRDefault="00FA0BB9" w:rsidP="008970FA">
            <w:pPr>
              <w:spacing w:before="60" w:line="240" w:lineRule="auto"/>
              <w:rPr>
                <w:rFonts w:cs="Arial"/>
                <w:color w:val="auto"/>
                <w:szCs w:val="18"/>
              </w:rPr>
            </w:pPr>
            <w:r w:rsidRPr="008970FA">
              <w:rPr>
                <w:rFonts w:cs="Arial"/>
                <w:color w:val="auto"/>
                <w:szCs w:val="18"/>
              </w:rPr>
              <w:t>Additional Papers</w:t>
            </w:r>
            <w:r w:rsidR="00354982">
              <w:rPr>
                <w:rFonts w:cs="Arial"/>
                <w:color w:val="auto"/>
                <w:szCs w:val="18"/>
              </w:rPr>
              <w:t xml:space="preserve"> Included</w:t>
            </w:r>
          </w:p>
        </w:tc>
      </w:tr>
      <w:tr w:rsidR="00FA0BB9" w:rsidRPr="00286A88" w14:paraId="34CB1836" w14:textId="77777777" w:rsidTr="00354982">
        <w:tc>
          <w:tcPr>
            <w:tcW w:w="3832" w:type="dxa"/>
          </w:tcPr>
          <w:p w14:paraId="61F11477" w14:textId="77777777" w:rsidR="00FA0BB9" w:rsidRPr="008970FA" w:rsidRDefault="00FA0BB9" w:rsidP="008970FA">
            <w:pPr>
              <w:spacing w:before="60" w:line="240" w:lineRule="auto"/>
              <w:rPr>
                <w:rFonts w:cs="Arial"/>
                <w:color w:val="auto"/>
                <w:szCs w:val="18"/>
              </w:rPr>
            </w:pPr>
            <w:r w:rsidRPr="008970FA">
              <w:rPr>
                <w:rFonts w:cs="Arial"/>
                <w:color w:val="auto"/>
                <w:szCs w:val="18"/>
              </w:rPr>
              <w:t xml:space="preserve">health AND turkey* OR health AND </w:t>
            </w:r>
            <w:r w:rsidRPr="008970FA">
              <w:rPr>
                <w:rFonts w:cs="Arial"/>
                <w:iCs/>
                <w:color w:val="auto"/>
                <w:szCs w:val="18"/>
              </w:rPr>
              <w:t>Meleagris</w:t>
            </w:r>
            <w:r w:rsidRPr="008970FA">
              <w:rPr>
                <w:rFonts w:cs="Arial"/>
                <w:color w:val="auto"/>
                <w:szCs w:val="18"/>
              </w:rPr>
              <w:t xml:space="preserve"> NOT fritillaria</w:t>
            </w:r>
          </w:p>
        </w:tc>
        <w:tc>
          <w:tcPr>
            <w:tcW w:w="1020" w:type="dxa"/>
          </w:tcPr>
          <w:p w14:paraId="78AB0559" w14:textId="77777777" w:rsidR="00FA0BB9" w:rsidRPr="008970FA" w:rsidRDefault="00FA0BB9" w:rsidP="008970FA">
            <w:pPr>
              <w:spacing w:before="60" w:line="240" w:lineRule="auto"/>
              <w:rPr>
                <w:rFonts w:cs="Arial"/>
                <w:color w:val="auto"/>
                <w:szCs w:val="18"/>
              </w:rPr>
            </w:pPr>
            <w:r w:rsidRPr="008970FA">
              <w:rPr>
                <w:rFonts w:cs="Arial"/>
                <w:color w:val="auto"/>
                <w:szCs w:val="18"/>
              </w:rPr>
              <w:t>5418</w:t>
            </w:r>
          </w:p>
        </w:tc>
        <w:tc>
          <w:tcPr>
            <w:tcW w:w="3969" w:type="dxa"/>
          </w:tcPr>
          <w:p w14:paraId="53F92BA8" w14:textId="77777777" w:rsidR="00FA0BB9" w:rsidRPr="008970FA" w:rsidRDefault="00FA0BB9" w:rsidP="008970FA">
            <w:pPr>
              <w:spacing w:before="60" w:line="240" w:lineRule="auto"/>
              <w:rPr>
                <w:rFonts w:cs="Arial"/>
                <w:color w:val="auto"/>
                <w:szCs w:val="18"/>
              </w:rPr>
            </w:pPr>
            <w:r w:rsidRPr="008970FA">
              <w:rPr>
                <w:rFonts w:cs="Arial"/>
                <w:color w:val="auto"/>
                <w:szCs w:val="18"/>
              </w:rPr>
              <w:t>Included: Veterinary sciences; agriculture dairy animal science; behavioural sciences; biology; zoology</w:t>
            </w:r>
          </w:p>
          <w:p w14:paraId="190C9D7B" w14:textId="77777777" w:rsidR="00FA0BB9" w:rsidRPr="008970FA" w:rsidRDefault="00FA0BB9" w:rsidP="008970FA">
            <w:pPr>
              <w:spacing w:before="60" w:line="240" w:lineRule="auto"/>
              <w:rPr>
                <w:rFonts w:cs="Arial"/>
                <w:color w:val="auto"/>
                <w:szCs w:val="18"/>
              </w:rPr>
            </w:pPr>
            <w:r w:rsidRPr="008970FA">
              <w:rPr>
                <w:rFonts w:cs="Arial"/>
                <w:color w:val="auto"/>
                <w:szCs w:val="18"/>
              </w:rPr>
              <w:t>454</w:t>
            </w:r>
          </w:p>
        </w:tc>
        <w:tc>
          <w:tcPr>
            <w:tcW w:w="1134" w:type="dxa"/>
          </w:tcPr>
          <w:p w14:paraId="14023C2C" w14:textId="77777777" w:rsidR="00FA0BB9" w:rsidRPr="008970FA" w:rsidRDefault="00FA0BB9" w:rsidP="008970FA">
            <w:pPr>
              <w:spacing w:before="60" w:line="240" w:lineRule="auto"/>
              <w:rPr>
                <w:rFonts w:cs="Arial"/>
                <w:color w:val="auto"/>
                <w:szCs w:val="18"/>
              </w:rPr>
            </w:pPr>
            <w:r w:rsidRPr="008970FA">
              <w:rPr>
                <w:rFonts w:cs="Arial"/>
                <w:color w:val="auto"/>
                <w:szCs w:val="18"/>
              </w:rPr>
              <w:t>7</w:t>
            </w:r>
          </w:p>
        </w:tc>
      </w:tr>
      <w:tr w:rsidR="00FA0BB9" w:rsidRPr="00286A88" w14:paraId="61220497" w14:textId="77777777" w:rsidTr="00354982">
        <w:tc>
          <w:tcPr>
            <w:tcW w:w="3832" w:type="dxa"/>
          </w:tcPr>
          <w:p w14:paraId="6E6C9A3E" w14:textId="77777777" w:rsidR="00FA0BB9" w:rsidRPr="008970FA" w:rsidRDefault="00FA0BB9" w:rsidP="008970FA">
            <w:pPr>
              <w:spacing w:before="60" w:line="240" w:lineRule="auto"/>
              <w:rPr>
                <w:rFonts w:cs="Arial"/>
                <w:color w:val="auto"/>
                <w:szCs w:val="18"/>
              </w:rPr>
            </w:pPr>
            <w:r w:rsidRPr="008970FA">
              <w:rPr>
                <w:rFonts w:cs="Arial"/>
                <w:color w:val="auto"/>
                <w:szCs w:val="18"/>
              </w:rPr>
              <w:t>stress AND turkey* OR stress AND Meleagris NOT fritillaria</w:t>
            </w:r>
          </w:p>
        </w:tc>
        <w:tc>
          <w:tcPr>
            <w:tcW w:w="1020" w:type="dxa"/>
          </w:tcPr>
          <w:p w14:paraId="5766396E" w14:textId="77777777" w:rsidR="00FA0BB9" w:rsidRPr="008970FA" w:rsidRDefault="00FA0BB9" w:rsidP="008970FA">
            <w:pPr>
              <w:spacing w:before="60" w:line="240" w:lineRule="auto"/>
              <w:rPr>
                <w:rFonts w:cs="Arial"/>
                <w:color w:val="auto"/>
                <w:szCs w:val="18"/>
              </w:rPr>
            </w:pPr>
            <w:r w:rsidRPr="008970FA">
              <w:rPr>
                <w:rFonts w:cs="Arial"/>
                <w:color w:val="auto"/>
                <w:szCs w:val="18"/>
              </w:rPr>
              <w:t>1962</w:t>
            </w:r>
          </w:p>
        </w:tc>
        <w:tc>
          <w:tcPr>
            <w:tcW w:w="3969" w:type="dxa"/>
          </w:tcPr>
          <w:p w14:paraId="07B60303" w14:textId="77777777" w:rsidR="00FA0BB9" w:rsidRPr="008970FA" w:rsidRDefault="00FA0BB9" w:rsidP="008970FA">
            <w:pPr>
              <w:spacing w:before="60" w:line="240" w:lineRule="auto"/>
              <w:rPr>
                <w:rFonts w:cs="Arial"/>
                <w:color w:val="auto"/>
                <w:szCs w:val="18"/>
              </w:rPr>
            </w:pPr>
            <w:r w:rsidRPr="008970FA">
              <w:rPr>
                <w:rFonts w:cs="Arial"/>
                <w:color w:val="auto"/>
                <w:szCs w:val="18"/>
              </w:rPr>
              <w:t>Included: Veterinary sciences; agriculture dairy animal science; behavioural sciences; biology; zoology</w:t>
            </w:r>
          </w:p>
          <w:p w14:paraId="6C9E3998" w14:textId="77777777" w:rsidR="00FA0BB9" w:rsidRPr="008970FA" w:rsidRDefault="00FA0BB9" w:rsidP="008970FA">
            <w:pPr>
              <w:spacing w:before="60" w:line="240" w:lineRule="auto"/>
              <w:rPr>
                <w:rFonts w:cs="Arial"/>
                <w:color w:val="auto"/>
                <w:szCs w:val="18"/>
              </w:rPr>
            </w:pPr>
            <w:r w:rsidRPr="008970FA">
              <w:rPr>
                <w:rFonts w:cs="Arial"/>
                <w:color w:val="auto"/>
                <w:szCs w:val="18"/>
              </w:rPr>
              <w:t>294</w:t>
            </w:r>
          </w:p>
        </w:tc>
        <w:tc>
          <w:tcPr>
            <w:tcW w:w="1134" w:type="dxa"/>
          </w:tcPr>
          <w:p w14:paraId="0D145C35" w14:textId="77777777" w:rsidR="00FA0BB9" w:rsidRPr="008970FA" w:rsidRDefault="00FA0BB9" w:rsidP="008970FA">
            <w:pPr>
              <w:spacing w:before="60" w:line="240" w:lineRule="auto"/>
              <w:rPr>
                <w:rFonts w:cs="Arial"/>
                <w:color w:val="auto"/>
                <w:szCs w:val="18"/>
              </w:rPr>
            </w:pPr>
            <w:r w:rsidRPr="008970FA">
              <w:rPr>
                <w:rFonts w:cs="Arial"/>
                <w:color w:val="auto"/>
                <w:szCs w:val="18"/>
              </w:rPr>
              <w:t>5</w:t>
            </w:r>
          </w:p>
        </w:tc>
      </w:tr>
      <w:tr w:rsidR="00FA0BB9" w:rsidRPr="00286A88" w14:paraId="45D8D92C" w14:textId="77777777" w:rsidTr="00354982">
        <w:tc>
          <w:tcPr>
            <w:tcW w:w="3832" w:type="dxa"/>
          </w:tcPr>
          <w:p w14:paraId="7116FC8E" w14:textId="77777777" w:rsidR="00FA0BB9" w:rsidRPr="008970FA" w:rsidRDefault="00FA0BB9" w:rsidP="008970FA">
            <w:pPr>
              <w:spacing w:before="60" w:line="240" w:lineRule="auto"/>
              <w:rPr>
                <w:rFonts w:cs="Arial"/>
                <w:color w:val="auto"/>
                <w:szCs w:val="18"/>
              </w:rPr>
            </w:pPr>
            <w:r w:rsidRPr="008970FA">
              <w:rPr>
                <w:rFonts w:cs="Arial"/>
                <w:color w:val="auto"/>
                <w:szCs w:val="18"/>
              </w:rPr>
              <w:t>fear AND turkey* OR fear AND Meleagris NOT fritillaria</w:t>
            </w:r>
          </w:p>
        </w:tc>
        <w:tc>
          <w:tcPr>
            <w:tcW w:w="1020" w:type="dxa"/>
          </w:tcPr>
          <w:p w14:paraId="19E3BC6A" w14:textId="77777777" w:rsidR="00FA0BB9" w:rsidRPr="008970FA" w:rsidRDefault="00FA0BB9" w:rsidP="008970FA">
            <w:pPr>
              <w:spacing w:before="60" w:line="240" w:lineRule="auto"/>
              <w:rPr>
                <w:rFonts w:cs="Arial"/>
                <w:color w:val="auto"/>
                <w:szCs w:val="18"/>
              </w:rPr>
            </w:pPr>
            <w:r w:rsidRPr="008970FA">
              <w:rPr>
                <w:rFonts w:cs="Arial"/>
                <w:color w:val="auto"/>
                <w:szCs w:val="18"/>
              </w:rPr>
              <w:t>144</w:t>
            </w:r>
          </w:p>
        </w:tc>
        <w:tc>
          <w:tcPr>
            <w:tcW w:w="3969" w:type="dxa"/>
          </w:tcPr>
          <w:p w14:paraId="50BFE67B" w14:textId="77777777" w:rsidR="00FA0BB9" w:rsidRPr="008970FA" w:rsidRDefault="00FA0BB9" w:rsidP="008970FA">
            <w:pPr>
              <w:spacing w:before="60" w:line="240" w:lineRule="auto"/>
              <w:rPr>
                <w:rFonts w:cs="Arial"/>
                <w:color w:val="auto"/>
                <w:szCs w:val="18"/>
              </w:rPr>
            </w:pPr>
          </w:p>
        </w:tc>
        <w:tc>
          <w:tcPr>
            <w:tcW w:w="1134" w:type="dxa"/>
          </w:tcPr>
          <w:p w14:paraId="6CF9CA75"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r>
      <w:tr w:rsidR="00FA0BB9" w:rsidRPr="00286A88" w14:paraId="302CA2B0" w14:textId="77777777" w:rsidTr="00354982">
        <w:tc>
          <w:tcPr>
            <w:tcW w:w="3832" w:type="dxa"/>
          </w:tcPr>
          <w:p w14:paraId="2B1051C4" w14:textId="77777777" w:rsidR="00FA0BB9" w:rsidRPr="008970FA" w:rsidRDefault="00FA0BB9" w:rsidP="008970FA">
            <w:pPr>
              <w:spacing w:before="60" w:line="240" w:lineRule="auto"/>
              <w:rPr>
                <w:rFonts w:cs="Arial"/>
                <w:color w:val="auto"/>
                <w:szCs w:val="18"/>
              </w:rPr>
            </w:pPr>
            <w:r w:rsidRPr="008970FA">
              <w:rPr>
                <w:rFonts w:cs="Arial"/>
                <w:color w:val="auto"/>
                <w:szCs w:val="18"/>
              </w:rPr>
              <w:t>injur* AND turkey* OR injur* AND Meleagris NOT fritillaria</w:t>
            </w:r>
          </w:p>
        </w:tc>
        <w:tc>
          <w:tcPr>
            <w:tcW w:w="1020" w:type="dxa"/>
          </w:tcPr>
          <w:p w14:paraId="2C1D8B72" w14:textId="77777777" w:rsidR="00FA0BB9" w:rsidRPr="008970FA" w:rsidRDefault="00FA0BB9" w:rsidP="008970FA">
            <w:pPr>
              <w:spacing w:before="60" w:line="240" w:lineRule="auto"/>
              <w:rPr>
                <w:rFonts w:cs="Arial"/>
                <w:color w:val="auto"/>
                <w:szCs w:val="18"/>
              </w:rPr>
            </w:pPr>
            <w:r w:rsidRPr="008970FA">
              <w:rPr>
                <w:rFonts w:cs="Arial"/>
                <w:color w:val="auto"/>
                <w:szCs w:val="18"/>
              </w:rPr>
              <w:t>903</w:t>
            </w:r>
          </w:p>
        </w:tc>
        <w:tc>
          <w:tcPr>
            <w:tcW w:w="3969" w:type="dxa"/>
          </w:tcPr>
          <w:p w14:paraId="047B5395" w14:textId="77777777" w:rsidR="00FA0BB9" w:rsidRPr="008970FA" w:rsidRDefault="00FA0BB9" w:rsidP="008970FA">
            <w:pPr>
              <w:spacing w:before="60" w:line="240" w:lineRule="auto"/>
              <w:rPr>
                <w:rFonts w:cs="Arial"/>
                <w:color w:val="auto"/>
                <w:szCs w:val="18"/>
              </w:rPr>
            </w:pPr>
            <w:r w:rsidRPr="008970FA">
              <w:rPr>
                <w:rFonts w:cs="Arial"/>
                <w:color w:val="auto"/>
                <w:szCs w:val="18"/>
              </w:rPr>
              <w:t>Included: Veterinary sciences; agriculture dairy animal science; behavioural sciences; biology; zoology</w:t>
            </w:r>
          </w:p>
          <w:p w14:paraId="0A423354" w14:textId="77777777" w:rsidR="00FA0BB9" w:rsidRPr="008970FA" w:rsidRDefault="00FA0BB9" w:rsidP="008970FA">
            <w:pPr>
              <w:spacing w:before="60" w:line="240" w:lineRule="auto"/>
              <w:rPr>
                <w:rFonts w:cs="Arial"/>
                <w:color w:val="auto"/>
                <w:szCs w:val="18"/>
              </w:rPr>
            </w:pPr>
            <w:r w:rsidRPr="008970FA">
              <w:rPr>
                <w:rFonts w:cs="Arial"/>
                <w:color w:val="auto"/>
                <w:szCs w:val="18"/>
              </w:rPr>
              <w:t>55</w:t>
            </w:r>
          </w:p>
        </w:tc>
        <w:tc>
          <w:tcPr>
            <w:tcW w:w="1134" w:type="dxa"/>
          </w:tcPr>
          <w:p w14:paraId="28B7D9D6" w14:textId="77777777" w:rsidR="00FA0BB9" w:rsidRPr="008970FA" w:rsidRDefault="00FA0BB9" w:rsidP="008970FA">
            <w:pPr>
              <w:spacing w:before="60" w:line="240" w:lineRule="auto"/>
              <w:rPr>
                <w:rFonts w:cs="Arial"/>
                <w:color w:val="auto"/>
                <w:szCs w:val="18"/>
              </w:rPr>
            </w:pPr>
            <w:r w:rsidRPr="008970FA">
              <w:rPr>
                <w:rFonts w:cs="Arial"/>
                <w:color w:val="auto"/>
                <w:szCs w:val="18"/>
              </w:rPr>
              <w:t>2</w:t>
            </w:r>
          </w:p>
        </w:tc>
      </w:tr>
      <w:tr w:rsidR="00FA0BB9" w:rsidRPr="00286A88" w14:paraId="371E4326" w14:textId="77777777" w:rsidTr="00354982">
        <w:tc>
          <w:tcPr>
            <w:tcW w:w="3832" w:type="dxa"/>
          </w:tcPr>
          <w:p w14:paraId="3B69F967" w14:textId="77777777" w:rsidR="00FA0BB9" w:rsidRPr="008970FA" w:rsidRDefault="00FA0BB9" w:rsidP="008970FA">
            <w:pPr>
              <w:spacing w:before="60" w:line="240" w:lineRule="auto"/>
              <w:rPr>
                <w:rFonts w:cs="Arial"/>
                <w:color w:val="auto"/>
                <w:szCs w:val="18"/>
              </w:rPr>
            </w:pPr>
            <w:r w:rsidRPr="008970FA">
              <w:rPr>
                <w:rFonts w:cs="Arial"/>
                <w:color w:val="auto"/>
                <w:szCs w:val="18"/>
              </w:rPr>
              <w:t>cull* AND turkey* OR cull* AND Meleagris NOT fritillaria</w:t>
            </w:r>
          </w:p>
        </w:tc>
        <w:tc>
          <w:tcPr>
            <w:tcW w:w="1020" w:type="dxa"/>
          </w:tcPr>
          <w:p w14:paraId="6B91B87C" w14:textId="77777777" w:rsidR="00FA0BB9" w:rsidRPr="008970FA" w:rsidRDefault="00FA0BB9" w:rsidP="008970FA">
            <w:pPr>
              <w:spacing w:before="60" w:line="240" w:lineRule="auto"/>
              <w:rPr>
                <w:rFonts w:cs="Arial"/>
                <w:color w:val="auto"/>
                <w:szCs w:val="18"/>
              </w:rPr>
            </w:pPr>
            <w:r w:rsidRPr="008970FA">
              <w:rPr>
                <w:rFonts w:cs="Arial"/>
                <w:color w:val="auto"/>
                <w:szCs w:val="18"/>
              </w:rPr>
              <w:t>60</w:t>
            </w:r>
          </w:p>
        </w:tc>
        <w:tc>
          <w:tcPr>
            <w:tcW w:w="3969" w:type="dxa"/>
          </w:tcPr>
          <w:p w14:paraId="505F659B" w14:textId="77777777" w:rsidR="00FA0BB9" w:rsidRPr="008970FA" w:rsidRDefault="00FA0BB9" w:rsidP="008970FA">
            <w:pPr>
              <w:spacing w:before="60" w:line="240" w:lineRule="auto"/>
              <w:rPr>
                <w:rFonts w:cs="Arial"/>
                <w:color w:val="auto"/>
                <w:szCs w:val="18"/>
              </w:rPr>
            </w:pPr>
          </w:p>
        </w:tc>
        <w:tc>
          <w:tcPr>
            <w:tcW w:w="1134" w:type="dxa"/>
          </w:tcPr>
          <w:p w14:paraId="76C9CF2F" w14:textId="77777777" w:rsidR="00FA0BB9" w:rsidRPr="008970FA" w:rsidRDefault="00FA0BB9" w:rsidP="008970FA">
            <w:pPr>
              <w:spacing w:before="60" w:line="240" w:lineRule="auto"/>
              <w:rPr>
                <w:rFonts w:cs="Arial"/>
                <w:color w:val="auto"/>
                <w:szCs w:val="18"/>
              </w:rPr>
            </w:pPr>
            <w:r w:rsidRPr="008970FA">
              <w:rPr>
                <w:rFonts w:cs="Arial"/>
                <w:color w:val="auto"/>
                <w:szCs w:val="18"/>
              </w:rPr>
              <w:t>1</w:t>
            </w:r>
          </w:p>
        </w:tc>
      </w:tr>
      <w:tr w:rsidR="00FA0BB9" w:rsidRPr="00286A88" w14:paraId="4F889738" w14:textId="77777777" w:rsidTr="00354982">
        <w:tc>
          <w:tcPr>
            <w:tcW w:w="3832" w:type="dxa"/>
          </w:tcPr>
          <w:p w14:paraId="1F02D310" w14:textId="77777777" w:rsidR="00FA0BB9" w:rsidRPr="008970FA" w:rsidRDefault="00FA0BB9" w:rsidP="008970FA">
            <w:pPr>
              <w:spacing w:before="60" w:line="240" w:lineRule="auto"/>
              <w:rPr>
                <w:rFonts w:cs="Arial"/>
                <w:color w:val="auto"/>
                <w:szCs w:val="18"/>
              </w:rPr>
            </w:pPr>
            <w:r w:rsidRPr="008970FA">
              <w:rPr>
                <w:rFonts w:cs="Arial"/>
                <w:color w:val="auto"/>
                <w:szCs w:val="18"/>
              </w:rPr>
              <w:t>mortali* AND turkey* OR mortali* AND Meleagris NOT fritillaria</w:t>
            </w:r>
          </w:p>
        </w:tc>
        <w:tc>
          <w:tcPr>
            <w:tcW w:w="1020" w:type="dxa"/>
          </w:tcPr>
          <w:p w14:paraId="4A67C083" w14:textId="77777777" w:rsidR="00FA0BB9" w:rsidRPr="008970FA" w:rsidRDefault="00FA0BB9" w:rsidP="008970FA">
            <w:pPr>
              <w:spacing w:before="60" w:line="240" w:lineRule="auto"/>
              <w:rPr>
                <w:rFonts w:cs="Arial"/>
                <w:color w:val="auto"/>
                <w:szCs w:val="18"/>
              </w:rPr>
            </w:pPr>
            <w:r w:rsidRPr="008970FA">
              <w:rPr>
                <w:rFonts w:cs="Arial"/>
                <w:color w:val="auto"/>
                <w:szCs w:val="18"/>
              </w:rPr>
              <w:t>2173</w:t>
            </w:r>
          </w:p>
        </w:tc>
        <w:tc>
          <w:tcPr>
            <w:tcW w:w="3969" w:type="dxa"/>
          </w:tcPr>
          <w:p w14:paraId="0951482C" w14:textId="77777777" w:rsidR="00FA0BB9" w:rsidRPr="008970FA" w:rsidRDefault="00FA0BB9" w:rsidP="008970FA">
            <w:pPr>
              <w:spacing w:before="60" w:line="240" w:lineRule="auto"/>
              <w:rPr>
                <w:rFonts w:cs="Arial"/>
                <w:color w:val="auto"/>
                <w:szCs w:val="18"/>
              </w:rPr>
            </w:pPr>
            <w:r w:rsidRPr="008970FA">
              <w:rPr>
                <w:rFonts w:cs="Arial"/>
                <w:color w:val="auto"/>
                <w:szCs w:val="18"/>
              </w:rPr>
              <w:t>Included: Veterinary sciences; agriculture dairy animal science; behavioural sciences; biology; zoology</w:t>
            </w:r>
          </w:p>
          <w:p w14:paraId="0E4A66A7" w14:textId="77777777" w:rsidR="00FA0BB9" w:rsidRPr="008970FA" w:rsidRDefault="00FA0BB9" w:rsidP="008970FA">
            <w:pPr>
              <w:spacing w:before="60" w:line="240" w:lineRule="auto"/>
              <w:rPr>
                <w:rFonts w:cs="Arial"/>
                <w:color w:val="auto"/>
                <w:szCs w:val="18"/>
              </w:rPr>
            </w:pPr>
            <w:r w:rsidRPr="008970FA">
              <w:rPr>
                <w:rFonts w:cs="Arial"/>
                <w:color w:val="auto"/>
                <w:szCs w:val="18"/>
              </w:rPr>
              <w:t>661</w:t>
            </w:r>
          </w:p>
        </w:tc>
        <w:tc>
          <w:tcPr>
            <w:tcW w:w="1134" w:type="dxa"/>
          </w:tcPr>
          <w:p w14:paraId="5750BDA7" w14:textId="77777777" w:rsidR="00FA0BB9" w:rsidRPr="008970FA" w:rsidRDefault="00FA0BB9" w:rsidP="008970FA">
            <w:pPr>
              <w:spacing w:before="60" w:line="240" w:lineRule="auto"/>
              <w:rPr>
                <w:rFonts w:cs="Arial"/>
                <w:color w:val="auto"/>
                <w:szCs w:val="18"/>
              </w:rPr>
            </w:pPr>
            <w:r w:rsidRPr="008970FA">
              <w:rPr>
                <w:rFonts w:cs="Arial"/>
                <w:color w:val="auto"/>
                <w:szCs w:val="18"/>
              </w:rPr>
              <w:t>14</w:t>
            </w:r>
          </w:p>
        </w:tc>
      </w:tr>
      <w:tr w:rsidR="00FA0BB9" w:rsidRPr="00286A88" w14:paraId="64417234" w14:textId="77777777" w:rsidTr="00354982">
        <w:tc>
          <w:tcPr>
            <w:tcW w:w="3832" w:type="dxa"/>
          </w:tcPr>
          <w:p w14:paraId="461E1A3B" w14:textId="77777777" w:rsidR="00FA0BB9" w:rsidRPr="008970FA" w:rsidRDefault="00FA0BB9" w:rsidP="008970FA">
            <w:pPr>
              <w:spacing w:before="60" w:line="240" w:lineRule="auto"/>
              <w:rPr>
                <w:rFonts w:cs="Arial"/>
                <w:color w:val="auto"/>
                <w:szCs w:val="18"/>
              </w:rPr>
            </w:pPr>
            <w:r w:rsidRPr="008970FA">
              <w:rPr>
                <w:rFonts w:cs="Arial"/>
                <w:color w:val="333333"/>
                <w:szCs w:val="18"/>
              </w:rPr>
              <w:t>density* AND turkey* OR density* AND Meleagris NOT fritillaria</w:t>
            </w:r>
          </w:p>
        </w:tc>
        <w:tc>
          <w:tcPr>
            <w:tcW w:w="1020" w:type="dxa"/>
          </w:tcPr>
          <w:p w14:paraId="0BE12FF0" w14:textId="77777777" w:rsidR="00FA0BB9" w:rsidRPr="008970FA" w:rsidRDefault="00FA0BB9" w:rsidP="008970FA">
            <w:pPr>
              <w:spacing w:before="60" w:line="240" w:lineRule="auto"/>
              <w:rPr>
                <w:rFonts w:cs="Arial"/>
                <w:color w:val="auto"/>
                <w:szCs w:val="18"/>
              </w:rPr>
            </w:pPr>
            <w:r w:rsidRPr="008970FA">
              <w:rPr>
                <w:rFonts w:cs="Arial"/>
                <w:color w:val="auto"/>
                <w:szCs w:val="18"/>
              </w:rPr>
              <w:t>1904</w:t>
            </w:r>
          </w:p>
        </w:tc>
        <w:tc>
          <w:tcPr>
            <w:tcW w:w="3969" w:type="dxa"/>
          </w:tcPr>
          <w:p w14:paraId="58F8D03F" w14:textId="77777777" w:rsidR="00FA0BB9" w:rsidRPr="008970FA" w:rsidRDefault="00FA0BB9" w:rsidP="008970FA">
            <w:pPr>
              <w:spacing w:before="60" w:line="240" w:lineRule="auto"/>
              <w:rPr>
                <w:rFonts w:cs="Arial"/>
                <w:color w:val="auto"/>
                <w:szCs w:val="18"/>
              </w:rPr>
            </w:pPr>
            <w:r w:rsidRPr="008970FA">
              <w:rPr>
                <w:rFonts w:cs="Arial"/>
                <w:color w:val="auto"/>
                <w:szCs w:val="18"/>
              </w:rPr>
              <w:t>Included: Veterinary sciences; agriculture dairy animal science; biology; zoology (behavioural sciences not an option)</w:t>
            </w:r>
          </w:p>
          <w:p w14:paraId="5C59D45B" w14:textId="77777777" w:rsidR="00FA0BB9" w:rsidRPr="008970FA" w:rsidRDefault="00FA0BB9" w:rsidP="008970FA">
            <w:pPr>
              <w:spacing w:before="60" w:line="240" w:lineRule="auto"/>
              <w:rPr>
                <w:rFonts w:cs="Arial"/>
                <w:color w:val="auto"/>
                <w:szCs w:val="18"/>
              </w:rPr>
            </w:pPr>
            <w:r w:rsidRPr="008970FA">
              <w:rPr>
                <w:rFonts w:cs="Arial"/>
                <w:color w:val="auto"/>
                <w:szCs w:val="18"/>
              </w:rPr>
              <w:t>298</w:t>
            </w:r>
          </w:p>
        </w:tc>
        <w:tc>
          <w:tcPr>
            <w:tcW w:w="1134" w:type="dxa"/>
          </w:tcPr>
          <w:p w14:paraId="7D348E3B" w14:textId="77777777" w:rsidR="00FA0BB9" w:rsidRPr="008970FA" w:rsidRDefault="00FA0BB9" w:rsidP="008970FA">
            <w:pPr>
              <w:spacing w:before="60" w:line="240" w:lineRule="auto"/>
              <w:rPr>
                <w:rFonts w:cs="Arial"/>
                <w:color w:val="auto"/>
                <w:szCs w:val="18"/>
              </w:rPr>
            </w:pPr>
            <w:r w:rsidRPr="008970FA">
              <w:rPr>
                <w:rFonts w:cs="Arial"/>
                <w:color w:val="auto"/>
                <w:szCs w:val="18"/>
              </w:rPr>
              <w:t>4</w:t>
            </w:r>
          </w:p>
        </w:tc>
      </w:tr>
      <w:tr w:rsidR="00FA0BB9" w:rsidRPr="00286A88" w14:paraId="4CEBF696" w14:textId="77777777" w:rsidTr="00354982">
        <w:tc>
          <w:tcPr>
            <w:tcW w:w="3832" w:type="dxa"/>
          </w:tcPr>
          <w:p w14:paraId="3DC73000" w14:textId="77777777" w:rsidR="00FA0BB9" w:rsidRPr="008970FA" w:rsidRDefault="00FA0BB9" w:rsidP="008970FA">
            <w:pPr>
              <w:spacing w:before="60" w:line="240" w:lineRule="auto"/>
              <w:rPr>
                <w:rFonts w:cs="Arial"/>
                <w:color w:val="auto"/>
                <w:szCs w:val="18"/>
              </w:rPr>
            </w:pPr>
            <w:r w:rsidRPr="008970FA">
              <w:rPr>
                <w:rFonts w:cs="Arial"/>
                <w:color w:val="333333"/>
                <w:szCs w:val="18"/>
              </w:rPr>
              <w:t>space* AND turkey* OR space* AND Meleagris NOT fritillaria</w:t>
            </w:r>
          </w:p>
        </w:tc>
        <w:tc>
          <w:tcPr>
            <w:tcW w:w="1020" w:type="dxa"/>
          </w:tcPr>
          <w:p w14:paraId="1D893430" w14:textId="77777777" w:rsidR="00FA0BB9" w:rsidRPr="008970FA" w:rsidRDefault="00FA0BB9" w:rsidP="008970FA">
            <w:pPr>
              <w:spacing w:before="60" w:line="240" w:lineRule="auto"/>
              <w:rPr>
                <w:rFonts w:cs="Arial"/>
                <w:color w:val="auto"/>
                <w:szCs w:val="18"/>
              </w:rPr>
            </w:pPr>
            <w:r w:rsidRPr="008970FA">
              <w:rPr>
                <w:rFonts w:cs="Arial"/>
                <w:color w:val="auto"/>
                <w:szCs w:val="18"/>
              </w:rPr>
              <w:t>997</w:t>
            </w:r>
          </w:p>
        </w:tc>
        <w:tc>
          <w:tcPr>
            <w:tcW w:w="3969" w:type="dxa"/>
          </w:tcPr>
          <w:p w14:paraId="33A3D427" w14:textId="77777777" w:rsidR="00FA0BB9" w:rsidRPr="008970FA" w:rsidRDefault="00FA0BB9" w:rsidP="008970FA">
            <w:pPr>
              <w:spacing w:before="60" w:line="240" w:lineRule="auto"/>
              <w:rPr>
                <w:rFonts w:cs="Arial"/>
                <w:color w:val="auto"/>
                <w:szCs w:val="18"/>
              </w:rPr>
            </w:pPr>
            <w:r w:rsidRPr="008970FA">
              <w:rPr>
                <w:rFonts w:cs="Arial"/>
                <w:color w:val="auto"/>
                <w:szCs w:val="18"/>
              </w:rPr>
              <w:t>Included: Veterinary sciences; agriculture dairy animal science; behavioural sciences; biology; zoology</w:t>
            </w:r>
          </w:p>
          <w:p w14:paraId="2F0EB748" w14:textId="77777777" w:rsidR="00FA0BB9" w:rsidRPr="008970FA" w:rsidRDefault="00FA0BB9" w:rsidP="008970FA">
            <w:pPr>
              <w:spacing w:before="60" w:line="240" w:lineRule="auto"/>
              <w:rPr>
                <w:rFonts w:cs="Arial"/>
                <w:color w:val="auto"/>
                <w:szCs w:val="18"/>
              </w:rPr>
            </w:pPr>
            <w:r w:rsidRPr="008970FA">
              <w:rPr>
                <w:rFonts w:cs="Arial"/>
                <w:color w:val="auto"/>
                <w:szCs w:val="18"/>
              </w:rPr>
              <w:t>112</w:t>
            </w:r>
          </w:p>
        </w:tc>
        <w:tc>
          <w:tcPr>
            <w:tcW w:w="1134" w:type="dxa"/>
          </w:tcPr>
          <w:p w14:paraId="629A1A33" w14:textId="77777777" w:rsidR="00FA0BB9" w:rsidRPr="008970FA" w:rsidRDefault="00FA0BB9" w:rsidP="008970FA">
            <w:pPr>
              <w:spacing w:before="60" w:line="240" w:lineRule="auto"/>
              <w:rPr>
                <w:rFonts w:cs="Arial"/>
                <w:color w:val="auto"/>
                <w:szCs w:val="18"/>
              </w:rPr>
            </w:pPr>
            <w:r w:rsidRPr="008970FA">
              <w:rPr>
                <w:rFonts w:cs="Arial"/>
                <w:color w:val="auto"/>
                <w:szCs w:val="18"/>
              </w:rPr>
              <w:t>1</w:t>
            </w:r>
          </w:p>
        </w:tc>
      </w:tr>
      <w:tr w:rsidR="00FA0BB9" w:rsidRPr="00286A88" w14:paraId="12BA2E40" w14:textId="77777777" w:rsidTr="00354982">
        <w:tc>
          <w:tcPr>
            <w:tcW w:w="3832" w:type="dxa"/>
          </w:tcPr>
          <w:p w14:paraId="135FAD17" w14:textId="77777777" w:rsidR="00FA0BB9" w:rsidRPr="008970FA" w:rsidRDefault="00FA0BB9" w:rsidP="008970FA">
            <w:pPr>
              <w:spacing w:before="60" w:line="240" w:lineRule="auto"/>
              <w:rPr>
                <w:rFonts w:cs="Arial"/>
                <w:color w:val="auto"/>
                <w:szCs w:val="18"/>
              </w:rPr>
            </w:pPr>
            <w:r w:rsidRPr="008970FA">
              <w:rPr>
                <w:rFonts w:cs="Arial"/>
                <w:color w:val="auto"/>
                <w:szCs w:val="18"/>
              </w:rPr>
              <w:t>litter* AND turkey* OR litter* AND Meleagris NOT fritillaria</w:t>
            </w:r>
          </w:p>
        </w:tc>
        <w:tc>
          <w:tcPr>
            <w:tcW w:w="1020" w:type="dxa"/>
          </w:tcPr>
          <w:p w14:paraId="5880019A" w14:textId="77777777" w:rsidR="00FA0BB9" w:rsidRPr="008970FA" w:rsidRDefault="00FA0BB9" w:rsidP="008970FA">
            <w:pPr>
              <w:spacing w:before="60" w:line="240" w:lineRule="auto"/>
              <w:rPr>
                <w:rFonts w:cs="Arial"/>
                <w:color w:val="auto"/>
                <w:szCs w:val="18"/>
              </w:rPr>
            </w:pPr>
            <w:r w:rsidRPr="008970FA">
              <w:rPr>
                <w:rFonts w:cs="Arial"/>
                <w:color w:val="auto"/>
                <w:szCs w:val="18"/>
              </w:rPr>
              <w:t>442</w:t>
            </w:r>
          </w:p>
        </w:tc>
        <w:tc>
          <w:tcPr>
            <w:tcW w:w="3969" w:type="dxa"/>
          </w:tcPr>
          <w:p w14:paraId="41CA5E44" w14:textId="77777777" w:rsidR="00FA0BB9" w:rsidRPr="008970FA" w:rsidRDefault="00FA0BB9" w:rsidP="008970FA">
            <w:pPr>
              <w:spacing w:before="60" w:line="240" w:lineRule="auto"/>
              <w:rPr>
                <w:rFonts w:cs="Arial"/>
                <w:color w:val="auto"/>
                <w:szCs w:val="18"/>
              </w:rPr>
            </w:pPr>
            <w:r w:rsidRPr="008970FA">
              <w:rPr>
                <w:rFonts w:cs="Arial"/>
                <w:color w:val="auto"/>
                <w:szCs w:val="18"/>
              </w:rPr>
              <w:t>Included: Veterinary sciences; agriculture dairy animal science; behavioural sciences; biology; zoology</w:t>
            </w:r>
          </w:p>
          <w:p w14:paraId="0B8F3112" w14:textId="77777777" w:rsidR="00FA0BB9" w:rsidRPr="008970FA" w:rsidRDefault="00FA0BB9" w:rsidP="008970FA">
            <w:pPr>
              <w:spacing w:before="60" w:line="240" w:lineRule="auto"/>
              <w:rPr>
                <w:rFonts w:cs="Arial"/>
                <w:color w:val="auto"/>
                <w:szCs w:val="18"/>
              </w:rPr>
            </w:pPr>
            <w:r w:rsidRPr="008970FA">
              <w:rPr>
                <w:rFonts w:cs="Arial"/>
                <w:color w:val="auto"/>
                <w:szCs w:val="18"/>
              </w:rPr>
              <w:t>202</w:t>
            </w:r>
          </w:p>
        </w:tc>
        <w:tc>
          <w:tcPr>
            <w:tcW w:w="1134" w:type="dxa"/>
          </w:tcPr>
          <w:p w14:paraId="0F5A3544" w14:textId="77777777" w:rsidR="00FA0BB9" w:rsidRPr="008970FA" w:rsidRDefault="00FA0BB9" w:rsidP="008970FA">
            <w:pPr>
              <w:spacing w:before="60" w:line="240" w:lineRule="auto"/>
              <w:rPr>
                <w:rFonts w:cs="Arial"/>
                <w:color w:val="auto"/>
                <w:szCs w:val="18"/>
              </w:rPr>
            </w:pPr>
            <w:r w:rsidRPr="008970FA">
              <w:rPr>
                <w:rFonts w:cs="Arial"/>
                <w:color w:val="auto"/>
                <w:szCs w:val="18"/>
              </w:rPr>
              <w:t>18</w:t>
            </w:r>
          </w:p>
        </w:tc>
      </w:tr>
      <w:tr w:rsidR="00FA0BB9" w:rsidRPr="00286A88" w14:paraId="1297C846" w14:textId="77777777" w:rsidTr="00354982">
        <w:tc>
          <w:tcPr>
            <w:tcW w:w="3832" w:type="dxa"/>
          </w:tcPr>
          <w:p w14:paraId="0B8CF7BD" w14:textId="77777777" w:rsidR="00FA0BB9" w:rsidRPr="008970FA" w:rsidRDefault="00FA0BB9" w:rsidP="008970FA">
            <w:pPr>
              <w:spacing w:before="60" w:line="240" w:lineRule="auto"/>
              <w:rPr>
                <w:rFonts w:cs="Arial"/>
                <w:color w:val="auto"/>
                <w:szCs w:val="18"/>
              </w:rPr>
            </w:pPr>
            <w:r w:rsidRPr="008970FA">
              <w:rPr>
                <w:rFonts w:cs="Arial"/>
                <w:color w:val="333333"/>
                <w:szCs w:val="18"/>
              </w:rPr>
              <w:t>perch* AND turkey* OR perch* AND Meleagris NOT fritillaria</w:t>
            </w:r>
          </w:p>
        </w:tc>
        <w:tc>
          <w:tcPr>
            <w:tcW w:w="1020" w:type="dxa"/>
          </w:tcPr>
          <w:p w14:paraId="3A08C0C3" w14:textId="77777777" w:rsidR="00FA0BB9" w:rsidRPr="008970FA" w:rsidRDefault="00FA0BB9" w:rsidP="008970FA">
            <w:pPr>
              <w:spacing w:before="60" w:line="240" w:lineRule="auto"/>
              <w:rPr>
                <w:rFonts w:cs="Arial"/>
                <w:color w:val="auto"/>
                <w:szCs w:val="18"/>
              </w:rPr>
            </w:pPr>
            <w:r w:rsidRPr="008970FA">
              <w:rPr>
                <w:rFonts w:cs="Arial"/>
                <w:color w:val="auto"/>
                <w:szCs w:val="18"/>
              </w:rPr>
              <w:t>62</w:t>
            </w:r>
          </w:p>
        </w:tc>
        <w:tc>
          <w:tcPr>
            <w:tcW w:w="3969" w:type="dxa"/>
          </w:tcPr>
          <w:p w14:paraId="7CD7CE08" w14:textId="77777777" w:rsidR="00FA0BB9" w:rsidRPr="008970FA" w:rsidRDefault="00FA0BB9" w:rsidP="008970FA">
            <w:pPr>
              <w:spacing w:before="60" w:line="240" w:lineRule="auto"/>
              <w:rPr>
                <w:rFonts w:cs="Arial"/>
                <w:color w:val="auto"/>
                <w:szCs w:val="18"/>
              </w:rPr>
            </w:pPr>
          </w:p>
        </w:tc>
        <w:tc>
          <w:tcPr>
            <w:tcW w:w="1134" w:type="dxa"/>
          </w:tcPr>
          <w:p w14:paraId="7E07F6E6"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r>
      <w:tr w:rsidR="00FA0BB9" w:rsidRPr="00286A88" w14:paraId="3DEDAF4C" w14:textId="77777777" w:rsidTr="00354982">
        <w:tc>
          <w:tcPr>
            <w:tcW w:w="3832" w:type="dxa"/>
          </w:tcPr>
          <w:p w14:paraId="63EADC80" w14:textId="77777777" w:rsidR="00FA0BB9" w:rsidRPr="008970FA" w:rsidRDefault="00FA0BB9" w:rsidP="008970FA">
            <w:pPr>
              <w:spacing w:before="60" w:line="240" w:lineRule="auto"/>
              <w:rPr>
                <w:rFonts w:cs="Arial"/>
                <w:color w:val="333333"/>
                <w:szCs w:val="18"/>
              </w:rPr>
            </w:pPr>
            <w:r w:rsidRPr="008970FA">
              <w:rPr>
                <w:rFonts w:cs="Arial"/>
                <w:color w:val="333333"/>
                <w:szCs w:val="18"/>
              </w:rPr>
              <w:t>nest* AND turkey* OR nest* AND Meleagris NOT fritillaria</w:t>
            </w:r>
          </w:p>
        </w:tc>
        <w:tc>
          <w:tcPr>
            <w:tcW w:w="1020" w:type="dxa"/>
          </w:tcPr>
          <w:p w14:paraId="441A07BF" w14:textId="77777777" w:rsidR="00FA0BB9" w:rsidRPr="008970FA" w:rsidRDefault="00FA0BB9" w:rsidP="008970FA">
            <w:pPr>
              <w:spacing w:before="60" w:line="240" w:lineRule="auto"/>
              <w:rPr>
                <w:rFonts w:cs="Arial"/>
                <w:color w:val="auto"/>
                <w:szCs w:val="18"/>
              </w:rPr>
            </w:pPr>
            <w:r w:rsidRPr="008970FA">
              <w:rPr>
                <w:rFonts w:cs="Arial"/>
                <w:color w:val="auto"/>
                <w:szCs w:val="18"/>
              </w:rPr>
              <w:t>479</w:t>
            </w:r>
          </w:p>
        </w:tc>
        <w:tc>
          <w:tcPr>
            <w:tcW w:w="3969" w:type="dxa"/>
          </w:tcPr>
          <w:p w14:paraId="35A7FDC8" w14:textId="77777777" w:rsidR="00FA0BB9" w:rsidRPr="008970FA" w:rsidRDefault="00FA0BB9" w:rsidP="008970FA">
            <w:pPr>
              <w:spacing w:before="60" w:line="240" w:lineRule="auto"/>
              <w:rPr>
                <w:rFonts w:cs="Arial"/>
                <w:color w:val="auto"/>
                <w:szCs w:val="18"/>
              </w:rPr>
            </w:pPr>
            <w:r w:rsidRPr="008970FA">
              <w:rPr>
                <w:rFonts w:cs="Arial"/>
                <w:color w:val="auto"/>
                <w:szCs w:val="18"/>
              </w:rPr>
              <w:t>Included: Veterinary sciences; agriculture dairy animal science; behavioural sciences; biology; zoology</w:t>
            </w:r>
          </w:p>
          <w:p w14:paraId="08BFC1DE" w14:textId="77777777" w:rsidR="00FA0BB9" w:rsidRPr="008970FA" w:rsidRDefault="00FA0BB9" w:rsidP="008970FA">
            <w:pPr>
              <w:spacing w:before="60" w:line="240" w:lineRule="auto"/>
              <w:rPr>
                <w:rFonts w:cs="Arial"/>
                <w:color w:val="auto"/>
                <w:szCs w:val="18"/>
              </w:rPr>
            </w:pPr>
            <w:r w:rsidRPr="008970FA">
              <w:rPr>
                <w:rFonts w:cs="Arial"/>
                <w:color w:val="auto"/>
                <w:szCs w:val="18"/>
              </w:rPr>
              <w:t>191</w:t>
            </w:r>
          </w:p>
        </w:tc>
        <w:tc>
          <w:tcPr>
            <w:tcW w:w="1134" w:type="dxa"/>
          </w:tcPr>
          <w:p w14:paraId="3F7D1DD1"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r>
      <w:tr w:rsidR="00FA0BB9" w:rsidRPr="00286A88" w14:paraId="5BD7E3DA" w14:textId="77777777" w:rsidTr="00354982">
        <w:tc>
          <w:tcPr>
            <w:tcW w:w="3832" w:type="dxa"/>
          </w:tcPr>
          <w:p w14:paraId="626ABE50" w14:textId="77777777" w:rsidR="00FA0BB9" w:rsidRPr="008970FA" w:rsidRDefault="00FA0BB9" w:rsidP="008970FA">
            <w:pPr>
              <w:spacing w:before="60" w:line="240" w:lineRule="auto"/>
              <w:rPr>
                <w:rFonts w:cs="Arial"/>
                <w:color w:val="333333"/>
                <w:szCs w:val="18"/>
              </w:rPr>
            </w:pPr>
            <w:r w:rsidRPr="008970FA">
              <w:rPr>
                <w:rFonts w:cs="Arial"/>
                <w:color w:val="333333"/>
                <w:szCs w:val="18"/>
              </w:rPr>
              <w:t>enrich* AND turkey* OR enrich* AND Meleagris NOT fritillaria</w:t>
            </w:r>
          </w:p>
        </w:tc>
        <w:tc>
          <w:tcPr>
            <w:tcW w:w="1020" w:type="dxa"/>
          </w:tcPr>
          <w:p w14:paraId="3413FCBF" w14:textId="77777777" w:rsidR="00FA0BB9" w:rsidRPr="008970FA" w:rsidRDefault="00FA0BB9" w:rsidP="008970FA">
            <w:pPr>
              <w:spacing w:before="60" w:line="240" w:lineRule="auto"/>
              <w:rPr>
                <w:rFonts w:cs="Arial"/>
                <w:color w:val="auto"/>
                <w:szCs w:val="18"/>
              </w:rPr>
            </w:pPr>
            <w:r w:rsidRPr="008970FA">
              <w:rPr>
                <w:rFonts w:cs="Arial"/>
                <w:color w:val="auto"/>
                <w:szCs w:val="18"/>
              </w:rPr>
              <w:t>1036</w:t>
            </w:r>
          </w:p>
        </w:tc>
        <w:tc>
          <w:tcPr>
            <w:tcW w:w="3969" w:type="dxa"/>
          </w:tcPr>
          <w:p w14:paraId="7DD4049F" w14:textId="77777777" w:rsidR="00FA0BB9" w:rsidRPr="008970FA" w:rsidRDefault="00FA0BB9" w:rsidP="008970FA">
            <w:pPr>
              <w:spacing w:before="60" w:line="240" w:lineRule="auto"/>
              <w:rPr>
                <w:rFonts w:cs="Arial"/>
                <w:color w:val="auto"/>
                <w:szCs w:val="18"/>
              </w:rPr>
            </w:pPr>
            <w:r w:rsidRPr="008970FA">
              <w:rPr>
                <w:rFonts w:cs="Arial"/>
                <w:color w:val="auto"/>
                <w:szCs w:val="18"/>
              </w:rPr>
              <w:t>Included: Veterinary sciences; agriculture dairy animal science; behavioural sciences; biology; zoology</w:t>
            </w:r>
          </w:p>
          <w:p w14:paraId="49C254C7" w14:textId="77777777" w:rsidR="00FA0BB9" w:rsidRPr="008970FA" w:rsidRDefault="00FA0BB9" w:rsidP="008970FA">
            <w:pPr>
              <w:spacing w:before="60" w:line="240" w:lineRule="auto"/>
              <w:rPr>
                <w:rFonts w:cs="Arial"/>
                <w:color w:val="auto"/>
                <w:szCs w:val="18"/>
              </w:rPr>
            </w:pPr>
            <w:r w:rsidRPr="008970FA">
              <w:rPr>
                <w:rFonts w:cs="Arial"/>
                <w:color w:val="auto"/>
                <w:szCs w:val="18"/>
              </w:rPr>
              <w:t>91</w:t>
            </w:r>
          </w:p>
        </w:tc>
        <w:tc>
          <w:tcPr>
            <w:tcW w:w="1134" w:type="dxa"/>
          </w:tcPr>
          <w:p w14:paraId="3F3B2A70"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r>
      <w:tr w:rsidR="00FA0BB9" w:rsidRPr="00286A88" w14:paraId="7F374FD3" w14:textId="77777777" w:rsidTr="00354982">
        <w:tc>
          <w:tcPr>
            <w:tcW w:w="3832" w:type="dxa"/>
          </w:tcPr>
          <w:p w14:paraId="044D01E2" w14:textId="77777777" w:rsidR="00FA0BB9" w:rsidRPr="008970FA" w:rsidRDefault="00A73FA0" w:rsidP="00A73FA0">
            <w:pPr>
              <w:spacing w:before="60" w:line="240" w:lineRule="auto"/>
              <w:rPr>
                <w:rFonts w:cs="Arial"/>
                <w:color w:val="333333"/>
                <w:szCs w:val="18"/>
              </w:rPr>
            </w:pPr>
            <w:r>
              <w:rPr>
                <w:rFonts w:cs="Arial"/>
                <w:color w:val="333333"/>
                <w:szCs w:val="18"/>
              </w:rPr>
              <w:t>d</w:t>
            </w:r>
            <w:r w:rsidR="00FA0BB9" w:rsidRPr="008970FA">
              <w:rPr>
                <w:rFonts w:cs="Arial"/>
                <w:color w:val="333333"/>
                <w:szCs w:val="18"/>
              </w:rPr>
              <w:t xml:space="preserve">ust-bath* AND turkey* OR dust-bath* AND Meleagris NOT fritillaria OR </w:t>
            </w:r>
            <w:r>
              <w:rPr>
                <w:rFonts w:cs="Arial"/>
                <w:color w:val="333333"/>
                <w:szCs w:val="18"/>
              </w:rPr>
              <w:t>d</w:t>
            </w:r>
            <w:r w:rsidR="00FA0BB9" w:rsidRPr="008970FA">
              <w:rPr>
                <w:rFonts w:cs="Arial"/>
                <w:color w:val="333333"/>
                <w:szCs w:val="18"/>
              </w:rPr>
              <w:t>ustbath* AND turkey* OR dustbath* AND Meleagris NOT fritillaria</w:t>
            </w:r>
          </w:p>
        </w:tc>
        <w:tc>
          <w:tcPr>
            <w:tcW w:w="1020" w:type="dxa"/>
          </w:tcPr>
          <w:p w14:paraId="194DECDB" w14:textId="77777777" w:rsidR="00FA0BB9" w:rsidRPr="008970FA" w:rsidRDefault="00FA0BB9" w:rsidP="008970FA">
            <w:pPr>
              <w:spacing w:before="60" w:line="240" w:lineRule="auto"/>
              <w:rPr>
                <w:rFonts w:cs="Arial"/>
                <w:color w:val="auto"/>
                <w:szCs w:val="18"/>
              </w:rPr>
            </w:pPr>
          </w:p>
        </w:tc>
        <w:tc>
          <w:tcPr>
            <w:tcW w:w="3969" w:type="dxa"/>
          </w:tcPr>
          <w:p w14:paraId="5D845869" w14:textId="77777777" w:rsidR="00FA0BB9" w:rsidRPr="008970FA" w:rsidRDefault="00FA0BB9" w:rsidP="008970FA">
            <w:pPr>
              <w:spacing w:before="60" w:line="240" w:lineRule="auto"/>
              <w:rPr>
                <w:rFonts w:cs="Arial"/>
                <w:color w:val="auto"/>
                <w:szCs w:val="18"/>
              </w:rPr>
            </w:pPr>
          </w:p>
        </w:tc>
        <w:tc>
          <w:tcPr>
            <w:tcW w:w="1134" w:type="dxa"/>
          </w:tcPr>
          <w:p w14:paraId="39409F98"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r>
      <w:tr w:rsidR="00FA0BB9" w:rsidRPr="00286A88" w14:paraId="46760A27" w14:textId="77777777" w:rsidTr="00354982">
        <w:tc>
          <w:tcPr>
            <w:tcW w:w="3832" w:type="dxa"/>
          </w:tcPr>
          <w:p w14:paraId="07FE480B" w14:textId="77777777" w:rsidR="00FA0BB9" w:rsidRPr="008970FA" w:rsidRDefault="00FA0BB9" w:rsidP="008970FA">
            <w:pPr>
              <w:spacing w:before="60" w:line="240" w:lineRule="auto"/>
              <w:rPr>
                <w:rFonts w:cs="Arial"/>
                <w:color w:val="333333"/>
                <w:szCs w:val="18"/>
              </w:rPr>
            </w:pPr>
            <w:r w:rsidRPr="008970FA">
              <w:rPr>
                <w:rFonts w:cs="Arial"/>
                <w:color w:val="333333"/>
                <w:szCs w:val="18"/>
              </w:rPr>
              <w:t>peck* AND turkey* OR peck* AND Meleagris NOT fritillaria OR beak* AND turkey* OR beak* AND Meleagris NOT fritillaria</w:t>
            </w:r>
          </w:p>
        </w:tc>
        <w:tc>
          <w:tcPr>
            <w:tcW w:w="1020" w:type="dxa"/>
          </w:tcPr>
          <w:p w14:paraId="411E812C" w14:textId="77777777" w:rsidR="00FA0BB9" w:rsidRPr="008970FA" w:rsidRDefault="00FA0BB9" w:rsidP="008970FA">
            <w:pPr>
              <w:spacing w:before="60" w:line="240" w:lineRule="auto"/>
              <w:rPr>
                <w:rFonts w:cs="Arial"/>
                <w:color w:val="auto"/>
                <w:szCs w:val="18"/>
              </w:rPr>
            </w:pPr>
            <w:r w:rsidRPr="008970FA">
              <w:rPr>
                <w:rFonts w:cs="Arial"/>
                <w:color w:val="auto"/>
                <w:szCs w:val="18"/>
              </w:rPr>
              <w:t>81</w:t>
            </w:r>
          </w:p>
        </w:tc>
        <w:tc>
          <w:tcPr>
            <w:tcW w:w="3969" w:type="dxa"/>
          </w:tcPr>
          <w:p w14:paraId="4A4E5125" w14:textId="77777777" w:rsidR="00FA0BB9" w:rsidRPr="008970FA" w:rsidRDefault="00FA0BB9" w:rsidP="008970FA">
            <w:pPr>
              <w:spacing w:before="60" w:line="240" w:lineRule="auto"/>
              <w:rPr>
                <w:rFonts w:cs="Arial"/>
                <w:color w:val="auto"/>
                <w:szCs w:val="18"/>
              </w:rPr>
            </w:pPr>
          </w:p>
        </w:tc>
        <w:tc>
          <w:tcPr>
            <w:tcW w:w="1134" w:type="dxa"/>
          </w:tcPr>
          <w:p w14:paraId="398BE251" w14:textId="77777777" w:rsidR="00FA0BB9" w:rsidRPr="008970FA" w:rsidRDefault="00FA0BB9" w:rsidP="008970FA">
            <w:pPr>
              <w:spacing w:before="60" w:line="240" w:lineRule="auto"/>
              <w:rPr>
                <w:rFonts w:cs="Arial"/>
                <w:color w:val="auto"/>
                <w:szCs w:val="18"/>
              </w:rPr>
            </w:pPr>
            <w:r w:rsidRPr="008970FA">
              <w:rPr>
                <w:rFonts w:cs="Arial"/>
                <w:color w:val="auto"/>
                <w:szCs w:val="18"/>
              </w:rPr>
              <w:t>2</w:t>
            </w:r>
          </w:p>
        </w:tc>
      </w:tr>
      <w:tr w:rsidR="00FA0BB9" w:rsidRPr="00286A88" w14:paraId="236732DC" w14:textId="77777777" w:rsidTr="00354982">
        <w:tc>
          <w:tcPr>
            <w:tcW w:w="3832" w:type="dxa"/>
          </w:tcPr>
          <w:p w14:paraId="39705402" w14:textId="77777777" w:rsidR="00FA0BB9" w:rsidRPr="008970FA" w:rsidRDefault="00046273" w:rsidP="008970FA">
            <w:pPr>
              <w:spacing w:before="60" w:line="240" w:lineRule="auto"/>
              <w:rPr>
                <w:rFonts w:cs="Arial"/>
                <w:color w:val="333333"/>
                <w:szCs w:val="18"/>
              </w:rPr>
            </w:pPr>
            <w:r>
              <w:rPr>
                <w:rFonts w:cs="Arial"/>
                <w:color w:val="333333"/>
                <w:szCs w:val="18"/>
              </w:rPr>
              <w:t>l</w:t>
            </w:r>
            <w:r w:rsidR="00FA0BB9" w:rsidRPr="008970FA">
              <w:rPr>
                <w:rFonts w:cs="Arial"/>
                <w:color w:val="333333"/>
                <w:szCs w:val="18"/>
              </w:rPr>
              <w:t>ame* AND turkey* OR lame* AND Meleagris NOT fritillaria OR foot* AND turkey* OR foot* AND Meleagris NOT fritillaria OR derm* AND turkey* OR derm* AND Meleagris NOT fritillaria OR hock* AND turkey* OR hock* AND Meleagris NOT fritillaria OR leg* AND turkey* OR leg* AND Meleagris NOT fritillaria</w:t>
            </w:r>
          </w:p>
        </w:tc>
        <w:tc>
          <w:tcPr>
            <w:tcW w:w="1020" w:type="dxa"/>
          </w:tcPr>
          <w:p w14:paraId="2553A266" w14:textId="77777777" w:rsidR="00FA0BB9" w:rsidRPr="008970FA" w:rsidRDefault="00FA0BB9" w:rsidP="008970FA">
            <w:pPr>
              <w:spacing w:before="60" w:line="240" w:lineRule="auto"/>
              <w:rPr>
                <w:rFonts w:cs="Arial"/>
                <w:color w:val="auto"/>
                <w:szCs w:val="18"/>
              </w:rPr>
            </w:pPr>
            <w:r w:rsidRPr="008970FA">
              <w:rPr>
                <w:rFonts w:cs="Arial"/>
                <w:color w:val="auto"/>
                <w:szCs w:val="18"/>
              </w:rPr>
              <w:t>2538</w:t>
            </w:r>
          </w:p>
        </w:tc>
        <w:tc>
          <w:tcPr>
            <w:tcW w:w="3969" w:type="dxa"/>
          </w:tcPr>
          <w:p w14:paraId="1489FC72" w14:textId="77777777" w:rsidR="00FA0BB9" w:rsidRPr="008970FA" w:rsidRDefault="00FA0BB9" w:rsidP="008970FA">
            <w:pPr>
              <w:spacing w:before="60" w:line="240" w:lineRule="auto"/>
              <w:rPr>
                <w:rFonts w:cs="Arial"/>
                <w:color w:val="auto"/>
                <w:szCs w:val="18"/>
              </w:rPr>
            </w:pPr>
            <w:r w:rsidRPr="008970FA">
              <w:rPr>
                <w:rFonts w:cs="Arial"/>
                <w:color w:val="auto"/>
                <w:szCs w:val="18"/>
              </w:rPr>
              <w:t>Included: Veterinary sciences; agriculture dairy animal science; behavioural sciences; biology; zoology</w:t>
            </w:r>
          </w:p>
          <w:p w14:paraId="0CA66FA5" w14:textId="77777777" w:rsidR="00FA0BB9" w:rsidRPr="008970FA" w:rsidRDefault="00FA0BB9" w:rsidP="008970FA">
            <w:pPr>
              <w:spacing w:before="60" w:line="240" w:lineRule="auto"/>
              <w:rPr>
                <w:rFonts w:cs="Arial"/>
                <w:color w:val="auto"/>
                <w:szCs w:val="18"/>
              </w:rPr>
            </w:pPr>
            <w:r w:rsidRPr="008970FA">
              <w:rPr>
                <w:rFonts w:cs="Arial"/>
                <w:color w:val="auto"/>
                <w:szCs w:val="18"/>
              </w:rPr>
              <w:t>641</w:t>
            </w:r>
          </w:p>
        </w:tc>
        <w:tc>
          <w:tcPr>
            <w:tcW w:w="1134" w:type="dxa"/>
          </w:tcPr>
          <w:p w14:paraId="6815B254" w14:textId="77777777" w:rsidR="00FA0BB9" w:rsidRPr="008970FA" w:rsidRDefault="00FA0BB9" w:rsidP="008970FA">
            <w:pPr>
              <w:spacing w:before="60" w:line="240" w:lineRule="auto"/>
              <w:rPr>
                <w:rFonts w:cs="Arial"/>
                <w:color w:val="auto"/>
                <w:szCs w:val="18"/>
              </w:rPr>
            </w:pPr>
            <w:r w:rsidRPr="008970FA">
              <w:rPr>
                <w:rFonts w:cs="Arial"/>
                <w:color w:val="auto"/>
                <w:szCs w:val="18"/>
              </w:rPr>
              <w:t>8</w:t>
            </w:r>
          </w:p>
        </w:tc>
      </w:tr>
      <w:tr w:rsidR="00FA0BB9" w:rsidRPr="00286A88" w14:paraId="5316FDB7" w14:textId="77777777" w:rsidTr="00354982">
        <w:tc>
          <w:tcPr>
            <w:tcW w:w="3832" w:type="dxa"/>
          </w:tcPr>
          <w:p w14:paraId="4916DC71" w14:textId="77777777" w:rsidR="00FA0BB9" w:rsidRPr="008970FA" w:rsidRDefault="00FA0BB9" w:rsidP="008970FA">
            <w:pPr>
              <w:spacing w:before="60" w:line="240" w:lineRule="auto"/>
              <w:rPr>
                <w:rFonts w:cs="Arial"/>
                <w:color w:val="333333"/>
                <w:szCs w:val="18"/>
              </w:rPr>
            </w:pPr>
            <w:r w:rsidRPr="008970FA">
              <w:rPr>
                <w:rFonts w:cs="Arial"/>
                <w:color w:val="333333"/>
                <w:szCs w:val="18"/>
              </w:rPr>
              <w:t>semen* AND turkey* OR semen* AND Meleagris NOT fritillaria OR insem* AND turkey* OR insem* AND Meleagris NOT fritillaria</w:t>
            </w:r>
          </w:p>
        </w:tc>
        <w:tc>
          <w:tcPr>
            <w:tcW w:w="1020" w:type="dxa"/>
          </w:tcPr>
          <w:p w14:paraId="0D13AF93" w14:textId="77777777" w:rsidR="00FA0BB9" w:rsidRPr="008970FA" w:rsidRDefault="00FA0BB9" w:rsidP="008970FA">
            <w:pPr>
              <w:spacing w:before="60" w:line="240" w:lineRule="auto"/>
              <w:rPr>
                <w:rFonts w:cs="Arial"/>
                <w:color w:val="auto"/>
                <w:szCs w:val="18"/>
              </w:rPr>
            </w:pPr>
            <w:r w:rsidRPr="008970FA">
              <w:rPr>
                <w:rFonts w:cs="Arial"/>
                <w:color w:val="auto"/>
                <w:szCs w:val="18"/>
              </w:rPr>
              <w:t>285</w:t>
            </w:r>
          </w:p>
        </w:tc>
        <w:tc>
          <w:tcPr>
            <w:tcW w:w="3969" w:type="dxa"/>
          </w:tcPr>
          <w:p w14:paraId="474349AF" w14:textId="77777777" w:rsidR="00FA0BB9" w:rsidRPr="008970FA" w:rsidRDefault="00FA0BB9" w:rsidP="008970FA">
            <w:pPr>
              <w:spacing w:before="60" w:line="240" w:lineRule="auto"/>
              <w:rPr>
                <w:rFonts w:cs="Arial"/>
                <w:color w:val="auto"/>
                <w:szCs w:val="18"/>
              </w:rPr>
            </w:pPr>
            <w:r w:rsidRPr="008970FA">
              <w:rPr>
                <w:rFonts w:cs="Arial"/>
                <w:color w:val="auto"/>
                <w:szCs w:val="18"/>
              </w:rPr>
              <w:t>Included: Veterinary sciences; agriculture dairy animal science; behavioural sciences; biology; zoology</w:t>
            </w:r>
          </w:p>
          <w:p w14:paraId="7B6E89A6" w14:textId="77777777" w:rsidR="00FA0BB9" w:rsidRPr="008970FA" w:rsidRDefault="00FA0BB9" w:rsidP="008970FA">
            <w:pPr>
              <w:spacing w:before="60" w:line="240" w:lineRule="auto"/>
              <w:rPr>
                <w:rFonts w:cs="Arial"/>
                <w:color w:val="auto"/>
                <w:szCs w:val="18"/>
              </w:rPr>
            </w:pPr>
            <w:r w:rsidRPr="008970FA">
              <w:rPr>
                <w:rFonts w:cs="Arial"/>
                <w:color w:val="auto"/>
                <w:szCs w:val="18"/>
              </w:rPr>
              <w:t>225</w:t>
            </w:r>
          </w:p>
        </w:tc>
        <w:tc>
          <w:tcPr>
            <w:tcW w:w="1134" w:type="dxa"/>
          </w:tcPr>
          <w:p w14:paraId="5AA3A5A8"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r>
      <w:tr w:rsidR="00FA0BB9" w:rsidRPr="00286A88" w14:paraId="4A30CCDA" w14:textId="77777777" w:rsidTr="00354982">
        <w:tc>
          <w:tcPr>
            <w:tcW w:w="3832" w:type="dxa"/>
          </w:tcPr>
          <w:p w14:paraId="34102D99" w14:textId="77777777" w:rsidR="00FA0BB9" w:rsidRPr="008970FA" w:rsidRDefault="00FA0BB9" w:rsidP="008970FA">
            <w:pPr>
              <w:spacing w:before="60" w:line="240" w:lineRule="auto"/>
              <w:rPr>
                <w:rFonts w:cs="Arial"/>
                <w:color w:val="333333"/>
                <w:szCs w:val="18"/>
              </w:rPr>
            </w:pPr>
            <w:r w:rsidRPr="008970FA">
              <w:rPr>
                <w:rFonts w:cs="Arial"/>
                <w:color w:val="333333"/>
                <w:szCs w:val="18"/>
              </w:rPr>
              <w:t>handl* AND turkey* OR handl* AND Meleagris NOT fritillaria</w:t>
            </w:r>
          </w:p>
        </w:tc>
        <w:tc>
          <w:tcPr>
            <w:tcW w:w="1020" w:type="dxa"/>
          </w:tcPr>
          <w:p w14:paraId="6BB2116F" w14:textId="77777777" w:rsidR="00FA0BB9" w:rsidRPr="008970FA" w:rsidRDefault="00FA0BB9" w:rsidP="008970FA">
            <w:pPr>
              <w:spacing w:before="60" w:line="240" w:lineRule="auto"/>
              <w:rPr>
                <w:rFonts w:cs="Arial"/>
                <w:color w:val="auto"/>
                <w:szCs w:val="18"/>
              </w:rPr>
            </w:pPr>
            <w:r w:rsidRPr="008970FA">
              <w:rPr>
                <w:rFonts w:cs="Arial"/>
                <w:color w:val="auto"/>
                <w:szCs w:val="18"/>
              </w:rPr>
              <w:t>330</w:t>
            </w:r>
          </w:p>
        </w:tc>
        <w:tc>
          <w:tcPr>
            <w:tcW w:w="3969" w:type="dxa"/>
          </w:tcPr>
          <w:p w14:paraId="2953BAC6" w14:textId="77777777" w:rsidR="00FA0BB9" w:rsidRPr="008970FA" w:rsidRDefault="00FA0BB9" w:rsidP="008970FA">
            <w:pPr>
              <w:spacing w:before="60" w:line="240" w:lineRule="auto"/>
              <w:rPr>
                <w:rFonts w:cs="Arial"/>
                <w:color w:val="auto"/>
                <w:szCs w:val="18"/>
              </w:rPr>
            </w:pPr>
            <w:r w:rsidRPr="008970FA">
              <w:rPr>
                <w:rFonts w:cs="Arial"/>
                <w:color w:val="auto"/>
                <w:szCs w:val="18"/>
              </w:rPr>
              <w:t>Included: Veterinary sciences; agriculture dairy animal science; behavioural sciences; biology; zoology</w:t>
            </w:r>
          </w:p>
          <w:p w14:paraId="0C3103B1" w14:textId="77777777" w:rsidR="00FA0BB9" w:rsidRPr="008970FA" w:rsidRDefault="00FA0BB9" w:rsidP="008970FA">
            <w:pPr>
              <w:spacing w:before="60" w:line="240" w:lineRule="auto"/>
              <w:rPr>
                <w:rFonts w:cs="Arial"/>
                <w:color w:val="auto"/>
                <w:szCs w:val="18"/>
              </w:rPr>
            </w:pPr>
            <w:r w:rsidRPr="008970FA">
              <w:rPr>
                <w:rFonts w:cs="Arial"/>
                <w:color w:val="auto"/>
                <w:szCs w:val="18"/>
              </w:rPr>
              <w:t>39</w:t>
            </w:r>
          </w:p>
        </w:tc>
        <w:tc>
          <w:tcPr>
            <w:tcW w:w="1134" w:type="dxa"/>
          </w:tcPr>
          <w:p w14:paraId="4F6754E6"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r>
      <w:tr w:rsidR="0010235B" w:rsidRPr="00286A88" w14:paraId="5B63E42C" w14:textId="77777777" w:rsidTr="00354982">
        <w:tc>
          <w:tcPr>
            <w:tcW w:w="3832" w:type="dxa"/>
          </w:tcPr>
          <w:p w14:paraId="4D2FA41B" w14:textId="77777777" w:rsidR="0010235B" w:rsidRPr="0010235B" w:rsidRDefault="0010235B" w:rsidP="008970FA">
            <w:pPr>
              <w:spacing w:before="60" w:line="240" w:lineRule="auto"/>
              <w:rPr>
                <w:rFonts w:cs="Arial"/>
                <w:b/>
                <w:color w:val="333333"/>
                <w:szCs w:val="18"/>
              </w:rPr>
            </w:pPr>
            <w:r>
              <w:rPr>
                <w:rFonts w:cs="Arial"/>
                <w:b/>
                <w:color w:val="333333"/>
                <w:szCs w:val="18"/>
              </w:rPr>
              <w:t>Papers retained from secondary searches</w:t>
            </w:r>
          </w:p>
        </w:tc>
        <w:tc>
          <w:tcPr>
            <w:tcW w:w="1020" w:type="dxa"/>
          </w:tcPr>
          <w:p w14:paraId="37B782A4" w14:textId="77777777" w:rsidR="0010235B" w:rsidRPr="008970FA" w:rsidRDefault="0010235B" w:rsidP="008970FA">
            <w:pPr>
              <w:spacing w:before="60" w:line="240" w:lineRule="auto"/>
              <w:rPr>
                <w:rFonts w:cs="Arial"/>
                <w:color w:val="auto"/>
                <w:szCs w:val="18"/>
              </w:rPr>
            </w:pPr>
          </w:p>
        </w:tc>
        <w:tc>
          <w:tcPr>
            <w:tcW w:w="3969" w:type="dxa"/>
          </w:tcPr>
          <w:p w14:paraId="161B9776" w14:textId="77777777" w:rsidR="0010235B" w:rsidRPr="008970FA" w:rsidRDefault="0010235B" w:rsidP="008970FA">
            <w:pPr>
              <w:spacing w:before="60" w:line="240" w:lineRule="auto"/>
              <w:rPr>
                <w:rFonts w:cs="Arial"/>
                <w:color w:val="auto"/>
                <w:szCs w:val="18"/>
              </w:rPr>
            </w:pPr>
          </w:p>
        </w:tc>
        <w:tc>
          <w:tcPr>
            <w:tcW w:w="1134" w:type="dxa"/>
          </w:tcPr>
          <w:p w14:paraId="3B8E4117" w14:textId="77777777" w:rsidR="0010235B" w:rsidRPr="0010235B" w:rsidRDefault="0010235B" w:rsidP="008970FA">
            <w:pPr>
              <w:spacing w:before="60" w:line="240" w:lineRule="auto"/>
              <w:rPr>
                <w:rFonts w:cs="Arial"/>
                <w:b/>
                <w:color w:val="auto"/>
                <w:szCs w:val="18"/>
              </w:rPr>
            </w:pPr>
            <w:r w:rsidRPr="0010235B">
              <w:rPr>
                <w:rFonts w:cs="Arial"/>
                <w:b/>
                <w:color w:val="auto"/>
                <w:szCs w:val="18"/>
              </w:rPr>
              <w:t>62</w:t>
            </w:r>
          </w:p>
        </w:tc>
      </w:tr>
    </w:tbl>
    <w:p w14:paraId="22355D81" w14:textId="77777777" w:rsidR="0010235B" w:rsidRPr="0010235B" w:rsidRDefault="0010235B" w:rsidP="005F7B38">
      <w:pPr>
        <w:spacing w:before="240"/>
        <w:rPr>
          <w:b/>
          <w:lang w:val="en-GB"/>
        </w:rPr>
      </w:pPr>
      <w:r>
        <w:rPr>
          <w:b/>
          <w:lang w:val="en-GB"/>
        </w:rPr>
        <w:t>Total number of papers retained from primary and secondary searches: 24 + 62 = 86</w:t>
      </w:r>
    </w:p>
    <w:p w14:paraId="7450D874" w14:textId="77777777" w:rsidR="0010235B" w:rsidRDefault="0010235B" w:rsidP="001123AA">
      <w:pPr>
        <w:rPr>
          <w:lang w:val="en-GB"/>
        </w:rPr>
      </w:pPr>
    </w:p>
    <w:p w14:paraId="5C8CDBFD" w14:textId="77777777" w:rsidR="00FA0BB9" w:rsidRPr="00FA0BB9" w:rsidRDefault="00FA0BB9" w:rsidP="00AE59F9">
      <w:pPr>
        <w:spacing w:before="120"/>
        <w:rPr>
          <w:b/>
          <w:sz w:val="24"/>
          <w:szCs w:val="24"/>
          <w:lang w:val="en-GB"/>
        </w:rPr>
      </w:pPr>
      <w:r w:rsidRPr="00864384">
        <w:rPr>
          <w:rFonts w:eastAsia="Calibri" w:cs="Arial"/>
          <w:color w:val="auto"/>
          <w:sz w:val="22"/>
          <w:szCs w:val="22"/>
          <w:lang w:val="en-GB"/>
        </w:rPr>
        <w:br w:type="column"/>
      </w:r>
      <w:r w:rsidRPr="00FA0BB9">
        <w:rPr>
          <w:b/>
          <w:sz w:val="24"/>
          <w:szCs w:val="24"/>
          <w:lang w:val="en-GB"/>
        </w:rPr>
        <w:t>Guinea fowl</w:t>
      </w:r>
    </w:p>
    <w:p w14:paraId="22E070DF" w14:textId="77777777" w:rsidR="00FA0BB9" w:rsidRPr="00590F0B" w:rsidRDefault="00FA0BB9" w:rsidP="00590F0B">
      <w:pPr>
        <w:spacing w:before="240" w:after="240"/>
        <w:rPr>
          <w:b/>
          <w:lang w:val="en-GB"/>
        </w:rPr>
      </w:pPr>
      <w:r w:rsidRPr="00590F0B">
        <w:rPr>
          <w:b/>
          <w:lang w:val="en-GB"/>
        </w:rPr>
        <w:t>Primar</w:t>
      </w:r>
      <w:r w:rsidR="00AE59F9">
        <w:rPr>
          <w:b/>
          <w:lang w:val="en-GB"/>
        </w:rPr>
        <w:t>y S</w:t>
      </w:r>
      <w:r w:rsidRPr="00590F0B">
        <w:rPr>
          <w:b/>
          <w:lang w:val="en-GB"/>
        </w:rPr>
        <w:t>earch</w:t>
      </w:r>
      <w:r w:rsidR="00046273">
        <w:rPr>
          <w:b/>
          <w:lang w:val="en-GB"/>
        </w:rPr>
        <w:t>:</w:t>
      </w:r>
      <w:r w:rsidRPr="00590F0B">
        <w:rPr>
          <w:b/>
          <w:lang w:val="en-GB"/>
        </w:rPr>
        <w:t xml:space="preserve"> welfare AND guineafowl* OR welfare AND </w:t>
      </w:r>
      <w:r w:rsidR="0010235B">
        <w:rPr>
          <w:b/>
          <w:lang w:val="en-GB"/>
        </w:rPr>
        <w:t>“</w:t>
      </w:r>
      <w:r w:rsidRPr="00590F0B">
        <w:rPr>
          <w:b/>
          <w:lang w:val="en-GB"/>
        </w:rPr>
        <w:t>guinea fowl*</w:t>
      </w:r>
      <w:r w:rsidR="0010235B">
        <w:rPr>
          <w:b/>
          <w:lang w:val="en-GB"/>
        </w:rPr>
        <w:t>”</w:t>
      </w:r>
      <w:r w:rsidRPr="00590F0B">
        <w:rPr>
          <w:b/>
          <w:lang w:val="en-GB"/>
        </w:rPr>
        <w:t xml:space="preserve"> OR welfare AND numida* OR welfare AND guttera* OR welfare AND agelastes* OR welfare AND acryllium* = 4</w:t>
      </w:r>
    </w:p>
    <w:tbl>
      <w:tblPr>
        <w:tblStyle w:val="TableGrid11"/>
        <w:tblW w:w="9977" w:type="dxa"/>
        <w:tblLook w:val="04A0" w:firstRow="1" w:lastRow="0" w:firstColumn="1" w:lastColumn="0" w:noHBand="0" w:noVBand="1"/>
        <w:tblCaption w:val="Papers excluded after primary literature search for guinea fowl welfare"/>
        <w:tblDescription w:val="This table shows the number of papers excluded after the primary literature search for guinea fowl welfare. The left hand column shows the primary reason for exclusion. The middle column shows the number of papers excluded. The right hand column gives an example of a paper excluded for each reason."/>
      </w:tblPr>
      <w:tblGrid>
        <w:gridCol w:w="3628"/>
        <w:gridCol w:w="1020"/>
        <w:gridCol w:w="5329"/>
      </w:tblGrid>
      <w:tr w:rsidR="00FA0BB9" w:rsidRPr="00286A88" w14:paraId="7B554FEE" w14:textId="77777777" w:rsidTr="00587D34">
        <w:trPr>
          <w:tblHeader/>
        </w:trPr>
        <w:tc>
          <w:tcPr>
            <w:tcW w:w="3628" w:type="dxa"/>
            <w:shd w:val="clear" w:color="auto" w:fill="auto"/>
          </w:tcPr>
          <w:p w14:paraId="1756ED70" w14:textId="77777777" w:rsidR="00FA0BB9" w:rsidRPr="00F67C8B" w:rsidRDefault="00FA0BB9" w:rsidP="009928C2">
            <w:pPr>
              <w:spacing w:before="60" w:line="240" w:lineRule="auto"/>
              <w:rPr>
                <w:rFonts w:cs="Arial"/>
                <w:b/>
                <w:color w:val="auto"/>
                <w:szCs w:val="18"/>
              </w:rPr>
            </w:pPr>
            <w:r w:rsidRPr="00F67C8B">
              <w:rPr>
                <w:rFonts w:cs="Arial"/>
                <w:b/>
                <w:color w:val="auto"/>
                <w:szCs w:val="18"/>
              </w:rPr>
              <w:t>Primary reason for exclusion</w:t>
            </w:r>
          </w:p>
        </w:tc>
        <w:tc>
          <w:tcPr>
            <w:tcW w:w="1020" w:type="dxa"/>
            <w:shd w:val="clear" w:color="auto" w:fill="auto"/>
          </w:tcPr>
          <w:p w14:paraId="7CDF8DAB" w14:textId="77777777" w:rsidR="00FA0BB9" w:rsidRPr="00F67C8B" w:rsidRDefault="00FA0BB9" w:rsidP="009928C2">
            <w:pPr>
              <w:spacing w:before="60" w:line="240" w:lineRule="auto"/>
              <w:rPr>
                <w:rFonts w:cs="Arial"/>
                <w:color w:val="auto"/>
                <w:szCs w:val="18"/>
              </w:rPr>
            </w:pPr>
            <w:r w:rsidRPr="00F67C8B">
              <w:rPr>
                <w:rFonts w:cs="Arial"/>
                <w:color w:val="auto"/>
                <w:szCs w:val="18"/>
              </w:rPr>
              <w:t>Number excluded</w:t>
            </w:r>
          </w:p>
        </w:tc>
        <w:tc>
          <w:tcPr>
            <w:tcW w:w="5329" w:type="dxa"/>
            <w:shd w:val="clear" w:color="auto" w:fill="auto"/>
          </w:tcPr>
          <w:p w14:paraId="274ACADD" w14:textId="77777777" w:rsidR="00FA0BB9" w:rsidRPr="00F67C8B" w:rsidRDefault="00FA0BB9" w:rsidP="009928C2">
            <w:pPr>
              <w:spacing w:before="60" w:line="240" w:lineRule="auto"/>
              <w:rPr>
                <w:rFonts w:cs="Arial"/>
                <w:color w:val="auto"/>
                <w:szCs w:val="18"/>
              </w:rPr>
            </w:pPr>
            <w:r w:rsidRPr="00F67C8B">
              <w:rPr>
                <w:rFonts w:cs="Arial"/>
                <w:i/>
                <w:color w:val="auto"/>
                <w:szCs w:val="18"/>
              </w:rPr>
              <w:t>Example</w:t>
            </w:r>
            <w:r w:rsidRPr="00F67C8B">
              <w:rPr>
                <w:rFonts w:cs="Arial"/>
                <w:color w:val="auto"/>
                <w:szCs w:val="18"/>
              </w:rPr>
              <w:t xml:space="preserve"> of Paper Excluded for Each Reason</w:t>
            </w:r>
          </w:p>
        </w:tc>
      </w:tr>
      <w:tr w:rsidR="00FA0BB9" w:rsidRPr="00286A88" w14:paraId="2418249A" w14:textId="77777777" w:rsidTr="005F7B38">
        <w:tc>
          <w:tcPr>
            <w:tcW w:w="3628" w:type="dxa"/>
          </w:tcPr>
          <w:p w14:paraId="12E860E3" w14:textId="77777777" w:rsidR="00FA0BB9" w:rsidRPr="008C43DD" w:rsidRDefault="00FA0BB9" w:rsidP="008C43DD">
            <w:pPr>
              <w:spacing w:before="60"/>
            </w:pPr>
            <w:r w:rsidRPr="008C43DD">
              <w:t>Review of poultry nutrition and production</w:t>
            </w:r>
          </w:p>
        </w:tc>
        <w:tc>
          <w:tcPr>
            <w:tcW w:w="1020" w:type="dxa"/>
          </w:tcPr>
          <w:p w14:paraId="77D9AF04" w14:textId="77777777" w:rsidR="00FA0BB9" w:rsidRPr="008C43DD" w:rsidRDefault="00FA0BB9" w:rsidP="008C43DD">
            <w:pPr>
              <w:spacing w:before="60"/>
            </w:pPr>
            <w:r w:rsidRPr="008C43DD">
              <w:t>1</w:t>
            </w:r>
          </w:p>
        </w:tc>
        <w:tc>
          <w:tcPr>
            <w:tcW w:w="5329" w:type="dxa"/>
          </w:tcPr>
          <w:p w14:paraId="751C2263" w14:textId="77777777" w:rsidR="00FA0BB9" w:rsidRPr="008102AF" w:rsidRDefault="00FA0BB9" w:rsidP="008102AF">
            <w:pPr>
              <w:pStyle w:val="NoSpacing"/>
              <w:spacing w:before="40" w:after="40"/>
              <w:contextualSpacing/>
              <w:rPr>
                <w:sz w:val="16"/>
                <w:szCs w:val="16"/>
              </w:rPr>
            </w:pPr>
            <w:r w:rsidRPr="008102AF">
              <w:rPr>
                <w:sz w:val="16"/>
                <w:szCs w:val="16"/>
              </w:rPr>
              <w:t xml:space="preserve">Poultry nutrition for economic egg and meat production: A review  </w:t>
            </w:r>
          </w:p>
          <w:p w14:paraId="53602C92" w14:textId="77777777" w:rsidR="00FA0BB9" w:rsidRPr="008102AF" w:rsidRDefault="00FA0BB9" w:rsidP="008102AF">
            <w:pPr>
              <w:pStyle w:val="NoSpacing"/>
              <w:spacing w:before="40" w:after="40"/>
              <w:contextualSpacing/>
              <w:rPr>
                <w:sz w:val="16"/>
                <w:szCs w:val="16"/>
              </w:rPr>
            </w:pPr>
            <w:r w:rsidRPr="008102AF">
              <w:rPr>
                <w:sz w:val="16"/>
                <w:szCs w:val="16"/>
              </w:rPr>
              <w:t>By: Mandal, AB; Elangovan, AV; Tyagi, PK</w:t>
            </w:r>
          </w:p>
          <w:p w14:paraId="2B9AB994" w14:textId="77777777" w:rsidR="00FA0BB9" w:rsidRPr="008102AF" w:rsidRDefault="00FA0BB9" w:rsidP="008102AF">
            <w:pPr>
              <w:pStyle w:val="NoSpacing"/>
              <w:spacing w:before="40" w:after="40"/>
              <w:contextualSpacing/>
              <w:rPr>
                <w:sz w:val="16"/>
                <w:szCs w:val="16"/>
              </w:rPr>
            </w:pPr>
            <w:r w:rsidRPr="008102AF">
              <w:rPr>
                <w:sz w:val="16"/>
                <w:szCs w:val="16"/>
              </w:rPr>
              <w:t xml:space="preserve">INDIAN JOURNAL OF ANIMAL SCIENCES </w:t>
            </w:r>
          </w:p>
          <w:p w14:paraId="69CE22C1" w14:textId="77777777" w:rsidR="00FA0BB9" w:rsidRPr="008102AF" w:rsidRDefault="00FA0BB9" w:rsidP="008102AF">
            <w:pPr>
              <w:pStyle w:val="NoSpacing"/>
              <w:spacing w:before="40" w:after="40"/>
              <w:contextualSpacing/>
              <w:rPr>
                <w:sz w:val="16"/>
                <w:szCs w:val="16"/>
              </w:rPr>
            </w:pPr>
            <w:r w:rsidRPr="008102AF">
              <w:rPr>
                <w:sz w:val="16"/>
                <w:szCs w:val="16"/>
              </w:rPr>
              <w:t>Volume:  75</w:t>
            </w:r>
            <w:r w:rsidR="002A1EAE" w:rsidRPr="008102AF">
              <w:rPr>
                <w:sz w:val="16"/>
                <w:szCs w:val="16"/>
              </w:rPr>
              <w:t xml:space="preserve"> </w:t>
            </w:r>
            <w:r w:rsidRPr="008102AF">
              <w:rPr>
                <w:sz w:val="16"/>
                <w:szCs w:val="16"/>
              </w:rPr>
              <w:t>Issue:  10</w:t>
            </w:r>
            <w:r w:rsidR="002A1EAE" w:rsidRPr="008102AF">
              <w:rPr>
                <w:sz w:val="16"/>
                <w:szCs w:val="16"/>
              </w:rPr>
              <w:t xml:space="preserve"> </w:t>
            </w:r>
            <w:r w:rsidRPr="008102AF">
              <w:rPr>
                <w:sz w:val="16"/>
                <w:szCs w:val="16"/>
              </w:rPr>
              <w:t>Pages:  1215-1226</w:t>
            </w:r>
            <w:r w:rsidR="002A1EAE" w:rsidRPr="008102AF">
              <w:rPr>
                <w:sz w:val="16"/>
                <w:szCs w:val="16"/>
              </w:rPr>
              <w:t xml:space="preserve"> </w:t>
            </w:r>
            <w:r w:rsidRPr="008102AF">
              <w:rPr>
                <w:sz w:val="16"/>
                <w:szCs w:val="16"/>
              </w:rPr>
              <w:t>Published:  OCT 2005</w:t>
            </w:r>
          </w:p>
        </w:tc>
      </w:tr>
      <w:tr w:rsidR="00FA0BB9" w:rsidRPr="00286A88" w14:paraId="6BD9638B" w14:textId="77777777" w:rsidTr="005F7B38">
        <w:tc>
          <w:tcPr>
            <w:tcW w:w="3628" w:type="dxa"/>
          </w:tcPr>
          <w:p w14:paraId="4D40DD4B" w14:textId="77777777" w:rsidR="00FA0BB9" w:rsidRPr="008C43DD" w:rsidRDefault="00FA0BB9" w:rsidP="008C43DD">
            <w:pPr>
              <w:spacing w:before="60"/>
            </w:pPr>
            <w:r w:rsidRPr="008C43DD">
              <w:t>Paper on broiler chickens</w:t>
            </w:r>
          </w:p>
        </w:tc>
        <w:tc>
          <w:tcPr>
            <w:tcW w:w="1020" w:type="dxa"/>
          </w:tcPr>
          <w:p w14:paraId="4C766CAC" w14:textId="77777777" w:rsidR="00FA0BB9" w:rsidRPr="008C43DD" w:rsidRDefault="00FA0BB9" w:rsidP="008C43DD">
            <w:pPr>
              <w:spacing w:before="60"/>
            </w:pPr>
            <w:r w:rsidRPr="008C43DD">
              <w:t>1</w:t>
            </w:r>
          </w:p>
        </w:tc>
        <w:tc>
          <w:tcPr>
            <w:tcW w:w="5329" w:type="dxa"/>
          </w:tcPr>
          <w:p w14:paraId="7633E7EF" w14:textId="77777777" w:rsidR="00FA0BB9" w:rsidRPr="008102AF" w:rsidRDefault="00FA0BB9" w:rsidP="008102AF">
            <w:pPr>
              <w:pStyle w:val="NoSpacing"/>
              <w:spacing w:before="40" w:after="40"/>
              <w:contextualSpacing/>
              <w:rPr>
                <w:sz w:val="16"/>
                <w:szCs w:val="16"/>
              </w:rPr>
            </w:pPr>
            <w:r w:rsidRPr="008102AF">
              <w:rPr>
                <w:sz w:val="16"/>
                <w:szCs w:val="16"/>
              </w:rPr>
              <w:t xml:space="preserve">The effects of selective breeding on the architectural properties of the pelvic limb in broiler chickens: a comparative study across modern and ancestral populations  </w:t>
            </w:r>
          </w:p>
          <w:p w14:paraId="4055B9C7" w14:textId="77777777" w:rsidR="00FA0BB9" w:rsidRPr="008102AF" w:rsidRDefault="00FA0BB9" w:rsidP="008102AF">
            <w:pPr>
              <w:pStyle w:val="NoSpacing"/>
              <w:spacing w:before="40" w:after="40"/>
              <w:contextualSpacing/>
              <w:rPr>
                <w:sz w:val="16"/>
                <w:szCs w:val="16"/>
              </w:rPr>
            </w:pPr>
            <w:r w:rsidRPr="008102AF">
              <w:rPr>
                <w:sz w:val="16"/>
                <w:szCs w:val="16"/>
              </w:rPr>
              <w:t>Paxton, Heather; Anthony, Nicolas B.; Corr, Sandra A.; et al.</w:t>
            </w:r>
          </w:p>
          <w:p w14:paraId="33C4EE2C" w14:textId="77777777" w:rsidR="00FA0BB9" w:rsidRPr="008102AF" w:rsidRDefault="00FA0BB9" w:rsidP="008102AF">
            <w:pPr>
              <w:pStyle w:val="NoSpacing"/>
              <w:spacing w:before="40" w:after="40"/>
              <w:contextualSpacing/>
              <w:rPr>
                <w:sz w:val="16"/>
                <w:szCs w:val="16"/>
              </w:rPr>
            </w:pPr>
            <w:r w:rsidRPr="008102AF">
              <w:rPr>
                <w:sz w:val="16"/>
                <w:szCs w:val="16"/>
              </w:rPr>
              <w:t xml:space="preserve">JOURNAL OF ANATOMY </w:t>
            </w:r>
          </w:p>
          <w:p w14:paraId="24F1D086" w14:textId="77777777" w:rsidR="00FA0BB9" w:rsidRPr="008102AF" w:rsidRDefault="00FA0BB9" w:rsidP="008102AF">
            <w:pPr>
              <w:pStyle w:val="NoSpacing"/>
              <w:spacing w:before="40" w:after="40"/>
              <w:contextualSpacing/>
              <w:rPr>
                <w:sz w:val="16"/>
                <w:szCs w:val="16"/>
              </w:rPr>
            </w:pPr>
            <w:r w:rsidRPr="008102AF">
              <w:rPr>
                <w:sz w:val="16"/>
                <w:szCs w:val="16"/>
              </w:rPr>
              <w:t>Volume:  217</w:t>
            </w:r>
            <w:r w:rsidR="002A1EAE" w:rsidRPr="008102AF">
              <w:rPr>
                <w:sz w:val="16"/>
                <w:szCs w:val="16"/>
              </w:rPr>
              <w:t xml:space="preserve"> </w:t>
            </w:r>
            <w:r w:rsidRPr="008102AF">
              <w:rPr>
                <w:sz w:val="16"/>
                <w:szCs w:val="16"/>
              </w:rPr>
              <w:t>Issue:  2</w:t>
            </w:r>
            <w:r w:rsidR="002A1EAE" w:rsidRPr="008102AF">
              <w:rPr>
                <w:sz w:val="16"/>
                <w:szCs w:val="16"/>
              </w:rPr>
              <w:t xml:space="preserve"> </w:t>
            </w:r>
            <w:r w:rsidRPr="008102AF">
              <w:rPr>
                <w:sz w:val="16"/>
                <w:szCs w:val="16"/>
              </w:rPr>
              <w:t>Pages:  153-166</w:t>
            </w:r>
            <w:r w:rsidR="002A1EAE" w:rsidRPr="008102AF">
              <w:rPr>
                <w:sz w:val="16"/>
                <w:szCs w:val="16"/>
              </w:rPr>
              <w:t xml:space="preserve"> </w:t>
            </w:r>
            <w:r w:rsidRPr="008102AF">
              <w:rPr>
                <w:sz w:val="16"/>
                <w:szCs w:val="16"/>
              </w:rPr>
              <w:t>Published:  AUG 2010</w:t>
            </w:r>
          </w:p>
        </w:tc>
      </w:tr>
      <w:tr w:rsidR="00FA0BB9" w:rsidRPr="00286A88" w14:paraId="4B293C15" w14:textId="77777777" w:rsidTr="005F7B38">
        <w:tc>
          <w:tcPr>
            <w:tcW w:w="3628" w:type="dxa"/>
          </w:tcPr>
          <w:p w14:paraId="0DCCB48D" w14:textId="77777777" w:rsidR="00FA0BB9" w:rsidRPr="008C43DD" w:rsidRDefault="00FA0BB9" w:rsidP="008C43DD">
            <w:pPr>
              <w:spacing w:before="60"/>
            </w:pPr>
            <w:r w:rsidRPr="008C43DD">
              <w:t>Review of disease</w:t>
            </w:r>
          </w:p>
        </w:tc>
        <w:tc>
          <w:tcPr>
            <w:tcW w:w="1020" w:type="dxa"/>
          </w:tcPr>
          <w:p w14:paraId="01372BD1" w14:textId="77777777" w:rsidR="00FA0BB9" w:rsidRPr="008C43DD" w:rsidRDefault="00FA0BB9" w:rsidP="008C43DD">
            <w:pPr>
              <w:spacing w:before="60"/>
            </w:pPr>
            <w:r w:rsidRPr="008C43DD">
              <w:t>2</w:t>
            </w:r>
          </w:p>
        </w:tc>
        <w:tc>
          <w:tcPr>
            <w:tcW w:w="5329" w:type="dxa"/>
          </w:tcPr>
          <w:p w14:paraId="3C9892F2" w14:textId="77777777" w:rsidR="00FA0BB9" w:rsidRPr="008102AF" w:rsidRDefault="00FA0BB9" w:rsidP="008102AF">
            <w:pPr>
              <w:pStyle w:val="NoSpacing"/>
              <w:spacing w:before="40" w:after="40"/>
              <w:contextualSpacing/>
              <w:rPr>
                <w:sz w:val="16"/>
                <w:szCs w:val="16"/>
              </w:rPr>
            </w:pPr>
            <w:r w:rsidRPr="008102AF">
              <w:rPr>
                <w:sz w:val="16"/>
                <w:szCs w:val="16"/>
              </w:rPr>
              <w:t xml:space="preserve">Avian adenoviruses  </w:t>
            </w:r>
          </w:p>
          <w:p w14:paraId="444A1339" w14:textId="77777777" w:rsidR="00FA0BB9" w:rsidRPr="008102AF" w:rsidRDefault="00FA0BB9" w:rsidP="008102AF">
            <w:pPr>
              <w:pStyle w:val="NoSpacing"/>
              <w:spacing w:before="40" w:after="40"/>
              <w:contextualSpacing/>
              <w:rPr>
                <w:sz w:val="16"/>
                <w:szCs w:val="16"/>
              </w:rPr>
            </w:pPr>
            <w:r w:rsidRPr="008102AF">
              <w:rPr>
                <w:sz w:val="16"/>
                <w:szCs w:val="16"/>
              </w:rPr>
              <w:t>McFerran, JB; Smyth, JA</w:t>
            </w:r>
          </w:p>
          <w:p w14:paraId="68D057AF" w14:textId="77777777" w:rsidR="00FA0BB9" w:rsidRPr="008102AF" w:rsidRDefault="00FA0BB9" w:rsidP="008102AF">
            <w:pPr>
              <w:pStyle w:val="NoSpacing"/>
              <w:spacing w:before="40" w:after="40"/>
              <w:contextualSpacing/>
              <w:rPr>
                <w:sz w:val="16"/>
                <w:szCs w:val="16"/>
              </w:rPr>
            </w:pPr>
            <w:r w:rsidRPr="008102AF">
              <w:rPr>
                <w:sz w:val="16"/>
                <w:szCs w:val="16"/>
              </w:rPr>
              <w:t xml:space="preserve">REVUE SCIENTIFIQUE ET TECHNIQUE DE L OFFICE INTERNATIONAL DES EPIZOOTIES </w:t>
            </w:r>
          </w:p>
          <w:p w14:paraId="1BC0B695" w14:textId="77777777" w:rsidR="00FA0BB9" w:rsidRPr="008102AF" w:rsidRDefault="00FA0BB9" w:rsidP="008102AF">
            <w:pPr>
              <w:pStyle w:val="NoSpacing"/>
              <w:spacing w:before="40" w:after="40"/>
              <w:contextualSpacing/>
              <w:rPr>
                <w:sz w:val="16"/>
                <w:szCs w:val="16"/>
              </w:rPr>
            </w:pPr>
            <w:r w:rsidRPr="008102AF">
              <w:rPr>
                <w:sz w:val="16"/>
                <w:szCs w:val="16"/>
              </w:rPr>
              <w:t>Volume:  19</w:t>
            </w:r>
            <w:r w:rsidR="002A1EAE" w:rsidRPr="008102AF">
              <w:rPr>
                <w:sz w:val="16"/>
                <w:szCs w:val="16"/>
              </w:rPr>
              <w:t xml:space="preserve"> </w:t>
            </w:r>
            <w:r w:rsidRPr="008102AF">
              <w:rPr>
                <w:sz w:val="16"/>
                <w:szCs w:val="16"/>
              </w:rPr>
              <w:t>Issue:  2</w:t>
            </w:r>
            <w:r w:rsidR="002A1EAE" w:rsidRPr="008102AF">
              <w:rPr>
                <w:sz w:val="16"/>
                <w:szCs w:val="16"/>
              </w:rPr>
              <w:t xml:space="preserve"> </w:t>
            </w:r>
            <w:r w:rsidRPr="008102AF">
              <w:rPr>
                <w:sz w:val="16"/>
                <w:szCs w:val="16"/>
              </w:rPr>
              <w:t>Pages:  589-601</w:t>
            </w:r>
            <w:r w:rsidR="002A1EAE" w:rsidRPr="008102AF">
              <w:rPr>
                <w:sz w:val="16"/>
                <w:szCs w:val="16"/>
              </w:rPr>
              <w:t xml:space="preserve"> </w:t>
            </w:r>
            <w:r w:rsidRPr="008102AF">
              <w:rPr>
                <w:sz w:val="16"/>
                <w:szCs w:val="16"/>
              </w:rPr>
              <w:t>Published:  AUG 2000</w:t>
            </w:r>
          </w:p>
        </w:tc>
      </w:tr>
      <w:tr w:rsidR="00FA0BB9" w:rsidRPr="00286A88" w14:paraId="5869C1F0" w14:textId="77777777" w:rsidTr="005F7B38">
        <w:tc>
          <w:tcPr>
            <w:tcW w:w="3628" w:type="dxa"/>
          </w:tcPr>
          <w:p w14:paraId="07F2D630" w14:textId="77777777" w:rsidR="00FA0BB9" w:rsidRPr="00F67C8B" w:rsidRDefault="00770A44" w:rsidP="002B2473">
            <w:pPr>
              <w:spacing w:before="60" w:line="240" w:lineRule="auto"/>
              <w:rPr>
                <w:rFonts w:cs="Arial"/>
                <w:b/>
                <w:color w:val="auto"/>
                <w:szCs w:val="18"/>
              </w:rPr>
            </w:pPr>
            <w:r>
              <w:rPr>
                <w:rFonts w:cs="Arial"/>
                <w:b/>
                <w:color w:val="auto"/>
                <w:szCs w:val="18"/>
              </w:rPr>
              <w:t>Papers excluded from primary search</w:t>
            </w:r>
          </w:p>
        </w:tc>
        <w:tc>
          <w:tcPr>
            <w:tcW w:w="1020" w:type="dxa"/>
          </w:tcPr>
          <w:p w14:paraId="0A0F99C7" w14:textId="77777777" w:rsidR="00FA0BB9" w:rsidRPr="00F67C8B" w:rsidRDefault="00770A44" w:rsidP="002B2473">
            <w:pPr>
              <w:spacing w:before="60" w:line="240" w:lineRule="auto"/>
              <w:rPr>
                <w:rFonts w:cs="Arial"/>
                <w:b/>
                <w:color w:val="auto"/>
                <w:szCs w:val="18"/>
              </w:rPr>
            </w:pPr>
            <w:r>
              <w:rPr>
                <w:rFonts w:cs="Arial"/>
                <w:b/>
                <w:color w:val="auto"/>
                <w:szCs w:val="18"/>
              </w:rPr>
              <w:t>4</w:t>
            </w:r>
          </w:p>
        </w:tc>
        <w:tc>
          <w:tcPr>
            <w:tcW w:w="5329" w:type="dxa"/>
          </w:tcPr>
          <w:p w14:paraId="138B0C76" w14:textId="77777777" w:rsidR="00FA0BB9" w:rsidRPr="00F67C8B" w:rsidRDefault="00770A44" w:rsidP="002B2473">
            <w:pPr>
              <w:spacing w:before="60" w:line="240" w:lineRule="auto"/>
              <w:rPr>
                <w:rFonts w:cs="Arial"/>
                <w:b/>
                <w:color w:val="auto"/>
                <w:szCs w:val="18"/>
              </w:rPr>
            </w:pPr>
            <w:r>
              <w:rPr>
                <w:rFonts w:cs="Arial"/>
                <w:b/>
                <w:color w:val="auto"/>
                <w:szCs w:val="18"/>
              </w:rPr>
              <w:t>Papers retained from primary search: 4 – 4 = 0</w:t>
            </w:r>
          </w:p>
        </w:tc>
      </w:tr>
    </w:tbl>
    <w:p w14:paraId="6C42016E" w14:textId="77777777" w:rsidR="00FA0BB9" w:rsidRPr="00590F0B" w:rsidRDefault="00FA0BB9" w:rsidP="00590F0B">
      <w:pPr>
        <w:spacing w:before="240" w:after="240"/>
        <w:rPr>
          <w:b/>
          <w:i/>
          <w:lang w:val="en-GB"/>
        </w:rPr>
      </w:pPr>
      <w:r w:rsidRPr="00590F0B">
        <w:rPr>
          <w:b/>
          <w:i/>
          <w:lang w:val="en-GB"/>
        </w:rPr>
        <w:t>Guinea Fowl Secondary Searches</w:t>
      </w:r>
    </w:p>
    <w:tbl>
      <w:tblPr>
        <w:tblStyle w:val="TableGrid11"/>
        <w:tblW w:w="9950" w:type="dxa"/>
        <w:tblLayout w:type="fixed"/>
        <w:tblLook w:val="04A0" w:firstRow="1" w:lastRow="0" w:firstColumn="1" w:lastColumn="0" w:noHBand="0" w:noVBand="1"/>
        <w:tblCaption w:val="Results of secondary literature searches for guinea fowl"/>
        <w:tblDescription w:val="This table shows the results of secondary literature searches for guinea fowl. The left hand column shows the search terms used in the secondary searches. The middle column shows the number of papers returned from each of these searches. The third column shows the additional papers retained from these searches."/>
      </w:tblPr>
      <w:tblGrid>
        <w:gridCol w:w="7682"/>
        <w:gridCol w:w="1134"/>
        <w:gridCol w:w="1134"/>
      </w:tblGrid>
      <w:tr w:rsidR="00354982" w:rsidRPr="00286A88" w14:paraId="184CC1E0" w14:textId="77777777" w:rsidTr="00587D34">
        <w:trPr>
          <w:tblHeader/>
        </w:trPr>
        <w:tc>
          <w:tcPr>
            <w:tcW w:w="7682" w:type="dxa"/>
            <w:shd w:val="clear" w:color="auto" w:fill="auto"/>
          </w:tcPr>
          <w:p w14:paraId="3B3DD2B8" w14:textId="77777777" w:rsidR="00FA0BB9" w:rsidRPr="008970FA" w:rsidRDefault="00FA0BB9" w:rsidP="008970FA">
            <w:pPr>
              <w:spacing w:before="60" w:line="240" w:lineRule="auto"/>
              <w:rPr>
                <w:rFonts w:cs="Arial"/>
                <w:b/>
                <w:color w:val="auto"/>
                <w:szCs w:val="18"/>
              </w:rPr>
            </w:pPr>
            <w:r w:rsidRPr="008970FA">
              <w:rPr>
                <w:rFonts w:cs="Arial"/>
                <w:b/>
                <w:color w:val="auto"/>
                <w:szCs w:val="18"/>
              </w:rPr>
              <w:t>Search terms for synonyms of species or welfare</w:t>
            </w:r>
          </w:p>
        </w:tc>
        <w:tc>
          <w:tcPr>
            <w:tcW w:w="1134" w:type="dxa"/>
            <w:shd w:val="clear" w:color="auto" w:fill="auto"/>
          </w:tcPr>
          <w:p w14:paraId="4DC9BD20" w14:textId="77777777" w:rsidR="00FA0BB9" w:rsidRPr="008970FA" w:rsidRDefault="00FA0BB9" w:rsidP="008970FA">
            <w:pPr>
              <w:spacing w:before="60" w:line="240" w:lineRule="auto"/>
              <w:rPr>
                <w:rFonts w:cs="Arial"/>
                <w:color w:val="auto"/>
                <w:szCs w:val="18"/>
              </w:rPr>
            </w:pPr>
            <w:r w:rsidRPr="008970FA">
              <w:rPr>
                <w:rFonts w:cs="Arial"/>
                <w:color w:val="auto"/>
                <w:szCs w:val="18"/>
              </w:rPr>
              <w:t>Hits</w:t>
            </w:r>
          </w:p>
        </w:tc>
        <w:tc>
          <w:tcPr>
            <w:tcW w:w="1134" w:type="dxa"/>
            <w:shd w:val="clear" w:color="auto" w:fill="auto"/>
          </w:tcPr>
          <w:p w14:paraId="4F695E20" w14:textId="77777777" w:rsidR="00FA0BB9" w:rsidRPr="008970FA" w:rsidRDefault="00A772EA" w:rsidP="008970FA">
            <w:pPr>
              <w:spacing w:before="60" w:line="240" w:lineRule="auto"/>
              <w:rPr>
                <w:rFonts w:cs="Arial"/>
                <w:color w:val="auto"/>
                <w:szCs w:val="18"/>
              </w:rPr>
            </w:pPr>
            <w:r>
              <w:rPr>
                <w:rFonts w:cs="Arial"/>
                <w:color w:val="auto"/>
                <w:szCs w:val="18"/>
              </w:rPr>
              <w:t>Additional P</w:t>
            </w:r>
            <w:r w:rsidR="00FA0BB9" w:rsidRPr="008970FA">
              <w:rPr>
                <w:rFonts w:cs="Arial"/>
                <w:color w:val="auto"/>
                <w:szCs w:val="18"/>
              </w:rPr>
              <w:t>apers</w:t>
            </w:r>
            <w:r w:rsidR="00354982">
              <w:rPr>
                <w:rFonts w:cs="Arial"/>
                <w:color w:val="auto"/>
                <w:szCs w:val="18"/>
              </w:rPr>
              <w:t xml:space="preserve"> Included</w:t>
            </w:r>
          </w:p>
        </w:tc>
      </w:tr>
      <w:tr w:rsidR="00354982" w:rsidRPr="00286A88" w14:paraId="5ED79C9E" w14:textId="77777777" w:rsidTr="00354982">
        <w:tc>
          <w:tcPr>
            <w:tcW w:w="7682" w:type="dxa"/>
          </w:tcPr>
          <w:p w14:paraId="53B67675" w14:textId="77777777" w:rsidR="00FA0BB9" w:rsidRPr="008970FA" w:rsidRDefault="00FA0BB9" w:rsidP="008970FA">
            <w:pPr>
              <w:spacing w:before="60" w:line="240" w:lineRule="auto"/>
              <w:rPr>
                <w:rFonts w:cs="Arial"/>
                <w:color w:val="auto"/>
                <w:szCs w:val="18"/>
              </w:rPr>
            </w:pPr>
            <w:r w:rsidRPr="008970FA">
              <w:rPr>
                <w:rFonts w:cs="Arial"/>
                <w:color w:val="333333"/>
                <w:szCs w:val="18"/>
              </w:rPr>
              <w:t xml:space="preserve">wellbeing* AND guineafowl* OR wellbeing* AND </w:t>
            </w:r>
            <w:r w:rsidR="0010235B">
              <w:rPr>
                <w:rFonts w:cs="Arial"/>
                <w:color w:val="333333"/>
                <w:szCs w:val="18"/>
              </w:rPr>
              <w:t>“</w:t>
            </w:r>
            <w:r w:rsidRPr="008970FA">
              <w:rPr>
                <w:rFonts w:cs="Arial"/>
                <w:color w:val="333333"/>
                <w:szCs w:val="18"/>
              </w:rPr>
              <w:t>guinea fowl*</w:t>
            </w:r>
            <w:r w:rsidR="0010235B">
              <w:rPr>
                <w:rFonts w:cs="Arial"/>
                <w:color w:val="333333"/>
                <w:szCs w:val="18"/>
              </w:rPr>
              <w:t>”</w:t>
            </w:r>
            <w:r w:rsidRPr="008970FA">
              <w:rPr>
                <w:rFonts w:cs="Arial"/>
                <w:color w:val="333333"/>
                <w:szCs w:val="18"/>
              </w:rPr>
              <w:t xml:space="preserve"> OR wellbeing* AND numida* OR wellbeing* AND guttera* OR wellbeing* AND agelastes* OR wellbeing* AND acryllium* OR well-being* AND guineafowl* OR well-being* AND </w:t>
            </w:r>
            <w:r w:rsidR="0010235B">
              <w:rPr>
                <w:rFonts w:cs="Arial"/>
                <w:color w:val="333333"/>
                <w:szCs w:val="18"/>
              </w:rPr>
              <w:t>“</w:t>
            </w:r>
            <w:r w:rsidRPr="008970FA">
              <w:rPr>
                <w:rFonts w:cs="Arial"/>
                <w:color w:val="333333"/>
                <w:szCs w:val="18"/>
              </w:rPr>
              <w:t>guinea fowl*</w:t>
            </w:r>
            <w:r w:rsidR="0010235B">
              <w:rPr>
                <w:rFonts w:cs="Arial"/>
                <w:color w:val="333333"/>
                <w:szCs w:val="18"/>
              </w:rPr>
              <w:t>”</w:t>
            </w:r>
            <w:r w:rsidRPr="008970FA">
              <w:rPr>
                <w:rFonts w:cs="Arial"/>
                <w:color w:val="333333"/>
                <w:szCs w:val="18"/>
              </w:rPr>
              <w:t xml:space="preserve"> OR well-being* AND numida* OR well-being* AND guttera* OR well-being* AND agelastes* OR well-being* AND acryllium*</w:t>
            </w:r>
          </w:p>
        </w:tc>
        <w:tc>
          <w:tcPr>
            <w:tcW w:w="1134" w:type="dxa"/>
          </w:tcPr>
          <w:p w14:paraId="19EB364E"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c>
          <w:tcPr>
            <w:tcW w:w="1134" w:type="dxa"/>
          </w:tcPr>
          <w:p w14:paraId="6F8F12F8"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r>
      <w:tr w:rsidR="00354982" w:rsidRPr="00286A88" w14:paraId="7C3B8C6B" w14:textId="77777777" w:rsidTr="00354982">
        <w:tc>
          <w:tcPr>
            <w:tcW w:w="7682" w:type="dxa"/>
          </w:tcPr>
          <w:p w14:paraId="10A0423A" w14:textId="77777777" w:rsidR="00FA0BB9" w:rsidRPr="008970FA" w:rsidRDefault="00A73FA0" w:rsidP="00A73FA0">
            <w:pPr>
              <w:spacing w:before="60" w:line="240" w:lineRule="auto"/>
              <w:rPr>
                <w:rFonts w:cs="Arial"/>
                <w:color w:val="auto"/>
                <w:szCs w:val="18"/>
              </w:rPr>
            </w:pPr>
            <w:r>
              <w:rPr>
                <w:rFonts w:cs="Arial"/>
                <w:color w:val="auto"/>
                <w:szCs w:val="18"/>
              </w:rPr>
              <w:t>behav</w:t>
            </w:r>
            <w:r w:rsidR="00FA0BB9" w:rsidRPr="008970FA">
              <w:rPr>
                <w:rFonts w:cs="Arial"/>
                <w:color w:val="auto"/>
                <w:szCs w:val="18"/>
              </w:rPr>
              <w:t xml:space="preserve">* AND guineafowl* OR </w:t>
            </w:r>
            <w:r>
              <w:rPr>
                <w:rFonts w:cs="Arial"/>
                <w:color w:val="auto"/>
                <w:szCs w:val="18"/>
              </w:rPr>
              <w:t>behav</w:t>
            </w:r>
            <w:r w:rsidR="00FA0BB9" w:rsidRPr="008970FA">
              <w:rPr>
                <w:rFonts w:cs="Arial"/>
                <w:color w:val="auto"/>
                <w:szCs w:val="18"/>
              </w:rPr>
              <w:t xml:space="preserve">* AND </w:t>
            </w:r>
            <w:r w:rsidR="0010235B">
              <w:rPr>
                <w:rFonts w:cs="Arial"/>
                <w:color w:val="auto"/>
                <w:szCs w:val="18"/>
              </w:rPr>
              <w:t>“</w:t>
            </w:r>
            <w:r w:rsidR="00FA0BB9" w:rsidRPr="008970FA">
              <w:rPr>
                <w:rFonts w:cs="Arial"/>
                <w:color w:val="auto"/>
                <w:szCs w:val="18"/>
              </w:rPr>
              <w:t>guinea fowl*</w:t>
            </w:r>
            <w:r w:rsidR="0010235B">
              <w:rPr>
                <w:rFonts w:cs="Arial"/>
                <w:color w:val="auto"/>
                <w:szCs w:val="18"/>
              </w:rPr>
              <w:t>”</w:t>
            </w:r>
            <w:r w:rsidR="00FA0BB9" w:rsidRPr="008970FA">
              <w:rPr>
                <w:rFonts w:cs="Arial"/>
                <w:color w:val="auto"/>
                <w:szCs w:val="18"/>
              </w:rPr>
              <w:t xml:space="preserve"> OR </w:t>
            </w:r>
            <w:r>
              <w:rPr>
                <w:rFonts w:cs="Arial"/>
                <w:color w:val="auto"/>
                <w:szCs w:val="18"/>
              </w:rPr>
              <w:t>behav</w:t>
            </w:r>
            <w:r w:rsidR="00FA0BB9" w:rsidRPr="008970FA">
              <w:rPr>
                <w:rFonts w:cs="Arial"/>
                <w:color w:val="auto"/>
                <w:szCs w:val="18"/>
              </w:rPr>
              <w:t xml:space="preserve">* AND numida* OR </w:t>
            </w:r>
            <w:r>
              <w:rPr>
                <w:rFonts w:cs="Arial"/>
                <w:color w:val="auto"/>
                <w:szCs w:val="18"/>
              </w:rPr>
              <w:t>behav</w:t>
            </w:r>
            <w:r w:rsidR="00FA0BB9" w:rsidRPr="008970FA">
              <w:rPr>
                <w:rFonts w:cs="Arial"/>
                <w:color w:val="auto"/>
                <w:szCs w:val="18"/>
              </w:rPr>
              <w:t xml:space="preserve">* AND guttera* OR </w:t>
            </w:r>
            <w:r>
              <w:rPr>
                <w:rFonts w:cs="Arial"/>
                <w:color w:val="auto"/>
                <w:szCs w:val="18"/>
              </w:rPr>
              <w:t>behav</w:t>
            </w:r>
            <w:r w:rsidR="00FA0BB9" w:rsidRPr="008970FA">
              <w:rPr>
                <w:rFonts w:cs="Arial"/>
                <w:color w:val="auto"/>
                <w:szCs w:val="18"/>
              </w:rPr>
              <w:t xml:space="preserve">* AND agelastes* OR </w:t>
            </w:r>
            <w:r>
              <w:rPr>
                <w:rFonts w:cs="Arial"/>
                <w:color w:val="auto"/>
                <w:szCs w:val="18"/>
              </w:rPr>
              <w:t>behav</w:t>
            </w:r>
            <w:r w:rsidR="00FA0BB9" w:rsidRPr="008970FA">
              <w:rPr>
                <w:rFonts w:cs="Arial"/>
                <w:color w:val="auto"/>
                <w:szCs w:val="18"/>
              </w:rPr>
              <w:t>* AND acryllium*</w:t>
            </w:r>
          </w:p>
        </w:tc>
        <w:tc>
          <w:tcPr>
            <w:tcW w:w="1134" w:type="dxa"/>
          </w:tcPr>
          <w:p w14:paraId="6F1962F7" w14:textId="77777777" w:rsidR="00FA0BB9" w:rsidRPr="008970FA" w:rsidRDefault="00FA0BB9" w:rsidP="008970FA">
            <w:pPr>
              <w:spacing w:before="60" w:line="240" w:lineRule="auto"/>
              <w:rPr>
                <w:rFonts w:cs="Arial"/>
                <w:color w:val="auto"/>
                <w:szCs w:val="18"/>
              </w:rPr>
            </w:pPr>
            <w:r w:rsidRPr="008970FA">
              <w:rPr>
                <w:rFonts w:cs="Arial"/>
                <w:color w:val="auto"/>
                <w:szCs w:val="18"/>
              </w:rPr>
              <w:t>29</w:t>
            </w:r>
          </w:p>
        </w:tc>
        <w:tc>
          <w:tcPr>
            <w:tcW w:w="1134" w:type="dxa"/>
          </w:tcPr>
          <w:p w14:paraId="3BF68AE7" w14:textId="77777777" w:rsidR="00FA0BB9" w:rsidRPr="008970FA" w:rsidRDefault="00FA0BB9" w:rsidP="00354982">
            <w:pPr>
              <w:spacing w:before="60" w:line="240" w:lineRule="auto"/>
              <w:rPr>
                <w:rFonts w:cs="Arial"/>
                <w:color w:val="auto"/>
                <w:szCs w:val="18"/>
              </w:rPr>
            </w:pPr>
            <w:r w:rsidRPr="008970FA">
              <w:rPr>
                <w:rFonts w:cs="Arial"/>
                <w:color w:val="auto"/>
                <w:szCs w:val="18"/>
              </w:rPr>
              <w:t>1</w:t>
            </w:r>
          </w:p>
        </w:tc>
      </w:tr>
      <w:tr w:rsidR="00354982" w:rsidRPr="00286A88" w14:paraId="35442466" w14:textId="77777777" w:rsidTr="00354982">
        <w:tc>
          <w:tcPr>
            <w:tcW w:w="7682" w:type="dxa"/>
          </w:tcPr>
          <w:p w14:paraId="1386D02C" w14:textId="77777777" w:rsidR="00FA0BB9" w:rsidRPr="008970FA" w:rsidRDefault="00FA0BB9" w:rsidP="008970FA">
            <w:pPr>
              <w:spacing w:before="60" w:line="240" w:lineRule="auto"/>
              <w:rPr>
                <w:rFonts w:cs="Arial"/>
                <w:color w:val="auto"/>
                <w:szCs w:val="18"/>
              </w:rPr>
            </w:pPr>
            <w:r w:rsidRPr="008970FA">
              <w:rPr>
                <w:rFonts w:cs="Arial"/>
                <w:color w:val="333333"/>
                <w:szCs w:val="18"/>
              </w:rPr>
              <w:t xml:space="preserve">health* AND guineafowl* OR health* AND </w:t>
            </w:r>
            <w:r w:rsidR="0010235B">
              <w:rPr>
                <w:rFonts w:cs="Arial"/>
                <w:color w:val="333333"/>
                <w:szCs w:val="18"/>
              </w:rPr>
              <w:t>“</w:t>
            </w:r>
            <w:r w:rsidRPr="008970FA">
              <w:rPr>
                <w:rFonts w:cs="Arial"/>
                <w:color w:val="333333"/>
                <w:szCs w:val="18"/>
              </w:rPr>
              <w:t>guinea fowl*</w:t>
            </w:r>
            <w:r w:rsidR="0010235B">
              <w:rPr>
                <w:rFonts w:cs="Arial"/>
                <w:color w:val="333333"/>
                <w:szCs w:val="18"/>
              </w:rPr>
              <w:t>”</w:t>
            </w:r>
            <w:r w:rsidRPr="008970FA">
              <w:rPr>
                <w:rFonts w:cs="Arial"/>
                <w:color w:val="333333"/>
                <w:szCs w:val="18"/>
              </w:rPr>
              <w:t xml:space="preserve"> OR health* AND numida* OR health* AND guttera* OR health* AND agelastes* OR health* AND acryllium*</w:t>
            </w:r>
          </w:p>
        </w:tc>
        <w:tc>
          <w:tcPr>
            <w:tcW w:w="1134" w:type="dxa"/>
          </w:tcPr>
          <w:p w14:paraId="35ECDFA8" w14:textId="77777777" w:rsidR="00FA0BB9" w:rsidRPr="008970FA" w:rsidRDefault="00FA0BB9" w:rsidP="008970FA">
            <w:pPr>
              <w:spacing w:before="60" w:line="240" w:lineRule="auto"/>
              <w:rPr>
                <w:rFonts w:cs="Arial"/>
                <w:color w:val="auto"/>
                <w:szCs w:val="18"/>
              </w:rPr>
            </w:pPr>
            <w:r w:rsidRPr="008970FA">
              <w:rPr>
                <w:rFonts w:cs="Arial"/>
                <w:color w:val="auto"/>
                <w:szCs w:val="18"/>
              </w:rPr>
              <w:t>36</w:t>
            </w:r>
          </w:p>
        </w:tc>
        <w:tc>
          <w:tcPr>
            <w:tcW w:w="1134" w:type="dxa"/>
          </w:tcPr>
          <w:p w14:paraId="5B4D084C" w14:textId="77777777" w:rsidR="00FA0BB9" w:rsidRPr="008970FA" w:rsidRDefault="00FA0BB9" w:rsidP="008970FA">
            <w:pPr>
              <w:spacing w:before="60" w:line="240" w:lineRule="auto"/>
              <w:rPr>
                <w:rFonts w:cs="Arial"/>
                <w:color w:val="auto"/>
                <w:szCs w:val="18"/>
              </w:rPr>
            </w:pPr>
            <w:r w:rsidRPr="008970FA">
              <w:rPr>
                <w:rFonts w:cs="Arial"/>
                <w:color w:val="auto"/>
                <w:szCs w:val="18"/>
              </w:rPr>
              <w:t>1</w:t>
            </w:r>
          </w:p>
        </w:tc>
      </w:tr>
      <w:tr w:rsidR="00354982" w:rsidRPr="00286A88" w14:paraId="5B1C5F6B" w14:textId="77777777" w:rsidTr="00354982">
        <w:tc>
          <w:tcPr>
            <w:tcW w:w="7682" w:type="dxa"/>
          </w:tcPr>
          <w:p w14:paraId="12354043" w14:textId="77777777" w:rsidR="00FA0BB9" w:rsidRPr="008970FA" w:rsidRDefault="00FA0BB9" w:rsidP="008970FA">
            <w:pPr>
              <w:spacing w:before="60" w:line="240" w:lineRule="auto"/>
              <w:rPr>
                <w:rFonts w:cs="Arial"/>
                <w:color w:val="auto"/>
                <w:szCs w:val="18"/>
              </w:rPr>
            </w:pPr>
            <w:r w:rsidRPr="008970FA">
              <w:rPr>
                <w:rFonts w:cs="Arial"/>
                <w:color w:val="333333"/>
                <w:szCs w:val="18"/>
              </w:rPr>
              <w:t xml:space="preserve">fear* AND guineafowl* OR fear* AND </w:t>
            </w:r>
            <w:r w:rsidR="0010235B">
              <w:rPr>
                <w:rFonts w:cs="Arial"/>
                <w:color w:val="333333"/>
                <w:szCs w:val="18"/>
              </w:rPr>
              <w:t>“</w:t>
            </w:r>
            <w:r w:rsidRPr="008970FA">
              <w:rPr>
                <w:rFonts w:cs="Arial"/>
                <w:color w:val="333333"/>
                <w:szCs w:val="18"/>
              </w:rPr>
              <w:t>guinea fowl*</w:t>
            </w:r>
            <w:r w:rsidR="0010235B">
              <w:rPr>
                <w:rFonts w:cs="Arial"/>
                <w:color w:val="333333"/>
                <w:szCs w:val="18"/>
              </w:rPr>
              <w:t>”</w:t>
            </w:r>
            <w:r w:rsidRPr="008970FA">
              <w:rPr>
                <w:rFonts w:cs="Arial"/>
                <w:color w:val="333333"/>
                <w:szCs w:val="18"/>
              </w:rPr>
              <w:t xml:space="preserve"> OR fear* AND numida* OR fear* AND guttera* OR fear* AND agelastes* OR fear* AND acryllium* OR stress* AND guineafowl* OR stress* AND </w:t>
            </w:r>
            <w:r w:rsidR="0010235B">
              <w:rPr>
                <w:rFonts w:cs="Arial"/>
                <w:color w:val="333333"/>
                <w:szCs w:val="18"/>
              </w:rPr>
              <w:t>“</w:t>
            </w:r>
            <w:r w:rsidRPr="008970FA">
              <w:rPr>
                <w:rFonts w:cs="Arial"/>
                <w:color w:val="333333"/>
                <w:szCs w:val="18"/>
              </w:rPr>
              <w:t>guinea fowl*</w:t>
            </w:r>
            <w:r w:rsidR="0010235B">
              <w:rPr>
                <w:rFonts w:cs="Arial"/>
                <w:color w:val="333333"/>
                <w:szCs w:val="18"/>
              </w:rPr>
              <w:t>”</w:t>
            </w:r>
            <w:r w:rsidRPr="008970FA">
              <w:rPr>
                <w:rFonts w:cs="Arial"/>
                <w:color w:val="333333"/>
                <w:szCs w:val="18"/>
              </w:rPr>
              <w:t xml:space="preserve"> OR stress* AND numida* OR stress* AND guttera* OR stress* AND agelastes* OR stress* AND acryllium*</w:t>
            </w:r>
          </w:p>
        </w:tc>
        <w:tc>
          <w:tcPr>
            <w:tcW w:w="1134" w:type="dxa"/>
          </w:tcPr>
          <w:p w14:paraId="1FEF10B3" w14:textId="77777777" w:rsidR="00FA0BB9" w:rsidRPr="008970FA" w:rsidRDefault="00FA0BB9" w:rsidP="008970FA">
            <w:pPr>
              <w:spacing w:before="60" w:line="240" w:lineRule="auto"/>
              <w:rPr>
                <w:rFonts w:cs="Arial"/>
                <w:color w:val="auto"/>
                <w:szCs w:val="18"/>
              </w:rPr>
            </w:pPr>
            <w:r w:rsidRPr="008970FA">
              <w:rPr>
                <w:rFonts w:cs="Arial"/>
                <w:color w:val="auto"/>
                <w:szCs w:val="18"/>
              </w:rPr>
              <w:t>15</w:t>
            </w:r>
          </w:p>
        </w:tc>
        <w:tc>
          <w:tcPr>
            <w:tcW w:w="1134" w:type="dxa"/>
          </w:tcPr>
          <w:p w14:paraId="31606C02"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r>
      <w:tr w:rsidR="00354982" w:rsidRPr="00286A88" w14:paraId="0A65C895" w14:textId="77777777" w:rsidTr="00354982">
        <w:tc>
          <w:tcPr>
            <w:tcW w:w="7682" w:type="dxa"/>
          </w:tcPr>
          <w:p w14:paraId="6A856BC7" w14:textId="77777777" w:rsidR="00FA0BB9" w:rsidRPr="008970FA" w:rsidRDefault="00FA0BB9" w:rsidP="008970FA">
            <w:pPr>
              <w:spacing w:before="60" w:line="240" w:lineRule="auto"/>
              <w:rPr>
                <w:rFonts w:cs="Arial"/>
                <w:color w:val="auto"/>
                <w:szCs w:val="18"/>
              </w:rPr>
            </w:pPr>
            <w:r w:rsidRPr="008970FA">
              <w:rPr>
                <w:rFonts w:cs="Arial"/>
                <w:color w:val="333333"/>
                <w:szCs w:val="18"/>
              </w:rPr>
              <w:t xml:space="preserve">injur* AND guineafowl* OR injur* AND </w:t>
            </w:r>
            <w:r w:rsidR="0010235B">
              <w:rPr>
                <w:rFonts w:cs="Arial"/>
                <w:color w:val="333333"/>
                <w:szCs w:val="18"/>
              </w:rPr>
              <w:t>“</w:t>
            </w:r>
            <w:r w:rsidRPr="008970FA">
              <w:rPr>
                <w:rFonts w:cs="Arial"/>
                <w:color w:val="333333"/>
                <w:szCs w:val="18"/>
              </w:rPr>
              <w:t>guinea fowl*</w:t>
            </w:r>
            <w:r w:rsidR="0010235B">
              <w:rPr>
                <w:rFonts w:cs="Arial"/>
                <w:color w:val="333333"/>
                <w:szCs w:val="18"/>
              </w:rPr>
              <w:t>”</w:t>
            </w:r>
            <w:r w:rsidRPr="008970FA">
              <w:rPr>
                <w:rFonts w:cs="Arial"/>
                <w:color w:val="333333"/>
                <w:szCs w:val="18"/>
              </w:rPr>
              <w:t xml:space="preserve"> OR injur* AND numida* OR injur* AND guttera* OR injur* AND agelastes* OR injur* AND acryllium* OR cull* AND guineafowl* OR cull* AND </w:t>
            </w:r>
            <w:r w:rsidR="0010235B">
              <w:rPr>
                <w:rFonts w:cs="Arial"/>
                <w:color w:val="333333"/>
                <w:szCs w:val="18"/>
              </w:rPr>
              <w:t>“</w:t>
            </w:r>
            <w:r w:rsidRPr="008970FA">
              <w:rPr>
                <w:rFonts w:cs="Arial"/>
                <w:color w:val="333333"/>
                <w:szCs w:val="18"/>
              </w:rPr>
              <w:t>guinea fowl*</w:t>
            </w:r>
            <w:r w:rsidR="0010235B">
              <w:rPr>
                <w:rFonts w:cs="Arial"/>
                <w:color w:val="333333"/>
                <w:szCs w:val="18"/>
              </w:rPr>
              <w:t>”</w:t>
            </w:r>
            <w:r w:rsidRPr="008970FA">
              <w:rPr>
                <w:rFonts w:cs="Arial"/>
                <w:color w:val="333333"/>
                <w:szCs w:val="18"/>
              </w:rPr>
              <w:t xml:space="preserve"> OR cull* AND numida* OR cull* AND guttera* OR cull* AND agelastes* OR cull* AND acryllium* OR mortali* AND guineafowl* OR mortali* AND </w:t>
            </w:r>
            <w:r w:rsidR="0010235B">
              <w:rPr>
                <w:rFonts w:cs="Arial"/>
                <w:color w:val="333333"/>
                <w:szCs w:val="18"/>
              </w:rPr>
              <w:t>“</w:t>
            </w:r>
            <w:r w:rsidRPr="008970FA">
              <w:rPr>
                <w:rFonts w:cs="Arial"/>
                <w:color w:val="333333"/>
                <w:szCs w:val="18"/>
              </w:rPr>
              <w:t>guinea fowl*</w:t>
            </w:r>
            <w:r w:rsidR="0010235B">
              <w:rPr>
                <w:rFonts w:cs="Arial"/>
                <w:color w:val="333333"/>
                <w:szCs w:val="18"/>
              </w:rPr>
              <w:t>”</w:t>
            </w:r>
            <w:r w:rsidRPr="008970FA">
              <w:rPr>
                <w:rFonts w:cs="Arial"/>
                <w:color w:val="333333"/>
                <w:szCs w:val="18"/>
              </w:rPr>
              <w:t xml:space="preserve"> OR mortali* AND numida* OR mortali* AND guttera* OR mortali* AND agelastes* OR mortali* AND acryllium*</w:t>
            </w:r>
          </w:p>
        </w:tc>
        <w:tc>
          <w:tcPr>
            <w:tcW w:w="1134" w:type="dxa"/>
          </w:tcPr>
          <w:p w14:paraId="1B849E51" w14:textId="77777777" w:rsidR="00FA0BB9" w:rsidRPr="008970FA" w:rsidRDefault="00FA0BB9" w:rsidP="008970FA">
            <w:pPr>
              <w:spacing w:before="60" w:line="240" w:lineRule="auto"/>
              <w:rPr>
                <w:rFonts w:cs="Arial"/>
                <w:color w:val="auto"/>
                <w:szCs w:val="18"/>
              </w:rPr>
            </w:pPr>
            <w:r w:rsidRPr="008970FA">
              <w:rPr>
                <w:rFonts w:cs="Arial"/>
                <w:color w:val="auto"/>
                <w:szCs w:val="18"/>
              </w:rPr>
              <w:t>37</w:t>
            </w:r>
          </w:p>
        </w:tc>
        <w:tc>
          <w:tcPr>
            <w:tcW w:w="1134" w:type="dxa"/>
          </w:tcPr>
          <w:p w14:paraId="49BA47EA" w14:textId="77777777" w:rsidR="00FA0BB9" w:rsidRPr="008970FA" w:rsidRDefault="00FA0BB9" w:rsidP="008970FA">
            <w:pPr>
              <w:spacing w:before="60" w:line="240" w:lineRule="auto"/>
              <w:rPr>
                <w:rFonts w:cs="Arial"/>
                <w:color w:val="auto"/>
                <w:szCs w:val="18"/>
              </w:rPr>
            </w:pPr>
            <w:r w:rsidRPr="008970FA">
              <w:rPr>
                <w:rFonts w:cs="Arial"/>
                <w:color w:val="auto"/>
                <w:szCs w:val="18"/>
              </w:rPr>
              <w:t>1</w:t>
            </w:r>
          </w:p>
        </w:tc>
      </w:tr>
      <w:tr w:rsidR="00354982" w:rsidRPr="00286A88" w14:paraId="023D45FB" w14:textId="77777777" w:rsidTr="00354982">
        <w:tc>
          <w:tcPr>
            <w:tcW w:w="7682" w:type="dxa"/>
          </w:tcPr>
          <w:p w14:paraId="7DCCB72B" w14:textId="77777777" w:rsidR="00FA0BB9" w:rsidRPr="008970FA" w:rsidRDefault="00FA0BB9" w:rsidP="008970FA">
            <w:pPr>
              <w:spacing w:before="60" w:line="240" w:lineRule="auto"/>
              <w:rPr>
                <w:rFonts w:cs="Arial"/>
                <w:color w:val="auto"/>
                <w:szCs w:val="18"/>
              </w:rPr>
            </w:pPr>
            <w:r w:rsidRPr="008970FA">
              <w:rPr>
                <w:rFonts w:cs="Arial"/>
                <w:color w:val="333333"/>
                <w:szCs w:val="18"/>
              </w:rPr>
              <w:t xml:space="preserve">density* AND guineafowl* OR density* AND </w:t>
            </w:r>
            <w:r w:rsidR="0010235B">
              <w:rPr>
                <w:rFonts w:cs="Arial"/>
                <w:color w:val="333333"/>
                <w:szCs w:val="18"/>
              </w:rPr>
              <w:t>“</w:t>
            </w:r>
            <w:r w:rsidRPr="008970FA">
              <w:rPr>
                <w:rFonts w:cs="Arial"/>
                <w:color w:val="333333"/>
                <w:szCs w:val="18"/>
              </w:rPr>
              <w:t>guinea fowl*</w:t>
            </w:r>
            <w:r w:rsidR="0010235B">
              <w:rPr>
                <w:rFonts w:cs="Arial"/>
                <w:color w:val="333333"/>
                <w:szCs w:val="18"/>
              </w:rPr>
              <w:t>”</w:t>
            </w:r>
            <w:r w:rsidRPr="008970FA">
              <w:rPr>
                <w:rFonts w:cs="Arial"/>
                <w:color w:val="333333"/>
                <w:szCs w:val="18"/>
              </w:rPr>
              <w:t xml:space="preserve"> OR density* AND numida* OR density* AND guttera* OR density* AND agelastes* OR density* AND acryllium* OR space* AND guineafowl* OR space* AND </w:t>
            </w:r>
            <w:r w:rsidR="0010235B">
              <w:rPr>
                <w:rFonts w:cs="Arial"/>
                <w:color w:val="333333"/>
                <w:szCs w:val="18"/>
              </w:rPr>
              <w:t>“</w:t>
            </w:r>
            <w:r w:rsidRPr="008970FA">
              <w:rPr>
                <w:rFonts w:cs="Arial"/>
                <w:color w:val="333333"/>
                <w:szCs w:val="18"/>
              </w:rPr>
              <w:t>guinea fowl*</w:t>
            </w:r>
            <w:r w:rsidR="0010235B">
              <w:rPr>
                <w:rFonts w:cs="Arial"/>
                <w:color w:val="333333"/>
                <w:szCs w:val="18"/>
              </w:rPr>
              <w:t>”</w:t>
            </w:r>
            <w:r w:rsidRPr="008970FA">
              <w:rPr>
                <w:rFonts w:cs="Arial"/>
                <w:color w:val="333333"/>
                <w:szCs w:val="18"/>
              </w:rPr>
              <w:t xml:space="preserve"> OR space* AND numida* OR space* AND guttera* OR space* AND agelastes* OR space* AND acryllium*</w:t>
            </w:r>
          </w:p>
        </w:tc>
        <w:tc>
          <w:tcPr>
            <w:tcW w:w="1134" w:type="dxa"/>
          </w:tcPr>
          <w:p w14:paraId="319BF1EB" w14:textId="77777777" w:rsidR="00FA0BB9" w:rsidRPr="008970FA" w:rsidRDefault="00FA0BB9" w:rsidP="008970FA">
            <w:pPr>
              <w:spacing w:before="60" w:line="240" w:lineRule="auto"/>
              <w:rPr>
                <w:rFonts w:cs="Arial"/>
                <w:color w:val="auto"/>
                <w:szCs w:val="18"/>
              </w:rPr>
            </w:pPr>
            <w:r w:rsidRPr="008970FA">
              <w:rPr>
                <w:rFonts w:cs="Arial"/>
                <w:color w:val="auto"/>
                <w:szCs w:val="18"/>
              </w:rPr>
              <w:t>24</w:t>
            </w:r>
          </w:p>
        </w:tc>
        <w:tc>
          <w:tcPr>
            <w:tcW w:w="1134" w:type="dxa"/>
          </w:tcPr>
          <w:p w14:paraId="469CA39B" w14:textId="77777777" w:rsidR="00FA0BB9" w:rsidRPr="008970FA" w:rsidRDefault="00FA0BB9" w:rsidP="008970FA">
            <w:pPr>
              <w:spacing w:before="60" w:line="240" w:lineRule="auto"/>
              <w:rPr>
                <w:rFonts w:cs="Arial"/>
                <w:color w:val="auto"/>
                <w:szCs w:val="18"/>
              </w:rPr>
            </w:pPr>
            <w:r w:rsidRPr="008970FA">
              <w:rPr>
                <w:rFonts w:cs="Arial"/>
                <w:color w:val="auto"/>
                <w:szCs w:val="18"/>
              </w:rPr>
              <w:t>1</w:t>
            </w:r>
          </w:p>
        </w:tc>
      </w:tr>
      <w:tr w:rsidR="00354982" w:rsidRPr="00286A88" w14:paraId="5F7302B2" w14:textId="77777777" w:rsidTr="00354982">
        <w:tc>
          <w:tcPr>
            <w:tcW w:w="7682" w:type="dxa"/>
          </w:tcPr>
          <w:p w14:paraId="03B26B67" w14:textId="77777777" w:rsidR="00FA0BB9" w:rsidRPr="008970FA" w:rsidRDefault="00FA0BB9" w:rsidP="008970FA">
            <w:pPr>
              <w:spacing w:before="60" w:line="240" w:lineRule="auto"/>
              <w:rPr>
                <w:rFonts w:cs="Arial"/>
                <w:color w:val="auto"/>
                <w:szCs w:val="18"/>
              </w:rPr>
            </w:pPr>
            <w:r w:rsidRPr="008970FA">
              <w:rPr>
                <w:rFonts w:cs="Arial"/>
                <w:color w:val="333333"/>
                <w:szCs w:val="18"/>
              </w:rPr>
              <w:t xml:space="preserve">litter* AND guineafowl* OR litter* AND </w:t>
            </w:r>
            <w:r w:rsidR="0010235B">
              <w:rPr>
                <w:rFonts w:cs="Arial"/>
                <w:color w:val="333333"/>
                <w:szCs w:val="18"/>
              </w:rPr>
              <w:t>“</w:t>
            </w:r>
            <w:r w:rsidRPr="008970FA">
              <w:rPr>
                <w:rFonts w:cs="Arial"/>
                <w:color w:val="333333"/>
                <w:szCs w:val="18"/>
              </w:rPr>
              <w:t>guinea fowl*</w:t>
            </w:r>
            <w:r w:rsidR="0010235B">
              <w:rPr>
                <w:rFonts w:cs="Arial"/>
                <w:color w:val="333333"/>
                <w:szCs w:val="18"/>
              </w:rPr>
              <w:t>”</w:t>
            </w:r>
            <w:r w:rsidRPr="008970FA">
              <w:rPr>
                <w:rFonts w:cs="Arial"/>
                <w:color w:val="333333"/>
                <w:szCs w:val="18"/>
              </w:rPr>
              <w:t xml:space="preserve"> OR litter* AND numida* OR litter* AND guttera* OR litter* AND agelastes* OR litter* AND acryllium* OR perch* AND guineafowl* OR perch* AND </w:t>
            </w:r>
            <w:r w:rsidR="0010235B">
              <w:rPr>
                <w:rFonts w:cs="Arial"/>
                <w:color w:val="333333"/>
                <w:szCs w:val="18"/>
              </w:rPr>
              <w:t>“</w:t>
            </w:r>
            <w:r w:rsidRPr="008970FA">
              <w:rPr>
                <w:rFonts w:cs="Arial"/>
                <w:color w:val="333333"/>
                <w:szCs w:val="18"/>
              </w:rPr>
              <w:t>guinea fowl*</w:t>
            </w:r>
            <w:r w:rsidR="0010235B">
              <w:rPr>
                <w:rFonts w:cs="Arial"/>
                <w:color w:val="333333"/>
                <w:szCs w:val="18"/>
              </w:rPr>
              <w:t>”</w:t>
            </w:r>
            <w:r w:rsidRPr="008970FA">
              <w:rPr>
                <w:rFonts w:cs="Arial"/>
                <w:color w:val="333333"/>
                <w:szCs w:val="18"/>
              </w:rPr>
              <w:t xml:space="preserve"> OR perch* AND numida* OR perch* AND guttera* OR perch* AND agelastes* OR perch* AND acryllium* OR nest* AND guineafowl* OR nest* AND </w:t>
            </w:r>
            <w:r w:rsidR="0010235B">
              <w:rPr>
                <w:rFonts w:cs="Arial"/>
                <w:color w:val="333333"/>
                <w:szCs w:val="18"/>
              </w:rPr>
              <w:t>“</w:t>
            </w:r>
            <w:r w:rsidRPr="008970FA">
              <w:rPr>
                <w:rFonts w:cs="Arial"/>
                <w:color w:val="333333"/>
                <w:szCs w:val="18"/>
              </w:rPr>
              <w:t>guinea fowl*</w:t>
            </w:r>
            <w:r w:rsidR="0010235B">
              <w:rPr>
                <w:rFonts w:cs="Arial"/>
                <w:color w:val="333333"/>
                <w:szCs w:val="18"/>
              </w:rPr>
              <w:t>”</w:t>
            </w:r>
            <w:r w:rsidRPr="008970FA">
              <w:rPr>
                <w:rFonts w:cs="Arial"/>
                <w:color w:val="333333"/>
                <w:szCs w:val="18"/>
              </w:rPr>
              <w:t xml:space="preserve"> OR nest* AND numida* OR nest* AND guttera* OR nest* AND agelastes* OR nest* AND acryllium* OR enrich* AND guineafowl* OR enrich* AND </w:t>
            </w:r>
            <w:r w:rsidR="0010235B">
              <w:rPr>
                <w:rFonts w:cs="Arial"/>
                <w:color w:val="333333"/>
                <w:szCs w:val="18"/>
              </w:rPr>
              <w:t>“</w:t>
            </w:r>
            <w:r w:rsidRPr="008970FA">
              <w:rPr>
                <w:rFonts w:cs="Arial"/>
                <w:color w:val="333333"/>
                <w:szCs w:val="18"/>
              </w:rPr>
              <w:t>guinea fowl*</w:t>
            </w:r>
            <w:r w:rsidR="0010235B">
              <w:rPr>
                <w:rFonts w:cs="Arial"/>
                <w:color w:val="333333"/>
                <w:szCs w:val="18"/>
              </w:rPr>
              <w:t>”</w:t>
            </w:r>
            <w:r w:rsidRPr="008970FA">
              <w:rPr>
                <w:rFonts w:cs="Arial"/>
                <w:color w:val="333333"/>
                <w:szCs w:val="18"/>
              </w:rPr>
              <w:t xml:space="preserve"> OR enrich* AND numida* OR enrich* AND guttera* OR enrich* AND agelastes* OR enrich* AND acryllium*</w:t>
            </w:r>
          </w:p>
        </w:tc>
        <w:tc>
          <w:tcPr>
            <w:tcW w:w="1134" w:type="dxa"/>
          </w:tcPr>
          <w:p w14:paraId="6ECF1141" w14:textId="77777777" w:rsidR="00FA0BB9" w:rsidRPr="008970FA" w:rsidRDefault="00FA0BB9" w:rsidP="008970FA">
            <w:pPr>
              <w:spacing w:before="60" w:line="240" w:lineRule="auto"/>
              <w:rPr>
                <w:rFonts w:cs="Arial"/>
                <w:color w:val="auto"/>
                <w:szCs w:val="18"/>
              </w:rPr>
            </w:pPr>
            <w:r w:rsidRPr="008970FA">
              <w:rPr>
                <w:rFonts w:cs="Arial"/>
                <w:color w:val="auto"/>
                <w:szCs w:val="18"/>
              </w:rPr>
              <w:t>14</w:t>
            </w:r>
          </w:p>
        </w:tc>
        <w:tc>
          <w:tcPr>
            <w:tcW w:w="1134" w:type="dxa"/>
          </w:tcPr>
          <w:p w14:paraId="18D5DC59"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r>
      <w:tr w:rsidR="00354982" w:rsidRPr="00286A88" w14:paraId="4B85F929" w14:textId="77777777" w:rsidTr="00354982">
        <w:tc>
          <w:tcPr>
            <w:tcW w:w="7682" w:type="dxa"/>
          </w:tcPr>
          <w:p w14:paraId="5A3B41A0" w14:textId="77777777" w:rsidR="00FA0BB9" w:rsidRPr="008970FA" w:rsidRDefault="00A73FA0" w:rsidP="00A73FA0">
            <w:pPr>
              <w:spacing w:before="60" w:line="240" w:lineRule="auto"/>
              <w:rPr>
                <w:rFonts w:cs="Arial"/>
                <w:color w:val="auto"/>
                <w:szCs w:val="18"/>
              </w:rPr>
            </w:pPr>
            <w:r>
              <w:rPr>
                <w:rFonts w:cs="Arial"/>
                <w:color w:val="333333"/>
                <w:szCs w:val="18"/>
              </w:rPr>
              <w:t>d</w:t>
            </w:r>
            <w:r w:rsidR="00FA0BB9" w:rsidRPr="008970FA">
              <w:rPr>
                <w:rFonts w:cs="Arial"/>
                <w:color w:val="333333"/>
                <w:szCs w:val="18"/>
              </w:rPr>
              <w:t xml:space="preserve">ust-bath* AND guineafowl* OR </w:t>
            </w:r>
            <w:r>
              <w:rPr>
                <w:rFonts w:cs="Arial"/>
                <w:color w:val="333333"/>
                <w:szCs w:val="18"/>
              </w:rPr>
              <w:t>d</w:t>
            </w:r>
            <w:r w:rsidR="00FA0BB9" w:rsidRPr="008970FA">
              <w:rPr>
                <w:rFonts w:cs="Arial"/>
                <w:color w:val="333333"/>
                <w:szCs w:val="18"/>
              </w:rPr>
              <w:t xml:space="preserve">ust-bath* AND </w:t>
            </w:r>
            <w:r w:rsidR="0010235B">
              <w:rPr>
                <w:rFonts w:cs="Arial"/>
                <w:color w:val="333333"/>
                <w:szCs w:val="18"/>
              </w:rPr>
              <w:t>“</w:t>
            </w:r>
            <w:r w:rsidR="00FA0BB9" w:rsidRPr="008970FA">
              <w:rPr>
                <w:rFonts w:cs="Arial"/>
                <w:color w:val="333333"/>
                <w:szCs w:val="18"/>
              </w:rPr>
              <w:t>guinea fowl*</w:t>
            </w:r>
            <w:r w:rsidR="0010235B">
              <w:rPr>
                <w:rFonts w:cs="Arial"/>
                <w:color w:val="333333"/>
                <w:szCs w:val="18"/>
              </w:rPr>
              <w:t>”</w:t>
            </w:r>
            <w:r w:rsidR="00FA0BB9" w:rsidRPr="008970FA">
              <w:rPr>
                <w:rFonts w:cs="Arial"/>
                <w:color w:val="333333"/>
                <w:szCs w:val="18"/>
              </w:rPr>
              <w:t xml:space="preserve"> OR </w:t>
            </w:r>
            <w:r>
              <w:rPr>
                <w:rFonts w:cs="Arial"/>
                <w:color w:val="333333"/>
                <w:szCs w:val="18"/>
              </w:rPr>
              <w:t>d</w:t>
            </w:r>
            <w:r w:rsidR="00FA0BB9" w:rsidRPr="008970FA">
              <w:rPr>
                <w:rFonts w:cs="Arial"/>
                <w:color w:val="333333"/>
                <w:szCs w:val="18"/>
              </w:rPr>
              <w:t xml:space="preserve">ust-bath* AND numida* OR </w:t>
            </w:r>
            <w:r>
              <w:rPr>
                <w:rFonts w:cs="Arial"/>
                <w:color w:val="333333"/>
                <w:szCs w:val="18"/>
              </w:rPr>
              <w:t>d</w:t>
            </w:r>
            <w:r w:rsidR="00FA0BB9" w:rsidRPr="008970FA">
              <w:rPr>
                <w:rFonts w:cs="Arial"/>
                <w:color w:val="333333"/>
                <w:szCs w:val="18"/>
              </w:rPr>
              <w:t xml:space="preserve">ust-bath* AND guttera* OR </w:t>
            </w:r>
            <w:r>
              <w:rPr>
                <w:rFonts w:cs="Arial"/>
                <w:color w:val="333333"/>
                <w:szCs w:val="18"/>
              </w:rPr>
              <w:t>d</w:t>
            </w:r>
            <w:r w:rsidR="00FA0BB9" w:rsidRPr="008970FA">
              <w:rPr>
                <w:rFonts w:cs="Arial"/>
                <w:color w:val="333333"/>
                <w:szCs w:val="18"/>
              </w:rPr>
              <w:t xml:space="preserve">ust-bath* AND agelastes* OR </w:t>
            </w:r>
            <w:r>
              <w:rPr>
                <w:rFonts w:cs="Arial"/>
                <w:color w:val="333333"/>
                <w:szCs w:val="18"/>
              </w:rPr>
              <w:t>d</w:t>
            </w:r>
            <w:r w:rsidR="00FA0BB9" w:rsidRPr="008970FA">
              <w:rPr>
                <w:rFonts w:cs="Arial"/>
                <w:color w:val="333333"/>
                <w:szCs w:val="18"/>
              </w:rPr>
              <w:t xml:space="preserve">ust-bath* AND acryllium* OR dustbath* AND guineafowl* OR dustbath* AND </w:t>
            </w:r>
            <w:r w:rsidR="0010235B">
              <w:rPr>
                <w:rFonts w:cs="Arial"/>
                <w:color w:val="333333"/>
                <w:szCs w:val="18"/>
              </w:rPr>
              <w:t>“</w:t>
            </w:r>
            <w:r w:rsidR="00FA0BB9" w:rsidRPr="008970FA">
              <w:rPr>
                <w:rFonts w:cs="Arial"/>
                <w:color w:val="333333"/>
                <w:szCs w:val="18"/>
              </w:rPr>
              <w:t>guinea fowl*</w:t>
            </w:r>
            <w:r w:rsidR="0010235B">
              <w:rPr>
                <w:rFonts w:cs="Arial"/>
                <w:color w:val="333333"/>
                <w:szCs w:val="18"/>
              </w:rPr>
              <w:t>”</w:t>
            </w:r>
            <w:r w:rsidR="00FA0BB9" w:rsidRPr="008970FA">
              <w:rPr>
                <w:rFonts w:cs="Arial"/>
                <w:color w:val="333333"/>
                <w:szCs w:val="18"/>
              </w:rPr>
              <w:t xml:space="preserve"> OR dustbath* AND numida* OR dustbath* AND guttera* OR dustbath* AND agelastes* OR dustbath* AND acryllium*</w:t>
            </w:r>
          </w:p>
        </w:tc>
        <w:tc>
          <w:tcPr>
            <w:tcW w:w="1134" w:type="dxa"/>
          </w:tcPr>
          <w:p w14:paraId="2E518499"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c>
          <w:tcPr>
            <w:tcW w:w="1134" w:type="dxa"/>
          </w:tcPr>
          <w:p w14:paraId="0858A386"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r>
      <w:tr w:rsidR="00354982" w:rsidRPr="00286A88" w14:paraId="592248B4" w14:textId="77777777" w:rsidTr="00354982">
        <w:tc>
          <w:tcPr>
            <w:tcW w:w="7682" w:type="dxa"/>
          </w:tcPr>
          <w:p w14:paraId="6DB47D8C" w14:textId="77777777" w:rsidR="00FA0BB9" w:rsidRPr="008970FA" w:rsidRDefault="00FA0BB9" w:rsidP="008970FA">
            <w:pPr>
              <w:spacing w:before="60" w:line="240" w:lineRule="auto"/>
              <w:rPr>
                <w:rFonts w:cs="Arial"/>
                <w:color w:val="auto"/>
                <w:szCs w:val="18"/>
              </w:rPr>
            </w:pPr>
            <w:r w:rsidRPr="008970FA">
              <w:rPr>
                <w:rFonts w:cs="Arial"/>
                <w:color w:val="333333"/>
                <w:szCs w:val="18"/>
              </w:rPr>
              <w:t xml:space="preserve">peck* AND guineafowl* OR peck* AND </w:t>
            </w:r>
            <w:r w:rsidR="0010235B">
              <w:rPr>
                <w:rFonts w:cs="Arial"/>
                <w:color w:val="333333"/>
                <w:szCs w:val="18"/>
              </w:rPr>
              <w:t>“</w:t>
            </w:r>
            <w:r w:rsidRPr="008970FA">
              <w:rPr>
                <w:rFonts w:cs="Arial"/>
                <w:color w:val="333333"/>
                <w:szCs w:val="18"/>
              </w:rPr>
              <w:t>guinea fowl*</w:t>
            </w:r>
            <w:r w:rsidR="0010235B">
              <w:rPr>
                <w:rFonts w:cs="Arial"/>
                <w:color w:val="333333"/>
                <w:szCs w:val="18"/>
              </w:rPr>
              <w:t>”</w:t>
            </w:r>
            <w:r w:rsidRPr="008970FA">
              <w:rPr>
                <w:rFonts w:cs="Arial"/>
                <w:color w:val="333333"/>
                <w:szCs w:val="18"/>
              </w:rPr>
              <w:t xml:space="preserve"> OR peck* AND numida* OR peck* AND guttera* OR peck* AND agelastes* OR peck* AND acryllium* OR beak* AND guineafowl* OR beak* AND </w:t>
            </w:r>
            <w:r w:rsidR="0010235B">
              <w:rPr>
                <w:rFonts w:cs="Arial"/>
                <w:color w:val="333333"/>
                <w:szCs w:val="18"/>
              </w:rPr>
              <w:t>“</w:t>
            </w:r>
            <w:r w:rsidRPr="008970FA">
              <w:rPr>
                <w:rFonts w:cs="Arial"/>
                <w:color w:val="333333"/>
                <w:szCs w:val="18"/>
              </w:rPr>
              <w:t>guinea fowl*</w:t>
            </w:r>
            <w:r w:rsidR="0010235B">
              <w:rPr>
                <w:rFonts w:cs="Arial"/>
                <w:color w:val="333333"/>
                <w:szCs w:val="18"/>
              </w:rPr>
              <w:t>”</w:t>
            </w:r>
            <w:r w:rsidRPr="008970FA">
              <w:rPr>
                <w:rFonts w:cs="Arial"/>
                <w:color w:val="333333"/>
                <w:szCs w:val="18"/>
              </w:rPr>
              <w:t xml:space="preserve"> OR beak* AND numida* OR beak* AND guttera* OR beak* AND agelastes* OR beak* AND acryllium*</w:t>
            </w:r>
          </w:p>
        </w:tc>
        <w:tc>
          <w:tcPr>
            <w:tcW w:w="1134" w:type="dxa"/>
          </w:tcPr>
          <w:p w14:paraId="40415407" w14:textId="77777777" w:rsidR="00FA0BB9" w:rsidRPr="008970FA" w:rsidRDefault="00FA0BB9" w:rsidP="008970FA">
            <w:pPr>
              <w:spacing w:before="60" w:line="240" w:lineRule="auto"/>
              <w:rPr>
                <w:rFonts w:cs="Arial"/>
                <w:color w:val="auto"/>
                <w:szCs w:val="18"/>
              </w:rPr>
            </w:pPr>
            <w:r w:rsidRPr="008970FA">
              <w:rPr>
                <w:rFonts w:cs="Arial"/>
                <w:color w:val="auto"/>
                <w:szCs w:val="18"/>
              </w:rPr>
              <w:t>1</w:t>
            </w:r>
          </w:p>
        </w:tc>
        <w:tc>
          <w:tcPr>
            <w:tcW w:w="1134" w:type="dxa"/>
          </w:tcPr>
          <w:p w14:paraId="2541673D"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r>
      <w:tr w:rsidR="00354982" w:rsidRPr="00286A88" w14:paraId="34E06FA9" w14:textId="77777777" w:rsidTr="00354982">
        <w:tc>
          <w:tcPr>
            <w:tcW w:w="7682" w:type="dxa"/>
          </w:tcPr>
          <w:p w14:paraId="134C0E6A" w14:textId="77777777" w:rsidR="00FA0BB9" w:rsidRPr="008970FA" w:rsidRDefault="00FA0BB9" w:rsidP="008970FA">
            <w:pPr>
              <w:spacing w:before="60" w:line="240" w:lineRule="auto"/>
              <w:rPr>
                <w:rFonts w:cs="Arial"/>
                <w:color w:val="333333"/>
                <w:szCs w:val="18"/>
              </w:rPr>
            </w:pPr>
            <w:r w:rsidRPr="008970FA">
              <w:rPr>
                <w:rFonts w:cs="Arial"/>
                <w:color w:val="333333"/>
                <w:szCs w:val="18"/>
              </w:rPr>
              <w:t xml:space="preserve">handl* AND guineafowl* OR handl* AND </w:t>
            </w:r>
            <w:r w:rsidR="0010235B">
              <w:rPr>
                <w:rFonts w:cs="Arial"/>
                <w:color w:val="333333"/>
                <w:szCs w:val="18"/>
              </w:rPr>
              <w:t>“</w:t>
            </w:r>
            <w:r w:rsidRPr="008970FA">
              <w:rPr>
                <w:rFonts w:cs="Arial"/>
                <w:color w:val="333333"/>
                <w:szCs w:val="18"/>
              </w:rPr>
              <w:t>guinea fowl*</w:t>
            </w:r>
            <w:r w:rsidR="0010235B">
              <w:rPr>
                <w:rFonts w:cs="Arial"/>
                <w:color w:val="333333"/>
                <w:szCs w:val="18"/>
              </w:rPr>
              <w:t>”</w:t>
            </w:r>
            <w:r w:rsidRPr="008970FA">
              <w:rPr>
                <w:rFonts w:cs="Arial"/>
                <w:color w:val="333333"/>
                <w:szCs w:val="18"/>
              </w:rPr>
              <w:t xml:space="preserve"> OR handl* AND numida* OR handl* AND guttera* OR handl* AND agelastes* OR handl* AND acryllium*</w:t>
            </w:r>
          </w:p>
        </w:tc>
        <w:tc>
          <w:tcPr>
            <w:tcW w:w="1134" w:type="dxa"/>
          </w:tcPr>
          <w:p w14:paraId="67D1B6FF" w14:textId="77777777" w:rsidR="00FA0BB9" w:rsidRPr="008970FA" w:rsidRDefault="00FA0BB9" w:rsidP="008970FA">
            <w:pPr>
              <w:spacing w:before="60" w:line="240" w:lineRule="auto"/>
              <w:rPr>
                <w:rFonts w:cs="Arial"/>
                <w:color w:val="auto"/>
                <w:szCs w:val="18"/>
              </w:rPr>
            </w:pPr>
            <w:r w:rsidRPr="008970FA">
              <w:rPr>
                <w:rFonts w:cs="Arial"/>
                <w:color w:val="auto"/>
                <w:szCs w:val="18"/>
              </w:rPr>
              <w:t>4</w:t>
            </w:r>
          </w:p>
        </w:tc>
        <w:tc>
          <w:tcPr>
            <w:tcW w:w="1134" w:type="dxa"/>
          </w:tcPr>
          <w:p w14:paraId="73664134"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r>
      <w:tr w:rsidR="00354982" w:rsidRPr="00286A88" w14:paraId="01DFEA90" w14:textId="77777777" w:rsidTr="00354982">
        <w:tc>
          <w:tcPr>
            <w:tcW w:w="7682" w:type="dxa"/>
          </w:tcPr>
          <w:p w14:paraId="21288555" w14:textId="77777777" w:rsidR="00FA0BB9" w:rsidRPr="008970FA" w:rsidRDefault="00FA0BB9" w:rsidP="008970FA">
            <w:pPr>
              <w:spacing w:before="60" w:line="240" w:lineRule="auto"/>
              <w:rPr>
                <w:rFonts w:cs="Arial"/>
                <w:color w:val="333333"/>
                <w:szCs w:val="18"/>
              </w:rPr>
            </w:pPr>
            <w:r w:rsidRPr="008970FA">
              <w:rPr>
                <w:rFonts w:cs="Arial"/>
                <w:color w:val="333333"/>
                <w:szCs w:val="18"/>
              </w:rPr>
              <w:t xml:space="preserve">hous* AND guineafowl* OR hous* AND </w:t>
            </w:r>
            <w:r w:rsidR="0010235B">
              <w:rPr>
                <w:rFonts w:cs="Arial"/>
                <w:color w:val="333333"/>
                <w:szCs w:val="18"/>
              </w:rPr>
              <w:t>“</w:t>
            </w:r>
            <w:r w:rsidRPr="008970FA">
              <w:rPr>
                <w:rFonts w:cs="Arial"/>
                <w:color w:val="333333"/>
                <w:szCs w:val="18"/>
              </w:rPr>
              <w:t>guinea fowl*</w:t>
            </w:r>
            <w:r w:rsidR="0010235B">
              <w:rPr>
                <w:rFonts w:cs="Arial"/>
                <w:color w:val="333333"/>
                <w:szCs w:val="18"/>
              </w:rPr>
              <w:t>”</w:t>
            </w:r>
            <w:r w:rsidRPr="008970FA">
              <w:rPr>
                <w:rFonts w:cs="Arial"/>
                <w:color w:val="333333"/>
                <w:szCs w:val="18"/>
              </w:rPr>
              <w:t xml:space="preserve"> OR hous* AND numida* OR hous* AND guttera* OR hous* AND agelastes* OR hous* AND acryllium*</w:t>
            </w:r>
          </w:p>
        </w:tc>
        <w:tc>
          <w:tcPr>
            <w:tcW w:w="1134" w:type="dxa"/>
          </w:tcPr>
          <w:p w14:paraId="2A8FC6AD" w14:textId="77777777" w:rsidR="00FA0BB9" w:rsidRPr="008970FA" w:rsidRDefault="00FA0BB9" w:rsidP="008970FA">
            <w:pPr>
              <w:spacing w:before="60" w:line="240" w:lineRule="auto"/>
              <w:rPr>
                <w:rFonts w:cs="Arial"/>
                <w:color w:val="auto"/>
                <w:szCs w:val="18"/>
              </w:rPr>
            </w:pPr>
            <w:r w:rsidRPr="008970FA">
              <w:rPr>
                <w:rFonts w:cs="Arial"/>
                <w:color w:val="auto"/>
                <w:szCs w:val="18"/>
              </w:rPr>
              <w:t>21</w:t>
            </w:r>
          </w:p>
        </w:tc>
        <w:tc>
          <w:tcPr>
            <w:tcW w:w="1134" w:type="dxa"/>
          </w:tcPr>
          <w:p w14:paraId="68C5A88C"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r>
      <w:tr w:rsidR="00354982" w:rsidRPr="00286A88" w14:paraId="3F714189" w14:textId="77777777" w:rsidTr="00354982">
        <w:tc>
          <w:tcPr>
            <w:tcW w:w="7682" w:type="dxa"/>
          </w:tcPr>
          <w:p w14:paraId="063658C7" w14:textId="77777777" w:rsidR="00FA0BB9" w:rsidRPr="008970FA" w:rsidRDefault="00FA0BB9" w:rsidP="008970FA">
            <w:pPr>
              <w:spacing w:before="60" w:line="240" w:lineRule="auto"/>
              <w:rPr>
                <w:rFonts w:cs="Arial"/>
                <w:color w:val="333333"/>
                <w:szCs w:val="18"/>
              </w:rPr>
            </w:pPr>
            <w:r w:rsidRPr="008970FA">
              <w:rPr>
                <w:rFonts w:cs="Arial"/>
                <w:color w:val="333333"/>
                <w:szCs w:val="18"/>
              </w:rPr>
              <w:t xml:space="preserve">temp* AND guineafowl* OR temp* AND </w:t>
            </w:r>
            <w:r w:rsidR="0010235B">
              <w:rPr>
                <w:rFonts w:cs="Arial"/>
                <w:color w:val="333333"/>
                <w:szCs w:val="18"/>
              </w:rPr>
              <w:t>“</w:t>
            </w:r>
            <w:r w:rsidRPr="008970FA">
              <w:rPr>
                <w:rFonts w:cs="Arial"/>
                <w:color w:val="333333"/>
                <w:szCs w:val="18"/>
              </w:rPr>
              <w:t>guinea fowl*</w:t>
            </w:r>
            <w:r w:rsidR="0010235B">
              <w:rPr>
                <w:rFonts w:cs="Arial"/>
                <w:color w:val="333333"/>
                <w:szCs w:val="18"/>
              </w:rPr>
              <w:t>”</w:t>
            </w:r>
            <w:r w:rsidRPr="008970FA">
              <w:rPr>
                <w:rFonts w:cs="Arial"/>
                <w:color w:val="333333"/>
                <w:szCs w:val="18"/>
              </w:rPr>
              <w:t xml:space="preserve"> OR temp* AND numida* OR temp* AND guttera* OR temp* AND agelastes* OR temp* AND acryllium*</w:t>
            </w:r>
          </w:p>
        </w:tc>
        <w:tc>
          <w:tcPr>
            <w:tcW w:w="1134" w:type="dxa"/>
          </w:tcPr>
          <w:p w14:paraId="6DF88230" w14:textId="77777777" w:rsidR="00FA0BB9" w:rsidRPr="008970FA" w:rsidRDefault="00FA0BB9" w:rsidP="008970FA">
            <w:pPr>
              <w:spacing w:before="60" w:line="240" w:lineRule="auto"/>
              <w:rPr>
                <w:rFonts w:cs="Arial"/>
                <w:color w:val="auto"/>
                <w:szCs w:val="18"/>
              </w:rPr>
            </w:pPr>
            <w:r w:rsidRPr="008970FA">
              <w:rPr>
                <w:rFonts w:cs="Arial"/>
                <w:color w:val="auto"/>
                <w:szCs w:val="18"/>
              </w:rPr>
              <w:t>21</w:t>
            </w:r>
          </w:p>
        </w:tc>
        <w:tc>
          <w:tcPr>
            <w:tcW w:w="1134" w:type="dxa"/>
          </w:tcPr>
          <w:p w14:paraId="71A76F99"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r>
      <w:tr w:rsidR="00354982" w:rsidRPr="00286A88" w14:paraId="180FCBB1" w14:textId="77777777" w:rsidTr="00354982">
        <w:tc>
          <w:tcPr>
            <w:tcW w:w="7682" w:type="dxa"/>
          </w:tcPr>
          <w:p w14:paraId="76EBEF78" w14:textId="77777777" w:rsidR="0010235B" w:rsidRPr="0010235B" w:rsidRDefault="0010235B" w:rsidP="008970FA">
            <w:pPr>
              <w:spacing w:before="60" w:line="240" w:lineRule="auto"/>
              <w:rPr>
                <w:rFonts w:cs="Arial"/>
                <w:b/>
                <w:color w:val="333333"/>
                <w:szCs w:val="18"/>
              </w:rPr>
            </w:pPr>
            <w:r>
              <w:rPr>
                <w:rFonts w:cs="Arial"/>
                <w:b/>
                <w:color w:val="333333"/>
                <w:szCs w:val="18"/>
              </w:rPr>
              <w:t>Papers retained from secondary searches</w:t>
            </w:r>
          </w:p>
        </w:tc>
        <w:tc>
          <w:tcPr>
            <w:tcW w:w="1134" w:type="dxa"/>
          </w:tcPr>
          <w:p w14:paraId="544ED277" w14:textId="77777777" w:rsidR="0010235B" w:rsidRPr="008970FA" w:rsidRDefault="0010235B" w:rsidP="008970FA">
            <w:pPr>
              <w:spacing w:before="60" w:line="240" w:lineRule="auto"/>
              <w:rPr>
                <w:rFonts w:cs="Arial"/>
                <w:color w:val="auto"/>
                <w:szCs w:val="18"/>
              </w:rPr>
            </w:pPr>
          </w:p>
        </w:tc>
        <w:tc>
          <w:tcPr>
            <w:tcW w:w="1134" w:type="dxa"/>
          </w:tcPr>
          <w:p w14:paraId="6EED1371" w14:textId="77777777" w:rsidR="0010235B" w:rsidRPr="0010235B" w:rsidRDefault="004A3DB9" w:rsidP="008970FA">
            <w:pPr>
              <w:spacing w:before="60" w:line="240" w:lineRule="auto"/>
              <w:rPr>
                <w:rFonts w:cs="Arial"/>
                <w:b/>
                <w:color w:val="auto"/>
                <w:szCs w:val="18"/>
              </w:rPr>
            </w:pPr>
            <w:r>
              <w:rPr>
                <w:rFonts w:cs="Arial"/>
                <w:b/>
                <w:color w:val="auto"/>
                <w:szCs w:val="18"/>
              </w:rPr>
              <w:t>4</w:t>
            </w:r>
          </w:p>
        </w:tc>
      </w:tr>
    </w:tbl>
    <w:p w14:paraId="3105FFAC" w14:textId="77777777" w:rsidR="0010235B" w:rsidRPr="0010235B" w:rsidRDefault="0010235B" w:rsidP="005F7B38">
      <w:pPr>
        <w:spacing w:before="240"/>
        <w:rPr>
          <w:b/>
          <w:lang w:val="en-GB"/>
        </w:rPr>
      </w:pPr>
      <w:r>
        <w:rPr>
          <w:b/>
          <w:lang w:val="en-GB"/>
        </w:rPr>
        <w:t xml:space="preserve">Total number of papers from primary and secondary searches: 0 + </w:t>
      </w:r>
      <w:r w:rsidR="004A3DB9">
        <w:rPr>
          <w:b/>
          <w:lang w:val="en-GB"/>
        </w:rPr>
        <w:t>4</w:t>
      </w:r>
      <w:r>
        <w:rPr>
          <w:b/>
          <w:lang w:val="en-GB"/>
        </w:rPr>
        <w:t xml:space="preserve"> = </w:t>
      </w:r>
      <w:r w:rsidR="004A3DB9">
        <w:rPr>
          <w:b/>
          <w:lang w:val="en-GB"/>
        </w:rPr>
        <w:t>4</w:t>
      </w:r>
    </w:p>
    <w:p w14:paraId="4E2E3011" w14:textId="77777777" w:rsidR="0010235B" w:rsidRDefault="0010235B" w:rsidP="001123AA">
      <w:pPr>
        <w:rPr>
          <w:lang w:val="en-GB"/>
        </w:rPr>
      </w:pPr>
    </w:p>
    <w:p w14:paraId="5CF6DA0F" w14:textId="77777777" w:rsidR="00FA0BB9" w:rsidRPr="00FA0BB9" w:rsidRDefault="00FA0BB9" w:rsidP="00AE59F9">
      <w:pPr>
        <w:spacing w:before="120"/>
        <w:rPr>
          <w:b/>
          <w:sz w:val="24"/>
          <w:szCs w:val="24"/>
          <w:lang w:val="en-GB"/>
        </w:rPr>
      </w:pPr>
      <w:r>
        <w:rPr>
          <w:lang w:val="en-GB"/>
        </w:rPr>
        <w:br w:type="column"/>
      </w:r>
      <w:r w:rsidRPr="00FA0BB9">
        <w:rPr>
          <w:b/>
          <w:sz w:val="24"/>
          <w:szCs w:val="24"/>
          <w:lang w:val="en-GB"/>
        </w:rPr>
        <w:t>Pheasant</w:t>
      </w:r>
      <w:r w:rsidR="00B41749">
        <w:rPr>
          <w:b/>
          <w:sz w:val="24"/>
          <w:szCs w:val="24"/>
          <w:lang w:val="en-GB"/>
        </w:rPr>
        <w:t>s</w:t>
      </w:r>
    </w:p>
    <w:p w14:paraId="05186225" w14:textId="77777777" w:rsidR="00FA0BB9" w:rsidRPr="00590F0B" w:rsidRDefault="00AE59F9" w:rsidP="00590F0B">
      <w:pPr>
        <w:spacing w:before="240" w:after="240"/>
        <w:rPr>
          <w:b/>
          <w:lang w:val="en-GB"/>
        </w:rPr>
      </w:pPr>
      <w:r>
        <w:rPr>
          <w:b/>
          <w:lang w:val="en-GB"/>
        </w:rPr>
        <w:t>Primary Search</w:t>
      </w:r>
      <w:r w:rsidR="00A73FA0">
        <w:rPr>
          <w:b/>
          <w:lang w:val="en-GB"/>
        </w:rPr>
        <w:t>:</w:t>
      </w:r>
      <w:r>
        <w:rPr>
          <w:b/>
          <w:lang w:val="en-GB"/>
        </w:rPr>
        <w:t xml:space="preserve"> w</w:t>
      </w:r>
      <w:r w:rsidR="00FA0BB9" w:rsidRPr="00590F0B">
        <w:rPr>
          <w:b/>
          <w:lang w:val="en-GB"/>
        </w:rPr>
        <w:t>elfare AND pheasant* OR welfare AND phasi</w:t>
      </w:r>
      <w:r>
        <w:rPr>
          <w:b/>
          <w:lang w:val="en-GB"/>
        </w:rPr>
        <w:t>anus* = 8</w:t>
      </w:r>
    </w:p>
    <w:tbl>
      <w:tblPr>
        <w:tblStyle w:val="TableGrid11"/>
        <w:tblW w:w="9977" w:type="dxa"/>
        <w:tblLook w:val="04A0" w:firstRow="1" w:lastRow="0" w:firstColumn="1" w:lastColumn="0" w:noHBand="0" w:noVBand="1"/>
        <w:tblCaption w:val="Papers excluded after primary literature search for pheasant welfare"/>
        <w:tblDescription w:val="This table shows the number of papers excluded after the primary literature search for pheasant welfare. The left hand column shows the primary reason for exclusion. The middle column shows the number of papers excluded. The right hand column gives an example of a paper excluded for each reason."/>
      </w:tblPr>
      <w:tblGrid>
        <w:gridCol w:w="3628"/>
        <w:gridCol w:w="1020"/>
        <w:gridCol w:w="5329"/>
      </w:tblGrid>
      <w:tr w:rsidR="00FA0BB9" w:rsidRPr="00286A88" w14:paraId="735523A7" w14:textId="77777777" w:rsidTr="00587D34">
        <w:trPr>
          <w:tblHeader/>
        </w:trPr>
        <w:tc>
          <w:tcPr>
            <w:tcW w:w="3628" w:type="dxa"/>
            <w:shd w:val="clear" w:color="auto" w:fill="auto"/>
          </w:tcPr>
          <w:p w14:paraId="1379E01D" w14:textId="77777777" w:rsidR="00FA0BB9" w:rsidRPr="00F67C8B" w:rsidRDefault="00FA0BB9" w:rsidP="009928C2">
            <w:pPr>
              <w:spacing w:before="60" w:line="240" w:lineRule="auto"/>
              <w:rPr>
                <w:rFonts w:cs="Arial"/>
                <w:b/>
                <w:color w:val="auto"/>
                <w:szCs w:val="18"/>
              </w:rPr>
            </w:pPr>
            <w:r w:rsidRPr="00F67C8B">
              <w:rPr>
                <w:rFonts w:cs="Arial"/>
                <w:b/>
                <w:color w:val="auto"/>
                <w:szCs w:val="18"/>
              </w:rPr>
              <w:t xml:space="preserve">Primary Reason for Exclusion </w:t>
            </w:r>
          </w:p>
        </w:tc>
        <w:tc>
          <w:tcPr>
            <w:tcW w:w="1020" w:type="dxa"/>
            <w:shd w:val="clear" w:color="auto" w:fill="auto"/>
          </w:tcPr>
          <w:p w14:paraId="459774A1" w14:textId="77777777" w:rsidR="00FA0BB9" w:rsidRPr="00F67C8B" w:rsidRDefault="00FA0BB9" w:rsidP="009928C2">
            <w:pPr>
              <w:spacing w:before="60" w:line="240" w:lineRule="auto"/>
              <w:rPr>
                <w:rFonts w:cs="Arial"/>
                <w:color w:val="auto"/>
                <w:szCs w:val="18"/>
              </w:rPr>
            </w:pPr>
            <w:r w:rsidRPr="00F67C8B">
              <w:rPr>
                <w:rFonts w:cs="Arial"/>
                <w:color w:val="auto"/>
                <w:szCs w:val="18"/>
              </w:rPr>
              <w:t>Number Excluded</w:t>
            </w:r>
          </w:p>
        </w:tc>
        <w:tc>
          <w:tcPr>
            <w:tcW w:w="5329" w:type="dxa"/>
            <w:shd w:val="clear" w:color="auto" w:fill="auto"/>
          </w:tcPr>
          <w:p w14:paraId="5E6211E3" w14:textId="77777777" w:rsidR="00FA0BB9" w:rsidRPr="00F67C8B" w:rsidRDefault="00FA0BB9" w:rsidP="009928C2">
            <w:pPr>
              <w:spacing w:before="60" w:line="240" w:lineRule="auto"/>
              <w:rPr>
                <w:rFonts w:cs="Arial"/>
                <w:color w:val="auto"/>
                <w:szCs w:val="18"/>
              </w:rPr>
            </w:pPr>
            <w:r w:rsidRPr="00F67C8B">
              <w:rPr>
                <w:rFonts w:cs="Arial"/>
                <w:i/>
                <w:color w:val="auto"/>
                <w:szCs w:val="18"/>
              </w:rPr>
              <w:t>Example</w:t>
            </w:r>
            <w:r w:rsidRPr="00F67C8B">
              <w:rPr>
                <w:rFonts w:cs="Arial"/>
                <w:color w:val="auto"/>
                <w:szCs w:val="18"/>
              </w:rPr>
              <w:t xml:space="preserve"> of Paper Excluded for Each Reason</w:t>
            </w:r>
          </w:p>
        </w:tc>
      </w:tr>
      <w:tr w:rsidR="00FA0BB9" w:rsidRPr="00286A88" w14:paraId="57CF4C6E" w14:textId="77777777" w:rsidTr="005F7B38">
        <w:tc>
          <w:tcPr>
            <w:tcW w:w="3628" w:type="dxa"/>
          </w:tcPr>
          <w:p w14:paraId="2445B6FB" w14:textId="77777777" w:rsidR="00FA0BB9" w:rsidRPr="00AE04B1" w:rsidRDefault="00FA0BB9" w:rsidP="00AE04B1">
            <w:pPr>
              <w:spacing w:before="60"/>
            </w:pPr>
            <w:r w:rsidRPr="00AE04B1">
              <w:t>Fundamental study of disease/treatment efficacy</w:t>
            </w:r>
          </w:p>
        </w:tc>
        <w:tc>
          <w:tcPr>
            <w:tcW w:w="1020" w:type="dxa"/>
          </w:tcPr>
          <w:p w14:paraId="218971A9" w14:textId="77777777" w:rsidR="00FA0BB9" w:rsidRPr="00AE04B1" w:rsidRDefault="00FA0BB9" w:rsidP="00AE04B1">
            <w:pPr>
              <w:spacing w:before="60"/>
            </w:pPr>
            <w:r w:rsidRPr="00AE04B1">
              <w:t>1</w:t>
            </w:r>
          </w:p>
        </w:tc>
        <w:tc>
          <w:tcPr>
            <w:tcW w:w="5329" w:type="dxa"/>
          </w:tcPr>
          <w:p w14:paraId="30DA15E5" w14:textId="77777777" w:rsidR="00FA0BB9" w:rsidRPr="008102AF" w:rsidRDefault="00FA0BB9" w:rsidP="008102AF">
            <w:pPr>
              <w:pStyle w:val="NoSpacing"/>
              <w:spacing w:before="40" w:after="40"/>
              <w:contextualSpacing/>
              <w:rPr>
                <w:sz w:val="16"/>
                <w:szCs w:val="16"/>
              </w:rPr>
            </w:pPr>
            <w:r w:rsidRPr="008102AF">
              <w:rPr>
                <w:sz w:val="16"/>
                <w:szCs w:val="16"/>
              </w:rPr>
              <w:t>Safety Evaluation of Lasalocid Use in Chinese Ring-Necked Pheasants (</w:t>
            </w:r>
            <w:r w:rsidRPr="00C26326">
              <w:rPr>
                <w:i/>
                <w:sz w:val="16"/>
                <w:szCs w:val="16"/>
              </w:rPr>
              <w:t>Phasianus colchicus</w:t>
            </w:r>
            <w:r w:rsidRPr="008102AF">
              <w:rPr>
                <w:sz w:val="16"/>
                <w:szCs w:val="16"/>
              </w:rPr>
              <w:t>)</w:t>
            </w:r>
          </w:p>
          <w:p w14:paraId="3986C031" w14:textId="77777777" w:rsidR="00FA0BB9" w:rsidRPr="008102AF" w:rsidRDefault="00FA0BB9" w:rsidP="008102AF">
            <w:pPr>
              <w:pStyle w:val="NoSpacing"/>
              <w:spacing w:before="40" w:after="40"/>
              <w:contextualSpacing/>
              <w:rPr>
                <w:sz w:val="16"/>
                <w:szCs w:val="16"/>
              </w:rPr>
            </w:pPr>
            <w:r w:rsidRPr="008102AF">
              <w:rPr>
                <w:sz w:val="16"/>
                <w:szCs w:val="16"/>
              </w:rPr>
              <w:t>By: Dzikamunhenga, R. S.; Wilberts, B.; Yaeger, M.; et al.</w:t>
            </w:r>
          </w:p>
          <w:p w14:paraId="0187F504" w14:textId="77777777" w:rsidR="00FA0BB9" w:rsidRPr="008102AF" w:rsidRDefault="00FA0BB9" w:rsidP="008102AF">
            <w:pPr>
              <w:pStyle w:val="NoSpacing"/>
              <w:spacing w:before="40" w:after="40"/>
              <w:contextualSpacing/>
              <w:rPr>
                <w:sz w:val="16"/>
                <w:szCs w:val="16"/>
              </w:rPr>
            </w:pPr>
            <w:r w:rsidRPr="008102AF">
              <w:rPr>
                <w:sz w:val="16"/>
                <w:szCs w:val="16"/>
              </w:rPr>
              <w:t>AVIAN DISEASES   Volume: 57   Issue: 2   Pages: 188-191   Published: JUN 2013</w:t>
            </w:r>
          </w:p>
        </w:tc>
      </w:tr>
      <w:tr w:rsidR="00FA0BB9" w:rsidRPr="00286A88" w14:paraId="2D43F501" w14:textId="77777777" w:rsidTr="005F7B38">
        <w:tc>
          <w:tcPr>
            <w:tcW w:w="3628" w:type="dxa"/>
          </w:tcPr>
          <w:p w14:paraId="46B3F7B8" w14:textId="77777777" w:rsidR="00FA0BB9" w:rsidRPr="00AE04B1" w:rsidRDefault="00FA0BB9" w:rsidP="00AE04B1">
            <w:pPr>
              <w:spacing w:before="60"/>
            </w:pPr>
            <w:r w:rsidRPr="00AE04B1">
              <w:t>Not pheasants</w:t>
            </w:r>
          </w:p>
        </w:tc>
        <w:tc>
          <w:tcPr>
            <w:tcW w:w="1020" w:type="dxa"/>
          </w:tcPr>
          <w:p w14:paraId="01333865" w14:textId="77777777" w:rsidR="00FA0BB9" w:rsidRPr="00AE04B1" w:rsidRDefault="00FA0BB9" w:rsidP="00AE04B1">
            <w:pPr>
              <w:spacing w:before="60"/>
            </w:pPr>
            <w:r w:rsidRPr="00AE04B1">
              <w:t>1</w:t>
            </w:r>
          </w:p>
        </w:tc>
        <w:tc>
          <w:tcPr>
            <w:tcW w:w="5329" w:type="dxa"/>
          </w:tcPr>
          <w:p w14:paraId="25073969" w14:textId="77777777" w:rsidR="00FA0BB9" w:rsidRPr="008102AF" w:rsidRDefault="00FA0BB9" w:rsidP="008102AF">
            <w:pPr>
              <w:pStyle w:val="NoSpacing"/>
              <w:spacing w:before="40" w:after="40"/>
              <w:contextualSpacing/>
              <w:rPr>
                <w:sz w:val="16"/>
                <w:szCs w:val="16"/>
              </w:rPr>
            </w:pPr>
            <w:r w:rsidRPr="008102AF">
              <w:rPr>
                <w:sz w:val="16"/>
                <w:szCs w:val="16"/>
              </w:rPr>
              <w:t>Changes in Selected Biochemical Indices Resulting from Various Pre-sampling Handling Techniques in Broilers</w:t>
            </w:r>
          </w:p>
          <w:p w14:paraId="213225E6" w14:textId="77777777" w:rsidR="00FA0BB9" w:rsidRPr="008102AF" w:rsidRDefault="00FA0BB9" w:rsidP="008102AF">
            <w:pPr>
              <w:pStyle w:val="NoSpacing"/>
              <w:spacing w:before="40" w:after="40"/>
              <w:contextualSpacing/>
              <w:rPr>
                <w:sz w:val="16"/>
                <w:szCs w:val="16"/>
              </w:rPr>
            </w:pPr>
            <w:r w:rsidRPr="008102AF">
              <w:rPr>
                <w:sz w:val="16"/>
                <w:szCs w:val="16"/>
              </w:rPr>
              <w:t>By: Chloupek, Petr; Bedanova, Iveta; Chloupek, Jan; et al.</w:t>
            </w:r>
          </w:p>
          <w:p w14:paraId="1BE4A2BD" w14:textId="77777777" w:rsidR="00FA0BB9" w:rsidRPr="008102AF" w:rsidRDefault="00FA0BB9" w:rsidP="008102AF">
            <w:pPr>
              <w:pStyle w:val="NoSpacing"/>
              <w:spacing w:before="40" w:after="40"/>
              <w:contextualSpacing/>
              <w:rPr>
                <w:sz w:val="16"/>
                <w:szCs w:val="16"/>
              </w:rPr>
            </w:pPr>
            <w:r w:rsidRPr="008102AF">
              <w:rPr>
                <w:sz w:val="16"/>
                <w:szCs w:val="16"/>
              </w:rPr>
              <w:t>ACTA VETERINARIA SCANDINAVICA   Volume: 53</w:t>
            </w:r>
            <w:r w:rsidR="002A1EAE" w:rsidRPr="008102AF">
              <w:rPr>
                <w:sz w:val="16"/>
                <w:szCs w:val="16"/>
              </w:rPr>
              <w:t xml:space="preserve"> </w:t>
            </w:r>
            <w:r w:rsidRPr="008102AF">
              <w:rPr>
                <w:sz w:val="16"/>
                <w:szCs w:val="16"/>
              </w:rPr>
              <w:t>Article Number: 31   Published: MAY 13 2011</w:t>
            </w:r>
          </w:p>
        </w:tc>
      </w:tr>
      <w:tr w:rsidR="00FA0BB9" w:rsidRPr="00286A88" w14:paraId="30FB5B71" w14:textId="77777777" w:rsidTr="005F7B38">
        <w:tc>
          <w:tcPr>
            <w:tcW w:w="3628" w:type="dxa"/>
          </w:tcPr>
          <w:p w14:paraId="231AFC5F" w14:textId="77777777" w:rsidR="00FA0BB9" w:rsidRPr="00AE04B1" w:rsidRDefault="00FA0BB9" w:rsidP="00AE04B1">
            <w:pPr>
              <w:spacing w:before="60"/>
            </w:pPr>
            <w:r w:rsidRPr="00AE04B1">
              <w:t>Fundamental study of technology/technique</w:t>
            </w:r>
          </w:p>
        </w:tc>
        <w:tc>
          <w:tcPr>
            <w:tcW w:w="1020" w:type="dxa"/>
          </w:tcPr>
          <w:p w14:paraId="5D5091E7" w14:textId="77777777" w:rsidR="00FA0BB9" w:rsidRPr="00AE04B1" w:rsidRDefault="00FA0BB9" w:rsidP="00AE04B1">
            <w:pPr>
              <w:spacing w:before="60"/>
            </w:pPr>
            <w:r w:rsidRPr="00AE04B1">
              <w:t>1</w:t>
            </w:r>
          </w:p>
        </w:tc>
        <w:tc>
          <w:tcPr>
            <w:tcW w:w="5329" w:type="dxa"/>
          </w:tcPr>
          <w:p w14:paraId="76FA34C0" w14:textId="77777777" w:rsidR="00FA0BB9" w:rsidRPr="008102AF" w:rsidRDefault="00FA0BB9" w:rsidP="008102AF">
            <w:pPr>
              <w:pStyle w:val="NoSpacing"/>
              <w:spacing w:before="40" w:after="40"/>
              <w:contextualSpacing/>
              <w:rPr>
                <w:sz w:val="16"/>
                <w:szCs w:val="16"/>
              </w:rPr>
            </w:pPr>
            <w:r w:rsidRPr="008102AF">
              <w:rPr>
                <w:sz w:val="16"/>
                <w:szCs w:val="16"/>
              </w:rPr>
              <w:t xml:space="preserve">A </w:t>
            </w:r>
            <w:r w:rsidR="0010235B">
              <w:rPr>
                <w:sz w:val="16"/>
                <w:szCs w:val="16"/>
              </w:rPr>
              <w:t>‘</w:t>
            </w:r>
            <w:r w:rsidRPr="008102AF">
              <w:rPr>
                <w:sz w:val="16"/>
                <w:szCs w:val="16"/>
              </w:rPr>
              <w:t>feather-trap</w:t>
            </w:r>
            <w:r w:rsidR="0010235B">
              <w:rPr>
                <w:sz w:val="16"/>
                <w:szCs w:val="16"/>
              </w:rPr>
              <w:t>’</w:t>
            </w:r>
            <w:r w:rsidRPr="008102AF">
              <w:rPr>
                <w:sz w:val="16"/>
                <w:szCs w:val="16"/>
              </w:rPr>
              <w:t xml:space="preserve"> for collecting DNA samples from birds</w:t>
            </w:r>
          </w:p>
          <w:p w14:paraId="77C6AC92" w14:textId="77777777" w:rsidR="00FA0BB9" w:rsidRPr="008102AF" w:rsidRDefault="00FA0BB9" w:rsidP="008102AF">
            <w:pPr>
              <w:pStyle w:val="NoSpacing"/>
              <w:spacing w:before="40" w:after="40"/>
              <w:contextualSpacing/>
              <w:rPr>
                <w:sz w:val="16"/>
                <w:szCs w:val="16"/>
              </w:rPr>
            </w:pPr>
            <w:r w:rsidRPr="008102AF">
              <w:rPr>
                <w:sz w:val="16"/>
                <w:szCs w:val="16"/>
              </w:rPr>
              <w:t>By: Maurer, Golo; Beck, Nadeena; Double, Michael C.</w:t>
            </w:r>
          </w:p>
          <w:p w14:paraId="1BD762F0" w14:textId="77777777" w:rsidR="00FA0BB9" w:rsidRPr="008102AF" w:rsidRDefault="00FA0BB9" w:rsidP="008102AF">
            <w:pPr>
              <w:pStyle w:val="NoSpacing"/>
              <w:spacing w:before="40" w:after="40"/>
              <w:contextualSpacing/>
              <w:rPr>
                <w:sz w:val="16"/>
                <w:szCs w:val="16"/>
              </w:rPr>
            </w:pPr>
            <w:r w:rsidRPr="008102AF">
              <w:rPr>
                <w:sz w:val="16"/>
                <w:szCs w:val="16"/>
              </w:rPr>
              <w:t>MOLECULAR ECOLOGY RESOURCES   Volume: 10   Issue: 1   Pages: 129-134   Published: JAN 2010</w:t>
            </w:r>
          </w:p>
        </w:tc>
      </w:tr>
      <w:tr w:rsidR="00FA0BB9" w:rsidRPr="00286A88" w14:paraId="7DF819A8" w14:textId="77777777" w:rsidTr="005F7B38">
        <w:tc>
          <w:tcPr>
            <w:tcW w:w="3628" w:type="dxa"/>
          </w:tcPr>
          <w:p w14:paraId="35EFD81E" w14:textId="77777777" w:rsidR="00FA0BB9" w:rsidRPr="00AE04B1" w:rsidRDefault="00FA0BB9" w:rsidP="00AE04B1">
            <w:pPr>
              <w:spacing w:before="60"/>
            </w:pPr>
            <w:r w:rsidRPr="00AE04B1">
              <w:t>Review/opinion</w:t>
            </w:r>
          </w:p>
        </w:tc>
        <w:tc>
          <w:tcPr>
            <w:tcW w:w="1020" w:type="dxa"/>
          </w:tcPr>
          <w:p w14:paraId="4D42B71D" w14:textId="77777777" w:rsidR="00FA0BB9" w:rsidRPr="00AE04B1" w:rsidRDefault="00FA0BB9" w:rsidP="00AE04B1">
            <w:pPr>
              <w:spacing w:before="60"/>
            </w:pPr>
            <w:r w:rsidRPr="00AE04B1">
              <w:t>1</w:t>
            </w:r>
          </w:p>
        </w:tc>
        <w:tc>
          <w:tcPr>
            <w:tcW w:w="5329" w:type="dxa"/>
          </w:tcPr>
          <w:p w14:paraId="1377A091" w14:textId="77777777" w:rsidR="00FA0BB9" w:rsidRPr="008102AF" w:rsidRDefault="00FA0BB9" w:rsidP="008102AF">
            <w:pPr>
              <w:pStyle w:val="NoSpacing"/>
              <w:spacing w:before="40" w:after="40"/>
              <w:contextualSpacing/>
              <w:rPr>
                <w:sz w:val="16"/>
                <w:szCs w:val="16"/>
              </w:rPr>
            </w:pPr>
            <w:r w:rsidRPr="008102AF">
              <w:rPr>
                <w:sz w:val="16"/>
                <w:szCs w:val="16"/>
              </w:rPr>
              <w:t>Terrestrial carnivores and human food production: impact and management</w:t>
            </w:r>
          </w:p>
          <w:p w14:paraId="6F5783A9" w14:textId="77777777" w:rsidR="00FA0BB9" w:rsidRPr="008102AF" w:rsidRDefault="00FA0BB9" w:rsidP="008102AF">
            <w:pPr>
              <w:pStyle w:val="NoSpacing"/>
              <w:spacing w:before="40" w:after="40"/>
              <w:contextualSpacing/>
              <w:rPr>
                <w:sz w:val="16"/>
                <w:szCs w:val="16"/>
              </w:rPr>
            </w:pPr>
            <w:r w:rsidRPr="008102AF">
              <w:rPr>
                <w:sz w:val="16"/>
                <w:szCs w:val="16"/>
              </w:rPr>
              <w:t>By: Baker, Philip J.; Boitani, Luigi; Harris, Stephen; et al.</w:t>
            </w:r>
          </w:p>
          <w:p w14:paraId="0B62D1F3" w14:textId="77777777" w:rsidR="00FA0BB9" w:rsidRPr="008102AF" w:rsidRDefault="00FA0BB9" w:rsidP="008102AF">
            <w:pPr>
              <w:pStyle w:val="NoSpacing"/>
              <w:spacing w:before="40" w:after="40"/>
              <w:contextualSpacing/>
              <w:rPr>
                <w:sz w:val="16"/>
                <w:szCs w:val="16"/>
              </w:rPr>
            </w:pPr>
            <w:r w:rsidRPr="008102AF">
              <w:rPr>
                <w:sz w:val="16"/>
                <w:szCs w:val="16"/>
              </w:rPr>
              <w:t>Conference: Mammal-Society Autumn Symposium held at the Zoological-Society-of-London Location: London, ENGLAND Date: NOV 25-26, 2005</w:t>
            </w:r>
          </w:p>
          <w:p w14:paraId="691D0BF3" w14:textId="77777777" w:rsidR="00FA0BB9" w:rsidRPr="008102AF" w:rsidRDefault="00FA0BB9" w:rsidP="008102AF">
            <w:pPr>
              <w:pStyle w:val="NoSpacing"/>
              <w:spacing w:before="40" w:after="40"/>
              <w:contextualSpacing/>
              <w:rPr>
                <w:sz w:val="16"/>
                <w:szCs w:val="16"/>
              </w:rPr>
            </w:pPr>
            <w:r w:rsidRPr="008102AF">
              <w:rPr>
                <w:sz w:val="16"/>
                <w:szCs w:val="16"/>
              </w:rPr>
              <w:t>Sponsor(s): Mammal Soc; Zool Soc London</w:t>
            </w:r>
          </w:p>
          <w:p w14:paraId="1A605DB8" w14:textId="77777777" w:rsidR="00FA0BB9" w:rsidRPr="008102AF" w:rsidRDefault="00FA0BB9" w:rsidP="008102AF">
            <w:pPr>
              <w:pStyle w:val="NoSpacing"/>
              <w:spacing w:before="40" w:after="40"/>
              <w:contextualSpacing/>
              <w:rPr>
                <w:sz w:val="16"/>
                <w:szCs w:val="16"/>
              </w:rPr>
            </w:pPr>
            <w:r w:rsidRPr="008102AF">
              <w:rPr>
                <w:sz w:val="16"/>
                <w:szCs w:val="16"/>
              </w:rPr>
              <w:t>MAMMAL REVIEW   Volume: 38   Issue: 2-3   Pages: 123-166   Published: APR-JUL 2008</w:t>
            </w:r>
          </w:p>
        </w:tc>
      </w:tr>
      <w:tr w:rsidR="00FA0BB9" w:rsidRPr="00286A88" w14:paraId="2C48BC92" w14:textId="77777777" w:rsidTr="005F7B38">
        <w:tc>
          <w:tcPr>
            <w:tcW w:w="3628" w:type="dxa"/>
          </w:tcPr>
          <w:p w14:paraId="31FD3C9D" w14:textId="77777777" w:rsidR="00FA0BB9" w:rsidRPr="00AE04B1" w:rsidRDefault="00FA0BB9" w:rsidP="00AE04B1">
            <w:pPr>
              <w:spacing w:before="60"/>
            </w:pPr>
            <w:r w:rsidRPr="00AE04B1">
              <w:t>Transport</w:t>
            </w:r>
          </w:p>
        </w:tc>
        <w:tc>
          <w:tcPr>
            <w:tcW w:w="1020" w:type="dxa"/>
          </w:tcPr>
          <w:p w14:paraId="5B0B332B" w14:textId="77777777" w:rsidR="00FA0BB9" w:rsidRPr="00AE04B1" w:rsidRDefault="00FA0BB9" w:rsidP="00AE04B1">
            <w:pPr>
              <w:spacing w:before="60"/>
            </w:pPr>
            <w:r w:rsidRPr="00AE04B1">
              <w:t>1</w:t>
            </w:r>
          </w:p>
        </w:tc>
        <w:tc>
          <w:tcPr>
            <w:tcW w:w="5329" w:type="dxa"/>
          </w:tcPr>
          <w:p w14:paraId="57B6D42F" w14:textId="77777777" w:rsidR="00FA0BB9" w:rsidRPr="008102AF" w:rsidRDefault="00FA0BB9" w:rsidP="008102AF">
            <w:pPr>
              <w:pStyle w:val="NoSpacing"/>
              <w:spacing w:before="40" w:after="40"/>
              <w:contextualSpacing/>
              <w:rPr>
                <w:sz w:val="16"/>
                <w:szCs w:val="16"/>
              </w:rPr>
            </w:pPr>
            <w:r w:rsidRPr="008102AF">
              <w:rPr>
                <w:sz w:val="16"/>
                <w:szCs w:val="16"/>
              </w:rPr>
              <w:t>Effects of transport stress and floor space reduction on selected biochemical indices in common pheasant (</w:t>
            </w:r>
            <w:r w:rsidRPr="00C26326">
              <w:rPr>
                <w:i/>
                <w:sz w:val="16"/>
                <w:szCs w:val="16"/>
              </w:rPr>
              <w:t>Phasianus colchicus</w:t>
            </w:r>
            <w:r w:rsidRPr="008102AF">
              <w:rPr>
                <w:sz w:val="16"/>
                <w:szCs w:val="16"/>
              </w:rPr>
              <w:t>)</w:t>
            </w:r>
          </w:p>
          <w:p w14:paraId="1BF6E791" w14:textId="77777777" w:rsidR="00FA0BB9" w:rsidRPr="008102AF" w:rsidRDefault="00FA0BB9" w:rsidP="008102AF">
            <w:pPr>
              <w:pStyle w:val="NoSpacing"/>
              <w:spacing w:before="40" w:after="40"/>
              <w:contextualSpacing/>
              <w:rPr>
                <w:sz w:val="16"/>
                <w:szCs w:val="16"/>
              </w:rPr>
            </w:pPr>
            <w:r w:rsidRPr="008102AF">
              <w:rPr>
                <w:sz w:val="16"/>
                <w:szCs w:val="16"/>
              </w:rPr>
              <w:t>By: Suchy, P.; Bedanova, Iveta; Vecerek, V.; et al.</w:t>
            </w:r>
          </w:p>
          <w:p w14:paraId="6A1E6D01" w14:textId="77777777" w:rsidR="00FA0BB9" w:rsidRPr="008102AF" w:rsidRDefault="00FA0BB9" w:rsidP="008102AF">
            <w:pPr>
              <w:pStyle w:val="NoSpacing"/>
              <w:spacing w:before="40" w:after="40"/>
              <w:contextualSpacing/>
              <w:rPr>
                <w:sz w:val="16"/>
                <w:szCs w:val="16"/>
              </w:rPr>
            </w:pPr>
            <w:r w:rsidRPr="008102AF">
              <w:rPr>
                <w:sz w:val="16"/>
                <w:szCs w:val="16"/>
              </w:rPr>
              <w:t>ARCHIV FUR GEFLUGELKUNDE   Volume: 71   Issue: 2   Pages: 56-61   Published: APR 2007</w:t>
            </w:r>
          </w:p>
        </w:tc>
      </w:tr>
      <w:tr w:rsidR="00FA0BB9" w:rsidRPr="00286A88" w14:paraId="564D4430" w14:textId="77777777" w:rsidTr="005F7B38">
        <w:tc>
          <w:tcPr>
            <w:tcW w:w="3628" w:type="dxa"/>
          </w:tcPr>
          <w:p w14:paraId="7D76F484" w14:textId="77777777" w:rsidR="00FA0BB9" w:rsidRPr="00F67C8B" w:rsidRDefault="00FA0BB9" w:rsidP="00770A44">
            <w:pPr>
              <w:spacing w:before="60" w:line="240" w:lineRule="auto"/>
              <w:rPr>
                <w:rFonts w:cs="Arial"/>
                <w:b/>
                <w:color w:val="auto"/>
                <w:szCs w:val="18"/>
              </w:rPr>
            </w:pPr>
            <w:r w:rsidRPr="00F67C8B">
              <w:rPr>
                <w:rFonts w:cs="Arial"/>
                <w:b/>
                <w:color w:val="auto"/>
                <w:szCs w:val="18"/>
              </w:rPr>
              <w:t xml:space="preserve">Papers </w:t>
            </w:r>
            <w:r w:rsidR="00770A44">
              <w:rPr>
                <w:rFonts w:cs="Arial"/>
                <w:b/>
                <w:color w:val="auto"/>
                <w:szCs w:val="18"/>
              </w:rPr>
              <w:t>excluded from primary search</w:t>
            </w:r>
          </w:p>
        </w:tc>
        <w:tc>
          <w:tcPr>
            <w:tcW w:w="1020" w:type="dxa"/>
          </w:tcPr>
          <w:p w14:paraId="578F7718" w14:textId="77777777" w:rsidR="00FA0BB9" w:rsidRPr="00F67C8B" w:rsidRDefault="00770A44" w:rsidP="002B2473">
            <w:pPr>
              <w:spacing w:before="60" w:line="240" w:lineRule="auto"/>
              <w:rPr>
                <w:rFonts w:cs="Arial"/>
                <w:b/>
                <w:color w:val="auto"/>
                <w:szCs w:val="18"/>
              </w:rPr>
            </w:pPr>
            <w:r>
              <w:rPr>
                <w:rFonts w:cs="Arial"/>
                <w:b/>
                <w:color w:val="auto"/>
                <w:szCs w:val="18"/>
              </w:rPr>
              <w:t>5</w:t>
            </w:r>
          </w:p>
        </w:tc>
        <w:tc>
          <w:tcPr>
            <w:tcW w:w="5329" w:type="dxa"/>
          </w:tcPr>
          <w:p w14:paraId="35D8B966" w14:textId="77777777" w:rsidR="00FA0BB9" w:rsidRPr="00F67C8B" w:rsidRDefault="00770A44" w:rsidP="002B2473">
            <w:pPr>
              <w:spacing w:before="60" w:line="240" w:lineRule="auto"/>
              <w:rPr>
                <w:rFonts w:cs="Arial"/>
                <w:b/>
                <w:color w:val="auto"/>
                <w:szCs w:val="18"/>
              </w:rPr>
            </w:pPr>
            <w:r>
              <w:rPr>
                <w:rFonts w:cs="Arial"/>
                <w:b/>
                <w:color w:val="auto"/>
                <w:szCs w:val="18"/>
              </w:rPr>
              <w:t>Papers retained from primary search: 8 – 5 = 3</w:t>
            </w:r>
          </w:p>
        </w:tc>
      </w:tr>
    </w:tbl>
    <w:p w14:paraId="6D3DBFE0" w14:textId="77777777" w:rsidR="00FA0BB9" w:rsidRPr="00590F0B" w:rsidRDefault="00FA0BB9" w:rsidP="00590F0B">
      <w:pPr>
        <w:spacing w:before="240" w:after="240"/>
        <w:rPr>
          <w:b/>
          <w:i/>
          <w:lang w:val="en-GB"/>
        </w:rPr>
      </w:pPr>
      <w:r w:rsidRPr="00590F0B">
        <w:rPr>
          <w:b/>
          <w:i/>
          <w:lang w:val="en-GB"/>
        </w:rPr>
        <w:t>Pheasant Secondary Searches</w:t>
      </w:r>
    </w:p>
    <w:tbl>
      <w:tblPr>
        <w:tblStyle w:val="TableGrid11"/>
        <w:tblW w:w="9950" w:type="dxa"/>
        <w:tblLook w:val="04A0" w:firstRow="1" w:lastRow="0" w:firstColumn="1" w:lastColumn="0" w:noHBand="0" w:noVBand="1"/>
        <w:tblCaption w:val="Results of secondary literature searches for pheasants"/>
        <w:tblDescription w:val="This table shows the results of secondary literature searches for pheasants. The left hand column shows the search terms used in the secondary searches. The middle column shows the number of papers returned from each of these searches. The third column shows the additional papers retained from these searches."/>
      </w:tblPr>
      <w:tblGrid>
        <w:gridCol w:w="7682"/>
        <w:gridCol w:w="1134"/>
        <w:gridCol w:w="1134"/>
      </w:tblGrid>
      <w:tr w:rsidR="00354982" w:rsidRPr="00286A88" w14:paraId="6DA97744" w14:textId="77777777" w:rsidTr="00587D34">
        <w:trPr>
          <w:tblHeader/>
        </w:trPr>
        <w:tc>
          <w:tcPr>
            <w:tcW w:w="7682" w:type="dxa"/>
            <w:shd w:val="clear" w:color="auto" w:fill="auto"/>
          </w:tcPr>
          <w:p w14:paraId="74F6D76D" w14:textId="77777777" w:rsidR="00FA0BB9" w:rsidRPr="008970FA" w:rsidRDefault="00FA0BB9" w:rsidP="008970FA">
            <w:pPr>
              <w:spacing w:before="60" w:line="240" w:lineRule="auto"/>
              <w:rPr>
                <w:rFonts w:cs="Arial"/>
                <w:b/>
                <w:color w:val="auto"/>
                <w:szCs w:val="18"/>
              </w:rPr>
            </w:pPr>
            <w:r w:rsidRPr="008970FA">
              <w:rPr>
                <w:rFonts w:cs="Arial"/>
                <w:b/>
                <w:color w:val="auto"/>
                <w:szCs w:val="18"/>
              </w:rPr>
              <w:t>Search terms for synonyms of species or welfare</w:t>
            </w:r>
          </w:p>
        </w:tc>
        <w:tc>
          <w:tcPr>
            <w:tcW w:w="1134" w:type="dxa"/>
            <w:shd w:val="clear" w:color="auto" w:fill="auto"/>
          </w:tcPr>
          <w:p w14:paraId="3CB375E5" w14:textId="77777777" w:rsidR="00FA0BB9" w:rsidRPr="008970FA" w:rsidRDefault="00FA0BB9" w:rsidP="008970FA">
            <w:pPr>
              <w:spacing w:before="60" w:line="240" w:lineRule="auto"/>
              <w:rPr>
                <w:rFonts w:cs="Arial"/>
                <w:color w:val="auto"/>
                <w:szCs w:val="18"/>
              </w:rPr>
            </w:pPr>
            <w:r w:rsidRPr="008970FA">
              <w:rPr>
                <w:rFonts w:cs="Arial"/>
                <w:color w:val="auto"/>
                <w:szCs w:val="18"/>
              </w:rPr>
              <w:t>Hits</w:t>
            </w:r>
          </w:p>
        </w:tc>
        <w:tc>
          <w:tcPr>
            <w:tcW w:w="1134" w:type="dxa"/>
            <w:shd w:val="clear" w:color="auto" w:fill="auto"/>
          </w:tcPr>
          <w:p w14:paraId="4BBEB16D" w14:textId="77777777" w:rsidR="00FA0BB9" w:rsidRPr="008970FA" w:rsidRDefault="00A772EA" w:rsidP="008970FA">
            <w:pPr>
              <w:spacing w:before="60" w:line="240" w:lineRule="auto"/>
              <w:rPr>
                <w:rFonts w:cs="Arial"/>
                <w:color w:val="auto"/>
                <w:szCs w:val="18"/>
              </w:rPr>
            </w:pPr>
            <w:r>
              <w:rPr>
                <w:rFonts w:cs="Arial"/>
                <w:color w:val="auto"/>
                <w:szCs w:val="18"/>
              </w:rPr>
              <w:t>Additional P</w:t>
            </w:r>
            <w:r w:rsidR="00FA0BB9" w:rsidRPr="008970FA">
              <w:rPr>
                <w:rFonts w:cs="Arial"/>
                <w:color w:val="auto"/>
                <w:szCs w:val="18"/>
              </w:rPr>
              <w:t>apers</w:t>
            </w:r>
            <w:r w:rsidR="00354982">
              <w:rPr>
                <w:rFonts w:cs="Arial"/>
                <w:color w:val="auto"/>
                <w:szCs w:val="18"/>
              </w:rPr>
              <w:t xml:space="preserve"> Included</w:t>
            </w:r>
          </w:p>
        </w:tc>
      </w:tr>
      <w:tr w:rsidR="00354982" w:rsidRPr="00286A88" w14:paraId="43B05391" w14:textId="77777777" w:rsidTr="00354982">
        <w:tc>
          <w:tcPr>
            <w:tcW w:w="7682" w:type="dxa"/>
          </w:tcPr>
          <w:p w14:paraId="19514F49" w14:textId="77777777" w:rsidR="00FA0BB9" w:rsidRPr="008970FA" w:rsidRDefault="00A73FA0" w:rsidP="00A73FA0">
            <w:pPr>
              <w:spacing w:before="60" w:line="240" w:lineRule="auto"/>
              <w:rPr>
                <w:rFonts w:cs="Arial"/>
                <w:color w:val="auto"/>
                <w:szCs w:val="18"/>
              </w:rPr>
            </w:pPr>
            <w:r>
              <w:rPr>
                <w:rFonts w:cs="Arial"/>
                <w:color w:val="auto"/>
                <w:szCs w:val="18"/>
              </w:rPr>
              <w:t>behav</w:t>
            </w:r>
            <w:r w:rsidR="00FA0BB9" w:rsidRPr="008970FA">
              <w:rPr>
                <w:rFonts w:cs="Arial"/>
                <w:color w:val="auto"/>
                <w:szCs w:val="18"/>
              </w:rPr>
              <w:t xml:space="preserve">* AND pheasant* OR </w:t>
            </w:r>
            <w:r>
              <w:rPr>
                <w:rFonts w:cs="Arial"/>
                <w:color w:val="auto"/>
                <w:szCs w:val="18"/>
              </w:rPr>
              <w:t>behav</w:t>
            </w:r>
            <w:r w:rsidR="00FA0BB9" w:rsidRPr="008970FA">
              <w:rPr>
                <w:rFonts w:cs="Arial"/>
                <w:color w:val="auto"/>
                <w:szCs w:val="18"/>
              </w:rPr>
              <w:t>* AND phasianus*</w:t>
            </w:r>
          </w:p>
        </w:tc>
        <w:tc>
          <w:tcPr>
            <w:tcW w:w="1134" w:type="dxa"/>
          </w:tcPr>
          <w:p w14:paraId="5F5B666E" w14:textId="77777777" w:rsidR="00FA0BB9" w:rsidRPr="008970FA" w:rsidRDefault="00FA0BB9" w:rsidP="008970FA">
            <w:pPr>
              <w:spacing w:before="60" w:line="240" w:lineRule="auto"/>
              <w:rPr>
                <w:rFonts w:cs="Arial"/>
                <w:color w:val="auto"/>
                <w:szCs w:val="18"/>
              </w:rPr>
            </w:pPr>
            <w:r w:rsidRPr="008970FA">
              <w:rPr>
                <w:rFonts w:cs="Arial"/>
                <w:color w:val="auto"/>
                <w:szCs w:val="18"/>
              </w:rPr>
              <w:t>111</w:t>
            </w:r>
          </w:p>
        </w:tc>
        <w:tc>
          <w:tcPr>
            <w:tcW w:w="1134" w:type="dxa"/>
          </w:tcPr>
          <w:p w14:paraId="50756BAB" w14:textId="77777777" w:rsidR="00FA0BB9" w:rsidRPr="008970FA" w:rsidRDefault="00FA0BB9" w:rsidP="008970FA">
            <w:pPr>
              <w:spacing w:before="60" w:line="240" w:lineRule="auto"/>
              <w:rPr>
                <w:rFonts w:cs="Arial"/>
                <w:color w:val="auto"/>
                <w:szCs w:val="18"/>
              </w:rPr>
            </w:pPr>
            <w:r w:rsidRPr="008970FA">
              <w:rPr>
                <w:rFonts w:cs="Arial"/>
                <w:color w:val="auto"/>
                <w:szCs w:val="18"/>
              </w:rPr>
              <w:t>6</w:t>
            </w:r>
          </w:p>
        </w:tc>
      </w:tr>
      <w:tr w:rsidR="00354982" w:rsidRPr="00286A88" w14:paraId="239B56F8" w14:textId="77777777" w:rsidTr="00354982">
        <w:tc>
          <w:tcPr>
            <w:tcW w:w="7682" w:type="dxa"/>
          </w:tcPr>
          <w:p w14:paraId="5E82B059" w14:textId="77777777" w:rsidR="00FA0BB9" w:rsidRPr="008970FA" w:rsidRDefault="00A73FA0" w:rsidP="008970FA">
            <w:pPr>
              <w:spacing w:before="60" w:line="240" w:lineRule="auto"/>
              <w:rPr>
                <w:rFonts w:cs="Arial"/>
                <w:color w:val="auto"/>
                <w:szCs w:val="18"/>
              </w:rPr>
            </w:pPr>
            <w:r>
              <w:rPr>
                <w:rFonts w:cs="Arial"/>
                <w:color w:val="auto"/>
                <w:szCs w:val="18"/>
              </w:rPr>
              <w:t>w</w:t>
            </w:r>
            <w:r w:rsidR="00FA0BB9" w:rsidRPr="008970FA">
              <w:rPr>
                <w:rFonts w:cs="Arial"/>
                <w:color w:val="auto"/>
                <w:szCs w:val="18"/>
              </w:rPr>
              <w:t>ell-being* AND pheasant* OR well-being* AND phasianus* OR wellbeing* AND pheasant* OR wellbeing* AND phasianus*</w:t>
            </w:r>
          </w:p>
        </w:tc>
        <w:tc>
          <w:tcPr>
            <w:tcW w:w="1134" w:type="dxa"/>
          </w:tcPr>
          <w:p w14:paraId="56B43BE5"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c>
          <w:tcPr>
            <w:tcW w:w="1134" w:type="dxa"/>
          </w:tcPr>
          <w:p w14:paraId="5B6A99CE"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r>
      <w:tr w:rsidR="00354982" w:rsidRPr="00286A88" w14:paraId="2867A5B1" w14:textId="77777777" w:rsidTr="00354982">
        <w:tc>
          <w:tcPr>
            <w:tcW w:w="7682" w:type="dxa"/>
          </w:tcPr>
          <w:p w14:paraId="1964277C" w14:textId="77777777" w:rsidR="00FA0BB9" w:rsidRPr="008970FA" w:rsidRDefault="00FA0BB9" w:rsidP="008970FA">
            <w:pPr>
              <w:spacing w:before="60" w:line="240" w:lineRule="auto"/>
              <w:rPr>
                <w:rFonts w:cs="Arial"/>
                <w:color w:val="auto"/>
                <w:szCs w:val="18"/>
              </w:rPr>
            </w:pPr>
            <w:r w:rsidRPr="008970FA">
              <w:rPr>
                <w:rFonts w:cs="Arial"/>
                <w:color w:val="auto"/>
                <w:szCs w:val="18"/>
              </w:rPr>
              <w:t>health* AND pheasant* OR health* AND phasianus*</w:t>
            </w:r>
          </w:p>
        </w:tc>
        <w:tc>
          <w:tcPr>
            <w:tcW w:w="1134" w:type="dxa"/>
          </w:tcPr>
          <w:p w14:paraId="324B8D26" w14:textId="77777777" w:rsidR="00FA0BB9" w:rsidRPr="008970FA" w:rsidRDefault="00FA0BB9" w:rsidP="008970FA">
            <w:pPr>
              <w:spacing w:before="60" w:line="240" w:lineRule="auto"/>
              <w:rPr>
                <w:rFonts w:cs="Arial"/>
                <w:color w:val="auto"/>
                <w:szCs w:val="18"/>
              </w:rPr>
            </w:pPr>
            <w:r w:rsidRPr="008970FA">
              <w:rPr>
                <w:rFonts w:cs="Arial"/>
                <w:color w:val="auto"/>
                <w:szCs w:val="18"/>
              </w:rPr>
              <w:t>50</w:t>
            </w:r>
          </w:p>
        </w:tc>
        <w:tc>
          <w:tcPr>
            <w:tcW w:w="1134" w:type="dxa"/>
          </w:tcPr>
          <w:p w14:paraId="1772C120"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r>
      <w:tr w:rsidR="00354982" w:rsidRPr="00286A88" w14:paraId="1D64E529" w14:textId="77777777" w:rsidTr="00354982">
        <w:tc>
          <w:tcPr>
            <w:tcW w:w="7682" w:type="dxa"/>
          </w:tcPr>
          <w:p w14:paraId="2B4C5291" w14:textId="77777777" w:rsidR="00FA0BB9" w:rsidRPr="008970FA" w:rsidRDefault="00FA0BB9" w:rsidP="008970FA">
            <w:pPr>
              <w:spacing w:before="60" w:line="240" w:lineRule="auto"/>
              <w:rPr>
                <w:rFonts w:cs="Arial"/>
                <w:color w:val="auto"/>
                <w:szCs w:val="18"/>
              </w:rPr>
            </w:pPr>
            <w:r w:rsidRPr="008970FA">
              <w:rPr>
                <w:rFonts w:cs="Arial"/>
                <w:color w:val="auto"/>
                <w:szCs w:val="18"/>
              </w:rPr>
              <w:t>stress* AND pheasant* OR stress* AND phasianus* OR fear* AND pheasant* OR fear* AND phasianus*</w:t>
            </w:r>
          </w:p>
        </w:tc>
        <w:tc>
          <w:tcPr>
            <w:tcW w:w="1134" w:type="dxa"/>
          </w:tcPr>
          <w:p w14:paraId="2A08414B" w14:textId="77777777" w:rsidR="00FA0BB9" w:rsidRPr="008970FA" w:rsidRDefault="00FA0BB9" w:rsidP="008970FA">
            <w:pPr>
              <w:spacing w:before="60" w:line="240" w:lineRule="auto"/>
              <w:rPr>
                <w:rFonts w:cs="Arial"/>
                <w:color w:val="auto"/>
                <w:szCs w:val="18"/>
              </w:rPr>
            </w:pPr>
            <w:r w:rsidRPr="008970FA">
              <w:rPr>
                <w:rFonts w:cs="Arial"/>
                <w:color w:val="auto"/>
                <w:szCs w:val="18"/>
              </w:rPr>
              <w:t>32</w:t>
            </w:r>
          </w:p>
        </w:tc>
        <w:tc>
          <w:tcPr>
            <w:tcW w:w="1134" w:type="dxa"/>
          </w:tcPr>
          <w:p w14:paraId="19BDB211" w14:textId="77777777" w:rsidR="00FA0BB9" w:rsidRPr="008970FA" w:rsidRDefault="00FA0BB9" w:rsidP="008970FA">
            <w:pPr>
              <w:spacing w:before="60" w:line="240" w:lineRule="auto"/>
              <w:rPr>
                <w:rFonts w:cs="Arial"/>
                <w:color w:val="auto"/>
                <w:szCs w:val="18"/>
              </w:rPr>
            </w:pPr>
            <w:r w:rsidRPr="008970FA">
              <w:rPr>
                <w:rFonts w:cs="Arial"/>
                <w:color w:val="auto"/>
                <w:szCs w:val="18"/>
              </w:rPr>
              <w:t>1</w:t>
            </w:r>
          </w:p>
        </w:tc>
      </w:tr>
      <w:tr w:rsidR="00354982" w:rsidRPr="00286A88" w14:paraId="5C66C6E6" w14:textId="77777777" w:rsidTr="00354982">
        <w:tc>
          <w:tcPr>
            <w:tcW w:w="7682" w:type="dxa"/>
          </w:tcPr>
          <w:p w14:paraId="42B80519" w14:textId="77777777" w:rsidR="00FA0BB9" w:rsidRPr="008970FA" w:rsidRDefault="00FA0BB9" w:rsidP="008970FA">
            <w:pPr>
              <w:spacing w:before="60" w:line="240" w:lineRule="auto"/>
              <w:rPr>
                <w:rFonts w:cs="Arial"/>
                <w:color w:val="auto"/>
                <w:szCs w:val="18"/>
              </w:rPr>
            </w:pPr>
            <w:r w:rsidRPr="008970FA">
              <w:rPr>
                <w:rFonts w:cs="Arial"/>
                <w:color w:val="auto"/>
                <w:szCs w:val="18"/>
              </w:rPr>
              <w:t>injur* AND pheasant* OR injur* AND phasianus* OR cull* AND pheasant* OR cull* AND phasianus* OR mortali* AND pheasant* OR mortali* AND phasianus*</w:t>
            </w:r>
          </w:p>
        </w:tc>
        <w:tc>
          <w:tcPr>
            <w:tcW w:w="1134" w:type="dxa"/>
          </w:tcPr>
          <w:p w14:paraId="28A87A8F" w14:textId="77777777" w:rsidR="00FA0BB9" w:rsidRPr="008970FA" w:rsidRDefault="00FA0BB9" w:rsidP="008970FA">
            <w:pPr>
              <w:spacing w:before="60" w:line="240" w:lineRule="auto"/>
              <w:rPr>
                <w:rFonts w:cs="Arial"/>
                <w:color w:val="auto"/>
                <w:szCs w:val="18"/>
              </w:rPr>
            </w:pPr>
            <w:r w:rsidRPr="008970FA">
              <w:rPr>
                <w:rFonts w:cs="Arial"/>
                <w:color w:val="auto"/>
                <w:szCs w:val="18"/>
              </w:rPr>
              <w:t>99</w:t>
            </w:r>
          </w:p>
        </w:tc>
        <w:tc>
          <w:tcPr>
            <w:tcW w:w="1134" w:type="dxa"/>
          </w:tcPr>
          <w:p w14:paraId="627277B2"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r>
      <w:tr w:rsidR="00354982" w:rsidRPr="00286A88" w14:paraId="4DF2A274" w14:textId="77777777" w:rsidTr="00354982">
        <w:tc>
          <w:tcPr>
            <w:tcW w:w="7682" w:type="dxa"/>
          </w:tcPr>
          <w:p w14:paraId="6DE93A39" w14:textId="77777777" w:rsidR="00FA0BB9" w:rsidRPr="008970FA" w:rsidRDefault="00FA0BB9" w:rsidP="008970FA">
            <w:pPr>
              <w:spacing w:before="60" w:line="240" w:lineRule="auto"/>
              <w:rPr>
                <w:rFonts w:cs="Arial"/>
                <w:color w:val="auto"/>
                <w:szCs w:val="18"/>
              </w:rPr>
            </w:pPr>
            <w:r w:rsidRPr="008970FA">
              <w:rPr>
                <w:rFonts w:cs="Arial"/>
                <w:color w:val="auto"/>
                <w:szCs w:val="18"/>
              </w:rPr>
              <w:t>density* AND pheasant* OR density* AND phasianus* OR space* AND pheasant* OR space* AND phasianus*</w:t>
            </w:r>
          </w:p>
        </w:tc>
        <w:tc>
          <w:tcPr>
            <w:tcW w:w="1134" w:type="dxa"/>
          </w:tcPr>
          <w:p w14:paraId="276B804A" w14:textId="77777777" w:rsidR="00FA0BB9" w:rsidRPr="008970FA" w:rsidRDefault="00FA0BB9" w:rsidP="008970FA">
            <w:pPr>
              <w:spacing w:before="60" w:line="240" w:lineRule="auto"/>
              <w:rPr>
                <w:rFonts w:cs="Arial"/>
                <w:color w:val="auto"/>
                <w:szCs w:val="18"/>
              </w:rPr>
            </w:pPr>
            <w:r w:rsidRPr="008970FA">
              <w:rPr>
                <w:rFonts w:cs="Arial"/>
                <w:color w:val="auto"/>
                <w:szCs w:val="18"/>
              </w:rPr>
              <w:t>93</w:t>
            </w:r>
          </w:p>
        </w:tc>
        <w:tc>
          <w:tcPr>
            <w:tcW w:w="1134" w:type="dxa"/>
          </w:tcPr>
          <w:p w14:paraId="622559CB"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r>
      <w:tr w:rsidR="00354982" w:rsidRPr="00286A88" w14:paraId="4554F2A5" w14:textId="77777777" w:rsidTr="00354982">
        <w:tc>
          <w:tcPr>
            <w:tcW w:w="7682" w:type="dxa"/>
          </w:tcPr>
          <w:p w14:paraId="704F1095" w14:textId="77777777" w:rsidR="00FA0BB9" w:rsidRPr="008970FA" w:rsidRDefault="00FA0BB9" w:rsidP="008970FA">
            <w:pPr>
              <w:spacing w:before="60" w:line="240" w:lineRule="auto"/>
              <w:rPr>
                <w:rFonts w:cs="Arial"/>
                <w:color w:val="auto"/>
                <w:szCs w:val="18"/>
              </w:rPr>
            </w:pPr>
            <w:r w:rsidRPr="008970FA">
              <w:rPr>
                <w:rFonts w:cs="Arial"/>
                <w:color w:val="auto"/>
                <w:szCs w:val="18"/>
              </w:rPr>
              <w:t>litter* AND pheasant* OR litter* AND phasianus* OR perch* AND pheasant* OR perch* AND phasianus* OR nest* AND pheasant* OR nest* AND phasianus* OR enrich* AND pheasant* OR enrich* AND phasianus*</w:t>
            </w:r>
          </w:p>
        </w:tc>
        <w:tc>
          <w:tcPr>
            <w:tcW w:w="1134" w:type="dxa"/>
          </w:tcPr>
          <w:p w14:paraId="243C192B" w14:textId="77777777" w:rsidR="00FA0BB9" w:rsidRPr="008970FA" w:rsidRDefault="00FA0BB9" w:rsidP="008970FA">
            <w:pPr>
              <w:spacing w:before="60" w:line="240" w:lineRule="auto"/>
              <w:rPr>
                <w:rFonts w:cs="Arial"/>
                <w:color w:val="auto"/>
                <w:szCs w:val="18"/>
              </w:rPr>
            </w:pPr>
            <w:r w:rsidRPr="008970FA">
              <w:rPr>
                <w:rFonts w:cs="Arial"/>
                <w:color w:val="auto"/>
                <w:szCs w:val="18"/>
              </w:rPr>
              <w:t>98</w:t>
            </w:r>
          </w:p>
        </w:tc>
        <w:tc>
          <w:tcPr>
            <w:tcW w:w="1134" w:type="dxa"/>
          </w:tcPr>
          <w:p w14:paraId="309E55F9"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r>
      <w:tr w:rsidR="00354982" w:rsidRPr="00286A88" w14:paraId="1D195359" w14:textId="77777777" w:rsidTr="00354982">
        <w:tc>
          <w:tcPr>
            <w:tcW w:w="7682" w:type="dxa"/>
          </w:tcPr>
          <w:p w14:paraId="66ED7ED4" w14:textId="77777777" w:rsidR="00FA0BB9" w:rsidRPr="008970FA" w:rsidRDefault="00A73FA0" w:rsidP="008970FA">
            <w:pPr>
              <w:spacing w:before="60" w:line="240" w:lineRule="auto"/>
              <w:rPr>
                <w:rFonts w:cs="Arial"/>
                <w:color w:val="auto"/>
                <w:szCs w:val="18"/>
              </w:rPr>
            </w:pPr>
            <w:r>
              <w:rPr>
                <w:rFonts w:cs="Arial"/>
                <w:color w:val="auto"/>
                <w:szCs w:val="18"/>
              </w:rPr>
              <w:t>d</w:t>
            </w:r>
            <w:r w:rsidR="00FA0BB9" w:rsidRPr="008970FA">
              <w:rPr>
                <w:rFonts w:cs="Arial"/>
                <w:color w:val="auto"/>
                <w:szCs w:val="18"/>
              </w:rPr>
              <w:t>ust-bath* AND pheasant* OR dust-bath* AND phasianus* OR dustbath* AND pheasant* OR dustbath* AND phasianus*</w:t>
            </w:r>
          </w:p>
        </w:tc>
        <w:tc>
          <w:tcPr>
            <w:tcW w:w="1134" w:type="dxa"/>
          </w:tcPr>
          <w:p w14:paraId="40277185"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c>
          <w:tcPr>
            <w:tcW w:w="1134" w:type="dxa"/>
          </w:tcPr>
          <w:p w14:paraId="443AC160"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r>
      <w:tr w:rsidR="00354982" w:rsidRPr="00286A88" w14:paraId="1C17ABBD" w14:textId="77777777" w:rsidTr="00354982">
        <w:tc>
          <w:tcPr>
            <w:tcW w:w="7682" w:type="dxa"/>
          </w:tcPr>
          <w:p w14:paraId="6F9F3E24" w14:textId="77777777" w:rsidR="00FA0BB9" w:rsidRPr="008970FA" w:rsidRDefault="00FA0BB9" w:rsidP="008970FA">
            <w:pPr>
              <w:spacing w:before="60" w:line="240" w:lineRule="auto"/>
              <w:rPr>
                <w:rFonts w:cs="Arial"/>
                <w:color w:val="auto"/>
                <w:szCs w:val="18"/>
              </w:rPr>
            </w:pPr>
            <w:r w:rsidRPr="008970FA">
              <w:rPr>
                <w:rFonts w:cs="Arial"/>
                <w:color w:val="auto"/>
                <w:szCs w:val="18"/>
              </w:rPr>
              <w:t>peck* AND pheasant* OR peck* AND phasianus* OR beak* AND pheasant* OR beak* AND phasianus*</w:t>
            </w:r>
          </w:p>
        </w:tc>
        <w:tc>
          <w:tcPr>
            <w:tcW w:w="1134" w:type="dxa"/>
          </w:tcPr>
          <w:p w14:paraId="4B1FEFDA" w14:textId="77777777" w:rsidR="00FA0BB9" w:rsidRPr="008970FA" w:rsidRDefault="00FA0BB9" w:rsidP="008970FA">
            <w:pPr>
              <w:spacing w:before="60" w:line="240" w:lineRule="auto"/>
              <w:rPr>
                <w:rFonts w:cs="Arial"/>
                <w:color w:val="auto"/>
                <w:szCs w:val="18"/>
              </w:rPr>
            </w:pPr>
            <w:r w:rsidRPr="008970FA">
              <w:rPr>
                <w:rFonts w:cs="Arial"/>
                <w:color w:val="auto"/>
                <w:szCs w:val="18"/>
              </w:rPr>
              <w:t>16</w:t>
            </w:r>
          </w:p>
        </w:tc>
        <w:tc>
          <w:tcPr>
            <w:tcW w:w="1134" w:type="dxa"/>
          </w:tcPr>
          <w:p w14:paraId="234152F1"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r>
      <w:tr w:rsidR="00354982" w:rsidRPr="00286A88" w14:paraId="61754BB2" w14:textId="77777777" w:rsidTr="00354982">
        <w:tc>
          <w:tcPr>
            <w:tcW w:w="7682" w:type="dxa"/>
          </w:tcPr>
          <w:p w14:paraId="53243060" w14:textId="77777777" w:rsidR="00FA0BB9" w:rsidRPr="008970FA" w:rsidRDefault="00FA0BB9" w:rsidP="008970FA">
            <w:pPr>
              <w:spacing w:before="60" w:line="240" w:lineRule="auto"/>
              <w:rPr>
                <w:rFonts w:cs="Arial"/>
                <w:color w:val="auto"/>
                <w:szCs w:val="18"/>
              </w:rPr>
            </w:pPr>
            <w:r w:rsidRPr="008970FA">
              <w:rPr>
                <w:rFonts w:cs="Arial"/>
                <w:color w:val="auto"/>
                <w:szCs w:val="18"/>
              </w:rPr>
              <w:t>sight* AND pheasant* OR sight* AND phasianus* OR eye* AND pheasant* OR eye* AND phasianus* OR goggl* AND pheasant* OR goggl* AND phasianus*</w:t>
            </w:r>
          </w:p>
        </w:tc>
        <w:tc>
          <w:tcPr>
            <w:tcW w:w="1134" w:type="dxa"/>
          </w:tcPr>
          <w:p w14:paraId="2E60ADFD" w14:textId="77777777" w:rsidR="00FA0BB9" w:rsidRPr="008970FA" w:rsidRDefault="00FA0BB9" w:rsidP="008970FA">
            <w:pPr>
              <w:spacing w:before="60" w:line="240" w:lineRule="auto"/>
              <w:rPr>
                <w:rFonts w:cs="Arial"/>
                <w:color w:val="auto"/>
                <w:szCs w:val="18"/>
              </w:rPr>
            </w:pPr>
            <w:r w:rsidRPr="008970FA">
              <w:rPr>
                <w:rFonts w:cs="Arial"/>
                <w:color w:val="auto"/>
                <w:szCs w:val="18"/>
              </w:rPr>
              <w:t>29</w:t>
            </w:r>
          </w:p>
        </w:tc>
        <w:tc>
          <w:tcPr>
            <w:tcW w:w="1134" w:type="dxa"/>
          </w:tcPr>
          <w:p w14:paraId="4DFF97F4"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r>
      <w:tr w:rsidR="00354982" w:rsidRPr="00286A88" w14:paraId="7B0C58D0" w14:textId="77777777" w:rsidTr="00354982">
        <w:tc>
          <w:tcPr>
            <w:tcW w:w="7682" w:type="dxa"/>
          </w:tcPr>
          <w:p w14:paraId="6BE5E69E" w14:textId="77777777" w:rsidR="00FA0BB9" w:rsidRPr="008970FA" w:rsidRDefault="00FA0BB9" w:rsidP="008970FA">
            <w:pPr>
              <w:spacing w:before="60" w:line="240" w:lineRule="auto"/>
              <w:rPr>
                <w:rFonts w:cs="Arial"/>
                <w:color w:val="auto"/>
                <w:szCs w:val="18"/>
              </w:rPr>
            </w:pPr>
            <w:r w:rsidRPr="008970FA">
              <w:rPr>
                <w:rFonts w:cs="Arial"/>
                <w:color w:val="auto"/>
                <w:szCs w:val="18"/>
              </w:rPr>
              <w:t>handl* AND pheasant* OR handl* AND phasianus*</w:t>
            </w:r>
          </w:p>
        </w:tc>
        <w:tc>
          <w:tcPr>
            <w:tcW w:w="1134" w:type="dxa"/>
          </w:tcPr>
          <w:p w14:paraId="6DCD3E5F" w14:textId="77777777" w:rsidR="00FA0BB9" w:rsidRPr="008970FA" w:rsidRDefault="00FA0BB9" w:rsidP="008970FA">
            <w:pPr>
              <w:spacing w:before="60" w:line="240" w:lineRule="auto"/>
              <w:rPr>
                <w:rFonts w:cs="Arial"/>
                <w:color w:val="auto"/>
                <w:szCs w:val="18"/>
              </w:rPr>
            </w:pPr>
            <w:r w:rsidRPr="008970FA">
              <w:rPr>
                <w:rFonts w:cs="Arial"/>
                <w:color w:val="auto"/>
                <w:szCs w:val="18"/>
              </w:rPr>
              <w:t>9</w:t>
            </w:r>
          </w:p>
        </w:tc>
        <w:tc>
          <w:tcPr>
            <w:tcW w:w="1134" w:type="dxa"/>
          </w:tcPr>
          <w:p w14:paraId="75DEAFD4" w14:textId="77777777" w:rsidR="00FA0BB9" w:rsidRPr="008970FA" w:rsidRDefault="00FA0BB9" w:rsidP="008970FA">
            <w:pPr>
              <w:spacing w:before="60" w:line="240" w:lineRule="auto"/>
              <w:rPr>
                <w:rFonts w:cs="Arial"/>
                <w:color w:val="auto"/>
                <w:szCs w:val="18"/>
              </w:rPr>
            </w:pPr>
          </w:p>
        </w:tc>
      </w:tr>
      <w:tr w:rsidR="00354982" w:rsidRPr="00286A88" w14:paraId="1680519D" w14:textId="77777777" w:rsidTr="00354982">
        <w:tc>
          <w:tcPr>
            <w:tcW w:w="7682" w:type="dxa"/>
          </w:tcPr>
          <w:p w14:paraId="23B82D0F" w14:textId="77777777" w:rsidR="00FA0BB9" w:rsidRPr="008970FA" w:rsidRDefault="00FA0BB9" w:rsidP="008970FA">
            <w:pPr>
              <w:spacing w:before="60" w:line="240" w:lineRule="auto"/>
              <w:rPr>
                <w:rFonts w:cs="Arial"/>
                <w:color w:val="auto"/>
                <w:szCs w:val="18"/>
              </w:rPr>
            </w:pPr>
            <w:r w:rsidRPr="008970FA">
              <w:rPr>
                <w:rFonts w:cs="Arial"/>
                <w:color w:val="auto"/>
                <w:szCs w:val="18"/>
              </w:rPr>
              <w:t>hous* AND pheasant* OR hous* AND phasianus* OR pen* AND pheasant* OR pen* AND phasianus*</w:t>
            </w:r>
          </w:p>
        </w:tc>
        <w:tc>
          <w:tcPr>
            <w:tcW w:w="1134" w:type="dxa"/>
          </w:tcPr>
          <w:p w14:paraId="6BA557E9" w14:textId="77777777" w:rsidR="00FA0BB9" w:rsidRPr="008970FA" w:rsidRDefault="00FA0BB9" w:rsidP="008970FA">
            <w:pPr>
              <w:spacing w:before="60" w:line="240" w:lineRule="auto"/>
              <w:rPr>
                <w:rFonts w:cs="Arial"/>
                <w:color w:val="auto"/>
                <w:szCs w:val="18"/>
              </w:rPr>
            </w:pPr>
            <w:r w:rsidRPr="008970FA">
              <w:rPr>
                <w:rFonts w:cs="Arial"/>
                <w:color w:val="auto"/>
                <w:szCs w:val="18"/>
              </w:rPr>
              <w:t>127</w:t>
            </w:r>
          </w:p>
        </w:tc>
        <w:tc>
          <w:tcPr>
            <w:tcW w:w="1134" w:type="dxa"/>
          </w:tcPr>
          <w:p w14:paraId="412A8014"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r>
      <w:tr w:rsidR="00354982" w:rsidRPr="00286A88" w14:paraId="4502C9D7" w14:textId="77777777" w:rsidTr="00354982">
        <w:tc>
          <w:tcPr>
            <w:tcW w:w="7682" w:type="dxa"/>
          </w:tcPr>
          <w:p w14:paraId="53C7BF6A" w14:textId="77777777" w:rsidR="0010235B" w:rsidRPr="0010235B" w:rsidRDefault="0010235B" w:rsidP="008970FA">
            <w:pPr>
              <w:spacing w:before="60" w:line="240" w:lineRule="auto"/>
              <w:rPr>
                <w:rFonts w:cs="Arial"/>
                <w:b/>
                <w:color w:val="auto"/>
                <w:szCs w:val="18"/>
              </w:rPr>
            </w:pPr>
            <w:r>
              <w:rPr>
                <w:rFonts w:cs="Arial"/>
                <w:b/>
                <w:color w:val="auto"/>
                <w:szCs w:val="18"/>
              </w:rPr>
              <w:t>Papers retained from secondary searches</w:t>
            </w:r>
          </w:p>
        </w:tc>
        <w:tc>
          <w:tcPr>
            <w:tcW w:w="1134" w:type="dxa"/>
          </w:tcPr>
          <w:p w14:paraId="31071502" w14:textId="77777777" w:rsidR="0010235B" w:rsidRPr="008970FA" w:rsidRDefault="0010235B" w:rsidP="008970FA">
            <w:pPr>
              <w:spacing w:before="60" w:line="240" w:lineRule="auto"/>
              <w:rPr>
                <w:rFonts w:cs="Arial"/>
                <w:color w:val="auto"/>
                <w:szCs w:val="18"/>
              </w:rPr>
            </w:pPr>
          </w:p>
        </w:tc>
        <w:tc>
          <w:tcPr>
            <w:tcW w:w="1134" w:type="dxa"/>
          </w:tcPr>
          <w:p w14:paraId="77BDBCD9" w14:textId="77777777" w:rsidR="0010235B" w:rsidRPr="0010235B" w:rsidRDefault="0010235B" w:rsidP="008970FA">
            <w:pPr>
              <w:spacing w:before="60" w:line="240" w:lineRule="auto"/>
              <w:rPr>
                <w:rFonts w:cs="Arial"/>
                <w:b/>
                <w:color w:val="auto"/>
                <w:szCs w:val="18"/>
              </w:rPr>
            </w:pPr>
            <w:r>
              <w:rPr>
                <w:rFonts w:cs="Arial"/>
                <w:b/>
                <w:color w:val="auto"/>
                <w:szCs w:val="18"/>
              </w:rPr>
              <w:t>7</w:t>
            </w:r>
          </w:p>
        </w:tc>
      </w:tr>
    </w:tbl>
    <w:p w14:paraId="1706246F" w14:textId="77777777" w:rsidR="0010235B" w:rsidRPr="0010235B" w:rsidRDefault="0010235B" w:rsidP="005F7B38">
      <w:pPr>
        <w:spacing w:before="240"/>
        <w:rPr>
          <w:b/>
          <w:lang w:val="en-GB"/>
        </w:rPr>
      </w:pPr>
      <w:r>
        <w:rPr>
          <w:b/>
          <w:lang w:val="en-GB"/>
        </w:rPr>
        <w:t>Total number of papers retained from primary and secondary searches: 3 + 7 = 10</w:t>
      </w:r>
    </w:p>
    <w:p w14:paraId="61B07C4E" w14:textId="77777777" w:rsidR="0010235B" w:rsidRDefault="0010235B" w:rsidP="001123AA">
      <w:pPr>
        <w:rPr>
          <w:lang w:val="en-GB"/>
        </w:rPr>
      </w:pPr>
    </w:p>
    <w:p w14:paraId="4A9DAF33" w14:textId="77777777" w:rsidR="00FA0BB9" w:rsidRPr="00FA0BB9" w:rsidRDefault="00FA0BB9" w:rsidP="00AE59F9">
      <w:pPr>
        <w:spacing w:before="120"/>
        <w:rPr>
          <w:b/>
          <w:sz w:val="24"/>
          <w:szCs w:val="24"/>
          <w:lang w:val="en-GB"/>
        </w:rPr>
      </w:pPr>
      <w:r>
        <w:rPr>
          <w:lang w:val="en-GB"/>
        </w:rPr>
        <w:br w:type="column"/>
      </w:r>
      <w:r w:rsidRPr="00FA0BB9">
        <w:rPr>
          <w:b/>
          <w:sz w:val="24"/>
          <w:szCs w:val="24"/>
          <w:lang w:val="en-GB"/>
        </w:rPr>
        <w:t>Partridge</w:t>
      </w:r>
      <w:r w:rsidR="00B41749">
        <w:rPr>
          <w:b/>
          <w:sz w:val="24"/>
          <w:szCs w:val="24"/>
          <w:lang w:val="en-GB"/>
        </w:rPr>
        <w:t>s</w:t>
      </w:r>
    </w:p>
    <w:p w14:paraId="1E5722D4" w14:textId="77777777" w:rsidR="00FA0BB9" w:rsidRPr="00590F0B" w:rsidRDefault="00FA0BB9" w:rsidP="00590F0B">
      <w:pPr>
        <w:spacing w:before="240" w:after="240"/>
        <w:rPr>
          <w:b/>
          <w:lang w:val="en-GB"/>
        </w:rPr>
      </w:pPr>
      <w:r w:rsidRPr="00590F0B">
        <w:rPr>
          <w:b/>
          <w:lang w:val="en-GB"/>
        </w:rPr>
        <w:t>Primary Search</w:t>
      </w:r>
      <w:r w:rsidR="00A73FA0">
        <w:rPr>
          <w:b/>
          <w:lang w:val="en-GB"/>
        </w:rPr>
        <w:t>:</w:t>
      </w:r>
      <w:r w:rsidRPr="00590F0B">
        <w:rPr>
          <w:b/>
          <w:lang w:val="en-GB"/>
        </w:rPr>
        <w:t xml:space="preserve"> welfare AND partridge* OR welfare AND alectoils* OR welfare AND alectoris* OR welfare AND perdix*= 8</w:t>
      </w:r>
    </w:p>
    <w:tbl>
      <w:tblPr>
        <w:tblStyle w:val="TableGrid11"/>
        <w:tblW w:w="9977" w:type="dxa"/>
        <w:tblLook w:val="04A0" w:firstRow="1" w:lastRow="0" w:firstColumn="1" w:lastColumn="0" w:noHBand="0" w:noVBand="1"/>
        <w:tblCaption w:val="Papers excluded after primary literature search for partridge welfare"/>
        <w:tblDescription w:val="This table shows the number of papers excluded after the primary literature search for partridge welfare. The left hand column shows the primary reason for exclusion. The middle column shows the number of papers excluded. The right hand column gives an example of a paper excluded for each reason."/>
      </w:tblPr>
      <w:tblGrid>
        <w:gridCol w:w="3628"/>
        <w:gridCol w:w="1020"/>
        <w:gridCol w:w="5329"/>
      </w:tblGrid>
      <w:tr w:rsidR="00FA0BB9" w:rsidRPr="00286A88" w14:paraId="208A536B" w14:textId="77777777" w:rsidTr="00C72F87">
        <w:trPr>
          <w:tblHeader/>
        </w:trPr>
        <w:tc>
          <w:tcPr>
            <w:tcW w:w="3628" w:type="dxa"/>
            <w:shd w:val="clear" w:color="auto" w:fill="auto"/>
          </w:tcPr>
          <w:p w14:paraId="0FDFD6B1" w14:textId="77777777" w:rsidR="00FA0BB9" w:rsidRPr="00F67C8B" w:rsidRDefault="00FA0BB9" w:rsidP="009928C2">
            <w:pPr>
              <w:spacing w:before="60" w:line="240" w:lineRule="auto"/>
              <w:rPr>
                <w:rFonts w:cs="Arial"/>
                <w:b/>
                <w:color w:val="auto"/>
                <w:szCs w:val="18"/>
              </w:rPr>
            </w:pPr>
            <w:r w:rsidRPr="00F67C8B">
              <w:rPr>
                <w:rFonts w:cs="Arial"/>
                <w:b/>
                <w:color w:val="auto"/>
                <w:szCs w:val="18"/>
              </w:rPr>
              <w:t>Primary Reason for Exclusion</w:t>
            </w:r>
          </w:p>
        </w:tc>
        <w:tc>
          <w:tcPr>
            <w:tcW w:w="1020" w:type="dxa"/>
          </w:tcPr>
          <w:p w14:paraId="193BF635" w14:textId="77777777" w:rsidR="00FA0BB9" w:rsidRPr="00F67C8B" w:rsidRDefault="00FA0BB9" w:rsidP="009928C2">
            <w:pPr>
              <w:spacing w:before="60" w:line="240" w:lineRule="auto"/>
              <w:rPr>
                <w:rFonts w:cs="Arial"/>
                <w:color w:val="auto"/>
                <w:szCs w:val="18"/>
              </w:rPr>
            </w:pPr>
            <w:r w:rsidRPr="00F67C8B">
              <w:rPr>
                <w:rFonts w:cs="Arial"/>
                <w:color w:val="auto"/>
                <w:szCs w:val="18"/>
              </w:rPr>
              <w:t>Number Excluded</w:t>
            </w:r>
          </w:p>
        </w:tc>
        <w:tc>
          <w:tcPr>
            <w:tcW w:w="5329" w:type="dxa"/>
          </w:tcPr>
          <w:p w14:paraId="2C6101AF" w14:textId="77777777" w:rsidR="00FA0BB9" w:rsidRPr="00F67C8B" w:rsidRDefault="00FA0BB9" w:rsidP="009928C2">
            <w:pPr>
              <w:spacing w:before="60" w:line="240" w:lineRule="auto"/>
              <w:rPr>
                <w:rFonts w:cs="Arial"/>
                <w:color w:val="auto"/>
                <w:szCs w:val="18"/>
              </w:rPr>
            </w:pPr>
            <w:r w:rsidRPr="00F67C8B">
              <w:rPr>
                <w:rFonts w:cs="Arial"/>
                <w:i/>
                <w:color w:val="auto"/>
                <w:szCs w:val="18"/>
              </w:rPr>
              <w:t>Example</w:t>
            </w:r>
            <w:r w:rsidRPr="00F67C8B">
              <w:rPr>
                <w:rFonts w:cs="Arial"/>
                <w:color w:val="auto"/>
                <w:szCs w:val="18"/>
              </w:rPr>
              <w:t xml:space="preserve"> of Paper Excluded for Each Reason</w:t>
            </w:r>
          </w:p>
        </w:tc>
      </w:tr>
      <w:tr w:rsidR="00FA0BB9" w:rsidRPr="00286A88" w14:paraId="018B619A" w14:textId="77777777" w:rsidTr="005F7B38">
        <w:tc>
          <w:tcPr>
            <w:tcW w:w="3628" w:type="dxa"/>
          </w:tcPr>
          <w:p w14:paraId="75AEF63A" w14:textId="77777777" w:rsidR="00FA0BB9" w:rsidRPr="008C43DD" w:rsidRDefault="00FA0BB9" w:rsidP="008C43DD">
            <w:pPr>
              <w:spacing w:before="60"/>
            </w:pPr>
            <w:r w:rsidRPr="008C43DD">
              <w:t xml:space="preserve">Not Partridge </w:t>
            </w:r>
            <w:r w:rsidR="0010235B">
              <w:t>–</w:t>
            </w:r>
            <w:r w:rsidRPr="008C43DD">
              <w:t xml:space="preserve"> chickens</w:t>
            </w:r>
          </w:p>
        </w:tc>
        <w:tc>
          <w:tcPr>
            <w:tcW w:w="1020" w:type="dxa"/>
          </w:tcPr>
          <w:p w14:paraId="5428FE6A" w14:textId="77777777" w:rsidR="00FA0BB9" w:rsidRPr="008C43DD" w:rsidRDefault="00FA0BB9" w:rsidP="008C43DD">
            <w:pPr>
              <w:spacing w:before="60"/>
            </w:pPr>
            <w:r w:rsidRPr="008C43DD">
              <w:t>2</w:t>
            </w:r>
          </w:p>
        </w:tc>
        <w:tc>
          <w:tcPr>
            <w:tcW w:w="5329" w:type="dxa"/>
          </w:tcPr>
          <w:p w14:paraId="43B4FF5A" w14:textId="77777777" w:rsidR="00FA0BB9" w:rsidRPr="008102AF" w:rsidRDefault="00FA0BB9" w:rsidP="008102AF">
            <w:pPr>
              <w:pStyle w:val="NoSpacing"/>
              <w:spacing w:before="40" w:after="40"/>
              <w:contextualSpacing/>
              <w:rPr>
                <w:sz w:val="16"/>
                <w:szCs w:val="16"/>
              </w:rPr>
            </w:pPr>
            <w:r w:rsidRPr="008102AF">
              <w:rPr>
                <w:sz w:val="16"/>
                <w:szCs w:val="16"/>
              </w:rPr>
              <w:t xml:space="preserve">WELFARE LEVELS IN HERITAGE BREED VS. COMMERCIAL LAYING HENS IN THE LITTER SYSTEM  </w:t>
            </w:r>
          </w:p>
          <w:p w14:paraId="11B4E72E" w14:textId="77777777" w:rsidR="00FA0BB9" w:rsidRPr="008102AF" w:rsidRDefault="00FA0BB9" w:rsidP="008102AF">
            <w:pPr>
              <w:pStyle w:val="NoSpacing"/>
              <w:spacing w:before="40" w:after="40"/>
              <w:contextualSpacing/>
              <w:rPr>
                <w:sz w:val="16"/>
                <w:szCs w:val="16"/>
              </w:rPr>
            </w:pPr>
            <w:r w:rsidRPr="008102AF">
              <w:rPr>
                <w:sz w:val="16"/>
                <w:szCs w:val="16"/>
              </w:rPr>
              <w:t>Sosnowka-Czajka, Ewa; Herbut, Eugeniusz; Skomorucha, Iwona; et al.</w:t>
            </w:r>
          </w:p>
          <w:p w14:paraId="64158E20" w14:textId="77777777" w:rsidR="00FA0BB9" w:rsidRPr="008102AF" w:rsidRDefault="00FA0BB9" w:rsidP="008102AF">
            <w:pPr>
              <w:pStyle w:val="NoSpacing"/>
              <w:spacing w:before="40" w:after="40"/>
              <w:contextualSpacing/>
              <w:rPr>
                <w:sz w:val="16"/>
                <w:szCs w:val="16"/>
              </w:rPr>
            </w:pPr>
            <w:r w:rsidRPr="008102AF">
              <w:rPr>
                <w:sz w:val="16"/>
                <w:szCs w:val="16"/>
              </w:rPr>
              <w:t xml:space="preserve">ANNALS OF ANIMAL SCIENCE </w:t>
            </w:r>
          </w:p>
          <w:p w14:paraId="29FA473B" w14:textId="77777777" w:rsidR="00FA0BB9" w:rsidRPr="008102AF" w:rsidRDefault="00FA0BB9" w:rsidP="008102AF">
            <w:pPr>
              <w:pStyle w:val="NoSpacing"/>
              <w:spacing w:before="40" w:after="40"/>
              <w:contextualSpacing/>
              <w:rPr>
                <w:sz w:val="16"/>
                <w:szCs w:val="16"/>
              </w:rPr>
            </w:pPr>
            <w:r w:rsidRPr="008102AF">
              <w:rPr>
                <w:sz w:val="16"/>
                <w:szCs w:val="16"/>
              </w:rPr>
              <w:t>Volume:  11</w:t>
            </w:r>
            <w:r w:rsidR="002A1EAE" w:rsidRPr="008102AF">
              <w:rPr>
                <w:sz w:val="16"/>
                <w:szCs w:val="16"/>
              </w:rPr>
              <w:t xml:space="preserve"> </w:t>
            </w:r>
            <w:r w:rsidRPr="008102AF">
              <w:rPr>
                <w:sz w:val="16"/>
                <w:szCs w:val="16"/>
              </w:rPr>
              <w:t>Issue:  4</w:t>
            </w:r>
            <w:r w:rsidR="002A1EAE" w:rsidRPr="008102AF">
              <w:rPr>
                <w:sz w:val="16"/>
                <w:szCs w:val="16"/>
              </w:rPr>
              <w:t xml:space="preserve"> </w:t>
            </w:r>
            <w:r w:rsidRPr="008102AF">
              <w:rPr>
                <w:sz w:val="16"/>
                <w:szCs w:val="16"/>
              </w:rPr>
              <w:t>Pages:  585-595</w:t>
            </w:r>
            <w:r w:rsidR="002A1EAE" w:rsidRPr="008102AF">
              <w:rPr>
                <w:sz w:val="16"/>
                <w:szCs w:val="16"/>
              </w:rPr>
              <w:t xml:space="preserve"> </w:t>
            </w:r>
            <w:r w:rsidRPr="008102AF">
              <w:rPr>
                <w:sz w:val="16"/>
                <w:szCs w:val="16"/>
              </w:rPr>
              <w:t xml:space="preserve">Published:  2011) </w:t>
            </w:r>
          </w:p>
        </w:tc>
      </w:tr>
      <w:tr w:rsidR="00FA0BB9" w:rsidRPr="00286A88" w14:paraId="730F37FA" w14:textId="77777777" w:rsidTr="005F7B38">
        <w:tc>
          <w:tcPr>
            <w:tcW w:w="3628" w:type="dxa"/>
          </w:tcPr>
          <w:p w14:paraId="5B2C0924" w14:textId="77777777" w:rsidR="00FA0BB9" w:rsidRPr="008C43DD" w:rsidRDefault="00FA0BB9" w:rsidP="008C43DD">
            <w:pPr>
              <w:spacing w:before="60"/>
            </w:pPr>
            <w:r w:rsidRPr="008C43DD">
              <w:t xml:space="preserve">Paper on Fundamental stressphysiology </w:t>
            </w:r>
          </w:p>
        </w:tc>
        <w:tc>
          <w:tcPr>
            <w:tcW w:w="1020" w:type="dxa"/>
          </w:tcPr>
          <w:p w14:paraId="43678CC3" w14:textId="77777777" w:rsidR="00FA0BB9" w:rsidRPr="008C43DD" w:rsidRDefault="00FA0BB9" w:rsidP="008C43DD">
            <w:pPr>
              <w:spacing w:before="60"/>
            </w:pPr>
            <w:r w:rsidRPr="008C43DD">
              <w:t>1</w:t>
            </w:r>
          </w:p>
        </w:tc>
        <w:tc>
          <w:tcPr>
            <w:tcW w:w="5329" w:type="dxa"/>
          </w:tcPr>
          <w:p w14:paraId="768FDC3E" w14:textId="77777777" w:rsidR="00FA0BB9" w:rsidRPr="008102AF" w:rsidRDefault="00FA0BB9" w:rsidP="008102AF">
            <w:pPr>
              <w:pStyle w:val="NoSpacing"/>
              <w:spacing w:before="40" w:after="40"/>
              <w:contextualSpacing/>
              <w:rPr>
                <w:sz w:val="16"/>
                <w:szCs w:val="16"/>
              </w:rPr>
            </w:pPr>
            <w:r w:rsidRPr="008102AF">
              <w:rPr>
                <w:sz w:val="16"/>
                <w:szCs w:val="16"/>
              </w:rPr>
              <w:t xml:space="preserve">Corticosterone in feathers is a long-term, integrated measure of avian stress physiology  </w:t>
            </w:r>
          </w:p>
          <w:p w14:paraId="08013AB3" w14:textId="77777777" w:rsidR="00FA0BB9" w:rsidRPr="008102AF" w:rsidRDefault="00FA0BB9" w:rsidP="008102AF">
            <w:pPr>
              <w:pStyle w:val="NoSpacing"/>
              <w:spacing w:before="40" w:after="40"/>
              <w:contextualSpacing/>
              <w:rPr>
                <w:sz w:val="16"/>
                <w:szCs w:val="16"/>
              </w:rPr>
            </w:pPr>
            <w:r w:rsidRPr="008102AF">
              <w:rPr>
                <w:sz w:val="16"/>
                <w:szCs w:val="16"/>
              </w:rPr>
              <w:t>Bortolotti, G. R.; Marchant, T. A.; Blas, J.; et al.</w:t>
            </w:r>
          </w:p>
          <w:p w14:paraId="3235A864" w14:textId="77777777" w:rsidR="00FA0BB9" w:rsidRPr="008102AF" w:rsidRDefault="00FA0BB9" w:rsidP="008102AF">
            <w:pPr>
              <w:pStyle w:val="NoSpacing"/>
              <w:spacing w:before="40" w:after="40"/>
              <w:contextualSpacing/>
              <w:rPr>
                <w:sz w:val="16"/>
                <w:szCs w:val="16"/>
              </w:rPr>
            </w:pPr>
            <w:r w:rsidRPr="008102AF">
              <w:rPr>
                <w:sz w:val="16"/>
                <w:szCs w:val="16"/>
              </w:rPr>
              <w:t xml:space="preserve">FUNCTIONAL ECOLOGY </w:t>
            </w:r>
          </w:p>
          <w:p w14:paraId="4F89C31E" w14:textId="77777777" w:rsidR="00FA0BB9" w:rsidRPr="008102AF" w:rsidRDefault="00FA0BB9" w:rsidP="008102AF">
            <w:pPr>
              <w:pStyle w:val="NoSpacing"/>
              <w:spacing w:before="40" w:after="40"/>
              <w:contextualSpacing/>
              <w:rPr>
                <w:sz w:val="16"/>
                <w:szCs w:val="16"/>
              </w:rPr>
            </w:pPr>
            <w:r w:rsidRPr="008102AF">
              <w:rPr>
                <w:sz w:val="16"/>
                <w:szCs w:val="16"/>
              </w:rPr>
              <w:t>Volume:  22</w:t>
            </w:r>
            <w:r w:rsidR="002A1EAE" w:rsidRPr="008102AF">
              <w:rPr>
                <w:sz w:val="16"/>
                <w:szCs w:val="16"/>
              </w:rPr>
              <w:t xml:space="preserve"> </w:t>
            </w:r>
            <w:r w:rsidRPr="008102AF">
              <w:rPr>
                <w:sz w:val="16"/>
                <w:szCs w:val="16"/>
              </w:rPr>
              <w:t>Issue:  3</w:t>
            </w:r>
            <w:r w:rsidR="002A1EAE" w:rsidRPr="008102AF">
              <w:rPr>
                <w:sz w:val="16"/>
                <w:szCs w:val="16"/>
              </w:rPr>
              <w:t xml:space="preserve"> </w:t>
            </w:r>
            <w:r w:rsidRPr="008102AF">
              <w:rPr>
                <w:sz w:val="16"/>
                <w:szCs w:val="16"/>
              </w:rPr>
              <w:t>Pages:  494-500</w:t>
            </w:r>
            <w:r w:rsidR="002A1EAE" w:rsidRPr="008102AF">
              <w:rPr>
                <w:sz w:val="16"/>
                <w:szCs w:val="16"/>
              </w:rPr>
              <w:t xml:space="preserve"> </w:t>
            </w:r>
            <w:r w:rsidRPr="008102AF">
              <w:rPr>
                <w:sz w:val="16"/>
                <w:szCs w:val="16"/>
              </w:rPr>
              <w:t>Published:  JUN 2008)</w:t>
            </w:r>
          </w:p>
        </w:tc>
      </w:tr>
      <w:tr w:rsidR="00FA0BB9" w:rsidRPr="00286A88" w14:paraId="132BDD97" w14:textId="77777777" w:rsidTr="005F7B38">
        <w:tc>
          <w:tcPr>
            <w:tcW w:w="3628" w:type="dxa"/>
          </w:tcPr>
          <w:p w14:paraId="29E3691C" w14:textId="77777777" w:rsidR="00FA0BB9" w:rsidRPr="00F67C8B" w:rsidRDefault="00FA0BB9" w:rsidP="00770A44">
            <w:pPr>
              <w:spacing w:before="60" w:line="240" w:lineRule="auto"/>
              <w:rPr>
                <w:rFonts w:cs="Arial"/>
                <w:b/>
                <w:color w:val="auto"/>
                <w:szCs w:val="18"/>
              </w:rPr>
            </w:pPr>
            <w:r w:rsidRPr="00F67C8B">
              <w:rPr>
                <w:rFonts w:cs="Arial"/>
                <w:b/>
                <w:color w:val="auto"/>
                <w:szCs w:val="18"/>
              </w:rPr>
              <w:t xml:space="preserve">Papers </w:t>
            </w:r>
            <w:r w:rsidR="00770A44">
              <w:rPr>
                <w:rFonts w:cs="Arial"/>
                <w:b/>
                <w:color w:val="auto"/>
                <w:szCs w:val="18"/>
              </w:rPr>
              <w:t>excluded from primary search</w:t>
            </w:r>
          </w:p>
        </w:tc>
        <w:tc>
          <w:tcPr>
            <w:tcW w:w="1020" w:type="dxa"/>
          </w:tcPr>
          <w:p w14:paraId="1444113F" w14:textId="77777777" w:rsidR="00FA0BB9" w:rsidRPr="00F67C8B" w:rsidRDefault="00770A44" w:rsidP="002B2473">
            <w:pPr>
              <w:spacing w:before="60" w:line="240" w:lineRule="auto"/>
              <w:rPr>
                <w:rFonts w:cs="Arial"/>
                <w:b/>
                <w:color w:val="auto"/>
                <w:szCs w:val="18"/>
              </w:rPr>
            </w:pPr>
            <w:r>
              <w:rPr>
                <w:rFonts w:cs="Arial"/>
                <w:b/>
                <w:color w:val="auto"/>
                <w:szCs w:val="18"/>
              </w:rPr>
              <w:t>3</w:t>
            </w:r>
          </w:p>
        </w:tc>
        <w:tc>
          <w:tcPr>
            <w:tcW w:w="5329" w:type="dxa"/>
          </w:tcPr>
          <w:p w14:paraId="12564899" w14:textId="77777777" w:rsidR="00FA0BB9" w:rsidRPr="00F67C8B" w:rsidRDefault="00FA0BB9" w:rsidP="00770A44">
            <w:pPr>
              <w:spacing w:before="60" w:line="240" w:lineRule="auto"/>
              <w:rPr>
                <w:rFonts w:cs="Arial"/>
                <w:b/>
                <w:color w:val="auto"/>
                <w:szCs w:val="18"/>
              </w:rPr>
            </w:pPr>
            <w:r w:rsidRPr="00F67C8B">
              <w:rPr>
                <w:rFonts w:cs="Arial"/>
                <w:b/>
                <w:color w:val="auto"/>
                <w:szCs w:val="18"/>
              </w:rPr>
              <w:t xml:space="preserve">Papers </w:t>
            </w:r>
            <w:r w:rsidR="00770A44">
              <w:rPr>
                <w:rFonts w:cs="Arial"/>
                <w:b/>
                <w:color w:val="auto"/>
                <w:szCs w:val="18"/>
              </w:rPr>
              <w:t>retained from primary search: 8 – 3 = 5</w:t>
            </w:r>
          </w:p>
        </w:tc>
      </w:tr>
    </w:tbl>
    <w:p w14:paraId="14E0B2B0" w14:textId="77777777" w:rsidR="00FA0BB9" w:rsidRPr="00590F0B" w:rsidRDefault="00FA0BB9" w:rsidP="00590F0B">
      <w:pPr>
        <w:spacing w:before="240" w:after="240"/>
        <w:rPr>
          <w:b/>
          <w:i/>
          <w:lang w:val="en-GB"/>
        </w:rPr>
      </w:pPr>
      <w:r w:rsidRPr="00590F0B">
        <w:rPr>
          <w:b/>
          <w:i/>
          <w:lang w:val="en-GB"/>
        </w:rPr>
        <w:t>Partridge Secondary Searches</w:t>
      </w:r>
    </w:p>
    <w:tbl>
      <w:tblPr>
        <w:tblStyle w:val="TableGrid11"/>
        <w:tblW w:w="9950" w:type="dxa"/>
        <w:tblLook w:val="04A0" w:firstRow="1" w:lastRow="0" w:firstColumn="1" w:lastColumn="0" w:noHBand="0" w:noVBand="1"/>
        <w:tblCaption w:val="Results of secondary literature searches for partridges"/>
        <w:tblDescription w:val="This table shows the results of secondary literature searches for partridges. The left hand column shows the search terms used in the secondary searches. The middle column shows the number of papers returned from each of these searches. The third column shows the additional papers retained from these searches."/>
      </w:tblPr>
      <w:tblGrid>
        <w:gridCol w:w="7682"/>
        <w:gridCol w:w="1134"/>
        <w:gridCol w:w="1134"/>
      </w:tblGrid>
      <w:tr w:rsidR="00FA0BB9" w:rsidRPr="00286A88" w14:paraId="3931B842" w14:textId="77777777" w:rsidTr="00C72F87">
        <w:trPr>
          <w:tblHeader/>
        </w:trPr>
        <w:tc>
          <w:tcPr>
            <w:tcW w:w="7682" w:type="dxa"/>
            <w:shd w:val="clear" w:color="auto" w:fill="auto"/>
          </w:tcPr>
          <w:p w14:paraId="0B33D2B2" w14:textId="77777777" w:rsidR="00FA0BB9" w:rsidRPr="008970FA" w:rsidRDefault="00FA0BB9" w:rsidP="008970FA">
            <w:pPr>
              <w:spacing w:before="60" w:line="240" w:lineRule="auto"/>
              <w:rPr>
                <w:rFonts w:cs="Arial"/>
                <w:b/>
                <w:i/>
                <w:color w:val="auto"/>
                <w:szCs w:val="18"/>
              </w:rPr>
            </w:pPr>
            <w:r w:rsidRPr="008970FA">
              <w:rPr>
                <w:rFonts w:cs="Arial"/>
                <w:b/>
                <w:color w:val="auto"/>
                <w:szCs w:val="18"/>
              </w:rPr>
              <w:t>Search terms for synonyms of species or welfare</w:t>
            </w:r>
          </w:p>
        </w:tc>
        <w:tc>
          <w:tcPr>
            <w:tcW w:w="1134" w:type="dxa"/>
          </w:tcPr>
          <w:p w14:paraId="5E26B873" w14:textId="77777777" w:rsidR="00FA0BB9" w:rsidRPr="00B41749" w:rsidRDefault="00FA0BB9" w:rsidP="008970FA">
            <w:pPr>
              <w:spacing w:before="60" w:line="240" w:lineRule="auto"/>
              <w:rPr>
                <w:rFonts w:cs="Arial"/>
                <w:i/>
                <w:color w:val="auto"/>
                <w:szCs w:val="18"/>
              </w:rPr>
            </w:pPr>
            <w:r w:rsidRPr="00B41749">
              <w:rPr>
                <w:rFonts w:cs="Arial"/>
                <w:color w:val="auto"/>
                <w:szCs w:val="18"/>
              </w:rPr>
              <w:t>Hits</w:t>
            </w:r>
          </w:p>
        </w:tc>
        <w:tc>
          <w:tcPr>
            <w:tcW w:w="1134" w:type="dxa"/>
          </w:tcPr>
          <w:p w14:paraId="0E7F000D" w14:textId="77777777" w:rsidR="00FA0BB9" w:rsidRPr="00B41749" w:rsidRDefault="00A772EA" w:rsidP="008970FA">
            <w:pPr>
              <w:spacing w:before="60" w:line="240" w:lineRule="auto"/>
              <w:rPr>
                <w:rFonts w:cs="Arial"/>
                <w:i/>
                <w:color w:val="auto"/>
                <w:szCs w:val="18"/>
              </w:rPr>
            </w:pPr>
            <w:r w:rsidRPr="00B41749">
              <w:rPr>
                <w:rFonts w:cs="Arial"/>
                <w:color w:val="auto"/>
                <w:szCs w:val="18"/>
              </w:rPr>
              <w:t>Additional P</w:t>
            </w:r>
            <w:r w:rsidR="00FA0BB9" w:rsidRPr="00B41749">
              <w:rPr>
                <w:rFonts w:cs="Arial"/>
                <w:color w:val="auto"/>
                <w:szCs w:val="18"/>
              </w:rPr>
              <w:t>apers</w:t>
            </w:r>
            <w:r w:rsidR="00354982">
              <w:rPr>
                <w:rFonts w:cs="Arial"/>
                <w:color w:val="auto"/>
                <w:szCs w:val="18"/>
              </w:rPr>
              <w:t xml:space="preserve"> Included</w:t>
            </w:r>
          </w:p>
        </w:tc>
      </w:tr>
      <w:tr w:rsidR="00FA0BB9" w:rsidRPr="00286A88" w14:paraId="31064344" w14:textId="77777777" w:rsidTr="00354982">
        <w:tc>
          <w:tcPr>
            <w:tcW w:w="7682" w:type="dxa"/>
          </w:tcPr>
          <w:p w14:paraId="43768508" w14:textId="77777777" w:rsidR="00FA0BB9" w:rsidRPr="00B41749" w:rsidRDefault="007E6FE0" w:rsidP="007E6FE0">
            <w:pPr>
              <w:spacing w:before="60" w:line="240" w:lineRule="auto"/>
              <w:rPr>
                <w:rFonts w:cs="Arial"/>
                <w:i/>
                <w:color w:val="auto"/>
                <w:szCs w:val="18"/>
              </w:rPr>
            </w:pPr>
            <w:r>
              <w:rPr>
                <w:rFonts w:cs="Arial"/>
                <w:color w:val="333333"/>
                <w:szCs w:val="18"/>
              </w:rPr>
              <w:t>b</w:t>
            </w:r>
            <w:r w:rsidR="00FA0BB9" w:rsidRPr="00B41749">
              <w:rPr>
                <w:rFonts w:cs="Arial"/>
                <w:color w:val="333333"/>
                <w:szCs w:val="18"/>
              </w:rPr>
              <w:t xml:space="preserve">ehav* AND partridge* OR </w:t>
            </w:r>
            <w:r>
              <w:rPr>
                <w:rFonts w:cs="Arial"/>
                <w:color w:val="333333"/>
                <w:szCs w:val="18"/>
              </w:rPr>
              <w:t>b</w:t>
            </w:r>
            <w:r w:rsidR="00FA0BB9" w:rsidRPr="00B41749">
              <w:rPr>
                <w:rFonts w:cs="Arial"/>
                <w:color w:val="333333"/>
                <w:szCs w:val="18"/>
              </w:rPr>
              <w:t xml:space="preserve">ehav* AND alectoils* OR </w:t>
            </w:r>
            <w:r>
              <w:rPr>
                <w:rFonts w:cs="Arial"/>
                <w:color w:val="333333"/>
                <w:szCs w:val="18"/>
              </w:rPr>
              <w:t>b</w:t>
            </w:r>
            <w:r w:rsidR="00FA0BB9" w:rsidRPr="00B41749">
              <w:rPr>
                <w:rFonts w:cs="Arial"/>
                <w:color w:val="333333"/>
                <w:szCs w:val="18"/>
              </w:rPr>
              <w:t xml:space="preserve">ehav* AND alectoris* OR </w:t>
            </w:r>
            <w:r>
              <w:rPr>
                <w:rFonts w:cs="Arial"/>
                <w:color w:val="333333"/>
                <w:szCs w:val="18"/>
              </w:rPr>
              <w:t>b</w:t>
            </w:r>
            <w:r w:rsidR="00FA0BB9" w:rsidRPr="00B41749">
              <w:rPr>
                <w:rFonts w:cs="Arial"/>
                <w:color w:val="333333"/>
                <w:szCs w:val="18"/>
              </w:rPr>
              <w:t>ehav* AND perdix*)</w:t>
            </w:r>
          </w:p>
        </w:tc>
        <w:tc>
          <w:tcPr>
            <w:tcW w:w="1134" w:type="dxa"/>
          </w:tcPr>
          <w:p w14:paraId="34DA6191" w14:textId="77777777" w:rsidR="00FA0BB9" w:rsidRPr="00B41749" w:rsidRDefault="00FA0BB9" w:rsidP="008970FA">
            <w:pPr>
              <w:spacing w:before="60" w:line="240" w:lineRule="auto"/>
              <w:rPr>
                <w:rFonts w:cs="Arial"/>
                <w:i/>
                <w:color w:val="auto"/>
                <w:szCs w:val="18"/>
              </w:rPr>
            </w:pPr>
            <w:r w:rsidRPr="00B41749">
              <w:rPr>
                <w:rFonts w:cs="Arial"/>
                <w:color w:val="auto"/>
                <w:szCs w:val="18"/>
              </w:rPr>
              <w:t>145</w:t>
            </w:r>
          </w:p>
        </w:tc>
        <w:tc>
          <w:tcPr>
            <w:tcW w:w="1134" w:type="dxa"/>
          </w:tcPr>
          <w:p w14:paraId="38DDD377" w14:textId="77777777" w:rsidR="00FA0BB9" w:rsidRPr="00B41749" w:rsidRDefault="00FA0BB9" w:rsidP="008970FA">
            <w:pPr>
              <w:spacing w:before="60" w:line="240" w:lineRule="auto"/>
              <w:rPr>
                <w:rFonts w:cs="Arial"/>
                <w:i/>
                <w:color w:val="auto"/>
                <w:szCs w:val="18"/>
              </w:rPr>
            </w:pPr>
            <w:r w:rsidRPr="00B41749">
              <w:rPr>
                <w:rFonts w:cs="Arial"/>
                <w:color w:val="auto"/>
                <w:szCs w:val="18"/>
              </w:rPr>
              <w:t xml:space="preserve">7 </w:t>
            </w:r>
          </w:p>
        </w:tc>
      </w:tr>
      <w:tr w:rsidR="00FA0BB9" w:rsidRPr="00286A88" w14:paraId="2EAEA7DA" w14:textId="77777777" w:rsidTr="00354982">
        <w:tc>
          <w:tcPr>
            <w:tcW w:w="7682" w:type="dxa"/>
          </w:tcPr>
          <w:p w14:paraId="584F42AC" w14:textId="77777777" w:rsidR="00FA0BB9" w:rsidRPr="00B41749" w:rsidRDefault="00FA0BB9" w:rsidP="008970FA">
            <w:pPr>
              <w:spacing w:before="60" w:line="240" w:lineRule="auto"/>
              <w:rPr>
                <w:rFonts w:cs="Arial"/>
                <w:i/>
                <w:color w:val="auto"/>
                <w:szCs w:val="18"/>
              </w:rPr>
            </w:pPr>
            <w:r w:rsidRPr="00B41749">
              <w:rPr>
                <w:rFonts w:cs="Arial"/>
                <w:color w:val="auto"/>
                <w:szCs w:val="18"/>
              </w:rPr>
              <w:t>wellbeing AND partridge* OR wellbeing AND alectoils* OR wellbeing AND alectoris* OR wellbeing AND perdix*</w:t>
            </w:r>
          </w:p>
        </w:tc>
        <w:tc>
          <w:tcPr>
            <w:tcW w:w="1134" w:type="dxa"/>
          </w:tcPr>
          <w:p w14:paraId="73BD9873" w14:textId="77777777" w:rsidR="00FA0BB9" w:rsidRPr="00B41749" w:rsidRDefault="00FA0BB9" w:rsidP="008970FA">
            <w:pPr>
              <w:spacing w:before="60" w:line="240" w:lineRule="auto"/>
              <w:rPr>
                <w:rFonts w:cs="Arial"/>
                <w:i/>
                <w:color w:val="auto"/>
                <w:szCs w:val="18"/>
              </w:rPr>
            </w:pPr>
            <w:r w:rsidRPr="00B41749">
              <w:rPr>
                <w:rFonts w:cs="Arial"/>
                <w:color w:val="auto"/>
                <w:szCs w:val="18"/>
              </w:rPr>
              <w:t>0</w:t>
            </w:r>
          </w:p>
        </w:tc>
        <w:tc>
          <w:tcPr>
            <w:tcW w:w="1134" w:type="dxa"/>
          </w:tcPr>
          <w:p w14:paraId="4B8E570F" w14:textId="77777777" w:rsidR="00FA0BB9" w:rsidRPr="00B41749" w:rsidRDefault="00FA0BB9" w:rsidP="008970FA">
            <w:pPr>
              <w:spacing w:before="60" w:line="240" w:lineRule="auto"/>
              <w:rPr>
                <w:rFonts w:cs="Arial"/>
                <w:i/>
                <w:color w:val="auto"/>
                <w:szCs w:val="18"/>
              </w:rPr>
            </w:pPr>
            <w:r w:rsidRPr="00B41749">
              <w:rPr>
                <w:rFonts w:cs="Arial"/>
                <w:color w:val="auto"/>
                <w:szCs w:val="18"/>
              </w:rPr>
              <w:t>0</w:t>
            </w:r>
          </w:p>
        </w:tc>
      </w:tr>
      <w:tr w:rsidR="00FA0BB9" w:rsidRPr="00286A88" w14:paraId="59767DCE" w14:textId="77777777" w:rsidTr="00354982">
        <w:tc>
          <w:tcPr>
            <w:tcW w:w="7682" w:type="dxa"/>
          </w:tcPr>
          <w:p w14:paraId="7D6A2205" w14:textId="77777777" w:rsidR="00FA0BB9" w:rsidRPr="00B41749" w:rsidRDefault="00FA0BB9" w:rsidP="008970FA">
            <w:pPr>
              <w:spacing w:before="60" w:line="240" w:lineRule="auto"/>
              <w:rPr>
                <w:rFonts w:cs="Arial"/>
                <w:i/>
                <w:color w:val="auto"/>
                <w:szCs w:val="18"/>
              </w:rPr>
            </w:pPr>
            <w:r w:rsidRPr="00B41749">
              <w:rPr>
                <w:rFonts w:cs="Arial"/>
                <w:color w:val="333333"/>
                <w:szCs w:val="18"/>
              </w:rPr>
              <w:t>well-being AND partridge* OR well-being AND alectoils* OR well-being AND alectoris* OR well-being AND perdix*)</w:t>
            </w:r>
          </w:p>
        </w:tc>
        <w:tc>
          <w:tcPr>
            <w:tcW w:w="1134" w:type="dxa"/>
          </w:tcPr>
          <w:p w14:paraId="6BA8131F" w14:textId="77777777" w:rsidR="00FA0BB9" w:rsidRPr="00B41749" w:rsidRDefault="00FA0BB9" w:rsidP="008970FA">
            <w:pPr>
              <w:spacing w:before="60" w:line="240" w:lineRule="auto"/>
              <w:rPr>
                <w:rFonts w:cs="Arial"/>
                <w:i/>
                <w:color w:val="auto"/>
                <w:szCs w:val="18"/>
              </w:rPr>
            </w:pPr>
            <w:r w:rsidRPr="00B41749">
              <w:rPr>
                <w:rFonts w:cs="Arial"/>
                <w:color w:val="auto"/>
                <w:szCs w:val="18"/>
              </w:rPr>
              <w:t>1</w:t>
            </w:r>
          </w:p>
        </w:tc>
        <w:tc>
          <w:tcPr>
            <w:tcW w:w="1134" w:type="dxa"/>
          </w:tcPr>
          <w:p w14:paraId="29F28F76" w14:textId="77777777" w:rsidR="00FA0BB9" w:rsidRPr="00B41749" w:rsidRDefault="00FA0BB9" w:rsidP="008970FA">
            <w:pPr>
              <w:spacing w:before="60" w:line="240" w:lineRule="auto"/>
              <w:rPr>
                <w:rFonts w:cs="Arial"/>
                <w:i/>
                <w:color w:val="auto"/>
                <w:szCs w:val="18"/>
              </w:rPr>
            </w:pPr>
            <w:r w:rsidRPr="00B41749">
              <w:rPr>
                <w:rFonts w:cs="Arial"/>
                <w:color w:val="auto"/>
                <w:szCs w:val="18"/>
              </w:rPr>
              <w:t>0</w:t>
            </w:r>
          </w:p>
        </w:tc>
      </w:tr>
      <w:tr w:rsidR="00FA0BB9" w:rsidRPr="00286A88" w14:paraId="588CAECC" w14:textId="77777777" w:rsidTr="00354982">
        <w:tc>
          <w:tcPr>
            <w:tcW w:w="7682" w:type="dxa"/>
          </w:tcPr>
          <w:p w14:paraId="31C51CCE" w14:textId="77777777" w:rsidR="00FA0BB9" w:rsidRPr="008970FA" w:rsidRDefault="00FA0BB9" w:rsidP="008970FA">
            <w:pPr>
              <w:spacing w:before="60" w:line="240" w:lineRule="auto"/>
              <w:rPr>
                <w:rFonts w:cs="Arial"/>
                <w:color w:val="333333"/>
                <w:szCs w:val="18"/>
              </w:rPr>
            </w:pPr>
            <w:r w:rsidRPr="008970FA">
              <w:rPr>
                <w:rFonts w:cs="Arial"/>
                <w:color w:val="333333"/>
                <w:szCs w:val="18"/>
              </w:rPr>
              <w:t>health AND partridge* OR health AND alectoils* OR health AND alectoris* OR health AND perdix*</w:t>
            </w:r>
          </w:p>
        </w:tc>
        <w:tc>
          <w:tcPr>
            <w:tcW w:w="1134" w:type="dxa"/>
          </w:tcPr>
          <w:p w14:paraId="71EEE3EC" w14:textId="77777777" w:rsidR="00FA0BB9" w:rsidRPr="008970FA" w:rsidRDefault="00FA0BB9" w:rsidP="008970FA">
            <w:pPr>
              <w:spacing w:before="60" w:line="240" w:lineRule="auto"/>
              <w:rPr>
                <w:rFonts w:cs="Arial"/>
                <w:color w:val="auto"/>
                <w:szCs w:val="18"/>
              </w:rPr>
            </w:pPr>
            <w:r w:rsidRPr="008970FA">
              <w:rPr>
                <w:rFonts w:cs="Arial"/>
                <w:color w:val="auto"/>
                <w:szCs w:val="18"/>
              </w:rPr>
              <w:t>36</w:t>
            </w:r>
          </w:p>
        </w:tc>
        <w:tc>
          <w:tcPr>
            <w:tcW w:w="1134" w:type="dxa"/>
          </w:tcPr>
          <w:p w14:paraId="74AAD3CF" w14:textId="77777777" w:rsidR="00FA0BB9" w:rsidRPr="008970FA" w:rsidRDefault="00FA0BB9" w:rsidP="008970FA">
            <w:pPr>
              <w:spacing w:before="60" w:line="240" w:lineRule="auto"/>
              <w:rPr>
                <w:rFonts w:cs="Arial"/>
                <w:color w:val="auto"/>
                <w:szCs w:val="18"/>
              </w:rPr>
            </w:pPr>
            <w:r w:rsidRPr="008970FA">
              <w:rPr>
                <w:rFonts w:cs="Arial"/>
                <w:color w:val="auto"/>
                <w:szCs w:val="18"/>
              </w:rPr>
              <w:t>1</w:t>
            </w:r>
          </w:p>
        </w:tc>
      </w:tr>
      <w:tr w:rsidR="00FA0BB9" w:rsidRPr="00286A88" w14:paraId="4451BBCC" w14:textId="77777777" w:rsidTr="00354982">
        <w:tc>
          <w:tcPr>
            <w:tcW w:w="7682" w:type="dxa"/>
          </w:tcPr>
          <w:p w14:paraId="281AB907" w14:textId="77777777" w:rsidR="00FA0BB9" w:rsidRPr="008970FA" w:rsidRDefault="00FA0BB9" w:rsidP="008970FA">
            <w:pPr>
              <w:spacing w:before="60" w:line="240" w:lineRule="auto"/>
              <w:rPr>
                <w:rFonts w:cs="Arial"/>
                <w:color w:val="333333"/>
                <w:szCs w:val="18"/>
              </w:rPr>
            </w:pPr>
            <w:r w:rsidRPr="008970FA">
              <w:rPr>
                <w:rFonts w:cs="Arial"/>
                <w:color w:val="333333"/>
                <w:szCs w:val="18"/>
              </w:rPr>
              <w:t>stess AND partridge* OR stress AND alectoils* OR stress AND alectoris* OR stress AND perdix*</w:t>
            </w:r>
          </w:p>
        </w:tc>
        <w:tc>
          <w:tcPr>
            <w:tcW w:w="1134" w:type="dxa"/>
          </w:tcPr>
          <w:p w14:paraId="2439111E" w14:textId="77777777" w:rsidR="00FA0BB9" w:rsidRPr="008970FA" w:rsidRDefault="00FA0BB9" w:rsidP="008970FA">
            <w:pPr>
              <w:spacing w:before="60" w:line="240" w:lineRule="auto"/>
              <w:rPr>
                <w:rFonts w:cs="Arial"/>
                <w:color w:val="auto"/>
                <w:szCs w:val="18"/>
              </w:rPr>
            </w:pPr>
            <w:r w:rsidRPr="008970FA">
              <w:rPr>
                <w:rFonts w:cs="Arial"/>
                <w:color w:val="auto"/>
                <w:szCs w:val="18"/>
              </w:rPr>
              <w:t>88</w:t>
            </w:r>
          </w:p>
        </w:tc>
        <w:tc>
          <w:tcPr>
            <w:tcW w:w="1134" w:type="dxa"/>
          </w:tcPr>
          <w:p w14:paraId="3C5281FE" w14:textId="77777777" w:rsidR="00FA0BB9" w:rsidRPr="008970FA" w:rsidRDefault="00FA0BB9" w:rsidP="008970FA">
            <w:pPr>
              <w:spacing w:before="60" w:line="240" w:lineRule="auto"/>
              <w:rPr>
                <w:rFonts w:cs="Arial"/>
                <w:color w:val="auto"/>
                <w:szCs w:val="18"/>
              </w:rPr>
            </w:pPr>
            <w:r w:rsidRPr="008970FA">
              <w:rPr>
                <w:rFonts w:cs="Arial"/>
                <w:color w:val="auto"/>
                <w:szCs w:val="18"/>
              </w:rPr>
              <w:t>2</w:t>
            </w:r>
          </w:p>
        </w:tc>
      </w:tr>
      <w:tr w:rsidR="00FA0BB9" w:rsidRPr="00286A88" w14:paraId="0F757FBC" w14:textId="77777777" w:rsidTr="00354982">
        <w:tc>
          <w:tcPr>
            <w:tcW w:w="7682" w:type="dxa"/>
          </w:tcPr>
          <w:p w14:paraId="0E9E68BD" w14:textId="77777777" w:rsidR="00FA0BB9" w:rsidRPr="008970FA" w:rsidRDefault="00FA0BB9" w:rsidP="008970FA">
            <w:pPr>
              <w:spacing w:before="60" w:line="240" w:lineRule="auto"/>
              <w:rPr>
                <w:rFonts w:cs="Arial"/>
                <w:color w:val="333333"/>
                <w:szCs w:val="18"/>
              </w:rPr>
            </w:pPr>
            <w:r w:rsidRPr="008970FA">
              <w:rPr>
                <w:rFonts w:cs="Arial"/>
                <w:color w:val="333333"/>
                <w:szCs w:val="18"/>
              </w:rPr>
              <w:t>fear AND partridge* OR fear AND alectoils* OR fear AND alectoris* OR fear AND perdix*</w:t>
            </w:r>
          </w:p>
        </w:tc>
        <w:tc>
          <w:tcPr>
            <w:tcW w:w="1134" w:type="dxa"/>
          </w:tcPr>
          <w:p w14:paraId="6E24D627" w14:textId="77777777" w:rsidR="00FA0BB9" w:rsidRPr="008970FA" w:rsidRDefault="00FA0BB9" w:rsidP="008970FA">
            <w:pPr>
              <w:spacing w:before="60" w:line="240" w:lineRule="auto"/>
              <w:rPr>
                <w:rFonts w:cs="Arial"/>
                <w:color w:val="auto"/>
                <w:szCs w:val="18"/>
              </w:rPr>
            </w:pPr>
            <w:r w:rsidRPr="008970FA">
              <w:rPr>
                <w:rFonts w:cs="Arial"/>
                <w:color w:val="auto"/>
                <w:szCs w:val="18"/>
              </w:rPr>
              <w:t>8</w:t>
            </w:r>
          </w:p>
        </w:tc>
        <w:tc>
          <w:tcPr>
            <w:tcW w:w="1134" w:type="dxa"/>
          </w:tcPr>
          <w:p w14:paraId="1638788D"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r>
      <w:tr w:rsidR="00FA0BB9" w:rsidRPr="00286A88" w14:paraId="4963C18F" w14:textId="77777777" w:rsidTr="00354982">
        <w:tc>
          <w:tcPr>
            <w:tcW w:w="7682" w:type="dxa"/>
          </w:tcPr>
          <w:p w14:paraId="29B1FFDA" w14:textId="77777777" w:rsidR="00FA0BB9" w:rsidRPr="008970FA" w:rsidRDefault="00FA0BB9" w:rsidP="008970FA">
            <w:pPr>
              <w:spacing w:before="60" w:line="240" w:lineRule="auto"/>
              <w:rPr>
                <w:rFonts w:cs="Arial"/>
                <w:color w:val="333333"/>
                <w:szCs w:val="18"/>
              </w:rPr>
            </w:pPr>
            <w:r w:rsidRPr="008970FA">
              <w:rPr>
                <w:rFonts w:cs="Arial"/>
                <w:color w:val="333333"/>
                <w:szCs w:val="18"/>
              </w:rPr>
              <w:t>injur* AND partridge* OR injur* AND alectoils* OR injur* AND alectoris* OR injur* AND perdix*</w:t>
            </w:r>
          </w:p>
        </w:tc>
        <w:tc>
          <w:tcPr>
            <w:tcW w:w="1134" w:type="dxa"/>
          </w:tcPr>
          <w:p w14:paraId="2CB11CA6" w14:textId="77777777" w:rsidR="00FA0BB9" w:rsidRPr="008970FA" w:rsidRDefault="00FA0BB9" w:rsidP="008970FA">
            <w:pPr>
              <w:spacing w:before="60" w:line="240" w:lineRule="auto"/>
              <w:rPr>
                <w:rFonts w:cs="Arial"/>
                <w:color w:val="auto"/>
                <w:szCs w:val="18"/>
              </w:rPr>
            </w:pPr>
            <w:r w:rsidRPr="008970FA">
              <w:rPr>
                <w:rFonts w:cs="Arial"/>
                <w:color w:val="auto"/>
                <w:szCs w:val="18"/>
              </w:rPr>
              <w:t>8</w:t>
            </w:r>
          </w:p>
        </w:tc>
        <w:tc>
          <w:tcPr>
            <w:tcW w:w="1134" w:type="dxa"/>
          </w:tcPr>
          <w:p w14:paraId="21A4C69A"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r>
      <w:tr w:rsidR="00FA0BB9" w:rsidRPr="00286A88" w14:paraId="5E0229A5" w14:textId="77777777" w:rsidTr="00354982">
        <w:tc>
          <w:tcPr>
            <w:tcW w:w="7682" w:type="dxa"/>
          </w:tcPr>
          <w:p w14:paraId="13056CF5" w14:textId="77777777" w:rsidR="00FA0BB9" w:rsidRPr="008970FA" w:rsidRDefault="00FA0BB9" w:rsidP="008970FA">
            <w:pPr>
              <w:spacing w:before="60" w:line="240" w:lineRule="auto"/>
              <w:rPr>
                <w:rFonts w:cs="Arial"/>
                <w:color w:val="333333"/>
                <w:szCs w:val="18"/>
              </w:rPr>
            </w:pPr>
            <w:r w:rsidRPr="008970FA">
              <w:rPr>
                <w:rFonts w:cs="Arial"/>
                <w:color w:val="333333"/>
                <w:szCs w:val="18"/>
              </w:rPr>
              <w:t>cull* AND partridge* OR cull* AND alectoils* OR cull* AND alectoris* OR cull* AND perdix*</w:t>
            </w:r>
          </w:p>
        </w:tc>
        <w:tc>
          <w:tcPr>
            <w:tcW w:w="1134" w:type="dxa"/>
          </w:tcPr>
          <w:p w14:paraId="5231BCF5" w14:textId="77777777" w:rsidR="00FA0BB9" w:rsidRPr="008970FA" w:rsidRDefault="00FA0BB9" w:rsidP="008970FA">
            <w:pPr>
              <w:spacing w:before="60" w:line="240" w:lineRule="auto"/>
              <w:rPr>
                <w:rFonts w:cs="Arial"/>
                <w:color w:val="auto"/>
                <w:szCs w:val="18"/>
              </w:rPr>
            </w:pPr>
            <w:r w:rsidRPr="008970FA">
              <w:rPr>
                <w:rFonts w:cs="Arial"/>
                <w:color w:val="auto"/>
                <w:szCs w:val="18"/>
              </w:rPr>
              <w:t>6</w:t>
            </w:r>
          </w:p>
        </w:tc>
        <w:tc>
          <w:tcPr>
            <w:tcW w:w="1134" w:type="dxa"/>
          </w:tcPr>
          <w:p w14:paraId="592AE78E"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r>
      <w:tr w:rsidR="00FA0BB9" w:rsidRPr="00286A88" w14:paraId="48286898" w14:textId="77777777" w:rsidTr="00354982">
        <w:tc>
          <w:tcPr>
            <w:tcW w:w="7682" w:type="dxa"/>
          </w:tcPr>
          <w:p w14:paraId="140490D6" w14:textId="77777777" w:rsidR="00FA0BB9" w:rsidRPr="008970FA" w:rsidRDefault="00FA0BB9" w:rsidP="008970FA">
            <w:pPr>
              <w:spacing w:before="60" w:line="240" w:lineRule="auto"/>
              <w:rPr>
                <w:rFonts w:cs="Arial"/>
                <w:color w:val="333333"/>
                <w:szCs w:val="18"/>
              </w:rPr>
            </w:pPr>
            <w:r w:rsidRPr="008970FA">
              <w:rPr>
                <w:rFonts w:cs="Arial"/>
                <w:color w:val="333333"/>
                <w:szCs w:val="18"/>
              </w:rPr>
              <w:t>mortali* AND partridge* OR mortali* AND alectoils* OR mortali* AND alectoris* OR mortali* AND perdix*</w:t>
            </w:r>
          </w:p>
        </w:tc>
        <w:tc>
          <w:tcPr>
            <w:tcW w:w="1134" w:type="dxa"/>
          </w:tcPr>
          <w:p w14:paraId="0E3518D1" w14:textId="77777777" w:rsidR="00FA0BB9" w:rsidRPr="008970FA" w:rsidRDefault="00FA0BB9" w:rsidP="008970FA">
            <w:pPr>
              <w:spacing w:before="60" w:line="240" w:lineRule="auto"/>
              <w:rPr>
                <w:rFonts w:cs="Arial"/>
                <w:color w:val="auto"/>
                <w:szCs w:val="18"/>
              </w:rPr>
            </w:pPr>
            <w:r w:rsidRPr="008970FA">
              <w:rPr>
                <w:rFonts w:cs="Arial"/>
                <w:color w:val="auto"/>
                <w:szCs w:val="18"/>
              </w:rPr>
              <w:t>109</w:t>
            </w:r>
          </w:p>
        </w:tc>
        <w:tc>
          <w:tcPr>
            <w:tcW w:w="1134" w:type="dxa"/>
          </w:tcPr>
          <w:p w14:paraId="2605D0CF" w14:textId="77777777" w:rsidR="00FA0BB9" w:rsidRPr="008970FA" w:rsidRDefault="00FA0BB9" w:rsidP="008970FA">
            <w:pPr>
              <w:spacing w:before="60" w:line="240" w:lineRule="auto"/>
              <w:rPr>
                <w:rFonts w:cs="Arial"/>
                <w:color w:val="auto"/>
                <w:szCs w:val="18"/>
              </w:rPr>
            </w:pPr>
            <w:r w:rsidRPr="008970FA">
              <w:rPr>
                <w:rFonts w:cs="Arial"/>
                <w:color w:val="auto"/>
                <w:szCs w:val="18"/>
              </w:rPr>
              <w:t>3</w:t>
            </w:r>
          </w:p>
        </w:tc>
      </w:tr>
      <w:tr w:rsidR="00FA0BB9" w:rsidRPr="00286A88" w14:paraId="6A3BA220" w14:textId="77777777" w:rsidTr="00354982">
        <w:tc>
          <w:tcPr>
            <w:tcW w:w="7682" w:type="dxa"/>
          </w:tcPr>
          <w:p w14:paraId="51416F6D" w14:textId="77777777" w:rsidR="00FA0BB9" w:rsidRPr="008970FA" w:rsidRDefault="00FA0BB9" w:rsidP="008970FA">
            <w:pPr>
              <w:spacing w:before="60" w:line="240" w:lineRule="auto"/>
              <w:rPr>
                <w:rFonts w:cs="Arial"/>
                <w:color w:val="333333"/>
                <w:szCs w:val="18"/>
              </w:rPr>
            </w:pPr>
            <w:r w:rsidRPr="008970FA">
              <w:rPr>
                <w:rFonts w:cs="Arial"/>
                <w:color w:val="333333"/>
                <w:szCs w:val="18"/>
              </w:rPr>
              <w:t>density* AND partridge* OR density* AND alectoils* OR density* AND alectoris* OR density* AND perdix*)</w:t>
            </w:r>
          </w:p>
        </w:tc>
        <w:tc>
          <w:tcPr>
            <w:tcW w:w="1134" w:type="dxa"/>
          </w:tcPr>
          <w:p w14:paraId="565C8B21" w14:textId="77777777" w:rsidR="00FA0BB9" w:rsidRPr="008970FA" w:rsidRDefault="00FA0BB9" w:rsidP="008970FA">
            <w:pPr>
              <w:spacing w:before="60" w:line="240" w:lineRule="auto"/>
              <w:rPr>
                <w:rFonts w:cs="Arial"/>
                <w:color w:val="auto"/>
                <w:szCs w:val="18"/>
              </w:rPr>
            </w:pPr>
            <w:r w:rsidRPr="008970FA">
              <w:rPr>
                <w:rFonts w:cs="Arial"/>
                <w:color w:val="auto"/>
                <w:szCs w:val="18"/>
              </w:rPr>
              <w:t>118</w:t>
            </w:r>
          </w:p>
        </w:tc>
        <w:tc>
          <w:tcPr>
            <w:tcW w:w="1134" w:type="dxa"/>
          </w:tcPr>
          <w:p w14:paraId="3752455C"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r>
      <w:tr w:rsidR="00FA0BB9" w:rsidRPr="00286A88" w14:paraId="0E6DD71A" w14:textId="77777777" w:rsidTr="00354982">
        <w:tc>
          <w:tcPr>
            <w:tcW w:w="7682" w:type="dxa"/>
          </w:tcPr>
          <w:p w14:paraId="0CC79F50" w14:textId="77777777" w:rsidR="00FA0BB9" w:rsidRPr="008970FA" w:rsidRDefault="00FA0BB9" w:rsidP="008970FA">
            <w:pPr>
              <w:spacing w:before="60" w:line="240" w:lineRule="auto"/>
              <w:rPr>
                <w:rFonts w:cs="Arial"/>
                <w:color w:val="333333"/>
                <w:szCs w:val="18"/>
              </w:rPr>
            </w:pPr>
            <w:r w:rsidRPr="008970FA">
              <w:rPr>
                <w:rFonts w:cs="Arial"/>
                <w:color w:val="333333"/>
                <w:szCs w:val="18"/>
              </w:rPr>
              <w:t>space* AND partridge* OR space* AND alectoils* OR space* AND alectoris* OR space* AND perdix*</w:t>
            </w:r>
          </w:p>
        </w:tc>
        <w:tc>
          <w:tcPr>
            <w:tcW w:w="1134" w:type="dxa"/>
          </w:tcPr>
          <w:p w14:paraId="613772F0" w14:textId="77777777" w:rsidR="00FA0BB9" w:rsidRPr="008970FA" w:rsidRDefault="00FA0BB9" w:rsidP="008970FA">
            <w:pPr>
              <w:spacing w:before="60" w:line="240" w:lineRule="auto"/>
              <w:rPr>
                <w:rFonts w:cs="Arial"/>
                <w:color w:val="auto"/>
                <w:szCs w:val="18"/>
              </w:rPr>
            </w:pPr>
            <w:r w:rsidRPr="008970FA">
              <w:rPr>
                <w:rFonts w:cs="Arial"/>
                <w:color w:val="auto"/>
                <w:szCs w:val="18"/>
              </w:rPr>
              <w:t>15</w:t>
            </w:r>
          </w:p>
        </w:tc>
        <w:tc>
          <w:tcPr>
            <w:tcW w:w="1134" w:type="dxa"/>
          </w:tcPr>
          <w:p w14:paraId="274147D7" w14:textId="77777777" w:rsidR="00FA0BB9" w:rsidRPr="008970FA" w:rsidRDefault="00FA0BB9" w:rsidP="008970FA">
            <w:pPr>
              <w:spacing w:before="60" w:line="240" w:lineRule="auto"/>
              <w:rPr>
                <w:rFonts w:cs="Arial"/>
                <w:color w:val="auto"/>
                <w:szCs w:val="18"/>
              </w:rPr>
            </w:pPr>
            <w:r w:rsidRPr="008970FA">
              <w:rPr>
                <w:rFonts w:cs="Arial"/>
                <w:color w:val="auto"/>
                <w:szCs w:val="18"/>
              </w:rPr>
              <w:t>1</w:t>
            </w:r>
          </w:p>
        </w:tc>
      </w:tr>
      <w:tr w:rsidR="00FA0BB9" w:rsidRPr="00286A88" w14:paraId="5E296F7C" w14:textId="77777777" w:rsidTr="00354982">
        <w:tc>
          <w:tcPr>
            <w:tcW w:w="7682" w:type="dxa"/>
          </w:tcPr>
          <w:p w14:paraId="26E1CBAD" w14:textId="77777777" w:rsidR="00FA0BB9" w:rsidRPr="008970FA" w:rsidRDefault="00FA0BB9" w:rsidP="008970FA">
            <w:pPr>
              <w:spacing w:before="60" w:line="240" w:lineRule="auto"/>
              <w:rPr>
                <w:rFonts w:cs="Arial"/>
                <w:color w:val="333333"/>
                <w:szCs w:val="18"/>
              </w:rPr>
            </w:pPr>
            <w:r w:rsidRPr="008970FA">
              <w:rPr>
                <w:rFonts w:cs="Arial"/>
                <w:color w:val="333333"/>
                <w:szCs w:val="18"/>
              </w:rPr>
              <w:t>litter* AND partridge* OR litter* AND alectoils* OR litter* AND alectoris* OR litter* AND perdix</w:t>
            </w:r>
          </w:p>
        </w:tc>
        <w:tc>
          <w:tcPr>
            <w:tcW w:w="1134" w:type="dxa"/>
          </w:tcPr>
          <w:p w14:paraId="3F4F6D69" w14:textId="77777777" w:rsidR="00FA0BB9" w:rsidRPr="008970FA" w:rsidRDefault="00FA0BB9" w:rsidP="008970FA">
            <w:pPr>
              <w:spacing w:before="60" w:line="240" w:lineRule="auto"/>
              <w:rPr>
                <w:rFonts w:cs="Arial"/>
                <w:color w:val="auto"/>
                <w:szCs w:val="18"/>
              </w:rPr>
            </w:pPr>
            <w:r w:rsidRPr="008970FA">
              <w:rPr>
                <w:rFonts w:cs="Arial"/>
                <w:color w:val="auto"/>
                <w:szCs w:val="18"/>
              </w:rPr>
              <w:t>11</w:t>
            </w:r>
          </w:p>
        </w:tc>
        <w:tc>
          <w:tcPr>
            <w:tcW w:w="1134" w:type="dxa"/>
          </w:tcPr>
          <w:p w14:paraId="65252C82" w14:textId="77777777" w:rsidR="00FA0BB9" w:rsidRPr="008970FA" w:rsidRDefault="00FA0BB9" w:rsidP="008970FA">
            <w:pPr>
              <w:spacing w:before="60" w:line="240" w:lineRule="auto"/>
              <w:rPr>
                <w:rFonts w:cs="Arial"/>
                <w:color w:val="auto"/>
                <w:szCs w:val="18"/>
              </w:rPr>
            </w:pPr>
            <w:r w:rsidRPr="008970FA">
              <w:rPr>
                <w:rFonts w:cs="Arial"/>
                <w:color w:val="auto"/>
                <w:szCs w:val="18"/>
              </w:rPr>
              <w:t>1</w:t>
            </w:r>
          </w:p>
        </w:tc>
      </w:tr>
      <w:tr w:rsidR="00FA0BB9" w:rsidRPr="00286A88" w14:paraId="6565C455" w14:textId="77777777" w:rsidTr="00354982">
        <w:tc>
          <w:tcPr>
            <w:tcW w:w="7682" w:type="dxa"/>
          </w:tcPr>
          <w:p w14:paraId="76A6D657" w14:textId="77777777" w:rsidR="00FA0BB9" w:rsidRPr="008970FA" w:rsidRDefault="00FA0BB9" w:rsidP="008970FA">
            <w:pPr>
              <w:spacing w:before="60" w:line="240" w:lineRule="auto"/>
              <w:rPr>
                <w:rFonts w:cs="Arial"/>
                <w:color w:val="333333"/>
                <w:szCs w:val="18"/>
              </w:rPr>
            </w:pPr>
            <w:r w:rsidRPr="008970FA">
              <w:rPr>
                <w:rFonts w:cs="Arial"/>
                <w:color w:val="333333"/>
                <w:szCs w:val="18"/>
              </w:rPr>
              <w:t>perch* AND partridge* OR perch* AND alectoils* OR perch* AND alectoris* OR perch* AND perdix*</w:t>
            </w:r>
          </w:p>
        </w:tc>
        <w:tc>
          <w:tcPr>
            <w:tcW w:w="1134" w:type="dxa"/>
          </w:tcPr>
          <w:p w14:paraId="7979AFD4" w14:textId="77777777" w:rsidR="00FA0BB9" w:rsidRPr="008970FA" w:rsidRDefault="00FA0BB9" w:rsidP="008970FA">
            <w:pPr>
              <w:spacing w:before="60" w:line="240" w:lineRule="auto"/>
              <w:rPr>
                <w:rFonts w:cs="Arial"/>
                <w:color w:val="auto"/>
                <w:szCs w:val="18"/>
              </w:rPr>
            </w:pPr>
            <w:r w:rsidRPr="008970FA">
              <w:rPr>
                <w:rFonts w:cs="Arial"/>
                <w:color w:val="auto"/>
                <w:szCs w:val="18"/>
              </w:rPr>
              <w:t>5</w:t>
            </w:r>
          </w:p>
        </w:tc>
        <w:tc>
          <w:tcPr>
            <w:tcW w:w="1134" w:type="dxa"/>
          </w:tcPr>
          <w:p w14:paraId="4C5B4B54"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r>
      <w:tr w:rsidR="00FA0BB9" w:rsidRPr="00286A88" w14:paraId="32B1A450" w14:textId="77777777" w:rsidTr="00354982">
        <w:tc>
          <w:tcPr>
            <w:tcW w:w="7682" w:type="dxa"/>
          </w:tcPr>
          <w:p w14:paraId="0C29E386" w14:textId="77777777" w:rsidR="00FA0BB9" w:rsidRPr="008970FA" w:rsidRDefault="00FA0BB9" w:rsidP="008970FA">
            <w:pPr>
              <w:spacing w:before="60" w:line="240" w:lineRule="auto"/>
              <w:rPr>
                <w:rFonts w:cs="Arial"/>
                <w:color w:val="333333"/>
                <w:szCs w:val="18"/>
              </w:rPr>
            </w:pPr>
            <w:r w:rsidRPr="008970FA">
              <w:rPr>
                <w:rFonts w:cs="Arial"/>
                <w:color w:val="333333"/>
                <w:szCs w:val="18"/>
              </w:rPr>
              <w:t>nest* AND partridge* OR nest* AND alectoils* OR nest* AND alectoris* OR nest* AND perdix*</w:t>
            </w:r>
          </w:p>
        </w:tc>
        <w:tc>
          <w:tcPr>
            <w:tcW w:w="1134" w:type="dxa"/>
          </w:tcPr>
          <w:p w14:paraId="3E0A3BB6" w14:textId="77777777" w:rsidR="00FA0BB9" w:rsidRPr="008970FA" w:rsidRDefault="00FA0BB9" w:rsidP="008970FA">
            <w:pPr>
              <w:spacing w:before="60" w:line="240" w:lineRule="auto"/>
              <w:rPr>
                <w:rFonts w:cs="Arial"/>
                <w:color w:val="auto"/>
                <w:szCs w:val="18"/>
              </w:rPr>
            </w:pPr>
            <w:r w:rsidRPr="008970FA">
              <w:rPr>
                <w:rFonts w:cs="Arial"/>
                <w:color w:val="auto"/>
                <w:szCs w:val="18"/>
              </w:rPr>
              <w:t>98</w:t>
            </w:r>
          </w:p>
        </w:tc>
        <w:tc>
          <w:tcPr>
            <w:tcW w:w="1134" w:type="dxa"/>
          </w:tcPr>
          <w:p w14:paraId="29A17927"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r>
      <w:tr w:rsidR="00FA0BB9" w:rsidRPr="00286A88" w14:paraId="20312C0D" w14:textId="77777777" w:rsidTr="00354982">
        <w:tc>
          <w:tcPr>
            <w:tcW w:w="7682" w:type="dxa"/>
          </w:tcPr>
          <w:p w14:paraId="63F94E0D" w14:textId="77777777" w:rsidR="00FA0BB9" w:rsidRPr="008970FA" w:rsidRDefault="00FA0BB9" w:rsidP="008970FA">
            <w:pPr>
              <w:spacing w:before="60" w:line="240" w:lineRule="auto"/>
              <w:rPr>
                <w:rFonts w:cs="Arial"/>
                <w:color w:val="333333"/>
                <w:szCs w:val="18"/>
              </w:rPr>
            </w:pPr>
            <w:r w:rsidRPr="008970FA">
              <w:rPr>
                <w:rFonts w:cs="Arial"/>
                <w:color w:val="333333"/>
                <w:szCs w:val="18"/>
              </w:rPr>
              <w:t>enrich* AND partridge* OR enrich* AND alectoils* OR enrich* AND alectoris* OR enrich* AND perdix*)</w:t>
            </w:r>
          </w:p>
        </w:tc>
        <w:tc>
          <w:tcPr>
            <w:tcW w:w="1134" w:type="dxa"/>
          </w:tcPr>
          <w:p w14:paraId="6E344361" w14:textId="77777777" w:rsidR="00FA0BB9" w:rsidRPr="008970FA" w:rsidRDefault="00FA0BB9" w:rsidP="008970FA">
            <w:pPr>
              <w:spacing w:before="60" w:line="240" w:lineRule="auto"/>
              <w:rPr>
                <w:rFonts w:cs="Arial"/>
                <w:color w:val="auto"/>
                <w:szCs w:val="18"/>
              </w:rPr>
            </w:pPr>
            <w:r w:rsidRPr="008970FA">
              <w:rPr>
                <w:rFonts w:cs="Arial"/>
                <w:color w:val="auto"/>
                <w:szCs w:val="18"/>
              </w:rPr>
              <w:t>18</w:t>
            </w:r>
          </w:p>
        </w:tc>
        <w:tc>
          <w:tcPr>
            <w:tcW w:w="1134" w:type="dxa"/>
          </w:tcPr>
          <w:p w14:paraId="6609C756"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r>
      <w:tr w:rsidR="00FA0BB9" w:rsidRPr="00286A88" w14:paraId="15502BF7" w14:textId="77777777" w:rsidTr="00354982">
        <w:tc>
          <w:tcPr>
            <w:tcW w:w="7682" w:type="dxa"/>
          </w:tcPr>
          <w:p w14:paraId="1973A13A" w14:textId="77777777" w:rsidR="00FA0BB9" w:rsidRPr="008970FA" w:rsidRDefault="00FA0BB9" w:rsidP="008970FA">
            <w:pPr>
              <w:spacing w:before="60" w:line="240" w:lineRule="auto"/>
              <w:rPr>
                <w:rFonts w:cs="Arial"/>
                <w:color w:val="333333"/>
                <w:szCs w:val="18"/>
              </w:rPr>
            </w:pPr>
            <w:r w:rsidRPr="008970FA">
              <w:rPr>
                <w:rFonts w:cs="Arial"/>
                <w:color w:val="333333"/>
                <w:szCs w:val="18"/>
              </w:rPr>
              <w:t>dust-bath* AND partridge* OR dust-bath* AND alectoils* OR dust-bath* AND alectoris* OR dust-bath* AND perdix*</w:t>
            </w:r>
          </w:p>
        </w:tc>
        <w:tc>
          <w:tcPr>
            <w:tcW w:w="1134" w:type="dxa"/>
          </w:tcPr>
          <w:p w14:paraId="03FCF1E2"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c>
          <w:tcPr>
            <w:tcW w:w="1134" w:type="dxa"/>
          </w:tcPr>
          <w:p w14:paraId="19D82D57"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r>
      <w:tr w:rsidR="00FA0BB9" w:rsidRPr="00286A88" w14:paraId="142E7098" w14:textId="77777777" w:rsidTr="00354982">
        <w:tc>
          <w:tcPr>
            <w:tcW w:w="7682" w:type="dxa"/>
          </w:tcPr>
          <w:p w14:paraId="3FB34F8A" w14:textId="77777777" w:rsidR="00FA0BB9" w:rsidRPr="008970FA" w:rsidRDefault="00FA0BB9" w:rsidP="008970FA">
            <w:pPr>
              <w:spacing w:before="60" w:line="240" w:lineRule="auto"/>
              <w:rPr>
                <w:rFonts w:cs="Arial"/>
                <w:color w:val="333333"/>
                <w:szCs w:val="18"/>
              </w:rPr>
            </w:pPr>
            <w:r w:rsidRPr="008970FA">
              <w:rPr>
                <w:rFonts w:cs="Arial"/>
                <w:color w:val="333333"/>
                <w:szCs w:val="18"/>
              </w:rPr>
              <w:t>dustbath* AND partridge* OR dustbath* AND alectoils* OR dustbath* AND alectoris* OR dustbath* AND perdix*)</w:t>
            </w:r>
          </w:p>
        </w:tc>
        <w:tc>
          <w:tcPr>
            <w:tcW w:w="1134" w:type="dxa"/>
          </w:tcPr>
          <w:p w14:paraId="5CFF2C6F" w14:textId="77777777" w:rsidR="00FA0BB9" w:rsidRPr="008970FA" w:rsidRDefault="00FA0BB9" w:rsidP="008970FA">
            <w:pPr>
              <w:spacing w:before="60" w:line="240" w:lineRule="auto"/>
              <w:rPr>
                <w:rFonts w:cs="Arial"/>
                <w:color w:val="auto"/>
                <w:szCs w:val="18"/>
              </w:rPr>
            </w:pPr>
            <w:r w:rsidRPr="008970FA">
              <w:rPr>
                <w:rFonts w:cs="Arial"/>
                <w:color w:val="auto"/>
                <w:szCs w:val="18"/>
              </w:rPr>
              <w:t>2</w:t>
            </w:r>
          </w:p>
        </w:tc>
        <w:tc>
          <w:tcPr>
            <w:tcW w:w="1134" w:type="dxa"/>
          </w:tcPr>
          <w:p w14:paraId="44588D38"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r>
      <w:tr w:rsidR="00FA0BB9" w:rsidRPr="00286A88" w14:paraId="6A4D7C98" w14:textId="77777777" w:rsidTr="00354982">
        <w:tc>
          <w:tcPr>
            <w:tcW w:w="7682" w:type="dxa"/>
          </w:tcPr>
          <w:p w14:paraId="54A22320" w14:textId="77777777" w:rsidR="00FA0BB9" w:rsidRPr="008970FA" w:rsidRDefault="00FA0BB9" w:rsidP="008970FA">
            <w:pPr>
              <w:spacing w:before="60" w:line="240" w:lineRule="auto"/>
              <w:rPr>
                <w:rFonts w:cs="Arial"/>
                <w:color w:val="333333"/>
                <w:szCs w:val="18"/>
              </w:rPr>
            </w:pPr>
            <w:r w:rsidRPr="008970FA">
              <w:rPr>
                <w:rFonts w:cs="Arial"/>
                <w:color w:val="333333"/>
                <w:szCs w:val="18"/>
              </w:rPr>
              <w:t>peck* AND partridge* OR peck* AND alectoils* OR peck* AND alectoris* OR peck* AND perdix*</w:t>
            </w:r>
          </w:p>
        </w:tc>
        <w:tc>
          <w:tcPr>
            <w:tcW w:w="1134" w:type="dxa"/>
          </w:tcPr>
          <w:p w14:paraId="6B2A6D65" w14:textId="77777777" w:rsidR="00FA0BB9" w:rsidRPr="008970FA" w:rsidRDefault="00FA0BB9" w:rsidP="008970FA">
            <w:pPr>
              <w:spacing w:before="60" w:line="240" w:lineRule="auto"/>
              <w:rPr>
                <w:rFonts w:cs="Arial"/>
                <w:color w:val="auto"/>
                <w:szCs w:val="18"/>
              </w:rPr>
            </w:pPr>
            <w:r w:rsidRPr="008970FA">
              <w:rPr>
                <w:rFonts w:cs="Arial"/>
                <w:color w:val="auto"/>
                <w:szCs w:val="18"/>
              </w:rPr>
              <w:t>7</w:t>
            </w:r>
          </w:p>
        </w:tc>
        <w:tc>
          <w:tcPr>
            <w:tcW w:w="1134" w:type="dxa"/>
          </w:tcPr>
          <w:p w14:paraId="55B3B5AC" w14:textId="77777777" w:rsidR="00FA0BB9" w:rsidRPr="008970FA" w:rsidRDefault="00FA0BB9" w:rsidP="008970FA">
            <w:pPr>
              <w:spacing w:before="60" w:line="240" w:lineRule="auto"/>
              <w:rPr>
                <w:rFonts w:cs="Arial"/>
                <w:color w:val="auto"/>
                <w:szCs w:val="18"/>
              </w:rPr>
            </w:pPr>
            <w:r w:rsidRPr="008970FA">
              <w:rPr>
                <w:rFonts w:cs="Arial"/>
                <w:color w:val="auto"/>
                <w:szCs w:val="18"/>
              </w:rPr>
              <w:t>2</w:t>
            </w:r>
          </w:p>
        </w:tc>
      </w:tr>
      <w:tr w:rsidR="00FA0BB9" w:rsidRPr="00286A88" w14:paraId="143B62C7" w14:textId="77777777" w:rsidTr="00354982">
        <w:tc>
          <w:tcPr>
            <w:tcW w:w="7682" w:type="dxa"/>
          </w:tcPr>
          <w:p w14:paraId="39B1CFC0" w14:textId="77777777" w:rsidR="00FA0BB9" w:rsidRPr="008970FA" w:rsidRDefault="00FA0BB9" w:rsidP="008970FA">
            <w:pPr>
              <w:spacing w:before="60" w:line="240" w:lineRule="auto"/>
              <w:rPr>
                <w:rFonts w:cs="Arial"/>
                <w:color w:val="333333"/>
                <w:szCs w:val="18"/>
              </w:rPr>
            </w:pPr>
            <w:r w:rsidRPr="008970FA">
              <w:rPr>
                <w:rFonts w:cs="Arial"/>
                <w:color w:val="333333"/>
                <w:szCs w:val="18"/>
              </w:rPr>
              <w:t>beak* AND partridge* OR beak* AND alectoils* OR beak* AND alectoris* OR beak* AND perdix*</w:t>
            </w:r>
          </w:p>
        </w:tc>
        <w:tc>
          <w:tcPr>
            <w:tcW w:w="1134" w:type="dxa"/>
          </w:tcPr>
          <w:p w14:paraId="757BCE3E" w14:textId="77777777" w:rsidR="00FA0BB9" w:rsidRPr="008970FA" w:rsidRDefault="00FA0BB9" w:rsidP="008970FA">
            <w:pPr>
              <w:spacing w:before="60" w:line="240" w:lineRule="auto"/>
              <w:rPr>
                <w:rFonts w:cs="Arial"/>
                <w:color w:val="auto"/>
                <w:szCs w:val="18"/>
              </w:rPr>
            </w:pPr>
            <w:r w:rsidRPr="008970FA">
              <w:rPr>
                <w:rFonts w:cs="Arial"/>
                <w:color w:val="auto"/>
                <w:szCs w:val="18"/>
              </w:rPr>
              <w:t>9</w:t>
            </w:r>
          </w:p>
        </w:tc>
        <w:tc>
          <w:tcPr>
            <w:tcW w:w="1134" w:type="dxa"/>
          </w:tcPr>
          <w:p w14:paraId="29A40408" w14:textId="77777777" w:rsidR="00FA0BB9" w:rsidRPr="008970FA" w:rsidRDefault="00FA0BB9" w:rsidP="008970FA">
            <w:pPr>
              <w:spacing w:before="60" w:line="240" w:lineRule="auto"/>
              <w:rPr>
                <w:rFonts w:cs="Arial"/>
                <w:color w:val="auto"/>
                <w:szCs w:val="18"/>
              </w:rPr>
            </w:pPr>
            <w:r w:rsidRPr="008970FA">
              <w:rPr>
                <w:rFonts w:cs="Arial"/>
                <w:color w:val="auto"/>
                <w:szCs w:val="18"/>
              </w:rPr>
              <w:t>1</w:t>
            </w:r>
          </w:p>
        </w:tc>
      </w:tr>
      <w:tr w:rsidR="00FA0BB9" w:rsidRPr="00286A88" w14:paraId="19C4C009" w14:textId="77777777" w:rsidTr="00354982">
        <w:tc>
          <w:tcPr>
            <w:tcW w:w="7682" w:type="dxa"/>
          </w:tcPr>
          <w:p w14:paraId="454924CA" w14:textId="77777777" w:rsidR="00FA0BB9" w:rsidRPr="008970FA" w:rsidRDefault="00FA0BB9" w:rsidP="008970FA">
            <w:pPr>
              <w:spacing w:before="60" w:line="240" w:lineRule="auto"/>
              <w:rPr>
                <w:rFonts w:cs="Arial"/>
                <w:color w:val="333333"/>
                <w:szCs w:val="18"/>
              </w:rPr>
            </w:pPr>
            <w:r w:rsidRPr="008970FA">
              <w:rPr>
                <w:rFonts w:cs="Arial"/>
                <w:color w:val="333333"/>
                <w:szCs w:val="18"/>
              </w:rPr>
              <w:t>diet* AND partridge* OR diet* AND alectoils* OR diet* AND alectoris* OR diet* AND perdix*</w:t>
            </w:r>
          </w:p>
        </w:tc>
        <w:tc>
          <w:tcPr>
            <w:tcW w:w="1134" w:type="dxa"/>
          </w:tcPr>
          <w:p w14:paraId="22153193" w14:textId="77777777" w:rsidR="00FA0BB9" w:rsidRPr="008970FA" w:rsidRDefault="00FA0BB9" w:rsidP="008970FA">
            <w:pPr>
              <w:spacing w:before="60" w:line="240" w:lineRule="auto"/>
              <w:rPr>
                <w:rFonts w:cs="Arial"/>
                <w:color w:val="auto"/>
                <w:szCs w:val="18"/>
              </w:rPr>
            </w:pPr>
            <w:r w:rsidRPr="008970FA">
              <w:rPr>
                <w:rFonts w:cs="Arial"/>
                <w:color w:val="auto"/>
                <w:szCs w:val="18"/>
              </w:rPr>
              <w:t>117</w:t>
            </w:r>
          </w:p>
        </w:tc>
        <w:tc>
          <w:tcPr>
            <w:tcW w:w="1134" w:type="dxa"/>
          </w:tcPr>
          <w:p w14:paraId="221BA63A" w14:textId="77777777" w:rsidR="00FA0BB9" w:rsidRPr="008970FA" w:rsidRDefault="00FA0BB9" w:rsidP="008970FA">
            <w:pPr>
              <w:spacing w:before="60" w:line="240" w:lineRule="auto"/>
              <w:rPr>
                <w:rFonts w:cs="Arial"/>
                <w:color w:val="auto"/>
                <w:szCs w:val="18"/>
              </w:rPr>
            </w:pPr>
            <w:r w:rsidRPr="008970FA">
              <w:rPr>
                <w:rFonts w:cs="Arial"/>
                <w:color w:val="auto"/>
                <w:szCs w:val="18"/>
              </w:rPr>
              <w:t>5</w:t>
            </w:r>
          </w:p>
        </w:tc>
      </w:tr>
      <w:tr w:rsidR="00FA0BB9" w:rsidRPr="00286A88" w14:paraId="2E57D56A" w14:textId="77777777" w:rsidTr="00354982">
        <w:tc>
          <w:tcPr>
            <w:tcW w:w="7682" w:type="dxa"/>
          </w:tcPr>
          <w:p w14:paraId="2C07DF41" w14:textId="77777777" w:rsidR="00FA0BB9" w:rsidRPr="008970FA" w:rsidRDefault="00FA0BB9" w:rsidP="008970FA">
            <w:pPr>
              <w:spacing w:before="60" w:line="240" w:lineRule="auto"/>
              <w:rPr>
                <w:rFonts w:cs="Arial"/>
                <w:color w:val="333333"/>
                <w:szCs w:val="18"/>
              </w:rPr>
            </w:pPr>
            <w:r w:rsidRPr="008970FA">
              <w:rPr>
                <w:rFonts w:cs="Arial"/>
                <w:color w:val="333333"/>
                <w:szCs w:val="18"/>
              </w:rPr>
              <w:t>light* AND partridge* OR light* AND alectoils* OR light* AND alectoris* OR light* AND perdix*</w:t>
            </w:r>
          </w:p>
        </w:tc>
        <w:tc>
          <w:tcPr>
            <w:tcW w:w="1134" w:type="dxa"/>
          </w:tcPr>
          <w:p w14:paraId="450C8D1D" w14:textId="77777777" w:rsidR="00FA0BB9" w:rsidRPr="008970FA" w:rsidRDefault="00FA0BB9" w:rsidP="008970FA">
            <w:pPr>
              <w:spacing w:before="60" w:line="240" w:lineRule="auto"/>
              <w:rPr>
                <w:rFonts w:cs="Arial"/>
                <w:color w:val="auto"/>
                <w:szCs w:val="18"/>
              </w:rPr>
            </w:pPr>
            <w:r w:rsidRPr="008970FA">
              <w:rPr>
                <w:rFonts w:cs="Arial"/>
                <w:color w:val="auto"/>
                <w:szCs w:val="18"/>
              </w:rPr>
              <w:t>48</w:t>
            </w:r>
          </w:p>
        </w:tc>
        <w:tc>
          <w:tcPr>
            <w:tcW w:w="1134" w:type="dxa"/>
          </w:tcPr>
          <w:p w14:paraId="0D8E7CD6" w14:textId="77777777" w:rsidR="00FA0BB9" w:rsidRPr="008970FA" w:rsidRDefault="00FA0BB9" w:rsidP="008970FA">
            <w:pPr>
              <w:spacing w:before="60" w:line="240" w:lineRule="auto"/>
              <w:rPr>
                <w:rFonts w:cs="Arial"/>
                <w:color w:val="auto"/>
                <w:szCs w:val="18"/>
              </w:rPr>
            </w:pPr>
            <w:r w:rsidRPr="008970FA">
              <w:rPr>
                <w:rFonts w:cs="Arial"/>
                <w:color w:val="auto"/>
                <w:szCs w:val="18"/>
              </w:rPr>
              <w:t>1</w:t>
            </w:r>
          </w:p>
        </w:tc>
      </w:tr>
      <w:tr w:rsidR="00FA0BB9" w:rsidRPr="00286A88" w14:paraId="4165A1F4" w14:textId="77777777" w:rsidTr="00354982">
        <w:tc>
          <w:tcPr>
            <w:tcW w:w="7682" w:type="dxa"/>
          </w:tcPr>
          <w:p w14:paraId="7AA31BC5" w14:textId="77777777" w:rsidR="00FA0BB9" w:rsidRPr="008970FA" w:rsidRDefault="00FA0BB9" w:rsidP="008970FA">
            <w:pPr>
              <w:spacing w:before="60" w:line="240" w:lineRule="auto"/>
              <w:rPr>
                <w:rFonts w:cs="Arial"/>
                <w:color w:val="333333"/>
                <w:szCs w:val="18"/>
              </w:rPr>
            </w:pPr>
            <w:r w:rsidRPr="008970FA">
              <w:rPr>
                <w:rFonts w:cs="Arial"/>
                <w:color w:val="333333"/>
                <w:szCs w:val="18"/>
              </w:rPr>
              <w:t>pair* AND partridge* OR pair* AND alectoils* OR pair* AND alectoris* OR pair* AND perdix*</w:t>
            </w:r>
          </w:p>
        </w:tc>
        <w:tc>
          <w:tcPr>
            <w:tcW w:w="1134" w:type="dxa"/>
          </w:tcPr>
          <w:p w14:paraId="5E6D53B8" w14:textId="77777777" w:rsidR="00FA0BB9" w:rsidRPr="008970FA" w:rsidRDefault="00FA0BB9" w:rsidP="008970FA">
            <w:pPr>
              <w:spacing w:before="60" w:line="240" w:lineRule="auto"/>
              <w:rPr>
                <w:rFonts w:cs="Arial"/>
                <w:color w:val="auto"/>
                <w:szCs w:val="18"/>
              </w:rPr>
            </w:pPr>
            <w:r w:rsidRPr="008970FA">
              <w:rPr>
                <w:rFonts w:cs="Arial"/>
                <w:color w:val="auto"/>
                <w:szCs w:val="18"/>
              </w:rPr>
              <w:t>93</w:t>
            </w:r>
          </w:p>
        </w:tc>
        <w:tc>
          <w:tcPr>
            <w:tcW w:w="1134" w:type="dxa"/>
          </w:tcPr>
          <w:p w14:paraId="23319D20" w14:textId="77777777" w:rsidR="00FA0BB9" w:rsidRPr="008970FA" w:rsidRDefault="00FA0BB9" w:rsidP="008970FA">
            <w:pPr>
              <w:spacing w:before="60" w:line="240" w:lineRule="auto"/>
              <w:rPr>
                <w:rFonts w:cs="Arial"/>
                <w:color w:val="auto"/>
                <w:szCs w:val="18"/>
              </w:rPr>
            </w:pPr>
            <w:r w:rsidRPr="008970FA">
              <w:rPr>
                <w:rFonts w:cs="Arial"/>
                <w:color w:val="auto"/>
                <w:szCs w:val="18"/>
              </w:rPr>
              <w:t>1</w:t>
            </w:r>
          </w:p>
        </w:tc>
      </w:tr>
      <w:tr w:rsidR="00FA0BB9" w:rsidRPr="00286A88" w14:paraId="4D02DFF8" w14:textId="77777777" w:rsidTr="00354982">
        <w:tc>
          <w:tcPr>
            <w:tcW w:w="7682" w:type="dxa"/>
          </w:tcPr>
          <w:p w14:paraId="7302D27F" w14:textId="77777777" w:rsidR="00FA0BB9" w:rsidRPr="008970FA" w:rsidRDefault="00FA0BB9" w:rsidP="008970FA">
            <w:pPr>
              <w:spacing w:before="60" w:line="240" w:lineRule="auto"/>
              <w:rPr>
                <w:rFonts w:cs="Arial"/>
                <w:color w:val="333333"/>
                <w:szCs w:val="18"/>
              </w:rPr>
            </w:pPr>
            <w:r w:rsidRPr="008970FA">
              <w:rPr>
                <w:rFonts w:cs="Arial"/>
                <w:color w:val="333333"/>
                <w:szCs w:val="18"/>
              </w:rPr>
              <w:t>handl* AND partridge* OR handl* AND alectoils* OR handl* AND alectoris* OR handl* AND perdix*</w:t>
            </w:r>
          </w:p>
        </w:tc>
        <w:tc>
          <w:tcPr>
            <w:tcW w:w="1134" w:type="dxa"/>
          </w:tcPr>
          <w:p w14:paraId="4E524F91" w14:textId="77777777" w:rsidR="00FA0BB9" w:rsidRPr="008970FA" w:rsidRDefault="00FA0BB9" w:rsidP="008970FA">
            <w:pPr>
              <w:spacing w:before="60" w:line="240" w:lineRule="auto"/>
              <w:rPr>
                <w:rFonts w:cs="Arial"/>
                <w:color w:val="auto"/>
                <w:szCs w:val="18"/>
              </w:rPr>
            </w:pPr>
            <w:r w:rsidRPr="008970FA">
              <w:rPr>
                <w:rFonts w:cs="Arial"/>
                <w:color w:val="auto"/>
                <w:szCs w:val="18"/>
              </w:rPr>
              <w:t>11</w:t>
            </w:r>
          </w:p>
        </w:tc>
        <w:tc>
          <w:tcPr>
            <w:tcW w:w="1134" w:type="dxa"/>
          </w:tcPr>
          <w:p w14:paraId="46C34A36"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r>
      <w:tr w:rsidR="00FA0BB9" w:rsidRPr="00286A88" w14:paraId="16C399D8" w14:textId="77777777" w:rsidTr="00354982">
        <w:tc>
          <w:tcPr>
            <w:tcW w:w="7682" w:type="dxa"/>
          </w:tcPr>
          <w:p w14:paraId="02570B95" w14:textId="77777777" w:rsidR="00FA0BB9" w:rsidRPr="008970FA" w:rsidRDefault="00FA0BB9" w:rsidP="008970FA">
            <w:pPr>
              <w:spacing w:before="60" w:line="240" w:lineRule="auto"/>
              <w:rPr>
                <w:rFonts w:cs="Arial"/>
                <w:color w:val="333333"/>
                <w:szCs w:val="18"/>
              </w:rPr>
            </w:pPr>
            <w:r w:rsidRPr="008970FA">
              <w:rPr>
                <w:rFonts w:cs="Arial"/>
                <w:color w:val="333333"/>
                <w:szCs w:val="18"/>
              </w:rPr>
              <w:t>hous* AND partridge* OR hous* AND alectoils* OR hous* AND alectoris* OR hous* AND perdix*)</w:t>
            </w:r>
          </w:p>
        </w:tc>
        <w:tc>
          <w:tcPr>
            <w:tcW w:w="1134" w:type="dxa"/>
          </w:tcPr>
          <w:p w14:paraId="6064087A" w14:textId="77777777" w:rsidR="00FA0BB9" w:rsidRPr="008970FA" w:rsidRDefault="00FA0BB9" w:rsidP="008970FA">
            <w:pPr>
              <w:spacing w:before="60" w:line="240" w:lineRule="auto"/>
              <w:rPr>
                <w:rFonts w:cs="Arial"/>
                <w:color w:val="auto"/>
                <w:szCs w:val="18"/>
              </w:rPr>
            </w:pPr>
            <w:r w:rsidRPr="008970FA">
              <w:rPr>
                <w:rFonts w:cs="Arial"/>
                <w:color w:val="auto"/>
                <w:szCs w:val="18"/>
              </w:rPr>
              <w:t>47</w:t>
            </w:r>
          </w:p>
        </w:tc>
        <w:tc>
          <w:tcPr>
            <w:tcW w:w="1134" w:type="dxa"/>
          </w:tcPr>
          <w:p w14:paraId="78A616BF"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r>
      <w:tr w:rsidR="0010235B" w:rsidRPr="00286A88" w14:paraId="48B1F7BA" w14:textId="77777777" w:rsidTr="00354982">
        <w:tc>
          <w:tcPr>
            <w:tcW w:w="7682" w:type="dxa"/>
          </w:tcPr>
          <w:p w14:paraId="68F1C211" w14:textId="77777777" w:rsidR="0010235B" w:rsidRPr="0010235B" w:rsidRDefault="0010235B" w:rsidP="008970FA">
            <w:pPr>
              <w:spacing w:before="60" w:line="240" w:lineRule="auto"/>
              <w:rPr>
                <w:rFonts w:cs="Arial"/>
                <w:b/>
                <w:color w:val="333333"/>
                <w:szCs w:val="18"/>
              </w:rPr>
            </w:pPr>
            <w:r>
              <w:rPr>
                <w:rFonts w:cs="Arial"/>
                <w:b/>
                <w:color w:val="333333"/>
                <w:szCs w:val="18"/>
              </w:rPr>
              <w:t>Papers retained from secondary searches</w:t>
            </w:r>
          </w:p>
        </w:tc>
        <w:tc>
          <w:tcPr>
            <w:tcW w:w="1134" w:type="dxa"/>
          </w:tcPr>
          <w:p w14:paraId="1DAEF4C6" w14:textId="77777777" w:rsidR="0010235B" w:rsidRPr="008970FA" w:rsidRDefault="0010235B" w:rsidP="008970FA">
            <w:pPr>
              <w:spacing w:before="60" w:line="240" w:lineRule="auto"/>
              <w:rPr>
                <w:rFonts w:cs="Arial"/>
                <w:color w:val="auto"/>
                <w:szCs w:val="18"/>
              </w:rPr>
            </w:pPr>
          </w:p>
        </w:tc>
        <w:tc>
          <w:tcPr>
            <w:tcW w:w="1134" w:type="dxa"/>
          </w:tcPr>
          <w:p w14:paraId="5BF1074D" w14:textId="77777777" w:rsidR="0010235B" w:rsidRPr="0010235B" w:rsidRDefault="0010235B" w:rsidP="008970FA">
            <w:pPr>
              <w:spacing w:before="60" w:line="240" w:lineRule="auto"/>
              <w:rPr>
                <w:rFonts w:cs="Arial"/>
                <w:b/>
                <w:color w:val="auto"/>
                <w:szCs w:val="18"/>
              </w:rPr>
            </w:pPr>
            <w:r>
              <w:rPr>
                <w:rFonts w:cs="Arial"/>
                <w:b/>
                <w:color w:val="auto"/>
                <w:szCs w:val="18"/>
              </w:rPr>
              <w:t>25</w:t>
            </w:r>
          </w:p>
        </w:tc>
      </w:tr>
    </w:tbl>
    <w:p w14:paraId="6E7983D8" w14:textId="77777777" w:rsidR="0010235B" w:rsidRPr="0010235B" w:rsidRDefault="0010235B" w:rsidP="005F7B38">
      <w:pPr>
        <w:spacing w:before="240"/>
        <w:rPr>
          <w:b/>
          <w:lang w:val="en-GB"/>
        </w:rPr>
      </w:pPr>
      <w:r>
        <w:rPr>
          <w:b/>
          <w:lang w:val="en-GB"/>
        </w:rPr>
        <w:t>Total number of papers retained from primary and secondary searches: 5 + 25 = 30</w:t>
      </w:r>
    </w:p>
    <w:p w14:paraId="46C3D72D" w14:textId="77777777" w:rsidR="0010235B" w:rsidRDefault="0010235B" w:rsidP="001123AA">
      <w:pPr>
        <w:rPr>
          <w:lang w:val="en-GB"/>
        </w:rPr>
      </w:pPr>
    </w:p>
    <w:p w14:paraId="6222ADCA" w14:textId="77777777" w:rsidR="00FA0BB9" w:rsidRPr="00FA0BB9" w:rsidRDefault="00FA0BB9" w:rsidP="00AE59F9">
      <w:pPr>
        <w:spacing w:before="120"/>
        <w:rPr>
          <w:b/>
          <w:sz w:val="24"/>
          <w:szCs w:val="24"/>
          <w:lang w:val="en-GB"/>
        </w:rPr>
      </w:pPr>
      <w:r>
        <w:rPr>
          <w:lang w:val="en-GB"/>
        </w:rPr>
        <w:br w:type="column"/>
      </w:r>
      <w:r w:rsidRPr="00FA0BB9">
        <w:rPr>
          <w:b/>
          <w:sz w:val="24"/>
          <w:szCs w:val="24"/>
          <w:lang w:val="en-GB"/>
        </w:rPr>
        <w:t>Pigeons</w:t>
      </w:r>
    </w:p>
    <w:p w14:paraId="6772136B" w14:textId="77777777" w:rsidR="00FA0BB9" w:rsidRPr="00590F0B" w:rsidRDefault="00FA0BB9" w:rsidP="00590F0B">
      <w:pPr>
        <w:spacing w:before="240" w:after="240"/>
        <w:rPr>
          <w:b/>
          <w:lang w:val="en-GB"/>
        </w:rPr>
      </w:pPr>
      <w:r w:rsidRPr="00590F0B">
        <w:rPr>
          <w:b/>
          <w:lang w:val="en-GB"/>
        </w:rPr>
        <w:t xml:space="preserve">Primary </w:t>
      </w:r>
      <w:r w:rsidR="00AE59F9">
        <w:rPr>
          <w:b/>
          <w:lang w:val="en-GB"/>
        </w:rPr>
        <w:t>S</w:t>
      </w:r>
      <w:r w:rsidRPr="00590F0B">
        <w:rPr>
          <w:b/>
          <w:lang w:val="en-GB"/>
        </w:rPr>
        <w:t>earch</w:t>
      </w:r>
      <w:r w:rsidR="007E6FE0">
        <w:rPr>
          <w:b/>
          <w:lang w:val="en-GB"/>
        </w:rPr>
        <w:t>:</w:t>
      </w:r>
      <w:r w:rsidRPr="00590F0B">
        <w:rPr>
          <w:b/>
          <w:lang w:val="en-GB"/>
        </w:rPr>
        <w:t xml:space="preserve"> [(pigeon* NOT (pigeonpea OR “pi</w:t>
      </w:r>
      <w:r w:rsidR="00AE59F9">
        <w:rPr>
          <w:b/>
          <w:lang w:val="en-GB"/>
        </w:rPr>
        <w:t>geon pea” OR pigeonholed)) AND w</w:t>
      </w:r>
      <w:r w:rsidRPr="00590F0B">
        <w:rPr>
          <w:b/>
          <w:lang w:val="en-GB"/>
        </w:rPr>
        <w:t>elfare]=2</w:t>
      </w:r>
      <w:r w:rsidR="004A3DB9">
        <w:rPr>
          <w:b/>
          <w:lang w:val="en-GB"/>
        </w:rPr>
        <w:t>3</w:t>
      </w:r>
    </w:p>
    <w:tbl>
      <w:tblPr>
        <w:tblStyle w:val="TableGrid11"/>
        <w:tblW w:w="9977" w:type="dxa"/>
        <w:tblLook w:val="04A0" w:firstRow="1" w:lastRow="0" w:firstColumn="1" w:lastColumn="0" w:noHBand="0" w:noVBand="1"/>
        <w:tblCaption w:val="Papers excluded after primary literature search for pigeon welfare"/>
        <w:tblDescription w:val="This table shows the number of papers excluded after the primary literature search for pigeon welfare. The left hand column shows the primary reason for exclusion. The middle column shows the number of papers excluded. The right hand column gives an example of a paper excluded for each reason."/>
      </w:tblPr>
      <w:tblGrid>
        <w:gridCol w:w="3628"/>
        <w:gridCol w:w="1020"/>
        <w:gridCol w:w="5329"/>
      </w:tblGrid>
      <w:tr w:rsidR="00FA0BB9" w:rsidRPr="00286A88" w14:paraId="50F0472D" w14:textId="77777777" w:rsidTr="00587D34">
        <w:trPr>
          <w:tblHeader/>
        </w:trPr>
        <w:tc>
          <w:tcPr>
            <w:tcW w:w="3628" w:type="dxa"/>
            <w:shd w:val="clear" w:color="auto" w:fill="auto"/>
          </w:tcPr>
          <w:p w14:paraId="1E5FE570" w14:textId="77777777" w:rsidR="00FA0BB9" w:rsidRPr="009928C2" w:rsidRDefault="00FA0BB9" w:rsidP="009928C2">
            <w:pPr>
              <w:spacing w:before="60" w:line="240" w:lineRule="auto"/>
              <w:rPr>
                <w:rFonts w:cs="Arial"/>
                <w:b/>
                <w:color w:val="auto"/>
                <w:szCs w:val="18"/>
              </w:rPr>
            </w:pPr>
            <w:r w:rsidRPr="009928C2">
              <w:rPr>
                <w:rFonts w:cs="Arial"/>
                <w:b/>
                <w:color w:val="auto"/>
                <w:szCs w:val="18"/>
              </w:rPr>
              <w:t>Primary reason for exclusion</w:t>
            </w:r>
          </w:p>
        </w:tc>
        <w:tc>
          <w:tcPr>
            <w:tcW w:w="1020" w:type="dxa"/>
            <w:shd w:val="clear" w:color="auto" w:fill="auto"/>
          </w:tcPr>
          <w:p w14:paraId="5FF1ACF0" w14:textId="77777777" w:rsidR="00FA0BB9" w:rsidRPr="00F67C8B" w:rsidRDefault="00FA0BB9" w:rsidP="009928C2">
            <w:pPr>
              <w:spacing w:before="60" w:line="240" w:lineRule="auto"/>
              <w:rPr>
                <w:rFonts w:cs="Arial"/>
                <w:color w:val="auto"/>
                <w:szCs w:val="18"/>
              </w:rPr>
            </w:pPr>
            <w:r w:rsidRPr="00F67C8B">
              <w:rPr>
                <w:rFonts w:cs="Arial"/>
                <w:color w:val="auto"/>
                <w:szCs w:val="18"/>
              </w:rPr>
              <w:t>Number excluded</w:t>
            </w:r>
          </w:p>
        </w:tc>
        <w:tc>
          <w:tcPr>
            <w:tcW w:w="5329" w:type="dxa"/>
            <w:shd w:val="clear" w:color="auto" w:fill="auto"/>
          </w:tcPr>
          <w:p w14:paraId="55845651" w14:textId="77777777" w:rsidR="00FA0BB9" w:rsidRPr="00F67C8B" w:rsidRDefault="00FA0BB9" w:rsidP="009928C2">
            <w:pPr>
              <w:spacing w:before="60" w:line="240" w:lineRule="auto"/>
              <w:rPr>
                <w:rFonts w:cs="Arial"/>
                <w:color w:val="auto"/>
                <w:szCs w:val="18"/>
              </w:rPr>
            </w:pPr>
            <w:r w:rsidRPr="00F67C8B">
              <w:rPr>
                <w:rFonts w:cs="Arial"/>
                <w:i/>
                <w:color w:val="auto"/>
                <w:szCs w:val="18"/>
              </w:rPr>
              <w:t>Example</w:t>
            </w:r>
            <w:r w:rsidRPr="00F67C8B">
              <w:rPr>
                <w:rFonts w:cs="Arial"/>
                <w:color w:val="auto"/>
                <w:szCs w:val="18"/>
              </w:rPr>
              <w:t xml:space="preserve"> of paper excluded for each reason</w:t>
            </w:r>
          </w:p>
        </w:tc>
      </w:tr>
      <w:tr w:rsidR="00FA0BB9" w:rsidRPr="00286A88" w14:paraId="2FA76A72" w14:textId="77777777" w:rsidTr="005F7B38">
        <w:tc>
          <w:tcPr>
            <w:tcW w:w="3628" w:type="dxa"/>
          </w:tcPr>
          <w:p w14:paraId="2CE77CD0" w14:textId="77777777" w:rsidR="00FA0BB9" w:rsidRPr="008C43DD" w:rsidRDefault="00FA0BB9" w:rsidP="008C43DD">
            <w:pPr>
              <w:spacing w:before="60"/>
            </w:pPr>
            <w:r w:rsidRPr="008C43DD">
              <w:t>Not pigeon- other farmed birds</w:t>
            </w:r>
          </w:p>
        </w:tc>
        <w:tc>
          <w:tcPr>
            <w:tcW w:w="1020" w:type="dxa"/>
          </w:tcPr>
          <w:p w14:paraId="47AC0DE1" w14:textId="77777777" w:rsidR="00FA0BB9" w:rsidRPr="008C43DD" w:rsidRDefault="00FA0BB9" w:rsidP="008C43DD">
            <w:pPr>
              <w:spacing w:before="60"/>
            </w:pPr>
            <w:r w:rsidRPr="008C43DD">
              <w:t>10</w:t>
            </w:r>
          </w:p>
        </w:tc>
        <w:tc>
          <w:tcPr>
            <w:tcW w:w="5329" w:type="dxa"/>
          </w:tcPr>
          <w:p w14:paraId="2E9D542B" w14:textId="77777777" w:rsidR="00C26326" w:rsidRPr="00C26326" w:rsidRDefault="00C26326" w:rsidP="00C26326">
            <w:pPr>
              <w:pStyle w:val="NoSpacing"/>
              <w:rPr>
                <w:sz w:val="16"/>
                <w:szCs w:val="16"/>
              </w:rPr>
            </w:pPr>
            <w:r w:rsidRPr="00C26326">
              <w:rPr>
                <w:sz w:val="16"/>
                <w:szCs w:val="16"/>
              </w:rPr>
              <w:t>Feed-restricted broiler breeders: State-dependent learning as a novel welfare assessment tool to evaluate their hunger state?</w:t>
            </w:r>
          </w:p>
          <w:p w14:paraId="64B2D0E2" w14:textId="77777777" w:rsidR="00C26326" w:rsidRPr="00C26326" w:rsidRDefault="00C26326" w:rsidP="00C26326">
            <w:pPr>
              <w:pStyle w:val="NoSpacing"/>
              <w:rPr>
                <w:sz w:val="16"/>
                <w:szCs w:val="16"/>
              </w:rPr>
            </w:pPr>
            <w:r w:rsidRPr="00C26326">
              <w:rPr>
                <w:sz w:val="16"/>
                <w:szCs w:val="16"/>
              </w:rPr>
              <w:t>By: Buckley, Louise Anne; Sandilands, Victoria; Hocking, Paul Morison; et al.</w:t>
            </w:r>
          </w:p>
          <w:p w14:paraId="3B045115" w14:textId="77777777" w:rsidR="00FA0BB9" w:rsidRPr="00C26326" w:rsidRDefault="00C26326" w:rsidP="00C26326">
            <w:pPr>
              <w:pStyle w:val="NoSpacing"/>
              <w:rPr>
                <w:sz w:val="16"/>
                <w:szCs w:val="16"/>
              </w:rPr>
            </w:pPr>
            <w:r w:rsidRPr="00C26326">
              <w:rPr>
                <w:sz w:val="16"/>
                <w:szCs w:val="16"/>
              </w:rPr>
              <w:t>APPLIED ANIMAL BEHAVIOUR SCIENCE   Volume: 165   Pages: 124-132   Published: APR 2015</w:t>
            </w:r>
          </w:p>
        </w:tc>
      </w:tr>
      <w:tr w:rsidR="00FA0BB9" w:rsidRPr="00286A88" w14:paraId="48BC45AF" w14:textId="77777777" w:rsidTr="005F7B38">
        <w:tc>
          <w:tcPr>
            <w:tcW w:w="3628" w:type="dxa"/>
          </w:tcPr>
          <w:p w14:paraId="44AB6CC2" w14:textId="77777777" w:rsidR="00FA0BB9" w:rsidRPr="008C43DD" w:rsidRDefault="00FA0BB9" w:rsidP="008C43DD">
            <w:pPr>
              <w:spacing w:before="60"/>
            </w:pPr>
            <w:r w:rsidRPr="008C43DD">
              <w:t>Not pigeon- other animals</w:t>
            </w:r>
          </w:p>
        </w:tc>
        <w:tc>
          <w:tcPr>
            <w:tcW w:w="1020" w:type="dxa"/>
          </w:tcPr>
          <w:p w14:paraId="7F78240B" w14:textId="77777777" w:rsidR="00FA0BB9" w:rsidRPr="008C43DD" w:rsidRDefault="004A3DB9" w:rsidP="008C43DD">
            <w:pPr>
              <w:spacing w:before="60"/>
            </w:pPr>
            <w:r>
              <w:t>7</w:t>
            </w:r>
          </w:p>
        </w:tc>
        <w:tc>
          <w:tcPr>
            <w:tcW w:w="5329" w:type="dxa"/>
          </w:tcPr>
          <w:p w14:paraId="3F0BA478" w14:textId="77777777" w:rsidR="00C26326" w:rsidRPr="00C26326" w:rsidRDefault="00C26326" w:rsidP="00C26326">
            <w:pPr>
              <w:pStyle w:val="NoSpacing"/>
              <w:rPr>
                <w:sz w:val="16"/>
                <w:szCs w:val="16"/>
              </w:rPr>
            </w:pPr>
            <w:r w:rsidRPr="00C26326">
              <w:rPr>
                <w:sz w:val="16"/>
                <w:szCs w:val="16"/>
              </w:rPr>
              <w:t>Mountain chickadees return to their post-natal dispersal settlements following long-term captivity</w:t>
            </w:r>
          </w:p>
          <w:p w14:paraId="3CB16DC7" w14:textId="77777777" w:rsidR="00C26326" w:rsidRPr="00C26326" w:rsidRDefault="00C26326" w:rsidP="00C26326">
            <w:pPr>
              <w:pStyle w:val="NoSpacing"/>
              <w:rPr>
                <w:sz w:val="16"/>
                <w:szCs w:val="16"/>
              </w:rPr>
            </w:pPr>
            <w:r w:rsidRPr="00C26326">
              <w:rPr>
                <w:sz w:val="16"/>
                <w:szCs w:val="16"/>
              </w:rPr>
              <w:t>By: Branch, Carrie L.; Kozlovsky, Dovid Y.; Croston, Rebecca; et al.</w:t>
            </w:r>
          </w:p>
          <w:p w14:paraId="7DCD517E" w14:textId="77777777" w:rsidR="00FA0BB9" w:rsidRPr="00C26326" w:rsidRDefault="00C26326" w:rsidP="00C26326">
            <w:pPr>
              <w:pStyle w:val="NoSpacing"/>
              <w:rPr>
                <w:sz w:val="16"/>
                <w:szCs w:val="16"/>
              </w:rPr>
            </w:pPr>
            <w:r w:rsidRPr="00C26326">
              <w:rPr>
                <w:sz w:val="16"/>
                <w:szCs w:val="16"/>
              </w:rPr>
              <w:t>BEHAVIOUR   Volume: 153   Issue: 5   Pages: 551-567   Published: 2016</w:t>
            </w:r>
          </w:p>
        </w:tc>
      </w:tr>
      <w:tr w:rsidR="00FA0BB9" w:rsidRPr="00286A88" w14:paraId="3735AED2" w14:textId="77777777" w:rsidTr="005F7B38">
        <w:tc>
          <w:tcPr>
            <w:tcW w:w="3628" w:type="dxa"/>
          </w:tcPr>
          <w:p w14:paraId="79CA2E9A" w14:textId="77777777" w:rsidR="00FA0BB9" w:rsidRPr="008C43DD" w:rsidRDefault="00FA0BB9" w:rsidP="008C43DD">
            <w:pPr>
              <w:spacing w:before="60"/>
            </w:pPr>
            <w:r w:rsidRPr="008C43DD">
              <w:t>Paper on fundamental cognition or behaviour with no immediate welfare relevance</w:t>
            </w:r>
          </w:p>
        </w:tc>
        <w:tc>
          <w:tcPr>
            <w:tcW w:w="1020" w:type="dxa"/>
          </w:tcPr>
          <w:p w14:paraId="5C6AB697" w14:textId="77777777" w:rsidR="00FA0BB9" w:rsidRPr="008C43DD" w:rsidRDefault="00FA0BB9" w:rsidP="008C43DD">
            <w:pPr>
              <w:spacing w:before="60"/>
            </w:pPr>
            <w:r w:rsidRPr="008C43DD">
              <w:t>1</w:t>
            </w:r>
          </w:p>
        </w:tc>
        <w:tc>
          <w:tcPr>
            <w:tcW w:w="5329" w:type="dxa"/>
          </w:tcPr>
          <w:p w14:paraId="04EBA762" w14:textId="77777777" w:rsidR="00C26326" w:rsidRPr="00C26326" w:rsidRDefault="00C26326" w:rsidP="00C26326">
            <w:pPr>
              <w:pStyle w:val="NoSpacing"/>
              <w:rPr>
                <w:sz w:val="16"/>
                <w:szCs w:val="16"/>
              </w:rPr>
            </w:pPr>
            <w:r w:rsidRPr="00C26326">
              <w:rPr>
                <w:sz w:val="16"/>
                <w:szCs w:val="16"/>
              </w:rPr>
              <w:t>The ALDB box: Automatic testing of cognitive performance in groups of aviary-housed pigeons</w:t>
            </w:r>
          </w:p>
          <w:p w14:paraId="5F811CFD" w14:textId="77777777" w:rsidR="00C26326" w:rsidRPr="00C26326" w:rsidRDefault="00C26326" w:rsidP="00C26326">
            <w:pPr>
              <w:pStyle w:val="NoSpacing"/>
              <w:rPr>
                <w:sz w:val="16"/>
                <w:szCs w:val="16"/>
              </w:rPr>
            </w:pPr>
            <w:r w:rsidRPr="00C26326">
              <w:rPr>
                <w:sz w:val="16"/>
                <w:szCs w:val="16"/>
              </w:rPr>
              <w:t>By: Huber, Ludwig; Heise, Nils; Zeman, Christopher; et al.</w:t>
            </w:r>
          </w:p>
          <w:p w14:paraId="7741ED33" w14:textId="77777777" w:rsidR="00FA0BB9" w:rsidRPr="00C26326" w:rsidRDefault="00C26326" w:rsidP="00C26326">
            <w:pPr>
              <w:pStyle w:val="NoSpacing"/>
              <w:rPr>
                <w:sz w:val="16"/>
                <w:szCs w:val="16"/>
              </w:rPr>
            </w:pPr>
            <w:r w:rsidRPr="00C26326">
              <w:rPr>
                <w:sz w:val="16"/>
                <w:szCs w:val="16"/>
              </w:rPr>
              <w:t>BEHAVIOR RESEARCH METHODS   Volume: 47   Issue: 1   Pages: 162-171   Published: MAR 2015</w:t>
            </w:r>
          </w:p>
        </w:tc>
      </w:tr>
      <w:tr w:rsidR="00FA0BB9" w:rsidRPr="00286A88" w14:paraId="234020C6" w14:textId="77777777" w:rsidTr="005F7B38">
        <w:tc>
          <w:tcPr>
            <w:tcW w:w="3628" w:type="dxa"/>
          </w:tcPr>
          <w:p w14:paraId="21807A58" w14:textId="77777777" w:rsidR="00FA0BB9" w:rsidRPr="008C43DD" w:rsidRDefault="00FA0BB9" w:rsidP="008C43DD">
            <w:pPr>
              <w:spacing w:before="60"/>
            </w:pPr>
            <w:r w:rsidRPr="008C43DD">
              <w:t>Feral pigeon control</w:t>
            </w:r>
          </w:p>
        </w:tc>
        <w:tc>
          <w:tcPr>
            <w:tcW w:w="1020" w:type="dxa"/>
          </w:tcPr>
          <w:p w14:paraId="58E24374" w14:textId="77777777" w:rsidR="00FA0BB9" w:rsidRPr="008C43DD" w:rsidRDefault="00FA0BB9" w:rsidP="008C43DD">
            <w:pPr>
              <w:spacing w:before="60"/>
            </w:pPr>
            <w:r w:rsidRPr="008C43DD">
              <w:t>2</w:t>
            </w:r>
          </w:p>
        </w:tc>
        <w:tc>
          <w:tcPr>
            <w:tcW w:w="5329" w:type="dxa"/>
          </w:tcPr>
          <w:p w14:paraId="7B42AFE6" w14:textId="77777777" w:rsidR="00C26326" w:rsidRPr="00C26326" w:rsidRDefault="00C26326" w:rsidP="00C26326">
            <w:pPr>
              <w:pStyle w:val="NoSpacing"/>
              <w:rPr>
                <w:sz w:val="16"/>
                <w:szCs w:val="16"/>
              </w:rPr>
            </w:pPr>
            <w:r w:rsidRPr="00C26326">
              <w:rPr>
                <w:sz w:val="16"/>
                <w:szCs w:val="16"/>
              </w:rPr>
              <w:t>Feral pigeon control and welfare</w:t>
            </w:r>
          </w:p>
          <w:p w14:paraId="486306EF" w14:textId="77777777" w:rsidR="00C26326" w:rsidRPr="00C26326" w:rsidRDefault="00C26326" w:rsidP="00C26326">
            <w:pPr>
              <w:pStyle w:val="NoSpacing"/>
              <w:rPr>
                <w:sz w:val="16"/>
                <w:szCs w:val="16"/>
              </w:rPr>
            </w:pPr>
            <w:r w:rsidRPr="00C26326">
              <w:rPr>
                <w:sz w:val="16"/>
                <w:szCs w:val="16"/>
              </w:rPr>
              <w:t>By: Oxley, J. A.</w:t>
            </w:r>
          </w:p>
          <w:p w14:paraId="1A0DECBF" w14:textId="77777777" w:rsidR="00FA0BB9" w:rsidRPr="00C26326" w:rsidRDefault="00C26326" w:rsidP="00C26326">
            <w:pPr>
              <w:pStyle w:val="NoSpacing"/>
              <w:rPr>
                <w:sz w:val="16"/>
                <w:szCs w:val="16"/>
              </w:rPr>
            </w:pPr>
            <w:r w:rsidRPr="00C26326">
              <w:rPr>
                <w:sz w:val="16"/>
                <w:szCs w:val="16"/>
              </w:rPr>
              <w:t>VETERINARY RECORD   Volume: 173   Issue: 7   Published: AUG 17 2013</w:t>
            </w:r>
          </w:p>
        </w:tc>
      </w:tr>
      <w:tr w:rsidR="00FA0BB9" w:rsidRPr="00286A88" w14:paraId="665870BE" w14:textId="77777777" w:rsidTr="005F7B38">
        <w:tc>
          <w:tcPr>
            <w:tcW w:w="3628" w:type="dxa"/>
          </w:tcPr>
          <w:p w14:paraId="6E36070C" w14:textId="77777777" w:rsidR="00FA0BB9" w:rsidRPr="008C43DD" w:rsidRDefault="00FA0BB9" w:rsidP="008C43DD">
            <w:pPr>
              <w:spacing w:before="60"/>
            </w:pPr>
            <w:r w:rsidRPr="008C43DD">
              <w:t>Paper on extreme morphology</w:t>
            </w:r>
          </w:p>
        </w:tc>
        <w:tc>
          <w:tcPr>
            <w:tcW w:w="1020" w:type="dxa"/>
          </w:tcPr>
          <w:p w14:paraId="29B93D43" w14:textId="77777777" w:rsidR="00FA0BB9" w:rsidRPr="008C43DD" w:rsidRDefault="00FA0BB9" w:rsidP="008C43DD">
            <w:pPr>
              <w:spacing w:before="60"/>
            </w:pPr>
            <w:r w:rsidRPr="008C43DD">
              <w:t>2</w:t>
            </w:r>
          </w:p>
        </w:tc>
        <w:tc>
          <w:tcPr>
            <w:tcW w:w="5329" w:type="dxa"/>
          </w:tcPr>
          <w:p w14:paraId="42700E61" w14:textId="77777777" w:rsidR="00C26326" w:rsidRPr="00C26326" w:rsidRDefault="00C26326" w:rsidP="00C26326">
            <w:pPr>
              <w:pStyle w:val="NoSpacing"/>
              <w:rPr>
                <w:sz w:val="16"/>
                <w:szCs w:val="16"/>
              </w:rPr>
            </w:pPr>
            <w:r w:rsidRPr="00C26326">
              <w:rPr>
                <w:sz w:val="16"/>
                <w:szCs w:val="16"/>
              </w:rPr>
              <w:t>Variations in the morphology, distribution, and arrangement of feathers in domesticated birds</w:t>
            </w:r>
          </w:p>
          <w:p w14:paraId="5FE46D50" w14:textId="77777777" w:rsidR="00C26326" w:rsidRPr="00C26326" w:rsidRDefault="00C26326" w:rsidP="00C26326">
            <w:pPr>
              <w:pStyle w:val="NoSpacing"/>
              <w:rPr>
                <w:sz w:val="16"/>
                <w:szCs w:val="16"/>
              </w:rPr>
            </w:pPr>
            <w:r w:rsidRPr="00C26326">
              <w:rPr>
                <w:sz w:val="16"/>
                <w:szCs w:val="16"/>
              </w:rPr>
              <w:t>By: Bartels, T</w:t>
            </w:r>
          </w:p>
          <w:p w14:paraId="59427A3E" w14:textId="77777777" w:rsidR="00FA0BB9" w:rsidRPr="00C26326" w:rsidRDefault="00C26326" w:rsidP="00C26326">
            <w:pPr>
              <w:pStyle w:val="NoSpacing"/>
              <w:rPr>
                <w:sz w:val="16"/>
                <w:szCs w:val="16"/>
              </w:rPr>
            </w:pPr>
            <w:r w:rsidRPr="00C26326">
              <w:rPr>
                <w:sz w:val="16"/>
                <w:szCs w:val="16"/>
              </w:rPr>
              <w:t>JOURNAL OF EXPERIMENTAL ZOOLOGY PART B-MOLECULAR AND DEVELOPMENTAL EVOLUTION   Volume: 298B   Issue: 1   Pages: 91-108   Published: AUG 15 2003</w:t>
            </w:r>
          </w:p>
        </w:tc>
      </w:tr>
      <w:tr w:rsidR="00FA0BB9" w:rsidRPr="00286A88" w14:paraId="15DEDBBF" w14:textId="77777777" w:rsidTr="005F7B38">
        <w:tc>
          <w:tcPr>
            <w:tcW w:w="3628" w:type="dxa"/>
          </w:tcPr>
          <w:p w14:paraId="69EA0927" w14:textId="77777777" w:rsidR="00FA0BB9" w:rsidRPr="008C43DD" w:rsidRDefault="00FA0BB9" w:rsidP="008C43DD">
            <w:pPr>
              <w:spacing w:before="60"/>
            </w:pPr>
            <w:r w:rsidRPr="008C43DD">
              <w:t>Racing pigeon transport</w:t>
            </w:r>
          </w:p>
        </w:tc>
        <w:tc>
          <w:tcPr>
            <w:tcW w:w="1020" w:type="dxa"/>
          </w:tcPr>
          <w:p w14:paraId="526E1F18" w14:textId="77777777" w:rsidR="00FA0BB9" w:rsidRPr="008C43DD" w:rsidRDefault="00FA0BB9" w:rsidP="008C43DD">
            <w:pPr>
              <w:spacing w:before="60"/>
            </w:pPr>
            <w:r w:rsidRPr="008C43DD">
              <w:t>1</w:t>
            </w:r>
          </w:p>
        </w:tc>
        <w:tc>
          <w:tcPr>
            <w:tcW w:w="5329" w:type="dxa"/>
          </w:tcPr>
          <w:p w14:paraId="65ABB435" w14:textId="77777777" w:rsidR="00C26326" w:rsidRPr="00C26326" w:rsidRDefault="00C26326" w:rsidP="00C26326">
            <w:pPr>
              <w:pStyle w:val="NoSpacing"/>
              <w:rPr>
                <w:sz w:val="16"/>
                <w:szCs w:val="16"/>
              </w:rPr>
            </w:pPr>
            <w:r w:rsidRPr="00C26326">
              <w:rPr>
                <w:sz w:val="16"/>
                <w:szCs w:val="16"/>
              </w:rPr>
              <w:t>Transport of racing pigeons and animal welfare</w:t>
            </w:r>
          </w:p>
          <w:p w14:paraId="072D42F4" w14:textId="77777777" w:rsidR="00C26326" w:rsidRPr="00C26326" w:rsidRDefault="00C26326" w:rsidP="00C26326">
            <w:pPr>
              <w:pStyle w:val="NoSpacing"/>
              <w:rPr>
                <w:sz w:val="16"/>
                <w:szCs w:val="16"/>
              </w:rPr>
            </w:pPr>
            <w:r w:rsidRPr="00C26326">
              <w:rPr>
                <w:sz w:val="16"/>
                <w:szCs w:val="16"/>
              </w:rPr>
              <w:t>By: Geraldy, K.</w:t>
            </w:r>
          </w:p>
          <w:p w14:paraId="6E6E3B1E" w14:textId="77777777" w:rsidR="00FA0BB9" w:rsidRPr="00C26326" w:rsidRDefault="00C26326" w:rsidP="00C26326">
            <w:pPr>
              <w:pStyle w:val="NoSpacing"/>
              <w:rPr>
                <w:sz w:val="16"/>
                <w:szCs w:val="16"/>
              </w:rPr>
            </w:pPr>
            <w:r w:rsidRPr="00C26326">
              <w:rPr>
                <w:sz w:val="16"/>
                <w:szCs w:val="16"/>
              </w:rPr>
              <w:t>DEUTSCHE TIERARZTLICHE WOCHENSCHRIFT   Volume: 114   Issue: 3   Pages: 114-115   Published: MAR 2007</w:t>
            </w:r>
          </w:p>
        </w:tc>
      </w:tr>
      <w:tr w:rsidR="00FA0BB9" w:rsidRPr="00286A88" w14:paraId="1C0BAAEE" w14:textId="77777777" w:rsidTr="005F7B38">
        <w:tc>
          <w:tcPr>
            <w:tcW w:w="3628" w:type="dxa"/>
          </w:tcPr>
          <w:p w14:paraId="21A0ECF4" w14:textId="77777777" w:rsidR="00FA0BB9" w:rsidRPr="00F67C8B" w:rsidRDefault="008C43DD" w:rsidP="00770A44">
            <w:pPr>
              <w:spacing w:before="60" w:line="240" w:lineRule="auto"/>
              <w:rPr>
                <w:rFonts w:cs="Arial"/>
                <w:b/>
                <w:color w:val="auto"/>
                <w:szCs w:val="18"/>
              </w:rPr>
            </w:pPr>
            <w:r>
              <w:rPr>
                <w:rFonts w:cs="Arial"/>
                <w:b/>
                <w:color w:val="auto"/>
                <w:szCs w:val="18"/>
              </w:rPr>
              <w:t xml:space="preserve">Papers </w:t>
            </w:r>
            <w:r w:rsidR="00770A44">
              <w:rPr>
                <w:rFonts w:cs="Arial"/>
                <w:b/>
                <w:color w:val="auto"/>
                <w:szCs w:val="18"/>
              </w:rPr>
              <w:t>excluded from primary search</w:t>
            </w:r>
          </w:p>
        </w:tc>
        <w:tc>
          <w:tcPr>
            <w:tcW w:w="1020" w:type="dxa"/>
          </w:tcPr>
          <w:p w14:paraId="35AF19D1" w14:textId="77777777" w:rsidR="00FA0BB9" w:rsidRPr="00F67C8B" w:rsidRDefault="00770A44" w:rsidP="004A3DB9">
            <w:pPr>
              <w:spacing w:before="60" w:line="240" w:lineRule="auto"/>
              <w:rPr>
                <w:rFonts w:cs="Arial"/>
                <w:b/>
                <w:color w:val="auto"/>
                <w:szCs w:val="18"/>
              </w:rPr>
            </w:pPr>
            <w:r>
              <w:rPr>
                <w:rFonts w:cs="Arial"/>
                <w:b/>
                <w:color w:val="auto"/>
                <w:szCs w:val="18"/>
              </w:rPr>
              <w:t>2</w:t>
            </w:r>
            <w:r w:rsidR="004A3DB9">
              <w:rPr>
                <w:rFonts w:cs="Arial"/>
                <w:b/>
                <w:color w:val="auto"/>
                <w:szCs w:val="18"/>
              </w:rPr>
              <w:t>3</w:t>
            </w:r>
          </w:p>
        </w:tc>
        <w:tc>
          <w:tcPr>
            <w:tcW w:w="5329" w:type="dxa"/>
          </w:tcPr>
          <w:p w14:paraId="197E4437" w14:textId="77777777" w:rsidR="00FA0BB9" w:rsidRPr="00F67C8B" w:rsidRDefault="00770A44" w:rsidP="004A3DB9">
            <w:pPr>
              <w:spacing w:before="60" w:line="240" w:lineRule="auto"/>
              <w:rPr>
                <w:rFonts w:cs="Arial"/>
                <w:b/>
                <w:color w:val="auto"/>
                <w:szCs w:val="18"/>
              </w:rPr>
            </w:pPr>
            <w:r>
              <w:rPr>
                <w:rFonts w:cs="Arial"/>
                <w:b/>
                <w:color w:val="auto"/>
                <w:szCs w:val="18"/>
              </w:rPr>
              <w:t>Papers retained from primary search: 2</w:t>
            </w:r>
            <w:r w:rsidR="004A3DB9">
              <w:rPr>
                <w:rFonts w:cs="Arial"/>
                <w:b/>
                <w:color w:val="auto"/>
                <w:szCs w:val="18"/>
              </w:rPr>
              <w:t>3</w:t>
            </w:r>
            <w:r>
              <w:rPr>
                <w:rFonts w:cs="Arial"/>
                <w:b/>
                <w:color w:val="auto"/>
                <w:szCs w:val="18"/>
              </w:rPr>
              <w:t xml:space="preserve"> – 2</w:t>
            </w:r>
            <w:r w:rsidR="004A3DB9">
              <w:rPr>
                <w:rFonts w:cs="Arial"/>
                <w:b/>
                <w:color w:val="auto"/>
                <w:szCs w:val="18"/>
              </w:rPr>
              <w:t>3</w:t>
            </w:r>
            <w:r>
              <w:rPr>
                <w:rFonts w:cs="Arial"/>
                <w:b/>
                <w:color w:val="auto"/>
                <w:szCs w:val="18"/>
              </w:rPr>
              <w:t xml:space="preserve"> = </w:t>
            </w:r>
            <w:r w:rsidR="004A3DB9">
              <w:rPr>
                <w:rFonts w:cs="Arial"/>
                <w:b/>
                <w:color w:val="auto"/>
                <w:szCs w:val="18"/>
              </w:rPr>
              <w:t>0</w:t>
            </w:r>
          </w:p>
        </w:tc>
      </w:tr>
    </w:tbl>
    <w:p w14:paraId="06A921BD" w14:textId="77777777" w:rsidR="00FA0BB9" w:rsidRPr="00590F0B" w:rsidRDefault="00FA0BB9" w:rsidP="00590F0B">
      <w:pPr>
        <w:spacing w:before="240" w:after="240"/>
        <w:rPr>
          <w:b/>
          <w:i/>
          <w:lang w:val="en-GB"/>
        </w:rPr>
      </w:pPr>
      <w:r w:rsidRPr="00590F0B">
        <w:rPr>
          <w:b/>
          <w:i/>
          <w:lang w:val="en-GB"/>
        </w:rPr>
        <w:t>Pigeon Secondary Searches</w:t>
      </w:r>
    </w:p>
    <w:tbl>
      <w:tblPr>
        <w:tblStyle w:val="TableGrid11"/>
        <w:tblW w:w="9954" w:type="dxa"/>
        <w:tblLook w:val="04A0" w:firstRow="1" w:lastRow="0" w:firstColumn="1" w:lastColumn="0" w:noHBand="0" w:noVBand="1"/>
        <w:tblCaption w:val="Results of secondary literature searches for pigeons"/>
        <w:tblDescription w:val="This table shows the results of secondary literature searches for pigeons. The left hand column shows the search terms used in the secondary searches. The second column shows the number of papers returned from each of these searches. The third column shows the additional papers included from these searches. The right hand column makes broad comments on the secondary searches."/>
      </w:tblPr>
      <w:tblGrid>
        <w:gridCol w:w="4025"/>
        <w:gridCol w:w="1020"/>
        <w:gridCol w:w="1020"/>
        <w:gridCol w:w="3889"/>
      </w:tblGrid>
      <w:tr w:rsidR="00FA0BB9" w:rsidRPr="00286A88" w14:paraId="2A190C06" w14:textId="77777777" w:rsidTr="00587D34">
        <w:trPr>
          <w:tblHeader/>
        </w:trPr>
        <w:tc>
          <w:tcPr>
            <w:tcW w:w="4025" w:type="dxa"/>
            <w:shd w:val="clear" w:color="auto" w:fill="auto"/>
          </w:tcPr>
          <w:p w14:paraId="218008C2" w14:textId="77777777" w:rsidR="00FA0BB9" w:rsidRPr="008970FA" w:rsidRDefault="00FA0BB9" w:rsidP="008970FA">
            <w:pPr>
              <w:spacing w:before="60" w:line="240" w:lineRule="auto"/>
              <w:rPr>
                <w:rFonts w:cs="Arial"/>
                <w:b/>
                <w:color w:val="auto"/>
                <w:szCs w:val="18"/>
              </w:rPr>
            </w:pPr>
            <w:r w:rsidRPr="008970FA">
              <w:rPr>
                <w:rFonts w:cs="Arial"/>
                <w:b/>
                <w:color w:val="auto"/>
                <w:szCs w:val="18"/>
              </w:rPr>
              <w:t>Search terms for synonyms of species or welfare</w:t>
            </w:r>
          </w:p>
        </w:tc>
        <w:tc>
          <w:tcPr>
            <w:tcW w:w="1020" w:type="dxa"/>
            <w:shd w:val="clear" w:color="auto" w:fill="auto"/>
          </w:tcPr>
          <w:p w14:paraId="47DCBDB0" w14:textId="77777777" w:rsidR="00FA0BB9" w:rsidRPr="008970FA" w:rsidRDefault="00FA0BB9" w:rsidP="008970FA">
            <w:pPr>
              <w:spacing w:before="60" w:line="240" w:lineRule="auto"/>
              <w:rPr>
                <w:rFonts w:cs="Arial"/>
                <w:color w:val="auto"/>
                <w:szCs w:val="18"/>
              </w:rPr>
            </w:pPr>
            <w:r w:rsidRPr="008970FA">
              <w:rPr>
                <w:rFonts w:cs="Arial"/>
                <w:color w:val="auto"/>
                <w:szCs w:val="18"/>
              </w:rPr>
              <w:t>Hits</w:t>
            </w:r>
          </w:p>
        </w:tc>
        <w:tc>
          <w:tcPr>
            <w:tcW w:w="1020" w:type="dxa"/>
            <w:shd w:val="clear" w:color="auto" w:fill="auto"/>
          </w:tcPr>
          <w:p w14:paraId="7A65E027" w14:textId="77777777" w:rsidR="00FA0BB9" w:rsidRPr="008970FA" w:rsidRDefault="00FA0BB9" w:rsidP="008970FA">
            <w:pPr>
              <w:spacing w:before="60" w:line="240" w:lineRule="auto"/>
              <w:rPr>
                <w:rFonts w:cs="Arial"/>
                <w:color w:val="auto"/>
                <w:szCs w:val="18"/>
              </w:rPr>
            </w:pPr>
            <w:r w:rsidRPr="008970FA">
              <w:rPr>
                <w:rFonts w:cs="Arial"/>
                <w:color w:val="auto"/>
                <w:szCs w:val="18"/>
              </w:rPr>
              <w:t>Additional Papers Included</w:t>
            </w:r>
          </w:p>
        </w:tc>
        <w:tc>
          <w:tcPr>
            <w:tcW w:w="3889" w:type="dxa"/>
            <w:shd w:val="clear" w:color="auto" w:fill="auto"/>
          </w:tcPr>
          <w:p w14:paraId="3155227E" w14:textId="77777777" w:rsidR="00FA0BB9" w:rsidRPr="008970FA" w:rsidRDefault="00FA0BB9" w:rsidP="008970FA">
            <w:pPr>
              <w:spacing w:before="60" w:line="240" w:lineRule="auto"/>
              <w:rPr>
                <w:rFonts w:cs="Arial"/>
                <w:color w:val="auto"/>
                <w:szCs w:val="18"/>
              </w:rPr>
            </w:pPr>
            <w:r w:rsidRPr="008970FA">
              <w:rPr>
                <w:rFonts w:cs="Arial"/>
                <w:color w:val="auto"/>
                <w:szCs w:val="18"/>
              </w:rPr>
              <w:t>Comments</w:t>
            </w:r>
          </w:p>
        </w:tc>
      </w:tr>
      <w:tr w:rsidR="00FA0BB9" w:rsidRPr="00286A88" w14:paraId="1D08CF55" w14:textId="77777777" w:rsidTr="00D561AB">
        <w:tc>
          <w:tcPr>
            <w:tcW w:w="4025" w:type="dxa"/>
          </w:tcPr>
          <w:p w14:paraId="1DEF0A43" w14:textId="77777777" w:rsidR="00FA0BB9" w:rsidRPr="008970FA" w:rsidRDefault="00FA0BB9" w:rsidP="008970FA">
            <w:pPr>
              <w:spacing w:before="60" w:line="240" w:lineRule="auto"/>
              <w:rPr>
                <w:rFonts w:cs="Arial"/>
                <w:color w:val="auto"/>
                <w:szCs w:val="18"/>
              </w:rPr>
            </w:pPr>
            <w:r w:rsidRPr="008970FA">
              <w:rPr>
                <w:rFonts w:cs="Arial"/>
                <w:color w:val="auto"/>
                <w:szCs w:val="18"/>
              </w:rPr>
              <w:t>(pigeon* NOT (pigeonpea OR "pigeon pea" OR pigeonholed)) AND (wellbeing OR well-being)</w:t>
            </w:r>
          </w:p>
        </w:tc>
        <w:tc>
          <w:tcPr>
            <w:tcW w:w="1020" w:type="dxa"/>
          </w:tcPr>
          <w:p w14:paraId="76697C23" w14:textId="77777777" w:rsidR="00FA0BB9" w:rsidRPr="008970FA" w:rsidRDefault="00FA0BB9" w:rsidP="008970FA">
            <w:pPr>
              <w:spacing w:before="60" w:line="240" w:lineRule="auto"/>
              <w:rPr>
                <w:rFonts w:cs="Arial"/>
                <w:color w:val="auto"/>
                <w:szCs w:val="18"/>
              </w:rPr>
            </w:pPr>
            <w:r w:rsidRPr="008970FA">
              <w:rPr>
                <w:rFonts w:cs="Arial"/>
                <w:color w:val="auto"/>
                <w:szCs w:val="18"/>
              </w:rPr>
              <w:t>1</w:t>
            </w:r>
          </w:p>
        </w:tc>
        <w:tc>
          <w:tcPr>
            <w:tcW w:w="1020" w:type="dxa"/>
          </w:tcPr>
          <w:p w14:paraId="47CC35B6"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c>
          <w:tcPr>
            <w:tcW w:w="3889" w:type="dxa"/>
          </w:tcPr>
          <w:p w14:paraId="00356FA5" w14:textId="77777777" w:rsidR="00FA0BB9" w:rsidRPr="008970FA" w:rsidRDefault="00FA0BB9" w:rsidP="008970FA">
            <w:pPr>
              <w:spacing w:before="60" w:line="240" w:lineRule="auto"/>
              <w:rPr>
                <w:rFonts w:cs="Arial"/>
                <w:color w:val="auto"/>
                <w:szCs w:val="18"/>
              </w:rPr>
            </w:pPr>
            <w:r w:rsidRPr="008970FA">
              <w:rPr>
                <w:rFonts w:cs="Arial"/>
                <w:color w:val="auto"/>
                <w:szCs w:val="18"/>
              </w:rPr>
              <w:t>Avian Influenza paper</w:t>
            </w:r>
          </w:p>
        </w:tc>
      </w:tr>
      <w:tr w:rsidR="00FA0BB9" w:rsidRPr="00286A88" w14:paraId="603BB552" w14:textId="77777777" w:rsidTr="00587D34">
        <w:tc>
          <w:tcPr>
            <w:tcW w:w="4025" w:type="dxa"/>
            <w:shd w:val="clear" w:color="auto" w:fill="auto"/>
          </w:tcPr>
          <w:p w14:paraId="7606A0CE" w14:textId="77777777" w:rsidR="00FA0BB9" w:rsidRPr="00243C3C" w:rsidRDefault="00FA0BB9" w:rsidP="008970FA">
            <w:pPr>
              <w:spacing w:before="60" w:line="240" w:lineRule="auto"/>
              <w:rPr>
                <w:rFonts w:cs="Arial"/>
                <w:b/>
                <w:color w:val="auto"/>
                <w:szCs w:val="18"/>
              </w:rPr>
            </w:pPr>
            <w:r w:rsidRPr="00243C3C">
              <w:rPr>
                <w:rFonts w:cs="Arial"/>
                <w:b/>
                <w:color w:val="auto"/>
                <w:szCs w:val="18"/>
              </w:rPr>
              <w:t>Further-restricted search for sub-set of terms relevant to welfare</w:t>
            </w:r>
          </w:p>
        </w:tc>
        <w:tc>
          <w:tcPr>
            <w:tcW w:w="1020" w:type="dxa"/>
            <w:shd w:val="clear" w:color="auto" w:fill="auto"/>
          </w:tcPr>
          <w:p w14:paraId="7753FE83" w14:textId="77777777" w:rsidR="00FA0BB9" w:rsidRPr="008970FA" w:rsidRDefault="00FA0BB9" w:rsidP="008970FA">
            <w:pPr>
              <w:spacing w:before="60" w:line="240" w:lineRule="auto"/>
              <w:rPr>
                <w:rFonts w:cs="Arial"/>
                <w:color w:val="auto"/>
                <w:szCs w:val="18"/>
              </w:rPr>
            </w:pPr>
          </w:p>
        </w:tc>
        <w:tc>
          <w:tcPr>
            <w:tcW w:w="1020" w:type="dxa"/>
            <w:shd w:val="clear" w:color="auto" w:fill="auto"/>
          </w:tcPr>
          <w:p w14:paraId="6C57D535" w14:textId="77777777" w:rsidR="00FA0BB9" w:rsidRPr="008970FA" w:rsidRDefault="00FA0BB9" w:rsidP="008970FA">
            <w:pPr>
              <w:spacing w:before="60" w:line="240" w:lineRule="auto"/>
              <w:rPr>
                <w:rFonts w:cs="Arial"/>
                <w:color w:val="auto"/>
                <w:szCs w:val="18"/>
              </w:rPr>
            </w:pPr>
          </w:p>
        </w:tc>
        <w:tc>
          <w:tcPr>
            <w:tcW w:w="3889" w:type="dxa"/>
            <w:shd w:val="clear" w:color="auto" w:fill="auto"/>
          </w:tcPr>
          <w:p w14:paraId="009B4892" w14:textId="77777777" w:rsidR="00FA0BB9" w:rsidRPr="008970FA" w:rsidRDefault="00FA0BB9" w:rsidP="008970FA">
            <w:pPr>
              <w:spacing w:before="60" w:line="240" w:lineRule="auto"/>
              <w:rPr>
                <w:rFonts w:cs="Arial"/>
                <w:color w:val="auto"/>
                <w:szCs w:val="18"/>
              </w:rPr>
            </w:pPr>
          </w:p>
        </w:tc>
      </w:tr>
      <w:tr w:rsidR="00FA0BB9" w:rsidRPr="00286A88" w14:paraId="27A216FF" w14:textId="77777777" w:rsidTr="00D561AB">
        <w:tc>
          <w:tcPr>
            <w:tcW w:w="4025" w:type="dxa"/>
          </w:tcPr>
          <w:p w14:paraId="6DA7F20A" w14:textId="77777777" w:rsidR="00FA0BB9" w:rsidRPr="008970FA" w:rsidRDefault="00FA0BB9" w:rsidP="008970FA">
            <w:pPr>
              <w:spacing w:before="60" w:line="240" w:lineRule="auto"/>
              <w:rPr>
                <w:rFonts w:cs="Arial"/>
                <w:color w:val="auto"/>
                <w:szCs w:val="18"/>
              </w:rPr>
            </w:pPr>
            <w:r w:rsidRPr="008970FA">
              <w:rPr>
                <w:rFonts w:cs="Arial"/>
                <w:color w:val="auto"/>
                <w:szCs w:val="18"/>
              </w:rPr>
              <w:t>(pigeon* NOT (pigeonpea OR "pigeon pea" O</w:t>
            </w:r>
            <w:r w:rsidR="007E6FE0">
              <w:rPr>
                <w:rFonts w:cs="Arial"/>
                <w:color w:val="auto"/>
                <w:szCs w:val="18"/>
              </w:rPr>
              <w:t>R pigeonholed)) AND (racing OR h</w:t>
            </w:r>
            <w:r w:rsidRPr="008970FA">
              <w:rPr>
                <w:rFonts w:cs="Arial"/>
                <w:color w:val="auto"/>
                <w:szCs w:val="18"/>
              </w:rPr>
              <w:t>oming)</w:t>
            </w:r>
          </w:p>
        </w:tc>
        <w:tc>
          <w:tcPr>
            <w:tcW w:w="1020" w:type="dxa"/>
          </w:tcPr>
          <w:p w14:paraId="5EFD5A79" w14:textId="77777777" w:rsidR="00FA0BB9" w:rsidRPr="008970FA" w:rsidRDefault="00FA0BB9" w:rsidP="008970FA">
            <w:pPr>
              <w:spacing w:before="60" w:line="240" w:lineRule="auto"/>
              <w:rPr>
                <w:rFonts w:cs="Arial"/>
                <w:color w:val="auto"/>
                <w:szCs w:val="18"/>
              </w:rPr>
            </w:pPr>
            <w:r w:rsidRPr="008970FA">
              <w:rPr>
                <w:rFonts w:cs="Arial"/>
                <w:color w:val="auto"/>
                <w:szCs w:val="18"/>
              </w:rPr>
              <w:t>804</w:t>
            </w:r>
          </w:p>
        </w:tc>
        <w:tc>
          <w:tcPr>
            <w:tcW w:w="1020" w:type="dxa"/>
          </w:tcPr>
          <w:p w14:paraId="3884C314"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c>
          <w:tcPr>
            <w:tcW w:w="3889" w:type="dxa"/>
          </w:tcPr>
          <w:p w14:paraId="583C980D" w14:textId="77777777" w:rsidR="00FA0BB9" w:rsidRPr="008970FA" w:rsidRDefault="00FA0BB9" w:rsidP="008970FA">
            <w:pPr>
              <w:spacing w:before="60" w:line="240" w:lineRule="auto"/>
              <w:rPr>
                <w:rFonts w:cs="Arial"/>
                <w:color w:val="auto"/>
                <w:szCs w:val="18"/>
              </w:rPr>
            </w:pPr>
            <w:r w:rsidRPr="008970FA">
              <w:rPr>
                <w:rFonts w:cs="Arial"/>
                <w:color w:val="auto"/>
                <w:szCs w:val="18"/>
              </w:rPr>
              <w:t>Mostly navigation studies and factors affecting homing performance, health</w:t>
            </w:r>
          </w:p>
        </w:tc>
      </w:tr>
      <w:tr w:rsidR="00FA0BB9" w:rsidRPr="00286A88" w14:paraId="45D8394D" w14:textId="77777777" w:rsidTr="00D561AB">
        <w:tc>
          <w:tcPr>
            <w:tcW w:w="4025" w:type="dxa"/>
          </w:tcPr>
          <w:p w14:paraId="1058FA2C" w14:textId="77777777" w:rsidR="00FA0BB9" w:rsidRPr="008970FA" w:rsidRDefault="00FA0BB9" w:rsidP="008970FA">
            <w:pPr>
              <w:spacing w:before="60" w:line="240" w:lineRule="auto"/>
              <w:rPr>
                <w:rFonts w:cs="Arial"/>
                <w:color w:val="auto"/>
                <w:szCs w:val="18"/>
              </w:rPr>
            </w:pPr>
            <w:r w:rsidRPr="008970FA">
              <w:rPr>
                <w:rFonts w:cs="Arial"/>
                <w:color w:val="auto"/>
                <w:szCs w:val="18"/>
              </w:rPr>
              <w:t>(pigeon* NOT (pigeonpea OR "pigeon pea" OR pigeonholed)) AND health</w:t>
            </w:r>
          </w:p>
        </w:tc>
        <w:tc>
          <w:tcPr>
            <w:tcW w:w="1020" w:type="dxa"/>
          </w:tcPr>
          <w:p w14:paraId="4082330A" w14:textId="77777777" w:rsidR="00FA0BB9" w:rsidRPr="008970FA" w:rsidRDefault="00FA0BB9" w:rsidP="008970FA">
            <w:pPr>
              <w:spacing w:before="60" w:line="240" w:lineRule="auto"/>
              <w:rPr>
                <w:rFonts w:cs="Arial"/>
                <w:color w:val="auto"/>
                <w:szCs w:val="18"/>
              </w:rPr>
            </w:pPr>
            <w:r w:rsidRPr="008970FA">
              <w:rPr>
                <w:rFonts w:cs="Arial"/>
                <w:color w:val="auto"/>
                <w:szCs w:val="18"/>
              </w:rPr>
              <w:t>203</w:t>
            </w:r>
          </w:p>
        </w:tc>
        <w:tc>
          <w:tcPr>
            <w:tcW w:w="1020" w:type="dxa"/>
          </w:tcPr>
          <w:p w14:paraId="5DECE44B" w14:textId="77777777" w:rsidR="00FA0BB9" w:rsidRPr="008970FA" w:rsidRDefault="004A3DB9" w:rsidP="008970FA">
            <w:pPr>
              <w:spacing w:before="60" w:line="240" w:lineRule="auto"/>
              <w:rPr>
                <w:rFonts w:cs="Arial"/>
                <w:color w:val="auto"/>
                <w:szCs w:val="18"/>
              </w:rPr>
            </w:pPr>
            <w:r>
              <w:rPr>
                <w:rFonts w:cs="Arial"/>
                <w:color w:val="auto"/>
                <w:szCs w:val="18"/>
              </w:rPr>
              <w:t>0</w:t>
            </w:r>
          </w:p>
        </w:tc>
        <w:tc>
          <w:tcPr>
            <w:tcW w:w="3889" w:type="dxa"/>
          </w:tcPr>
          <w:p w14:paraId="63FEED08" w14:textId="77777777" w:rsidR="00FA0BB9" w:rsidRPr="008970FA" w:rsidRDefault="00FA0BB9" w:rsidP="008970FA">
            <w:pPr>
              <w:spacing w:before="60" w:line="240" w:lineRule="auto"/>
              <w:rPr>
                <w:rFonts w:cs="Arial"/>
                <w:color w:val="auto"/>
                <w:szCs w:val="18"/>
              </w:rPr>
            </w:pPr>
            <w:r w:rsidRPr="008970FA">
              <w:rPr>
                <w:rFonts w:cs="Arial"/>
                <w:color w:val="auto"/>
                <w:szCs w:val="18"/>
              </w:rPr>
              <w:t>Mostly role of wild/feral pigeons in zoonoses or diseases of farmed animals</w:t>
            </w:r>
          </w:p>
        </w:tc>
      </w:tr>
      <w:tr w:rsidR="00FA0BB9" w:rsidRPr="00286A88" w14:paraId="39436169" w14:textId="77777777" w:rsidTr="00D561AB">
        <w:tc>
          <w:tcPr>
            <w:tcW w:w="4025" w:type="dxa"/>
          </w:tcPr>
          <w:p w14:paraId="131B204F" w14:textId="77777777" w:rsidR="00FA0BB9" w:rsidRPr="008970FA" w:rsidRDefault="00FA0BB9" w:rsidP="008970FA">
            <w:pPr>
              <w:spacing w:before="60" w:line="240" w:lineRule="auto"/>
              <w:rPr>
                <w:rFonts w:cs="Arial"/>
                <w:color w:val="auto"/>
                <w:szCs w:val="18"/>
              </w:rPr>
            </w:pPr>
            <w:r w:rsidRPr="008970FA">
              <w:rPr>
                <w:rFonts w:cs="Arial"/>
                <w:color w:val="auto"/>
                <w:szCs w:val="18"/>
              </w:rPr>
              <w:t>(pigeon* NOT (pigeonpea OR "pigeon pea" OR pigeonholed)) AND (perch* OR nest* OR enrich* OR litter)</w:t>
            </w:r>
          </w:p>
        </w:tc>
        <w:tc>
          <w:tcPr>
            <w:tcW w:w="1020" w:type="dxa"/>
          </w:tcPr>
          <w:p w14:paraId="12B3284E" w14:textId="77777777" w:rsidR="00FA0BB9" w:rsidRPr="008970FA" w:rsidRDefault="00FA0BB9" w:rsidP="008970FA">
            <w:pPr>
              <w:spacing w:before="60" w:line="240" w:lineRule="auto"/>
              <w:rPr>
                <w:rFonts w:cs="Arial"/>
                <w:color w:val="auto"/>
                <w:szCs w:val="18"/>
              </w:rPr>
            </w:pPr>
            <w:r w:rsidRPr="008970FA">
              <w:rPr>
                <w:rFonts w:cs="Arial"/>
                <w:color w:val="auto"/>
                <w:szCs w:val="18"/>
              </w:rPr>
              <w:t>428</w:t>
            </w:r>
          </w:p>
        </w:tc>
        <w:tc>
          <w:tcPr>
            <w:tcW w:w="1020" w:type="dxa"/>
          </w:tcPr>
          <w:p w14:paraId="7E1DF540" w14:textId="77777777" w:rsidR="00FA0BB9" w:rsidRPr="008970FA" w:rsidRDefault="00FA0BB9" w:rsidP="008970FA">
            <w:pPr>
              <w:spacing w:before="60" w:line="240" w:lineRule="auto"/>
              <w:rPr>
                <w:rFonts w:cs="Arial"/>
                <w:color w:val="auto"/>
                <w:szCs w:val="18"/>
              </w:rPr>
            </w:pPr>
            <w:r w:rsidRPr="008970FA">
              <w:rPr>
                <w:rFonts w:cs="Arial"/>
                <w:color w:val="auto"/>
                <w:szCs w:val="18"/>
              </w:rPr>
              <w:t>4</w:t>
            </w:r>
          </w:p>
        </w:tc>
        <w:tc>
          <w:tcPr>
            <w:tcW w:w="3889" w:type="dxa"/>
          </w:tcPr>
          <w:p w14:paraId="5E568BF0" w14:textId="77777777" w:rsidR="00FA0BB9" w:rsidRPr="008970FA" w:rsidRDefault="00FA0BB9" w:rsidP="00AE59F9">
            <w:pPr>
              <w:spacing w:before="60" w:line="240" w:lineRule="auto"/>
              <w:rPr>
                <w:rFonts w:cs="Arial"/>
                <w:color w:val="auto"/>
                <w:szCs w:val="18"/>
              </w:rPr>
            </w:pPr>
            <w:r w:rsidRPr="008970FA">
              <w:rPr>
                <w:rFonts w:cs="Arial"/>
                <w:color w:val="auto"/>
                <w:szCs w:val="18"/>
              </w:rPr>
              <w:t>4 papers using a form of enrichment as part of experimental design. Others mostly wild/feral pigeon nesting or perching deterrents</w:t>
            </w:r>
          </w:p>
        </w:tc>
      </w:tr>
      <w:tr w:rsidR="00FA0BB9" w:rsidRPr="00286A88" w14:paraId="17E0D1C8" w14:textId="77777777" w:rsidTr="00D561AB">
        <w:tc>
          <w:tcPr>
            <w:tcW w:w="4025" w:type="dxa"/>
          </w:tcPr>
          <w:p w14:paraId="68FCD036" w14:textId="77777777" w:rsidR="00FA0BB9" w:rsidRPr="008970FA" w:rsidRDefault="00FA0BB9" w:rsidP="008970FA">
            <w:pPr>
              <w:spacing w:before="60" w:line="240" w:lineRule="auto"/>
              <w:rPr>
                <w:rFonts w:cs="Arial"/>
                <w:color w:val="auto"/>
                <w:szCs w:val="18"/>
              </w:rPr>
            </w:pPr>
            <w:r w:rsidRPr="008970FA">
              <w:rPr>
                <w:rFonts w:cs="Arial"/>
                <w:color w:val="auto"/>
                <w:szCs w:val="18"/>
              </w:rPr>
              <w:t>(pigeon* NOT (pigeonpea OR "pigeon pea" OR pigeonholed)) AND (dustbath* or dust-bath*)</w:t>
            </w:r>
          </w:p>
        </w:tc>
        <w:tc>
          <w:tcPr>
            <w:tcW w:w="1020" w:type="dxa"/>
          </w:tcPr>
          <w:p w14:paraId="45CC8401" w14:textId="77777777" w:rsidR="00FA0BB9" w:rsidRPr="008970FA" w:rsidRDefault="00FA0BB9" w:rsidP="008970FA">
            <w:pPr>
              <w:spacing w:before="60" w:line="240" w:lineRule="auto"/>
              <w:rPr>
                <w:rFonts w:cs="Arial"/>
                <w:color w:val="auto"/>
                <w:szCs w:val="18"/>
              </w:rPr>
            </w:pPr>
            <w:r w:rsidRPr="008970FA">
              <w:rPr>
                <w:rFonts w:cs="Arial"/>
                <w:color w:val="auto"/>
                <w:szCs w:val="18"/>
              </w:rPr>
              <w:t>1</w:t>
            </w:r>
          </w:p>
        </w:tc>
        <w:tc>
          <w:tcPr>
            <w:tcW w:w="1020" w:type="dxa"/>
          </w:tcPr>
          <w:p w14:paraId="51F0F2C7"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c>
          <w:tcPr>
            <w:tcW w:w="3889" w:type="dxa"/>
          </w:tcPr>
          <w:p w14:paraId="239EA306" w14:textId="77777777" w:rsidR="00FA0BB9" w:rsidRPr="008970FA" w:rsidRDefault="00FA0BB9" w:rsidP="008970FA">
            <w:pPr>
              <w:spacing w:before="60" w:line="240" w:lineRule="auto"/>
              <w:rPr>
                <w:rFonts w:cs="Arial"/>
                <w:color w:val="auto"/>
                <w:szCs w:val="18"/>
              </w:rPr>
            </w:pPr>
            <w:r w:rsidRPr="008970FA">
              <w:rPr>
                <w:rFonts w:cs="Arial"/>
                <w:color w:val="auto"/>
                <w:szCs w:val="18"/>
              </w:rPr>
              <w:t>Other species</w:t>
            </w:r>
          </w:p>
        </w:tc>
      </w:tr>
      <w:tr w:rsidR="00FA0BB9" w:rsidRPr="00286A88" w14:paraId="49E94C14" w14:textId="77777777" w:rsidTr="00D561AB">
        <w:tc>
          <w:tcPr>
            <w:tcW w:w="4025" w:type="dxa"/>
          </w:tcPr>
          <w:p w14:paraId="26DCACC4" w14:textId="77777777" w:rsidR="00FA0BB9" w:rsidRPr="008970FA" w:rsidRDefault="00FA0BB9" w:rsidP="008970FA">
            <w:pPr>
              <w:spacing w:before="60" w:line="240" w:lineRule="auto"/>
              <w:rPr>
                <w:rFonts w:cs="Arial"/>
                <w:color w:val="auto"/>
                <w:szCs w:val="18"/>
              </w:rPr>
            </w:pPr>
            <w:r w:rsidRPr="008970FA">
              <w:rPr>
                <w:rFonts w:cs="Arial"/>
                <w:color w:val="auto"/>
                <w:szCs w:val="18"/>
              </w:rPr>
              <w:t>(pigeon* NOT (pigeonpea OR "pigeon pea" OR pigeonholed)) AND (injur* OR cull* OR mortali*)</w:t>
            </w:r>
          </w:p>
        </w:tc>
        <w:tc>
          <w:tcPr>
            <w:tcW w:w="1020" w:type="dxa"/>
          </w:tcPr>
          <w:p w14:paraId="7ADC9D23" w14:textId="77777777" w:rsidR="00FA0BB9" w:rsidRPr="008970FA" w:rsidRDefault="00FA0BB9" w:rsidP="008970FA">
            <w:pPr>
              <w:spacing w:before="60" w:line="240" w:lineRule="auto"/>
              <w:rPr>
                <w:rFonts w:cs="Arial"/>
                <w:color w:val="auto"/>
                <w:szCs w:val="18"/>
              </w:rPr>
            </w:pPr>
            <w:r w:rsidRPr="008970FA">
              <w:rPr>
                <w:rFonts w:cs="Arial"/>
                <w:color w:val="auto"/>
                <w:szCs w:val="18"/>
              </w:rPr>
              <w:t>216</w:t>
            </w:r>
          </w:p>
        </w:tc>
        <w:tc>
          <w:tcPr>
            <w:tcW w:w="1020" w:type="dxa"/>
          </w:tcPr>
          <w:p w14:paraId="7C8541EB"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c>
          <w:tcPr>
            <w:tcW w:w="3889" w:type="dxa"/>
          </w:tcPr>
          <w:p w14:paraId="1F3EDE77" w14:textId="77777777" w:rsidR="00FA0BB9" w:rsidRPr="008970FA" w:rsidRDefault="00FA0BB9" w:rsidP="008970FA">
            <w:pPr>
              <w:spacing w:before="60" w:line="240" w:lineRule="auto"/>
              <w:rPr>
                <w:rFonts w:cs="Arial"/>
                <w:color w:val="auto"/>
                <w:szCs w:val="18"/>
              </w:rPr>
            </w:pPr>
            <w:r w:rsidRPr="008970FA">
              <w:rPr>
                <w:rFonts w:cs="Arial"/>
                <w:color w:val="auto"/>
                <w:szCs w:val="18"/>
              </w:rPr>
              <w:t>Mostly wild/feral pigeons</w:t>
            </w:r>
          </w:p>
        </w:tc>
      </w:tr>
      <w:tr w:rsidR="0010235B" w:rsidRPr="00286A88" w14:paraId="192591F9" w14:textId="77777777" w:rsidTr="00D561AB">
        <w:tc>
          <w:tcPr>
            <w:tcW w:w="4025" w:type="dxa"/>
          </w:tcPr>
          <w:p w14:paraId="161874BC" w14:textId="77777777" w:rsidR="0010235B" w:rsidRPr="0010235B" w:rsidRDefault="0010235B" w:rsidP="008970FA">
            <w:pPr>
              <w:spacing w:before="60" w:line="240" w:lineRule="auto"/>
              <w:rPr>
                <w:rFonts w:cs="Arial"/>
                <w:b/>
                <w:color w:val="auto"/>
                <w:szCs w:val="18"/>
              </w:rPr>
            </w:pPr>
            <w:r>
              <w:rPr>
                <w:rFonts w:cs="Arial"/>
                <w:b/>
                <w:color w:val="auto"/>
                <w:szCs w:val="18"/>
              </w:rPr>
              <w:t>Papers retained from secondary searches</w:t>
            </w:r>
          </w:p>
        </w:tc>
        <w:tc>
          <w:tcPr>
            <w:tcW w:w="1020" w:type="dxa"/>
          </w:tcPr>
          <w:p w14:paraId="4342FF21" w14:textId="77777777" w:rsidR="0010235B" w:rsidRPr="008970FA" w:rsidRDefault="0010235B" w:rsidP="008970FA">
            <w:pPr>
              <w:spacing w:before="60" w:line="240" w:lineRule="auto"/>
              <w:rPr>
                <w:rFonts w:cs="Arial"/>
                <w:color w:val="auto"/>
                <w:szCs w:val="18"/>
              </w:rPr>
            </w:pPr>
          </w:p>
        </w:tc>
        <w:tc>
          <w:tcPr>
            <w:tcW w:w="1020" w:type="dxa"/>
          </w:tcPr>
          <w:p w14:paraId="7C425C9E" w14:textId="77777777" w:rsidR="0010235B" w:rsidRPr="0010235B" w:rsidRDefault="004A3DB9" w:rsidP="008970FA">
            <w:pPr>
              <w:spacing w:before="60" w:line="240" w:lineRule="auto"/>
              <w:rPr>
                <w:rFonts w:cs="Arial"/>
                <w:b/>
                <w:color w:val="auto"/>
                <w:szCs w:val="18"/>
              </w:rPr>
            </w:pPr>
            <w:r>
              <w:rPr>
                <w:rFonts w:cs="Arial"/>
                <w:b/>
                <w:color w:val="auto"/>
                <w:szCs w:val="18"/>
              </w:rPr>
              <w:t>4</w:t>
            </w:r>
          </w:p>
        </w:tc>
        <w:tc>
          <w:tcPr>
            <w:tcW w:w="3889" w:type="dxa"/>
          </w:tcPr>
          <w:p w14:paraId="18E80C1E" w14:textId="77777777" w:rsidR="0010235B" w:rsidRPr="008970FA" w:rsidRDefault="0010235B" w:rsidP="008970FA">
            <w:pPr>
              <w:spacing w:before="60" w:line="240" w:lineRule="auto"/>
              <w:rPr>
                <w:rFonts w:cs="Arial"/>
                <w:color w:val="auto"/>
                <w:szCs w:val="18"/>
              </w:rPr>
            </w:pPr>
          </w:p>
        </w:tc>
      </w:tr>
    </w:tbl>
    <w:p w14:paraId="515DC457" w14:textId="77777777" w:rsidR="0010235B" w:rsidRPr="0010235B" w:rsidRDefault="0010235B" w:rsidP="005F7B38">
      <w:pPr>
        <w:spacing w:before="240"/>
        <w:rPr>
          <w:b/>
          <w:lang w:val="en-GB"/>
        </w:rPr>
      </w:pPr>
      <w:r>
        <w:rPr>
          <w:b/>
          <w:lang w:val="en-GB"/>
        </w:rPr>
        <w:t xml:space="preserve">Total number of papers retained from primary and secondary searches: 1 + </w:t>
      </w:r>
      <w:r w:rsidR="004A3DB9">
        <w:rPr>
          <w:b/>
          <w:lang w:val="en-GB"/>
        </w:rPr>
        <w:t>4</w:t>
      </w:r>
      <w:r>
        <w:rPr>
          <w:b/>
          <w:lang w:val="en-GB"/>
        </w:rPr>
        <w:t xml:space="preserve"> = </w:t>
      </w:r>
      <w:r w:rsidR="004A3DB9">
        <w:rPr>
          <w:b/>
          <w:lang w:val="en-GB"/>
        </w:rPr>
        <w:t>5</w:t>
      </w:r>
    </w:p>
    <w:p w14:paraId="15421101" w14:textId="77777777" w:rsidR="0010235B" w:rsidRDefault="0010235B" w:rsidP="001123AA">
      <w:pPr>
        <w:rPr>
          <w:lang w:val="en-GB"/>
        </w:rPr>
      </w:pPr>
    </w:p>
    <w:p w14:paraId="22930D36" w14:textId="77777777" w:rsidR="00FA0BB9" w:rsidRPr="00FA0BB9" w:rsidRDefault="00FA0BB9" w:rsidP="00AE59F9">
      <w:pPr>
        <w:spacing w:before="120"/>
        <w:rPr>
          <w:b/>
          <w:sz w:val="24"/>
          <w:szCs w:val="24"/>
          <w:lang w:val="en-GB"/>
        </w:rPr>
      </w:pPr>
      <w:r>
        <w:rPr>
          <w:lang w:val="en-GB"/>
        </w:rPr>
        <w:br w:type="column"/>
      </w:r>
      <w:r w:rsidRPr="00FA0BB9">
        <w:rPr>
          <w:b/>
          <w:sz w:val="24"/>
          <w:szCs w:val="24"/>
          <w:lang w:val="en-GB"/>
        </w:rPr>
        <w:t>Quail</w:t>
      </w:r>
    </w:p>
    <w:p w14:paraId="7E6E8CC8" w14:textId="77777777" w:rsidR="00FA0BB9" w:rsidRPr="00590F0B" w:rsidRDefault="00FA0BB9" w:rsidP="00590F0B">
      <w:pPr>
        <w:spacing w:before="240" w:after="240"/>
        <w:rPr>
          <w:b/>
          <w:lang w:val="en-GB"/>
        </w:rPr>
      </w:pPr>
      <w:r w:rsidRPr="00590F0B">
        <w:rPr>
          <w:b/>
          <w:lang w:val="en-GB"/>
        </w:rPr>
        <w:t>Primary Search</w:t>
      </w:r>
      <w:r w:rsidR="007E6FE0">
        <w:rPr>
          <w:b/>
          <w:lang w:val="en-GB"/>
        </w:rPr>
        <w:t>:</w:t>
      </w:r>
      <w:r w:rsidRPr="00590F0B">
        <w:rPr>
          <w:b/>
          <w:lang w:val="en-GB"/>
        </w:rPr>
        <w:t xml:space="preserve"> [(quail* OR coturnix) AND welfare] = 8</w:t>
      </w:r>
      <w:r w:rsidR="004A3DB9">
        <w:rPr>
          <w:b/>
          <w:lang w:val="en-GB"/>
        </w:rPr>
        <w:t>3</w:t>
      </w:r>
      <w:r w:rsidRPr="00590F0B">
        <w:rPr>
          <w:b/>
          <w:lang w:val="en-GB"/>
        </w:rPr>
        <w:t xml:space="preserve"> results</w:t>
      </w:r>
    </w:p>
    <w:tbl>
      <w:tblPr>
        <w:tblStyle w:val="TableGrid11"/>
        <w:tblW w:w="9977" w:type="dxa"/>
        <w:tblLook w:val="04A0" w:firstRow="1" w:lastRow="0" w:firstColumn="1" w:lastColumn="0" w:noHBand="0" w:noVBand="1"/>
        <w:tblCaption w:val="Papers excluded after primary literature search for quail welfare"/>
        <w:tblDescription w:val="This table shows the number of papers excluded after the primary literature search for quail welfare. The left hand column shows the primary reason for exclusion. The middle column shows the number of papers excluded. The right hand column gives an example of a paper excluded for each reason."/>
      </w:tblPr>
      <w:tblGrid>
        <w:gridCol w:w="3628"/>
        <w:gridCol w:w="1020"/>
        <w:gridCol w:w="5329"/>
      </w:tblGrid>
      <w:tr w:rsidR="00FA0BB9" w:rsidRPr="00286A88" w14:paraId="7C2518BE" w14:textId="77777777" w:rsidTr="00587D34">
        <w:trPr>
          <w:tblHeader/>
        </w:trPr>
        <w:tc>
          <w:tcPr>
            <w:tcW w:w="3628" w:type="dxa"/>
            <w:shd w:val="clear" w:color="auto" w:fill="auto"/>
          </w:tcPr>
          <w:p w14:paraId="721BCF63" w14:textId="77777777" w:rsidR="00FA0BB9" w:rsidRPr="00F67C8B" w:rsidRDefault="00FA0BB9" w:rsidP="009928C2">
            <w:pPr>
              <w:spacing w:before="60" w:line="240" w:lineRule="auto"/>
              <w:rPr>
                <w:rFonts w:cs="Arial"/>
                <w:b/>
                <w:color w:val="auto"/>
                <w:szCs w:val="18"/>
              </w:rPr>
            </w:pPr>
            <w:r w:rsidRPr="00F67C8B">
              <w:rPr>
                <w:rFonts w:cs="Arial"/>
                <w:b/>
                <w:color w:val="auto"/>
                <w:szCs w:val="18"/>
              </w:rPr>
              <w:t>Primary reason for exclusion</w:t>
            </w:r>
          </w:p>
        </w:tc>
        <w:tc>
          <w:tcPr>
            <w:tcW w:w="1020" w:type="dxa"/>
            <w:shd w:val="clear" w:color="auto" w:fill="auto"/>
          </w:tcPr>
          <w:p w14:paraId="2FEFF730" w14:textId="77777777" w:rsidR="00FA0BB9" w:rsidRPr="00F67C8B" w:rsidRDefault="00FA0BB9" w:rsidP="009928C2">
            <w:pPr>
              <w:spacing w:before="60" w:line="240" w:lineRule="auto"/>
              <w:rPr>
                <w:rFonts w:cs="Arial"/>
                <w:color w:val="auto"/>
                <w:szCs w:val="18"/>
              </w:rPr>
            </w:pPr>
            <w:r w:rsidRPr="00F67C8B">
              <w:rPr>
                <w:rFonts w:cs="Arial"/>
                <w:color w:val="auto"/>
                <w:szCs w:val="18"/>
              </w:rPr>
              <w:t>Number excluded</w:t>
            </w:r>
          </w:p>
        </w:tc>
        <w:tc>
          <w:tcPr>
            <w:tcW w:w="5329" w:type="dxa"/>
            <w:shd w:val="clear" w:color="auto" w:fill="auto"/>
          </w:tcPr>
          <w:p w14:paraId="23EAA768" w14:textId="77777777" w:rsidR="00FA0BB9" w:rsidRPr="00F67C8B" w:rsidRDefault="00FA0BB9" w:rsidP="009928C2">
            <w:pPr>
              <w:spacing w:before="60" w:line="240" w:lineRule="auto"/>
              <w:rPr>
                <w:rFonts w:cs="Arial"/>
                <w:color w:val="auto"/>
                <w:szCs w:val="18"/>
              </w:rPr>
            </w:pPr>
            <w:r w:rsidRPr="00F67C8B">
              <w:rPr>
                <w:rFonts w:cs="Arial"/>
                <w:i/>
                <w:color w:val="auto"/>
                <w:szCs w:val="18"/>
              </w:rPr>
              <w:t>Example</w:t>
            </w:r>
            <w:r w:rsidRPr="00F67C8B">
              <w:rPr>
                <w:rFonts w:cs="Arial"/>
                <w:color w:val="auto"/>
                <w:szCs w:val="18"/>
              </w:rPr>
              <w:t xml:space="preserve"> of paper excluded for each reason</w:t>
            </w:r>
          </w:p>
        </w:tc>
      </w:tr>
      <w:tr w:rsidR="00FA0BB9" w:rsidRPr="00286A88" w14:paraId="7B48E547" w14:textId="77777777" w:rsidTr="005F7B38">
        <w:tc>
          <w:tcPr>
            <w:tcW w:w="3628" w:type="dxa"/>
          </w:tcPr>
          <w:p w14:paraId="36333AAB" w14:textId="77777777" w:rsidR="00FA0BB9" w:rsidRPr="008C43DD" w:rsidRDefault="00FA0BB9" w:rsidP="008C43DD">
            <w:pPr>
              <w:spacing w:before="60"/>
            </w:pPr>
            <w:r w:rsidRPr="008C43DD">
              <w:t>Not quail- other farmed birds</w:t>
            </w:r>
          </w:p>
        </w:tc>
        <w:tc>
          <w:tcPr>
            <w:tcW w:w="1020" w:type="dxa"/>
          </w:tcPr>
          <w:p w14:paraId="665E7F85" w14:textId="77777777" w:rsidR="00FA0BB9" w:rsidRPr="008C43DD" w:rsidRDefault="00FA0BB9" w:rsidP="008C43DD">
            <w:pPr>
              <w:spacing w:before="60"/>
            </w:pPr>
            <w:r w:rsidRPr="008C43DD">
              <w:t>31</w:t>
            </w:r>
          </w:p>
        </w:tc>
        <w:tc>
          <w:tcPr>
            <w:tcW w:w="5329" w:type="dxa"/>
          </w:tcPr>
          <w:p w14:paraId="524F0382" w14:textId="77777777" w:rsidR="00C26326" w:rsidRPr="00C26326" w:rsidRDefault="00C26326" w:rsidP="00C26326">
            <w:pPr>
              <w:pStyle w:val="NoSpacing"/>
              <w:rPr>
                <w:sz w:val="16"/>
                <w:szCs w:val="16"/>
              </w:rPr>
            </w:pPr>
            <w:r w:rsidRPr="00C26326">
              <w:rPr>
                <w:sz w:val="16"/>
                <w:szCs w:val="16"/>
              </w:rPr>
              <w:t>Stress and reactivity in three Italian chicken breeds</w:t>
            </w:r>
          </w:p>
          <w:p w14:paraId="3C46652C" w14:textId="77777777" w:rsidR="00C26326" w:rsidRPr="00C26326" w:rsidRDefault="00C26326" w:rsidP="00C26326">
            <w:pPr>
              <w:pStyle w:val="NoSpacing"/>
              <w:rPr>
                <w:sz w:val="16"/>
                <w:szCs w:val="16"/>
              </w:rPr>
            </w:pPr>
            <w:r w:rsidRPr="00C26326">
              <w:rPr>
                <w:sz w:val="16"/>
                <w:szCs w:val="16"/>
              </w:rPr>
              <w:t>By: Ferrante, Valentina; Mugnai, Cecilia; Ferrari, Lorenzo; et al.</w:t>
            </w:r>
          </w:p>
          <w:p w14:paraId="73A425BE" w14:textId="77777777" w:rsidR="00FA0BB9" w:rsidRPr="00C26326" w:rsidRDefault="00C26326" w:rsidP="00C26326">
            <w:pPr>
              <w:pStyle w:val="NoSpacing"/>
              <w:rPr>
                <w:sz w:val="16"/>
                <w:szCs w:val="16"/>
              </w:rPr>
            </w:pPr>
            <w:r w:rsidRPr="00C26326">
              <w:rPr>
                <w:sz w:val="16"/>
                <w:szCs w:val="16"/>
              </w:rPr>
              <w:t>ITALIAN JOURNAL OF ANIMAL SCIENCE   Volume: 15   Issue: 2   Pages: 303-309   Published: 2016</w:t>
            </w:r>
          </w:p>
        </w:tc>
      </w:tr>
      <w:tr w:rsidR="00FA0BB9" w:rsidRPr="00286A88" w14:paraId="701097FD" w14:textId="77777777" w:rsidTr="005F7B38">
        <w:tc>
          <w:tcPr>
            <w:tcW w:w="3628" w:type="dxa"/>
          </w:tcPr>
          <w:p w14:paraId="3690CD5A" w14:textId="77777777" w:rsidR="00FA0BB9" w:rsidRPr="008C43DD" w:rsidRDefault="00FA0BB9" w:rsidP="008C43DD">
            <w:pPr>
              <w:spacing w:before="60"/>
            </w:pPr>
            <w:r w:rsidRPr="008C43DD">
              <w:t>Not quail- other animals</w:t>
            </w:r>
          </w:p>
        </w:tc>
        <w:tc>
          <w:tcPr>
            <w:tcW w:w="1020" w:type="dxa"/>
          </w:tcPr>
          <w:p w14:paraId="6C22D993" w14:textId="77777777" w:rsidR="00FA0BB9" w:rsidRPr="008C43DD" w:rsidRDefault="00FA0BB9" w:rsidP="008C43DD">
            <w:pPr>
              <w:spacing w:before="60"/>
            </w:pPr>
            <w:r w:rsidRPr="008C43DD">
              <w:t>5</w:t>
            </w:r>
          </w:p>
        </w:tc>
        <w:tc>
          <w:tcPr>
            <w:tcW w:w="5329" w:type="dxa"/>
          </w:tcPr>
          <w:p w14:paraId="1001BB1D" w14:textId="77777777" w:rsidR="00C26326" w:rsidRPr="00C26326" w:rsidRDefault="00C26326" w:rsidP="00C26326">
            <w:pPr>
              <w:pStyle w:val="NoSpacing"/>
              <w:rPr>
                <w:sz w:val="16"/>
                <w:szCs w:val="16"/>
              </w:rPr>
            </w:pPr>
            <w:r w:rsidRPr="00C26326">
              <w:rPr>
                <w:sz w:val="16"/>
                <w:szCs w:val="16"/>
              </w:rPr>
              <w:t>He’s getting under my skin! Comparing the sensitivity and specificity of dermal vs subcuticular lesions as a measure of aggression in mice</w:t>
            </w:r>
          </w:p>
          <w:p w14:paraId="2D7411CA" w14:textId="77777777" w:rsidR="00C26326" w:rsidRPr="00C26326" w:rsidRDefault="00C26326" w:rsidP="00C26326">
            <w:pPr>
              <w:pStyle w:val="NoSpacing"/>
              <w:rPr>
                <w:sz w:val="16"/>
                <w:szCs w:val="16"/>
              </w:rPr>
            </w:pPr>
            <w:r w:rsidRPr="00C26326">
              <w:rPr>
                <w:sz w:val="16"/>
                <w:szCs w:val="16"/>
              </w:rPr>
              <w:t>By: Gaskill, Brianna N.; Stottler, Aurora; Pritchett-Corning, Kathleen R.; et al.</w:t>
            </w:r>
          </w:p>
          <w:p w14:paraId="58DB4C72" w14:textId="77777777" w:rsidR="00FA0BB9" w:rsidRPr="00C26326" w:rsidRDefault="00C26326" w:rsidP="00C26326">
            <w:pPr>
              <w:pStyle w:val="NoSpacing"/>
              <w:rPr>
                <w:sz w:val="16"/>
                <w:szCs w:val="16"/>
              </w:rPr>
            </w:pPr>
            <w:r w:rsidRPr="00C26326">
              <w:rPr>
                <w:sz w:val="16"/>
                <w:szCs w:val="16"/>
              </w:rPr>
              <w:t>APPLIED ANIMAL BEHAVIOUR SCIENCE   Volume: 183   Pages: 77-85   Published: OCT 2016</w:t>
            </w:r>
          </w:p>
        </w:tc>
      </w:tr>
      <w:tr w:rsidR="00FA0BB9" w:rsidRPr="00286A88" w14:paraId="4BB1BF81" w14:textId="77777777" w:rsidTr="005F7B38">
        <w:tc>
          <w:tcPr>
            <w:tcW w:w="3628" w:type="dxa"/>
          </w:tcPr>
          <w:p w14:paraId="47A3B84D" w14:textId="77777777" w:rsidR="00FA0BB9" w:rsidRPr="008C43DD" w:rsidRDefault="00FA0BB9" w:rsidP="008C43DD">
            <w:pPr>
              <w:spacing w:before="60"/>
            </w:pPr>
            <w:r w:rsidRPr="008C43DD">
              <w:t>Paper on transport</w:t>
            </w:r>
          </w:p>
        </w:tc>
        <w:tc>
          <w:tcPr>
            <w:tcW w:w="1020" w:type="dxa"/>
          </w:tcPr>
          <w:p w14:paraId="6EE23152" w14:textId="77777777" w:rsidR="00FA0BB9" w:rsidRPr="008C43DD" w:rsidRDefault="00FA0BB9" w:rsidP="008C43DD">
            <w:pPr>
              <w:spacing w:before="60"/>
            </w:pPr>
            <w:r w:rsidRPr="008C43DD">
              <w:t>1</w:t>
            </w:r>
          </w:p>
        </w:tc>
        <w:tc>
          <w:tcPr>
            <w:tcW w:w="5329" w:type="dxa"/>
          </w:tcPr>
          <w:p w14:paraId="768AFE56" w14:textId="77777777" w:rsidR="00C26326" w:rsidRPr="00C26326" w:rsidRDefault="00C26326" w:rsidP="00C26326">
            <w:pPr>
              <w:pStyle w:val="NoSpacing"/>
              <w:rPr>
                <w:sz w:val="16"/>
                <w:szCs w:val="16"/>
              </w:rPr>
            </w:pPr>
            <w:r w:rsidRPr="00C26326">
              <w:rPr>
                <w:sz w:val="16"/>
                <w:szCs w:val="16"/>
              </w:rPr>
              <w:t>The effects of transportation stress on Japanese quail (</w:t>
            </w:r>
            <w:r w:rsidRPr="00C26326">
              <w:rPr>
                <w:i/>
                <w:sz w:val="16"/>
                <w:szCs w:val="16"/>
              </w:rPr>
              <w:t>Coturnix Coturnix japonica</w:t>
            </w:r>
            <w:r w:rsidRPr="00C26326">
              <w:rPr>
                <w:sz w:val="16"/>
                <w:szCs w:val="16"/>
              </w:rPr>
              <w:t>) fed corn-based diet in comparison with wheat-based diet supplemented with xylanase and phytase</w:t>
            </w:r>
          </w:p>
          <w:p w14:paraId="4D4C2AA5" w14:textId="77777777" w:rsidR="00C26326" w:rsidRPr="00C26326" w:rsidRDefault="00C26326" w:rsidP="00C26326">
            <w:pPr>
              <w:pStyle w:val="NoSpacing"/>
              <w:rPr>
                <w:sz w:val="16"/>
                <w:szCs w:val="16"/>
              </w:rPr>
            </w:pPr>
            <w:r w:rsidRPr="00C26326">
              <w:rPr>
                <w:sz w:val="16"/>
                <w:szCs w:val="16"/>
              </w:rPr>
              <w:t>By: Hamzekolaei, M. H. Mehraei; Moghaddam, A. K. Zamani; Tohidifar, S. S.; et al.</w:t>
            </w:r>
          </w:p>
          <w:p w14:paraId="7E0CCA17" w14:textId="77777777" w:rsidR="00FA0BB9" w:rsidRPr="00C26326" w:rsidRDefault="00C26326" w:rsidP="00C26326">
            <w:pPr>
              <w:pStyle w:val="NoSpacing"/>
              <w:rPr>
                <w:sz w:val="16"/>
                <w:szCs w:val="16"/>
              </w:rPr>
            </w:pPr>
            <w:r w:rsidRPr="00C26326">
              <w:rPr>
                <w:sz w:val="16"/>
                <w:szCs w:val="16"/>
              </w:rPr>
              <w:t>JOURNAL OF ANIMAL PHYSIOLOGY AND ANIMAL NUTRITION   Volume: 100   Issue: 4   Pages: 618-622   Published: AUG 2016</w:t>
            </w:r>
          </w:p>
        </w:tc>
      </w:tr>
      <w:tr w:rsidR="00FA0BB9" w:rsidRPr="00286A88" w14:paraId="6CCE3519" w14:textId="77777777" w:rsidTr="005F7B38">
        <w:tc>
          <w:tcPr>
            <w:tcW w:w="3628" w:type="dxa"/>
          </w:tcPr>
          <w:p w14:paraId="7D0C881C" w14:textId="77777777" w:rsidR="00FA0BB9" w:rsidRPr="008C43DD" w:rsidRDefault="00FA0BB9" w:rsidP="008C43DD">
            <w:pPr>
              <w:spacing w:before="60"/>
            </w:pPr>
            <w:r w:rsidRPr="008C43DD">
              <w:t>Review paper</w:t>
            </w:r>
          </w:p>
        </w:tc>
        <w:tc>
          <w:tcPr>
            <w:tcW w:w="1020" w:type="dxa"/>
          </w:tcPr>
          <w:p w14:paraId="64CE889D" w14:textId="77777777" w:rsidR="00FA0BB9" w:rsidRPr="008C43DD" w:rsidRDefault="00FA0BB9" w:rsidP="008C43DD">
            <w:pPr>
              <w:spacing w:before="60"/>
            </w:pPr>
            <w:r w:rsidRPr="008C43DD">
              <w:t>5</w:t>
            </w:r>
          </w:p>
        </w:tc>
        <w:tc>
          <w:tcPr>
            <w:tcW w:w="5329" w:type="dxa"/>
          </w:tcPr>
          <w:p w14:paraId="625BE558" w14:textId="77777777" w:rsidR="00C26326" w:rsidRPr="00C26326" w:rsidRDefault="00C26326" w:rsidP="00C26326">
            <w:pPr>
              <w:pStyle w:val="NoSpacing"/>
              <w:rPr>
                <w:sz w:val="16"/>
                <w:szCs w:val="16"/>
              </w:rPr>
            </w:pPr>
            <w:r w:rsidRPr="00C26326">
              <w:rPr>
                <w:sz w:val="16"/>
                <w:szCs w:val="16"/>
              </w:rPr>
              <w:t>Early experiences matter: a review of the effects of prenatal environment on offspring characteristics in poultry</w:t>
            </w:r>
          </w:p>
          <w:p w14:paraId="7A7A59E6" w14:textId="77777777" w:rsidR="00C26326" w:rsidRPr="00C26326" w:rsidRDefault="00C26326" w:rsidP="00C26326">
            <w:pPr>
              <w:pStyle w:val="NoSpacing"/>
              <w:rPr>
                <w:sz w:val="16"/>
                <w:szCs w:val="16"/>
              </w:rPr>
            </w:pPr>
            <w:r w:rsidRPr="00C26326">
              <w:rPr>
                <w:sz w:val="16"/>
                <w:szCs w:val="16"/>
              </w:rPr>
              <w:t>By: Dixon, L. M.; Sparks, N. H. C.; Rutherford, K. M. D.</w:t>
            </w:r>
          </w:p>
          <w:p w14:paraId="42D7D333" w14:textId="77777777" w:rsidR="00FA0BB9" w:rsidRPr="00C26326" w:rsidRDefault="00C26326" w:rsidP="00C26326">
            <w:pPr>
              <w:pStyle w:val="NoSpacing"/>
              <w:rPr>
                <w:sz w:val="16"/>
                <w:szCs w:val="16"/>
              </w:rPr>
            </w:pPr>
            <w:r w:rsidRPr="00C26326">
              <w:rPr>
                <w:sz w:val="16"/>
                <w:szCs w:val="16"/>
              </w:rPr>
              <w:t>POULTRY SCIENCE   Volume: 95   Issue: 3   Pages: 489-499   Published: MAR 2016</w:t>
            </w:r>
          </w:p>
        </w:tc>
      </w:tr>
      <w:tr w:rsidR="00FA0BB9" w:rsidRPr="00286A88" w14:paraId="132F8EBD" w14:textId="77777777" w:rsidTr="005F7B38">
        <w:tc>
          <w:tcPr>
            <w:tcW w:w="3628" w:type="dxa"/>
          </w:tcPr>
          <w:p w14:paraId="3DD7FDAA" w14:textId="77777777" w:rsidR="00FA0BB9" w:rsidRPr="008C43DD" w:rsidRDefault="00FA0BB9" w:rsidP="008C43DD">
            <w:pPr>
              <w:spacing w:before="60"/>
            </w:pPr>
            <w:r w:rsidRPr="008C43DD">
              <w:t>Paper validating welfare assessment method but no useful results relevant to welfare</w:t>
            </w:r>
          </w:p>
        </w:tc>
        <w:tc>
          <w:tcPr>
            <w:tcW w:w="1020" w:type="dxa"/>
          </w:tcPr>
          <w:p w14:paraId="222B26B8" w14:textId="77777777" w:rsidR="00FA0BB9" w:rsidRPr="008C43DD" w:rsidRDefault="00FA0BB9" w:rsidP="008C43DD">
            <w:pPr>
              <w:spacing w:before="60"/>
            </w:pPr>
            <w:r w:rsidRPr="008C43DD">
              <w:t>1</w:t>
            </w:r>
          </w:p>
        </w:tc>
        <w:tc>
          <w:tcPr>
            <w:tcW w:w="5329" w:type="dxa"/>
          </w:tcPr>
          <w:p w14:paraId="6C793104" w14:textId="77777777" w:rsidR="00C26326" w:rsidRPr="00C26326" w:rsidRDefault="00C26326" w:rsidP="00C26326">
            <w:pPr>
              <w:pStyle w:val="NoSpacing"/>
              <w:rPr>
                <w:sz w:val="16"/>
                <w:szCs w:val="16"/>
              </w:rPr>
            </w:pPr>
            <w:r w:rsidRPr="00C26326">
              <w:rPr>
                <w:sz w:val="16"/>
                <w:szCs w:val="16"/>
              </w:rPr>
              <w:t>Effects of diet, time since defecation, and drying process of the droppings on corticosterone metabolite measurements in Japanese quail</w:t>
            </w:r>
          </w:p>
          <w:p w14:paraId="005A4DEF" w14:textId="77777777" w:rsidR="00C26326" w:rsidRPr="00C26326" w:rsidRDefault="00C26326" w:rsidP="00C26326">
            <w:pPr>
              <w:pStyle w:val="NoSpacing"/>
              <w:rPr>
                <w:sz w:val="16"/>
                <w:szCs w:val="16"/>
              </w:rPr>
            </w:pPr>
            <w:r w:rsidRPr="00C26326">
              <w:rPr>
                <w:sz w:val="16"/>
                <w:szCs w:val="16"/>
              </w:rPr>
              <w:t>By: Pellegrini, S.; Busso, J. M.; Leche, A.; et al.</w:t>
            </w:r>
          </w:p>
          <w:p w14:paraId="236C7775" w14:textId="77777777" w:rsidR="00FA0BB9" w:rsidRPr="00C26326" w:rsidRDefault="00C26326" w:rsidP="00C26326">
            <w:pPr>
              <w:pStyle w:val="NoSpacing"/>
              <w:rPr>
                <w:sz w:val="16"/>
                <w:szCs w:val="16"/>
              </w:rPr>
            </w:pPr>
            <w:r w:rsidRPr="00C26326">
              <w:rPr>
                <w:sz w:val="16"/>
                <w:szCs w:val="16"/>
              </w:rPr>
              <w:t>POULTRY SCIENCE   Volume: 94   Issue: 5   Pages: 1068-1074   Published: MAY 2015</w:t>
            </w:r>
          </w:p>
        </w:tc>
      </w:tr>
      <w:tr w:rsidR="00FA0BB9" w:rsidRPr="00286A88" w14:paraId="25ECB5D5" w14:textId="77777777" w:rsidTr="005F7B38">
        <w:tc>
          <w:tcPr>
            <w:tcW w:w="3628" w:type="dxa"/>
          </w:tcPr>
          <w:p w14:paraId="2283923F" w14:textId="77777777" w:rsidR="00FA0BB9" w:rsidRPr="008C43DD" w:rsidRDefault="00FA0BB9" w:rsidP="008C43DD">
            <w:pPr>
              <w:spacing w:before="60"/>
            </w:pPr>
            <w:r w:rsidRPr="008C43DD">
              <w:t>Paper on fundamental study of genetics, immune function, disease mechanisms or stress with no immediate welfare relevance</w:t>
            </w:r>
          </w:p>
        </w:tc>
        <w:tc>
          <w:tcPr>
            <w:tcW w:w="1020" w:type="dxa"/>
          </w:tcPr>
          <w:p w14:paraId="2C8E4D76" w14:textId="77777777" w:rsidR="00FA0BB9" w:rsidRPr="008C43DD" w:rsidRDefault="00FA0BB9" w:rsidP="008C43DD">
            <w:pPr>
              <w:spacing w:before="60"/>
            </w:pPr>
            <w:r w:rsidRPr="008C43DD">
              <w:t>4</w:t>
            </w:r>
          </w:p>
        </w:tc>
        <w:tc>
          <w:tcPr>
            <w:tcW w:w="5329" w:type="dxa"/>
          </w:tcPr>
          <w:p w14:paraId="6A3E61C9" w14:textId="77777777" w:rsidR="00C26326" w:rsidRPr="00C26326" w:rsidRDefault="00C26326" w:rsidP="00C26326">
            <w:pPr>
              <w:pStyle w:val="NoSpacing"/>
              <w:rPr>
                <w:sz w:val="16"/>
                <w:szCs w:val="16"/>
              </w:rPr>
            </w:pPr>
            <w:r w:rsidRPr="00C26326">
              <w:rPr>
                <w:sz w:val="16"/>
                <w:szCs w:val="16"/>
              </w:rPr>
              <w:t>A medium density genetic map and QTL for behavioral and production traits in Japanese quail</w:t>
            </w:r>
          </w:p>
          <w:p w14:paraId="763A4584" w14:textId="77777777" w:rsidR="00C26326" w:rsidRPr="00C26326" w:rsidRDefault="00C26326" w:rsidP="00C26326">
            <w:pPr>
              <w:pStyle w:val="NoSpacing"/>
              <w:rPr>
                <w:sz w:val="16"/>
                <w:szCs w:val="16"/>
              </w:rPr>
            </w:pPr>
            <w:r w:rsidRPr="00C26326">
              <w:rPr>
                <w:sz w:val="16"/>
                <w:szCs w:val="16"/>
              </w:rPr>
              <w:t>By: Recoquillay, Julien; Pitel, Frederique; Arnould, Cecile; et al.</w:t>
            </w:r>
          </w:p>
          <w:p w14:paraId="3489CF91" w14:textId="77777777" w:rsidR="00FA0BB9" w:rsidRPr="00C26326" w:rsidRDefault="00C26326" w:rsidP="00C26326">
            <w:pPr>
              <w:pStyle w:val="NoSpacing"/>
              <w:rPr>
                <w:sz w:val="16"/>
                <w:szCs w:val="16"/>
              </w:rPr>
            </w:pPr>
            <w:r w:rsidRPr="00C26326">
              <w:rPr>
                <w:sz w:val="16"/>
                <w:szCs w:val="16"/>
              </w:rPr>
              <w:t>BMC GENOMICS   Volume: 16 Article Number: 10   Published: JAN 22 2015</w:t>
            </w:r>
          </w:p>
        </w:tc>
      </w:tr>
      <w:tr w:rsidR="00FA0BB9" w:rsidRPr="00286A88" w14:paraId="22809FB0" w14:textId="77777777" w:rsidTr="005F7B38">
        <w:tc>
          <w:tcPr>
            <w:tcW w:w="3628" w:type="dxa"/>
          </w:tcPr>
          <w:p w14:paraId="05088326" w14:textId="77777777" w:rsidR="00FA0BB9" w:rsidRPr="008C43DD" w:rsidRDefault="00FA0BB9" w:rsidP="008C43DD">
            <w:pPr>
              <w:spacing w:before="60"/>
            </w:pPr>
            <w:r w:rsidRPr="008C43DD">
              <w:t>Paper on fundamental nutrition</w:t>
            </w:r>
          </w:p>
        </w:tc>
        <w:tc>
          <w:tcPr>
            <w:tcW w:w="1020" w:type="dxa"/>
          </w:tcPr>
          <w:p w14:paraId="329C0952" w14:textId="77777777" w:rsidR="00FA0BB9" w:rsidRPr="008C43DD" w:rsidRDefault="00FA0BB9" w:rsidP="008C43DD">
            <w:pPr>
              <w:spacing w:before="60"/>
            </w:pPr>
            <w:r w:rsidRPr="008C43DD">
              <w:t>1</w:t>
            </w:r>
          </w:p>
        </w:tc>
        <w:tc>
          <w:tcPr>
            <w:tcW w:w="5329" w:type="dxa"/>
          </w:tcPr>
          <w:p w14:paraId="271E5154" w14:textId="77777777" w:rsidR="00C26326" w:rsidRPr="00C26326" w:rsidRDefault="00C26326" w:rsidP="00C26326">
            <w:pPr>
              <w:pStyle w:val="NoSpacing"/>
              <w:rPr>
                <w:sz w:val="16"/>
                <w:szCs w:val="16"/>
              </w:rPr>
            </w:pPr>
            <w:r w:rsidRPr="00C26326">
              <w:rPr>
                <w:sz w:val="16"/>
                <w:szCs w:val="16"/>
              </w:rPr>
              <w:t>Effects of dietary chromium picolinate supplementation on serum and tissue mineral contents of laying Japanese quails</w:t>
            </w:r>
          </w:p>
          <w:p w14:paraId="5122C261" w14:textId="77777777" w:rsidR="00C26326" w:rsidRPr="00C26326" w:rsidRDefault="00C26326" w:rsidP="00C26326">
            <w:pPr>
              <w:pStyle w:val="NoSpacing"/>
              <w:rPr>
                <w:sz w:val="16"/>
                <w:szCs w:val="16"/>
              </w:rPr>
            </w:pPr>
            <w:r w:rsidRPr="00C26326">
              <w:rPr>
                <w:sz w:val="16"/>
                <w:szCs w:val="16"/>
              </w:rPr>
              <w:t>By: Sahin, K; Sahin, N; Kucuk, O</w:t>
            </w:r>
          </w:p>
          <w:p w14:paraId="3D87EC4A" w14:textId="77777777" w:rsidR="00FA0BB9" w:rsidRPr="00C26326" w:rsidRDefault="00C26326" w:rsidP="00C26326">
            <w:pPr>
              <w:pStyle w:val="NoSpacing"/>
              <w:rPr>
                <w:sz w:val="16"/>
                <w:szCs w:val="16"/>
              </w:rPr>
            </w:pPr>
            <w:r w:rsidRPr="00C26326">
              <w:rPr>
                <w:sz w:val="16"/>
                <w:szCs w:val="16"/>
              </w:rPr>
              <w:t>JOURNAL OF TRACE ELEMENTS IN EXPERIMENTAL MEDICINE   Volume: 15   Issue: 3   Pages: 163-169   Published: 2002</w:t>
            </w:r>
          </w:p>
        </w:tc>
      </w:tr>
      <w:tr w:rsidR="00FA0BB9" w:rsidRPr="00286A88" w14:paraId="73496F37" w14:textId="77777777" w:rsidTr="005F7B38">
        <w:tc>
          <w:tcPr>
            <w:tcW w:w="3628" w:type="dxa"/>
          </w:tcPr>
          <w:p w14:paraId="3B7ADD62" w14:textId="77777777" w:rsidR="00FA0BB9" w:rsidRPr="008C43DD" w:rsidRDefault="00FA0BB9" w:rsidP="008C43DD">
            <w:pPr>
              <w:spacing w:before="60"/>
            </w:pPr>
            <w:r w:rsidRPr="008C43DD">
              <w:t>Paper on fundamental cognition or behaviour with no immediate welfare relevance</w:t>
            </w:r>
          </w:p>
        </w:tc>
        <w:tc>
          <w:tcPr>
            <w:tcW w:w="1020" w:type="dxa"/>
          </w:tcPr>
          <w:p w14:paraId="738BC626" w14:textId="77777777" w:rsidR="00FA0BB9" w:rsidRPr="008C43DD" w:rsidRDefault="00FA0BB9" w:rsidP="008C43DD">
            <w:pPr>
              <w:spacing w:before="60"/>
            </w:pPr>
            <w:r w:rsidRPr="008C43DD">
              <w:t>11</w:t>
            </w:r>
          </w:p>
        </w:tc>
        <w:tc>
          <w:tcPr>
            <w:tcW w:w="5329" w:type="dxa"/>
          </w:tcPr>
          <w:p w14:paraId="543D9FEE" w14:textId="77777777" w:rsidR="00C26326" w:rsidRPr="00C26326" w:rsidRDefault="00C26326" w:rsidP="00C26326">
            <w:pPr>
              <w:pStyle w:val="NoSpacing"/>
              <w:rPr>
                <w:sz w:val="16"/>
                <w:szCs w:val="16"/>
              </w:rPr>
            </w:pPr>
            <w:r w:rsidRPr="00C26326">
              <w:rPr>
                <w:sz w:val="16"/>
                <w:szCs w:val="16"/>
              </w:rPr>
              <w:t>Effect of one week of stress on emotional reactivity and learning and memory performances in Japanese quail</w:t>
            </w:r>
          </w:p>
          <w:p w14:paraId="5B2D5EAD" w14:textId="77777777" w:rsidR="00C26326" w:rsidRPr="00C26326" w:rsidRDefault="00C26326" w:rsidP="00C26326">
            <w:pPr>
              <w:pStyle w:val="NoSpacing"/>
              <w:rPr>
                <w:sz w:val="16"/>
                <w:szCs w:val="16"/>
              </w:rPr>
            </w:pPr>
            <w:r w:rsidRPr="00C26326">
              <w:rPr>
                <w:sz w:val="16"/>
                <w:szCs w:val="16"/>
              </w:rPr>
              <w:t>By: Calandreau, Ludovic; Bertin, Aline; Boissy, Alain; et al.</w:t>
            </w:r>
          </w:p>
          <w:p w14:paraId="7695FE4B" w14:textId="77777777" w:rsidR="00FA0BB9" w:rsidRPr="00C26326" w:rsidRDefault="00C26326" w:rsidP="00C26326">
            <w:pPr>
              <w:pStyle w:val="NoSpacing"/>
              <w:rPr>
                <w:sz w:val="16"/>
                <w:szCs w:val="16"/>
              </w:rPr>
            </w:pPr>
            <w:r w:rsidRPr="00C26326">
              <w:rPr>
                <w:sz w:val="16"/>
                <w:szCs w:val="16"/>
              </w:rPr>
              <w:t>BEHAVIOURAL BRAIN RESEARCH   Volume: 217   Issue: 1   Pages: 104-110   Published: FEB 2 2011</w:t>
            </w:r>
          </w:p>
        </w:tc>
      </w:tr>
      <w:tr w:rsidR="00FA0BB9" w:rsidRPr="00286A88" w14:paraId="16B1BF0D" w14:textId="77777777" w:rsidTr="005F7B38">
        <w:tc>
          <w:tcPr>
            <w:tcW w:w="3628" w:type="dxa"/>
          </w:tcPr>
          <w:p w14:paraId="633C8771" w14:textId="77777777" w:rsidR="00FA0BB9" w:rsidRPr="008C43DD" w:rsidRDefault="00FA0BB9" w:rsidP="008C43DD">
            <w:pPr>
              <w:spacing w:before="60"/>
            </w:pPr>
            <w:r w:rsidRPr="008C43DD">
              <w:t>Totally irrelevant</w:t>
            </w:r>
          </w:p>
        </w:tc>
        <w:tc>
          <w:tcPr>
            <w:tcW w:w="1020" w:type="dxa"/>
          </w:tcPr>
          <w:p w14:paraId="2424DAA3" w14:textId="77777777" w:rsidR="00FA0BB9" w:rsidRPr="008C43DD" w:rsidRDefault="00FA0BB9" w:rsidP="008C43DD">
            <w:pPr>
              <w:spacing w:before="60"/>
            </w:pPr>
            <w:r w:rsidRPr="008C43DD">
              <w:t>4</w:t>
            </w:r>
          </w:p>
        </w:tc>
        <w:tc>
          <w:tcPr>
            <w:tcW w:w="5329" w:type="dxa"/>
          </w:tcPr>
          <w:p w14:paraId="34E457DD" w14:textId="77777777" w:rsidR="00C26326" w:rsidRPr="00C26326" w:rsidRDefault="00C26326" w:rsidP="00C26326">
            <w:pPr>
              <w:pStyle w:val="NoSpacing"/>
              <w:rPr>
                <w:sz w:val="16"/>
                <w:szCs w:val="16"/>
              </w:rPr>
            </w:pPr>
            <w:r w:rsidRPr="00C26326">
              <w:rPr>
                <w:sz w:val="16"/>
                <w:szCs w:val="16"/>
              </w:rPr>
              <w:t>Review of Laboratory-Based Terrestrial Bioaccumulation Assessment Approaches for Organic Chemicals: Current Status and Future Possibilities</w:t>
            </w:r>
          </w:p>
          <w:p w14:paraId="370B790D" w14:textId="77777777" w:rsidR="00C26326" w:rsidRPr="00C26326" w:rsidRDefault="00C26326" w:rsidP="00C26326">
            <w:pPr>
              <w:pStyle w:val="NoSpacing"/>
              <w:rPr>
                <w:sz w:val="16"/>
                <w:szCs w:val="16"/>
              </w:rPr>
            </w:pPr>
            <w:r w:rsidRPr="00C26326">
              <w:rPr>
                <w:sz w:val="16"/>
                <w:szCs w:val="16"/>
              </w:rPr>
              <w:t>By: Hoke, Robert; Huggett, Duane; Brasfield, Sandra; et al.</w:t>
            </w:r>
          </w:p>
          <w:p w14:paraId="4E2FB14D" w14:textId="77777777" w:rsidR="00FA0BB9" w:rsidRPr="00C26326" w:rsidRDefault="00C26326" w:rsidP="00C26326">
            <w:pPr>
              <w:pStyle w:val="NoSpacing"/>
              <w:rPr>
                <w:sz w:val="16"/>
                <w:szCs w:val="16"/>
              </w:rPr>
            </w:pPr>
            <w:r w:rsidRPr="00C26326">
              <w:rPr>
                <w:sz w:val="16"/>
                <w:szCs w:val="16"/>
              </w:rPr>
              <w:t>INTEGRATED ENVIRONMENTAL ASSESSMENT AND MANAGEMENT   Volume: 12   Issue: 1   Pages: 109-122   Published: JAN 2016</w:t>
            </w:r>
          </w:p>
        </w:tc>
      </w:tr>
      <w:tr w:rsidR="00FA0BB9" w:rsidRPr="00286A88" w14:paraId="12E9309F" w14:textId="77777777" w:rsidTr="005F7B38">
        <w:tc>
          <w:tcPr>
            <w:tcW w:w="3628" w:type="dxa"/>
          </w:tcPr>
          <w:p w14:paraId="3BFB14AA" w14:textId="77777777" w:rsidR="00FA0BB9" w:rsidRPr="00F67C8B" w:rsidRDefault="00FA0BB9" w:rsidP="00770A44">
            <w:pPr>
              <w:spacing w:before="60" w:line="240" w:lineRule="auto"/>
              <w:rPr>
                <w:rFonts w:cs="Arial"/>
                <w:b/>
                <w:color w:val="auto"/>
                <w:szCs w:val="18"/>
              </w:rPr>
            </w:pPr>
            <w:r w:rsidRPr="00F67C8B">
              <w:rPr>
                <w:rFonts w:cs="Arial"/>
                <w:b/>
                <w:color w:val="auto"/>
                <w:szCs w:val="18"/>
              </w:rPr>
              <w:t xml:space="preserve">Papers </w:t>
            </w:r>
            <w:r w:rsidR="00770A44">
              <w:rPr>
                <w:rFonts w:cs="Arial"/>
                <w:b/>
                <w:color w:val="auto"/>
                <w:szCs w:val="18"/>
              </w:rPr>
              <w:t>excluded from primary search</w:t>
            </w:r>
          </w:p>
        </w:tc>
        <w:tc>
          <w:tcPr>
            <w:tcW w:w="1020" w:type="dxa"/>
          </w:tcPr>
          <w:p w14:paraId="2A54876A" w14:textId="77777777" w:rsidR="00FA0BB9" w:rsidRPr="00F67C8B" w:rsidRDefault="00770A44" w:rsidP="002B2473">
            <w:pPr>
              <w:spacing w:before="60" w:line="240" w:lineRule="auto"/>
              <w:rPr>
                <w:rFonts w:cs="Arial"/>
                <w:b/>
                <w:color w:val="auto"/>
                <w:szCs w:val="18"/>
              </w:rPr>
            </w:pPr>
            <w:r>
              <w:rPr>
                <w:rFonts w:cs="Arial"/>
                <w:b/>
                <w:color w:val="auto"/>
                <w:szCs w:val="18"/>
              </w:rPr>
              <w:t>63</w:t>
            </w:r>
          </w:p>
        </w:tc>
        <w:tc>
          <w:tcPr>
            <w:tcW w:w="5329" w:type="dxa"/>
          </w:tcPr>
          <w:p w14:paraId="07DBB631" w14:textId="77777777" w:rsidR="00FA0BB9" w:rsidRPr="00F67C8B" w:rsidRDefault="00FA0BB9" w:rsidP="004A3DB9">
            <w:pPr>
              <w:spacing w:before="60" w:line="240" w:lineRule="auto"/>
              <w:rPr>
                <w:rFonts w:cs="Arial"/>
                <w:b/>
                <w:color w:val="auto"/>
                <w:szCs w:val="18"/>
              </w:rPr>
            </w:pPr>
            <w:r w:rsidRPr="00F67C8B">
              <w:rPr>
                <w:rFonts w:cs="Arial"/>
                <w:b/>
                <w:color w:val="auto"/>
                <w:szCs w:val="18"/>
              </w:rPr>
              <w:t xml:space="preserve">Papers </w:t>
            </w:r>
            <w:r w:rsidR="00770A44">
              <w:rPr>
                <w:rFonts w:cs="Arial"/>
                <w:b/>
                <w:color w:val="auto"/>
                <w:szCs w:val="18"/>
              </w:rPr>
              <w:t>retained from primary search: 8</w:t>
            </w:r>
            <w:r w:rsidR="004A3DB9">
              <w:rPr>
                <w:rFonts w:cs="Arial"/>
                <w:b/>
                <w:color w:val="auto"/>
                <w:szCs w:val="18"/>
              </w:rPr>
              <w:t>3</w:t>
            </w:r>
            <w:r w:rsidR="00770A44">
              <w:rPr>
                <w:rFonts w:cs="Arial"/>
                <w:b/>
                <w:color w:val="auto"/>
                <w:szCs w:val="18"/>
              </w:rPr>
              <w:t xml:space="preserve"> – 63 = 2</w:t>
            </w:r>
            <w:r w:rsidR="004A3DB9">
              <w:rPr>
                <w:rFonts w:cs="Arial"/>
                <w:b/>
                <w:color w:val="auto"/>
                <w:szCs w:val="18"/>
              </w:rPr>
              <w:t>0</w:t>
            </w:r>
          </w:p>
        </w:tc>
      </w:tr>
    </w:tbl>
    <w:p w14:paraId="16FB0DCB" w14:textId="77777777" w:rsidR="00FA0BB9" w:rsidRPr="00590F0B" w:rsidRDefault="005F7B38" w:rsidP="00590F0B">
      <w:pPr>
        <w:spacing w:before="240" w:after="240"/>
        <w:rPr>
          <w:b/>
          <w:i/>
          <w:lang w:val="en-GB"/>
        </w:rPr>
      </w:pPr>
      <w:r>
        <w:rPr>
          <w:b/>
          <w:i/>
          <w:lang w:val="en-GB"/>
        </w:rPr>
        <w:br w:type="column"/>
      </w:r>
      <w:r w:rsidR="00FA0BB9" w:rsidRPr="00590F0B">
        <w:rPr>
          <w:b/>
          <w:i/>
          <w:lang w:val="en-GB"/>
        </w:rPr>
        <w:t>Quail Secondary Searches</w:t>
      </w:r>
    </w:p>
    <w:tbl>
      <w:tblPr>
        <w:tblStyle w:val="TableGrid11"/>
        <w:tblW w:w="9954" w:type="dxa"/>
        <w:tblLook w:val="04A0" w:firstRow="1" w:lastRow="0" w:firstColumn="1" w:lastColumn="0" w:noHBand="0" w:noVBand="1"/>
        <w:tblCaption w:val="Results of secondary literature searches for quail"/>
        <w:tblDescription w:val="This table shows the results of secondary literature searches for quail. The left hand column shows the search terms used in the secondary searches. The second column shows the number of papers returned from each of these searches. The third column shows the additional papers included from these searches. The right hand column makes broad comments on the secondary searches."/>
      </w:tblPr>
      <w:tblGrid>
        <w:gridCol w:w="4025"/>
        <w:gridCol w:w="1020"/>
        <w:gridCol w:w="1020"/>
        <w:gridCol w:w="3889"/>
      </w:tblGrid>
      <w:tr w:rsidR="00FA0BB9" w:rsidRPr="00286A88" w14:paraId="19F92F30" w14:textId="77777777" w:rsidTr="00587D34">
        <w:trPr>
          <w:tblHeader/>
        </w:trPr>
        <w:tc>
          <w:tcPr>
            <w:tcW w:w="4025" w:type="dxa"/>
            <w:shd w:val="clear" w:color="auto" w:fill="auto"/>
          </w:tcPr>
          <w:p w14:paraId="384CE9E8" w14:textId="77777777" w:rsidR="00FA0BB9" w:rsidRPr="008970FA" w:rsidRDefault="00FA0BB9" w:rsidP="008970FA">
            <w:pPr>
              <w:spacing w:before="60" w:line="240" w:lineRule="auto"/>
              <w:rPr>
                <w:rFonts w:cs="Arial"/>
                <w:b/>
                <w:color w:val="auto"/>
                <w:szCs w:val="18"/>
              </w:rPr>
            </w:pPr>
            <w:r w:rsidRPr="008970FA">
              <w:rPr>
                <w:rFonts w:cs="Arial"/>
                <w:b/>
                <w:color w:val="auto"/>
                <w:szCs w:val="18"/>
              </w:rPr>
              <w:t>Search terms for synonyms of species or welfare</w:t>
            </w:r>
          </w:p>
        </w:tc>
        <w:tc>
          <w:tcPr>
            <w:tcW w:w="1020" w:type="dxa"/>
            <w:shd w:val="clear" w:color="auto" w:fill="auto"/>
          </w:tcPr>
          <w:p w14:paraId="79B635DB" w14:textId="77777777" w:rsidR="00FA0BB9" w:rsidRPr="008970FA" w:rsidRDefault="00FA0BB9" w:rsidP="008970FA">
            <w:pPr>
              <w:spacing w:before="60" w:line="240" w:lineRule="auto"/>
              <w:rPr>
                <w:rFonts w:cs="Arial"/>
                <w:color w:val="auto"/>
                <w:szCs w:val="18"/>
              </w:rPr>
            </w:pPr>
            <w:r w:rsidRPr="008970FA">
              <w:rPr>
                <w:rFonts w:cs="Arial"/>
                <w:color w:val="auto"/>
                <w:szCs w:val="18"/>
              </w:rPr>
              <w:t>Hits</w:t>
            </w:r>
          </w:p>
        </w:tc>
        <w:tc>
          <w:tcPr>
            <w:tcW w:w="1020" w:type="dxa"/>
            <w:shd w:val="clear" w:color="auto" w:fill="auto"/>
          </w:tcPr>
          <w:p w14:paraId="5E3D04D3" w14:textId="77777777" w:rsidR="00FA0BB9" w:rsidRPr="008970FA" w:rsidRDefault="00FA0BB9" w:rsidP="008970FA">
            <w:pPr>
              <w:spacing w:before="60" w:line="240" w:lineRule="auto"/>
              <w:rPr>
                <w:rFonts w:cs="Arial"/>
                <w:color w:val="auto"/>
                <w:szCs w:val="18"/>
              </w:rPr>
            </w:pPr>
            <w:r w:rsidRPr="008970FA">
              <w:rPr>
                <w:rFonts w:cs="Arial"/>
                <w:color w:val="auto"/>
                <w:szCs w:val="18"/>
              </w:rPr>
              <w:t>Additional Papers Included</w:t>
            </w:r>
          </w:p>
        </w:tc>
        <w:tc>
          <w:tcPr>
            <w:tcW w:w="3889" w:type="dxa"/>
            <w:shd w:val="clear" w:color="auto" w:fill="auto"/>
          </w:tcPr>
          <w:p w14:paraId="65EEECA4" w14:textId="77777777" w:rsidR="00FA0BB9" w:rsidRPr="008970FA" w:rsidRDefault="00FA0BB9" w:rsidP="008970FA">
            <w:pPr>
              <w:spacing w:before="60" w:line="240" w:lineRule="auto"/>
              <w:rPr>
                <w:rFonts w:cs="Arial"/>
                <w:color w:val="auto"/>
                <w:szCs w:val="18"/>
              </w:rPr>
            </w:pPr>
            <w:r w:rsidRPr="008970FA">
              <w:rPr>
                <w:rFonts w:cs="Arial"/>
                <w:color w:val="auto"/>
                <w:szCs w:val="18"/>
              </w:rPr>
              <w:t>Comments</w:t>
            </w:r>
          </w:p>
        </w:tc>
      </w:tr>
      <w:tr w:rsidR="00FA0BB9" w:rsidRPr="00286A88" w14:paraId="7BEE00DB" w14:textId="77777777" w:rsidTr="00D561AB">
        <w:tc>
          <w:tcPr>
            <w:tcW w:w="4025" w:type="dxa"/>
          </w:tcPr>
          <w:p w14:paraId="07941597" w14:textId="77777777" w:rsidR="00FA0BB9" w:rsidRPr="008970FA" w:rsidRDefault="00FA0BB9" w:rsidP="008970FA">
            <w:pPr>
              <w:spacing w:before="60" w:line="240" w:lineRule="auto"/>
              <w:rPr>
                <w:rFonts w:cs="Arial"/>
                <w:color w:val="auto"/>
                <w:szCs w:val="18"/>
              </w:rPr>
            </w:pPr>
            <w:r w:rsidRPr="008970FA">
              <w:rPr>
                <w:rFonts w:cs="Arial"/>
                <w:color w:val="auto"/>
                <w:szCs w:val="18"/>
              </w:rPr>
              <w:t>(quail* OR coturnix) AND wellbeing</w:t>
            </w:r>
          </w:p>
        </w:tc>
        <w:tc>
          <w:tcPr>
            <w:tcW w:w="1020" w:type="dxa"/>
          </w:tcPr>
          <w:p w14:paraId="570CEA77" w14:textId="77777777" w:rsidR="00FA0BB9" w:rsidRPr="008970FA" w:rsidRDefault="00FA0BB9" w:rsidP="008970FA">
            <w:pPr>
              <w:spacing w:before="60" w:line="240" w:lineRule="auto"/>
              <w:rPr>
                <w:rFonts w:cs="Arial"/>
                <w:color w:val="auto"/>
                <w:szCs w:val="18"/>
              </w:rPr>
            </w:pPr>
            <w:r w:rsidRPr="008970FA">
              <w:rPr>
                <w:rFonts w:cs="Arial"/>
                <w:color w:val="auto"/>
                <w:szCs w:val="18"/>
              </w:rPr>
              <w:t>3</w:t>
            </w:r>
          </w:p>
        </w:tc>
        <w:tc>
          <w:tcPr>
            <w:tcW w:w="1020" w:type="dxa"/>
          </w:tcPr>
          <w:p w14:paraId="258BC24E"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c>
          <w:tcPr>
            <w:tcW w:w="3889" w:type="dxa"/>
          </w:tcPr>
          <w:p w14:paraId="7DA9F376" w14:textId="77777777" w:rsidR="00FA0BB9" w:rsidRPr="008970FA" w:rsidRDefault="00FA0BB9" w:rsidP="008970FA">
            <w:pPr>
              <w:spacing w:before="60" w:line="240" w:lineRule="auto"/>
              <w:rPr>
                <w:rFonts w:cs="Arial"/>
                <w:color w:val="auto"/>
                <w:szCs w:val="18"/>
              </w:rPr>
            </w:pPr>
          </w:p>
        </w:tc>
      </w:tr>
      <w:tr w:rsidR="00FA0BB9" w:rsidRPr="00286A88" w14:paraId="5D532FA8" w14:textId="77777777" w:rsidTr="00D561AB">
        <w:tc>
          <w:tcPr>
            <w:tcW w:w="4025" w:type="dxa"/>
          </w:tcPr>
          <w:p w14:paraId="74A3CFA9" w14:textId="77777777" w:rsidR="00FA0BB9" w:rsidRPr="008970FA" w:rsidRDefault="00FA0BB9" w:rsidP="008970FA">
            <w:pPr>
              <w:spacing w:before="60" w:line="240" w:lineRule="auto"/>
              <w:rPr>
                <w:rFonts w:cs="Arial"/>
                <w:color w:val="auto"/>
                <w:szCs w:val="18"/>
              </w:rPr>
            </w:pPr>
            <w:r w:rsidRPr="008970FA">
              <w:rPr>
                <w:rFonts w:cs="Arial"/>
                <w:color w:val="auto"/>
                <w:szCs w:val="18"/>
              </w:rPr>
              <w:t>(quail* OR coturnix) AND well-being</w:t>
            </w:r>
          </w:p>
        </w:tc>
        <w:tc>
          <w:tcPr>
            <w:tcW w:w="1020" w:type="dxa"/>
          </w:tcPr>
          <w:p w14:paraId="4B627B35" w14:textId="77777777" w:rsidR="00FA0BB9" w:rsidRPr="008970FA" w:rsidRDefault="00FA0BB9" w:rsidP="008970FA">
            <w:pPr>
              <w:spacing w:before="60" w:line="240" w:lineRule="auto"/>
              <w:rPr>
                <w:rFonts w:cs="Arial"/>
                <w:color w:val="auto"/>
                <w:szCs w:val="18"/>
              </w:rPr>
            </w:pPr>
            <w:r w:rsidRPr="008970FA">
              <w:rPr>
                <w:rFonts w:cs="Arial"/>
                <w:color w:val="auto"/>
                <w:szCs w:val="18"/>
              </w:rPr>
              <w:t>7</w:t>
            </w:r>
          </w:p>
        </w:tc>
        <w:tc>
          <w:tcPr>
            <w:tcW w:w="1020" w:type="dxa"/>
          </w:tcPr>
          <w:p w14:paraId="1C1D80FD"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c>
          <w:tcPr>
            <w:tcW w:w="3889" w:type="dxa"/>
          </w:tcPr>
          <w:p w14:paraId="32EA307E" w14:textId="77777777" w:rsidR="00FA0BB9" w:rsidRPr="008970FA" w:rsidRDefault="00FA0BB9" w:rsidP="008970FA">
            <w:pPr>
              <w:spacing w:before="60" w:line="240" w:lineRule="auto"/>
              <w:rPr>
                <w:rFonts w:cs="Arial"/>
                <w:color w:val="auto"/>
                <w:szCs w:val="18"/>
              </w:rPr>
            </w:pPr>
          </w:p>
        </w:tc>
      </w:tr>
      <w:tr w:rsidR="00FA0BB9" w:rsidRPr="00286A88" w14:paraId="1EAABE4D" w14:textId="77777777" w:rsidTr="00587D34">
        <w:tc>
          <w:tcPr>
            <w:tcW w:w="4025" w:type="dxa"/>
            <w:shd w:val="clear" w:color="auto" w:fill="auto"/>
          </w:tcPr>
          <w:p w14:paraId="5B5830B9" w14:textId="77777777" w:rsidR="00FA0BB9" w:rsidRPr="00243C3C" w:rsidRDefault="00FA0BB9" w:rsidP="008970FA">
            <w:pPr>
              <w:spacing w:before="60" w:line="240" w:lineRule="auto"/>
              <w:rPr>
                <w:rFonts w:cs="Arial"/>
                <w:b/>
                <w:color w:val="auto"/>
                <w:szCs w:val="18"/>
              </w:rPr>
            </w:pPr>
            <w:r w:rsidRPr="00243C3C">
              <w:rPr>
                <w:rFonts w:cs="Arial"/>
                <w:b/>
                <w:color w:val="auto"/>
                <w:szCs w:val="18"/>
              </w:rPr>
              <w:t>Further-restricted search for sub-set of terms relevant to welfare</w:t>
            </w:r>
          </w:p>
        </w:tc>
        <w:tc>
          <w:tcPr>
            <w:tcW w:w="1020" w:type="dxa"/>
            <w:shd w:val="clear" w:color="auto" w:fill="auto"/>
          </w:tcPr>
          <w:p w14:paraId="61520A3D" w14:textId="77777777" w:rsidR="00FA0BB9" w:rsidRPr="008970FA" w:rsidRDefault="00FA0BB9" w:rsidP="008970FA">
            <w:pPr>
              <w:spacing w:before="60" w:line="240" w:lineRule="auto"/>
              <w:rPr>
                <w:rFonts w:cs="Arial"/>
                <w:color w:val="auto"/>
                <w:szCs w:val="18"/>
              </w:rPr>
            </w:pPr>
          </w:p>
        </w:tc>
        <w:tc>
          <w:tcPr>
            <w:tcW w:w="1020" w:type="dxa"/>
            <w:shd w:val="clear" w:color="auto" w:fill="auto"/>
          </w:tcPr>
          <w:p w14:paraId="235FA89E" w14:textId="77777777" w:rsidR="00FA0BB9" w:rsidRPr="008970FA" w:rsidRDefault="00FA0BB9" w:rsidP="008970FA">
            <w:pPr>
              <w:spacing w:before="60" w:line="240" w:lineRule="auto"/>
              <w:rPr>
                <w:rFonts w:cs="Arial"/>
                <w:color w:val="auto"/>
                <w:szCs w:val="18"/>
              </w:rPr>
            </w:pPr>
          </w:p>
        </w:tc>
        <w:tc>
          <w:tcPr>
            <w:tcW w:w="3889" w:type="dxa"/>
            <w:shd w:val="clear" w:color="auto" w:fill="auto"/>
          </w:tcPr>
          <w:p w14:paraId="27D482CD" w14:textId="77777777" w:rsidR="00FA0BB9" w:rsidRPr="008970FA" w:rsidRDefault="00FA0BB9" w:rsidP="008970FA">
            <w:pPr>
              <w:spacing w:before="60" w:line="240" w:lineRule="auto"/>
              <w:rPr>
                <w:rFonts w:cs="Arial"/>
                <w:color w:val="auto"/>
                <w:szCs w:val="18"/>
              </w:rPr>
            </w:pPr>
          </w:p>
        </w:tc>
      </w:tr>
      <w:tr w:rsidR="00FA0BB9" w:rsidRPr="00286A88" w14:paraId="7B35DB6E" w14:textId="77777777" w:rsidTr="00D561AB">
        <w:tc>
          <w:tcPr>
            <w:tcW w:w="4025" w:type="dxa"/>
          </w:tcPr>
          <w:p w14:paraId="175362EC" w14:textId="77777777" w:rsidR="00FA0BB9" w:rsidRPr="008970FA" w:rsidRDefault="00FA0BB9" w:rsidP="008970FA">
            <w:pPr>
              <w:spacing w:before="60" w:line="240" w:lineRule="auto"/>
              <w:rPr>
                <w:rFonts w:cs="Arial"/>
                <w:color w:val="auto"/>
                <w:szCs w:val="18"/>
              </w:rPr>
            </w:pPr>
            <w:r w:rsidRPr="008970FA">
              <w:rPr>
                <w:rFonts w:cs="Arial"/>
                <w:color w:val="auto"/>
                <w:szCs w:val="18"/>
              </w:rPr>
              <w:t>(quail* OR coturnix) AND health</w:t>
            </w:r>
          </w:p>
        </w:tc>
        <w:tc>
          <w:tcPr>
            <w:tcW w:w="1020" w:type="dxa"/>
          </w:tcPr>
          <w:p w14:paraId="7506AE21" w14:textId="77777777" w:rsidR="00FA0BB9" w:rsidRPr="008970FA" w:rsidRDefault="00FA0BB9" w:rsidP="008970FA">
            <w:pPr>
              <w:spacing w:before="60" w:line="240" w:lineRule="auto"/>
              <w:rPr>
                <w:rFonts w:cs="Arial"/>
                <w:color w:val="auto"/>
                <w:szCs w:val="18"/>
              </w:rPr>
            </w:pPr>
            <w:r w:rsidRPr="008970FA">
              <w:rPr>
                <w:rFonts w:cs="Arial"/>
                <w:color w:val="auto"/>
                <w:szCs w:val="18"/>
              </w:rPr>
              <w:t>207</w:t>
            </w:r>
          </w:p>
        </w:tc>
        <w:tc>
          <w:tcPr>
            <w:tcW w:w="1020" w:type="dxa"/>
          </w:tcPr>
          <w:p w14:paraId="1C53233F"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c>
          <w:tcPr>
            <w:tcW w:w="3889" w:type="dxa"/>
          </w:tcPr>
          <w:p w14:paraId="3C7BFA15" w14:textId="77777777" w:rsidR="00FA0BB9" w:rsidRPr="008970FA" w:rsidRDefault="00FA0BB9" w:rsidP="008970FA">
            <w:pPr>
              <w:spacing w:before="60" w:line="240" w:lineRule="auto"/>
              <w:rPr>
                <w:rFonts w:cs="Arial"/>
                <w:color w:val="auto"/>
                <w:szCs w:val="18"/>
              </w:rPr>
            </w:pPr>
            <w:r w:rsidRPr="008970FA">
              <w:rPr>
                <w:rFonts w:cs="Arial"/>
                <w:color w:val="auto"/>
                <w:szCs w:val="18"/>
              </w:rPr>
              <w:t>1 relevant paper which was a duplicate</w:t>
            </w:r>
          </w:p>
        </w:tc>
      </w:tr>
      <w:tr w:rsidR="00FA0BB9" w:rsidRPr="00286A88" w14:paraId="6C0013DB" w14:textId="77777777" w:rsidTr="00D561AB">
        <w:tc>
          <w:tcPr>
            <w:tcW w:w="4025" w:type="dxa"/>
          </w:tcPr>
          <w:p w14:paraId="5C300910" w14:textId="77777777" w:rsidR="00FA0BB9" w:rsidRPr="008970FA" w:rsidRDefault="00FA0BB9" w:rsidP="008970FA">
            <w:pPr>
              <w:spacing w:before="60" w:line="240" w:lineRule="auto"/>
              <w:rPr>
                <w:rFonts w:cs="Arial"/>
                <w:color w:val="auto"/>
                <w:szCs w:val="18"/>
              </w:rPr>
            </w:pPr>
            <w:r w:rsidRPr="008970FA">
              <w:rPr>
                <w:rFonts w:cs="Arial"/>
                <w:color w:val="auto"/>
                <w:szCs w:val="18"/>
              </w:rPr>
              <w:t>(quail* OR coturnix) AND (stress* OR fear*)</w:t>
            </w:r>
          </w:p>
        </w:tc>
        <w:tc>
          <w:tcPr>
            <w:tcW w:w="1020" w:type="dxa"/>
          </w:tcPr>
          <w:p w14:paraId="39D89FA0" w14:textId="77777777" w:rsidR="00FA0BB9" w:rsidRPr="008970FA" w:rsidRDefault="00FA0BB9" w:rsidP="008970FA">
            <w:pPr>
              <w:spacing w:before="60" w:line="240" w:lineRule="auto"/>
              <w:rPr>
                <w:rFonts w:cs="Arial"/>
                <w:color w:val="auto"/>
                <w:szCs w:val="18"/>
              </w:rPr>
            </w:pPr>
            <w:r w:rsidRPr="008970FA">
              <w:rPr>
                <w:rFonts w:cs="Arial"/>
                <w:color w:val="auto"/>
                <w:szCs w:val="18"/>
              </w:rPr>
              <w:t>741</w:t>
            </w:r>
          </w:p>
        </w:tc>
        <w:tc>
          <w:tcPr>
            <w:tcW w:w="1020" w:type="dxa"/>
          </w:tcPr>
          <w:p w14:paraId="46709DC8"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c>
          <w:tcPr>
            <w:tcW w:w="3889" w:type="dxa"/>
          </w:tcPr>
          <w:p w14:paraId="6961E7A2" w14:textId="77777777" w:rsidR="00FA0BB9" w:rsidRPr="008970FA" w:rsidRDefault="00FA0BB9" w:rsidP="008970FA">
            <w:pPr>
              <w:spacing w:before="60" w:line="240" w:lineRule="auto"/>
              <w:rPr>
                <w:rFonts w:cs="Arial"/>
                <w:color w:val="auto"/>
                <w:szCs w:val="18"/>
              </w:rPr>
            </w:pPr>
            <w:r w:rsidRPr="008970FA">
              <w:rPr>
                <w:rFonts w:cs="Arial"/>
                <w:color w:val="auto"/>
                <w:szCs w:val="18"/>
              </w:rPr>
              <w:t>Several relevant papers which were duplicates, others on fundamental stress biology</w:t>
            </w:r>
          </w:p>
        </w:tc>
      </w:tr>
      <w:tr w:rsidR="00FA0BB9" w:rsidRPr="00286A88" w14:paraId="1C2190E0" w14:textId="77777777" w:rsidTr="00D561AB">
        <w:tc>
          <w:tcPr>
            <w:tcW w:w="4025" w:type="dxa"/>
          </w:tcPr>
          <w:p w14:paraId="5A06A8E0" w14:textId="77777777" w:rsidR="00FA0BB9" w:rsidRPr="008970FA" w:rsidRDefault="00FA0BB9" w:rsidP="008970FA">
            <w:pPr>
              <w:spacing w:before="60" w:line="240" w:lineRule="auto"/>
              <w:rPr>
                <w:rFonts w:cs="Arial"/>
                <w:color w:val="auto"/>
                <w:szCs w:val="18"/>
              </w:rPr>
            </w:pPr>
            <w:r w:rsidRPr="008970FA">
              <w:rPr>
                <w:rFonts w:cs="Arial"/>
                <w:color w:val="auto"/>
                <w:szCs w:val="18"/>
              </w:rPr>
              <w:t>(quail* OR coturnix) AND (density OR space)</w:t>
            </w:r>
          </w:p>
        </w:tc>
        <w:tc>
          <w:tcPr>
            <w:tcW w:w="1020" w:type="dxa"/>
          </w:tcPr>
          <w:p w14:paraId="4C897E01" w14:textId="77777777" w:rsidR="00FA0BB9" w:rsidRPr="008970FA" w:rsidRDefault="00FA0BB9" w:rsidP="008970FA">
            <w:pPr>
              <w:spacing w:before="60" w:line="240" w:lineRule="auto"/>
              <w:rPr>
                <w:rFonts w:cs="Arial"/>
                <w:color w:val="auto"/>
                <w:szCs w:val="18"/>
              </w:rPr>
            </w:pPr>
            <w:r w:rsidRPr="008970FA">
              <w:rPr>
                <w:rFonts w:cs="Arial"/>
                <w:color w:val="auto"/>
                <w:szCs w:val="18"/>
              </w:rPr>
              <w:t>519</w:t>
            </w:r>
          </w:p>
        </w:tc>
        <w:tc>
          <w:tcPr>
            <w:tcW w:w="1020" w:type="dxa"/>
          </w:tcPr>
          <w:p w14:paraId="51B3C407"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c>
          <w:tcPr>
            <w:tcW w:w="3889" w:type="dxa"/>
          </w:tcPr>
          <w:p w14:paraId="78742E4F" w14:textId="77777777" w:rsidR="00FA0BB9" w:rsidRPr="008970FA" w:rsidRDefault="00FA0BB9" w:rsidP="008970FA">
            <w:pPr>
              <w:spacing w:before="60" w:line="240" w:lineRule="auto"/>
              <w:rPr>
                <w:rFonts w:cs="Arial"/>
                <w:color w:val="auto"/>
                <w:szCs w:val="18"/>
              </w:rPr>
            </w:pPr>
            <w:r w:rsidRPr="008970FA">
              <w:rPr>
                <w:rFonts w:cs="Arial"/>
                <w:color w:val="auto"/>
                <w:szCs w:val="18"/>
              </w:rPr>
              <w:t>2 relevant papers which were duplicates</w:t>
            </w:r>
          </w:p>
        </w:tc>
      </w:tr>
      <w:tr w:rsidR="00FA0BB9" w:rsidRPr="00286A88" w14:paraId="7512E4E6" w14:textId="77777777" w:rsidTr="00D561AB">
        <w:tc>
          <w:tcPr>
            <w:tcW w:w="4025" w:type="dxa"/>
          </w:tcPr>
          <w:p w14:paraId="4EBFA4BC" w14:textId="77777777" w:rsidR="00FA0BB9" w:rsidRPr="008970FA" w:rsidRDefault="00FA0BB9" w:rsidP="008970FA">
            <w:pPr>
              <w:spacing w:before="60" w:line="240" w:lineRule="auto"/>
              <w:rPr>
                <w:rFonts w:cs="Arial"/>
                <w:color w:val="auto"/>
                <w:szCs w:val="18"/>
              </w:rPr>
            </w:pPr>
            <w:r w:rsidRPr="008970FA">
              <w:rPr>
                <w:rFonts w:cs="Arial"/>
                <w:color w:val="auto"/>
                <w:szCs w:val="18"/>
              </w:rPr>
              <w:t>(quail* OR coturnix) AND (injur* OR cull* OR mortali*)</w:t>
            </w:r>
          </w:p>
        </w:tc>
        <w:tc>
          <w:tcPr>
            <w:tcW w:w="1020" w:type="dxa"/>
          </w:tcPr>
          <w:p w14:paraId="291FA574" w14:textId="77777777" w:rsidR="00FA0BB9" w:rsidRPr="008970FA" w:rsidRDefault="00FA0BB9" w:rsidP="008970FA">
            <w:pPr>
              <w:spacing w:before="60" w:line="240" w:lineRule="auto"/>
              <w:rPr>
                <w:rFonts w:cs="Arial"/>
                <w:color w:val="auto"/>
                <w:szCs w:val="18"/>
              </w:rPr>
            </w:pPr>
            <w:r w:rsidRPr="008970FA">
              <w:rPr>
                <w:rFonts w:cs="Arial"/>
                <w:color w:val="auto"/>
                <w:szCs w:val="18"/>
              </w:rPr>
              <w:t>371</w:t>
            </w:r>
          </w:p>
        </w:tc>
        <w:tc>
          <w:tcPr>
            <w:tcW w:w="1020" w:type="dxa"/>
          </w:tcPr>
          <w:p w14:paraId="3E1B0EDC"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c>
          <w:tcPr>
            <w:tcW w:w="3889" w:type="dxa"/>
          </w:tcPr>
          <w:p w14:paraId="2F15DED9" w14:textId="77777777" w:rsidR="00FA0BB9" w:rsidRPr="008970FA" w:rsidRDefault="00FA0BB9" w:rsidP="008970FA">
            <w:pPr>
              <w:spacing w:before="60" w:line="240" w:lineRule="auto"/>
              <w:rPr>
                <w:rFonts w:cs="Arial"/>
                <w:color w:val="auto"/>
                <w:szCs w:val="18"/>
              </w:rPr>
            </w:pPr>
            <w:r w:rsidRPr="008970FA">
              <w:rPr>
                <w:rFonts w:cs="Arial"/>
                <w:color w:val="auto"/>
                <w:szCs w:val="18"/>
              </w:rPr>
              <w:t>Several relevant papers which were duplicates, others on laboratory lines of quail</w:t>
            </w:r>
          </w:p>
        </w:tc>
      </w:tr>
      <w:tr w:rsidR="00FA0BB9" w:rsidRPr="00286A88" w14:paraId="1BD0B227" w14:textId="77777777" w:rsidTr="00D561AB">
        <w:tc>
          <w:tcPr>
            <w:tcW w:w="4025" w:type="dxa"/>
          </w:tcPr>
          <w:p w14:paraId="70E442FD" w14:textId="77777777" w:rsidR="00FA0BB9" w:rsidRPr="008970FA" w:rsidRDefault="00FA0BB9" w:rsidP="008970FA">
            <w:pPr>
              <w:spacing w:before="60" w:line="240" w:lineRule="auto"/>
              <w:rPr>
                <w:rFonts w:cs="Arial"/>
                <w:color w:val="auto"/>
                <w:szCs w:val="18"/>
              </w:rPr>
            </w:pPr>
            <w:r w:rsidRPr="008970FA">
              <w:rPr>
                <w:rFonts w:cs="Arial"/>
                <w:color w:val="auto"/>
                <w:szCs w:val="18"/>
              </w:rPr>
              <w:t>quail AND litter OR quail AND perch* OR quail AND nest* OR quail AND enrich*</w:t>
            </w:r>
          </w:p>
        </w:tc>
        <w:tc>
          <w:tcPr>
            <w:tcW w:w="1020" w:type="dxa"/>
          </w:tcPr>
          <w:p w14:paraId="7FEAD26D" w14:textId="77777777" w:rsidR="00FA0BB9" w:rsidRPr="008970FA" w:rsidRDefault="00FA0BB9" w:rsidP="008970FA">
            <w:pPr>
              <w:spacing w:before="60" w:line="240" w:lineRule="auto"/>
              <w:rPr>
                <w:rFonts w:cs="Arial"/>
                <w:color w:val="auto"/>
                <w:szCs w:val="18"/>
              </w:rPr>
            </w:pPr>
            <w:r w:rsidRPr="008970FA">
              <w:rPr>
                <w:rFonts w:cs="Arial"/>
                <w:color w:val="auto"/>
                <w:szCs w:val="18"/>
              </w:rPr>
              <w:t>470</w:t>
            </w:r>
          </w:p>
        </w:tc>
        <w:tc>
          <w:tcPr>
            <w:tcW w:w="1020" w:type="dxa"/>
          </w:tcPr>
          <w:p w14:paraId="6E979CCD"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c>
          <w:tcPr>
            <w:tcW w:w="3889" w:type="dxa"/>
          </w:tcPr>
          <w:p w14:paraId="49675264" w14:textId="77777777" w:rsidR="00FA0BB9" w:rsidRPr="008970FA" w:rsidRDefault="00FA0BB9" w:rsidP="008970FA">
            <w:pPr>
              <w:spacing w:before="60" w:line="240" w:lineRule="auto"/>
              <w:rPr>
                <w:rFonts w:cs="Arial"/>
                <w:color w:val="auto"/>
                <w:szCs w:val="18"/>
              </w:rPr>
            </w:pPr>
            <w:r w:rsidRPr="008970FA">
              <w:rPr>
                <w:rFonts w:cs="Arial"/>
                <w:color w:val="auto"/>
                <w:szCs w:val="18"/>
              </w:rPr>
              <w:t>Several relevant papers which were duplicates, others on lab quail</w:t>
            </w:r>
          </w:p>
        </w:tc>
      </w:tr>
      <w:tr w:rsidR="00FA0BB9" w:rsidRPr="00286A88" w14:paraId="7B388A6E" w14:textId="77777777" w:rsidTr="00D561AB">
        <w:tc>
          <w:tcPr>
            <w:tcW w:w="4025" w:type="dxa"/>
          </w:tcPr>
          <w:p w14:paraId="304F4442" w14:textId="77777777" w:rsidR="00FA0BB9" w:rsidRPr="008970FA" w:rsidRDefault="00FA0BB9" w:rsidP="007E6FE0">
            <w:pPr>
              <w:spacing w:before="60" w:line="240" w:lineRule="auto"/>
              <w:rPr>
                <w:rFonts w:cs="Arial"/>
                <w:color w:val="auto"/>
                <w:szCs w:val="18"/>
              </w:rPr>
            </w:pPr>
            <w:r w:rsidRPr="008970FA">
              <w:rPr>
                <w:rFonts w:cs="Arial"/>
                <w:color w:val="auto"/>
                <w:szCs w:val="18"/>
              </w:rPr>
              <w:t xml:space="preserve">quail AND dustbath* </w:t>
            </w:r>
            <w:r w:rsidR="007E6FE0">
              <w:rPr>
                <w:rFonts w:cs="Arial"/>
                <w:color w:val="auto"/>
                <w:szCs w:val="18"/>
              </w:rPr>
              <w:t xml:space="preserve">OR </w:t>
            </w:r>
            <w:r w:rsidRPr="008970FA">
              <w:rPr>
                <w:rFonts w:cs="Arial"/>
                <w:color w:val="auto"/>
                <w:szCs w:val="18"/>
              </w:rPr>
              <w:t>quail AND dust-bath*</w:t>
            </w:r>
          </w:p>
        </w:tc>
        <w:tc>
          <w:tcPr>
            <w:tcW w:w="1020" w:type="dxa"/>
          </w:tcPr>
          <w:p w14:paraId="6BFA5364" w14:textId="77777777" w:rsidR="00FA0BB9" w:rsidRPr="008970FA" w:rsidRDefault="00FA0BB9" w:rsidP="008970FA">
            <w:pPr>
              <w:spacing w:before="60" w:line="240" w:lineRule="auto"/>
              <w:rPr>
                <w:rFonts w:cs="Arial"/>
                <w:color w:val="auto"/>
                <w:szCs w:val="18"/>
              </w:rPr>
            </w:pPr>
            <w:r w:rsidRPr="008970FA">
              <w:rPr>
                <w:rFonts w:cs="Arial"/>
                <w:color w:val="auto"/>
                <w:szCs w:val="18"/>
              </w:rPr>
              <w:t>5</w:t>
            </w:r>
          </w:p>
        </w:tc>
        <w:tc>
          <w:tcPr>
            <w:tcW w:w="1020" w:type="dxa"/>
          </w:tcPr>
          <w:p w14:paraId="7D5E251A" w14:textId="77777777" w:rsidR="00FA0BB9" w:rsidRPr="008970FA" w:rsidRDefault="00FA0BB9" w:rsidP="008970FA">
            <w:pPr>
              <w:spacing w:before="60" w:line="240" w:lineRule="auto"/>
              <w:rPr>
                <w:rFonts w:cs="Arial"/>
                <w:color w:val="auto"/>
                <w:szCs w:val="18"/>
              </w:rPr>
            </w:pPr>
            <w:r w:rsidRPr="008970FA">
              <w:rPr>
                <w:rFonts w:cs="Arial"/>
                <w:color w:val="auto"/>
                <w:szCs w:val="18"/>
              </w:rPr>
              <w:t>1</w:t>
            </w:r>
          </w:p>
        </w:tc>
        <w:tc>
          <w:tcPr>
            <w:tcW w:w="3889" w:type="dxa"/>
          </w:tcPr>
          <w:p w14:paraId="1FC2475D" w14:textId="77777777" w:rsidR="00FA0BB9" w:rsidRPr="008970FA" w:rsidRDefault="00FA0BB9" w:rsidP="008970FA">
            <w:pPr>
              <w:spacing w:before="60" w:line="240" w:lineRule="auto"/>
              <w:rPr>
                <w:rFonts w:cs="Arial"/>
                <w:color w:val="auto"/>
                <w:szCs w:val="18"/>
              </w:rPr>
            </w:pPr>
            <w:r w:rsidRPr="008970FA">
              <w:rPr>
                <w:rFonts w:cs="Arial"/>
                <w:color w:val="auto"/>
                <w:szCs w:val="18"/>
              </w:rPr>
              <w:t>1 additional paper with several enrichments tested</w:t>
            </w:r>
          </w:p>
        </w:tc>
      </w:tr>
      <w:tr w:rsidR="00FA0BB9" w:rsidRPr="00286A88" w14:paraId="32E82243" w14:textId="77777777" w:rsidTr="00D561AB">
        <w:tc>
          <w:tcPr>
            <w:tcW w:w="4025" w:type="dxa"/>
          </w:tcPr>
          <w:p w14:paraId="4323A163" w14:textId="77777777" w:rsidR="00FA0BB9" w:rsidRPr="008970FA" w:rsidRDefault="00FA0BB9" w:rsidP="008970FA">
            <w:pPr>
              <w:spacing w:before="60" w:line="240" w:lineRule="auto"/>
              <w:rPr>
                <w:rFonts w:cs="Arial"/>
                <w:color w:val="auto"/>
                <w:szCs w:val="18"/>
              </w:rPr>
            </w:pPr>
            <w:r w:rsidRPr="008970FA">
              <w:rPr>
                <w:rFonts w:cs="Arial"/>
                <w:color w:val="auto"/>
                <w:szCs w:val="18"/>
              </w:rPr>
              <w:t>quail and peck* OR quail and beak*</w:t>
            </w:r>
          </w:p>
        </w:tc>
        <w:tc>
          <w:tcPr>
            <w:tcW w:w="1020" w:type="dxa"/>
          </w:tcPr>
          <w:p w14:paraId="48F31D85" w14:textId="77777777" w:rsidR="00FA0BB9" w:rsidRPr="008970FA" w:rsidRDefault="00FA0BB9" w:rsidP="008970FA">
            <w:pPr>
              <w:spacing w:before="60" w:line="240" w:lineRule="auto"/>
              <w:rPr>
                <w:rFonts w:cs="Arial"/>
                <w:color w:val="auto"/>
                <w:szCs w:val="18"/>
              </w:rPr>
            </w:pPr>
            <w:r w:rsidRPr="008970FA">
              <w:rPr>
                <w:rFonts w:cs="Arial"/>
                <w:color w:val="auto"/>
                <w:szCs w:val="18"/>
              </w:rPr>
              <w:t>112</w:t>
            </w:r>
          </w:p>
        </w:tc>
        <w:tc>
          <w:tcPr>
            <w:tcW w:w="1020" w:type="dxa"/>
          </w:tcPr>
          <w:p w14:paraId="31C046E4" w14:textId="77777777" w:rsidR="00FA0BB9" w:rsidRPr="008970FA" w:rsidRDefault="00FA0BB9" w:rsidP="008970FA">
            <w:pPr>
              <w:spacing w:before="60" w:line="240" w:lineRule="auto"/>
              <w:rPr>
                <w:rFonts w:cs="Arial"/>
                <w:color w:val="auto"/>
                <w:szCs w:val="18"/>
              </w:rPr>
            </w:pPr>
            <w:r w:rsidRPr="008970FA">
              <w:rPr>
                <w:rFonts w:cs="Arial"/>
                <w:color w:val="auto"/>
                <w:szCs w:val="18"/>
              </w:rPr>
              <w:t>2</w:t>
            </w:r>
          </w:p>
        </w:tc>
        <w:tc>
          <w:tcPr>
            <w:tcW w:w="3889" w:type="dxa"/>
          </w:tcPr>
          <w:p w14:paraId="386C6EEC" w14:textId="77777777" w:rsidR="00FA0BB9" w:rsidRPr="008970FA" w:rsidRDefault="00FA0BB9" w:rsidP="008970FA">
            <w:pPr>
              <w:spacing w:before="60" w:line="240" w:lineRule="auto"/>
              <w:rPr>
                <w:rFonts w:cs="Arial"/>
                <w:color w:val="auto"/>
                <w:szCs w:val="18"/>
              </w:rPr>
            </w:pPr>
            <w:r w:rsidRPr="008970FA">
              <w:rPr>
                <w:rFonts w:cs="Arial"/>
                <w:color w:val="auto"/>
                <w:szCs w:val="18"/>
              </w:rPr>
              <w:t>2 papers on effects of beak trimming</w:t>
            </w:r>
          </w:p>
        </w:tc>
      </w:tr>
      <w:tr w:rsidR="007F3120" w:rsidRPr="00286A88" w14:paraId="185EA33A" w14:textId="77777777" w:rsidTr="00D561AB">
        <w:tc>
          <w:tcPr>
            <w:tcW w:w="4025" w:type="dxa"/>
          </w:tcPr>
          <w:p w14:paraId="0E77259B" w14:textId="77777777" w:rsidR="007F3120" w:rsidRPr="007F3120" w:rsidRDefault="007F3120" w:rsidP="008970FA">
            <w:pPr>
              <w:spacing w:before="60" w:line="240" w:lineRule="auto"/>
              <w:rPr>
                <w:rFonts w:cs="Arial"/>
                <w:b/>
                <w:color w:val="auto"/>
                <w:szCs w:val="18"/>
              </w:rPr>
            </w:pPr>
            <w:r>
              <w:rPr>
                <w:rFonts w:cs="Arial"/>
                <w:b/>
                <w:color w:val="auto"/>
                <w:szCs w:val="18"/>
              </w:rPr>
              <w:t>Papers retained from secondary searches</w:t>
            </w:r>
          </w:p>
        </w:tc>
        <w:tc>
          <w:tcPr>
            <w:tcW w:w="1020" w:type="dxa"/>
          </w:tcPr>
          <w:p w14:paraId="0BEA66CE" w14:textId="77777777" w:rsidR="007F3120" w:rsidRPr="008970FA" w:rsidRDefault="007F3120" w:rsidP="008970FA">
            <w:pPr>
              <w:spacing w:before="60" w:line="240" w:lineRule="auto"/>
              <w:rPr>
                <w:rFonts w:cs="Arial"/>
                <w:color w:val="auto"/>
                <w:szCs w:val="18"/>
              </w:rPr>
            </w:pPr>
          </w:p>
        </w:tc>
        <w:tc>
          <w:tcPr>
            <w:tcW w:w="1020" w:type="dxa"/>
          </w:tcPr>
          <w:p w14:paraId="3A76A8DB" w14:textId="77777777" w:rsidR="007F3120" w:rsidRPr="007F3120" w:rsidRDefault="007F3120" w:rsidP="008970FA">
            <w:pPr>
              <w:spacing w:before="60" w:line="240" w:lineRule="auto"/>
              <w:rPr>
                <w:rFonts w:cs="Arial"/>
                <w:b/>
                <w:color w:val="auto"/>
                <w:szCs w:val="18"/>
              </w:rPr>
            </w:pPr>
            <w:r>
              <w:rPr>
                <w:rFonts w:cs="Arial"/>
                <w:b/>
                <w:color w:val="auto"/>
                <w:szCs w:val="18"/>
              </w:rPr>
              <w:t>3</w:t>
            </w:r>
          </w:p>
        </w:tc>
        <w:tc>
          <w:tcPr>
            <w:tcW w:w="3889" w:type="dxa"/>
          </w:tcPr>
          <w:p w14:paraId="75389FFD" w14:textId="77777777" w:rsidR="007F3120" w:rsidRPr="008970FA" w:rsidRDefault="007F3120" w:rsidP="008970FA">
            <w:pPr>
              <w:spacing w:before="60" w:line="240" w:lineRule="auto"/>
              <w:rPr>
                <w:rFonts w:cs="Arial"/>
                <w:color w:val="auto"/>
                <w:szCs w:val="18"/>
              </w:rPr>
            </w:pPr>
          </w:p>
        </w:tc>
      </w:tr>
    </w:tbl>
    <w:p w14:paraId="01A8945B" w14:textId="77777777" w:rsidR="007F3120" w:rsidRPr="007F3120" w:rsidRDefault="007F3120" w:rsidP="005F7B38">
      <w:pPr>
        <w:spacing w:before="240"/>
        <w:rPr>
          <w:b/>
          <w:lang w:val="en-GB"/>
        </w:rPr>
      </w:pPr>
      <w:r>
        <w:rPr>
          <w:b/>
          <w:lang w:val="en-GB"/>
        </w:rPr>
        <w:t>Total number of papers retained from primary and secondary searches: 2</w:t>
      </w:r>
      <w:r w:rsidR="004A3DB9">
        <w:rPr>
          <w:b/>
          <w:lang w:val="en-GB"/>
        </w:rPr>
        <w:t>0</w:t>
      </w:r>
      <w:r>
        <w:rPr>
          <w:b/>
          <w:lang w:val="en-GB"/>
        </w:rPr>
        <w:t xml:space="preserve"> + 3 = 2</w:t>
      </w:r>
      <w:r w:rsidR="004A3DB9">
        <w:rPr>
          <w:b/>
          <w:lang w:val="en-GB"/>
        </w:rPr>
        <w:t>3</w:t>
      </w:r>
    </w:p>
    <w:p w14:paraId="3B5027F2" w14:textId="77777777" w:rsidR="007F3120" w:rsidRDefault="007F3120" w:rsidP="001123AA">
      <w:pPr>
        <w:rPr>
          <w:lang w:val="en-GB"/>
        </w:rPr>
      </w:pPr>
    </w:p>
    <w:p w14:paraId="0D19544C" w14:textId="77777777" w:rsidR="00FA0BB9" w:rsidRPr="00FA0BB9" w:rsidRDefault="00FA0BB9" w:rsidP="00AE59F9">
      <w:pPr>
        <w:spacing w:before="120"/>
        <w:rPr>
          <w:b/>
          <w:sz w:val="24"/>
          <w:szCs w:val="24"/>
          <w:lang w:val="en-GB"/>
        </w:rPr>
      </w:pPr>
      <w:r>
        <w:rPr>
          <w:lang w:val="en-GB"/>
        </w:rPr>
        <w:br w:type="column"/>
      </w:r>
      <w:r w:rsidR="00CB7733">
        <w:rPr>
          <w:b/>
          <w:sz w:val="24"/>
          <w:szCs w:val="24"/>
          <w:lang w:val="en-GB"/>
        </w:rPr>
        <w:t>Ostrich</w:t>
      </w:r>
      <w:r w:rsidR="00B41749">
        <w:rPr>
          <w:b/>
          <w:sz w:val="24"/>
          <w:szCs w:val="24"/>
          <w:lang w:val="en-GB"/>
        </w:rPr>
        <w:t>es</w:t>
      </w:r>
    </w:p>
    <w:p w14:paraId="1FC39D56" w14:textId="77777777" w:rsidR="00FA0BB9" w:rsidRPr="00590F0B" w:rsidRDefault="00FA0BB9" w:rsidP="00590F0B">
      <w:pPr>
        <w:spacing w:before="240" w:after="240"/>
        <w:rPr>
          <w:b/>
          <w:lang w:val="en-GB"/>
        </w:rPr>
      </w:pPr>
      <w:r w:rsidRPr="00590F0B">
        <w:rPr>
          <w:b/>
          <w:lang w:val="en-GB"/>
        </w:rPr>
        <w:t>Primary Search</w:t>
      </w:r>
      <w:r w:rsidR="007E6FE0">
        <w:rPr>
          <w:b/>
          <w:lang w:val="en-GB"/>
        </w:rPr>
        <w:t>:</w:t>
      </w:r>
      <w:r w:rsidRPr="00590F0B">
        <w:rPr>
          <w:b/>
          <w:lang w:val="en-GB"/>
        </w:rPr>
        <w:t xml:space="preserve"> ostrich </w:t>
      </w:r>
      <w:r w:rsidR="00AE59F9">
        <w:rPr>
          <w:b/>
          <w:lang w:val="en-GB"/>
        </w:rPr>
        <w:t>AND</w:t>
      </w:r>
      <w:r w:rsidRPr="00590F0B">
        <w:rPr>
          <w:b/>
          <w:lang w:val="en-GB"/>
        </w:rPr>
        <w:t xml:space="preserve"> welfare = 25</w:t>
      </w:r>
    </w:p>
    <w:tbl>
      <w:tblPr>
        <w:tblStyle w:val="TableGrid11"/>
        <w:tblW w:w="9977" w:type="dxa"/>
        <w:tblLook w:val="04A0" w:firstRow="1" w:lastRow="0" w:firstColumn="1" w:lastColumn="0" w:noHBand="0" w:noVBand="1"/>
        <w:tblCaption w:val="Papers excluded after primary literature search for ostrich welfare"/>
        <w:tblDescription w:val="This table shows the number of papers excluded after the primary literature search for ostrich welfare. The left hand column shows the primary reason for exclusion. The middle column shows the number of papers excluded. The right hand column gives an example of a paper excluded for each reason."/>
      </w:tblPr>
      <w:tblGrid>
        <w:gridCol w:w="3628"/>
        <w:gridCol w:w="1020"/>
        <w:gridCol w:w="5329"/>
      </w:tblGrid>
      <w:tr w:rsidR="00FA0BB9" w:rsidRPr="00286A88" w14:paraId="070502BC" w14:textId="77777777" w:rsidTr="00587D34">
        <w:trPr>
          <w:tblHeader/>
        </w:trPr>
        <w:tc>
          <w:tcPr>
            <w:tcW w:w="3628" w:type="dxa"/>
            <w:shd w:val="clear" w:color="auto" w:fill="auto"/>
          </w:tcPr>
          <w:p w14:paraId="2E77A8C9" w14:textId="77777777" w:rsidR="00FA0BB9" w:rsidRPr="00F67C8B" w:rsidRDefault="00FA0BB9" w:rsidP="009928C2">
            <w:pPr>
              <w:spacing w:before="60" w:line="240" w:lineRule="auto"/>
              <w:rPr>
                <w:rFonts w:cs="Arial"/>
                <w:b/>
                <w:color w:val="auto"/>
                <w:szCs w:val="18"/>
              </w:rPr>
            </w:pPr>
            <w:r w:rsidRPr="00F67C8B">
              <w:rPr>
                <w:rFonts w:cs="Arial"/>
                <w:b/>
                <w:color w:val="auto"/>
                <w:szCs w:val="18"/>
              </w:rPr>
              <w:t xml:space="preserve">Primary Reason for Exclusion </w:t>
            </w:r>
          </w:p>
        </w:tc>
        <w:tc>
          <w:tcPr>
            <w:tcW w:w="1020" w:type="dxa"/>
            <w:shd w:val="clear" w:color="auto" w:fill="auto"/>
          </w:tcPr>
          <w:p w14:paraId="3F92F7DE" w14:textId="77777777" w:rsidR="00FA0BB9" w:rsidRPr="00F67C8B" w:rsidRDefault="00FA0BB9" w:rsidP="009928C2">
            <w:pPr>
              <w:spacing w:before="60" w:line="240" w:lineRule="auto"/>
              <w:rPr>
                <w:rFonts w:cs="Arial"/>
                <w:color w:val="auto"/>
                <w:szCs w:val="18"/>
              </w:rPr>
            </w:pPr>
            <w:r w:rsidRPr="00F67C8B">
              <w:rPr>
                <w:rFonts w:cs="Arial"/>
                <w:color w:val="auto"/>
                <w:szCs w:val="18"/>
              </w:rPr>
              <w:t>Number Excluded</w:t>
            </w:r>
          </w:p>
        </w:tc>
        <w:tc>
          <w:tcPr>
            <w:tcW w:w="5329" w:type="dxa"/>
            <w:shd w:val="clear" w:color="auto" w:fill="auto"/>
          </w:tcPr>
          <w:p w14:paraId="043BD91E" w14:textId="77777777" w:rsidR="00FA0BB9" w:rsidRPr="00F67C8B" w:rsidRDefault="00FA0BB9" w:rsidP="009928C2">
            <w:pPr>
              <w:spacing w:before="60" w:line="240" w:lineRule="auto"/>
              <w:rPr>
                <w:rFonts w:cs="Arial"/>
                <w:color w:val="auto"/>
                <w:szCs w:val="18"/>
              </w:rPr>
            </w:pPr>
            <w:r w:rsidRPr="00F67C8B">
              <w:rPr>
                <w:rFonts w:cs="Arial"/>
                <w:i/>
                <w:color w:val="auto"/>
                <w:szCs w:val="18"/>
              </w:rPr>
              <w:t xml:space="preserve">Example </w:t>
            </w:r>
            <w:r w:rsidRPr="00F67C8B">
              <w:rPr>
                <w:rFonts w:cs="Arial"/>
                <w:color w:val="auto"/>
                <w:szCs w:val="18"/>
              </w:rPr>
              <w:t>of Paper Excluded for Each Reason</w:t>
            </w:r>
          </w:p>
        </w:tc>
      </w:tr>
      <w:tr w:rsidR="00FA0BB9" w:rsidRPr="00286A88" w14:paraId="7728370B" w14:textId="77777777" w:rsidTr="005F7B38">
        <w:tc>
          <w:tcPr>
            <w:tcW w:w="3628" w:type="dxa"/>
          </w:tcPr>
          <w:p w14:paraId="66468790" w14:textId="77777777" w:rsidR="00FA0BB9" w:rsidRPr="008C43DD" w:rsidRDefault="00FA0BB9" w:rsidP="008C43DD">
            <w:pPr>
              <w:spacing w:before="60"/>
            </w:pPr>
            <w:r w:rsidRPr="008C43DD">
              <w:t>Transport or slaughter</w:t>
            </w:r>
          </w:p>
        </w:tc>
        <w:tc>
          <w:tcPr>
            <w:tcW w:w="1020" w:type="dxa"/>
          </w:tcPr>
          <w:p w14:paraId="3ACB9207" w14:textId="77777777" w:rsidR="00FA0BB9" w:rsidRPr="008C43DD" w:rsidRDefault="00FA0BB9" w:rsidP="008C43DD">
            <w:pPr>
              <w:spacing w:before="60"/>
            </w:pPr>
            <w:r w:rsidRPr="008C43DD">
              <w:t>6</w:t>
            </w:r>
          </w:p>
        </w:tc>
        <w:tc>
          <w:tcPr>
            <w:tcW w:w="5329" w:type="dxa"/>
          </w:tcPr>
          <w:p w14:paraId="2EADF3E8" w14:textId="77777777" w:rsidR="00C26326" w:rsidRPr="00C26326" w:rsidRDefault="00C26326" w:rsidP="00C26326">
            <w:pPr>
              <w:pStyle w:val="NoSpacing"/>
              <w:rPr>
                <w:sz w:val="16"/>
                <w:szCs w:val="16"/>
              </w:rPr>
            </w:pPr>
            <w:r w:rsidRPr="00C26326">
              <w:rPr>
                <w:sz w:val="16"/>
                <w:szCs w:val="16"/>
              </w:rPr>
              <w:t>Effects of pre-transport nutrient supplementation and transport duration on the post-transport blood biochemistry, bodyweight and welfare of ostriches</w:t>
            </w:r>
          </w:p>
          <w:p w14:paraId="6272CB31" w14:textId="77777777" w:rsidR="00C26326" w:rsidRPr="00C26326" w:rsidRDefault="00C26326" w:rsidP="00C26326">
            <w:pPr>
              <w:pStyle w:val="NoSpacing"/>
              <w:rPr>
                <w:sz w:val="16"/>
                <w:szCs w:val="16"/>
              </w:rPr>
            </w:pPr>
            <w:r w:rsidRPr="00C26326">
              <w:rPr>
                <w:sz w:val="16"/>
                <w:szCs w:val="16"/>
              </w:rPr>
              <w:t>By: Bejaei, M.; Bennett, D. C.; Schaefer, A. L.; et al.</w:t>
            </w:r>
          </w:p>
          <w:p w14:paraId="68EA14AE" w14:textId="77777777" w:rsidR="00FA0BB9" w:rsidRPr="00C26326" w:rsidRDefault="00C26326" w:rsidP="00C26326">
            <w:pPr>
              <w:pStyle w:val="NoSpacing"/>
              <w:rPr>
                <w:sz w:val="16"/>
                <w:szCs w:val="16"/>
              </w:rPr>
            </w:pPr>
            <w:r w:rsidRPr="00C26326">
              <w:rPr>
                <w:sz w:val="16"/>
                <w:szCs w:val="16"/>
              </w:rPr>
              <w:t>ANIMAL WELFARE   Volume: 23   Issue: 2   Pages: 209-217   Published: MAY 2014</w:t>
            </w:r>
          </w:p>
        </w:tc>
      </w:tr>
      <w:tr w:rsidR="00FA0BB9" w:rsidRPr="00286A88" w14:paraId="7BFA72F5" w14:textId="77777777" w:rsidTr="005F7B38">
        <w:tc>
          <w:tcPr>
            <w:tcW w:w="3628" w:type="dxa"/>
          </w:tcPr>
          <w:p w14:paraId="5CD4870C" w14:textId="77777777" w:rsidR="00FA0BB9" w:rsidRPr="008C43DD" w:rsidRDefault="00FA0BB9" w:rsidP="008C43DD">
            <w:pPr>
              <w:spacing w:before="60"/>
            </w:pPr>
            <w:r w:rsidRPr="008C43DD">
              <w:t>Other animals</w:t>
            </w:r>
          </w:p>
        </w:tc>
        <w:tc>
          <w:tcPr>
            <w:tcW w:w="1020" w:type="dxa"/>
          </w:tcPr>
          <w:p w14:paraId="604DC07B" w14:textId="77777777" w:rsidR="00FA0BB9" w:rsidRPr="008C43DD" w:rsidRDefault="00FA0BB9" w:rsidP="008C43DD">
            <w:pPr>
              <w:spacing w:before="60"/>
            </w:pPr>
            <w:r w:rsidRPr="008C43DD">
              <w:t>6</w:t>
            </w:r>
          </w:p>
        </w:tc>
        <w:tc>
          <w:tcPr>
            <w:tcW w:w="5329" w:type="dxa"/>
          </w:tcPr>
          <w:p w14:paraId="21DE28D2" w14:textId="77777777" w:rsidR="00C26326" w:rsidRPr="00C26326" w:rsidRDefault="00C26326" w:rsidP="00C26326">
            <w:pPr>
              <w:pStyle w:val="NoSpacing"/>
              <w:rPr>
                <w:sz w:val="16"/>
                <w:szCs w:val="16"/>
              </w:rPr>
            </w:pPr>
            <w:r w:rsidRPr="00C26326">
              <w:rPr>
                <w:sz w:val="16"/>
                <w:szCs w:val="16"/>
              </w:rPr>
              <w:t>The effects of selective breeding on the architectural properties of the pelvic limb in broiler chickens: a comparative study across modern and ancestral populations</w:t>
            </w:r>
          </w:p>
          <w:p w14:paraId="62D0B69C" w14:textId="77777777" w:rsidR="00FA0BB9" w:rsidRPr="00C26326" w:rsidRDefault="00C26326" w:rsidP="00C26326">
            <w:pPr>
              <w:pStyle w:val="NoSpacing"/>
              <w:rPr>
                <w:sz w:val="16"/>
                <w:szCs w:val="16"/>
              </w:rPr>
            </w:pPr>
            <w:r w:rsidRPr="00C26326">
              <w:rPr>
                <w:sz w:val="16"/>
                <w:szCs w:val="16"/>
              </w:rPr>
              <w:t>By: Paxton, Heather; Anthony, Nicolas B.; Corr, Sandra A.; JOURNAL OF ANATOMY   Volume: 217   Issue: 2   Pages: 153-166   Published: AUG 2010</w:t>
            </w:r>
          </w:p>
        </w:tc>
      </w:tr>
      <w:tr w:rsidR="00FA0BB9" w:rsidRPr="00286A88" w14:paraId="4178AC89" w14:textId="77777777" w:rsidTr="005F7B38">
        <w:tc>
          <w:tcPr>
            <w:tcW w:w="3628" w:type="dxa"/>
          </w:tcPr>
          <w:p w14:paraId="52191D9C" w14:textId="77777777" w:rsidR="00FA0BB9" w:rsidRPr="008C43DD" w:rsidRDefault="00CB7733" w:rsidP="008C43DD">
            <w:pPr>
              <w:spacing w:before="60"/>
            </w:pPr>
            <w:r w:rsidRPr="008C43DD">
              <w:t>R</w:t>
            </w:r>
            <w:r w:rsidR="00FA0BB9" w:rsidRPr="008C43DD">
              <w:t>eviews</w:t>
            </w:r>
          </w:p>
        </w:tc>
        <w:tc>
          <w:tcPr>
            <w:tcW w:w="1020" w:type="dxa"/>
          </w:tcPr>
          <w:p w14:paraId="2891C636" w14:textId="77777777" w:rsidR="00FA0BB9" w:rsidRPr="008C43DD" w:rsidRDefault="00FA0BB9" w:rsidP="008C43DD">
            <w:pPr>
              <w:spacing w:before="60"/>
            </w:pPr>
            <w:r w:rsidRPr="008C43DD">
              <w:t>3</w:t>
            </w:r>
          </w:p>
        </w:tc>
        <w:tc>
          <w:tcPr>
            <w:tcW w:w="5329" w:type="dxa"/>
          </w:tcPr>
          <w:p w14:paraId="7B6DC59A" w14:textId="77777777" w:rsidR="00C26326" w:rsidRPr="00C26326" w:rsidRDefault="00C26326" w:rsidP="00C26326">
            <w:pPr>
              <w:pStyle w:val="NoSpacing"/>
              <w:rPr>
                <w:sz w:val="16"/>
                <w:szCs w:val="16"/>
              </w:rPr>
            </w:pPr>
            <w:r w:rsidRPr="00C26326">
              <w:rPr>
                <w:sz w:val="16"/>
                <w:szCs w:val="16"/>
              </w:rPr>
              <w:t>Strengths and weaknesses of meat inspection as a contribution to animal health and welfaresurveillance</w:t>
            </w:r>
          </w:p>
          <w:p w14:paraId="3D42A9CB" w14:textId="77777777" w:rsidR="00FA0BB9" w:rsidRPr="00C26326" w:rsidRDefault="00C26326" w:rsidP="00C26326">
            <w:pPr>
              <w:pStyle w:val="NoSpacing"/>
              <w:rPr>
                <w:sz w:val="16"/>
                <w:szCs w:val="16"/>
              </w:rPr>
            </w:pPr>
            <w:r w:rsidRPr="00C26326">
              <w:rPr>
                <w:sz w:val="16"/>
                <w:szCs w:val="16"/>
              </w:rPr>
              <w:t>By: Staerk, K. D. C.; Alonso, S.; Dadios, N.; et al.</w:t>
            </w:r>
          </w:p>
        </w:tc>
      </w:tr>
      <w:tr w:rsidR="00FA0BB9" w:rsidRPr="00286A88" w14:paraId="7A8FCCC0" w14:textId="77777777" w:rsidTr="005F7B38">
        <w:tc>
          <w:tcPr>
            <w:tcW w:w="3628" w:type="dxa"/>
          </w:tcPr>
          <w:p w14:paraId="4D7FCACD" w14:textId="77777777" w:rsidR="00FA0BB9" w:rsidRPr="008C43DD" w:rsidRDefault="00FA0BB9" w:rsidP="00770A44">
            <w:pPr>
              <w:spacing w:before="60" w:line="240" w:lineRule="auto"/>
              <w:rPr>
                <w:rFonts w:cs="Arial"/>
                <w:b/>
                <w:color w:val="auto"/>
                <w:szCs w:val="18"/>
              </w:rPr>
            </w:pPr>
            <w:r w:rsidRPr="008C43DD">
              <w:rPr>
                <w:rFonts w:cs="Arial"/>
                <w:b/>
                <w:color w:val="auto"/>
                <w:szCs w:val="18"/>
              </w:rPr>
              <w:t xml:space="preserve">Papers </w:t>
            </w:r>
            <w:r w:rsidR="00770A44">
              <w:rPr>
                <w:rFonts w:cs="Arial"/>
                <w:b/>
                <w:color w:val="auto"/>
                <w:szCs w:val="18"/>
              </w:rPr>
              <w:t>excluded from primary search</w:t>
            </w:r>
          </w:p>
        </w:tc>
        <w:tc>
          <w:tcPr>
            <w:tcW w:w="1020" w:type="dxa"/>
          </w:tcPr>
          <w:p w14:paraId="3A93FBCE" w14:textId="77777777" w:rsidR="00FA0BB9" w:rsidRPr="00F67C8B" w:rsidRDefault="00770A44" w:rsidP="002B2473">
            <w:pPr>
              <w:spacing w:before="60" w:line="240" w:lineRule="auto"/>
              <w:rPr>
                <w:rFonts w:cs="Arial"/>
                <w:b/>
                <w:color w:val="auto"/>
                <w:szCs w:val="18"/>
              </w:rPr>
            </w:pPr>
            <w:r>
              <w:rPr>
                <w:rFonts w:cs="Arial"/>
                <w:b/>
                <w:color w:val="auto"/>
                <w:szCs w:val="18"/>
              </w:rPr>
              <w:t>16</w:t>
            </w:r>
          </w:p>
        </w:tc>
        <w:tc>
          <w:tcPr>
            <w:tcW w:w="5329" w:type="dxa"/>
          </w:tcPr>
          <w:p w14:paraId="5A2FE5CD" w14:textId="77777777" w:rsidR="00FA0BB9" w:rsidRPr="00F67C8B" w:rsidRDefault="00F67C8B" w:rsidP="00770A44">
            <w:pPr>
              <w:spacing w:before="60" w:line="240" w:lineRule="auto"/>
              <w:rPr>
                <w:rFonts w:cs="Arial"/>
                <w:b/>
                <w:color w:val="auto"/>
                <w:szCs w:val="18"/>
              </w:rPr>
            </w:pPr>
            <w:r w:rsidRPr="00F67C8B">
              <w:rPr>
                <w:rFonts w:cs="Arial"/>
                <w:b/>
                <w:color w:val="auto"/>
                <w:szCs w:val="18"/>
              </w:rPr>
              <w:t xml:space="preserve">Papers </w:t>
            </w:r>
            <w:r w:rsidR="00770A44">
              <w:rPr>
                <w:rFonts w:cs="Arial"/>
                <w:b/>
                <w:color w:val="auto"/>
                <w:szCs w:val="18"/>
              </w:rPr>
              <w:t>retained from primary search: 25 – 16 = 9</w:t>
            </w:r>
          </w:p>
        </w:tc>
      </w:tr>
    </w:tbl>
    <w:p w14:paraId="79AED570" w14:textId="77777777" w:rsidR="00FA0BB9" w:rsidRPr="00590F0B" w:rsidRDefault="00FA0BB9" w:rsidP="00590F0B">
      <w:pPr>
        <w:spacing w:before="240" w:after="240"/>
        <w:rPr>
          <w:b/>
          <w:i/>
          <w:lang w:val="en-GB"/>
        </w:rPr>
      </w:pPr>
      <w:r w:rsidRPr="00590F0B">
        <w:rPr>
          <w:b/>
          <w:i/>
          <w:lang w:val="en-GB"/>
        </w:rPr>
        <w:t>Ostrich secondary searches</w:t>
      </w:r>
    </w:p>
    <w:tbl>
      <w:tblPr>
        <w:tblStyle w:val="TableGrid11"/>
        <w:tblW w:w="9954" w:type="dxa"/>
        <w:tblLook w:val="04A0" w:firstRow="1" w:lastRow="0" w:firstColumn="1" w:lastColumn="0" w:noHBand="0" w:noVBand="1"/>
        <w:tblCaption w:val="Results of secondary searches for ostriches"/>
        <w:tblDescription w:val="This table shows the results of secondary literature searches for ostriches. The left hand column shows the search terms used in the secondary searches. The second column shows the number of papers returned from each of these searches. The third column shows the additional papers included from these searches. The right hand column makes broad comments on the secondary searches."/>
      </w:tblPr>
      <w:tblGrid>
        <w:gridCol w:w="4025"/>
        <w:gridCol w:w="1020"/>
        <w:gridCol w:w="1020"/>
        <w:gridCol w:w="3889"/>
      </w:tblGrid>
      <w:tr w:rsidR="00D561AB" w:rsidRPr="00286A88" w14:paraId="42A0FEB9" w14:textId="77777777" w:rsidTr="00587D34">
        <w:trPr>
          <w:tblHeader/>
        </w:trPr>
        <w:tc>
          <w:tcPr>
            <w:tcW w:w="4025" w:type="dxa"/>
            <w:shd w:val="clear" w:color="auto" w:fill="auto"/>
          </w:tcPr>
          <w:p w14:paraId="433F14E9" w14:textId="77777777" w:rsidR="00FA0BB9" w:rsidRPr="008970FA" w:rsidRDefault="00FA0BB9" w:rsidP="008970FA">
            <w:pPr>
              <w:spacing w:before="60" w:line="240" w:lineRule="auto"/>
              <w:rPr>
                <w:rFonts w:cs="Arial"/>
                <w:b/>
                <w:color w:val="auto"/>
                <w:szCs w:val="18"/>
              </w:rPr>
            </w:pPr>
            <w:r w:rsidRPr="008970FA">
              <w:rPr>
                <w:rFonts w:cs="Arial"/>
                <w:b/>
                <w:color w:val="auto"/>
                <w:szCs w:val="18"/>
              </w:rPr>
              <w:t>Search terms for synonyms of species or welfare</w:t>
            </w:r>
          </w:p>
        </w:tc>
        <w:tc>
          <w:tcPr>
            <w:tcW w:w="1020" w:type="dxa"/>
            <w:shd w:val="clear" w:color="auto" w:fill="auto"/>
          </w:tcPr>
          <w:p w14:paraId="661205C9" w14:textId="77777777" w:rsidR="00FA0BB9" w:rsidRPr="008970FA" w:rsidRDefault="00FA0BB9" w:rsidP="008970FA">
            <w:pPr>
              <w:spacing w:before="60" w:line="240" w:lineRule="auto"/>
              <w:rPr>
                <w:rFonts w:cs="Arial"/>
                <w:color w:val="auto"/>
                <w:szCs w:val="18"/>
              </w:rPr>
            </w:pPr>
            <w:r w:rsidRPr="008970FA">
              <w:rPr>
                <w:rFonts w:cs="Arial"/>
                <w:color w:val="auto"/>
                <w:szCs w:val="18"/>
              </w:rPr>
              <w:t>Hits</w:t>
            </w:r>
          </w:p>
        </w:tc>
        <w:tc>
          <w:tcPr>
            <w:tcW w:w="1020" w:type="dxa"/>
            <w:shd w:val="clear" w:color="auto" w:fill="auto"/>
          </w:tcPr>
          <w:p w14:paraId="5C74D35F" w14:textId="77777777" w:rsidR="00FA0BB9" w:rsidRPr="008970FA" w:rsidRDefault="00FA0BB9" w:rsidP="008970FA">
            <w:pPr>
              <w:spacing w:before="60" w:line="240" w:lineRule="auto"/>
              <w:rPr>
                <w:rFonts w:cs="Arial"/>
                <w:color w:val="auto"/>
                <w:szCs w:val="18"/>
              </w:rPr>
            </w:pPr>
            <w:r w:rsidRPr="008970FA">
              <w:rPr>
                <w:rFonts w:cs="Arial"/>
                <w:color w:val="auto"/>
                <w:szCs w:val="18"/>
              </w:rPr>
              <w:t>Additional Papers Included</w:t>
            </w:r>
          </w:p>
        </w:tc>
        <w:tc>
          <w:tcPr>
            <w:tcW w:w="3889" w:type="dxa"/>
            <w:shd w:val="clear" w:color="auto" w:fill="auto"/>
          </w:tcPr>
          <w:p w14:paraId="08DDDE2C" w14:textId="77777777" w:rsidR="00FA0BB9" w:rsidRPr="008970FA" w:rsidRDefault="00FA0BB9" w:rsidP="008970FA">
            <w:pPr>
              <w:spacing w:before="60" w:line="240" w:lineRule="auto"/>
              <w:rPr>
                <w:rFonts w:cs="Arial"/>
                <w:color w:val="auto"/>
                <w:szCs w:val="18"/>
              </w:rPr>
            </w:pPr>
            <w:r w:rsidRPr="008970FA">
              <w:rPr>
                <w:rFonts w:cs="Arial"/>
                <w:color w:val="auto"/>
                <w:szCs w:val="18"/>
              </w:rPr>
              <w:t>Comments</w:t>
            </w:r>
          </w:p>
        </w:tc>
      </w:tr>
      <w:tr w:rsidR="00D561AB" w:rsidRPr="00286A88" w14:paraId="609669AF" w14:textId="77777777" w:rsidTr="00D561AB">
        <w:tc>
          <w:tcPr>
            <w:tcW w:w="4025" w:type="dxa"/>
          </w:tcPr>
          <w:p w14:paraId="3558D6A6" w14:textId="77777777" w:rsidR="00FA0BB9" w:rsidRPr="008970FA" w:rsidRDefault="00FA0BB9" w:rsidP="007E6FE0">
            <w:pPr>
              <w:spacing w:before="60" w:line="240" w:lineRule="auto"/>
              <w:rPr>
                <w:rFonts w:cs="Arial"/>
                <w:color w:val="auto"/>
                <w:szCs w:val="18"/>
              </w:rPr>
            </w:pPr>
            <w:r w:rsidRPr="008970FA">
              <w:rPr>
                <w:rFonts w:cs="Arial"/>
                <w:color w:val="auto"/>
                <w:szCs w:val="18"/>
              </w:rPr>
              <w:t xml:space="preserve">Struthio </w:t>
            </w:r>
            <w:r w:rsidR="007E6FE0">
              <w:rPr>
                <w:rFonts w:cs="Arial"/>
                <w:color w:val="auto"/>
                <w:szCs w:val="18"/>
              </w:rPr>
              <w:t>AND</w:t>
            </w:r>
            <w:r w:rsidRPr="008970FA">
              <w:rPr>
                <w:rFonts w:cs="Arial"/>
                <w:color w:val="auto"/>
                <w:szCs w:val="18"/>
              </w:rPr>
              <w:t xml:space="preserve"> welfare</w:t>
            </w:r>
          </w:p>
        </w:tc>
        <w:tc>
          <w:tcPr>
            <w:tcW w:w="1020" w:type="dxa"/>
          </w:tcPr>
          <w:p w14:paraId="2C2F772C" w14:textId="77777777" w:rsidR="00FA0BB9" w:rsidRPr="008970FA" w:rsidRDefault="00FA0BB9" w:rsidP="008970FA">
            <w:pPr>
              <w:spacing w:before="60" w:line="240" w:lineRule="auto"/>
              <w:rPr>
                <w:rFonts w:cs="Arial"/>
                <w:color w:val="auto"/>
                <w:szCs w:val="18"/>
              </w:rPr>
            </w:pPr>
            <w:r w:rsidRPr="008970FA">
              <w:rPr>
                <w:rFonts w:cs="Arial"/>
                <w:color w:val="auto"/>
                <w:szCs w:val="18"/>
              </w:rPr>
              <w:t>19</w:t>
            </w:r>
          </w:p>
        </w:tc>
        <w:tc>
          <w:tcPr>
            <w:tcW w:w="1020" w:type="dxa"/>
          </w:tcPr>
          <w:p w14:paraId="33FB96CC"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c>
          <w:tcPr>
            <w:tcW w:w="3889" w:type="dxa"/>
          </w:tcPr>
          <w:p w14:paraId="55D4D258" w14:textId="77777777" w:rsidR="00FA0BB9" w:rsidRPr="008970FA" w:rsidRDefault="00FA0BB9" w:rsidP="008970FA">
            <w:pPr>
              <w:spacing w:before="60" w:line="240" w:lineRule="auto"/>
              <w:rPr>
                <w:rFonts w:cs="Arial"/>
                <w:color w:val="auto"/>
                <w:szCs w:val="18"/>
              </w:rPr>
            </w:pPr>
            <w:r w:rsidRPr="008970FA">
              <w:rPr>
                <w:rFonts w:cs="Arial"/>
                <w:color w:val="auto"/>
                <w:szCs w:val="18"/>
              </w:rPr>
              <w:t>No additional papers detected</w:t>
            </w:r>
          </w:p>
        </w:tc>
      </w:tr>
      <w:tr w:rsidR="00D561AB" w:rsidRPr="00286A88" w14:paraId="4869F753" w14:textId="77777777" w:rsidTr="00587D34">
        <w:tc>
          <w:tcPr>
            <w:tcW w:w="4025" w:type="dxa"/>
            <w:shd w:val="clear" w:color="auto" w:fill="auto"/>
          </w:tcPr>
          <w:p w14:paraId="0561581D" w14:textId="77777777" w:rsidR="00FA0BB9" w:rsidRPr="008970FA" w:rsidRDefault="00FA0BB9" w:rsidP="008970FA">
            <w:pPr>
              <w:spacing w:before="60" w:line="240" w:lineRule="auto"/>
              <w:rPr>
                <w:rFonts w:cs="Arial"/>
                <w:color w:val="auto"/>
                <w:szCs w:val="18"/>
              </w:rPr>
            </w:pPr>
            <w:r w:rsidRPr="008970FA">
              <w:rPr>
                <w:rFonts w:cs="Arial"/>
                <w:b/>
                <w:color w:val="auto"/>
                <w:szCs w:val="18"/>
              </w:rPr>
              <w:t>Search for sub-sets of terms relevant to welfare</w:t>
            </w:r>
          </w:p>
        </w:tc>
        <w:tc>
          <w:tcPr>
            <w:tcW w:w="1020" w:type="dxa"/>
            <w:shd w:val="clear" w:color="auto" w:fill="auto"/>
          </w:tcPr>
          <w:p w14:paraId="027DF57B" w14:textId="77777777" w:rsidR="00FA0BB9" w:rsidRPr="008970FA" w:rsidRDefault="00FA0BB9" w:rsidP="008970FA">
            <w:pPr>
              <w:spacing w:before="60" w:line="240" w:lineRule="auto"/>
              <w:rPr>
                <w:rFonts w:cs="Arial"/>
                <w:color w:val="auto"/>
                <w:szCs w:val="18"/>
              </w:rPr>
            </w:pPr>
          </w:p>
        </w:tc>
        <w:tc>
          <w:tcPr>
            <w:tcW w:w="1020" w:type="dxa"/>
            <w:shd w:val="clear" w:color="auto" w:fill="auto"/>
          </w:tcPr>
          <w:p w14:paraId="353F11DA" w14:textId="77777777" w:rsidR="00FA0BB9" w:rsidRPr="008970FA" w:rsidRDefault="00FA0BB9" w:rsidP="008970FA">
            <w:pPr>
              <w:spacing w:before="60" w:line="240" w:lineRule="auto"/>
              <w:rPr>
                <w:rFonts w:cs="Arial"/>
                <w:color w:val="auto"/>
                <w:szCs w:val="18"/>
              </w:rPr>
            </w:pPr>
          </w:p>
        </w:tc>
        <w:tc>
          <w:tcPr>
            <w:tcW w:w="3889" w:type="dxa"/>
            <w:shd w:val="clear" w:color="auto" w:fill="auto"/>
          </w:tcPr>
          <w:p w14:paraId="4F9CAB71" w14:textId="77777777" w:rsidR="00FA0BB9" w:rsidRPr="008970FA" w:rsidRDefault="00FA0BB9" w:rsidP="008970FA">
            <w:pPr>
              <w:spacing w:before="60" w:line="240" w:lineRule="auto"/>
              <w:rPr>
                <w:rFonts w:cs="Arial"/>
                <w:color w:val="auto"/>
                <w:szCs w:val="18"/>
              </w:rPr>
            </w:pPr>
          </w:p>
        </w:tc>
      </w:tr>
      <w:tr w:rsidR="00D561AB" w:rsidRPr="00286A88" w14:paraId="70F4E9E2" w14:textId="77777777" w:rsidTr="00D561AB">
        <w:tc>
          <w:tcPr>
            <w:tcW w:w="4025" w:type="dxa"/>
          </w:tcPr>
          <w:p w14:paraId="24420CDC" w14:textId="77777777" w:rsidR="00FA0BB9" w:rsidRPr="008970FA" w:rsidRDefault="007E6FE0" w:rsidP="007E6FE0">
            <w:pPr>
              <w:spacing w:before="60" w:line="240" w:lineRule="auto"/>
              <w:rPr>
                <w:rFonts w:cs="Arial"/>
                <w:color w:val="auto"/>
                <w:szCs w:val="18"/>
              </w:rPr>
            </w:pPr>
            <w:r>
              <w:rPr>
                <w:rFonts w:cs="Arial"/>
                <w:color w:val="auto"/>
                <w:szCs w:val="18"/>
              </w:rPr>
              <w:t>o</w:t>
            </w:r>
            <w:r w:rsidR="00FA0BB9" w:rsidRPr="008970FA">
              <w:rPr>
                <w:rFonts w:cs="Arial"/>
                <w:color w:val="auto"/>
                <w:szCs w:val="18"/>
              </w:rPr>
              <w:t xml:space="preserve">strich </w:t>
            </w:r>
            <w:r>
              <w:rPr>
                <w:rFonts w:cs="Arial"/>
                <w:color w:val="auto"/>
                <w:szCs w:val="18"/>
              </w:rPr>
              <w:t>AND</w:t>
            </w:r>
            <w:r w:rsidR="00FA0BB9" w:rsidRPr="008970FA">
              <w:rPr>
                <w:rFonts w:cs="Arial"/>
                <w:color w:val="auto"/>
                <w:szCs w:val="18"/>
              </w:rPr>
              <w:t xml:space="preserve"> health*</w:t>
            </w:r>
          </w:p>
        </w:tc>
        <w:tc>
          <w:tcPr>
            <w:tcW w:w="1020" w:type="dxa"/>
          </w:tcPr>
          <w:p w14:paraId="14F4285E" w14:textId="77777777" w:rsidR="00FA0BB9" w:rsidRPr="008970FA" w:rsidRDefault="00FA0BB9" w:rsidP="008970FA">
            <w:pPr>
              <w:spacing w:before="60" w:line="240" w:lineRule="auto"/>
              <w:rPr>
                <w:rFonts w:cs="Arial"/>
                <w:color w:val="auto"/>
                <w:szCs w:val="18"/>
              </w:rPr>
            </w:pPr>
            <w:r w:rsidRPr="008970FA">
              <w:rPr>
                <w:rFonts w:cs="Arial"/>
                <w:color w:val="auto"/>
                <w:szCs w:val="18"/>
              </w:rPr>
              <w:t>122</w:t>
            </w:r>
          </w:p>
        </w:tc>
        <w:tc>
          <w:tcPr>
            <w:tcW w:w="1020" w:type="dxa"/>
          </w:tcPr>
          <w:p w14:paraId="75BD6CD2" w14:textId="77777777" w:rsidR="00FA0BB9" w:rsidRPr="008970FA" w:rsidRDefault="00FA0BB9" w:rsidP="008970FA">
            <w:pPr>
              <w:spacing w:before="60" w:line="240" w:lineRule="auto"/>
              <w:rPr>
                <w:rFonts w:cs="Arial"/>
                <w:color w:val="auto"/>
                <w:szCs w:val="18"/>
              </w:rPr>
            </w:pPr>
            <w:r w:rsidRPr="008970FA">
              <w:rPr>
                <w:rFonts w:cs="Arial"/>
                <w:color w:val="auto"/>
                <w:szCs w:val="18"/>
              </w:rPr>
              <w:t>9</w:t>
            </w:r>
          </w:p>
        </w:tc>
        <w:tc>
          <w:tcPr>
            <w:tcW w:w="3889" w:type="dxa"/>
          </w:tcPr>
          <w:p w14:paraId="7F04A9D9" w14:textId="77777777" w:rsidR="00FA0BB9" w:rsidRPr="008970FA" w:rsidRDefault="00FA0BB9" w:rsidP="008970FA">
            <w:pPr>
              <w:spacing w:before="60" w:line="240" w:lineRule="auto"/>
              <w:rPr>
                <w:rFonts w:cs="Arial"/>
                <w:color w:val="auto"/>
                <w:szCs w:val="18"/>
              </w:rPr>
            </w:pPr>
            <w:r w:rsidRPr="008970FA">
              <w:rPr>
                <w:rFonts w:cs="Arial"/>
                <w:color w:val="auto"/>
                <w:szCs w:val="18"/>
              </w:rPr>
              <w:t>Papers on health properties of ostrich meat not included. Papers on basic biochemistry, physiology and immune function not included</w:t>
            </w:r>
          </w:p>
        </w:tc>
      </w:tr>
      <w:tr w:rsidR="00D561AB" w:rsidRPr="00286A88" w14:paraId="0E7C46FD" w14:textId="77777777" w:rsidTr="00D561AB">
        <w:tc>
          <w:tcPr>
            <w:tcW w:w="4025" w:type="dxa"/>
          </w:tcPr>
          <w:p w14:paraId="7EBD6D45" w14:textId="77777777" w:rsidR="00FA0BB9" w:rsidRPr="008970FA" w:rsidRDefault="007E6FE0" w:rsidP="007E6FE0">
            <w:pPr>
              <w:spacing w:before="60" w:line="240" w:lineRule="auto"/>
              <w:rPr>
                <w:rFonts w:cs="Arial"/>
                <w:color w:val="auto"/>
                <w:szCs w:val="18"/>
              </w:rPr>
            </w:pPr>
            <w:r>
              <w:rPr>
                <w:rFonts w:cs="Arial"/>
                <w:color w:val="auto"/>
                <w:szCs w:val="18"/>
              </w:rPr>
              <w:t>o</w:t>
            </w:r>
            <w:r w:rsidR="00FA0BB9" w:rsidRPr="008970FA">
              <w:rPr>
                <w:rFonts w:cs="Arial"/>
                <w:color w:val="auto"/>
                <w:szCs w:val="18"/>
              </w:rPr>
              <w:t xml:space="preserve">strich </w:t>
            </w:r>
            <w:r>
              <w:rPr>
                <w:rFonts w:cs="Arial"/>
                <w:color w:val="auto"/>
                <w:szCs w:val="18"/>
              </w:rPr>
              <w:t>AND</w:t>
            </w:r>
            <w:r w:rsidR="00FA0BB9" w:rsidRPr="008970FA">
              <w:rPr>
                <w:rFonts w:cs="Arial"/>
                <w:color w:val="auto"/>
                <w:szCs w:val="18"/>
              </w:rPr>
              <w:t xml:space="preserve"> (stress* </w:t>
            </w:r>
            <w:r>
              <w:rPr>
                <w:rFonts w:cs="Arial"/>
                <w:color w:val="auto"/>
                <w:szCs w:val="18"/>
              </w:rPr>
              <w:t>OR</w:t>
            </w:r>
            <w:r w:rsidR="00FA0BB9" w:rsidRPr="008970FA">
              <w:rPr>
                <w:rFonts w:cs="Arial"/>
                <w:color w:val="auto"/>
                <w:szCs w:val="18"/>
              </w:rPr>
              <w:t xml:space="preserve"> fear*)</w:t>
            </w:r>
          </w:p>
        </w:tc>
        <w:tc>
          <w:tcPr>
            <w:tcW w:w="1020" w:type="dxa"/>
          </w:tcPr>
          <w:p w14:paraId="4415FF1B" w14:textId="77777777" w:rsidR="00FA0BB9" w:rsidRPr="008970FA" w:rsidRDefault="00FA0BB9" w:rsidP="008970FA">
            <w:pPr>
              <w:spacing w:before="60" w:line="240" w:lineRule="auto"/>
              <w:rPr>
                <w:rFonts w:cs="Arial"/>
                <w:color w:val="auto"/>
                <w:szCs w:val="18"/>
              </w:rPr>
            </w:pPr>
            <w:r w:rsidRPr="008970FA">
              <w:rPr>
                <w:rFonts w:cs="Arial"/>
                <w:color w:val="auto"/>
                <w:szCs w:val="18"/>
              </w:rPr>
              <w:t>60</w:t>
            </w:r>
          </w:p>
        </w:tc>
        <w:tc>
          <w:tcPr>
            <w:tcW w:w="1020" w:type="dxa"/>
          </w:tcPr>
          <w:p w14:paraId="1AE87F36" w14:textId="77777777" w:rsidR="00FA0BB9" w:rsidRPr="008970FA" w:rsidRDefault="00FA0BB9" w:rsidP="008970FA">
            <w:pPr>
              <w:spacing w:before="60" w:line="240" w:lineRule="auto"/>
              <w:rPr>
                <w:rFonts w:cs="Arial"/>
                <w:color w:val="auto"/>
                <w:szCs w:val="18"/>
              </w:rPr>
            </w:pPr>
            <w:r w:rsidRPr="008970FA">
              <w:rPr>
                <w:rFonts w:cs="Arial"/>
                <w:color w:val="auto"/>
                <w:szCs w:val="18"/>
              </w:rPr>
              <w:t>4</w:t>
            </w:r>
          </w:p>
        </w:tc>
        <w:tc>
          <w:tcPr>
            <w:tcW w:w="3889" w:type="dxa"/>
          </w:tcPr>
          <w:p w14:paraId="6464EA45" w14:textId="77777777" w:rsidR="00FA0BB9" w:rsidRPr="008970FA" w:rsidRDefault="00FA0BB9" w:rsidP="008970FA">
            <w:pPr>
              <w:spacing w:before="60" w:line="240" w:lineRule="auto"/>
              <w:rPr>
                <w:rFonts w:cs="Arial"/>
                <w:color w:val="auto"/>
                <w:szCs w:val="18"/>
              </w:rPr>
            </w:pPr>
            <w:r w:rsidRPr="008970FA">
              <w:rPr>
                <w:rFonts w:cs="Arial"/>
                <w:color w:val="auto"/>
                <w:szCs w:val="18"/>
              </w:rPr>
              <w:t>Papers on mechanical stress (to egg shells or feet) not included</w:t>
            </w:r>
          </w:p>
        </w:tc>
      </w:tr>
      <w:tr w:rsidR="00D561AB" w:rsidRPr="00286A88" w14:paraId="487780C9" w14:textId="77777777" w:rsidTr="00D561AB">
        <w:tc>
          <w:tcPr>
            <w:tcW w:w="4025" w:type="dxa"/>
          </w:tcPr>
          <w:p w14:paraId="50BC1D4B" w14:textId="77777777" w:rsidR="00FA0BB9" w:rsidRPr="008970FA" w:rsidRDefault="007E6FE0" w:rsidP="007E6FE0">
            <w:pPr>
              <w:spacing w:before="60" w:line="240" w:lineRule="auto"/>
              <w:rPr>
                <w:rFonts w:cs="Arial"/>
                <w:color w:val="auto"/>
                <w:szCs w:val="18"/>
              </w:rPr>
            </w:pPr>
            <w:r>
              <w:rPr>
                <w:rFonts w:cs="Arial"/>
                <w:color w:val="auto"/>
                <w:szCs w:val="18"/>
              </w:rPr>
              <w:t>o</w:t>
            </w:r>
            <w:r w:rsidR="00FA0BB9" w:rsidRPr="008970FA">
              <w:rPr>
                <w:rFonts w:cs="Arial"/>
                <w:color w:val="auto"/>
                <w:szCs w:val="18"/>
              </w:rPr>
              <w:t xml:space="preserve">strich </w:t>
            </w:r>
            <w:r>
              <w:rPr>
                <w:rFonts w:cs="Arial"/>
                <w:color w:val="auto"/>
                <w:szCs w:val="18"/>
              </w:rPr>
              <w:t>AND</w:t>
            </w:r>
            <w:r w:rsidR="00FA0BB9" w:rsidRPr="008970FA">
              <w:rPr>
                <w:rFonts w:cs="Arial"/>
                <w:color w:val="auto"/>
                <w:szCs w:val="18"/>
              </w:rPr>
              <w:t xml:space="preserve"> injur* OR ostrich </w:t>
            </w:r>
            <w:r>
              <w:rPr>
                <w:rFonts w:cs="Arial"/>
                <w:color w:val="auto"/>
                <w:szCs w:val="18"/>
              </w:rPr>
              <w:t>AND</w:t>
            </w:r>
            <w:r w:rsidR="00FA0BB9" w:rsidRPr="008970FA">
              <w:rPr>
                <w:rFonts w:cs="Arial"/>
                <w:color w:val="auto"/>
                <w:szCs w:val="18"/>
              </w:rPr>
              <w:t xml:space="preserve"> cull OR ostrich </w:t>
            </w:r>
            <w:r>
              <w:rPr>
                <w:rFonts w:cs="Arial"/>
                <w:color w:val="auto"/>
                <w:szCs w:val="18"/>
              </w:rPr>
              <w:t>AND</w:t>
            </w:r>
            <w:r w:rsidR="00FA0BB9" w:rsidRPr="008970FA">
              <w:rPr>
                <w:rFonts w:cs="Arial"/>
                <w:color w:val="auto"/>
                <w:szCs w:val="18"/>
              </w:rPr>
              <w:t xml:space="preserve"> mortali*</w:t>
            </w:r>
          </w:p>
        </w:tc>
        <w:tc>
          <w:tcPr>
            <w:tcW w:w="1020" w:type="dxa"/>
          </w:tcPr>
          <w:p w14:paraId="5BBCA7BA" w14:textId="77777777" w:rsidR="00FA0BB9" w:rsidRPr="008970FA" w:rsidRDefault="00FA0BB9" w:rsidP="008970FA">
            <w:pPr>
              <w:spacing w:before="60" w:line="240" w:lineRule="auto"/>
              <w:rPr>
                <w:rFonts w:cs="Arial"/>
                <w:color w:val="auto"/>
                <w:szCs w:val="18"/>
              </w:rPr>
            </w:pPr>
            <w:r w:rsidRPr="008970FA">
              <w:rPr>
                <w:rFonts w:cs="Arial"/>
                <w:color w:val="auto"/>
                <w:szCs w:val="18"/>
              </w:rPr>
              <w:t>81</w:t>
            </w:r>
          </w:p>
        </w:tc>
        <w:tc>
          <w:tcPr>
            <w:tcW w:w="1020" w:type="dxa"/>
          </w:tcPr>
          <w:p w14:paraId="6F7B7078" w14:textId="77777777" w:rsidR="00FA0BB9" w:rsidRPr="008970FA" w:rsidRDefault="00FA0BB9" w:rsidP="008970FA">
            <w:pPr>
              <w:spacing w:before="60" w:line="240" w:lineRule="auto"/>
              <w:rPr>
                <w:rFonts w:cs="Arial"/>
                <w:color w:val="auto"/>
                <w:szCs w:val="18"/>
              </w:rPr>
            </w:pPr>
            <w:r w:rsidRPr="008970FA">
              <w:rPr>
                <w:rFonts w:cs="Arial"/>
                <w:color w:val="auto"/>
                <w:szCs w:val="18"/>
              </w:rPr>
              <w:t>3</w:t>
            </w:r>
          </w:p>
        </w:tc>
        <w:tc>
          <w:tcPr>
            <w:tcW w:w="3889" w:type="dxa"/>
          </w:tcPr>
          <w:p w14:paraId="6D96ACFE" w14:textId="77777777" w:rsidR="00FA0BB9" w:rsidRPr="008970FA" w:rsidRDefault="00FA0BB9" w:rsidP="008970FA">
            <w:pPr>
              <w:spacing w:before="60" w:line="240" w:lineRule="auto"/>
              <w:rPr>
                <w:rFonts w:cs="Arial"/>
                <w:color w:val="auto"/>
                <w:szCs w:val="18"/>
              </w:rPr>
            </w:pPr>
            <w:r w:rsidRPr="008970FA">
              <w:rPr>
                <w:rFonts w:cs="Arial"/>
                <w:color w:val="auto"/>
                <w:szCs w:val="18"/>
              </w:rPr>
              <w:t>Injuries to people caused by ostriches not included, embryonic mortality not included</w:t>
            </w:r>
          </w:p>
        </w:tc>
      </w:tr>
      <w:tr w:rsidR="00D561AB" w:rsidRPr="00286A88" w14:paraId="1C718BCA" w14:textId="77777777" w:rsidTr="00D561AB">
        <w:tc>
          <w:tcPr>
            <w:tcW w:w="4025" w:type="dxa"/>
          </w:tcPr>
          <w:p w14:paraId="2B948A3E" w14:textId="77777777" w:rsidR="00FA0BB9" w:rsidRPr="008970FA" w:rsidRDefault="007E6FE0" w:rsidP="007E6FE0">
            <w:pPr>
              <w:spacing w:before="60" w:line="240" w:lineRule="auto"/>
              <w:rPr>
                <w:rFonts w:cs="Arial"/>
                <w:color w:val="auto"/>
                <w:szCs w:val="18"/>
              </w:rPr>
            </w:pPr>
            <w:r>
              <w:rPr>
                <w:rFonts w:cs="Arial"/>
                <w:color w:val="auto"/>
                <w:szCs w:val="18"/>
              </w:rPr>
              <w:t>o</w:t>
            </w:r>
            <w:r w:rsidR="00FA0BB9" w:rsidRPr="008970FA">
              <w:rPr>
                <w:rFonts w:cs="Arial"/>
                <w:color w:val="auto"/>
                <w:szCs w:val="18"/>
              </w:rPr>
              <w:t xml:space="preserve">strich </w:t>
            </w:r>
            <w:r>
              <w:rPr>
                <w:rFonts w:cs="Arial"/>
                <w:color w:val="auto"/>
                <w:szCs w:val="18"/>
              </w:rPr>
              <w:t>AND</w:t>
            </w:r>
            <w:r w:rsidR="00FA0BB9" w:rsidRPr="008970FA">
              <w:rPr>
                <w:rFonts w:cs="Arial"/>
                <w:color w:val="auto"/>
                <w:szCs w:val="18"/>
              </w:rPr>
              <w:t xml:space="preserve"> (density </w:t>
            </w:r>
            <w:r>
              <w:rPr>
                <w:rFonts w:cs="Arial"/>
                <w:color w:val="auto"/>
                <w:szCs w:val="18"/>
              </w:rPr>
              <w:t>OR</w:t>
            </w:r>
            <w:r w:rsidR="00FA0BB9" w:rsidRPr="008970FA">
              <w:rPr>
                <w:rFonts w:cs="Arial"/>
                <w:color w:val="auto"/>
                <w:szCs w:val="18"/>
              </w:rPr>
              <w:t xml:space="preserve"> space) </w:t>
            </w:r>
          </w:p>
        </w:tc>
        <w:tc>
          <w:tcPr>
            <w:tcW w:w="1020" w:type="dxa"/>
          </w:tcPr>
          <w:p w14:paraId="7C884396" w14:textId="77777777" w:rsidR="00FA0BB9" w:rsidRPr="008970FA" w:rsidRDefault="00FA0BB9" w:rsidP="008970FA">
            <w:pPr>
              <w:spacing w:before="60" w:line="240" w:lineRule="auto"/>
              <w:rPr>
                <w:rFonts w:cs="Arial"/>
                <w:color w:val="auto"/>
                <w:szCs w:val="18"/>
              </w:rPr>
            </w:pPr>
            <w:r w:rsidRPr="008970FA">
              <w:rPr>
                <w:rFonts w:cs="Arial"/>
                <w:color w:val="auto"/>
                <w:szCs w:val="18"/>
              </w:rPr>
              <w:t>91</w:t>
            </w:r>
          </w:p>
        </w:tc>
        <w:tc>
          <w:tcPr>
            <w:tcW w:w="1020" w:type="dxa"/>
          </w:tcPr>
          <w:p w14:paraId="1295D43F" w14:textId="77777777" w:rsidR="00FA0BB9" w:rsidRPr="008970FA" w:rsidRDefault="00FA0BB9" w:rsidP="008970FA">
            <w:pPr>
              <w:spacing w:before="60" w:line="240" w:lineRule="auto"/>
              <w:rPr>
                <w:rFonts w:cs="Arial"/>
                <w:color w:val="auto"/>
                <w:szCs w:val="18"/>
              </w:rPr>
            </w:pPr>
            <w:r w:rsidRPr="008970FA">
              <w:rPr>
                <w:rFonts w:cs="Arial"/>
                <w:color w:val="auto"/>
                <w:szCs w:val="18"/>
              </w:rPr>
              <w:t>1</w:t>
            </w:r>
          </w:p>
        </w:tc>
        <w:tc>
          <w:tcPr>
            <w:tcW w:w="3889" w:type="dxa"/>
          </w:tcPr>
          <w:p w14:paraId="18FC2704" w14:textId="77777777" w:rsidR="00FA0BB9" w:rsidRPr="008970FA" w:rsidRDefault="00FA0BB9" w:rsidP="008970FA">
            <w:pPr>
              <w:spacing w:before="60" w:line="240" w:lineRule="auto"/>
              <w:rPr>
                <w:rFonts w:cs="Arial"/>
                <w:color w:val="auto"/>
                <w:szCs w:val="18"/>
              </w:rPr>
            </w:pPr>
            <w:r w:rsidRPr="008970FA">
              <w:rPr>
                <w:rFonts w:cs="Arial"/>
                <w:color w:val="auto"/>
                <w:szCs w:val="18"/>
              </w:rPr>
              <w:t>Two papers on bone density added to health</w:t>
            </w:r>
          </w:p>
        </w:tc>
      </w:tr>
      <w:tr w:rsidR="00D561AB" w:rsidRPr="00286A88" w14:paraId="6A1A068C" w14:textId="77777777" w:rsidTr="00D561AB">
        <w:tc>
          <w:tcPr>
            <w:tcW w:w="4025" w:type="dxa"/>
          </w:tcPr>
          <w:p w14:paraId="4B0C74DC" w14:textId="77777777" w:rsidR="00FA0BB9" w:rsidRPr="008970FA" w:rsidRDefault="007E6FE0" w:rsidP="007E6FE0">
            <w:pPr>
              <w:spacing w:before="60" w:line="240" w:lineRule="auto"/>
              <w:rPr>
                <w:rFonts w:cs="Arial"/>
                <w:color w:val="auto"/>
                <w:szCs w:val="18"/>
              </w:rPr>
            </w:pPr>
            <w:r>
              <w:rPr>
                <w:rFonts w:cs="Arial"/>
                <w:color w:val="auto"/>
                <w:szCs w:val="18"/>
              </w:rPr>
              <w:t>o</w:t>
            </w:r>
            <w:r w:rsidR="00FA0BB9" w:rsidRPr="008970FA">
              <w:rPr>
                <w:rFonts w:cs="Arial"/>
                <w:color w:val="auto"/>
                <w:szCs w:val="18"/>
              </w:rPr>
              <w:t xml:space="preserve">strich </w:t>
            </w:r>
            <w:r>
              <w:rPr>
                <w:rFonts w:cs="Arial"/>
                <w:color w:val="auto"/>
                <w:szCs w:val="18"/>
              </w:rPr>
              <w:t>AND</w:t>
            </w:r>
            <w:r w:rsidR="00FA0BB9" w:rsidRPr="008970FA">
              <w:rPr>
                <w:rFonts w:cs="Arial"/>
                <w:color w:val="auto"/>
                <w:szCs w:val="18"/>
              </w:rPr>
              <w:t xml:space="preserve"> litter OR ostrich </w:t>
            </w:r>
            <w:r>
              <w:rPr>
                <w:rFonts w:cs="Arial"/>
                <w:color w:val="auto"/>
                <w:szCs w:val="18"/>
              </w:rPr>
              <w:t>AND</w:t>
            </w:r>
            <w:r w:rsidR="00FA0BB9" w:rsidRPr="008970FA">
              <w:rPr>
                <w:rFonts w:cs="Arial"/>
                <w:color w:val="auto"/>
                <w:szCs w:val="18"/>
              </w:rPr>
              <w:t xml:space="preserve"> perch* OR ostrich </w:t>
            </w:r>
            <w:r>
              <w:rPr>
                <w:rFonts w:cs="Arial"/>
                <w:color w:val="auto"/>
                <w:szCs w:val="18"/>
              </w:rPr>
              <w:t>AND</w:t>
            </w:r>
            <w:r w:rsidR="00FA0BB9" w:rsidRPr="008970FA">
              <w:rPr>
                <w:rFonts w:cs="Arial"/>
                <w:color w:val="auto"/>
                <w:szCs w:val="18"/>
              </w:rPr>
              <w:t xml:space="preserve"> nest* OR ostrich </w:t>
            </w:r>
            <w:r>
              <w:rPr>
                <w:rFonts w:cs="Arial"/>
                <w:color w:val="auto"/>
                <w:szCs w:val="18"/>
              </w:rPr>
              <w:t>AND</w:t>
            </w:r>
            <w:r w:rsidR="00FA0BB9" w:rsidRPr="008970FA">
              <w:rPr>
                <w:rFonts w:cs="Arial"/>
                <w:color w:val="auto"/>
                <w:szCs w:val="18"/>
              </w:rPr>
              <w:t xml:space="preserve"> enrich*</w:t>
            </w:r>
          </w:p>
        </w:tc>
        <w:tc>
          <w:tcPr>
            <w:tcW w:w="1020" w:type="dxa"/>
          </w:tcPr>
          <w:p w14:paraId="37EC09C4" w14:textId="77777777" w:rsidR="00FA0BB9" w:rsidRPr="008970FA" w:rsidRDefault="00FA0BB9" w:rsidP="008970FA">
            <w:pPr>
              <w:spacing w:before="60" w:line="240" w:lineRule="auto"/>
              <w:rPr>
                <w:rFonts w:cs="Arial"/>
                <w:color w:val="auto"/>
                <w:szCs w:val="18"/>
              </w:rPr>
            </w:pPr>
            <w:r w:rsidRPr="008970FA">
              <w:rPr>
                <w:rFonts w:cs="Arial"/>
                <w:color w:val="auto"/>
                <w:szCs w:val="18"/>
              </w:rPr>
              <w:t>50</w:t>
            </w:r>
          </w:p>
        </w:tc>
        <w:tc>
          <w:tcPr>
            <w:tcW w:w="1020" w:type="dxa"/>
          </w:tcPr>
          <w:p w14:paraId="753F88FB" w14:textId="77777777" w:rsidR="00FA0BB9" w:rsidRPr="008970FA" w:rsidRDefault="00FA0BB9" w:rsidP="008970FA">
            <w:pPr>
              <w:spacing w:before="60" w:line="240" w:lineRule="auto"/>
              <w:rPr>
                <w:rFonts w:cs="Arial"/>
                <w:color w:val="auto"/>
                <w:szCs w:val="18"/>
              </w:rPr>
            </w:pPr>
            <w:r w:rsidRPr="008970FA">
              <w:rPr>
                <w:rFonts w:cs="Arial"/>
                <w:color w:val="auto"/>
                <w:szCs w:val="18"/>
              </w:rPr>
              <w:t>3</w:t>
            </w:r>
          </w:p>
        </w:tc>
        <w:tc>
          <w:tcPr>
            <w:tcW w:w="3889" w:type="dxa"/>
          </w:tcPr>
          <w:p w14:paraId="2176EACA" w14:textId="77777777" w:rsidR="00FA0BB9" w:rsidRPr="008970FA" w:rsidRDefault="00FA0BB9" w:rsidP="008970FA">
            <w:pPr>
              <w:spacing w:before="60" w:line="240" w:lineRule="auto"/>
              <w:rPr>
                <w:rFonts w:cs="Arial"/>
                <w:color w:val="auto"/>
                <w:szCs w:val="18"/>
              </w:rPr>
            </w:pPr>
          </w:p>
        </w:tc>
      </w:tr>
      <w:tr w:rsidR="00D561AB" w:rsidRPr="00286A88" w14:paraId="277B8815" w14:textId="77777777" w:rsidTr="00D561AB">
        <w:tc>
          <w:tcPr>
            <w:tcW w:w="4025" w:type="dxa"/>
          </w:tcPr>
          <w:p w14:paraId="037A076C" w14:textId="77777777" w:rsidR="00FA0BB9" w:rsidRPr="008970FA" w:rsidRDefault="007E6FE0" w:rsidP="007E6FE0">
            <w:pPr>
              <w:spacing w:before="60" w:line="240" w:lineRule="auto"/>
              <w:rPr>
                <w:rFonts w:cs="Arial"/>
                <w:color w:val="auto"/>
                <w:szCs w:val="18"/>
              </w:rPr>
            </w:pPr>
            <w:r>
              <w:rPr>
                <w:rFonts w:cs="Arial"/>
                <w:color w:val="auto"/>
                <w:szCs w:val="18"/>
              </w:rPr>
              <w:t>o</w:t>
            </w:r>
            <w:r w:rsidR="00FA0BB9" w:rsidRPr="008970FA">
              <w:rPr>
                <w:rFonts w:cs="Arial"/>
                <w:color w:val="auto"/>
                <w:szCs w:val="18"/>
              </w:rPr>
              <w:t xml:space="preserve">strich </w:t>
            </w:r>
            <w:r>
              <w:rPr>
                <w:rFonts w:cs="Arial"/>
                <w:color w:val="auto"/>
                <w:szCs w:val="18"/>
              </w:rPr>
              <w:t>AND</w:t>
            </w:r>
            <w:r w:rsidR="00FA0BB9" w:rsidRPr="008970FA">
              <w:rPr>
                <w:rFonts w:cs="Arial"/>
                <w:color w:val="auto"/>
                <w:szCs w:val="18"/>
              </w:rPr>
              <w:t xml:space="preserve"> dustbath* </w:t>
            </w:r>
            <w:r>
              <w:rPr>
                <w:rFonts w:cs="Arial"/>
                <w:color w:val="auto"/>
                <w:szCs w:val="18"/>
              </w:rPr>
              <w:t>OR</w:t>
            </w:r>
            <w:r w:rsidR="00FA0BB9" w:rsidRPr="008970FA">
              <w:rPr>
                <w:rFonts w:cs="Arial"/>
                <w:color w:val="auto"/>
                <w:szCs w:val="18"/>
              </w:rPr>
              <w:t xml:space="preserve"> dust-bath*</w:t>
            </w:r>
          </w:p>
        </w:tc>
        <w:tc>
          <w:tcPr>
            <w:tcW w:w="1020" w:type="dxa"/>
          </w:tcPr>
          <w:p w14:paraId="7B7B768C"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c>
          <w:tcPr>
            <w:tcW w:w="1020" w:type="dxa"/>
          </w:tcPr>
          <w:p w14:paraId="4A7FE187" w14:textId="77777777" w:rsidR="00FA0BB9" w:rsidRPr="008970FA" w:rsidRDefault="00FA0BB9" w:rsidP="008970FA">
            <w:pPr>
              <w:spacing w:before="60" w:line="240" w:lineRule="auto"/>
              <w:rPr>
                <w:rFonts w:cs="Arial"/>
                <w:color w:val="auto"/>
                <w:szCs w:val="18"/>
              </w:rPr>
            </w:pPr>
            <w:r w:rsidRPr="008970FA">
              <w:rPr>
                <w:rFonts w:cs="Arial"/>
                <w:color w:val="auto"/>
                <w:szCs w:val="18"/>
              </w:rPr>
              <w:t>0</w:t>
            </w:r>
          </w:p>
        </w:tc>
        <w:tc>
          <w:tcPr>
            <w:tcW w:w="3889" w:type="dxa"/>
          </w:tcPr>
          <w:p w14:paraId="26FBDDDF" w14:textId="77777777" w:rsidR="00FA0BB9" w:rsidRPr="008970FA" w:rsidRDefault="00FA0BB9" w:rsidP="008970FA">
            <w:pPr>
              <w:spacing w:before="60" w:line="240" w:lineRule="auto"/>
              <w:rPr>
                <w:rFonts w:cs="Arial"/>
                <w:color w:val="auto"/>
                <w:szCs w:val="18"/>
              </w:rPr>
            </w:pPr>
          </w:p>
        </w:tc>
      </w:tr>
      <w:tr w:rsidR="00D561AB" w:rsidRPr="00286A88" w14:paraId="24571FE7" w14:textId="77777777" w:rsidTr="00D561AB">
        <w:tc>
          <w:tcPr>
            <w:tcW w:w="4025" w:type="dxa"/>
          </w:tcPr>
          <w:p w14:paraId="49205FD3" w14:textId="77777777" w:rsidR="00FA0BB9" w:rsidRPr="008970FA" w:rsidRDefault="007E6FE0" w:rsidP="007E6FE0">
            <w:pPr>
              <w:spacing w:before="60" w:line="240" w:lineRule="auto"/>
              <w:rPr>
                <w:rFonts w:cs="Arial"/>
                <w:color w:val="auto"/>
                <w:szCs w:val="18"/>
              </w:rPr>
            </w:pPr>
            <w:r>
              <w:rPr>
                <w:rFonts w:cs="Arial"/>
                <w:color w:val="auto"/>
                <w:szCs w:val="18"/>
              </w:rPr>
              <w:t>o</w:t>
            </w:r>
            <w:r w:rsidR="00FA0BB9" w:rsidRPr="008970FA">
              <w:rPr>
                <w:rFonts w:cs="Arial"/>
                <w:color w:val="auto"/>
                <w:szCs w:val="18"/>
              </w:rPr>
              <w:t xml:space="preserve">strich </w:t>
            </w:r>
            <w:r>
              <w:rPr>
                <w:rFonts w:cs="Arial"/>
                <w:color w:val="auto"/>
                <w:szCs w:val="18"/>
              </w:rPr>
              <w:t>AND</w:t>
            </w:r>
            <w:r w:rsidR="00FA0BB9" w:rsidRPr="008970FA">
              <w:rPr>
                <w:rFonts w:cs="Arial"/>
                <w:color w:val="auto"/>
                <w:szCs w:val="18"/>
              </w:rPr>
              <w:t xml:space="preserve"> (peck* </w:t>
            </w:r>
            <w:r>
              <w:rPr>
                <w:rFonts w:cs="Arial"/>
                <w:color w:val="auto"/>
                <w:szCs w:val="18"/>
              </w:rPr>
              <w:t>OR</w:t>
            </w:r>
            <w:r w:rsidR="00FA0BB9" w:rsidRPr="008970FA">
              <w:rPr>
                <w:rFonts w:cs="Arial"/>
                <w:color w:val="auto"/>
                <w:szCs w:val="18"/>
              </w:rPr>
              <w:t xml:space="preserve"> beak*)</w:t>
            </w:r>
          </w:p>
        </w:tc>
        <w:tc>
          <w:tcPr>
            <w:tcW w:w="1020" w:type="dxa"/>
          </w:tcPr>
          <w:p w14:paraId="7A090574" w14:textId="77777777" w:rsidR="00FA0BB9" w:rsidRPr="008970FA" w:rsidRDefault="00FA0BB9" w:rsidP="008970FA">
            <w:pPr>
              <w:spacing w:before="60" w:line="240" w:lineRule="auto"/>
              <w:rPr>
                <w:rFonts w:cs="Arial"/>
                <w:color w:val="auto"/>
                <w:szCs w:val="18"/>
              </w:rPr>
            </w:pPr>
            <w:r w:rsidRPr="008970FA">
              <w:rPr>
                <w:rFonts w:cs="Arial"/>
                <w:color w:val="auto"/>
                <w:szCs w:val="18"/>
              </w:rPr>
              <w:t>32</w:t>
            </w:r>
          </w:p>
        </w:tc>
        <w:tc>
          <w:tcPr>
            <w:tcW w:w="1020" w:type="dxa"/>
          </w:tcPr>
          <w:p w14:paraId="4723313F" w14:textId="77777777" w:rsidR="00FA0BB9" w:rsidRPr="008970FA" w:rsidRDefault="00FA0BB9" w:rsidP="008970FA">
            <w:pPr>
              <w:spacing w:before="60" w:line="240" w:lineRule="auto"/>
              <w:rPr>
                <w:rFonts w:cs="Arial"/>
                <w:color w:val="auto"/>
                <w:szCs w:val="18"/>
              </w:rPr>
            </w:pPr>
            <w:r w:rsidRPr="008970FA">
              <w:rPr>
                <w:rFonts w:cs="Arial"/>
                <w:color w:val="auto"/>
                <w:szCs w:val="18"/>
              </w:rPr>
              <w:t>4</w:t>
            </w:r>
          </w:p>
        </w:tc>
        <w:tc>
          <w:tcPr>
            <w:tcW w:w="3889" w:type="dxa"/>
          </w:tcPr>
          <w:p w14:paraId="2C250C57" w14:textId="77777777" w:rsidR="00FA0BB9" w:rsidRPr="008970FA" w:rsidRDefault="00FA0BB9" w:rsidP="008970FA">
            <w:pPr>
              <w:spacing w:before="60" w:line="240" w:lineRule="auto"/>
              <w:rPr>
                <w:rFonts w:cs="Arial"/>
                <w:color w:val="auto"/>
                <w:szCs w:val="18"/>
              </w:rPr>
            </w:pPr>
          </w:p>
        </w:tc>
      </w:tr>
      <w:tr w:rsidR="00D561AB" w:rsidRPr="00286A88" w14:paraId="160C41E1" w14:textId="77777777" w:rsidTr="00D561AB">
        <w:tc>
          <w:tcPr>
            <w:tcW w:w="4025" w:type="dxa"/>
          </w:tcPr>
          <w:p w14:paraId="3D6FA088" w14:textId="77777777" w:rsidR="007F3120" w:rsidRPr="007F3120" w:rsidRDefault="007F3120" w:rsidP="00587D34">
            <w:pPr>
              <w:spacing w:before="60" w:line="240" w:lineRule="auto"/>
              <w:rPr>
                <w:rFonts w:cs="Arial"/>
                <w:b/>
                <w:color w:val="auto"/>
                <w:szCs w:val="18"/>
              </w:rPr>
            </w:pPr>
            <w:r>
              <w:rPr>
                <w:rFonts w:cs="Arial"/>
                <w:b/>
                <w:color w:val="auto"/>
                <w:szCs w:val="18"/>
              </w:rPr>
              <w:t>Papers retained from secondary searches</w:t>
            </w:r>
          </w:p>
        </w:tc>
        <w:tc>
          <w:tcPr>
            <w:tcW w:w="1020" w:type="dxa"/>
          </w:tcPr>
          <w:p w14:paraId="7E6E6369" w14:textId="77777777" w:rsidR="007F3120" w:rsidRPr="008970FA" w:rsidRDefault="007F3120" w:rsidP="008970FA">
            <w:pPr>
              <w:spacing w:before="60" w:line="240" w:lineRule="auto"/>
              <w:rPr>
                <w:rFonts w:cs="Arial"/>
                <w:color w:val="auto"/>
                <w:szCs w:val="18"/>
              </w:rPr>
            </w:pPr>
          </w:p>
        </w:tc>
        <w:tc>
          <w:tcPr>
            <w:tcW w:w="1020" w:type="dxa"/>
          </w:tcPr>
          <w:p w14:paraId="6BE8A376" w14:textId="77777777" w:rsidR="007F3120" w:rsidRPr="007F3120" w:rsidRDefault="007F3120" w:rsidP="008970FA">
            <w:pPr>
              <w:spacing w:before="60" w:line="240" w:lineRule="auto"/>
              <w:rPr>
                <w:rFonts w:cs="Arial"/>
                <w:b/>
                <w:color w:val="auto"/>
                <w:szCs w:val="18"/>
              </w:rPr>
            </w:pPr>
            <w:r>
              <w:rPr>
                <w:rFonts w:cs="Arial"/>
                <w:b/>
                <w:color w:val="auto"/>
                <w:szCs w:val="18"/>
              </w:rPr>
              <w:t>24</w:t>
            </w:r>
          </w:p>
        </w:tc>
        <w:tc>
          <w:tcPr>
            <w:tcW w:w="3889" w:type="dxa"/>
          </w:tcPr>
          <w:p w14:paraId="56D3CA7F" w14:textId="77777777" w:rsidR="007F3120" w:rsidRPr="008970FA" w:rsidRDefault="007F3120" w:rsidP="008970FA">
            <w:pPr>
              <w:spacing w:before="60" w:line="240" w:lineRule="auto"/>
              <w:rPr>
                <w:rFonts w:cs="Arial"/>
                <w:color w:val="auto"/>
                <w:szCs w:val="18"/>
              </w:rPr>
            </w:pPr>
          </w:p>
        </w:tc>
      </w:tr>
    </w:tbl>
    <w:p w14:paraId="6F48231C" w14:textId="77777777" w:rsidR="007F3120" w:rsidRPr="007F3120" w:rsidRDefault="007F3120" w:rsidP="005F7B38">
      <w:pPr>
        <w:spacing w:before="240"/>
        <w:rPr>
          <w:b/>
          <w:lang w:val="en-GB"/>
        </w:rPr>
      </w:pPr>
      <w:r>
        <w:rPr>
          <w:b/>
          <w:lang w:val="en-GB"/>
        </w:rPr>
        <w:t>Total number of papers retained from primary and secondary searches: 9 + 24 = 33</w:t>
      </w:r>
    </w:p>
    <w:p w14:paraId="3D77E93A" w14:textId="77777777" w:rsidR="007F3120" w:rsidRPr="00286A88" w:rsidRDefault="007F3120" w:rsidP="001123AA">
      <w:pPr>
        <w:rPr>
          <w:lang w:val="en-GB"/>
        </w:rPr>
      </w:pPr>
    </w:p>
    <w:p w14:paraId="3C3B19E2" w14:textId="77777777" w:rsidR="00286A88" w:rsidRPr="00FA0BB9" w:rsidRDefault="00FA0BB9" w:rsidP="00AE59F9">
      <w:pPr>
        <w:spacing w:before="120"/>
        <w:rPr>
          <w:b/>
          <w:sz w:val="24"/>
          <w:szCs w:val="24"/>
          <w:lang w:val="en-GB"/>
        </w:rPr>
      </w:pPr>
      <w:r>
        <w:rPr>
          <w:lang w:val="en-GB"/>
        </w:rPr>
        <w:br w:type="column"/>
      </w:r>
      <w:r w:rsidR="00703C9C">
        <w:rPr>
          <w:b/>
          <w:sz w:val="24"/>
          <w:szCs w:val="24"/>
          <w:lang w:val="en-GB"/>
        </w:rPr>
        <w:t>Emu</w:t>
      </w:r>
      <w:r w:rsidR="00B41749">
        <w:rPr>
          <w:b/>
          <w:sz w:val="24"/>
          <w:szCs w:val="24"/>
          <w:lang w:val="en-GB"/>
        </w:rPr>
        <w:t>s</w:t>
      </w:r>
    </w:p>
    <w:p w14:paraId="425CB557" w14:textId="77777777" w:rsidR="00286A88" w:rsidRPr="00590F0B" w:rsidRDefault="00286A88" w:rsidP="00590F0B">
      <w:pPr>
        <w:spacing w:before="240" w:after="240"/>
        <w:rPr>
          <w:b/>
          <w:lang w:val="en-GB"/>
        </w:rPr>
      </w:pPr>
      <w:r w:rsidRPr="00590F0B">
        <w:rPr>
          <w:b/>
          <w:lang w:val="en-GB"/>
        </w:rPr>
        <w:t>Primary Search</w:t>
      </w:r>
      <w:r w:rsidR="007E6FE0">
        <w:rPr>
          <w:b/>
          <w:lang w:val="en-GB"/>
        </w:rPr>
        <w:t>:</w:t>
      </w:r>
      <w:r w:rsidRPr="00590F0B">
        <w:rPr>
          <w:b/>
          <w:lang w:val="en-GB"/>
        </w:rPr>
        <w:t xml:space="preserve"> emu </w:t>
      </w:r>
      <w:r w:rsidR="00AE59F9">
        <w:rPr>
          <w:b/>
          <w:lang w:val="en-GB"/>
        </w:rPr>
        <w:t>AND</w:t>
      </w:r>
      <w:r w:rsidRPr="00590F0B">
        <w:rPr>
          <w:b/>
          <w:lang w:val="en-GB"/>
        </w:rPr>
        <w:t xml:space="preserve"> welfare = 7</w:t>
      </w:r>
    </w:p>
    <w:tbl>
      <w:tblPr>
        <w:tblStyle w:val="TableGrid11"/>
        <w:tblW w:w="9977" w:type="dxa"/>
        <w:tblLook w:val="04A0" w:firstRow="1" w:lastRow="0" w:firstColumn="1" w:lastColumn="0" w:noHBand="0" w:noVBand="1"/>
        <w:tblCaption w:val="Papers excluded after primary literature search for emu welfare"/>
        <w:tblDescription w:val="This table shows the number of papers excluded after the primary literature search for emu welfare. The left hand column shows the primary reason for exclusion. The middle column shows the number of papers excluded. The right hand column gives an example of a paper excluded for each reason."/>
      </w:tblPr>
      <w:tblGrid>
        <w:gridCol w:w="3628"/>
        <w:gridCol w:w="1020"/>
        <w:gridCol w:w="5329"/>
      </w:tblGrid>
      <w:tr w:rsidR="00286A88" w:rsidRPr="00286A88" w14:paraId="2B4954F6" w14:textId="77777777" w:rsidTr="00587D34">
        <w:trPr>
          <w:tblHeader/>
        </w:trPr>
        <w:tc>
          <w:tcPr>
            <w:tcW w:w="3628" w:type="dxa"/>
            <w:shd w:val="clear" w:color="auto" w:fill="auto"/>
          </w:tcPr>
          <w:p w14:paraId="79A593F5" w14:textId="77777777" w:rsidR="00286A88" w:rsidRPr="009928C2" w:rsidRDefault="00286A88" w:rsidP="009928C2">
            <w:pPr>
              <w:spacing w:before="60" w:line="240" w:lineRule="auto"/>
              <w:rPr>
                <w:rFonts w:cs="Arial"/>
                <w:b/>
                <w:color w:val="auto"/>
                <w:szCs w:val="18"/>
              </w:rPr>
            </w:pPr>
            <w:r w:rsidRPr="009928C2">
              <w:rPr>
                <w:rFonts w:cs="Arial"/>
                <w:b/>
                <w:color w:val="auto"/>
                <w:szCs w:val="18"/>
              </w:rPr>
              <w:t xml:space="preserve">Primary Reason for Exclusion </w:t>
            </w:r>
          </w:p>
        </w:tc>
        <w:tc>
          <w:tcPr>
            <w:tcW w:w="1020" w:type="dxa"/>
            <w:shd w:val="clear" w:color="auto" w:fill="auto"/>
          </w:tcPr>
          <w:p w14:paraId="602A1789" w14:textId="77777777" w:rsidR="00286A88" w:rsidRPr="00F67C8B" w:rsidRDefault="00286A88" w:rsidP="009928C2">
            <w:pPr>
              <w:spacing w:before="60" w:line="240" w:lineRule="auto"/>
              <w:rPr>
                <w:rFonts w:cs="Arial"/>
                <w:color w:val="auto"/>
                <w:szCs w:val="18"/>
              </w:rPr>
            </w:pPr>
            <w:r w:rsidRPr="00F67C8B">
              <w:rPr>
                <w:rFonts w:cs="Arial"/>
                <w:color w:val="auto"/>
                <w:szCs w:val="18"/>
              </w:rPr>
              <w:t>Number Excluded</w:t>
            </w:r>
          </w:p>
        </w:tc>
        <w:tc>
          <w:tcPr>
            <w:tcW w:w="5329" w:type="dxa"/>
            <w:shd w:val="clear" w:color="auto" w:fill="auto"/>
          </w:tcPr>
          <w:p w14:paraId="49D5D496" w14:textId="77777777" w:rsidR="00286A88" w:rsidRPr="00F67C8B" w:rsidRDefault="00286A88" w:rsidP="009928C2">
            <w:pPr>
              <w:spacing w:before="60" w:line="240" w:lineRule="auto"/>
              <w:rPr>
                <w:rFonts w:cs="Arial"/>
                <w:color w:val="auto"/>
                <w:szCs w:val="18"/>
              </w:rPr>
            </w:pPr>
            <w:r w:rsidRPr="00F67C8B">
              <w:rPr>
                <w:rFonts w:cs="Arial"/>
                <w:i/>
                <w:color w:val="auto"/>
                <w:szCs w:val="18"/>
              </w:rPr>
              <w:t xml:space="preserve">Example </w:t>
            </w:r>
            <w:r w:rsidRPr="00F67C8B">
              <w:rPr>
                <w:rFonts w:cs="Arial"/>
                <w:color w:val="auto"/>
                <w:szCs w:val="18"/>
              </w:rPr>
              <w:t>of Paper Excluded for Each Reason</w:t>
            </w:r>
          </w:p>
        </w:tc>
      </w:tr>
      <w:tr w:rsidR="00286A88" w:rsidRPr="00286A88" w14:paraId="31ED64E8" w14:textId="77777777" w:rsidTr="005F7B38">
        <w:tc>
          <w:tcPr>
            <w:tcW w:w="3628" w:type="dxa"/>
          </w:tcPr>
          <w:p w14:paraId="374D2C5F" w14:textId="77777777" w:rsidR="00286A88" w:rsidRPr="008C43DD" w:rsidRDefault="00286A88" w:rsidP="008C43DD">
            <w:pPr>
              <w:spacing w:before="60"/>
            </w:pPr>
            <w:r w:rsidRPr="008C43DD">
              <w:t>Transport or slaughter</w:t>
            </w:r>
          </w:p>
        </w:tc>
        <w:tc>
          <w:tcPr>
            <w:tcW w:w="1020" w:type="dxa"/>
          </w:tcPr>
          <w:p w14:paraId="26AC0B89" w14:textId="77777777" w:rsidR="00286A88" w:rsidRPr="008C43DD" w:rsidRDefault="00286A88" w:rsidP="008C43DD">
            <w:pPr>
              <w:spacing w:before="60"/>
            </w:pPr>
            <w:r w:rsidRPr="008C43DD">
              <w:t>1</w:t>
            </w:r>
          </w:p>
        </w:tc>
        <w:tc>
          <w:tcPr>
            <w:tcW w:w="5329" w:type="dxa"/>
          </w:tcPr>
          <w:p w14:paraId="31434423" w14:textId="77777777" w:rsidR="00C26326" w:rsidRPr="00C26326" w:rsidRDefault="00C26326" w:rsidP="00C26326">
            <w:pPr>
              <w:pStyle w:val="NoSpacing"/>
              <w:rPr>
                <w:sz w:val="16"/>
                <w:szCs w:val="16"/>
              </w:rPr>
            </w:pPr>
            <w:r w:rsidRPr="00C26326">
              <w:rPr>
                <w:sz w:val="16"/>
                <w:szCs w:val="16"/>
              </w:rPr>
              <w:t>Transportation stress and the incidence of exertional rhabdomyolysis in emus (</w:t>
            </w:r>
            <w:r w:rsidRPr="00C26326">
              <w:rPr>
                <w:i/>
                <w:sz w:val="16"/>
                <w:szCs w:val="16"/>
              </w:rPr>
              <w:t>Dromaius novaehollandiae</w:t>
            </w:r>
            <w:r w:rsidRPr="00C26326">
              <w:rPr>
                <w:sz w:val="16"/>
                <w:szCs w:val="16"/>
              </w:rPr>
              <w:t>)</w:t>
            </w:r>
          </w:p>
          <w:p w14:paraId="7C99C37C" w14:textId="77777777" w:rsidR="00286A88" w:rsidRPr="00C26326" w:rsidRDefault="00C26326" w:rsidP="00C26326">
            <w:pPr>
              <w:pStyle w:val="NoSpacing"/>
              <w:rPr>
                <w:sz w:val="16"/>
                <w:szCs w:val="16"/>
              </w:rPr>
            </w:pPr>
            <w:r w:rsidRPr="00C26326">
              <w:rPr>
                <w:sz w:val="16"/>
                <w:szCs w:val="16"/>
              </w:rPr>
              <w:t>By: Menon, Deepa G.; Bennett, Darin C.; Schaefer, Allan L.; et al.</w:t>
            </w:r>
          </w:p>
        </w:tc>
      </w:tr>
      <w:tr w:rsidR="00286A88" w:rsidRPr="00286A88" w14:paraId="5BAB4E44" w14:textId="77777777" w:rsidTr="005F7B38">
        <w:tc>
          <w:tcPr>
            <w:tcW w:w="3628" w:type="dxa"/>
          </w:tcPr>
          <w:p w14:paraId="7B44F1AB" w14:textId="77777777" w:rsidR="00286A88" w:rsidRPr="008C43DD" w:rsidRDefault="00286A88" w:rsidP="008C43DD">
            <w:pPr>
              <w:spacing w:before="60"/>
            </w:pPr>
            <w:r w:rsidRPr="008C43DD">
              <w:t>Other animals</w:t>
            </w:r>
          </w:p>
        </w:tc>
        <w:tc>
          <w:tcPr>
            <w:tcW w:w="1020" w:type="dxa"/>
          </w:tcPr>
          <w:p w14:paraId="1EF821B6" w14:textId="77777777" w:rsidR="00286A88" w:rsidRPr="008C43DD" w:rsidRDefault="00286A88" w:rsidP="008C43DD">
            <w:pPr>
              <w:spacing w:before="60"/>
            </w:pPr>
            <w:r w:rsidRPr="008C43DD">
              <w:t>1</w:t>
            </w:r>
          </w:p>
        </w:tc>
        <w:tc>
          <w:tcPr>
            <w:tcW w:w="5329" w:type="dxa"/>
          </w:tcPr>
          <w:p w14:paraId="30320EDF" w14:textId="77777777" w:rsidR="00C26326" w:rsidRPr="00C26326" w:rsidRDefault="00C26326" w:rsidP="00C26326">
            <w:pPr>
              <w:pStyle w:val="NoSpacing"/>
              <w:rPr>
                <w:sz w:val="16"/>
                <w:szCs w:val="16"/>
              </w:rPr>
            </w:pPr>
            <w:r w:rsidRPr="00C26326">
              <w:rPr>
                <w:sz w:val="16"/>
                <w:szCs w:val="16"/>
              </w:rPr>
              <w:t>Declawing ostrich (</w:t>
            </w:r>
            <w:r w:rsidRPr="00B05D59">
              <w:rPr>
                <w:i/>
                <w:sz w:val="16"/>
                <w:szCs w:val="16"/>
              </w:rPr>
              <w:t>Struthio camelus domesticus</w:t>
            </w:r>
            <w:r w:rsidRPr="00C26326">
              <w:rPr>
                <w:sz w:val="16"/>
                <w:szCs w:val="16"/>
              </w:rPr>
              <w:t>) chicks to minimize skin damage during rearing</w:t>
            </w:r>
          </w:p>
          <w:p w14:paraId="0B714CFE" w14:textId="77777777" w:rsidR="00C26326" w:rsidRPr="00C26326" w:rsidRDefault="00C26326" w:rsidP="00C26326">
            <w:pPr>
              <w:pStyle w:val="NoSpacing"/>
              <w:rPr>
                <w:sz w:val="16"/>
                <w:szCs w:val="16"/>
              </w:rPr>
            </w:pPr>
            <w:r w:rsidRPr="00C26326">
              <w:rPr>
                <w:sz w:val="16"/>
                <w:szCs w:val="16"/>
              </w:rPr>
              <w:t>By: Meyer, A; Cloete, SWP; Brown, CR; et al.</w:t>
            </w:r>
          </w:p>
          <w:p w14:paraId="14A366CC" w14:textId="77777777" w:rsidR="00286A88" w:rsidRPr="00C26326" w:rsidRDefault="00C26326" w:rsidP="00C26326">
            <w:pPr>
              <w:pStyle w:val="NoSpacing"/>
              <w:rPr>
                <w:sz w:val="16"/>
                <w:szCs w:val="16"/>
              </w:rPr>
            </w:pPr>
            <w:r w:rsidRPr="00C26326">
              <w:rPr>
                <w:sz w:val="16"/>
                <w:szCs w:val="16"/>
              </w:rPr>
              <w:t>SOUTH AFRICAN JOURNAL OF ANIMAL SCIENCE   Volume: 32   Issue: 3   Pages: 192-200   Published: 2002</w:t>
            </w:r>
          </w:p>
        </w:tc>
      </w:tr>
      <w:tr w:rsidR="00286A88" w:rsidRPr="00286A88" w14:paraId="275F7303" w14:textId="77777777" w:rsidTr="005F7B38">
        <w:tc>
          <w:tcPr>
            <w:tcW w:w="3628" w:type="dxa"/>
          </w:tcPr>
          <w:p w14:paraId="55E65C58" w14:textId="77777777" w:rsidR="00286A88" w:rsidRPr="008C43DD" w:rsidRDefault="00286A88" w:rsidP="008C43DD">
            <w:pPr>
              <w:spacing w:before="60"/>
            </w:pPr>
            <w:r w:rsidRPr="008C43DD">
              <w:t>reviews</w:t>
            </w:r>
          </w:p>
        </w:tc>
        <w:tc>
          <w:tcPr>
            <w:tcW w:w="1020" w:type="dxa"/>
          </w:tcPr>
          <w:p w14:paraId="01718D6A" w14:textId="77777777" w:rsidR="00286A88" w:rsidRPr="008C43DD" w:rsidRDefault="00286A88" w:rsidP="008C43DD">
            <w:pPr>
              <w:spacing w:before="60"/>
            </w:pPr>
            <w:r w:rsidRPr="008C43DD">
              <w:t>2</w:t>
            </w:r>
          </w:p>
        </w:tc>
        <w:tc>
          <w:tcPr>
            <w:tcW w:w="5329" w:type="dxa"/>
          </w:tcPr>
          <w:p w14:paraId="7C4ACF21" w14:textId="77777777" w:rsidR="00C26326" w:rsidRPr="00C26326" w:rsidRDefault="00C26326" w:rsidP="00C26326">
            <w:pPr>
              <w:pStyle w:val="NoSpacing"/>
              <w:rPr>
                <w:sz w:val="16"/>
                <w:szCs w:val="16"/>
              </w:rPr>
            </w:pPr>
            <w:r w:rsidRPr="00C26326">
              <w:rPr>
                <w:sz w:val="16"/>
                <w:szCs w:val="16"/>
              </w:rPr>
              <w:t>The development of ratite production through continued research</w:t>
            </w:r>
          </w:p>
          <w:p w14:paraId="5CF92AF6" w14:textId="77777777" w:rsidR="00C26326" w:rsidRPr="00C26326" w:rsidRDefault="00C26326" w:rsidP="00C26326">
            <w:pPr>
              <w:pStyle w:val="NoSpacing"/>
              <w:rPr>
                <w:sz w:val="16"/>
                <w:szCs w:val="16"/>
              </w:rPr>
            </w:pPr>
            <w:r w:rsidRPr="00C26326">
              <w:rPr>
                <w:sz w:val="16"/>
                <w:szCs w:val="16"/>
              </w:rPr>
              <w:t>By: Cloete, S. W. P.; Brand, T. S.; Hoffman, L.; et al.</w:t>
            </w:r>
          </w:p>
          <w:p w14:paraId="5DF1FC0D" w14:textId="77777777" w:rsidR="00286A88" w:rsidRPr="00C26326" w:rsidRDefault="00C26326" w:rsidP="00C26326">
            <w:pPr>
              <w:pStyle w:val="NoSpacing"/>
              <w:rPr>
                <w:sz w:val="16"/>
                <w:szCs w:val="16"/>
              </w:rPr>
            </w:pPr>
            <w:r w:rsidRPr="00C26326">
              <w:rPr>
                <w:sz w:val="16"/>
                <w:szCs w:val="16"/>
              </w:rPr>
              <w:t>WORLD’S POULTRY SCIENCE JOURNAL   Volume: 68   Issue: 2   Pages: 323-334   Published: JUN 2012</w:t>
            </w:r>
          </w:p>
        </w:tc>
      </w:tr>
      <w:tr w:rsidR="00286A88" w:rsidRPr="00286A88" w14:paraId="6C8CF44A" w14:textId="77777777" w:rsidTr="005F7B38">
        <w:tc>
          <w:tcPr>
            <w:tcW w:w="3628" w:type="dxa"/>
          </w:tcPr>
          <w:p w14:paraId="13CC1056" w14:textId="77777777" w:rsidR="00286A88" w:rsidRPr="008C43DD" w:rsidRDefault="00286A88" w:rsidP="008C43DD">
            <w:pPr>
              <w:spacing w:before="60"/>
            </w:pPr>
            <w:r w:rsidRPr="008C43DD">
              <w:t>reference values for biochemistry</w:t>
            </w:r>
          </w:p>
        </w:tc>
        <w:tc>
          <w:tcPr>
            <w:tcW w:w="1020" w:type="dxa"/>
          </w:tcPr>
          <w:p w14:paraId="169B6958" w14:textId="77777777" w:rsidR="00286A88" w:rsidRPr="008C43DD" w:rsidRDefault="00286A88" w:rsidP="008C43DD">
            <w:pPr>
              <w:spacing w:before="60"/>
            </w:pPr>
            <w:r w:rsidRPr="008C43DD">
              <w:t>1</w:t>
            </w:r>
          </w:p>
        </w:tc>
        <w:tc>
          <w:tcPr>
            <w:tcW w:w="5329" w:type="dxa"/>
          </w:tcPr>
          <w:p w14:paraId="63250DFD" w14:textId="77777777" w:rsidR="00C26326" w:rsidRPr="00C26326" w:rsidRDefault="00C26326" w:rsidP="00C26326">
            <w:pPr>
              <w:pStyle w:val="NoSpacing"/>
              <w:rPr>
                <w:sz w:val="16"/>
                <w:szCs w:val="16"/>
              </w:rPr>
            </w:pPr>
            <w:r w:rsidRPr="00C26326">
              <w:rPr>
                <w:sz w:val="16"/>
                <w:szCs w:val="16"/>
              </w:rPr>
              <w:t>Hematological and serum biochemical profile of farm emus (</w:t>
            </w:r>
            <w:r w:rsidRPr="00B05D59">
              <w:rPr>
                <w:i/>
                <w:sz w:val="16"/>
                <w:szCs w:val="16"/>
              </w:rPr>
              <w:t>Dromaius novaehollandiae</w:t>
            </w:r>
            <w:r w:rsidRPr="00C26326">
              <w:rPr>
                <w:sz w:val="16"/>
                <w:szCs w:val="16"/>
              </w:rPr>
              <w:t>) at the onset of their breeding season</w:t>
            </w:r>
          </w:p>
          <w:p w14:paraId="1F968585" w14:textId="77777777" w:rsidR="00286A88" w:rsidRPr="00C26326" w:rsidRDefault="00C26326" w:rsidP="00C26326">
            <w:pPr>
              <w:pStyle w:val="NoSpacing"/>
              <w:rPr>
                <w:sz w:val="16"/>
                <w:szCs w:val="16"/>
              </w:rPr>
            </w:pPr>
            <w:r w:rsidRPr="00C26326">
              <w:rPr>
                <w:sz w:val="16"/>
                <w:szCs w:val="16"/>
              </w:rPr>
              <w:t>By: Menon, D. G.; Bennett, D. C.; Schaefer, A. M.; et al.</w:t>
            </w:r>
          </w:p>
        </w:tc>
      </w:tr>
      <w:tr w:rsidR="00286A88" w:rsidRPr="00286A88" w14:paraId="0BFC1384" w14:textId="77777777" w:rsidTr="005F7B38">
        <w:tc>
          <w:tcPr>
            <w:tcW w:w="3628" w:type="dxa"/>
          </w:tcPr>
          <w:p w14:paraId="7684A4D4" w14:textId="77777777" w:rsidR="00286A88" w:rsidRPr="008C43DD" w:rsidRDefault="00286A88" w:rsidP="008C43DD">
            <w:pPr>
              <w:spacing w:before="60"/>
            </w:pPr>
            <w:r w:rsidRPr="008C43DD">
              <w:t>irrelevant</w:t>
            </w:r>
          </w:p>
        </w:tc>
        <w:tc>
          <w:tcPr>
            <w:tcW w:w="1020" w:type="dxa"/>
          </w:tcPr>
          <w:p w14:paraId="59B45339" w14:textId="77777777" w:rsidR="00286A88" w:rsidRPr="008C43DD" w:rsidRDefault="00286A88" w:rsidP="008C43DD">
            <w:pPr>
              <w:spacing w:before="60"/>
            </w:pPr>
            <w:r w:rsidRPr="008C43DD">
              <w:t>1</w:t>
            </w:r>
          </w:p>
        </w:tc>
        <w:tc>
          <w:tcPr>
            <w:tcW w:w="5329" w:type="dxa"/>
          </w:tcPr>
          <w:p w14:paraId="75E9956F" w14:textId="77777777" w:rsidR="00C26326" w:rsidRPr="00C26326" w:rsidRDefault="00C26326" w:rsidP="00C26326">
            <w:pPr>
              <w:pStyle w:val="NoSpacing"/>
              <w:rPr>
                <w:sz w:val="16"/>
                <w:szCs w:val="16"/>
              </w:rPr>
            </w:pPr>
            <w:r w:rsidRPr="00C26326">
              <w:rPr>
                <w:sz w:val="16"/>
                <w:szCs w:val="16"/>
              </w:rPr>
              <w:t>Fiscal and monetary policy interactions: a game theory approach</w:t>
            </w:r>
          </w:p>
          <w:p w14:paraId="1D16BA76" w14:textId="77777777" w:rsidR="00286A88" w:rsidRPr="00C26326" w:rsidRDefault="00C26326" w:rsidP="00C26326">
            <w:pPr>
              <w:pStyle w:val="NoSpacing"/>
              <w:rPr>
                <w:sz w:val="16"/>
                <w:szCs w:val="16"/>
              </w:rPr>
            </w:pPr>
            <w:r w:rsidRPr="00C26326">
              <w:rPr>
                <w:sz w:val="16"/>
                <w:szCs w:val="16"/>
              </w:rPr>
              <w:t>By: Saulo, Helton; Rego, Leandro C.; Divino, Jose ANNALS OF OPERATIONS RESEARCH   Volume: 206   Issue: 1   Pages: 341-366   Published: JUL 2013</w:t>
            </w:r>
          </w:p>
        </w:tc>
      </w:tr>
      <w:tr w:rsidR="00286A88" w:rsidRPr="00286A88" w14:paraId="04B42C0C" w14:textId="77777777" w:rsidTr="005F7B38">
        <w:tc>
          <w:tcPr>
            <w:tcW w:w="3628" w:type="dxa"/>
          </w:tcPr>
          <w:p w14:paraId="60856FD7" w14:textId="77777777" w:rsidR="00286A88" w:rsidRPr="00F67C8B" w:rsidRDefault="00770A44" w:rsidP="002B2473">
            <w:pPr>
              <w:spacing w:before="60" w:line="240" w:lineRule="auto"/>
              <w:rPr>
                <w:rFonts w:cs="Arial"/>
                <w:b/>
                <w:color w:val="auto"/>
                <w:szCs w:val="18"/>
              </w:rPr>
            </w:pPr>
            <w:r>
              <w:rPr>
                <w:rFonts w:cs="Arial"/>
                <w:b/>
                <w:color w:val="auto"/>
                <w:szCs w:val="18"/>
              </w:rPr>
              <w:t>Papers excluded from primary search</w:t>
            </w:r>
          </w:p>
        </w:tc>
        <w:tc>
          <w:tcPr>
            <w:tcW w:w="1020" w:type="dxa"/>
          </w:tcPr>
          <w:p w14:paraId="7A20707B" w14:textId="77777777" w:rsidR="00286A88" w:rsidRPr="00F67C8B" w:rsidRDefault="00770A44" w:rsidP="002B2473">
            <w:pPr>
              <w:spacing w:before="60" w:line="240" w:lineRule="auto"/>
              <w:rPr>
                <w:rFonts w:cs="Arial"/>
                <w:b/>
                <w:color w:val="auto"/>
                <w:szCs w:val="18"/>
              </w:rPr>
            </w:pPr>
            <w:r>
              <w:rPr>
                <w:rFonts w:cs="Arial"/>
                <w:b/>
                <w:color w:val="auto"/>
                <w:szCs w:val="18"/>
              </w:rPr>
              <w:t>6</w:t>
            </w:r>
          </w:p>
        </w:tc>
        <w:tc>
          <w:tcPr>
            <w:tcW w:w="5329" w:type="dxa"/>
          </w:tcPr>
          <w:p w14:paraId="498815AB" w14:textId="77777777" w:rsidR="00286A88" w:rsidRPr="008C43DD" w:rsidRDefault="008C43DD" w:rsidP="00770A44">
            <w:pPr>
              <w:spacing w:before="60" w:line="240" w:lineRule="auto"/>
              <w:rPr>
                <w:rFonts w:cs="Arial"/>
                <w:b/>
                <w:color w:val="auto"/>
                <w:szCs w:val="18"/>
              </w:rPr>
            </w:pPr>
            <w:r>
              <w:rPr>
                <w:rFonts w:cs="Arial"/>
                <w:b/>
                <w:color w:val="auto"/>
                <w:szCs w:val="18"/>
              </w:rPr>
              <w:t xml:space="preserve">Papers </w:t>
            </w:r>
            <w:r w:rsidR="00770A44">
              <w:rPr>
                <w:rFonts w:cs="Arial"/>
                <w:b/>
                <w:color w:val="auto"/>
                <w:szCs w:val="18"/>
              </w:rPr>
              <w:t>retained from primary search: 7 – 6 = 1</w:t>
            </w:r>
          </w:p>
        </w:tc>
      </w:tr>
    </w:tbl>
    <w:p w14:paraId="0F0A838E" w14:textId="77777777" w:rsidR="00286A88" w:rsidRPr="00590F0B" w:rsidRDefault="00286A88" w:rsidP="00590F0B">
      <w:pPr>
        <w:spacing w:before="240" w:after="240"/>
        <w:rPr>
          <w:b/>
          <w:i/>
          <w:lang w:val="en-GB"/>
        </w:rPr>
      </w:pPr>
      <w:r w:rsidRPr="00590F0B">
        <w:rPr>
          <w:b/>
          <w:i/>
          <w:lang w:val="en-GB"/>
        </w:rPr>
        <w:t>Emu Secondary Searches</w:t>
      </w:r>
    </w:p>
    <w:tbl>
      <w:tblPr>
        <w:tblStyle w:val="TableGrid11"/>
        <w:tblW w:w="9956" w:type="dxa"/>
        <w:tblLook w:val="04A0" w:firstRow="1" w:lastRow="0" w:firstColumn="1" w:lastColumn="0" w:noHBand="0" w:noVBand="1"/>
        <w:tblCaption w:val="Results of secondary literature searches for emus"/>
        <w:tblDescription w:val="This table shows the results of secondary literature searches for emus. The left hand column shows the search terms used in the secondary searches. The second column shows the number of papers returned from each of these searches. The third column shows the additional papers included from these searches. The right hand column makes broad comments on the secondary searches."/>
      </w:tblPr>
      <w:tblGrid>
        <w:gridCol w:w="4025"/>
        <w:gridCol w:w="1020"/>
        <w:gridCol w:w="1020"/>
        <w:gridCol w:w="3891"/>
      </w:tblGrid>
      <w:tr w:rsidR="00B41749" w:rsidRPr="00286A88" w14:paraId="1F9AAD7D" w14:textId="77777777" w:rsidTr="00587D34">
        <w:trPr>
          <w:tblHeader/>
        </w:trPr>
        <w:tc>
          <w:tcPr>
            <w:tcW w:w="4025" w:type="dxa"/>
            <w:shd w:val="clear" w:color="auto" w:fill="auto"/>
          </w:tcPr>
          <w:p w14:paraId="2165A518" w14:textId="77777777" w:rsidR="00286A88" w:rsidRPr="008970FA" w:rsidRDefault="00286A88" w:rsidP="008970FA">
            <w:pPr>
              <w:spacing w:before="60" w:line="240" w:lineRule="auto"/>
              <w:rPr>
                <w:rFonts w:cs="Arial"/>
                <w:b/>
                <w:color w:val="auto"/>
                <w:szCs w:val="18"/>
              </w:rPr>
            </w:pPr>
            <w:r w:rsidRPr="008970FA">
              <w:rPr>
                <w:rFonts w:cs="Arial"/>
                <w:b/>
                <w:color w:val="auto"/>
                <w:szCs w:val="18"/>
              </w:rPr>
              <w:t>Search terms for synonyms of species or welfare</w:t>
            </w:r>
          </w:p>
        </w:tc>
        <w:tc>
          <w:tcPr>
            <w:tcW w:w="1020" w:type="dxa"/>
            <w:shd w:val="clear" w:color="auto" w:fill="auto"/>
          </w:tcPr>
          <w:p w14:paraId="537B60A2" w14:textId="77777777" w:rsidR="00286A88" w:rsidRPr="008970FA" w:rsidRDefault="00286A88" w:rsidP="008970FA">
            <w:pPr>
              <w:spacing w:before="60" w:line="240" w:lineRule="auto"/>
              <w:rPr>
                <w:rFonts w:cs="Arial"/>
                <w:color w:val="auto"/>
                <w:szCs w:val="18"/>
              </w:rPr>
            </w:pPr>
            <w:r w:rsidRPr="008970FA">
              <w:rPr>
                <w:rFonts w:cs="Arial"/>
                <w:color w:val="auto"/>
                <w:szCs w:val="18"/>
              </w:rPr>
              <w:t>Hits</w:t>
            </w:r>
          </w:p>
        </w:tc>
        <w:tc>
          <w:tcPr>
            <w:tcW w:w="1020" w:type="dxa"/>
            <w:shd w:val="clear" w:color="auto" w:fill="auto"/>
          </w:tcPr>
          <w:p w14:paraId="3F371BAA" w14:textId="77777777" w:rsidR="00286A88" w:rsidRPr="008970FA" w:rsidRDefault="00286A88" w:rsidP="008970FA">
            <w:pPr>
              <w:spacing w:before="60" w:line="240" w:lineRule="auto"/>
              <w:rPr>
                <w:rFonts w:cs="Arial"/>
                <w:color w:val="auto"/>
                <w:szCs w:val="18"/>
              </w:rPr>
            </w:pPr>
            <w:r w:rsidRPr="008970FA">
              <w:rPr>
                <w:rFonts w:cs="Arial"/>
                <w:color w:val="auto"/>
                <w:szCs w:val="18"/>
              </w:rPr>
              <w:t>Additional Papers Included</w:t>
            </w:r>
          </w:p>
        </w:tc>
        <w:tc>
          <w:tcPr>
            <w:tcW w:w="3891" w:type="dxa"/>
            <w:shd w:val="clear" w:color="auto" w:fill="auto"/>
          </w:tcPr>
          <w:p w14:paraId="402D296A" w14:textId="77777777" w:rsidR="00286A88" w:rsidRPr="008970FA" w:rsidRDefault="00B41749" w:rsidP="008970FA">
            <w:pPr>
              <w:spacing w:before="60" w:line="240" w:lineRule="auto"/>
              <w:rPr>
                <w:rFonts w:cs="Arial"/>
                <w:color w:val="auto"/>
                <w:szCs w:val="18"/>
              </w:rPr>
            </w:pPr>
            <w:r>
              <w:rPr>
                <w:rFonts w:cs="Arial"/>
                <w:color w:val="auto"/>
                <w:szCs w:val="18"/>
              </w:rPr>
              <w:t>C</w:t>
            </w:r>
            <w:r w:rsidR="00286A88" w:rsidRPr="008970FA">
              <w:rPr>
                <w:rFonts w:cs="Arial"/>
                <w:color w:val="auto"/>
                <w:szCs w:val="18"/>
              </w:rPr>
              <w:t>omments</w:t>
            </w:r>
          </w:p>
        </w:tc>
      </w:tr>
      <w:tr w:rsidR="00B41749" w:rsidRPr="00286A88" w14:paraId="4235073E" w14:textId="77777777" w:rsidTr="007975A6">
        <w:tc>
          <w:tcPr>
            <w:tcW w:w="4025" w:type="dxa"/>
          </w:tcPr>
          <w:p w14:paraId="0BFE500E" w14:textId="77777777" w:rsidR="00286A88" w:rsidRPr="008970FA" w:rsidRDefault="00286A88" w:rsidP="00EA5ED8">
            <w:pPr>
              <w:spacing w:before="60" w:line="240" w:lineRule="auto"/>
              <w:rPr>
                <w:rFonts w:cs="Arial"/>
                <w:color w:val="auto"/>
                <w:szCs w:val="18"/>
              </w:rPr>
            </w:pPr>
            <w:r w:rsidRPr="008970FA">
              <w:rPr>
                <w:rFonts w:cs="Arial"/>
                <w:color w:val="222222"/>
                <w:szCs w:val="18"/>
                <w:shd w:val="clear" w:color="auto" w:fill="FFFFFF"/>
              </w:rPr>
              <w:t>Dromaius</w:t>
            </w:r>
            <w:r w:rsidRPr="008970FA">
              <w:rPr>
                <w:rFonts w:cs="Arial"/>
                <w:color w:val="auto"/>
                <w:szCs w:val="18"/>
              </w:rPr>
              <w:t xml:space="preserve"> </w:t>
            </w:r>
            <w:r w:rsidR="00EA5ED8">
              <w:rPr>
                <w:rFonts w:cs="Arial"/>
                <w:color w:val="auto"/>
                <w:szCs w:val="18"/>
              </w:rPr>
              <w:t>AND</w:t>
            </w:r>
            <w:r w:rsidRPr="008970FA">
              <w:rPr>
                <w:rFonts w:cs="Arial"/>
                <w:color w:val="auto"/>
                <w:szCs w:val="18"/>
              </w:rPr>
              <w:t xml:space="preserve"> welfare</w:t>
            </w:r>
          </w:p>
        </w:tc>
        <w:tc>
          <w:tcPr>
            <w:tcW w:w="1020" w:type="dxa"/>
          </w:tcPr>
          <w:p w14:paraId="3651F30B" w14:textId="77777777" w:rsidR="00286A88" w:rsidRPr="008970FA" w:rsidRDefault="00286A88" w:rsidP="008970FA">
            <w:pPr>
              <w:spacing w:before="60" w:line="240" w:lineRule="auto"/>
              <w:rPr>
                <w:rFonts w:cs="Arial"/>
                <w:color w:val="auto"/>
                <w:szCs w:val="18"/>
              </w:rPr>
            </w:pPr>
            <w:r w:rsidRPr="008970FA">
              <w:rPr>
                <w:rFonts w:cs="Arial"/>
                <w:color w:val="auto"/>
                <w:szCs w:val="18"/>
              </w:rPr>
              <w:t>3</w:t>
            </w:r>
          </w:p>
        </w:tc>
        <w:tc>
          <w:tcPr>
            <w:tcW w:w="1020" w:type="dxa"/>
          </w:tcPr>
          <w:p w14:paraId="00E5AB31" w14:textId="77777777" w:rsidR="00286A88" w:rsidRPr="008970FA" w:rsidRDefault="00286A88" w:rsidP="008970FA">
            <w:pPr>
              <w:spacing w:before="60" w:line="240" w:lineRule="auto"/>
              <w:rPr>
                <w:rFonts w:cs="Arial"/>
                <w:color w:val="auto"/>
                <w:szCs w:val="18"/>
              </w:rPr>
            </w:pPr>
            <w:r w:rsidRPr="008970FA">
              <w:rPr>
                <w:rFonts w:cs="Arial"/>
                <w:color w:val="auto"/>
                <w:szCs w:val="18"/>
              </w:rPr>
              <w:t>0</w:t>
            </w:r>
          </w:p>
        </w:tc>
        <w:tc>
          <w:tcPr>
            <w:tcW w:w="3891" w:type="dxa"/>
          </w:tcPr>
          <w:p w14:paraId="05E52124" w14:textId="77777777" w:rsidR="00286A88" w:rsidRPr="008970FA" w:rsidRDefault="00286A88" w:rsidP="008970FA">
            <w:pPr>
              <w:spacing w:before="60" w:line="240" w:lineRule="auto"/>
              <w:rPr>
                <w:rFonts w:cs="Arial"/>
                <w:color w:val="auto"/>
                <w:szCs w:val="18"/>
              </w:rPr>
            </w:pPr>
            <w:r w:rsidRPr="008970FA">
              <w:rPr>
                <w:rFonts w:cs="Arial"/>
                <w:color w:val="auto"/>
                <w:szCs w:val="18"/>
              </w:rPr>
              <w:t>No additional papers detected</w:t>
            </w:r>
          </w:p>
        </w:tc>
      </w:tr>
      <w:tr w:rsidR="00B41749" w:rsidRPr="00286A88" w14:paraId="269C3515" w14:textId="77777777" w:rsidTr="007975A6">
        <w:tc>
          <w:tcPr>
            <w:tcW w:w="4025" w:type="dxa"/>
          </w:tcPr>
          <w:p w14:paraId="0763BE76" w14:textId="77777777" w:rsidR="00286A88" w:rsidRPr="008970FA" w:rsidRDefault="00EA5ED8" w:rsidP="00EA5ED8">
            <w:pPr>
              <w:spacing w:before="60" w:line="240" w:lineRule="auto"/>
              <w:rPr>
                <w:rFonts w:cs="Arial"/>
                <w:color w:val="222222"/>
                <w:szCs w:val="18"/>
                <w:shd w:val="clear" w:color="auto" w:fill="FFFFFF"/>
              </w:rPr>
            </w:pPr>
            <w:r>
              <w:rPr>
                <w:rFonts w:cs="Arial"/>
                <w:color w:val="222222"/>
                <w:szCs w:val="18"/>
                <w:shd w:val="clear" w:color="auto" w:fill="FFFFFF"/>
              </w:rPr>
              <w:t>e</w:t>
            </w:r>
            <w:r w:rsidR="00286A88" w:rsidRPr="008970FA">
              <w:rPr>
                <w:rFonts w:cs="Arial"/>
                <w:color w:val="222222"/>
                <w:szCs w:val="18"/>
                <w:shd w:val="clear" w:color="auto" w:fill="FFFFFF"/>
              </w:rPr>
              <w:t xml:space="preserve">mu </w:t>
            </w:r>
            <w:r>
              <w:rPr>
                <w:rFonts w:cs="Arial"/>
                <w:color w:val="222222"/>
                <w:szCs w:val="18"/>
                <w:shd w:val="clear" w:color="auto" w:fill="FFFFFF"/>
              </w:rPr>
              <w:t>AND</w:t>
            </w:r>
            <w:r w:rsidR="00286A88" w:rsidRPr="008970FA">
              <w:rPr>
                <w:rFonts w:cs="Arial"/>
                <w:color w:val="222222"/>
                <w:szCs w:val="18"/>
                <w:shd w:val="clear" w:color="auto" w:fill="FFFFFF"/>
              </w:rPr>
              <w:t xml:space="preserve"> well-being</w:t>
            </w:r>
          </w:p>
        </w:tc>
        <w:tc>
          <w:tcPr>
            <w:tcW w:w="1020" w:type="dxa"/>
          </w:tcPr>
          <w:p w14:paraId="188E5C6F" w14:textId="77777777" w:rsidR="00286A88" w:rsidRPr="008970FA" w:rsidRDefault="00286A88" w:rsidP="008970FA">
            <w:pPr>
              <w:spacing w:before="60" w:line="240" w:lineRule="auto"/>
              <w:rPr>
                <w:rFonts w:cs="Arial"/>
                <w:color w:val="auto"/>
                <w:szCs w:val="18"/>
              </w:rPr>
            </w:pPr>
            <w:r w:rsidRPr="008970FA">
              <w:rPr>
                <w:rFonts w:cs="Arial"/>
                <w:color w:val="auto"/>
                <w:szCs w:val="18"/>
              </w:rPr>
              <w:t>1</w:t>
            </w:r>
          </w:p>
        </w:tc>
        <w:tc>
          <w:tcPr>
            <w:tcW w:w="1020" w:type="dxa"/>
          </w:tcPr>
          <w:p w14:paraId="287CBE35" w14:textId="77777777" w:rsidR="00286A88" w:rsidRPr="008970FA" w:rsidRDefault="00286A88" w:rsidP="008970FA">
            <w:pPr>
              <w:spacing w:before="60" w:line="240" w:lineRule="auto"/>
              <w:rPr>
                <w:rFonts w:cs="Arial"/>
                <w:color w:val="auto"/>
                <w:szCs w:val="18"/>
              </w:rPr>
            </w:pPr>
            <w:r w:rsidRPr="008970FA">
              <w:rPr>
                <w:rFonts w:cs="Arial"/>
                <w:color w:val="auto"/>
                <w:szCs w:val="18"/>
              </w:rPr>
              <w:t>0</w:t>
            </w:r>
          </w:p>
        </w:tc>
        <w:tc>
          <w:tcPr>
            <w:tcW w:w="3891" w:type="dxa"/>
          </w:tcPr>
          <w:p w14:paraId="5499AD5A" w14:textId="77777777" w:rsidR="00286A88" w:rsidRPr="008970FA" w:rsidRDefault="00286A88" w:rsidP="008970FA">
            <w:pPr>
              <w:spacing w:before="60" w:line="240" w:lineRule="auto"/>
              <w:rPr>
                <w:rFonts w:cs="Arial"/>
                <w:color w:val="auto"/>
                <w:szCs w:val="18"/>
              </w:rPr>
            </w:pPr>
            <w:r w:rsidRPr="008970FA">
              <w:rPr>
                <w:rFonts w:cs="Arial"/>
                <w:color w:val="auto"/>
                <w:szCs w:val="18"/>
              </w:rPr>
              <w:t>Paper on (evaluating midwifery units)</w:t>
            </w:r>
          </w:p>
        </w:tc>
      </w:tr>
      <w:tr w:rsidR="00B41749" w:rsidRPr="00286A88" w14:paraId="548FA9A7" w14:textId="77777777" w:rsidTr="00587D34">
        <w:tc>
          <w:tcPr>
            <w:tcW w:w="4025" w:type="dxa"/>
            <w:shd w:val="clear" w:color="auto" w:fill="auto"/>
          </w:tcPr>
          <w:p w14:paraId="51AD22DF" w14:textId="77777777" w:rsidR="00286A88" w:rsidRPr="008970FA" w:rsidRDefault="00286A88" w:rsidP="008970FA">
            <w:pPr>
              <w:spacing w:before="60" w:line="240" w:lineRule="auto"/>
              <w:rPr>
                <w:rFonts w:cs="Arial"/>
                <w:color w:val="auto"/>
                <w:szCs w:val="18"/>
              </w:rPr>
            </w:pPr>
            <w:r w:rsidRPr="008970FA">
              <w:rPr>
                <w:rFonts w:cs="Arial"/>
                <w:b/>
                <w:color w:val="auto"/>
                <w:szCs w:val="18"/>
              </w:rPr>
              <w:t>Search for sub-sets of terms relevant to welfare</w:t>
            </w:r>
          </w:p>
        </w:tc>
        <w:tc>
          <w:tcPr>
            <w:tcW w:w="1020" w:type="dxa"/>
            <w:shd w:val="clear" w:color="auto" w:fill="auto"/>
          </w:tcPr>
          <w:p w14:paraId="7A1FA059" w14:textId="77777777" w:rsidR="00286A88" w:rsidRPr="008970FA" w:rsidRDefault="00286A88" w:rsidP="008970FA">
            <w:pPr>
              <w:spacing w:before="60" w:line="240" w:lineRule="auto"/>
              <w:rPr>
                <w:rFonts w:cs="Arial"/>
                <w:color w:val="auto"/>
                <w:szCs w:val="18"/>
              </w:rPr>
            </w:pPr>
          </w:p>
        </w:tc>
        <w:tc>
          <w:tcPr>
            <w:tcW w:w="1020" w:type="dxa"/>
            <w:shd w:val="clear" w:color="auto" w:fill="auto"/>
          </w:tcPr>
          <w:p w14:paraId="2A576048" w14:textId="77777777" w:rsidR="00286A88" w:rsidRPr="008970FA" w:rsidRDefault="00286A88" w:rsidP="008970FA">
            <w:pPr>
              <w:spacing w:before="60" w:line="240" w:lineRule="auto"/>
              <w:rPr>
                <w:rFonts w:cs="Arial"/>
                <w:color w:val="auto"/>
                <w:szCs w:val="18"/>
              </w:rPr>
            </w:pPr>
          </w:p>
        </w:tc>
        <w:tc>
          <w:tcPr>
            <w:tcW w:w="3891" w:type="dxa"/>
            <w:shd w:val="clear" w:color="auto" w:fill="auto"/>
          </w:tcPr>
          <w:p w14:paraId="75157E00" w14:textId="77777777" w:rsidR="00286A88" w:rsidRPr="008970FA" w:rsidRDefault="00286A88" w:rsidP="008970FA">
            <w:pPr>
              <w:spacing w:before="60" w:line="240" w:lineRule="auto"/>
              <w:rPr>
                <w:rFonts w:cs="Arial"/>
                <w:color w:val="auto"/>
                <w:szCs w:val="18"/>
              </w:rPr>
            </w:pPr>
          </w:p>
        </w:tc>
      </w:tr>
      <w:tr w:rsidR="00B41749" w:rsidRPr="00286A88" w14:paraId="746CBE87" w14:textId="77777777" w:rsidTr="007975A6">
        <w:tc>
          <w:tcPr>
            <w:tcW w:w="4025" w:type="dxa"/>
          </w:tcPr>
          <w:p w14:paraId="266C5BFD" w14:textId="77777777" w:rsidR="00286A88" w:rsidRPr="008970FA" w:rsidRDefault="00EA5ED8" w:rsidP="00EA5ED8">
            <w:pPr>
              <w:spacing w:before="60" w:line="240" w:lineRule="auto"/>
              <w:rPr>
                <w:rFonts w:cs="Arial"/>
                <w:color w:val="auto"/>
                <w:szCs w:val="18"/>
              </w:rPr>
            </w:pPr>
            <w:r>
              <w:rPr>
                <w:rFonts w:cs="Arial"/>
                <w:color w:val="auto"/>
                <w:szCs w:val="18"/>
              </w:rPr>
              <w:t>e</w:t>
            </w:r>
            <w:r w:rsidR="00286A88" w:rsidRPr="008970FA">
              <w:rPr>
                <w:rFonts w:cs="Arial"/>
                <w:color w:val="auto"/>
                <w:szCs w:val="18"/>
              </w:rPr>
              <w:t xml:space="preserve">mu </w:t>
            </w:r>
            <w:r>
              <w:rPr>
                <w:rFonts w:cs="Arial"/>
                <w:color w:val="auto"/>
                <w:szCs w:val="18"/>
              </w:rPr>
              <w:t>AND</w:t>
            </w:r>
            <w:r w:rsidR="00286A88" w:rsidRPr="008970FA">
              <w:rPr>
                <w:rFonts w:cs="Arial"/>
                <w:color w:val="auto"/>
                <w:szCs w:val="18"/>
              </w:rPr>
              <w:t xml:space="preserve"> health*</w:t>
            </w:r>
          </w:p>
        </w:tc>
        <w:tc>
          <w:tcPr>
            <w:tcW w:w="1020" w:type="dxa"/>
          </w:tcPr>
          <w:p w14:paraId="2611B71A" w14:textId="77777777" w:rsidR="00286A88" w:rsidRPr="008970FA" w:rsidRDefault="00286A88" w:rsidP="008970FA">
            <w:pPr>
              <w:spacing w:before="60" w:line="240" w:lineRule="auto"/>
              <w:rPr>
                <w:rFonts w:cs="Arial"/>
                <w:color w:val="auto"/>
                <w:szCs w:val="18"/>
              </w:rPr>
            </w:pPr>
            <w:r w:rsidRPr="008970FA">
              <w:rPr>
                <w:rFonts w:cs="Arial"/>
                <w:color w:val="auto"/>
                <w:szCs w:val="18"/>
              </w:rPr>
              <w:t>35</w:t>
            </w:r>
          </w:p>
        </w:tc>
        <w:tc>
          <w:tcPr>
            <w:tcW w:w="1020" w:type="dxa"/>
          </w:tcPr>
          <w:p w14:paraId="10AA3125" w14:textId="77777777" w:rsidR="00286A88" w:rsidRPr="008970FA" w:rsidRDefault="00286A88" w:rsidP="008970FA">
            <w:pPr>
              <w:spacing w:before="60" w:line="240" w:lineRule="auto"/>
              <w:rPr>
                <w:rFonts w:cs="Arial"/>
                <w:color w:val="auto"/>
                <w:szCs w:val="18"/>
              </w:rPr>
            </w:pPr>
            <w:r w:rsidRPr="008970FA">
              <w:rPr>
                <w:rFonts w:cs="Arial"/>
                <w:color w:val="auto"/>
                <w:szCs w:val="18"/>
              </w:rPr>
              <w:t>0</w:t>
            </w:r>
          </w:p>
        </w:tc>
        <w:tc>
          <w:tcPr>
            <w:tcW w:w="3891" w:type="dxa"/>
          </w:tcPr>
          <w:p w14:paraId="6C2C23F7" w14:textId="77777777" w:rsidR="00286A88" w:rsidRPr="008970FA" w:rsidRDefault="00286A88" w:rsidP="008970FA">
            <w:pPr>
              <w:spacing w:before="60" w:line="240" w:lineRule="auto"/>
              <w:rPr>
                <w:rFonts w:cs="Arial"/>
                <w:color w:val="auto"/>
                <w:szCs w:val="18"/>
              </w:rPr>
            </w:pPr>
            <w:r w:rsidRPr="008970FA">
              <w:rPr>
                <w:rFonts w:cs="Arial"/>
                <w:color w:val="auto"/>
                <w:szCs w:val="18"/>
              </w:rPr>
              <w:t>Papers on health properties of ostrich meat not included. Papers on basic biochemistry, physiology and immune function not included</w:t>
            </w:r>
          </w:p>
        </w:tc>
      </w:tr>
      <w:tr w:rsidR="00B41749" w:rsidRPr="00286A88" w14:paraId="59D83B59" w14:textId="77777777" w:rsidTr="007975A6">
        <w:tc>
          <w:tcPr>
            <w:tcW w:w="4025" w:type="dxa"/>
          </w:tcPr>
          <w:p w14:paraId="0AD62E5E" w14:textId="77777777" w:rsidR="00286A88" w:rsidRPr="008970FA" w:rsidRDefault="00EA5ED8" w:rsidP="00EA5ED8">
            <w:pPr>
              <w:spacing w:before="60" w:line="240" w:lineRule="auto"/>
              <w:rPr>
                <w:rFonts w:cs="Arial"/>
                <w:color w:val="auto"/>
                <w:szCs w:val="18"/>
              </w:rPr>
            </w:pPr>
            <w:r>
              <w:rPr>
                <w:rFonts w:cs="Arial"/>
                <w:color w:val="auto"/>
                <w:szCs w:val="18"/>
              </w:rPr>
              <w:t>e</w:t>
            </w:r>
            <w:r w:rsidR="00286A88" w:rsidRPr="008970FA">
              <w:rPr>
                <w:rFonts w:cs="Arial"/>
                <w:color w:val="auto"/>
                <w:szCs w:val="18"/>
              </w:rPr>
              <w:t xml:space="preserve">mu </w:t>
            </w:r>
            <w:r>
              <w:rPr>
                <w:rFonts w:cs="Arial"/>
                <w:color w:val="auto"/>
                <w:szCs w:val="18"/>
              </w:rPr>
              <w:t>AND</w:t>
            </w:r>
            <w:r w:rsidR="00286A88" w:rsidRPr="008970FA">
              <w:rPr>
                <w:rFonts w:cs="Arial"/>
                <w:color w:val="auto"/>
                <w:szCs w:val="18"/>
              </w:rPr>
              <w:t xml:space="preserve"> (stress* </w:t>
            </w:r>
            <w:r>
              <w:rPr>
                <w:rFonts w:cs="Arial"/>
                <w:color w:val="auto"/>
                <w:szCs w:val="18"/>
              </w:rPr>
              <w:t>OR</w:t>
            </w:r>
            <w:r w:rsidR="00286A88" w:rsidRPr="008970FA">
              <w:rPr>
                <w:rFonts w:cs="Arial"/>
                <w:color w:val="auto"/>
                <w:szCs w:val="18"/>
              </w:rPr>
              <w:t xml:space="preserve"> fear*)</w:t>
            </w:r>
          </w:p>
        </w:tc>
        <w:tc>
          <w:tcPr>
            <w:tcW w:w="1020" w:type="dxa"/>
          </w:tcPr>
          <w:p w14:paraId="55BD8039" w14:textId="77777777" w:rsidR="00286A88" w:rsidRPr="008970FA" w:rsidRDefault="00286A88" w:rsidP="008970FA">
            <w:pPr>
              <w:spacing w:before="60" w:line="240" w:lineRule="auto"/>
              <w:rPr>
                <w:rFonts w:cs="Arial"/>
                <w:color w:val="auto"/>
                <w:szCs w:val="18"/>
              </w:rPr>
            </w:pPr>
            <w:r w:rsidRPr="008970FA">
              <w:rPr>
                <w:rFonts w:cs="Arial"/>
                <w:color w:val="auto"/>
                <w:szCs w:val="18"/>
              </w:rPr>
              <w:t>81</w:t>
            </w:r>
          </w:p>
        </w:tc>
        <w:tc>
          <w:tcPr>
            <w:tcW w:w="1020" w:type="dxa"/>
          </w:tcPr>
          <w:p w14:paraId="61ECEDC3" w14:textId="77777777" w:rsidR="00286A88" w:rsidRPr="008970FA" w:rsidRDefault="00286A88" w:rsidP="008970FA">
            <w:pPr>
              <w:spacing w:before="60" w:line="240" w:lineRule="auto"/>
              <w:rPr>
                <w:rFonts w:cs="Arial"/>
                <w:color w:val="auto"/>
                <w:szCs w:val="18"/>
              </w:rPr>
            </w:pPr>
            <w:r w:rsidRPr="008970FA">
              <w:rPr>
                <w:rFonts w:cs="Arial"/>
                <w:color w:val="auto"/>
                <w:szCs w:val="18"/>
              </w:rPr>
              <w:t>0</w:t>
            </w:r>
          </w:p>
        </w:tc>
        <w:tc>
          <w:tcPr>
            <w:tcW w:w="3891" w:type="dxa"/>
          </w:tcPr>
          <w:p w14:paraId="596A309F" w14:textId="77777777" w:rsidR="00286A88" w:rsidRPr="008970FA" w:rsidRDefault="00286A88" w:rsidP="008970FA">
            <w:pPr>
              <w:spacing w:before="60" w:line="240" w:lineRule="auto"/>
              <w:rPr>
                <w:rFonts w:cs="Arial"/>
                <w:color w:val="auto"/>
                <w:szCs w:val="18"/>
              </w:rPr>
            </w:pPr>
            <w:r w:rsidRPr="008970FA">
              <w:rPr>
                <w:rFonts w:cs="Arial"/>
                <w:color w:val="auto"/>
                <w:szCs w:val="18"/>
              </w:rPr>
              <w:t xml:space="preserve">Mostly physics (electric multiple units) </w:t>
            </w:r>
          </w:p>
        </w:tc>
      </w:tr>
      <w:tr w:rsidR="00B41749" w:rsidRPr="00286A88" w14:paraId="3F6E366F" w14:textId="77777777" w:rsidTr="007975A6">
        <w:tc>
          <w:tcPr>
            <w:tcW w:w="4025" w:type="dxa"/>
          </w:tcPr>
          <w:p w14:paraId="57699B46" w14:textId="77777777" w:rsidR="00286A88" w:rsidRPr="008970FA" w:rsidRDefault="00EA5ED8" w:rsidP="00EA5ED8">
            <w:pPr>
              <w:spacing w:before="60" w:line="240" w:lineRule="auto"/>
              <w:rPr>
                <w:rFonts w:cs="Arial"/>
                <w:color w:val="auto"/>
                <w:szCs w:val="18"/>
              </w:rPr>
            </w:pPr>
            <w:r>
              <w:rPr>
                <w:rFonts w:cs="Arial"/>
                <w:color w:val="auto"/>
                <w:szCs w:val="18"/>
              </w:rPr>
              <w:t>e</w:t>
            </w:r>
            <w:r w:rsidR="00286A88" w:rsidRPr="008970FA">
              <w:rPr>
                <w:rFonts w:cs="Arial"/>
                <w:color w:val="auto"/>
                <w:szCs w:val="18"/>
              </w:rPr>
              <w:t xml:space="preserve">mu </w:t>
            </w:r>
            <w:r>
              <w:rPr>
                <w:rFonts w:cs="Arial"/>
                <w:color w:val="auto"/>
                <w:szCs w:val="18"/>
              </w:rPr>
              <w:t>AND injur* OR emu AND</w:t>
            </w:r>
            <w:r w:rsidR="00286A88" w:rsidRPr="008970FA">
              <w:rPr>
                <w:rFonts w:cs="Arial"/>
                <w:color w:val="auto"/>
                <w:szCs w:val="18"/>
              </w:rPr>
              <w:t xml:space="preserve"> cull OR emu </w:t>
            </w:r>
            <w:r>
              <w:rPr>
                <w:rFonts w:cs="Arial"/>
                <w:color w:val="auto"/>
                <w:szCs w:val="18"/>
              </w:rPr>
              <w:t>AND</w:t>
            </w:r>
            <w:r w:rsidR="00286A88" w:rsidRPr="008970FA">
              <w:rPr>
                <w:rFonts w:cs="Arial"/>
                <w:color w:val="auto"/>
                <w:szCs w:val="18"/>
              </w:rPr>
              <w:t xml:space="preserve"> mortali*</w:t>
            </w:r>
          </w:p>
        </w:tc>
        <w:tc>
          <w:tcPr>
            <w:tcW w:w="1020" w:type="dxa"/>
          </w:tcPr>
          <w:p w14:paraId="0976B363" w14:textId="77777777" w:rsidR="00286A88" w:rsidRPr="008970FA" w:rsidRDefault="00286A88" w:rsidP="008970FA">
            <w:pPr>
              <w:spacing w:before="60" w:line="240" w:lineRule="auto"/>
              <w:rPr>
                <w:rFonts w:cs="Arial"/>
                <w:color w:val="auto"/>
                <w:szCs w:val="18"/>
              </w:rPr>
            </w:pPr>
            <w:r w:rsidRPr="008970FA">
              <w:rPr>
                <w:rFonts w:cs="Arial"/>
                <w:color w:val="auto"/>
                <w:szCs w:val="18"/>
              </w:rPr>
              <w:t>16</w:t>
            </w:r>
          </w:p>
        </w:tc>
        <w:tc>
          <w:tcPr>
            <w:tcW w:w="1020" w:type="dxa"/>
          </w:tcPr>
          <w:p w14:paraId="29CC801C" w14:textId="77777777" w:rsidR="00286A88" w:rsidRPr="008970FA" w:rsidRDefault="00286A88" w:rsidP="008970FA">
            <w:pPr>
              <w:spacing w:before="60" w:line="240" w:lineRule="auto"/>
              <w:rPr>
                <w:rFonts w:cs="Arial"/>
                <w:color w:val="auto"/>
                <w:szCs w:val="18"/>
              </w:rPr>
            </w:pPr>
            <w:r w:rsidRPr="008970FA">
              <w:rPr>
                <w:rFonts w:cs="Arial"/>
                <w:color w:val="auto"/>
                <w:szCs w:val="18"/>
              </w:rPr>
              <w:t>1</w:t>
            </w:r>
          </w:p>
        </w:tc>
        <w:tc>
          <w:tcPr>
            <w:tcW w:w="3891" w:type="dxa"/>
          </w:tcPr>
          <w:p w14:paraId="255B6CEB" w14:textId="77777777" w:rsidR="00286A88" w:rsidRPr="008970FA" w:rsidRDefault="00286A88" w:rsidP="008970FA">
            <w:pPr>
              <w:spacing w:before="60" w:line="240" w:lineRule="auto"/>
              <w:rPr>
                <w:rFonts w:cs="Arial"/>
                <w:color w:val="auto"/>
                <w:szCs w:val="18"/>
              </w:rPr>
            </w:pPr>
          </w:p>
        </w:tc>
      </w:tr>
      <w:tr w:rsidR="00B41749" w:rsidRPr="00286A88" w14:paraId="51E41CBC" w14:textId="77777777" w:rsidTr="007975A6">
        <w:tc>
          <w:tcPr>
            <w:tcW w:w="4025" w:type="dxa"/>
          </w:tcPr>
          <w:p w14:paraId="022B099C" w14:textId="77777777" w:rsidR="00286A88" w:rsidRPr="008970FA" w:rsidRDefault="00EA5ED8" w:rsidP="00EA5ED8">
            <w:pPr>
              <w:spacing w:before="60" w:line="240" w:lineRule="auto"/>
              <w:rPr>
                <w:rFonts w:cs="Arial"/>
                <w:color w:val="auto"/>
                <w:szCs w:val="18"/>
              </w:rPr>
            </w:pPr>
            <w:r>
              <w:rPr>
                <w:rFonts w:cs="Arial"/>
                <w:color w:val="auto"/>
                <w:szCs w:val="18"/>
              </w:rPr>
              <w:t>e</w:t>
            </w:r>
            <w:r w:rsidR="00286A88" w:rsidRPr="008970FA">
              <w:rPr>
                <w:rFonts w:cs="Arial"/>
                <w:color w:val="auto"/>
                <w:szCs w:val="18"/>
              </w:rPr>
              <w:t xml:space="preserve">mu </w:t>
            </w:r>
            <w:r>
              <w:rPr>
                <w:rFonts w:cs="Arial"/>
                <w:color w:val="auto"/>
                <w:szCs w:val="18"/>
              </w:rPr>
              <w:t>AND</w:t>
            </w:r>
            <w:r w:rsidR="00286A88" w:rsidRPr="008970FA">
              <w:rPr>
                <w:rFonts w:cs="Arial"/>
                <w:color w:val="auto"/>
                <w:szCs w:val="18"/>
              </w:rPr>
              <w:t xml:space="preserve"> (density or space)</w:t>
            </w:r>
          </w:p>
        </w:tc>
        <w:tc>
          <w:tcPr>
            <w:tcW w:w="1020" w:type="dxa"/>
          </w:tcPr>
          <w:p w14:paraId="481C4B83" w14:textId="77777777" w:rsidR="00286A88" w:rsidRPr="008970FA" w:rsidRDefault="00286A88" w:rsidP="008970FA">
            <w:pPr>
              <w:spacing w:before="60" w:line="240" w:lineRule="auto"/>
              <w:rPr>
                <w:rFonts w:cs="Arial"/>
                <w:color w:val="auto"/>
                <w:szCs w:val="18"/>
              </w:rPr>
            </w:pPr>
            <w:r w:rsidRPr="008970FA">
              <w:rPr>
                <w:rFonts w:cs="Arial"/>
                <w:color w:val="auto"/>
                <w:szCs w:val="18"/>
              </w:rPr>
              <w:t>638</w:t>
            </w:r>
          </w:p>
        </w:tc>
        <w:tc>
          <w:tcPr>
            <w:tcW w:w="1020" w:type="dxa"/>
          </w:tcPr>
          <w:p w14:paraId="0089B005" w14:textId="77777777" w:rsidR="00286A88" w:rsidRPr="008970FA" w:rsidRDefault="00286A88" w:rsidP="008970FA">
            <w:pPr>
              <w:spacing w:before="60" w:line="240" w:lineRule="auto"/>
              <w:rPr>
                <w:rFonts w:cs="Arial"/>
                <w:color w:val="auto"/>
                <w:szCs w:val="18"/>
              </w:rPr>
            </w:pPr>
            <w:r w:rsidRPr="008970FA">
              <w:rPr>
                <w:rFonts w:cs="Arial"/>
                <w:color w:val="auto"/>
                <w:szCs w:val="18"/>
              </w:rPr>
              <w:t>1</w:t>
            </w:r>
          </w:p>
        </w:tc>
        <w:tc>
          <w:tcPr>
            <w:tcW w:w="3891" w:type="dxa"/>
          </w:tcPr>
          <w:p w14:paraId="3D32689D" w14:textId="77777777" w:rsidR="00286A88" w:rsidRPr="008970FA" w:rsidRDefault="00286A88" w:rsidP="008970FA">
            <w:pPr>
              <w:spacing w:before="60" w:line="240" w:lineRule="auto"/>
              <w:rPr>
                <w:rFonts w:cs="Arial"/>
                <w:color w:val="auto"/>
                <w:szCs w:val="18"/>
              </w:rPr>
            </w:pPr>
            <w:r w:rsidRPr="008970FA">
              <w:rPr>
                <w:rFonts w:cs="Arial"/>
                <w:color w:val="auto"/>
                <w:szCs w:val="18"/>
              </w:rPr>
              <w:t xml:space="preserve">Mostly physics </w:t>
            </w:r>
          </w:p>
        </w:tc>
      </w:tr>
      <w:tr w:rsidR="00B41749" w:rsidRPr="00286A88" w14:paraId="0944ACFF" w14:textId="77777777" w:rsidTr="007975A6">
        <w:tc>
          <w:tcPr>
            <w:tcW w:w="4025" w:type="dxa"/>
          </w:tcPr>
          <w:p w14:paraId="372F4B76" w14:textId="77777777" w:rsidR="00286A88" w:rsidRPr="008970FA" w:rsidRDefault="00286A88" w:rsidP="00EA5ED8">
            <w:pPr>
              <w:spacing w:before="60" w:line="240" w:lineRule="auto"/>
              <w:rPr>
                <w:rFonts w:cs="Arial"/>
                <w:color w:val="auto"/>
                <w:szCs w:val="18"/>
              </w:rPr>
            </w:pPr>
            <w:r w:rsidRPr="008970FA">
              <w:rPr>
                <w:rFonts w:cs="Arial"/>
                <w:color w:val="auto"/>
                <w:szCs w:val="18"/>
              </w:rPr>
              <w:t xml:space="preserve">Emu </w:t>
            </w:r>
            <w:r w:rsidR="00EA5ED8">
              <w:rPr>
                <w:rFonts w:cs="Arial"/>
                <w:color w:val="auto"/>
                <w:szCs w:val="18"/>
              </w:rPr>
              <w:t>AND</w:t>
            </w:r>
            <w:r w:rsidRPr="008970FA">
              <w:rPr>
                <w:rFonts w:cs="Arial"/>
                <w:color w:val="auto"/>
                <w:szCs w:val="18"/>
              </w:rPr>
              <w:t xml:space="preserve"> litter OR emu </w:t>
            </w:r>
            <w:r w:rsidR="00EA5ED8">
              <w:rPr>
                <w:rFonts w:cs="Arial"/>
                <w:color w:val="auto"/>
                <w:szCs w:val="18"/>
              </w:rPr>
              <w:t>AND</w:t>
            </w:r>
            <w:r w:rsidRPr="008970FA">
              <w:rPr>
                <w:rFonts w:cs="Arial"/>
                <w:color w:val="auto"/>
                <w:szCs w:val="18"/>
              </w:rPr>
              <w:t xml:space="preserve"> perch* OR emu </w:t>
            </w:r>
            <w:r w:rsidR="00EA5ED8">
              <w:rPr>
                <w:rFonts w:cs="Arial"/>
                <w:color w:val="auto"/>
                <w:szCs w:val="18"/>
              </w:rPr>
              <w:t>AND</w:t>
            </w:r>
            <w:r w:rsidRPr="008970FA">
              <w:rPr>
                <w:rFonts w:cs="Arial"/>
                <w:color w:val="auto"/>
                <w:szCs w:val="18"/>
              </w:rPr>
              <w:t xml:space="preserve"> nest* OR emu </w:t>
            </w:r>
            <w:r w:rsidR="00EA5ED8">
              <w:rPr>
                <w:rFonts w:cs="Arial"/>
                <w:color w:val="auto"/>
                <w:szCs w:val="18"/>
              </w:rPr>
              <w:t>AND</w:t>
            </w:r>
            <w:r w:rsidRPr="008970FA">
              <w:rPr>
                <w:rFonts w:cs="Arial"/>
                <w:color w:val="auto"/>
                <w:szCs w:val="18"/>
              </w:rPr>
              <w:t xml:space="preserve"> enrich*</w:t>
            </w:r>
          </w:p>
        </w:tc>
        <w:tc>
          <w:tcPr>
            <w:tcW w:w="1020" w:type="dxa"/>
          </w:tcPr>
          <w:p w14:paraId="2C6ECEAD" w14:textId="77777777" w:rsidR="00286A88" w:rsidRPr="008970FA" w:rsidRDefault="00286A88" w:rsidP="008970FA">
            <w:pPr>
              <w:spacing w:before="60" w:line="240" w:lineRule="auto"/>
              <w:rPr>
                <w:rFonts w:cs="Arial"/>
                <w:color w:val="auto"/>
                <w:szCs w:val="18"/>
              </w:rPr>
            </w:pPr>
            <w:r w:rsidRPr="008970FA">
              <w:rPr>
                <w:rFonts w:cs="Arial"/>
                <w:color w:val="auto"/>
                <w:szCs w:val="18"/>
              </w:rPr>
              <w:t>98</w:t>
            </w:r>
          </w:p>
        </w:tc>
        <w:tc>
          <w:tcPr>
            <w:tcW w:w="1020" w:type="dxa"/>
          </w:tcPr>
          <w:p w14:paraId="31FB9066" w14:textId="77777777" w:rsidR="00286A88" w:rsidRPr="008970FA" w:rsidRDefault="00286A88" w:rsidP="008970FA">
            <w:pPr>
              <w:spacing w:before="60" w:line="240" w:lineRule="auto"/>
              <w:rPr>
                <w:rFonts w:cs="Arial"/>
                <w:color w:val="auto"/>
                <w:szCs w:val="18"/>
              </w:rPr>
            </w:pPr>
            <w:r w:rsidRPr="008970FA">
              <w:rPr>
                <w:rFonts w:cs="Arial"/>
                <w:color w:val="auto"/>
                <w:szCs w:val="18"/>
              </w:rPr>
              <w:t>0</w:t>
            </w:r>
          </w:p>
        </w:tc>
        <w:tc>
          <w:tcPr>
            <w:tcW w:w="3891" w:type="dxa"/>
          </w:tcPr>
          <w:p w14:paraId="1ADF72D2" w14:textId="77777777" w:rsidR="00286A88" w:rsidRPr="008970FA" w:rsidRDefault="00286A88" w:rsidP="008970FA">
            <w:pPr>
              <w:spacing w:before="60" w:line="240" w:lineRule="auto"/>
              <w:rPr>
                <w:rFonts w:cs="Arial"/>
                <w:color w:val="auto"/>
                <w:szCs w:val="18"/>
              </w:rPr>
            </w:pPr>
          </w:p>
        </w:tc>
      </w:tr>
      <w:tr w:rsidR="00B41749" w:rsidRPr="00286A88" w14:paraId="0AE39075" w14:textId="77777777" w:rsidTr="007975A6">
        <w:tc>
          <w:tcPr>
            <w:tcW w:w="4025" w:type="dxa"/>
          </w:tcPr>
          <w:p w14:paraId="2AAD69C9" w14:textId="77777777" w:rsidR="00286A88" w:rsidRPr="008970FA" w:rsidRDefault="00EA5ED8" w:rsidP="00EA5ED8">
            <w:pPr>
              <w:spacing w:before="60" w:line="240" w:lineRule="auto"/>
              <w:rPr>
                <w:rFonts w:cs="Arial"/>
                <w:color w:val="auto"/>
                <w:szCs w:val="18"/>
              </w:rPr>
            </w:pPr>
            <w:r>
              <w:rPr>
                <w:rFonts w:cs="Arial"/>
                <w:color w:val="auto"/>
                <w:szCs w:val="18"/>
              </w:rPr>
              <w:t>e</w:t>
            </w:r>
            <w:r w:rsidR="00286A88" w:rsidRPr="008970FA">
              <w:rPr>
                <w:rFonts w:cs="Arial"/>
                <w:color w:val="auto"/>
                <w:szCs w:val="18"/>
              </w:rPr>
              <w:t xml:space="preserve">mu </w:t>
            </w:r>
            <w:r>
              <w:rPr>
                <w:rFonts w:cs="Arial"/>
                <w:color w:val="auto"/>
                <w:szCs w:val="18"/>
              </w:rPr>
              <w:t>AND</w:t>
            </w:r>
            <w:r w:rsidR="00286A88" w:rsidRPr="008970FA">
              <w:rPr>
                <w:rFonts w:cs="Arial"/>
                <w:color w:val="auto"/>
                <w:szCs w:val="18"/>
              </w:rPr>
              <w:t xml:space="preserve"> dustbath* </w:t>
            </w:r>
            <w:r>
              <w:rPr>
                <w:rFonts w:cs="Arial"/>
                <w:color w:val="auto"/>
                <w:szCs w:val="18"/>
              </w:rPr>
              <w:t>OR</w:t>
            </w:r>
            <w:r w:rsidR="00286A88" w:rsidRPr="008970FA">
              <w:rPr>
                <w:rFonts w:cs="Arial"/>
                <w:color w:val="auto"/>
                <w:szCs w:val="18"/>
              </w:rPr>
              <w:t xml:space="preserve"> dust-bath*</w:t>
            </w:r>
          </w:p>
        </w:tc>
        <w:tc>
          <w:tcPr>
            <w:tcW w:w="1020" w:type="dxa"/>
          </w:tcPr>
          <w:p w14:paraId="59C011DE" w14:textId="77777777" w:rsidR="00286A88" w:rsidRPr="008970FA" w:rsidRDefault="00286A88" w:rsidP="008970FA">
            <w:pPr>
              <w:spacing w:before="60" w:line="240" w:lineRule="auto"/>
              <w:rPr>
                <w:rFonts w:cs="Arial"/>
                <w:color w:val="auto"/>
                <w:szCs w:val="18"/>
              </w:rPr>
            </w:pPr>
            <w:r w:rsidRPr="008970FA">
              <w:rPr>
                <w:rFonts w:cs="Arial"/>
                <w:color w:val="auto"/>
                <w:szCs w:val="18"/>
              </w:rPr>
              <w:t>0</w:t>
            </w:r>
          </w:p>
        </w:tc>
        <w:tc>
          <w:tcPr>
            <w:tcW w:w="1020" w:type="dxa"/>
          </w:tcPr>
          <w:p w14:paraId="387A6749" w14:textId="77777777" w:rsidR="00286A88" w:rsidRPr="008970FA" w:rsidRDefault="00286A88" w:rsidP="008970FA">
            <w:pPr>
              <w:spacing w:before="60" w:line="240" w:lineRule="auto"/>
              <w:rPr>
                <w:rFonts w:cs="Arial"/>
                <w:color w:val="auto"/>
                <w:szCs w:val="18"/>
              </w:rPr>
            </w:pPr>
            <w:r w:rsidRPr="008970FA">
              <w:rPr>
                <w:rFonts w:cs="Arial"/>
                <w:color w:val="auto"/>
                <w:szCs w:val="18"/>
              </w:rPr>
              <w:t>0</w:t>
            </w:r>
          </w:p>
        </w:tc>
        <w:tc>
          <w:tcPr>
            <w:tcW w:w="3891" w:type="dxa"/>
          </w:tcPr>
          <w:p w14:paraId="4AD93C1A" w14:textId="77777777" w:rsidR="00286A88" w:rsidRPr="008970FA" w:rsidRDefault="00286A88" w:rsidP="008970FA">
            <w:pPr>
              <w:spacing w:before="60" w:line="240" w:lineRule="auto"/>
              <w:rPr>
                <w:rFonts w:cs="Arial"/>
                <w:color w:val="auto"/>
                <w:szCs w:val="18"/>
              </w:rPr>
            </w:pPr>
          </w:p>
        </w:tc>
      </w:tr>
      <w:tr w:rsidR="00B41749" w:rsidRPr="00286A88" w14:paraId="447E6C14" w14:textId="77777777" w:rsidTr="007975A6">
        <w:tc>
          <w:tcPr>
            <w:tcW w:w="4025" w:type="dxa"/>
          </w:tcPr>
          <w:p w14:paraId="57299844" w14:textId="77777777" w:rsidR="00286A88" w:rsidRPr="008970FA" w:rsidRDefault="00EA5ED8" w:rsidP="00EA5ED8">
            <w:pPr>
              <w:spacing w:before="60" w:line="240" w:lineRule="auto"/>
              <w:rPr>
                <w:rFonts w:cs="Arial"/>
                <w:color w:val="auto"/>
                <w:szCs w:val="18"/>
              </w:rPr>
            </w:pPr>
            <w:r>
              <w:rPr>
                <w:rFonts w:cs="Arial"/>
                <w:color w:val="auto"/>
                <w:szCs w:val="18"/>
              </w:rPr>
              <w:t>e</w:t>
            </w:r>
            <w:r w:rsidR="00286A88" w:rsidRPr="008970FA">
              <w:rPr>
                <w:rFonts w:cs="Arial"/>
                <w:color w:val="auto"/>
                <w:szCs w:val="18"/>
              </w:rPr>
              <w:t xml:space="preserve">mu </w:t>
            </w:r>
            <w:r>
              <w:rPr>
                <w:rFonts w:cs="Arial"/>
                <w:color w:val="auto"/>
                <w:szCs w:val="18"/>
              </w:rPr>
              <w:t>AND</w:t>
            </w:r>
            <w:r w:rsidR="00286A88" w:rsidRPr="008970FA">
              <w:rPr>
                <w:rFonts w:cs="Arial"/>
                <w:color w:val="auto"/>
                <w:szCs w:val="18"/>
              </w:rPr>
              <w:t xml:space="preserve"> (peck* </w:t>
            </w:r>
            <w:r>
              <w:rPr>
                <w:rFonts w:cs="Arial"/>
                <w:color w:val="auto"/>
                <w:szCs w:val="18"/>
              </w:rPr>
              <w:t>OR</w:t>
            </w:r>
            <w:r w:rsidR="00286A88" w:rsidRPr="008970FA">
              <w:rPr>
                <w:rFonts w:cs="Arial"/>
                <w:color w:val="auto"/>
                <w:szCs w:val="18"/>
              </w:rPr>
              <w:t xml:space="preserve"> beak*)</w:t>
            </w:r>
          </w:p>
        </w:tc>
        <w:tc>
          <w:tcPr>
            <w:tcW w:w="1020" w:type="dxa"/>
          </w:tcPr>
          <w:p w14:paraId="71C358A5" w14:textId="77777777" w:rsidR="00286A88" w:rsidRPr="008970FA" w:rsidRDefault="00286A88" w:rsidP="008970FA">
            <w:pPr>
              <w:spacing w:before="60" w:line="240" w:lineRule="auto"/>
              <w:rPr>
                <w:rFonts w:cs="Arial"/>
                <w:color w:val="auto"/>
                <w:szCs w:val="18"/>
              </w:rPr>
            </w:pPr>
            <w:r w:rsidRPr="008970FA">
              <w:rPr>
                <w:rFonts w:cs="Arial"/>
                <w:color w:val="auto"/>
                <w:szCs w:val="18"/>
              </w:rPr>
              <w:t>6</w:t>
            </w:r>
          </w:p>
        </w:tc>
        <w:tc>
          <w:tcPr>
            <w:tcW w:w="1020" w:type="dxa"/>
          </w:tcPr>
          <w:p w14:paraId="6E2C9A04" w14:textId="77777777" w:rsidR="00286A88" w:rsidRPr="008970FA" w:rsidRDefault="00286A88" w:rsidP="008970FA">
            <w:pPr>
              <w:spacing w:before="60" w:line="240" w:lineRule="auto"/>
              <w:rPr>
                <w:rFonts w:cs="Arial"/>
                <w:color w:val="auto"/>
                <w:szCs w:val="18"/>
              </w:rPr>
            </w:pPr>
            <w:r w:rsidRPr="008970FA">
              <w:rPr>
                <w:rFonts w:cs="Arial"/>
                <w:color w:val="auto"/>
                <w:szCs w:val="18"/>
              </w:rPr>
              <w:t>0</w:t>
            </w:r>
          </w:p>
        </w:tc>
        <w:tc>
          <w:tcPr>
            <w:tcW w:w="3891" w:type="dxa"/>
          </w:tcPr>
          <w:p w14:paraId="401D70D5" w14:textId="77777777" w:rsidR="00286A88" w:rsidRPr="008970FA" w:rsidRDefault="00286A88" w:rsidP="008970FA">
            <w:pPr>
              <w:spacing w:before="60" w:line="240" w:lineRule="auto"/>
              <w:rPr>
                <w:rFonts w:cs="Arial"/>
                <w:color w:val="auto"/>
                <w:szCs w:val="18"/>
              </w:rPr>
            </w:pPr>
          </w:p>
        </w:tc>
      </w:tr>
      <w:tr w:rsidR="00B41749" w:rsidRPr="00286A88" w14:paraId="07DD7702" w14:textId="77777777" w:rsidTr="007975A6">
        <w:tc>
          <w:tcPr>
            <w:tcW w:w="4025" w:type="dxa"/>
          </w:tcPr>
          <w:p w14:paraId="410506CB" w14:textId="77777777" w:rsidR="007F3120" w:rsidRPr="007F3120" w:rsidRDefault="007F3120" w:rsidP="008970FA">
            <w:pPr>
              <w:spacing w:before="60" w:line="240" w:lineRule="auto"/>
              <w:rPr>
                <w:rFonts w:cs="Arial"/>
                <w:b/>
                <w:color w:val="auto"/>
                <w:szCs w:val="18"/>
              </w:rPr>
            </w:pPr>
            <w:r>
              <w:rPr>
                <w:rFonts w:cs="Arial"/>
                <w:b/>
                <w:color w:val="auto"/>
                <w:szCs w:val="18"/>
              </w:rPr>
              <w:t>Papers retained from secondary searches</w:t>
            </w:r>
          </w:p>
        </w:tc>
        <w:tc>
          <w:tcPr>
            <w:tcW w:w="1020" w:type="dxa"/>
          </w:tcPr>
          <w:p w14:paraId="78E2772E" w14:textId="77777777" w:rsidR="007F3120" w:rsidRPr="008970FA" w:rsidRDefault="007F3120" w:rsidP="008970FA">
            <w:pPr>
              <w:spacing w:before="60" w:line="240" w:lineRule="auto"/>
              <w:rPr>
                <w:rFonts w:cs="Arial"/>
                <w:color w:val="auto"/>
                <w:szCs w:val="18"/>
              </w:rPr>
            </w:pPr>
          </w:p>
        </w:tc>
        <w:tc>
          <w:tcPr>
            <w:tcW w:w="1020" w:type="dxa"/>
          </w:tcPr>
          <w:p w14:paraId="23030CF5" w14:textId="77777777" w:rsidR="007F3120" w:rsidRPr="007F3120" w:rsidRDefault="007F3120" w:rsidP="008970FA">
            <w:pPr>
              <w:spacing w:before="60" w:line="240" w:lineRule="auto"/>
              <w:rPr>
                <w:rFonts w:cs="Arial"/>
                <w:b/>
                <w:color w:val="auto"/>
                <w:szCs w:val="18"/>
              </w:rPr>
            </w:pPr>
            <w:r>
              <w:rPr>
                <w:rFonts w:cs="Arial"/>
                <w:b/>
                <w:color w:val="auto"/>
                <w:szCs w:val="18"/>
              </w:rPr>
              <w:t>2</w:t>
            </w:r>
          </w:p>
        </w:tc>
        <w:tc>
          <w:tcPr>
            <w:tcW w:w="3891" w:type="dxa"/>
          </w:tcPr>
          <w:p w14:paraId="4714E68D" w14:textId="77777777" w:rsidR="007F3120" w:rsidRPr="008970FA" w:rsidRDefault="007F3120" w:rsidP="008970FA">
            <w:pPr>
              <w:spacing w:before="60" w:line="240" w:lineRule="auto"/>
              <w:rPr>
                <w:rFonts w:cs="Arial"/>
                <w:color w:val="auto"/>
                <w:szCs w:val="18"/>
              </w:rPr>
            </w:pPr>
          </w:p>
        </w:tc>
      </w:tr>
    </w:tbl>
    <w:p w14:paraId="562B3BA7" w14:textId="77777777" w:rsidR="005F7B38" w:rsidRDefault="007F3120" w:rsidP="005F7B38">
      <w:pPr>
        <w:pStyle w:val="Agbulletlist"/>
        <w:numPr>
          <w:ilvl w:val="0"/>
          <w:numId w:val="0"/>
        </w:numPr>
        <w:spacing w:before="240"/>
        <w:ind w:left="284" w:hanging="284"/>
        <w:rPr>
          <w:b/>
        </w:rPr>
      </w:pPr>
      <w:r>
        <w:rPr>
          <w:b/>
        </w:rPr>
        <w:t>Total number of papers retained from primary and secondary searches: 1 + 2 = 3</w:t>
      </w:r>
    </w:p>
    <w:p w14:paraId="539C4AC9" w14:textId="77777777" w:rsidR="00B05D59" w:rsidRDefault="00B05D59" w:rsidP="00B05D59"/>
    <w:p w14:paraId="2DEDE80C" w14:textId="77777777" w:rsidR="00146AB8" w:rsidRPr="00146AB8" w:rsidRDefault="00B05D59" w:rsidP="00146AB8">
      <w:pPr>
        <w:spacing w:before="120"/>
        <w:rPr>
          <w:b/>
          <w:sz w:val="24"/>
          <w:szCs w:val="24"/>
          <w:lang w:val="en-GB"/>
        </w:rPr>
      </w:pPr>
      <w:r>
        <w:rPr>
          <w:b/>
          <w:sz w:val="24"/>
          <w:szCs w:val="24"/>
          <w:lang w:val="en-GB"/>
        </w:rPr>
        <w:br w:type="column"/>
      </w:r>
      <w:r w:rsidR="00146AB8" w:rsidRPr="00146AB8">
        <w:rPr>
          <w:b/>
          <w:sz w:val="24"/>
          <w:szCs w:val="24"/>
          <w:lang w:val="en-GB"/>
        </w:rPr>
        <w:t>Slaughter</w:t>
      </w:r>
    </w:p>
    <w:p w14:paraId="1AEBE4D6" w14:textId="77777777" w:rsidR="00146AB8" w:rsidRPr="00396C76" w:rsidRDefault="00146AB8" w:rsidP="005B0D69">
      <w:pPr>
        <w:spacing w:before="240"/>
        <w:rPr>
          <w:b/>
          <w:lang w:val="en-GB"/>
        </w:rPr>
      </w:pPr>
      <w:r w:rsidRPr="00396C76">
        <w:rPr>
          <w:b/>
          <w:lang w:val="en-GB"/>
        </w:rPr>
        <w:t xml:space="preserve">Web of Science was searched for: species AND subject AND interest using the terms given </w:t>
      </w:r>
      <w:r w:rsidR="00396C76" w:rsidRPr="00396C76">
        <w:rPr>
          <w:b/>
          <w:lang w:val="en-GB"/>
        </w:rPr>
        <w:t xml:space="preserve">in the table </w:t>
      </w:r>
      <w:r w:rsidRPr="00396C76">
        <w:rPr>
          <w:b/>
          <w:lang w:val="en-GB"/>
        </w:rPr>
        <w:t>below.</w:t>
      </w:r>
    </w:p>
    <w:p w14:paraId="66B69C5D" w14:textId="77777777" w:rsidR="00146AB8" w:rsidRDefault="00146AB8" w:rsidP="00396C76">
      <w:pPr>
        <w:rPr>
          <w:lang w:val="en-GB"/>
        </w:rPr>
      </w:pPr>
      <w:r>
        <w:rPr>
          <w:lang w:val="en-GB"/>
        </w:rPr>
        <w:t xml:space="preserve">No </w:t>
      </w:r>
      <w:r w:rsidRPr="00146AB8">
        <w:rPr>
          <w:lang w:val="en-GB"/>
        </w:rPr>
        <w:t>distinction was made between the various forms of chicken.</w:t>
      </w:r>
    </w:p>
    <w:p w14:paraId="06998596" w14:textId="77777777" w:rsidR="00587D34" w:rsidRDefault="00587D34" w:rsidP="00396C76">
      <w:pPr>
        <w:rPr>
          <w:lang w:val="en-GB"/>
        </w:rPr>
      </w:pPr>
      <w:r w:rsidRPr="00146AB8">
        <w:rPr>
          <w:lang w:val="en-GB"/>
        </w:rPr>
        <w:t>Searches were restricted to results dated from 2000 to 2017, then further restricted to articles</w:t>
      </w:r>
      <w:r>
        <w:rPr>
          <w:lang w:val="en-GB"/>
        </w:rPr>
        <w:t>. Conference</w:t>
      </w:r>
      <w:r w:rsidRPr="00146AB8">
        <w:rPr>
          <w:lang w:val="en-GB"/>
        </w:rPr>
        <w:t xml:space="preserve"> proceedings were excluded.</w:t>
      </w:r>
    </w:p>
    <w:tbl>
      <w:tblPr>
        <w:tblStyle w:val="TableGrid"/>
        <w:tblW w:w="9944" w:type="dxa"/>
        <w:tblLook w:val="04A0" w:firstRow="1" w:lastRow="0" w:firstColumn="1" w:lastColumn="0" w:noHBand="0" w:noVBand="1"/>
        <w:tblCaption w:val="Search terms for slaughter literature searches"/>
        <w:tblDescription w:val="This table shows the search terms used in the literature search for papers on slaughter of farmed birds."/>
      </w:tblPr>
      <w:tblGrid>
        <w:gridCol w:w="1809"/>
        <w:gridCol w:w="8135"/>
      </w:tblGrid>
      <w:tr w:rsidR="0043565F" w14:paraId="0C7042EB" w14:textId="77777777" w:rsidTr="0043565F">
        <w:trPr>
          <w:tblHeader/>
        </w:trPr>
        <w:tc>
          <w:tcPr>
            <w:tcW w:w="1809" w:type="dxa"/>
          </w:tcPr>
          <w:p w14:paraId="4AA69140" w14:textId="77777777" w:rsidR="0043565F" w:rsidRPr="00933550" w:rsidRDefault="0043565F" w:rsidP="00C72F87">
            <w:pPr>
              <w:rPr>
                <w:b/>
              </w:rPr>
            </w:pPr>
            <w:r>
              <w:rPr>
                <w:b/>
              </w:rPr>
              <w:t>Species</w:t>
            </w:r>
          </w:p>
        </w:tc>
        <w:tc>
          <w:tcPr>
            <w:tcW w:w="8135" w:type="dxa"/>
          </w:tcPr>
          <w:p w14:paraId="731F2235" w14:textId="77777777" w:rsidR="0043565F" w:rsidRPr="002F617A" w:rsidRDefault="0043565F" w:rsidP="00C72F87"/>
        </w:tc>
      </w:tr>
      <w:tr w:rsidR="0043565F" w14:paraId="730BCFA8" w14:textId="77777777" w:rsidTr="0043565F">
        <w:tc>
          <w:tcPr>
            <w:tcW w:w="1809" w:type="dxa"/>
          </w:tcPr>
          <w:p w14:paraId="49C3E7FE" w14:textId="77777777" w:rsidR="0043565F" w:rsidRPr="00163580" w:rsidRDefault="0043565F" w:rsidP="0077669D">
            <w:r w:rsidRPr="00163580">
              <w:t>chickens</w:t>
            </w:r>
          </w:p>
        </w:tc>
        <w:tc>
          <w:tcPr>
            <w:tcW w:w="8135" w:type="dxa"/>
          </w:tcPr>
          <w:p w14:paraId="7BA7E512" w14:textId="77777777" w:rsidR="0043565F" w:rsidRPr="002F617A" w:rsidRDefault="0043565F" w:rsidP="0077669D">
            <w:r>
              <w:t>h</w:t>
            </w:r>
            <w:r w:rsidRPr="002F617A">
              <w:t>en OR hens* OR “domestic fowl” OR (chick* NOT chickpea*) OR broiler*</w:t>
            </w:r>
          </w:p>
        </w:tc>
      </w:tr>
      <w:tr w:rsidR="0043565F" w14:paraId="775471BA" w14:textId="77777777" w:rsidTr="0043565F">
        <w:tc>
          <w:tcPr>
            <w:tcW w:w="1809" w:type="dxa"/>
          </w:tcPr>
          <w:p w14:paraId="272A646E" w14:textId="77777777" w:rsidR="0043565F" w:rsidRPr="00163580" w:rsidRDefault="0043565F" w:rsidP="0077669D">
            <w:r w:rsidRPr="00163580">
              <w:t>ducks</w:t>
            </w:r>
          </w:p>
        </w:tc>
        <w:tc>
          <w:tcPr>
            <w:tcW w:w="8135" w:type="dxa"/>
          </w:tcPr>
          <w:p w14:paraId="205BA84E" w14:textId="77777777" w:rsidR="0043565F" w:rsidRPr="002F617A" w:rsidRDefault="0043565F" w:rsidP="00C72F87">
            <w:r w:rsidRPr="002F617A">
              <w:t>duck OR ducks</w:t>
            </w:r>
          </w:p>
        </w:tc>
      </w:tr>
      <w:tr w:rsidR="0043565F" w14:paraId="400D76A1" w14:textId="77777777" w:rsidTr="0043565F">
        <w:tc>
          <w:tcPr>
            <w:tcW w:w="1809" w:type="dxa"/>
          </w:tcPr>
          <w:p w14:paraId="7D9BF204" w14:textId="77777777" w:rsidR="0043565F" w:rsidRPr="00163580" w:rsidRDefault="0043565F" w:rsidP="0077669D">
            <w:r w:rsidRPr="00163580">
              <w:t>geese</w:t>
            </w:r>
          </w:p>
        </w:tc>
        <w:tc>
          <w:tcPr>
            <w:tcW w:w="8135" w:type="dxa"/>
          </w:tcPr>
          <w:p w14:paraId="62A0709F" w14:textId="77777777" w:rsidR="0043565F" w:rsidRPr="002F617A" w:rsidRDefault="0043565F" w:rsidP="00C72F87">
            <w:r w:rsidRPr="002F617A">
              <w:t>goose OR geese</w:t>
            </w:r>
          </w:p>
        </w:tc>
      </w:tr>
      <w:tr w:rsidR="0043565F" w14:paraId="330F0355" w14:textId="77777777" w:rsidTr="0043565F">
        <w:tc>
          <w:tcPr>
            <w:tcW w:w="1809" w:type="dxa"/>
          </w:tcPr>
          <w:p w14:paraId="5F8CC36C" w14:textId="77777777" w:rsidR="0043565F" w:rsidRPr="00163580" w:rsidRDefault="0043565F" w:rsidP="0077669D">
            <w:r w:rsidRPr="00163580">
              <w:t>turkeys</w:t>
            </w:r>
          </w:p>
        </w:tc>
        <w:tc>
          <w:tcPr>
            <w:tcW w:w="8135" w:type="dxa"/>
          </w:tcPr>
          <w:p w14:paraId="3631E445" w14:textId="77777777" w:rsidR="0043565F" w:rsidRPr="002F617A" w:rsidRDefault="0043565F" w:rsidP="00C72F87">
            <w:r w:rsidRPr="002F617A">
              <w:t>turkey* OR (meleagris NOT fritillaria)</w:t>
            </w:r>
          </w:p>
        </w:tc>
      </w:tr>
      <w:tr w:rsidR="0043565F" w14:paraId="3742FFE0" w14:textId="77777777" w:rsidTr="0043565F">
        <w:tc>
          <w:tcPr>
            <w:tcW w:w="1809" w:type="dxa"/>
          </w:tcPr>
          <w:p w14:paraId="61FFACAB" w14:textId="77777777" w:rsidR="0043565F" w:rsidRPr="00476397" w:rsidRDefault="0043565F" w:rsidP="0077669D">
            <w:r w:rsidRPr="00476397">
              <w:t>guinea fowl, pheas</w:t>
            </w:r>
            <w:r>
              <w:t>ants, partridges, p</w:t>
            </w:r>
            <w:r w:rsidRPr="00476397">
              <w:t>igeons and quail</w:t>
            </w:r>
          </w:p>
        </w:tc>
        <w:tc>
          <w:tcPr>
            <w:tcW w:w="8135" w:type="dxa"/>
          </w:tcPr>
          <w:p w14:paraId="288FFF54" w14:textId="77777777" w:rsidR="0043565F" w:rsidRDefault="0043565F" w:rsidP="00C72F87">
            <w:r w:rsidRPr="00476397">
              <w:t>quail* OR coturnix OR pigeon* NOT (pigeonpea OR “pigeon pea” OR pigeonholed) OR pheasant* OR phasianus* OR partridge* OR alectolis OR alectoris OR perdix OR guineafowl* OR "guinea fowl” OR "guinea-fowl” OR numida* OR guttera* OR agelastes* OR acryllium*</w:t>
            </w:r>
          </w:p>
        </w:tc>
      </w:tr>
      <w:tr w:rsidR="0043565F" w14:paraId="301B3FA9" w14:textId="77777777" w:rsidTr="0043565F">
        <w:tc>
          <w:tcPr>
            <w:tcW w:w="1809" w:type="dxa"/>
          </w:tcPr>
          <w:p w14:paraId="205EFD5B" w14:textId="77777777" w:rsidR="0043565F" w:rsidRPr="0053297C" w:rsidRDefault="0043565F" w:rsidP="0077669D">
            <w:r>
              <w:t>ostriches and emus</w:t>
            </w:r>
          </w:p>
        </w:tc>
        <w:tc>
          <w:tcPr>
            <w:tcW w:w="8135" w:type="dxa"/>
          </w:tcPr>
          <w:p w14:paraId="772A62BF" w14:textId="77777777" w:rsidR="0043565F" w:rsidRDefault="0043565F" w:rsidP="00C72F87">
            <w:r w:rsidRPr="0053297C">
              <w:t>emu OR ostrich* OR ratite*</w:t>
            </w:r>
          </w:p>
        </w:tc>
      </w:tr>
      <w:tr w:rsidR="0043565F" w14:paraId="224DB3FA" w14:textId="77777777" w:rsidTr="0043565F">
        <w:tc>
          <w:tcPr>
            <w:tcW w:w="1809" w:type="dxa"/>
          </w:tcPr>
          <w:p w14:paraId="2065FD0E" w14:textId="77777777" w:rsidR="0043565F" w:rsidRPr="00933550" w:rsidRDefault="0043565F" w:rsidP="00C72F87">
            <w:pPr>
              <w:rPr>
                <w:b/>
              </w:rPr>
            </w:pPr>
            <w:r w:rsidRPr="00933550">
              <w:rPr>
                <w:b/>
              </w:rPr>
              <w:t>Subject</w:t>
            </w:r>
          </w:p>
        </w:tc>
        <w:tc>
          <w:tcPr>
            <w:tcW w:w="8135" w:type="dxa"/>
          </w:tcPr>
          <w:p w14:paraId="03A9C095" w14:textId="77777777" w:rsidR="0043565F" w:rsidRPr="002F617A" w:rsidRDefault="0043565F" w:rsidP="00C72F87">
            <w:r w:rsidRPr="002F617A">
              <w:t>((stun* NOT stunt) OR kill* OR slaughter* OR cull* OR shackl* OR lairage OR CAS OR CAK OR “carbon dioxide” OR CO2 OR “controlled atmos” OR “low atmos” OR laps OR waterbath OR “water-bath” OR “water bath”) NOT campylobacter</w:t>
            </w:r>
          </w:p>
        </w:tc>
      </w:tr>
      <w:tr w:rsidR="0043565F" w14:paraId="2E4A2481" w14:textId="77777777" w:rsidTr="0043565F">
        <w:tc>
          <w:tcPr>
            <w:tcW w:w="1809" w:type="dxa"/>
          </w:tcPr>
          <w:p w14:paraId="19FE38DE" w14:textId="77777777" w:rsidR="0043565F" w:rsidRPr="00933550" w:rsidRDefault="0043565F" w:rsidP="00C72F87">
            <w:pPr>
              <w:rPr>
                <w:b/>
              </w:rPr>
            </w:pPr>
            <w:r w:rsidRPr="00933550">
              <w:rPr>
                <w:b/>
              </w:rPr>
              <w:t>Interest</w:t>
            </w:r>
          </w:p>
        </w:tc>
        <w:tc>
          <w:tcPr>
            <w:tcW w:w="8135" w:type="dxa"/>
          </w:tcPr>
          <w:p w14:paraId="48D85538" w14:textId="77777777" w:rsidR="0043565F" w:rsidRDefault="0043565F" w:rsidP="00C72F87">
            <w:r w:rsidRPr="002F617A">
              <w:t>EEG or electroencephalo* or unconscious* or *insensib* or welfare or stress or pain or humane</w:t>
            </w:r>
          </w:p>
        </w:tc>
      </w:tr>
    </w:tbl>
    <w:p w14:paraId="6D673690" w14:textId="77777777" w:rsidR="00146AB8" w:rsidRDefault="00146AB8" w:rsidP="005B0D69">
      <w:pPr>
        <w:spacing w:before="240"/>
        <w:rPr>
          <w:lang w:val="en-GB"/>
        </w:rPr>
      </w:pPr>
      <w:r w:rsidRPr="00146AB8">
        <w:rPr>
          <w:lang w:val="en-GB"/>
        </w:rPr>
        <w:t>For each species</w:t>
      </w:r>
      <w:r w:rsidR="005B0D69">
        <w:rPr>
          <w:lang w:val="en-GB"/>
        </w:rPr>
        <w:t xml:space="preserve"> below</w:t>
      </w:r>
      <w:r w:rsidRPr="00146AB8">
        <w:rPr>
          <w:lang w:val="en-GB"/>
        </w:rPr>
        <w:t xml:space="preserve">, the number of </w:t>
      </w:r>
      <w:r w:rsidR="00587D34">
        <w:rPr>
          <w:lang w:val="en-GB"/>
        </w:rPr>
        <w:t>papers returned from the search</w:t>
      </w:r>
      <w:r w:rsidRPr="00146AB8">
        <w:rPr>
          <w:lang w:val="en-GB"/>
        </w:rPr>
        <w:t xml:space="preserve"> is </w:t>
      </w:r>
      <w:r w:rsidR="005B0D69">
        <w:rPr>
          <w:lang w:val="en-GB"/>
        </w:rPr>
        <w:t>given</w:t>
      </w:r>
      <w:r w:rsidRPr="00146AB8">
        <w:rPr>
          <w:lang w:val="en-GB"/>
        </w:rPr>
        <w:t xml:space="preserve"> first</w:t>
      </w:r>
      <w:r w:rsidR="00587D34">
        <w:rPr>
          <w:lang w:val="en-GB"/>
        </w:rPr>
        <w:t>. The</w:t>
      </w:r>
      <w:r w:rsidRPr="00146AB8">
        <w:rPr>
          <w:lang w:val="en-GB"/>
        </w:rPr>
        <w:t xml:space="preserve"> number in brackets is the number of results when language is restricted to English.</w:t>
      </w:r>
    </w:p>
    <w:p w14:paraId="2BA51A04" w14:textId="77777777" w:rsidR="00146AB8" w:rsidRPr="00933550" w:rsidRDefault="00146AB8" w:rsidP="00146AB8">
      <w:pPr>
        <w:rPr>
          <w:b/>
          <w:i/>
          <w:lang w:val="en-GB"/>
        </w:rPr>
      </w:pPr>
      <w:r w:rsidRPr="00933550">
        <w:rPr>
          <w:b/>
          <w:i/>
          <w:lang w:val="en-GB"/>
        </w:rPr>
        <w:t>Chickens</w:t>
      </w:r>
    </w:p>
    <w:p w14:paraId="77E3CDE9" w14:textId="77777777" w:rsidR="00146AB8" w:rsidRPr="00146AB8" w:rsidRDefault="00146AB8" w:rsidP="00146AB8">
      <w:pPr>
        <w:rPr>
          <w:lang w:val="en-GB"/>
        </w:rPr>
      </w:pPr>
      <w:r w:rsidRPr="00146AB8">
        <w:rPr>
          <w:lang w:val="en-GB"/>
        </w:rPr>
        <w:t xml:space="preserve">Total </w:t>
      </w:r>
      <w:r w:rsidR="000A68B1">
        <w:rPr>
          <w:lang w:val="en-GB"/>
        </w:rPr>
        <w:t xml:space="preserve">returns: </w:t>
      </w:r>
      <w:r w:rsidRPr="00146AB8">
        <w:rPr>
          <w:lang w:val="en-GB"/>
        </w:rPr>
        <w:t>663 (623)</w:t>
      </w:r>
    </w:p>
    <w:p w14:paraId="795F6844" w14:textId="77777777" w:rsidR="00146AB8" w:rsidRPr="00146AB8" w:rsidRDefault="00146AB8" w:rsidP="00146AB8">
      <w:pPr>
        <w:rPr>
          <w:lang w:val="en-GB"/>
        </w:rPr>
      </w:pPr>
      <w:r w:rsidRPr="00146AB8">
        <w:rPr>
          <w:lang w:val="en-GB"/>
        </w:rPr>
        <w:t>Accepted papers: 80</w:t>
      </w:r>
    </w:p>
    <w:p w14:paraId="5C2FE606" w14:textId="77777777" w:rsidR="00146AB8" w:rsidRDefault="00146AB8" w:rsidP="00146AB8">
      <w:pPr>
        <w:rPr>
          <w:lang w:val="en-GB"/>
        </w:rPr>
      </w:pPr>
      <w:r w:rsidRPr="00146AB8">
        <w:rPr>
          <w:lang w:val="en-GB"/>
        </w:rPr>
        <w:t>Only relevant and peer reviewed articles have been selected for this subject.</w:t>
      </w:r>
    </w:p>
    <w:tbl>
      <w:tblPr>
        <w:tblStyle w:val="TableGrid"/>
        <w:tblW w:w="9977" w:type="dxa"/>
        <w:tblLook w:val="04A0" w:firstRow="1" w:lastRow="0" w:firstColumn="1" w:lastColumn="0" w:noHBand="0" w:noVBand="1"/>
        <w:tblCaption w:val="Papers excluded after the literature search for slaughter of chickens"/>
        <w:tblDescription w:val="This table shows the number of papers excluded after the literature search for slaughter of chickens. The left hand column shows the primary reason for exclusion. The middle column shows the number of papers excluded. The right hand column gives an example of a paper excluded for each reason."/>
      </w:tblPr>
      <w:tblGrid>
        <w:gridCol w:w="3628"/>
        <w:gridCol w:w="1020"/>
        <w:gridCol w:w="5329"/>
      </w:tblGrid>
      <w:tr w:rsidR="00530973" w14:paraId="7E9C2B51" w14:textId="77777777" w:rsidTr="000A68B1">
        <w:trPr>
          <w:tblHeader/>
        </w:trPr>
        <w:tc>
          <w:tcPr>
            <w:tcW w:w="3628" w:type="dxa"/>
          </w:tcPr>
          <w:p w14:paraId="34984E9F" w14:textId="77777777" w:rsidR="00530973" w:rsidRPr="009928C2" w:rsidRDefault="00530973" w:rsidP="00C72F87">
            <w:pPr>
              <w:spacing w:before="60" w:line="240" w:lineRule="auto"/>
              <w:rPr>
                <w:rFonts w:cs="Arial"/>
                <w:b/>
                <w:color w:val="auto"/>
                <w:szCs w:val="18"/>
              </w:rPr>
            </w:pPr>
            <w:r w:rsidRPr="009928C2">
              <w:rPr>
                <w:rFonts w:cs="Arial"/>
                <w:b/>
                <w:color w:val="auto"/>
                <w:szCs w:val="18"/>
              </w:rPr>
              <w:t xml:space="preserve">Primary Reason for Exclusion </w:t>
            </w:r>
          </w:p>
        </w:tc>
        <w:tc>
          <w:tcPr>
            <w:tcW w:w="1020" w:type="dxa"/>
          </w:tcPr>
          <w:p w14:paraId="520CE674" w14:textId="77777777" w:rsidR="00530973" w:rsidRPr="00F67C8B" w:rsidRDefault="00530973" w:rsidP="00C72F87">
            <w:pPr>
              <w:spacing w:before="60" w:line="240" w:lineRule="auto"/>
              <w:rPr>
                <w:rFonts w:cs="Arial"/>
                <w:color w:val="auto"/>
                <w:szCs w:val="18"/>
              </w:rPr>
            </w:pPr>
            <w:r w:rsidRPr="00F67C8B">
              <w:rPr>
                <w:rFonts w:cs="Arial"/>
                <w:color w:val="auto"/>
                <w:szCs w:val="18"/>
              </w:rPr>
              <w:t>Number Excluded</w:t>
            </w:r>
          </w:p>
        </w:tc>
        <w:tc>
          <w:tcPr>
            <w:tcW w:w="5329" w:type="dxa"/>
          </w:tcPr>
          <w:p w14:paraId="53F1CEED" w14:textId="77777777" w:rsidR="00530973" w:rsidRPr="00F67C8B" w:rsidRDefault="00530973" w:rsidP="00C72F87">
            <w:pPr>
              <w:spacing w:before="60" w:line="240" w:lineRule="auto"/>
              <w:rPr>
                <w:rFonts w:cs="Arial"/>
                <w:color w:val="auto"/>
                <w:szCs w:val="18"/>
              </w:rPr>
            </w:pPr>
            <w:r w:rsidRPr="00F67C8B">
              <w:rPr>
                <w:rFonts w:cs="Arial"/>
                <w:i/>
                <w:color w:val="auto"/>
                <w:szCs w:val="18"/>
              </w:rPr>
              <w:t xml:space="preserve">Example </w:t>
            </w:r>
            <w:r w:rsidRPr="00F67C8B">
              <w:rPr>
                <w:rFonts w:cs="Arial"/>
                <w:color w:val="auto"/>
                <w:szCs w:val="18"/>
              </w:rPr>
              <w:t>of Paper Excluded for Each Reason</w:t>
            </w:r>
          </w:p>
        </w:tc>
      </w:tr>
      <w:tr w:rsidR="00E9354F" w14:paraId="049E4BF9" w14:textId="77777777" w:rsidTr="00933550">
        <w:tc>
          <w:tcPr>
            <w:tcW w:w="3628" w:type="dxa"/>
          </w:tcPr>
          <w:p w14:paraId="4836BEBB" w14:textId="77777777" w:rsidR="00E9354F" w:rsidRPr="00D2619F" w:rsidRDefault="00E9354F" w:rsidP="00C72F87">
            <w:r w:rsidRPr="00D2619F">
              <w:t>Other species or subject</w:t>
            </w:r>
          </w:p>
        </w:tc>
        <w:tc>
          <w:tcPr>
            <w:tcW w:w="1020" w:type="dxa"/>
          </w:tcPr>
          <w:p w14:paraId="773FF2F5" w14:textId="77777777" w:rsidR="00E9354F" w:rsidRPr="001F75E2" w:rsidRDefault="00E9354F" w:rsidP="00C72F87">
            <w:r w:rsidRPr="001F75E2">
              <w:t>149</w:t>
            </w:r>
          </w:p>
        </w:tc>
        <w:tc>
          <w:tcPr>
            <w:tcW w:w="5329" w:type="dxa"/>
          </w:tcPr>
          <w:p w14:paraId="6B5897D6" w14:textId="77777777" w:rsidR="00933550" w:rsidRPr="00587D34" w:rsidRDefault="00933550" w:rsidP="000A68B1">
            <w:pPr>
              <w:pStyle w:val="NoSpacing"/>
              <w:rPr>
                <w:sz w:val="16"/>
                <w:szCs w:val="16"/>
                <w:lang w:val="en-GB"/>
              </w:rPr>
            </w:pPr>
            <w:r w:rsidRPr="00587D34">
              <w:rPr>
                <w:sz w:val="16"/>
                <w:szCs w:val="16"/>
                <w:lang w:val="en-GB"/>
              </w:rPr>
              <w:t>Captive domesticated zebra finches (</w:t>
            </w:r>
            <w:r w:rsidRPr="00587D34">
              <w:rPr>
                <w:i/>
                <w:sz w:val="16"/>
                <w:szCs w:val="16"/>
                <w:lang w:val="en-GB"/>
              </w:rPr>
              <w:t>Taeniopygia guttata</w:t>
            </w:r>
            <w:r w:rsidRPr="00587D34">
              <w:rPr>
                <w:sz w:val="16"/>
                <w:szCs w:val="16"/>
                <w:lang w:val="en-GB"/>
              </w:rPr>
              <w:t>) have increased plasma corticosterone concentrations in the absence of bathing water. By: Krause, E. Tobias; Ruploh, Tim</w:t>
            </w:r>
          </w:p>
          <w:p w14:paraId="40C5F03E" w14:textId="77777777" w:rsidR="00E9354F" w:rsidRPr="00587D34" w:rsidRDefault="00933550" w:rsidP="000A68B1">
            <w:pPr>
              <w:pStyle w:val="NoSpacing"/>
              <w:rPr>
                <w:sz w:val="16"/>
                <w:szCs w:val="16"/>
              </w:rPr>
            </w:pPr>
            <w:r w:rsidRPr="00587D34">
              <w:rPr>
                <w:sz w:val="16"/>
                <w:szCs w:val="16"/>
                <w:lang w:val="en-GB"/>
              </w:rPr>
              <w:t>APPLIED ANIMAL BEHAVIOUR SCIENCE   Volume: 182   Pages: 80-85   Published: SEP 2016</w:t>
            </w:r>
          </w:p>
        </w:tc>
      </w:tr>
      <w:tr w:rsidR="00E9354F" w14:paraId="315D1595" w14:textId="77777777" w:rsidTr="00933550">
        <w:tc>
          <w:tcPr>
            <w:tcW w:w="3628" w:type="dxa"/>
          </w:tcPr>
          <w:p w14:paraId="47D553F1" w14:textId="77777777" w:rsidR="00E9354F" w:rsidRPr="00D2619F" w:rsidRDefault="00E9354F" w:rsidP="00C72F87">
            <w:r w:rsidRPr="00D2619F">
              <w:t>Husbandry or transport</w:t>
            </w:r>
          </w:p>
        </w:tc>
        <w:tc>
          <w:tcPr>
            <w:tcW w:w="1020" w:type="dxa"/>
          </w:tcPr>
          <w:p w14:paraId="5E021F23" w14:textId="77777777" w:rsidR="00E9354F" w:rsidRPr="001F75E2" w:rsidRDefault="00E9354F" w:rsidP="00C72F87">
            <w:r w:rsidRPr="001F75E2">
              <w:t>77</w:t>
            </w:r>
          </w:p>
        </w:tc>
        <w:tc>
          <w:tcPr>
            <w:tcW w:w="5329" w:type="dxa"/>
          </w:tcPr>
          <w:p w14:paraId="127172B6" w14:textId="77777777" w:rsidR="00933550" w:rsidRPr="00587D34" w:rsidRDefault="00933550" w:rsidP="000A68B1">
            <w:pPr>
              <w:pStyle w:val="NoSpacing"/>
              <w:rPr>
                <w:sz w:val="16"/>
                <w:szCs w:val="16"/>
                <w:lang w:val="en-GB"/>
              </w:rPr>
            </w:pPr>
            <w:r w:rsidRPr="00587D34">
              <w:rPr>
                <w:sz w:val="16"/>
                <w:szCs w:val="16"/>
              </w:rPr>
              <w:t>Effects of catching and transportation versus pre-slaughter handling at the abattoir on the prevalence of wing fractures in broilers. By: Kittelsen, K. E.; Granquist, E. G.; Vasdal, G.; et al.</w:t>
            </w:r>
          </w:p>
          <w:p w14:paraId="254A604C" w14:textId="77777777" w:rsidR="00E9354F" w:rsidRPr="00587D34" w:rsidRDefault="00933550" w:rsidP="000A68B1">
            <w:pPr>
              <w:pStyle w:val="NoSpacing"/>
              <w:rPr>
                <w:sz w:val="16"/>
                <w:szCs w:val="16"/>
              </w:rPr>
            </w:pPr>
            <w:r w:rsidRPr="00587D34">
              <w:rPr>
                <w:sz w:val="16"/>
                <w:szCs w:val="16"/>
              </w:rPr>
              <w:t>ANIMAL WELFARE   Volume: 24   Issue: 4   Pages: 387-389   Published: SEP 2015</w:t>
            </w:r>
          </w:p>
        </w:tc>
      </w:tr>
      <w:tr w:rsidR="00E9354F" w14:paraId="77693B4A" w14:textId="77777777" w:rsidTr="00933550">
        <w:tc>
          <w:tcPr>
            <w:tcW w:w="3628" w:type="dxa"/>
          </w:tcPr>
          <w:p w14:paraId="5B11C407" w14:textId="77777777" w:rsidR="00E9354F" w:rsidRPr="00D2619F" w:rsidRDefault="00E9354F" w:rsidP="00C72F87">
            <w:r w:rsidRPr="00D2619F">
              <w:t>Other biological investigation</w:t>
            </w:r>
          </w:p>
        </w:tc>
        <w:tc>
          <w:tcPr>
            <w:tcW w:w="1020" w:type="dxa"/>
          </w:tcPr>
          <w:p w14:paraId="539A24A5" w14:textId="77777777" w:rsidR="00E9354F" w:rsidRPr="001F75E2" w:rsidRDefault="00E9354F" w:rsidP="00C72F87">
            <w:r w:rsidRPr="001F75E2">
              <w:t>193</w:t>
            </w:r>
          </w:p>
        </w:tc>
        <w:tc>
          <w:tcPr>
            <w:tcW w:w="5329" w:type="dxa"/>
          </w:tcPr>
          <w:p w14:paraId="5B7CC18E" w14:textId="77777777" w:rsidR="00933550" w:rsidRPr="00587D34" w:rsidRDefault="00933550" w:rsidP="000A68B1">
            <w:pPr>
              <w:pStyle w:val="NoSpacing"/>
              <w:rPr>
                <w:sz w:val="16"/>
                <w:szCs w:val="16"/>
                <w:lang w:val="en-GB"/>
              </w:rPr>
            </w:pPr>
            <w:r w:rsidRPr="00587D34">
              <w:rPr>
                <w:sz w:val="16"/>
                <w:szCs w:val="16"/>
                <w:lang w:val="en-GB"/>
              </w:rPr>
              <w:t>Cloning and Expression of Voltage-dependent Anion Channel 2 (VDAC2) from Electrically Stimulated Chicken. By: Hassan, Nurhidayah Ahmad; Amid, Azura; Salleh, Hamzah Mohd</w:t>
            </w:r>
          </w:p>
          <w:p w14:paraId="5C1A48D7" w14:textId="77777777" w:rsidR="00E9354F" w:rsidRPr="00587D34" w:rsidRDefault="00933550" w:rsidP="000A68B1">
            <w:pPr>
              <w:pStyle w:val="NoSpacing"/>
              <w:rPr>
                <w:sz w:val="16"/>
                <w:szCs w:val="16"/>
              </w:rPr>
            </w:pPr>
            <w:r w:rsidRPr="00587D34">
              <w:rPr>
                <w:sz w:val="16"/>
                <w:szCs w:val="16"/>
                <w:lang w:val="en-GB"/>
              </w:rPr>
              <w:t>JOURNAL OF PURE AND APPLIED MICROBIOLOGY   Volume: 7   Special Issue: SI   Pages: 43-52   Published: NOV 2013</w:t>
            </w:r>
          </w:p>
        </w:tc>
      </w:tr>
      <w:tr w:rsidR="00E9354F" w14:paraId="521C200F" w14:textId="77777777" w:rsidTr="00933550">
        <w:tc>
          <w:tcPr>
            <w:tcW w:w="3628" w:type="dxa"/>
          </w:tcPr>
          <w:p w14:paraId="1B148843" w14:textId="77777777" w:rsidR="00E9354F" w:rsidRPr="00D2619F" w:rsidRDefault="00E9354F" w:rsidP="00C72F87">
            <w:r w:rsidRPr="00D2619F">
              <w:t>Meat quality</w:t>
            </w:r>
          </w:p>
        </w:tc>
        <w:tc>
          <w:tcPr>
            <w:tcW w:w="1020" w:type="dxa"/>
          </w:tcPr>
          <w:p w14:paraId="7DBC27E9" w14:textId="77777777" w:rsidR="00E9354F" w:rsidRPr="001F75E2" w:rsidRDefault="00933550" w:rsidP="00C72F87">
            <w:r>
              <w:t>43</w:t>
            </w:r>
          </w:p>
        </w:tc>
        <w:tc>
          <w:tcPr>
            <w:tcW w:w="5329" w:type="dxa"/>
          </w:tcPr>
          <w:p w14:paraId="365410FA" w14:textId="77777777" w:rsidR="00E9354F" w:rsidRPr="00587D34" w:rsidRDefault="00933550" w:rsidP="000A68B1">
            <w:pPr>
              <w:pStyle w:val="NoSpacing"/>
              <w:rPr>
                <w:sz w:val="16"/>
                <w:szCs w:val="16"/>
              </w:rPr>
            </w:pPr>
            <w:r w:rsidRPr="00587D34">
              <w:rPr>
                <w:sz w:val="16"/>
                <w:szCs w:val="16"/>
              </w:rPr>
              <w:t>Skeletal muscle proteome and meat quality of broiler chickens subjected to gas stunning prior slaughter or slaughtered without stunning. By Salwani, M. S.; Adeyemi, K. D.; Sarah, S. A.; et al.. CYTA-JOURNAL OF FOOD   Volume: 14   Issue: 3   Pages: 375-381   Published: 2016</w:t>
            </w:r>
          </w:p>
        </w:tc>
      </w:tr>
      <w:tr w:rsidR="00E9354F" w14:paraId="56428783" w14:textId="77777777" w:rsidTr="00933550">
        <w:tc>
          <w:tcPr>
            <w:tcW w:w="3628" w:type="dxa"/>
          </w:tcPr>
          <w:p w14:paraId="1C06C61A" w14:textId="77777777" w:rsidR="00E9354F" w:rsidRPr="00D2619F" w:rsidRDefault="00E9354F" w:rsidP="00C72F87">
            <w:r w:rsidRPr="00D2619F">
              <w:t>Review paper, opinion or discussion piece</w:t>
            </w:r>
          </w:p>
        </w:tc>
        <w:tc>
          <w:tcPr>
            <w:tcW w:w="1020" w:type="dxa"/>
          </w:tcPr>
          <w:p w14:paraId="4AEAA771" w14:textId="77777777" w:rsidR="00E9354F" w:rsidRPr="001F75E2" w:rsidRDefault="00933550" w:rsidP="00C72F87">
            <w:r>
              <w:t>18</w:t>
            </w:r>
          </w:p>
        </w:tc>
        <w:tc>
          <w:tcPr>
            <w:tcW w:w="5329" w:type="dxa"/>
          </w:tcPr>
          <w:p w14:paraId="27266548" w14:textId="77777777" w:rsidR="00933550" w:rsidRPr="00587D34" w:rsidRDefault="00933550" w:rsidP="000A68B1">
            <w:pPr>
              <w:pStyle w:val="NoSpacing"/>
              <w:rPr>
                <w:sz w:val="16"/>
                <w:szCs w:val="16"/>
              </w:rPr>
            </w:pPr>
            <w:r w:rsidRPr="00587D34">
              <w:rPr>
                <w:sz w:val="16"/>
                <w:szCs w:val="16"/>
              </w:rPr>
              <w:t>A review of bird welfare during controlled atmosphere and electrical water-bath stunning</w:t>
            </w:r>
          </w:p>
          <w:p w14:paraId="07083CB9" w14:textId="77777777" w:rsidR="00933550" w:rsidRPr="00587D34" w:rsidRDefault="00933550" w:rsidP="000A68B1">
            <w:pPr>
              <w:pStyle w:val="NoSpacing"/>
              <w:rPr>
                <w:sz w:val="16"/>
                <w:szCs w:val="16"/>
              </w:rPr>
            </w:pPr>
            <w:r w:rsidRPr="00587D34">
              <w:rPr>
                <w:sz w:val="16"/>
                <w:szCs w:val="16"/>
              </w:rPr>
              <w:t>By: Johnson, Cia L.</w:t>
            </w:r>
          </w:p>
          <w:p w14:paraId="620E3635" w14:textId="77777777" w:rsidR="00E9354F" w:rsidRPr="00587D34" w:rsidRDefault="00933550" w:rsidP="000A68B1">
            <w:pPr>
              <w:pStyle w:val="NoSpacing"/>
              <w:rPr>
                <w:sz w:val="16"/>
                <w:szCs w:val="16"/>
              </w:rPr>
            </w:pPr>
            <w:r w:rsidRPr="00587D34">
              <w:rPr>
                <w:sz w:val="16"/>
                <w:szCs w:val="16"/>
              </w:rPr>
              <w:t>JAVMA-JOURNAL OF THE AMERICAN VETERINARY MEDICAL ASSOCIATION   Volume: 245   Issue: 1   Pages: 60-68   Published: JUL 1 2014</w:t>
            </w:r>
          </w:p>
        </w:tc>
      </w:tr>
      <w:tr w:rsidR="00E9354F" w14:paraId="36EA531B" w14:textId="77777777" w:rsidTr="00933550">
        <w:tc>
          <w:tcPr>
            <w:tcW w:w="3628" w:type="dxa"/>
          </w:tcPr>
          <w:p w14:paraId="51559AE2" w14:textId="77777777" w:rsidR="00E9354F" w:rsidRPr="00D2619F" w:rsidRDefault="00E9354F" w:rsidP="00C72F87">
            <w:r w:rsidRPr="00D2619F">
              <w:t>Describes policy development, not slaughter and welfare outcomes</w:t>
            </w:r>
          </w:p>
        </w:tc>
        <w:tc>
          <w:tcPr>
            <w:tcW w:w="1020" w:type="dxa"/>
          </w:tcPr>
          <w:p w14:paraId="5C23B853" w14:textId="77777777" w:rsidR="00E9354F" w:rsidRPr="001F75E2" w:rsidRDefault="00933550" w:rsidP="00C72F87">
            <w:r>
              <w:t>7</w:t>
            </w:r>
          </w:p>
        </w:tc>
        <w:tc>
          <w:tcPr>
            <w:tcW w:w="5329" w:type="dxa"/>
          </w:tcPr>
          <w:p w14:paraId="61633B64" w14:textId="77777777" w:rsidR="00E9354F" w:rsidRPr="00587D34" w:rsidRDefault="00933550" w:rsidP="000A68B1">
            <w:pPr>
              <w:pStyle w:val="NoSpacing"/>
              <w:rPr>
                <w:sz w:val="16"/>
                <w:szCs w:val="16"/>
              </w:rPr>
            </w:pPr>
            <w:r w:rsidRPr="00587D34">
              <w:rPr>
                <w:sz w:val="16"/>
                <w:szCs w:val="16"/>
              </w:rPr>
              <w:t>Developing control points for halal slaughtering of poultry. By Shahdan, I. A.; Regenstein, J. M.; Shahabuddin, A. S. M.; et al. POULTRY SCIENCE   Volume: 95   Issue: 7   Pages: 1680-1692   Published: JUL 2016</w:t>
            </w:r>
          </w:p>
        </w:tc>
      </w:tr>
      <w:tr w:rsidR="00E9354F" w14:paraId="4B278E96" w14:textId="77777777" w:rsidTr="00933550">
        <w:tc>
          <w:tcPr>
            <w:tcW w:w="3628" w:type="dxa"/>
          </w:tcPr>
          <w:p w14:paraId="5682FC3D" w14:textId="77777777" w:rsidR="00E9354F" w:rsidRPr="00D2619F" w:rsidRDefault="00E9354F" w:rsidP="00C72F87">
            <w:r w:rsidRPr="00D2619F">
              <w:t>Paper does not use EEG to gauge consciousness</w:t>
            </w:r>
          </w:p>
        </w:tc>
        <w:tc>
          <w:tcPr>
            <w:tcW w:w="1020" w:type="dxa"/>
          </w:tcPr>
          <w:p w14:paraId="7A138A4C" w14:textId="77777777" w:rsidR="00E9354F" w:rsidRPr="001F75E2" w:rsidRDefault="00E9354F" w:rsidP="00C72F87">
            <w:r w:rsidRPr="001F75E2">
              <w:t>7</w:t>
            </w:r>
          </w:p>
        </w:tc>
        <w:tc>
          <w:tcPr>
            <w:tcW w:w="5329" w:type="dxa"/>
          </w:tcPr>
          <w:p w14:paraId="5AAD7327" w14:textId="77777777" w:rsidR="00E9354F" w:rsidRPr="00587D34" w:rsidRDefault="00933550" w:rsidP="000A68B1">
            <w:pPr>
              <w:pStyle w:val="NoSpacing"/>
              <w:rPr>
                <w:sz w:val="16"/>
                <w:szCs w:val="16"/>
              </w:rPr>
            </w:pPr>
            <w:r w:rsidRPr="00587D34">
              <w:rPr>
                <w:sz w:val="16"/>
                <w:szCs w:val="16"/>
              </w:rPr>
              <w:t>Effect of electrical water bath stunning on physical reflexes of broilers: evaluation of stunning efficacy under field conditions. By Girasole, M.; Marrone, R.; Anastasio, A.; et al. POULTRY SCIENCE   Volume: 95   Issue: 5   Pages: 1205-1210   Published: MAY 2016</w:t>
            </w:r>
          </w:p>
        </w:tc>
      </w:tr>
      <w:tr w:rsidR="00E9354F" w14:paraId="0261A5EE" w14:textId="77777777" w:rsidTr="00933550">
        <w:tc>
          <w:tcPr>
            <w:tcW w:w="3628" w:type="dxa"/>
          </w:tcPr>
          <w:p w14:paraId="4795EE27" w14:textId="77777777" w:rsidR="00E9354F" w:rsidRDefault="00E9354F" w:rsidP="00C72F87">
            <w:r w:rsidRPr="00D2619F">
              <w:t>Other</w:t>
            </w:r>
          </w:p>
        </w:tc>
        <w:tc>
          <w:tcPr>
            <w:tcW w:w="1020" w:type="dxa"/>
          </w:tcPr>
          <w:p w14:paraId="5DDE29F4" w14:textId="77777777" w:rsidR="00E9354F" w:rsidRPr="001F75E2" w:rsidRDefault="00933550" w:rsidP="00C72F87">
            <w:r>
              <w:t>49</w:t>
            </w:r>
          </w:p>
        </w:tc>
        <w:tc>
          <w:tcPr>
            <w:tcW w:w="5329" w:type="dxa"/>
          </w:tcPr>
          <w:p w14:paraId="2EFC630A" w14:textId="77777777" w:rsidR="00933550" w:rsidRPr="00587D34" w:rsidRDefault="00933550" w:rsidP="000A68B1">
            <w:pPr>
              <w:pStyle w:val="NoSpacing"/>
              <w:rPr>
                <w:sz w:val="16"/>
                <w:szCs w:val="16"/>
                <w:lang w:val="en-GB"/>
              </w:rPr>
            </w:pPr>
            <w:r w:rsidRPr="00587D34">
              <w:rPr>
                <w:sz w:val="16"/>
                <w:szCs w:val="16"/>
              </w:rPr>
              <w:t>Assessment of welfare of Brazilian and Belgian broiler flocks using the Welfare Quality protocol</w:t>
            </w:r>
          </w:p>
          <w:p w14:paraId="2370319A" w14:textId="77777777" w:rsidR="00933550" w:rsidRPr="00587D34" w:rsidRDefault="00933550" w:rsidP="000A68B1">
            <w:pPr>
              <w:pStyle w:val="NoSpacing"/>
              <w:rPr>
                <w:sz w:val="16"/>
                <w:szCs w:val="16"/>
                <w:lang w:val="en-GB"/>
              </w:rPr>
            </w:pPr>
            <w:r w:rsidRPr="00587D34">
              <w:rPr>
                <w:sz w:val="16"/>
                <w:szCs w:val="16"/>
              </w:rPr>
              <w:t>By: Tuyttens, F. A. M.; Federici, J. F.; Vanderhasselt, R. F.; et al.</w:t>
            </w:r>
          </w:p>
          <w:p w14:paraId="222BB8EA" w14:textId="77777777" w:rsidR="00E9354F" w:rsidRPr="00587D34" w:rsidRDefault="00933550" w:rsidP="000A68B1">
            <w:pPr>
              <w:pStyle w:val="NoSpacing"/>
              <w:rPr>
                <w:sz w:val="16"/>
                <w:szCs w:val="16"/>
              </w:rPr>
            </w:pPr>
            <w:r w:rsidRPr="00587D34">
              <w:rPr>
                <w:sz w:val="16"/>
                <w:szCs w:val="16"/>
              </w:rPr>
              <w:t>POULTRY SCIENCE   Volume: 94   Issue: 8   Pages: 1758-1766   Published: AUG 2015</w:t>
            </w:r>
          </w:p>
        </w:tc>
      </w:tr>
    </w:tbl>
    <w:p w14:paraId="7727426C" w14:textId="77777777" w:rsidR="00E9354F" w:rsidRDefault="00E9354F" w:rsidP="00146AB8">
      <w:pPr>
        <w:rPr>
          <w:lang w:val="en-GB"/>
        </w:rPr>
      </w:pPr>
    </w:p>
    <w:p w14:paraId="382C1476" w14:textId="77777777" w:rsidR="00146AB8" w:rsidRPr="00933550" w:rsidRDefault="00146AB8" w:rsidP="00146AB8">
      <w:pPr>
        <w:rPr>
          <w:b/>
          <w:i/>
          <w:lang w:val="en-GB"/>
        </w:rPr>
      </w:pPr>
      <w:r w:rsidRPr="00933550">
        <w:rPr>
          <w:b/>
          <w:i/>
          <w:lang w:val="en-GB"/>
        </w:rPr>
        <w:t>Ducks</w:t>
      </w:r>
    </w:p>
    <w:p w14:paraId="0E19BA94" w14:textId="77777777" w:rsidR="00146AB8" w:rsidRPr="00146AB8" w:rsidRDefault="00146AB8" w:rsidP="00146AB8">
      <w:pPr>
        <w:rPr>
          <w:lang w:val="en-GB"/>
        </w:rPr>
      </w:pPr>
      <w:r w:rsidRPr="00146AB8">
        <w:rPr>
          <w:lang w:val="en-GB"/>
        </w:rPr>
        <w:t>Total returns: 30 (27)</w:t>
      </w:r>
    </w:p>
    <w:p w14:paraId="0C176CBA" w14:textId="77777777" w:rsidR="00146AB8" w:rsidRDefault="000A68B1" w:rsidP="00146AB8">
      <w:pPr>
        <w:rPr>
          <w:lang w:val="en-GB"/>
        </w:rPr>
      </w:pPr>
      <w:r>
        <w:rPr>
          <w:lang w:val="en-GB"/>
        </w:rPr>
        <w:t>Accepted papers: 10</w:t>
      </w:r>
    </w:p>
    <w:tbl>
      <w:tblPr>
        <w:tblStyle w:val="TableGrid"/>
        <w:tblW w:w="9977" w:type="dxa"/>
        <w:tblLook w:val="04A0" w:firstRow="1" w:lastRow="0" w:firstColumn="1" w:lastColumn="0" w:noHBand="0" w:noVBand="1"/>
        <w:tblCaption w:val="Papers excluded after the literature search for slaughter of ducks"/>
        <w:tblDescription w:val="This table shows the number of papers excluded after the literature search for slaughter of ducks. The left hand column shows the primary reason for exclusion. The middle column shows the number of papers excluded. The right hand column gives an example of a paper excluded for each reason."/>
      </w:tblPr>
      <w:tblGrid>
        <w:gridCol w:w="3628"/>
        <w:gridCol w:w="1020"/>
        <w:gridCol w:w="5329"/>
      </w:tblGrid>
      <w:tr w:rsidR="00530973" w14:paraId="04F3E4F5" w14:textId="77777777" w:rsidTr="000A68B1">
        <w:trPr>
          <w:tblHeader/>
        </w:trPr>
        <w:tc>
          <w:tcPr>
            <w:tcW w:w="3628" w:type="dxa"/>
          </w:tcPr>
          <w:p w14:paraId="79B2CE72" w14:textId="77777777" w:rsidR="00530973" w:rsidRPr="009928C2" w:rsidRDefault="00530973" w:rsidP="00C72F87">
            <w:pPr>
              <w:spacing w:before="60" w:line="240" w:lineRule="auto"/>
              <w:rPr>
                <w:rFonts w:cs="Arial"/>
                <w:b/>
                <w:color w:val="auto"/>
                <w:szCs w:val="18"/>
              </w:rPr>
            </w:pPr>
            <w:r w:rsidRPr="009928C2">
              <w:rPr>
                <w:rFonts w:cs="Arial"/>
                <w:b/>
                <w:color w:val="auto"/>
                <w:szCs w:val="18"/>
              </w:rPr>
              <w:t xml:space="preserve">Primary Reason for Exclusion </w:t>
            </w:r>
          </w:p>
        </w:tc>
        <w:tc>
          <w:tcPr>
            <w:tcW w:w="1020" w:type="dxa"/>
          </w:tcPr>
          <w:p w14:paraId="5BA6D211" w14:textId="77777777" w:rsidR="00530973" w:rsidRPr="00F67C8B" w:rsidRDefault="00530973" w:rsidP="00C72F87">
            <w:pPr>
              <w:spacing w:before="60" w:line="240" w:lineRule="auto"/>
              <w:rPr>
                <w:rFonts w:cs="Arial"/>
                <w:color w:val="auto"/>
                <w:szCs w:val="18"/>
              </w:rPr>
            </w:pPr>
            <w:r w:rsidRPr="00F67C8B">
              <w:rPr>
                <w:rFonts w:cs="Arial"/>
                <w:color w:val="auto"/>
                <w:szCs w:val="18"/>
              </w:rPr>
              <w:t>Number Excluded</w:t>
            </w:r>
          </w:p>
        </w:tc>
        <w:tc>
          <w:tcPr>
            <w:tcW w:w="5329" w:type="dxa"/>
          </w:tcPr>
          <w:p w14:paraId="29D5AA52" w14:textId="77777777" w:rsidR="00530973" w:rsidRPr="00F67C8B" w:rsidRDefault="00530973" w:rsidP="00C72F87">
            <w:pPr>
              <w:spacing w:before="60" w:line="240" w:lineRule="auto"/>
              <w:rPr>
                <w:rFonts w:cs="Arial"/>
                <w:color w:val="auto"/>
                <w:szCs w:val="18"/>
              </w:rPr>
            </w:pPr>
            <w:r w:rsidRPr="00F67C8B">
              <w:rPr>
                <w:rFonts w:cs="Arial"/>
                <w:i/>
                <w:color w:val="auto"/>
                <w:szCs w:val="18"/>
              </w:rPr>
              <w:t xml:space="preserve">Example </w:t>
            </w:r>
            <w:r w:rsidRPr="00F67C8B">
              <w:rPr>
                <w:rFonts w:cs="Arial"/>
                <w:color w:val="auto"/>
                <w:szCs w:val="18"/>
              </w:rPr>
              <w:t>of Paper Excluded for Each Reason</w:t>
            </w:r>
          </w:p>
        </w:tc>
      </w:tr>
      <w:tr w:rsidR="00E9354F" w14:paraId="2DCEFBD2" w14:textId="77777777" w:rsidTr="00933550">
        <w:tc>
          <w:tcPr>
            <w:tcW w:w="3628" w:type="dxa"/>
          </w:tcPr>
          <w:p w14:paraId="1BA34454" w14:textId="77777777" w:rsidR="00E9354F" w:rsidRPr="00EE7E90" w:rsidRDefault="00E9354F" w:rsidP="00C72F87">
            <w:r w:rsidRPr="00EE7E90">
              <w:t>Other species or subject</w:t>
            </w:r>
          </w:p>
        </w:tc>
        <w:tc>
          <w:tcPr>
            <w:tcW w:w="1020" w:type="dxa"/>
          </w:tcPr>
          <w:p w14:paraId="6180FC44" w14:textId="77777777" w:rsidR="00E9354F" w:rsidRPr="00E70C28" w:rsidRDefault="00E9354F" w:rsidP="00C72F87">
            <w:r w:rsidRPr="00E70C28">
              <w:t>3</w:t>
            </w:r>
          </w:p>
        </w:tc>
        <w:tc>
          <w:tcPr>
            <w:tcW w:w="5329" w:type="dxa"/>
          </w:tcPr>
          <w:p w14:paraId="2C5AADEC" w14:textId="77777777" w:rsidR="00E9354F" w:rsidRPr="00587D34" w:rsidRDefault="00E9354F" w:rsidP="000A68B1">
            <w:pPr>
              <w:pStyle w:val="NoSpacing"/>
              <w:rPr>
                <w:sz w:val="16"/>
                <w:szCs w:val="16"/>
              </w:rPr>
            </w:pPr>
            <w:r w:rsidRPr="00587D34">
              <w:rPr>
                <w:sz w:val="16"/>
                <w:szCs w:val="16"/>
              </w:rPr>
              <w:t>Environmental effects of the Deepwater Horizon oil spill: A review By: Beyer, Jonny; Trannum, Hilde C.; Bakke, Torgeir; et al. MARINE POLLUTION BULLETIN   Volume: 110   Issue: 1   Pages: 28-51   Published: SEP 15 2016</w:t>
            </w:r>
          </w:p>
        </w:tc>
      </w:tr>
      <w:tr w:rsidR="00E9354F" w14:paraId="4DE2F27F" w14:textId="77777777" w:rsidTr="00933550">
        <w:tc>
          <w:tcPr>
            <w:tcW w:w="3628" w:type="dxa"/>
          </w:tcPr>
          <w:p w14:paraId="789F6CE5" w14:textId="77777777" w:rsidR="00E9354F" w:rsidRPr="00EE7E90" w:rsidRDefault="00E9354F" w:rsidP="00C72F87">
            <w:r w:rsidRPr="00EE7E90">
              <w:t>Husbandry or transport</w:t>
            </w:r>
          </w:p>
        </w:tc>
        <w:tc>
          <w:tcPr>
            <w:tcW w:w="1020" w:type="dxa"/>
          </w:tcPr>
          <w:p w14:paraId="17218395" w14:textId="77777777" w:rsidR="00E9354F" w:rsidRPr="00E70C28" w:rsidRDefault="00E9354F" w:rsidP="00C72F87">
            <w:r w:rsidRPr="00E70C28">
              <w:t>4</w:t>
            </w:r>
          </w:p>
        </w:tc>
        <w:tc>
          <w:tcPr>
            <w:tcW w:w="5329" w:type="dxa"/>
          </w:tcPr>
          <w:p w14:paraId="7BC19E4D" w14:textId="77777777" w:rsidR="00E9354F" w:rsidRPr="00587D34" w:rsidRDefault="00E9354F" w:rsidP="000A68B1">
            <w:pPr>
              <w:pStyle w:val="NoSpacing"/>
              <w:rPr>
                <w:sz w:val="16"/>
                <w:szCs w:val="16"/>
              </w:rPr>
            </w:pPr>
            <w:r w:rsidRPr="00587D34">
              <w:rPr>
                <w:sz w:val="16"/>
                <w:szCs w:val="16"/>
              </w:rPr>
              <w:t>Mortality rates in poultry species and categories during transport for slaughter. By: Voslarova, E.; Janackova, B.; Rubesova, L.; et al. ACTA VETERINARIA BRNO   Volume: 76   Supplement: 8   Pages: S101-S108   Published: NOV 2007</w:t>
            </w:r>
          </w:p>
        </w:tc>
      </w:tr>
      <w:tr w:rsidR="00E9354F" w14:paraId="1E120373" w14:textId="77777777" w:rsidTr="00933550">
        <w:tc>
          <w:tcPr>
            <w:tcW w:w="3628" w:type="dxa"/>
          </w:tcPr>
          <w:p w14:paraId="167DDC2A" w14:textId="77777777" w:rsidR="00E9354F" w:rsidRPr="00EE7E90" w:rsidRDefault="00E9354F" w:rsidP="00C72F87">
            <w:r w:rsidRPr="00EE7E90">
              <w:t>Other biological investigation</w:t>
            </w:r>
          </w:p>
        </w:tc>
        <w:tc>
          <w:tcPr>
            <w:tcW w:w="1020" w:type="dxa"/>
          </w:tcPr>
          <w:p w14:paraId="7573EB8E" w14:textId="77777777" w:rsidR="00E9354F" w:rsidRPr="00E70C28" w:rsidRDefault="00E9354F" w:rsidP="00C72F87">
            <w:r w:rsidRPr="00E70C28">
              <w:t>6</w:t>
            </w:r>
          </w:p>
        </w:tc>
        <w:tc>
          <w:tcPr>
            <w:tcW w:w="5329" w:type="dxa"/>
          </w:tcPr>
          <w:p w14:paraId="7B209E8B" w14:textId="77777777" w:rsidR="00BB4964" w:rsidRPr="00587D34" w:rsidRDefault="00BB4964" w:rsidP="000A68B1">
            <w:pPr>
              <w:pStyle w:val="NoSpacing"/>
              <w:rPr>
                <w:sz w:val="16"/>
                <w:szCs w:val="16"/>
                <w:lang w:val="en-GB"/>
              </w:rPr>
            </w:pPr>
            <w:r w:rsidRPr="00587D34">
              <w:rPr>
                <w:sz w:val="16"/>
                <w:szCs w:val="16"/>
                <w:lang w:val="en-GB"/>
              </w:rPr>
              <w:t>Pathogeny of Fatigued Walking Condition in Pekin Ducks</w:t>
            </w:r>
          </w:p>
          <w:p w14:paraId="2D6F335B" w14:textId="77777777" w:rsidR="00E9354F" w:rsidRPr="00587D34" w:rsidRDefault="00BB4964" w:rsidP="000A68B1">
            <w:pPr>
              <w:pStyle w:val="NoSpacing"/>
              <w:rPr>
                <w:sz w:val="16"/>
                <w:szCs w:val="16"/>
              </w:rPr>
            </w:pPr>
            <w:r w:rsidRPr="00587D34">
              <w:rPr>
                <w:sz w:val="16"/>
                <w:szCs w:val="16"/>
                <w:lang w:val="en-GB"/>
              </w:rPr>
              <w:t>By: Da Costa, M. J.; Oviedo-Rondon, E. O.; Wineland, M.; et al. AVIAN DISEASES   Volume: 60   Issue: 4   Pages: 731-738   Published: DEC 2016</w:t>
            </w:r>
          </w:p>
        </w:tc>
      </w:tr>
      <w:tr w:rsidR="00E9354F" w14:paraId="4495FB42" w14:textId="77777777" w:rsidTr="00933550">
        <w:tc>
          <w:tcPr>
            <w:tcW w:w="3628" w:type="dxa"/>
          </w:tcPr>
          <w:p w14:paraId="341B2101" w14:textId="77777777" w:rsidR="00E9354F" w:rsidRDefault="00E9354F" w:rsidP="00C72F87">
            <w:r w:rsidRPr="00EE7E90">
              <w:t>Meat quality</w:t>
            </w:r>
          </w:p>
        </w:tc>
        <w:tc>
          <w:tcPr>
            <w:tcW w:w="1020" w:type="dxa"/>
          </w:tcPr>
          <w:p w14:paraId="0FCDEF1E" w14:textId="77777777" w:rsidR="00E9354F" w:rsidRDefault="00E9354F" w:rsidP="00C72F87">
            <w:r w:rsidRPr="00E70C28">
              <w:t>4</w:t>
            </w:r>
          </w:p>
        </w:tc>
        <w:tc>
          <w:tcPr>
            <w:tcW w:w="5329" w:type="dxa"/>
          </w:tcPr>
          <w:p w14:paraId="6A5B1DE0" w14:textId="77777777" w:rsidR="00E9354F" w:rsidRPr="00587D34" w:rsidRDefault="00BB4964" w:rsidP="000A68B1">
            <w:pPr>
              <w:pStyle w:val="NoSpacing"/>
              <w:rPr>
                <w:sz w:val="16"/>
                <w:szCs w:val="16"/>
              </w:rPr>
            </w:pPr>
            <w:r w:rsidRPr="00587D34">
              <w:rPr>
                <w:sz w:val="16"/>
                <w:szCs w:val="16"/>
              </w:rPr>
              <w:t>Effects of transport stress and rest before slaughter on blood parameters and meat quality of ducks. By: Zhu, Zhen; Chen, Yang; Huang, Zhengyang; et al. CANADIAN JOURNAL OF ANIMAL SCIENCE   Volume: 94   Issue: 4   Pages: 595-600   Published: DEC 2014</w:t>
            </w:r>
          </w:p>
        </w:tc>
      </w:tr>
    </w:tbl>
    <w:p w14:paraId="48D4E77F" w14:textId="77777777" w:rsidR="00E9354F" w:rsidRDefault="00E9354F" w:rsidP="00146AB8">
      <w:pPr>
        <w:rPr>
          <w:lang w:val="en-GB"/>
        </w:rPr>
      </w:pPr>
    </w:p>
    <w:p w14:paraId="2AC1C8C8" w14:textId="77777777" w:rsidR="00146AB8" w:rsidRPr="00933550" w:rsidRDefault="00146AB8" w:rsidP="00146AB8">
      <w:pPr>
        <w:rPr>
          <w:b/>
          <w:i/>
          <w:lang w:val="en-GB"/>
        </w:rPr>
      </w:pPr>
      <w:r w:rsidRPr="00933550">
        <w:rPr>
          <w:b/>
          <w:i/>
          <w:lang w:val="en-GB"/>
        </w:rPr>
        <w:t>Geese</w:t>
      </w:r>
    </w:p>
    <w:p w14:paraId="67406BBB" w14:textId="77777777" w:rsidR="00146AB8" w:rsidRPr="00146AB8" w:rsidRDefault="00146AB8" w:rsidP="00146AB8">
      <w:pPr>
        <w:rPr>
          <w:lang w:val="en-GB"/>
        </w:rPr>
      </w:pPr>
      <w:r w:rsidRPr="00146AB8">
        <w:rPr>
          <w:lang w:val="en-GB"/>
        </w:rPr>
        <w:t>Total returns: 13 (12)</w:t>
      </w:r>
    </w:p>
    <w:p w14:paraId="2D71E54A" w14:textId="77777777" w:rsidR="00146AB8" w:rsidRDefault="000A68B1" w:rsidP="00146AB8">
      <w:pPr>
        <w:rPr>
          <w:lang w:val="en-GB"/>
        </w:rPr>
      </w:pPr>
      <w:r>
        <w:rPr>
          <w:lang w:val="en-GB"/>
        </w:rPr>
        <w:t xml:space="preserve">Accepted papers: </w:t>
      </w:r>
      <w:r w:rsidR="00146AB8" w:rsidRPr="00146AB8">
        <w:rPr>
          <w:lang w:val="en-GB"/>
        </w:rPr>
        <w:t>1</w:t>
      </w:r>
    </w:p>
    <w:tbl>
      <w:tblPr>
        <w:tblStyle w:val="TableGrid"/>
        <w:tblW w:w="9977" w:type="dxa"/>
        <w:tblLook w:val="04A0" w:firstRow="1" w:lastRow="0" w:firstColumn="1" w:lastColumn="0" w:noHBand="0" w:noVBand="1"/>
        <w:tblCaption w:val="Papers excluded after the literature search for slaughter of geese"/>
        <w:tblDescription w:val="This table shows the number of papers excluded after the literature search for slaughter of geese. The left hand column shows the primary reason for exclusion. The middle column shows the number of papers excluded. The right hand column gives an example of a paper excluded for each reason."/>
      </w:tblPr>
      <w:tblGrid>
        <w:gridCol w:w="3628"/>
        <w:gridCol w:w="1020"/>
        <w:gridCol w:w="5329"/>
      </w:tblGrid>
      <w:tr w:rsidR="00530973" w14:paraId="18A32403" w14:textId="77777777" w:rsidTr="000A68B1">
        <w:trPr>
          <w:tblHeader/>
        </w:trPr>
        <w:tc>
          <w:tcPr>
            <w:tcW w:w="3628" w:type="dxa"/>
          </w:tcPr>
          <w:p w14:paraId="05760122" w14:textId="77777777" w:rsidR="00530973" w:rsidRPr="009928C2" w:rsidRDefault="00530973" w:rsidP="00C72F87">
            <w:pPr>
              <w:spacing w:before="60" w:line="240" w:lineRule="auto"/>
              <w:rPr>
                <w:rFonts w:cs="Arial"/>
                <w:b/>
                <w:color w:val="auto"/>
                <w:szCs w:val="18"/>
              </w:rPr>
            </w:pPr>
            <w:r w:rsidRPr="009928C2">
              <w:rPr>
                <w:rFonts w:cs="Arial"/>
                <w:b/>
                <w:color w:val="auto"/>
                <w:szCs w:val="18"/>
              </w:rPr>
              <w:t xml:space="preserve">Primary Reason for Exclusion </w:t>
            </w:r>
          </w:p>
        </w:tc>
        <w:tc>
          <w:tcPr>
            <w:tcW w:w="1020" w:type="dxa"/>
          </w:tcPr>
          <w:p w14:paraId="1B162023" w14:textId="77777777" w:rsidR="00530973" w:rsidRPr="00F67C8B" w:rsidRDefault="00530973" w:rsidP="00C72F87">
            <w:pPr>
              <w:spacing w:before="60" w:line="240" w:lineRule="auto"/>
              <w:rPr>
                <w:rFonts w:cs="Arial"/>
                <w:color w:val="auto"/>
                <w:szCs w:val="18"/>
              </w:rPr>
            </w:pPr>
            <w:r w:rsidRPr="00F67C8B">
              <w:rPr>
                <w:rFonts w:cs="Arial"/>
                <w:color w:val="auto"/>
                <w:szCs w:val="18"/>
              </w:rPr>
              <w:t>Number Excluded</w:t>
            </w:r>
          </w:p>
        </w:tc>
        <w:tc>
          <w:tcPr>
            <w:tcW w:w="5329" w:type="dxa"/>
          </w:tcPr>
          <w:p w14:paraId="3ADBADB1" w14:textId="77777777" w:rsidR="00530973" w:rsidRPr="00F67C8B" w:rsidRDefault="00530973" w:rsidP="00C72F87">
            <w:pPr>
              <w:spacing w:before="60" w:line="240" w:lineRule="auto"/>
              <w:rPr>
                <w:rFonts w:cs="Arial"/>
                <w:color w:val="auto"/>
                <w:szCs w:val="18"/>
              </w:rPr>
            </w:pPr>
            <w:r w:rsidRPr="00F67C8B">
              <w:rPr>
                <w:rFonts w:cs="Arial"/>
                <w:i/>
                <w:color w:val="auto"/>
                <w:szCs w:val="18"/>
              </w:rPr>
              <w:t xml:space="preserve">Example </w:t>
            </w:r>
            <w:r w:rsidRPr="00F67C8B">
              <w:rPr>
                <w:rFonts w:cs="Arial"/>
                <w:color w:val="auto"/>
                <w:szCs w:val="18"/>
              </w:rPr>
              <w:t>of Paper Excluded for Each Reason</w:t>
            </w:r>
          </w:p>
        </w:tc>
      </w:tr>
      <w:tr w:rsidR="00E9354F" w14:paraId="444097CB" w14:textId="77777777" w:rsidTr="00933550">
        <w:tc>
          <w:tcPr>
            <w:tcW w:w="3628" w:type="dxa"/>
          </w:tcPr>
          <w:p w14:paraId="45A95038" w14:textId="77777777" w:rsidR="00E9354F" w:rsidRPr="003343EE" w:rsidRDefault="00E9354F" w:rsidP="00C72F87">
            <w:r w:rsidRPr="003343EE">
              <w:t>Other species or subject</w:t>
            </w:r>
          </w:p>
        </w:tc>
        <w:tc>
          <w:tcPr>
            <w:tcW w:w="1020" w:type="dxa"/>
          </w:tcPr>
          <w:p w14:paraId="0B7758FA" w14:textId="77777777" w:rsidR="00E9354F" w:rsidRPr="00105A3E" w:rsidRDefault="00E9354F" w:rsidP="00C72F87">
            <w:r w:rsidRPr="00105A3E">
              <w:t>2</w:t>
            </w:r>
          </w:p>
        </w:tc>
        <w:tc>
          <w:tcPr>
            <w:tcW w:w="5329" w:type="dxa"/>
          </w:tcPr>
          <w:p w14:paraId="7C9D201F" w14:textId="77777777" w:rsidR="00BB4964" w:rsidRPr="00587D34" w:rsidRDefault="00BB4964" w:rsidP="000A68B1">
            <w:pPr>
              <w:pStyle w:val="NoSpacing"/>
              <w:rPr>
                <w:sz w:val="16"/>
                <w:szCs w:val="16"/>
                <w:lang w:val="en-GB"/>
              </w:rPr>
            </w:pPr>
            <w:r w:rsidRPr="00587D34">
              <w:rPr>
                <w:sz w:val="16"/>
                <w:szCs w:val="16"/>
                <w:lang w:val="en-GB"/>
              </w:rPr>
              <w:t>Recovery of a northern New England salt marsh plant community from winter icing. By: Ewanchuk, PJ; Bertness, MD</w:t>
            </w:r>
          </w:p>
          <w:p w14:paraId="32E63308" w14:textId="77777777" w:rsidR="00E9354F" w:rsidRPr="00587D34" w:rsidRDefault="00BB4964" w:rsidP="000A68B1">
            <w:pPr>
              <w:pStyle w:val="NoSpacing"/>
              <w:rPr>
                <w:sz w:val="16"/>
                <w:szCs w:val="16"/>
              </w:rPr>
            </w:pPr>
            <w:r w:rsidRPr="00587D34">
              <w:rPr>
                <w:sz w:val="16"/>
                <w:szCs w:val="16"/>
                <w:lang w:val="en-GB"/>
              </w:rPr>
              <w:t>OECOLOGIA   Volume: 136   Issue: 4   Pages: 616-626   Published: AUG 2003</w:t>
            </w:r>
          </w:p>
        </w:tc>
      </w:tr>
      <w:tr w:rsidR="00E9354F" w14:paraId="79CF146D" w14:textId="77777777" w:rsidTr="00933550">
        <w:tc>
          <w:tcPr>
            <w:tcW w:w="3628" w:type="dxa"/>
          </w:tcPr>
          <w:p w14:paraId="7D0C1112" w14:textId="77777777" w:rsidR="00E9354F" w:rsidRPr="003343EE" w:rsidRDefault="00E9354F" w:rsidP="00C72F87">
            <w:r w:rsidRPr="003343EE">
              <w:t>Husbandry or transport</w:t>
            </w:r>
          </w:p>
        </w:tc>
        <w:tc>
          <w:tcPr>
            <w:tcW w:w="1020" w:type="dxa"/>
          </w:tcPr>
          <w:p w14:paraId="52F7E6EF" w14:textId="77777777" w:rsidR="00E9354F" w:rsidRPr="00105A3E" w:rsidRDefault="00E9354F" w:rsidP="00C72F87">
            <w:r w:rsidRPr="00105A3E">
              <w:t>2</w:t>
            </w:r>
          </w:p>
        </w:tc>
        <w:tc>
          <w:tcPr>
            <w:tcW w:w="5329" w:type="dxa"/>
          </w:tcPr>
          <w:p w14:paraId="0B63415C" w14:textId="77777777" w:rsidR="00E9354F" w:rsidRPr="00587D34" w:rsidRDefault="00BB4964" w:rsidP="000A68B1">
            <w:pPr>
              <w:pStyle w:val="NoSpacing"/>
              <w:rPr>
                <w:sz w:val="16"/>
                <w:szCs w:val="16"/>
              </w:rPr>
            </w:pPr>
            <w:r w:rsidRPr="00587D34">
              <w:rPr>
                <w:sz w:val="16"/>
                <w:szCs w:val="16"/>
              </w:rPr>
              <w:t>Duration of transport and holding in lairage at constant postprandial delay to slaughter-Effects on fatty liver and breast muscle quality in mule ducks. By: Fernandez, X.; Bouillier-Oudot, M.; Molette, C.; et al. POULTRY SCIENCE   Volume: 90   Issue: 10   Pages: 2360-2369   Published: OCT 1 2011</w:t>
            </w:r>
          </w:p>
        </w:tc>
      </w:tr>
      <w:tr w:rsidR="00E9354F" w14:paraId="004B7BCE" w14:textId="77777777" w:rsidTr="00933550">
        <w:tc>
          <w:tcPr>
            <w:tcW w:w="3628" w:type="dxa"/>
          </w:tcPr>
          <w:p w14:paraId="184F87AC" w14:textId="77777777" w:rsidR="00E9354F" w:rsidRPr="003343EE" w:rsidRDefault="00E9354F" w:rsidP="00C72F87">
            <w:r w:rsidRPr="003343EE">
              <w:t>Other biological investigation</w:t>
            </w:r>
          </w:p>
        </w:tc>
        <w:tc>
          <w:tcPr>
            <w:tcW w:w="1020" w:type="dxa"/>
          </w:tcPr>
          <w:p w14:paraId="3E147E84" w14:textId="77777777" w:rsidR="00E9354F" w:rsidRPr="00105A3E" w:rsidRDefault="00E9354F" w:rsidP="00C72F87">
            <w:r w:rsidRPr="00105A3E">
              <w:t>5</w:t>
            </w:r>
          </w:p>
        </w:tc>
        <w:tc>
          <w:tcPr>
            <w:tcW w:w="5329" w:type="dxa"/>
          </w:tcPr>
          <w:p w14:paraId="33466E2A" w14:textId="77777777" w:rsidR="00BB4964" w:rsidRPr="00587D34" w:rsidRDefault="00BB4964" w:rsidP="000A68B1">
            <w:pPr>
              <w:pStyle w:val="NoSpacing"/>
              <w:rPr>
                <w:sz w:val="16"/>
                <w:szCs w:val="16"/>
                <w:lang w:val="en-GB"/>
              </w:rPr>
            </w:pPr>
            <w:r w:rsidRPr="00587D34">
              <w:rPr>
                <w:sz w:val="16"/>
                <w:szCs w:val="16"/>
                <w:lang w:val="en-GB"/>
              </w:rPr>
              <w:t>Attempts on freezing the Greylag (</w:t>
            </w:r>
            <w:r w:rsidRPr="00587D34">
              <w:rPr>
                <w:i/>
                <w:sz w:val="16"/>
                <w:szCs w:val="16"/>
                <w:lang w:val="en-GB"/>
              </w:rPr>
              <w:t>Anser anser</w:t>
            </w:r>
            <w:r w:rsidRPr="00587D34">
              <w:rPr>
                <w:sz w:val="16"/>
                <w:szCs w:val="16"/>
                <w:lang w:val="en-GB"/>
              </w:rPr>
              <w:t xml:space="preserve"> L) gander semen</w:t>
            </w:r>
          </w:p>
          <w:p w14:paraId="2FFCFD6D" w14:textId="77777777" w:rsidR="00BB4964" w:rsidRPr="00587D34" w:rsidRDefault="00BB4964" w:rsidP="000A68B1">
            <w:pPr>
              <w:pStyle w:val="NoSpacing"/>
              <w:rPr>
                <w:sz w:val="16"/>
                <w:szCs w:val="16"/>
                <w:lang w:val="en-GB"/>
              </w:rPr>
            </w:pPr>
            <w:r w:rsidRPr="00587D34">
              <w:rPr>
                <w:sz w:val="16"/>
                <w:szCs w:val="16"/>
                <w:lang w:val="en-GB"/>
              </w:rPr>
              <w:t>By: Lukaszewicz, E; Chrzanowska, M; Jerysz, A; et al.</w:t>
            </w:r>
          </w:p>
          <w:p w14:paraId="179312F8" w14:textId="77777777" w:rsidR="00E9354F" w:rsidRPr="00587D34" w:rsidRDefault="00BB4964" w:rsidP="000A68B1">
            <w:pPr>
              <w:pStyle w:val="NoSpacing"/>
              <w:rPr>
                <w:sz w:val="16"/>
                <w:szCs w:val="16"/>
              </w:rPr>
            </w:pPr>
            <w:r w:rsidRPr="00587D34">
              <w:rPr>
                <w:sz w:val="16"/>
                <w:szCs w:val="16"/>
                <w:lang w:val="en-GB"/>
              </w:rPr>
              <w:t>ANIMAL REPRODUCTION SCIENCE   Volume: 80   Issue: 1-2   Pages: 163-173   Published: JAN 2004</w:t>
            </w:r>
          </w:p>
        </w:tc>
      </w:tr>
      <w:tr w:rsidR="00E9354F" w14:paraId="1F9D8790" w14:textId="77777777" w:rsidTr="00933550">
        <w:tc>
          <w:tcPr>
            <w:tcW w:w="3628" w:type="dxa"/>
          </w:tcPr>
          <w:p w14:paraId="6AD93ACA" w14:textId="77777777" w:rsidR="00E9354F" w:rsidRDefault="00E9354F" w:rsidP="00C72F87">
            <w:r w:rsidRPr="003343EE">
              <w:t>Meat quality</w:t>
            </w:r>
          </w:p>
        </w:tc>
        <w:tc>
          <w:tcPr>
            <w:tcW w:w="1020" w:type="dxa"/>
          </w:tcPr>
          <w:p w14:paraId="2AB156FD" w14:textId="77777777" w:rsidR="00E9354F" w:rsidRDefault="00E9354F" w:rsidP="00C72F87">
            <w:r w:rsidRPr="00105A3E">
              <w:t>2</w:t>
            </w:r>
          </w:p>
        </w:tc>
        <w:tc>
          <w:tcPr>
            <w:tcW w:w="5329" w:type="dxa"/>
          </w:tcPr>
          <w:p w14:paraId="7062F6A8" w14:textId="77777777" w:rsidR="00E9354F" w:rsidRPr="00587D34" w:rsidRDefault="00BB4964" w:rsidP="000A68B1">
            <w:pPr>
              <w:pStyle w:val="NoSpacing"/>
              <w:rPr>
                <w:sz w:val="16"/>
                <w:szCs w:val="16"/>
              </w:rPr>
            </w:pPr>
            <w:r w:rsidRPr="00587D34">
              <w:rPr>
                <w:sz w:val="16"/>
                <w:szCs w:val="16"/>
              </w:rPr>
              <w:t>The effects of electrical and controlled atmosphere stunning methods on meat and liver quality of geese By: Turcsan, Z; Szigeti, J; Varga, L; et al. POULTRY SCIENCE   Volume: 80   Issue: 11   Pages: 1647-1651   Published: NOV 2001</w:t>
            </w:r>
          </w:p>
        </w:tc>
      </w:tr>
    </w:tbl>
    <w:p w14:paraId="796674F4" w14:textId="77777777" w:rsidR="00E9354F" w:rsidRDefault="00E9354F" w:rsidP="00146AB8">
      <w:pPr>
        <w:rPr>
          <w:lang w:val="en-GB"/>
        </w:rPr>
      </w:pPr>
    </w:p>
    <w:p w14:paraId="6AA1A614" w14:textId="77777777" w:rsidR="00146AB8" w:rsidRPr="00933550" w:rsidRDefault="00146AB8" w:rsidP="00146AB8">
      <w:pPr>
        <w:rPr>
          <w:b/>
          <w:i/>
          <w:lang w:val="en-GB"/>
        </w:rPr>
      </w:pPr>
      <w:r w:rsidRPr="00933550">
        <w:rPr>
          <w:b/>
          <w:i/>
          <w:lang w:val="en-GB"/>
        </w:rPr>
        <w:t>Turkeys</w:t>
      </w:r>
    </w:p>
    <w:p w14:paraId="566D4DC4" w14:textId="77777777" w:rsidR="00146AB8" w:rsidRPr="00146AB8" w:rsidRDefault="000A68B1" w:rsidP="00146AB8">
      <w:pPr>
        <w:rPr>
          <w:lang w:val="en-GB"/>
        </w:rPr>
      </w:pPr>
      <w:r>
        <w:rPr>
          <w:lang w:val="en-GB"/>
        </w:rPr>
        <w:t xml:space="preserve">Total returns: </w:t>
      </w:r>
      <w:r w:rsidR="00146AB8" w:rsidRPr="00146AB8">
        <w:rPr>
          <w:lang w:val="en-GB"/>
        </w:rPr>
        <w:t>155 (141)</w:t>
      </w:r>
    </w:p>
    <w:p w14:paraId="3A4D45C0" w14:textId="77777777" w:rsidR="00146AB8" w:rsidRDefault="000A68B1" w:rsidP="00146AB8">
      <w:pPr>
        <w:rPr>
          <w:lang w:val="en-GB"/>
        </w:rPr>
      </w:pPr>
      <w:r>
        <w:rPr>
          <w:lang w:val="en-GB"/>
        </w:rPr>
        <w:t xml:space="preserve">Accepted papers: </w:t>
      </w:r>
      <w:r w:rsidR="00146AB8" w:rsidRPr="00146AB8">
        <w:rPr>
          <w:lang w:val="en-GB"/>
        </w:rPr>
        <w:t>22. These are of variable quality.</w:t>
      </w:r>
    </w:p>
    <w:tbl>
      <w:tblPr>
        <w:tblStyle w:val="TableGrid"/>
        <w:tblW w:w="9977" w:type="dxa"/>
        <w:tblLook w:val="04A0" w:firstRow="1" w:lastRow="0" w:firstColumn="1" w:lastColumn="0" w:noHBand="0" w:noVBand="1"/>
        <w:tblCaption w:val="Papers excluded after the literature search for slaughter of turkeys"/>
        <w:tblDescription w:val="This table shows the number of papers excluded after the literature search for slaughter of turkeys. The left hand column shows the primary reason for exclusion. The middle column shows the number of papers excluded. The right hand column gives an example of a paper excluded for each reason."/>
      </w:tblPr>
      <w:tblGrid>
        <w:gridCol w:w="3628"/>
        <w:gridCol w:w="1020"/>
        <w:gridCol w:w="5329"/>
      </w:tblGrid>
      <w:tr w:rsidR="00530973" w14:paraId="6699D8CC" w14:textId="77777777" w:rsidTr="000A68B1">
        <w:trPr>
          <w:tblHeader/>
        </w:trPr>
        <w:tc>
          <w:tcPr>
            <w:tcW w:w="3628" w:type="dxa"/>
          </w:tcPr>
          <w:p w14:paraId="41799FA8" w14:textId="77777777" w:rsidR="00530973" w:rsidRPr="009928C2" w:rsidRDefault="00530973" w:rsidP="00C72F87">
            <w:pPr>
              <w:spacing w:before="60" w:line="240" w:lineRule="auto"/>
              <w:rPr>
                <w:rFonts w:cs="Arial"/>
                <w:b/>
                <w:color w:val="auto"/>
                <w:szCs w:val="18"/>
              </w:rPr>
            </w:pPr>
            <w:r w:rsidRPr="009928C2">
              <w:rPr>
                <w:rFonts w:cs="Arial"/>
                <w:b/>
                <w:color w:val="auto"/>
                <w:szCs w:val="18"/>
              </w:rPr>
              <w:t xml:space="preserve">Primary Reason for Exclusion </w:t>
            </w:r>
          </w:p>
        </w:tc>
        <w:tc>
          <w:tcPr>
            <w:tcW w:w="1020" w:type="dxa"/>
          </w:tcPr>
          <w:p w14:paraId="71EEBFC1" w14:textId="77777777" w:rsidR="00530973" w:rsidRPr="00F67C8B" w:rsidRDefault="00530973" w:rsidP="00C72F87">
            <w:pPr>
              <w:spacing w:before="60" w:line="240" w:lineRule="auto"/>
              <w:rPr>
                <w:rFonts w:cs="Arial"/>
                <w:color w:val="auto"/>
                <w:szCs w:val="18"/>
              </w:rPr>
            </w:pPr>
            <w:r w:rsidRPr="00F67C8B">
              <w:rPr>
                <w:rFonts w:cs="Arial"/>
                <w:color w:val="auto"/>
                <w:szCs w:val="18"/>
              </w:rPr>
              <w:t>Number Excluded</w:t>
            </w:r>
          </w:p>
        </w:tc>
        <w:tc>
          <w:tcPr>
            <w:tcW w:w="5329" w:type="dxa"/>
          </w:tcPr>
          <w:p w14:paraId="6F3F3324" w14:textId="77777777" w:rsidR="00530973" w:rsidRPr="00F67C8B" w:rsidRDefault="00530973" w:rsidP="00C72F87">
            <w:pPr>
              <w:spacing w:before="60" w:line="240" w:lineRule="auto"/>
              <w:rPr>
                <w:rFonts w:cs="Arial"/>
                <w:color w:val="auto"/>
                <w:szCs w:val="18"/>
              </w:rPr>
            </w:pPr>
            <w:r w:rsidRPr="00F67C8B">
              <w:rPr>
                <w:rFonts w:cs="Arial"/>
                <w:i/>
                <w:color w:val="auto"/>
                <w:szCs w:val="18"/>
              </w:rPr>
              <w:t xml:space="preserve">Example </w:t>
            </w:r>
            <w:r w:rsidRPr="00F67C8B">
              <w:rPr>
                <w:rFonts w:cs="Arial"/>
                <w:color w:val="auto"/>
                <w:szCs w:val="18"/>
              </w:rPr>
              <w:t>of Paper Excluded for Each Reason</w:t>
            </w:r>
          </w:p>
        </w:tc>
      </w:tr>
      <w:tr w:rsidR="00E9354F" w14:paraId="0700C1BF" w14:textId="77777777" w:rsidTr="00933550">
        <w:tc>
          <w:tcPr>
            <w:tcW w:w="3628" w:type="dxa"/>
          </w:tcPr>
          <w:p w14:paraId="371EF987" w14:textId="77777777" w:rsidR="00E9354F" w:rsidRPr="00435EAF" w:rsidRDefault="00E9354F" w:rsidP="00C72F87">
            <w:r w:rsidRPr="00435EAF">
              <w:t>Other species or subject</w:t>
            </w:r>
          </w:p>
        </w:tc>
        <w:tc>
          <w:tcPr>
            <w:tcW w:w="1020" w:type="dxa"/>
          </w:tcPr>
          <w:p w14:paraId="3A578DB4" w14:textId="77777777" w:rsidR="00E9354F" w:rsidRPr="0001742F" w:rsidRDefault="00E9354F" w:rsidP="00C72F87">
            <w:r w:rsidRPr="0001742F">
              <w:t>46</w:t>
            </w:r>
          </w:p>
        </w:tc>
        <w:tc>
          <w:tcPr>
            <w:tcW w:w="5329" w:type="dxa"/>
          </w:tcPr>
          <w:p w14:paraId="4BE40E2D" w14:textId="77777777" w:rsidR="00E9354F" w:rsidRPr="00587D34" w:rsidRDefault="00E9354F" w:rsidP="000A68B1">
            <w:pPr>
              <w:pStyle w:val="NoSpacing"/>
              <w:rPr>
                <w:sz w:val="16"/>
                <w:szCs w:val="16"/>
              </w:rPr>
            </w:pPr>
            <w:r w:rsidRPr="00587D34">
              <w:rPr>
                <w:sz w:val="16"/>
                <w:szCs w:val="16"/>
              </w:rPr>
              <w:t>ASSOCIATION OF SINGLE NUCLEOTIDE POLYMORPHISMS IN THE FABP4 GENE WITH CARCASS CHARACTERISTICS AND MEAT QUALITY IN HOLSTEIN BULLS By: Ardicli, Sena; Samli, Hale; Alpay, Fazli; et al. ANNALS OF ANIMAL SCIENCE   Volume: 17   Issue: 1   Pages: 117-130   Published: JAN 2017</w:t>
            </w:r>
          </w:p>
        </w:tc>
      </w:tr>
      <w:tr w:rsidR="00E9354F" w14:paraId="2382F340" w14:textId="77777777" w:rsidTr="00933550">
        <w:tc>
          <w:tcPr>
            <w:tcW w:w="3628" w:type="dxa"/>
          </w:tcPr>
          <w:p w14:paraId="4315775B" w14:textId="77777777" w:rsidR="00E9354F" w:rsidRPr="00435EAF" w:rsidRDefault="00E9354F" w:rsidP="00C72F87">
            <w:r w:rsidRPr="00435EAF">
              <w:t>Husbandry or transport</w:t>
            </w:r>
          </w:p>
        </w:tc>
        <w:tc>
          <w:tcPr>
            <w:tcW w:w="1020" w:type="dxa"/>
          </w:tcPr>
          <w:p w14:paraId="2990B607" w14:textId="77777777" w:rsidR="00E9354F" w:rsidRPr="0001742F" w:rsidRDefault="00E9354F" w:rsidP="00C72F87">
            <w:r w:rsidRPr="0001742F">
              <w:t>31</w:t>
            </w:r>
          </w:p>
        </w:tc>
        <w:tc>
          <w:tcPr>
            <w:tcW w:w="5329" w:type="dxa"/>
          </w:tcPr>
          <w:p w14:paraId="2FA3E776" w14:textId="77777777" w:rsidR="00BB4964" w:rsidRPr="00587D34" w:rsidRDefault="00BB4964" w:rsidP="000A68B1">
            <w:pPr>
              <w:pStyle w:val="NoSpacing"/>
              <w:rPr>
                <w:sz w:val="16"/>
                <w:szCs w:val="16"/>
                <w:lang w:val="en-GB"/>
              </w:rPr>
            </w:pPr>
            <w:r w:rsidRPr="00587D34">
              <w:rPr>
                <w:sz w:val="16"/>
                <w:szCs w:val="16"/>
              </w:rPr>
              <w:t>Effect of litter quality on foot pad dermatitis, hock burns and breast blisters in broiler breeders during theproduction period</w:t>
            </w:r>
          </w:p>
          <w:p w14:paraId="3DF36732" w14:textId="77777777" w:rsidR="00BB4964" w:rsidRPr="00587D34" w:rsidRDefault="00BB4964" w:rsidP="000A68B1">
            <w:pPr>
              <w:pStyle w:val="NoSpacing"/>
              <w:rPr>
                <w:sz w:val="16"/>
                <w:szCs w:val="16"/>
                <w:lang w:val="en-GB"/>
              </w:rPr>
            </w:pPr>
            <w:r w:rsidRPr="00587D34">
              <w:rPr>
                <w:sz w:val="16"/>
                <w:szCs w:val="16"/>
                <w:lang w:val="en-GB"/>
              </w:rPr>
              <w:t>By: Kaukonen, Eija; Norring, Marianna; Valros, Anna</w:t>
            </w:r>
          </w:p>
          <w:p w14:paraId="3DCAAE06" w14:textId="77777777" w:rsidR="00E9354F" w:rsidRPr="00587D34" w:rsidRDefault="00BB4964" w:rsidP="000A68B1">
            <w:pPr>
              <w:pStyle w:val="NoSpacing"/>
              <w:rPr>
                <w:sz w:val="16"/>
                <w:szCs w:val="16"/>
              </w:rPr>
            </w:pPr>
            <w:bookmarkStart w:id="408" w:name="show_journal_overlay_link_11"/>
            <w:bookmarkEnd w:id="408"/>
            <w:r w:rsidRPr="00587D34">
              <w:rPr>
                <w:sz w:val="16"/>
                <w:szCs w:val="16"/>
                <w:lang w:val="en-GB"/>
              </w:rPr>
              <w:t>AVIAN PATHOLOGY Volume: 45 Issue:6 Pages:667-673 Published:2016</w:t>
            </w:r>
          </w:p>
        </w:tc>
      </w:tr>
      <w:tr w:rsidR="00E9354F" w14:paraId="6FE3B818" w14:textId="77777777" w:rsidTr="00933550">
        <w:tc>
          <w:tcPr>
            <w:tcW w:w="3628" w:type="dxa"/>
          </w:tcPr>
          <w:p w14:paraId="71BA9445" w14:textId="77777777" w:rsidR="00E9354F" w:rsidRPr="00435EAF" w:rsidRDefault="00E9354F" w:rsidP="00C72F87">
            <w:r w:rsidRPr="00435EAF">
              <w:t>Other biological investigation</w:t>
            </w:r>
          </w:p>
        </w:tc>
        <w:tc>
          <w:tcPr>
            <w:tcW w:w="1020" w:type="dxa"/>
          </w:tcPr>
          <w:p w14:paraId="1DD719D9" w14:textId="77777777" w:rsidR="00E9354F" w:rsidRPr="0001742F" w:rsidRDefault="00E9354F" w:rsidP="00C72F87">
            <w:r w:rsidRPr="0001742F">
              <w:t>19</w:t>
            </w:r>
          </w:p>
        </w:tc>
        <w:tc>
          <w:tcPr>
            <w:tcW w:w="5329" w:type="dxa"/>
          </w:tcPr>
          <w:p w14:paraId="60075A32" w14:textId="77777777" w:rsidR="00BB4964" w:rsidRPr="00587D34" w:rsidRDefault="00BB4964" w:rsidP="000A68B1">
            <w:pPr>
              <w:pStyle w:val="NoSpacing"/>
              <w:rPr>
                <w:sz w:val="16"/>
                <w:szCs w:val="16"/>
                <w:lang w:val="en-GB"/>
              </w:rPr>
            </w:pPr>
            <w:r w:rsidRPr="00587D34">
              <w:rPr>
                <w:sz w:val="16"/>
                <w:szCs w:val="16"/>
                <w:lang w:val="en-GB"/>
              </w:rPr>
              <w:t>Immunosuppressive interactions of viral diseases in poultry</w:t>
            </w:r>
          </w:p>
          <w:p w14:paraId="151C0B21" w14:textId="77777777" w:rsidR="00E9354F" w:rsidRPr="00587D34" w:rsidRDefault="00BB4964" w:rsidP="000A68B1">
            <w:pPr>
              <w:pStyle w:val="NoSpacing"/>
              <w:rPr>
                <w:sz w:val="16"/>
                <w:szCs w:val="16"/>
              </w:rPr>
            </w:pPr>
            <w:r w:rsidRPr="00587D34">
              <w:rPr>
                <w:sz w:val="16"/>
                <w:szCs w:val="16"/>
                <w:lang w:val="en-GB"/>
              </w:rPr>
              <w:t>By: Umar, S.; Munir, M. T.; Ahsan, U.; et al. WORLDS POULTRY SCIENCE JOURNAL   Volume: 73   Issue: 1   Pages: 121-135   Published: MAR 2017</w:t>
            </w:r>
          </w:p>
        </w:tc>
      </w:tr>
      <w:tr w:rsidR="00E9354F" w14:paraId="386D14A9" w14:textId="77777777" w:rsidTr="00933550">
        <w:tc>
          <w:tcPr>
            <w:tcW w:w="3628" w:type="dxa"/>
          </w:tcPr>
          <w:p w14:paraId="0E1A5906" w14:textId="77777777" w:rsidR="00E9354F" w:rsidRDefault="00E9354F" w:rsidP="00C72F87">
            <w:r w:rsidRPr="00435EAF">
              <w:t>Meat quality</w:t>
            </w:r>
          </w:p>
        </w:tc>
        <w:tc>
          <w:tcPr>
            <w:tcW w:w="1020" w:type="dxa"/>
          </w:tcPr>
          <w:p w14:paraId="23D5E8AA" w14:textId="77777777" w:rsidR="00E9354F" w:rsidRPr="0001742F" w:rsidRDefault="00E9354F" w:rsidP="00C72F87">
            <w:r w:rsidRPr="0001742F">
              <w:t>23</w:t>
            </w:r>
          </w:p>
        </w:tc>
        <w:tc>
          <w:tcPr>
            <w:tcW w:w="5329" w:type="dxa"/>
          </w:tcPr>
          <w:p w14:paraId="604B7F0C" w14:textId="77777777" w:rsidR="00BB4964" w:rsidRPr="00587D34" w:rsidRDefault="00BB4964" w:rsidP="000A68B1">
            <w:pPr>
              <w:pStyle w:val="NoSpacing"/>
              <w:rPr>
                <w:sz w:val="16"/>
                <w:szCs w:val="16"/>
                <w:lang w:val="en-GB"/>
              </w:rPr>
            </w:pPr>
            <w:r w:rsidRPr="00587D34">
              <w:rPr>
                <w:sz w:val="16"/>
                <w:szCs w:val="16"/>
                <w:lang w:val="en-GB"/>
              </w:rPr>
              <w:t>Effect of Thermal Embryonic Manipulation on the Quality of Male and Female Broiler Meat Submitted to Thermal Stress Pre-Slaughter By: Fernandes, J. I. M.; Santos, T. C.; Kaneko, I. N.; et al.</w:t>
            </w:r>
          </w:p>
          <w:p w14:paraId="4B55DF87" w14:textId="77777777" w:rsidR="00E9354F" w:rsidRPr="00587D34" w:rsidRDefault="00BB4964" w:rsidP="000A68B1">
            <w:pPr>
              <w:pStyle w:val="NoSpacing"/>
              <w:rPr>
                <w:sz w:val="16"/>
                <w:szCs w:val="16"/>
              </w:rPr>
            </w:pPr>
            <w:r w:rsidRPr="00587D34">
              <w:rPr>
                <w:sz w:val="16"/>
                <w:szCs w:val="16"/>
                <w:lang w:val="en-GB"/>
              </w:rPr>
              <w:t>BRAZILIAN JOURNAL OF POULTRY SCIENCE   Volume: 18   Issue: 2   Pages: 343-349   Published: APR-JUN 201</w:t>
            </w:r>
            <w:r w:rsidRPr="00587D34">
              <w:rPr>
                <w:sz w:val="16"/>
                <w:szCs w:val="16"/>
              </w:rPr>
              <w:t>6</w:t>
            </w:r>
          </w:p>
        </w:tc>
      </w:tr>
    </w:tbl>
    <w:p w14:paraId="4BBE7056" w14:textId="77777777" w:rsidR="00E9354F" w:rsidRDefault="00E9354F" w:rsidP="00146AB8">
      <w:pPr>
        <w:rPr>
          <w:lang w:val="en-GB"/>
        </w:rPr>
      </w:pPr>
    </w:p>
    <w:p w14:paraId="63E85E05" w14:textId="77777777" w:rsidR="00933550" w:rsidRPr="00933550" w:rsidRDefault="005B0D69" w:rsidP="00933550">
      <w:pPr>
        <w:rPr>
          <w:b/>
          <w:i/>
          <w:lang w:val="en-GB"/>
        </w:rPr>
      </w:pPr>
      <w:r>
        <w:rPr>
          <w:b/>
          <w:i/>
          <w:lang w:val="en-GB"/>
        </w:rPr>
        <w:t>Guinea fowl, pheasants, partridges, pigeons and quail</w:t>
      </w:r>
    </w:p>
    <w:p w14:paraId="646BCA4B" w14:textId="77777777" w:rsidR="00933550" w:rsidRPr="00146AB8" w:rsidRDefault="00933550" w:rsidP="00933550">
      <w:pPr>
        <w:rPr>
          <w:lang w:val="en-GB"/>
        </w:rPr>
      </w:pPr>
      <w:r w:rsidRPr="00146AB8">
        <w:rPr>
          <w:lang w:val="en-GB"/>
        </w:rPr>
        <w:t>Total returns: 27 (26)</w:t>
      </w:r>
    </w:p>
    <w:p w14:paraId="163C8F57" w14:textId="77777777" w:rsidR="00933550" w:rsidRDefault="000A68B1" w:rsidP="00933550">
      <w:pPr>
        <w:rPr>
          <w:lang w:val="en-GB"/>
        </w:rPr>
      </w:pPr>
      <w:r>
        <w:rPr>
          <w:lang w:val="en-GB"/>
        </w:rPr>
        <w:t xml:space="preserve">Accepted papers: </w:t>
      </w:r>
      <w:r w:rsidR="00933550" w:rsidRPr="00146AB8">
        <w:rPr>
          <w:lang w:val="en-GB"/>
        </w:rPr>
        <w:t>2</w:t>
      </w:r>
    </w:p>
    <w:tbl>
      <w:tblPr>
        <w:tblStyle w:val="TableGrid"/>
        <w:tblW w:w="9977" w:type="dxa"/>
        <w:tblLook w:val="04A0" w:firstRow="1" w:lastRow="0" w:firstColumn="1" w:lastColumn="0" w:noHBand="0" w:noVBand="1"/>
        <w:tblCaption w:val="Papers excluded after the literature search for slaughter of guinea fowl, pheasants, partridges, pigeons and quail"/>
        <w:tblDescription w:val="This table shows the number of papers excluded after the literature search for slaughter of guinea fowl, pheasants, partridges, pigeons and quail. The left hand column shows the primary reason for exclusion. The middle column shows the number of papers excluded. The right hand column gives an example of a paper excluded for each reason."/>
      </w:tblPr>
      <w:tblGrid>
        <w:gridCol w:w="3628"/>
        <w:gridCol w:w="1020"/>
        <w:gridCol w:w="5329"/>
      </w:tblGrid>
      <w:tr w:rsidR="00933550" w14:paraId="0AC4E041" w14:textId="77777777" w:rsidTr="000A68B1">
        <w:trPr>
          <w:tblHeader/>
        </w:trPr>
        <w:tc>
          <w:tcPr>
            <w:tcW w:w="3628" w:type="dxa"/>
          </w:tcPr>
          <w:p w14:paraId="2C53CC41" w14:textId="77777777" w:rsidR="00933550" w:rsidRPr="009928C2" w:rsidRDefault="00933550" w:rsidP="00C72F87">
            <w:pPr>
              <w:spacing w:before="60" w:line="240" w:lineRule="auto"/>
              <w:rPr>
                <w:rFonts w:cs="Arial"/>
                <w:b/>
                <w:color w:val="auto"/>
                <w:szCs w:val="18"/>
              </w:rPr>
            </w:pPr>
            <w:r w:rsidRPr="009928C2">
              <w:rPr>
                <w:rFonts w:cs="Arial"/>
                <w:b/>
                <w:color w:val="auto"/>
                <w:szCs w:val="18"/>
              </w:rPr>
              <w:t xml:space="preserve">Primary Reason for Exclusion </w:t>
            </w:r>
          </w:p>
        </w:tc>
        <w:tc>
          <w:tcPr>
            <w:tcW w:w="1020" w:type="dxa"/>
          </w:tcPr>
          <w:p w14:paraId="25CFB6AD" w14:textId="77777777" w:rsidR="00933550" w:rsidRPr="00F67C8B" w:rsidRDefault="00933550" w:rsidP="00C72F87">
            <w:pPr>
              <w:spacing w:before="60" w:line="240" w:lineRule="auto"/>
              <w:rPr>
                <w:rFonts w:cs="Arial"/>
                <w:color w:val="auto"/>
                <w:szCs w:val="18"/>
              </w:rPr>
            </w:pPr>
            <w:r w:rsidRPr="00F67C8B">
              <w:rPr>
                <w:rFonts w:cs="Arial"/>
                <w:color w:val="auto"/>
                <w:szCs w:val="18"/>
              </w:rPr>
              <w:t>Number Excluded</w:t>
            </w:r>
          </w:p>
        </w:tc>
        <w:tc>
          <w:tcPr>
            <w:tcW w:w="5329" w:type="dxa"/>
          </w:tcPr>
          <w:p w14:paraId="2C9FD541" w14:textId="77777777" w:rsidR="00933550" w:rsidRPr="00F67C8B" w:rsidRDefault="00933550" w:rsidP="00C72F87">
            <w:pPr>
              <w:spacing w:before="60" w:line="240" w:lineRule="auto"/>
              <w:rPr>
                <w:rFonts w:cs="Arial"/>
                <w:color w:val="auto"/>
                <w:szCs w:val="18"/>
              </w:rPr>
            </w:pPr>
            <w:r w:rsidRPr="00F67C8B">
              <w:rPr>
                <w:rFonts w:cs="Arial"/>
                <w:i/>
                <w:color w:val="auto"/>
                <w:szCs w:val="18"/>
              </w:rPr>
              <w:t xml:space="preserve">Example </w:t>
            </w:r>
            <w:r w:rsidRPr="00F67C8B">
              <w:rPr>
                <w:rFonts w:cs="Arial"/>
                <w:color w:val="auto"/>
                <w:szCs w:val="18"/>
              </w:rPr>
              <w:t>of Paper Excluded for Each Reason</w:t>
            </w:r>
          </w:p>
        </w:tc>
      </w:tr>
      <w:tr w:rsidR="00933550" w14:paraId="7C0319C1" w14:textId="77777777" w:rsidTr="00C72F87">
        <w:tc>
          <w:tcPr>
            <w:tcW w:w="3628" w:type="dxa"/>
          </w:tcPr>
          <w:p w14:paraId="3DDBD596" w14:textId="77777777" w:rsidR="00933550" w:rsidRPr="002131D2" w:rsidRDefault="00933550" w:rsidP="00C72F87">
            <w:r w:rsidRPr="002131D2">
              <w:t>Other species or subject</w:t>
            </w:r>
          </w:p>
        </w:tc>
        <w:tc>
          <w:tcPr>
            <w:tcW w:w="1020" w:type="dxa"/>
          </w:tcPr>
          <w:p w14:paraId="359DA945" w14:textId="77777777" w:rsidR="00933550" w:rsidRPr="00103426" w:rsidRDefault="00933550" w:rsidP="00C72F87">
            <w:r w:rsidRPr="00103426">
              <w:t>14</w:t>
            </w:r>
          </w:p>
        </w:tc>
        <w:tc>
          <w:tcPr>
            <w:tcW w:w="5329" w:type="dxa"/>
          </w:tcPr>
          <w:p w14:paraId="7C73845E" w14:textId="77777777" w:rsidR="00B05D59" w:rsidRPr="00B05D59" w:rsidRDefault="00B05D59" w:rsidP="00B05D59">
            <w:pPr>
              <w:pStyle w:val="NoSpacing"/>
              <w:rPr>
                <w:sz w:val="16"/>
                <w:szCs w:val="16"/>
              </w:rPr>
            </w:pPr>
            <w:r w:rsidRPr="00B05D59">
              <w:rPr>
                <w:sz w:val="16"/>
                <w:szCs w:val="16"/>
              </w:rPr>
              <w:t>Effects of Dietary Lycopene Supplementation on Plasma Lipid Profile, Lipid Peroxidation and Antioxidant Defense System in Feedlot Bamei Lamb</w:t>
            </w:r>
          </w:p>
          <w:p w14:paraId="76AA1536" w14:textId="77777777" w:rsidR="00B05D59" w:rsidRPr="00B05D59" w:rsidRDefault="00B05D59" w:rsidP="00B05D59">
            <w:pPr>
              <w:pStyle w:val="NoSpacing"/>
              <w:rPr>
                <w:sz w:val="16"/>
                <w:szCs w:val="16"/>
              </w:rPr>
            </w:pPr>
            <w:r w:rsidRPr="00B05D59">
              <w:rPr>
                <w:sz w:val="16"/>
                <w:szCs w:val="16"/>
              </w:rPr>
              <w:t>By: Jiang, Hongqin; Wang, Zhenzhen; Ma, Yong; et al.</w:t>
            </w:r>
          </w:p>
          <w:p w14:paraId="75FCBD9D" w14:textId="77777777" w:rsidR="00933550" w:rsidRPr="00B05D59" w:rsidRDefault="00B05D59" w:rsidP="00B05D59">
            <w:pPr>
              <w:pStyle w:val="NoSpacing"/>
              <w:rPr>
                <w:sz w:val="16"/>
                <w:szCs w:val="16"/>
              </w:rPr>
            </w:pPr>
            <w:r w:rsidRPr="00B05D59">
              <w:rPr>
                <w:sz w:val="16"/>
                <w:szCs w:val="16"/>
              </w:rPr>
              <w:t>ASIAN-AUSTRALASIAN JOURNAL OF ANIMAL SCIENCES  Volume: 28   Issue: 7   Pages: 958-965   Published: JUL 2015</w:t>
            </w:r>
          </w:p>
        </w:tc>
      </w:tr>
      <w:tr w:rsidR="00933550" w14:paraId="7C49401E" w14:textId="77777777" w:rsidTr="00C72F87">
        <w:tc>
          <w:tcPr>
            <w:tcW w:w="3628" w:type="dxa"/>
          </w:tcPr>
          <w:p w14:paraId="1E000CB5" w14:textId="77777777" w:rsidR="00933550" w:rsidRPr="002131D2" w:rsidRDefault="00933550" w:rsidP="00C72F87">
            <w:r w:rsidRPr="002131D2">
              <w:t>Husbandry or transport</w:t>
            </w:r>
          </w:p>
        </w:tc>
        <w:tc>
          <w:tcPr>
            <w:tcW w:w="1020" w:type="dxa"/>
          </w:tcPr>
          <w:p w14:paraId="02F43E85" w14:textId="77777777" w:rsidR="00933550" w:rsidRPr="00103426" w:rsidRDefault="00933550" w:rsidP="00C72F87">
            <w:r w:rsidRPr="00103426">
              <w:t>3</w:t>
            </w:r>
          </w:p>
        </w:tc>
        <w:tc>
          <w:tcPr>
            <w:tcW w:w="5329" w:type="dxa"/>
          </w:tcPr>
          <w:p w14:paraId="6F0F21B8" w14:textId="77777777" w:rsidR="00B05D59" w:rsidRPr="00B05D59" w:rsidRDefault="00B05D59" w:rsidP="00B05D59">
            <w:pPr>
              <w:pStyle w:val="NoSpacing"/>
              <w:rPr>
                <w:sz w:val="16"/>
                <w:szCs w:val="16"/>
              </w:rPr>
            </w:pPr>
            <w:r w:rsidRPr="00B05D59">
              <w:rPr>
                <w:sz w:val="16"/>
                <w:szCs w:val="16"/>
              </w:rPr>
              <w:t>The effects of transportation stress on Japanese quail (Coturnix Coturnix japonica) fed corn-based diet in comparison with wheat-based diet supplemented with xylanase and phytase</w:t>
            </w:r>
          </w:p>
          <w:p w14:paraId="328D92E6" w14:textId="77777777" w:rsidR="00933550" w:rsidRPr="00B05D59" w:rsidRDefault="00B05D59" w:rsidP="00B05D59">
            <w:pPr>
              <w:pStyle w:val="NoSpacing"/>
              <w:rPr>
                <w:sz w:val="16"/>
                <w:szCs w:val="16"/>
              </w:rPr>
            </w:pPr>
            <w:r w:rsidRPr="00B05D59">
              <w:rPr>
                <w:sz w:val="16"/>
                <w:szCs w:val="16"/>
              </w:rPr>
              <w:t>By: Hamzekolaei, M. H. Mehraei; Moghaddam, A. K. Zamani; Tohidifar, S. S.; et al. JOURNAL OF ANIMAL PHYSIOLOGY AND ANIMAL NUTRITION   Volume: 100   Issue: 4   Pages: 618-622   Published: AUG 2016</w:t>
            </w:r>
          </w:p>
        </w:tc>
      </w:tr>
      <w:tr w:rsidR="00933550" w14:paraId="49082F47" w14:textId="77777777" w:rsidTr="00C72F87">
        <w:tc>
          <w:tcPr>
            <w:tcW w:w="3628" w:type="dxa"/>
          </w:tcPr>
          <w:p w14:paraId="212DB271" w14:textId="77777777" w:rsidR="00933550" w:rsidRDefault="00933550" w:rsidP="00C72F87">
            <w:r w:rsidRPr="002131D2">
              <w:t>Other biological investigation</w:t>
            </w:r>
          </w:p>
        </w:tc>
        <w:tc>
          <w:tcPr>
            <w:tcW w:w="1020" w:type="dxa"/>
          </w:tcPr>
          <w:p w14:paraId="7123501F" w14:textId="77777777" w:rsidR="00933550" w:rsidRDefault="00933550" w:rsidP="00C72F87">
            <w:r w:rsidRPr="00103426">
              <w:t>7</w:t>
            </w:r>
          </w:p>
        </w:tc>
        <w:tc>
          <w:tcPr>
            <w:tcW w:w="5329" w:type="dxa"/>
          </w:tcPr>
          <w:p w14:paraId="72C5A281" w14:textId="77777777" w:rsidR="00B05D59" w:rsidRPr="00B05D59" w:rsidRDefault="00B05D59" w:rsidP="00B05D59">
            <w:pPr>
              <w:pStyle w:val="NoSpacing"/>
              <w:rPr>
                <w:sz w:val="16"/>
                <w:szCs w:val="16"/>
              </w:rPr>
            </w:pPr>
            <w:r w:rsidRPr="00B05D59">
              <w:rPr>
                <w:sz w:val="16"/>
                <w:szCs w:val="16"/>
              </w:rPr>
              <w:t>Growth, immune, antioxidant, and bone responses of heat stress-exposed broilers fed diets supplemented with tomato pomace</w:t>
            </w:r>
          </w:p>
          <w:p w14:paraId="22F828C6" w14:textId="77777777" w:rsidR="00B05D59" w:rsidRPr="00B05D59" w:rsidRDefault="00B05D59" w:rsidP="00B05D59">
            <w:pPr>
              <w:pStyle w:val="NoSpacing"/>
              <w:rPr>
                <w:sz w:val="16"/>
                <w:szCs w:val="16"/>
              </w:rPr>
            </w:pPr>
            <w:r w:rsidRPr="00B05D59">
              <w:rPr>
                <w:sz w:val="16"/>
                <w:szCs w:val="16"/>
              </w:rPr>
              <w:t>By: Hosseini-Vashan, S. J.; Golian, A.; Yaghobfar, A.</w:t>
            </w:r>
          </w:p>
          <w:p w14:paraId="2540FBCA" w14:textId="77777777" w:rsidR="00933550" w:rsidRPr="00B05D59" w:rsidRDefault="00B05D59" w:rsidP="00B05D59">
            <w:pPr>
              <w:pStyle w:val="NoSpacing"/>
              <w:rPr>
                <w:sz w:val="16"/>
                <w:szCs w:val="16"/>
              </w:rPr>
            </w:pPr>
            <w:r w:rsidRPr="00B05D59">
              <w:rPr>
                <w:sz w:val="16"/>
                <w:szCs w:val="16"/>
              </w:rPr>
              <w:t>INTERNATIONAL JOURNAL OF BIOMETEOROLOGY   Volume: 60   Issue: 8   Pages: 1183-1192   Published: AUG 2016</w:t>
            </w:r>
          </w:p>
        </w:tc>
      </w:tr>
    </w:tbl>
    <w:p w14:paraId="5A0A87CA" w14:textId="77777777" w:rsidR="00933550" w:rsidRPr="00146AB8" w:rsidRDefault="00933550" w:rsidP="00146AB8">
      <w:pPr>
        <w:rPr>
          <w:lang w:val="en-GB"/>
        </w:rPr>
      </w:pPr>
    </w:p>
    <w:p w14:paraId="610837C8" w14:textId="77777777" w:rsidR="00933550" w:rsidRPr="00933550" w:rsidRDefault="00587D34" w:rsidP="00933550">
      <w:pPr>
        <w:rPr>
          <w:b/>
          <w:i/>
          <w:lang w:val="en-GB"/>
        </w:rPr>
      </w:pPr>
      <w:r>
        <w:rPr>
          <w:b/>
          <w:i/>
          <w:lang w:val="en-GB"/>
        </w:rPr>
        <w:br w:type="column"/>
      </w:r>
      <w:r w:rsidR="00933550" w:rsidRPr="00933550">
        <w:rPr>
          <w:b/>
          <w:i/>
          <w:lang w:val="en-GB"/>
        </w:rPr>
        <w:t>Ostrich</w:t>
      </w:r>
      <w:r w:rsidR="00933550">
        <w:rPr>
          <w:b/>
          <w:i/>
          <w:lang w:val="en-GB"/>
        </w:rPr>
        <w:t>es</w:t>
      </w:r>
    </w:p>
    <w:p w14:paraId="1350E6F9" w14:textId="77777777" w:rsidR="00933550" w:rsidRPr="00146AB8" w:rsidRDefault="00933550" w:rsidP="00933550">
      <w:pPr>
        <w:rPr>
          <w:lang w:val="en-GB"/>
        </w:rPr>
      </w:pPr>
      <w:r w:rsidRPr="00146AB8">
        <w:rPr>
          <w:lang w:val="en-GB"/>
        </w:rPr>
        <w:t>Total returns: 20 (19)</w:t>
      </w:r>
    </w:p>
    <w:p w14:paraId="21B9A6D7" w14:textId="77777777" w:rsidR="00933550" w:rsidRDefault="000A68B1" w:rsidP="00933550">
      <w:pPr>
        <w:rPr>
          <w:lang w:val="en-GB"/>
        </w:rPr>
      </w:pPr>
      <w:r>
        <w:rPr>
          <w:lang w:val="en-GB"/>
        </w:rPr>
        <w:t xml:space="preserve">Accepted papers: </w:t>
      </w:r>
      <w:r w:rsidR="00933550" w:rsidRPr="00146AB8">
        <w:rPr>
          <w:lang w:val="en-GB"/>
        </w:rPr>
        <w:t>1</w:t>
      </w:r>
    </w:p>
    <w:tbl>
      <w:tblPr>
        <w:tblStyle w:val="TableGrid"/>
        <w:tblW w:w="9977" w:type="dxa"/>
        <w:tblLook w:val="04A0" w:firstRow="1" w:lastRow="0" w:firstColumn="1" w:lastColumn="0" w:noHBand="0" w:noVBand="1"/>
        <w:tblCaption w:val="Papers excluded after the literature search for slaughter of ostriches"/>
        <w:tblDescription w:val="This table shows the number of papers excluded after the literature search for slaughter of ostriches. The left hand column shows the primary reason for exclusion. The middle column shows the number of papers excluded. The right hand column gives an example of a paper excluded for each reason."/>
      </w:tblPr>
      <w:tblGrid>
        <w:gridCol w:w="3628"/>
        <w:gridCol w:w="1020"/>
        <w:gridCol w:w="5329"/>
      </w:tblGrid>
      <w:tr w:rsidR="00933550" w14:paraId="293653C5" w14:textId="77777777" w:rsidTr="000A68B1">
        <w:trPr>
          <w:tblHeader/>
        </w:trPr>
        <w:tc>
          <w:tcPr>
            <w:tcW w:w="3628" w:type="dxa"/>
          </w:tcPr>
          <w:p w14:paraId="6A424B69" w14:textId="77777777" w:rsidR="00933550" w:rsidRPr="009928C2" w:rsidRDefault="00933550" w:rsidP="00C72F87">
            <w:pPr>
              <w:spacing w:before="60" w:line="240" w:lineRule="auto"/>
              <w:rPr>
                <w:rFonts w:cs="Arial"/>
                <w:b/>
                <w:color w:val="auto"/>
                <w:szCs w:val="18"/>
              </w:rPr>
            </w:pPr>
            <w:r w:rsidRPr="009928C2">
              <w:rPr>
                <w:rFonts w:cs="Arial"/>
                <w:b/>
                <w:color w:val="auto"/>
                <w:szCs w:val="18"/>
              </w:rPr>
              <w:t xml:space="preserve">Primary Reason for Exclusion </w:t>
            </w:r>
          </w:p>
        </w:tc>
        <w:tc>
          <w:tcPr>
            <w:tcW w:w="1020" w:type="dxa"/>
          </w:tcPr>
          <w:p w14:paraId="0C53FC06" w14:textId="77777777" w:rsidR="00933550" w:rsidRPr="00F67C8B" w:rsidRDefault="00933550" w:rsidP="00C72F87">
            <w:pPr>
              <w:spacing w:before="60" w:line="240" w:lineRule="auto"/>
              <w:rPr>
                <w:rFonts w:cs="Arial"/>
                <w:color w:val="auto"/>
                <w:szCs w:val="18"/>
              </w:rPr>
            </w:pPr>
            <w:r w:rsidRPr="00F67C8B">
              <w:rPr>
                <w:rFonts w:cs="Arial"/>
                <w:color w:val="auto"/>
                <w:szCs w:val="18"/>
              </w:rPr>
              <w:t>Number Excluded</w:t>
            </w:r>
          </w:p>
        </w:tc>
        <w:tc>
          <w:tcPr>
            <w:tcW w:w="5329" w:type="dxa"/>
          </w:tcPr>
          <w:p w14:paraId="0CF835D8" w14:textId="77777777" w:rsidR="00933550" w:rsidRPr="00F67C8B" w:rsidRDefault="00933550" w:rsidP="00C72F87">
            <w:pPr>
              <w:spacing w:before="60" w:line="240" w:lineRule="auto"/>
              <w:rPr>
                <w:rFonts w:cs="Arial"/>
                <w:color w:val="auto"/>
                <w:szCs w:val="18"/>
              </w:rPr>
            </w:pPr>
            <w:r w:rsidRPr="00F67C8B">
              <w:rPr>
                <w:rFonts w:cs="Arial"/>
                <w:i/>
                <w:color w:val="auto"/>
                <w:szCs w:val="18"/>
              </w:rPr>
              <w:t xml:space="preserve">Example </w:t>
            </w:r>
            <w:r w:rsidRPr="00F67C8B">
              <w:rPr>
                <w:rFonts w:cs="Arial"/>
                <w:color w:val="auto"/>
                <w:szCs w:val="18"/>
              </w:rPr>
              <w:t>of Paper Excluded for Each Reason</w:t>
            </w:r>
          </w:p>
        </w:tc>
      </w:tr>
      <w:tr w:rsidR="00933550" w14:paraId="0F29C366" w14:textId="77777777" w:rsidTr="00C72F87">
        <w:tc>
          <w:tcPr>
            <w:tcW w:w="3628" w:type="dxa"/>
          </w:tcPr>
          <w:p w14:paraId="24387E2A" w14:textId="77777777" w:rsidR="00933550" w:rsidRPr="0037060F" w:rsidRDefault="00933550" w:rsidP="00C72F87">
            <w:r w:rsidRPr="0037060F">
              <w:t>Other species or subject</w:t>
            </w:r>
          </w:p>
        </w:tc>
        <w:tc>
          <w:tcPr>
            <w:tcW w:w="1020" w:type="dxa"/>
          </w:tcPr>
          <w:p w14:paraId="264CE3AE" w14:textId="77777777" w:rsidR="00933550" w:rsidRPr="00B268F3" w:rsidRDefault="00933550" w:rsidP="00C72F87">
            <w:r w:rsidRPr="00B268F3">
              <w:t>9</w:t>
            </w:r>
          </w:p>
        </w:tc>
        <w:tc>
          <w:tcPr>
            <w:tcW w:w="5329" w:type="dxa"/>
          </w:tcPr>
          <w:p w14:paraId="6EC75C8E" w14:textId="77777777" w:rsidR="00BB4964" w:rsidRPr="00B05D59" w:rsidRDefault="00BB4964" w:rsidP="000A68B1">
            <w:pPr>
              <w:pStyle w:val="NoSpacing"/>
              <w:rPr>
                <w:sz w:val="16"/>
                <w:szCs w:val="16"/>
              </w:rPr>
            </w:pPr>
            <w:r w:rsidRPr="00B05D59">
              <w:rPr>
                <w:sz w:val="16"/>
                <w:szCs w:val="16"/>
              </w:rPr>
              <w:t>Bruises in beef cattle at slaughter in Mexico: implications on quality, safety and shelf life of the meat</w:t>
            </w:r>
          </w:p>
          <w:p w14:paraId="7136A553" w14:textId="77777777" w:rsidR="00BB4964" w:rsidRPr="00B05D59" w:rsidRDefault="00BB4964" w:rsidP="000A68B1">
            <w:pPr>
              <w:pStyle w:val="NoSpacing"/>
              <w:rPr>
                <w:sz w:val="16"/>
                <w:szCs w:val="16"/>
              </w:rPr>
            </w:pPr>
            <w:r w:rsidRPr="00B05D59">
              <w:rPr>
                <w:sz w:val="16"/>
                <w:szCs w:val="16"/>
              </w:rPr>
              <w:t>By: Cruz-Monterrosa, Rosy G.; Resendiz-Cruz, Veronica; Rayas-Amor, Armando A.; et al.</w:t>
            </w:r>
          </w:p>
          <w:p w14:paraId="5871572A" w14:textId="77777777" w:rsidR="00933550" w:rsidRPr="00B05D59" w:rsidRDefault="00BB4964" w:rsidP="000A68B1">
            <w:pPr>
              <w:pStyle w:val="NoSpacing"/>
              <w:rPr>
                <w:sz w:val="16"/>
                <w:szCs w:val="16"/>
              </w:rPr>
            </w:pPr>
            <w:r w:rsidRPr="00B05D59">
              <w:rPr>
                <w:sz w:val="16"/>
                <w:szCs w:val="16"/>
              </w:rPr>
              <w:t>TROPICAL ANIMAL HEALTH AND PRODUCTION   Volume: 49   Issue: 1   Pages: 145-152   Published: JAN 2017</w:t>
            </w:r>
          </w:p>
        </w:tc>
      </w:tr>
      <w:tr w:rsidR="00933550" w14:paraId="7389217B" w14:textId="77777777" w:rsidTr="00C72F87">
        <w:tc>
          <w:tcPr>
            <w:tcW w:w="3628" w:type="dxa"/>
          </w:tcPr>
          <w:p w14:paraId="5039CB10" w14:textId="77777777" w:rsidR="00933550" w:rsidRPr="0037060F" w:rsidRDefault="00933550" w:rsidP="00C72F87">
            <w:r w:rsidRPr="0037060F">
              <w:t>Husbandry or transport</w:t>
            </w:r>
          </w:p>
        </w:tc>
        <w:tc>
          <w:tcPr>
            <w:tcW w:w="1020" w:type="dxa"/>
          </w:tcPr>
          <w:p w14:paraId="543008B1" w14:textId="77777777" w:rsidR="00933550" w:rsidRPr="00B268F3" w:rsidRDefault="00933550" w:rsidP="00C72F87">
            <w:r w:rsidRPr="00B268F3">
              <w:t>6</w:t>
            </w:r>
          </w:p>
        </w:tc>
        <w:tc>
          <w:tcPr>
            <w:tcW w:w="5329" w:type="dxa"/>
          </w:tcPr>
          <w:p w14:paraId="51CA4D02" w14:textId="77777777" w:rsidR="00BB4964" w:rsidRPr="00B05D59" w:rsidRDefault="00BB4964" w:rsidP="000A68B1">
            <w:pPr>
              <w:pStyle w:val="NoSpacing"/>
              <w:rPr>
                <w:sz w:val="16"/>
                <w:szCs w:val="16"/>
              </w:rPr>
            </w:pPr>
            <w:r w:rsidRPr="00B05D59">
              <w:rPr>
                <w:sz w:val="16"/>
                <w:szCs w:val="16"/>
              </w:rPr>
              <w:t>Effects of pre-transport nutrient supplementation and transport duration on the post-transport blood biochemistry, bodyweight and welfare of ostriches</w:t>
            </w:r>
          </w:p>
          <w:p w14:paraId="58F93658" w14:textId="77777777" w:rsidR="00BB4964" w:rsidRPr="00B05D59" w:rsidRDefault="00BB4964" w:rsidP="000A68B1">
            <w:pPr>
              <w:pStyle w:val="NoSpacing"/>
              <w:rPr>
                <w:sz w:val="16"/>
                <w:szCs w:val="16"/>
              </w:rPr>
            </w:pPr>
            <w:r w:rsidRPr="00B05D59">
              <w:rPr>
                <w:sz w:val="16"/>
                <w:szCs w:val="16"/>
              </w:rPr>
              <w:t>By: Bejaei, M.; Bennett, D. C.; Schaefer, A. L.; et al.</w:t>
            </w:r>
          </w:p>
          <w:p w14:paraId="6BA6A808" w14:textId="77777777" w:rsidR="00933550" w:rsidRPr="00B05D59" w:rsidRDefault="00BB4964" w:rsidP="000A68B1">
            <w:pPr>
              <w:pStyle w:val="NoSpacing"/>
              <w:rPr>
                <w:sz w:val="16"/>
                <w:szCs w:val="16"/>
              </w:rPr>
            </w:pPr>
            <w:r w:rsidRPr="00B05D59">
              <w:rPr>
                <w:sz w:val="16"/>
                <w:szCs w:val="16"/>
              </w:rPr>
              <w:t>ANIMAL WELFARE   Volume: 23   Issue: 2   Pages: 209-217   Published: MAY 2014</w:t>
            </w:r>
          </w:p>
        </w:tc>
      </w:tr>
      <w:tr w:rsidR="00933550" w14:paraId="525BB653" w14:textId="77777777" w:rsidTr="00C72F87">
        <w:tc>
          <w:tcPr>
            <w:tcW w:w="3628" w:type="dxa"/>
          </w:tcPr>
          <w:p w14:paraId="6ED65F25" w14:textId="77777777" w:rsidR="00933550" w:rsidRPr="0037060F" w:rsidRDefault="00933550" w:rsidP="00C72F87">
            <w:r w:rsidRPr="0037060F">
              <w:t>Other biological investigation</w:t>
            </w:r>
          </w:p>
        </w:tc>
        <w:tc>
          <w:tcPr>
            <w:tcW w:w="1020" w:type="dxa"/>
          </w:tcPr>
          <w:p w14:paraId="310D0B33" w14:textId="77777777" w:rsidR="00933550" w:rsidRPr="00B268F3" w:rsidRDefault="00933550" w:rsidP="00C72F87">
            <w:r w:rsidRPr="00B268F3">
              <w:t>1</w:t>
            </w:r>
          </w:p>
        </w:tc>
        <w:tc>
          <w:tcPr>
            <w:tcW w:w="5329" w:type="dxa"/>
          </w:tcPr>
          <w:p w14:paraId="5C7367A3" w14:textId="77777777" w:rsidR="00933550" w:rsidRPr="00B05D59" w:rsidRDefault="00BB4964" w:rsidP="000A68B1">
            <w:pPr>
              <w:pStyle w:val="NoSpacing"/>
              <w:rPr>
                <w:sz w:val="16"/>
                <w:szCs w:val="16"/>
              </w:rPr>
            </w:pPr>
            <w:r w:rsidRPr="00B05D59">
              <w:rPr>
                <w:sz w:val="16"/>
                <w:szCs w:val="16"/>
                <w:lang w:val="en-GB"/>
              </w:rPr>
              <w:t>Adaptation of ostriches to transport-induced stress: Physiometabolic response. By: Vazquez-Galindo, Giovanni; de Aluja, Aline S.; Guerrero-Legarreta, Isabel; et al. ANIMAL SCIENCE JOURNAL   Volume: 84   Issue: 4   Pages: 350-358   Published: 2013</w:t>
            </w:r>
          </w:p>
        </w:tc>
      </w:tr>
      <w:tr w:rsidR="00933550" w14:paraId="54644229" w14:textId="77777777" w:rsidTr="00C72F87">
        <w:tc>
          <w:tcPr>
            <w:tcW w:w="3628" w:type="dxa"/>
          </w:tcPr>
          <w:p w14:paraId="236E6D63" w14:textId="77777777" w:rsidR="00933550" w:rsidRDefault="00933550" w:rsidP="00C72F87">
            <w:r w:rsidRPr="0037060F">
              <w:t>Meat quality</w:t>
            </w:r>
          </w:p>
        </w:tc>
        <w:tc>
          <w:tcPr>
            <w:tcW w:w="1020" w:type="dxa"/>
          </w:tcPr>
          <w:p w14:paraId="5E6743A2" w14:textId="77777777" w:rsidR="00933550" w:rsidRDefault="00933550" w:rsidP="00C72F87">
            <w:r w:rsidRPr="00B268F3">
              <w:t>2</w:t>
            </w:r>
          </w:p>
        </w:tc>
        <w:tc>
          <w:tcPr>
            <w:tcW w:w="5329" w:type="dxa"/>
          </w:tcPr>
          <w:p w14:paraId="3A9A816F" w14:textId="77777777" w:rsidR="00933550" w:rsidRPr="00B05D59" w:rsidRDefault="00BB4964" w:rsidP="000A68B1">
            <w:pPr>
              <w:pStyle w:val="NoSpacing"/>
              <w:rPr>
                <w:sz w:val="16"/>
                <w:szCs w:val="16"/>
              </w:rPr>
            </w:pPr>
            <w:r w:rsidRPr="00B05D59">
              <w:rPr>
                <w:sz w:val="16"/>
                <w:szCs w:val="16"/>
              </w:rPr>
              <w:t>Carcass yields and meat quality characteristics of adult emus (</w:t>
            </w:r>
            <w:r w:rsidRPr="00B05D59">
              <w:rPr>
                <w:i/>
                <w:sz w:val="16"/>
                <w:szCs w:val="16"/>
              </w:rPr>
              <w:t>Dromaius novaehollandiae</w:t>
            </w:r>
            <w:r w:rsidRPr="00B05D59">
              <w:rPr>
                <w:sz w:val="16"/>
                <w:szCs w:val="16"/>
              </w:rPr>
              <w:t>) transported for 6 h before slaughter. By: Menon, Deepa G.; Bennett, Darin C.; Uttaro, Bethany; et al. MEAT SCIENCE   Volume: 98   Issue: 2   Pages: 240-246   Published: OCT 2014</w:t>
            </w:r>
          </w:p>
        </w:tc>
      </w:tr>
    </w:tbl>
    <w:p w14:paraId="254AF9A2" w14:textId="77777777" w:rsidR="00146AB8" w:rsidRPr="00146AB8" w:rsidRDefault="00146AB8" w:rsidP="00146AB8">
      <w:pPr>
        <w:rPr>
          <w:lang w:val="en-GB"/>
        </w:rPr>
      </w:pPr>
    </w:p>
    <w:p w14:paraId="4857946B" w14:textId="77777777" w:rsidR="00146AB8" w:rsidRPr="00933550" w:rsidRDefault="00146AB8" w:rsidP="00146AB8">
      <w:pPr>
        <w:rPr>
          <w:b/>
          <w:i/>
          <w:lang w:val="en-GB"/>
        </w:rPr>
      </w:pPr>
      <w:r w:rsidRPr="00933550">
        <w:rPr>
          <w:b/>
          <w:i/>
          <w:lang w:val="en-GB"/>
        </w:rPr>
        <w:t>Emu</w:t>
      </w:r>
      <w:r w:rsidR="00933550">
        <w:rPr>
          <w:b/>
          <w:i/>
          <w:lang w:val="en-GB"/>
        </w:rPr>
        <w:t>s</w:t>
      </w:r>
    </w:p>
    <w:p w14:paraId="62E59B2B" w14:textId="77777777" w:rsidR="00146AB8" w:rsidRPr="00146AB8" w:rsidRDefault="00146AB8" w:rsidP="00146AB8">
      <w:pPr>
        <w:rPr>
          <w:lang w:val="en-GB"/>
        </w:rPr>
      </w:pPr>
      <w:r w:rsidRPr="00146AB8">
        <w:rPr>
          <w:lang w:val="en-GB"/>
        </w:rPr>
        <w:t>Total returns: 9</w:t>
      </w:r>
    </w:p>
    <w:p w14:paraId="1D7EB9B5" w14:textId="77777777" w:rsidR="00146AB8" w:rsidRDefault="000A68B1" w:rsidP="00146AB8">
      <w:pPr>
        <w:rPr>
          <w:lang w:val="en-GB"/>
        </w:rPr>
      </w:pPr>
      <w:r>
        <w:rPr>
          <w:lang w:val="en-GB"/>
        </w:rPr>
        <w:t xml:space="preserve">Accepted papers: </w:t>
      </w:r>
      <w:r w:rsidR="00146AB8" w:rsidRPr="00146AB8">
        <w:rPr>
          <w:lang w:val="en-GB"/>
        </w:rPr>
        <w:t>0</w:t>
      </w:r>
    </w:p>
    <w:tbl>
      <w:tblPr>
        <w:tblStyle w:val="TableGrid"/>
        <w:tblW w:w="9977" w:type="dxa"/>
        <w:tblLook w:val="04A0" w:firstRow="1" w:lastRow="0" w:firstColumn="1" w:lastColumn="0" w:noHBand="0" w:noVBand="1"/>
        <w:tblCaption w:val="Papers excluded after the literature search for slaughter of emus"/>
        <w:tblDescription w:val="This table shows the number of papers excluded after the literature search for slaughter of emus. The left hand column shows the primary reason for exclusion. The middle column shows the number of papers excluded. The right hand column gives an example of a paper excluded for each reason."/>
      </w:tblPr>
      <w:tblGrid>
        <w:gridCol w:w="3628"/>
        <w:gridCol w:w="1020"/>
        <w:gridCol w:w="5329"/>
      </w:tblGrid>
      <w:tr w:rsidR="00530973" w14:paraId="0A94B3E9" w14:textId="77777777" w:rsidTr="000A68B1">
        <w:trPr>
          <w:tblHeader/>
        </w:trPr>
        <w:tc>
          <w:tcPr>
            <w:tcW w:w="3628" w:type="dxa"/>
          </w:tcPr>
          <w:p w14:paraId="21A71C9D" w14:textId="77777777" w:rsidR="00530973" w:rsidRPr="009928C2" w:rsidRDefault="00530973" w:rsidP="00C72F87">
            <w:pPr>
              <w:spacing w:before="60" w:line="240" w:lineRule="auto"/>
              <w:rPr>
                <w:rFonts w:cs="Arial"/>
                <w:b/>
                <w:color w:val="auto"/>
                <w:szCs w:val="18"/>
              </w:rPr>
            </w:pPr>
            <w:r w:rsidRPr="009928C2">
              <w:rPr>
                <w:rFonts w:cs="Arial"/>
                <w:b/>
                <w:color w:val="auto"/>
                <w:szCs w:val="18"/>
              </w:rPr>
              <w:t xml:space="preserve">Primary Reason for Exclusion </w:t>
            </w:r>
          </w:p>
        </w:tc>
        <w:tc>
          <w:tcPr>
            <w:tcW w:w="1020" w:type="dxa"/>
          </w:tcPr>
          <w:p w14:paraId="23016DEE" w14:textId="77777777" w:rsidR="00530973" w:rsidRPr="00F67C8B" w:rsidRDefault="00530973" w:rsidP="00C72F87">
            <w:pPr>
              <w:spacing w:before="60" w:line="240" w:lineRule="auto"/>
              <w:rPr>
                <w:rFonts w:cs="Arial"/>
                <w:color w:val="auto"/>
                <w:szCs w:val="18"/>
              </w:rPr>
            </w:pPr>
            <w:r w:rsidRPr="00F67C8B">
              <w:rPr>
                <w:rFonts w:cs="Arial"/>
                <w:color w:val="auto"/>
                <w:szCs w:val="18"/>
              </w:rPr>
              <w:t>Number Excluded</w:t>
            </w:r>
          </w:p>
        </w:tc>
        <w:tc>
          <w:tcPr>
            <w:tcW w:w="5329" w:type="dxa"/>
          </w:tcPr>
          <w:p w14:paraId="08E31476" w14:textId="77777777" w:rsidR="00530973" w:rsidRPr="00F67C8B" w:rsidRDefault="00530973" w:rsidP="00C72F87">
            <w:pPr>
              <w:spacing w:before="60" w:line="240" w:lineRule="auto"/>
              <w:rPr>
                <w:rFonts w:cs="Arial"/>
                <w:color w:val="auto"/>
                <w:szCs w:val="18"/>
              </w:rPr>
            </w:pPr>
            <w:r w:rsidRPr="00F67C8B">
              <w:rPr>
                <w:rFonts w:cs="Arial"/>
                <w:i/>
                <w:color w:val="auto"/>
                <w:szCs w:val="18"/>
              </w:rPr>
              <w:t xml:space="preserve">Example </w:t>
            </w:r>
            <w:r w:rsidRPr="00F67C8B">
              <w:rPr>
                <w:rFonts w:cs="Arial"/>
                <w:color w:val="auto"/>
                <w:szCs w:val="18"/>
              </w:rPr>
              <w:t>of Paper Excluded for Each Reason</w:t>
            </w:r>
          </w:p>
        </w:tc>
      </w:tr>
      <w:tr w:rsidR="00E9354F" w14:paraId="0CE2A2E0" w14:textId="77777777" w:rsidTr="00933550">
        <w:tc>
          <w:tcPr>
            <w:tcW w:w="3628" w:type="dxa"/>
          </w:tcPr>
          <w:p w14:paraId="05C6983D" w14:textId="77777777" w:rsidR="00E9354F" w:rsidRPr="002C174D" w:rsidRDefault="00E9354F" w:rsidP="00C72F87">
            <w:r w:rsidRPr="002C174D">
              <w:t>Other species or completely different subject</w:t>
            </w:r>
          </w:p>
        </w:tc>
        <w:tc>
          <w:tcPr>
            <w:tcW w:w="1020" w:type="dxa"/>
          </w:tcPr>
          <w:p w14:paraId="2ECAFE2E" w14:textId="77777777" w:rsidR="00E9354F" w:rsidRPr="0079257D" w:rsidRDefault="00E9354F" w:rsidP="00C72F87">
            <w:r w:rsidRPr="0079257D">
              <w:t>2</w:t>
            </w:r>
          </w:p>
        </w:tc>
        <w:tc>
          <w:tcPr>
            <w:tcW w:w="5329" w:type="dxa"/>
          </w:tcPr>
          <w:p w14:paraId="3C85F005" w14:textId="77777777" w:rsidR="00B05D59" w:rsidRPr="00B05D59" w:rsidRDefault="00B05D59" w:rsidP="00B05D59">
            <w:pPr>
              <w:pStyle w:val="NoSpacing"/>
              <w:rPr>
                <w:sz w:val="16"/>
                <w:szCs w:val="16"/>
              </w:rPr>
            </w:pPr>
            <w:r w:rsidRPr="00B05D59">
              <w:rPr>
                <w:sz w:val="16"/>
                <w:szCs w:val="16"/>
              </w:rPr>
              <w:t>Magnetic and magnetostrictive properties of Cu substituted Co-ferrites</w:t>
            </w:r>
          </w:p>
          <w:p w14:paraId="7955CA54" w14:textId="77777777" w:rsidR="00B05D59" w:rsidRPr="00B05D59" w:rsidRDefault="00B05D59" w:rsidP="00B05D59">
            <w:pPr>
              <w:pStyle w:val="NoSpacing"/>
              <w:rPr>
                <w:sz w:val="16"/>
                <w:szCs w:val="16"/>
              </w:rPr>
            </w:pPr>
            <w:r w:rsidRPr="00B05D59">
              <w:rPr>
                <w:sz w:val="16"/>
                <w:szCs w:val="16"/>
              </w:rPr>
              <w:t>By: Sekhar, B. Chandra; Rao, G. S. N.; Caltun, O. F.; et al.</w:t>
            </w:r>
          </w:p>
          <w:p w14:paraId="6B3FE289" w14:textId="77777777" w:rsidR="00E9354F" w:rsidRPr="00B05D59" w:rsidRDefault="00B05D59" w:rsidP="00B05D59">
            <w:pPr>
              <w:pStyle w:val="NoSpacing"/>
              <w:rPr>
                <w:sz w:val="16"/>
                <w:szCs w:val="16"/>
              </w:rPr>
            </w:pPr>
            <w:r w:rsidRPr="00B05D59">
              <w:rPr>
                <w:sz w:val="16"/>
                <w:szCs w:val="16"/>
              </w:rPr>
              <w:t>JOURNAL OF MAGNETISM AND MAGNETIC MATERIALS  Volume: 398   Pages: 59-63   Published: JAN 15 2016</w:t>
            </w:r>
          </w:p>
        </w:tc>
      </w:tr>
      <w:tr w:rsidR="00E9354F" w14:paraId="37E40EBA" w14:textId="77777777" w:rsidTr="00933550">
        <w:tc>
          <w:tcPr>
            <w:tcW w:w="3628" w:type="dxa"/>
          </w:tcPr>
          <w:p w14:paraId="6D8F1DA6" w14:textId="77777777" w:rsidR="00E9354F" w:rsidRPr="002C174D" w:rsidRDefault="00E9354F" w:rsidP="00C72F87">
            <w:r w:rsidRPr="002C174D">
              <w:t>Husbandry or transport</w:t>
            </w:r>
          </w:p>
        </w:tc>
        <w:tc>
          <w:tcPr>
            <w:tcW w:w="1020" w:type="dxa"/>
          </w:tcPr>
          <w:p w14:paraId="267164F0" w14:textId="77777777" w:rsidR="00E9354F" w:rsidRPr="0079257D" w:rsidRDefault="00E9354F" w:rsidP="00C72F87">
            <w:r w:rsidRPr="0079257D">
              <w:t>4</w:t>
            </w:r>
          </w:p>
        </w:tc>
        <w:tc>
          <w:tcPr>
            <w:tcW w:w="5329" w:type="dxa"/>
          </w:tcPr>
          <w:p w14:paraId="673A19EF" w14:textId="77777777" w:rsidR="00B05D59" w:rsidRPr="00B05D59" w:rsidRDefault="00B05D59" w:rsidP="00B05D59">
            <w:pPr>
              <w:pStyle w:val="NoSpacing"/>
              <w:rPr>
                <w:sz w:val="16"/>
                <w:szCs w:val="16"/>
              </w:rPr>
            </w:pPr>
            <w:r w:rsidRPr="00B05D59">
              <w:rPr>
                <w:sz w:val="16"/>
                <w:szCs w:val="16"/>
              </w:rPr>
              <w:t>Transportation stress and the incidence of exertional rhabdomyolysis in emus (</w:t>
            </w:r>
            <w:r w:rsidRPr="00B05D59">
              <w:rPr>
                <w:i/>
                <w:sz w:val="16"/>
                <w:szCs w:val="16"/>
              </w:rPr>
              <w:t>Dromaius novaehollandiae</w:t>
            </w:r>
            <w:r w:rsidRPr="00B05D59">
              <w:rPr>
                <w:sz w:val="16"/>
                <w:szCs w:val="16"/>
              </w:rPr>
              <w:t>)</w:t>
            </w:r>
          </w:p>
          <w:p w14:paraId="3B01E25B" w14:textId="77777777" w:rsidR="00B05D59" w:rsidRPr="00B05D59" w:rsidRDefault="00B05D59" w:rsidP="00B05D59">
            <w:pPr>
              <w:pStyle w:val="NoSpacing"/>
              <w:rPr>
                <w:sz w:val="16"/>
                <w:szCs w:val="16"/>
              </w:rPr>
            </w:pPr>
            <w:r w:rsidRPr="00B05D59">
              <w:rPr>
                <w:sz w:val="16"/>
                <w:szCs w:val="16"/>
              </w:rPr>
              <w:t>By: Menon, Deepa G.; Bennett, Darin C.; Schaefer, Allan L.; et al.</w:t>
            </w:r>
          </w:p>
          <w:p w14:paraId="5255928D" w14:textId="77777777" w:rsidR="00E9354F" w:rsidRPr="00B05D59" w:rsidRDefault="00B05D59" w:rsidP="00B05D59">
            <w:pPr>
              <w:pStyle w:val="NoSpacing"/>
              <w:rPr>
                <w:sz w:val="16"/>
                <w:szCs w:val="16"/>
              </w:rPr>
            </w:pPr>
            <w:r w:rsidRPr="00B05D59">
              <w:rPr>
                <w:sz w:val="16"/>
                <w:szCs w:val="16"/>
              </w:rPr>
              <w:t>POULTRY SCIENCE   Volume: 93   Issue: 2   Pages: 273-284   Published: FEB 2014</w:t>
            </w:r>
          </w:p>
        </w:tc>
      </w:tr>
      <w:tr w:rsidR="00E9354F" w14:paraId="0092675D" w14:textId="77777777" w:rsidTr="00933550">
        <w:tc>
          <w:tcPr>
            <w:tcW w:w="3628" w:type="dxa"/>
          </w:tcPr>
          <w:p w14:paraId="4315D7CD" w14:textId="77777777" w:rsidR="00E9354F" w:rsidRPr="002C174D" w:rsidRDefault="00E9354F" w:rsidP="00C72F87">
            <w:r w:rsidRPr="002C174D">
              <w:t>Other biological investigation</w:t>
            </w:r>
          </w:p>
        </w:tc>
        <w:tc>
          <w:tcPr>
            <w:tcW w:w="1020" w:type="dxa"/>
          </w:tcPr>
          <w:p w14:paraId="3804B255" w14:textId="77777777" w:rsidR="00E9354F" w:rsidRPr="0079257D" w:rsidRDefault="00E9354F" w:rsidP="00C72F87">
            <w:r w:rsidRPr="0079257D">
              <w:t>1</w:t>
            </w:r>
          </w:p>
        </w:tc>
        <w:tc>
          <w:tcPr>
            <w:tcW w:w="5329" w:type="dxa"/>
          </w:tcPr>
          <w:p w14:paraId="273A3F12" w14:textId="77777777" w:rsidR="00E9354F" w:rsidRPr="00B05D59" w:rsidRDefault="00B05D59" w:rsidP="00B05D59">
            <w:pPr>
              <w:pStyle w:val="NoSpacing"/>
              <w:rPr>
                <w:sz w:val="16"/>
                <w:szCs w:val="16"/>
              </w:rPr>
            </w:pPr>
            <w:r w:rsidRPr="00B05D59">
              <w:rPr>
                <w:sz w:val="16"/>
                <w:szCs w:val="16"/>
              </w:rPr>
              <w:t>Adaptation of ostriches to transport-induced stress: Physiometabolic response. By: Vazquez-Galindo, Giovanni; de Aluja, Aline S.; Guerrero-Legarreta, Isabel; et al. ANIMAL SCIENCE JOURNAL   Volume: 84   Issue: 4   Pages: 350-358   Published: 2013</w:t>
            </w:r>
          </w:p>
        </w:tc>
      </w:tr>
      <w:tr w:rsidR="00E9354F" w14:paraId="5DBCB456" w14:textId="77777777" w:rsidTr="00933550">
        <w:tc>
          <w:tcPr>
            <w:tcW w:w="3628" w:type="dxa"/>
          </w:tcPr>
          <w:p w14:paraId="0B941BC0" w14:textId="77777777" w:rsidR="00E9354F" w:rsidRPr="002C174D" w:rsidRDefault="00E9354F" w:rsidP="00C72F87">
            <w:r w:rsidRPr="002C174D">
              <w:t>Meat quality</w:t>
            </w:r>
          </w:p>
        </w:tc>
        <w:tc>
          <w:tcPr>
            <w:tcW w:w="1020" w:type="dxa"/>
          </w:tcPr>
          <w:p w14:paraId="4BF95ABC" w14:textId="77777777" w:rsidR="00E9354F" w:rsidRPr="0079257D" w:rsidRDefault="00E9354F" w:rsidP="00C72F87">
            <w:r w:rsidRPr="0079257D">
              <w:t>1</w:t>
            </w:r>
          </w:p>
        </w:tc>
        <w:tc>
          <w:tcPr>
            <w:tcW w:w="5329" w:type="dxa"/>
          </w:tcPr>
          <w:p w14:paraId="381AB64D" w14:textId="77777777" w:rsidR="00B05D59" w:rsidRPr="00B05D59" w:rsidRDefault="00B05D59" w:rsidP="00B05D59">
            <w:pPr>
              <w:pStyle w:val="NoSpacing"/>
              <w:rPr>
                <w:sz w:val="16"/>
                <w:szCs w:val="16"/>
              </w:rPr>
            </w:pPr>
            <w:r w:rsidRPr="00B05D59">
              <w:rPr>
                <w:sz w:val="16"/>
                <w:szCs w:val="16"/>
              </w:rPr>
              <w:t>Carcass yields and meat quality characteristics of adult emus (</w:t>
            </w:r>
            <w:r w:rsidRPr="00B05D59">
              <w:rPr>
                <w:i/>
                <w:sz w:val="16"/>
                <w:szCs w:val="16"/>
              </w:rPr>
              <w:t>Dromaius novaehollandiae</w:t>
            </w:r>
            <w:r w:rsidRPr="00B05D59">
              <w:rPr>
                <w:sz w:val="16"/>
                <w:szCs w:val="16"/>
              </w:rPr>
              <w:t>) transported for 6 h before slaughter</w:t>
            </w:r>
          </w:p>
          <w:p w14:paraId="73D07B97" w14:textId="77777777" w:rsidR="00B05D59" w:rsidRPr="00B05D59" w:rsidRDefault="00B05D59" w:rsidP="00B05D59">
            <w:pPr>
              <w:pStyle w:val="NoSpacing"/>
              <w:rPr>
                <w:sz w:val="16"/>
                <w:szCs w:val="16"/>
              </w:rPr>
            </w:pPr>
            <w:r w:rsidRPr="00B05D59">
              <w:rPr>
                <w:sz w:val="16"/>
                <w:szCs w:val="16"/>
              </w:rPr>
              <w:t>By: Menon, Deepa G.; Bennett, Darin C.; Uttaro, Bethany; et al.</w:t>
            </w:r>
          </w:p>
          <w:p w14:paraId="202244F8" w14:textId="77777777" w:rsidR="00E9354F" w:rsidRPr="00B05D59" w:rsidRDefault="00B05D59" w:rsidP="00B05D59">
            <w:pPr>
              <w:pStyle w:val="NoSpacing"/>
              <w:rPr>
                <w:sz w:val="16"/>
                <w:szCs w:val="16"/>
              </w:rPr>
            </w:pPr>
            <w:r w:rsidRPr="00B05D59">
              <w:rPr>
                <w:sz w:val="16"/>
                <w:szCs w:val="16"/>
              </w:rPr>
              <w:t>MEAT SCIENCE   Volume: 98   Issue: 2   Pages: 240-246   Published: OCT 2014</w:t>
            </w:r>
          </w:p>
        </w:tc>
      </w:tr>
      <w:tr w:rsidR="00E9354F" w14:paraId="17FA272D" w14:textId="77777777" w:rsidTr="00933550">
        <w:tc>
          <w:tcPr>
            <w:tcW w:w="3628" w:type="dxa"/>
          </w:tcPr>
          <w:p w14:paraId="2B5F23B5" w14:textId="77777777" w:rsidR="00E9354F" w:rsidRDefault="00E9354F" w:rsidP="00C72F87">
            <w:r w:rsidRPr="002C174D">
              <w:t>Review paper</w:t>
            </w:r>
          </w:p>
        </w:tc>
        <w:tc>
          <w:tcPr>
            <w:tcW w:w="1020" w:type="dxa"/>
          </w:tcPr>
          <w:p w14:paraId="7BE98FC5" w14:textId="77777777" w:rsidR="00E9354F" w:rsidRPr="0079257D" w:rsidRDefault="00E9354F" w:rsidP="00C72F87">
            <w:r w:rsidRPr="0079257D">
              <w:t>1</w:t>
            </w:r>
          </w:p>
        </w:tc>
        <w:tc>
          <w:tcPr>
            <w:tcW w:w="5329" w:type="dxa"/>
          </w:tcPr>
          <w:p w14:paraId="4A3D8189" w14:textId="77777777" w:rsidR="00B05D59" w:rsidRPr="00B05D59" w:rsidRDefault="00B05D59" w:rsidP="00B05D59">
            <w:pPr>
              <w:pStyle w:val="NoSpacing"/>
              <w:rPr>
                <w:sz w:val="16"/>
                <w:szCs w:val="16"/>
              </w:rPr>
            </w:pPr>
            <w:r w:rsidRPr="00B05D59">
              <w:rPr>
                <w:sz w:val="16"/>
                <w:szCs w:val="16"/>
              </w:rPr>
              <w:t>The development of ratite production through continued research</w:t>
            </w:r>
          </w:p>
          <w:p w14:paraId="349F401C" w14:textId="77777777" w:rsidR="00B05D59" w:rsidRPr="00B05D59" w:rsidRDefault="00B05D59" w:rsidP="00B05D59">
            <w:pPr>
              <w:pStyle w:val="NoSpacing"/>
              <w:rPr>
                <w:sz w:val="16"/>
                <w:szCs w:val="16"/>
              </w:rPr>
            </w:pPr>
            <w:r w:rsidRPr="00B05D59">
              <w:rPr>
                <w:sz w:val="16"/>
                <w:szCs w:val="16"/>
              </w:rPr>
              <w:t>By Cloete, S. W. P.; Brand, T. S.; Hoffman, L.; et al.</w:t>
            </w:r>
          </w:p>
          <w:p w14:paraId="5C6B35C1" w14:textId="77777777" w:rsidR="00E9354F" w:rsidRPr="00B05D59" w:rsidRDefault="00B05D59" w:rsidP="00B05D59">
            <w:pPr>
              <w:pStyle w:val="NoSpacing"/>
              <w:rPr>
                <w:sz w:val="16"/>
                <w:szCs w:val="16"/>
              </w:rPr>
            </w:pPr>
            <w:r w:rsidRPr="00B05D59">
              <w:rPr>
                <w:sz w:val="16"/>
                <w:szCs w:val="16"/>
              </w:rPr>
              <w:t>WORLDS POULTRY SCIENCE JOURNAL Volume:68 Issue:2 Pages: 323-334 Published: JUN 2012</w:t>
            </w:r>
          </w:p>
        </w:tc>
      </w:tr>
    </w:tbl>
    <w:p w14:paraId="72BD98B3" w14:textId="77777777" w:rsidR="00933550" w:rsidRDefault="00933550" w:rsidP="00146AB8">
      <w:pPr>
        <w:rPr>
          <w:lang w:val="en-GB"/>
        </w:rPr>
      </w:pPr>
    </w:p>
    <w:p w14:paraId="6E98036F" w14:textId="77777777" w:rsidR="000A68B1" w:rsidRDefault="00B05D59" w:rsidP="00146AB8">
      <w:pPr>
        <w:rPr>
          <w:lang w:val="en-GB"/>
        </w:rPr>
      </w:pPr>
      <w:r>
        <w:rPr>
          <w:lang w:val="en-GB"/>
        </w:rPr>
        <w:br w:type="column"/>
      </w:r>
    </w:p>
    <w:p w14:paraId="58C8B5A1" w14:textId="77777777" w:rsidR="00B05D59" w:rsidRDefault="00B05D59" w:rsidP="00146AB8">
      <w:pPr>
        <w:rPr>
          <w:lang w:val="en-GB"/>
        </w:rPr>
      </w:pPr>
    </w:p>
    <w:sectPr w:rsidR="00B05D59" w:rsidSect="00EA2186">
      <w:type w:val="continuous"/>
      <w:pgSz w:w="11900" w:h="16840"/>
      <w:pgMar w:top="1720" w:right="1080" w:bottom="1440" w:left="1080"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A9B61" w14:textId="77777777" w:rsidR="00C3135A" w:rsidRDefault="00C3135A" w:rsidP="008954B2">
      <w:r>
        <w:separator/>
      </w:r>
    </w:p>
  </w:endnote>
  <w:endnote w:type="continuationSeparator" w:id="0">
    <w:p w14:paraId="160E1268" w14:textId="77777777" w:rsidR="00C3135A" w:rsidRDefault="00C3135A" w:rsidP="00895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SemiBold">
    <w:altName w:val="VIC"/>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VIC-ExtraLight">
    <w:altName w:val="Times New Roman"/>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imesNewRomanPSMT">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NewRomanPS-BoldMT">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TSY">
    <w:altName w:val="Arial Unicode MS"/>
    <w:panose1 w:val="00000000000000000000"/>
    <w:charset w:val="81"/>
    <w:family w:val="auto"/>
    <w:notTrueType/>
    <w:pitch w:val="default"/>
    <w:sig w:usb0="00000003" w:usb1="09060000" w:usb2="00000010" w:usb3="00000000" w:csb0="00080001" w:csb1="00000000"/>
  </w:font>
  <w:font w:name="GulliverRM">
    <w:panose1 w:val="00000000000000000000"/>
    <w:charset w:val="00"/>
    <w:family w:val="auto"/>
    <w:notTrueType/>
    <w:pitch w:val="default"/>
    <w:sig w:usb0="00000003" w:usb1="00000000" w:usb2="00000000" w:usb3="00000000" w:csb0="00000001" w:csb1="00000000"/>
  </w:font>
  <w:font w:name="ComputerModern-Regular">
    <w:altName w:val="MS Mincho"/>
    <w:panose1 w:val="00000000000000000000"/>
    <w:charset w:val="80"/>
    <w:family w:val="roman"/>
    <w:notTrueType/>
    <w:pitch w:val="default"/>
    <w:sig w:usb0="00000001" w:usb1="08070000" w:usb2="00000010" w:usb3="00000000" w:csb0="00020000" w:csb1="00000000"/>
  </w:font>
  <w:font w:name="TimesNewRomanPS-Bold">
    <w:altName w:val="Times New Roman"/>
    <w:panose1 w:val="00000000000000000000"/>
    <w:charset w:val="00"/>
    <w:family w:val="roman"/>
    <w:notTrueType/>
    <w:pitch w:val="default"/>
    <w:sig w:usb0="00000003" w:usb1="00000000" w:usb2="00000000" w:usb3="00000000" w:csb0="00000001" w:csb1="00000000"/>
  </w:font>
  <w:font w:name="AdvPL">
    <w:altName w:val="Cambria"/>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Times-Roman">
    <w:altName w:val="Times New Roman"/>
    <w:panose1 w:val="00000000000000000000"/>
    <w:charset w:val="00"/>
    <w:family w:val="roman"/>
    <w:notTrueType/>
    <w:pitch w:val="default"/>
    <w:sig w:usb0="00000003" w:usb1="00000000" w:usb2="00000000" w:usb3="00000000" w:csb0="00000001" w:csb1="00000000"/>
  </w:font>
  <w:font w:name="AdvP403A40">
    <w:panose1 w:val="00000000000000000000"/>
    <w:charset w:val="00"/>
    <w:family w:val="swiss"/>
    <w:notTrueType/>
    <w:pitch w:val="default"/>
    <w:sig w:usb0="00000003" w:usb1="00000000" w:usb2="00000000" w:usb3="00000000" w:csb0="00000001" w:csb1="00000000"/>
  </w:font>
  <w:font w:name="ComputerModern-Italic">
    <w:altName w:val="MS Mincho"/>
    <w:panose1 w:val="00000000000000000000"/>
    <w:charset w:val="80"/>
    <w:family w:val="roman"/>
    <w:notTrueType/>
    <w:pitch w:val="default"/>
    <w:sig w:usb0="00000001" w:usb1="08070000" w:usb2="00000010" w:usb3="00000000" w:csb0="00020000" w:csb1="00000000"/>
  </w:font>
  <w:font w:name="CMR10">
    <w:altName w:val="MS Mincho"/>
    <w:panose1 w:val="00000000000000000000"/>
    <w:charset w:val="80"/>
    <w:family w:val="auto"/>
    <w:notTrueType/>
    <w:pitch w:val="default"/>
    <w:sig w:usb0="00000000" w:usb1="08070000" w:usb2="00000010" w:usb3="00000000" w:csb0="00020000" w:csb1="00000000"/>
  </w:font>
  <w:font w:name="AdvP4CD4D0">
    <w:altName w:val="Cambria"/>
    <w:panose1 w:val="00000000000000000000"/>
    <w:charset w:val="00"/>
    <w:family w:val="roman"/>
    <w:notTrueType/>
    <w:pitch w:val="default"/>
    <w:sig w:usb0="00000003" w:usb1="00000000" w:usb2="00000000" w:usb3="00000000" w:csb0="00000001" w:csb1="00000000"/>
  </w:font>
  <w:font w:name="AdvMT_SY">
    <w:panose1 w:val="00000000000000000000"/>
    <w:charset w:val="00"/>
    <w:family w:val="auto"/>
    <w:notTrueType/>
    <w:pitch w:val="default"/>
    <w:sig w:usb0="00000003" w:usb1="00000000" w:usb2="00000000" w:usb3="00000000" w:csb0="00000001" w:csb1="00000000"/>
  </w:font>
  <w:font w:name="AdvTimes">
    <w:altName w:val="MS Mincho"/>
    <w:panose1 w:val="00000000000000000000"/>
    <w:charset w:val="00"/>
    <w:family w:val="auto"/>
    <w:notTrueType/>
    <w:pitch w:val="default"/>
    <w:sig w:usb0="00000001" w:usb1="08070000" w:usb2="00000010" w:usb3="00000000" w:csb0="00020001" w:csb1="00000000"/>
  </w:font>
  <w:font w:name="AdvTR">
    <w:panose1 w:val="00000000000000000000"/>
    <w:charset w:val="00"/>
    <w:family w:val="roman"/>
    <w:notTrueType/>
    <w:pitch w:val="default"/>
    <w:sig w:usb0="00000003" w:usb1="00000000" w:usb2="00000000" w:usb3="00000000" w:csb0="00000001" w:csb1="00000000"/>
  </w:font>
  <w:font w:name="AdvTI">
    <w:panose1 w:val="00000000000000000000"/>
    <w:charset w:val="00"/>
    <w:family w:val="roman"/>
    <w:notTrueType/>
    <w:pitch w:val="default"/>
    <w:sig w:usb0="00000003" w:usb1="00000000" w:usb2="00000000" w:usb3="00000000" w:csb0="00000001" w:csb1="00000000"/>
  </w:font>
  <w:font w:name="GillSans-Italic">
    <w:panose1 w:val="00000000000000000000"/>
    <w:charset w:val="00"/>
    <w:family w:val="auto"/>
    <w:notTrueType/>
    <w:pitch w:val="default"/>
    <w:sig w:usb0="00000003" w:usb1="00000000" w:usb2="00000000" w:usb3="00000000" w:csb0="00000001" w:csb1="00000000"/>
  </w:font>
  <w:font w:name="Palatino-Roman">
    <w:altName w:val="Palatino Linotype"/>
    <w:panose1 w:val="00000000000000000000"/>
    <w:charset w:val="00"/>
    <w:family w:val="roman"/>
    <w:notTrueType/>
    <w:pitch w:val="default"/>
    <w:sig w:usb0="00000003" w:usb1="00000000" w:usb2="00000000" w:usb3="00000000" w:csb0="00000001" w:csb1="00000000"/>
  </w:font>
  <w:font w:name="TimesNewRomanPS-BoldItalicMT">
    <w:panose1 w:val="00000000000000000000"/>
    <w:charset w:val="00"/>
    <w:family w:val="roman"/>
    <w:notTrueType/>
    <w:pitch w:val="default"/>
    <w:sig w:usb0="00000003" w:usb1="00000000" w:usb2="00000000" w:usb3="00000000" w:csb0="00000001" w:csb1="00000000"/>
  </w:font>
  <w:font w:name="AdvTT5843c571">
    <w:panose1 w:val="00000000000000000000"/>
    <w:charset w:val="00"/>
    <w:family w:val="auto"/>
    <w:notTrueType/>
    <w:pitch w:val="default"/>
    <w:sig w:usb0="00000003" w:usb1="00000000" w:usb2="00000000" w:usb3="00000000" w:csb0="00000001" w:csb1="00000000"/>
  </w:font>
  <w:font w:name="AdvOT6af9549b">
    <w:panose1 w:val="00000000000000000000"/>
    <w:charset w:val="00"/>
    <w:family w:val="roman"/>
    <w:notTrueType/>
    <w:pitch w:val="default"/>
    <w:sig w:usb0="00000003" w:usb1="00000000" w:usb2="00000000" w:usb3="00000000" w:csb0="00000001" w:csb1="00000000"/>
  </w:font>
  <w:font w:name="OpenSans-Semibold">
    <w:panose1 w:val="00000000000000000000"/>
    <w:charset w:val="00"/>
    <w:family w:val="auto"/>
    <w:notTrueType/>
    <w:pitch w:val="default"/>
    <w:sig w:usb0="00000003" w:usb1="00000000" w:usb2="00000000" w:usb3="00000000" w:csb0="00000001" w:csb1="00000000"/>
  </w:font>
  <w:font w:name="Cheltenham-BookCond">
    <w:panose1 w:val="00000000000000000000"/>
    <w:charset w:val="00"/>
    <w:family w:val="roman"/>
    <w:notTrueType/>
    <w:pitch w:val="default"/>
    <w:sig w:usb0="00000003" w:usb1="00000000" w:usb2="00000000" w:usb3="00000000" w:csb0="00000001" w:csb1="00000000"/>
  </w:font>
  <w:font w:name="AdvOT46dcae81">
    <w:panose1 w:val="00000000000000000000"/>
    <w:charset w:val="00"/>
    <w:family w:val="swiss"/>
    <w:notTrueType/>
    <w:pitch w:val="default"/>
    <w:sig w:usb0="00000003" w:usb1="00000000" w:usb2="00000000" w:usb3="00000000" w:csb0="00000001" w:csb1="00000000"/>
  </w:font>
  <w:font w:name="TimesNewRomanPS">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dvFrutiger-RC">
    <w:altName w:val="Calibri"/>
    <w:panose1 w:val="00000000000000000000"/>
    <w:charset w:val="00"/>
    <w:family w:val="swiss"/>
    <w:notTrueType/>
    <w:pitch w:val="default"/>
    <w:sig w:usb0="00000003" w:usb1="00000000" w:usb2="00000000" w:usb3="00000000" w:csb0="00000001" w:csb1="00000000"/>
  </w:font>
  <w:font w:name="RealpageBAS6">
    <w:panose1 w:val="00000000000000000000"/>
    <w:charset w:val="00"/>
    <w:family w:val="swiss"/>
    <w:notTrueType/>
    <w:pitch w:val="default"/>
    <w:sig w:usb0="00000003" w:usb1="00000000" w:usb2="00000000" w:usb3="00000000" w:csb0="00000001" w:csb1="00000000"/>
  </w:font>
  <w:font w:name="AdvP49811">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UVCharter-Regular">
    <w:altName w:val="Calibri"/>
    <w:panose1 w:val="00000000000000000000"/>
    <w:charset w:val="00"/>
    <w:family w:val="auto"/>
    <w:notTrueType/>
    <w:pitch w:val="default"/>
    <w:sig w:usb0="00000003" w:usb1="00000000" w:usb2="00000000" w:usb3="00000000" w:csb0="00000001" w:csb1="00000000"/>
  </w:font>
  <w:font w:name="AdvP4CD4D4">
    <w:panose1 w:val="00000000000000000000"/>
    <w:charset w:val="00"/>
    <w:family w:val="roman"/>
    <w:notTrueType/>
    <w:pitch w:val="default"/>
    <w:sig w:usb0="00000003" w:usb1="00000000" w:usb2="00000000" w:usb3="00000000" w:csb0="00000001" w:csb1="00000000"/>
  </w:font>
  <w:font w:name="AdvGulliv-R">
    <w:altName w:val="Calibri"/>
    <w:panose1 w:val="00000000000000000000"/>
    <w:charset w:val="00"/>
    <w:family w:val="auto"/>
    <w:notTrueType/>
    <w:pitch w:val="default"/>
    <w:sig w:usb0="00000003" w:usb1="00000000" w:usb2="00000000" w:usb3="00000000" w:csb0="00000001" w:csb1="00000000"/>
  </w:font>
  <w:font w:name="AdvP4DF60E">
    <w:panose1 w:val="00000000000000000000"/>
    <w:charset w:val="00"/>
    <w:family w:val="auto"/>
    <w:notTrueType/>
    <w:pitch w:val="default"/>
    <w:sig w:usb0="00000003" w:usb1="00000000" w:usb2="00000000" w:usb3="00000000" w:csb0="00000001" w:csb1="00000000"/>
  </w:font>
  <w:font w:name="Courier">
    <w:panose1 w:val="02070409020205020404"/>
    <w:charset w:val="00"/>
    <w:family w:val="auto"/>
    <w:pitch w:val="variable"/>
    <w:sig w:usb0="00000003" w:usb1="00000000" w:usb2="00000000" w:usb3="00000000" w:csb0="00000003" w:csb1="00000000"/>
  </w:font>
  <w:font w:name="AdvOTeea082cb">
    <w:panose1 w:val="00000000000000000000"/>
    <w:charset w:val="00"/>
    <w:family w:val="auto"/>
    <w:notTrueType/>
    <w:pitch w:val="default"/>
    <w:sig w:usb0="00000003" w:usb1="00000000" w:usb2="00000000" w:usb3="00000000" w:csb0="00000001" w:csb1="00000000"/>
  </w:font>
  <w:font w:name="AdvOTeea082cb+20">
    <w:panose1 w:val="00000000000000000000"/>
    <w:charset w:val="00"/>
    <w:family w:val="swiss"/>
    <w:notTrueType/>
    <w:pitch w:val="default"/>
    <w:sig w:usb0="00000003" w:usb1="00000000" w:usb2="00000000" w:usb3="00000000" w:csb0="00000001" w:csb1="00000000"/>
  </w:font>
  <w:font w:name="TTC9BEO00">
    <w:panose1 w:val="00000000000000000000"/>
    <w:charset w:val="00"/>
    <w:family w:val="auto"/>
    <w:notTrueType/>
    <w:pitch w:val="default"/>
    <w:sig w:usb0="00000003" w:usb1="00000000" w:usb2="00000000" w:usb3="00000000" w:csb0="00000001" w:csb1="00000000"/>
  </w:font>
  <w:font w:name="RealpageBAS6-Bold">
    <w:altName w:val="Calibri"/>
    <w:panose1 w:val="00000000000000000000"/>
    <w:charset w:val="00"/>
    <w:family w:val="swiss"/>
    <w:notTrueType/>
    <w:pitch w:val="default"/>
    <w:sig w:usb0="00000003" w:usb1="00000000" w:usb2="00000000" w:usb3="00000000" w:csb0="00000001" w:csb1="00000000"/>
  </w:font>
  <w:font w:name="ACaslonPro-Regular">
    <w:altName w:val="MS Mincho"/>
    <w:panose1 w:val="00000000000000000000"/>
    <w:charset w:val="80"/>
    <w:family w:val="roman"/>
    <w:notTrueType/>
    <w:pitch w:val="default"/>
    <w:sig w:usb0="00000001" w:usb1="08070000" w:usb2="00000010" w:usb3="00000000" w:csb0="00020000" w:csb1="00000000"/>
  </w:font>
  <w:font w:name="AdvPS94BA">
    <w:panose1 w:val="00000000000000000000"/>
    <w:charset w:val="00"/>
    <w:family w:val="roman"/>
    <w:notTrueType/>
    <w:pitch w:val="default"/>
    <w:sig w:usb0="00000003" w:usb1="00000000" w:usb2="00000000" w:usb3="00000000" w:csb0="00000001" w:csb1="00000000"/>
  </w:font>
  <w:font w:name="AdvP44E6F4">
    <w:panose1 w:val="00000000000000000000"/>
    <w:charset w:val="00"/>
    <w:family w:val="roman"/>
    <w:notTrueType/>
    <w:pitch w:val="default"/>
    <w:sig w:usb0="00000003" w:usb1="00000000" w:usb2="00000000" w:usb3="00000000" w:csb0="00000001" w:csb1="00000000"/>
  </w:font>
  <w:font w:name="AdvP66FA">
    <w:panose1 w:val="00000000000000000000"/>
    <w:charset w:val="00"/>
    <w:family w:val="roman"/>
    <w:notTrueType/>
    <w:pitch w:val="default"/>
    <w:sig w:usb0="00000003" w:usb1="00000000" w:usb2="00000000" w:usb3="00000000" w:csb0="00000001" w:csb1="00000000"/>
  </w:font>
  <w:font w:name="AdvOTa109402e.I">
    <w:panose1 w:val="00000000000000000000"/>
    <w:charset w:val="00"/>
    <w:family w:val="roman"/>
    <w:notTrueType/>
    <w:pitch w:val="default"/>
    <w:sig w:usb0="00000003" w:usb1="00000000" w:usb2="00000000" w:usb3="00000000" w:csb0="00000001" w:csb1="00000000"/>
  </w:font>
  <w:font w:name="RealpageBAS6-Italic">
    <w:panose1 w:val="00000000000000000000"/>
    <w:charset w:val="00"/>
    <w:family w:val="swiss"/>
    <w:notTrueType/>
    <w:pitch w:val="default"/>
    <w:sig w:usb0="00000003" w:usb1="00000000" w:usb2="00000000" w:usb3="00000000" w:csb0="00000001" w:csb1="00000000"/>
  </w:font>
  <w:font w:name="AdvTT5235d5a9">
    <w:panose1 w:val="00000000000000000000"/>
    <w:charset w:val="00"/>
    <w:family w:val="roman"/>
    <w:notTrueType/>
    <w:pitch w:val="default"/>
    <w:sig w:usb0="00000003" w:usb1="00000000" w:usb2="00000000" w:usb3="00000000" w:csb0="00000001" w:csb1="00000000"/>
  </w:font>
  <w:font w:name="AdvOT46dcae81+fb">
    <w:panose1 w:val="00000000000000000000"/>
    <w:charset w:val="00"/>
    <w:family w:val="auto"/>
    <w:notTrueType/>
    <w:pitch w:val="default"/>
    <w:sig w:usb0="00000003" w:usb1="00000000" w:usb2="00000000" w:usb3="00000000" w:csb0="00000001" w:csb1="00000000"/>
  </w:font>
  <w:font w:name="FrutigerLTStd-Light">
    <w:altName w:val="MS Gothic"/>
    <w:panose1 w:val="00000000000000000000"/>
    <w:charset w:val="00"/>
    <w:family w:val="swiss"/>
    <w:notTrueType/>
    <w:pitch w:val="default"/>
    <w:sig w:usb0="00000003" w:usb1="08070000" w:usb2="00000010" w:usb3="00000000" w:csb0="00020001" w:csb1="00000000"/>
  </w:font>
  <w:font w:name="AdvP4CD4D2">
    <w:panose1 w:val="00000000000000000000"/>
    <w:charset w:val="00"/>
    <w:family w:val="roman"/>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FCJIF H+ Gulliver RM">
    <w:altName w:val="Gulliver RM"/>
    <w:panose1 w:val="00000000000000000000"/>
    <w:charset w:val="00"/>
    <w:family w:val="roman"/>
    <w:notTrueType/>
    <w:pitch w:val="default"/>
    <w:sig w:usb0="00000003" w:usb1="00000000" w:usb2="00000000" w:usb3="00000000" w:csb0="00000001" w:csb1="00000000"/>
  </w:font>
  <w:font w:name="MyriadPro-Semibold">
    <w:panose1 w:val="00000000000000000000"/>
    <w:charset w:val="00"/>
    <w:family w:val="swiss"/>
    <w:notTrueType/>
    <w:pitch w:val="default"/>
    <w:sig w:usb0="00000003" w:usb1="00000000" w:usb2="00000000" w:usb3="00000000" w:csb0="00000001" w:csb1="00000000"/>
  </w:font>
  <w:font w:name="Myriad Pro">
    <w:charset w:val="00"/>
    <w:family w:val="swiss"/>
    <w:pitch w:val="variable"/>
    <w:sig w:usb0="20000287" w:usb1="00000001" w:usb2="00000000" w:usb3="00000000" w:csb0="0000019F" w:csb1="00000000"/>
  </w:font>
  <w:font w:name="UVProfile-Light">
    <w:panose1 w:val="00000000000000000000"/>
    <w:charset w:val="00"/>
    <w:family w:val="auto"/>
    <w:notTrueType/>
    <w:pitch w:val="default"/>
    <w:sig w:usb0="00000003" w:usb1="00000000" w:usb2="00000000" w:usb3="00000000" w:csb0="00000001" w:csb1="00000000"/>
  </w:font>
  <w:font w:name="AdvPi1">
    <w:panose1 w:val="00000000000000000000"/>
    <w:charset w:val="00"/>
    <w:family w:val="roman"/>
    <w:notTrueType/>
    <w:pitch w:val="default"/>
    <w:sig w:usb0="00000003" w:usb1="00000000" w:usb2="00000000" w:usb3="00000000" w:csb0="00000001" w:csb1="00000000"/>
  </w:font>
  <w:font w:name="AdvP41153C">
    <w:panose1 w:val="00000000000000000000"/>
    <w:charset w:val="00"/>
    <w:family w:val="roman"/>
    <w:notTrueType/>
    <w:pitch w:val="default"/>
    <w:sig w:usb0="00000003" w:usb1="00000000" w:usb2="00000000" w:usb3="00000000" w:csb0="00000001" w:csb1="00000000"/>
  </w:font>
  <w:font w:name="FrutigerLTStd-LightItalic">
    <w:panose1 w:val="00000000000000000000"/>
    <w:charset w:val="00"/>
    <w:family w:val="swiss"/>
    <w:notTrueType/>
    <w:pitch w:val="default"/>
    <w:sig w:usb0="00000003" w:usb1="00000000" w:usb2="00000000" w:usb3="00000000" w:csb0="00000001" w:csb1="00000000"/>
  </w:font>
  <w:font w:name="20lifnmxvsxwirbdizjqntweiio">
    <w:panose1 w:val="00000000000000000000"/>
    <w:charset w:val="00"/>
    <w:family w:val="swiss"/>
    <w:notTrueType/>
    <w:pitch w:val="default"/>
    <w:sig w:usb0="00000003" w:usb1="00000000" w:usb2="00000000" w:usb3="00000000" w:csb0="00000001" w:csb1="00000000"/>
  </w:font>
  <w:font w:name="Sgwnfgpqvgvqqznzkxzzzvbnzsn">
    <w:panose1 w:val="00000000000000000000"/>
    <w:charset w:val="00"/>
    <w:family w:val="auto"/>
    <w:notTrueType/>
    <w:pitch w:val="default"/>
    <w:sig w:usb0="00000003" w:usb1="00000000" w:usb2="00000000" w:usb3="00000000" w:csb0="00000001" w:csb1="00000000"/>
  </w:font>
  <w:font w:name="FrutigerLight">
    <w:panose1 w:val="00000000000000000000"/>
    <w:charset w:val="00"/>
    <w:family w:val="auto"/>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TimesNewRomanPS-Italic">
    <w:panose1 w:val="00000000000000000000"/>
    <w:charset w:val="00"/>
    <w:family w:val="roman"/>
    <w:notTrueType/>
    <w:pitch w:val="default"/>
    <w:sig w:usb0="00000003" w:usb1="00000000" w:usb2="00000000" w:usb3="00000000" w:csb0="00000001" w:csb1="00000000"/>
  </w:font>
  <w:font w:name="CMTI10">
    <w:panose1 w:val="00000000000000000000"/>
    <w:charset w:val="00"/>
    <w:family w:val="auto"/>
    <w:notTrueType/>
    <w:pitch w:val="default"/>
    <w:sig w:usb0="00000003" w:usb1="00000000" w:usb2="00000000" w:usb3="00000000" w:csb0="00000001" w:csb1="00000000"/>
  </w:font>
  <w:font w:name="ATSchneidlerMediaeval">
    <w:panose1 w:val="00000000000000000000"/>
    <w:charset w:val="00"/>
    <w:family w:val="auto"/>
    <w:notTrueType/>
    <w:pitch w:val="default"/>
    <w:sig w:usb0="00000003" w:usb1="00000000" w:usb2="00000000" w:usb3="00000000" w:csb0="00000001" w:csb1="00000000"/>
  </w:font>
  <w:font w:name="Minion-Regular">
    <w:panose1 w:val="00000000000000000000"/>
    <w:charset w:val="00"/>
    <w:family w:val="roman"/>
    <w:notTrueType/>
    <w:pitch w:val="default"/>
    <w:sig w:usb0="00000003" w:usb1="00000000" w:usb2="00000000" w:usb3="00000000" w:csb0="00000001" w:csb1="00000000"/>
  </w:font>
  <w:font w:name="Minion-Bold">
    <w:panose1 w:val="00000000000000000000"/>
    <w:charset w:val="00"/>
    <w:family w:val="roman"/>
    <w:notTrueType/>
    <w:pitch w:val="default"/>
    <w:sig w:usb0="00000003" w:usb1="00000000" w:usb2="00000000" w:usb3="00000000" w:csb0="00000001" w:csb1="00000000"/>
  </w:font>
  <w:font w:name="CenturySchoolbook">
    <w:altName w:val="MS Mincho"/>
    <w:panose1 w:val="00000000000000000000"/>
    <w:charset w:val="80"/>
    <w:family w:val="auto"/>
    <w:notTrueType/>
    <w:pitch w:val="default"/>
    <w:sig w:usb0="00000001" w:usb1="08070000" w:usb2="00000010" w:usb3="00000000" w:csb0="00020001" w:csb1="00000000"/>
  </w:font>
  <w:font w:name="Dutch801BT-BoldItalic">
    <w:panose1 w:val="00000000000000000000"/>
    <w:charset w:val="00"/>
    <w:family w:val="roman"/>
    <w:notTrueType/>
    <w:pitch w:val="default"/>
    <w:sig w:usb0="00000003" w:usb1="00000000" w:usb2="00000000" w:usb3="00000000" w:csb0="00000001" w:csb1="00000000"/>
  </w:font>
  <w:font w:name="Dutch801BT-Roman">
    <w:panose1 w:val="00000000000000000000"/>
    <w:charset w:val="00"/>
    <w:family w:val="roman"/>
    <w:notTrueType/>
    <w:pitch w:val="default"/>
    <w:sig w:usb0="00000003" w:usb1="00000000" w:usb2="00000000" w:usb3="00000000" w:csb0="00000001" w:csb1="00000000"/>
  </w:font>
  <w:font w:name="Dutch801BT-Italic">
    <w:panose1 w:val="00000000000000000000"/>
    <w:charset w:val="00"/>
    <w:family w:val="swiss"/>
    <w:notTrueType/>
    <w:pitch w:val="default"/>
    <w:sig w:usb0="00000003" w:usb1="00000000" w:usb2="00000000" w:usb3="00000000" w:csb0="00000001" w:csb1="00000000"/>
  </w:font>
  <w:font w:name="Dutch801BT-Bold">
    <w:panose1 w:val="00000000000000000000"/>
    <w:charset w:val="00"/>
    <w:family w:val="roman"/>
    <w:notTrueType/>
    <w:pitch w:val="default"/>
    <w:sig w:usb0="00000003" w:usb1="00000000" w:usb2="00000000" w:usb3="00000000" w:csb0="00000001" w:csb1="00000000"/>
  </w:font>
  <w:font w:name="CenturySchoolbook-Italic">
    <w:panose1 w:val="00000000000000000000"/>
    <w:charset w:val="00"/>
    <w:family w:val="auto"/>
    <w:notTrueType/>
    <w:pitch w:val="default"/>
    <w:sig w:usb0="00000003" w:usb1="00000000" w:usb2="00000000" w:usb3="00000000" w:csb0="00000001" w:csb1="00000000"/>
  </w:font>
  <w:font w:name="SizedSym151">
    <w:panose1 w:val="00000000000000000000"/>
    <w:charset w:val="00"/>
    <w:family w:val="auto"/>
    <w:notTrueType/>
    <w:pitch w:val="default"/>
    <w:sig w:usb0="00000003" w:usb1="00000000" w:usb2="00000000" w:usb3="00000000" w:csb0="00000001" w:csb1="00000000"/>
  </w:font>
  <w:font w:name="RealpageBAS4">
    <w:panose1 w:val="00000000000000000000"/>
    <w:charset w:val="00"/>
    <w:family w:val="auto"/>
    <w:notTrueType/>
    <w:pitch w:val="default"/>
    <w:sig w:usb0="00000003" w:usb1="00000000" w:usb2="00000000" w:usb3="00000000" w:csb0="00000001" w:csb1="00000000"/>
  </w:font>
  <w:font w:name="AdvTT6120e2aa">
    <w:panose1 w:val="00000000000000000000"/>
    <w:charset w:val="00"/>
    <w:family w:val="roman"/>
    <w:notTrueType/>
    <w:pitch w:val="default"/>
    <w:sig w:usb0="00000003" w:usb1="00000000" w:usb2="00000000" w:usb3="00000000" w:csb0="00000001" w:csb1="00000000"/>
  </w:font>
  <w:font w:name="NELEB D+ MTSY">
    <w:altName w:val="Arial Unicode MS"/>
    <w:panose1 w:val="00000000000000000000"/>
    <w:charset w:val="81"/>
    <w:family w:val="swiss"/>
    <w:notTrueType/>
    <w:pitch w:val="default"/>
    <w:sig w:usb0="00000000" w:usb1="09060000" w:usb2="00000010" w:usb3="00000000" w:csb0="00080000" w:csb1="00000000"/>
  </w:font>
  <w:font w:name="NELDB G+ Gulliver RM">
    <w:altName w:val="Gulliver RM"/>
    <w:panose1 w:val="00000000000000000000"/>
    <w:charset w:val="00"/>
    <w:family w:val="roman"/>
    <w:notTrueType/>
    <w:pitch w:val="default"/>
    <w:sig w:usb0="00000003" w:usb1="00000000" w:usb2="00000000" w:usb3="00000000" w:csb0="00000001" w:csb1="00000000"/>
  </w:font>
  <w:font w:name="MathematicalPi-One">
    <w:panose1 w:val="00000000000000000000"/>
    <w:charset w:val="00"/>
    <w:family w:val="auto"/>
    <w:notTrueType/>
    <w:pitch w:val="default"/>
    <w:sig w:usb0="00000003" w:usb1="00000000" w:usb2="00000000" w:usb3="00000000" w:csb0="00000001" w:csb1="00000000"/>
  </w:font>
  <w:font w:name="OEEIP J+ Gulliver RM">
    <w:altName w:val="Gulliver RM"/>
    <w:panose1 w:val="00000000000000000000"/>
    <w:charset w:val="00"/>
    <w:family w:val="roman"/>
    <w:notTrueType/>
    <w:pitch w:val="default"/>
    <w:sig w:usb0="00000003" w:usb1="00000000" w:usb2="00000000" w:usb3="00000000" w:csb0="00000001" w:csb1="00000000"/>
  </w:font>
  <w:font w:name="AdvEPSTIM">
    <w:panose1 w:val="00000000000000000000"/>
    <w:charset w:val="00"/>
    <w:family w:val="auto"/>
    <w:notTrueType/>
    <w:pitch w:val="default"/>
    <w:sig w:usb0="00000003" w:usb1="00000000" w:usb2="00000000" w:usb3="00000000" w:csb0="00000001" w:csb1="00000000"/>
  </w:font>
  <w:font w:name="StoneSerif">
    <w:panose1 w:val="00000000000000000000"/>
    <w:charset w:val="00"/>
    <w:family w:val="roman"/>
    <w:notTrueType/>
    <w:pitch w:val="default"/>
    <w:sig w:usb0="00000003" w:usb1="00000000" w:usb2="00000000" w:usb3="00000000" w:csb0="00000001" w:csb1="00000000"/>
  </w:font>
  <w:font w:name="Cheltenham-BookCondItalic">
    <w:panose1 w:val="00000000000000000000"/>
    <w:charset w:val="00"/>
    <w:family w:val="roman"/>
    <w:notTrueType/>
    <w:pitch w:val="default"/>
    <w:sig w:usb0="00000003" w:usb1="00000000" w:usb2="00000000" w:usb3="00000000" w:csb0="00000001" w:csb1="00000000"/>
  </w:font>
  <w:font w:name="AdvOT6af9549b+fb">
    <w:panose1 w:val="00000000000000000000"/>
    <w:charset w:val="00"/>
    <w:family w:val="auto"/>
    <w:notTrueType/>
    <w:pitch w:val="default"/>
    <w:sig w:usb0="00000003" w:usb1="00000000" w:usb2="00000000" w:usb3="00000000" w:csb0="00000001" w:csb1="00000000"/>
  </w:font>
  <w:font w:name="AdvOTf89fc01d.B">
    <w:panose1 w:val="00000000000000000000"/>
    <w:charset w:val="00"/>
    <w:family w:val="roman"/>
    <w:notTrueType/>
    <w:pitch w:val="default"/>
    <w:sig w:usb0="00000003" w:usb1="00000000" w:usb2="00000000" w:usb3="00000000" w:csb0="00000001" w:csb1="00000000"/>
  </w:font>
  <w:font w:name="CgOmega">
    <w:panose1 w:val="00000000000000000000"/>
    <w:charset w:val="00"/>
    <w:family w:val="swiss"/>
    <w:notTrueType/>
    <w:pitch w:val="default"/>
    <w:sig w:usb0="00000003" w:usb1="00000000" w:usb2="00000000" w:usb3="00000000" w:csb0="00000001" w:csb1="00000000"/>
  </w:font>
  <w:font w:name="Frutiger-Light">
    <w:panose1 w:val="00000000000000000000"/>
    <w:charset w:val="00"/>
    <w:family w:val="swiss"/>
    <w:notTrueType/>
    <w:pitch w:val="default"/>
    <w:sig w:usb0="00000003" w:usb1="00000000" w:usb2="00000000" w:usb3="00000000" w:csb0="00000001" w:csb1="00000000"/>
  </w:font>
  <w:font w:name="VsjmccAdvTT3713a231">
    <w:panose1 w:val="00000000000000000000"/>
    <w:charset w:val="00"/>
    <w:family w:val="roman"/>
    <w:notTrueType/>
    <w:pitch w:val="default"/>
    <w:sig w:usb0="00000003" w:usb1="00000000" w:usb2="00000000" w:usb3="00000000" w:csb0="00000001" w:csb1="00000000"/>
  </w:font>
  <w:font w:name="LlhwwjAdvTT3713a231+03">
    <w:altName w:val="Times New Roman"/>
    <w:panose1 w:val="00000000000000000000"/>
    <w:charset w:val="A1"/>
    <w:family w:val="auto"/>
    <w:notTrueType/>
    <w:pitch w:val="default"/>
    <w:sig w:usb0="00000081" w:usb1="00000000" w:usb2="00000000" w:usb3="00000000" w:csb0="00000008" w:csb1="00000000"/>
  </w:font>
  <w:font w:name="MinionPro-Regular">
    <w:altName w:val="MS Mincho"/>
    <w:panose1 w:val="00000000000000000000"/>
    <w:charset w:val="80"/>
    <w:family w:val="roman"/>
    <w:notTrueType/>
    <w:pitch w:val="default"/>
    <w:sig w:usb0="00000000" w:usb1="08070000" w:usb2="00000010" w:usb3="00000000" w:csb0="00020000" w:csb1="00000000"/>
  </w:font>
  <w:font w:name="MinionPro-It">
    <w:panose1 w:val="00000000000000000000"/>
    <w:charset w:val="00"/>
    <w:family w:val="roman"/>
    <w:notTrueType/>
    <w:pitch w:val="default"/>
    <w:sig w:usb0="00000003" w:usb1="00000000" w:usb2="00000000" w:usb3="00000000" w:csb0="00000001" w:csb1="00000000"/>
  </w:font>
  <w:font w:name="UVProfile-Medium">
    <w:panose1 w:val="00000000000000000000"/>
    <w:charset w:val="00"/>
    <w:family w:val="auto"/>
    <w:notTrueType/>
    <w:pitch w:val="default"/>
    <w:sig w:usb0="00000003" w:usb1="00000000" w:usb2="00000000" w:usb3="00000000" w:csb0="00000001" w:csb1="00000000"/>
  </w:font>
  <w:font w:name="QuarumBook">
    <w:altName w:val="MS Mincho"/>
    <w:panose1 w:val="00000000000000000000"/>
    <w:charset w:val="80"/>
    <w:family w:val="auto"/>
    <w:notTrueType/>
    <w:pitch w:val="default"/>
    <w:sig w:usb0="00000001" w:usb1="08070000" w:usb2="00000010" w:usb3="00000000" w:csb0="00020000" w:csb1="00000000"/>
  </w:font>
  <w:font w:name="AdvTTf90d833a.I">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AdvOT82c4f4c4">
    <w:panose1 w:val="00000000000000000000"/>
    <w:charset w:val="00"/>
    <w:family w:val="swiss"/>
    <w:notTrueType/>
    <w:pitch w:val="default"/>
    <w:sig w:usb0="00000003" w:usb1="00000000" w:usb2="00000000" w:usb3="00000000" w:csb0="00000001" w:csb1="00000000"/>
  </w:font>
  <w:font w:name="AdvOT1ef757c0">
    <w:panose1 w:val="00000000000000000000"/>
    <w:charset w:val="00"/>
    <w:family w:val="roman"/>
    <w:notTrueType/>
    <w:pitch w:val="default"/>
    <w:sig w:usb0="00000003" w:usb1="00000000" w:usb2="00000000" w:usb3="00000000" w:csb0="00000001" w:csb1="00000000"/>
  </w:font>
  <w:font w:name="Formata-Medium">
    <w:panose1 w:val="00000000000000000000"/>
    <w:charset w:val="00"/>
    <w:family w:val="roman"/>
    <w:notTrueType/>
    <w:pitch w:val="default"/>
    <w:sig w:usb0="00000003" w:usb1="00000000" w:usb2="00000000" w:usb3="00000000" w:csb0="00000001" w:csb1="00000000"/>
  </w:font>
  <w:font w:name="AdvTT1c473424.B">
    <w:panose1 w:val="00000000000000000000"/>
    <w:charset w:val="00"/>
    <w:family w:val="roman"/>
    <w:notTrueType/>
    <w:pitch w:val="default"/>
    <w:sig w:usb0="00000003" w:usb1="00000000" w:usb2="00000000" w:usb3="00000000" w:csb0="00000001" w:csb1="00000000"/>
  </w:font>
  <w:font w:name="AdvTTc1564962.I">
    <w:panose1 w:val="00000000000000000000"/>
    <w:charset w:val="00"/>
    <w:family w:val="roman"/>
    <w:notTrueType/>
    <w:pitch w:val="default"/>
    <w:sig w:usb0="00000003" w:usb1="00000000" w:usb2="00000000" w:usb3="00000000" w:csb0="00000001" w:csb1="00000000"/>
  </w:font>
  <w:font w:name="RealpageBAS19">
    <w:panose1 w:val="00000000000000000000"/>
    <w:charset w:val="00"/>
    <w:family w:val="swiss"/>
    <w:notTrueType/>
    <w:pitch w:val="default"/>
    <w:sig w:usb0="00000003" w:usb1="00000000" w:usb2="00000000" w:usb3="00000000" w:csb0="00000001" w:csb1="00000000"/>
  </w:font>
  <w:font w:name="AdvTT5843c571+fb">
    <w:panose1 w:val="00000000000000000000"/>
    <w:charset w:val="00"/>
    <w:family w:val="auto"/>
    <w:notTrueType/>
    <w:pitch w:val="default"/>
    <w:sig w:usb0="00000003" w:usb1="00000000" w:usb2="00000000" w:usb3="00000000" w:csb0="00000001" w:csb1="00000000"/>
  </w:font>
  <w:font w:name="RealpageBAS2-Italic">
    <w:panose1 w:val="00000000000000000000"/>
    <w:charset w:val="00"/>
    <w:family w:val="swiss"/>
    <w:notTrueType/>
    <w:pitch w:val="default"/>
    <w:sig w:usb0="00000003" w:usb1="00000000" w:usb2="00000000" w:usb3="00000000" w:csb0="00000001" w:csb1="00000000"/>
  </w:font>
  <w:font w:name="TimesCE-Roman">
    <w:altName w:val="MS Mincho"/>
    <w:panose1 w:val="00000000000000000000"/>
    <w:charset w:val="80"/>
    <w:family w:val="auto"/>
    <w:notTrueType/>
    <w:pitch w:val="default"/>
    <w:sig w:usb0="00000001" w:usb1="08070000" w:usb2="00000010" w:usb3="00000000" w:csb0="00020000" w:csb1="00000000"/>
  </w:font>
  <w:font w:name="MSTT31c2eb">
    <w:panose1 w:val="00000000000000000000"/>
    <w:charset w:val="00"/>
    <w:family w:val="auto"/>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TT270O00">
    <w:panose1 w:val="00000000000000000000"/>
    <w:charset w:val="00"/>
    <w:family w:val="auto"/>
    <w:notTrueType/>
    <w:pitch w:val="default"/>
    <w:sig w:usb0="00000003" w:usb1="00000000" w:usb2="00000000" w:usb3="00000000" w:csb0="00000001" w:csb1="00000000"/>
  </w:font>
  <w:font w:name="TT27EO00">
    <w:panose1 w:val="00000000000000000000"/>
    <w:charset w:val="00"/>
    <w:family w:val="auto"/>
    <w:notTrueType/>
    <w:pitch w:val="default"/>
    <w:sig w:usb0="00000003" w:usb1="00000000" w:usb2="00000000" w:usb3="00000000" w:csb0="00000001" w:csb1="00000000"/>
  </w:font>
  <w:font w:name="RealpageSYM1">
    <w:panose1 w:val="00000000000000000000"/>
    <w:charset w:val="00"/>
    <w:family w:val="swiss"/>
    <w:notTrueType/>
    <w:pitch w:val="default"/>
    <w:sig w:usb0="00000003" w:usb1="00000000" w:usb2="00000000" w:usb3="00000000" w:csb0="00000001" w:csb1="00000000"/>
  </w:font>
  <w:font w:name="AdvPS_TINI">
    <w:panose1 w:val="00000000000000000000"/>
    <w:charset w:val="00"/>
    <w:family w:val="auto"/>
    <w:notTrueType/>
    <w:pitch w:val="default"/>
    <w:sig w:usb0="00000003" w:usb1="00000000" w:usb2="00000000" w:usb3="00000000" w:csb0="00000001" w:csb1="00000000"/>
  </w:font>
  <w:font w:name="MinionPro-Bold">
    <w:panose1 w:val="00000000000000000000"/>
    <w:charset w:val="00"/>
    <w:family w:val="roman"/>
    <w:notTrueType/>
    <w:pitch w:val="default"/>
    <w:sig w:usb0="00000003" w:usb1="00000000" w:usb2="00000000" w:usb3="00000000" w:csb0="00000001" w:csb1="00000000"/>
  </w:font>
  <w:font w:name="HIECB B+ Gulliver RM">
    <w:altName w:val="Gulliver RM"/>
    <w:panose1 w:val="00000000000000000000"/>
    <w:charset w:val="00"/>
    <w:family w:val="roman"/>
    <w:notTrueType/>
    <w:pitch w:val="default"/>
    <w:sig w:usb0="00000003" w:usb1="00000000" w:usb2="00000000" w:usb3="00000000" w:csb0="00000001" w:csb1="00000000"/>
  </w:font>
  <w:font w:name="JBDJD D+ Gulliver RM">
    <w:altName w:val="Gulliver RM"/>
    <w:panose1 w:val="00000000000000000000"/>
    <w:charset w:val="00"/>
    <w:family w:val="roman"/>
    <w:notTrueType/>
    <w:pitch w:val="default"/>
    <w:sig w:usb0="00000003" w:usb1="00000000" w:usb2="00000000" w:usb3="00000000" w:csb0="00000001" w:csb1="00000000"/>
  </w:font>
  <w:font w:name="AdvP7CAC">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96983" w14:textId="77777777" w:rsidR="00C4034A" w:rsidRDefault="00C4034A" w:rsidP="00286A88">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C19F9A" w14:textId="77777777" w:rsidR="00C4034A" w:rsidRDefault="00C4034A" w:rsidP="00286A88">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82C85" w14:textId="77777777" w:rsidR="00C4034A" w:rsidRDefault="00C4034A" w:rsidP="00BD601F">
    <w:pPr>
      <w:tabs>
        <w:tab w:val="left" w:pos="1420"/>
      </w:tabs>
      <w:ind w:right="360"/>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2F299" w14:textId="77777777" w:rsidR="00405B97" w:rsidRDefault="00405B9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A8887" w14:textId="77777777" w:rsidR="00C4034A" w:rsidRDefault="00C4034A" w:rsidP="00286A88">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F346F">
      <w:rPr>
        <w:rStyle w:val="PageNumber"/>
        <w:noProof/>
      </w:rPr>
      <w:t>3</w:t>
    </w:r>
    <w:r>
      <w:rPr>
        <w:rStyle w:val="PageNumber"/>
      </w:rPr>
      <w:fldChar w:fldCharType="end"/>
    </w:r>
  </w:p>
  <w:p w14:paraId="58548712" w14:textId="77777777" w:rsidR="00C4034A" w:rsidRDefault="00C4034A" w:rsidP="00286A88">
    <w:pPr>
      <w:ind w:right="360"/>
    </w:pPr>
    <w:r>
      <w:t>Farmed Bird Welfare Science Review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E76EF" w14:textId="77777777" w:rsidR="00C3135A" w:rsidRDefault="00C3135A" w:rsidP="008954B2">
      <w:r>
        <w:separator/>
      </w:r>
    </w:p>
  </w:footnote>
  <w:footnote w:type="continuationSeparator" w:id="0">
    <w:p w14:paraId="1677F096" w14:textId="77777777" w:rsidR="00C3135A" w:rsidRDefault="00C3135A" w:rsidP="008954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378D7" w14:textId="77777777" w:rsidR="00405B97" w:rsidRDefault="00405B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01F8D" w14:textId="77777777" w:rsidR="00C4034A" w:rsidRDefault="00C4034A" w:rsidP="00286A88">
    <w:pPr>
      <w:tabs>
        <w:tab w:val="center" w:pos="5241"/>
      </w:tabs>
    </w:pPr>
    <w:r>
      <w:rPr>
        <w:noProof/>
        <w:lang w:val="en-AU" w:eastAsia="en-AU"/>
      </w:rPr>
      <w:drawing>
        <wp:anchor distT="0" distB="0" distL="114300" distR="114300" simplePos="0" relativeHeight="251656178" behindDoc="1" locked="0" layoutInCell="1" allowOverlap="1" wp14:anchorId="69391581" wp14:editId="4DFAEF79">
          <wp:simplePos x="0" y="0"/>
          <wp:positionH relativeFrom="page">
            <wp:posOffset>-4076700</wp:posOffset>
          </wp:positionH>
          <wp:positionV relativeFrom="page">
            <wp:posOffset>-193675</wp:posOffset>
          </wp:positionV>
          <wp:extent cx="16498800" cy="10964827"/>
          <wp:effectExtent l="0" t="0" r="0" b="8255"/>
          <wp:wrapNone/>
          <wp:docPr id="61" name="Picture 61" descr="This is a photograph of the head of a chicken, taken from the side" title="Chicken head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62-11431_darker 3.jpg"/>
                  <pic:cNvPicPr/>
                </pic:nvPicPr>
                <pic:blipFill>
                  <a:blip r:embed="rId1">
                    <a:extLst>
                      <a:ext uri="{28A0092B-C50C-407E-A947-70E740481C1C}">
                        <a14:useLocalDpi xmlns:a14="http://schemas.microsoft.com/office/drawing/2010/main" val="0"/>
                      </a:ext>
                    </a:extLst>
                  </a:blip>
                  <a:stretch>
                    <a:fillRect/>
                  </a:stretch>
                </pic:blipFill>
                <pic:spPr>
                  <a:xfrm flipH="1">
                    <a:off x="0" y="0"/>
                    <a:ext cx="16498800" cy="10964827"/>
                  </a:xfrm>
                  <a:prstGeom prst="rect">
                    <a:avLst/>
                  </a:prstGeom>
                </pic:spPr>
              </pic:pic>
            </a:graphicData>
          </a:graphic>
          <wp14:sizeRelH relativeFrom="margin">
            <wp14:pctWidth>0</wp14:pctWidth>
          </wp14:sizeRelH>
          <wp14:sizeRelV relativeFrom="margin">
            <wp14:pctHeight>0</wp14:pctHeight>
          </wp14:sizeRelV>
        </wp:anchor>
      </w:drawing>
    </w:r>
    <w:r w:rsidRPr="005D35C4">
      <w:rPr>
        <w:noProof/>
        <w:lang w:val="en-AU" w:eastAsia="en-AU"/>
      </w:rPr>
      <w:drawing>
        <wp:anchor distT="0" distB="0" distL="114300" distR="114300" simplePos="0" relativeHeight="251657203" behindDoc="1" locked="0" layoutInCell="1" allowOverlap="1" wp14:anchorId="2EC1C73B" wp14:editId="5B04E6D8">
          <wp:simplePos x="0" y="0"/>
          <wp:positionH relativeFrom="page">
            <wp:posOffset>0</wp:posOffset>
          </wp:positionH>
          <wp:positionV relativeFrom="page">
            <wp:posOffset>0</wp:posOffset>
          </wp:positionV>
          <wp:extent cx="7609669" cy="10764000"/>
          <wp:effectExtent l="0" t="0" r="0" b="0"/>
          <wp:wrapNone/>
          <wp:docPr id="62" name="Picture 62" descr="This green triangle in the bottom left hand corner is part of the template design for the cover." title="Green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09669" cy="10764000"/>
                  </a:xfrm>
                  <a:prstGeom prst="rect">
                    <a:avLst/>
                  </a:prstGeom>
                </pic:spPr>
              </pic:pic>
            </a:graphicData>
          </a:graphic>
          <wp14:sizeRelH relativeFrom="margin">
            <wp14:pctWidth>0</wp14:pctWidth>
          </wp14:sizeRelH>
          <wp14:sizeRelV relativeFrom="margin">
            <wp14:pctHeight>0</wp14:pctHeight>
          </wp14:sizeRelV>
        </wp:anchor>
      </w:drawing>
    </w:r>
    <w:r>
      <w:t xml:space="preserve"> </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8BFF7" w14:textId="77777777" w:rsidR="00405B97" w:rsidRDefault="00405B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1B356" w14:textId="77777777" w:rsidR="00C4034A" w:rsidRDefault="00C4034A" w:rsidP="00202E7B">
    <w:pPr>
      <w:tabs>
        <w:tab w:val="center" w:pos="5241"/>
        <w:tab w:val="left" w:pos="5820"/>
        <w:tab w:val="left" w:pos="8980"/>
      </w:tabs>
    </w:pPr>
    <w:r w:rsidRPr="00D62D1E">
      <w:rPr>
        <w:noProof/>
        <w:lang w:val="en-AU" w:eastAsia="en-AU"/>
      </w:rPr>
      <w:drawing>
        <wp:anchor distT="0" distB="0" distL="114300" distR="114300" simplePos="0" relativeHeight="251673600" behindDoc="1" locked="0" layoutInCell="1" allowOverlap="1" wp14:anchorId="6618C016" wp14:editId="5E8E011B">
          <wp:simplePos x="0" y="0"/>
          <wp:positionH relativeFrom="page">
            <wp:posOffset>0</wp:posOffset>
          </wp:positionH>
          <wp:positionV relativeFrom="page">
            <wp:posOffset>20569</wp:posOffset>
          </wp:positionV>
          <wp:extent cx="7560000" cy="923661"/>
          <wp:effectExtent l="0" t="0" r="0" b="0"/>
          <wp:wrapNone/>
          <wp:docPr id="54" name="Picture 54" descr="This solid green rectangle is a standard header in templates for Agriculture Victoria publications. Agriculture Victoria is part of the Victorian Department of Economic Development, Jobs, Transport and Resources." title="Head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23661"/>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3B573" w14:textId="77777777" w:rsidR="00C4034A" w:rsidRDefault="00C4034A" w:rsidP="00EF3DC4">
    <w:r w:rsidRPr="00D62D1E">
      <w:rPr>
        <w:noProof/>
        <w:lang w:val="en-AU" w:eastAsia="en-AU"/>
      </w:rPr>
      <w:drawing>
        <wp:anchor distT="0" distB="0" distL="114300" distR="114300" simplePos="0" relativeHeight="251677696" behindDoc="1" locked="0" layoutInCell="1" allowOverlap="1" wp14:anchorId="08CD3EFB" wp14:editId="44F5D250">
          <wp:simplePos x="0" y="0"/>
          <wp:positionH relativeFrom="page">
            <wp:posOffset>0</wp:posOffset>
          </wp:positionH>
          <wp:positionV relativeFrom="page">
            <wp:posOffset>20569</wp:posOffset>
          </wp:positionV>
          <wp:extent cx="7560000" cy="923661"/>
          <wp:effectExtent l="0" t="0" r="0" b="0"/>
          <wp:wrapNone/>
          <wp:docPr id="55" name="Picture 55"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2366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818396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FE571AC"/>
    <w:multiLevelType w:val="hybridMultilevel"/>
    <w:tmpl w:val="225A2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CD30F7"/>
    <w:multiLevelType w:val="hybridMultilevel"/>
    <w:tmpl w:val="034241E0"/>
    <w:lvl w:ilvl="0" w:tplc="3B5C9678">
      <w:start w:val="9"/>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EF493E"/>
    <w:multiLevelType w:val="hybridMultilevel"/>
    <w:tmpl w:val="A154837E"/>
    <w:lvl w:ilvl="0" w:tplc="AB34561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16BC60AD"/>
    <w:multiLevelType w:val="hybridMultilevel"/>
    <w:tmpl w:val="B6DCAE84"/>
    <w:lvl w:ilvl="0" w:tplc="C73268B0">
      <w:start w:val="1"/>
      <w:numFmt w:val="lowerRoman"/>
      <w:lvlText w:val="(%1)"/>
      <w:lvlJc w:val="left"/>
      <w:pPr>
        <w:ind w:left="1440" w:hanging="720"/>
      </w:pPr>
      <w:rPr>
        <w:rFonts w:hint="default"/>
        <w:b/>
        <w: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9002030"/>
    <w:multiLevelType w:val="hybridMultilevel"/>
    <w:tmpl w:val="F3523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641C0E"/>
    <w:multiLevelType w:val="hybridMultilevel"/>
    <w:tmpl w:val="E640AAF0"/>
    <w:lvl w:ilvl="0" w:tplc="8F98608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FBC054B"/>
    <w:multiLevelType w:val="hybridMultilevel"/>
    <w:tmpl w:val="9B104BF6"/>
    <w:lvl w:ilvl="0" w:tplc="8F98608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A6F74E1"/>
    <w:multiLevelType w:val="hybridMultilevel"/>
    <w:tmpl w:val="D54EB33C"/>
    <w:lvl w:ilvl="0" w:tplc="C95ECEB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3B7E1853"/>
    <w:multiLevelType w:val="hybridMultilevel"/>
    <w:tmpl w:val="1BFE1E44"/>
    <w:lvl w:ilvl="0" w:tplc="6EB6BD70">
      <w:start w:val="1"/>
      <w:numFmt w:val="lowerRoman"/>
      <w:lvlText w:val="(%1)"/>
      <w:lvlJc w:val="left"/>
      <w:pPr>
        <w:ind w:left="2880" w:hanging="72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1"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95D4779"/>
    <w:multiLevelType w:val="hybridMultilevel"/>
    <w:tmpl w:val="B7F263AE"/>
    <w:lvl w:ilvl="0" w:tplc="8F98608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A2E129A"/>
    <w:multiLevelType w:val="hybridMultilevel"/>
    <w:tmpl w:val="E66A1188"/>
    <w:lvl w:ilvl="0" w:tplc="6B5C201A">
      <w:start w:val="1"/>
      <w:numFmt w:val="lowerRoman"/>
      <w:lvlText w:val="(%1)"/>
      <w:lvlJc w:val="left"/>
      <w:pPr>
        <w:ind w:left="1440" w:hanging="720"/>
      </w:pPr>
      <w:rPr>
        <w:rFonts w:hint="default"/>
        <w:b/>
        <w: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DB77491"/>
    <w:multiLevelType w:val="hybridMultilevel"/>
    <w:tmpl w:val="E702FEF6"/>
    <w:lvl w:ilvl="0" w:tplc="E8B6337E">
      <w:start w:val="1"/>
      <w:numFmt w:val="bullet"/>
      <w:pStyle w:val="Agbulletlis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2C3770"/>
    <w:multiLevelType w:val="hybridMultilevel"/>
    <w:tmpl w:val="16340DB0"/>
    <w:lvl w:ilvl="0" w:tplc="6EB6BD70">
      <w:start w:val="1"/>
      <w:numFmt w:val="lowerRoman"/>
      <w:lvlText w:val="(%1)"/>
      <w:lvlJc w:val="left"/>
      <w:pPr>
        <w:ind w:left="2880" w:hanging="72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7" w15:restartNumberingAfterBreak="0">
    <w:nsid w:val="68721E6B"/>
    <w:multiLevelType w:val="hybridMultilevel"/>
    <w:tmpl w:val="36DE37F0"/>
    <w:lvl w:ilvl="0" w:tplc="AB82464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A615415"/>
    <w:multiLevelType w:val="hybridMultilevel"/>
    <w:tmpl w:val="7A78B6C6"/>
    <w:lvl w:ilvl="0" w:tplc="24BEE36E">
      <w:start w:val="1"/>
      <w:numFmt w:val="lowerRoman"/>
      <w:lvlText w:val="(%1)"/>
      <w:lvlJc w:val="left"/>
      <w:pPr>
        <w:ind w:left="2880" w:hanging="72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9" w15:restartNumberingAfterBreak="0">
    <w:nsid w:val="6DB1775A"/>
    <w:multiLevelType w:val="hybridMultilevel"/>
    <w:tmpl w:val="6BEE00F6"/>
    <w:lvl w:ilvl="0" w:tplc="614AF1B6">
      <w:start w:val="1"/>
      <w:numFmt w:val="lowerRoman"/>
      <w:lvlText w:val="(%1)"/>
      <w:lvlJc w:val="left"/>
      <w:pPr>
        <w:ind w:left="2880" w:hanging="72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0" w15:restartNumberingAfterBreak="0">
    <w:nsid w:val="6FC34EBD"/>
    <w:multiLevelType w:val="hybridMultilevel"/>
    <w:tmpl w:val="049AC076"/>
    <w:lvl w:ilvl="0" w:tplc="09045F5E">
      <w:start w:val="1"/>
      <w:numFmt w:val="lowerRoman"/>
      <w:lvlText w:val="(%1)"/>
      <w:lvlJc w:val="left"/>
      <w:pPr>
        <w:ind w:left="2880" w:hanging="72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1" w15:restartNumberingAfterBreak="0">
    <w:nsid w:val="706C315E"/>
    <w:multiLevelType w:val="hybridMultilevel"/>
    <w:tmpl w:val="2382861C"/>
    <w:lvl w:ilvl="0" w:tplc="DD50FBD8">
      <w:start w:val="1"/>
      <w:numFmt w:val="lowerRoman"/>
      <w:lvlText w:val="(%1)"/>
      <w:lvlJc w:val="left"/>
      <w:pPr>
        <w:ind w:left="2880" w:hanging="72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2" w15:restartNumberingAfterBreak="0">
    <w:nsid w:val="7375334C"/>
    <w:multiLevelType w:val="hybridMultilevel"/>
    <w:tmpl w:val="70B446E0"/>
    <w:lvl w:ilvl="0" w:tplc="2084B010">
      <w:start w:val="1"/>
      <w:numFmt w:val="lowerRoman"/>
      <w:lvlText w:val="(%1)"/>
      <w:lvlJc w:val="left"/>
      <w:pPr>
        <w:ind w:left="2880" w:hanging="72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5"/>
  </w:num>
  <w:num w:numId="13">
    <w:abstractNumId w:val="25"/>
  </w:num>
  <w:num w:numId="14">
    <w:abstractNumId w:val="24"/>
  </w:num>
  <w:num w:numId="15">
    <w:abstractNumId w:val="21"/>
  </w:num>
  <w:num w:numId="16">
    <w:abstractNumId w:val="12"/>
  </w:num>
  <w:num w:numId="17">
    <w:abstractNumId w:val="22"/>
  </w:num>
  <w:num w:numId="18">
    <w:abstractNumId w:val="16"/>
  </w:num>
  <w:num w:numId="19">
    <w:abstractNumId w:val="11"/>
  </w:num>
  <w:num w:numId="20">
    <w:abstractNumId w:val="20"/>
  </w:num>
  <w:num w:numId="21">
    <w:abstractNumId w:val="30"/>
  </w:num>
  <w:num w:numId="22">
    <w:abstractNumId w:val="29"/>
  </w:num>
  <w:num w:numId="23">
    <w:abstractNumId w:val="31"/>
  </w:num>
  <w:num w:numId="24">
    <w:abstractNumId w:val="23"/>
  </w:num>
  <w:num w:numId="25">
    <w:abstractNumId w:val="19"/>
  </w:num>
  <w:num w:numId="26">
    <w:abstractNumId w:val="13"/>
  </w:num>
  <w:num w:numId="27">
    <w:abstractNumId w:val="27"/>
  </w:num>
  <w:num w:numId="28">
    <w:abstractNumId w:val="28"/>
  </w:num>
  <w:num w:numId="29">
    <w:abstractNumId w:val="14"/>
  </w:num>
  <w:num w:numId="30">
    <w:abstractNumId w:val="26"/>
  </w:num>
  <w:num w:numId="31">
    <w:abstractNumId w:val="32"/>
  </w:num>
  <w:num w:numId="32">
    <w:abstractNumId w:val="17"/>
  </w:num>
  <w:num w:numId="33">
    <w:abstractNumId w:val="18"/>
  </w:num>
  <w:num w:numId="34">
    <w:abstractNumId w:val="25"/>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activeWritingStyle w:appName="MSWord" w:lang="en-US" w:vendorID="64" w:dllVersion="6" w:nlCheck="1" w:checkStyle="0"/>
  <w:activeWritingStyle w:appName="MSWord" w:lang="en-AU" w:vendorID="64" w:dllVersion="6" w:nlCheck="1" w:checkStyle="0"/>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activeWritingStyle w:appName="MSWord" w:lang="en-CA" w:vendorID="64" w:dllVersion="0" w:nlCheck="1" w:checkStyle="0"/>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3DDA"/>
    <w:rsid w:val="00002561"/>
    <w:rsid w:val="000036EB"/>
    <w:rsid w:val="00005395"/>
    <w:rsid w:val="0001061E"/>
    <w:rsid w:val="000106E5"/>
    <w:rsid w:val="0001170C"/>
    <w:rsid w:val="0001194A"/>
    <w:rsid w:val="000165CA"/>
    <w:rsid w:val="00021F21"/>
    <w:rsid w:val="00024569"/>
    <w:rsid w:val="0002516E"/>
    <w:rsid w:val="00025316"/>
    <w:rsid w:val="00025D5A"/>
    <w:rsid w:val="00026CA5"/>
    <w:rsid w:val="0002784E"/>
    <w:rsid w:val="00031058"/>
    <w:rsid w:val="0003165D"/>
    <w:rsid w:val="0003264E"/>
    <w:rsid w:val="00032F7A"/>
    <w:rsid w:val="000332D4"/>
    <w:rsid w:val="000356FF"/>
    <w:rsid w:val="000416DF"/>
    <w:rsid w:val="000418F3"/>
    <w:rsid w:val="00043C78"/>
    <w:rsid w:val="00044589"/>
    <w:rsid w:val="00046273"/>
    <w:rsid w:val="00046AE4"/>
    <w:rsid w:val="00051E50"/>
    <w:rsid w:val="00054BD3"/>
    <w:rsid w:val="00055C19"/>
    <w:rsid w:val="00056878"/>
    <w:rsid w:val="00062B18"/>
    <w:rsid w:val="00062EC9"/>
    <w:rsid w:val="000630B0"/>
    <w:rsid w:val="00063EE7"/>
    <w:rsid w:val="00067AC5"/>
    <w:rsid w:val="000717B8"/>
    <w:rsid w:val="00071F6E"/>
    <w:rsid w:val="00074E62"/>
    <w:rsid w:val="000760D2"/>
    <w:rsid w:val="00076706"/>
    <w:rsid w:val="0007742F"/>
    <w:rsid w:val="00082A8C"/>
    <w:rsid w:val="00086458"/>
    <w:rsid w:val="00087DC5"/>
    <w:rsid w:val="000928BE"/>
    <w:rsid w:val="00093F9A"/>
    <w:rsid w:val="00095EAA"/>
    <w:rsid w:val="000A2335"/>
    <w:rsid w:val="000A3D2C"/>
    <w:rsid w:val="000A68B1"/>
    <w:rsid w:val="000B0B33"/>
    <w:rsid w:val="000B1632"/>
    <w:rsid w:val="000B3FA6"/>
    <w:rsid w:val="000B40FD"/>
    <w:rsid w:val="000B489F"/>
    <w:rsid w:val="000B517A"/>
    <w:rsid w:val="000C2C55"/>
    <w:rsid w:val="000C35AB"/>
    <w:rsid w:val="000C6EB0"/>
    <w:rsid w:val="000E257E"/>
    <w:rsid w:val="000E4183"/>
    <w:rsid w:val="000E44E6"/>
    <w:rsid w:val="000F779B"/>
    <w:rsid w:val="000F7827"/>
    <w:rsid w:val="00100BBA"/>
    <w:rsid w:val="00100D7D"/>
    <w:rsid w:val="001011F8"/>
    <w:rsid w:val="0010235B"/>
    <w:rsid w:val="00102BA1"/>
    <w:rsid w:val="001056CB"/>
    <w:rsid w:val="00111E11"/>
    <w:rsid w:val="001123AA"/>
    <w:rsid w:val="0011245E"/>
    <w:rsid w:val="00113112"/>
    <w:rsid w:val="001131C3"/>
    <w:rsid w:val="0011697E"/>
    <w:rsid w:val="00116F6D"/>
    <w:rsid w:val="001227B3"/>
    <w:rsid w:val="001251F3"/>
    <w:rsid w:val="0012729C"/>
    <w:rsid w:val="001323E0"/>
    <w:rsid w:val="00133554"/>
    <w:rsid w:val="00133657"/>
    <w:rsid w:val="00137939"/>
    <w:rsid w:val="00146AB8"/>
    <w:rsid w:val="001518D4"/>
    <w:rsid w:val="00154080"/>
    <w:rsid w:val="00155925"/>
    <w:rsid w:val="0015689F"/>
    <w:rsid w:val="00157B07"/>
    <w:rsid w:val="001631EC"/>
    <w:rsid w:val="001637E9"/>
    <w:rsid w:val="001643FB"/>
    <w:rsid w:val="00165823"/>
    <w:rsid w:val="001670C9"/>
    <w:rsid w:val="001702E8"/>
    <w:rsid w:val="001716DB"/>
    <w:rsid w:val="00171A07"/>
    <w:rsid w:val="00172C56"/>
    <w:rsid w:val="001731CD"/>
    <w:rsid w:val="001804A1"/>
    <w:rsid w:val="001804B9"/>
    <w:rsid w:val="00180AE6"/>
    <w:rsid w:val="00183402"/>
    <w:rsid w:val="0019011E"/>
    <w:rsid w:val="001910D0"/>
    <w:rsid w:val="0019645A"/>
    <w:rsid w:val="00197DAF"/>
    <w:rsid w:val="001A187C"/>
    <w:rsid w:val="001A1E6C"/>
    <w:rsid w:val="001A7691"/>
    <w:rsid w:val="001B0823"/>
    <w:rsid w:val="001B1387"/>
    <w:rsid w:val="001B4CC0"/>
    <w:rsid w:val="001C205B"/>
    <w:rsid w:val="001C3F77"/>
    <w:rsid w:val="001C7473"/>
    <w:rsid w:val="001D33E3"/>
    <w:rsid w:val="001E09DC"/>
    <w:rsid w:val="001E0CA5"/>
    <w:rsid w:val="001E2F69"/>
    <w:rsid w:val="001E3ECE"/>
    <w:rsid w:val="001E6383"/>
    <w:rsid w:val="001F18AB"/>
    <w:rsid w:val="001F395A"/>
    <w:rsid w:val="001F4917"/>
    <w:rsid w:val="00202E7B"/>
    <w:rsid w:val="00213CC5"/>
    <w:rsid w:val="00216582"/>
    <w:rsid w:val="00217EF7"/>
    <w:rsid w:val="0022131B"/>
    <w:rsid w:val="00223BFC"/>
    <w:rsid w:val="002242F3"/>
    <w:rsid w:val="002265EC"/>
    <w:rsid w:val="0022680A"/>
    <w:rsid w:val="002271AF"/>
    <w:rsid w:val="002300A1"/>
    <w:rsid w:val="0023337E"/>
    <w:rsid w:val="002337C6"/>
    <w:rsid w:val="002371DC"/>
    <w:rsid w:val="00240473"/>
    <w:rsid w:val="0024189D"/>
    <w:rsid w:val="0024199B"/>
    <w:rsid w:val="00243C3C"/>
    <w:rsid w:val="00244774"/>
    <w:rsid w:val="00251A6D"/>
    <w:rsid w:val="00253F51"/>
    <w:rsid w:val="00254045"/>
    <w:rsid w:val="00256388"/>
    <w:rsid w:val="00257C7B"/>
    <w:rsid w:val="002610B1"/>
    <w:rsid w:val="00262240"/>
    <w:rsid w:val="002646F8"/>
    <w:rsid w:val="00267465"/>
    <w:rsid w:val="00275313"/>
    <w:rsid w:val="00275730"/>
    <w:rsid w:val="00276571"/>
    <w:rsid w:val="00277324"/>
    <w:rsid w:val="00280AA4"/>
    <w:rsid w:val="00281914"/>
    <w:rsid w:val="00286A88"/>
    <w:rsid w:val="00287F2D"/>
    <w:rsid w:val="00290373"/>
    <w:rsid w:val="00290914"/>
    <w:rsid w:val="00296529"/>
    <w:rsid w:val="00297D4C"/>
    <w:rsid w:val="002A1EAE"/>
    <w:rsid w:val="002A45F3"/>
    <w:rsid w:val="002A49E9"/>
    <w:rsid w:val="002B0C9A"/>
    <w:rsid w:val="002B2473"/>
    <w:rsid w:val="002B355F"/>
    <w:rsid w:val="002B6E27"/>
    <w:rsid w:val="002C0597"/>
    <w:rsid w:val="002C170C"/>
    <w:rsid w:val="002C4A8D"/>
    <w:rsid w:val="002C5442"/>
    <w:rsid w:val="002C59DC"/>
    <w:rsid w:val="002C6866"/>
    <w:rsid w:val="002C6C62"/>
    <w:rsid w:val="002D3990"/>
    <w:rsid w:val="002D7E6B"/>
    <w:rsid w:val="002E00DE"/>
    <w:rsid w:val="002E3181"/>
    <w:rsid w:val="002E326A"/>
    <w:rsid w:val="002E41A9"/>
    <w:rsid w:val="002E45A9"/>
    <w:rsid w:val="002E4BCE"/>
    <w:rsid w:val="002E6AA6"/>
    <w:rsid w:val="002F231F"/>
    <w:rsid w:val="002F2711"/>
    <w:rsid w:val="002F4C68"/>
    <w:rsid w:val="002F50C0"/>
    <w:rsid w:val="002F52EF"/>
    <w:rsid w:val="003018CB"/>
    <w:rsid w:val="00301F37"/>
    <w:rsid w:val="00306B4E"/>
    <w:rsid w:val="00310000"/>
    <w:rsid w:val="00310B17"/>
    <w:rsid w:val="003110BF"/>
    <w:rsid w:val="00315719"/>
    <w:rsid w:val="00320B43"/>
    <w:rsid w:val="00321F07"/>
    <w:rsid w:val="00323B2F"/>
    <w:rsid w:val="00332C4F"/>
    <w:rsid w:val="00337C4F"/>
    <w:rsid w:val="00340C5D"/>
    <w:rsid w:val="00342299"/>
    <w:rsid w:val="00345A79"/>
    <w:rsid w:val="00346578"/>
    <w:rsid w:val="00353A1E"/>
    <w:rsid w:val="00354982"/>
    <w:rsid w:val="00354C34"/>
    <w:rsid w:val="003573EB"/>
    <w:rsid w:val="0036138F"/>
    <w:rsid w:val="00363A83"/>
    <w:rsid w:val="00363E7D"/>
    <w:rsid w:val="003646DF"/>
    <w:rsid w:val="003662B6"/>
    <w:rsid w:val="00366BF5"/>
    <w:rsid w:val="00367C62"/>
    <w:rsid w:val="0037052C"/>
    <w:rsid w:val="00371929"/>
    <w:rsid w:val="00375825"/>
    <w:rsid w:val="003857DD"/>
    <w:rsid w:val="00386D9F"/>
    <w:rsid w:val="003966A7"/>
    <w:rsid w:val="00396C76"/>
    <w:rsid w:val="00397B9B"/>
    <w:rsid w:val="003A0AFB"/>
    <w:rsid w:val="003A0C46"/>
    <w:rsid w:val="003A1D8D"/>
    <w:rsid w:val="003A24DE"/>
    <w:rsid w:val="003A2768"/>
    <w:rsid w:val="003A36A6"/>
    <w:rsid w:val="003A38D2"/>
    <w:rsid w:val="003A408B"/>
    <w:rsid w:val="003A4918"/>
    <w:rsid w:val="003A55BD"/>
    <w:rsid w:val="003A5D7A"/>
    <w:rsid w:val="003A63C5"/>
    <w:rsid w:val="003A6EF6"/>
    <w:rsid w:val="003A7E55"/>
    <w:rsid w:val="003B207F"/>
    <w:rsid w:val="003B5351"/>
    <w:rsid w:val="003B55FF"/>
    <w:rsid w:val="003B590C"/>
    <w:rsid w:val="003B79F8"/>
    <w:rsid w:val="003C2DE8"/>
    <w:rsid w:val="003C2E56"/>
    <w:rsid w:val="003C436A"/>
    <w:rsid w:val="003C4A74"/>
    <w:rsid w:val="003C74BD"/>
    <w:rsid w:val="003D032C"/>
    <w:rsid w:val="003D0829"/>
    <w:rsid w:val="003D1BC2"/>
    <w:rsid w:val="003D1CC3"/>
    <w:rsid w:val="003D6042"/>
    <w:rsid w:val="003E0A4E"/>
    <w:rsid w:val="003E1ACA"/>
    <w:rsid w:val="003E3F8A"/>
    <w:rsid w:val="003E52E2"/>
    <w:rsid w:val="003E59F9"/>
    <w:rsid w:val="003F0C5E"/>
    <w:rsid w:val="003F24C6"/>
    <w:rsid w:val="003F2582"/>
    <w:rsid w:val="003F27DB"/>
    <w:rsid w:val="003F346F"/>
    <w:rsid w:val="003F3E9F"/>
    <w:rsid w:val="003F5659"/>
    <w:rsid w:val="003F6FF9"/>
    <w:rsid w:val="00400D2F"/>
    <w:rsid w:val="00401C6B"/>
    <w:rsid w:val="00403238"/>
    <w:rsid w:val="00404435"/>
    <w:rsid w:val="00405174"/>
    <w:rsid w:val="00405B97"/>
    <w:rsid w:val="00415972"/>
    <w:rsid w:val="00416217"/>
    <w:rsid w:val="004219D0"/>
    <w:rsid w:val="00422784"/>
    <w:rsid w:val="00423B5B"/>
    <w:rsid w:val="00430027"/>
    <w:rsid w:val="00430069"/>
    <w:rsid w:val="00433325"/>
    <w:rsid w:val="0043565F"/>
    <w:rsid w:val="00435E31"/>
    <w:rsid w:val="00442682"/>
    <w:rsid w:val="00445648"/>
    <w:rsid w:val="00446673"/>
    <w:rsid w:val="004475A3"/>
    <w:rsid w:val="00452BE9"/>
    <w:rsid w:val="0045309D"/>
    <w:rsid w:val="00456212"/>
    <w:rsid w:val="00456E7E"/>
    <w:rsid w:val="0045759A"/>
    <w:rsid w:val="004613FF"/>
    <w:rsid w:val="004635D3"/>
    <w:rsid w:val="004643BC"/>
    <w:rsid w:val="004713CF"/>
    <w:rsid w:val="0047386D"/>
    <w:rsid w:val="004738E7"/>
    <w:rsid w:val="00474925"/>
    <w:rsid w:val="0047691B"/>
    <w:rsid w:val="0047692D"/>
    <w:rsid w:val="00477A66"/>
    <w:rsid w:val="00480133"/>
    <w:rsid w:val="00485535"/>
    <w:rsid w:val="00490099"/>
    <w:rsid w:val="00490266"/>
    <w:rsid w:val="00494BC4"/>
    <w:rsid w:val="004A2968"/>
    <w:rsid w:val="004A314D"/>
    <w:rsid w:val="004A3DB9"/>
    <w:rsid w:val="004B1AAF"/>
    <w:rsid w:val="004B27F6"/>
    <w:rsid w:val="004B298E"/>
    <w:rsid w:val="004C0D99"/>
    <w:rsid w:val="004C1EB8"/>
    <w:rsid w:val="004C2EAE"/>
    <w:rsid w:val="004C4EAC"/>
    <w:rsid w:val="004C5E65"/>
    <w:rsid w:val="004C6896"/>
    <w:rsid w:val="004D363F"/>
    <w:rsid w:val="004D40D6"/>
    <w:rsid w:val="004D4B06"/>
    <w:rsid w:val="004D5355"/>
    <w:rsid w:val="004E392A"/>
    <w:rsid w:val="004E48A2"/>
    <w:rsid w:val="004E6E1C"/>
    <w:rsid w:val="004F2814"/>
    <w:rsid w:val="00503D34"/>
    <w:rsid w:val="005064B7"/>
    <w:rsid w:val="00507559"/>
    <w:rsid w:val="0051025E"/>
    <w:rsid w:val="0051176B"/>
    <w:rsid w:val="00515938"/>
    <w:rsid w:val="0052514E"/>
    <w:rsid w:val="00530973"/>
    <w:rsid w:val="00531694"/>
    <w:rsid w:val="005357A1"/>
    <w:rsid w:val="00535854"/>
    <w:rsid w:val="00542228"/>
    <w:rsid w:val="0054600A"/>
    <w:rsid w:val="00553483"/>
    <w:rsid w:val="005554CF"/>
    <w:rsid w:val="00557479"/>
    <w:rsid w:val="00561E98"/>
    <w:rsid w:val="0056421E"/>
    <w:rsid w:val="00564C2F"/>
    <w:rsid w:val="0056513D"/>
    <w:rsid w:val="0056561E"/>
    <w:rsid w:val="005712F7"/>
    <w:rsid w:val="00571499"/>
    <w:rsid w:val="005715B8"/>
    <w:rsid w:val="00573A4A"/>
    <w:rsid w:val="00574FD9"/>
    <w:rsid w:val="00576C5A"/>
    <w:rsid w:val="005800A2"/>
    <w:rsid w:val="0058227F"/>
    <w:rsid w:val="005834A7"/>
    <w:rsid w:val="00587001"/>
    <w:rsid w:val="00587D34"/>
    <w:rsid w:val="00590159"/>
    <w:rsid w:val="00590E4A"/>
    <w:rsid w:val="00590F0B"/>
    <w:rsid w:val="00591979"/>
    <w:rsid w:val="005A0417"/>
    <w:rsid w:val="005B0D69"/>
    <w:rsid w:val="005B6C7D"/>
    <w:rsid w:val="005B6C93"/>
    <w:rsid w:val="005B72BE"/>
    <w:rsid w:val="005C02FB"/>
    <w:rsid w:val="005C053B"/>
    <w:rsid w:val="005C226A"/>
    <w:rsid w:val="005C55DF"/>
    <w:rsid w:val="005C60F8"/>
    <w:rsid w:val="005D35C4"/>
    <w:rsid w:val="005D37DA"/>
    <w:rsid w:val="005D3F8F"/>
    <w:rsid w:val="005D4609"/>
    <w:rsid w:val="005D6D23"/>
    <w:rsid w:val="005D735D"/>
    <w:rsid w:val="005D7C40"/>
    <w:rsid w:val="005E07E2"/>
    <w:rsid w:val="005E481B"/>
    <w:rsid w:val="005F0055"/>
    <w:rsid w:val="005F32C7"/>
    <w:rsid w:val="005F7B38"/>
    <w:rsid w:val="005F7CD7"/>
    <w:rsid w:val="00601DC5"/>
    <w:rsid w:val="0060434B"/>
    <w:rsid w:val="006058F6"/>
    <w:rsid w:val="00615953"/>
    <w:rsid w:val="006219F8"/>
    <w:rsid w:val="00624BBC"/>
    <w:rsid w:val="00630850"/>
    <w:rsid w:val="00630BFA"/>
    <w:rsid w:val="00632C8A"/>
    <w:rsid w:val="006351F3"/>
    <w:rsid w:val="00636802"/>
    <w:rsid w:val="00637F50"/>
    <w:rsid w:val="00640DDF"/>
    <w:rsid w:val="00641571"/>
    <w:rsid w:val="00642CE8"/>
    <w:rsid w:val="00644378"/>
    <w:rsid w:val="0064569E"/>
    <w:rsid w:val="0065052A"/>
    <w:rsid w:val="00651678"/>
    <w:rsid w:val="00652112"/>
    <w:rsid w:val="006522BA"/>
    <w:rsid w:val="006528FD"/>
    <w:rsid w:val="00653F9E"/>
    <w:rsid w:val="006542A7"/>
    <w:rsid w:val="0066292A"/>
    <w:rsid w:val="006654C2"/>
    <w:rsid w:val="00667D31"/>
    <w:rsid w:val="00673707"/>
    <w:rsid w:val="00681E66"/>
    <w:rsid w:val="006826FE"/>
    <w:rsid w:val="00686544"/>
    <w:rsid w:val="00687A01"/>
    <w:rsid w:val="00694091"/>
    <w:rsid w:val="006968F5"/>
    <w:rsid w:val="006A5F0F"/>
    <w:rsid w:val="006A6409"/>
    <w:rsid w:val="006B0792"/>
    <w:rsid w:val="006B2898"/>
    <w:rsid w:val="006B2EB0"/>
    <w:rsid w:val="006B4AAF"/>
    <w:rsid w:val="006B6570"/>
    <w:rsid w:val="006C7146"/>
    <w:rsid w:val="006C737E"/>
    <w:rsid w:val="006D003D"/>
    <w:rsid w:val="006D07C3"/>
    <w:rsid w:val="006D0CFB"/>
    <w:rsid w:val="006D5173"/>
    <w:rsid w:val="006D5DAF"/>
    <w:rsid w:val="006E2EB6"/>
    <w:rsid w:val="006E3B4C"/>
    <w:rsid w:val="006E5F37"/>
    <w:rsid w:val="006E6B22"/>
    <w:rsid w:val="006F4BD9"/>
    <w:rsid w:val="00701D0D"/>
    <w:rsid w:val="00703C9C"/>
    <w:rsid w:val="00706499"/>
    <w:rsid w:val="00706EB9"/>
    <w:rsid w:val="0070792C"/>
    <w:rsid w:val="007103C8"/>
    <w:rsid w:val="007148AF"/>
    <w:rsid w:val="0071692C"/>
    <w:rsid w:val="00717E9C"/>
    <w:rsid w:val="007219EC"/>
    <w:rsid w:val="0072525E"/>
    <w:rsid w:val="007333B3"/>
    <w:rsid w:val="0073577E"/>
    <w:rsid w:val="007400B1"/>
    <w:rsid w:val="007415B2"/>
    <w:rsid w:val="007425AE"/>
    <w:rsid w:val="0074385E"/>
    <w:rsid w:val="00743E5C"/>
    <w:rsid w:val="00744B03"/>
    <w:rsid w:val="00744FC6"/>
    <w:rsid w:val="0075139E"/>
    <w:rsid w:val="00757908"/>
    <w:rsid w:val="0076002F"/>
    <w:rsid w:val="007604B9"/>
    <w:rsid w:val="0076187E"/>
    <w:rsid w:val="00762CF3"/>
    <w:rsid w:val="00763A68"/>
    <w:rsid w:val="007646BD"/>
    <w:rsid w:val="007649AF"/>
    <w:rsid w:val="00764F29"/>
    <w:rsid w:val="0077095C"/>
    <w:rsid w:val="00770A44"/>
    <w:rsid w:val="00770D7D"/>
    <w:rsid w:val="00775C11"/>
    <w:rsid w:val="0077669D"/>
    <w:rsid w:val="0078046F"/>
    <w:rsid w:val="00780605"/>
    <w:rsid w:val="00780FDD"/>
    <w:rsid w:val="00784C93"/>
    <w:rsid w:val="007918A7"/>
    <w:rsid w:val="00792085"/>
    <w:rsid w:val="00793ACC"/>
    <w:rsid w:val="007975A6"/>
    <w:rsid w:val="007A0D0E"/>
    <w:rsid w:val="007A0EDB"/>
    <w:rsid w:val="007A2EE2"/>
    <w:rsid w:val="007A4830"/>
    <w:rsid w:val="007A5DFA"/>
    <w:rsid w:val="007A6F87"/>
    <w:rsid w:val="007B0354"/>
    <w:rsid w:val="007B2238"/>
    <w:rsid w:val="007B50FD"/>
    <w:rsid w:val="007C09ED"/>
    <w:rsid w:val="007D2446"/>
    <w:rsid w:val="007D543E"/>
    <w:rsid w:val="007D5D6B"/>
    <w:rsid w:val="007D6B21"/>
    <w:rsid w:val="007E2546"/>
    <w:rsid w:val="007E3FBC"/>
    <w:rsid w:val="007E492B"/>
    <w:rsid w:val="007E6FE0"/>
    <w:rsid w:val="007F0F02"/>
    <w:rsid w:val="007F146F"/>
    <w:rsid w:val="007F3120"/>
    <w:rsid w:val="007F610A"/>
    <w:rsid w:val="007F71FE"/>
    <w:rsid w:val="00800609"/>
    <w:rsid w:val="008020FE"/>
    <w:rsid w:val="00803DDA"/>
    <w:rsid w:val="0080479D"/>
    <w:rsid w:val="00804CA9"/>
    <w:rsid w:val="0080779A"/>
    <w:rsid w:val="008102AF"/>
    <w:rsid w:val="0081036A"/>
    <w:rsid w:val="00811765"/>
    <w:rsid w:val="008226C5"/>
    <w:rsid w:val="00822997"/>
    <w:rsid w:val="00823007"/>
    <w:rsid w:val="00824BC5"/>
    <w:rsid w:val="0082528A"/>
    <w:rsid w:val="0082578C"/>
    <w:rsid w:val="008279BF"/>
    <w:rsid w:val="00833E2D"/>
    <w:rsid w:val="00833FAF"/>
    <w:rsid w:val="0083788F"/>
    <w:rsid w:val="0084055A"/>
    <w:rsid w:val="00854441"/>
    <w:rsid w:val="00856A67"/>
    <w:rsid w:val="0086129D"/>
    <w:rsid w:val="00861B1A"/>
    <w:rsid w:val="008630CE"/>
    <w:rsid w:val="00864384"/>
    <w:rsid w:val="00864D72"/>
    <w:rsid w:val="008650FD"/>
    <w:rsid w:val="00867EA0"/>
    <w:rsid w:val="00870872"/>
    <w:rsid w:val="00870C6A"/>
    <w:rsid w:val="0087252A"/>
    <w:rsid w:val="00877E4E"/>
    <w:rsid w:val="00880386"/>
    <w:rsid w:val="0088299A"/>
    <w:rsid w:val="0088350B"/>
    <w:rsid w:val="00883C93"/>
    <w:rsid w:val="0088431E"/>
    <w:rsid w:val="00886DB5"/>
    <w:rsid w:val="00887F4C"/>
    <w:rsid w:val="00893DB9"/>
    <w:rsid w:val="008946D0"/>
    <w:rsid w:val="008954B2"/>
    <w:rsid w:val="008970FA"/>
    <w:rsid w:val="008A1326"/>
    <w:rsid w:val="008A13BC"/>
    <w:rsid w:val="008B2327"/>
    <w:rsid w:val="008B7B9E"/>
    <w:rsid w:val="008C14BF"/>
    <w:rsid w:val="008C1C0B"/>
    <w:rsid w:val="008C3756"/>
    <w:rsid w:val="008C43DD"/>
    <w:rsid w:val="008C448A"/>
    <w:rsid w:val="008C46A3"/>
    <w:rsid w:val="008C5966"/>
    <w:rsid w:val="008C5C0C"/>
    <w:rsid w:val="008D04F6"/>
    <w:rsid w:val="008D2A20"/>
    <w:rsid w:val="008D2CE1"/>
    <w:rsid w:val="008D5A4D"/>
    <w:rsid w:val="008E049E"/>
    <w:rsid w:val="008E103C"/>
    <w:rsid w:val="008E1C8A"/>
    <w:rsid w:val="008E27D1"/>
    <w:rsid w:val="008E3262"/>
    <w:rsid w:val="008F6BEF"/>
    <w:rsid w:val="00900C59"/>
    <w:rsid w:val="00901AB4"/>
    <w:rsid w:val="00903942"/>
    <w:rsid w:val="009073DB"/>
    <w:rsid w:val="0091352D"/>
    <w:rsid w:val="00914AA2"/>
    <w:rsid w:val="00916B30"/>
    <w:rsid w:val="00924082"/>
    <w:rsid w:val="00926AB6"/>
    <w:rsid w:val="00927483"/>
    <w:rsid w:val="00933029"/>
    <w:rsid w:val="0093306E"/>
    <w:rsid w:val="00933550"/>
    <w:rsid w:val="0093666F"/>
    <w:rsid w:val="00941FF0"/>
    <w:rsid w:val="00943487"/>
    <w:rsid w:val="0094594A"/>
    <w:rsid w:val="00952039"/>
    <w:rsid w:val="009558E8"/>
    <w:rsid w:val="009620FD"/>
    <w:rsid w:val="00967A9D"/>
    <w:rsid w:val="00970C04"/>
    <w:rsid w:val="00970C37"/>
    <w:rsid w:val="00980445"/>
    <w:rsid w:val="00982762"/>
    <w:rsid w:val="00983A89"/>
    <w:rsid w:val="00985267"/>
    <w:rsid w:val="00987862"/>
    <w:rsid w:val="00987D85"/>
    <w:rsid w:val="0099037E"/>
    <w:rsid w:val="00990611"/>
    <w:rsid w:val="00990A18"/>
    <w:rsid w:val="009923EC"/>
    <w:rsid w:val="009928C2"/>
    <w:rsid w:val="00992FC5"/>
    <w:rsid w:val="0099367F"/>
    <w:rsid w:val="00994EA9"/>
    <w:rsid w:val="00997550"/>
    <w:rsid w:val="00997DF8"/>
    <w:rsid w:val="009A0FD4"/>
    <w:rsid w:val="009A2113"/>
    <w:rsid w:val="009A402C"/>
    <w:rsid w:val="009A40A0"/>
    <w:rsid w:val="009A680F"/>
    <w:rsid w:val="009A6BA8"/>
    <w:rsid w:val="009A6C18"/>
    <w:rsid w:val="009B1439"/>
    <w:rsid w:val="009B6FD6"/>
    <w:rsid w:val="009B7BDD"/>
    <w:rsid w:val="009C0BB5"/>
    <w:rsid w:val="009C152E"/>
    <w:rsid w:val="009C1AB6"/>
    <w:rsid w:val="009D2F90"/>
    <w:rsid w:val="009D32F4"/>
    <w:rsid w:val="009D6336"/>
    <w:rsid w:val="009E2FAE"/>
    <w:rsid w:val="009E3BC2"/>
    <w:rsid w:val="009E50B5"/>
    <w:rsid w:val="009F01F8"/>
    <w:rsid w:val="009F183A"/>
    <w:rsid w:val="00A02C68"/>
    <w:rsid w:val="00A143E5"/>
    <w:rsid w:val="00A1528A"/>
    <w:rsid w:val="00A16C7A"/>
    <w:rsid w:val="00A23B73"/>
    <w:rsid w:val="00A263AA"/>
    <w:rsid w:val="00A314C5"/>
    <w:rsid w:val="00A31A87"/>
    <w:rsid w:val="00A3413C"/>
    <w:rsid w:val="00A42D41"/>
    <w:rsid w:val="00A4483E"/>
    <w:rsid w:val="00A4612A"/>
    <w:rsid w:val="00A47C38"/>
    <w:rsid w:val="00A51AD9"/>
    <w:rsid w:val="00A55A6E"/>
    <w:rsid w:val="00A60927"/>
    <w:rsid w:val="00A60966"/>
    <w:rsid w:val="00A63C13"/>
    <w:rsid w:val="00A669C0"/>
    <w:rsid w:val="00A6700D"/>
    <w:rsid w:val="00A70375"/>
    <w:rsid w:val="00A73FA0"/>
    <w:rsid w:val="00A75CA7"/>
    <w:rsid w:val="00A76D1D"/>
    <w:rsid w:val="00A772EA"/>
    <w:rsid w:val="00A812E5"/>
    <w:rsid w:val="00A84F28"/>
    <w:rsid w:val="00A8584C"/>
    <w:rsid w:val="00A85A65"/>
    <w:rsid w:val="00A862E9"/>
    <w:rsid w:val="00A90EF3"/>
    <w:rsid w:val="00A91252"/>
    <w:rsid w:val="00A93852"/>
    <w:rsid w:val="00A93B59"/>
    <w:rsid w:val="00A93FB6"/>
    <w:rsid w:val="00A95184"/>
    <w:rsid w:val="00AA1F67"/>
    <w:rsid w:val="00AA3742"/>
    <w:rsid w:val="00AA6E07"/>
    <w:rsid w:val="00AA6EC5"/>
    <w:rsid w:val="00AB158A"/>
    <w:rsid w:val="00AB55A9"/>
    <w:rsid w:val="00AB7D71"/>
    <w:rsid w:val="00AC720E"/>
    <w:rsid w:val="00AC78FF"/>
    <w:rsid w:val="00AC79C3"/>
    <w:rsid w:val="00AD05AE"/>
    <w:rsid w:val="00AD5A96"/>
    <w:rsid w:val="00AD6B9F"/>
    <w:rsid w:val="00AD6E72"/>
    <w:rsid w:val="00AE04B1"/>
    <w:rsid w:val="00AE1B86"/>
    <w:rsid w:val="00AE4147"/>
    <w:rsid w:val="00AE59F9"/>
    <w:rsid w:val="00AE78E9"/>
    <w:rsid w:val="00AE7FCD"/>
    <w:rsid w:val="00AF725E"/>
    <w:rsid w:val="00B01201"/>
    <w:rsid w:val="00B05D59"/>
    <w:rsid w:val="00B12386"/>
    <w:rsid w:val="00B12461"/>
    <w:rsid w:val="00B12848"/>
    <w:rsid w:val="00B129E3"/>
    <w:rsid w:val="00B174C2"/>
    <w:rsid w:val="00B17949"/>
    <w:rsid w:val="00B179B3"/>
    <w:rsid w:val="00B21036"/>
    <w:rsid w:val="00B21095"/>
    <w:rsid w:val="00B217CE"/>
    <w:rsid w:val="00B23935"/>
    <w:rsid w:val="00B251C3"/>
    <w:rsid w:val="00B276B8"/>
    <w:rsid w:val="00B34561"/>
    <w:rsid w:val="00B347F1"/>
    <w:rsid w:val="00B36441"/>
    <w:rsid w:val="00B37B18"/>
    <w:rsid w:val="00B41749"/>
    <w:rsid w:val="00B43DB8"/>
    <w:rsid w:val="00B47936"/>
    <w:rsid w:val="00B509BB"/>
    <w:rsid w:val="00B53170"/>
    <w:rsid w:val="00B5588E"/>
    <w:rsid w:val="00B55999"/>
    <w:rsid w:val="00B603C0"/>
    <w:rsid w:val="00B62357"/>
    <w:rsid w:val="00B62449"/>
    <w:rsid w:val="00B6433B"/>
    <w:rsid w:val="00B66C88"/>
    <w:rsid w:val="00B67D24"/>
    <w:rsid w:val="00B7331C"/>
    <w:rsid w:val="00B7379F"/>
    <w:rsid w:val="00B74EAB"/>
    <w:rsid w:val="00B75036"/>
    <w:rsid w:val="00B75316"/>
    <w:rsid w:val="00B82B6B"/>
    <w:rsid w:val="00B84BF2"/>
    <w:rsid w:val="00B85044"/>
    <w:rsid w:val="00B86ED2"/>
    <w:rsid w:val="00BA1829"/>
    <w:rsid w:val="00BA51E1"/>
    <w:rsid w:val="00BA5DD9"/>
    <w:rsid w:val="00BA6724"/>
    <w:rsid w:val="00BB145D"/>
    <w:rsid w:val="00BB1742"/>
    <w:rsid w:val="00BB2E70"/>
    <w:rsid w:val="00BB3FAA"/>
    <w:rsid w:val="00BB4964"/>
    <w:rsid w:val="00BB7171"/>
    <w:rsid w:val="00BC01E1"/>
    <w:rsid w:val="00BC05F6"/>
    <w:rsid w:val="00BC07F1"/>
    <w:rsid w:val="00BC2B45"/>
    <w:rsid w:val="00BC6AF1"/>
    <w:rsid w:val="00BC7343"/>
    <w:rsid w:val="00BD235E"/>
    <w:rsid w:val="00BD3AF9"/>
    <w:rsid w:val="00BD441F"/>
    <w:rsid w:val="00BD5608"/>
    <w:rsid w:val="00BD58AD"/>
    <w:rsid w:val="00BD601F"/>
    <w:rsid w:val="00BD6594"/>
    <w:rsid w:val="00BE17C0"/>
    <w:rsid w:val="00BE1EDB"/>
    <w:rsid w:val="00BE524B"/>
    <w:rsid w:val="00BE7A1E"/>
    <w:rsid w:val="00BF0E6A"/>
    <w:rsid w:val="00BF2A93"/>
    <w:rsid w:val="00BF3015"/>
    <w:rsid w:val="00BF3610"/>
    <w:rsid w:val="00BF7061"/>
    <w:rsid w:val="00C01CFE"/>
    <w:rsid w:val="00C02199"/>
    <w:rsid w:val="00C032DE"/>
    <w:rsid w:val="00C04A6B"/>
    <w:rsid w:val="00C058C4"/>
    <w:rsid w:val="00C0671C"/>
    <w:rsid w:val="00C10F3F"/>
    <w:rsid w:val="00C11BC2"/>
    <w:rsid w:val="00C11DE5"/>
    <w:rsid w:val="00C14E78"/>
    <w:rsid w:val="00C14FED"/>
    <w:rsid w:val="00C20CC8"/>
    <w:rsid w:val="00C21C0E"/>
    <w:rsid w:val="00C26326"/>
    <w:rsid w:val="00C30021"/>
    <w:rsid w:val="00C30217"/>
    <w:rsid w:val="00C30DC0"/>
    <w:rsid w:val="00C31175"/>
    <w:rsid w:val="00C3135A"/>
    <w:rsid w:val="00C322FC"/>
    <w:rsid w:val="00C32B36"/>
    <w:rsid w:val="00C3730D"/>
    <w:rsid w:val="00C4034A"/>
    <w:rsid w:val="00C40AC6"/>
    <w:rsid w:val="00C433B1"/>
    <w:rsid w:val="00C4385D"/>
    <w:rsid w:val="00C43B43"/>
    <w:rsid w:val="00C43CE2"/>
    <w:rsid w:val="00C44199"/>
    <w:rsid w:val="00C44299"/>
    <w:rsid w:val="00C44B26"/>
    <w:rsid w:val="00C45B22"/>
    <w:rsid w:val="00C5168E"/>
    <w:rsid w:val="00C63879"/>
    <w:rsid w:val="00C6675C"/>
    <w:rsid w:val="00C70758"/>
    <w:rsid w:val="00C72F87"/>
    <w:rsid w:val="00C72FD0"/>
    <w:rsid w:val="00C73391"/>
    <w:rsid w:val="00C756D2"/>
    <w:rsid w:val="00C80942"/>
    <w:rsid w:val="00C8230A"/>
    <w:rsid w:val="00C85827"/>
    <w:rsid w:val="00C86A07"/>
    <w:rsid w:val="00C90DAD"/>
    <w:rsid w:val="00C92458"/>
    <w:rsid w:val="00C92F72"/>
    <w:rsid w:val="00C96766"/>
    <w:rsid w:val="00CA0BFD"/>
    <w:rsid w:val="00CA1E01"/>
    <w:rsid w:val="00CA31BA"/>
    <w:rsid w:val="00CA63CF"/>
    <w:rsid w:val="00CB0EF4"/>
    <w:rsid w:val="00CB20B0"/>
    <w:rsid w:val="00CB4FAF"/>
    <w:rsid w:val="00CB51FF"/>
    <w:rsid w:val="00CB5D30"/>
    <w:rsid w:val="00CB7733"/>
    <w:rsid w:val="00CB7F0C"/>
    <w:rsid w:val="00CC0898"/>
    <w:rsid w:val="00CC2340"/>
    <w:rsid w:val="00CC234A"/>
    <w:rsid w:val="00CC317E"/>
    <w:rsid w:val="00CC6379"/>
    <w:rsid w:val="00CC6E7E"/>
    <w:rsid w:val="00CD0500"/>
    <w:rsid w:val="00CD0520"/>
    <w:rsid w:val="00CD0EC4"/>
    <w:rsid w:val="00CD566D"/>
    <w:rsid w:val="00CF022F"/>
    <w:rsid w:val="00CF0624"/>
    <w:rsid w:val="00CF2A77"/>
    <w:rsid w:val="00CF4538"/>
    <w:rsid w:val="00CF54FB"/>
    <w:rsid w:val="00CF71DC"/>
    <w:rsid w:val="00D01D23"/>
    <w:rsid w:val="00D0581D"/>
    <w:rsid w:val="00D1035E"/>
    <w:rsid w:val="00D10A56"/>
    <w:rsid w:val="00D1534C"/>
    <w:rsid w:val="00D15FA6"/>
    <w:rsid w:val="00D177CC"/>
    <w:rsid w:val="00D2298E"/>
    <w:rsid w:val="00D22A51"/>
    <w:rsid w:val="00D23FD8"/>
    <w:rsid w:val="00D2589F"/>
    <w:rsid w:val="00D266FB"/>
    <w:rsid w:val="00D30101"/>
    <w:rsid w:val="00D328ED"/>
    <w:rsid w:val="00D332E5"/>
    <w:rsid w:val="00D33A77"/>
    <w:rsid w:val="00D35680"/>
    <w:rsid w:val="00D35FD8"/>
    <w:rsid w:val="00D36CF1"/>
    <w:rsid w:val="00D47BEF"/>
    <w:rsid w:val="00D54AE1"/>
    <w:rsid w:val="00D54F54"/>
    <w:rsid w:val="00D54F6B"/>
    <w:rsid w:val="00D55D23"/>
    <w:rsid w:val="00D561AB"/>
    <w:rsid w:val="00D57D80"/>
    <w:rsid w:val="00D66226"/>
    <w:rsid w:val="00D669EF"/>
    <w:rsid w:val="00D7192E"/>
    <w:rsid w:val="00D75077"/>
    <w:rsid w:val="00D8020C"/>
    <w:rsid w:val="00D80A2B"/>
    <w:rsid w:val="00D91031"/>
    <w:rsid w:val="00D92213"/>
    <w:rsid w:val="00D95F19"/>
    <w:rsid w:val="00D96C72"/>
    <w:rsid w:val="00DA5C9A"/>
    <w:rsid w:val="00DA7212"/>
    <w:rsid w:val="00DA7C59"/>
    <w:rsid w:val="00DB6424"/>
    <w:rsid w:val="00DB6C70"/>
    <w:rsid w:val="00DC2EAC"/>
    <w:rsid w:val="00DC36A1"/>
    <w:rsid w:val="00DC3C90"/>
    <w:rsid w:val="00DC3F04"/>
    <w:rsid w:val="00DC7393"/>
    <w:rsid w:val="00DC7BE4"/>
    <w:rsid w:val="00DD41B8"/>
    <w:rsid w:val="00DE1717"/>
    <w:rsid w:val="00DE4095"/>
    <w:rsid w:val="00DE4720"/>
    <w:rsid w:val="00DF01D4"/>
    <w:rsid w:val="00DF17B4"/>
    <w:rsid w:val="00DF2484"/>
    <w:rsid w:val="00DF39A3"/>
    <w:rsid w:val="00DF635B"/>
    <w:rsid w:val="00E007B9"/>
    <w:rsid w:val="00E02E37"/>
    <w:rsid w:val="00E03C6C"/>
    <w:rsid w:val="00E063FD"/>
    <w:rsid w:val="00E06569"/>
    <w:rsid w:val="00E10150"/>
    <w:rsid w:val="00E11EAF"/>
    <w:rsid w:val="00E12232"/>
    <w:rsid w:val="00E13AE1"/>
    <w:rsid w:val="00E144DF"/>
    <w:rsid w:val="00E16CC6"/>
    <w:rsid w:val="00E176FC"/>
    <w:rsid w:val="00E20F13"/>
    <w:rsid w:val="00E21EE4"/>
    <w:rsid w:val="00E22870"/>
    <w:rsid w:val="00E33AF4"/>
    <w:rsid w:val="00E42E33"/>
    <w:rsid w:val="00E44C05"/>
    <w:rsid w:val="00E50229"/>
    <w:rsid w:val="00E5096C"/>
    <w:rsid w:val="00E5444A"/>
    <w:rsid w:val="00E55B1A"/>
    <w:rsid w:val="00E56093"/>
    <w:rsid w:val="00E561AB"/>
    <w:rsid w:val="00E565FB"/>
    <w:rsid w:val="00E57004"/>
    <w:rsid w:val="00E57038"/>
    <w:rsid w:val="00E62407"/>
    <w:rsid w:val="00E644D8"/>
    <w:rsid w:val="00E67EB6"/>
    <w:rsid w:val="00E713AB"/>
    <w:rsid w:val="00E716AB"/>
    <w:rsid w:val="00E74962"/>
    <w:rsid w:val="00E833BA"/>
    <w:rsid w:val="00E836FB"/>
    <w:rsid w:val="00E839CB"/>
    <w:rsid w:val="00E83E9C"/>
    <w:rsid w:val="00E84B09"/>
    <w:rsid w:val="00E8606F"/>
    <w:rsid w:val="00E86258"/>
    <w:rsid w:val="00E87358"/>
    <w:rsid w:val="00E878F0"/>
    <w:rsid w:val="00E904F1"/>
    <w:rsid w:val="00E9354F"/>
    <w:rsid w:val="00E93B1B"/>
    <w:rsid w:val="00EA12A7"/>
    <w:rsid w:val="00EA2186"/>
    <w:rsid w:val="00EA27D5"/>
    <w:rsid w:val="00EA464B"/>
    <w:rsid w:val="00EA5ED8"/>
    <w:rsid w:val="00EA7F7E"/>
    <w:rsid w:val="00EB1BF9"/>
    <w:rsid w:val="00EC0AF0"/>
    <w:rsid w:val="00EC2BB7"/>
    <w:rsid w:val="00EC2C0C"/>
    <w:rsid w:val="00EC56EC"/>
    <w:rsid w:val="00ED1104"/>
    <w:rsid w:val="00ED3C46"/>
    <w:rsid w:val="00ED5188"/>
    <w:rsid w:val="00ED55F4"/>
    <w:rsid w:val="00ED6980"/>
    <w:rsid w:val="00ED7C43"/>
    <w:rsid w:val="00EE1C8C"/>
    <w:rsid w:val="00EE5EF0"/>
    <w:rsid w:val="00EE6A94"/>
    <w:rsid w:val="00EF3DC4"/>
    <w:rsid w:val="00EF5888"/>
    <w:rsid w:val="00EF7069"/>
    <w:rsid w:val="00F01C86"/>
    <w:rsid w:val="00F069A0"/>
    <w:rsid w:val="00F07FAB"/>
    <w:rsid w:val="00F100DA"/>
    <w:rsid w:val="00F15010"/>
    <w:rsid w:val="00F15959"/>
    <w:rsid w:val="00F16F5D"/>
    <w:rsid w:val="00F20F9E"/>
    <w:rsid w:val="00F27114"/>
    <w:rsid w:val="00F302D1"/>
    <w:rsid w:val="00F37A11"/>
    <w:rsid w:val="00F42C67"/>
    <w:rsid w:val="00F43415"/>
    <w:rsid w:val="00F44230"/>
    <w:rsid w:val="00F520D1"/>
    <w:rsid w:val="00F552FB"/>
    <w:rsid w:val="00F56EED"/>
    <w:rsid w:val="00F57E63"/>
    <w:rsid w:val="00F60988"/>
    <w:rsid w:val="00F6103A"/>
    <w:rsid w:val="00F63690"/>
    <w:rsid w:val="00F654ED"/>
    <w:rsid w:val="00F67C8B"/>
    <w:rsid w:val="00F74248"/>
    <w:rsid w:val="00F7492C"/>
    <w:rsid w:val="00F74E59"/>
    <w:rsid w:val="00F774F8"/>
    <w:rsid w:val="00F815BC"/>
    <w:rsid w:val="00F81E7C"/>
    <w:rsid w:val="00F830E6"/>
    <w:rsid w:val="00F841C6"/>
    <w:rsid w:val="00F86804"/>
    <w:rsid w:val="00F91076"/>
    <w:rsid w:val="00FA0BB9"/>
    <w:rsid w:val="00FA0C00"/>
    <w:rsid w:val="00FA3971"/>
    <w:rsid w:val="00FA59D6"/>
    <w:rsid w:val="00FA5D66"/>
    <w:rsid w:val="00FA70CB"/>
    <w:rsid w:val="00FB5760"/>
    <w:rsid w:val="00FB5C3F"/>
    <w:rsid w:val="00FC03E1"/>
    <w:rsid w:val="00FC4E76"/>
    <w:rsid w:val="00FC573C"/>
    <w:rsid w:val="00FC755F"/>
    <w:rsid w:val="00FC7874"/>
    <w:rsid w:val="00FD1284"/>
    <w:rsid w:val="00FD3AD5"/>
    <w:rsid w:val="00FD4DA5"/>
    <w:rsid w:val="00FD5485"/>
    <w:rsid w:val="00FD6269"/>
    <w:rsid w:val="00FD764D"/>
    <w:rsid w:val="00FE362E"/>
    <w:rsid w:val="00FE3717"/>
    <w:rsid w:val="00FE3843"/>
    <w:rsid w:val="00FF3562"/>
    <w:rsid w:val="00FF4441"/>
    <w:rsid w:val="00FF6A5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723C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7C8B"/>
    <w:pPr>
      <w:spacing w:after="120" w:line="220" w:lineRule="exact"/>
    </w:pPr>
    <w:rPr>
      <w:rFonts w:ascii="Arial" w:hAnsi="Arial" w:cs="VIC-SemiBold"/>
      <w:color w:val="000000" w:themeColor="text1"/>
      <w:sz w:val="18"/>
      <w:szCs w:val="52"/>
    </w:rPr>
  </w:style>
  <w:style w:type="paragraph" w:styleId="Heading1">
    <w:name w:val="heading 1"/>
    <w:basedOn w:val="Normal"/>
    <w:next w:val="Normal"/>
    <w:link w:val="Heading1Char"/>
    <w:uiPriority w:val="9"/>
    <w:qFormat/>
    <w:rsid w:val="00FE3843"/>
    <w:pPr>
      <w:spacing w:before="280" w:after="220"/>
      <w:outlineLvl w:val="0"/>
    </w:pPr>
    <w:rPr>
      <w:b/>
      <w:bCs/>
      <w:caps/>
      <w:sz w:val="28"/>
    </w:rPr>
  </w:style>
  <w:style w:type="paragraph" w:styleId="Heading2">
    <w:name w:val="heading 2"/>
    <w:basedOn w:val="Normal"/>
    <w:next w:val="Normal"/>
    <w:link w:val="Heading2Char"/>
    <w:uiPriority w:val="9"/>
    <w:unhideWhenUsed/>
    <w:qFormat/>
    <w:rsid w:val="00253F51"/>
    <w:pPr>
      <w:spacing w:before="480" w:after="220"/>
      <w:outlineLvl w:val="1"/>
    </w:pPr>
    <w:rPr>
      <w:b/>
      <w:caps/>
      <w:color w:val="4C7329"/>
      <w:sz w:val="22"/>
      <w:szCs w:val="18"/>
    </w:rPr>
  </w:style>
  <w:style w:type="paragraph" w:styleId="Heading3">
    <w:name w:val="heading 3"/>
    <w:basedOn w:val="Normal"/>
    <w:next w:val="Normal"/>
    <w:link w:val="Heading3Char"/>
    <w:uiPriority w:val="9"/>
    <w:unhideWhenUsed/>
    <w:qFormat/>
    <w:rsid w:val="00287F2D"/>
    <w:pPr>
      <w:spacing w:before="180" w:line="240" w:lineRule="auto"/>
      <w:outlineLvl w:val="2"/>
    </w:pPr>
    <w:rPr>
      <w:b/>
    </w:rPr>
  </w:style>
  <w:style w:type="paragraph" w:styleId="Heading4">
    <w:name w:val="heading 4"/>
    <w:basedOn w:val="Normal"/>
    <w:next w:val="Normal"/>
    <w:link w:val="Heading4Char"/>
    <w:uiPriority w:val="9"/>
    <w:semiHidden/>
    <w:unhideWhenUsed/>
    <w:qFormat/>
    <w:rsid w:val="00286A88"/>
    <w:pPr>
      <w:keepNext/>
      <w:keepLines/>
      <w:spacing w:before="200" w:after="0"/>
      <w:outlineLvl w:val="3"/>
    </w:pPr>
    <w:rPr>
      <w:rFonts w:ascii="Cambria" w:eastAsia="Times New Roman" w:hAnsi="Cambria" w:cs="Times New Roman"/>
      <w:b/>
      <w:bCs/>
      <w:i/>
      <w:iCs/>
      <w:color w:val="4F81BD"/>
      <w:sz w:val="24"/>
      <w:szCs w:val="24"/>
    </w:rPr>
  </w:style>
  <w:style w:type="paragraph" w:styleId="Heading5">
    <w:name w:val="heading 5"/>
    <w:basedOn w:val="Normal"/>
    <w:next w:val="Normal"/>
    <w:link w:val="Heading5Char"/>
    <w:uiPriority w:val="9"/>
    <w:semiHidden/>
    <w:unhideWhenUsed/>
    <w:qFormat/>
    <w:rsid w:val="00286A88"/>
    <w:pPr>
      <w:keepNext/>
      <w:keepLines/>
      <w:spacing w:before="200" w:after="0"/>
      <w:outlineLvl w:val="4"/>
    </w:pPr>
    <w:rPr>
      <w:rFonts w:ascii="Cambria" w:eastAsia="Times New Roman" w:hAnsi="Cambria" w:cs="Times New Roman"/>
      <w:color w:val="243F60"/>
      <w:sz w:val="24"/>
      <w:szCs w:val="24"/>
    </w:rPr>
  </w:style>
  <w:style w:type="paragraph" w:styleId="Heading6">
    <w:name w:val="heading 6"/>
    <w:basedOn w:val="Normal"/>
    <w:next w:val="Normal"/>
    <w:link w:val="Heading6Char"/>
    <w:uiPriority w:val="9"/>
    <w:unhideWhenUsed/>
    <w:rsid w:val="00397B9B"/>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bodytext">
    <w:name w:val="Ag body text"/>
    <w:basedOn w:val="Normal"/>
    <w:qFormat/>
    <w:rsid w:val="004E6E1C"/>
  </w:style>
  <w:style w:type="character" w:customStyle="1" w:styleId="Heading1Char">
    <w:name w:val="Heading 1 Char"/>
    <w:basedOn w:val="DefaultParagraphFont"/>
    <w:link w:val="Heading1"/>
    <w:uiPriority w:val="9"/>
    <w:rsid w:val="00FE3843"/>
    <w:rPr>
      <w:rFonts w:ascii="Arial" w:hAnsi="Arial" w:cs="VIC-SemiBold"/>
      <w:b/>
      <w:bCs/>
      <w:caps/>
      <w:color w:val="000000" w:themeColor="text1"/>
      <w:sz w:val="28"/>
      <w:szCs w:val="52"/>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1F4D78"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Agbodytextred">
    <w:name w:val="Ag body text red"/>
    <w:basedOn w:val="Agbodytext"/>
    <w:qFormat/>
    <w:rsid w:val="0001170C"/>
    <w:rPr>
      <w:color w:val="FF0000"/>
    </w:rPr>
  </w:style>
  <w:style w:type="character" w:customStyle="1" w:styleId="Heading2Char">
    <w:name w:val="Heading 2 Char"/>
    <w:basedOn w:val="DefaultParagraphFont"/>
    <w:link w:val="Heading2"/>
    <w:uiPriority w:val="9"/>
    <w:rsid w:val="00253F51"/>
    <w:rPr>
      <w:rFonts w:ascii="Arial" w:hAnsi="Arial" w:cs="VIC-SemiBold"/>
      <w:b/>
      <w:caps/>
      <w:color w:val="4C7329"/>
      <w:sz w:val="22"/>
      <w:szCs w:val="18"/>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287F2D"/>
    <w:rPr>
      <w:rFonts w:ascii="Arial" w:hAnsi="Arial" w:cs="VIC-SemiBold"/>
      <w:b/>
      <w:color w:val="000000" w:themeColor="text1"/>
      <w:sz w:val="18"/>
      <w:szCs w:val="52"/>
    </w:rPr>
  </w:style>
  <w:style w:type="paragraph" w:customStyle="1" w:styleId="Agaccessibilityheading">
    <w:name w:val="Ag accessibility heading"/>
    <w:basedOn w:val="Heading2"/>
    <w:qFormat/>
    <w:rsid w:val="00FC7874"/>
    <w:pPr>
      <w:spacing w:before="120"/>
    </w:pPr>
  </w:style>
  <w:style w:type="character" w:styleId="Hyperlink">
    <w:name w:val="Hyperlink"/>
    <w:basedOn w:val="DefaultParagraphFont"/>
    <w:uiPriority w:val="99"/>
    <w:unhideWhenUsed/>
    <w:rsid w:val="00FC7874"/>
    <w:rPr>
      <w:color w:val="0563C1" w:themeColor="hyperlink"/>
      <w:u w:val="single"/>
    </w:rPr>
  </w:style>
  <w:style w:type="paragraph" w:customStyle="1" w:styleId="Agcovertitle1">
    <w:name w:val="Ag cover title 1"/>
    <w:basedOn w:val="Normal"/>
    <w:next w:val="Agcovertitle2"/>
    <w:qFormat/>
    <w:rsid w:val="004E6E1C"/>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rPr>
  </w:style>
  <w:style w:type="paragraph" w:customStyle="1" w:styleId="Agcontentstitle">
    <w:name w:val="Ag contents title"/>
    <w:basedOn w:val="Normal"/>
    <w:qFormat/>
    <w:rsid w:val="003D6042"/>
    <w:pPr>
      <w:spacing w:before="240" w:after="240" w:line="240" w:lineRule="auto"/>
    </w:pPr>
    <w:rPr>
      <w:rFonts w:cs="Arial"/>
      <w:color w:val="4C7329"/>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qFormat/>
    <w:rsid w:val="001A7691"/>
    <w:pPr>
      <w:tabs>
        <w:tab w:val="right" w:leader="dot" w:pos="9072"/>
      </w:tabs>
      <w:spacing w:before="60" w:after="60" w:line="240" w:lineRule="auto"/>
      <w:ind w:right="386"/>
    </w:pPr>
    <w:rPr>
      <w:rFonts w:cstheme="minorBidi"/>
      <w:b/>
      <w:noProof/>
      <w:color w:val="auto"/>
      <w:szCs w:val="24"/>
    </w:rPr>
  </w:style>
  <w:style w:type="paragraph" w:styleId="TOC2">
    <w:name w:val="toc 2"/>
    <w:next w:val="Normal"/>
    <w:autoRedefine/>
    <w:uiPriority w:val="39"/>
    <w:unhideWhenUsed/>
    <w:qFormat/>
    <w:rsid w:val="00BD235E"/>
    <w:pPr>
      <w:tabs>
        <w:tab w:val="right" w:leader="dot" w:pos="9072"/>
      </w:tabs>
      <w:spacing w:after="20"/>
      <w:ind w:left="397"/>
    </w:pPr>
    <w:rPr>
      <w:rFonts w:ascii="Arial" w:hAnsi="Arial"/>
      <w:noProof/>
      <w:sz w:val="18"/>
    </w:rPr>
  </w:style>
  <w:style w:type="paragraph" w:styleId="TOC3">
    <w:name w:val="toc 3"/>
    <w:next w:val="Normal"/>
    <w:autoRedefine/>
    <w:uiPriority w:val="39"/>
    <w:unhideWhenUsed/>
    <w:qFormat/>
    <w:rsid w:val="001804A1"/>
    <w:pPr>
      <w:tabs>
        <w:tab w:val="right" w:leader="dot" w:pos="9072"/>
      </w:tabs>
      <w:spacing w:after="20"/>
      <w:ind w:left="737"/>
    </w:pPr>
    <w:rPr>
      <w:rFonts w:ascii="Arial" w:hAnsi="Arial"/>
      <w:noProof/>
      <w:sz w:val="18"/>
    </w:rPr>
  </w:style>
  <w:style w:type="paragraph" w:styleId="TOC4">
    <w:name w:val="toc 4"/>
    <w:next w:val="Normal"/>
    <w:autoRedefine/>
    <w:uiPriority w:val="39"/>
    <w:unhideWhenUsed/>
    <w:rsid w:val="00BD235E"/>
    <w:pPr>
      <w:tabs>
        <w:tab w:val="right" w:leader="dot" w:pos="9072"/>
      </w:tabs>
      <w:spacing w:after="20"/>
      <w:ind w:left="1418"/>
    </w:pPr>
    <w:rPr>
      <w:rFonts w:ascii="Arial" w:hAnsi="Arial"/>
      <w:noProof/>
      <w:sz w:val="18"/>
    </w:r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table" w:styleId="TableGrid">
    <w:name w:val="Table Grid"/>
    <w:basedOn w:val="TableNormal"/>
    <w:uiPriority w:val="39"/>
    <w:rsid w:val="000774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dividertitletext">
    <w:name w:val="Ag divider title text"/>
    <w:basedOn w:val="Normal"/>
    <w:qFormat/>
    <w:rsid w:val="00FC7874"/>
    <w:pPr>
      <w:spacing w:after="0" w:line="480" w:lineRule="exact"/>
      <w:ind w:left="4678"/>
    </w:pPr>
    <w:rPr>
      <w:rFonts w:cstheme="minorBidi"/>
      <w:bCs/>
      <w:color w:val="FFFFFF" w:themeColor="background1"/>
      <w:sz w:val="48"/>
      <w:szCs w:val="48"/>
      <w:lang w:val="en-AU"/>
    </w:rPr>
  </w:style>
  <w:style w:type="paragraph" w:customStyle="1" w:styleId="Agcovertitle2">
    <w:name w:val="Ag cover title 2"/>
    <w:basedOn w:val="Normal"/>
    <w:qFormat/>
    <w:rsid w:val="004E6E1C"/>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customStyle="1" w:styleId="Agbulletlist">
    <w:name w:val="Ag bullet list"/>
    <w:basedOn w:val="Normal"/>
    <w:qFormat/>
    <w:rsid w:val="004E6E1C"/>
    <w:pPr>
      <w:numPr>
        <w:numId w:val="13"/>
      </w:numPr>
    </w:pPr>
  </w:style>
  <w:style w:type="paragraph" w:customStyle="1" w:styleId="instructions">
    <w:name w:val="instructions"/>
    <w:basedOn w:val="Normal"/>
    <w:link w:val="instructionsChar"/>
    <w:qFormat/>
    <w:rsid w:val="009A40A0"/>
    <w:pPr>
      <w:spacing w:before="60" w:line="240" w:lineRule="auto"/>
    </w:pPr>
    <w:rPr>
      <w:rFonts w:eastAsia="Times New Roman" w:cs="Times New Roman"/>
      <w:color w:val="ED7D31" w:themeColor="accent2"/>
      <w:szCs w:val="20"/>
      <w:lang w:val="en-AU"/>
    </w:rPr>
  </w:style>
  <w:style w:type="character" w:customStyle="1" w:styleId="instructionsChar">
    <w:name w:val="instructions Char"/>
    <w:basedOn w:val="DefaultParagraphFont"/>
    <w:link w:val="instructions"/>
    <w:rsid w:val="009A40A0"/>
    <w:rPr>
      <w:rFonts w:ascii="Arial" w:eastAsia="Times New Roman" w:hAnsi="Arial" w:cs="Times New Roman"/>
      <w:color w:val="ED7D31" w:themeColor="accent2"/>
      <w:sz w:val="18"/>
      <w:szCs w:val="20"/>
      <w:lang w:val="en-AU"/>
    </w:rPr>
  </w:style>
  <w:style w:type="paragraph" w:styleId="BalloonText">
    <w:name w:val="Balloon Text"/>
    <w:basedOn w:val="Normal"/>
    <w:link w:val="BalloonTextChar"/>
    <w:uiPriority w:val="99"/>
    <w:semiHidden/>
    <w:unhideWhenUsed/>
    <w:rsid w:val="00D57D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7D80"/>
    <w:rPr>
      <w:rFonts w:ascii="Tahoma" w:hAnsi="Tahoma" w:cs="Tahoma"/>
      <w:color w:val="000000" w:themeColor="text1"/>
      <w:sz w:val="16"/>
      <w:szCs w:val="16"/>
    </w:rPr>
  </w:style>
  <w:style w:type="paragraph" w:customStyle="1" w:styleId="Heading41">
    <w:name w:val="Heading 41"/>
    <w:basedOn w:val="Normal"/>
    <w:next w:val="Normal"/>
    <w:uiPriority w:val="9"/>
    <w:unhideWhenUsed/>
    <w:qFormat/>
    <w:rsid w:val="00E33AF4"/>
    <w:pPr>
      <w:keepNext/>
      <w:keepLines/>
      <w:spacing w:before="180" w:line="276" w:lineRule="auto"/>
      <w:outlineLvl w:val="3"/>
    </w:pPr>
    <w:rPr>
      <w:rFonts w:eastAsia="Times New Roman" w:cs="Times New Roman"/>
      <w:b/>
      <w:bCs/>
      <w:i/>
      <w:iCs/>
      <w:szCs w:val="22"/>
      <w:lang w:val="en-AU" w:eastAsia="en-AU"/>
    </w:rPr>
  </w:style>
  <w:style w:type="paragraph" w:customStyle="1" w:styleId="Heading51">
    <w:name w:val="Heading 51"/>
    <w:basedOn w:val="Normal"/>
    <w:next w:val="Normal"/>
    <w:uiPriority w:val="9"/>
    <w:unhideWhenUsed/>
    <w:qFormat/>
    <w:rsid w:val="00286A88"/>
    <w:pPr>
      <w:keepNext/>
      <w:keepLines/>
      <w:spacing w:before="200" w:after="0" w:line="240" w:lineRule="auto"/>
      <w:outlineLvl w:val="4"/>
    </w:pPr>
    <w:rPr>
      <w:rFonts w:ascii="Cambria" w:eastAsia="Times New Roman" w:hAnsi="Cambria" w:cs="Times New Roman"/>
      <w:color w:val="243F60"/>
      <w:sz w:val="24"/>
      <w:szCs w:val="24"/>
    </w:rPr>
  </w:style>
  <w:style w:type="numbering" w:customStyle="1" w:styleId="NoList1">
    <w:name w:val="No List1"/>
    <w:next w:val="NoList"/>
    <w:uiPriority w:val="99"/>
    <w:semiHidden/>
    <w:unhideWhenUsed/>
    <w:rsid w:val="00286A88"/>
  </w:style>
  <w:style w:type="character" w:customStyle="1" w:styleId="Heading4Char">
    <w:name w:val="Heading 4 Char"/>
    <w:basedOn w:val="DefaultParagraphFont"/>
    <w:link w:val="Heading4"/>
    <w:uiPriority w:val="9"/>
    <w:rsid w:val="00286A88"/>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286A88"/>
    <w:rPr>
      <w:rFonts w:ascii="Cambria" w:eastAsia="Times New Roman" w:hAnsi="Cambria" w:cs="Times New Roman"/>
      <w:color w:val="243F60"/>
      <w:sz w:val="24"/>
      <w:szCs w:val="24"/>
      <w:lang w:val="en-US" w:eastAsia="en-US"/>
    </w:rPr>
  </w:style>
  <w:style w:type="character" w:customStyle="1" w:styleId="apple-converted-space">
    <w:name w:val="apple-converted-space"/>
    <w:basedOn w:val="DefaultParagraphFont"/>
    <w:rsid w:val="00286A88"/>
  </w:style>
  <w:style w:type="character" w:customStyle="1" w:styleId="hithilite">
    <w:name w:val="hithilite"/>
    <w:basedOn w:val="DefaultParagraphFont"/>
    <w:rsid w:val="00286A88"/>
  </w:style>
  <w:style w:type="paragraph" w:customStyle="1" w:styleId="frfield">
    <w:name w:val="fr_field"/>
    <w:basedOn w:val="Normal"/>
    <w:rsid w:val="00286A88"/>
    <w:pPr>
      <w:spacing w:before="100" w:beforeAutospacing="1" w:after="100" w:afterAutospacing="1" w:line="240" w:lineRule="auto"/>
    </w:pPr>
    <w:rPr>
      <w:rFonts w:ascii="Times New Roman" w:eastAsia="Times New Roman" w:hAnsi="Times New Roman" w:cs="Times New Roman"/>
      <w:color w:val="auto"/>
      <w:sz w:val="24"/>
      <w:szCs w:val="24"/>
      <w:lang w:val="en-AU" w:eastAsia="en-GB"/>
    </w:rPr>
  </w:style>
  <w:style w:type="character" w:customStyle="1" w:styleId="frlabel">
    <w:name w:val="fr_label"/>
    <w:basedOn w:val="DefaultParagraphFont"/>
    <w:rsid w:val="00286A88"/>
  </w:style>
  <w:style w:type="paragraph" w:customStyle="1" w:styleId="sourcetitle">
    <w:name w:val="sourcetitle"/>
    <w:basedOn w:val="Normal"/>
    <w:rsid w:val="00286A88"/>
    <w:pPr>
      <w:spacing w:before="100" w:beforeAutospacing="1" w:after="100" w:afterAutospacing="1" w:line="240" w:lineRule="auto"/>
    </w:pPr>
    <w:rPr>
      <w:rFonts w:ascii="Times New Roman" w:eastAsia="Times New Roman" w:hAnsi="Times New Roman" w:cs="Times New Roman"/>
      <w:color w:val="auto"/>
      <w:sz w:val="24"/>
      <w:szCs w:val="24"/>
      <w:lang w:val="en-AU" w:eastAsia="en-GB"/>
    </w:rPr>
  </w:style>
  <w:style w:type="character" w:customStyle="1" w:styleId="label">
    <w:name w:val="label"/>
    <w:basedOn w:val="DefaultParagraphFont"/>
    <w:rsid w:val="00286A88"/>
  </w:style>
  <w:style w:type="character" w:customStyle="1" w:styleId="databold">
    <w:name w:val="data_bold"/>
    <w:basedOn w:val="DefaultParagraphFont"/>
    <w:rsid w:val="00286A88"/>
  </w:style>
  <w:style w:type="table" w:customStyle="1" w:styleId="TableGrid1">
    <w:name w:val="Table Grid1"/>
    <w:basedOn w:val="TableNormal"/>
    <w:next w:val="TableGrid"/>
    <w:uiPriority w:val="59"/>
    <w:rsid w:val="00286A88"/>
    <w:rPr>
      <w:rFonts w:eastAsia="Times New Roman"/>
      <w:sz w:val="22"/>
      <w:szCs w:val="22"/>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286A88"/>
    <w:pPr>
      <w:spacing w:after="160" w:line="256" w:lineRule="auto"/>
      <w:ind w:left="720"/>
      <w:contextualSpacing/>
    </w:pPr>
    <w:rPr>
      <w:rFonts w:ascii="Calibri" w:eastAsia="Times New Roman" w:hAnsi="Calibri" w:cs="Times New Roman"/>
      <w:color w:val="auto"/>
      <w:sz w:val="22"/>
      <w:szCs w:val="22"/>
      <w:lang w:val="en-AU" w:eastAsia="en-AU"/>
    </w:rPr>
  </w:style>
  <w:style w:type="character" w:customStyle="1" w:styleId="ListParagraphChar">
    <w:name w:val="List Paragraph Char"/>
    <w:basedOn w:val="DefaultParagraphFont"/>
    <w:link w:val="ListParagraph"/>
    <w:uiPriority w:val="34"/>
    <w:locked/>
    <w:rsid w:val="00286A88"/>
    <w:rPr>
      <w:rFonts w:ascii="Calibri" w:eastAsia="Times New Roman" w:hAnsi="Calibri" w:cs="Times New Roman"/>
      <w:sz w:val="22"/>
      <w:szCs w:val="22"/>
      <w:lang w:val="en-AU" w:eastAsia="en-AU"/>
    </w:rPr>
  </w:style>
  <w:style w:type="paragraph" w:styleId="NormalWeb">
    <w:name w:val="Normal (Web)"/>
    <w:basedOn w:val="Normal"/>
    <w:uiPriority w:val="99"/>
    <w:unhideWhenUsed/>
    <w:rsid w:val="00286A88"/>
    <w:pPr>
      <w:spacing w:before="100" w:beforeAutospacing="1" w:after="100" w:afterAutospacing="1" w:line="240" w:lineRule="auto"/>
    </w:pPr>
    <w:rPr>
      <w:rFonts w:ascii="Times New Roman" w:eastAsia="Times New Roman" w:hAnsi="Times New Roman" w:cs="Times New Roman"/>
      <w:color w:val="auto"/>
      <w:sz w:val="24"/>
      <w:szCs w:val="24"/>
      <w:lang w:val="en-AU" w:eastAsia="en-GB"/>
    </w:rPr>
  </w:style>
  <w:style w:type="paragraph" w:styleId="BodyText">
    <w:name w:val="Body Text"/>
    <w:basedOn w:val="Normal"/>
    <w:link w:val="BodyTextChar"/>
    <w:rsid w:val="00286A88"/>
    <w:pPr>
      <w:spacing w:line="240" w:lineRule="auto"/>
    </w:pPr>
    <w:rPr>
      <w:rFonts w:ascii="Times" w:eastAsia="Times" w:hAnsi="Times" w:cs="Times New Roman"/>
      <w:color w:val="auto"/>
      <w:sz w:val="24"/>
      <w:szCs w:val="20"/>
      <w:lang w:val="en-AU" w:eastAsia="en-AU"/>
    </w:rPr>
  </w:style>
  <w:style w:type="character" w:customStyle="1" w:styleId="BodyTextChar">
    <w:name w:val="Body Text Char"/>
    <w:basedOn w:val="DefaultParagraphFont"/>
    <w:link w:val="BodyText"/>
    <w:rsid w:val="00286A88"/>
    <w:rPr>
      <w:rFonts w:ascii="Times" w:eastAsia="Times" w:hAnsi="Times" w:cs="Times New Roman"/>
      <w:szCs w:val="20"/>
      <w:lang w:val="en-AU" w:eastAsia="en-AU"/>
    </w:rPr>
  </w:style>
  <w:style w:type="character" w:styleId="CommentReference">
    <w:name w:val="annotation reference"/>
    <w:basedOn w:val="DefaultParagraphFont"/>
    <w:uiPriority w:val="99"/>
    <w:semiHidden/>
    <w:unhideWhenUsed/>
    <w:rsid w:val="00286A88"/>
    <w:rPr>
      <w:sz w:val="16"/>
      <w:szCs w:val="16"/>
    </w:rPr>
  </w:style>
  <w:style w:type="paragraph" w:styleId="CommentText">
    <w:name w:val="annotation text"/>
    <w:basedOn w:val="Normal"/>
    <w:link w:val="CommentTextChar"/>
    <w:uiPriority w:val="99"/>
    <w:unhideWhenUsed/>
    <w:rsid w:val="00286A88"/>
    <w:pPr>
      <w:spacing w:after="200" w:line="240" w:lineRule="auto"/>
    </w:pPr>
    <w:rPr>
      <w:rFonts w:ascii="Calibri" w:eastAsia="Times New Roman" w:hAnsi="Calibri" w:cs="Times New Roman"/>
      <w:color w:val="auto"/>
      <w:sz w:val="20"/>
      <w:szCs w:val="20"/>
      <w:lang w:val="en-AU" w:eastAsia="en-AU"/>
    </w:rPr>
  </w:style>
  <w:style w:type="character" w:customStyle="1" w:styleId="CommentTextChar">
    <w:name w:val="Comment Text Char"/>
    <w:basedOn w:val="DefaultParagraphFont"/>
    <w:link w:val="CommentText"/>
    <w:uiPriority w:val="99"/>
    <w:rsid w:val="00286A88"/>
    <w:rPr>
      <w:rFonts w:ascii="Calibri" w:eastAsia="Times New Roman" w:hAnsi="Calibri" w:cs="Times New Roman"/>
      <w:sz w:val="20"/>
      <w:szCs w:val="20"/>
      <w:lang w:val="en-AU" w:eastAsia="en-AU"/>
    </w:rPr>
  </w:style>
  <w:style w:type="paragraph" w:styleId="CommentSubject">
    <w:name w:val="annotation subject"/>
    <w:basedOn w:val="CommentText"/>
    <w:next w:val="CommentText"/>
    <w:link w:val="CommentSubjectChar"/>
    <w:uiPriority w:val="99"/>
    <w:semiHidden/>
    <w:unhideWhenUsed/>
    <w:rsid w:val="00286A88"/>
    <w:rPr>
      <w:b/>
      <w:bCs/>
    </w:rPr>
  </w:style>
  <w:style w:type="character" w:customStyle="1" w:styleId="CommentSubjectChar">
    <w:name w:val="Comment Subject Char"/>
    <w:basedOn w:val="CommentTextChar"/>
    <w:link w:val="CommentSubject"/>
    <w:uiPriority w:val="99"/>
    <w:semiHidden/>
    <w:rsid w:val="00286A88"/>
    <w:rPr>
      <w:rFonts w:ascii="Calibri" w:eastAsia="Times New Roman" w:hAnsi="Calibri" w:cs="Times New Roman"/>
      <w:b/>
      <w:bCs/>
      <w:sz w:val="20"/>
      <w:szCs w:val="20"/>
      <w:lang w:val="en-AU" w:eastAsia="en-AU"/>
    </w:rPr>
  </w:style>
  <w:style w:type="character" w:customStyle="1" w:styleId="reference-title">
    <w:name w:val="reference-title"/>
    <w:basedOn w:val="DefaultParagraphFont"/>
    <w:rsid w:val="00286A88"/>
  </w:style>
  <w:style w:type="paragraph" w:customStyle="1" w:styleId="m-7785854949623126305gmail-frfield">
    <w:name w:val="m_-7785854949623126305gmail-fr_field"/>
    <w:basedOn w:val="Normal"/>
    <w:rsid w:val="00286A88"/>
    <w:pPr>
      <w:spacing w:before="100" w:beforeAutospacing="1" w:after="100" w:afterAutospacing="1" w:line="240" w:lineRule="auto"/>
    </w:pPr>
    <w:rPr>
      <w:rFonts w:ascii="Times New Roman" w:eastAsia="Times New Roman" w:hAnsi="Times New Roman" w:cs="Times New Roman"/>
      <w:color w:val="auto"/>
      <w:sz w:val="24"/>
      <w:szCs w:val="24"/>
      <w:lang w:val="en-AU" w:eastAsia="en-GB"/>
    </w:rPr>
  </w:style>
  <w:style w:type="character" w:customStyle="1" w:styleId="m-7785854949623126305gmail-frlabel">
    <w:name w:val="m_-7785854949623126305gmail-fr_label"/>
    <w:basedOn w:val="DefaultParagraphFont"/>
    <w:rsid w:val="00286A88"/>
  </w:style>
  <w:style w:type="character" w:customStyle="1" w:styleId="m-7785854949623126305gmail-hithilite">
    <w:name w:val="m_-7785854949623126305gmail-hithilite"/>
    <w:basedOn w:val="DefaultParagraphFont"/>
    <w:rsid w:val="00286A88"/>
  </w:style>
  <w:style w:type="paragraph" w:customStyle="1" w:styleId="m-7785854949623126305gmail-sourcetitle">
    <w:name w:val="m_-7785854949623126305gmail-sourcetitle"/>
    <w:basedOn w:val="Normal"/>
    <w:rsid w:val="00286A88"/>
    <w:pPr>
      <w:spacing w:before="100" w:beforeAutospacing="1" w:after="100" w:afterAutospacing="1" w:line="240" w:lineRule="auto"/>
    </w:pPr>
    <w:rPr>
      <w:rFonts w:ascii="Times New Roman" w:eastAsia="Times New Roman" w:hAnsi="Times New Roman" w:cs="Times New Roman"/>
      <w:color w:val="auto"/>
      <w:sz w:val="24"/>
      <w:szCs w:val="24"/>
      <w:lang w:val="en-AU" w:eastAsia="en-GB"/>
    </w:rPr>
  </w:style>
  <w:style w:type="paragraph" w:customStyle="1" w:styleId="simplepara">
    <w:name w:val="simplepara"/>
    <w:basedOn w:val="Normal"/>
    <w:rsid w:val="00286A88"/>
    <w:pPr>
      <w:spacing w:before="100" w:beforeAutospacing="1" w:after="100" w:afterAutospacing="1" w:line="240" w:lineRule="auto"/>
    </w:pPr>
    <w:rPr>
      <w:rFonts w:ascii="Times New Roman" w:eastAsia="Times New Roman" w:hAnsi="Times New Roman" w:cs="Times New Roman"/>
      <w:color w:val="auto"/>
      <w:sz w:val="24"/>
      <w:szCs w:val="24"/>
      <w:lang w:val="en-AU" w:eastAsia="en-GB"/>
    </w:rPr>
  </w:style>
  <w:style w:type="character" w:styleId="Strong">
    <w:name w:val="Strong"/>
    <w:basedOn w:val="DefaultParagraphFont"/>
    <w:uiPriority w:val="22"/>
    <w:qFormat/>
    <w:rsid w:val="00286A88"/>
    <w:rPr>
      <w:b/>
      <w:bCs/>
    </w:rPr>
  </w:style>
  <w:style w:type="character" w:customStyle="1" w:styleId="emphasistypebolditalic">
    <w:name w:val="emphasistypebolditalic"/>
    <w:basedOn w:val="DefaultParagraphFont"/>
    <w:rsid w:val="00286A88"/>
  </w:style>
  <w:style w:type="paragraph" w:styleId="Revision">
    <w:name w:val="Revision"/>
    <w:hidden/>
    <w:uiPriority w:val="99"/>
    <w:semiHidden/>
    <w:rsid w:val="00286A88"/>
    <w:rPr>
      <w:rFonts w:eastAsia="Times New Roman"/>
      <w:sz w:val="22"/>
      <w:szCs w:val="22"/>
      <w:lang w:val="en-AU" w:eastAsia="en-AU"/>
    </w:rPr>
  </w:style>
  <w:style w:type="character" w:customStyle="1" w:styleId="current-selection">
    <w:name w:val="current-selection"/>
    <w:basedOn w:val="DefaultParagraphFont"/>
    <w:rsid w:val="00286A88"/>
  </w:style>
  <w:style w:type="character" w:customStyle="1" w:styleId="a">
    <w:name w:val="_"/>
    <w:basedOn w:val="DefaultParagraphFont"/>
    <w:rsid w:val="00286A88"/>
  </w:style>
  <w:style w:type="character" w:customStyle="1" w:styleId="ff2">
    <w:name w:val="ff2"/>
    <w:basedOn w:val="DefaultParagraphFont"/>
    <w:rsid w:val="00286A88"/>
  </w:style>
  <w:style w:type="character" w:customStyle="1" w:styleId="enhanced-author">
    <w:name w:val="enhanced-author"/>
    <w:basedOn w:val="DefaultParagraphFont"/>
    <w:rsid w:val="00286A88"/>
  </w:style>
  <w:style w:type="character" w:customStyle="1" w:styleId="ff4">
    <w:name w:val="ff4"/>
    <w:basedOn w:val="DefaultParagraphFont"/>
    <w:rsid w:val="00286A88"/>
  </w:style>
  <w:style w:type="character" w:customStyle="1" w:styleId="ff1">
    <w:name w:val="ff1"/>
    <w:basedOn w:val="DefaultParagraphFont"/>
    <w:rsid w:val="00286A88"/>
  </w:style>
  <w:style w:type="character" w:customStyle="1" w:styleId="enhanced-reference">
    <w:name w:val="enhanced-reference"/>
    <w:basedOn w:val="DefaultParagraphFont"/>
    <w:rsid w:val="00286A88"/>
  </w:style>
  <w:style w:type="character" w:styleId="Emphasis">
    <w:name w:val="Emphasis"/>
    <w:basedOn w:val="DefaultParagraphFont"/>
    <w:uiPriority w:val="20"/>
    <w:qFormat/>
    <w:rsid w:val="00286A88"/>
    <w:rPr>
      <w:i/>
      <w:iCs/>
    </w:rPr>
  </w:style>
  <w:style w:type="character" w:customStyle="1" w:styleId="citationref">
    <w:name w:val="citationref"/>
    <w:basedOn w:val="DefaultParagraphFont"/>
    <w:rsid w:val="00286A88"/>
  </w:style>
  <w:style w:type="character" w:customStyle="1" w:styleId="index">
    <w:name w:val="index"/>
    <w:basedOn w:val="DefaultParagraphFont"/>
    <w:rsid w:val="00286A88"/>
  </w:style>
  <w:style w:type="character" w:customStyle="1" w:styleId="viewreferencelabels">
    <w:name w:val="viewreferencelabels"/>
    <w:basedOn w:val="DefaultParagraphFont"/>
    <w:rsid w:val="00286A88"/>
  </w:style>
  <w:style w:type="character" w:customStyle="1" w:styleId="authorsname">
    <w:name w:val="authors__name"/>
    <w:basedOn w:val="DefaultParagraphFont"/>
    <w:rsid w:val="00286A88"/>
  </w:style>
  <w:style w:type="character" w:customStyle="1" w:styleId="ff5">
    <w:name w:val="ff5"/>
    <w:basedOn w:val="DefaultParagraphFont"/>
    <w:rsid w:val="00286A88"/>
  </w:style>
  <w:style w:type="paragraph" w:customStyle="1" w:styleId="Default">
    <w:name w:val="Default"/>
    <w:rsid w:val="00286A88"/>
    <w:pPr>
      <w:autoSpaceDE w:val="0"/>
      <w:autoSpaceDN w:val="0"/>
      <w:adjustRightInd w:val="0"/>
    </w:pPr>
    <w:rPr>
      <w:rFonts w:ascii="Times New Roman" w:hAnsi="Times New Roman" w:cs="Times New Roman"/>
      <w:color w:val="000000"/>
      <w:lang w:val="en-GB"/>
    </w:rPr>
  </w:style>
  <w:style w:type="character" w:customStyle="1" w:styleId="A9">
    <w:name w:val="A9"/>
    <w:uiPriority w:val="99"/>
    <w:rsid w:val="00286A88"/>
    <w:rPr>
      <w:color w:val="000000"/>
      <w:sz w:val="16"/>
      <w:szCs w:val="16"/>
    </w:rPr>
  </w:style>
  <w:style w:type="character" w:customStyle="1" w:styleId="A4">
    <w:name w:val="A4"/>
    <w:uiPriority w:val="99"/>
    <w:rsid w:val="00286A88"/>
    <w:rPr>
      <w:color w:val="000000"/>
    </w:rPr>
  </w:style>
  <w:style w:type="character" w:customStyle="1" w:styleId="internalref">
    <w:name w:val="internalref"/>
    <w:basedOn w:val="DefaultParagraphFont"/>
    <w:rsid w:val="00286A88"/>
  </w:style>
  <w:style w:type="paragraph" w:customStyle="1" w:styleId="Title1">
    <w:name w:val="Title1"/>
    <w:basedOn w:val="Normal"/>
    <w:next w:val="Normal"/>
    <w:uiPriority w:val="10"/>
    <w:qFormat/>
    <w:rsid w:val="00286A88"/>
    <w:pPr>
      <w:pBdr>
        <w:bottom w:val="single" w:sz="8" w:space="4" w:color="4F81BD"/>
      </w:pBdr>
      <w:spacing w:after="300" w:line="240" w:lineRule="auto"/>
      <w:contextualSpacing/>
    </w:pPr>
    <w:rPr>
      <w:rFonts w:ascii="Cambria" w:eastAsia="Times New Roman" w:hAnsi="Cambria" w:cs="Times New Roman"/>
      <w:color w:val="17365D"/>
      <w:spacing w:val="5"/>
      <w:kern w:val="28"/>
      <w:sz w:val="52"/>
    </w:rPr>
  </w:style>
  <w:style w:type="character" w:customStyle="1" w:styleId="TitleChar">
    <w:name w:val="Title Char"/>
    <w:basedOn w:val="DefaultParagraphFont"/>
    <w:link w:val="Title"/>
    <w:uiPriority w:val="10"/>
    <w:rsid w:val="00286A88"/>
    <w:rPr>
      <w:rFonts w:ascii="Cambria" w:eastAsia="Times New Roman" w:hAnsi="Cambria" w:cs="Times New Roman"/>
      <w:color w:val="17365D"/>
      <w:spacing w:val="5"/>
      <w:kern w:val="28"/>
      <w:sz w:val="52"/>
      <w:szCs w:val="52"/>
      <w:lang w:val="en-US" w:eastAsia="en-US"/>
    </w:rPr>
  </w:style>
  <w:style w:type="paragraph" w:customStyle="1" w:styleId="Caption1">
    <w:name w:val="Caption1"/>
    <w:basedOn w:val="Normal"/>
    <w:next w:val="Normal"/>
    <w:uiPriority w:val="35"/>
    <w:unhideWhenUsed/>
    <w:qFormat/>
    <w:rsid w:val="00286A88"/>
    <w:pPr>
      <w:spacing w:after="200" w:line="240" w:lineRule="auto"/>
      <w:jc w:val="both"/>
    </w:pPr>
    <w:rPr>
      <w:rFonts w:ascii="Calibri" w:eastAsia="Times New Roman" w:hAnsi="Calibri" w:cs="Times New Roman"/>
      <w:b/>
      <w:bCs/>
      <w:color w:val="4F81BD"/>
      <w:szCs w:val="18"/>
    </w:rPr>
  </w:style>
  <w:style w:type="character" w:customStyle="1" w:styleId="highlight">
    <w:name w:val="highlight"/>
    <w:basedOn w:val="DefaultParagraphFont"/>
    <w:rsid w:val="00286A88"/>
  </w:style>
  <w:style w:type="character" w:customStyle="1" w:styleId="FollowedHyperlink1">
    <w:name w:val="FollowedHyperlink1"/>
    <w:basedOn w:val="DefaultParagraphFont"/>
    <w:uiPriority w:val="99"/>
    <w:semiHidden/>
    <w:unhideWhenUsed/>
    <w:rsid w:val="00286A88"/>
    <w:rPr>
      <w:color w:val="800080"/>
      <w:u w:val="single"/>
    </w:rPr>
  </w:style>
  <w:style w:type="paragraph" w:customStyle="1" w:styleId="ANMmaintext">
    <w:name w:val="ANM main text"/>
    <w:link w:val="ANMmaintextCarCar"/>
    <w:uiPriority w:val="99"/>
    <w:qFormat/>
    <w:rsid w:val="00286A88"/>
    <w:pPr>
      <w:spacing w:line="480" w:lineRule="auto"/>
    </w:pPr>
    <w:rPr>
      <w:rFonts w:ascii="Arial" w:eastAsia="Times New Roman" w:hAnsi="Arial" w:cs="Times New Roman"/>
      <w:lang w:val="en-GB" w:eastAsia="fr-FR"/>
    </w:rPr>
  </w:style>
  <w:style w:type="character" w:customStyle="1" w:styleId="ANMmaintextCarCar">
    <w:name w:val="ANM main text Car Car"/>
    <w:link w:val="ANMmaintext"/>
    <w:uiPriority w:val="99"/>
    <w:locked/>
    <w:rsid w:val="00286A88"/>
    <w:rPr>
      <w:rFonts w:ascii="Arial" w:eastAsia="Times New Roman" w:hAnsi="Arial" w:cs="Times New Roman"/>
      <w:lang w:val="en-GB" w:eastAsia="fr-FR"/>
    </w:rPr>
  </w:style>
  <w:style w:type="paragraph" w:styleId="PlainText">
    <w:name w:val="Plain Text"/>
    <w:basedOn w:val="Normal"/>
    <w:link w:val="PlainTextChar"/>
    <w:uiPriority w:val="99"/>
    <w:unhideWhenUsed/>
    <w:rsid w:val="00286A88"/>
    <w:pPr>
      <w:spacing w:after="0" w:line="240" w:lineRule="auto"/>
    </w:pPr>
    <w:rPr>
      <w:rFonts w:ascii="Consolas" w:eastAsia="Calibri" w:hAnsi="Consolas" w:cs="Times New Roman"/>
      <w:color w:val="auto"/>
      <w:sz w:val="21"/>
      <w:szCs w:val="21"/>
    </w:rPr>
  </w:style>
  <w:style w:type="character" w:customStyle="1" w:styleId="PlainTextChar">
    <w:name w:val="Plain Text Char"/>
    <w:basedOn w:val="DefaultParagraphFont"/>
    <w:link w:val="PlainText"/>
    <w:uiPriority w:val="99"/>
    <w:rsid w:val="00286A88"/>
    <w:rPr>
      <w:rFonts w:ascii="Consolas" w:eastAsia="Calibri" w:hAnsi="Consolas" w:cs="Times New Roman"/>
      <w:sz w:val="21"/>
      <w:szCs w:val="21"/>
    </w:rPr>
  </w:style>
  <w:style w:type="paragraph" w:customStyle="1" w:styleId="ANMReferences">
    <w:name w:val="ANM References"/>
    <w:basedOn w:val="ANMmaintext"/>
    <w:qFormat/>
    <w:rsid w:val="00286A88"/>
    <w:pPr>
      <w:ind w:left="567" w:hanging="567"/>
    </w:pPr>
    <w:rPr>
      <w:sz w:val="22"/>
    </w:rPr>
  </w:style>
  <w:style w:type="paragraph" w:customStyle="1" w:styleId="p">
    <w:name w:val="p"/>
    <w:basedOn w:val="Normal"/>
    <w:rsid w:val="00286A88"/>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numbering" w:customStyle="1" w:styleId="NoList11">
    <w:name w:val="No List11"/>
    <w:next w:val="NoList"/>
    <w:uiPriority w:val="99"/>
    <w:semiHidden/>
    <w:unhideWhenUsed/>
    <w:rsid w:val="00286A88"/>
  </w:style>
  <w:style w:type="table" w:customStyle="1" w:styleId="TableGrid11">
    <w:name w:val="Table Grid11"/>
    <w:basedOn w:val="TableNormal"/>
    <w:next w:val="TableGrid"/>
    <w:uiPriority w:val="39"/>
    <w:rsid w:val="00286A88"/>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86A88"/>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1">
    <w:name w:val="Heading 4 Char1"/>
    <w:basedOn w:val="DefaultParagraphFont"/>
    <w:uiPriority w:val="9"/>
    <w:semiHidden/>
    <w:rsid w:val="00286A88"/>
    <w:rPr>
      <w:rFonts w:asciiTheme="majorHAnsi" w:eastAsiaTheme="majorEastAsia" w:hAnsiTheme="majorHAnsi" w:cstheme="majorBidi"/>
      <w:b/>
      <w:bCs/>
      <w:i/>
      <w:iCs/>
      <w:color w:val="5B9BD5" w:themeColor="accent1"/>
      <w:sz w:val="18"/>
      <w:szCs w:val="52"/>
    </w:rPr>
  </w:style>
  <w:style w:type="character" w:customStyle="1" w:styleId="Heading5Char1">
    <w:name w:val="Heading 5 Char1"/>
    <w:basedOn w:val="DefaultParagraphFont"/>
    <w:uiPriority w:val="9"/>
    <w:semiHidden/>
    <w:rsid w:val="00286A88"/>
    <w:rPr>
      <w:rFonts w:asciiTheme="majorHAnsi" w:eastAsiaTheme="majorEastAsia" w:hAnsiTheme="majorHAnsi" w:cstheme="majorBidi"/>
      <w:color w:val="1F4D78" w:themeColor="accent1" w:themeShade="7F"/>
      <w:sz w:val="18"/>
      <w:szCs w:val="52"/>
    </w:rPr>
  </w:style>
  <w:style w:type="paragraph" w:styleId="Title">
    <w:name w:val="Title"/>
    <w:basedOn w:val="Normal"/>
    <w:next w:val="Normal"/>
    <w:link w:val="TitleChar"/>
    <w:uiPriority w:val="10"/>
    <w:qFormat/>
    <w:rsid w:val="00286A88"/>
    <w:pPr>
      <w:pBdr>
        <w:bottom w:val="single" w:sz="8" w:space="4" w:color="5B9BD5" w:themeColor="accent1"/>
      </w:pBdr>
      <w:spacing w:after="300" w:line="240" w:lineRule="auto"/>
      <w:contextualSpacing/>
    </w:pPr>
    <w:rPr>
      <w:rFonts w:ascii="Cambria" w:eastAsia="Times New Roman" w:hAnsi="Cambria" w:cs="Times New Roman"/>
      <w:color w:val="17365D"/>
      <w:spacing w:val="5"/>
      <w:kern w:val="28"/>
      <w:sz w:val="52"/>
    </w:rPr>
  </w:style>
  <w:style w:type="character" w:customStyle="1" w:styleId="TitleChar1">
    <w:name w:val="Title Char1"/>
    <w:basedOn w:val="DefaultParagraphFont"/>
    <w:uiPriority w:val="10"/>
    <w:rsid w:val="00286A88"/>
    <w:rPr>
      <w:rFonts w:asciiTheme="majorHAnsi" w:eastAsiaTheme="majorEastAsia" w:hAnsiTheme="majorHAnsi" w:cstheme="majorBidi"/>
      <w:color w:val="323E4F" w:themeColor="text2" w:themeShade="BF"/>
      <w:spacing w:val="5"/>
      <w:kern w:val="28"/>
      <w:sz w:val="52"/>
      <w:szCs w:val="52"/>
    </w:rPr>
  </w:style>
  <w:style w:type="character" w:styleId="FollowedHyperlink">
    <w:name w:val="FollowedHyperlink"/>
    <w:basedOn w:val="DefaultParagraphFont"/>
    <w:uiPriority w:val="99"/>
    <w:semiHidden/>
    <w:unhideWhenUsed/>
    <w:rsid w:val="00286A88"/>
    <w:rPr>
      <w:color w:val="954F72" w:themeColor="followedHyperlink"/>
      <w:u w:val="single"/>
    </w:rPr>
  </w:style>
  <w:style w:type="table" w:customStyle="1" w:styleId="TableGrid3">
    <w:name w:val="Table Grid3"/>
    <w:basedOn w:val="TableNormal"/>
    <w:next w:val="TableGrid"/>
    <w:uiPriority w:val="59"/>
    <w:rsid w:val="007804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F725E"/>
    <w:rPr>
      <w:rFonts w:ascii="Arial" w:hAnsi="Arial" w:cs="VIC-SemiBold"/>
      <w:color w:val="000000" w:themeColor="text1"/>
      <w:sz w:val="18"/>
      <w:szCs w:val="52"/>
    </w:rPr>
  </w:style>
  <w:style w:type="character" w:styleId="BookTitle">
    <w:name w:val="Book Title"/>
    <w:basedOn w:val="DefaultParagraphFont"/>
    <w:uiPriority w:val="33"/>
    <w:qFormat/>
    <w:rsid w:val="00515938"/>
    <w:rPr>
      <w:b/>
      <w:bCs/>
      <w:smallCaps/>
      <w:spacing w:val="5"/>
    </w:rPr>
  </w:style>
  <w:style w:type="paragraph" w:styleId="TOCHeading">
    <w:name w:val="TOC Heading"/>
    <w:basedOn w:val="Heading1"/>
    <w:next w:val="Normal"/>
    <w:uiPriority w:val="39"/>
    <w:semiHidden/>
    <w:unhideWhenUsed/>
    <w:qFormat/>
    <w:rsid w:val="00573A4A"/>
    <w:pPr>
      <w:keepNext/>
      <w:keepLines/>
      <w:spacing w:before="480" w:after="0" w:line="276" w:lineRule="auto"/>
      <w:outlineLvl w:val="9"/>
    </w:pPr>
    <w:rPr>
      <w:rFonts w:asciiTheme="majorHAnsi" w:eastAsiaTheme="majorEastAsia" w:hAnsiTheme="majorHAnsi" w:cstheme="majorBidi"/>
      <w:caps w:val="0"/>
      <w:color w:val="2E74B5" w:themeColor="accent1" w:themeShade="BF"/>
      <w:szCs w:val="28"/>
      <w:lang w:eastAsia="ja-JP"/>
    </w:rPr>
  </w:style>
  <w:style w:type="paragraph" w:customStyle="1" w:styleId="Standard">
    <w:name w:val="Standard"/>
    <w:rsid w:val="00BB4964"/>
    <w:pPr>
      <w:suppressAutoHyphens/>
      <w:autoSpaceDN w:val="0"/>
      <w:spacing w:after="160" w:line="259" w:lineRule="auto"/>
      <w:textAlignment w:val="baseline"/>
    </w:pPr>
    <w:rPr>
      <w:rFonts w:ascii="Calibri" w:eastAsia="SimSun" w:hAnsi="Calibri" w:cs="Calibri"/>
      <w:kern w:val="3"/>
      <w:sz w:val="22"/>
      <w:szCs w:val="22"/>
      <w:lang w:val="en-GB"/>
    </w:rPr>
  </w:style>
  <w:style w:type="character" w:customStyle="1" w:styleId="authors">
    <w:name w:val="authors"/>
    <w:basedOn w:val="DefaultParagraphFont"/>
    <w:rsid w:val="003646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microsoft.com/office/2007/relationships/diagramDrawing" Target="diagrams/drawing1.xml"/><Relationship Id="rId39" Type="http://schemas.openxmlformats.org/officeDocument/2006/relationships/hyperlink" Target="http://www.featherwel.org/" TargetMode="External"/><Relationship Id="rId21" Type="http://schemas.openxmlformats.org/officeDocument/2006/relationships/image" Target="media/image6.png"/><Relationship Id="rId34" Type="http://schemas.openxmlformats.org/officeDocument/2006/relationships/hyperlink" Target="http://www.laywel.eu/" TargetMode="External"/><Relationship Id="rId42" Type="http://schemas.openxmlformats.org/officeDocument/2006/relationships/hyperlink" Target="http://uepcertified.com/united-egg-producers-statement-eliminating-male-chick-culling/" TargetMode="External"/><Relationship Id="rId47" Type="http://schemas.openxmlformats.org/officeDocument/2006/relationships/hyperlink" Target="https://ec.europa.eu/food/sites/food/files/animals/aw_arch/2008_laying_hens_specific%20_study-en.pdf" TargetMode="External"/><Relationship Id="rId50" Type="http://schemas.openxmlformats.org/officeDocument/2006/relationships/hyperlink" Target="http://www.laywel.eu/" TargetMode="External"/><Relationship Id="rId55" Type="http://schemas.openxmlformats.org/officeDocument/2006/relationships/image" Target="media/image16.png"/><Relationship Id="rId63" Type="http://schemas.openxmlformats.org/officeDocument/2006/relationships/hyperlink" Target="http://www.fao.org/docrep/013/al720e/al720e00.pdf" TargetMode="External"/><Relationship Id="rId68" Type="http://schemas.openxmlformats.org/officeDocument/2006/relationships/hyperlink" Target="http://www.welfarequalitynetwork.net/downloadattachment/45627/21652/Poultry%20Protocol.pdf" TargetMode="External"/><Relationship Id="rId76" Type="http://schemas.openxmlformats.org/officeDocument/2006/relationships/hyperlink" Target="http://www.hsa.org.uk/" TargetMode="External"/><Relationship Id="rId84" Type="http://schemas.openxmlformats.org/officeDocument/2006/relationships/image" Target="media/image26.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yperlink" Target="http://www.agriculture.vic.gov.au/" TargetMode="External"/><Relationship Id="rId29" Type="http://schemas.openxmlformats.org/officeDocument/2006/relationships/image" Target="media/image8.png"/><Relationship Id="rId11" Type="http://schemas.openxmlformats.org/officeDocument/2006/relationships/footer" Target="footer1.xml"/><Relationship Id="rId24" Type="http://schemas.openxmlformats.org/officeDocument/2006/relationships/diagramQuickStyle" Target="diagrams/quickStyle1.xml"/><Relationship Id="rId32" Type="http://schemas.openxmlformats.org/officeDocument/2006/relationships/hyperlink" Target="http://www.laywel.eu/" TargetMode="External"/><Relationship Id="rId37" Type="http://schemas.openxmlformats.org/officeDocument/2006/relationships/image" Target="media/image12.emf"/><Relationship Id="rId40" Type="http://schemas.openxmlformats.org/officeDocument/2006/relationships/hyperlink" Target="http://www.britisheggindustrycouncil.co.uk/download/LCoPV7.pdf" TargetMode="External"/><Relationship Id="rId45" Type="http://schemas.openxmlformats.org/officeDocument/2006/relationships/hyperlink" Target="http://www.abs.gov.au/AUSSTATS/abs@.nsf/DetailsPage/7121.02015-16?OpenDocument" TargetMode="External"/><Relationship Id="rId53" Type="http://schemas.openxmlformats.org/officeDocument/2006/relationships/image" Target="media/image14.png"/><Relationship Id="rId58" Type="http://schemas.openxmlformats.org/officeDocument/2006/relationships/hyperlink" Target="http://www.abs.gov.au/ausstats/abs@.nsf/Lookup/7121.0main+features82012-2013" TargetMode="External"/><Relationship Id="rId66" Type="http://schemas.openxmlformats.org/officeDocument/2006/relationships/hyperlink" Target="http://www.efsa.europa.eu/" TargetMode="External"/><Relationship Id="rId74" Type="http://schemas.openxmlformats.org/officeDocument/2006/relationships/hyperlink" Target="http://www.world-ostrich.org/targets.htm" TargetMode="External"/><Relationship Id="rId79" Type="http://schemas.openxmlformats.org/officeDocument/2006/relationships/image" Target="media/image23.png"/><Relationship Id="rId87" Type="http://schemas.openxmlformats.org/officeDocument/2006/relationships/hyperlink" Target="http://www.hsa.org.uk/downloads/technical-notes/TN9-mechanical-destruction.pdf" TargetMode="External"/><Relationship Id="rId5" Type="http://schemas.openxmlformats.org/officeDocument/2006/relationships/webSettings" Target="webSettings.xml"/><Relationship Id="rId61" Type="http://schemas.openxmlformats.org/officeDocument/2006/relationships/hyperlink" Target="http://www.abs.gov.au/AUSSTATS/abs@.nsf/DetailsPage/7215.0Mar%202017?OpenDocument" TargetMode="External"/><Relationship Id="rId82" Type="http://schemas.openxmlformats.org/officeDocument/2006/relationships/hyperlink" Target="http://www.topkip.com/" TargetMode="External"/><Relationship Id="rId90" Type="http://schemas.openxmlformats.org/officeDocument/2006/relationships/theme" Target="theme/theme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diagramData" Target="diagrams/data1.xml"/><Relationship Id="rId27" Type="http://schemas.openxmlformats.org/officeDocument/2006/relationships/hyperlink" Target="http://en.aviagen.com/assets/Tech_Center/Ross_Broiler/Ross-308-Broiler-PO-2014-EN.pdf" TargetMode="External"/><Relationship Id="rId30" Type="http://schemas.openxmlformats.org/officeDocument/2006/relationships/hyperlink" Target="http://www.laywel.eu/" TargetMode="External"/><Relationship Id="rId35" Type="http://schemas.openxmlformats.org/officeDocument/2006/relationships/image" Target="media/image11.png"/><Relationship Id="rId43" Type="http://schemas.openxmlformats.org/officeDocument/2006/relationships/hyperlink" Target="http://www.abs.gov.au/AUSSTATS/abs@.nsf/DetailsPage/7121.02013-14?OpenDocument" TargetMode="External"/><Relationship Id="rId48" Type="http://schemas.openxmlformats.org/officeDocument/2006/relationships/hyperlink" Target="http://randd.defra.gov.uk/Default.aspx?Menu=Menu&amp;Module=More&amp;Location=None&amp;Completed=0&amp;ProjectID=18160" TargetMode="External"/><Relationship Id="rId56" Type="http://schemas.openxmlformats.org/officeDocument/2006/relationships/image" Target="media/image17.png"/><Relationship Id="rId64" Type="http://schemas.openxmlformats.org/officeDocument/2006/relationships/hyperlink" Target="http://www.welfarequalitynetwork.net/downloadattachment/45627/21652/Poultry%20Protocol.pdf" TargetMode="External"/><Relationship Id="rId69" Type="http://schemas.openxmlformats.org/officeDocument/2006/relationships/hyperlink" Target="https://www.hybridturkeys.com/en/" TargetMode="External"/><Relationship Id="rId77" Type="http://schemas.openxmlformats.org/officeDocument/2006/relationships/image" Target="media/image21.png"/><Relationship Id="rId8" Type="http://schemas.openxmlformats.org/officeDocument/2006/relationships/image" Target="media/image1.png"/><Relationship Id="rId51" Type="http://schemas.openxmlformats.org/officeDocument/2006/relationships/hyperlink" Target="http://www.fao.org/faostat/en/" TargetMode="External"/><Relationship Id="rId72" Type="http://schemas.openxmlformats.org/officeDocument/2006/relationships/hyperlink" Target="http://www.gwct.org.uk/" TargetMode="External"/><Relationship Id="rId80" Type="http://schemas.openxmlformats.org/officeDocument/2006/relationships/image" Target="media/image24.png"/><Relationship Id="rId85" Type="http://schemas.openxmlformats.org/officeDocument/2006/relationships/hyperlink" Target="http://www.euwelnet.eu/euwelnet/53430/7/0/80"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diagramColors" Target="diagrams/colors1.xml"/><Relationship Id="rId33" Type="http://schemas.openxmlformats.org/officeDocument/2006/relationships/image" Target="media/image10.jpeg"/><Relationship Id="rId38" Type="http://schemas.openxmlformats.org/officeDocument/2006/relationships/image" Target="media/image13.png"/><Relationship Id="rId46" Type="http://schemas.openxmlformats.org/officeDocument/2006/relationships/hyperlink" Target="http://www.abs.gov.au/AUSSTATS/abs@.nsf/Lookup/7503.0Main+Features12015-16?OpenDocument" TargetMode="External"/><Relationship Id="rId59" Type="http://schemas.openxmlformats.org/officeDocument/2006/relationships/hyperlink" Target="http://www.abs.gov.au/AUSSTATS/abs@.nsf/DetailsPage/7121.02015-16?OpenDocument" TargetMode="External"/><Relationship Id="rId67" Type="http://schemas.openxmlformats.org/officeDocument/2006/relationships/hyperlink" Target="http://edepot.wur.nl/172544" TargetMode="External"/><Relationship Id="rId20" Type="http://schemas.openxmlformats.org/officeDocument/2006/relationships/image" Target="media/image5.png"/><Relationship Id="rId41" Type="http://schemas.openxmlformats.org/officeDocument/2006/relationships/hyperlink" Target="http://www.featherwel.org/" TargetMode="External"/><Relationship Id="rId54" Type="http://schemas.openxmlformats.org/officeDocument/2006/relationships/image" Target="media/image15.png"/><Relationship Id="rId62" Type="http://schemas.openxmlformats.org/officeDocument/2006/relationships/hyperlink" Target="http://www.efsa.europa.eu/publications" TargetMode="External"/><Relationship Id="rId70" Type="http://schemas.openxmlformats.org/officeDocument/2006/relationships/image" Target="media/image19.jpeg"/><Relationship Id="rId75" Type="http://schemas.openxmlformats.org/officeDocument/2006/relationships/hyperlink" Target="http://www.coe.int/t/e/legal_affairs/legal_co-operation/biological_safety_and_use_of_animals/farming/Rec%20ratites%20E.asp" TargetMode="External"/><Relationship Id="rId83" Type="http://schemas.openxmlformats.org/officeDocument/2006/relationships/hyperlink" Target="http://www.dutchvisionsolutions.com/" TargetMode="External"/><Relationship Id="rId88" Type="http://schemas.openxmlformats.org/officeDocument/2006/relationships/hyperlink" Target="http://avianmedicine.net/content/uploads/2013/03/08_pain_management.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ixabay.com/" TargetMode="External"/><Relationship Id="rId23" Type="http://schemas.openxmlformats.org/officeDocument/2006/relationships/diagramLayout" Target="diagrams/layout1.xml"/><Relationship Id="rId28" Type="http://schemas.openxmlformats.org/officeDocument/2006/relationships/image" Target="media/image7.png"/><Relationship Id="rId36" Type="http://schemas.openxmlformats.org/officeDocument/2006/relationships/hyperlink" Target="http://www.laywel.eu/" TargetMode="External"/><Relationship Id="rId49" Type="http://schemas.openxmlformats.org/officeDocument/2006/relationships/hyperlink" Target="http://www.gov.uk/government/uploads/system/uploads/attachment_data/file/618920/ai-birdflu-factsheet-170614.pdf" TargetMode="External"/><Relationship Id="rId57" Type="http://schemas.openxmlformats.org/officeDocument/2006/relationships/hyperlink" Target="http://eu.aviagen.com/" TargetMode="External"/><Relationship Id="rId10" Type="http://schemas.openxmlformats.org/officeDocument/2006/relationships/header" Target="header2.xml"/><Relationship Id="rId31" Type="http://schemas.openxmlformats.org/officeDocument/2006/relationships/image" Target="media/image9.jpeg"/><Relationship Id="rId44" Type="http://schemas.openxmlformats.org/officeDocument/2006/relationships/hyperlink" Target="http://www.abs.gov.au/AUSSTATS/abs@.nsf/DetailsPage/7121.02014-15?OpenDocument" TargetMode="External"/><Relationship Id="rId52" Type="http://schemas.openxmlformats.org/officeDocument/2006/relationships/hyperlink" Target="http://en.aviagen.com/assets/Tech_Center/Ross_Broiler/Ross-Broiler-Handbook-2014i-EN.pdf" TargetMode="External"/><Relationship Id="rId60" Type="http://schemas.openxmlformats.org/officeDocument/2006/relationships/hyperlink" Target="http://www.abs.gov.au/AUSSTATS/abs@.nsf/Lookup/7503.0Main+Features12015-16?OpenDocument" TargetMode="External"/><Relationship Id="rId65" Type="http://schemas.openxmlformats.org/officeDocument/2006/relationships/image" Target="media/image18.png"/><Relationship Id="rId73" Type="http://schemas.openxmlformats.org/officeDocument/2006/relationships/hyperlink" Target="http://www.abc.net.au/news/rural/2014-09-10/nrn-squab/5730492" TargetMode="External"/><Relationship Id="rId78" Type="http://schemas.openxmlformats.org/officeDocument/2006/relationships/image" Target="media/image22.png"/><Relationship Id="rId81" Type="http://schemas.openxmlformats.org/officeDocument/2006/relationships/image" Target="media/image25.png"/><Relationship Id="rId86" Type="http://schemas.openxmlformats.org/officeDocument/2006/relationships/hyperlink" Target="http://www.gov.uk/government/uploads/system/uploads/attachment_data/file/324999/FAWC_advice_on_LINCO_gas_stunning_system_for_poultry.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E9AD9F-B668-428D-AD45-5DB53B8DC5EB}"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GB"/>
        </a:p>
      </dgm:t>
    </dgm:pt>
    <dgm:pt modelId="{FF8A22A8-1ADD-4474-8864-D430DEB6BFEE}">
      <dgm:prSet phldrT="[Text]"/>
      <dgm:spPr>
        <a:xfrm>
          <a:off x="482547" y="2044623"/>
          <a:ext cx="747782" cy="3738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Birds</a:t>
          </a:r>
        </a:p>
      </dgm:t>
    </dgm:pt>
    <dgm:pt modelId="{4B7FC1E9-8146-46E0-A90C-962C2B917AE8}" type="parTrans" cxnId="{DD344AA6-E7C0-40A6-AB42-47457FDE2BAF}">
      <dgm:prSet/>
      <dgm:spPr/>
      <dgm:t>
        <a:bodyPr/>
        <a:lstStyle/>
        <a:p>
          <a:endParaRPr lang="en-GB"/>
        </a:p>
      </dgm:t>
    </dgm:pt>
    <dgm:pt modelId="{79AB8AF5-3F24-49BF-BCB6-467410CA6DBE}" type="sibTrans" cxnId="{DD344AA6-E7C0-40A6-AB42-47457FDE2BAF}">
      <dgm:prSet/>
      <dgm:spPr/>
      <dgm:t>
        <a:bodyPr/>
        <a:lstStyle/>
        <a:p>
          <a:endParaRPr lang="en-GB"/>
        </a:p>
      </dgm:t>
    </dgm:pt>
    <dgm:pt modelId="{AFD34D67-5470-42AC-AB06-AC1D65B7A418}">
      <dgm:prSet phldrT="[Text]"/>
      <dgm:spPr>
        <a:xfrm>
          <a:off x="1529442" y="217230"/>
          <a:ext cx="747782" cy="3738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Paleognathae</a:t>
          </a:r>
        </a:p>
      </dgm:t>
    </dgm:pt>
    <dgm:pt modelId="{F11C790A-42DD-4F8A-B336-594617DF524D}" type="parTrans" cxnId="{C68611D6-2D5F-4479-B63F-6BAD0B6EECC2}">
      <dgm:prSet/>
      <dgm:spPr>
        <a:xfrm rot="16757754">
          <a:off x="454030" y="1309951"/>
          <a:ext cx="1851710" cy="15842"/>
        </a:xfrm>
        <a:custGeom>
          <a:avLst/>
          <a:gdLst/>
          <a:ahLst/>
          <a:cxnLst/>
          <a:rect l="0" t="0" r="0" b="0"/>
          <a:pathLst>
            <a:path>
              <a:moveTo>
                <a:pt x="0" y="7921"/>
              </a:moveTo>
              <a:lnTo>
                <a:pt x="1851710" y="7921"/>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E71050C0-D392-4BE2-A1CE-AB69201190B7}" type="sibTrans" cxnId="{C68611D6-2D5F-4479-B63F-6BAD0B6EECC2}">
      <dgm:prSet/>
      <dgm:spPr/>
      <dgm:t>
        <a:bodyPr/>
        <a:lstStyle/>
        <a:p>
          <a:endParaRPr lang="en-GB"/>
        </a:p>
      </dgm:t>
    </dgm:pt>
    <dgm:pt modelId="{10EEE459-0CF3-4DD5-A3A5-F85EE672CB1F}">
      <dgm:prSet phldrT="[Text]"/>
      <dgm:spPr>
        <a:xfrm>
          <a:off x="2576337" y="2242"/>
          <a:ext cx="747782" cy="3738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Ostrich</a:t>
          </a:r>
        </a:p>
      </dgm:t>
    </dgm:pt>
    <dgm:pt modelId="{D7B91717-FC25-4FCA-B803-F32FA1DAA593}" type="parTrans" cxnId="{E9D6ABDF-8901-46F8-BF05-259D7E3CD813}">
      <dgm:prSet/>
      <dgm:spPr>
        <a:xfrm rot="19457599">
          <a:off x="2242602" y="288760"/>
          <a:ext cx="368358" cy="15842"/>
        </a:xfrm>
        <a:custGeom>
          <a:avLst/>
          <a:gdLst/>
          <a:ahLst/>
          <a:cxnLst/>
          <a:rect l="0" t="0" r="0" b="0"/>
          <a:pathLst>
            <a:path>
              <a:moveTo>
                <a:pt x="0" y="7921"/>
              </a:moveTo>
              <a:lnTo>
                <a:pt x="368358" y="792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9B4F425E-EA25-432D-ABE2-3E3EE80D608D}" type="sibTrans" cxnId="{E9D6ABDF-8901-46F8-BF05-259D7E3CD813}">
      <dgm:prSet/>
      <dgm:spPr/>
      <dgm:t>
        <a:bodyPr/>
        <a:lstStyle/>
        <a:p>
          <a:endParaRPr lang="en-GB"/>
        </a:p>
      </dgm:t>
    </dgm:pt>
    <dgm:pt modelId="{810C7F12-548D-43F4-A2F6-BDEA2C949DE3}">
      <dgm:prSet phldrT="[Text]"/>
      <dgm:spPr>
        <a:xfrm>
          <a:off x="2576337" y="432217"/>
          <a:ext cx="747782" cy="3738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Emu</a:t>
          </a:r>
        </a:p>
      </dgm:t>
    </dgm:pt>
    <dgm:pt modelId="{8A91D3EB-9F7F-4CD5-9A0A-337858BC96AA}" type="parTrans" cxnId="{935A7C9A-4FDA-4183-9B49-B0E2EB5AAD19}">
      <dgm:prSet/>
      <dgm:spPr>
        <a:xfrm rot="2142401">
          <a:off x="2242602" y="503748"/>
          <a:ext cx="368358" cy="15842"/>
        </a:xfrm>
        <a:custGeom>
          <a:avLst/>
          <a:gdLst/>
          <a:ahLst/>
          <a:cxnLst/>
          <a:rect l="0" t="0" r="0" b="0"/>
          <a:pathLst>
            <a:path>
              <a:moveTo>
                <a:pt x="0" y="7921"/>
              </a:moveTo>
              <a:lnTo>
                <a:pt x="368358" y="792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4EF0013E-6C9B-4379-8825-90E1F757BB70}" type="sibTrans" cxnId="{935A7C9A-4FDA-4183-9B49-B0E2EB5AAD19}">
      <dgm:prSet/>
      <dgm:spPr/>
      <dgm:t>
        <a:bodyPr/>
        <a:lstStyle/>
        <a:p>
          <a:endParaRPr lang="en-GB"/>
        </a:p>
      </dgm:t>
    </dgm:pt>
    <dgm:pt modelId="{7218EFC1-7520-4312-8CB3-75E2FC8D70E0}">
      <dgm:prSet phldrT="[Text]"/>
      <dgm:spPr>
        <a:xfrm>
          <a:off x="1529442" y="2474597"/>
          <a:ext cx="747782" cy="3738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Galloanserae</a:t>
          </a:r>
        </a:p>
      </dgm:t>
    </dgm:pt>
    <dgm:pt modelId="{2130AC78-E15E-47D1-AA79-A4B7122DC002}" type="parTrans" cxnId="{EA127E8C-E06B-41E0-B97C-AAA7340B005B}">
      <dgm:prSet/>
      <dgm:spPr>
        <a:xfrm rot="3310531">
          <a:off x="1117995" y="2438634"/>
          <a:ext cx="523781" cy="15842"/>
        </a:xfrm>
        <a:custGeom>
          <a:avLst/>
          <a:gdLst/>
          <a:ahLst/>
          <a:cxnLst/>
          <a:rect l="0" t="0" r="0" b="0"/>
          <a:pathLst>
            <a:path>
              <a:moveTo>
                <a:pt x="0" y="7921"/>
              </a:moveTo>
              <a:lnTo>
                <a:pt x="523781" y="7921"/>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A50AA0BA-4BCF-4571-9CF4-627E6C54A0B4}" type="sibTrans" cxnId="{EA127E8C-E06B-41E0-B97C-AAA7340B005B}">
      <dgm:prSet/>
      <dgm:spPr/>
      <dgm:t>
        <a:bodyPr/>
        <a:lstStyle/>
        <a:p>
          <a:endParaRPr lang="en-GB"/>
        </a:p>
      </dgm:t>
    </dgm:pt>
    <dgm:pt modelId="{64B2BE6F-2415-4F15-B5D9-97A46F97A8DE}">
      <dgm:prSet phldrT="[Text]"/>
      <dgm:spPr>
        <a:xfrm>
          <a:off x="2601179" y="1233563"/>
          <a:ext cx="747782" cy="3738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Galliformes</a:t>
          </a:r>
        </a:p>
        <a:p>
          <a:r>
            <a:rPr lang="en-GB">
              <a:solidFill>
                <a:sysClr val="window" lastClr="FFFFFF"/>
              </a:solidFill>
              <a:latin typeface="Calibri"/>
              <a:ea typeface="+mn-ea"/>
              <a:cs typeface="+mn-cs"/>
            </a:rPr>
            <a:t>(290  gamebird species)</a:t>
          </a:r>
        </a:p>
      </dgm:t>
    </dgm:pt>
    <dgm:pt modelId="{D922046E-18BC-43A7-A721-EEBF4131D9F0}" type="parTrans" cxnId="{A1BB2634-6138-4CF9-AA9E-2409D487DCEF}">
      <dgm:prSet/>
      <dgm:spPr>
        <a:xfrm rot="17077787">
          <a:off x="1797892" y="2033105"/>
          <a:ext cx="1282619" cy="15842"/>
        </a:xfrm>
        <a:custGeom>
          <a:avLst/>
          <a:gdLst/>
          <a:ahLst/>
          <a:cxnLst/>
          <a:rect l="0" t="0" r="0" b="0"/>
          <a:pathLst>
            <a:path>
              <a:moveTo>
                <a:pt x="0" y="7921"/>
              </a:moveTo>
              <a:lnTo>
                <a:pt x="1282619" y="792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406B1A11-EF74-482A-91E4-D8C23CAF3E25}" type="sibTrans" cxnId="{A1BB2634-6138-4CF9-AA9E-2409D487DCEF}">
      <dgm:prSet/>
      <dgm:spPr/>
      <dgm:t>
        <a:bodyPr/>
        <a:lstStyle/>
        <a:p>
          <a:endParaRPr lang="en-GB"/>
        </a:p>
      </dgm:t>
    </dgm:pt>
    <dgm:pt modelId="{BFF6B18B-BB8A-42CA-9E5C-3168182C5262}">
      <dgm:prSet/>
      <dgm:spPr>
        <a:xfrm>
          <a:off x="3623233" y="862192"/>
          <a:ext cx="747782" cy="3738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Turkey</a:t>
          </a:r>
        </a:p>
      </dgm:t>
    </dgm:pt>
    <dgm:pt modelId="{DEEF5979-C0BA-4CAC-8045-6E34F98168F4}" type="parTrans" cxnId="{C576B05B-C988-415C-AC9E-62988B5A984D}">
      <dgm:prSet/>
      <dgm:spPr>
        <a:xfrm rot="18386836">
          <a:off x="3255261" y="1226902"/>
          <a:ext cx="461672" cy="15842"/>
        </a:xfrm>
        <a:custGeom>
          <a:avLst/>
          <a:gdLst/>
          <a:ahLst/>
          <a:cxnLst/>
          <a:rect l="0" t="0" r="0" b="0"/>
          <a:pathLst>
            <a:path>
              <a:moveTo>
                <a:pt x="0" y="7921"/>
              </a:moveTo>
              <a:lnTo>
                <a:pt x="461672" y="792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82B1F485-C54C-4A99-B2AD-FD3ACB53A2E1}" type="sibTrans" cxnId="{C576B05B-C988-415C-AC9E-62988B5A984D}">
      <dgm:prSet/>
      <dgm:spPr/>
      <dgm:t>
        <a:bodyPr/>
        <a:lstStyle/>
        <a:p>
          <a:endParaRPr lang="en-GB"/>
        </a:p>
      </dgm:t>
    </dgm:pt>
    <dgm:pt modelId="{0CAF0C12-8F52-411D-848B-A89938206C9E}">
      <dgm:prSet/>
      <dgm:spPr>
        <a:xfrm>
          <a:off x="2576337" y="3182291"/>
          <a:ext cx="747782" cy="3738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Anseriformes</a:t>
          </a:r>
        </a:p>
      </dgm:t>
    </dgm:pt>
    <dgm:pt modelId="{8811EB32-DA93-4D89-B4F5-66DCA1217F06}" type="parTrans" cxnId="{41C13B4F-2E6B-43BB-AD02-253629FD29E4}">
      <dgm:prSet/>
      <dgm:spPr>
        <a:xfrm rot="4025294">
          <a:off x="2042626" y="3007469"/>
          <a:ext cx="768309" cy="15842"/>
        </a:xfrm>
        <a:custGeom>
          <a:avLst/>
          <a:gdLst/>
          <a:ahLst/>
          <a:cxnLst/>
          <a:rect l="0" t="0" r="0" b="0"/>
          <a:pathLst>
            <a:path>
              <a:moveTo>
                <a:pt x="0" y="7921"/>
              </a:moveTo>
              <a:lnTo>
                <a:pt x="768309" y="792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6F4C56CC-DB71-4D4C-8F3E-BB781405CECC}" type="sibTrans" cxnId="{41C13B4F-2E6B-43BB-AD02-253629FD29E4}">
      <dgm:prSet/>
      <dgm:spPr/>
      <dgm:t>
        <a:bodyPr/>
        <a:lstStyle/>
        <a:p>
          <a:endParaRPr lang="en-GB"/>
        </a:p>
      </dgm:t>
    </dgm:pt>
    <dgm:pt modelId="{44348285-14C7-4AE2-BC0D-EAE0A6C500FA}">
      <dgm:prSet/>
      <dgm:spPr>
        <a:xfrm>
          <a:off x="3656359" y="3003784"/>
          <a:ext cx="747782" cy="3738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Duck</a:t>
          </a:r>
        </a:p>
      </dgm:t>
    </dgm:pt>
    <dgm:pt modelId="{DEBF26B6-EDDE-4EE7-BE1F-C35ECE211CA3}" type="parTrans" cxnId="{DFFCB892-3D0B-4B88-970A-EDFB5C3393B2}">
      <dgm:prSet/>
      <dgm:spPr>
        <a:xfrm rot="19905096">
          <a:off x="3301661" y="3272062"/>
          <a:ext cx="377157" cy="15842"/>
        </a:xfrm>
        <a:custGeom>
          <a:avLst/>
          <a:gdLst/>
          <a:ahLst/>
          <a:cxnLst/>
          <a:rect l="0" t="0" r="0" b="0"/>
          <a:pathLst>
            <a:path>
              <a:moveTo>
                <a:pt x="0" y="7921"/>
              </a:moveTo>
              <a:lnTo>
                <a:pt x="377157" y="792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D1C4BAE4-555F-4732-BB54-3EBE6758BB60}" type="sibTrans" cxnId="{DFFCB892-3D0B-4B88-970A-EDFB5C3393B2}">
      <dgm:prSet/>
      <dgm:spPr/>
      <dgm:t>
        <a:bodyPr/>
        <a:lstStyle/>
        <a:p>
          <a:endParaRPr lang="en-GB"/>
        </a:p>
      </dgm:t>
    </dgm:pt>
    <dgm:pt modelId="{0A906B13-9A9A-4B76-A57F-8CF2382BA38F}">
      <dgm:prSet/>
      <dgm:spPr>
        <a:xfrm>
          <a:off x="1529442" y="3872016"/>
          <a:ext cx="747782" cy="3738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Neoaves</a:t>
          </a:r>
        </a:p>
      </dgm:t>
    </dgm:pt>
    <dgm:pt modelId="{339DA263-4685-4E8F-B741-D8768B0F7F10}" type="parTrans" cxnId="{EFB7A890-0486-43A2-AF79-0D8015C0A687}">
      <dgm:prSet/>
      <dgm:spPr>
        <a:xfrm rot="4842246">
          <a:off x="454030" y="3137344"/>
          <a:ext cx="1851710" cy="15842"/>
        </a:xfrm>
        <a:custGeom>
          <a:avLst/>
          <a:gdLst/>
          <a:ahLst/>
          <a:cxnLst/>
          <a:rect l="0" t="0" r="0" b="0"/>
          <a:pathLst>
            <a:path>
              <a:moveTo>
                <a:pt x="0" y="7921"/>
              </a:moveTo>
              <a:lnTo>
                <a:pt x="1851710" y="7921"/>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C4241469-D1EB-42DA-86A5-40E19E285DE9}" type="sibTrans" cxnId="{EFB7A890-0486-43A2-AF79-0D8015C0A687}">
      <dgm:prSet/>
      <dgm:spPr/>
      <dgm:t>
        <a:bodyPr/>
        <a:lstStyle/>
        <a:p>
          <a:endParaRPr lang="en-GB"/>
        </a:p>
      </dgm:t>
    </dgm:pt>
    <dgm:pt modelId="{2DC6F17E-D027-42DF-A926-439C0AB7503B}">
      <dgm:prSet/>
      <dgm:spPr>
        <a:xfrm>
          <a:off x="2576337" y="3872016"/>
          <a:ext cx="747782" cy="3738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Columbaves</a:t>
          </a:r>
        </a:p>
      </dgm:t>
    </dgm:pt>
    <dgm:pt modelId="{6DBAC83D-30AA-4A8D-91E9-5DF35552A638}" type="parTrans" cxnId="{C343661E-DC84-49F4-A239-8FB931029EF7}">
      <dgm:prSet/>
      <dgm:spPr>
        <a:xfrm>
          <a:off x="2277225" y="4051040"/>
          <a:ext cx="299112" cy="15842"/>
        </a:xfrm>
        <a:custGeom>
          <a:avLst/>
          <a:gdLst/>
          <a:ahLst/>
          <a:cxnLst/>
          <a:rect l="0" t="0" r="0" b="0"/>
          <a:pathLst>
            <a:path>
              <a:moveTo>
                <a:pt x="0" y="7921"/>
              </a:moveTo>
              <a:lnTo>
                <a:pt x="299112" y="792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CDBE33DA-C45D-4E0C-A0B0-A2E41ACA24F6}" type="sibTrans" cxnId="{C343661E-DC84-49F4-A239-8FB931029EF7}">
      <dgm:prSet/>
      <dgm:spPr/>
      <dgm:t>
        <a:bodyPr/>
        <a:lstStyle/>
        <a:p>
          <a:endParaRPr lang="en-GB"/>
        </a:p>
      </dgm:t>
    </dgm:pt>
    <dgm:pt modelId="{E50B6221-2167-446E-B7E2-3408865A0605}">
      <dgm:prSet/>
      <dgm:spPr>
        <a:xfrm>
          <a:off x="3623233" y="3872016"/>
          <a:ext cx="747782" cy="3738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Pigeon</a:t>
          </a:r>
        </a:p>
      </dgm:t>
    </dgm:pt>
    <dgm:pt modelId="{D95CD88F-AC5E-427A-9384-572854CFD6FB}" type="parTrans" cxnId="{F5961145-F8E8-4E10-80F1-7387B53DFDE2}">
      <dgm:prSet/>
      <dgm:spPr>
        <a:xfrm>
          <a:off x="3324120" y="4051040"/>
          <a:ext cx="299112" cy="15842"/>
        </a:xfrm>
        <a:custGeom>
          <a:avLst/>
          <a:gdLst/>
          <a:ahLst/>
          <a:cxnLst/>
          <a:rect l="0" t="0" r="0" b="0"/>
          <a:pathLst>
            <a:path>
              <a:moveTo>
                <a:pt x="0" y="7921"/>
              </a:moveTo>
              <a:lnTo>
                <a:pt x="299112" y="792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CCCBBBDD-D4A2-4A06-BA20-63D9E6EF8AD4}" type="sibTrans" cxnId="{F5961145-F8E8-4E10-80F1-7387B53DFDE2}">
      <dgm:prSet/>
      <dgm:spPr/>
      <dgm:t>
        <a:bodyPr/>
        <a:lstStyle/>
        <a:p>
          <a:endParaRPr lang="en-GB"/>
        </a:p>
      </dgm:t>
    </dgm:pt>
    <dgm:pt modelId="{74280230-1565-4104-BF3D-B2DDD23895E5}">
      <dgm:prSet/>
      <dgm:spPr>
        <a:xfrm>
          <a:off x="3623233" y="3442041"/>
          <a:ext cx="747782" cy="3738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Goose</a:t>
          </a:r>
        </a:p>
      </dgm:t>
    </dgm:pt>
    <dgm:pt modelId="{AAEEAB8A-7B30-4476-8148-90EB2772BD91}" type="parTrans" cxnId="{7FB80758-A916-461F-9925-F3C6EEBB7DF5}">
      <dgm:prSet/>
      <dgm:spPr>
        <a:xfrm rot="2458263">
          <a:off x="3275599" y="3491190"/>
          <a:ext cx="396154" cy="15842"/>
        </a:xfrm>
        <a:custGeom>
          <a:avLst/>
          <a:gdLst/>
          <a:ahLst/>
          <a:cxnLst/>
          <a:rect l="0" t="0" r="0" b="0"/>
          <a:pathLst>
            <a:path>
              <a:moveTo>
                <a:pt x="0" y="7921"/>
              </a:moveTo>
              <a:lnTo>
                <a:pt x="396154" y="792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7E332D8B-E2CD-436D-92F8-6DB86E0099F7}" type="sibTrans" cxnId="{7FB80758-A916-461F-9925-F3C6EEBB7DF5}">
      <dgm:prSet/>
      <dgm:spPr/>
      <dgm:t>
        <a:bodyPr/>
        <a:lstStyle/>
        <a:p>
          <a:endParaRPr lang="en-GB"/>
        </a:p>
      </dgm:t>
    </dgm:pt>
    <dgm:pt modelId="{51ACBDDC-B768-4DF1-B4AA-E729159AE147}">
      <dgm:prSet/>
      <dgm:spPr>
        <a:xfrm>
          <a:off x="3623233" y="1292167"/>
          <a:ext cx="747782" cy="3738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Guinea fowl</a:t>
          </a:r>
        </a:p>
      </dgm:t>
    </dgm:pt>
    <dgm:pt modelId="{CF7187C4-847E-4347-AB74-CFABE4493884}" type="parTrans" cxnId="{95AA9755-1CF0-46E3-B3A6-3A91E997BC34}">
      <dgm:prSet/>
      <dgm:spPr>
        <a:xfrm rot="723662">
          <a:off x="3345866" y="1441889"/>
          <a:ext cx="280462" cy="15842"/>
        </a:xfrm>
        <a:custGeom>
          <a:avLst/>
          <a:gdLst/>
          <a:ahLst/>
          <a:cxnLst/>
          <a:rect l="0" t="0" r="0" b="0"/>
          <a:pathLst>
            <a:path>
              <a:moveTo>
                <a:pt x="0" y="7921"/>
              </a:moveTo>
              <a:lnTo>
                <a:pt x="280462" y="792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F0EEB747-A979-496C-9F78-D40116F68DE6}" type="sibTrans" cxnId="{95AA9755-1CF0-46E3-B3A6-3A91E997BC34}">
      <dgm:prSet/>
      <dgm:spPr/>
      <dgm:t>
        <a:bodyPr/>
        <a:lstStyle/>
        <a:p>
          <a:endParaRPr lang="en-GB"/>
        </a:p>
      </dgm:t>
    </dgm:pt>
    <dgm:pt modelId="{184CD2BD-9D2C-43BE-8E97-5428BB1F94B2}">
      <dgm:prSet/>
      <dgm:spPr>
        <a:xfrm>
          <a:off x="3623233" y="1722142"/>
          <a:ext cx="747782" cy="3738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New world quail</a:t>
          </a:r>
        </a:p>
      </dgm:t>
    </dgm:pt>
    <dgm:pt modelId="{97340745-99AB-42F8-8ACD-B9B2DBF79F73}" type="parTrans" cxnId="{C28FE8BA-2AA9-4A1C-9FDA-AB70D3ABBDCE}">
      <dgm:prSet/>
      <dgm:spPr>
        <a:xfrm rot="3641496">
          <a:off x="3205948" y="1656877"/>
          <a:ext cx="560297" cy="15842"/>
        </a:xfrm>
        <a:custGeom>
          <a:avLst/>
          <a:gdLst/>
          <a:ahLst/>
          <a:cxnLst/>
          <a:rect l="0" t="0" r="0" b="0"/>
          <a:pathLst>
            <a:path>
              <a:moveTo>
                <a:pt x="0" y="7921"/>
              </a:moveTo>
              <a:lnTo>
                <a:pt x="560297" y="792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532DA012-C9AD-49C0-8F48-C77FD890E9D0}" type="sibTrans" cxnId="{C28FE8BA-2AA9-4A1C-9FDA-AB70D3ABBDCE}">
      <dgm:prSet/>
      <dgm:spPr/>
      <dgm:t>
        <a:bodyPr/>
        <a:lstStyle/>
        <a:p>
          <a:endParaRPr lang="en-GB"/>
        </a:p>
      </dgm:t>
    </dgm:pt>
    <dgm:pt modelId="{D00E1243-7B3B-4366-97DD-92BCDC90F2B3}">
      <dgm:prSet/>
      <dgm:spPr>
        <a:xfrm>
          <a:off x="3623233" y="2152116"/>
          <a:ext cx="747782" cy="3738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Old world quail and partridge</a:t>
          </a:r>
        </a:p>
      </dgm:t>
    </dgm:pt>
    <dgm:pt modelId="{FFBF6014-BB36-4930-B5E9-CA9C3B6533E6}" type="parTrans" cxnId="{2FE71A61-B96A-4925-B860-E39CEB474F98}">
      <dgm:prSet/>
      <dgm:spPr>
        <a:xfrm rot="4402491">
          <a:off x="3006784" y="1871864"/>
          <a:ext cx="958626" cy="15842"/>
        </a:xfrm>
        <a:custGeom>
          <a:avLst/>
          <a:gdLst/>
          <a:ahLst/>
          <a:cxnLst/>
          <a:rect l="0" t="0" r="0" b="0"/>
          <a:pathLst>
            <a:path>
              <a:moveTo>
                <a:pt x="0" y="7921"/>
              </a:moveTo>
              <a:lnTo>
                <a:pt x="958626" y="792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241A6D42-E4C3-43B6-BF05-8C46BA7766A8}" type="sibTrans" cxnId="{2FE71A61-B96A-4925-B860-E39CEB474F98}">
      <dgm:prSet/>
      <dgm:spPr/>
      <dgm:t>
        <a:bodyPr/>
        <a:lstStyle/>
        <a:p>
          <a:endParaRPr lang="en-GB"/>
        </a:p>
      </dgm:t>
    </dgm:pt>
    <dgm:pt modelId="{623F4A8D-9D10-4046-9603-3A12968E5661}">
      <dgm:prSet/>
      <dgm:spPr>
        <a:xfrm>
          <a:off x="3623233" y="2582091"/>
          <a:ext cx="747782" cy="3738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Pheasants  and chickens </a:t>
          </a:r>
        </a:p>
      </dgm:t>
    </dgm:pt>
    <dgm:pt modelId="{0A496CC4-1096-4E41-B4AD-1EDCF7620FBF}" type="parTrans" cxnId="{7FD7001E-F747-4237-B00A-AAA9781253F9}">
      <dgm:prSet/>
      <dgm:spPr>
        <a:xfrm rot="4710219">
          <a:off x="2798028" y="2086852"/>
          <a:ext cx="1376136" cy="15842"/>
        </a:xfrm>
        <a:custGeom>
          <a:avLst/>
          <a:gdLst/>
          <a:ahLst/>
          <a:cxnLst/>
          <a:rect l="0" t="0" r="0" b="0"/>
          <a:pathLst>
            <a:path>
              <a:moveTo>
                <a:pt x="0" y="7921"/>
              </a:moveTo>
              <a:lnTo>
                <a:pt x="1376136" y="792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4C525C0E-A735-4B08-A6AF-1457745EECF6}" type="sibTrans" cxnId="{7FD7001E-F747-4237-B00A-AAA9781253F9}">
      <dgm:prSet/>
      <dgm:spPr/>
      <dgm:t>
        <a:bodyPr/>
        <a:lstStyle/>
        <a:p>
          <a:endParaRPr lang="en-GB"/>
        </a:p>
      </dgm:t>
    </dgm:pt>
    <dgm:pt modelId="{9CBCD485-4E39-4975-B9BC-F40DEAF948D8}" type="pres">
      <dgm:prSet presAssocID="{5FE9AD9F-B668-428D-AD45-5DB53B8DC5EB}" presName="diagram" presStyleCnt="0">
        <dgm:presLayoutVars>
          <dgm:chPref val="1"/>
          <dgm:dir/>
          <dgm:animOne val="branch"/>
          <dgm:animLvl val="lvl"/>
          <dgm:resizeHandles val="exact"/>
        </dgm:presLayoutVars>
      </dgm:prSet>
      <dgm:spPr/>
    </dgm:pt>
    <dgm:pt modelId="{3E809C47-40D3-44D4-9202-779A36D4C11A}" type="pres">
      <dgm:prSet presAssocID="{FF8A22A8-1ADD-4474-8864-D430DEB6BFEE}" presName="root1" presStyleCnt="0"/>
      <dgm:spPr/>
    </dgm:pt>
    <dgm:pt modelId="{2DECAE53-F165-4177-B196-718481FF2BC8}" type="pres">
      <dgm:prSet presAssocID="{FF8A22A8-1ADD-4474-8864-D430DEB6BFEE}" presName="LevelOneTextNode" presStyleLbl="node0" presStyleIdx="0" presStyleCnt="1">
        <dgm:presLayoutVars>
          <dgm:chPref val="3"/>
        </dgm:presLayoutVars>
      </dgm:prSet>
      <dgm:spPr/>
    </dgm:pt>
    <dgm:pt modelId="{965EFA25-C466-4156-8162-7D90D44D63D8}" type="pres">
      <dgm:prSet presAssocID="{FF8A22A8-1ADD-4474-8864-D430DEB6BFEE}" presName="level2hierChild" presStyleCnt="0"/>
      <dgm:spPr/>
    </dgm:pt>
    <dgm:pt modelId="{A23263B1-75D8-45C1-BEA3-437BEFA8808E}" type="pres">
      <dgm:prSet presAssocID="{F11C790A-42DD-4F8A-B336-594617DF524D}" presName="conn2-1" presStyleLbl="parChTrans1D2" presStyleIdx="0" presStyleCnt="3"/>
      <dgm:spPr/>
    </dgm:pt>
    <dgm:pt modelId="{B16481ED-D031-4414-8799-570C0AF9E04F}" type="pres">
      <dgm:prSet presAssocID="{F11C790A-42DD-4F8A-B336-594617DF524D}" presName="connTx" presStyleLbl="parChTrans1D2" presStyleIdx="0" presStyleCnt="3"/>
      <dgm:spPr/>
    </dgm:pt>
    <dgm:pt modelId="{AFC7F903-A734-4BB6-A31D-B5867ED66F93}" type="pres">
      <dgm:prSet presAssocID="{AFD34D67-5470-42AC-AB06-AC1D65B7A418}" presName="root2" presStyleCnt="0"/>
      <dgm:spPr/>
    </dgm:pt>
    <dgm:pt modelId="{FB4986DC-9FBD-40BA-9ABF-FDFE142B06C3}" type="pres">
      <dgm:prSet presAssocID="{AFD34D67-5470-42AC-AB06-AC1D65B7A418}" presName="LevelTwoTextNode" presStyleLbl="node2" presStyleIdx="0" presStyleCnt="3">
        <dgm:presLayoutVars>
          <dgm:chPref val="3"/>
        </dgm:presLayoutVars>
      </dgm:prSet>
      <dgm:spPr/>
    </dgm:pt>
    <dgm:pt modelId="{E253F89D-7FF4-421D-B6C1-EACDE46B1437}" type="pres">
      <dgm:prSet presAssocID="{AFD34D67-5470-42AC-AB06-AC1D65B7A418}" presName="level3hierChild" presStyleCnt="0"/>
      <dgm:spPr/>
    </dgm:pt>
    <dgm:pt modelId="{1A55C90A-F0F3-4024-93F1-405B007DAB7E}" type="pres">
      <dgm:prSet presAssocID="{D7B91717-FC25-4FCA-B803-F32FA1DAA593}" presName="conn2-1" presStyleLbl="parChTrans1D3" presStyleIdx="0" presStyleCnt="5"/>
      <dgm:spPr/>
    </dgm:pt>
    <dgm:pt modelId="{9F98D199-6341-45DD-A0D5-D5CB795BE68F}" type="pres">
      <dgm:prSet presAssocID="{D7B91717-FC25-4FCA-B803-F32FA1DAA593}" presName="connTx" presStyleLbl="parChTrans1D3" presStyleIdx="0" presStyleCnt="5"/>
      <dgm:spPr/>
    </dgm:pt>
    <dgm:pt modelId="{56D63BF4-8487-42C8-82DC-26349CD1CDCA}" type="pres">
      <dgm:prSet presAssocID="{10EEE459-0CF3-4DD5-A3A5-F85EE672CB1F}" presName="root2" presStyleCnt="0"/>
      <dgm:spPr/>
    </dgm:pt>
    <dgm:pt modelId="{591CFC33-5FE5-49BA-9CB3-E584F8A2DAFE}" type="pres">
      <dgm:prSet presAssocID="{10EEE459-0CF3-4DD5-A3A5-F85EE672CB1F}" presName="LevelTwoTextNode" presStyleLbl="node3" presStyleIdx="0" presStyleCnt="5">
        <dgm:presLayoutVars>
          <dgm:chPref val="3"/>
        </dgm:presLayoutVars>
      </dgm:prSet>
      <dgm:spPr/>
    </dgm:pt>
    <dgm:pt modelId="{E1205354-962C-44F2-A19D-5D83BDB6D7B5}" type="pres">
      <dgm:prSet presAssocID="{10EEE459-0CF3-4DD5-A3A5-F85EE672CB1F}" presName="level3hierChild" presStyleCnt="0"/>
      <dgm:spPr/>
    </dgm:pt>
    <dgm:pt modelId="{64F6F5C2-3B09-4242-97D7-9317E564AADA}" type="pres">
      <dgm:prSet presAssocID="{8A91D3EB-9F7F-4CD5-9A0A-337858BC96AA}" presName="conn2-1" presStyleLbl="parChTrans1D3" presStyleIdx="1" presStyleCnt="5"/>
      <dgm:spPr/>
    </dgm:pt>
    <dgm:pt modelId="{D24BF948-C6AB-4599-A34D-76D57AE394BB}" type="pres">
      <dgm:prSet presAssocID="{8A91D3EB-9F7F-4CD5-9A0A-337858BC96AA}" presName="connTx" presStyleLbl="parChTrans1D3" presStyleIdx="1" presStyleCnt="5"/>
      <dgm:spPr/>
    </dgm:pt>
    <dgm:pt modelId="{8A58CE4D-51C0-4630-B73D-7B143B9BF160}" type="pres">
      <dgm:prSet presAssocID="{810C7F12-548D-43F4-A2F6-BDEA2C949DE3}" presName="root2" presStyleCnt="0"/>
      <dgm:spPr/>
    </dgm:pt>
    <dgm:pt modelId="{3E76D72E-A6D7-4C5F-B460-716FAE2B30DD}" type="pres">
      <dgm:prSet presAssocID="{810C7F12-548D-43F4-A2F6-BDEA2C949DE3}" presName="LevelTwoTextNode" presStyleLbl="node3" presStyleIdx="1" presStyleCnt="5">
        <dgm:presLayoutVars>
          <dgm:chPref val="3"/>
        </dgm:presLayoutVars>
      </dgm:prSet>
      <dgm:spPr/>
    </dgm:pt>
    <dgm:pt modelId="{4AECD922-0D9C-4CE8-AA8A-AA8DD07E96EC}" type="pres">
      <dgm:prSet presAssocID="{810C7F12-548D-43F4-A2F6-BDEA2C949DE3}" presName="level3hierChild" presStyleCnt="0"/>
      <dgm:spPr/>
    </dgm:pt>
    <dgm:pt modelId="{00283582-6260-4F5A-AE59-1301B04A84BC}" type="pres">
      <dgm:prSet presAssocID="{2130AC78-E15E-47D1-AA79-A4B7122DC002}" presName="conn2-1" presStyleLbl="parChTrans1D2" presStyleIdx="1" presStyleCnt="3"/>
      <dgm:spPr/>
    </dgm:pt>
    <dgm:pt modelId="{ECC491E9-88EA-4577-87CA-9E90E06D1698}" type="pres">
      <dgm:prSet presAssocID="{2130AC78-E15E-47D1-AA79-A4B7122DC002}" presName="connTx" presStyleLbl="parChTrans1D2" presStyleIdx="1" presStyleCnt="3"/>
      <dgm:spPr/>
    </dgm:pt>
    <dgm:pt modelId="{532F59BB-B5EB-4C56-8266-122ABE0BE4A8}" type="pres">
      <dgm:prSet presAssocID="{7218EFC1-7520-4312-8CB3-75E2FC8D70E0}" presName="root2" presStyleCnt="0"/>
      <dgm:spPr/>
    </dgm:pt>
    <dgm:pt modelId="{AB60EB13-DA3B-496B-A347-C141A1F1CC50}" type="pres">
      <dgm:prSet presAssocID="{7218EFC1-7520-4312-8CB3-75E2FC8D70E0}" presName="LevelTwoTextNode" presStyleLbl="node2" presStyleIdx="1" presStyleCnt="3">
        <dgm:presLayoutVars>
          <dgm:chPref val="3"/>
        </dgm:presLayoutVars>
      </dgm:prSet>
      <dgm:spPr/>
    </dgm:pt>
    <dgm:pt modelId="{C65225CD-39CD-4ED8-A77D-8B003C214EF8}" type="pres">
      <dgm:prSet presAssocID="{7218EFC1-7520-4312-8CB3-75E2FC8D70E0}" presName="level3hierChild" presStyleCnt="0"/>
      <dgm:spPr/>
    </dgm:pt>
    <dgm:pt modelId="{1A33DD3B-06A6-4893-AB7A-D9952A26614A}" type="pres">
      <dgm:prSet presAssocID="{D922046E-18BC-43A7-A721-EEBF4131D9F0}" presName="conn2-1" presStyleLbl="parChTrans1D3" presStyleIdx="2" presStyleCnt="5"/>
      <dgm:spPr/>
    </dgm:pt>
    <dgm:pt modelId="{2E8B435A-60D8-44C8-87B6-D7087E0E0D86}" type="pres">
      <dgm:prSet presAssocID="{D922046E-18BC-43A7-A721-EEBF4131D9F0}" presName="connTx" presStyleLbl="parChTrans1D3" presStyleIdx="2" presStyleCnt="5"/>
      <dgm:spPr/>
    </dgm:pt>
    <dgm:pt modelId="{FBE43A99-321C-430C-87D6-4C121108D91F}" type="pres">
      <dgm:prSet presAssocID="{64B2BE6F-2415-4F15-B5D9-97A46F97A8DE}" presName="root2" presStyleCnt="0"/>
      <dgm:spPr/>
    </dgm:pt>
    <dgm:pt modelId="{305BA63C-4A69-4EC1-90BB-B57304D8B97C}" type="pres">
      <dgm:prSet presAssocID="{64B2BE6F-2415-4F15-B5D9-97A46F97A8DE}" presName="LevelTwoTextNode" presStyleLbl="node3" presStyleIdx="2" presStyleCnt="5" custLinFactY="-30674" custLinFactNeighborX="3322" custLinFactNeighborY="-100000">
        <dgm:presLayoutVars>
          <dgm:chPref val="3"/>
        </dgm:presLayoutVars>
      </dgm:prSet>
      <dgm:spPr/>
    </dgm:pt>
    <dgm:pt modelId="{B6AEB568-1581-4175-9B94-12C533D6E3EF}" type="pres">
      <dgm:prSet presAssocID="{64B2BE6F-2415-4F15-B5D9-97A46F97A8DE}" presName="level3hierChild" presStyleCnt="0"/>
      <dgm:spPr/>
    </dgm:pt>
    <dgm:pt modelId="{E8B885AE-6C1E-4976-AAC8-9C3B47E300A0}" type="pres">
      <dgm:prSet presAssocID="{DEEF5979-C0BA-4CAC-8045-6E34F98168F4}" presName="conn2-1" presStyleLbl="parChTrans1D4" presStyleIdx="0" presStyleCnt="8"/>
      <dgm:spPr/>
    </dgm:pt>
    <dgm:pt modelId="{3BEFA2CA-C631-45B8-A795-67393DDAD558}" type="pres">
      <dgm:prSet presAssocID="{DEEF5979-C0BA-4CAC-8045-6E34F98168F4}" presName="connTx" presStyleLbl="parChTrans1D4" presStyleIdx="0" presStyleCnt="8"/>
      <dgm:spPr/>
    </dgm:pt>
    <dgm:pt modelId="{5251CD34-9C87-4AE5-B818-37B52FD5E2AF}" type="pres">
      <dgm:prSet presAssocID="{BFF6B18B-BB8A-42CA-9E5C-3168182C5262}" presName="root2" presStyleCnt="0"/>
      <dgm:spPr/>
    </dgm:pt>
    <dgm:pt modelId="{C3B2E41F-DAAA-4CDF-8B06-DA8D525E22F3}" type="pres">
      <dgm:prSet presAssocID="{BFF6B18B-BB8A-42CA-9E5C-3168182C5262}" presName="LevelTwoTextNode" presStyleLbl="node4" presStyleIdx="0" presStyleCnt="8">
        <dgm:presLayoutVars>
          <dgm:chPref val="3"/>
        </dgm:presLayoutVars>
      </dgm:prSet>
      <dgm:spPr/>
    </dgm:pt>
    <dgm:pt modelId="{78C447C3-82CD-4FB5-AEDD-CFDF12BED6AE}" type="pres">
      <dgm:prSet presAssocID="{BFF6B18B-BB8A-42CA-9E5C-3168182C5262}" presName="level3hierChild" presStyleCnt="0"/>
      <dgm:spPr/>
    </dgm:pt>
    <dgm:pt modelId="{18B7B468-C642-4ADB-BAF2-046B02D4CC7F}" type="pres">
      <dgm:prSet presAssocID="{CF7187C4-847E-4347-AB74-CFABE4493884}" presName="conn2-1" presStyleLbl="parChTrans1D4" presStyleIdx="1" presStyleCnt="8"/>
      <dgm:spPr/>
    </dgm:pt>
    <dgm:pt modelId="{76603B25-B9E7-4931-91F3-F0A11EE9691F}" type="pres">
      <dgm:prSet presAssocID="{CF7187C4-847E-4347-AB74-CFABE4493884}" presName="connTx" presStyleLbl="parChTrans1D4" presStyleIdx="1" presStyleCnt="8"/>
      <dgm:spPr/>
    </dgm:pt>
    <dgm:pt modelId="{B034CD7C-FDD3-4995-AB47-1A0F8F428CFB}" type="pres">
      <dgm:prSet presAssocID="{51ACBDDC-B768-4DF1-B4AA-E729159AE147}" presName="root2" presStyleCnt="0"/>
      <dgm:spPr/>
    </dgm:pt>
    <dgm:pt modelId="{6FF3878A-543D-4484-86A8-16D56D94645D}" type="pres">
      <dgm:prSet presAssocID="{51ACBDDC-B768-4DF1-B4AA-E729159AE147}" presName="LevelTwoTextNode" presStyleLbl="node4" presStyleIdx="1" presStyleCnt="8">
        <dgm:presLayoutVars>
          <dgm:chPref val="3"/>
        </dgm:presLayoutVars>
      </dgm:prSet>
      <dgm:spPr/>
    </dgm:pt>
    <dgm:pt modelId="{299021D0-EFFD-494B-9FAA-B969A39EE37E}" type="pres">
      <dgm:prSet presAssocID="{51ACBDDC-B768-4DF1-B4AA-E729159AE147}" presName="level3hierChild" presStyleCnt="0"/>
      <dgm:spPr/>
    </dgm:pt>
    <dgm:pt modelId="{772C4D19-9802-4B5B-9CE5-92EA3FA47572}" type="pres">
      <dgm:prSet presAssocID="{97340745-99AB-42F8-8ACD-B9B2DBF79F73}" presName="conn2-1" presStyleLbl="parChTrans1D4" presStyleIdx="2" presStyleCnt="8"/>
      <dgm:spPr/>
    </dgm:pt>
    <dgm:pt modelId="{16E814CA-C871-49F5-A1EF-41006AAB6F15}" type="pres">
      <dgm:prSet presAssocID="{97340745-99AB-42F8-8ACD-B9B2DBF79F73}" presName="connTx" presStyleLbl="parChTrans1D4" presStyleIdx="2" presStyleCnt="8"/>
      <dgm:spPr/>
    </dgm:pt>
    <dgm:pt modelId="{AF3B8005-AA95-420A-A80D-DB03200A31D2}" type="pres">
      <dgm:prSet presAssocID="{184CD2BD-9D2C-43BE-8E97-5428BB1F94B2}" presName="root2" presStyleCnt="0"/>
      <dgm:spPr/>
    </dgm:pt>
    <dgm:pt modelId="{6263B89A-E57F-4B5D-8FB6-8F24B449AEA1}" type="pres">
      <dgm:prSet presAssocID="{184CD2BD-9D2C-43BE-8E97-5428BB1F94B2}" presName="LevelTwoTextNode" presStyleLbl="node4" presStyleIdx="2" presStyleCnt="8">
        <dgm:presLayoutVars>
          <dgm:chPref val="3"/>
        </dgm:presLayoutVars>
      </dgm:prSet>
      <dgm:spPr/>
    </dgm:pt>
    <dgm:pt modelId="{5BEED1A7-127C-40A6-AD17-CA8BC4D88399}" type="pres">
      <dgm:prSet presAssocID="{184CD2BD-9D2C-43BE-8E97-5428BB1F94B2}" presName="level3hierChild" presStyleCnt="0"/>
      <dgm:spPr/>
    </dgm:pt>
    <dgm:pt modelId="{DA4EA9BC-5645-4269-B0B6-6C4271D87E58}" type="pres">
      <dgm:prSet presAssocID="{FFBF6014-BB36-4930-B5E9-CA9C3B6533E6}" presName="conn2-1" presStyleLbl="parChTrans1D4" presStyleIdx="3" presStyleCnt="8"/>
      <dgm:spPr/>
    </dgm:pt>
    <dgm:pt modelId="{4AF143FF-13A1-4FB6-9DF4-FB749B7747E8}" type="pres">
      <dgm:prSet presAssocID="{FFBF6014-BB36-4930-B5E9-CA9C3B6533E6}" presName="connTx" presStyleLbl="parChTrans1D4" presStyleIdx="3" presStyleCnt="8"/>
      <dgm:spPr/>
    </dgm:pt>
    <dgm:pt modelId="{ECA613C8-72A9-4B97-A720-A1A29B2C45D3}" type="pres">
      <dgm:prSet presAssocID="{D00E1243-7B3B-4366-97DD-92BCDC90F2B3}" presName="root2" presStyleCnt="0"/>
      <dgm:spPr/>
    </dgm:pt>
    <dgm:pt modelId="{79249272-083A-467B-8B32-D3C5981AC3EC}" type="pres">
      <dgm:prSet presAssocID="{D00E1243-7B3B-4366-97DD-92BCDC90F2B3}" presName="LevelTwoTextNode" presStyleLbl="node4" presStyleIdx="3" presStyleCnt="8">
        <dgm:presLayoutVars>
          <dgm:chPref val="3"/>
        </dgm:presLayoutVars>
      </dgm:prSet>
      <dgm:spPr/>
    </dgm:pt>
    <dgm:pt modelId="{CD43BC2E-7B7E-438C-8331-062F9C2C213C}" type="pres">
      <dgm:prSet presAssocID="{D00E1243-7B3B-4366-97DD-92BCDC90F2B3}" presName="level3hierChild" presStyleCnt="0"/>
      <dgm:spPr/>
    </dgm:pt>
    <dgm:pt modelId="{EABD8799-DAF1-4C8C-AC27-D2E8B7D9F5E2}" type="pres">
      <dgm:prSet presAssocID="{0A496CC4-1096-4E41-B4AD-1EDCF7620FBF}" presName="conn2-1" presStyleLbl="parChTrans1D4" presStyleIdx="4" presStyleCnt="8"/>
      <dgm:spPr/>
    </dgm:pt>
    <dgm:pt modelId="{D6E2779E-E482-478B-AE0A-4DFC06792E1A}" type="pres">
      <dgm:prSet presAssocID="{0A496CC4-1096-4E41-B4AD-1EDCF7620FBF}" presName="connTx" presStyleLbl="parChTrans1D4" presStyleIdx="4" presStyleCnt="8"/>
      <dgm:spPr/>
    </dgm:pt>
    <dgm:pt modelId="{ECDCF046-05A9-4C51-BF0D-87CA108DE666}" type="pres">
      <dgm:prSet presAssocID="{623F4A8D-9D10-4046-9603-3A12968E5661}" presName="root2" presStyleCnt="0"/>
      <dgm:spPr/>
    </dgm:pt>
    <dgm:pt modelId="{02238C61-45BE-4C38-80EA-C345B5778A8E}" type="pres">
      <dgm:prSet presAssocID="{623F4A8D-9D10-4046-9603-3A12968E5661}" presName="LevelTwoTextNode" presStyleLbl="node4" presStyleIdx="4" presStyleCnt="8">
        <dgm:presLayoutVars>
          <dgm:chPref val="3"/>
        </dgm:presLayoutVars>
      </dgm:prSet>
      <dgm:spPr/>
    </dgm:pt>
    <dgm:pt modelId="{D9B2FCEF-9989-4219-88EB-C8128371AB37}" type="pres">
      <dgm:prSet presAssocID="{623F4A8D-9D10-4046-9603-3A12968E5661}" presName="level3hierChild" presStyleCnt="0"/>
      <dgm:spPr/>
    </dgm:pt>
    <dgm:pt modelId="{AD0BC1E5-87F3-491E-AC79-6BECF3CBCEBE}" type="pres">
      <dgm:prSet presAssocID="{8811EB32-DA93-4D89-B4F5-66DCA1217F06}" presName="conn2-1" presStyleLbl="parChTrans1D3" presStyleIdx="3" presStyleCnt="5"/>
      <dgm:spPr/>
    </dgm:pt>
    <dgm:pt modelId="{25B91EF6-1550-4FC6-AAB4-2150132F3215}" type="pres">
      <dgm:prSet presAssocID="{8811EB32-DA93-4D89-B4F5-66DCA1217F06}" presName="connTx" presStyleLbl="parChTrans1D3" presStyleIdx="3" presStyleCnt="5"/>
      <dgm:spPr/>
    </dgm:pt>
    <dgm:pt modelId="{16E529E0-0F12-4C5C-B36D-2402CF55F1DD}" type="pres">
      <dgm:prSet presAssocID="{0CAF0C12-8F52-411D-848B-A89938206C9E}" presName="root2" presStyleCnt="0"/>
      <dgm:spPr/>
    </dgm:pt>
    <dgm:pt modelId="{6C128D3E-0823-464B-A54C-8772C0C4C78C}" type="pres">
      <dgm:prSet presAssocID="{0CAF0C12-8F52-411D-848B-A89938206C9E}" presName="LevelTwoTextNode" presStyleLbl="node3" presStyleIdx="3" presStyleCnt="5" custLinFactNeighborY="-11972">
        <dgm:presLayoutVars>
          <dgm:chPref val="3"/>
        </dgm:presLayoutVars>
      </dgm:prSet>
      <dgm:spPr/>
    </dgm:pt>
    <dgm:pt modelId="{11A21189-6B4E-4F47-A25D-B55586F81119}" type="pres">
      <dgm:prSet presAssocID="{0CAF0C12-8F52-411D-848B-A89938206C9E}" presName="level3hierChild" presStyleCnt="0"/>
      <dgm:spPr/>
    </dgm:pt>
    <dgm:pt modelId="{B6DCD013-38B6-4E29-BEEE-403658FE0CB1}" type="pres">
      <dgm:prSet presAssocID="{DEBF26B6-EDDE-4EE7-BE1F-C35ECE211CA3}" presName="conn2-1" presStyleLbl="parChTrans1D4" presStyleIdx="5" presStyleCnt="8"/>
      <dgm:spPr/>
    </dgm:pt>
    <dgm:pt modelId="{97808662-7AAF-4786-8ACB-ADC19A2074CE}" type="pres">
      <dgm:prSet presAssocID="{DEBF26B6-EDDE-4EE7-BE1F-C35ECE211CA3}" presName="connTx" presStyleLbl="parChTrans1D4" presStyleIdx="5" presStyleCnt="8"/>
      <dgm:spPr/>
    </dgm:pt>
    <dgm:pt modelId="{FEBEF7D7-073C-4180-B69F-8DA46E6F76C2}" type="pres">
      <dgm:prSet presAssocID="{44348285-14C7-4AE2-BC0D-EAE0A6C500FA}" presName="root2" presStyleCnt="0"/>
      <dgm:spPr/>
    </dgm:pt>
    <dgm:pt modelId="{3E472C79-E63C-482F-A8E3-FAF45A4DADB6}" type="pres">
      <dgm:prSet presAssocID="{44348285-14C7-4AE2-BC0D-EAE0A6C500FA}" presName="LevelTwoTextNode" presStyleLbl="node4" presStyleIdx="5" presStyleCnt="8" custLinFactNeighborX="4430" custLinFactNeighborY="-2215">
        <dgm:presLayoutVars>
          <dgm:chPref val="3"/>
        </dgm:presLayoutVars>
      </dgm:prSet>
      <dgm:spPr/>
    </dgm:pt>
    <dgm:pt modelId="{81385C37-4655-4621-B88D-75DA85287D12}" type="pres">
      <dgm:prSet presAssocID="{44348285-14C7-4AE2-BC0D-EAE0A6C500FA}" presName="level3hierChild" presStyleCnt="0"/>
      <dgm:spPr/>
    </dgm:pt>
    <dgm:pt modelId="{65E4AD8E-BDB4-4A01-82B6-8E5D36201524}" type="pres">
      <dgm:prSet presAssocID="{AAEEAB8A-7B30-4476-8148-90EB2772BD91}" presName="conn2-1" presStyleLbl="parChTrans1D4" presStyleIdx="6" presStyleCnt="8"/>
      <dgm:spPr/>
    </dgm:pt>
    <dgm:pt modelId="{BAFEDE54-692B-43FD-9A47-1DC8A29F9E41}" type="pres">
      <dgm:prSet presAssocID="{AAEEAB8A-7B30-4476-8148-90EB2772BD91}" presName="connTx" presStyleLbl="parChTrans1D4" presStyleIdx="6" presStyleCnt="8"/>
      <dgm:spPr/>
    </dgm:pt>
    <dgm:pt modelId="{C0E3B805-C7BD-4BE5-AB97-9D12376B7888}" type="pres">
      <dgm:prSet presAssocID="{74280230-1565-4104-BF3D-B2DDD23895E5}" presName="root2" presStyleCnt="0"/>
      <dgm:spPr/>
    </dgm:pt>
    <dgm:pt modelId="{2923847B-ACF8-4568-B993-ADE1B9F0B655}" type="pres">
      <dgm:prSet presAssocID="{74280230-1565-4104-BF3D-B2DDD23895E5}" presName="LevelTwoTextNode" presStyleLbl="node4" presStyleIdx="6" presStyleCnt="8">
        <dgm:presLayoutVars>
          <dgm:chPref val="3"/>
        </dgm:presLayoutVars>
      </dgm:prSet>
      <dgm:spPr/>
    </dgm:pt>
    <dgm:pt modelId="{E24A1D8E-D499-4CF3-8FCE-40FF15BB71E0}" type="pres">
      <dgm:prSet presAssocID="{74280230-1565-4104-BF3D-B2DDD23895E5}" presName="level3hierChild" presStyleCnt="0"/>
      <dgm:spPr/>
    </dgm:pt>
    <dgm:pt modelId="{988EC3DA-6ECE-47F4-BAF4-6B4F76CBA74C}" type="pres">
      <dgm:prSet presAssocID="{339DA263-4685-4E8F-B741-D8768B0F7F10}" presName="conn2-1" presStyleLbl="parChTrans1D2" presStyleIdx="2" presStyleCnt="3"/>
      <dgm:spPr/>
    </dgm:pt>
    <dgm:pt modelId="{C887261E-8E83-4772-BD31-4C86784472A4}" type="pres">
      <dgm:prSet presAssocID="{339DA263-4685-4E8F-B741-D8768B0F7F10}" presName="connTx" presStyleLbl="parChTrans1D2" presStyleIdx="2" presStyleCnt="3"/>
      <dgm:spPr/>
    </dgm:pt>
    <dgm:pt modelId="{11190FBE-459B-4B46-99D9-8EABADE37589}" type="pres">
      <dgm:prSet presAssocID="{0A906B13-9A9A-4B76-A57F-8CF2382BA38F}" presName="root2" presStyleCnt="0"/>
      <dgm:spPr/>
    </dgm:pt>
    <dgm:pt modelId="{894755E9-E998-407F-AFF6-46DFEF28D3BE}" type="pres">
      <dgm:prSet presAssocID="{0A906B13-9A9A-4B76-A57F-8CF2382BA38F}" presName="LevelTwoTextNode" presStyleLbl="node2" presStyleIdx="2" presStyleCnt="3">
        <dgm:presLayoutVars>
          <dgm:chPref val="3"/>
        </dgm:presLayoutVars>
      </dgm:prSet>
      <dgm:spPr/>
    </dgm:pt>
    <dgm:pt modelId="{241C4E58-E6FF-46F6-9A64-8D3E28570C6E}" type="pres">
      <dgm:prSet presAssocID="{0A906B13-9A9A-4B76-A57F-8CF2382BA38F}" presName="level3hierChild" presStyleCnt="0"/>
      <dgm:spPr/>
    </dgm:pt>
    <dgm:pt modelId="{D26DE543-0B00-4F47-85EF-B64B44549000}" type="pres">
      <dgm:prSet presAssocID="{6DBAC83D-30AA-4A8D-91E9-5DF35552A638}" presName="conn2-1" presStyleLbl="parChTrans1D3" presStyleIdx="4" presStyleCnt="5"/>
      <dgm:spPr/>
    </dgm:pt>
    <dgm:pt modelId="{CF4E8F2C-5601-48F8-9D02-AAF399793910}" type="pres">
      <dgm:prSet presAssocID="{6DBAC83D-30AA-4A8D-91E9-5DF35552A638}" presName="connTx" presStyleLbl="parChTrans1D3" presStyleIdx="4" presStyleCnt="5"/>
      <dgm:spPr/>
    </dgm:pt>
    <dgm:pt modelId="{2E2D1D1C-F11D-499E-83F4-F69CC078BC43}" type="pres">
      <dgm:prSet presAssocID="{2DC6F17E-D027-42DF-A926-439C0AB7503B}" presName="root2" presStyleCnt="0"/>
      <dgm:spPr/>
    </dgm:pt>
    <dgm:pt modelId="{3B1F83ED-0441-401D-BE2A-6A63B0A7F1F8}" type="pres">
      <dgm:prSet presAssocID="{2DC6F17E-D027-42DF-A926-439C0AB7503B}" presName="LevelTwoTextNode" presStyleLbl="node3" presStyleIdx="4" presStyleCnt="5">
        <dgm:presLayoutVars>
          <dgm:chPref val="3"/>
        </dgm:presLayoutVars>
      </dgm:prSet>
      <dgm:spPr/>
    </dgm:pt>
    <dgm:pt modelId="{8BCE72E0-08D8-4A09-9A80-13D12FEDB9C9}" type="pres">
      <dgm:prSet presAssocID="{2DC6F17E-D027-42DF-A926-439C0AB7503B}" presName="level3hierChild" presStyleCnt="0"/>
      <dgm:spPr/>
    </dgm:pt>
    <dgm:pt modelId="{73F5EB01-5B49-45F6-A1B2-E0641A88BF22}" type="pres">
      <dgm:prSet presAssocID="{D95CD88F-AC5E-427A-9384-572854CFD6FB}" presName="conn2-1" presStyleLbl="parChTrans1D4" presStyleIdx="7" presStyleCnt="8"/>
      <dgm:spPr/>
    </dgm:pt>
    <dgm:pt modelId="{C8146A13-B3EA-4BBF-8E76-685631020E8E}" type="pres">
      <dgm:prSet presAssocID="{D95CD88F-AC5E-427A-9384-572854CFD6FB}" presName="connTx" presStyleLbl="parChTrans1D4" presStyleIdx="7" presStyleCnt="8"/>
      <dgm:spPr/>
    </dgm:pt>
    <dgm:pt modelId="{4B15171E-EB9B-460F-B1DF-E0CF63428595}" type="pres">
      <dgm:prSet presAssocID="{E50B6221-2167-446E-B7E2-3408865A0605}" presName="root2" presStyleCnt="0"/>
      <dgm:spPr/>
    </dgm:pt>
    <dgm:pt modelId="{C733764E-7BD8-4A14-B3F8-6419AEBC9BF5}" type="pres">
      <dgm:prSet presAssocID="{E50B6221-2167-446E-B7E2-3408865A0605}" presName="LevelTwoTextNode" presStyleLbl="node4" presStyleIdx="7" presStyleCnt="8">
        <dgm:presLayoutVars>
          <dgm:chPref val="3"/>
        </dgm:presLayoutVars>
      </dgm:prSet>
      <dgm:spPr/>
    </dgm:pt>
    <dgm:pt modelId="{191C7A9A-256E-433E-B71C-D92DB8BF79E6}" type="pres">
      <dgm:prSet presAssocID="{E50B6221-2167-446E-B7E2-3408865A0605}" presName="level3hierChild" presStyleCnt="0"/>
      <dgm:spPr/>
    </dgm:pt>
  </dgm:ptLst>
  <dgm:cxnLst>
    <dgm:cxn modelId="{AE5E4400-28C8-4A39-BC74-357D353AF99C}" type="presOf" srcId="{8811EB32-DA93-4D89-B4F5-66DCA1217F06}" destId="{25B91EF6-1550-4FC6-AAB4-2150132F3215}" srcOrd="1" destOrd="0" presId="urn:microsoft.com/office/officeart/2005/8/layout/hierarchy2"/>
    <dgm:cxn modelId="{776FA303-D5AE-4BFF-B373-E44DBE61D9AF}" type="presOf" srcId="{2DC6F17E-D027-42DF-A926-439C0AB7503B}" destId="{3B1F83ED-0441-401D-BE2A-6A63B0A7F1F8}" srcOrd="0" destOrd="0" presId="urn:microsoft.com/office/officeart/2005/8/layout/hierarchy2"/>
    <dgm:cxn modelId="{D56D5A13-251A-483A-9072-3916AF95CB1D}" type="presOf" srcId="{CF7187C4-847E-4347-AB74-CFABE4493884}" destId="{76603B25-B9E7-4931-91F3-F0A11EE9691F}" srcOrd="1" destOrd="0" presId="urn:microsoft.com/office/officeart/2005/8/layout/hierarchy2"/>
    <dgm:cxn modelId="{4544AE15-022D-4621-A65E-71B1FB934012}" type="presOf" srcId="{2130AC78-E15E-47D1-AA79-A4B7122DC002}" destId="{00283582-6260-4F5A-AE59-1301B04A84BC}" srcOrd="0" destOrd="0" presId="urn:microsoft.com/office/officeart/2005/8/layout/hierarchy2"/>
    <dgm:cxn modelId="{6EC77C1A-FE82-459C-9CC2-21CCCE29A812}" type="presOf" srcId="{D95CD88F-AC5E-427A-9384-572854CFD6FB}" destId="{C8146A13-B3EA-4BBF-8E76-685631020E8E}" srcOrd="1" destOrd="0" presId="urn:microsoft.com/office/officeart/2005/8/layout/hierarchy2"/>
    <dgm:cxn modelId="{5ABA8D1A-6D3F-4993-B6C2-628BA118E134}" type="presOf" srcId="{339DA263-4685-4E8F-B741-D8768B0F7F10}" destId="{988EC3DA-6ECE-47F4-BAF4-6B4F76CBA74C}" srcOrd="0" destOrd="0" presId="urn:microsoft.com/office/officeart/2005/8/layout/hierarchy2"/>
    <dgm:cxn modelId="{7FD7001E-F747-4237-B00A-AAA9781253F9}" srcId="{64B2BE6F-2415-4F15-B5D9-97A46F97A8DE}" destId="{623F4A8D-9D10-4046-9603-3A12968E5661}" srcOrd="4" destOrd="0" parTransId="{0A496CC4-1096-4E41-B4AD-1EDCF7620FBF}" sibTransId="{4C525C0E-A735-4B08-A6AF-1457745EECF6}"/>
    <dgm:cxn modelId="{C343661E-DC84-49F4-A239-8FB931029EF7}" srcId="{0A906B13-9A9A-4B76-A57F-8CF2382BA38F}" destId="{2DC6F17E-D027-42DF-A926-439C0AB7503B}" srcOrd="0" destOrd="0" parTransId="{6DBAC83D-30AA-4A8D-91E9-5DF35552A638}" sibTransId="{CDBE33DA-C45D-4E0C-A0B0-A2E41ACA24F6}"/>
    <dgm:cxn modelId="{756B371F-5818-4F91-BA03-B6D0A28B9970}" type="presOf" srcId="{51ACBDDC-B768-4DF1-B4AA-E729159AE147}" destId="{6FF3878A-543D-4484-86A8-16D56D94645D}" srcOrd="0" destOrd="0" presId="urn:microsoft.com/office/officeart/2005/8/layout/hierarchy2"/>
    <dgm:cxn modelId="{65933220-F3EA-44A4-BDA8-3FA58FB9FDE2}" type="presOf" srcId="{DEBF26B6-EDDE-4EE7-BE1F-C35ECE211CA3}" destId="{97808662-7AAF-4786-8ACB-ADC19A2074CE}" srcOrd="1" destOrd="0" presId="urn:microsoft.com/office/officeart/2005/8/layout/hierarchy2"/>
    <dgm:cxn modelId="{36C36B22-7C2F-4E29-B367-79C3CC32CACF}" type="presOf" srcId="{BFF6B18B-BB8A-42CA-9E5C-3168182C5262}" destId="{C3B2E41F-DAAA-4CDF-8B06-DA8D525E22F3}" srcOrd="0" destOrd="0" presId="urn:microsoft.com/office/officeart/2005/8/layout/hierarchy2"/>
    <dgm:cxn modelId="{D58C8827-76F9-4348-AF7A-FE12BC60AA37}" type="presOf" srcId="{8A91D3EB-9F7F-4CD5-9A0A-337858BC96AA}" destId="{64F6F5C2-3B09-4242-97D7-9317E564AADA}" srcOrd="0" destOrd="0" presId="urn:microsoft.com/office/officeart/2005/8/layout/hierarchy2"/>
    <dgm:cxn modelId="{CF8BF62C-5D55-40DD-9205-54D63E1F5D81}" type="presOf" srcId="{D7B91717-FC25-4FCA-B803-F32FA1DAA593}" destId="{1A55C90A-F0F3-4024-93F1-405B007DAB7E}" srcOrd="0" destOrd="0" presId="urn:microsoft.com/office/officeart/2005/8/layout/hierarchy2"/>
    <dgm:cxn modelId="{3CBFC130-04DC-4134-A5A8-247FC2076A09}" type="presOf" srcId="{184CD2BD-9D2C-43BE-8E97-5428BB1F94B2}" destId="{6263B89A-E57F-4B5D-8FB6-8F24B449AEA1}" srcOrd="0" destOrd="0" presId="urn:microsoft.com/office/officeart/2005/8/layout/hierarchy2"/>
    <dgm:cxn modelId="{A1BB2634-6138-4CF9-AA9E-2409D487DCEF}" srcId="{7218EFC1-7520-4312-8CB3-75E2FC8D70E0}" destId="{64B2BE6F-2415-4F15-B5D9-97A46F97A8DE}" srcOrd="0" destOrd="0" parTransId="{D922046E-18BC-43A7-A721-EEBF4131D9F0}" sibTransId="{406B1A11-EF74-482A-91E4-D8C23CAF3E25}"/>
    <dgm:cxn modelId="{43ADD139-A79F-4133-80ED-C2591BD0FD5C}" type="presOf" srcId="{97340745-99AB-42F8-8ACD-B9B2DBF79F73}" destId="{772C4D19-9802-4B5B-9CE5-92EA3FA47572}" srcOrd="0" destOrd="0" presId="urn:microsoft.com/office/officeart/2005/8/layout/hierarchy2"/>
    <dgm:cxn modelId="{D5E6745B-1A55-429E-8828-435C1A026FDD}" type="presOf" srcId="{D7B91717-FC25-4FCA-B803-F32FA1DAA593}" destId="{9F98D199-6341-45DD-A0D5-D5CB795BE68F}" srcOrd="1" destOrd="0" presId="urn:microsoft.com/office/officeart/2005/8/layout/hierarchy2"/>
    <dgm:cxn modelId="{C576B05B-C988-415C-AC9E-62988B5A984D}" srcId="{64B2BE6F-2415-4F15-B5D9-97A46F97A8DE}" destId="{BFF6B18B-BB8A-42CA-9E5C-3168182C5262}" srcOrd="0" destOrd="0" parTransId="{DEEF5979-C0BA-4CAC-8045-6E34F98168F4}" sibTransId="{82B1F485-C54C-4A99-B2AD-FD3ACB53A2E1}"/>
    <dgm:cxn modelId="{2FE71A61-B96A-4925-B860-E39CEB474F98}" srcId="{64B2BE6F-2415-4F15-B5D9-97A46F97A8DE}" destId="{D00E1243-7B3B-4366-97DD-92BCDC90F2B3}" srcOrd="3" destOrd="0" parTransId="{FFBF6014-BB36-4930-B5E9-CA9C3B6533E6}" sibTransId="{241A6D42-E4C3-43B6-BF05-8C46BA7766A8}"/>
    <dgm:cxn modelId="{5101D143-4826-4846-9E4C-E5ADFEA7377E}" type="presOf" srcId="{D00E1243-7B3B-4366-97DD-92BCDC90F2B3}" destId="{79249272-083A-467B-8B32-D3C5981AC3EC}" srcOrd="0" destOrd="0" presId="urn:microsoft.com/office/officeart/2005/8/layout/hierarchy2"/>
    <dgm:cxn modelId="{6CB23C64-2A7C-4C38-BC28-760F2F270405}" type="presOf" srcId="{FFBF6014-BB36-4930-B5E9-CA9C3B6533E6}" destId="{4AF143FF-13A1-4FB6-9DF4-FB749B7747E8}" srcOrd="1" destOrd="0" presId="urn:microsoft.com/office/officeart/2005/8/layout/hierarchy2"/>
    <dgm:cxn modelId="{F5961145-F8E8-4E10-80F1-7387B53DFDE2}" srcId="{2DC6F17E-D027-42DF-A926-439C0AB7503B}" destId="{E50B6221-2167-446E-B7E2-3408865A0605}" srcOrd="0" destOrd="0" parTransId="{D95CD88F-AC5E-427A-9384-572854CFD6FB}" sibTransId="{CCCBBBDD-D4A2-4A06-BA20-63D9E6EF8AD4}"/>
    <dgm:cxn modelId="{87574B45-8919-4BAA-9B58-A258B07CB898}" type="presOf" srcId="{0A496CC4-1096-4E41-B4AD-1EDCF7620FBF}" destId="{D6E2779E-E482-478B-AE0A-4DFC06792E1A}" srcOrd="1" destOrd="0" presId="urn:microsoft.com/office/officeart/2005/8/layout/hierarchy2"/>
    <dgm:cxn modelId="{BA86D346-2BDD-4AC3-AABB-5CE3D92E38EC}" type="presOf" srcId="{FFBF6014-BB36-4930-B5E9-CA9C3B6533E6}" destId="{DA4EA9BC-5645-4269-B0B6-6C4271D87E58}" srcOrd="0" destOrd="0" presId="urn:microsoft.com/office/officeart/2005/8/layout/hierarchy2"/>
    <dgm:cxn modelId="{2D7FF846-FD5F-4D55-AC2D-55FBD2A131DB}" type="presOf" srcId="{44348285-14C7-4AE2-BC0D-EAE0A6C500FA}" destId="{3E472C79-E63C-482F-A8E3-FAF45A4DADB6}" srcOrd="0" destOrd="0" presId="urn:microsoft.com/office/officeart/2005/8/layout/hierarchy2"/>
    <dgm:cxn modelId="{E628DD48-AC90-4996-8342-90318C036B09}" type="presOf" srcId="{DEBF26B6-EDDE-4EE7-BE1F-C35ECE211CA3}" destId="{B6DCD013-38B6-4E29-BEEE-403658FE0CB1}" srcOrd="0" destOrd="0" presId="urn:microsoft.com/office/officeart/2005/8/layout/hierarchy2"/>
    <dgm:cxn modelId="{8F075249-939F-4AE5-8BA9-ECA9C4C10303}" type="presOf" srcId="{FF8A22A8-1ADD-4474-8864-D430DEB6BFEE}" destId="{2DECAE53-F165-4177-B196-718481FF2BC8}" srcOrd="0" destOrd="0" presId="urn:microsoft.com/office/officeart/2005/8/layout/hierarchy2"/>
    <dgm:cxn modelId="{F7DCBD49-7F32-44C1-9C99-DD1B4FFBBA01}" type="presOf" srcId="{97340745-99AB-42F8-8ACD-B9B2DBF79F73}" destId="{16E814CA-C871-49F5-A1EF-41006AAB6F15}" srcOrd="1" destOrd="0" presId="urn:microsoft.com/office/officeart/2005/8/layout/hierarchy2"/>
    <dgm:cxn modelId="{C41EB84A-1320-45E8-9F43-265B0D362A4F}" type="presOf" srcId="{E50B6221-2167-446E-B7E2-3408865A0605}" destId="{C733764E-7BD8-4A14-B3F8-6419AEBC9BF5}" srcOrd="0" destOrd="0" presId="urn:microsoft.com/office/officeart/2005/8/layout/hierarchy2"/>
    <dgm:cxn modelId="{7B67384B-003F-420B-9960-CCC5B0792BE8}" type="presOf" srcId="{DEEF5979-C0BA-4CAC-8045-6E34F98168F4}" destId="{3BEFA2CA-C631-45B8-A795-67393DDAD558}" srcOrd="1" destOrd="0" presId="urn:microsoft.com/office/officeart/2005/8/layout/hierarchy2"/>
    <dgm:cxn modelId="{A793926D-4697-4756-A0E7-F99F02E2E19E}" type="presOf" srcId="{623F4A8D-9D10-4046-9603-3A12968E5661}" destId="{02238C61-45BE-4C38-80EA-C345B5778A8E}" srcOrd="0" destOrd="0" presId="urn:microsoft.com/office/officeart/2005/8/layout/hierarchy2"/>
    <dgm:cxn modelId="{7488C14E-3CF5-4FBE-A9B1-7F9871A7A532}" type="presOf" srcId="{0A906B13-9A9A-4B76-A57F-8CF2382BA38F}" destId="{894755E9-E998-407F-AFF6-46DFEF28D3BE}" srcOrd="0" destOrd="0" presId="urn:microsoft.com/office/officeart/2005/8/layout/hierarchy2"/>
    <dgm:cxn modelId="{41C13B4F-2E6B-43BB-AD02-253629FD29E4}" srcId="{7218EFC1-7520-4312-8CB3-75E2FC8D70E0}" destId="{0CAF0C12-8F52-411D-848B-A89938206C9E}" srcOrd="1" destOrd="0" parTransId="{8811EB32-DA93-4D89-B4F5-66DCA1217F06}" sibTransId="{6F4C56CC-DB71-4D4C-8F3E-BB781405CECC}"/>
    <dgm:cxn modelId="{4877D271-17C9-44F1-9533-1BB93319C860}" type="presOf" srcId="{AAEEAB8A-7B30-4476-8148-90EB2772BD91}" destId="{65E4AD8E-BDB4-4A01-82B6-8E5D36201524}" srcOrd="0" destOrd="0" presId="urn:microsoft.com/office/officeart/2005/8/layout/hierarchy2"/>
    <dgm:cxn modelId="{95AA9755-1CF0-46E3-B3A6-3A91E997BC34}" srcId="{64B2BE6F-2415-4F15-B5D9-97A46F97A8DE}" destId="{51ACBDDC-B768-4DF1-B4AA-E729159AE147}" srcOrd="1" destOrd="0" parTransId="{CF7187C4-847E-4347-AB74-CFABE4493884}" sibTransId="{F0EEB747-A979-496C-9F78-D40116F68DE6}"/>
    <dgm:cxn modelId="{7FB80758-A916-461F-9925-F3C6EEBB7DF5}" srcId="{0CAF0C12-8F52-411D-848B-A89938206C9E}" destId="{74280230-1565-4104-BF3D-B2DDD23895E5}" srcOrd="1" destOrd="0" parTransId="{AAEEAB8A-7B30-4476-8148-90EB2772BD91}" sibTransId="{7E332D8B-E2CD-436D-92F8-6DB86E0099F7}"/>
    <dgm:cxn modelId="{EADA2281-CF67-4F53-9296-40F8586B7D84}" type="presOf" srcId="{8A91D3EB-9F7F-4CD5-9A0A-337858BC96AA}" destId="{D24BF948-C6AB-4599-A34D-76D57AE394BB}" srcOrd="1" destOrd="0" presId="urn:microsoft.com/office/officeart/2005/8/layout/hierarchy2"/>
    <dgm:cxn modelId="{60F56087-A92F-4428-A057-6A9DB6F90857}" type="presOf" srcId="{6DBAC83D-30AA-4A8D-91E9-5DF35552A638}" destId="{CF4E8F2C-5601-48F8-9D02-AAF399793910}" srcOrd="1" destOrd="0" presId="urn:microsoft.com/office/officeart/2005/8/layout/hierarchy2"/>
    <dgm:cxn modelId="{EFB7A890-0486-43A2-AF79-0D8015C0A687}" srcId="{FF8A22A8-1ADD-4474-8864-D430DEB6BFEE}" destId="{0A906B13-9A9A-4B76-A57F-8CF2382BA38F}" srcOrd="2" destOrd="0" parTransId="{339DA263-4685-4E8F-B741-D8768B0F7F10}" sibTransId="{C4241469-D1EB-42DA-86A5-40E19E285DE9}"/>
    <dgm:cxn modelId="{57383692-C7EE-42DC-9BDA-1BB7A7AB8880}" type="presOf" srcId="{0CAF0C12-8F52-411D-848B-A89938206C9E}" destId="{6C128D3E-0823-464B-A54C-8772C0C4C78C}" srcOrd="0" destOrd="0" presId="urn:microsoft.com/office/officeart/2005/8/layout/hierarchy2"/>
    <dgm:cxn modelId="{DFFCB892-3D0B-4B88-970A-EDFB5C3393B2}" srcId="{0CAF0C12-8F52-411D-848B-A89938206C9E}" destId="{44348285-14C7-4AE2-BC0D-EAE0A6C500FA}" srcOrd="0" destOrd="0" parTransId="{DEBF26B6-EDDE-4EE7-BE1F-C35ECE211CA3}" sibTransId="{D1C4BAE4-555F-4732-BB54-3EBE6758BB60}"/>
    <dgm:cxn modelId="{AC1F2999-8EE5-412C-84E9-E5EF6D3F0165}" type="presOf" srcId="{5FE9AD9F-B668-428D-AD45-5DB53B8DC5EB}" destId="{9CBCD485-4E39-4975-B9BC-F40DEAF948D8}" srcOrd="0" destOrd="0" presId="urn:microsoft.com/office/officeart/2005/8/layout/hierarchy2"/>
    <dgm:cxn modelId="{935A7C9A-4FDA-4183-9B49-B0E2EB5AAD19}" srcId="{AFD34D67-5470-42AC-AB06-AC1D65B7A418}" destId="{810C7F12-548D-43F4-A2F6-BDEA2C949DE3}" srcOrd="1" destOrd="0" parTransId="{8A91D3EB-9F7F-4CD5-9A0A-337858BC96AA}" sibTransId="{4EF0013E-6C9B-4379-8825-90E1F757BB70}"/>
    <dgm:cxn modelId="{3AAC7E8A-971A-4D3B-A961-E667E54BBF15}" type="presOf" srcId="{DEEF5979-C0BA-4CAC-8045-6E34F98168F4}" destId="{E8B885AE-6C1E-4976-AAC8-9C3B47E300A0}" srcOrd="0" destOrd="0" presId="urn:microsoft.com/office/officeart/2005/8/layout/hierarchy2"/>
    <dgm:cxn modelId="{152C119C-7595-4002-AE39-ED7300A1851B}" type="presOf" srcId="{810C7F12-548D-43F4-A2F6-BDEA2C949DE3}" destId="{3E76D72E-A6D7-4C5F-B460-716FAE2B30DD}" srcOrd="0" destOrd="0" presId="urn:microsoft.com/office/officeart/2005/8/layout/hierarchy2"/>
    <dgm:cxn modelId="{EA127E8C-E06B-41E0-B97C-AAA7340B005B}" srcId="{FF8A22A8-1ADD-4474-8864-D430DEB6BFEE}" destId="{7218EFC1-7520-4312-8CB3-75E2FC8D70E0}" srcOrd="1" destOrd="0" parTransId="{2130AC78-E15E-47D1-AA79-A4B7122DC002}" sibTransId="{A50AA0BA-4BCF-4571-9CF4-627E6C54A0B4}"/>
    <dgm:cxn modelId="{1B75A19D-21E2-4722-92B0-76FBF89477C8}" type="presOf" srcId="{64B2BE6F-2415-4F15-B5D9-97A46F97A8DE}" destId="{305BA63C-4A69-4EC1-90BB-B57304D8B97C}" srcOrd="0" destOrd="0" presId="urn:microsoft.com/office/officeart/2005/8/layout/hierarchy2"/>
    <dgm:cxn modelId="{5E8E3E9E-3083-483A-926E-2256E4E9CFDE}" type="presOf" srcId="{D922046E-18BC-43A7-A721-EEBF4131D9F0}" destId="{2E8B435A-60D8-44C8-87B6-D7087E0E0D86}" srcOrd="1" destOrd="0" presId="urn:microsoft.com/office/officeart/2005/8/layout/hierarchy2"/>
    <dgm:cxn modelId="{9DC0BD8E-306F-437C-9FCD-EE9D107362FE}" type="presOf" srcId="{8811EB32-DA93-4D89-B4F5-66DCA1217F06}" destId="{AD0BC1E5-87F3-491E-AC79-6BECF3CBCEBE}" srcOrd="0" destOrd="0" presId="urn:microsoft.com/office/officeart/2005/8/layout/hierarchy2"/>
    <dgm:cxn modelId="{254F72A0-046C-4322-BDC3-747DF51A15F2}" type="presOf" srcId="{7218EFC1-7520-4312-8CB3-75E2FC8D70E0}" destId="{AB60EB13-DA3B-496B-A347-C141A1F1CC50}" srcOrd="0" destOrd="0" presId="urn:microsoft.com/office/officeart/2005/8/layout/hierarchy2"/>
    <dgm:cxn modelId="{DD344AA6-E7C0-40A6-AB42-47457FDE2BAF}" srcId="{5FE9AD9F-B668-428D-AD45-5DB53B8DC5EB}" destId="{FF8A22A8-1ADD-4474-8864-D430DEB6BFEE}" srcOrd="0" destOrd="0" parTransId="{4B7FC1E9-8146-46E0-A90C-962C2B917AE8}" sibTransId="{79AB8AF5-3F24-49BF-BCB6-467410CA6DBE}"/>
    <dgm:cxn modelId="{CE536DA6-74A1-418E-A5B0-B86917CEF2B0}" type="presOf" srcId="{F11C790A-42DD-4F8A-B336-594617DF524D}" destId="{A23263B1-75D8-45C1-BEA3-437BEFA8808E}" srcOrd="0" destOrd="0" presId="urn:microsoft.com/office/officeart/2005/8/layout/hierarchy2"/>
    <dgm:cxn modelId="{76B2B5A9-5BCD-4B8B-9881-6013DB5ADDFA}" type="presOf" srcId="{D922046E-18BC-43A7-A721-EEBF4131D9F0}" destId="{1A33DD3B-06A6-4893-AB7A-D9952A26614A}" srcOrd="0" destOrd="0" presId="urn:microsoft.com/office/officeart/2005/8/layout/hierarchy2"/>
    <dgm:cxn modelId="{478798AA-EF71-4AC7-9C32-171FE6FA089D}" type="presOf" srcId="{74280230-1565-4104-BF3D-B2DDD23895E5}" destId="{2923847B-ACF8-4568-B993-ADE1B9F0B655}" srcOrd="0" destOrd="0" presId="urn:microsoft.com/office/officeart/2005/8/layout/hierarchy2"/>
    <dgm:cxn modelId="{2E2302AC-E24C-4842-AF89-8B95F5B4C1B4}" type="presOf" srcId="{D95CD88F-AC5E-427A-9384-572854CFD6FB}" destId="{73F5EB01-5B49-45F6-A1B2-E0641A88BF22}" srcOrd="0" destOrd="0" presId="urn:microsoft.com/office/officeart/2005/8/layout/hierarchy2"/>
    <dgm:cxn modelId="{FA3C7CAD-17C7-458F-99FF-8C40D790B7DD}" type="presOf" srcId="{339DA263-4685-4E8F-B741-D8768B0F7F10}" destId="{C887261E-8E83-4772-BD31-4C86784472A4}" srcOrd="1" destOrd="0" presId="urn:microsoft.com/office/officeart/2005/8/layout/hierarchy2"/>
    <dgm:cxn modelId="{96BFD7B0-F8D9-40DA-9866-BC39D1C50C5F}" type="presOf" srcId="{0A496CC4-1096-4E41-B4AD-1EDCF7620FBF}" destId="{EABD8799-DAF1-4C8C-AC27-D2E8B7D9F5E2}" srcOrd="0" destOrd="0" presId="urn:microsoft.com/office/officeart/2005/8/layout/hierarchy2"/>
    <dgm:cxn modelId="{ED6410B7-73C5-4AD5-BA33-340795ACADD5}" type="presOf" srcId="{6DBAC83D-30AA-4A8D-91E9-5DF35552A638}" destId="{D26DE543-0B00-4F47-85EF-B64B44549000}" srcOrd="0" destOrd="0" presId="urn:microsoft.com/office/officeart/2005/8/layout/hierarchy2"/>
    <dgm:cxn modelId="{C28FE8BA-2AA9-4A1C-9FDA-AB70D3ABBDCE}" srcId="{64B2BE6F-2415-4F15-B5D9-97A46F97A8DE}" destId="{184CD2BD-9D2C-43BE-8E97-5428BB1F94B2}" srcOrd="2" destOrd="0" parTransId="{97340745-99AB-42F8-8ACD-B9B2DBF79F73}" sibTransId="{532DA012-C9AD-49C0-8F48-C77FD890E9D0}"/>
    <dgm:cxn modelId="{64ABF6BB-695A-4356-87E1-90EAF34CF717}" type="presOf" srcId="{2130AC78-E15E-47D1-AA79-A4B7122DC002}" destId="{ECC491E9-88EA-4577-87CA-9E90E06D1698}" srcOrd="1" destOrd="0" presId="urn:microsoft.com/office/officeart/2005/8/layout/hierarchy2"/>
    <dgm:cxn modelId="{E9D6ABDF-8901-46F8-BF05-259D7E3CD813}" srcId="{AFD34D67-5470-42AC-AB06-AC1D65B7A418}" destId="{10EEE459-0CF3-4DD5-A3A5-F85EE672CB1F}" srcOrd="0" destOrd="0" parTransId="{D7B91717-FC25-4FCA-B803-F32FA1DAA593}" sibTransId="{9B4F425E-EA25-432D-ABE2-3E3EE80D608D}"/>
    <dgm:cxn modelId="{7887D1C0-EDC4-4F1C-B01F-45097A1A54B1}" type="presOf" srcId="{CF7187C4-847E-4347-AB74-CFABE4493884}" destId="{18B7B468-C642-4ADB-BAF2-046B02D4CC7F}" srcOrd="0" destOrd="0" presId="urn:microsoft.com/office/officeart/2005/8/layout/hierarchy2"/>
    <dgm:cxn modelId="{8F76A1CB-C1F4-4355-8B2E-1735C254D1F3}" type="presOf" srcId="{F11C790A-42DD-4F8A-B336-594617DF524D}" destId="{B16481ED-D031-4414-8799-570C0AF9E04F}" srcOrd="1" destOrd="0" presId="urn:microsoft.com/office/officeart/2005/8/layout/hierarchy2"/>
    <dgm:cxn modelId="{7EE0A0F1-7C49-4CFF-B1CF-B9B3B800ED50}" type="presOf" srcId="{AFD34D67-5470-42AC-AB06-AC1D65B7A418}" destId="{FB4986DC-9FBD-40BA-9ABF-FDFE142B06C3}" srcOrd="0" destOrd="0" presId="urn:microsoft.com/office/officeart/2005/8/layout/hierarchy2"/>
    <dgm:cxn modelId="{BAA0B5F3-8245-4E10-8D97-0782648C0940}" type="presOf" srcId="{AAEEAB8A-7B30-4476-8148-90EB2772BD91}" destId="{BAFEDE54-692B-43FD-9A47-1DC8A29F9E41}" srcOrd="1" destOrd="0" presId="urn:microsoft.com/office/officeart/2005/8/layout/hierarchy2"/>
    <dgm:cxn modelId="{C68611D6-2D5F-4479-B63F-6BAD0B6EECC2}" srcId="{FF8A22A8-1ADD-4474-8864-D430DEB6BFEE}" destId="{AFD34D67-5470-42AC-AB06-AC1D65B7A418}" srcOrd="0" destOrd="0" parTransId="{F11C790A-42DD-4F8A-B336-594617DF524D}" sibTransId="{E71050C0-D392-4BE2-A1CE-AB69201190B7}"/>
    <dgm:cxn modelId="{2DC6BB9F-75DB-4101-BA39-011B8239B944}" type="presOf" srcId="{10EEE459-0CF3-4DD5-A3A5-F85EE672CB1F}" destId="{591CFC33-5FE5-49BA-9CB3-E584F8A2DAFE}" srcOrd="0" destOrd="0" presId="urn:microsoft.com/office/officeart/2005/8/layout/hierarchy2"/>
    <dgm:cxn modelId="{86259A4E-EB84-4918-8CE3-9823F6C6CFD6}" type="presParOf" srcId="{9CBCD485-4E39-4975-B9BC-F40DEAF948D8}" destId="{3E809C47-40D3-44D4-9202-779A36D4C11A}" srcOrd="0" destOrd="0" presId="urn:microsoft.com/office/officeart/2005/8/layout/hierarchy2"/>
    <dgm:cxn modelId="{53863503-E0DE-4579-913C-16DA2D1C7E6D}" type="presParOf" srcId="{3E809C47-40D3-44D4-9202-779A36D4C11A}" destId="{2DECAE53-F165-4177-B196-718481FF2BC8}" srcOrd="0" destOrd="0" presId="urn:microsoft.com/office/officeart/2005/8/layout/hierarchy2"/>
    <dgm:cxn modelId="{DE19C4AF-BE14-48B9-8214-AD2074084964}" type="presParOf" srcId="{3E809C47-40D3-44D4-9202-779A36D4C11A}" destId="{965EFA25-C466-4156-8162-7D90D44D63D8}" srcOrd="1" destOrd="0" presId="urn:microsoft.com/office/officeart/2005/8/layout/hierarchy2"/>
    <dgm:cxn modelId="{2E02625C-3CE7-48BC-B3EC-818AE8F9956D}" type="presParOf" srcId="{965EFA25-C466-4156-8162-7D90D44D63D8}" destId="{A23263B1-75D8-45C1-BEA3-437BEFA8808E}" srcOrd="0" destOrd="0" presId="urn:microsoft.com/office/officeart/2005/8/layout/hierarchy2"/>
    <dgm:cxn modelId="{39B5BE31-E971-4289-BF63-3ED3269B5103}" type="presParOf" srcId="{A23263B1-75D8-45C1-BEA3-437BEFA8808E}" destId="{B16481ED-D031-4414-8799-570C0AF9E04F}" srcOrd="0" destOrd="0" presId="urn:microsoft.com/office/officeart/2005/8/layout/hierarchy2"/>
    <dgm:cxn modelId="{E59669B0-7056-4B9C-8C61-157BACF23E64}" type="presParOf" srcId="{965EFA25-C466-4156-8162-7D90D44D63D8}" destId="{AFC7F903-A734-4BB6-A31D-B5867ED66F93}" srcOrd="1" destOrd="0" presId="urn:microsoft.com/office/officeart/2005/8/layout/hierarchy2"/>
    <dgm:cxn modelId="{56B90B1E-5DB5-4F8E-845A-35FDC7FEA8F8}" type="presParOf" srcId="{AFC7F903-A734-4BB6-A31D-B5867ED66F93}" destId="{FB4986DC-9FBD-40BA-9ABF-FDFE142B06C3}" srcOrd="0" destOrd="0" presId="urn:microsoft.com/office/officeart/2005/8/layout/hierarchy2"/>
    <dgm:cxn modelId="{E66FE075-287F-421C-AD4C-1F1495FCF55D}" type="presParOf" srcId="{AFC7F903-A734-4BB6-A31D-B5867ED66F93}" destId="{E253F89D-7FF4-421D-B6C1-EACDE46B1437}" srcOrd="1" destOrd="0" presId="urn:microsoft.com/office/officeart/2005/8/layout/hierarchy2"/>
    <dgm:cxn modelId="{BA3FA87F-511B-4DD3-9F5D-4BE52598634D}" type="presParOf" srcId="{E253F89D-7FF4-421D-B6C1-EACDE46B1437}" destId="{1A55C90A-F0F3-4024-93F1-405B007DAB7E}" srcOrd="0" destOrd="0" presId="urn:microsoft.com/office/officeart/2005/8/layout/hierarchy2"/>
    <dgm:cxn modelId="{425B8300-101C-460E-B148-B71ABCA3A72A}" type="presParOf" srcId="{1A55C90A-F0F3-4024-93F1-405B007DAB7E}" destId="{9F98D199-6341-45DD-A0D5-D5CB795BE68F}" srcOrd="0" destOrd="0" presId="urn:microsoft.com/office/officeart/2005/8/layout/hierarchy2"/>
    <dgm:cxn modelId="{9B63F9B8-0A91-4E39-B05B-8DC32EB0FC84}" type="presParOf" srcId="{E253F89D-7FF4-421D-B6C1-EACDE46B1437}" destId="{56D63BF4-8487-42C8-82DC-26349CD1CDCA}" srcOrd="1" destOrd="0" presId="urn:microsoft.com/office/officeart/2005/8/layout/hierarchy2"/>
    <dgm:cxn modelId="{2152BA2A-E308-4657-8700-88862BFCF836}" type="presParOf" srcId="{56D63BF4-8487-42C8-82DC-26349CD1CDCA}" destId="{591CFC33-5FE5-49BA-9CB3-E584F8A2DAFE}" srcOrd="0" destOrd="0" presId="urn:microsoft.com/office/officeart/2005/8/layout/hierarchy2"/>
    <dgm:cxn modelId="{38801345-1DA2-4993-8293-118CF4A2D606}" type="presParOf" srcId="{56D63BF4-8487-42C8-82DC-26349CD1CDCA}" destId="{E1205354-962C-44F2-A19D-5D83BDB6D7B5}" srcOrd="1" destOrd="0" presId="urn:microsoft.com/office/officeart/2005/8/layout/hierarchy2"/>
    <dgm:cxn modelId="{A0926D54-3496-463C-96EE-A4BF3530A37C}" type="presParOf" srcId="{E253F89D-7FF4-421D-B6C1-EACDE46B1437}" destId="{64F6F5C2-3B09-4242-97D7-9317E564AADA}" srcOrd="2" destOrd="0" presId="urn:microsoft.com/office/officeart/2005/8/layout/hierarchy2"/>
    <dgm:cxn modelId="{0AEF4B5A-1ABE-452E-A432-9C1C9D290689}" type="presParOf" srcId="{64F6F5C2-3B09-4242-97D7-9317E564AADA}" destId="{D24BF948-C6AB-4599-A34D-76D57AE394BB}" srcOrd="0" destOrd="0" presId="urn:microsoft.com/office/officeart/2005/8/layout/hierarchy2"/>
    <dgm:cxn modelId="{2A467146-FEE5-46B9-8B3B-7906610AD8BE}" type="presParOf" srcId="{E253F89D-7FF4-421D-B6C1-EACDE46B1437}" destId="{8A58CE4D-51C0-4630-B73D-7B143B9BF160}" srcOrd="3" destOrd="0" presId="urn:microsoft.com/office/officeart/2005/8/layout/hierarchy2"/>
    <dgm:cxn modelId="{9EE30065-A3D3-40D1-96A0-1AEC5A51ADA2}" type="presParOf" srcId="{8A58CE4D-51C0-4630-B73D-7B143B9BF160}" destId="{3E76D72E-A6D7-4C5F-B460-716FAE2B30DD}" srcOrd="0" destOrd="0" presId="urn:microsoft.com/office/officeart/2005/8/layout/hierarchy2"/>
    <dgm:cxn modelId="{9D5A76B4-1526-46C8-A369-33BE9DC1A111}" type="presParOf" srcId="{8A58CE4D-51C0-4630-B73D-7B143B9BF160}" destId="{4AECD922-0D9C-4CE8-AA8A-AA8DD07E96EC}" srcOrd="1" destOrd="0" presId="urn:microsoft.com/office/officeart/2005/8/layout/hierarchy2"/>
    <dgm:cxn modelId="{631107E0-CE53-44B1-94B7-AECC365D5AE5}" type="presParOf" srcId="{965EFA25-C466-4156-8162-7D90D44D63D8}" destId="{00283582-6260-4F5A-AE59-1301B04A84BC}" srcOrd="2" destOrd="0" presId="urn:microsoft.com/office/officeart/2005/8/layout/hierarchy2"/>
    <dgm:cxn modelId="{08D6D0BD-6804-4C0E-8EAE-FD8F5249242D}" type="presParOf" srcId="{00283582-6260-4F5A-AE59-1301B04A84BC}" destId="{ECC491E9-88EA-4577-87CA-9E90E06D1698}" srcOrd="0" destOrd="0" presId="urn:microsoft.com/office/officeart/2005/8/layout/hierarchy2"/>
    <dgm:cxn modelId="{0F919C1F-9A01-4995-A6BB-C17DCF8ED30B}" type="presParOf" srcId="{965EFA25-C466-4156-8162-7D90D44D63D8}" destId="{532F59BB-B5EB-4C56-8266-122ABE0BE4A8}" srcOrd="3" destOrd="0" presId="urn:microsoft.com/office/officeart/2005/8/layout/hierarchy2"/>
    <dgm:cxn modelId="{3E9AE2C1-4AAA-4360-B9F5-B863FC25F8AA}" type="presParOf" srcId="{532F59BB-B5EB-4C56-8266-122ABE0BE4A8}" destId="{AB60EB13-DA3B-496B-A347-C141A1F1CC50}" srcOrd="0" destOrd="0" presId="urn:microsoft.com/office/officeart/2005/8/layout/hierarchy2"/>
    <dgm:cxn modelId="{405F1C9D-859C-44B9-A54D-A6729273EB0C}" type="presParOf" srcId="{532F59BB-B5EB-4C56-8266-122ABE0BE4A8}" destId="{C65225CD-39CD-4ED8-A77D-8B003C214EF8}" srcOrd="1" destOrd="0" presId="urn:microsoft.com/office/officeart/2005/8/layout/hierarchy2"/>
    <dgm:cxn modelId="{4DB7E8DD-194D-43AF-88BD-E49A7DC5BB1A}" type="presParOf" srcId="{C65225CD-39CD-4ED8-A77D-8B003C214EF8}" destId="{1A33DD3B-06A6-4893-AB7A-D9952A26614A}" srcOrd="0" destOrd="0" presId="urn:microsoft.com/office/officeart/2005/8/layout/hierarchy2"/>
    <dgm:cxn modelId="{73A605A6-9907-43C9-BC03-8BDBE23B22ED}" type="presParOf" srcId="{1A33DD3B-06A6-4893-AB7A-D9952A26614A}" destId="{2E8B435A-60D8-44C8-87B6-D7087E0E0D86}" srcOrd="0" destOrd="0" presId="urn:microsoft.com/office/officeart/2005/8/layout/hierarchy2"/>
    <dgm:cxn modelId="{86F80FE0-C044-4573-B025-72DCAC4A4CCA}" type="presParOf" srcId="{C65225CD-39CD-4ED8-A77D-8B003C214EF8}" destId="{FBE43A99-321C-430C-87D6-4C121108D91F}" srcOrd="1" destOrd="0" presId="urn:microsoft.com/office/officeart/2005/8/layout/hierarchy2"/>
    <dgm:cxn modelId="{96324A3A-1395-4839-A9E7-BBD8DA47F148}" type="presParOf" srcId="{FBE43A99-321C-430C-87D6-4C121108D91F}" destId="{305BA63C-4A69-4EC1-90BB-B57304D8B97C}" srcOrd="0" destOrd="0" presId="urn:microsoft.com/office/officeart/2005/8/layout/hierarchy2"/>
    <dgm:cxn modelId="{A6676917-78D8-4453-A9E6-036260F65C0F}" type="presParOf" srcId="{FBE43A99-321C-430C-87D6-4C121108D91F}" destId="{B6AEB568-1581-4175-9B94-12C533D6E3EF}" srcOrd="1" destOrd="0" presId="urn:microsoft.com/office/officeart/2005/8/layout/hierarchy2"/>
    <dgm:cxn modelId="{DC9C2F12-6745-4AEB-A6F2-249479763FB5}" type="presParOf" srcId="{B6AEB568-1581-4175-9B94-12C533D6E3EF}" destId="{E8B885AE-6C1E-4976-AAC8-9C3B47E300A0}" srcOrd="0" destOrd="0" presId="urn:microsoft.com/office/officeart/2005/8/layout/hierarchy2"/>
    <dgm:cxn modelId="{14372688-4531-4C74-9E6B-F48942E6E729}" type="presParOf" srcId="{E8B885AE-6C1E-4976-AAC8-9C3B47E300A0}" destId="{3BEFA2CA-C631-45B8-A795-67393DDAD558}" srcOrd="0" destOrd="0" presId="urn:microsoft.com/office/officeart/2005/8/layout/hierarchy2"/>
    <dgm:cxn modelId="{82D60605-D2A4-4169-A5D3-AFCA9A54D8E3}" type="presParOf" srcId="{B6AEB568-1581-4175-9B94-12C533D6E3EF}" destId="{5251CD34-9C87-4AE5-B818-37B52FD5E2AF}" srcOrd="1" destOrd="0" presId="urn:microsoft.com/office/officeart/2005/8/layout/hierarchy2"/>
    <dgm:cxn modelId="{B224466B-7518-4A70-890B-34255340D5ED}" type="presParOf" srcId="{5251CD34-9C87-4AE5-B818-37B52FD5E2AF}" destId="{C3B2E41F-DAAA-4CDF-8B06-DA8D525E22F3}" srcOrd="0" destOrd="0" presId="urn:microsoft.com/office/officeart/2005/8/layout/hierarchy2"/>
    <dgm:cxn modelId="{B0B86FAF-DAE6-47A8-AE2F-87C1C31FC134}" type="presParOf" srcId="{5251CD34-9C87-4AE5-B818-37B52FD5E2AF}" destId="{78C447C3-82CD-4FB5-AEDD-CFDF12BED6AE}" srcOrd="1" destOrd="0" presId="urn:microsoft.com/office/officeart/2005/8/layout/hierarchy2"/>
    <dgm:cxn modelId="{1A319410-C06D-41D1-9F2F-1169B603CCE8}" type="presParOf" srcId="{B6AEB568-1581-4175-9B94-12C533D6E3EF}" destId="{18B7B468-C642-4ADB-BAF2-046B02D4CC7F}" srcOrd="2" destOrd="0" presId="urn:microsoft.com/office/officeart/2005/8/layout/hierarchy2"/>
    <dgm:cxn modelId="{6A7C1994-0867-4D3D-8F15-8B948B8BF377}" type="presParOf" srcId="{18B7B468-C642-4ADB-BAF2-046B02D4CC7F}" destId="{76603B25-B9E7-4931-91F3-F0A11EE9691F}" srcOrd="0" destOrd="0" presId="urn:microsoft.com/office/officeart/2005/8/layout/hierarchy2"/>
    <dgm:cxn modelId="{1C64E34C-55D4-4654-A668-B056A906FBF2}" type="presParOf" srcId="{B6AEB568-1581-4175-9B94-12C533D6E3EF}" destId="{B034CD7C-FDD3-4995-AB47-1A0F8F428CFB}" srcOrd="3" destOrd="0" presId="urn:microsoft.com/office/officeart/2005/8/layout/hierarchy2"/>
    <dgm:cxn modelId="{86F64DE3-6C01-486E-99A4-030C9DACB435}" type="presParOf" srcId="{B034CD7C-FDD3-4995-AB47-1A0F8F428CFB}" destId="{6FF3878A-543D-4484-86A8-16D56D94645D}" srcOrd="0" destOrd="0" presId="urn:microsoft.com/office/officeart/2005/8/layout/hierarchy2"/>
    <dgm:cxn modelId="{4399E0F9-1397-4C75-AD92-CD3F8E552A54}" type="presParOf" srcId="{B034CD7C-FDD3-4995-AB47-1A0F8F428CFB}" destId="{299021D0-EFFD-494B-9FAA-B969A39EE37E}" srcOrd="1" destOrd="0" presId="urn:microsoft.com/office/officeart/2005/8/layout/hierarchy2"/>
    <dgm:cxn modelId="{B42F414F-1BE3-49C4-8943-D5CF423EFC69}" type="presParOf" srcId="{B6AEB568-1581-4175-9B94-12C533D6E3EF}" destId="{772C4D19-9802-4B5B-9CE5-92EA3FA47572}" srcOrd="4" destOrd="0" presId="urn:microsoft.com/office/officeart/2005/8/layout/hierarchy2"/>
    <dgm:cxn modelId="{ABB970C4-A2F0-4BFA-835D-0BBEF4AEA869}" type="presParOf" srcId="{772C4D19-9802-4B5B-9CE5-92EA3FA47572}" destId="{16E814CA-C871-49F5-A1EF-41006AAB6F15}" srcOrd="0" destOrd="0" presId="urn:microsoft.com/office/officeart/2005/8/layout/hierarchy2"/>
    <dgm:cxn modelId="{C75783E6-77E2-4C52-91FF-A74AA5A0AB95}" type="presParOf" srcId="{B6AEB568-1581-4175-9B94-12C533D6E3EF}" destId="{AF3B8005-AA95-420A-A80D-DB03200A31D2}" srcOrd="5" destOrd="0" presId="urn:microsoft.com/office/officeart/2005/8/layout/hierarchy2"/>
    <dgm:cxn modelId="{8CFECDEB-E0F4-412D-BE82-88363817C905}" type="presParOf" srcId="{AF3B8005-AA95-420A-A80D-DB03200A31D2}" destId="{6263B89A-E57F-4B5D-8FB6-8F24B449AEA1}" srcOrd="0" destOrd="0" presId="urn:microsoft.com/office/officeart/2005/8/layout/hierarchy2"/>
    <dgm:cxn modelId="{758D4E4D-5479-4BFF-BF3E-AD4E558CA001}" type="presParOf" srcId="{AF3B8005-AA95-420A-A80D-DB03200A31D2}" destId="{5BEED1A7-127C-40A6-AD17-CA8BC4D88399}" srcOrd="1" destOrd="0" presId="urn:microsoft.com/office/officeart/2005/8/layout/hierarchy2"/>
    <dgm:cxn modelId="{4FF1F3E8-F679-4AAE-A371-13512A88D214}" type="presParOf" srcId="{B6AEB568-1581-4175-9B94-12C533D6E3EF}" destId="{DA4EA9BC-5645-4269-B0B6-6C4271D87E58}" srcOrd="6" destOrd="0" presId="urn:microsoft.com/office/officeart/2005/8/layout/hierarchy2"/>
    <dgm:cxn modelId="{6AA3F147-06FD-4E73-8BEC-DDE0D41A36E0}" type="presParOf" srcId="{DA4EA9BC-5645-4269-B0B6-6C4271D87E58}" destId="{4AF143FF-13A1-4FB6-9DF4-FB749B7747E8}" srcOrd="0" destOrd="0" presId="urn:microsoft.com/office/officeart/2005/8/layout/hierarchy2"/>
    <dgm:cxn modelId="{46558113-122C-4A07-B0F4-DC58EFA77B8C}" type="presParOf" srcId="{B6AEB568-1581-4175-9B94-12C533D6E3EF}" destId="{ECA613C8-72A9-4B97-A720-A1A29B2C45D3}" srcOrd="7" destOrd="0" presId="urn:microsoft.com/office/officeart/2005/8/layout/hierarchy2"/>
    <dgm:cxn modelId="{86E1E286-DC85-4E4A-A26A-BCDB0CF49F2B}" type="presParOf" srcId="{ECA613C8-72A9-4B97-A720-A1A29B2C45D3}" destId="{79249272-083A-467B-8B32-D3C5981AC3EC}" srcOrd="0" destOrd="0" presId="urn:microsoft.com/office/officeart/2005/8/layout/hierarchy2"/>
    <dgm:cxn modelId="{97960FC7-C948-4227-A6DC-31E764A028C0}" type="presParOf" srcId="{ECA613C8-72A9-4B97-A720-A1A29B2C45D3}" destId="{CD43BC2E-7B7E-438C-8331-062F9C2C213C}" srcOrd="1" destOrd="0" presId="urn:microsoft.com/office/officeart/2005/8/layout/hierarchy2"/>
    <dgm:cxn modelId="{B46684F5-3F8F-4E25-A5DE-2298C643DCD1}" type="presParOf" srcId="{B6AEB568-1581-4175-9B94-12C533D6E3EF}" destId="{EABD8799-DAF1-4C8C-AC27-D2E8B7D9F5E2}" srcOrd="8" destOrd="0" presId="urn:microsoft.com/office/officeart/2005/8/layout/hierarchy2"/>
    <dgm:cxn modelId="{3E4307A0-E1CF-46D3-8827-09C6B5E76BFD}" type="presParOf" srcId="{EABD8799-DAF1-4C8C-AC27-D2E8B7D9F5E2}" destId="{D6E2779E-E482-478B-AE0A-4DFC06792E1A}" srcOrd="0" destOrd="0" presId="urn:microsoft.com/office/officeart/2005/8/layout/hierarchy2"/>
    <dgm:cxn modelId="{443F4853-9457-4862-B555-025DBF398FD5}" type="presParOf" srcId="{B6AEB568-1581-4175-9B94-12C533D6E3EF}" destId="{ECDCF046-05A9-4C51-BF0D-87CA108DE666}" srcOrd="9" destOrd="0" presId="urn:microsoft.com/office/officeart/2005/8/layout/hierarchy2"/>
    <dgm:cxn modelId="{81BE4443-1D2B-420E-BD7B-45A89C8897FA}" type="presParOf" srcId="{ECDCF046-05A9-4C51-BF0D-87CA108DE666}" destId="{02238C61-45BE-4C38-80EA-C345B5778A8E}" srcOrd="0" destOrd="0" presId="urn:microsoft.com/office/officeart/2005/8/layout/hierarchy2"/>
    <dgm:cxn modelId="{0411EA86-1874-4256-90D1-FC201828BC18}" type="presParOf" srcId="{ECDCF046-05A9-4C51-BF0D-87CA108DE666}" destId="{D9B2FCEF-9989-4219-88EB-C8128371AB37}" srcOrd="1" destOrd="0" presId="urn:microsoft.com/office/officeart/2005/8/layout/hierarchy2"/>
    <dgm:cxn modelId="{BC0BDE96-0716-49D6-A2D6-76E602A07524}" type="presParOf" srcId="{C65225CD-39CD-4ED8-A77D-8B003C214EF8}" destId="{AD0BC1E5-87F3-491E-AC79-6BECF3CBCEBE}" srcOrd="2" destOrd="0" presId="urn:microsoft.com/office/officeart/2005/8/layout/hierarchy2"/>
    <dgm:cxn modelId="{6921F5DD-F204-4B7C-9680-B5DB3ADA1835}" type="presParOf" srcId="{AD0BC1E5-87F3-491E-AC79-6BECF3CBCEBE}" destId="{25B91EF6-1550-4FC6-AAB4-2150132F3215}" srcOrd="0" destOrd="0" presId="urn:microsoft.com/office/officeart/2005/8/layout/hierarchy2"/>
    <dgm:cxn modelId="{28E42082-0449-41D3-B53B-217EA2232D4B}" type="presParOf" srcId="{C65225CD-39CD-4ED8-A77D-8B003C214EF8}" destId="{16E529E0-0F12-4C5C-B36D-2402CF55F1DD}" srcOrd="3" destOrd="0" presId="urn:microsoft.com/office/officeart/2005/8/layout/hierarchy2"/>
    <dgm:cxn modelId="{7EC323AE-3614-42F5-8E7C-6E862D77515E}" type="presParOf" srcId="{16E529E0-0F12-4C5C-B36D-2402CF55F1DD}" destId="{6C128D3E-0823-464B-A54C-8772C0C4C78C}" srcOrd="0" destOrd="0" presId="urn:microsoft.com/office/officeart/2005/8/layout/hierarchy2"/>
    <dgm:cxn modelId="{ADE04BA7-28C8-4644-AC9E-2D62A2415A7B}" type="presParOf" srcId="{16E529E0-0F12-4C5C-B36D-2402CF55F1DD}" destId="{11A21189-6B4E-4F47-A25D-B55586F81119}" srcOrd="1" destOrd="0" presId="urn:microsoft.com/office/officeart/2005/8/layout/hierarchy2"/>
    <dgm:cxn modelId="{CB2ED4BA-E773-4D7D-A01B-719B3F68A0A5}" type="presParOf" srcId="{11A21189-6B4E-4F47-A25D-B55586F81119}" destId="{B6DCD013-38B6-4E29-BEEE-403658FE0CB1}" srcOrd="0" destOrd="0" presId="urn:microsoft.com/office/officeart/2005/8/layout/hierarchy2"/>
    <dgm:cxn modelId="{34574359-4F5D-4D92-BC12-0B779D3DFB28}" type="presParOf" srcId="{B6DCD013-38B6-4E29-BEEE-403658FE0CB1}" destId="{97808662-7AAF-4786-8ACB-ADC19A2074CE}" srcOrd="0" destOrd="0" presId="urn:microsoft.com/office/officeart/2005/8/layout/hierarchy2"/>
    <dgm:cxn modelId="{265EC7DE-6DA4-4E82-B983-C480C0B897CB}" type="presParOf" srcId="{11A21189-6B4E-4F47-A25D-B55586F81119}" destId="{FEBEF7D7-073C-4180-B69F-8DA46E6F76C2}" srcOrd="1" destOrd="0" presId="urn:microsoft.com/office/officeart/2005/8/layout/hierarchy2"/>
    <dgm:cxn modelId="{878687F4-960F-4647-9289-87248CD6F323}" type="presParOf" srcId="{FEBEF7D7-073C-4180-B69F-8DA46E6F76C2}" destId="{3E472C79-E63C-482F-A8E3-FAF45A4DADB6}" srcOrd="0" destOrd="0" presId="urn:microsoft.com/office/officeart/2005/8/layout/hierarchy2"/>
    <dgm:cxn modelId="{1E0F95B9-B872-47E2-9D79-8688E08E5D91}" type="presParOf" srcId="{FEBEF7D7-073C-4180-B69F-8DA46E6F76C2}" destId="{81385C37-4655-4621-B88D-75DA85287D12}" srcOrd="1" destOrd="0" presId="urn:microsoft.com/office/officeart/2005/8/layout/hierarchy2"/>
    <dgm:cxn modelId="{23040EFC-F661-40DA-9F58-45F5949B0EE5}" type="presParOf" srcId="{11A21189-6B4E-4F47-A25D-B55586F81119}" destId="{65E4AD8E-BDB4-4A01-82B6-8E5D36201524}" srcOrd="2" destOrd="0" presId="urn:microsoft.com/office/officeart/2005/8/layout/hierarchy2"/>
    <dgm:cxn modelId="{4785D020-31DC-440F-A793-52370905ACA1}" type="presParOf" srcId="{65E4AD8E-BDB4-4A01-82B6-8E5D36201524}" destId="{BAFEDE54-692B-43FD-9A47-1DC8A29F9E41}" srcOrd="0" destOrd="0" presId="urn:microsoft.com/office/officeart/2005/8/layout/hierarchy2"/>
    <dgm:cxn modelId="{8A7A32BF-CAD3-4231-9963-90440D0A77EF}" type="presParOf" srcId="{11A21189-6B4E-4F47-A25D-B55586F81119}" destId="{C0E3B805-C7BD-4BE5-AB97-9D12376B7888}" srcOrd="3" destOrd="0" presId="urn:microsoft.com/office/officeart/2005/8/layout/hierarchy2"/>
    <dgm:cxn modelId="{4470F357-0866-4F1C-A32E-F2071B5CA8BA}" type="presParOf" srcId="{C0E3B805-C7BD-4BE5-AB97-9D12376B7888}" destId="{2923847B-ACF8-4568-B993-ADE1B9F0B655}" srcOrd="0" destOrd="0" presId="urn:microsoft.com/office/officeart/2005/8/layout/hierarchy2"/>
    <dgm:cxn modelId="{786A4BC5-7698-4E2D-90EA-B0EF7628D069}" type="presParOf" srcId="{C0E3B805-C7BD-4BE5-AB97-9D12376B7888}" destId="{E24A1D8E-D499-4CF3-8FCE-40FF15BB71E0}" srcOrd="1" destOrd="0" presId="urn:microsoft.com/office/officeart/2005/8/layout/hierarchy2"/>
    <dgm:cxn modelId="{3DDB233C-B308-4B26-AB89-DE1D36C97AE2}" type="presParOf" srcId="{965EFA25-C466-4156-8162-7D90D44D63D8}" destId="{988EC3DA-6ECE-47F4-BAF4-6B4F76CBA74C}" srcOrd="4" destOrd="0" presId="urn:microsoft.com/office/officeart/2005/8/layout/hierarchy2"/>
    <dgm:cxn modelId="{64A6325A-BC51-406F-AE9F-A962F19DA6A5}" type="presParOf" srcId="{988EC3DA-6ECE-47F4-BAF4-6B4F76CBA74C}" destId="{C887261E-8E83-4772-BD31-4C86784472A4}" srcOrd="0" destOrd="0" presId="urn:microsoft.com/office/officeart/2005/8/layout/hierarchy2"/>
    <dgm:cxn modelId="{9D919BCA-6142-4A05-9A94-745BA9C79798}" type="presParOf" srcId="{965EFA25-C466-4156-8162-7D90D44D63D8}" destId="{11190FBE-459B-4B46-99D9-8EABADE37589}" srcOrd="5" destOrd="0" presId="urn:microsoft.com/office/officeart/2005/8/layout/hierarchy2"/>
    <dgm:cxn modelId="{FF6E8D57-FEBB-4F34-8AC0-0B9EE7C865DE}" type="presParOf" srcId="{11190FBE-459B-4B46-99D9-8EABADE37589}" destId="{894755E9-E998-407F-AFF6-46DFEF28D3BE}" srcOrd="0" destOrd="0" presId="urn:microsoft.com/office/officeart/2005/8/layout/hierarchy2"/>
    <dgm:cxn modelId="{8CA6477B-9441-4FB3-A938-E55E4697A5D1}" type="presParOf" srcId="{11190FBE-459B-4B46-99D9-8EABADE37589}" destId="{241C4E58-E6FF-46F6-9A64-8D3E28570C6E}" srcOrd="1" destOrd="0" presId="urn:microsoft.com/office/officeart/2005/8/layout/hierarchy2"/>
    <dgm:cxn modelId="{519FDEDB-782F-4A61-8107-573FFD6ADDF5}" type="presParOf" srcId="{241C4E58-E6FF-46F6-9A64-8D3E28570C6E}" destId="{D26DE543-0B00-4F47-85EF-B64B44549000}" srcOrd="0" destOrd="0" presId="urn:microsoft.com/office/officeart/2005/8/layout/hierarchy2"/>
    <dgm:cxn modelId="{BAB6C31A-9E73-46D4-BF85-0CE323603C8E}" type="presParOf" srcId="{D26DE543-0B00-4F47-85EF-B64B44549000}" destId="{CF4E8F2C-5601-48F8-9D02-AAF399793910}" srcOrd="0" destOrd="0" presId="urn:microsoft.com/office/officeart/2005/8/layout/hierarchy2"/>
    <dgm:cxn modelId="{7EE66944-47C3-4C3D-AA94-E72B0E163BF1}" type="presParOf" srcId="{241C4E58-E6FF-46F6-9A64-8D3E28570C6E}" destId="{2E2D1D1C-F11D-499E-83F4-F69CC078BC43}" srcOrd="1" destOrd="0" presId="urn:microsoft.com/office/officeart/2005/8/layout/hierarchy2"/>
    <dgm:cxn modelId="{33D069BA-146D-4FAA-BC27-7BEFB2F91982}" type="presParOf" srcId="{2E2D1D1C-F11D-499E-83F4-F69CC078BC43}" destId="{3B1F83ED-0441-401D-BE2A-6A63B0A7F1F8}" srcOrd="0" destOrd="0" presId="urn:microsoft.com/office/officeart/2005/8/layout/hierarchy2"/>
    <dgm:cxn modelId="{71262FBB-58DD-4B70-8BAE-F799AB63FEB4}" type="presParOf" srcId="{2E2D1D1C-F11D-499E-83F4-F69CC078BC43}" destId="{8BCE72E0-08D8-4A09-9A80-13D12FEDB9C9}" srcOrd="1" destOrd="0" presId="urn:microsoft.com/office/officeart/2005/8/layout/hierarchy2"/>
    <dgm:cxn modelId="{0075FAE5-994D-45F2-B3B6-3666BF025DCD}" type="presParOf" srcId="{8BCE72E0-08D8-4A09-9A80-13D12FEDB9C9}" destId="{73F5EB01-5B49-45F6-A1B2-E0641A88BF22}" srcOrd="0" destOrd="0" presId="urn:microsoft.com/office/officeart/2005/8/layout/hierarchy2"/>
    <dgm:cxn modelId="{E5B9AD4F-BD32-4E52-92E1-7CFE412455F7}" type="presParOf" srcId="{73F5EB01-5B49-45F6-A1B2-E0641A88BF22}" destId="{C8146A13-B3EA-4BBF-8E76-685631020E8E}" srcOrd="0" destOrd="0" presId="urn:microsoft.com/office/officeart/2005/8/layout/hierarchy2"/>
    <dgm:cxn modelId="{58083E33-E118-4D17-BDAF-A6C0AE6D4597}" type="presParOf" srcId="{8BCE72E0-08D8-4A09-9A80-13D12FEDB9C9}" destId="{4B15171E-EB9B-460F-B1DF-E0CF63428595}" srcOrd="1" destOrd="0" presId="urn:microsoft.com/office/officeart/2005/8/layout/hierarchy2"/>
    <dgm:cxn modelId="{2F86E661-6A1B-49CC-8012-361FF6BEAAB3}" type="presParOf" srcId="{4B15171E-EB9B-460F-B1DF-E0CF63428595}" destId="{C733764E-7BD8-4A14-B3F8-6419AEBC9BF5}" srcOrd="0" destOrd="0" presId="urn:microsoft.com/office/officeart/2005/8/layout/hierarchy2"/>
    <dgm:cxn modelId="{16A41AC6-F266-4578-89C5-C5CA4E5A1699}" type="presParOf" srcId="{4B15171E-EB9B-460F-B1DF-E0CF63428595}" destId="{191C7A9A-256E-433E-B71C-D92DB8BF79E6}" srcOrd="1" destOrd="0" presId="urn:microsoft.com/office/officeart/2005/8/layout/hierarchy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ECAE53-F165-4177-B196-718481FF2BC8}">
      <dsp:nvSpPr>
        <dsp:cNvPr id="0" name=""/>
        <dsp:cNvSpPr/>
      </dsp:nvSpPr>
      <dsp:spPr>
        <a:xfrm>
          <a:off x="482547" y="2044623"/>
          <a:ext cx="747782" cy="3738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Birds</a:t>
          </a:r>
        </a:p>
      </dsp:txBody>
      <dsp:txXfrm>
        <a:off x="493498" y="2055574"/>
        <a:ext cx="725880" cy="351989"/>
      </dsp:txXfrm>
    </dsp:sp>
    <dsp:sp modelId="{A23263B1-75D8-45C1-BEA3-437BEFA8808E}">
      <dsp:nvSpPr>
        <dsp:cNvPr id="0" name=""/>
        <dsp:cNvSpPr/>
      </dsp:nvSpPr>
      <dsp:spPr>
        <a:xfrm rot="16757754">
          <a:off x="454030" y="1309951"/>
          <a:ext cx="1851710" cy="15842"/>
        </a:xfrm>
        <a:custGeom>
          <a:avLst/>
          <a:gdLst/>
          <a:ahLst/>
          <a:cxnLst/>
          <a:rect l="0" t="0" r="0" b="0"/>
          <a:pathLst>
            <a:path>
              <a:moveTo>
                <a:pt x="0" y="7921"/>
              </a:moveTo>
              <a:lnTo>
                <a:pt x="1851710" y="7921"/>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1326723" y="1356078"/>
        <a:ext cx="0" cy="0"/>
      </dsp:txXfrm>
    </dsp:sp>
    <dsp:sp modelId="{FB4986DC-9FBD-40BA-9ABF-FDFE142B06C3}">
      <dsp:nvSpPr>
        <dsp:cNvPr id="0" name=""/>
        <dsp:cNvSpPr/>
      </dsp:nvSpPr>
      <dsp:spPr>
        <a:xfrm>
          <a:off x="1529442" y="217230"/>
          <a:ext cx="747782" cy="3738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Paleognathae</a:t>
          </a:r>
        </a:p>
      </dsp:txBody>
      <dsp:txXfrm>
        <a:off x="1540393" y="228181"/>
        <a:ext cx="725880" cy="351989"/>
      </dsp:txXfrm>
    </dsp:sp>
    <dsp:sp modelId="{1A55C90A-F0F3-4024-93F1-405B007DAB7E}">
      <dsp:nvSpPr>
        <dsp:cNvPr id="0" name=""/>
        <dsp:cNvSpPr/>
      </dsp:nvSpPr>
      <dsp:spPr>
        <a:xfrm rot="19457599">
          <a:off x="2242602" y="288760"/>
          <a:ext cx="368358" cy="15842"/>
        </a:xfrm>
        <a:custGeom>
          <a:avLst/>
          <a:gdLst/>
          <a:ahLst/>
          <a:cxnLst/>
          <a:rect l="0" t="0" r="0" b="0"/>
          <a:pathLst>
            <a:path>
              <a:moveTo>
                <a:pt x="0" y="7921"/>
              </a:moveTo>
              <a:lnTo>
                <a:pt x="368358" y="7921"/>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2413929" y="294578"/>
        <a:ext cx="0" cy="0"/>
      </dsp:txXfrm>
    </dsp:sp>
    <dsp:sp modelId="{591CFC33-5FE5-49BA-9CB3-E584F8A2DAFE}">
      <dsp:nvSpPr>
        <dsp:cNvPr id="0" name=""/>
        <dsp:cNvSpPr/>
      </dsp:nvSpPr>
      <dsp:spPr>
        <a:xfrm>
          <a:off x="2576337" y="2242"/>
          <a:ext cx="747782" cy="3738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Ostrich</a:t>
          </a:r>
        </a:p>
      </dsp:txBody>
      <dsp:txXfrm>
        <a:off x="2587288" y="13193"/>
        <a:ext cx="725880" cy="351989"/>
      </dsp:txXfrm>
    </dsp:sp>
    <dsp:sp modelId="{64F6F5C2-3B09-4242-97D7-9317E564AADA}">
      <dsp:nvSpPr>
        <dsp:cNvPr id="0" name=""/>
        <dsp:cNvSpPr/>
      </dsp:nvSpPr>
      <dsp:spPr>
        <a:xfrm rot="2142401">
          <a:off x="2242602" y="503748"/>
          <a:ext cx="368358" cy="15842"/>
        </a:xfrm>
        <a:custGeom>
          <a:avLst/>
          <a:gdLst/>
          <a:ahLst/>
          <a:cxnLst/>
          <a:rect l="0" t="0" r="0" b="0"/>
          <a:pathLst>
            <a:path>
              <a:moveTo>
                <a:pt x="0" y="7921"/>
              </a:moveTo>
              <a:lnTo>
                <a:pt x="368358" y="7921"/>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2424677" y="498817"/>
        <a:ext cx="0" cy="0"/>
      </dsp:txXfrm>
    </dsp:sp>
    <dsp:sp modelId="{3E76D72E-A6D7-4C5F-B460-716FAE2B30DD}">
      <dsp:nvSpPr>
        <dsp:cNvPr id="0" name=""/>
        <dsp:cNvSpPr/>
      </dsp:nvSpPr>
      <dsp:spPr>
        <a:xfrm>
          <a:off x="2576337" y="432217"/>
          <a:ext cx="747782" cy="3738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Emu</a:t>
          </a:r>
        </a:p>
      </dsp:txBody>
      <dsp:txXfrm>
        <a:off x="2587288" y="443168"/>
        <a:ext cx="725880" cy="351989"/>
      </dsp:txXfrm>
    </dsp:sp>
    <dsp:sp modelId="{00283582-6260-4F5A-AE59-1301B04A84BC}">
      <dsp:nvSpPr>
        <dsp:cNvPr id="0" name=""/>
        <dsp:cNvSpPr/>
      </dsp:nvSpPr>
      <dsp:spPr>
        <a:xfrm rot="3310531">
          <a:off x="1117995" y="2438634"/>
          <a:ext cx="523781" cy="15842"/>
        </a:xfrm>
        <a:custGeom>
          <a:avLst/>
          <a:gdLst/>
          <a:ahLst/>
          <a:cxnLst/>
          <a:rect l="0" t="0" r="0" b="0"/>
          <a:pathLst>
            <a:path>
              <a:moveTo>
                <a:pt x="0" y="7921"/>
              </a:moveTo>
              <a:lnTo>
                <a:pt x="523781" y="7921"/>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1383157" y="2428328"/>
        <a:ext cx="0" cy="0"/>
      </dsp:txXfrm>
    </dsp:sp>
    <dsp:sp modelId="{AB60EB13-DA3B-496B-A347-C141A1F1CC50}">
      <dsp:nvSpPr>
        <dsp:cNvPr id="0" name=""/>
        <dsp:cNvSpPr/>
      </dsp:nvSpPr>
      <dsp:spPr>
        <a:xfrm>
          <a:off x="1529442" y="2474597"/>
          <a:ext cx="747782" cy="3738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Galloanserae</a:t>
          </a:r>
        </a:p>
      </dsp:txBody>
      <dsp:txXfrm>
        <a:off x="1540393" y="2485548"/>
        <a:ext cx="725880" cy="351989"/>
      </dsp:txXfrm>
    </dsp:sp>
    <dsp:sp modelId="{1A33DD3B-06A6-4893-AB7A-D9952A26614A}">
      <dsp:nvSpPr>
        <dsp:cNvPr id="0" name=""/>
        <dsp:cNvSpPr/>
      </dsp:nvSpPr>
      <dsp:spPr>
        <a:xfrm rot="17077787">
          <a:off x="1797892" y="2033105"/>
          <a:ext cx="1282619" cy="15842"/>
        </a:xfrm>
        <a:custGeom>
          <a:avLst/>
          <a:gdLst/>
          <a:ahLst/>
          <a:cxnLst/>
          <a:rect l="0" t="0" r="0" b="0"/>
          <a:pathLst>
            <a:path>
              <a:moveTo>
                <a:pt x="0" y="7921"/>
              </a:moveTo>
              <a:lnTo>
                <a:pt x="1282619" y="7921"/>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2400077" y="2063952"/>
        <a:ext cx="0" cy="0"/>
      </dsp:txXfrm>
    </dsp:sp>
    <dsp:sp modelId="{305BA63C-4A69-4EC1-90BB-B57304D8B97C}">
      <dsp:nvSpPr>
        <dsp:cNvPr id="0" name=""/>
        <dsp:cNvSpPr/>
      </dsp:nvSpPr>
      <dsp:spPr>
        <a:xfrm>
          <a:off x="2601179" y="1233563"/>
          <a:ext cx="747782" cy="3738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Galliformes</a:t>
          </a:r>
        </a:p>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(290  gamebird species)</a:t>
          </a:r>
        </a:p>
      </dsp:txBody>
      <dsp:txXfrm>
        <a:off x="2612130" y="1244514"/>
        <a:ext cx="725880" cy="351989"/>
      </dsp:txXfrm>
    </dsp:sp>
    <dsp:sp modelId="{E8B885AE-6C1E-4976-AAC8-9C3B47E300A0}">
      <dsp:nvSpPr>
        <dsp:cNvPr id="0" name=""/>
        <dsp:cNvSpPr/>
      </dsp:nvSpPr>
      <dsp:spPr>
        <a:xfrm rot="18386836">
          <a:off x="3255261" y="1226902"/>
          <a:ext cx="461672" cy="15842"/>
        </a:xfrm>
        <a:custGeom>
          <a:avLst/>
          <a:gdLst/>
          <a:ahLst/>
          <a:cxnLst/>
          <a:rect l="0" t="0" r="0" b="0"/>
          <a:pathLst>
            <a:path>
              <a:moveTo>
                <a:pt x="0" y="7921"/>
              </a:moveTo>
              <a:lnTo>
                <a:pt x="461672" y="7921"/>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3469956" y="1237250"/>
        <a:ext cx="0" cy="0"/>
      </dsp:txXfrm>
    </dsp:sp>
    <dsp:sp modelId="{C3B2E41F-DAAA-4CDF-8B06-DA8D525E22F3}">
      <dsp:nvSpPr>
        <dsp:cNvPr id="0" name=""/>
        <dsp:cNvSpPr/>
      </dsp:nvSpPr>
      <dsp:spPr>
        <a:xfrm>
          <a:off x="3623233" y="862192"/>
          <a:ext cx="747782" cy="3738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Turkey</a:t>
          </a:r>
        </a:p>
      </dsp:txBody>
      <dsp:txXfrm>
        <a:off x="3634184" y="873143"/>
        <a:ext cx="725880" cy="351989"/>
      </dsp:txXfrm>
    </dsp:sp>
    <dsp:sp modelId="{18B7B468-C642-4ADB-BAF2-046B02D4CC7F}">
      <dsp:nvSpPr>
        <dsp:cNvPr id="0" name=""/>
        <dsp:cNvSpPr/>
      </dsp:nvSpPr>
      <dsp:spPr>
        <a:xfrm rot="723662">
          <a:off x="3345866" y="1441889"/>
          <a:ext cx="280462" cy="15842"/>
        </a:xfrm>
        <a:custGeom>
          <a:avLst/>
          <a:gdLst/>
          <a:ahLst/>
          <a:cxnLst/>
          <a:rect l="0" t="0" r="0" b="0"/>
          <a:pathLst>
            <a:path>
              <a:moveTo>
                <a:pt x="0" y="7921"/>
              </a:moveTo>
              <a:lnTo>
                <a:pt x="280462" y="7921"/>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3480705" y="1441489"/>
        <a:ext cx="0" cy="0"/>
      </dsp:txXfrm>
    </dsp:sp>
    <dsp:sp modelId="{6FF3878A-543D-4484-86A8-16D56D94645D}">
      <dsp:nvSpPr>
        <dsp:cNvPr id="0" name=""/>
        <dsp:cNvSpPr/>
      </dsp:nvSpPr>
      <dsp:spPr>
        <a:xfrm>
          <a:off x="3623233" y="1292167"/>
          <a:ext cx="747782" cy="3738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Guinea fowl</a:t>
          </a:r>
        </a:p>
      </dsp:txBody>
      <dsp:txXfrm>
        <a:off x="3634184" y="1303118"/>
        <a:ext cx="725880" cy="351989"/>
      </dsp:txXfrm>
    </dsp:sp>
    <dsp:sp modelId="{772C4D19-9802-4B5B-9CE5-92EA3FA47572}">
      <dsp:nvSpPr>
        <dsp:cNvPr id="0" name=""/>
        <dsp:cNvSpPr/>
      </dsp:nvSpPr>
      <dsp:spPr>
        <a:xfrm rot="3641496">
          <a:off x="3205948" y="1656877"/>
          <a:ext cx="560297" cy="15842"/>
        </a:xfrm>
        <a:custGeom>
          <a:avLst/>
          <a:gdLst/>
          <a:ahLst/>
          <a:cxnLst/>
          <a:rect l="0" t="0" r="0" b="0"/>
          <a:pathLst>
            <a:path>
              <a:moveTo>
                <a:pt x="0" y="7921"/>
              </a:moveTo>
              <a:lnTo>
                <a:pt x="560297" y="7921"/>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3491453" y="1645726"/>
        <a:ext cx="0" cy="0"/>
      </dsp:txXfrm>
    </dsp:sp>
    <dsp:sp modelId="{6263B89A-E57F-4B5D-8FB6-8F24B449AEA1}">
      <dsp:nvSpPr>
        <dsp:cNvPr id="0" name=""/>
        <dsp:cNvSpPr/>
      </dsp:nvSpPr>
      <dsp:spPr>
        <a:xfrm>
          <a:off x="3623233" y="1722142"/>
          <a:ext cx="747782" cy="3738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New world quail</a:t>
          </a:r>
        </a:p>
      </dsp:txBody>
      <dsp:txXfrm>
        <a:off x="3634184" y="1733093"/>
        <a:ext cx="725880" cy="351989"/>
      </dsp:txXfrm>
    </dsp:sp>
    <dsp:sp modelId="{DA4EA9BC-5645-4269-B0B6-6C4271D87E58}">
      <dsp:nvSpPr>
        <dsp:cNvPr id="0" name=""/>
        <dsp:cNvSpPr/>
      </dsp:nvSpPr>
      <dsp:spPr>
        <a:xfrm rot="4402491">
          <a:off x="3006784" y="1871864"/>
          <a:ext cx="958626" cy="15842"/>
        </a:xfrm>
        <a:custGeom>
          <a:avLst/>
          <a:gdLst/>
          <a:ahLst/>
          <a:cxnLst/>
          <a:rect l="0" t="0" r="0" b="0"/>
          <a:pathLst>
            <a:path>
              <a:moveTo>
                <a:pt x="0" y="7921"/>
              </a:moveTo>
              <a:lnTo>
                <a:pt x="958626" y="7921"/>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3502203" y="1849965"/>
        <a:ext cx="0" cy="0"/>
      </dsp:txXfrm>
    </dsp:sp>
    <dsp:sp modelId="{79249272-083A-467B-8B32-D3C5981AC3EC}">
      <dsp:nvSpPr>
        <dsp:cNvPr id="0" name=""/>
        <dsp:cNvSpPr/>
      </dsp:nvSpPr>
      <dsp:spPr>
        <a:xfrm>
          <a:off x="3623233" y="2152116"/>
          <a:ext cx="747782" cy="3738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Old world quail and partridge</a:t>
          </a:r>
        </a:p>
      </dsp:txBody>
      <dsp:txXfrm>
        <a:off x="3634184" y="2163067"/>
        <a:ext cx="725880" cy="351989"/>
      </dsp:txXfrm>
    </dsp:sp>
    <dsp:sp modelId="{EABD8799-DAF1-4C8C-AC27-D2E8B7D9F5E2}">
      <dsp:nvSpPr>
        <dsp:cNvPr id="0" name=""/>
        <dsp:cNvSpPr/>
      </dsp:nvSpPr>
      <dsp:spPr>
        <a:xfrm rot="4710219">
          <a:off x="2798028" y="2086852"/>
          <a:ext cx="1376136" cy="15842"/>
        </a:xfrm>
        <a:custGeom>
          <a:avLst/>
          <a:gdLst/>
          <a:ahLst/>
          <a:cxnLst/>
          <a:rect l="0" t="0" r="0" b="0"/>
          <a:pathLst>
            <a:path>
              <a:moveTo>
                <a:pt x="0" y="7921"/>
              </a:moveTo>
              <a:lnTo>
                <a:pt x="1376136" y="7921"/>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3512952" y="2054203"/>
        <a:ext cx="0" cy="0"/>
      </dsp:txXfrm>
    </dsp:sp>
    <dsp:sp modelId="{02238C61-45BE-4C38-80EA-C345B5778A8E}">
      <dsp:nvSpPr>
        <dsp:cNvPr id="0" name=""/>
        <dsp:cNvSpPr/>
      </dsp:nvSpPr>
      <dsp:spPr>
        <a:xfrm>
          <a:off x="3623233" y="2582091"/>
          <a:ext cx="747782" cy="3738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Pheasants  and chickens </a:t>
          </a:r>
        </a:p>
      </dsp:txBody>
      <dsp:txXfrm>
        <a:off x="3634184" y="2593042"/>
        <a:ext cx="725880" cy="351989"/>
      </dsp:txXfrm>
    </dsp:sp>
    <dsp:sp modelId="{AD0BC1E5-87F3-491E-AC79-6BECF3CBCEBE}">
      <dsp:nvSpPr>
        <dsp:cNvPr id="0" name=""/>
        <dsp:cNvSpPr/>
      </dsp:nvSpPr>
      <dsp:spPr>
        <a:xfrm rot="4025294">
          <a:off x="2042626" y="3007469"/>
          <a:ext cx="768309" cy="15842"/>
        </a:xfrm>
        <a:custGeom>
          <a:avLst/>
          <a:gdLst/>
          <a:ahLst/>
          <a:cxnLst/>
          <a:rect l="0" t="0" r="0" b="0"/>
          <a:pathLst>
            <a:path>
              <a:moveTo>
                <a:pt x="0" y="7921"/>
              </a:moveTo>
              <a:lnTo>
                <a:pt x="768309" y="7921"/>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2436995" y="2990220"/>
        <a:ext cx="0" cy="0"/>
      </dsp:txXfrm>
    </dsp:sp>
    <dsp:sp modelId="{6C128D3E-0823-464B-A54C-8772C0C4C78C}">
      <dsp:nvSpPr>
        <dsp:cNvPr id="0" name=""/>
        <dsp:cNvSpPr/>
      </dsp:nvSpPr>
      <dsp:spPr>
        <a:xfrm>
          <a:off x="2576337" y="3182291"/>
          <a:ext cx="747782" cy="3738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Anseriformes</a:t>
          </a:r>
        </a:p>
      </dsp:txBody>
      <dsp:txXfrm>
        <a:off x="2587288" y="3193242"/>
        <a:ext cx="725880" cy="351989"/>
      </dsp:txXfrm>
    </dsp:sp>
    <dsp:sp modelId="{B6DCD013-38B6-4E29-BEEE-403658FE0CB1}">
      <dsp:nvSpPr>
        <dsp:cNvPr id="0" name=""/>
        <dsp:cNvSpPr/>
      </dsp:nvSpPr>
      <dsp:spPr>
        <a:xfrm rot="19905096">
          <a:off x="3301661" y="3272062"/>
          <a:ext cx="377157" cy="15842"/>
        </a:xfrm>
        <a:custGeom>
          <a:avLst/>
          <a:gdLst/>
          <a:ahLst/>
          <a:cxnLst/>
          <a:rect l="0" t="0" r="0" b="0"/>
          <a:pathLst>
            <a:path>
              <a:moveTo>
                <a:pt x="0" y="7921"/>
              </a:moveTo>
              <a:lnTo>
                <a:pt x="377157" y="7921"/>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3477471" y="3276139"/>
        <a:ext cx="0" cy="0"/>
      </dsp:txXfrm>
    </dsp:sp>
    <dsp:sp modelId="{3E472C79-E63C-482F-A8E3-FAF45A4DADB6}">
      <dsp:nvSpPr>
        <dsp:cNvPr id="0" name=""/>
        <dsp:cNvSpPr/>
      </dsp:nvSpPr>
      <dsp:spPr>
        <a:xfrm>
          <a:off x="3656359" y="3003784"/>
          <a:ext cx="747782" cy="3738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Duck</a:t>
          </a:r>
        </a:p>
      </dsp:txBody>
      <dsp:txXfrm>
        <a:off x="3667310" y="3014735"/>
        <a:ext cx="725880" cy="351989"/>
      </dsp:txXfrm>
    </dsp:sp>
    <dsp:sp modelId="{65E4AD8E-BDB4-4A01-82B6-8E5D36201524}">
      <dsp:nvSpPr>
        <dsp:cNvPr id="0" name=""/>
        <dsp:cNvSpPr/>
      </dsp:nvSpPr>
      <dsp:spPr>
        <a:xfrm rot="2458263">
          <a:off x="3275599" y="3491190"/>
          <a:ext cx="396154" cy="15842"/>
        </a:xfrm>
        <a:custGeom>
          <a:avLst/>
          <a:gdLst/>
          <a:ahLst/>
          <a:cxnLst/>
          <a:rect l="0" t="0" r="0" b="0"/>
          <a:pathLst>
            <a:path>
              <a:moveTo>
                <a:pt x="0" y="7921"/>
              </a:moveTo>
              <a:lnTo>
                <a:pt x="396154" y="7921"/>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3472691" y="3485140"/>
        <a:ext cx="0" cy="0"/>
      </dsp:txXfrm>
    </dsp:sp>
    <dsp:sp modelId="{2923847B-ACF8-4568-B993-ADE1B9F0B655}">
      <dsp:nvSpPr>
        <dsp:cNvPr id="0" name=""/>
        <dsp:cNvSpPr/>
      </dsp:nvSpPr>
      <dsp:spPr>
        <a:xfrm>
          <a:off x="3623233" y="3442041"/>
          <a:ext cx="747782" cy="3738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Goose</a:t>
          </a:r>
        </a:p>
      </dsp:txBody>
      <dsp:txXfrm>
        <a:off x="3634184" y="3452992"/>
        <a:ext cx="725880" cy="351989"/>
      </dsp:txXfrm>
    </dsp:sp>
    <dsp:sp modelId="{988EC3DA-6ECE-47F4-BAF4-6B4F76CBA74C}">
      <dsp:nvSpPr>
        <dsp:cNvPr id="0" name=""/>
        <dsp:cNvSpPr/>
      </dsp:nvSpPr>
      <dsp:spPr>
        <a:xfrm rot="4842246">
          <a:off x="454030" y="3137344"/>
          <a:ext cx="1851710" cy="15842"/>
        </a:xfrm>
        <a:custGeom>
          <a:avLst/>
          <a:gdLst/>
          <a:ahLst/>
          <a:cxnLst/>
          <a:rect l="0" t="0" r="0" b="0"/>
          <a:pathLst>
            <a:path>
              <a:moveTo>
                <a:pt x="0" y="7921"/>
              </a:moveTo>
              <a:lnTo>
                <a:pt x="1851710" y="7921"/>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1418092" y="3092102"/>
        <a:ext cx="0" cy="0"/>
      </dsp:txXfrm>
    </dsp:sp>
    <dsp:sp modelId="{894755E9-E998-407F-AFF6-46DFEF28D3BE}">
      <dsp:nvSpPr>
        <dsp:cNvPr id="0" name=""/>
        <dsp:cNvSpPr/>
      </dsp:nvSpPr>
      <dsp:spPr>
        <a:xfrm>
          <a:off x="1529442" y="3872016"/>
          <a:ext cx="747782" cy="3738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Neoaves</a:t>
          </a:r>
        </a:p>
      </dsp:txBody>
      <dsp:txXfrm>
        <a:off x="1540393" y="3882967"/>
        <a:ext cx="725880" cy="351989"/>
      </dsp:txXfrm>
    </dsp:sp>
    <dsp:sp modelId="{D26DE543-0B00-4F47-85EF-B64B44549000}">
      <dsp:nvSpPr>
        <dsp:cNvPr id="0" name=""/>
        <dsp:cNvSpPr/>
      </dsp:nvSpPr>
      <dsp:spPr>
        <a:xfrm>
          <a:off x="2277225" y="4051040"/>
          <a:ext cx="299112" cy="15842"/>
        </a:xfrm>
        <a:custGeom>
          <a:avLst/>
          <a:gdLst/>
          <a:ahLst/>
          <a:cxnLst/>
          <a:rect l="0" t="0" r="0" b="0"/>
          <a:pathLst>
            <a:path>
              <a:moveTo>
                <a:pt x="0" y="7921"/>
              </a:moveTo>
              <a:lnTo>
                <a:pt x="299112" y="7921"/>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2419303" y="4051483"/>
        <a:ext cx="0" cy="0"/>
      </dsp:txXfrm>
    </dsp:sp>
    <dsp:sp modelId="{3B1F83ED-0441-401D-BE2A-6A63B0A7F1F8}">
      <dsp:nvSpPr>
        <dsp:cNvPr id="0" name=""/>
        <dsp:cNvSpPr/>
      </dsp:nvSpPr>
      <dsp:spPr>
        <a:xfrm>
          <a:off x="2576337" y="3872016"/>
          <a:ext cx="747782" cy="3738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Columbaves</a:t>
          </a:r>
        </a:p>
      </dsp:txBody>
      <dsp:txXfrm>
        <a:off x="2587288" y="3882967"/>
        <a:ext cx="725880" cy="351989"/>
      </dsp:txXfrm>
    </dsp:sp>
    <dsp:sp modelId="{73F5EB01-5B49-45F6-A1B2-E0641A88BF22}">
      <dsp:nvSpPr>
        <dsp:cNvPr id="0" name=""/>
        <dsp:cNvSpPr/>
      </dsp:nvSpPr>
      <dsp:spPr>
        <a:xfrm>
          <a:off x="3324120" y="4051040"/>
          <a:ext cx="299112" cy="15842"/>
        </a:xfrm>
        <a:custGeom>
          <a:avLst/>
          <a:gdLst/>
          <a:ahLst/>
          <a:cxnLst/>
          <a:rect l="0" t="0" r="0" b="0"/>
          <a:pathLst>
            <a:path>
              <a:moveTo>
                <a:pt x="0" y="7921"/>
              </a:moveTo>
              <a:lnTo>
                <a:pt x="299112" y="7921"/>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3466198" y="4051483"/>
        <a:ext cx="0" cy="0"/>
      </dsp:txXfrm>
    </dsp:sp>
    <dsp:sp modelId="{C733764E-7BD8-4A14-B3F8-6419AEBC9BF5}">
      <dsp:nvSpPr>
        <dsp:cNvPr id="0" name=""/>
        <dsp:cNvSpPr/>
      </dsp:nvSpPr>
      <dsp:spPr>
        <a:xfrm>
          <a:off x="3623233" y="3872016"/>
          <a:ext cx="747782" cy="3738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Pigeon</a:t>
          </a:r>
        </a:p>
      </dsp:txBody>
      <dsp:txXfrm>
        <a:off x="3634184" y="3882967"/>
        <a:ext cx="725880" cy="35198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FEA7FA5-5AF8-4B21-AC89-D5F195B3E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321</Pages>
  <Words>212528</Words>
  <Characters>1211412</Characters>
  <Application>Microsoft Office Word</Application>
  <DocSecurity>0</DocSecurity>
  <Lines>10095</Lines>
  <Paragraphs>2842</Paragraphs>
  <ScaleCrop>false</ScaleCrop>
  <Manager/>
  <Company/>
  <LinksUpToDate>false</LinksUpToDate>
  <CharactersWithSpaces>1421098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2022-08-05T01:44:00Z</dcterms:created>
  <dcterms:modified xsi:type="dcterms:W3CDTF">2022-08-05T01:44:00Z</dcterms:modified>
  <cp:category/>
</cp:coreProperties>
</file>