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Graeme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booklets,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Ballarat,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Wadawurrung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DRDC,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agronomist,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phosphorus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phosphorus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00:14:49]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bio-security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troughs.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land-classed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phalaris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grass-dominant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lucerne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fescue-based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00:20:17]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potassium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sulfur-rite.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equilibrium.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aberration.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sawtooth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earthworm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00:26:09]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nitrogen.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bacteria.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CO2-Burst.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millimeters.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autumn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equilibrium.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sawtooth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Baldock,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sawtooth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colvita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phosphorus,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sulfur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Solivta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00:35:29]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phalaris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phalaris-dominant,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phalaris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phalaris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eucalypts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germinates,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N2O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13,250Ks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Hilux.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FullCAM.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Walkley-Black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Tasmania,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equilibrium.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GPW100,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IPCC,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$27,000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Asparagopsis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tariffs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sequestering.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Asparagopsis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3-NOP.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Graeme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Walkley-Black,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Walkley-Black,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Graeme 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well-sheltered,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 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Fiona Conroy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GMT20220915-015952_Recording_1920x1080 (2) (Completed  09/15/22)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LDWWVtxDLMJ-QsB58Lgxo28aY1KXlCxmwHXqlrO5Fl_U1G-AujQaUAV4HlFEy-cY8a4oS4-ABwn-r3Lp7WyhU1-fq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