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DC1BE" w14:textId="1E2EF52B" w:rsidR="00EB323D" w:rsidRPr="002F08A3" w:rsidRDefault="002F08A3" w:rsidP="002F08A3">
      <w:pPr>
        <w:pStyle w:val="Title"/>
        <w:rPr>
          <w:rFonts w:cs="Times New Roman (Headings CS)"/>
          <w:bCs/>
          <w:spacing w:val="8"/>
          <w:lang w:val="en-GB"/>
        </w:rPr>
      </w:pPr>
      <w:r w:rsidRPr="002F08A3">
        <w:rPr>
          <w:rFonts w:cs="Times New Roman (Headings CS)"/>
          <w:bCs/>
          <w:spacing w:val="8"/>
          <w:lang w:val="en-GB"/>
        </w:rPr>
        <w:t>2024 Livestock</w:t>
      </w:r>
      <w:r>
        <w:rPr>
          <w:rFonts w:cs="Times New Roman (Headings CS)"/>
          <w:bCs/>
          <w:spacing w:val="8"/>
          <w:lang w:val="en-GB"/>
        </w:rPr>
        <w:t xml:space="preserve"> </w:t>
      </w:r>
      <w:r w:rsidRPr="002F08A3">
        <w:rPr>
          <w:rFonts w:cs="Times New Roman (Headings CS)"/>
          <w:bCs/>
          <w:spacing w:val="8"/>
          <w:lang w:val="en-GB"/>
        </w:rPr>
        <w:t xml:space="preserve">Biosecurity </w:t>
      </w:r>
      <w:r w:rsidR="002515D8">
        <w:rPr>
          <w:rFonts w:cs="Times New Roman (Headings CS)"/>
          <w:bCs/>
          <w:spacing w:val="8"/>
          <w:lang w:val="en-GB"/>
        </w:rPr>
        <w:t xml:space="preserve">Funds </w:t>
      </w:r>
      <w:r w:rsidRPr="002F08A3">
        <w:rPr>
          <w:rFonts w:cs="Times New Roman (Headings CS)"/>
          <w:bCs/>
          <w:spacing w:val="8"/>
          <w:lang w:val="en-GB"/>
        </w:rPr>
        <w:t>Grant Program Guidelines</w:t>
      </w:r>
    </w:p>
    <w:p w14:paraId="239F2E81" w14:textId="2589901B" w:rsidR="009A37D5" w:rsidRDefault="002F08A3" w:rsidP="00C44560">
      <w:pPr>
        <w:pStyle w:val="Subtitle"/>
        <w:spacing w:before="480" w:after="720"/>
        <w:rPr>
          <w:rFonts w:cs="Times New Roman (Body CS)"/>
          <w:spacing w:val="4"/>
          <w:lang w:val="en-GB"/>
        </w:rPr>
      </w:pPr>
      <w:r w:rsidRPr="002F08A3">
        <w:rPr>
          <w:rFonts w:cs="Times New Roman (Body CS)"/>
          <w:spacing w:val="4"/>
          <w:lang w:val="en-GB"/>
        </w:rPr>
        <w:t xml:space="preserve">(Incorporating Cattle, Sheep, Goat, Swine and </w:t>
      </w:r>
      <w:proofErr w:type="gramStart"/>
      <w:r w:rsidRPr="002F08A3">
        <w:rPr>
          <w:rFonts w:cs="Times New Roman (Body CS)"/>
          <w:spacing w:val="4"/>
          <w:lang w:val="en-GB"/>
        </w:rPr>
        <w:t>Honey Bee</w:t>
      </w:r>
      <w:proofErr w:type="gramEnd"/>
      <w:r w:rsidRPr="002F08A3">
        <w:rPr>
          <w:rFonts w:cs="Times New Roman (Body CS)"/>
          <w:spacing w:val="4"/>
          <w:lang w:val="en-GB"/>
        </w:rPr>
        <w:t>)</w:t>
      </w:r>
    </w:p>
    <w:p w14:paraId="07FE12A5" w14:textId="391DFEE9" w:rsidR="00D6690D" w:rsidRPr="00D6690D" w:rsidRDefault="00D6690D" w:rsidP="00D6690D">
      <w:pPr>
        <w:rPr>
          <w:lang w:val="en-GB"/>
        </w:rPr>
      </w:pPr>
      <w:r>
        <w:rPr>
          <w:noProof/>
        </w:rPr>
        <w:drawing>
          <wp:inline distT="0" distB="0" distL="0" distR="0" wp14:anchorId="4EC9089C" wp14:editId="115C2BF4">
            <wp:extent cx="2222500" cy="571500"/>
            <wp:effectExtent l="0" t="0" r="0" b="0"/>
            <wp:docPr id="1" name="Picture 1"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griculture Victoria logo"/>
                    <pic:cNvPicPr/>
                  </pic:nvPicPr>
                  <pic:blipFill>
                    <a:blip r:embed="rId8"/>
                    <a:stretch>
                      <a:fillRect/>
                    </a:stretch>
                  </pic:blipFill>
                  <pic:spPr>
                    <a:xfrm>
                      <a:off x="0" y="0"/>
                      <a:ext cx="2222500" cy="571500"/>
                    </a:xfrm>
                    <a:prstGeom prst="rect">
                      <a:avLst/>
                    </a:prstGeom>
                  </pic:spPr>
                </pic:pic>
              </a:graphicData>
            </a:graphic>
          </wp:inline>
        </w:drawing>
      </w:r>
    </w:p>
    <w:sdt>
      <w:sdtPr>
        <w:rPr>
          <w:rFonts w:asciiTheme="minorHAnsi" w:eastAsiaTheme="minorEastAsia" w:hAnsiTheme="minorHAnsi" w:cstheme="minorBidi"/>
          <w:b w:val="0"/>
          <w:color w:val="auto"/>
          <w:sz w:val="24"/>
          <w:szCs w:val="22"/>
        </w:rPr>
        <w:id w:val="2029681437"/>
        <w:docPartObj>
          <w:docPartGallery w:val="Table of Contents"/>
          <w:docPartUnique/>
        </w:docPartObj>
      </w:sdtPr>
      <w:sdtEndPr>
        <w:rPr>
          <w:bCs/>
          <w:noProof/>
        </w:rPr>
      </w:sdtEndPr>
      <w:sdtContent>
        <w:p w14:paraId="7766BE86" w14:textId="526309D9" w:rsidR="00D52FF3" w:rsidRDefault="00D52FF3">
          <w:pPr>
            <w:pStyle w:val="TOCHeading"/>
          </w:pPr>
          <w:r>
            <w:t>Table of Contents</w:t>
          </w:r>
        </w:p>
        <w:p w14:paraId="316CADB6" w14:textId="5631B877" w:rsidR="009E08F6" w:rsidRPr="009E08F6" w:rsidRDefault="009E08F6" w:rsidP="00112EFF">
          <w:r>
            <w:t>2024 Livestock Biosecurity Funds Grant Program</w:t>
          </w:r>
          <w:r w:rsidR="007E127D">
            <w:t>……………………………………………. 3</w:t>
          </w:r>
        </w:p>
        <w:p w14:paraId="5FE220C8" w14:textId="11BE038A" w:rsidR="003A393C" w:rsidRDefault="00D52FF3">
          <w:pPr>
            <w:pStyle w:val="TOC1"/>
            <w:tabs>
              <w:tab w:val="left" w:pos="454"/>
              <w:tab w:val="right" w:leader="dot" w:pos="9628"/>
            </w:tabs>
            <w:rPr>
              <w:rFonts w:cstheme="minorBidi"/>
              <w:b w:val="0"/>
              <w:bCs w:val="0"/>
              <w:iCs w:val="0"/>
              <w:noProof/>
              <w:kern w:val="2"/>
              <w:lang w:eastAsia="en-GB"/>
              <w14:ligatures w14:val="standardContextual"/>
            </w:rPr>
          </w:pPr>
          <w:r>
            <w:rPr>
              <w:bCs w:val="0"/>
            </w:rPr>
            <w:fldChar w:fldCharType="begin"/>
          </w:r>
          <w:r>
            <w:rPr>
              <w:bCs w:val="0"/>
            </w:rPr>
            <w:instrText xml:space="preserve"> TOC \h \z \t "Heading 2,1,Heading 3,2" </w:instrText>
          </w:r>
          <w:r>
            <w:rPr>
              <w:bCs w:val="0"/>
            </w:rPr>
            <w:fldChar w:fldCharType="separate"/>
          </w:r>
          <w:hyperlink w:anchor="_Toc158894165" w:history="1">
            <w:r w:rsidR="003A393C" w:rsidRPr="005B4300">
              <w:rPr>
                <w:rStyle w:val="Hyperlink"/>
                <w:noProof/>
              </w:rPr>
              <w:t>1.</w:t>
            </w:r>
            <w:r w:rsidR="003A393C">
              <w:rPr>
                <w:rFonts w:cstheme="minorBidi"/>
                <w:b w:val="0"/>
                <w:bCs w:val="0"/>
                <w:iCs w:val="0"/>
                <w:noProof/>
                <w:kern w:val="2"/>
                <w:lang w:eastAsia="en-GB"/>
                <w14:ligatures w14:val="standardContextual"/>
              </w:rPr>
              <w:tab/>
            </w:r>
            <w:r w:rsidR="003A393C" w:rsidRPr="005B4300">
              <w:rPr>
                <w:rStyle w:val="Hyperlink"/>
                <w:noProof/>
              </w:rPr>
              <w:t>Purpose</w:t>
            </w:r>
            <w:r w:rsidR="003A393C">
              <w:rPr>
                <w:noProof/>
                <w:webHidden/>
              </w:rPr>
              <w:tab/>
            </w:r>
            <w:r w:rsidR="003A393C">
              <w:rPr>
                <w:noProof/>
                <w:webHidden/>
              </w:rPr>
              <w:fldChar w:fldCharType="begin"/>
            </w:r>
            <w:r w:rsidR="003A393C">
              <w:rPr>
                <w:noProof/>
                <w:webHidden/>
              </w:rPr>
              <w:instrText xml:space="preserve"> PAGEREF _Toc158894165 \h </w:instrText>
            </w:r>
            <w:r w:rsidR="003A393C">
              <w:rPr>
                <w:noProof/>
                <w:webHidden/>
              </w:rPr>
            </w:r>
            <w:r w:rsidR="003A393C">
              <w:rPr>
                <w:noProof/>
                <w:webHidden/>
              </w:rPr>
              <w:fldChar w:fldCharType="separate"/>
            </w:r>
            <w:r w:rsidR="003A393C">
              <w:rPr>
                <w:noProof/>
                <w:webHidden/>
              </w:rPr>
              <w:t>3</w:t>
            </w:r>
            <w:r w:rsidR="003A393C">
              <w:rPr>
                <w:noProof/>
                <w:webHidden/>
              </w:rPr>
              <w:fldChar w:fldCharType="end"/>
            </w:r>
          </w:hyperlink>
        </w:p>
        <w:p w14:paraId="01108D66" w14:textId="6B0FF6EE" w:rsidR="003A393C" w:rsidRDefault="00000000">
          <w:pPr>
            <w:pStyle w:val="TOC1"/>
            <w:tabs>
              <w:tab w:val="left" w:pos="454"/>
              <w:tab w:val="right" w:leader="dot" w:pos="9628"/>
            </w:tabs>
            <w:rPr>
              <w:rFonts w:cstheme="minorBidi"/>
              <w:b w:val="0"/>
              <w:bCs w:val="0"/>
              <w:iCs w:val="0"/>
              <w:noProof/>
              <w:kern w:val="2"/>
              <w:lang w:eastAsia="en-GB"/>
              <w14:ligatures w14:val="standardContextual"/>
            </w:rPr>
          </w:pPr>
          <w:hyperlink w:anchor="_Toc158894166" w:history="1">
            <w:r w:rsidR="003A393C" w:rsidRPr="005B4300">
              <w:rPr>
                <w:rStyle w:val="Hyperlink"/>
                <w:noProof/>
              </w:rPr>
              <w:t>2.</w:t>
            </w:r>
            <w:r w:rsidR="003A393C">
              <w:rPr>
                <w:rFonts w:cstheme="minorBidi"/>
                <w:b w:val="0"/>
                <w:bCs w:val="0"/>
                <w:iCs w:val="0"/>
                <w:noProof/>
                <w:kern w:val="2"/>
                <w:lang w:eastAsia="en-GB"/>
                <w14:ligatures w14:val="standardContextual"/>
              </w:rPr>
              <w:tab/>
            </w:r>
            <w:r w:rsidR="003A393C" w:rsidRPr="005B4300">
              <w:rPr>
                <w:rStyle w:val="Hyperlink"/>
                <w:noProof/>
              </w:rPr>
              <w:t>Regulatory Context</w:t>
            </w:r>
            <w:r w:rsidR="003A393C">
              <w:rPr>
                <w:noProof/>
                <w:webHidden/>
              </w:rPr>
              <w:tab/>
            </w:r>
            <w:r w:rsidR="003A393C">
              <w:rPr>
                <w:noProof/>
                <w:webHidden/>
              </w:rPr>
              <w:fldChar w:fldCharType="begin"/>
            </w:r>
            <w:r w:rsidR="003A393C">
              <w:rPr>
                <w:noProof/>
                <w:webHidden/>
              </w:rPr>
              <w:instrText xml:space="preserve"> PAGEREF _Toc158894166 \h </w:instrText>
            </w:r>
            <w:r w:rsidR="003A393C">
              <w:rPr>
                <w:noProof/>
                <w:webHidden/>
              </w:rPr>
            </w:r>
            <w:r w:rsidR="003A393C">
              <w:rPr>
                <w:noProof/>
                <w:webHidden/>
              </w:rPr>
              <w:fldChar w:fldCharType="separate"/>
            </w:r>
            <w:r w:rsidR="003A393C">
              <w:rPr>
                <w:noProof/>
                <w:webHidden/>
              </w:rPr>
              <w:t>3</w:t>
            </w:r>
            <w:r w:rsidR="003A393C">
              <w:rPr>
                <w:noProof/>
                <w:webHidden/>
              </w:rPr>
              <w:fldChar w:fldCharType="end"/>
            </w:r>
          </w:hyperlink>
        </w:p>
        <w:p w14:paraId="730D3561" w14:textId="27D4211A" w:rsidR="003A393C" w:rsidRDefault="00000000">
          <w:pPr>
            <w:pStyle w:val="TOC2"/>
            <w:tabs>
              <w:tab w:val="right" w:leader="dot" w:pos="9628"/>
            </w:tabs>
            <w:rPr>
              <w:rFonts w:cstheme="minorBidi"/>
              <w:bCs w:val="0"/>
              <w:noProof/>
              <w:kern w:val="2"/>
              <w:szCs w:val="24"/>
              <w:lang w:eastAsia="en-GB"/>
              <w14:ligatures w14:val="standardContextual"/>
            </w:rPr>
          </w:pPr>
          <w:hyperlink w:anchor="_Toc158894167" w:history="1">
            <w:r w:rsidR="003A393C" w:rsidRPr="005B4300">
              <w:rPr>
                <w:rStyle w:val="Hyperlink"/>
                <w:i/>
                <w:iCs/>
                <w:noProof/>
              </w:rPr>
              <w:t>The Livestock Disease Control Act 1994</w:t>
            </w:r>
            <w:r w:rsidR="003A393C">
              <w:rPr>
                <w:noProof/>
                <w:webHidden/>
              </w:rPr>
              <w:tab/>
            </w:r>
            <w:r w:rsidR="003A393C">
              <w:rPr>
                <w:noProof/>
                <w:webHidden/>
              </w:rPr>
              <w:fldChar w:fldCharType="begin"/>
            </w:r>
            <w:r w:rsidR="003A393C">
              <w:rPr>
                <w:noProof/>
                <w:webHidden/>
              </w:rPr>
              <w:instrText xml:space="preserve"> PAGEREF _Toc158894167 \h </w:instrText>
            </w:r>
            <w:r w:rsidR="003A393C">
              <w:rPr>
                <w:noProof/>
                <w:webHidden/>
              </w:rPr>
            </w:r>
            <w:r w:rsidR="003A393C">
              <w:rPr>
                <w:noProof/>
                <w:webHidden/>
              </w:rPr>
              <w:fldChar w:fldCharType="separate"/>
            </w:r>
            <w:r w:rsidR="003A393C">
              <w:rPr>
                <w:noProof/>
                <w:webHidden/>
              </w:rPr>
              <w:t>3</w:t>
            </w:r>
            <w:r w:rsidR="003A393C">
              <w:rPr>
                <w:noProof/>
                <w:webHidden/>
              </w:rPr>
              <w:fldChar w:fldCharType="end"/>
            </w:r>
          </w:hyperlink>
        </w:p>
        <w:p w14:paraId="5CC5B456" w14:textId="1689A1F9" w:rsidR="003A393C" w:rsidRDefault="00000000">
          <w:pPr>
            <w:pStyle w:val="TOC2"/>
            <w:tabs>
              <w:tab w:val="right" w:leader="dot" w:pos="9628"/>
            </w:tabs>
            <w:rPr>
              <w:rFonts w:cstheme="minorBidi"/>
              <w:bCs w:val="0"/>
              <w:noProof/>
              <w:kern w:val="2"/>
              <w:szCs w:val="24"/>
              <w:lang w:eastAsia="en-GB"/>
              <w14:ligatures w14:val="standardContextual"/>
            </w:rPr>
          </w:pPr>
          <w:hyperlink w:anchor="_Toc158894168" w:history="1">
            <w:r w:rsidR="003A393C" w:rsidRPr="005B4300">
              <w:rPr>
                <w:rStyle w:val="Hyperlink"/>
                <w:noProof/>
              </w:rPr>
              <w:t>Expenditure from the Funds</w:t>
            </w:r>
            <w:r w:rsidR="003A393C">
              <w:rPr>
                <w:noProof/>
                <w:webHidden/>
              </w:rPr>
              <w:tab/>
            </w:r>
            <w:r w:rsidR="003A393C">
              <w:rPr>
                <w:noProof/>
                <w:webHidden/>
              </w:rPr>
              <w:fldChar w:fldCharType="begin"/>
            </w:r>
            <w:r w:rsidR="003A393C">
              <w:rPr>
                <w:noProof/>
                <w:webHidden/>
              </w:rPr>
              <w:instrText xml:space="preserve"> PAGEREF _Toc158894168 \h </w:instrText>
            </w:r>
            <w:r w:rsidR="003A393C">
              <w:rPr>
                <w:noProof/>
                <w:webHidden/>
              </w:rPr>
            </w:r>
            <w:r w:rsidR="003A393C">
              <w:rPr>
                <w:noProof/>
                <w:webHidden/>
              </w:rPr>
              <w:fldChar w:fldCharType="separate"/>
            </w:r>
            <w:r w:rsidR="003A393C">
              <w:rPr>
                <w:noProof/>
                <w:webHidden/>
              </w:rPr>
              <w:t>4</w:t>
            </w:r>
            <w:r w:rsidR="003A393C">
              <w:rPr>
                <w:noProof/>
                <w:webHidden/>
              </w:rPr>
              <w:fldChar w:fldCharType="end"/>
            </w:r>
          </w:hyperlink>
        </w:p>
        <w:p w14:paraId="27A4346A" w14:textId="0DFE1648" w:rsidR="003A393C" w:rsidRDefault="00000000">
          <w:pPr>
            <w:pStyle w:val="TOC1"/>
            <w:tabs>
              <w:tab w:val="left" w:pos="454"/>
              <w:tab w:val="right" w:leader="dot" w:pos="9628"/>
            </w:tabs>
            <w:rPr>
              <w:rFonts w:cstheme="minorBidi"/>
              <w:b w:val="0"/>
              <w:bCs w:val="0"/>
              <w:iCs w:val="0"/>
              <w:noProof/>
              <w:kern w:val="2"/>
              <w:lang w:eastAsia="en-GB"/>
              <w14:ligatures w14:val="standardContextual"/>
            </w:rPr>
          </w:pPr>
          <w:hyperlink w:anchor="_Toc158894169" w:history="1">
            <w:r w:rsidR="003A393C" w:rsidRPr="005B4300">
              <w:rPr>
                <w:rStyle w:val="Hyperlink"/>
                <w:noProof/>
              </w:rPr>
              <w:t>3.</w:t>
            </w:r>
            <w:r w:rsidR="003A393C">
              <w:rPr>
                <w:rFonts w:cstheme="minorBidi"/>
                <w:b w:val="0"/>
                <w:bCs w:val="0"/>
                <w:iCs w:val="0"/>
                <w:noProof/>
                <w:kern w:val="2"/>
                <w:lang w:eastAsia="en-GB"/>
                <w14:ligatures w14:val="standardContextual"/>
              </w:rPr>
              <w:tab/>
            </w:r>
            <w:r w:rsidR="003A393C" w:rsidRPr="005B4300">
              <w:rPr>
                <w:rStyle w:val="Hyperlink"/>
                <w:noProof/>
              </w:rPr>
              <w:t>Funding</w:t>
            </w:r>
            <w:r w:rsidR="003A393C">
              <w:rPr>
                <w:noProof/>
                <w:webHidden/>
              </w:rPr>
              <w:tab/>
            </w:r>
            <w:r w:rsidR="003A393C">
              <w:rPr>
                <w:noProof/>
                <w:webHidden/>
              </w:rPr>
              <w:fldChar w:fldCharType="begin"/>
            </w:r>
            <w:r w:rsidR="003A393C">
              <w:rPr>
                <w:noProof/>
                <w:webHidden/>
              </w:rPr>
              <w:instrText xml:space="preserve"> PAGEREF _Toc158894169 \h </w:instrText>
            </w:r>
            <w:r w:rsidR="003A393C">
              <w:rPr>
                <w:noProof/>
                <w:webHidden/>
              </w:rPr>
            </w:r>
            <w:r w:rsidR="003A393C">
              <w:rPr>
                <w:noProof/>
                <w:webHidden/>
              </w:rPr>
              <w:fldChar w:fldCharType="separate"/>
            </w:r>
            <w:r w:rsidR="003A393C">
              <w:rPr>
                <w:noProof/>
                <w:webHidden/>
              </w:rPr>
              <w:t>5</w:t>
            </w:r>
            <w:r w:rsidR="003A393C">
              <w:rPr>
                <w:noProof/>
                <w:webHidden/>
              </w:rPr>
              <w:fldChar w:fldCharType="end"/>
            </w:r>
          </w:hyperlink>
        </w:p>
        <w:p w14:paraId="617B92EF" w14:textId="5F6C61C6" w:rsidR="003A393C" w:rsidRDefault="00000000">
          <w:pPr>
            <w:pStyle w:val="TOC2"/>
            <w:tabs>
              <w:tab w:val="right" w:leader="dot" w:pos="9628"/>
            </w:tabs>
            <w:rPr>
              <w:rFonts w:cstheme="minorBidi"/>
              <w:bCs w:val="0"/>
              <w:noProof/>
              <w:kern w:val="2"/>
              <w:szCs w:val="24"/>
              <w:lang w:eastAsia="en-GB"/>
              <w14:ligatures w14:val="standardContextual"/>
            </w:rPr>
          </w:pPr>
          <w:hyperlink w:anchor="_Toc158894170" w:history="1">
            <w:r w:rsidR="003A393C" w:rsidRPr="005B4300">
              <w:rPr>
                <w:rStyle w:val="Hyperlink"/>
                <w:noProof/>
              </w:rPr>
              <w:t>Vision</w:t>
            </w:r>
            <w:r w:rsidR="003A393C">
              <w:rPr>
                <w:noProof/>
                <w:webHidden/>
              </w:rPr>
              <w:tab/>
            </w:r>
            <w:r w:rsidR="003A393C">
              <w:rPr>
                <w:noProof/>
                <w:webHidden/>
              </w:rPr>
              <w:fldChar w:fldCharType="begin"/>
            </w:r>
            <w:r w:rsidR="003A393C">
              <w:rPr>
                <w:noProof/>
                <w:webHidden/>
              </w:rPr>
              <w:instrText xml:space="preserve"> PAGEREF _Toc158894170 \h </w:instrText>
            </w:r>
            <w:r w:rsidR="003A393C">
              <w:rPr>
                <w:noProof/>
                <w:webHidden/>
              </w:rPr>
            </w:r>
            <w:r w:rsidR="003A393C">
              <w:rPr>
                <w:noProof/>
                <w:webHidden/>
              </w:rPr>
              <w:fldChar w:fldCharType="separate"/>
            </w:r>
            <w:r w:rsidR="003A393C">
              <w:rPr>
                <w:noProof/>
                <w:webHidden/>
              </w:rPr>
              <w:t>5</w:t>
            </w:r>
            <w:r w:rsidR="003A393C">
              <w:rPr>
                <w:noProof/>
                <w:webHidden/>
              </w:rPr>
              <w:fldChar w:fldCharType="end"/>
            </w:r>
          </w:hyperlink>
        </w:p>
        <w:p w14:paraId="5CC0BF27" w14:textId="001E9908" w:rsidR="003A393C" w:rsidRDefault="00000000">
          <w:pPr>
            <w:pStyle w:val="TOC2"/>
            <w:tabs>
              <w:tab w:val="right" w:leader="dot" w:pos="9628"/>
            </w:tabs>
            <w:rPr>
              <w:rFonts w:cstheme="minorBidi"/>
              <w:bCs w:val="0"/>
              <w:noProof/>
              <w:kern w:val="2"/>
              <w:szCs w:val="24"/>
              <w:lang w:eastAsia="en-GB"/>
              <w14:ligatures w14:val="standardContextual"/>
            </w:rPr>
          </w:pPr>
          <w:hyperlink w:anchor="_Toc158894171" w:history="1">
            <w:r w:rsidR="003A393C" w:rsidRPr="005B4300">
              <w:rPr>
                <w:rStyle w:val="Hyperlink"/>
                <w:noProof/>
              </w:rPr>
              <w:t>Principles</w:t>
            </w:r>
            <w:r w:rsidR="003A393C">
              <w:rPr>
                <w:noProof/>
                <w:webHidden/>
              </w:rPr>
              <w:tab/>
            </w:r>
            <w:r w:rsidR="003A393C">
              <w:rPr>
                <w:noProof/>
                <w:webHidden/>
              </w:rPr>
              <w:fldChar w:fldCharType="begin"/>
            </w:r>
            <w:r w:rsidR="003A393C">
              <w:rPr>
                <w:noProof/>
                <w:webHidden/>
              </w:rPr>
              <w:instrText xml:space="preserve"> PAGEREF _Toc158894171 \h </w:instrText>
            </w:r>
            <w:r w:rsidR="003A393C">
              <w:rPr>
                <w:noProof/>
                <w:webHidden/>
              </w:rPr>
            </w:r>
            <w:r w:rsidR="003A393C">
              <w:rPr>
                <w:noProof/>
                <w:webHidden/>
              </w:rPr>
              <w:fldChar w:fldCharType="separate"/>
            </w:r>
            <w:r w:rsidR="003A393C">
              <w:rPr>
                <w:noProof/>
                <w:webHidden/>
              </w:rPr>
              <w:t>5</w:t>
            </w:r>
            <w:r w:rsidR="003A393C">
              <w:rPr>
                <w:noProof/>
                <w:webHidden/>
              </w:rPr>
              <w:fldChar w:fldCharType="end"/>
            </w:r>
          </w:hyperlink>
        </w:p>
        <w:p w14:paraId="69721D52" w14:textId="501C9082" w:rsidR="003A393C" w:rsidRDefault="00000000">
          <w:pPr>
            <w:pStyle w:val="TOC2"/>
            <w:tabs>
              <w:tab w:val="right" w:leader="dot" w:pos="9628"/>
            </w:tabs>
            <w:rPr>
              <w:rFonts w:cstheme="minorBidi"/>
              <w:bCs w:val="0"/>
              <w:noProof/>
              <w:kern w:val="2"/>
              <w:szCs w:val="24"/>
              <w:lang w:eastAsia="en-GB"/>
              <w14:ligatures w14:val="standardContextual"/>
            </w:rPr>
          </w:pPr>
          <w:hyperlink w:anchor="_Toc158894172" w:history="1">
            <w:r w:rsidR="003A393C" w:rsidRPr="005B4300">
              <w:rPr>
                <w:rStyle w:val="Hyperlink"/>
                <w:noProof/>
              </w:rPr>
              <w:t>Funding Streams</w:t>
            </w:r>
            <w:r w:rsidR="003A393C">
              <w:rPr>
                <w:noProof/>
                <w:webHidden/>
              </w:rPr>
              <w:tab/>
            </w:r>
            <w:r w:rsidR="003A393C">
              <w:rPr>
                <w:noProof/>
                <w:webHidden/>
              </w:rPr>
              <w:fldChar w:fldCharType="begin"/>
            </w:r>
            <w:r w:rsidR="003A393C">
              <w:rPr>
                <w:noProof/>
                <w:webHidden/>
              </w:rPr>
              <w:instrText xml:space="preserve"> PAGEREF _Toc158894172 \h </w:instrText>
            </w:r>
            <w:r w:rsidR="003A393C">
              <w:rPr>
                <w:noProof/>
                <w:webHidden/>
              </w:rPr>
            </w:r>
            <w:r w:rsidR="003A393C">
              <w:rPr>
                <w:noProof/>
                <w:webHidden/>
              </w:rPr>
              <w:fldChar w:fldCharType="separate"/>
            </w:r>
            <w:r w:rsidR="003A393C">
              <w:rPr>
                <w:noProof/>
                <w:webHidden/>
              </w:rPr>
              <w:t>5</w:t>
            </w:r>
            <w:r w:rsidR="003A393C">
              <w:rPr>
                <w:noProof/>
                <w:webHidden/>
              </w:rPr>
              <w:fldChar w:fldCharType="end"/>
            </w:r>
          </w:hyperlink>
        </w:p>
        <w:p w14:paraId="59DBD10B" w14:textId="48DDFEAA" w:rsidR="003A393C" w:rsidRDefault="00000000">
          <w:pPr>
            <w:pStyle w:val="TOC2"/>
            <w:tabs>
              <w:tab w:val="right" w:leader="dot" w:pos="9628"/>
            </w:tabs>
            <w:rPr>
              <w:rFonts w:cstheme="minorBidi"/>
              <w:bCs w:val="0"/>
              <w:noProof/>
              <w:kern w:val="2"/>
              <w:szCs w:val="24"/>
              <w:lang w:eastAsia="en-GB"/>
              <w14:ligatures w14:val="standardContextual"/>
            </w:rPr>
          </w:pPr>
          <w:hyperlink w:anchor="_Toc158894173" w:history="1">
            <w:r w:rsidR="003A393C" w:rsidRPr="005B4300">
              <w:rPr>
                <w:rStyle w:val="Hyperlink"/>
                <w:noProof/>
              </w:rPr>
              <w:t>Available funds</w:t>
            </w:r>
            <w:r w:rsidR="003A393C">
              <w:rPr>
                <w:noProof/>
                <w:webHidden/>
              </w:rPr>
              <w:tab/>
            </w:r>
            <w:r w:rsidR="003A393C">
              <w:rPr>
                <w:noProof/>
                <w:webHidden/>
              </w:rPr>
              <w:fldChar w:fldCharType="begin"/>
            </w:r>
            <w:r w:rsidR="003A393C">
              <w:rPr>
                <w:noProof/>
                <w:webHidden/>
              </w:rPr>
              <w:instrText xml:space="preserve"> PAGEREF _Toc158894173 \h </w:instrText>
            </w:r>
            <w:r w:rsidR="003A393C">
              <w:rPr>
                <w:noProof/>
                <w:webHidden/>
              </w:rPr>
            </w:r>
            <w:r w:rsidR="003A393C">
              <w:rPr>
                <w:noProof/>
                <w:webHidden/>
              </w:rPr>
              <w:fldChar w:fldCharType="separate"/>
            </w:r>
            <w:r w:rsidR="003A393C">
              <w:rPr>
                <w:noProof/>
                <w:webHidden/>
              </w:rPr>
              <w:t>6</w:t>
            </w:r>
            <w:r w:rsidR="003A393C">
              <w:rPr>
                <w:noProof/>
                <w:webHidden/>
              </w:rPr>
              <w:fldChar w:fldCharType="end"/>
            </w:r>
          </w:hyperlink>
        </w:p>
        <w:p w14:paraId="60EF6F4E" w14:textId="44A3AA24" w:rsidR="003A393C" w:rsidRDefault="00000000">
          <w:pPr>
            <w:pStyle w:val="TOC1"/>
            <w:tabs>
              <w:tab w:val="left" w:pos="454"/>
              <w:tab w:val="right" w:leader="dot" w:pos="9628"/>
            </w:tabs>
            <w:rPr>
              <w:rFonts w:cstheme="minorBidi"/>
              <w:b w:val="0"/>
              <w:bCs w:val="0"/>
              <w:iCs w:val="0"/>
              <w:noProof/>
              <w:kern w:val="2"/>
              <w:lang w:eastAsia="en-GB"/>
              <w14:ligatures w14:val="standardContextual"/>
            </w:rPr>
          </w:pPr>
          <w:hyperlink w:anchor="_Toc158894174" w:history="1">
            <w:r w:rsidR="003A393C" w:rsidRPr="005B4300">
              <w:rPr>
                <w:rStyle w:val="Hyperlink"/>
                <w:noProof/>
              </w:rPr>
              <w:t>4.</w:t>
            </w:r>
            <w:r w:rsidR="003A393C">
              <w:rPr>
                <w:rFonts w:cstheme="minorBidi"/>
                <w:b w:val="0"/>
                <w:bCs w:val="0"/>
                <w:iCs w:val="0"/>
                <w:noProof/>
                <w:kern w:val="2"/>
                <w:lang w:eastAsia="en-GB"/>
                <w14:ligatures w14:val="standardContextual"/>
              </w:rPr>
              <w:tab/>
            </w:r>
            <w:r w:rsidR="003A393C" w:rsidRPr="005B4300">
              <w:rPr>
                <w:rStyle w:val="Hyperlink"/>
                <w:noProof/>
              </w:rPr>
              <w:t>Application Requirements</w:t>
            </w:r>
            <w:r w:rsidR="003A393C">
              <w:rPr>
                <w:noProof/>
                <w:webHidden/>
              </w:rPr>
              <w:tab/>
            </w:r>
            <w:r w:rsidR="003A393C">
              <w:rPr>
                <w:noProof/>
                <w:webHidden/>
              </w:rPr>
              <w:fldChar w:fldCharType="begin"/>
            </w:r>
            <w:r w:rsidR="003A393C">
              <w:rPr>
                <w:noProof/>
                <w:webHidden/>
              </w:rPr>
              <w:instrText xml:space="preserve"> PAGEREF _Toc158894174 \h </w:instrText>
            </w:r>
            <w:r w:rsidR="003A393C">
              <w:rPr>
                <w:noProof/>
                <w:webHidden/>
              </w:rPr>
            </w:r>
            <w:r w:rsidR="003A393C">
              <w:rPr>
                <w:noProof/>
                <w:webHidden/>
              </w:rPr>
              <w:fldChar w:fldCharType="separate"/>
            </w:r>
            <w:r w:rsidR="003A393C">
              <w:rPr>
                <w:noProof/>
                <w:webHidden/>
              </w:rPr>
              <w:t>6</w:t>
            </w:r>
            <w:r w:rsidR="003A393C">
              <w:rPr>
                <w:noProof/>
                <w:webHidden/>
              </w:rPr>
              <w:fldChar w:fldCharType="end"/>
            </w:r>
          </w:hyperlink>
        </w:p>
        <w:p w14:paraId="5C8DFB25" w14:textId="77813B0B" w:rsidR="003A393C" w:rsidRDefault="00000000">
          <w:pPr>
            <w:pStyle w:val="TOC2"/>
            <w:tabs>
              <w:tab w:val="right" w:leader="dot" w:pos="9628"/>
            </w:tabs>
            <w:rPr>
              <w:rFonts w:cstheme="minorBidi"/>
              <w:bCs w:val="0"/>
              <w:noProof/>
              <w:kern w:val="2"/>
              <w:szCs w:val="24"/>
              <w:lang w:eastAsia="en-GB"/>
              <w14:ligatures w14:val="standardContextual"/>
            </w:rPr>
          </w:pPr>
          <w:hyperlink w:anchor="_Toc158894175" w:history="1">
            <w:r w:rsidR="003A393C" w:rsidRPr="005B4300">
              <w:rPr>
                <w:rStyle w:val="Hyperlink"/>
                <w:noProof/>
              </w:rPr>
              <w:t>Overview</w:t>
            </w:r>
            <w:r w:rsidR="003A393C">
              <w:rPr>
                <w:noProof/>
                <w:webHidden/>
              </w:rPr>
              <w:tab/>
            </w:r>
            <w:r w:rsidR="003A393C">
              <w:rPr>
                <w:noProof/>
                <w:webHidden/>
              </w:rPr>
              <w:fldChar w:fldCharType="begin"/>
            </w:r>
            <w:r w:rsidR="003A393C">
              <w:rPr>
                <w:noProof/>
                <w:webHidden/>
              </w:rPr>
              <w:instrText xml:space="preserve"> PAGEREF _Toc158894175 \h </w:instrText>
            </w:r>
            <w:r w:rsidR="003A393C">
              <w:rPr>
                <w:noProof/>
                <w:webHidden/>
              </w:rPr>
            </w:r>
            <w:r w:rsidR="003A393C">
              <w:rPr>
                <w:noProof/>
                <w:webHidden/>
              </w:rPr>
              <w:fldChar w:fldCharType="separate"/>
            </w:r>
            <w:r w:rsidR="003A393C">
              <w:rPr>
                <w:noProof/>
                <w:webHidden/>
              </w:rPr>
              <w:t>6</w:t>
            </w:r>
            <w:r w:rsidR="003A393C">
              <w:rPr>
                <w:noProof/>
                <w:webHidden/>
              </w:rPr>
              <w:fldChar w:fldCharType="end"/>
            </w:r>
          </w:hyperlink>
        </w:p>
        <w:p w14:paraId="4DE8A54A" w14:textId="43064526" w:rsidR="003A393C" w:rsidRDefault="00000000">
          <w:pPr>
            <w:pStyle w:val="TOC2"/>
            <w:tabs>
              <w:tab w:val="right" w:leader="dot" w:pos="9628"/>
            </w:tabs>
            <w:rPr>
              <w:rFonts w:cstheme="minorBidi"/>
              <w:bCs w:val="0"/>
              <w:noProof/>
              <w:kern w:val="2"/>
              <w:szCs w:val="24"/>
              <w:lang w:eastAsia="en-GB"/>
              <w14:ligatures w14:val="standardContextual"/>
            </w:rPr>
          </w:pPr>
          <w:hyperlink w:anchor="_Toc158894176" w:history="1">
            <w:r w:rsidR="003A393C" w:rsidRPr="005B4300">
              <w:rPr>
                <w:rStyle w:val="Hyperlink"/>
                <w:noProof/>
              </w:rPr>
              <w:t>Eligible applicants</w:t>
            </w:r>
            <w:r w:rsidR="003A393C">
              <w:rPr>
                <w:noProof/>
                <w:webHidden/>
              </w:rPr>
              <w:tab/>
            </w:r>
            <w:r w:rsidR="003A393C">
              <w:rPr>
                <w:noProof/>
                <w:webHidden/>
              </w:rPr>
              <w:fldChar w:fldCharType="begin"/>
            </w:r>
            <w:r w:rsidR="003A393C">
              <w:rPr>
                <w:noProof/>
                <w:webHidden/>
              </w:rPr>
              <w:instrText xml:space="preserve"> PAGEREF _Toc158894176 \h </w:instrText>
            </w:r>
            <w:r w:rsidR="003A393C">
              <w:rPr>
                <w:noProof/>
                <w:webHidden/>
              </w:rPr>
            </w:r>
            <w:r w:rsidR="003A393C">
              <w:rPr>
                <w:noProof/>
                <w:webHidden/>
              </w:rPr>
              <w:fldChar w:fldCharType="separate"/>
            </w:r>
            <w:r w:rsidR="003A393C">
              <w:rPr>
                <w:noProof/>
                <w:webHidden/>
              </w:rPr>
              <w:t>7</w:t>
            </w:r>
            <w:r w:rsidR="003A393C">
              <w:rPr>
                <w:noProof/>
                <w:webHidden/>
              </w:rPr>
              <w:fldChar w:fldCharType="end"/>
            </w:r>
          </w:hyperlink>
        </w:p>
        <w:p w14:paraId="7119E278" w14:textId="496D238D" w:rsidR="003A393C" w:rsidRDefault="00000000">
          <w:pPr>
            <w:pStyle w:val="TOC2"/>
            <w:tabs>
              <w:tab w:val="right" w:leader="dot" w:pos="9628"/>
            </w:tabs>
            <w:rPr>
              <w:rFonts w:cstheme="minorBidi"/>
              <w:bCs w:val="0"/>
              <w:noProof/>
              <w:kern w:val="2"/>
              <w:szCs w:val="24"/>
              <w:lang w:eastAsia="en-GB"/>
              <w14:ligatures w14:val="standardContextual"/>
            </w:rPr>
          </w:pPr>
          <w:hyperlink w:anchor="_Toc158894177" w:history="1">
            <w:r w:rsidR="003A393C" w:rsidRPr="005B4300">
              <w:rPr>
                <w:rStyle w:val="Hyperlink"/>
                <w:noProof/>
              </w:rPr>
              <w:t>Ineligible applicants</w:t>
            </w:r>
            <w:r w:rsidR="003A393C">
              <w:rPr>
                <w:noProof/>
                <w:webHidden/>
              </w:rPr>
              <w:tab/>
            </w:r>
            <w:r w:rsidR="003A393C">
              <w:rPr>
                <w:noProof/>
                <w:webHidden/>
              </w:rPr>
              <w:fldChar w:fldCharType="begin"/>
            </w:r>
            <w:r w:rsidR="003A393C">
              <w:rPr>
                <w:noProof/>
                <w:webHidden/>
              </w:rPr>
              <w:instrText xml:space="preserve"> PAGEREF _Toc158894177 \h </w:instrText>
            </w:r>
            <w:r w:rsidR="003A393C">
              <w:rPr>
                <w:noProof/>
                <w:webHidden/>
              </w:rPr>
            </w:r>
            <w:r w:rsidR="003A393C">
              <w:rPr>
                <w:noProof/>
                <w:webHidden/>
              </w:rPr>
              <w:fldChar w:fldCharType="separate"/>
            </w:r>
            <w:r w:rsidR="003A393C">
              <w:rPr>
                <w:noProof/>
                <w:webHidden/>
              </w:rPr>
              <w:t>7</w:t>
            </w:r>
            <w:r w:rsidR="003A393C">
              <w:rPr>
                <w:noProof/>
                <w:webHidden/>
              </w:rPr>
              <w:fldChar w:fldCharType="end"/>
            </w:r>
          </w:hyperlink>
        </w:p>
        <w:p w14:paraId="09120697" w14:textId="22F060EA" w:rsidR="003A393C" w:rsidRDefault="00000000">
          <w:pPr>
            <w:pStyle w:val="TOC2"/>
            <w:tabs>
              <w:tab w:val="right" w:leader="dot" w:pos="9628"/>
            </w:tabs>
            <w:rPr>
              <w:rFonts w:cstheme="minorBidi"/>
              <w:bCs w:val="0"/>
              <w:noProof/>
              <w:kern w:val="2"/>
              <w:szCs w:val="24"/>
              <w:lang w:eastAsia="en-GB"/>
              <w14:ligatures w14:val="standardContextual"/>
            </w:rPr>
          </w:pPr>
          <w:hyperlink w:anchor="_Toc158894178" w:history="1">
            <w:r w:rsidR="003A393C" w:rsidRPr="005B4300">
              <w:rPr>
                <w:rStyle w:val="Hyperlink"/>
                <w:noProof/>
              </w:rPr>
              <w:t>Ineligible expenditure</w:t>
            </w:r>
            <w:r w:rsidR="003A393C">
              <w:rPr>
                <w:noProof/>
                <w:webHidden/>
              </w:rPr>
              <w:tab/>
            </w:r>
            <w:r w:rsidR="003A393C">
              <w:rPr>
                <w:noProof/>
                <w:webHidden/>
              </w:rPr>
              <w:fldChar w:fldCharType="begin"/>
            </w:r>
            <w:r w:rsidR="003A393C">
              <w:rPr>
                <w:noProof/>
                <w:webHidden/>
              </w:rPr>
              <w:instrText xml:space="preserve"> PAGEREF _Toc158894178 \h </w:instrText>
            </w:r>
            <w:r w:rsidR="003A393C">
              <w:rPr>
                <w:noProof/>
                <w:webHidden/>
              </w:rPr>
            </w:r>
            <w:r w:rsidR="003A393C">
              <w:rPr>
                <w:noProof/>
                <w:webHidden/>
              </w:rPr>
              <w:fldChar w:fldCharType="separate"/>
            </w:r>
            <w:r w:rsidR="003A393C">
              <w:rPr>
                <w:noProof/>
                <w:webHidden/>
              </w:rPr>
              <w:t>7</w:t>
            </w:r>
            <w:r w:rsidR="003A393C">
              <w:rPr>
                <w:noProof/>
                <w:webHidden/>
              </w:rPr>
              <w:fldChar w:fldCharType="end"/>
            </w:r>
          </w:hyperlink>
        </w:p>
        <w:p w14:paraId="13937F0A" w14:textId="6E73649E" w:rsidR="003A393C" w:rsidRDefault="00000000">
          <w:pPr>
            <w:pStyle w:val="TOC2"/>
            <w:tabs>
              <w:tab w:val="right" w:leader="dot" w:pos="9628"/>
            </w:tabs>
            <w:rPr>
              <w:rFonts w:cstheme="minorBidi"/>
              <w:bCs w:val="0"/>
              <w:noProof/>
              <w:kern w:val="2"/>
              <w:szCs w:val="24"/>
              <w:lang w:eastAsia="en-GB"/>
              <w14:ligatures w14:val="standardContextual"/>
            </w:rPr>
          </w:pPr>
          <w:hyperlink w:anchor="_Toc158894179" w:history="1">
            <w:r w:rsidR="003A393C" w:rsidRPr="005B4300">
              <w:rPr>
                <w:rStyle w:val="Hyperlink"/>
                <w:noProof/>
              </w:rPr>
              <w:t>Co-funding contributions</w:t>
            </w:r>
            <w:r w:rsidR="003A393C">
              <w:rPr>
                <w:noProof/>
                <w:webHidden/>
              </w:rPr>
              <w:tab/>
            </w:r>
            <w:r w:rsidR="003A393C">
              <w:rPr>
                <w:noProof/>
                <w:webHidden/>
              </w:rPr>
              <w:fldChar w:fldCharType="begin"/>
            </w:r>
            <w:r w:rsidR="003A393C">
              <w:rPr>
                <w:noProof/>
                <w:webHidden/>
              </w:rPr>
              <w:instrText xml:space="preserve"> PAGEREF _Toc158894179 \h </w:instrText>
            </w:r>
            <w:r w:rsidR="003A393C">
              <w:rPr>
                <w:noProof/>
                <w:webHidden/>
              </w:rPr>
            </w:r>
            <w:r w:rsidR="003A393C">
              <w:rPr>
                <w:noProof/>
                <w:webHidden/>
              </w:rPr>
              <w:fldChar w:fldCharType="separate"/>
            </w:r>
            <w:r w:rsidR="003A393C">
              <w:rPr>
                <w:noProof/>
                <w:webHidden/>
              </w:rPr>
              <w:t>8</w:t>
            </w:r>
            <w:r w:rsidR="003A393C">
              <w:rPr>
                <w:noProof/>
                <w:webHidden/>
              </w:rPr>
              <w:fldChar w:fldCharType="end"/>
            </w:r>
          </w:hyperlink>
        </w:p>
        <w:p w14:paraId="1C7D4E3E" w14:textId="68EE7B0A" w:rsidR="003A393C" w:rsidRDefault="00000000">
          <w:pPr>
            <w:pStyle w:val="TOC2"/>
            <w:tabs>
              <w:tab w:val="right" w:leader="dot" w:pos="9628"/>
            </w:tabs>
            <w:rPr>
              <w:rFonts w:cstheme="minorBidi"/>
              <w:bCs w:val="0"/>
              <w:noProof/>
              <w:kern w:val="2"/>
              <w:szCs w:val="24"/>
              <w:lang w:eastAsia="en-GB"/>
              <w14:ligatures w14:val="standardContextual"/>
            </w:rPr>
          </w:pPr>
          <w:hyperlink w:anchor="_Toc158894180" w:history="1">
            <w:r w:rsidR="003A393C" w:rsidRPr="005B4300">
              <w:rPr>
                <w:rStyle w:val="Hyperlink"/>
                <w:noProof/>
              </w:rPr>
              <w:t>GST</w:t>
            </w:r>
            <w:r w:rsidR="003A393C">
              <w:rPr>
                <w:noProof/>
                <w:webHidden/>
              </w:rPr>
              <w:tab/>
            </w:r>
            <w:r w:rsidR="003A393C">
              <w:rPr>
                <w:noProof/>
                <w:webHidden/>
              </w:rPr>
              <w:fldChar w:fldCharType="begin"/>
            </w:r>
            <w:r w:rsidR="003A393C">
              <w:rPr>
                <w:noProof/>
                <w:webHidden/>
              </w:rPr>
              <w:instrText xml:space="preserve"> PAGEREF _Toc158894180 \h </w:instrText>
            </w:r>
            <w:r w:rsidR="003A393C">
              <w:rPr>
                <w:noProof/>
                <w:webHidden/>
              </w:rPr>
            </w:r>
            <w:r w:rsidR="003A393C">
              <w:rPr>
                <w:noProof/>
                <w:webHidden/>
              </w:rPr>
              <w:fldChar w:fldCharType="separate"/>
            </w:r>
            <w:r w:rsidR="003A393C">
              <w:rPr>
                <w:noProof/>
                <w:webHidden/>
              </w:rPr>
              <w:t>8</w:t>
            </w:r>
            <w:r w:rsidR="003A393C">
              <w:rPr>
                <w:noProof/>
                <w:webHidden/>
              </w:rPr>
              <w:fldChar w:fldCharType="end"/>
            </w:r>
          </w:hyperlink>
        </w:p>
        <w:p w14:paraId="0E2F6F6D" w14:textId="17276F2E" w:rsidR="003A393C" w:rsidRDefault="00000000">
          <w:pPr>
            <w:pStyle w:val="TOC2"/>
            <w:tabs>
              <w:tab w:val="right" w:leader="dot" w:pos="9628"/>
            </w:tabs>
            <w:rPr>
              <w:rFonts w:cstheme="minorBidi"/>
              <w:bCs w:val="0"/>
              <w:noProof/>
              <w:kern w:val="2"/>
              <w:szCs w:val="24"/>
              <w:lang w:eastAsia="en-GB"/>
              <w14:ligatures w14:val="standardContextual"/>
            </w:rPr>
          </w:pPr>
          <w:hyperlink w:anchor="_Toc158894181" w:history="1">
            <w:r w:rsidR="003A393C" w:rsidRPr="005B4300">
              <w:rPr>
                <w:rStyle w:val="Hyperlink"/>
                <w:noProof/>
              </w:rPr>
              <w:t>Financial, probity and reputational checks</w:t>
            </w:r>
            <w:r w:rsidR="003A393C">
              <w:rPr>
                <w:noProof/>
                <w:webHidden/>
              </w:rPr>
              <w:tab/>
            </w:r>
            <w:r w:rsidR="003A393C">
              <w:rPr>
                <w:noProof/>
                <w:webHidden/>
              </w:rPr>
              <w:fldChar w:fldCharType="begin"/>
            </w:r>
            <w:r w:rsidR="003A393C">
              <w:rPr>
                <w:noProof/>
                <w:webHidden/>
              </w:rPr>
              <w:instrText xml:space="preserve"> PAGEREF _Toc158894181 \h </w:instrText>
            </w:r>
            <w:r w:rsidR="003A393C">
              <w:rPr>
                <w:noProof/>
                <w:webHidden/>
              </w:rPr>
            </w:r>
            <w:r w:rsidR="003A393C">
              <w:rPr>
                <w:noProof/>
                <w:webHidden/>
              </w:rPr>
              <w:fldChar w:fldCharType="separate"/>
            </w:r>
            <w:r w:rsidR="003A393C">
              <w:rPr>
                <w:noProof/>
                <w:webHidden/>
              </w:rPr>
              <w:t>8</w:t>
            </w:r>
            <w:r w:rsidR="003A393C">
              <w:rPr>
                <w:noProof/>
                <w:webHidden/>
              </w:rPr>
              <w:fldChar w:fldCharType="end"/>
            </w:r>
          </w:hyperlink>
        </w:p>
        <w:p w14:paraId="4CD26657" w14:textId="1DCAE7EB" w:rsidR="003A393C" w:rsidRDefault="00000000">
          <w:pPr>
            <w:pStyle w:val="TOC2"/>
            <w:tabs>
              <w:tab w:val="right" w:leader="dot" w:pos="9628"/>
            </w:tabs>
            <w:rPr>
              <w:rFonts w:cstheme="minorBidi"/>
              <w:bCs w:val="0"/>
              <w:noProof/>
              <w:kern w:val="2"/>
              <w:szCs w:val="24"/>
              <w:lang w:eastAsia="en-GB"/>
              <w14:ligatures w14:val="standardContextual"/>
            </w:rPr>
          </w:pPr>
          <w:hyperlink w:anchor="_Toc158894182" w:history="1">
            <w:r w:rsidR="003A393C" w:rsidRPr="005B4300">
              <w:rPr>
                <w:rStyle w:val="Hyperlink"/>
                <w:noProof/>
              </w:rPr>
              <w:t>Submission requirements for previously funded projects</w:t>
            </w:r>
            <w:r w:rsidR="003A393C">
              <w:rPr>
                <w:noProof/>
                <w:webHidden/>
              </w:rPr>
              <w:tab/>
            </w:r>
            <w:r w:rsidR="003A393C">
              <w:rPr>
                <w:noProof/>
                <w:webHidden/>
              </w:rPr>
              <w:fldChar w:fldCharType="begin"/>
            </w:r>
            <w:r w:rsidR="003A393C">
              <w:rPr>
                <w:noProof/>
                <w:webHidden/>
              </w:rPr>
              <w:instrText xml:space="preserve"> PAGEREF _Toc158894182 \h </w:instrText>
            </w:r>
            <w:r w:rsidR="003A393C">
              <w:rPr>
                <w:noProof/>
                <w:webHidden/>
              </w:rPr>
            </w:r>
            <w:r w:rsidR="003A393C">
              <w:rPr>
                <w:noProof/>
                <w:webHidden/>
              </w:rPr>
              <w:fldChar w:fldCharType="separate"/>
            </w:r>
            <w:r w:rsidR="003A393C">
              <w:rPr>
                <w:noProof/>
                <w:webHidden/>
              </w:rPr>
              <w:t>9</w:t>
            </w:r>
            <w:r w:rsidR="003A393C">
              <w:rPr>
                <w:noProof/>
                <w:webHidden/>
              </w:rPr>
              <w:fldChar w:fldCharType="end"/>
            </w:r>
          </w:hyperlink>
        </w:p>
        <w:p w14:paraId="3EACE4DB" w14:textId="75C96803" w:rsidR="003A393C" w:rsidRDefault="00000000">
          <w:pPr>
            <w:pStyle w:val="TOC1"/>
            <w:tabs>
              <w:tab w:val="left" w:pos="454"/>
              <w:tab w:val="right" w:leader="dot" w:pos="9628"/>
            </w:tabs>
            <w:rPr>
              <w:rFonts w:cstheme="minorBidi"/>
              <w:b w:val="0"/>
              <w:bCs w:val="0"/>
              <w:iCs w:val="0"/>
              <w:noProof/>
              <w:kern w:val="2"/>
              <w:lang w:eastAsia="en-GB"/>
              <w14:ligatures w14:val="standardContextual"/>
            </w:rPr>
          </w:pPr>
          <w:hyperlink w:anchor="_Toc158894183" w:history="1">
            <w:r w:rsidR="003A393C" w:rsidRPr="005B4300">
              <w:rPr>
                <w:rStyle w:val="Hyperlink"/>
                <w:noProof/>
              </w:rPr>
              <w:t>5.</w:t>
            </w:r>
            <w:r w:rsidR="003A393C">
              <w:rPr>
                <w:rFonts w:cstheme="minorBidi"/>
                <w:b w:val="0"/>
                <w:bCs w:val="0"/>
                <w:iCs w:val="0"/>
                <w:noProof/>
                <w:kern w:val="2"/>
                <w:lang w:eastAsia="en-GB"/>
                <w14:ligatures w14:val="standardContextual"/>
              </w:rPr>
              <w:tab/>
            </w:r>
            <w:r w:rsidR="003A393C" w:rsidRPr="005B4300">
              <w:rPr>
                <w:rStyle w:val="Hyperlink"/>
                <w:noProof/>
              </w:rPr>
              <w:t>Application Assessment</w:t>
            </w:r>
            <w:r w:rsidR="003A393C">
              <w:rPr>
                <w:noProof/>
                <w:webHidden/>
              </w:rPr>
              <w:tab/>
            </w:r>
            <w:r w:rsidR="003A393C">
              <w:rPr>
                <w:noProof/>
                <w:webHidden/>
              </w:rPr>
              <w:fldChar w:fldCharType="begin"/>
            </w:r>
            <w:r w:rsidR="003A393C">
              <w:rPr>
                <w:noProof/>
                <w:webHidden/>
              </w:rPr>
              <w:instrText xml:space="preserve"> PAGEREF _Toc158894183 \h </w:instrText>
            </w:r>
            <w:r w:rsidR="003A393C">
              <w:rPr>
                <w:noProof/>
                <w:webHidden/>
              </w:rPr>
            </w:r>
            <w:r w:rsidR="003A393C">
              <w:rPr>
                <w:noProof/>
                <w:webHidden/>
              </w:rPr>
              <w:fldChar w:fldCharType="separate"/>
            </w:r>
            <w:r w:rsidR="003A393C">
              <w:rPr>
                <w:noProof/>
                <w:webHidden/>
              </w:rPr>
              <w:t>10</w:t>
            </w:r>
            <w:r w:rsidR="003A393C">
              <w:rPr>
                <w:noProof/>
                <w:webHidden/>
              </w:rPr>
              <w:fldChar w:fldCharType="end"/>
            </w:r>
          </w:hyperlink>
        </w:p>
        <w:p w14:paraId="09D489D1" w14:textId="329DBE75" w:rsidR="003A393C" w:rsidRDefault="00000000">
          <w:pPr>
            <w:pStyle w:val="TOC2"/>
            <w:tabs>
              <w:tab w:val="right" w:leader="dot" w:pos="9628"/>
            </w:tabs>
            <w:rPr>
              <w:rFonts w:cstheme="minorBidi"/>
              <w:bCs w:val="0"/>
              <w:noProof/>
              <w:kern w:val="2"/>
              <w:szCs w:val="24"/>
              <w:lang w:eastAsia="en-GB"/>
              <w14:ligatures w14:val="standardContextual"/>
            </w:rPr>
          </w:pPr>
          <w:hyperlink w:anchor="_Toc158894184" w:history="1">
            <w:r w:rsidR="003A393C" w:rsidRPr="005B4300">
              <w:rPr>
                <w:rStyle w:val="Hyperlink"/>
                <w:noProof/>
              </w:rPr>
              <w:t>Assessment Process</w:t>
            </w:r>
            <w:r w:rsidR="003A393C">
              <w:rPr>
                <w:noProof/>
                <w:webHidden/>
              </w:rPr>
              <w:tab/>
            </w:r>
            <w:r w:rsidR="003A393C">
              <w:rPr>
                <w:noProof/>
                <w:webHidden/>
              </w:rPr>
              <w:fldChar w:fldCharType="begin"/>
            </w:r>
            <w:r w:rsidR="003A393C">
              <w:rPr>
                <w:noProof/>
                <w:webHidden/>
              </w:rPr>
              <w:instrText xml:space="preserve"> PAGEREF _Toc158894184 \h </w:instrText>
            </w:r>
            <w:r w:rsidR="003A393C">
              <w:rPr>
                <w:noProof/>
                <w:webHidden/>
              </w:rPr>
            </w:r>
            <w:r w:rsidR="003A393C">
              <w:rPr>
                <w:noProof/>
                <w:webHidden/>
              </w:rPr>
              <w:fldChar w:fldCharType="separate"/>
            </w:r>
            <w:r w:rsidR="003A393C">
              <w:rPr>
                <w:noProof/>
                <w:webHidden/>
              </w:rPr>
              <w:t>10</w:t>
            </w:r>
            <w:r w:rsidR="003A393C">
              <w:rPr>
                <w:noProof/>
                <w:webHidden/>
              </w:rPr>
              <w:fldChar w:fldCharType="end"/>
            </w:r>
          </w:hyperlink>
        </w:p>
        <w:p w14:paraId="39B7CBC0" w14:textId="02513C71" w:rsidR="003A393C" w:rsidRDefault="00000000">
          <w:pPr>
            <w:pStyle w:val="TOC2"/>
            <w:tabs>
              <w:tab w:val="right" w:leader="dot" w:pos="9628"/>
            </w:tabs>
            <w:rPr>
              <w:rFonts w:cstheme="minorBidi"/>
              <w:bCs w:val="0"/>
              <w:noProof/>
              <w:kern w:val="2"/>
              <w:szCs w:val="24"/>
              <w:lang w:eastAsia="en-GB"/>
              <w14:ligatures w14:val="standardContextual"/>
            </w:rPr>
          </w:pPr>
          <w:hyperlink w:anchor="_Toc158894185" w:history="1">
            <w:r w:rsidR="003A393C" w:rsidRPr="005B4300">
              <w:rPr>
                <w:rStyle w:val="Hyperlink"/>
                <w:noProof/>
              </w:rPr>
              <w:t>Probity Advisor</w:t>
            </w:r>
            <w:r w:rsidR="003A393C">
              <w:rPr>
                <w:noProof/>
                <w:webHidden/>
              </w:rPr>
              <w:tab/>
            </w:r>
            <w:r w:rsidR="003A393C">
              <w:rPr>
                <w:noProof/>
                <w:webHidden/>
              </w:rPr>
              <w:fldChar w:fldCharType="begin"/>
            </w:r>
            <w:r w:rsidR="003A393C">
              <w:rPr>
                <w:noProof/>
                <w:webHidden/>
              </w:rPr>
              <w:instrText xml:space="preserve"> PAGEREF _Toc158894185 \h </w:instrText>
            </w:r>
            <w:r w:rsidR="003A393C">
              <w:rPr>
                <w:noProof/>
                <w:webHidden/>
              </w:rPr>
            </w:r>
            <w:r w:rsidR="003A393C">
              <w:rPr>
                <w:noProof/>
                <w:webHidden/>
              </w:rPr>
              <w:fldChar w:fldCharType="separate"/>
            </w:r>
            <w:r w:rsidR="003A393C">
              <w:rPr>
                <w:noProof/>
                <w:webHidden/>
              </w:rPr>
              <w:t>10</w:t>
            </w:r>
            <w:r w:rsidR="003A393C">
              <w:rPr>
                <w:noProof/>
                <w:webHidden/>
              </w:rPr>
              <w:fldChar w:fldCharType="end"/>
            </w:r>
          </w:hyperlink>
        </w:p>
        <w:p w14:paraId="5B1060C3" w14:textId="2E2B580E" w:rsidR="003A393C" w:rsidRDefault="00000000">
          <w:pPr>
            <w:pStyle w:val="TOC2"/>
            <w:tabs>
              <w:tab w:val="right" w:leader="dot" w:pos="9628"/>
            </w:tabs>
            <w:rPr>
              <w:rFonts w:cstheme="minorBidi"/>
              <w:bCs w:val="0"/>
              <w:noProof/>
              <w:kern w:val="2"/>
              <w:szCs w:val="24"/>
              <w:lang w:eastAsia="en-GB"/>
              <w14:ligatures w14:val="standardContextual"/>
            </w:rPr>
          </w:pPr>
          <w:hyperlink w:anchor="_Toc158894186" w:history="1">
            <w:r w:rsidR="003A393C" w:rsidRPr="005B4300">
              <w:rPr>
                <w:rStyle w:val="Hyperlink"/>
                <w:noProof/>
              </w:rPr>
              <w:t>Assessment Criteria</w:t>
            </w:r>
            <w:r w:rsidR="003A393C">
              <w:rPr>
                <w:noProof/>
                <w:webHidden/>
              </w:rPr>
              <w:tab/>
            </w:r>
            <w:r w:rsidR="003A393C">
              <w:rPr>
                <w:noProof/>
                <w:webHidden/>
              </w:rPr>
              <w:fldChar w:fldCharType="begin"/>
            </w:r>
            <w:r w:rsidR="003A393C">
              <w:rPr>
                <w:noProof/>
                <w:webHidden/>
              </w:rPr>
              <w:instrText xml:space="preserve"> PAGEREF _Toc158894186 \h </w:instrText>
            </w:r>
            <w:r w:rsidR="003A393C">
              <w:rPr>
                <w:noProof/>
                <w:webHidden/>
              </w:rPr>
            </w:r>
            <w:r w:rsidR="003A393C">
              <w:rPr>
                <w:noProof/>
                <w:webHidden/>
              </w:rPr>
              <w:fldChar w:fldCharType="separate"/>
            </w:r>
            <w:r w:rsidR="003A393C">
              <w:rPr>
                <w:noProof/>
                <w:webHidden/>
              </w:rPr>
              <w:t>11</w:t>
            </w:r>
            <w:r w:rsidR="003A393C">
              <w:rPr>
                <w:noProof/>
                <w:webHidden/>
              </w:rPr>
              <w:fldChar w:fldCharType="end"/>
            </w:r>
          </w:hyperlink>
        </w:p>
        <w:p w14:paraId="1E5CF4C7" w14:textId="2E9663F5" w:rsidR="003A393C" w:rsidRDefault="00000000">
          <w:pPr>
            <w:pStyle w:val="TOC1"/>
            <w:tabs>
              <w:tab w:val="left" w:pos="454"/>
              <w:tab w:val="right" w:leader="dot" w:pos="9628"/>
            </w:tabs>
            <w:rPr>
              <w:rFonts w:cstheme="minorBidi"/>
              <w:b w:val="0"/>
              <w:bCs w:val="0"/>
              <w:iCs w:val="0"/>
              <w:noProof/>
              <w:kern w:val="2"/>
              <w:lang w:eastAsia="en-GB"/>
              <w14:ligatures w14:val="standardContextual"/>
            </w:rPr>
          </w:pPr>
          <w:hyperlink w:anchor="_Toc158894187" w:history="1">
            <w:r w:rsidR="003A393C" w:rsidRPr="005B4300">
              <w:rPr>
                <w:rStyle w:val="Hyperlink"/>
                <w:noProof/>
              </w:rPr>
              <w:t>6.</w:t>
            </w:r>
            <w:r w:rsidR="003A393C">
              <w:rPr>
                <w:rFonts w:cstheme="minorBidi"/>
                <w:b w:val="0"/>
                <w:bCs w:val="0"/>
                <w:iCs w:val="0"/>
                <w:noProof/>
                <w:kern w:val="2"/>
                <w:lang w:eastAsia="en-GB"/>
                <w14:ligatures w14:val="standardContextual"/>
              </w:rPr>
              <w:tab/>
            </w:r>
            <w:r w:rsidR="003A393C" w:rsidRPr="005B4300">
              <w:rPr>
                <w:rStyle w:val="Hyperlink"/>
                <w:noProof/>
              </w:rPr>
              <w:t>Funding award and grant agreements</w:t>
            </w:r>
            <w:r w:rsidR="003A393C">
              <w:rPr>
                <w:noProof/>
                <w:webHidden/>
              </w:rPr>
              <w:tab/>
            </w:r>
            <w:r w:rsidR="003A393C">
              <w:rPr>
                <w:noProof/>
                <w:webHidden/>
              </w:rPr>
              <w:fldChar w:fldCharType="begin"/>
            </w:r>
            <w:r w:rsidR="003A393C">
              <w:rPr>
                <w:noProof/>
                <w:webHidden/>
              </w:rPr>
              <w:instrText xml:space="preserve"> PAGEREF _Toc158894187 \h </w:instrText>
            </w:r>
            <w:r w:rsidR="003A393C">
              <w:rPr>
                <w:noProof/>
                <w:webHidden/>
              </w:rPr>
            </w:r>
            <w:r w:rsidR="003A393C">
              <w:rPr>
                <w:noProof/>
                <w:webHidden/>
              </w:rPr>
              <w:fldChar w:fldCharType="separate"/>
            </w:r>
            <w:r w:rsidR="003A393C">
              <w:rPr>
                <w:noProof/>
                <w:webHidden/>
              </w:rPr>
              <w:t>15</w:t>
            </w:r>
            <w:r w:rsidR="003A393C">
              <w:rPr>
                <w:noProof/>
                <w:webHidden/>
              </w:rPr>
              <w:fldChar w:fldCharType="end"/>
            </w:r>
          </w:hyperlink>
        </w:p>
        <w:p w14:paraId="6F274B42" w14:textId="790DC27C" w:rsidR="003A393C" w:rsidRDefault="00000000">
          <w:pPr>
            <w:pStyle w:val="TOC2"/>
            <w:tabs>
              <w:tab w:val="right" w:leader="dot" w:pos="9628"/>
            </w:tabs>
            <w:rPr>
              <w:rFonts w:cstheme="minorBidi"/>
              <w:bCs w:val="0"/>
              <w:noProof/>
              <w:kern w:val="2"/>
              <w:szCs w:val="24"/>
              <w:lang w:eastAsia="en-GB"/>
              <w14:ligatures w14:val="standardContextual"/>
            </w:rPr>
          </w:pPr>
          <w:hyperlink w:anchor="_Toc158894188" w:history="1">
            <w:r w:rsidR="003A393C" w:rsidRPr="005B4300">
              <w:rPr>
                <w:rStyle w:val="Hyperlink"/>
                <w:noProof/>
              </w:rPr>
              <w:t>Overview</w:t>
            </w:r>
            <w:r w:rsidR="003A393C">
              <w:rPr>
                <w:noProof/>
                <w:webHidden/>
              </w:rPr>
              <w:tab/>
            </w:r>
            <w:r w:rsidR="003A393C">
              <w:rPr>
                <w:noProof/>
                <w:webHidden/>
              </w:rPr>
              <w:fldChar w:fldCharType="begin"/>
            </w:r>
            <w:r w:rsidR="003A393C">
              <w:rPr>
                <w:noProof/>
                <w:webHidden/>
              </w:rPr>
              <w:instrText xml:space="preserve"> PAGEREF _Toc158894188 \h </w:instrText>
            </w:r>
            <w:r w:rsidR="003A393C">
              <w:rPr>
                <w:noProof/>
                <w:webHidden/>
              </w:rPr>
            </w:r>
            <w:r w:rsidR="003A393C">
              <w:rPr>
                <w:noProof/>
                <w:webHidden/>
              </w:rPr>
              <w:fldChar w:fldCharType="separate"/>
            </w:r>
            <w:r w:rsidR="003A393C">
              <w:rPr>
                <w:noProof/>
                <w:webHidden/>
              </w:rPr>
              <w:t>15</w:t>
            </w:r>
            <w:r w:rsidR="003A393C">
              <w:rPr>
                <w:noProof/>
                <w:webHidden/>
              </w:rPr>
              <w:fldChar w:fldCharType="end"/>
            </w:r>
          </w:hyperlink>
        </w:p>
        <w:p w14:paraId="517F226E" w14:textId="7EEA6A3A" w:rsidR="003A393C" w:rsidRDefault="00000000">
          <w:pPr>
            <w:pStyle w:val="TOC2"/>
            <w:tabs>
              <w:tab w:val="right" w:leader="dot" w:pos="9628"/>
            </w:tabs>
            <w:rPr>
              <w:rFonts w:cstheme="minorBidi"/>
              <w:bCs w:val="0"/>
              <w:noProof/>
              <w:kern w:val="2"/>
              <w:szCs w:val="24"/>
              <w:lang w:eastAsia="en-GB"/>
              <w14:ligatures w14:val="standardContextual"/>
            </w:rPr>
          </w:pPr>
          <w:hyperlink w:anchor="_Toc158894189" w:history="1">
            <w:r w:rsidR="003A393C" w:rsidRPr="005B4300">
              <w:rPr>
                <w:rStyle w:val="Hyperlink"/>
                <w:noProof/>
              </w:rPr>
              <w:t>Post Completion Evaluation Report</w:t>
            </w:r>
            <w:r w:rsidR="003A393C">
              <w:rPr>
                <w:noProof/>
                <w:webHidden/>
              </w:rPr>
              <w:tab/>
            </w:r>
            <w:r w:rsidR="003A393C">
              <w:rPr>
                <w:noProof/>
                <w:webHidden/>
              </w:rPr>
              <w:fldChar w:fldCharType="begin"/>
            </w:r>
            <w:r w:rsidR="003A393C">
              <w:rPr>
                <w:noProof/>
                <w:webHidden/>
              </w:rPr>
              <w:instrText xml:space="preserve"> PAGEREF _Toc158894189 \h </w:instrText>
            </w:r>
            <w:r w:rsidR="003A393C">
              <w:rPr>
                <w:noProof/>
                <w:webHidden/>
              </w:rPr>
            </w:r>
            <w:r w:rsidR="003A393C">
              <w:rPr>
                <w:noProof/>
                <w:webHidden/>
              </w:rPr>
              <w:fldChar w:fldCharType="separate"/>
            </w:r>
            <w:r w:rsidR="003A393C">
              <w:rPr>
                <w:noProof/>
                <w:webHidden/>
              </w:rPr>
              <w:t>15</w:t>
            </w:r>
            <w:r w:rsidR="003A393C">
              <w:rPr>
                <w:noProof/>
                <w:webHidden/>
              </w:rPr>
              <w:fldChar w:fldCharType="end"/>
            </w:r>
          </w:hyperlink>
        </w:p>
        <w:p w14:paraId="1558AEC1" w14:textId="2B273C33" w:rsidR="003A393C" w:rsidRDefault="00000000">
          <w:pPr>
            <w:pStyle w:val="TOC2"/>
            <w:tabs>
              <w:tab w:val="right" w:leader="dot" w:pos="9628"/>
            </w:tabs>
            <w:rPr>
              <w:rFonts w:cstheme="minorBidi"/>
              <w:bCs w:val="0"/>
              <w:noProof/>
              <w:kern w:val="2"/>
              <w:szCs w:val="24"/>
              <w:lang w:eastAsia="en-GB"/>
              <w14:ligatures w14:val="standardContextual"/>
            </w:rPr>
          </w:pPr>
          <w:hyperlink w:anchor="_Toc158894190" w:history="1">
            <w:r w:rsidR="003A393C" w:rsidRPr="005B4300">
              <w:rPr>
                <w:rStyle w:val="Hyperlink"/>
                <w:noProof/>
              </w:rPr>
              <w:t>Payment Conditions</w:t>
            </w:r>
            <w:r w:rsidR="003A393C">
              <w:rPr>
                <w:noProof/>
                <w:webHidden/>
              </w:rPr>
              <w:tab/>
            </w:r>
            <w:r w:rsidR="003A393C">
              <w:rPr>
                <w:noProof/>
                <w:webHidden/>
              </w:rPr>
              <w:fldChar w:fldCharType="begin"/>
            </w:r>
            <w:r w:rsidR="003A393C">
              <w:rPr>
                <w:noProof/>
                <w:webHidden/>
              </w:rPr>
              <w:instrText xml:space="preserve"> PAGEREF _Toc158894190 \h </w:instrText>
            </w:r>
            <w:r w:rsidR="003A393C">
              <w:rPr>
                <w:noProof/>
                <w:webHidden/>
              </w:rPr>
            </w:r>
            <w:r w:rsidR="003A393C">
              <w:rPr>
                <w:noProof/>
                <w:webHidden/>
              </w:rPr>
              <w:fldChar w:fldCharType="separate"/>
            </w:r>
            <w:r w:rsidR="003A393C">
              <w:rPr>
                <w:noProof/>
                <w:webHidden/>
              </w:rPr>
              <w:t>16</w:t>
            </w:r>
            <w:r w:rsidR="003A393C">
              <w:rPr>
                <w:noProof/>
                <w:webHidden/>
              </w:rPr>
              <w:fldChar w:fldCharType="end"/>
            </w:r>
          </w:hyperlink>
        </w:p>
        <w:p w14:paraId="0634DEF5" w14:textId="72F8F9AA" w:rsidR="003A393C" w:rsidRDefault="00000000">
          <w:pPr>
            <w:pStyle w:val="TOC1"/>
            <w:tabs>
              <w:tab w:val="left" w:pos="454"/>
              <w:tab w:val="right" w:leader="dot" w:pos="9628"/>
            </w:tabs>
            <w:rPr>
              <w:rFonts w:cstheme="minorBidi"/>
              <w:b w:val="0"/>
              <w:bCs w:val="0"/>
              <w:iCs w:val="0"/>
              <w:noProof/>
              <w:kern w:val="2"/>
              <w:lang w:eastAsia="en-GB"/>
              <w14:ligatures w14:val="standardContextual"/>
            </w:rPr>
          </w:pPr>
          <w:hyperlink w:anchor="_Toc158894191" w:history="1">
            <w:r w:rsidR="003A393C" w:rsidRPr="005B4300">
              <w:rPr>
                <w:rStyle w:val="Hyperlink"/>
                <w:noProof/>
              </w:rPr>
              <w:t>7.</w:t>
            </w:r>
            <w:r w:rsidR="003A393C">
              <w:rPr>
                <w:rFonts w:cstheme="minorBidi"/>
                <w:b w:val="0"/>
                <w:bCs w:val="0"/>
                <w:iCs w:val="0"/>
                <w:noProof/>
                <w:kern w:val="2"/>
                <w:lang w:eastAsia="en-GB"/>
                <w14:ligatures w14:val="standardContextual"/>
              </w:rPr>
              <w:tab/>
            </w:r>
            <w:r w:rsidR="003A393C" w:rsidRPr="005B4300">
              <w:rPr>
                <w:rStyle w:val="Hyperlink"/>
                <w:noProof/>
              </w:rPr>
              <w:t>Targeted Application Process</w:t>
            </w:r>
            <w:r w:rsidR="003A393C">
              <w:rPr>
                <w:noProof/>
                <w:webHidden/>
              </w:rPr>
              <w:tab/>
            </w:r>
            <w:r w:rsidR="003A393C">
              <w:rPr>
                <w:noProof/>
                <w:webHidden/>
              </w:rPr>
              <w:fldChar w:fldCharType="begin"/>
            </w:r>
            <w:r w:rsidR="003A393C">
              <w:rPr>
                <w:noProof/>
                <w:webHidden/>
              </w:rPr>
              <w:instrText xml:space="preserve"> PAGEREF _Toc158894191 \h </w:instrText>
            </w:r>
            <w:r w:rsidR="003A393C">
              <w:rPr>
                <w:noProof/>
                <w:webHidden/>
              </w:rPr>
            </w:r>
            <w:r w:rsidR="003A393C">
              <w:rPr>
                <w:noProof/>
                <w:webHidden/>
              </w:rPr>
              <w:fldChar w:fldCharType="separate"/>
            </w:r>
            <w:r w:rsidR="003A393C">
              <w:rPr>
                <w:noProof/>
                <w:webHidden/>
              </w:rPr>
              <w:t>16</w:t>
            </w:r>
            <w:r w:rsidR="003A393C">
              <w:rPr>
                <w:noProof/>
                <w:webHidden/>
              </w:rPr>
              <w:fldChar w:fldCharType="end"/>
            </w:r>
          </w:hyperlink>
        </w:p>
        <w:p w14:paraId="355A235D" w14:textId="01C733F9" w:rsidR="003A393C" w:rsidRDefault="00000000">
          <w:pPr>
            <w:pStyle w:val="TOC1"/>
            <w:tabs>
              <w:tab w:val="left" w:pos="454"/>
              <w:tab w:val="right" w:leader="dot" w:pos="9628"/>
            </w:tabs>
            <w:rPr>
              <w:rFonts w:cstheme="minorBidi"/>
              <w:b w:val="0"/>
              <w:bCs w:val="0"/>
              <w:iCs w:val="0"/>
              <w:noProof/>
              <w:kern w:val="2"/>
              <w:lang w:eastAsia="en-GB"/>
              <w14:ligatures w14:val="standardContextual"/>
            </w:rPr>
          </w:pPr>
          <w:hyperlink w:anchor="_Toc158894192" w:history="1">
            <w:r w:rsidR="003A393C" w:rsidRPr="005B4300">
              <w:rPr>
                <w:rStyle w:val="Hyperlink"/>
                <w:noProof/>
              </w:rPr>
              <w:t>8.</w:t>
            </w:r>
            <w:r w:rsidR="003A393C">
              <w:rPr>
                <w:rFonts w:cstheme="minorBidi"/>
                <w:b w:val="0"/>
                <w:bCs w:val="0"/>
                <w:iCs w:val="0"/>
                <w:noProof/>
                <w:kern w:val="2"/>
                <w:lang w:eastAsia="en-GB"/>
                <w14:ligatures w14:val="standardContextual"/>
              </w:rPr>
              <w:tab/>
            </w:r>
            <w:r w:rsidR="003A393C" w:rsidRPr="005B4300">
              <w:rPr>
                <w:rStyle w:val="Hyperlink"/>
                <w:noProof/>
              </w:rPr>
              <w:t>Terms and Conditions</w:t>
            </w:r>
            <w:r w:rsidR="003A393C">
              <w:rPr>
                <w:noProof/>
                <w:webHidden/>
              </w:rPr>
              <w:tab/>
            </w:r>
            <w:r w:rsidR="003A393C">
              <w:rPr>
                <w:noProof/>
                <w:webHidden/>
              </w:rPr>
              <w:fldChar w:fldCharType="begin"/>
            </w:r>
            <w:r w:rsidR="003A393C">
              <w:rPr>
                <w:noProof/>
                <w:webHidden/>
              </w:rPr>
              <w:instrText xml:space="preserve"> PAGEREF _Toc158894192 \h </w:instrText>
            </w:r>
            <w:r w:rsidR="003A393C">
              <w:rPr>
                <w:noProof/>
                <w:webHidden/>
              </w:rPr>
            </w:r>
            <w:r w:rsidR="003A393C">
              <w:rPr>
                <w:noProof/>
                <w:webHidden/>
              </w:rPr>
              <w:fldChar w:fldCharType="separate"/>
            </w:r>
            <w:r w:rsidR="003A393C">
              <w:rPr>
                <w:noProof/>
                <w:webHidden/>
              </w:rPr>
              <w:t>16</w:t>
            </w:r>
            <w:r w:rsidR="003A393C">
              <w:rPr>
                <w:noProof/>
                <w:webHidden/>
              </w:rPr>
              <w:fldChar w:fldCharType="end"/>
            </w:r>
          </w:hyperlink>
        </w:p>
        <w:p w14:paraId="5E0B6FC4" w14:textId="0EE4B13E" w:rsidR="003A393C" w:rsidRDefault="00000000">
          <w:pPr>
            <w:pStyle w:val="TOC2"/>
            <w:tabs>
              <w:tab w:val="right" w:leader="dot" w:pos="9628"/>
            </w:tabs>
            <w:rPr>
              <w:rFonts w:cstheme="minorBidi"/>
              <w:bCs w:val="0"/>
              <w:noProof/>
              <w:kern w:val="2"/>
              <w:szCs w:val="24"/>
              <w:lang w:eastAsia="en-GB"/>
              <w14:ligatures w14:val="standardContextual"/>
            </w:rPr>
          </w:pPr>
          <w:hyperlink w:anchor="_Toc158894193" w:history="1">
            <w:r w:rsidR="003A393C" w:rsidRPr="005B4300">
              <w:rPr>
                <w:rStyle w:val="Hyperlink"/>
                <w:noProof/>
              </w:rPr>
              <w:t>Commercially sensitive information</w:t>
            </w:r>
            <w:r w:rsidR="003A393C">
              <w:rPr>
                <w:noProof/>
                <w:webHidden/>
              </w:rPr>
              <w:tab/>
            </w:r>
            <w:r w:rsidR="003A393C">
              <w:rPr>
                <w:noProof/>
                <w:webHidden/>
              </w:rPr>
              <w:fldChar w:fldCharType="begin"/>
            </w:r>
            <w:r w:rsidR="003A393C">
              <w:rPr>
                <w:noProof/>
                <w:webHidden/>
              </w:rPr>
              <w:instrText xml:space="preserve"> PAGEREF _Toc158894193 \h </w:instrText>
            </w:r>
            <w:r w:rsidR="003A393C">
              <w:rPr>
                <w:noProof/>
                <w:webHidden/>
              </w:rPr>
            </w:r>
            <w:r w:rsidR="003A393C">
              <w:rPr>
                <w:noProof/>
                <w:webHidden/>
              </w:rPr>
              <w:fldChar w:fldCharType="separate"/>
            </w:r>
            <w:r w:rsidR="003A393C">
              <w:rPr>
                <w:noProof/>
                <w:webHidden/>
              </w:rPr>
              <w:t>16</w:t>
            </w:r>
            <w:r w:rsidR="003A393C">
              <w:rPr>
                <w:noProof/>
                <w:webHidden/>
              </w:rPr>
              <w:fldChar w:fldCharType="end"/>
            </w:r>
          </w:hyperlink>
        </w:p>
        <w:p w14:paraId="77CB88E4" w14:textId="302035A9" w:rsidR="003A393C" w:rsidRDefault="00000000">
          <w:pPr>
            <w:pStyle w:val="TOC2"/>
            <w:tabs>
              <w:tab w:val="right" w:leader="dot" w:pos="9628"/>
            </w:tabs>
            <w:rPr>
              <w:rFonts w:cstheme="minorBidi"/>
              <w:bCs w:val="0"/>
              <w:noProof/>
              <w:kern w:val="2"/>
              <w:szCs w:val="24"/>
              <w:lang w:eastAsia="en-GB"/>
              <w14:ligatures w14:val="standardContextual"/>
            </w:rPr>
          </w:pPr>
          <w:hyperlink w:anchor="_Toc158894194" w:history="1">
            <w:r w:rsidR="003A393C" w:rsidRPr="005B4300">
              <w:rPr>
                <w:rStyle w:val="Hyperlink"/>
                <w:noProof/>
              </w:rPr>
              <w:t>Confidentiality</w:t>
            </w:r>
            <w:r w:rsidR="003A393C">
              <w:rPr>
                <w:noProof/>
                <w:webHidden/>
              </w:rPr>
              <w:tab/>
            </w:r>
            <w:r w:rsidR="003A393C">
              <w:rPr>
                <w:noProof/>
                <w:webHidden/>
              </w:rPr>
              <w:fldChar w:fldCharType="begin"/>
            </w:r>
            <w:r w:rsidR="003A393C">
              <w:rPr>
                <w:noProof/>
                <w:webHidden/>
              </w:rPr>
              <w:instrText xml:space="preserve"> PAGEREF _Toc158894194 \h </w:instrText>
            </w:r>
            <w:r w:rsidR="003A393C">
              <w:rPr>
                <w:noProof/>
                <w:webHidden/>
              </w:rPr>
            </w:r>
            <w:r w:rsidR="003A393C">
              <w:rPr>
                <w:noProof/>
                <w:webHidden/>
              </w:rPr>
              <w:fldChar w:fldCharType="separate"/>
            </w:r>
            <w:r w:rsidR="003A393C">
              <w:rPr>
                <w:noProof/>
                <w:webHidden/>
              </w:rPr>
              <w:t>17</w:t>
            </w:r>
            <w:r w:rsidR="003A393C">
              <w:rPr>
                <w:noProof/>
                <w:webHidden/>
              </w:rPr>
              <w:fldChar w:fldCharType="end"/>
            </w:r>
          </w:hyperlink>
        </w:p>
        <w:p w14:paraId="564F9919" w14:textId="38535DD8" w:rsidR="003A393C" w:rsidRDefault="00000000">
          <w:pPr>
            <w:pStyle w:val="TOC2"/>
            <w:tabs>
              <w:tab w:val="right" w:leader="dot" w:pos="9628"/>
            </w:tabs>
            <w:rPr>
              <w:rFonts w:cstheme="minorBidi"/>
              <w:bCs w:val="0"/>
              <w:noProof/>
              <w:kern w:val="2"/>
              <w:szCs w:val="24"/>
              <w:lang w:eastAsia="en-GB"/>
              <w14:ligatures w14:val="standardContextual"/>
            </w:rPr>
          </w:pPr>
          <w:hyperlink w:anchor="_Toc158894195" w:history="1">
            <w:r w:rsidR="003A393C" w:rsidRPr="005B4300">
              <w:rPr>
                <w:rStyle w:val="Hyperlink"/>
                <w:noProof/>
              </w:rPr>
              <w:t>Local Jobs First Policy</w:t>
            </w:r>
            <w:r w:rsidR="003A393C">
              <w:rPr>
                <w:noProof/>
                <w:webHidden/>
              </w:rPr>
              <w:tab/>
            </w:r>
            <w:r w:rsidR="003A393C">
              <w:rPr>
                <w:noProof/>
                <w:webHidden/>
              </w:rPr>
              <w:fldChar w:fldCharType="begin"/>
            </w:r>
            <w:r w:rsidR="003A393C">
              <w:rPr>
                <w:noProof/>
                <w:webHidden/>
              </w:rPr>
              <w:instrText xml:space="preserve"> PAGEREF _Toc158894195 \h </w:instrText>
            </w:r>
            <w:r w:rsidR="003A393C">
              <w:rPr>
                <w:noProof/>
                <w:webHidden/>
              </w:rPr>
            </w:r>
            <w:r w:rsidR="003A393C">
              <w:rPr>
                <w:noProof/>
                <w:webHidden/>
              </w:rPr>
              <w:fldChar w:fldCharType="separate"/>
            </w:r>
            <w:r w:rsidR="003A393C">
              <w:rPr>
                <w:noProof/>
                <w:webHidden/>
              </w:rPr>
              <w:t>17</w:t>
            </w:r>
            <w:r w:rsidR="003A393C">
              <w:rPr>
                <w:noProof/>
                <w:webHidden/>
              </w:rPr>
              <w:fldChar w:fldCharType="end"/>
            </w:r>
          </w:hyperlink>
        </w:p>
        <w:p w14:paraId="46B1411A" w14:textId="1C1EA125" w:rsidR="003A393C" w:rsidRDefault="00000000">
          <w:pPr>
            <w:pStyle w:val="TOC2"/>
            <w:tabs>
              <w:tab w:val="right" w:leader="dot" w:pos="9628"/>
            </w:tabs>
            <w:rPr>
              <w:rFonts w:cstheme="minorBidi"/>
              <w:bCs w:val="0"/>
              <w:noProof/>
              <w:kern w:val="2"/>
              <w:szCs w:val="24"/>
              <w:lang w:eastAsia="en-GB"/>
              <w14:ligatures w14:val="standardContextual"/>
            </w:rPr>
          </w:pPr>
          <w:hyperlink w:anchor="_Toc158894196" w:history="1">
            <w:r w:rsidR="003A393C" w:rsidRPr="005B4300">
              <w:rPr>
                <w:rStyle w:val="Hyperlink"/>
                <w:noProof/>
              </w:rPr>
              <w:t>Publicity</w:t>
            </w:r>
            <w:r w:rsidR="003A393C">
              <w:rPr>
                <w:noProof/>
                <w:webHidden/>
              </w:rPr>
              <w:tab/>
            </w:r>
            <w:r w:rsidR="003A393C">
              <w:rPr>
                <w:noProof/>
                <w:webHidden/>
              </w:rPr>
              <w:fldChar w:fldCharType="begin"/>
            </w:r>
            <w:r w:rsidR="003A393C">
              <w:rPr>
                <w:noProof/>
                <w:webHidden/>
              </w:rPr>
              <w:instrText xml:space="preserve"> PAGEREF _Toc158894196 \h </w:instrText>
            </w:r>
            <w:r w:rsidR="003A393C">
              <w:rPr>
                <w:noProof/>
                <w:webHidden/>
              </w:rPr>
            </w:r>
            <w:r w:rsidR="003A393C">
              <w:rPr>
                <w:noProof/>
                <w:webHidden/>
              </w:rPr>
              <w:fldChar w:fldCharType="separate"/>
            </w:r>
            <w:r w:rsidR="003A393C">
              <w:rPr>
                <w:noProof/>
                <w:webHidden/>
              </w:rPr>
              <w:t>18</w:t>
            </w:r>
            <w:r w:rsidR="003A393C">
              <w:rPr>
                <w:noProof/>
                <w:webHidden/>
              </w:rPr>
              <w:fldChar w:fldCharType="end"/>
            </w:r>
          </w:hyperlink>
        </w:p>
        <w:p w14:paraId="191B674D" w14:textId="3D1A7599" w:rsidR="003A393C" w:rsidRDefault="00000000">
          <w:pPr>
            <w:pStyle w:val="TOC2"/>
            <w:tabs>
              <w:tab w:val="right" w:leader="dot" w:pos="9628"/>
            </w:tabs>
            <w:rPr>
              <w:rFonts w:cstheme="minorBidi"/>
              <w:bCs w:val="0"/>
              <w:noProof/>
              <w:kern w:val="2"/>
              <w:szCs w:val="24"/>
              <w:lang w:eastAsia="en-GB"/>
              <w14:ligatures w14:val="standardContextual"/>
            </w:rPr>
          </w:pPr>
          <w:hyperlink w:anchor="_Toc158894197" w:history="1">
            <w:r w:rsidR="003A393C" w:rsidRPr="005B4300">
              <w:rPr>
                <w:rStyle w:val="Hyperlink"/>
                <w:noProof/>
              </w:rPr>
              <w:t>Post Project Evaluation</w:t>
            </w:r>
            <w:r w:rsidR="003A393C">
              <w:rPr>
                <w:noProof/>
                <w:webHidden/>
              </w:rPr>
              <w:tab/>
            </w:r>
            <w:r w:rsidR="003A393C">
              <w:rPr>
                <w:noProof/>
                <w:webHidden/>
              </w:rPr>
              <w:fldChar w:fldCharType="begin"/>
            </w:r>
            <w:r w:rsidR="003A393C">
              <w:rPr>
                <w:noProof/>
                <w:webHidden/>
              </w:rPr>
              <w:instrText xml:space="preserve"> PAGEREF _Toc158894197 \h </w:instrText>
            </w:r>
            <w:r w:rsidR="003A393C">
              <w:rPr>
                <w:noProof/>
                <w:webHidden/>
              </w:rPr>
            </w:r>
            <w:r w:rsidR="003A393C">
              <w:rPr>
                <w:noProof/>
                <w:webHidden/>
              </w:rPr>
              <w:fldChar w:fldCharType="separate"/>
            </w:r>
            <w:r w:rsidR="003A393C">
              <w:rPr>
                <w:noProof/>
                <w:webHidden/>
              </w:rPr>
              <w:t>18</w:t>
            </w:r>
            <w:r w:rsidR="003A393C">
              <w:rPr>
                <w:noProof/>
                <w:webHidden/>
              </w:rPr>
              <w:fldChar w:fldCharType="end"/>
            </w:r>
          </w:hyperlink>
        </w:p>
        <w:p w14:paraId="4B56BB2E" w14:textId="3949CFA1" w:rsidR="003A393C" w:rsidRDefault="00000000">
          <w:pPr>
            <w:pStyle w:val="TOC1"/>
            <w:tabs>
              <w:tab w:val="left" w:pos="454"/>
              <w:tab w:val="right" w:leader="dot" w:pos="9628"/>
            </w:tabs>
            <w:rPr>
              <w:rFonts w:cstheme="minorBidi"/>
              <w:b w:val="0"/>
              <w:bCs w:val="0"/>
              <w:iCs w:val="0"/>
              <w:noProof/>
              <w:kern w:val="2"/>
              <w:lang w:eastAsia="en-GB"/>
              <w14:ligatures w14:val="standardContextual"/>
            </w:rPr>
          </w:pPr>
          <w:hyperlink w:anchor="_Toc158894198" w:history="1">
            <w:r w:rsidR="003A393C" w:rsidRPr="005B4300">
              <w:rPr>
                <w:rStyle w:val="Hyperlink"/>
                <w:noProof/>
              </w:rPr>
              <w:t>9.</w:t>
            </w:r>
            <w:r w:rsidR="003A393C">
              <w:rPr>
                <w:rFonts w:cstheme="minorBidi"/>
                <w:b w:val="0"/>
                <w:bCs w:val="0"/>
                <w:iCs w:val="0"/>
                <w:noProof/>
                <w:kern w:val="2"/>
                <w:lang w:eastAsia="en-GB"/>
                <w14:ligatures w14:val="standardContextual"/>
              </w:rPr>
              <w:tab/>
            </w:r>
            <w:r w:rsidR="003A393C" w:rsidRPr="005B4300">
              <w:rPr>
                <w:rStyle w:val="Hyperlink"/>
                <w:noProof/>
              </w:rPr>
              <w:t>Right of Amendment</w:t>
            </w:r>
            <w:r w:rsidR="003A393C">
              <w:rPr>
                <w:noProof/>
                <w:webHidden/>
              </w:rPr>
              <w:tab/>
            </w:r>
            <w:r w:rsidR="003A393C">
              <w:rPr>
                <w:noProof/>
                <w:webHidden/>
              </w:rPr>
              <w:fldChar w:fldCharType="begin"/>
            </w:r>
            <w:r w:rsidR="003A393C">
              <w:rPr>
                <w:noProof/>
                <w:webHidden/>
              </w:rPr>
              <w:instrText xml:space="preserve"> PAGEREF _Toc158894198 \h </w:instrText>
            </w:r>
            <w:r w:rsidR="003A393C">
              <w:rPr>
                <w:noProof/>
                <w:webHidden/>
              </w:rPr>
            </w:r>
            <w:r w:rsidR="003A393C">
              <w:rPr>
                <w:noProof/>
                <w:webHidden/>
              </w:rPr>
              <w:fldChar w:fldCharType="separate"/>
            </w:r>
            <w:r w:rsidR="003A393C">
              <w:rPr>
                <w:noProof/>
                <w:webHidden/>
              </w:rPr>
              <w:t>18</w:t>
            </w:r>
            <w:r w:rsidR="003A393C">
              <w:rPr>
                <w:noProof/>
                <w:webHidden/>
              </w:rPr>
              <w:fldChar w:fldCharType="end"/>
            </w:r>
          </w:hyperlink>
        </w:p>
        <w:p w14:paraId="5957B51E" w14:textId="53123F2B" w:rsidR="003A393C" w:rsidRDefault="00000000">
          <w:pPr>
            <w:pStyle w:val="TOC1"/>
            <w:tabs>
              <w:tab w:val="right" w:leader="dot" w:pos="9628"/>
            </w:tabs>
            <w:rPr>
              <w:rFonts w:cstheme="minorBidi"/>
              <w:b w:val="0"/>
              <w:bCs w:val="0"/>
              <w:iCs w:val="0"/>
              <w:noProof/>
              <w:kern w:val="2"/>
              <w:lang w:eastAsia="en-GB"/>
              <w14:ligatures w14:val="standardContextual"/>
            </w:rPr>
          </w:pPr>
          <w:hyperlink w:anchor="_Toc158894199" w:history="1">
            <w:r w:rsidR="003A393C" w:rsidRPr="005B4300">
              <w:rPr>
                <w:rStyle w:val="Hyperlink"/>
                <w:noProof/>
              </w:rPr>
              <w:t>10.</w:t>
            </w:r>
            <w:r w:rsidR="004E4CB9" w:rsidRPr="004E4CB9">
              <w:rPr>
                <w:rStyle w:val="Hyperlink"/>
                <w:rFonts w:cs="Arial (Body)"/>
                <w:noProof/>
                <w:spacing w:val="40"/>
              </w:rPr>
              <w:t xml:space="preserve"> </w:t>
            </w:r>
            <w:r w:rsidR="003A393C" w:rsidRPr="005B4300">
              <w:rPr>
                <w:rStyle w:val="Hyperlink"/>
                <w:noProof/>
              </w:rPr>
              <w:t>Further Information</w:t>
            </w:r>
            <w:r w:rsidR="003A393C">
              <w:rPr>
                <w:noProof/>
                <w:webHidden/>
              </w:rPr>
              <w:tab/>
            </w:r>
            <w:r w:rsidR="003A393C">
              <w:rPr>
                <w:noProof/>
                <w:webHidden/>
              </w:rPr>
              <w:fldChar w:fldCharType="begin"/>
            </w:r>
            <w:r w:rsidR="003A393C">
              <w:rPr>
                <w:noProof/>
                <w:webHidden/>
              </w:rPr>
              <w:instrText xml:space="preserve"> PAGEREF _Toc158894199 \h </w:instrText>
            </w:r>
            <w:r w:rsidR="003A393C">
              <w:rPr>
                <w:noProof/>
                <w:webHidden/>
              </w:rPr>
            </w:r>
            <w:r w:rsidR="003A393C">
              <w:rPr>
                <w:noProof/>
                <w:webHidden/>
              </w:rPr>
              <w:fldChar w:fldCharType="separate"/>
            </w:r>
            <w:r w:rsidR="003A393C">
              <w:rPr>
                <w:noProof/>
                <w:webHidden/>
              </w:rPr>
              <w:t>19</w:t>
            </w:r>
            <w:r w:rsidR="003A393C">
              <w:rPr>
                <w:noProof/>
                <w:webHidden/>
              </w:rPr>
              <w:fldChar w:fldCharType="end"/>
            </w:r>
          </w:hyperlink>
        </w:p>
        <w:p w14:paraId="14CC1ED6" w14:textId="296B80A6" w:rsidR="003A393C" w:rsidRDefault="00000000">
          <w:pPr>
            <w:pStyle w:val="TOC1"/>
            <w:tabs>
              <w:tab w:val="right" w:leader="dot" w:pos="9628"/>
            </w:tabs>
            <w:rPr>
              <w:rFonts w:cstheme="minorBidi"/>
              <w:b w:val="0"/>
              <w:bCs w:val="0"/>
              <w:iCs w:val="0"/>
              <w:noProof/>
              <w:kern w:val="2"/>
              <w:lang w:eastAsia="en-GB"/>
              <w14:ligatures w14:val="standardContextual"/>
            </w:rPr>
          </w:pPr>
          <w:hyperlink w:anchor="_Toc158894200" w:history="1">
            <w:r w:rsidR="003A393C" w:rsidRPr="005B4300">
              <w:rPr>
                <w:rStyle w:val="Hyperlink"/>
                <w:noProof/>
              </w:rPr>
              <w:t xml:space="preserve">Appendix 1 – Statement of Strategic Intent for the </w:t>
            </w:r>
            <w:r w:rsidR="004E4CB9">
              <w:rPr>
                <w:rStyle w:val="Hyperlink"/>
                <w:noProof/>
              </w:rPr>
              <w:br/>
            </w:r>
            <w:r w:rsidR="003A393C" w:rsidRPr="005B4300">
              <w:rPr>
                <w:rStyle w:val="Hyperlink"/>
                <w:noProof/>
              </w:rPr>
              <w:t>Cattle Compensation Fund</w:t>
            </w:r>
            <w:r w:rsidR="003A393C">
              <w:rPr>
                <w:noProof/>
                <w:webHidden/>
              </w:rPr>
              <w:tab/>
            </w:r>
            <w:r w:rsidR="003A393C">
              <w:rPr>
                <w:noProof/>
                <w:webHidden/>
              </w:rPr>
              <w:fldChar w:fldCharType="begin"/>
            </w:r>
            <w:r w:rsidR="003A393C">
              <w:rPr>
                <w:noProof/>
                <w:webHidden/>
              </w:rPr>
              <w:instrText xml:space="preserve"> PAGEREF _Toc158894200 \h </w:instrText>
            </w:r>
            <w:r w:rsidR="003A393C">
              <w:rPr>
                <w:noProof/>
                <w:webHidden/>
              </w:rPr>
            </w:r>
            <w:r w:rsidR="003A393C">
              <w:rPr>
                <w:noProof/>
                <w:webHidden/>
              </w:rPr>
              <w:fldChar w:fldCharType="separate"/>
            </w:r>
            <w:r w:rsidR="003A393C">
              <w:rPr>
                <w:noProof/>
                <w:webHidden/>
              </w:rPr>
              <w:t>20</w:t>
            </w:r>
            <w:r w:rsidR="003A393C">
              <w:rPr>
                <w:noProof/>
                <w:webHidden/>
              </w:rPr>
              <w:fldChar w:fldCharType="end"/>
            </w:r>
          </w:hyperlink>
        </w:p>
        <w:p w14:paraId="75C7B089" w14:textId="0DEFF125" w:rsidR="003A393C" w:rsidRDefault="00000000">
          <w:pPr>
            <w:pStyle w:val="TOC1"/>
            <w:tabs>
              <w:tab w:val="right" w:leader="dot" w:pos="9628"/>
            </w:tabs>
            <w:rPr>
              <w:rFonts w:cstheme="minorBidi"/>
              <w:b w:val="0"/>
              <w:bCs w:val="0"/>
              <w:iCs w:val="0"/>
              <w:noProof/>
              <w:kern w:val="2"/>
              <w:lang w:eastAsia="en-GB"/>
              <w14:ligatures w14:val="standardContextual"/>
            </w:rPr>
          </w:pPr>
          <w:hyperlink w:anchor="_Toc158894201" w:history="1">
            <w:r w:rsidR="003A393C" w:rsidRPr="005B4300">
              <w:rPr>
                <w:rStyle w:val="Hyperlink"/>
                <w:noProof/>
              </w:rPr>
              <w:t xml:space="preserve">Appendix 2 – Statement of Strategic Intent for the Sheep </w:t>
            </w:r>
            <w:r w:rsidR="004E4CB9">
              <w:rPr>
                <w:rStyle w:val="Hyperlink"/>
                <w:noProof/>
              </w:rPr>
              <w:br/>
            </w:r>
            <w:r w:rsidR="003A393C" w:rsidRPr="005B4300">
              <w:rPr>
                <w:rStyle w:val="Hyperlink"/>
                <w:noProof/>
              </w:rPr>
              <w:t>and Goat Compensation Fund</w:t>
            </w:r>
            <w:r w:rsidR="003A393C">
              <w:rPr>
                <w:noProof/>
                <w:webHidden/>
              </w:rPr>
              <w:tab/>
            </w:r>
            <w:r w:rsidR="003A393C">
              <w:rPr>
                <w:noProof/>
                <w:webHidden/>
              </w:rPr>
              <w:fldChar w:fldCharType="begin"/>
            </w:r>
            <w:r w:rsidR="003A393C">
              <w:rPr>
                <w:noProof/>
                <w:webHidden/>
              </w:rPr>
              <w:instrText xml:space="preserve"> PAGEREF _Toc158894201 \h </w:instrText>
            </w:r>
            <w:r w:rsidR="003A393C">
              <w:rPr>
                <w:noProof/>
                <w:webHidden/>
              </w:rPr>
            </w:r>
            <w:r w:rsidR="003A393C">
              <w:rPr>
                <w:noProof/>
                <w:webHidden/>
              </w:rPr>
              <w:fldChar w:fldCharType="separate"/>
            </w:r>
            <w:r w:rsidR="003A393C">
              <w:rPr>
                <w:noProof/>
                <w:webHidden/>
              </w:rPr>
              <w:t>23</w:t>
            </w:r>
            <w:r w:rsidR="003A393C">
              <w:rPr>
                <w:noProof/>
                <w:webHidden/>
              </w:rPr>
              <w:fldChar w:fldCharType="end"/>
            </w:r>
          </w:hyperlink>
        </w:p>
        <w:p w14:paraId="08CC6BD6" w14:textId="4902D848" w:rsidR="003A393C" w:rsidRDefault="00000000">
          <w:pPr>
            <w:pStyle w:val="TOC1"/>
            <w:tabs>
              <w:tab w:val="right" w:leader="dot" w:pos="9628"/>
            </w:tabs>
            <w:rPr>
              <w:rFonts w:cstheme="minorBidi"/>
              <w:b w:val="0"/>
              <w:bCs w:val="0"/>
              <w:iCs w:val="0"/>
              <w:noProof/>
              <w:kern w:val="2"/>
              <w:lang w:eastAsia="en-GB"/>
              <w14:ligatures w14:val="standardContextual"/>
            </w:rPr>
          </w:pPr>
          <w:hyperlink w:anchor="_Toc158894202" w:history="1">
            <w:r w:rsidR="003A393C" w:rsidRPr="005B4300">
              <w:rPr>
                <w:rStyle w:val="Hyperlink"/>
                <w:noProof/>
              </w:rPr>
              <w:t xml:space="preserve">Appendix 3 – Statement of Strategic Intent for the </w:t>
            </w:r>
            <w:r w:rsidR="004E4CB9">
              <w:rPr>
                <w:rStyle w:val="Hyperlink"/>
                <w:noProof/>
              </w:rPr>
              <w:br/>
            </w:r>
            <w:r w:rsidR="003A393C" w:rsidRPr="005B4300">
              <w:rPr>
                <w:rStyle w:val="Hyperlink"/>
                <w:noProof/>
              </w:rPr>
              <w:t>Swine Compensation Fund</w:t>
            </w:r>
            <w:r w:rsidR="003A393C">
              <w:rPr>
                <w:noProof/>
                <w:webHidden/>
              </w:rPr>
              <w:tab/>
            </w:r>
            <w:r w:rsidR="003A393C">
              <w:rPr>
                <w:noProof/>
                <w:webHidden/>
              </w:rPr>
              <w:fldChar w:fldCharType="begin"/>
            </w:r>
            <w:r w:rsidR="003A393C">
              <w:rPr>
                <w:noProof/>
                <w:webHidden/>
              </w:rPr>
              <w:instrText xml:space="preserve"> PAGEREF _Toc158894202 \h </w:instrText>
            </w:r>
            <w:r w:rsidR="003A393C">
              <w:rPr>
                <w:noProof/>
                <w:webHidden/>
              </w:rPr>
            </w:r>
            <w:r w:rsidR="003A393C">
              <w:rPr>
                <w:noProof/>
                <w:webHidden/>
              </w:rPr>
              <w:fldChar w:fldCharType="separate"/>
            </w:r>
            <w:r w:rsidR="003A393C">
              <w:rPr>
                <w:noProof/>
                <w:webHidden/>
              </w:rPr>
              <w:t>26</w:t>
            </w:r>
            <w:r w:rsidR="003A393C">
              <w:rPr>
                <w:noProof/>
                <w:webHidden/>
              </w:rPr>
              <w:fldChar w:fldCharType="end"/>
            </w:r>
          </w:hyperlink>
        </w:p>
        <w:p w14:paraId="2551B228" w14:textId="1303A57A" w:rsidR="003A393C" w:rsidRDefault="00000000">
          <w:pPr>
            <w:pStyle w:val="TOC1"/>
            <w:tabs>
              <w:tab w:val="right" w:leader="dot" w:pos="9628"/>
            </w:tabs>
            <w:rPr>
              <w:rFonts w:cstheme="minorBidi"/>
              <w:b w:val="0"/>
              <w:bCs w:val="0"/>
              <w:iCs w:val="0"/>
              <w:noProof/>
              <w:kern w:val="2"/>
              <w:lang w:eastAsia="en-GB"/>
              <w14:ligatures w14:val="standardContextual"/>
            </w:rPr>
          </w:pPr>
          <w:hyperlink w:anchor="_Toc158894203" w:history="1">
            <w:r w:rsidR="003A393C" w:rsidRPr="005B4300">
              <w:rPr>
                <w:rStyle w:val="Hyperlink"/>
                <w:noProof/>
              </w:rPr>
              <w:t xml:space="preserve">Appendix 4 – Statement of Strategic Intent for the Honey Bee </w:t>
            </w:r>
            <w:r w:rsidR="004E4CB9">
              <w:rPr>
                <w:rStyle w:val="Hyperlink"/>
                <w:noProof/>
              </w:rPr>
              <w:br/>
            </w:r>
            <w:r w:rsidR="003A393C" w:rsidRPr="005B4300">
              <w:rPr>
                <w:rStyle w:val="Hyperlink"/>
                <w:noProof/>
              </w:rPr>
              <w:t>Compensation and Industry Development Fund</w:t>
            </w:r>
            <w:r w:rsidR="003A393C">
              <w:rPr>
                <w:noProof/>
                <w:webHidden/>
              </w:rPr>
              <w:tab/>
            </w:r>
            <w:r w:rsidR="003A393C">
              <w:rPr>
                <w:noProof/>
                <w:webHidden/>
              </w:rPr>
              <w:fldChar w:fldCharType="begin"/>
            </w:r>
            <w:r w:rsidR="003A393C">
              <w:rPr>
                <w:noProof/>
                <w:webHidden/>
              </w:rPr>
              <w:instrText xml:space="preserve"> PAGEREF _Toc158894203 \h </w:instrText>
            </w:r>
            <w:r w:rsidR="003A393C">
              <w:rPr>
                <w:noProof/>
                <w:webHidden/>
              </w:rPr>
            </w:r>
            <w:r w:rsidR="003A393C">
              <w:rPr>
                <w:noProof/>
                <w:webHidden/>
              </w:rPr>
              <w:fldChar w:fldCharType="separate"/>
            </w:r>
            <w:r w:rsidR="003A393C">
              <w:rPr>
                <w:noProof/>
                <w:webHidden/>
              </w:rPr>
              <w:t>30</w:t>
            </w:r>
            <w:r w:rsidR="003A393C">
              <w:rPr>
                <w:noProof/>
                <w:webHidden/>
              </w:rPr>
              <w:fldChar w:fldCharType="end"/>
            </w:r>
          </w:hyperlink>
        </w:p>
        <w:p w14:paraId="3BA80800" w14:textId="4A2C71F6" w:rsidR="00D52FF3" w:rsidRDefault="00D52FF3">
          <w:r>
            <w:rPr>
              <w:rFonts w:cstheme="minorHAnsi"/>
              <w:bCs/>
              <w:szCs w:val="24"/>
            </w:rPr>
            <w:fldChar w:fldCharType="end"/>
          </w:r>
        </w:p>
      </w:sdtContent>
    </w:sdt>
    <w:p w14:paraId="2B131298" w14:textId="77777777" w:rsidR="00D63DD7" w:rsidRDefault="00096F20" w:rsidP="00D63DD7">
      <w:pPr>
        <w:pStyle w:val="BodyText"/>
      </w:pPr>
      <w:r>
        <w:br w:type="page"/>
      </w:r>
    </w:p>
    <w:p w14:paraId="34B88D96" w14:textId="3DC5054E" w:rsidR="000F4C2F" w:rsidRPr="000F4C2F" w:rsidRDefault="006A191D" w:rsidP="00FC4659">
      <w:pPr>
        <w:pStyle w:val="Heading1"/>
        <w:rPr>
          <w:lang w:val="en-GB"/>
        </w:rPr>
      </w:pPr>
      <w:r>
        <w:rPr>
          <w:lang w:val="en-GB"/>
        </w:rPr>
        <w:lastRenderedPageBreak/>
        <w:t xml:space="preserve">2024 </w:t>
      </w:r>
      <w:r w:rsidR="000F4C2F" w:rsidRPr="000F4C2F">
        <w:rPr>
          <w:lang w:val="en-GB"/>
        </w:rPr>
        <w:t>Livestock Biosecurity Funds Grant Program</w:t>
      </w:r>
    </w:p>
    <w:p w14:paraId="271C8D1C" w14:textId="287ED539" w:rsidR="000F4C2F" w:rsidRPr="000F4C2F" w:rsidRDefault="000F4C2F" w:rsidP="00FC4659">
      <w:pPr>
        <w:pStyle w:val="Heading2"/>
      </w:pPr>
      <w:bookmarkStart w:id="0" w:name="_Toc158894165"/>
      <w:r w:rsidRPr="000F4C2F">
        <w:t>1.</w:t>
      </w:r>
      <w:r w:rsidRPr="000F4C2F">
        <w:tab/>
      </w:r>
      <w:r w:rsidR="005A2D1B" w:rsidRPr="000F4C2F">
        <w:t>Purpose</w:t>
      </w:r>
      <w:bookmarkEnd w:id="0"/>
    </w:p>
    <w:p w14:paraId="0D5E27F1" w14:textId="77777777" w:rsidR="000F4C2F" w:rsidRPr="000F4C2F" w:rsidRDefault="000F4C2F" w:rsidP="000F4C2F">
      <w:pPr>
        <w:pStyle w:val="BodyText"/>
        <w:rPr>
          <w:lang w:val="en-GB"/>
        </w:rPr>
      </w:pPr>
      <w:r w:rsidRPr="000F4C2F">
        <w:rPr>
          <w:lang w:val="en-GB"/>
        </w:rPr>
        <w:t xml:space="preserve">This document provides information for the 2024 Livestock Biosecurity Funds Grant Program incorporating cattle, sheep, goat, swine and </w:t>
      </w:r>
      <w:proofErr w:type="gramStart"/>
      <w:r w:rsidRPr="000F4C2F">
        <w:rPr>
          <w:lang w:val="en-GB"/>
        </w:rPr>
        <w:t>honey bee</w:t>
      </w:r>
      <w:proofErr w:type="gramEnd"/>
      <w:r w:rsidRPr="000F4C2F">
        <w:rPr>
          <w:lang w:val="en-GB"/>
        </w:rPr>
        <w:t>) (the Program). Interested applicants will find guidance on:</w:t>
      </w:r>
    </w:p>
    <w:p w14:paraId="702F07F0" w14:textId="77777777" w:rsidR="000F4C2F" w:rsidRPr="000F4C2F" w:rsidRDefault="000F4C2F" w:rsidP="00FC4659">
      <w:pPr>
        <w:pStyle w:val="ListBullet"/>
        <w:rPr>
          <w:lang w:val="en-GB"/>
        </w:rPr>
      </w:pPr>
      <w:r w:rsidRPr="000F4C2F">
        <w:rPr>
          <w:lang w:val="en-GB"/>
        </w:rPr>
        <w:t>the legislative background to the Program</w:t>
      </w:r>
    </w:p>
    <w:p w14:paraId="575075A7" w14:textId="77777777" w:rsidR="000F4C2F" w:rsidRPr="000F4C2F" w:rsidRDefault="000F4C2F" w:rsidP="00FC4659">
      <w:pPr>
        <w:pStyle w:val="ListBullet"/>
        <w:rPr>
          <w:lang w:val="en-GB"/>
        </w:rPr>
      </w:pPr>
      <w:r w:rsidRPr="000F4C2F">
        <w:rPr>
          <w:lang w:val="en-GB"/>
        </w:rPr>
        <w:t>grant funding opportunities</w:t>
      </w:r>
    </w:p>
    <w:p w14:paraId="44BE5E0F" w14:textId="77777777" w:rsidR="000F4C2F" w:rsidRPr="000F4C2F" w:rsidRDefault="000F4C2F" w:rsidP="00FC4659">
      <w:pPr>
        <w:pStyle w:val="ListBullet"/>
        <w:rPr>
          <w:lang w:val="en-GB"/>
        </w:rPr>
      </w:pPr>
      <w:r w:rsidRPr="000F4C2F">
        <w:rPr>
          <w:lang w:val="en-GB"/>
        </w:rPr>
        <w:t>application requirements</w:t>
      </w:r>
    </w:p>
    <w:p w14:paraId="562B4FD9" w14:textId="77777777" w:rsidR="000F4C2F" w:rsidRPr="000F4C2F" w:rsidRDefault="000F4C2F" w:rsidP="00FC4659">
      <w:pPr>
        <w:pStyle w:val="ListBullet"/>
        <w:rPr>
          <w:lang w:val="en-GB"/>
        </w:rPr>
      </w:pPr>
      <w:r w:rsidRPr="000F4C2F">
        <w:rPr>
          <w:lang w:val="en-GB"/>
        </w:rPr>
        <w:t>due diligence requirements</w:t>
      </w:r>
    </w:p>
    <w:p w14:paraId="56A30EF9" w14:textId="77777777" w:rsidR="000F4C2F" w:rsidRPr="000F4C2F" w:rsidRDefault="000F4C2F" w:rsidP="00FC4659">
      <w:pPr>
        <w:pStyle w:val="ListBullet"/>
        <w:rPr>
          <w:lang w:val="en-GB"/>
        </w:rPr>
      </w:pPr>
      <w:r w:rsidRPr="000F4C2F">
        <w:rPr>
          <w:lang w:val="en-GB"/>
        </w:rPr>
        <w:t>application assessment process</w:t>
      </w:r>
    </w:p>
    <w:p w14:paraId="488249D0" w14:textId="77777777" w:rsidR="000F4C2F" w:rsidRPr="000F4C2F" w:rsidRDefault="000F4C2F" w:rsidP="00FC4659">
      <w:pPr>
        <w:pStyle w:val="ListBullet"/>
        <w:rPr>
          <w:lang w:val="en-GB"/>
        </w:rPr>
      </w:pPr>
      <w:r w:rsidRPr="000F4C2F">
        <w:rPr>
          <w:lang w:val="en-GB"/>
        </w:rPr>
        <w:t>funding award and grant agreements</w:t>
      </w:r>
    </w:p>
    <w:p w14:paraId="495684DB" w14:textId="77777777" w:rsidR="000F4C2F" w:rsidRPr="000F4C2F" w:rsidRDefault="000F4C2F" w:rsidP="00FC4659">
      <w:pPr>
        <w:pStyle w:val="Bullet1last"/>
        <w:rPr>
          <w:lang w:val="en-GB"/>
        </w:rPr>
      </w:pPr>
      <w:r w:rsidRPr="000F4C2F">
        <w:rPr>
          <w:lang w:val="en-GB"/>
        </w:rPr>
        <w:t>statement of strategic intent for the individual program funds.</w:t>
      </w:r>
    </w:p>
    <w:p w14:paraId="1733ACAA" w14:textId="76259998" w:rsidR="000F4C2F" w:rsidRPr="000F4C2F" w:rsidRDefault="000F4C2F" w:rsidP="00FC4659">
      <w:pPr>
        <w:pStyle w:val="Heading2"/>
      </w:pPr>
      <w:bookmarkStart w:id="1" w:name="_Toc158894166"/>
      <w:r w:rsidRPr="000F4C2F">
        <w:t>2.</w:t>
      </w:r>
      <w:r w:rsidRPr="000F4C2F">
        <w:tab/>
      </w:r>
      <w:r w:rsidR="005A2D1B" w:rsidRPr="000F4C2F">
        <w:t>Regulatory Context</w:t>
      </w:r>
      <w:bookmarkEnd w:id="1"/>
    </w:p>
    <w:p w14:paraId="3473A6D6" w14:textId="77777777" w:rsidR="000F4C2F" w:rsidRPr="00FC4659" w:rsidRDefault="000F4C2F" w:rsidP="00FC4659">
      <w:pPr>
        <w:pStyle w:val="Heading3"/>
        <w:rPr>
          <w:i/>
          <w:iCs/>
        </w:rPr>
      </w:pPr>
      <w:bookmarkStart w:id="2" w:name="_Toc158894167"/>
      <w:r w:rsidRPr="00FC4659">
        <w:rPr>
          <w:i/>
          <w:iCs/>
        </w:rPr>
        <w:t>The Livestock Disease Control Act 1994</w:t>
      </w:r>
      <w:bookmarkEnd w:id="2"/>
    </w:p>
    <w:p w14:paraId="53D4389B" w14:textId="77777777" w:rsidR="000F4C2F" w:rsidRPr="000F4C2F" w:rsidRDefault="000F4C2F" w:rsidP="000F4C2F">
      <w:pPr>
        <w:pStyle w:val="BodyText"/>
        <w:rPr>
          <w:lang w:val="en-GB"/>
        </w:rPr>
      </w:pPr>
      <w:r w:rsidRPr="000F4C2F">
        <w:rPr>
          <w:lang w:val="en-GB"/>
        </w:rPr>
        <w:t xml:space="preserve">The Program is administered by the Department of Energy, Environment and Climate Action (the department) and funds are established under the </w:t>
      </w:r>
      <w:r w:rsidRPr="000F4C2F">
        <w:rPr>
          <w:i/>
          <w:iCs/>
          <w:lang w:val="en-GB"/>
        </w:rPr>
        <w:t>Livestock Disease Control Act 1994</w:t>
      </w:r>
      <w:r w:rsidRPr="000F4C2F">
        <w:rPr>
          <w:lang w:val="en-GB"/>
        </w:rPr>
        <w:t xml:space="preserve"> (the Act).</w:t>
      </w:r>
    </w:p>
    <w:p w14:paraId="0F8C7C7C" w14:textId="77777777" w:rsidR="000F4C2F" w:rsidRPr="000F4C2F" w:rsidRDefault="000F4C2F" w:rsidP="000F4C2F">
      <w:pPr>
        <w:pStyle w:val="BodyText"/>
        <w:rPr>
          <w:lang w:val="en-GB"/>
        </w:rPr>
      </w:pPr>
      <w:r w:rsidRPr="000F4C2F">
        <w:rPr>
          <w:lang w:val="en-GB"/>
        </w:rPr>
        <w:t xml:space="preserve">The Act, in concert with the </w:t>
      </w:r>
      <w:r w:rsidRPr="000F4C2F">
        <w:rPr>
          <w:i/>
          <w:iCs/>
          <w:lang w:val="en-GB"/>
        </w:rPr>
        <w:t>Duties Act 2000</w:t>
      </w:r>
      <w:r w:rsidRPr="000F4C2F">
        <w:rPr>
          <w:lang w:val="en-GB"/>
        </w:rPr>
        <w:t>, provides a statutory arrangement for the collection of duties generated by the sale of cattle, sheep, goats and pigs and their carcasses in Victoria. These duties are collected to support the following funds:</w:t>
      </w:r>
    </w:p>
    <w:p w14:paraId="1B906349" w14:textId="77777777" w:rsidR="000F4C2F" w:rsidRPr="000F4C2F" w:rsidRDefault="000F4C2F" w:rsidP="00FC4659">
      <w:pPr>
        <w:pStyle w:val="ListBullet"/>
        <w:rPr>
          <w:lang w:val="en-GB"/>
        </w:rPr>
      </w:pPr>
      <w:r w:rsidRPr="000F4C2F">
        <w:rPr>
          <w:lang w:val="en-GB"/>
        </w:rPr>
        <w:t xml:space="preserve">Cattle Compensation Fund </w:t>
      </w:r>
    </w:p>
    <w:p w14:paraId="0D3DB0E1" w14:textId="77777777" w:rsidR="000F4C2F" w:rsidRPr="000F4C2F" w:rsidRDefault="000F4C2F" w:rsidP="00FC4659">
      <w:pPr>
        <w:pStyle w:val="ListBullet"/>
        <w:rPr>
          <w:lang w:val="en-GB"/>
        </w:rPr>
      </w:pPr>
      <w:r w:rsidRPr="000F4C2F">
        <w:rPr>
          <w:lang w:val="en-GB"/>
        </w:rPr>
        <w:t>Sheep and Goat Compensation Fund</w:t>
      </w:r>
    </w:p>
    <w:p w14:paraId="12B7548C" w14:textId="77777777" w:rsidR="000F4C2F" w:rsidRPr="000F4C2F" w:rsidRDefault="000F4C2F" w:rsidP="00FC4659">
      <w:pPr>
        <w:pStyle w:val="Bullet1last"/>
        <w:rPr>
          <w:lang w:val="en-GB"/>
        </w:rPr>
      </w:pPr>
      <w:r w:rsidRPr="000F4C2F">
        <w:rPr>
          <w:lang w:val="en-GB"/>
        </w:rPr>
        <w:t>Swine Compensation Fund</w:t>
      </w:r>
    </w:p>
    <w:p w14:paraId="1E334A2A" w14:textId="77777777" w:rsidR="000F4C2F" w:rsidRPr="000F4C2F" w:rsidRDefault="000F4C2F" w:rsidP="000F4C2F">
      <w:pPr>
        <w:pStyle w:val="BodyText"/>
        <w:rPr>
          <w:lang w:val="en-GB"/>
        </w:rPr>
      </w:pPr>
      <w:r w:rsidRPr="000F4C2F">
        <w:rPr>
          <w:lang w:val="en-GB"/>
        </w:rPr>
        <w:lastRenderedPageBreak/>
        <w:t xml:space="preserve">The Act also provides for the collection of registration and annual fees for </w:t>
      </w:r>
      <w:proofErr w:type="gramStart"/>
      <w:r w:rsidRPr="000F4C2F">
        <w:rPr>
          <w:lang w:val="en-GB"/>
        </w:rPr>
        <w:t>honey bees</w:t>
      </w:r>
      <w:proofErr w:type="gramEnd"/>
      <w:r w:rsidRPr="000F4C2F">
        <w:rPr>
          <w:lang w:val="en-GB"/>
        </w:rPr>
        <w:t xml:space="preserve"> which support the Honey Bee Compensation and Industry Development Fund.</w:t>
      </w:r>
    </w:p>
    <w:p w14:paraId="30B0F5CA" w14:textId="77777777" w:rsidR="000F4C2F" w:rsidRPr="000F4C2F" w:rsidRDefault="000F4C2F" w:rsidP="000F4C2F">
      <w:pPr>
        <w:pStyle w:val="BodyText"/>
        <w:rPr>
          <w:lang w:val="en-GB"/>
        </w:rPr>
      </w:pPr>
      <w:r w:rsidRPr="000F4C2F">
        <w:rPr>
          <w:lang w:val="en-GB"/>
        </w:rPr>
        <w:t>The funds deliver outcomes for the four industry areas and are aligned to the Act’s purpose and objectives as well as the rules legislated for the expenditure of the funds collected.</w:t>
      </w:r>
    </w:p>
    <w:p w14:paraId="0FD219A2" w14:textId="77777777" w:rsidR="000F4C2F" w:rsidRPr="000F4C2F" w:rsidRDefault="000F4C2F" w:rsidP="000F4C2F">
      <w:pPr>
        <w:pStyle w:val="BodyText"/>
        <w:rPr>
          <w:lang w:val="en-GB"/>
        </w:rPr>
      </w:pPr>
      <w:r w:rsidRPr="000F4C2F">
        <w:rPr>
          <w:lang w:val="en-GB"/>
        </w:rPr>
        <w:t>The purpose of the Act is to provide for the prevention, monitoring and control of livestock diseases, and compensation for losses caused by certain livestock diseases. The broad objectives of the Act are to:</w:t>
      </w:r>
    </w:p>
    <w:p w14:paraId="0A2E07C3" w14:textId="77777777" w:rsidR="000F4C2F" w:rsidRPr="000F4C2F" w:rsidRDefault="000F4C2F" w:rsidP="000F4C2F">
      <w:pPr>
        <w:pStyle w:val="BodyText"/>
        <w:rPr>
          <w:lang w:val="en-GB"/>
        </w:rPr>
      </w:pPr>
      <w:r w:rsidRPr="000F4C2F">
        <w:rPr>
          <w:lang w:val="en-GB"/>
        </w:rPr>
        <w:t xml:space="preserve">protect public health by preventing, monitoring and controlling diseases transmissible from livestock to </w:t>
      </w:r>
      <w:proofErr w:type="gramStart"/>
      <w:r w:rsidRPr="000F4C2F">
        <w:rPr>
          <w:lang w:val="en-GB"/>
        </w:rPr>
        <w:t>humans;</w:t>
      </w:r>
      <w:proofErr w:type="gramEnd"/>
    </w:p>
    <w:p w14:paraId="22EC8840" w14:textId="77777777" w:rsidR="000F4C2F" w:rsidRPr="000F4C2F" w:rsidRDefault="000F4C2F" w:rsidP="00FC4659">
      <w:pPr>
        <w:pStyle w:val="ListBullet"/>
        <w:rPr>
          <w:lang w:val="en-GB"/>
        </w:rPr>
      </w:pPr>
      <w:r w:rsidRPr="000F4C2F">
        <w:rPr>
          <w:lang w:val="en-GB"/>
        </w:rPr>
        <w:t xml:space="preserve">protect domestic and export markets for livestock and livestock products by preventing, monitoring and controlling livestock </w:t>
      </w:r>
      <w:proofErr w:type="gramStart"/>
      <w:r w:rsidRPr="000F4C2F">
        <w:rPr>
          <w:lang w:val="en-GB"/>
        </w:rPr>
        <w:t>diseases;</w:t>
      </w:r>
      <w:proofErr w:type="gramEnd"/>
    </w:p>
    <w:p w14:paraId="6733D2DE" w14:textId="77777777" w:rsidR="000F4C2F" w:rsidRPr="000F4C2F" w:rsidRDefault="000F4C2F" w:rsidP="00FC4659">
      <w:pPr>
        <w:pStyle w:val="ListBullet"/>
        <w:rPr>
          <w:lang w:val="en-GB"/>
        </w:rPr>
      </w:pPr>
      <w:r w:rsidRPr="000F4C2F">
        <w:rPr>
          <w:lang w:val="en-GB"/>
        </w:rPr>
        <w:t xml:space="preserve">provide for the preventing, monitoring and eradication of exotic livestock </w:t>
      </w:r>
      <w:proofErr w:type="gramStart"/>
      <w:r w:rsidRPr="000F4C2F">
        <w:rPr>
          <w:lang w:val="en-GB"/>
        </w:rPr>
        <w:t>diseases;</w:t>
      </w:r>
      <w:proofErr w:type="gramEnd"/>
    </w:p>
    <w:p w14:paraId="4A2D83C3" w14:textId="77777777" w:rsidR="000F4C2F" w:rsidRPr="000F4C2F" w:rsidRDefault="000F4C2F" w:rsidP="00FC4659">
      <w:pPr>
        <w:pStyle w:val="ListBullet"/>
        <w:rPr>
          <w:lang w:val="en-GB"/>
        </w:rPr>
      </w:pPr>
      <w:r w:rsidRPr="000F4C2F">
        <w:rPr>
          <w:lang w:val="en-GB"/>
        </w:rPr>
        <w:t>provide compensation for certain losses caused by livestock diseases; and</w:t>
      </w:r>
    </w:p>
    <w:p w14:paraId="4F24A602" w14:textId="77777777" w:rsidR="000F4C2F" w:rsidRPr="000F4C2F" w:rsidRDefault="000F4C2F" w:rsidP="00FC4659">
      <w:pPr>
        <w:pStyle w:val="Bullet1last"/>
        <w:rPr>
          <w:lang w:val="en-GB"/>
        </w:rPr>
      </w:pPr>
      <w:r w:rsidRPr="000F4C2F">
        <w:rPr>
          <w:lang w:val="en-GB"/>
        </w:rPr>
        <w:t>facilitate the operation of livestock identification and tracking programs for disease and residue control and market access.</w:t>
      </w:r>
    </w:p>
    <w:p w14:paraId="4C017038" w14:textId="77777777" w:rsidR="000F4C2F" w:rsidRPr="000F4C2F" w:rsidRDefault="000F4C2F" w:rsidP="00FC4659">
      <w:pPr>
        <w:pStyle w:val="Heading3"/>
      </w:pPr>
      <w:bookmarkStart w:id="3" w:name="_Toc158894168"/>
      <w:r w:rsidRPr="000F4C2F">
        <w:t>Expenditure from the Funds</w:t>
      </w:r>
      <w:bookmarkEnd w:id="3"/>
    </w:p>
    <w:p w14:paraId="6E3AF7D9" w14:textId="77777777" w:rsidR="000F4C2F" w:rsidRPr="000F4C2F" w:rsidRDefault="000F4C2F" w:rsidP="000F4C2F">
      <w:pPr>
        <w:pStyle w:val="BodyText"/>
        <w:rPr>
          <w:lang w:val="en-GB"/>
        </w:rPr>
      </w:pPr>
      <w:r w:rsidRPr="000F4C2F">
        <w:rPr>
          <w:lang w:val="en-GB"/>
        </w:rPr>
        <w:t>The Act sets out how each fund may be used, generally for projects and programs that may benefit the respective livestock industries in Victoria, compensation for specified endemic diseases and administration of the funds.</w:t>
      </w:r>
    </w:p>
    <w:p w14:paraId="67432210" w14:textId="77777777" w:rsidR="000F4C2F" w:rsidRPr="000F4C2F" w:rsidRDefault="000F4C2F" w:rsidP="000F4C2F">
      <w:pPr>
        <w:pStyle w:val="BodyText"/>
        <w:rPr>
          <w:lang w:val="en-GB"/>
        </w:rPr>
      </w:pPr>
      <w:r w:rsidRPr="000F4C2F">
        <w:rPr>
          <w:lang w:val="en-GB"/>
        </w:rPr>
        <w:t>All expenditure from the funds require approval from the Minister for Agriculture, after considering the advice from the respective advisory committee. The four advisory committees, comprised of mostly industry representatives, are:</w:t>
      </w:r>
    </w:p>
    <w:p w14:paraId="157E9EC0" w14:textId="0F10B2F5" w:rsidR="000F4C2F" w:rsidRPr="000F4C2F" w:rsidRDefault="000F4C2F" w:rsidP="00FC4659">
      <w:pPr>
        <w:pStyle w:val="ListBullet"/>
        <w:rPr>
          <w:lang w:val="en-GB"/>
        </w:rPr>
      </w:pPr>
      <w:r w:rsidRPr="000F4C2F">
        <w:rPr>
          <w:lang w:val="en-GB"/>
        </w:rPr>
        <w:t>Cattle Compensation Advisory Committee</w:t>
      </w:r>
    </w:p>
    <w:p w14:paraId="359CE48C" w14:textId="77777777" w:rsidR="000F4C2F" w:rsidRPr="000F4C2F" w:rsidRDefault="000F4C2F" w:rsidP="00FC4659">
      <w:pPr>
        <w:pStyle w:val="ListBullet"/>
        <w:rPr>
          <w:lang w:val="en-GB"/>
        </w:rPr>
      </w:pPr>
      <w:r w:rsidRPr="000F4C2F">
        <w:rPr>
          <w:lang w:val="en-GB"/>
        </w:rPr>
        <w:t xml:space="preserve">Sheep and Goat Compensation Advisory Committee </w:t>
      </w:r>
    </w:p>
    <w:p w14:paraId="5EF89C8F" w14:textId="77777777" w:rsidR="000F4C2F" w:rsidRPr="000F4C2F" w:rsidRDefault="000F4C2F" w:rsidP="00FC4659">
      <w:pPr>
        <w:pStyle w:val="ListBullet"/>
        <w:rPr>
          <w:lang w:val="en-GB"/>
        </w:rPr>
      </w:pPr>
      <w:r w:rsidRPr="000F4C2F">
        <w:rPr>
          <w:lang w:val="en-GB"/>
        </w:rPr>
        <w:t>Swine Industry Projects Advisory Committee</w:t>
      </w:r>
    </w:p>
    <w:p w14:paraId="029B01A7" w14:textId="77777777" w:rsidR="000F4C2F" w:rsidRPr="000F4C2F" w:rsidRDefault="000F4C2F" w:rsidP="00FC4659">
      <w:pPr>
        <w:pStyle w:val="Bullet1last"/>
        <w:rPr>
          <w:lang w:val="en-GB"/>
        </w:rPr>
      </w:pPr>
      <w:r w:rsidRPr="000F4C2F">
        <w:rPr>
          <w:lang w:val="en-GB"/>
        </w:rPr>
        <w:t>Apicultural Industry Advisory Committee.</w:t>
      </w:r>
    </w:p>
    <w:p w14:paraId="0F9B2622" w14:textId="77777777" w:rsidR="000F4C2F" w:rsidRPr="000F4C2F" w:rsidRDefault="000F4C2F" w:rsidP="000F4C2F">
      <w:pPr>
        <w:pStyle w:val="BodyText"/>
        <w:rPr>
          <w:lang w:val="en-GB"/>
        </w:rPr>
      </w:pPr>
      <w:r w:rsidRPr="000F4C2F">
        <w:rPr>
          <w:lang w:val="en-GB"/>
        </w:rPr>
        <w:lastRenderedPageBreak/>
        <w:t>The Minister for Agriculture may also approve funding from the respective livestock funds for projects which are not part of the competitive process outlined in these guidelines, and which are deemed the most effective and efficient solution to an issue covered by the funds.</w:t>
      </w:r>
    </w:p>
    <w:p w14:paraId="4E129E40" w14:textId="77777777" w:rsidR="000F4C2F" w:rsidRPr="000F4C2F" w:rsidRDefault="000F4C2F" w:rsidP="000F4C2F">
      <w:pPr>
        <w:pStyle w:val="BodyText"/>
        <w:rPr>
          <w:lang w:val="en-GB"/>
        </w:rPr>
      </w:pPr>
      <w:r w:rsidRPr="000F4C2F">
        <w:rPr>
          <w:lang w:val="en-GB"/>
        </w:rPr>
        <w:t>Such projects may be delivered by other means such as through a procurement process or by a Victorian state government entity and are reviewed and considered after the competitive round or as part of a targeted process. Such approvals are subject to consideration and recommendations to the Minister for Agriculture from the relevant advisory committee.</w:t>
      </w:r>
    </w:p>
    <w:p w14:paraId="3B4DDB10" w14:textId="6F187B55" w:rsidR="000F4C2F" w:rsidRPr="000F4C2F" w:rsidRDefault="000F4C2F" w:rsidP="00FC4659">
      <w:pPr>
        <w:pStyle w:val="Heading2"/>
      </w:pPr>
      <w:bookmarkStart w:id="4" w:name="_Toc158894169"/>
      <w:r w:rsidRPr="000F4C2F">
        <w:t>3.</w:t>
      </w:r>
      <w:r w:rsidRPr="000F4C2F">
        <w:tab/>
      </w:r>
      <w:r w:rsidR="005A2D1B" w:rsidRPr="000F4C2F">
        <w:t>Funding</w:t>
      </w:r>
      <w:bookmarkEnd w:id="4"/>
    </w:p>
    <w:p w14:paraId="34D9B82D" w14:textId="77777777" w:rsidR="000F4C2F" w:rsidRPr="000F4C2F" w:rsidRDefault="000F4C2F" w:rsidP="00FC4659">
      <w:pPr>
        <w:pStyle w:val="Heading3"/>
      </w:pPr>
      <w:bookmarkStart w:id="5" w:name="_Toc158894170"/>
      <w:r w:rsidRPr="000F4C2F">
        <w:t>Vision</w:t>
      </w:r>
      <w:bookmarkEnd w:id="5"/>
    </w:p>
    <w:p w14:paraId="1F7B5524" w14:textId="77777777" w:rsidR="000F4C2F" w:rsidRPr="000F4C2F" w:rsidRDefault="000F4C2F" w:rsidP="000F4C2F">
      <w:pPr>
        <w:pStyle w:val="BodyText"/>
        <w:rPr>
          <w:lang w:val="en-GB"/>
        </w:rPr>
      </w:pPr>
      <w:r w:rsidRPr="000F4C2F">
        <w:rPr>
          <w:lang w:val="en-GB"/>
        </w:rPr>
        <w:t xml:space="preserve">The 2024 Program aims to fund projects and programs that prevent, monitor, and control diseases, thereby enhancing animal health, biosecurity and market access for the benefit of Victorian cattle, sheep, goat, swine and </w:t>
      </w:r>
      <w:proofErr w:type="gramStart"/>
      <w:r w:rsidRPr="000F4C2F">
        <w:rPr>
          <w:lang w:val="en-GB"/>
        </w:rPr>
        <w:t>honey bee</w:t>
      </w:r>
      <w:proofErr w:type="gramEnd"/>
      <w:r w:rsidRPr="000F4C2F">
        <w:rPr>
          <w:lang w:val="en-GB"/>
        </w:rPr>
        <w:t xml:space="preserve"> industries.</w:t>
      </w:r>
    </w:p>
    <w:p w14:paraId="597E01CB" w14:textId="77777777" w:rsidR="000F4C2F" w:rsidRPr="000F4C2F" w:rsidRDefault="000F4C2F" w:rsidP="00FC4659">
      <w:pPr>
        <w:pStyle w:val="Heading3"/>
      </w:pPr>
      <w:bookmarkStart w:id="6" w:name="_Toc158894171"/>
      <w:r w:rsidRPr="000F4C2F">
        <w:t>Principles</w:t>
      </w:r>
      <w:bookmarkEnd w:id="6"/>
    </w:p>
    <w:p w14:paraId="5217C008" w14:textId="77777777" w:rsidR="000F4C2F" w:rsidRPr="000F4C2F" w:rsidRDefault="000F4C2F" w:rsidP="000F4C2F">
      <w:pPr>
        <w:pStyle w:val="BodyText"/>
        <w:rPr>
          <w:lang w:val="en-GB"/>
        </w:rPr>
      </w:pPr>
      <w:r w:rsidRPr="000F4C2F">
        <w:rPr>
          <w:lang w:val="en-GB"/>
        </w:rPr>
        <w:t>Program funds are used for projects producing outcomes, consistent with the Act, which demonstrates the following principles:</w:t>
      </w:r>
    </w:p>
    <w:p w14:paraId="742ED356" w14:textId="77777777" w:rsidR="000F4C2F" w:rsidRPr="000F4C2F" w:rsidRDefault="000F4C2F" w:rsidP="00FC4659">
      <w:pPr>
        <w:pStyle w:val="ListBullet"/>
        <w:rPr>
          <w:lang w:val="en-GB"/>
        </w:rPr>
      </w:pPr>
      <w:r w:rsidRPr="000F4C2F">
        <w:rPr>
          <w:lang w:val="en-GB"/>
        </w:rPr>
        <w:t>Innovative solutions and emerging technologies for unsolved livestock biosecurity issues, needs or gaps.</w:t>
      </w:r>
    </w:p>
    <w:p w14:paraId="436E81AE" w14:textId="77777777" w:rsidR="000F4C2F" w:rsidRPr="000F4C2F" w:rsidRDefault="000F4C2F" w:rsidP="00FC4659">
      <w:pPr>
        <w:pStyle w:val="ListBullet"/>
        <w:rPr>
          <w:lang w:val="en-GB"/>
        </w:rPr>
      </w:pPr>
      <w:r w:rsidRPr="000F4C2F">
        <w:rPr>
          <w:lang w:val="en-GB"/>
        </w:rPr>
        <w:t>Collaboration where possible across value chains.</w:t>
      </w:r>
    </w:p>
    <w:p w14:paraId="0171B839" w14:textId="77777777" w:rsidR="000F4C2F" w:rsidRPr="000F4C2F" w:rsidRDefault="000F4C2F" w:rsidP="00FC4659">
      <w:pPr>
        <w:pStyle w:val="Bullet1last"/>
        <w:rPr>
          <w:lang w:val="en-GB"/>
        </w:rPr>
      </w:pPr>
      <w:r w:rsidRPr="000F4C2F">
        <w:rPr>
          <w:lang w:val="en-GB"/>
        </w:rPr>
        <w:t>Quantifiable benefits to the whole of the livestock industries, which are measured and evaluated with evidence and data.</w:t>
      </w:r>
    </w:p>
    <w:p w14:paraId="02B5052E" w14:textId="77777777" w:rsidR="000F4C2F" w:rsidRPr="000F4C2F" w:rsidRDefault="000F4C2F" w:rsidP="00FC4659">
      <w:pPr>
        <w:pStyle w:val="Heading3"/>
      </w:pPr>
      <w:bookmarkStart w:id="7" w:name="_Toc158894172"/>
      <w:r w:rsidRPr="000F4C2F">
        <w:t>Funding Streams</w:t>
      </w:r>
      <w:bookmarkEnd w:id="7"/>
    </w:p>
    <w:p w14:paraId="7594581A" w14:textId="77777777" w:rsidR="000F4C2F" w:rsidRPr="000F4C2F" w:rsidRDefault="000F4C2F" w:rsidP="000F4C2F">
      <w:pPr>
        <w:pStyle w:val="BodyText"/>
        <w:rPr>
          <w:lang w:val="en-GB"/>
        </w:rPr>
      </w:pPr>
      <w:r w:rsidRPr="000F4C2F">
        <w:rPr>
          <w:lang w:val="en-GB"/>
        </w:rPr>
        <w:t xml:space="preserve">The 2024 Program comprises four streams covering the cattle, sheep, goat, swine and </w:t>
      </w:r>
      <w:proofErr w:type="gramStart"/>
      <w:r w:rsidRPr="000F4C2F">
        <w:rPr>
          <w:lang w:val="en-GB"/>
        </w:rPr>
        <w:t>honey bee</w:t>
      </w:r>
      <w:proofErr w:type="gramEnd"/>
      <w:r w:rsidRPr="000F4C2F">
        <w:rPr>
          <w:lang w:val="en-GB"/>
        </w:rPr>
        <w:t xml:space="preserve"> industries.</w:t>
      </w:r>
    </w:p>
    <w:p w14:paraId="5704D118" w14:textId="77777777" w:rsidR="000F4C2F" w:rsidRPr="000F4C2F" w:rsidRDefault="000F4C2F" w:rsidP="000F4C2F">
      <w:pPr>
        <w:pStyle w:val="BodyText"/>
        <w:rPr>
          <w:lang w:val="en-GB"/>
        </w:rPr>
      </w:pPr>
      <w:r w:rsidRPr="000F4C2F">
        <w:rPr>
          <w:lang w:val="en-GB"/>
        </w:rPr>
        <w:t>Each of the funds has a statement of strategic intent, outlining areas for investment and outcomes within the purpose and objectives of the Act. Please refer to Appendices 1 to 4 for details.</w:t>
      </w:r>
    </w:p>
    <w:p w14:paraId="6ED66998" w14:textId="77777777" w:rsidR="000F4C2F" w:rsidRPr="000F4C2F" w:rsidRDefault="000F4C2F" w:rsidP="00FC4659">
      <w:pPr>
        <w:pStyle w:val="Heading3"/>
      </w:pPr>
      <w:bookmarkStart w:id="8" w:name="_Toc158894173"/>
      <w:r w:rsidRPr="000F4C2F">
        <w:lastRenderedPageBreak/>
        <w:t>Available funds</w:t>
      </w:r>
      <w:bookmarkEnd w:id="8"/>
    </w:p>
    <w:p w14:paraId="329DF14B" w14:textId="0EAE1F0C" w:rsidR="000F4C2F" w:rsidRPr="000F4C2F" w:rsidRDefault="000F4C2F" w:rsidP="000F4C2F">
      <w:pPr>
        <w:pStyle w:val="BodyText"/>
        <w:rPr>
          <w:lang w:val="en-GB"/>
        </w:rPr>
      </w:pPr>
      <w:r w:rsidRPr="000F4C2F">
        <w:rPr>
          <w:lang w:val="en-GB"/>
        </w:rPr>
        <w:t>There is no minimum or maximum value of applications or length of the project. The respective advisory committee will recommend successful projects to the Minister for Agriculture taking account of the available balance of their respective fund at the time of recommendation and the project’s rating against the selection criteria.</w:t>
      </w:r>
    </w:p>
    <w:p w14:paraId="703E947F" w14:textId="53ED9465" w:rsidR="000F4C2F" w:rsidRPr="000F4C2F" w:rsidRDefault="000F4C2F" w:rsidP="000F4C2F">
      <w:pPr>
        <w:pStyle w:val="BodyText"/>
        <w:rPr>
          <w:lang w:val="en-GB"/>
        </w:rPr>
      </w:pPr>
      <w:r w:rsidRPr="000F4C2F">
        <w:rPr>
          <w:lang w:val="en-GB"/>
        </w:rPr>
        <w:t>Examples of previously funded projects are available on the</w:t>
      </w:r>
      <w:r w:rsidR="00FC4659">
        <w:rPr>
          <w:lang w:val="en-GB"/>
        </w:rPr>
        <w:t xml:space="preserve"> </w:t>
      </w:r>
      <w:hyperlink r:id="rId9" w:history="1">
        <w:r w:rsidRPr="000F4C2F">
          <w:rPr>
            <w:rStyle w:val="Hyperlink"/>
            <w:lang w:val="en-GB"/>
          </w:rPr>
          <w:t>Livestock Biosecurity Funds Grant Program webpage</w:t>
        </w:r>
      </w:hyperlink>
      <w:r w:rsidRPr="000F4C2F">
        <w:rPr>
          <w:lang w:val="en-GB"/>
        </w:rPr>
        <w:t>.</w:t>
      </w:r>
    </w:p>
    <w:p w14:paraId="2BD3CC91" w14:textId="54ECF0EA" w:rsidR="000F4C2F" w:rsidRPr="000F4C2F" w:rsidRDefault="000F4C2F" w:rsidP="00423210">
      <w:pPr>
        <w:pStyle w:val="Heading2"/>
        <w:spacing w:before="240"/>
      </w:pPr>
      <w:bookmarkStart w:id="9" w:name="_Toc158894174"/>
      <w:r w:rsidRPr="000F4C2F">
        <w:t>4.</w:t>
      </w:r>
      <w:r w:rsidRPr="000F4C2F">
        <w:tab/>
      </w:r>
      <w:r w:rsidR="005A2D1B" w:rsidRPr="000F4C2F">
        <w:t>Application Requirements</w:t>
      </w:r>
      <w:bookmarkEnd w:id="9"/>
    </w:p>
    <w:p w14:paraId="775B96E3" w14:textId="77777777" w:rsidR="000F4C2F" w:rsidRPr="000F4C2F" w:rsidRDefault="000F4C2F" w:rsidP="00FC4659">
      <w:pPr>
        <w:pStyle w:val="Heading3"/>
      </w:pPr>
      <w:bookmarkStart w:id="10" w:name="_Toc158894175"/>
      <w:r w:rsidRPr="000F4C2F">
        <w:t>Overview</w:t>
      </w:r>
      <w:bookmarkEnd w:id="10"/>
    </w:p>
    <w:p w14:paraId="0FB875DC" w14:textId="7A61C5B4" w:rsidR="000F4C2F" w:rsidRPr="000F4C2F" w:rsidRDefault="000F4C2F" w:rsidP="000F4C2F">
      <w:pPr>
        <w:pStyle w:val="BodyText"/>
        <w:rPr>
          <w:lang w:val="en-GB"/>
        </w:rPr>
      </w:pPr>
      <w:r w:rsidRPr="000F4C2F">
        <w:rPr>
          <w:lang w:val="en-GB"/>
        </w:rPr>
        <w:t xml:space="preserve">The program is managed on a competitive basis and all applicants </w:t>
      </w:r>
      <w:r w:rsidRPr="000F4C2F">
        <w:rPr>
          <w:lang w:val="en-GB"/>
        </w:rPr>
        <w:br/>
        <w:t xml:space="preserve">must apply for funding by submitting an online application at </w:t>
      </w:r>
      <w:hyperlink r:id="rId10" w:history="1">
        <w:r w:rsidRPr="000F4C2F">
          <w:rPr>
            <w:rStyle w:val="Hyperlink"/>
            <w:lang w:val="en-GB"/>
          </w:rPr>
          <w:t>agriculture.vic.gov.au/support-and-resources/funds-grants-programs/livestock-biosecurity-funds</w:t>
        </w:r>
      </w:hyperlink>
      <w:r w:rsidRPr="000F4C2F">
        <w:rPr>
          <w:lang w:val="en-GB"/>
        </w:rPr>
        <w:t xml:space="preserve"> during the designated funding round (refer Table 1). The department will not accept physical (hardcopy) applications, nor accept late applications.</w:t>
      </w:r>
    </w:p>
    <w:p w14:paraId="328E21E9" w14:textId="77777777" w:rsidR="000F4C2F" w:rsidRPr="000F4C2F" w:rsidRDefault="000F4C2F" w:rsidP="000F4C2F">
      <w:pPr>
        <w:pStyle w:val="BodyText"/>
        <w:rPr>
          <w:lang w:val="en-GB"/>
        </w:rPr>
      </w:pPr>
      <w:r w:rsidRPr="000F4C2F">
        <w:rPr>
          <w:lang w:val="en-GB"/>
        </w:rPr>
        <w:t xml:space="preserve">All sections of the online application form must be completed in </w:t>
      </w:r>
      <w:proofErr w:type="gramStart"/>
      <w:r w:rsidRPr="000F4C2F">
        <w:rPr>
          <w:lang w:val="en-GB"/>
        </w:rPr>
        <w:t>full</w:t>
      </w:r>
      <w:proofErr w:type="gramEnd"/>
      <w:r w:rsidRPr="000F4C2F">
        <w:rPr>
          <w:lang w:val="en-GB"/>
        </w:rPr>
        <w:t xml:space="preserve"> and this will form the project implementation plan which includes:</w:t>
      </w:r>
    </w:p>
    <w:p w14:paraId="11B7A8D6" w14:textId="77777777" w:rsidR="000F4C2F" w:rsidRPr="000F4C2F" w:rsidRDefault="000F4C2F" w:rsidP="00FC4659">
      <w:pPr>
        <w:pStyle w:val="ListBullet"/>
        <w:rPr>
          <w:lang w:val="en-GB"/>
        </w:rPr>
      </w:pPr>
      <w:r w:rsidRPr="000F4C2F">
        <w:rPr>
          <w:lang w:val="en-GB"/>
        </w:rPr>
        <w:t>Project timelines</w:t>
      </w:r>
    </w:p>
    <w:p w14:paraId="4DD4CE44" w14:textId="77777777" w:rsidR="000F4C2F" w:rsidRPr="000F4C2F" w:rsidRDefault="000F4C2F" w:rsidP="00FC4659">
      <w:pPr>
        <w:pStyle w:val="ListBullet"/>
        <w:rPr>
          <w:lang w:val="en-GB"/>
        </w:rPr>
      </w:pPr>
      <w:r w:rsidRPr="000F4C2F">
        <w:rPr>
          <w:lang w:val="en-GB"/>
        </w:rPr>
        <w:t>Budget</w:t>
      </w:r>
    </w:p>
    <w:p w14:paraId="77F9ED34" w14:textId="77777777" w:rsidR="000F4C2F" w:rsidRPr="000F4C2F" w:rsidRDefault="000F4C2F" w:rsidP="00FC4659">
      <w:pPr>
        <w:pStyle w:val="ListBullet"/>
        <w:rPr>
          <w:lang w:val="en-GB"/>
        </w:rPr>
      </w:pPr>
      <w:r w:rsidRPr="000F4C2F">
        <w:rPr>
          <w:lang w:val="en-GB"/>
        </w:rPr>
        <w:t>Key project members</w:t>
      </w:r>
    </w:p>
    <w:p w14:paraId="4A0DD050" w14:textId="77777777" w:rsidR="000F4C2F" w:rsidRPr="000F4C2F" w:rsidRDefault="000F4C2F" w:rsidP="00FC4659">
      <w:pPr>
        <w:pStyle w:val="ListBullet"/>
        <w:rPr>
          <w:lang w:val="en-GB"/>
        </w:rPr>
      </w:pPr>
      <w:r w:rsidRPr="000F4C2F">
        <w:rPr>
          <w:lang w:val="en-GB"/>
        </w:rPr>
        <w:t>Methodology to deliver on and measure the required outcomes as stipulated by the relevant statement of strategic intent.</w:t>
      </w:r>
    </w:p>
    <w:p w14:paraId="0EFD609C" w14:textId="48E9D21F" w:rsidR="000F4C2F" w:rsidRPr="000F4C2F" w:rsidRDefault="000F4C2F" w:rsidP="00FC4659">
      <w:pPr>
        <w:pStyle w:val="Bullet1last"/>
        <w:rPr>
          <w:lang w:val="en-GB"/>
        </w:rPr>
      </w:pPr>
      <w:r w:rsidRPr="000F4C2F">
        <w:rPr>
          <w:lang w:val="en-GB"/>
        </w:rPr>
        <w:t>Detailed evaluation plan outlining the impact on the specified Victorian sector.</w:t>
      </w:r>
    </w:p>
    <w:p w14:paraId="29700874" w14:textId="77777777" w:rsidR="000F4C2F" w:rsidRPr="000F4C2F" w:rsidRDefault="000F4C2F" w:rsidP="000F4C2F">
      <w:pPr>
        <w:pStyle w:val="BodyText"/>
        <w:rPr>
          <w:lang w:val="en-GB"/>
        </w:rPr>
      </w:pPr>
      <w:r w:rsidRPr="000F4C2F">
        <w:rPr>
          <w:lang w:val="en-GB"/>
        </w:rPr>
        <w:t>Please ensure that you provide detailed responses to each of the sections of the application form to provide sufficient information to enable the advisory committees to make their recommendations to the Minister for Agriculture.</w:t>
      </w:r>
    </w:p>
    <w:p w14:paraId="4A01246E" w14:textId="4D2EC308" w:rsidR="000F4C2F" w:rsidRPr="000F4C2F" w:rsidRDefault="000F4C2F" w:rsidP="000F4C2F">
      <w:pPr>
        <w:pStyle w:val="BodyText"/>
        <w:rPr>
          <w:lang w:val="en-GB"/>
        </w:rPr>
      </w:pPr>
      <w:r w:rsidRPr="000F4C2F">
        <w:rPr>
          <w:lang w:val="en-GB"/>
        </w:rPr>
        <w:t>All applications must be signed by the organisation’s authorised officer. For Victorian Government applications, this is Executive Director or equivalent.</w:t>
      </w:r>
    </w:p>
    <w:p w14:paraId="28DF6515" w14:textId="77777777" w:rsidR="000F4C2F" w:rsidRPr="000F4C2F" w:rsidRDefault="000F4C2F" w:rsidP="00FC4659">
      <w:pPr>
        <w:pStyle w:val="Heading3"/>
      </w:pPr>
      <w:bookmarkStart w:id="11" w:name="_Toc158894176"/>
      <w:r w:rsidRPr="000F4C2F">
        <w:lastRenderedPageBreak/>
        <w:t>Eligible applicants</w:t>
      </w:r>
      <w:bookmarkEnd w:id="11"/>
    </w:p>
    <w:p w14:paraId="1D35974B" w14:textId="77777777" w:rsidR="000F4C2F" w:rsidRPr="000F4C2F" w:rsidRDefault="000F4C2F" w:rsidP="000F4C2F">
      <w:pPr>
        <w:pStyle w:val="BodyText"/>
        <w:rPr>
          <w:lang w:val="en-GB"/>
        </w:rPr>
      </w:pPr>
      <w:r w:rsidRPr="000F4C2F">
        <w:rPr>
          <w:lang w:val="en-GB"/>
        </w:rPr>
        <w:t>Applicants must meet the following criteria to be eligible:</w:t>
      </w:r>
    </w:p>
    <w:p w14:paraId="2BF9E8B8" w14:textId="77777777" w:rsidR="000F4C2F" w:rsidRPr="000F4C2F" w:rsidRDefault="000F4C2F" w:rsidP="00FC4659">
      <w:pPr>
        <w:pStyle w:val="ListNumber"/>
        <w:rPr>
          <w:lang w:val="en-GB"/>
        </w:rPr>
      </w:pPr>
      <w:r w:rsidRPr="000F4C2F">
        <w:rPr>
          <w:lang w:val="en-GB"/>
        </w:rPr>
        <w:t>Are one of the following types of entities and has a valid Australian Business Number (ABN):</w:t>
      </w:r>
    </w:p>
    <w:p w14:paraId="2D61B7D5" w14:textId="15FCE698" w:rsidR="000F4C2F" w:rsidRPr="000F4C2F" w:rsidRDefault="000F4C2F" w:rsidP="00FC4659">
      <w:pPr>
        <w:pStyle w:val="ListBullet"/>
        <w:tabs>
          <w:tab w:val="clear" w:pos="360"/>
          <w:tab w:val="num" w:pos="717"/>
        </w:tabs>
        <w:ind w:left="717"/>
        <w:rPr>
          <w:lang w:val="en-GB"/>
        </w:rPr>
      </w:pPr>
      <w:r w:rsidRPr="000F4C2F">
        <w:rPr>
          <w:lang w:val="en-GB"/>
        </w:rPr>
        <w:t>private sector businesses</w:t>
      </w:r>
    </w:p>
    <w:p w14:paraId="18D629D1" w14:textId="6EE5D1A8" w:rsidR="000F4C2F" w:rsidRPr="000F4C2F" w:rsidRDefault="000F4C2F" w:rsidP="00FC4659">
      <w:pPr>
        <w:pStyle w:val="ListBullet"/>
        <w:tabs>
          <w:tab w:val="clear" w:pos="360"/>
          <w:tab w:val="num" w:pos="717"/>
        </w:tabs>
        <w:ind w:left="717"/>
        <w:rPr>
          <w:lang w:val="en-GB"/>
        </w:rPr>
      </w:pPr>
      <w:r w:rsidRPr="000F4C2F">
        <w:rPr>
          <w:lang w:val="en-GB"/>
        </w:rPr>
        <w:t>universities and research institutions</w:t>
      </w:r>
    </w:p>
    <w:p w14:paraId="6B0EFCAF" w14:textId="029647EA" w:rsidR="000F4C2F" w:rsidRPr="000F4C2F" w:rsidRDefault="000F4C2F" w:rsidP="00FC4659">
      <w:pPr>
        <w:pStyle w:val="ListBullet"/>
        <w:tabs>
          <w:tab w:val="clear" w:pos="360"/>
          <w:tab w:val="num" w:pos="717"/>
        </w:tabs>
        <w:ind w:left="717"/>
        <w:rPr>
          <w:lang w:val="en-GB"/>
        </w:rPr>
      </w:pPr>
      <w:r w:rsidRPr="000F4C2F">
        <w:rPr>
          <w:lang w:val="en-GB"/>
        </w:rPr>
        <w:t xml:space="preserve">cooperatives where the objectives of the cooperative align with the </w:t>
      </w:r>
      <w:proofErr w:type="gramStart"/>
      <w:r w:rsidRPr="000F4C2F">
        <w:rPr>
          <w:lang w:val="en-GB"/>
        </w:rPr>
        <w:t>Program</w:t>
      </w:r>
      <w:proofErr w:type="gramEnd"/>
    </w:p>
    <w:p w14:paraId="3900A389" w14:textId="4D973608" w:rsidR="000F4C2F" w:rsidRPr="000F4C2F" w:rsidRDefault="000F4C2F" w:rsidP="00FC4659">
      <w:pPr>
        <w:pStyle w:val="ListBullet"/>
        <w:tabs>
          <w:tab w:val="clear" w:pos="360"/>
          <w:tab w:val="num" w:pos="717"/>
        </w:tabs>
        <w:ind w:left="717"/>
        <w:rPr>
          <w:lang w:val="en-GB"/>
        </w:rPr>
      </w:pPr>
      <w:r w:rsidRPr="000F4C2F">
        <w:rPr>
          <w:lang w:val="en-GB"/>
        </w:rPr>
        <w:t>State Government department or entity</w:t>
      </w:r>
    </w:p>
    <w:p w14:paraId="688E9011" w14:textId="3D00AD5F" w:rsidR="000F4C2F" w:rsidRPr="000F4C2F" w:rsidRDefault="000F4C2F" w:rsidP="00FC4659">
      <w:pPr>
        <w:pStyle w:val="ListBullet"/>
        <w:tabs>
          <w:tab w:val="clear" w:pos="360"/>
          <w:tab w:val="num" w:pos="717"/>
        </w:tabs>
        <w:ind w:left="717"/>
        <w:rPr>
          <w:lang w:val="en-GB"/>
        </w:rPr>
      </w:pPr>
      <w:r w:rsidRPr="000F4C2F">
        <w:rPr>
          <w:lang w:val="en-GB"/>
        </w:rPr>
        <w:t>local governments</w:t>
      </w:r>
    </w:p>
    <w:p w14:paraId="4039B916" w14:textId="77777777" w:rsidR="000F4C2F" w:rsidRPr="000F4C2F" w:rsidRDefault="000F4C2F" w:rsidP="00FC4659">
      <w:pPr>
        <w:pStyle w:val="ListBullet"/>
        <w:tabs>
          <w:tab w:val="clear" w:pos="360"/>
          <w:tab w:val="num" w:pos="717"/>
        </w:tabs>
        <w:spacing w:after="240"/>
        <w:ind w:left="714" w:hanging="357"/>
        <w:rPr>
          <w:lang w:val="en-GB"/>
        </w:rPr>
      </w:pPr>
      <w:r w:rsidRPr="000F4C2F">
        <w:rPr>
          <w:lang w:val="en-GB"/>
        </w:rPr>
        <w:t>incorporated associations.</w:t>
      </w:r>
    </w:p>
    <w:p w14:paraId="017E63D4" w14:textId="77777777" w:rsidR="000F4C2F" w:rsidRPr="000F4C2F" w:rsidRDefault="000F4C2F" w:rsidP="00FC4659">
      <w:pPr>
        <w:pStyle w:val="ListNumber"/>
        <w:rPr>
          <w:lang w:val="en-GB"/>
        </w:rPr>
      </w:pPr>
      <w:r w:rsidRPr="000F4C2F">
        <w:rPr>
          <w:lang w:val="en-GB"/>
        </w:rPr>
        <w:t xml:space="preserve">Conduct the proposed activities in Victoria. </w:t>
      </w:r>
    </w:p>
    <w:p w14:paraId="68C85F88" w14:textId="77777777" w:rsidR="000F4C2F" w:rsidRPr="000F4C2F" w:rsidRDefault="000F4C2F" w:rsidP="00FC4659">
      <w:pPr>
        <w:pStyle w:val="ListNumber"/>
        <w:rPr>
          <w:lang w:val="en-GB"/>
        </w:rPr>
      </w:pPr>
      <w:r w:rsidRPr="000F4C2F">
        <w:rPr>
          <w:lang w:val="en-GB"/>
        </w:rPr>
        <w:t>Meet all industrial relations obligations as an employer in accordance with the National Employment Standards.</w:t>
      </w:r>
    </w:p>
    <w:p w14:paraId="6A05C1FE" w14:textId="70899375" w:rsidR="000F4C2F" w:rsidRPr="000F4C2F" w:rsidRDefault="000F4C2F" w:rsidP="00FC4659">
      <w:pPr>
        <w:pStyle w:val="ListNumber"/>
        <w:rPr>
          <w:lang w:val="en-GB"/>
        </w:rPr>
      </w:pPr>
      <w:r w:rsidRPr="000F4C2F">
        <w:rPr>
          <w:lang w:val="en-GB"/>
        </w:rPr>
        <w:t>Agree to participate in future program evaluation activity</w:t>
      </w:r>
      <w:r w:rsidR="00E51D86">
        <w:rPr>
          <w:lang w:val="en-GB"/>
        </w:rPr>
        <w:t xml:space="preserve"> and public communication on the project</w:t>
      </w:r>
      <w:r w:rsidRPr="000F4C2F">
        <w:rPr>
          <w:lang w:val="en-GB"/>
        </w:rPr>
        <w:t>.</w:t>
      </w:r>
    </w:p>
    <w:p w14:paraId="79F00D8E" w14:textId="77777777" w:rsidR="000F4C2F" w:rsidRPr="000F4C2F" w:rsidRDefault="000F4C2F" w:rsidP="00FC4659">
      <w:pPr>
        <w:pStyle w:val="Heading3"/>
      </w:pPr>
      <w:bookmarkStart w:id="12" w:name="_Toc158894177"/>
      <w:r w:rsidRPr="000F4C2F">
        <w:t>Ineligible applicants</w:t>
      </w:r>
      <w:bookmarkEnd w:id="12"/>
    </w:p>
    <w:p w14:paraId="0944EA17" w14:textId="77777777" w:rsidR="000F4C2F" w:rsidRPr="000F4C2F" w:rsidRDefault="000F4C2F" w:rsidP="000F4C2F">
      <w:pPr>
        <w:pStyle w:val="BodyText"/>
        <w:rPr>
          <w:lang w:val="en-GB"/>
        </w:rPr>
      </w:pPr>
      <w:r w:rsidRPr="000F4C2F">
        <w:rPr>
          <w:lang w:val="en-GB"/>
        </w:rPr>
        <w:t>The following are not eligible to apply:</w:t>
      </w:r>
    </w:p>
    <w:p w14:paraId="33D51E3E" w14:textId="77777777" w:rsidR="000F4C2F" w:rsidRPr="000F4C2F" w:rsidRDefault="000F4C2F" w:rsidP="00FC4659">
      <w:pPr>
        <w:pStyle w:val="ListBullet"/>
        <w:rPr>
          <w:lang w:val="en-GB"/>
        </w:rPr>
      </w:pPr>
      <w:r w:rsidRPr="000F4C2F">
        <w:rPr>
          <w:lang w:val="en-GB"/>
        </w:rPr>
        <w:t>individuals/sole traders</w:t>
      </w:r>
    </w:p>
    <w:p w14:paraId="11F5F89C" w14:textId="77777777" w:rsidR="000F4C2F" w:rsidRPr="000F4C2F" w:rsidRDefault="000F4C2F" w:rsidP="00FC4659">
      <w:pPr>
        <w:pStyle w:val="ListBullet"/>
        <w:rPr>
          <w:lang w:val="en-GB"/>
        </w:rPr>
      </w:pPr>
      <w:r w:rsidRPr="000F4C2F">
        <w:rPr>
          <w:lang w:val="en-GB"/>
        </w:rPr>
        <w:t>trusts</w:t>
      </w:r>
    </w:p>
    <w:p w14:paraId="244F221C" w14:textId="77777777" w:rsidR="000F4C2F" w:rsidRPr="000F4C2F" w:rsidRDefault="000F4C2F" w:rsidP="00FC4659">
      <w:pPr>
        <w:pStyle w:val="ListBullet"/>
        <w:rPr>
          <w:lang w:val="en-GB"/>
        </w:rPr>
      </w:pPr>
      <w:r w:rsidRPr="000F4C2F">
        <w:rPr>
          <w:lang w:val="en-GB"/>
        </w:rPr>
        <w:t>partnerships</w:t>
      </w:r>
    </w:p>
    <w:p w14:paraId="0ADC50CF" w14:textId="77777777" w:rsidR="000F4C2F" w:rsidRPr="000F4C2F" w:rsidRDefault="000F4C2F" w:rsidP="00FC4659">
      <w:pPr>
        <w:pStyle w:val="Bullet1last"/>
        <w:rPr>
          <w:lang w:val="en-GB"/>
        </w:rPr>
      </w:pPr>
      <w:r w:rsidRPr="000F4C2F">
        <w:rPr>
          <w:lang w:val="en-GB"/>
        </w:rPr>
        <w:t>federal government entities</w:t>
      </w:r>
    </w:p>
    <w:p w14:paraId="4114D75C" w14:textId="77777777" w:rsidR="000F4C2F" w:rsidRPr="000F4C2F" w:rsidRDefault="000F4C2F" w:rsidP="00FC4659">
      <w:pPr>
        <w:pStyle w:val="Heading3"/>
      </w:pPr>
      <w:bookmarkStart w:id="13" w:name="_Toc158894178"/>
      <w:r w:rsidRPr="000F4C2F">
        <w:t>Ineligible expenditure</w:t>
      </w:r>
      <w:bookmarkEnd w:id="13"/>
    </w:p>
    <w:p w14:paraId="5796CD2C" w14:textId="77777777" w:rsidR="000F4C2F" w:rsidRPr="000F4C2F" w:rsidRDefault="000F4C2F" w:rsidP="000F4C2F">
      <w:pPr>
        <w:pStyle w:val="BodyText"/>
        <w:rPr>
          <w:lang w:val="en-GB"/>
        </w:rPr>
      </w:pPr>
      <w:r w:rsidRPr="000F4C2F">
        <w:rPr>
          <w:lang w:val="en-GB"/>
        </w:rPr>
        <w:t>Applications will not be considered for the following conditions:</w:t>
      </w:r>
    </w:p>
    <w:p w14:paraId="4F49E846" w14:textId="77777777" w:rsidR="000F4C2F" w:rsidRPr="000F4C2F" w:rsidRDefault="000F4C2F" w:rsidP="00FC4659">
      <w:pPr>
        <w:pStyle w:val="ListBullet"/>
        <w:rPr>
          <w:lang w:val="en-GB"/>
        </w:rPr>
      </w:pPr>
      <w:r w:rsidRPr="000F4C2F">
        <w:rPr>
          <w:lang w:val="en-GB"/>
        </w:rPr>
        <w:t>requests for retrospective funding</w:t>
      </w:r>
    </w:p>
    <w:p w14:paraId="6160B6B8" w14:textId="77777777" w:rsidR="000F4C2F" w:rsidRPr="000F4C2F" w:rsidRDefault="000F4C2F" w:rsidP="00FC4659">
      <w:pPr>
        <w:pStyle w:val="ListBullet"/>
        <w:rPr>
          <w:lang w:val="en-GB"/>
        </w:rPr>
      </w:pPr>
      <w:r w:rsidRPr="000F4C2F">
        <w:rPr>
          <w:lang w:val="en-GB"/>
        </w:rPr>
        <w:t>lobbying activities</w:t>
      </w:r>
    </w:p>
    <w:p w14:paraId="564EA342" w14:textId="77777777" w:rsidR="000F4C2F" w:rsidRPr="000F4C2F" w:rsidRDefault="000F4C2F" w:rsidP="00FC4659">
      <w:pPr>
        <w:pStyle w:val="ListBullet"/>
        <w:rPr>
          <w:lang w:val="en-GB"/>
        </w:rPr>
      </w:pPr>
      <w:r w:rsidRPr="000F4C2F">
        <w:rPr>
          <w:lang w:val="en-GB"/>
        </w:rPr>
        <w:lastRenderedPageBreak/>
        <w:t>funding an organisation’s core business activities</w:t>
      </w:r>
    </w:p>
    <w:p w14:paraId="21DA02D4" w14:textId="77777777" w:rsidR="000F4C2F" w:rsidRPr="000F4C2F" w:rsidRDefault="000F4C2F" w:rsidP="00FC4659">
      <w:pPr>
        <w:pStyle w:val="ListBullet"/>
        <w:rPr>
          <w:lang w:val="en-GB"/>
        </w:rPr>
      </w:pPr>
      <w:r w:rsidRPr="000F4C2F">
        <w:rPr>
          <w:lang w:val="en-GB"/>
        </w:rPr>
        <w:t xml:space="preserve">capital </w:t>
      </w:r>
      <w:proofErr w:type="gramStart"/>
      <w:r w:rsidRPr="000F4C2F">
        <w:rPr>
          <w:lang w:val="en-GB"/>
        </w:rPr>
        <w:t>expenditure</w:t>
      </w:r>
      <w:proofErr w:type="gramEnd"/>
    </w:p>
    <w:p w14:paraId="43AB4F6A" w14:textId="77777777" w:rsidR="000F4C2F" w:rsidRPr="000F4C2F" w:rsidRDefault="000F4C2F" w:rsidP="00FC4659">
      <w:pPr>
        <w:pStyle w:val="Bullet1last"/>
        <w:rPr>
          <w:lang w:val="en-GB"/>
        </w:rPr>
      </w:pPr>
      <w:r w:rsidRPr="000F4C2F">
        <w:rPr>
          <w:lang w:val="en-GB"/>
        </w:rPr>
        <w:t xml:space="preserve">costs for activities which do not directly align with achievement of the outcomes stipulated by each </w:t>
      </w:r>
      <w:proofErr w:type="gramStart"/>
      <w:r w:rsidRPr="000F4C2F">
        <w:rPr>
          <w:lang w:val="en-GB"/>
        </w:rPr>
        <w:t>fund</w:t>
      </w:r>
      <w:proofErr w:type="gramEnd"/>
    </w:p>
    <w:p w14:paraId="1E126B87" w14:textId="77777777" w:rsidR="000F4C2F" w:rsidRPr="000F4C2F" w:rsidRDefault="000F4C2F" w:rsidP="00FC4659">
      <w:pPr>
        <w:pStyle w:val="Heading3"/>
      </w:pPr>
      <w:bookmarkStart w:id="14" w:name="_Toc158894179"/>
      <w:r w:rsidRPr="000F4C2F">
        <w:t>Co-funding contributions</w:t>
      </w:r>
      <w:bookmarkEnd w:id="14"/>
    </w:p>
    <w:p w14:paraId="43B3E199" w14:textId="77777777" w:rsidR="000F4C2F" w:rsidRPr="000F4C2F" w:rsidRDefault="000F4C2F" w:rsidP="000F4C2F">
      <w:pPr>
        <w:pStyle w:val="BodyText"/>
        <w:rPr>
          <w:lang w:val="en-GB"/>
        </w:rPr>
      </w:pPr>
      <w:r w:rsidRPr="000F4C2F">
        <w:rPr>
          <w:lang w:val="en-GB"/>
        </w:rPr>
        <w:t>There is no requirement for matched funds from applicants. However, the assessment of a project or program application needs to include budget and collaboration considerations. This identifies financial and other in</w:t>
      </w:r>
      <w:r w:rsidRPr="000F4C2F">
        <w:rPr>
          <w:rFonts w:ascii="Cambria Math" w:hAnsi="Cambria Math" w:cs="Cambria Math"/>
          <w:lang w:val="en-GB"/>
        </w:rPr>
        <w:t>‑</w:t>
      </w:r>
      <w:r w:rsidRPr="000F4C2F">
        <w:rPr>
          <w:lang w:val="en-GB"/>
        </w:rPr>
        <w:t>kind support.</w:t>
      </w:r>
    </w:p>
    <w:p w14:paraId="66E29654" w14:textId="77777777" w:rsidR="000F4C2F" w:rsidRPr="000F4C2F" w:rsidRDefault="000F4C2F" w:rsidP="000F4C2F">
      <w:pPr>
        <w:pStyle w:val="BodyText"/>
        <w:rPr>
          <w:lang w:val="en-GB"/>
        </w:rPr>
      </w:pPr>
      <w:r w:rsidRPr="000F4C2F">
        <w:rPr>
          <w:lang w:val="en-GB"/>
        </w:rPr>
        <w:t>Funding from external organisations must be confirmed by way of a formal letter at the time of the application.</w:t>
      </w:r>
    </w:p>
    <w:p w14:paraId="1DADF600" w14:textId="527C18AF" w:rsidR="000F4C2F" w:rsidRPr="000F4C2F" w:rsidRDefault="000F4C2F" w:rsidP="000F4C2F">
      <w:pPr>
        <w:pStyle w:val="BodyText"/>
        <w:rPr>
          <w:lang w:val="en-GB"/>
        </w:rPr>
      </w:pPr>
      <w:r w:rsidRPr="000F4C2F">
        <w:rPr>
          <w:lang w:val="en-GB"/>
        </w:rPr>
        <w:t>Project proponents may apply for funding from more than one fund. However, a separate application must be lodged to each individual fund and will be assessed against that funds’ Statement of Strategic Intent.</w:t>
      </w:r>
    </w:p>
    <w:p w14:paraId="35C31D8A" w14:textId="77777777" w:rsidR="000F4C2F" w:rsidRPr="000F4C2F" w:rsidRDefault="000F4C2F" w:rsidP="000F4C2F">
      <w:pPr>
        <w:pStyle w:val="BodyText"/>
        <w:rPr>
          <w:lang w:val="en-GB"/>
        </w:rPr>
      </w:pPr>
      <w:r w:rsidRPr="000F4C2F">
        <w:rPr>
          <w:lang w:val="en-GB"/>
        </w:rPr>
        <w:t xml:space="preserve">There is no guarantee that an application will be successful in receiving funding. This includes applications seeking funding from more than one fund. Applicants must ensure that each project or program can be delivered </w:t>
      </w:r>
      <w:proofErr w:type="gramStart"/>
      <w:r w:rsidRPr="000F4C2F">
        <w:rPr>
          <w:lang w:val="en-GB"/>
        </w:rPr>
        <w:t>in its own right for</w:t>
      </w:r>
      <w:proofErr w:type="gramEnd"/>
      <w:r w:rsidRPr="000F4C2F">
        <w:rPr>
          <w:lang w:val="en-GB"/>
        </w:rPr>
        <w:t xml:space="preserve"> each of the applications.</w:t>
      </w:r>
    </w:p>
    <w:p w14:paraId="1951122C" w14:textId="77777777" w:rsidR="000F4C2F" w:rsidRPr="000F4C2F" w:rsidRDefault="000F4C2F" w:rsidP="005E2B4C">
      <w:pPr>
        <w:pStyle w:val="Heading3"/>
      </w:pPr>
      <w:bookmarkStart w:id="15" w:name="_Toc158894180"/>
      <w:r w:rsidRPr="000F4C2F">
        <w:t>GST</w:t>
      </w:r>
      <w:bookmarkEnd w:id="15"/>
    </w:p>
    <w:p w14:paraId="5632F00F" w14:textId="77777777" w:rsidR="000F4C2F" w:rsidRPr="000F4C2F" w:rsidRDefault="000F4C2F" w:rsidP="000F4C2F">
      <w:pPr>
        <w:pStyle w:val="BodyText"/>
        <w:rPr>
          <w:lang w:val="en-GB"/>
        </w:rPr>
      </w:pPr>
      <w:r w:rsidRPr="000F4C2F">
        <w:rPr>
          <w:lang w:val="en-GB"/>
        </w:rPr>
        <w:t>All project costs included in the application must be exclusive of GST. If your organisation is required to pay GST on the funding payment it receives, your tax invoices may include the additional GST component.</w:t>
      </w:r>
    </w:p>
    <w:p w14:paraId="7B3053A0" w14:textId="77777777" w:rsidR="000F4C2F" w:rsidRPr="000F4C2F" w:rsidRDefault="000F4C2F" w:rsidP="000A06C8">
      <w:pPr>
        <w:pStyle w:val="Heading3"/>
      </w:pPr>
      <w:bookmarkStart w:id="16" w:name="_Toc158894181"/>
      <w:r w:rsidRPr="000F4C2F">
        <w:t>Financial, probity and reputational checks</w:t>
      </w:r>
      <w:bookmarkEnd w:id="16"/>
    </w:p>
    <w:p w14:paraId="08051BB6" w14:textId="77777777" w:rsidR="000F4C2F" w:rsidRPr="000F4C2F" w:rsidRDefault="000F4C2F" w:rsidP="000F4C2F">
      <w:pPr>
        <w:pStyle w:val="BodyText"/>
        <w:rPr>
          <w:lang w:val="en-GB"/>
        </w:rPr>
      </w:pPr>
      <w:r w:rsidRPr="000F4C2F">
        <w:rPr>
          <w:lang w:val="en-GB"/>
        </w:rPr>
        <w:t>If the applicant is a company, the Department may undertake probity checks to identify if there are any actions, claims or disputes with any of the directors, whether any of the directors have been disqualified from acting as a director, or whether there are any adverse findings against the applicant.</w:t>
      </w:r>
    </w:p>
    <w:p w14:paraId="4704CEE3" w14:textId="77777777" w:rsidR="000F4C2F" w:rsidRPr="000F4C2F" w:rsidRDefault="000F4C2F" w:rsidP="000F4C2F">
      <w:pPr>
        <w:pStyle w:val="BodyText"/>
        <w:rPr>
          <w:lang w:val="en-GB"/>
        </w:rPr>
      </w:pPr>
      <w:r w:rsidRPr="000F4C2F">
        <w:rPr>
          <w:lang w:val="en-GB"/>
        </w:rPr>
        <w:t>Private sector and not-for-profit applicants requesting funding of over $50,001 may be required to provide financial information to enable a financial risk assessment to be completed:</w:t>
      </w:r>
    </w:p>
    <w:p w14:paraId="1E81B608" w14:textId="77777777" w:rsidR="000F4C2F" w:rsidRPr="000A06C8" w:rsidRDefault="000F4C2F" w:rsidP="007E2AFE">
      <w:pPr>
        <w:pStyle w:val="ListNumber"/>
        <w:numPr>
          <w:ilvl w:val="0"/>
          <w:numId w:val="23"/>
        </w:numPr>
        <w:tabs>
          <w:tab w:val="clear" w:pos="2345"/>
          <w:tab w:val="num" w:pos="360"/>
        </w:tabs>
        <w:ind w:left="360"/>
        <w:rPr>
          <w:lang w:val="en-GB"/>
        </w:rPr>
      </w:pPr>
      <w:r w:rsidRPr="000A06C8">
        <w:rPr>
          <w:lang w:val="en-GB"/>
        </w:rPr>
        <w:lastRenderedPageBreak/>
        <w:t>Audited financial reports for the last three financial years. This should be the ‘final accounts’ with Director’s Report and Declaration and should include:</w:t>
      </w:r>
    </w:p>
    <w:p w14:paraId="71310308" w14:textId="77777777" w:rsidR="000F4C2F" w:rsidRPr="000F4C2F" w:rsidRDefault="000F4C2F" w:rsidP="000A06C8">
      <w:pPr>
        <w:pStyle w:val="ListBullet"/>
        <w:tabs>
          <w:tab w:val="clear" w:pos="360"/>
          <w:tab w:val="num" w:pos="720"/>
        </w:tabs>
        <w:ind w:left="720"/>
        <w:rPr>
          <w:lang w:val="en-GB"/>
        </w:rPr>
      </w:pPr>
      <w:r w:rsidRPr="000F4C2F">
        <w:rPr>
          <w:lang w:val="en-GB"/>
        </w:rPr>
        <w:t>profit and loss statement</w:t>
      </w:r>
    </w:p>
    <w:p w14:paraId="004E379B" w14:textId="77777777" w:rsidR="000F4C2F" w:rsidRPr="000F4C2F" w:rsidRDefault="000F4C2F" w:rsidP="000A06C8">
      <w:pPr>
        <w:pStyle w:val="ListBullet"/>
        <w:tabs>
          <w:tab w:val="clear" w:pos="360"/>
          <w:tab w:val="num" w:pos="720"/>
        </w:tabs>
        <w:ind w:left="720"/>
        <w:rPr>
          <w:lang w:val="en-GB"/>
        </w:rPr>
      </w:pPr>
      <w:r w:rsidRPr="000F4C2F">
        <w:rPr>
          <w:lang w:val="en-GB"/>
        </w:rPr>
        <w:t>balance sheet</w:t>
      </w:r>
    </w:p>
    <w:p w14:paraId="53B7E5C9" w14:textId="77777777" w:rsidR="000F4C2F" w:rsidRPr="000F4C2F" w:rsidRDefault="000F4C2F" w:rsidP="000A06C8">
      <w:pPr>
        <w:pStyle w:val="ListBullet"/>
        <w:tabs>
          <w:tab w:val="clear" w:pos="360"/>
          <w:tab w:val="num" w:pos="720"/>
        </w:tabs>
        <w:ind w:left="720"/>
        <w:rPr>
          <w:lang w:val="en-GB"/>
        </w:rPr>
      </w:pPr>
      <w:r w:rsidRPr="000F4C2F">
        <w:rPr>
          <w:lang w:val="en-GB"/>
        </w:rPr>
        <w:t>cash flows</w:t>
      </w:r>
    </w:p>
    <w:p w14:paraId="50F73DDD" w14:textId="77777777" w:rsidR="000F4C2F" w:rsidRPr="000F4C2F" w:rsidRDefault="000F4C2F" w:rsidP="000A06C8">
      <w:pPr>
        <w:pStyle w:val="Bullet1last"/>
        <w:tabs>
          <w:tab w:val="clear" w:pos="360"/>
          <w:tab w:val="num" w:pos="717"/>
        </w:tabs>
        <w:ind w:left="714"/>
        <w:rPr>
          <w:lang w:val="en-GB"/>
        </w:rPr>
      </w:pPr>
      <w:r w:rsidRPr="000F4C2F">
        <w:rPr>
          <w:lang w:val="en-GB"/>
        </w:rPr>
        <w:t>notes to the accounts.</w:t>
      </w:r>
    </w:p>
    <w:p w14:paraId="380D3A73" w14:textId="77777777" w:rsidR="000F4C2F" w:rsidRPr="000F4C2F" w:rsidRDefault="000F4C2F" w:rsidP="000A06C8">
      <w:pPr>
        <w:pStyle w:val="ListNumber"/>
        <w:rPr>
          <w:lang w:val="en-GB"/>
        </w:rPr>
      </w:pPr>
      <w:r w:rsidRPr="000F4C2F">
        <w:rPr>
          <w:lang w:val="en-GB"/>
        </w:rPr>
        <w:t>If the latest financial report is more than six months old:</w:t>
      </w:r>
    </w:p>
    <w:p w14:paraId="6E882E95" w14:textId="77777777" w:rsidR="000F4C2F" w:rsidRPr="000F4C2F" w:rsidRDefault="000F4C2F" w:rsidP="000A06C8">
      <w:pPr>
        <w:pStyle w:val="ListBullet"/>
        <w:tabs>
          <w:tab w:val="clear" w:pos="360"/>
          <w:tab w:val="num" w:pos="717"/>
        </w:tabs>
        <w:ind w:left="717"/>
        <w:rPr>
          <w:lang w:val="en-GB"/>
        </w:rPr>
      </w:pPr>
      <w:r w:rsidRPr="000F4C2F">
        <w:rPr>
          <w:lang w:val="en-GB"/>
        </w:rPr>
        <w:t xml:space="preserve">up-to-date management or interim accounts for the current year including profit and loss statement and balance </w:t>
      </w:r>
      <w:proofErr w:type="gramStart"/>
      <w:r w:rsidRPr="000F4C2F">
        <w:rPr>
          <w:lang w:val="en-GB"/>
        </w:rPr>
        <w:t>sheet</w:t>
      </w:r>
      <w:proofErr w:type="gramEnd"/>
      <w:r w:rsidRPr="000F4C2F">
        <w:rPr>
          <w:lang w:val="en-GB"/>
        </w:rPr>
        <w:tab/>
      </w:r>
    </w:p>
    <w:p w14:paraId="796FFE0A" w14:textId="77777777" w:rsidR="000F4C2F" w:rsidRPr="000F4C2F" w:rsidRDefault="000F4C2F" w:rsidP="000A06C8">
      <w:pPr>
        <w:pStyle w:val="Bullet1last"/>
        <w:tabs>
          <w:tab w:val="clear" w:pos="360"/>
          <w:tab w:val="num" w:pos="717"/>
        </w:tabs>
        <w:ind w:left="714"/>
        <w:rPr>
          <w:lang w:val="en-GB"/>
        </w:rPr>
      </w:pPr>
      <w:r w:rsidRPr="000F4C2F">
        <w:rPr>
          <w:lang w:val="en-GB"/>
        </w:rPr>
        <w:t>in case of public listed corporations, half yearly financial report.</w:t>
      </w:r>
    </w:p>
    <w:p w14:paraId="5871C5D5" w14:textId="77777777" w:rsidR="000F4C2F" w:rsidRPr="000F4C2F" w:rsidRDefault="000F4C2F" w:rsidP="000F4C2F">
      <w:pPr>
        <w:pStyle w:val="BodyText"/>
        <w:rPr>
          <w:lang w:val="en-GB"/>
        </w:rPr>
      </w:pPr>
      <w:r w:rsidRPr="000F4C2F">
        <w:rPr>
          <w:lang w:val="en-GB"/>
        </w:rPr>
        <w:t>Any of these checks may be taken into consideration prior to awarding the grant.</w:t>
      </w:r>
    </w:p>
    <w:p w14:paraId="1FBF747E" w14:textId="77777777" w:rsidR="000F4C2F" w:rsidRPr="000F4C2F" w:rsidRDefault="000F4C2F" w:rsidP="000A06C8">
      <w:pPr>
        <w:pStyle w:val="Heading3"/>
      </w:pPr>
      <w:bookmarkStart w:id="17" w:name="_Toc158894182"/>
      <w:r w:rsidRPr="000F4C2F">
        <w:t>Submission requirements for previously funded projects</w:t>
      </w:r>
      <w:bookmarkEnd w:id="17"/>
    </w:p>
    <w:p w14:paraId="0EE4BFC5" w14:textId="7DCBCE08" w:rsidR="000F4C2F" w:rsidRPr="000F4C2F" w:rsidRDefault="000F4C2F" w:rsidP="000F4C2F">
      <w:pPr>
        <w:pStyle w:val="BodyText"/>
        <w:rPr>
          <w:lang w:val="en-GB"/>
        </w:rPr>
      </w:pPr>
      <w:r w:rsidRPr="000F4C2F">
        <w:rPr>
          <w:lang w:val="en-GB"/>
        </w:rPr>
        <w:t>If the application is a project proposal which has previously been funded, an independent evaluation of the project must be included in the application.</w:t>
      </w:r>
    </w:p>
    <w:p w14:paraId="54DC3C9C" w14:textId="5A925C82" w:rsidR="000F4C2F" w:rsidRPr="000F4C2F" w:rsidRDefault="000F4C2F" w:rsidP="000F4C2F">
      <w:pPr>
        <w:pStyle w:val="BodyText"/>
        <w:rPr>
          <w:lang w:val="en-GB"/>
        </w:rPr>
      </w:pPr>
      <w:r w:rsidRPr="000F4C2F">
        <w:rPr>
          <w:lang w:val="en-GB"/>
        </w:rPr>
        <w:t>This evaluation report will be included as part of the assessment of the application. The report must demonstrate that the previous investment has realised benefits back to the industry in accordance with the Act and the respective Statement of Strategic Intent (Refer to Appendix 1 – 4).</w:t>
      </w:r>
    </w:p>
    <w:p w14:paraId="08161D80" w14:textId="155D0D64" w:rsidR="008118D0" w:rsidRDefault="008118D0" w:rsidP="008118D0">
      <w:pPr>
        <w:pStyle w:val="Caption"/>
        <w:keepNext/>
      </w:pPr>
      <w:r>
        <w:t xml:space="preserve">Table </w:t>
      </w:r>
      <w:r>
        <w:fldChar w:fldCharType="begin"/>
      </w:r>
      <w:r>
        <w:instrText xml:space="preserve"> SEQ Table \* ARABIC </w:instrText>
      </w:r>
      <w:r>
        <w:fldChar w:fldCharType="separate"/>
      </w:r>
      <w:r w:rsidR="00283D59">
        <w:rPr>
          <w:noProof/>
        </w:rPr>
        <w:t>1</w:t>
      </w:r>
      <w:r>
        <w:rPr>
          <w:noProof/>
        </w:rPr>
        <w:fldChar w:fldCharType="end"/>
      </w:r>
      <w:r w:rsidRPr="001A3043">
        <w:t>: Timetable for 202</w:t>
      </w:r>
      <w:r w:rsidR="00A23518">
        <w:t>4</w:t>
      </w:r>
      <w:r w:rsidRPr="001A3043">
        <w:t xml:space="preserve"> Applications</w:t>
      </w:r>
    </w:p>
    <w:tbl>
      <w:tblPr>
        <w:tblStyle w:val="TableGrid"/>
        <w:tblW w:w="9634" w:type="dxa"/>
        <w:tblLayout w:type="fixed"/>
        <w:tblLook w:val="0020" w:firstRow="1" w:lastRow="0" w:firstColumn="0" w:lastColumn="0" w:noHBand="0" w:noVBand="0"/>
      </w:tblPr>
      <w:tblGrid>
        <w:gridCol w:w="4390"/>
        <w:gridCol w:w="5244"/>
      </w:tblGrid>
      <w:tr w:rsidR="000F4C2F" w:rsidRPr="000F4C2F" w14:paraId="6367321D" w14:textId="77777777" w:rsidTr="008118D0">
        <w:trPr>
          <w:trHeight w:val="283"/>
          <w:tblHeader/>
        </w:trPr>
        <w:tc>
          <w:tcPr>
            <w:tcW w:w="4390" w:type="dxa"/>
            <w:shd w:val="clear" w:color="auto" w:fill="F2F2F2" w:themeFill="background1" w:themeFillShade="F2"/>
          </w:tcPr>
          <w:p w14:paraId="200E1B7E" w14:textId="77777777" w:rsidR="000F4C2F" w:rsidRPr="008118D0" w:rsidRDefault="000F4C2F" w:rsidP="008118D0">
            <w:pPr>
              <w:pStyle w:val="BodyText"/>
              <w:spacing w:before="120" w:after="120" w:line="240" w:lineRule="auto"/>
              <w:rPr>
                <w:b/>
                <w:bCs/>
                <w:lang w:val="en-GB"/>
              </w:rPr>
            </w:pPr>
            <w:r w:rsidRPr="008118D0">
              <w:rPr>
                <w:b/>
                <w:bCs/>
                <w:lang w:val="en-GB"/>
              </w:rPr>
              <w:t>Stage</w:t>
            </w:r>
          </w:p>
        </w:tc>
        <w:tc>
          <w:tcPr>
            <w:tcW w:w="5244" w:type="dxa"/>
            <w:shd w:val="clear" w:color="auto" w:fill="F2F2F2" w:themeFill="background1" w:themeFillShade="F2"/>
          </w:tcPr>
          <w:p w14:paraId="58417D0D" w14:textId="77777777" w:rsidR="000F4C2F" w:rsidRPr="008118D0" w:rsidRDefault="000F4C2F" w:rsidP="008118D0">
            <w:pPr>
              <w:pStyle w:val="BodyText"/>
              <w:spacing w:before="120" w:after="120" w:line="240" w:lineRule="auto"/>
              <w:rPr>
                <w:b/>
                <w:bCs/>
                <w:lang w:val="en-GB"/>
              </w:rPr>
            </w:pPr>
            <w:r w:rsidRPr="008118D0">
              <w:rPr>
                <w:b/>
                <w:bCs/>
                <w:lang w:val="en-GB"/>
              </w:rPr>
              <w:t>Dates</w:t>
            </w:r>
          </w:p>
        </w:tc>
      </w:tr>
      <w:tr w:rsidR="000F4C2F" w:rsidRPr="000F4C2F" w14:paraId="37035E16" w14:textId="77777777" w:rsidTr="008118D0">
        <w:trPr>
          <w:trHeight w:val="283"/>
        </w:trPr>
        <w:tc>
          <w:tcPr>
            <w:tcW w:w="4390" w:type="dxa"/>
          </w:tcPr>
          <w:p w14:paraId="08FA6CF0" w14:textId="77777777" w:rsidR="000F4C2F" w:rsidRPr="000F4C2F" w:rsidRDefault="000F4C2F" w:rsidP="008118D0">
            <w:pPr>
              <w:pStyle w:val="BodyText"/>
              <w:spacing w:before="120" w:after="120" w:line="240" w:lineRule="auto"/>
              <w:rPr>
                <w:lang w:val="en-GB"/>
              </w:rPr>
            </w:pPr>
            <w:r w:rsidRPr="000F4C2F">
              <w:rPr>
                <w:lang w:val="en-GB"/>
              </w:rPr>
              <w:t>Applications close</w:t>
            </w:r>
          </w:p>
        </w:tc>
        <w:tc>
          <w:tcPr>
            <w:tcW w:w="5244" w:type="dxa"/>
          </w:tcPr>
          <w:p w14:paraId="0A31E3F8" w14:textId="77777777" w:rsidR="000F4C2F" w:rsidRPr="000F4C2F" w:rsidRDefault="000F4C2F" w:rsidP="008118D0">
            <w:pPr>
              <w:pStyle w:val="BodyText"/>
              <w:spacing w:before="120" w:after="120" w:line="240" w:lineRule="auto"/>
              <w:rPr>
                <w:lang w:val="en-GB"/>
              </w:rPr>
            </w:pPr>
            <w:r w:rsidRPr="000F4C2F">
              <w:rPr>
                <w:lang w:val="en-GB"/>
              </w:rPr>
              <w:t>15 April 2024</w:t>
            </w:r>
          </w:p>
        </w:tc>
      </w:tr>
      <w:tr w:rsidR="000F4C2F" w:rsidRPr="000F4C2F" w14:paraId="3281BC34" w14:textId="77777777" w:rsidTr="008118D0">
        <w:trPr>
          <w:trHeight w:val="283"/>
        </w:trPr>
        <w:tc>
          <w:tcPr>
            <w:tcW w:w="4390" w:type="dxa"/>
          </w:tcPr>
          <w:p w14:paraId="173D464A" w14:textId="77777777" w:rsidR="000F4C2F" w:rsidRPr="000F4C2F" w:rsidRDefault="000F4C2F" w:rsidP="008118D0">
            <w:pPr>
              <w:pStyle w:val="BodyText"/>
              <w:spacing w:before="120" w:after="120" w:line="240" w:lineRule="auto"/>
              <w:rPr>
                <w:lang w:val="en-GB"/>
              </w:rPr>
            </w:pPr>
            <w:r w:rsidRPr="000F4C2F">
              <w:rPr>
                <w:lang w:val="en-GB"/>
              </w:rPr>
              <w:t>Review of applications</w:t>
            </w:r>
          </w:p>
        </w:tc>
        <w:tc>
          <w:tcPr>
            <w:tcW w:w="5244" w:type="dxa"/>
          </w:tcPr>
          <w:p w14:paraId="24BE459F" w14:textId="77777777" w:rsidR="000F4C2F" w:rsidRPr="000F4C2F" w:rsidRDefault="000F4C2F" w:rsidP="008118D0">
            <w:pPr>
              <w:pStyle w:val="BodyText"/>
              <w:spacing w:before="120" w:after="120" w:line="240" w:lineRule="auto"/>
              <w:rPr>
                <w:lang w:val="en-GB"/>
              </w:rPr>
            </w:pPr>
            <w:r w:rsidRPr="000F4C2F">
              <w:rPr>
                <w:lang w:val="en-GB"/>
              </w:rPr>
              <w:t>April/May 2024</w:t>
            </w:r>
          </w:p>
        </w:tc>
      </w:tr>
      <w:tr w:rsidR="000F4C2F" w:rsidRPr="000F4C2F" w14:paraId="17023E1F" w14:textId="77777777" w:rsidTr="008118D0">
        <w:trPr>
          <w:trHeight w:val="283"/>
        </w:trPr>
        <w:tc>
          <w:tcPr>
            <w:tcW w:w="4390" w:type="dxa"/>
          </w:tcPr>
          <w:p w14:paraId="361DEFC2" w14:textId="61F8D55E" w:rsidR="000F4C2F" w:rsidRPr="000F4C2F" w:rsidRDefault="000F4C2F" w:rsidP="008118D0">
            <w:pPr>
              <w:pStyle w:val="BodyText"/>
              <w:spacing w:before="120" w:after="120" w:line="240" w:lineRule="auto"/>
              <w:rPr>
                <w:lang w:val="en-GB"/>
              </w:rPr>
            </w:pPr>
            <w:r w:rsidRPr="000F4C2F">
              <w:rPr>
                <w:lang w:val="en-GB"/>
              </w:rPr>
              <w:t>Applicants notified of outcome</w:t>
            </w:r>
          </w:p>
        </w:tc>
        <w:tc>
          <w:tcPr>
            <w:tcW w:w="5244" w:type="dxa"/>
          </w:tcPr>
          <w:p w14:paraId="3583A94A" w14:textId="77777777" w:rsidR="000F4C2F" w:rsidRPr="000F4C2F" w:rsidRDefault="000F4C2F" w:rsidP="008118D0">
            <w:pPr>
              <w:pStyle w:val="BodyText"/>
              <w:spacing w:before="120" w:after="120" w:line="240" w:lineRule="auto"/>
              <w:rPr>
                <w:lang w:val="en-GB"/>
              </w:rPr>
            </w:pPr>
            <w:r w:rsidRPr="000F4C2F">
              <w:rPr>
                <w:lang w:val="en-GB"/>
              </w:rPr>
              <w:t>June/July 2024</w:t>
            </w:r>
          </w:p>
        </w:tc>
      </w:tr>
      <w:tr w:rsidR="000F4C2F" w:rsidRPr="000F4C2F" w14:paraId="60C5C057" w14:textId="77777777" w:rsidTr="008118D0">
        <w:trPr>
          <w:trHeight w:val="283"/>
        </w:trPr>
        <w:tc>
          <w:tcPr>
            <w:tcW w:w="4390" w:type="dxa"/>
          </w:tcPr>
          <w:p w14:paraId="4C15F49E" w14:textId="77777777" w:rsidR="000F4C2F" w:rsidRPr="000F4C2F" w:rsidRDefault="000F4C2F" w:rsidP="008118D0">
            <w:pPr>
              <w:pStyle w:val="BodyText"/>
              <w:spacing w:before="120" w:after="120" w:line="240" w:lineRule="auto"/>
              <w:rPr>
                <w:lang w:val="en-GB"/>
              </w:rPr>
            </w:pPr>
            <w:r w:rsidRPr="000F4C2F">
              <w:rPr>
                <w:lang w:val="en-GB"/>
              </w:rPr>
              <w:t>Grant Agreements commence</w:t>
            </w:r>
          </w:p>
        </w:tc>
        <w:tc>
          <w:tcPr>
            <w:tcW w:w="5244" w:type="dxa"/>
          </w:tcPr>
          <w:p w14:paraId="01562493" w14:textId="77777777" w:rsidR="000F4C2F" w:rsidRPr="000F4C2F" w:rsidRDefault="000F4C2F" w:rsidP="008118D0">
            <w:pPr>
              <w:pStyle w:val="BodyText"/>
              <w:spacing w:before="120" w:after="120" w:line="240" w:lineRule="auto"/>
              <w:rPr>
                <w:lang w:val="en-GB"/>
              </w:rPr>
            </w:pPr>
            <w:r w:rsidRPr="000F4C2F">
              <w:rPr>
                <w:lang w:val="en-GB"/>
              </w:rPr>
              <w:t>Upon execution – expected from July 2024</w:t>
            </w:r>
          </w:p>
        </w:tc>
      </w:tr>
    </w:tbl>
    <w:p w14:paraId="0862E537" w14:textId="77777777" w:rsidR="000F4C2F" w:rsidRDefault="000F4C2F" w:rsidP="008118D0">
      <w:pPr>
        <w:pStyle w:val="BodyText"/>
        <w:spacing w:before="240"/>
        <w:rPr>
          <w:lang w:val="en-GB"/>
        </w:rPr>
      </w:pPr>
      <w:r w:rsidRPr="000F4C2F">
        <w:rPr>
          <w:lang w:val="en-GB"/>
        </w:rPr>
        <w:t>The approval process can take up to six months from applications closing to notification of the outcome. Please take the timing into account when making your application.</w:t>
      </w:r>
    </w:p>
    <w:p w14:paraId="73EE8AB6" w14:textId="46EB0194" w:rsidR="000F4C2F" w:rsidRPr="000F4C2F" w:rsidRDefault="000F4C2F" w:rsidP="008118D0">
      <w:pPr>
        <w:pStyle w:val="Heading2"/>
      </w:pPr>
      <w:bookmarkStart w:id="18" w:name="_Toc158894183"/>
      <w:r w:rsidRPr="000F4C2F">
        <w:lastRenderedPageBreak/>
        <w:t>5.</w:t>
      </w:r>
      <w:r w:rsidRPr="000F4C2F">
        <w:tab/>
      </w:r>
      <w:r w:rsidR="005A2D1B" w:rsidRPr="000F4C2F">
        <w:t>Application Assessment</w:t>
      </w:r>
      <w:bookmarkEnd w:id="18"/>
    </w:p>
    <w:p w14:paraId="25646F9D" w14:textId="173604D6" w:rsidR="000F4C2F" w:rsidRDefault="000F4C2F" w:rsidP="00515C9C">
      <w:pPr>
        <w:pStyle w:val="Heading3"/>
      </w:pPr>
      <w:bookmarkStart w:id="19" w:name="_Toc158894184"/>
      <w:r w:rsidRPr="000F4C2F">
        <w:t>Assessment Process</w:t>
      </w:r>
      <w:bookmarkEnd w:id="19"/>
    </w:p>
    <w:p w14:paraId="68A1E0D1" w14:textId="30E4F6A4" w:rsidR="00515C9C" w:rsidRDefault="00515C9C" w:rsidP="00515C9C">
      <w:pPr>
        <w:pStyle w:val="Caption"/>
        <w:keepNext/>
      </w:pPr>
      <w:r>
        <w:t xml:space="preserve">Figure </w:t>
      </w:r>
      <w:r>
        <w:fldChar w:fldCharType="begin"/>
      </w:r>
      <w:r>
        <w:instrText xml:space="preserve"> SEQ Figure \* ARABIC </w:instrText>
      </w:r>
      <w:r>
        <w:fldChar w:fldCharType="separate"/>
      </w:r>
      <w:r>
        <w:rPr>
          <w:noProof/>
        </w:rPr>
        <w:t>1</w:t>
      </w:r>
      <w:r>
        <w:rPr>
          <w:noProof/>
        </w:rPr>
        <w:fldChar w:fldCharType="end"/>
      </w:r>
      <w:r>
        <w:t xml:space="preserve">: </w:t>
      </w:r>
      <w:r w:rsidRPr="005C2F9F">
        <w:t>Assessment Process</w:t>
      </w:r>
    </w:p>
    <w:p w14:paraId="3144AFE7" w14:textId="7CAB40B7" w:rsidR="00515C9C" w:rsidRDefault="00515C9C" w:rsidP="000F4C2F">
      <w:pPr>
        <w:pStyle w:val="BodyText"/>
        <w:rPr>
          <w:lang w:val="en-GB"/>
        </w:rPr>
      </w:pPr>
      <w:r>
        <w:rPr>
          <w:noProof/>
          <w:lang w:val="en-GB"/>
        </w:rPr>
        <w:drawing>
          <wp:inline distT="0" distB="0" distL="0" distR="0" wp14:anchorId="50DE989A" wp14:editId="37AEAD6A">
            <wp:extent cx="6056177" cy="758716"/>
            <wp:effectExtent l="0" t="0" r="1905" b="3810"/>
            <wp:docPr id="1022270540" name="Graphic 1" descr="The five steps of the application assessment process: Plan, Launch, Assess and recommend, Implement and review,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270540" name="Graphic 1" descr="The five steps of the application assessment process: Plan, Launch, Assess and recommend, Implement and review, Evaluation."/>
                    <pic:cNvPicPr/>
                  </pic:nvPicPr>
                  <pic:blipFill>
                    <a:blip r:embed="rId11">
                      <a:extLst>
                        <a:ext uri="{96DAC541-7B7A-43D3-8B79-37D633B846F1}">
                          <asvg:svgBlip xmlns:asvg="http://schemas.microsoft.com/office/drawing/2016/SVG/main" r:embed="rId12"/>
                        </a:ext>
                      </a:extLst>
                    </a:blip>
                    <a:stretch>
                      <a:fillRect/>
                    </a:stretch>
                  </pic:blipFill>
                  <pic:spPr>
                    <a:xfrm>
                      <a:off x="0" y="0"/>
                      <a:ext cx="6140295" cy="769254"/>
                    </a:xfrm>
                    <a:prstGeom prst="rect">
                      <a:avLst/>
                    </a:prstGeom>
                  </pic:spPr>
                </pic:pic>
              </a:graphicData>
            </a:graphic>
          </wp:inline>
        </w:drawing>
      </w:r>
    </w:p>
    <w:p w14:paraId="12DE88B3" w14:textId="0EAC0EA8" w:rsidR="00515C9C" w:rsidRDefault="00515C9C" w:rsidP="000F4C2F">
      <w:pPr>
        <w:pStyle w:val="BodyText"/>
        <w:rPr>
          <w:lang w:val="en-GB"/>
        </w:rPr>
      </w:pPr>
      <w:r w:rsidRPr="00515C9C">
        <w:rPr>
          <w:lang w:val="en-GB"/>
        </w:rPr>
        <w:t>The five steps of the application assessment process</w:t>
      </w:r>
      <w:r>
        <w:rPr>
          <w:lang w:val="en-GB"/>
        </w:rPr>
        <w:t xml:space="preserve"> are</w:t>
      </w:r>
      <w:r w:rsidRPr="00515C9C">
        <w:rPr>
          <w:lang w:val="en-GB"/>
        </w:rPr>
        <w:t>:</w:t>
      </w:r>
    </w:p>
    <w:p w14:paraId="0925B8FC" w14:textId="77777777" w:rsidR="00515C9C" w:rsidRPr="00515C9C" w:rsidRDefault="00515C9C" w:rsidP="007E2AFE">
      <w:pPr>
        <w:pStyle w:val="ListNumber"/>
        <w:numPr>
          <w:ilvl w:val="0"/>
          <w:numId w:val="24"/>
        </w:numPr>
        <w:tabs>
          <w:tab w:val="clear" w:pos="2345"/>
          <w:tab w:val="num" w:pos="360"/>
        </w:tabs>
        <w:ind w:left="360"/>
        <w:rPr>
          <w:lang w:val="en-GB"/>
        </w:rPr>
      </w:pPr>
      <w:r w:rsidRPr="00515C9C">
        <w:rPr>
          <w:lang w:val="en-GB"/>
        </w:rPr>
        <w:t>Plan</w:t>
      </w:r>
    </w:p>
    <w:p w14:paraId="623E8FDE" w14:textId="77777777" w:rsidR="00515C9C" w:rsidRDefault="00515C9C" w:rsidP="00515C9C">
      <w:pPr>
        <w:pStyle w:val="ListNumber"/>
        <w:rPr>
          <w:lang w:val="en-GB"/>
        </w:rPr>
      </w:pPr>
      <w:r w:rsidRPr="00515C9C">
        <w:rPr>
          <w:lang w:val="en-GB"/>
        </w:rPr>
        <w:t>Launch</w:t>
      </w:r>
    </w:p>
    <w:p w14:paraId="5FE52264" w14:textId="77777777" w:rsidR="00515C9C" w:rsidRDefault="00515C9C" w:rsidP="00515C9C">
      <w:pPr>
        <w:pStyle w:val="ListNumber"/>
        <w:rPr>
          <w:lang w:val="en-GB"/>
        </w:rPr>
      </w:pPr>
      <w:r w:rsidRPr="00515C9C">
        <w:rPr>
          <w:lang w:val="en-GB"/>
        </w:rPr>
        <w:t xml:space="preserve">Assess and </w:t>
      </w:r>
      <w:proofErr w:type="gramStart"/>
      <w:r w:rsidRPr="00515C9C">
        <w:rPr>
          <w:lang w:val="en-GB"/>
        </w:rPr>
        <w:t>recommend</w:t>
      </w:r>
      <w:proofErr w:type="gramEnd"/>
    </w:p>
    <w:p w14:paraId="50857F62" w14:textId="77777777" w:rsidR="00515C9C" w:rsidRDefault="00515C9C" w:rsidP="00515C9C">
      <w:pPr>
        <w:pStyle w:val="ListNumber"/>
        <w:rPr>
          <w:lang w:val="en-GB"/>
        </w:rPr>
      </w:pPr>
      <w:r w:rsidRPr="00515C9C">
        <w:rPr>
          <w:lang w:val="en-GB"/>
        </w:rPr>
        <w:t xml:space="preserve">Implement and </w:t>
      </w:r>
      <w:proofErr w:type="gramStart"/>
      <w:r w:rsidRPr="00515C9C">
        <w:rPr>
          <w:lang w:val="en-GB"/>
        </w:rPr>
        <w:t>review</w:t>
      </w:r>
      <w:proofErr w:type="gramEnd"/>
    </w:p>
    <w:p w14:paraId="756EB5BF" w14:textId="4950BD08" w:rsidR="00515C9C" w:rsidRDefault="00515C9C" w:rsidP="00515C9C">
      <w:pPr>
        <w:pStyle w:val="ListNumber"/>
        <w:rPr>
          <w:lang w:val="en-GB"/>
        </w:rPr>
      </w:pPr>
      <w:r w:rsidRPr="00515C9C">
        <w:rPr>
          <w:lang w:val="en-GB"/>
        </w:rPr>
        <w:t>Evaluation</w:t>
      </w:r>
    </w:p>
    <w:p w14:paraId="58A2C35F" w14:textId="433F7B6C" w:rsidR="000F4C2F" w:rsidRPr="000F4C2F" w:rsidRDefault="000F4C2F" w:rsidP="000F4C2F">
      <w:pPr>
        <w:pStyle w:val="BodyText"/>
        <w:rPr>
          <w:lang w:val="en-GB"/>
        </w:rPr>
      </w:pPr>
      <w:r w:rsidRPr="000F4C2F">
        <w:rPr>
          <w:lang w:val="en-GB"/>
        </w:rPr>
        <w:t>Applications are assessed on merit on a competitive basis through an independent process. Applicants that rank highest against both the assessment criteria and other applications may be offered funding. Applications will be assessed by an independent panel administered by the Department. An assessment and recommendation report will be prepared by the panel for review by the appropriate livestock compensation advisory committee.</w:t>
      </w:r>
    </w:p>
    <w:p w14:paraId="772E0A58" w14:textId="77777777" w:rsidR="000F4C2F" w:rsidRPr="000F4C2F" w:rsidRDefault="000F4C2F" w:rsidP="000F4C2F">
      <w:pPr>
        <w:pStyle w:val="BodyText"/>
        <w:rPr>
          <w:lang w:val="en-GB"/>
        </w:rPr>
      </w:pPr>
      <w:r w:rsidRPr="000F4C2F">
        <w:rPr>
          <w:lang w:val="en-GB"/>
        </w:rPr>
        <w:t>The advisory committee will consider the report prepared by the independent panel as part of its assessment process and then make recommendations to the Minister for Agriculture.</w:t>
      </w:r>
    </w:p>
    <w:p w14:paraId="3C4FD552" w14:textId="77777777" w:rsidR="000F4C2F" w:rsidRPr="000F4C2F" w:rsidRDefault="000F4C2F" w:rsidP="000F4C2F">
      <w:pPr>
        <w:pStyle w:val="BodyText"/>
        <w:rPr>
          <w:lang w:val="en-GB"/>
        </w:rPr>
      </w:pPr>
      <w:r w:rsidRPr="000F4C2F">
        <w:rPr>
          <w:lang w:val="en-GB"/>
        </w:rPr>
        <w:t>The Minister for Agriculture will consider the recommendations received from the advisory committees and determine whether to approve an application.</w:t>
      </w:r>
    </w:p>
    <w:p w14:paraId="5DB76E4C" w14:textId="77777777" w:rsidR="000F4C2F" w:rsidRPr="000F4C2F" w:rsidRDefault="000F4C2F" w:rsidP="008118D0">
      <w:pPr>
        <w:pStyle w:val="Heading3"/>
      </w:pPr>
      <w:bookmarkStart w:id="20" w:name="_Toc158894185"/>
      <w:r w:rsidRPr="000F4C2F">
        <w:t>Probity Advisor</w:t>
      </w:r>
      <w:bookmarkEnd w:id="20"/>
    </w:p>
    <w:p w14:paraId="610F4CB3" w14:textId="77777777" w:rsidR="000F4C2F" w:rsidRPr="000F4C2F" w:rsidRDefault="000F4C2F" w:rsidP="000F4C2F">
      <w:pPr>
        <w:pStyle w:val="BodyText"/>
        <w:rPr>
          <w:lang w:val="en-GB"/>
        </w:rPr>
      </w:pPr>
      <w:r w:rsidRPr="000F4C2F">
        <w:rPr>
          <w:lang w:val="en-GB"/>
        </w:rPr>
        <w:t>An external probity advisor is appointed to ensure a high standard of probity in the administration of the grants program. The probity advisor works as an independent expert and manages any potential conflicts of interest that may arise during the assessment process.</w:t>
      </w:r>
    </w:p>
    <w:p w14:paraId="22FE48DE" w14:textId="77777777" w:rsidR="000F4C2F" w:rsidRPr="000F4C2F" w:rsidRDefault="000F4C2F" w:rsidP="008118D0">
      <w:pPr>
        <w:pStyle w:val="Heading3"/>
      </w:pPr>
      <w:bookmarkStart w:id="21" w:name="_Toc158894186"/>
      <w:r w:rsidRPr="000F4C2F">
        <w:lastRenderedPageBreak/>
        <w:t>Assessment Criteria</w:t>
      </w:r>
      <w:bookmarkEnd w:id="21"/>
    </w:p>
    <w:p w14:paraId="103E3E53" w14:textId="77777777" w:rsidR="000F4C2F" w:rsidRPr="000F4C2F" w:rsidRDefault="000F4C2F" w:rsidP="000F4C2F">
      <w:pPr>
        <w:pStyle w:val="BodyText"/>
        <w:rPr>
          <w:lang w:val="en-GB"/>
        </w:rPr>
      </w:pPr>
      <w:r w:rsidRPr="000F4C2F">
        <w:rPr>
          <w:lang w:val="en-GB"/>
        </w:rPr>
        <w:t>Applications are assessed using the following:</w:t>
      </w:r>
    </w:p>
    <w:p w14:paraId="3EE9A92E" w14:textId="77777777" w:rsidR="000F4C2F" w:rsidRPr="000F4C2F" w:rsidRDefault="000F4C2F" w:rsidP="00A2445D">
      <w:pPr>
        <w:pStyle w:val="ListBullet"/>
        <w:rPr>
          <w:lang w:val="en-GB"/>
        </w:rPr>
      </w:pPr>
      <w:r w:rsidRPr="000F4C2F">
        <w:rPr>
          <w:lang w:val="en-GB"/>
        </w:rPr>
        <w:t xml:space="preserve">information provided against the assessment criteria in the application </w:t>
      </w:r>
      <w:proofErr w:type="gramStart"/>
      <w:r w:rsidRPr="000F4C2F">
        <w:rPr>
          <w:lang w:val="en-GB"/>
        </w:rPr>
        <w:t>form</w:t>
      </w:r>
      <w:proofErr w:type="gramEnd"/>
    </w:p>
    <w:p w14:paraId="250C17F0" w14:textId="77777777" w:rsidR="000F4C2F" w:rsidRPr="000F4C2F" w:rsidRDefault="000F4C2F" w:rsidP="00A2445D">
      <w:pPr>
        <w:pStyle w:val="ListBullet"/>
        <w:rPr>
          <w:lang w:val="en-GB"/>
        </w:rPr>
      </w:pPr>
      <w:r w:rsidRPr="000F4C2F">
        <w:rPr>
          <w:lang w:val="en-GB"/>
        </w:rPr>
        <w:t>any supporting attachments</w:t>
      </w:r>
    </w:p>
    <w:p w14:paraId="5BFF1DF0" w14:textId="77777777" w:rsidR="000F4C2F" w:rsidRPr="000F4C2F" w:rsidRDefault="000F4C2F" w:rsidP="00A2445D">
      <w:pPr>
        <w:pStyle w:val="Bullet1last"/>
        <w:rPr>
          <w:lang w:val="en-GB"/>
        </w:rPr>
      </w:pPr>
      <w:r w:rsidRPr="000F4C2F">
        <w:rPr>
          <w:lang w:val="en-GB"/>
        </w:rPr>
        <w:t>letters of support from collaborators.</w:t>
      </w:r>
    </w:p>
    <w:p w14:paraId="652C7287" w14:textId="79BAFF58" w:rsidR="000F4C2F" w:rsidRPr="000F4C2F" w:rsidRDefault="000F4C2F" w:rsidP="000F4C2F">
      <w:pPr>
        <w:pStyle w:val="BodyText"/>
        <w:rPr>
          <w:lang w:val="en-GB"/>
        </w:rPr>
      </w:pPr>
      <w:r w:rsidRPr="000F4C2F">
        <w:rPr>
          <w:lang w:val="en-GB"/>
        </w:rPr>
        <w:t>Applicants must address the following four assessment criteria categories.</w:t>
      </w:r>
    </w:p>
    <w:p w14:paraId="753285EC" w14:textId="77777777" w:rsidR="000F4C2F" w:rsidRDefault="000F4C2F" w:rsidP="000F4C2F">
      <w:pPr>
        <w:pStyle w:val="BodyText"/>
        <w:rPr>
          <w:lang w:val="en-GB"/>
        </w:rPr>
      </w:pPr>
      <w:r w:rsidRPr="000F4C2F">
        <w:rPr>
          <w:lang w:val="en-GB"/>
        </w:rPr>
        <w:t>Please note that applicants must relate their responses back to the applicable program funding stream, where appropriate.</w:t>
      </w:r>
    </w:p>
    <w:p w14:paraId="07A91D57" w14:textId="21BD6E9E" w:rsidR="0089467E" w:rsidRDefault="0089467E" w:rsidP="0089467E">
      <w:pPr>
        <w:pStyle w:val="Caption"/>
        <w:keepNext/>
      </w:pPr>
      <w:r>
        <w:t xml:space="preserve">Table </w:t>
      </w:r>
      <w:r>
        <w:fldChar w:fldCharType="begin"/>
      </w:r>
      <w:r>
        <w:instrText xml:space="preserve"> SEQ Table \* ARABIC </w:instrText>
      </w:r>
      <w:r>
        <w:fldChar w:fldCharType="separate"/>
      </w:r>
      <w:r w:rsidR="00283D59">
        <w:rPr>
          <w:noProof/>
        </w:rPr>
        <w:t>2</w:t>
      </w:r>
      <w:r>
        <w:rPr>
          <w:noProof/>
        </w:rPr>
        <w:fldChar w:fldCharType="end"/>
      </w:r>
      <w:r>
        <w:t>: Assessment Criteria – A. Quality of project proposal</w:t>
      </w:r>
    </w:p>
    <w:tbl>
      <w:tblPr>
        <w:tblStyle w:val="TableGrid"/>
        <w:tblW w:w="0" w:type="auto"/>
        <w:tblLayout w:type="fixed"/>
        <w:tblCellMar>
          <w:top w:w="142" w:type="dxa"/>
          <w:left w:w="142" w:type="dxa"/>
        </w:tblCellMar>
        <w:tblLook w:val="0020" w:firstRow="1" w:lastRow="0" w:firstColumn="0" w:lastColumn="0" w:noHBand="0" w:noVBand="0"/>
      </w:tblPr>
      <w:tblGrid>
        <w:gridCol w:w="7366"/>
        <w:gridCol w:w="1843"/>
      </w:tblGrid>
      <w:tr w:rsidR="000F4C2F" w:rsidRPr="000F4C2F" w14:paraId="745BC516" w14:textId="77777777" w:rsidTr="000F4C2F">
        <w:trPr>
          <w:trHeight w:val="567"/>
          <w:tblHeader/>
        </w:trPr>
        <w:tc>
          <w:tcPr>
            <w:tcW w:w="7366" w:type="dxa"/>
            <w:shd w:val="clear" w:color="auto" w:fill="F2F2F2" w:themeFill="background1" w:themeFillShade="F2"/>
            <w:vAlign w:val="center"/>
          </w:tcPr>
          <w:p w14:paraId="79A7BFD3" w14:textId="77777777" w:rsidR="000F4C2F" w:rsidRPr="000F4C2F" w:rsidRDefault="000F4C2F" w:rsidP="000F4C2F">
            <w:pPr>
              <w:pStyle w:val="BodyText"/>
              <w:spacing w:after="120" w:line="240" w:lineRule="auto"/>
              <w:rPr>
                <w:b/>
                <w:bCs/>
                <w:lang w:val="en-GB"/>
              </w:rPr>
            </w:pPr>
            <w:r w:rsidRPr="000F4C2F">
              <w:rPr>
                <w:b/>
                <w:bCs/>
                <w:lang w:val="en-GB"/>
              </w:rPr>
              <w:t>Assessment Criteria</w:t>
            </w:r>
          </w:p>
        </w:tc>
        <w:tc>
          <w:tcPr>
            <w:tcW w:w="1843" w:type="dxa"/>
            <w:shd w:val="clear" w:color="auto" w:fill="F2F2F2" w:themeFill="background1" w:themeFillShade="F2"/>
            <w:vAlign w:val="center"/>
          </w:tcPr>
          <w:p w14:paraId="3376EC80" w14:textId="77777777" w:rsidR="000F4C2F" w:rsidRPr="000F4C2F" w:rsidRDefault="000F4C2F" w:rsidP="0089467E">
            <w:pPr>
              <w:pStyle w:val="BodyText"/>
              <w:spacing w:after="120" w:line="240" w:lineRule="auto"/>
              <w:jc w:val="center"/>
              <w:rPr>
                <w:b/>
                <w:bCs/>
                <w:lang w:val="en-GB"/>
              </w:rPr>
            </w:pPr>
            <w:r w:rsidRPr="000F4C2F">
              <w:rPr>
                <w:b/>
                <w:bCs/>
                <w:lang w:val="en-GB"/>
              </w:rPr>
              <w:t>Weighting</w:t>
            </w:r>
          </w:p>
        </w:tc>
      </w:tr>
      <w:tr w:rsidR="000F4C2F" w:rsidRPr="000F4C2F" w14:paraId="358EDAF9" w14:textId="77777777" w:rsidTr="000F4C2F">
        <w:trPr>
          <w:trHeight w:val="60"/>
        </w:trPr>
        <w:tc>
          <w:tcPr>
            <w:tcW w:w="7366" w:type="dxa"/>
          </w:tcPr>
          <w:p w14:paraId="7FA4CDFB" w14:textId="7F489B0B" w:rsidR="000F4C2F" w:rsidRPr="000F4C2F" w:rsidRDefault="000F4C2F" w:rsidP="0089467E">
            <w:pPr>
              <w:pStyle w:val="HeadingFOUR"/>
            </w:pPr>
            <w:r w:rsidRPr="000F4C2F">
              <w:t>A.</w:t>
            </w:r>
            <w:r w:rsidR="0089467E" w:rsidRPr="000F4C2F">
              <w:t xml:space="preserve"> </w:t>
            </w:r>
            <w:r w:rsidRPr="000F4C2F">
              <w:t>Quality of project proposal</w:t>
            </w:r>
          </w:p>
          <w:p w14:paraId="707F1316" w14:textId="77777777" w:rsidR="000F4C2F" w:rsidRPr="0089467E" w:rsidRDefault="000F4C2F" w:rsidP="000F4C2F">
            <w:pPr>
              <w:pStyle w:val="BodyText"/>
              <w:rPr>
                <w:b/>
                <w:bCs/>
                <w:lang w:val="en-GB"/>
              </w:rPr>
            </w:pPr>
            <w:r w:rsidRPr="0089467E">
              <w:rPr>
                <w:b/>
                <w:bCs/>
                <w:lang w:val="en-GB"/>
              </w:rPr>
              <w:t>Assessed on:</w:t>
            </w:r>
          </w:p>
          <w:p w14:paraId="560C2B67" w14:textId="77777777" w:rsidR="000F4C2F" w:rsidRPr="000F4C2F" w:rsidRDefault="000F4C2F" w:rsidP="0089467E">
            <w:pPr>
              <w:pStyle w:val="ListBullet"/>
              <w:rPr>
                <w:lang w:val="en-GB"/>
              </w:rPr>
            </w:pPr>
            <w:r w:rsidRPr="000F4C2F">
              <w:rPr>
                <w:lang w:val="en-GB"/>
              </w:rPr>
              <w:t>How well designed the proposed project is to deliver its activities and for project impacts to reach the appropriate industry beneficiaries, this includes value for money considerations.</w:t>
            </w:r>
          </w:p>
          <w:p w14:paraId="2BE9E45D" w14:textId="77777777" w:rsidR="000F4C2F" w:rsidRPr="000F4C2F" w:rsidRDefault="000F4C2F" w:rsidP="0089467E">
            <w:pPr>
              <w:pStyle w:val="Bullet1last"/>
              <w:rPr>
                <w:lang w:val="en-GB"/>
              </w:rPr>
            </w:pPr>
            <w:r w:rsidRPr="000F4C2F">
              <w:rPr>
                <w:lang w:val="en-GB"/>
              </w:rPr>
              <w:t>How suitable and innovative the project is for solving the problem/s it addresses.</w:t>
            </w:r>
          </w:p>
          <w:p w14:paraId="46EA8460" w14:textId="77777777" w:rsidR="000F4C2F" w:rsidRPr="0089467E" w:rsidRDefault="000F4C2F" w:rsidP="000F4C2F">
            <w:pPr>
              <w:pStyle w:val="BodyText"/>
              <w:rPr>
                <w:b/>
                <w:bCs/>
                <w:lang w:val="en-GB"/>
              </w:rPr>
            </w:pPr>
            <w:r w:rsidRPr="0089467E">
              <w:rPr>
                <w:b/>
                <w:bCs/>
                <w:lang w:val="en-GB"/>
              </w:rPr>
              <w:t>Relevant application responses must include:</w:t>
            </w:r>
          </w:p>
          <w:p w14:paraId="2DE52062" w14:textId="77777777" w:rsidR="000F4C2F" w:rsidRPr="000F4C2F" w:rsidRDefault="000F4C2F" w:rsidP="0089467E">
            <w:pPr>
              <w:pStyle w:val="ListBullet"/>
              <w:rPr>
                <w:lang w:val="en-GB"/>
              </w:rPr>
            </w:pPr>
            <w:r w:rsidRPr="000F4C2F">
              <w:rPr>
                <w:lang w:val="en-GB"/>
              </w:rPr>
              <w:t>Solution and proposed methodology and any evidence that this solution is best or likely to work.</w:t>
            </w:r>
          </w:p>
          <w:p w14:paraId="4A180A58" w14:textId="77777777" w:rsidR="000F4C2F" w:rsidRPr="000F4C2F" w:rsidRDefault="000F4C2F" w:rsidP="0089467E">
            <w:pPr>
              <w:pStyle w:val="ListBullet"/>
              <w:rPr>
                <w:lang w:val="en-GB"/>
              </w:rPr>
            </w:pPr>
            <w:r w:rsidRPr="000F4C2F">
              <w:rPr>
                <w:lang w:val="en-GB"/>
              </w:rPr>
              <w:t>How risk is effectively managed.</w:t>
            </w:r>
          </w:p>
        </w:tc>
        <w:tc>
          <w:tcPr>
            <w:tcW w:w="1843" w:type="dxa"/>
          </w:tcPr>
          <w:p w14:paraId="1751BB65" w14:textId="77777777" w:rsidR="000F4C2F" w:rsidRPr="0089467E" w:rsidRDefault="000F4C2F" w:rsidP="0089467E">
            <w:pPr>
              <w:pStyle w:val="BodyText"/>
              <w:jc w:val="center"/>
              <w:rPr>
                <w:sz w:val="40"/>
                <w:szCs w:val="40"/>
                <w:lang w:val="en-GB"/>
              </w:rPr>
            </w:pPr>
            <w:r w:rsidRPr="0089467E">
              <w:rPr>
                <w:sz w:val="40"/>
                <w:szCs w:val="40"/>
                <w:lang w:val="en-GB"/>
              </w:rPr>
              <w:t>30%</w:t>
            </w:r>
          </w:p>
        </w:tc>
      </w:tr>
    </w:tbl>
    <w:p w14:paraId="349238FF" w14:textId="77777777" w:rsidR="00423210" w:rsidRDefault="00423210">
      <w:pPr>
        <w:suppressAutoHyphens w:val="0"/>
        <w:spacing w:after="160"/>
        <w:rPr>
          <w:b/>
          <w:iCs/>
          <w:color w:val="000000" w:themeColor="text1"/>
          <w:szCs w:val="18"/>
        </w:rPr>
      </w:pPr>
      <w:r>
        <w:br w:type="page"/>
      </w:r>
    </w:p>
    <w:p w14:paraId="746B3C9E" w14:textId="5C794D2A" w:rsidR="0089467E" w:rsidRDefault="0089467E" w:rsidP="0089467E">
      <w:pPr>
        <w:pStyle w:val="Caption"/>
        <w:keepNext/>
      </w:pPr>
      <w:r>
        <w:lastRenderedPageBreak/>
        <w:t xml:space="preserve">Table </w:t>
      </w:r>
      <w:r>
        <w:fldChar w:fldCharType="begin"/>
      </w:r>
      <w:r>
        <w:instrText xml:space="preserve"> SEQ Table \* ARABIC </w:instrText>
      </w:r>
      <w:r>
        <w:fldChar w:fldCharType="separate"/>
      </w:r>
      <w:r w:rsidR="00283D59">
        <w:rPr>
          <w:noProof/>
        </w:rPr>
        <w:t>3</w:t>
      </w:r>
      <w:r>
        <w:rPr>
          <w:noProof/>
        </w:rPr>
        <w:fldChar w:fldCharType="end"/>
      </w:r>
      <w:r>
        <w:t xml:space="preserve">: </w:t>
      </w:r>
      <w:r w:rsidRPr="00A26FCF">
        <w:t xml:space="preserve">Assessment Criteria – </w:t>
      </w:r>
      <w:r>
        <w:t>B. Project Impact</w:t>
      </w:r>
    </w:p>
    <w:tbl>
      <w:tblPr>
        <w:tblStyle w:val="TableGrid"/>
        <w:tblW w:w="0" w:type="auto"/>
        <w:tblLayout w:type="fixed"/>
        <w:tblCellMar>
          <w:top w:w="142" w:type="dxa"/>
          <w:left w:w="142" w:type="dxa"/>
        </w:tblCellMar>
        <w:tblLook w:val="0020" w:firstRow="1" w:lastRow="0" w:firstColumn="0" w:lastColumn="0" w:noHBand="0" w:noVBand="0"/>
      </w:tblPr>
      <w:tblGrid>
        <w:gridCol w:w="7366"/>
        <w:gridCol w:w="1843"/>
      </w:tblGrid>
      <w:tr w:rsidR="0089467E" w:rsidRPr="000F4C2F" w14:paraId="06EC6CBB" w14:textId="77777777" w:rsidTr="009C1A35">
        <w:trPr>
          <w:trHeight w:val="567"/>
          <w:tblHeader/>
        </w:trPr>
        <w:tc>
          <w:tcPr>
            <w:tcW w:w="7366" w:type="dxa"/>
            <w:shd w:val="clear" w:color="auto" w:fill="F2F2F2" w:themeFill="background1" w:themeFillShade="F2"/>
            <w:vAlign w:val="center"/>
          </w:tcPr>
          <w:p w14:paraId="32743E86" w14:textId="77777777" w:rsidR="0089467E" w:rsidRPr="000F4C2F" w:rsidRDefault="0089467E" w:rsidP="009C1A35">
            <w:pPr>
              <w:pStyle w:val="BodyText"/>
              <w:spacing w:after="120" w:line="240" w:lineRule="auto"/>
              <w:rPr>
                <w:b/>
                <w:bCs/>
                <w:lang w:val="en-GB"/>
              </w:rPr>
            </w:pPr>
            <w:r w:rsidRPr="000F4C2F">
              <w:rPr>
                <w:b/>
                <w:bCs/>
                <w:lang w:val="en-GB"/>
              </w:rPr>
              <w:t>Assessment Criteria</w:t>
            </w:r>
          </w:p>
        </w:tc>
        <w:tc>
          <w:tcPr>
            <w:tcW w:w="1843" w:type="dxa"/>
            <w:shd w:val="clear" w:color="auto" w:fill="F2F2F2" w:themeFill="background1" w:themeFillShade="F2"/>
            <w:vAlign w:val="center"/>
          </w:tcPr>
          <w:p w14:paraId="308F5CEB" w14:textId="77777777" w:rsidR="0089467E" w:rsidRPr="000F4C2F" w:rsidRDefault="0089467E" w:rsidP="009C1A35">
            <w:pPr>
              <w:pStyle w:val="BodyText"/>
              <w:spacing w:after="120" w:line="240" w:lineRule="auto"/>
              <w:jc w:val="center"/>
              <w:rPr>
                <w:b/>
                <w:bCs/>
                <w:lang w:val="en-GB"/>
              </w:rPr>
            </w:pPr>
            <w:r w:rsidRPr="000F4C2F">
              <w:rPr>
                <w:b/>
                <w:bCs/>
                <w:lang w:val="en-GB"/>
              </w:rPr>
              <w:t>Weighting</w:t>
            </w:r>
          </w:p>
        </w:tc>
      </w:tr>
      <w:tr w:rsidR="0089467E" w:rsidRPr="000F4C2F" w14:paraId="1C9ECC75" w14:textId="77777777" w:rsidTr="009C1A35">
        <w:trPr>
          <w:trHeight w:val="60"/>
        </w:trPr>
        <w:tc>
          <w:tcPr>
            <w:tcW w:w="7366" w:type="dxa"/>
          </w:tcPr>
          <w:p w14:paraId="706C6AA2" w14:textId="77777777" w:rsidR="0089467E" w:rsidRPr="000F4C2F" w:rsidRDefault="0089467E" w:rsidP="009C1A35">
            <w:pPr>
              <w:pStyle w:val="HeadingFOUR"/>
            </w:pPr>
            <w:r w:rsidRPr="000F4C2F">
              <w:t>B.</w:t>
            </w:r>
            <w:r>
              <w:t xml:space="preserve"> </w:t>
            </w:r>
            <w:r w:rsidRPr="000F4C2F">
              <w:t>Project Impact</w:t>
            </w:r>
          </w:p>
          <w:p w14:paraId="0A43AC6F" w14:textId="77777777" w:rsidR="0089467E" w:rsidRPr="0089467E" w:rsidRDefault="0089467E" w:rsidP="009C1A35">
            <w:pPr>
              <w:pStyle w:val="BodyText"/>
              <w:rPr>
                <w:b/>
                <w:bCs/>
                <w:lang w:val="en-GB"/>
              </w:rPr>
            </w:pPr>
            <w:r w:rsidRPr="0089467E">
              <w:rPr>
                <w:b/>
                <w:bCs/>
                <w:lang w:val="en-GB"/>
              </w:rPr>
              <w:t>Assessed on:</w:t>
            </w:r>
          </w:p>
          <w:p w14:paraId="613AE13C" w14:textId="77777777" w:rsidR="0089467E" w:rsidRPr="000F4C2F" w:rsidRDefault="0089467E" w:rsidP="009C1A35">
            <w:pPr>
              <w:pStyle w:val="ListBullet"/>
              <w:rPr>
                <w:lang w:val="en-GB"/>
              </w:rPr>
            </w:pPr>
            <w:r w:rsidRPr="000F4C2F">
              <w:rPr>
                <w:lang w:val="en-GB"/>
              </w:rPr>
              <w:t>How well the project outcomes align to the outcomes identified for the nominated livestock compensation fund (refer to Statement of Strategic Intent, Appendices 1 – 4).</w:t>
            </w:r>
          </w:p>
          <w:p w14:paraId="2ADF9C81" w14:textId="77777777" w:rsidR="0089467E" w:rsidRPr="000F4C2F" w:rsidRDefault="0089467E" w:rsidP="009C1A35">
            <w:pPr>
              <w:pStyle w:val="Bullet1last"/>
              <w:rPr>
                <w:lang w:val="en-GB"/>
              </w:rPr>
            </w:pPr>
            <w:r w:rsidRPr="000F4C2F">
              <w:rPr>
                <w:lang w:val="en-GB"/>
              </w:rPr>
              <w:t>How impactful the expected longer-term outcomes are for the nominated industry.</w:t>
            </w:r>
          </w:p>
          <w:p w14:paraId="5F83D54E" w14:textId="77777777" w:rsidR="0089467E" w:rsidRPr="0089467E" w:rsidRDefault="0089467E" w:rsidP="009C1A35">
            <w:pPr>
              <w:pStyle w:val="BodyText"/>
              <w:rPr>
                <w:b/>
                <w:bCs/>
                <w:lang w:val="en-GB"/>
              </w:rPr>
            </w:pPr>
            <w:r w:rsidRPr="0089467E">
              <w:rPr>
                <w:b/>
                <w:bCs/>
                <w:lang w:val="en-GB"/>
              </w:rPr>
              <w:t>Relevant application responses must include:</w:t>
            </w:r>
          </w:p>
          <w:p w14:paraId="5F9B065F" w14:textId="77777777" w:rsidR="0089467E" w:rsidRPr="000F4C2F" w:rsidRDefault="0089467E" w:rsidP="009C1A35">
            <w:pPr>
              <w:pStyle w:val="ListBullet"/>
              <w:rPr>
                <w:lang w:val="en-GB"/>
              </w:rPr>
            </w:pPr>
            <w:r w:rsidRPr="000F4C2F">
              <w:rPr>
                <w:lang w:val="en-GB"/>
              </w:rPr>
              <w:t xml:space="preserve">Identifying the quantifiable impacts or benefits to the </w:t>
            </w:r>
            <w:proofErr w:type="gramStart"/>
            <w:r w:rsidRPr="000F4C2F">
              <w:rPr>
                <w:lang w:val="en-GB"/>
              </w:rPr>
              <w:t>industry as a whole</w:t>
            </w:r>
            <w:proofErr w:type="gramEnd"/>
            <w:r w:rsidRPr="000F4C2F">
              <w:rPr>
                <w:lang w:val="en-GB"/>
              </w:rPr>
              <w:t>.</w:t>
            </w:r>
          </w:p>
          <w:p w14:paraId="59506013" w14:textId="77777777" w:rsidR="0089467E" w:rsidRPr="000F4C2F" w:rsidRDefault="0089467E" w:rsidP="009C1A35">
            <w:pPr>
              <w:pStyle w:val="ListBullet"/>
              <w:rPr>
                <w:lang w:val="en-GB"/>
              </w:rPr>
            </w:pPr>
            <w:r w:rsidRPr="000F4C2F">
              <w:rPr>
                <w:lang w:val="en-GB"/>
              </w:rPr>
              <w:t>How the project will be measured and evaluated.</w:t>
            </w:r>
          </w:p>
          <w:p w14:paraId="7B829283" w14:textId="77777777" w:rsidR="0089467E" w:rsidRPr="000F4C2F" w:rsidRDefault="0089467E" w:rsidP="009C1A35">
            <w:pPr>
              <w:pStyle w:val="ListBullet"/>
              <w:rPr>
                <w:lang w:val="en-GB"/>
              </w:rPr>
            </w:pPr>
            <w:r w:rsidRPr="000F4C2F">
              <w:rPr>
                <w:lang w:val="en-GB"/>
              </w:rPr>
              <w:t xml:space="preserve">How the project results contribute to agricultural adoption, </w:t>
            </w:r>
            <w:proofErr w:type="spellStart"/>
            <w:r w:rsidRPr="000F4C2F">
              <w:rPr>
                <w:lang w:val="en-GB"/>
              </w:rPr>
              <w:t>ie</w:t>
            </w:r>
            <w:proofErr w:type="spellEnd"/>
            <w:r w:rsidRPr="000F4C2F">
              <w:rPr>
                <w:lang w:val="en-GB"/>
              </w:rPr>
              <w:t xml:space="preserve"> the communication and delivery of the information, knowledge and/or technology outcomes of the project to industry stakeholders (including, where relevant, beyond the life of the grant).</w:t>
            </w:r>
          </w:p>
        </w:tc>
        <w:tc>
          <w:tcPr>
            <w:tcW w:w="1843" w:type="dxa"/>
          </w:tcPr>
          <w:p w14:paraId="5B3BB515" w14:textId="77777777" w:rsidR="0089467E" w:rsidRPr="000F4C2F" w:rsidRDefault="0089467E" w:rsidP="009C1A35">
            <w:pPr>
              <w:pStyle w:val="BodyText"/>
              <w:jc w:val="center"/>
              <w:rPr>
                <w:lang w:val="en-GB"/>
              </w:rPr>
            </w:pPr>
            <w:r w:rsidRPr="0089467E">
              <w:rPr>
                <w:sz w:val="40"/>
                <w:szCs w:val="40"/>
                <w:lang w:val="en-GB"/>
              </w:rPr>
              <w:t>30%</w:t>
            </w:r>
          </w:p>
        </w:tc>
      </w:tr>
    </w:tbl>
    <w:p w14:paraId="16EEFCF7" w14:textId="77777777" w:rsidR="00423210" w:rsidRDefault="00423210">
      <w:pPr>
        <w:suppressAutoHyphens w:val="0"/>
        <w:spacing w:after="160"/>
        <w:rPr>
          <w:rFonts w:cs="Times New Roman (Body CS)"/>
          <w:kern w:val="24"/>
          <w:lang w:val="en-GB"/>
        </w:rPr>
      </w:pPr>
      <w:r>
        <w:rPr>
          <w:rFonts w:cs="Times New Roman (Body CS)"/>
          <w:b/>
          <w:iCs/>
          <w:kern w:val="24"/>
          <w:lang w:val="en-GB"/>
        </w:rPr>
        <w:br w:type="page"/>
      </w:r>
    </w:p>
    <w:p w14:paraId="35B5748E" w14:textId="5FD203F7" w:rsidR="0089467E" w:rsidRDefault="0089467E" w:rsidP="0089467E">
      <w:pPr>
        <w:pStyle w:val="Caption"/>
        <w:keepNext/>
      </w:pPr>
      <w:r>
        <w:lastRenderedPageBreak/>
        <w:t xml:space="preserve">Table </w:t>
      </w:r>
      <w:r>
        <w:fldChar w:fldCharType="begin"/>
      </w:r>
      <w:r>
        <w:instrText xml:space="preserve"> SEQ Table \* ARABIC </w:instrText>
      </w:r>
      <w:r>
        <w:fldChar w:fldCharType="separate"/>
      </w:r>
      <w:r w:rsidR="00283D59">
        <w:rPr>
          <w:noProof/>
        </w:rPr>
        <w:t>4</w:t>
      </w:r>
      <w:r>
        <w:rPr>
          <w:noProof/>
        </w:rPr>
        <w:fldChar w:fldCharType="end"/>
      </w:r>
      <w:r>
        <w:t xml:space="preserve">: </w:t>
      </w:r>
      <w:r w:rsidRPr="00B33BCF">
        <w:t>Assessment Criteria –</w:t>
      </w:r>
      <w:r>
        <w:t xml:space="preserve"> C. </w:t>
      </w:r>
      <w:r w:rsidRPr="0089467E">
        <w:t>Organisational Capability and Capacity</w:t>
      </w:r>
    </w:p>
    <w:tbl>
      <w:tblPr>
        <w:tblStyle w:val="TableGrid"/>
        <w:tblW w:w="0" w:type="auto"/>
        <w:tblLayout w:type="fixed"/>
        <w:tblCellMar>
          <w:top w:w="142" w:type="dxa"/>
          <w:left w:w="142" w:type="dxa"/>
        </w:tblCellMar>
        <w:tblLook w:val="0020" w:firstRow="1" w:lastRow="0" w:firstColumn="0" w:lastColumn="0" w:noHBand="0" w:noVBand="0"/>
      </w:tblPr>
      <w:tblGrid>
        <w:gridCol w:w="7366"/>
        <w:gridCol w:w="1843"/>
      </w:tblGrid>
      <w:tr w:rsidR="0089467E" w:rsidRPr="000F4C2F" w14:paraId="26E09C59" w14:textId="77777777" w:rsidTr="009C1A35">
        <w:trPr>
          <w:trHeight w:val="567"/>
          <w:tblHeader/>
        </w:trPr>
        <w:tc>
          <w:tcPr>
            <w:tcW w:w="7366" w:type="dxa"/>
            <w:shd w:val="clear" w:color="auto" w:fill="F2F2F2" w:themeFill="background1" w:themeFillShade="F2"/>
            <w:vAlign w:val="center"/>
          </w:tcPr>
          <w:p w14:paraId="5C4F865F" w14:textId="77777777" w:rsidR="0089467E" w:rsidRPr="000F4C2F" w:rsidRDefault="0089467E" w:rsidP="009C1A35">
            <w:pPr>
              <w:pStyle w:val="BodyText"/>
              <w:spacing w:after="120" w:line="240" w:lineRule="auto"/>
              <w:rPr>
                <w:b/>
                <w:bCs/>
                <w:lang w:val="en-GB"/>
              </w:rPr>
            </w:pPr>
            <w:r w:rsidRPr="000F4C2F">
              <w:rPr>
                <w:b/>
                <w:bCs/>
                <w:lang w:val="en-GB"/>
              </w:rPr>
              <w:t>Assessment Criteria</w:t>
            </w:r>
          </w:p>
        </w:tc>
        <w:tc>
          <w:tcPr>
            <w:tcW w:w="1843" w:type="dxa"/>
            <w:shd w:val="clear" w:color="auto" w:fill="F2F2F2" w:themeFill="background1" w:themeFillShade="F2"/>
            <w:vAlign w:val="center"/>
          </w:tcPr>
          <w:p w14:paraId="71E2DA60" w14:textId="77777777" w:rsidR="0089467E" w:rsidRPr="000F4C2F" w:rsidRDefault="0089467E" w:rsidP="009C1A35">
            <w:pPr>
              <w:pStyle w:val="BodyText"/>
              <w:spacing w:after="120" w:line="240" w:lineRule="auto"/>
              <w:jc w:val="center"/>
              <w:rPr>
                <w:b/>
                <w:bCs/>
                <w:lang w:val="en-GB"/>
              </w:rPr>
            </w:pPr>
            <w:r w:rsidRPr="000F4C2F">
              <w:rPr>
                <w:b/>
                <w:bCs/>
                <w:lang w:val="en-GB"/>
              </w:rPr>
              <w:t>Weighting</w:t>
            </w:r>
          </w:p>
        </w:tc>
      </w:tr>
      <w:tr w:rsidR="0089467E" w:rsidRPr="000F4C2F" w14:paraId="562A6695" w14:textId="77777777" w:rsidTr="009C1A35">
        <w:trPr>
          <w:trHeight w:val="60"/>
        </w:trPr>
        <w:tc>
          <w:tcPr>
            <w:tcW w:w="7366" w:type="dxa"/>
          </w:tcPr>
          <w:p w14:paraId="5F069DF5" w14:textId="77777777" w:rsidR="0089467E" w:rsidRPr="0006211F" w:rsidRDefault="0089467E" w:rsidP="009C1A35">
            <w:pPr>
              <w:pStyle w:val="HeadingFOUR"/>
            </w:pPr>
            <w:r w:rsidRPr="0006211F">
              <w:t>C.</w:t>
            </w:r>
            <w:r>
              <w:t xml:space="preserve"> </w:t>
            </w:r>
            <w:r w:rsidRPr="0006211F">
              <w:t>Organisational Capability and Capacity</w:t>
            </w:r>
          </w:p>
          <w:p w14:paraId="1BE6B9EA" w14:textId="77777777" w:rsidR="0089467E" w:rsidRPr="0089467E" w:rsidRDefault="0089467E" w:rsidP="009C1A35">
            <w:pPr>
              <w:pStyle w:val="BodyText"/>
              <w:rPr>
                <w:b/>
                <w:bCs/>
                <w:lang w:val="en-GB"/>
              </w:rPr>
            </w:pPr>
            <w:r w:rsidRPr="0089467E">
              <w:rPr>
                <w:b/>
                <w:bCs/>
                <w:lang w:val="en-GB"/>
              </w:rPr>
              <w:t>Assessed on:</w:t>
            </w:r>
          </w:p>
          <w:p w14:paraId="7D770DC9" w14:textId="77777777" w:rsidR="0089467E" w:rsidRPr="0006211F" w:rsidRDefault="0089467E" w:rsidP="009C1A35">
            <w:pPr>
              <w:pStyle w:val="ListBullet"/>
              <w:rPr>
                <w:lang w:val="en-GB"/>
              </w:rPr>
            </w:pPr>
            <w:r w:rsidRPr="0006211F">
              <w:rPr>
                <w:lang w:val="en-GB"/>
              </w:rPr>
              <w:t>Industry knowledge and demonstrated track record in delivering similar projects by the applicant’s organisation and any collaborative partners.</w:t>
            </w:r>
          </w:p>
          <w:p w14:paraId="5B58D8AC" w14:textId="77777777" w:rsidR="0089467E" w:rsidRPr="0006211F" w:rsidRDefault="0089467E" w:rsidP="009C1A35">
            <w:pPr>
              <w:pStyle w:val="ListBullet"/>
              <w:rPr>
                <w:lang w:val="en-GB"/>
              </w:rPr>
            </w:pPr>
            <w:r w:rsidRPr="0006211F">
              <w:rPr>
                <w:lang w:val="en-GB"/>
              </w:rPr>
              <w:t>Whether sufficient and appropriate project resourcing has been allocated to the project.</w:t>
            </w:r>
          </w:p>
          <w:p w14:paraId="7A7D13AD" w14:textId="77777777" w:rsidR="0089467E" w:rsidRPr="0089467E" w:rsidRDefault="0089467E" w:rsidP="009C1A35">
            <w:pPr>
              <w:pStyle w:val="BodyText"/>
              <w:rPr>
                <w:b/>
                <w:bCs/>
                <w:lang w:val="en-GB"/>
              </w:rPr>
            </w:pPr>
            <w:r w:rsidRPr="0089467E">
              <w:rPr>
                <w:b/>
                <w:bCs/>
                <w:lang w:val="en-GB"/>
              </w:rPr>
              <w:t>Relevant application information must include:</w:t>
            </w:r>
          </w:p>
          <w:p w14:paraId="2B68C1D8" w14:textId="77777777" w:rsidR="0089467E" w:rsidRPr="0006211F" w:rsidRDefault="0089467E" w:rsidP="009C1A35">
            <w:pPr>
              <w:pStyle w:val="ListBullet"/>
              <w:rPr>
                <w:lang w:val="en-GB"/>
              </w:rPr>
            </w:pPr>
            <w:r w:rsidRPr="0006211F">
              <w:rPr>
                <w:lang w:val="en-GB"/>
              </w:rPr>
              <w:t>Track record of key staff allocated to the project.</w:t>
            </w:r>
          </w:p>
          <w:p w14:paraId="6CE147D1" w14:textId="77777777" w:rsidR="0089467E" w:rsidRPr="000F4C2F" w:rsidRDefault="0089467E" w:rsidP="009C1A35">
            <w:pPr>
              <w:pStyle w:val="ListBullet"/>
              <w:rPr>
                <w:lang w:val="en-GB"/>
              </w:rPr>
            </w:pPr>
            <w:r w:rsidRPr="0006211F">
              <w:rPr>
                <w:lang w:val="en-GB"/>
              </w:rPr>
              <w:t>A collaborative approach with a range of partners and resources to undertake the project and extend the results.</w:t>
            </w:r>
          </w:p>
        </w:tc>
        <w:tc>
          <w:tcPr>
            <w:tcW w:w="1843" w:type="dxa"/>
          </w:tcPr>
          <w:p w14:paraId="198D20A7" w14:textId="77777777" w:rsidR="0089467E" w:rsidRPr="000F4C2F" w:rsidRDefault="0089467E" w:rsidP="009C1A35">
            <w:pPr>
              <w:pStyle w:val="BodyText"/>
              <w:jc w:val="center"/>
              <w:rPr>
                <w:lang w:val="en-GB"/>
              </w:rPr>
            </w:pPr>
            <w:r>
              <w:rPr>
                <w:sz w:val="40"/>
                <w:szCs w:val="40"/>
                <w:lang w:val="en-GB"/>
              </w:rPr>
              <w:t>2</w:t>
            </w:r>
            <w:r w:rsidRPr="0089467E">
              <w:rPr>
                <w:sz w:val="40"/>
                <w:szCs w:val="40"/>
                <w:lang w:val="en-GB"/>
              </w:rPr>
              <w:t>0%</w:t>
            </w:r>
          </w:p>
        </w:tc>
      </w:tr>
    </w:tbl>
    <w:p w14:paraId="6CF8B214" w14:textId="77777777" w:rsidR="00423210" w:rsidRDefault="00423210">
      <w:pPr>
        <w:suppressAutoHyphens w:val="0"/>
        <w:spacing w:after="160"/>
        <w:rPr>
          <w:b/>
          <w:iCs/>
          <w:color w:val="000000" w:themeColor="text1"/>
          <w:szCs w:val="18"/>
        </w:rPr>
      </w:pPr>
      <w:r>
        <w:br w:type="page"/>
      </w:r>
    </w:p>
    <w:p w14:paraId="44A05AA5" w14:textId="67135D8C" w:rsidR="00283D59" w:rsidRDefault="00283D59" w:rsidP="00283D59">
      <w:pPr>
        <w:pStyle w:val="Caption"/>
        <w:keepNext/>
      </w:pPr>
      <w:r>
        <w:lastRenderedPageBreak/>
        <w:t xml:space="preserve">Table </w:t>
      </w:r>
      <w:r>
        <w:fldChar w:fldCharType="begin"/>
      </w:r>
      <w:r>
        <w:instrText xml:space="preserve"> SEQ Table \* ARABIC </w:instrText>
      </w:r>
      <w:r>
        <w:fldChar w:fldCharType="separate"/>
      </w:r>
      <w:r>
        <w:rPr>
          <w:noProof/>
        </w:rPr>
        <w:t>5</w:t>
      </w:r>
      <w:r>
        <w:rPr>
          <w:noProof/>
        </w:rPr>
        <w:fldChar w:fldCharType="end"/>
      </w:r>
      <w:r>
        <w:t xml:space="preserve">: Assessment Criteria – </w:t>
      </w:r>
      <w:r w:rsidRPr="00283D59">
        <w:t>D. Need for expenditure from the funds</w:t>
      </w:r>
    </w:p>
    <w:tbl>
      <w:tblPr>
        <w:tblStyle w:val="TableGrid"/>
        <w:tblW w:w="0" w:type="auto"/>
        <w:tblLayout w:type="fixed"/>
        <w:tblCellMar>
          <w:top w:w="142" w:type="dxa"/>
          <w:left w:w="142" w:type="dxa"/>
        </w:tblCellMar>
        <w:tblLook w:val="0020" w:firstRow="1" w:lastRow="0" w:firstColumn="0" w:lastColumn="0" w:noHBand="0" w:noVBand="0"/>
      </w:tblPr>
      <w:tblGrid>
        <w:gridCol w:w="7366"/>
        <w:gridCol w:w="1843"/>
      </w:tblGrid>
      <w:tr w:rsidR="0089467E" w:rsidRPr="000F4C2F" w14:paraId="24D12E3F" w14:textId="77777777" w:rsidTr="009C1A35">
        <w:trPr>
          <w:trHeight w:val="567"/>
          <w:tblHeader/>
        </w:trPr>
        <w:tc>
          <w:tcPr>
            <w:tcW w:w="7366" w:type="dxa"/>
            <w:shd w:val="clear" w:color="auto" w:fill="F2F2F2" w:themeFill="background1" w:themeFillShade="F2"/>
            <w:vAlign w:val="center"/>
          </w:tcPr>
          <w:p w14:paraId="07A7BA63" w14:textId="77777777" w:rsidR="0089467E" w:rsidRPr="000F4C2F" w:rsidRDefault="0089467E" w:rsidP="009C1A35">
            <w:pPr>
              <w:pStyle w:val="BodyText"/>
              <w:spacing w:after="120" w:line="240" w:lineRule="auto"/>
              <w:rPr>
                <w:b/>
                <w:bCs/>
                <w:lang w:val="en-GB"/>
              </w:rPr>
            </w:pPr>
            <w:r w:rsidRPr="000F4C2F">
              <w:rPr>
                <w:b/>
                <w:bCs/>
                <w:lang w:val="en-GB"/>
              </w:rPr>
              <w:t>Assessment Criteria</w:t>
            </w:r>
          </w:p>
        </w:tc>
        <w:tc>
          <w:tcPr>
            <w:tcW w:w="1843" w:type="dxa"/>
            <w:shd w:val="clear" w:color="auto" w:fill="F2F2F2" w:themeFill="background1" w:themeFillShade="F2"/>
            <w:vAlign w:val="center"/>
          </w:tcPr>
          <w:p w14:paraId="48A609C2" w14:textId="77777777" w:rsidR="0089467E" w:rsidRPr="000F4C2F" w:rsidRDefault="0089467E" w:rsidP="009C1A35">
            <w:pPr>
              <w:pStyle w:val="BodyText"/>
              <w:spacing w:after="120" w:line="240" w:lineRule="auto"/>
              <w:jc w:val="center"/>
              <w:rPr>
                <w:b/>
                <w:bCs/>
                <w:lang w:val="en-GB"/>
              </w:rPr>
            </w:pPr>
            <w:r w:rsidRPr="000F4C2F">
              <w:rPr>
                <w:b/>
                <w:bCs/>
                <w:lang w:val="en-GB"/>
              </w:rPr>
              <w:t>Weighting</w:t>
            </w:r>
          </w:p>
        </w:tc>
      </w:tr>
      <w:tr w:rsidR="0089467E" w:rsidRPr="000F4C2F" w14:paraId="42A330CD" w14:textId="77777777" w:rsidTr="009C1A35">
        <w:trPr>
          <w:trHeight w:val="60"/>
        </w:trPr>
        <w:tc>
          <w:tcPr>
            <w:tcW w:w="7366" w:type="dxa"/>
          </w:tcPr>
          <w:p w14:paraId="1E5BE47B" w14:textId="77777777" w:rsidR="0089467E" w:rsidRPr="0006211F" w:rsidRDefault="0089467E" w:rsidP="009C1A35">
            <w:pPr>
              <w:pStyle w:val="HeadingFOUR"/>
            </w:pPr>
            <w:r w:rsidRPr="0006211F">
              <w:t>D. Need for expenditure from the funds</w:t>
            </w:r>
          </w:p>
          <w:p w14:paraId="4659042C" w14:textId="77777777" w:rsidR="0089467E" w:rsidRPr="0089467E" w:rsidRDefault="0089467E" w:rsidP="009C1A35">
            <w:pPr>
              <w:pStyle w:val="BodyText"/>
              <w:rPr>
                <w:b/>
                <w:bCs/>
                <w:lang w:val="en-GB"/>
              </w:rPr>
            </w:pPr>
            <w:r w:rsidRPr="0089467E">
              <w:rPr>
                <w:b/>
                <w:bCs/>
                <w:lang w:val="en-GB"/>
              </w:rPr>
              <w:t>Assessed on:</w:t>
            </w:r>
          </w:p>
          <w:p w14:paraId="6001DC61" w14:textId="77777777" w:rsidR="0089467E" w:rsidRPr="0006211F" w:rsidRDefault="0089467E" w:rsidP="009C1A35">
            <w:pPr>
              <w:pStyle w:val="ListBullet"/>
              <w:rPr>
                <w:lang w:val="en-GB"/>
              </w:rPr>
            </w:pPr>
            <w:r w:rsidRPr="0006211F">
              <w:rPr>
                <w:lang w:val="en-GB"/>
              </w:rPr>
              <w:t>The urgency of the problem the project addresses.</w:t>
            </w:r>
          </w:p>
          <w:p w14:paraId="4270719F" w14:textId="77777777" w:rsidR="0089467E" w:rsidRPr="0006211F" w:rsidRDefault="0089467E" w:rsidP="009C1A35">
            <w:pPr>
              <w:pStyle w:val="ListBullet"/>
              <w:rPr>
                <w:lang w:val="en-GB"/>
              </w:rPr>
            </w:pPr>
            <w:r w:rsidRPr="0006211F">
              <w:rPr>
                <w:lang w:val="en-GB"/>
              </w:rPr>
              <w:t>Whether there is a gap in the provision of a solution for the problem the project addresses that has not already been met (i.e. does not duplicates services or activities currently available).</w:t>
            </w:r>
          </w:p>
          <w:p w14:paraId="6EC3A851" w14:textId="77777777" w:rsidR="0089467E" w:rsidRPr="0006211F" w:rsidRDefault="0089467E" w:rsidP="009C1A35">
            <w:pPr>
              <w:pStyle w:val="ListBullet"/>
              <w:rPr>
                <w:lang w:val="en-GB"/>
              </w:rPr>
            </w:pPr>
            <w:r w:rsidRPr="0006211F">
              <w:rPr>
                <w:lang w:val="en-GB"/>
              </w:rPr>
              <w:t>How likely it would be for this project to occur without expenditure from the funds, including impact on its timing and ability to access resources.</w:t>
            </w:r>
          </w:p>
          <w:p w14:paraId="631D172C" w14:textId="77777777" w:rsidR="0089467E" w:rsidRPr="0006211F" w:rsidRDefault="0089467E" w:rsidP="009C1A35">
            <w:pPr>
              <w:pStyle w:val="ListBullet"/>
              <w:rPr>
                <w:lang w:val="en-GB"/>
              </w:rPr>
            </w:pPr>
            <w:r w:rsidRPr="0006211F">
              <w:rPr>
                <w:lang w:val="en-GB"/>
              </w:rPr>
              <w:t>Whether the project is better implemented through another government funding program.</w:t>
            </w:r>
          </w:p>
          <w:p w14:paraId="6E0ED477" w14:textId="77777777" w:rsidR="0089467E" w:rsidRPr="0089467E" w:rsidRDefault="0089467E" w:rsidP="009C1A35">
            <w:pPr>
              <w:pStyle w:val="BodyText"/>
              <w:rPr>
                <w:b/>
                <w:bCs/>
                <w:lang w:val="en-GB"/>
              </w:rPr>
            </w:pPr>
            <w:r w:rsidRPr="0089467E">
              <w:rPr>
                <w:b/>
                <w:bCs/>
                <w:lang w:val="en-GB"/>
              </w:rPr>
              <w:t>Relevant application responses must include:</w:t>
            </w:r>
          </w:p>
          <w:p w14:paraId="49F9BF22" w14:textId="77777777" w:rsidR="0089467E" w:rsidRPr="0006211F" w:rsidRDefault="0089467E" w:rsidP="009C1A35">
            <w:pPr>
              <w:pStyle w:val="ListBullet"/>
              <w:rPr>
                <w:lang w:val="en-GB"/>
              </w:rPr>
            </w:pPr>
            <w:r w:rsidRPr="0006211F">
              <w:rPr>
                <w:lang w:val="en-GB"/>
              </w:rPr>
              <w:t>An outline of the scale of problem being addressed, percentage of industry affected, monetary impact on industry or potential threat to industry.</w:t>
            </w:r>
          </w:p>
          <w:p w14:paraId="0D265665" w14:textId="77777777" w:rsidR="0089467E" w:rsidRPr="0006211F" w:rsidRDefault="0089467E" w:rsidP="009C1A35">
            <w:pPr>
              <w:pStyle w:val="ListBullet"/>
              <w:rPr>
                <w:lang w:val="en-GB"/>
              </w:rPr>
            </w:pPr>
            <w:r w:rsidRPr="0006211F">
              <w:rPr>
                <w:lang w:val="en-GB"/>
              </w:rPr>
              <w:t>Articulation of why the project solves an urgent need that addresses the objectives and outcomes of the fund.</w:t>
            </w:r>
          </w:p>
          <w:p w14:paraId="12CD0868" w14:textId="77777777" w:rsidR="0089467E" w:rsidRPr="000F4C2F" w:rsidRDefault="0089467E" w:rsidP="009C1A35">
            <w:pPr>
              <w:pStyle w:val="ListBullet"/>
              <w:rPr>
                <w:lang w:val="en-GB"/>
              </w:rPr>
            </w:pPr>
            <w:r w:rsidRPr="0006211F">
              <w:rPr>
                <w:lang w:val="en-GB"/>
              </w:rPr>
              <w:t>Identification of any timing pressures or dependencies.</w:t>
            </w:r>
          </w:p>
        </w:tc>
        <w:tc>
          <w:tcPr>
            <w:tcW w:w="1843" w:type="dxa"/>
          </w:tcPr>
          <w:p w14:paraId="5EC83B98" w14:textId="77777777" w:rsidR="0089467E" w:rsidRPr="000F4C2F" w:rsidRDefault="0089467E" w:rsidP="009C1A35">
            <w:pPr>
              <w:pStyle w:val="BodyText"/>
              <w:jc w:val="center"/>
              <w:rPr>
                <w:lang w:val="en-GB"/>
              </w:rPr>
            </w:pPr>
            <w:r>
              <w:rPr>
                <w:sz w:val="40"/>
                <w:szCs w:val="40"/>
                <w:lang w:val="en-GB"/>
              </w:rPr>
              <w:t>2</w:t>
            </w:r>
            <w:r w:rsidRPr="0089467E">
              <w:rPr>
                <w:sz w:val="40"/>
                <w:szCs w:val="40"/>
                <w:lang w:val="en-GB"/>
              </w:rPr>
              <w:t>0%</w:t>
            </w:r>
          </w:p>
        </w:tc>
      </w:tr>
    </w:tbl>
    <w:p w14:paraId="5963A9ED" w14:textId="1C35D2C6" w:rsidR="0006211F" w:rsidRDefault="0006211F" w:rsidP="008D1B1A">
      <w:pPr>
        <w:pStyle w:val="BodyText"/>
        <w:spacing w:before="480"/>
        <w:rPr>
          <w:lang w:val="en-GB"/>
        </w:rPr>
      </w:pPr>
      <w:r w:rsidRPr="0006211F">
        <w:rPr>
          <w:lang w:val="en-GB"/>
        </w:rPr>
        <w:t>The Department reserves the right to request additional information from applicants if there are gaps in the information provided to assess the application. However, providing comprehensive responses to the assessment criteria is strongly recommended.</w:t>
      </w:r>
    </w:p>
    <w:p w14:paraId="50DF8A63" w14:textId="0CCB6D1B" w:rsidR="0006211F" w:rsidRPr="0006211F" w:rsidRDefault="0006211F" w:rsidP="00283D59">
      <w:pPr>
        <w:pStyle w:val="Heading2"/>
      </w:pPr>
      <w:bookmarkStart w:id="22" w:name="_Toc158894187"/>
      <w:r w:rsidRPr="0006211F">
        <w:lastRenderedPageBreak/>
        <w:t>6.</w:t>
      </w:r>
      <w:r w:rsidRPr="0006211F">
        <w:tab/>
        <w:t>Funding award and grant agreements</w:t>
      </w:r>
      <w:bookmarkEnd w:id="22"/>
    </w:p>
    <w:p w14:paraId="2ACCCE5C" w14:textId="77777777" w:rsidR="0006211F" w:rsidRPr="0006211F" w:rsidRDefault="0006211F" w:rsidP="00283D59">
      <w:pPr>
        <w:pStyle w:val="Heading3"/>
      </w:pPr>
      <w:bookmarkStart w:id="23" w:name="_Toc158894188"/>
      <w:r w:rsidRPr="0006211F">
        <w:t>Overview</w:t>
      </w:r>
      <w:bookmarkEnd w:id="23"/>
    </w:p>
    <w:p w14:paraId="0E156376" w14:textId="77777777" w:rsidR="0006211F" w:rsidRPr="0006211F" w:rsidRDefault="0006211F" w:rsidP="0006211F">
      <w:pPr>
        <w:pStyle w:val="BodyText"/>
        <w:rPr>
          <w:lang w:val="en-GB"/>
        </w:rPr>
      </w:pPr>
      <w:r w:rsidRPr="0006211F">
        <w:rPr>
          <w:lang w:val="en-GB"/>
        </w:rPr>
        <w:t xml:space="preserve">Successful applicants will be sent a Letter of Offer inviting them to enter into a grant agreement with the Department detailing all funding obligations and conditions. </w:t>
      </w:r>
    </w:p>
    <w:p w14:paraId="659556A5" w14:textId="1A1D269B" w:rsidR="0006211F" w:rsidRPr="0006211F" w:rsidRDefault="0006211F" w:rsidP="0006211F">
      <w:pPr>
        <w:pStyle w:val="BodyText"/>
        <w:rPr>
          <w:lang w:val="en-GB"/>
        </w:rPr>
      </w:pPr>
      <w:r w:rsidRPr="0006211F">
        <w:rPr>
          <w:lang w:val="en-GB"/>
        </w:rPr>
        <w:t xml:space="preserve">The grant agreement will be in the form of the Victorian Common Funding Agreement (VCFA) or a memorandum of understanding for Victorian Government. Information about the VCFA can be found at </w:t>
      </w:r>
      <w:hyperlink r:id="rId13" w:history="1">
        <w:r w:rsidRPr="00283D59">
          <w:rPr>
            <w:rStyle w:val="Hyperlink"/>
            <w:lang w:val="en-GB"/>
          </w:rPr>
          <w:t>https://www.vic.gov.au/victorian-common-funding-agreement-forms-and-templates</w:t>
        </w:r>
      </w:hyperlink>
      <w:r w:rsidRPr="00283D59">
        <w:rPr>
          <w:lang w:val="en-GB"/>
        </w:rPr>
        <w:t>.</w:t>
      </w:r>
    </w:p>
    <w:p w14:paraId="2D29DB4C" w14:textId="77777777" w:rsidR="0006211F" w:rsidRPr="0006211F" w:rsidRDefault="0006211F" w:rsidP="0006211F">
      <w:pPr>
        <w:pStyle w:val="BodyText"/>
        <w:rPr>
          <w:lang w:val="en-GB"/>
        </w:rPr>
      </w:pPr>
      <w:r w:rsidRPr="0006211F">
        <w:rPr>
          <w:lang w:val="en-GB"/>
        </w:rPr>
        <w:t>The project must not commence until a grant agreement has been duly executed by both the Department and the recipient.</w:t>
      </w:r>
    </w:p>
    <w:p w14:paraId="39CEC6E8" w14:textId="77777777" w:rsidR="0006211F" w:rsidRPr="0006211F" w:rsidRDefault="0006211F" w:rsidP="0006211F">
      <w:pPr>
        <w:pStyle w:val="BodyText"/>
        <w:rPr>
          <w:lang w:val="en-GB"/>
        </w:rPr>
      </w:pPr>
      <w:r w:rsidRPr="0006211F">
        <w:rPr>
          <w:lang w:val="en-GB"/>
        </w:rPr>
        <w:t>Once the grant agreement has been signed, the recipient of the funds (the recipient) will be required to commence the project within the agreed timeframe. If a recipient does not commence the project by the commencement date, the Department has at its absolute discretion the option of terminating the grant agreement.</w:t>
      </w:r>
    </w:p>
    <w:p w14:paraId="4CB17305" w14:textId="77777777" w:rsidR="0006211F" w:rsidRPr="0006211F" w:rsidRDefault="0006211F" w:rsidP="0006211F">
      <w:pPr>
        <w:pStyle w:val="BodyText"/>
        <w:rPr>
          <w:lang w:val="en-GB"/>
        </w:rPr>
      </w:pPr>
      <w:r w:rsidRPr="0006211F">
        <w:rPr>
          <w:lang w:val="en-GB"/>
        </w:rPr>
        <w:t>Milestone deliverables and dates are finalised as a part of the grant agreement negotiations with the successful applicants, after the approval by the Minister for Agriculture.</w:t>
      </w:r>
    </w:p>
    <w:p w14:paraId="4E965E42" w14:textId="77777777" w:rsidR="0006211F" w:rsidRPr="0006211F" w:rsidRDefault="0006211F" w:rsidP="00283D59">
      <w:pPr>
        <w:pStyle w:val="Heading3"/>
      </w:pPr>
      <w:bookmarkStart w:id="24" w:name="_Toc158894189"/>
      <w:r w:rsidRPr="0006211F">
        <w:t>Post Completion Evaluation Report</w:t>
      </w:r>
      <w:bookmarkEnd w:id="24"/>
    </w:p>
    <w:p w14:paraId="79AAE2D7" w14:textId="77777777" w:rsidR="0006211F" w:rsidRPr="0006211F" w:rsidRDefault="0006211F" w:rsidP="0006211F">
      <w:pPr>
        <w:pStyle w:val="BodyText"/>
        <w:rPr>
          <w:lang w:val="en-GB"/>
        </w:rPr>
      </w:pPr>
      <w:r w:rsidRPr="0006211F">
        <w:rPr>
          <w:lang w:val="en-GB"/>
        </w:rPr>
        <w:t>All successful applicants must provide a Post Completion Evaluation Report at the Completion Date of the Project and must include the following:</w:t>
      </w:r>
    </w:p>
    <w:p w14:paraId="2BCD3C48" w14:textId="77777777" w:rsidR="0006211F" w:rsidRPr="0006211F" w:rsidRDefault="0006211F" w:rsidP="00283D59">
      <w:pPr>
        <w:pStyle w:val="ListBullet"/>
        <w:rPr>
          <w:lang w:val="en-GB"/>
        </w:rPr>
      </w:pPr>
      <w:r w:rsidRPr="0006211F">
        <w:rPr>
          <w:lang w:val="en-GB"/>
        </w:rPr>
        <w:t>Evaluation of the impact of the completed project.</w:t>
      </w:r>
    </w:p>
    <w:p w14:paraId="7B8E5877" w14:textId="77777777" w:rsidR="0006211F" w:rsidRPr="0006211F" w:rsidRDefault="0006211F" w:rsidP="00283D59">
      <w:pPr>
        <w:pStyle w:val="ListBullet"/>
        <w:rPr>
          <w:lang w:val="en-GB"/>
        </w:rPr>
      </w:pPr>
      <w:r w:rsidRPr="0006211F">
        <w:rPr>
          <w:lang w:val="en-GB"/>
        </w:rPr>
        <w:t>Evaluation of how the project has met the objectives and provided benefits to industry.</w:t>
      </w:r>
    </w:p>
    <w:p w14:paraId="1EE4C3EB" w14:textId="77777777" w:rsidR="0006211F" w:rsidRPr="0006211F" w:rsidRDefault="0006211F" w:rsidP="00283D59">
      <w:pPr>
        <w:pStyle w:val="Bullet1last"/>
        <w:rPr>
          <w:lang w:val="en-GB"/>
        </w:rPr>
      </w:pPr>
      <w:r w:rsidRPr="0006211F">
        <w:rPr>
          <w:lang w:val="en-GB"/>
        </w:rPr>
        <w:t>Evaluation of the effectiveness of the project and identified improvements.</w:t>
      </w:r>
    </w:p>
    <w:p w14:paraId="493CDD6C" w14:textId="77777777" w:rsidR="0006211F" w:rsidRPr="0006211F" w:rsidRDefault="0006211F" w:rsidP="0006211F">
      <w:pPr>
        <w:pStyle w:val="BodyText"/>
        <w:rPr>
          <w:lang w:val="en-GB"/>
        </w:rPr>
      </w:pPr>
      <w:r w:rsidRPr="0006211F">
        <w:rPr>
          <w:lang w:val="en-GB"/>
        </w:rPr>
        <w:t xml:space="preserve">It is essential that </w:t>
      </w:r>
      <w:proofErr w:type="gramStart"/>
      <w:r w:rsidRPr="0006211F">
        <w:rPr>
          <w:lang w:val="en-GB"/>
        </w:rPr>
        <w:t>applicants</w:t>
      </w:r>
      <w:proofErr w:type="gramEnd"/>
      <w:r w:rsidRPr="0006211F">
        <w:rPr>
          <w:lang w:val="en-GB"/>
        </w:rPr>
        <w:t xml:space="preserve"> factor in time, budget and resources to complete this evaluation reporting requirement. It is preferable that an independent evaluation is conducted where possible and appropriate. Please consider this when developing the budget.</w:t>
      </w:r>
    </w:p>
    <w:p w14:paraId="3F0743EA" w14:textId="77777777" w:rsidR="0006211F" w:rsidRPr="0006211F" w:rsidRDefault="0006211F" w:rsidP="00283D59">
      <w:pPr>
        <w:pStyle w:val="Heading3"/>
      </w:pPr>
      <w:bookmarkStart w:id="25" w:name="_Toc158894190"/>
      <w:r w:rsidRPr="0006211F">
        <w:lastRenderedPageBreak/>
        <w:t>Payment Conditions</w:t>
      </w:r>
      <w:bookmarkEnd w:id="25"/>
    </w:p>
    <w:p w14:paraId="14C52D05" w14:textId="77777777" w:rsidR="0006211F" w:rsidRPr="0006211F" w:rsidRDefault="0006211F" w:rsidP="0006211F">
      <w:pPr>
        <w:pStyle w:val="BodyText"/>
        <w:rPr>
          <w:lang w:val="en-GB"/>
        </w:rPr>
      </w:pPr>
      <w:r w:rsidRPr="0006211F">
        <w:rPr>
          <w:lang w:val="en-GB"/>
        </w:rPr>
        <w:t>Grant agreements are structured to ensure that funds are paid in instalments corresponding to the delivery against agreed milestones and payments proportional to the size of the project expenditure or pro</w:t>
      </w:r>
      <w:r w:rsidRPr="0006211F">
        <w:rPr>
          <w:rFonts w:ascii="Cambria Math" w:hAnsi="Cambria Math" w:cs="Cambria Math"/>
          <w:lang w:val="en-GB"/>
        </w:rPr>
        <w:t>‑</w:t>
      </w:r>
      <w:r w:rsidRPr="0006211F">
        <w:rPr>
          <w:lang w:val="en-GB"/>
        </w:rPr>
        <w:t xml:space="preserve">rata against deliverables. </w:t>
      </w:r>
    </w:p>
    <w:p w14:paraId="6B5CD774" w14:textId="77777777" w:rsidR="0006211F" w:rsidRPr="0006211F" w:rsidRDefault="0006211F" w:rsidP="0006211F">
      <w:pPr>
        <w:pStyle w:val="BodyText"/>
        <w:rPr>
          <w:lang w:val="en-GB"/>
        </w:rPr>
      </w:pPr>
      <w:r w:rsidRPr="0006211F">
        <w:rPr>
          <w:lang w:val="en-GB"/>
        </w:rPr>
        <w:t>Payments will only be made as per the executed grant agreement.</w:t>
      </w:r>
    </w:p>
    <w:p w14:paraId="63C277A6" w14:textId="77777777" w:rsidR="0006211F" w:rsidRPr="0006211F" w:rsidRDefault="0006211F" w:rsidP="0006211F">
      <w:pPr>
        <w:pStyle w:val="BodyText"/>
        <w:rPr>
          <w:lang w:val="en-GB"/>
        </w:rPr>
      </w:pPr>
      <w:r w:rsidRPr="0006211F">
        <w:rPr>
          <w:lang w:val="en-GB"/>
        </w:rPr>
        <w:t>All project expenditure is to be incurred only after the grant agreement has been executed. Funding will not be provided for retrospective activities prior to execution of the grant agreement.</w:t>
      </w:r>
    </w:p>
    <w:p w14:paraId="3674F48C" w14:textId="77777777" w:rsidR="0006211F" w:rsidRPr="0006211F" w:rsidRDefault="0006211F" w:rsidP="0006211F">
      <w:pPr>
        <w:pStyle w:val="BodyText"/>
        <w:rPr>
          <w:lang w:val="en-GB"/>
        </w:rPr>
      </w:pPr>
      <w:r w:rsidRPr="0006211F">
        <w:rPr>
          <w:lang w:val="en-GB"/>
        </w:rPr>
        <w:t>Applicants will need to meet the cost of any ineligible expenditure associated with their project.</w:t>
      </w:r>
    </w:p>
    <w:p w14:paraId="1E0D08CD" w14:textId="6B5EC11A" w:rsidR="0006211F" w:rsidRPr="0006211F" w:rsidRDefault="0006211F" w:rsidP="0006211F">
      <w:pPr>
        <w:pStyle w:val="BodyText"/>
        <w:rPr>
          <w:lang w:val="en-GB"/>
        </w:rPr>
      </w:pPr>
      <w:r w:rsidRPr="0006211F">
        <w:rPr>
          <w:lang w:val="en-GB"/>
        </w:rPr>
        <w:t>Projects that are completed for less than the expected budget, will be paid on a pro rata basis.</w:t>
      </w:r>
    </w:p>
    <w:p w14:paraId="75176BB3" w14:textId="5081670D" w:rsidR="0006211F" w:rsidRPr="0006211F" w:rsidRDefault="0006211F" w:rsidP="00283D59">
      <w:pPr>
        <w:pStyle w:val="Heading2"/>
      </w:pPr>
      <w:bookmarkStart w:id="26" w:name="_Toc158894191"/>
      <w:r w:rsidRPr="0006211F">
        <w:t>7.</w:t>
      </w:r>
      <w:r w:rsidRPr="0006211F">
        <w:tab/>
      </w:r>
      <w:r w:rsidR="005A2D1B" w:rsidRPr="0006211F">
        <w:t>Targeted Application Process</w:t>
      </w:r>
      <w:bookmarkEnd w:id="26"/>
    </w:p>
    <w:p w14:paraId="1E8B99F5" w14:textId="1BD48A86" w:rsidR="0006211F" w:rsidRPr="0006211F" w:rsidRDefault="0006211F" w:rsidP="0006211F">
      <w:pPr>
        <w:pStyle w:val="BodyText"/>
        <w:rPr>
          <w:lang w:val="en-GB"/>
        </w:rPr>
      </w:pPr>
      <w:r w:rsidRPr="0006211F">
        <w:rPr>
          <w:lang w:val="en-GB"/>
        </w:rPr>
        <w:t>If there are obvious gaps in projects or programs needed to meet the statement of strategic intent for the respective funds, the Department, upon the advice of the advisory committees, can undertake a targeted approach, pending available funds.</w:t>
      </w:r>
    </w:p>
    <w:p w14:paraId="6C9DFD14" w14:textId="43D307AD" w:rsidR="0006211F" w:rsidRPr="0006211F" w:rsidRDefault="0006211F" w:rsidP="0006211F">
      <w:pPr>
        <w:pStyle w:val="BodyText"/>
        <w:rPr>
          <w:lang w:val="en-GB"/>
        </w:rPr>
      </w:pPr>
      <w:r w:rsidRPr="0006211F">
        <w:rPr>
          <w:lang w:val="en-GB"/>
        </w:rPr>
        <w:t xml:space="preserve">A targeted process will be used where there are few providers available in the market, </w:t>
      </w:r>
      <w:proofErr w:type="gramStart"/>
      <w:r w:rsidRPr="0006211F">
        <w:rPr>
          <w:lang w:val="en-GB"/>
        </w:rPr>
        <w:t>as a result of</w:t>
      </w:r>
      <w:proofErr w:type="gramEnd"/>
      <w:r w:rsidRPr="0006211F">
        <w:rPr>
          <w:lang w:val="en-GB"/>
        </w:rPr>
        <w:t xml:space="preserve"> the highly specialised service or expertise required, geographical consideration, or time constraints.</w:t>
      </w:r>
    </w:p>
    <w:p w14:paraId="0402E77F" w14:textId="77777777" w:rsidR="0006211F" w:rsidRPr="0006211F" w:rsidRDefault="0006211F" w:rsidP="00423210">
      <w:pPr>
        <w:pStyle w:val="BodyText"/>
        <w:spacing w:after="360"/>
        <w:rPr>
          <w:lang w:val="en-GB"/>
        </w:rPr>
      </w:pPr>
      <w:r w:rsidRPr="0006211F">
        <w:rPr>
          <w:lang w:val="en-GB"/>
        </w:rPr>
        <w:t>Targeted projects will be required to complete the same assessment criteria and selection process as the competitive funding round.</w:t>
      </w:r>
    </w:p>
    <w:p w14:paraId="7E77B6F1" w14:textId="0677EA8A" w:rsidR="0006211F" w:rsidRPr="0006211F" w:rsidRDefault="0006211F" w:rsidP="00CA71CC">
      <w:pPr>
        <w:pStyle w:val="Heading2"/>
      </w:pPr>
      <w:bookmarkStart w:id="27" w:name="_Toc158894192"/>
      <w:r w:rsidRPr="0006211F">
        <w:t>8.</w:t>
      </w:r>
      <w:r w:rsidRPr="0006211F">
        <w:tab/>
      </w:r>
      <w:r w:rsidR="005A2D1B" w:rsidRPr="0006211F">
        <w:t xml:space="preserve">Terms </w:t>
      </w:r>
      <w:r w:rsidR="005A2D1B">
        <w:t>a</w:t>
      </w:r>
      <w:r w:rsidR="005A2D1B" w:rsidRPr="0006211F">
        <w:t>nd Conditions</w:t>
      </w:r>
      <w:bookmarkEnd w:id="27"/>
    </w:p>
    <w:p w14:paraId="51B24A83" w14:textId="77777777" w:rsidR="0006211F" w:rsidRPr="0006211F" w:rsidRDefault="0006211F" w:rsidP="00CA71CC">
      <w:pPr>
        <w:pStyle w:val="Heading3"/>
      </w:pPr>
      <w:bookmarkStart w:id="28" w:name="_Toc158894193"/>
      <w:r w:rsidRPr="0006211F">
        <w:t>Commercially sensitive information</w:t>
      </w:r>
      <w:bookmarkEnd w:id="28"/>
    </w:p>
    <w:p w14:paraId="3FE1734F" w14:textId="77777777" w:rsidR="0006211F" w:rsidRPr="0006211F" w:rsidRDefault="0006211F" w:rsidP="0006211F">
      <w:pPr>
        <w:pStyle w:val="BodyText"/>
        <w:rPr>
          <w:lang w:val="en-GB"/>
        </w:rPr>
      </w:pPr>
      <w:r w:rsidRPr="0006211F">
        <w:rPr>
          <w:lang w:val="en-GB"/>
        </w:rPr>
        <w:t>If an applicant wishes to provide information that it regards as commercially sensitive, it should nominate that information as being commercially sensitive.</w:t>
      </w:r>
    </w:p>
    <w:p w14:paraId="471170DF" w14:textId="77777777" w:rsidR="0006211F" w:rsidRPr="0006211F" w:rsidRDefault="0006211F" w:rsidP="0006211F">
      <w:pPr>
        <w:pStyle w:val="BodyText"/>
        <w:rPr>
          <w:lang w:val="en-GB"/>
        </w:rPr>
      </w:pPr>
      <w:r w:rsidRPr="0006211F">
        <w:rPr>
          <w:lang w:val="en-GB"/>
        </w:rPr>
        <w:lastRenderedPageBreak/>
        <w:t>The 2024 Program, and any persons engaging with applicants, will respect all reasonable nominations and maintain security and information handling procedures appropriate to the nature, content and volume of the information provided.</w:t>
      </w:r>
    </w:p>
    <w:p w14:paraId="0323E652" w14:textId="77777777" w:rsidR="0006211F" w:rsidRPr="0006211F" w:rsidRDefault="0006211F" w:rsidP="00CA71CC">
      <w:pPr>
        <w:pStyle w:val="Heading3"/>
      </w:pPr>
      <w:bookmarkStart w:id="29" w:name="_Toc158894194"/>
      <w:r w:rsidRPr="0006211F">
        <w:t>Confidentiality</w:t>
      </w:r>
      <w:bookmarkEnd w:id="29"/>
    </w:p>
    <w:p w14:paraId="134779F6" w14:textId="11DA5F40" w:rsidR="0006211F" w:rsidRPr="0006211F" w:rsidRDefault="0006211F" w:rsidP="0006211F">
      <w:pPr>
        <w:pStyle w:val="BodyText"/>
        <w:rPr>
          <w:lang w:val="en-GB"/>
        </w:rPr>
      </w:pPr>
      <w:r w:rsidRPr="0006211F">
        <w:rPr>
          <w:lang w:val="en-GB"/>
        </w:rPr>
        <w:t>Any personal information about the applicant or a third party in the application will be collected by the Department for the purpose of funding administration.</w:t>
      </w:r>
    </w:p>
    <w:p w14:paraId="381E7F41" w14:textId="77777777" w:rsidR="0006211F" w:rsidRPr="0006211F" w:rsidRDefault="0006211F" w:rsidP="0006211F">
      <w:pPr>
        <w:pStyle w:val="BodyText"/>
        <w:rPr>
          <w:lang w:val="en-GB"/>
        </w:rPr>
      </w:pPr>
      <w:r w:rsidRPr="0006211F">
        <w:rPr>
          <w:lang w:val="en-GB"/>
        </w:rPr>
        <w:t>This information may be provided to other Victorian Government agencies for the purposes of assessing the application.</w:t>
      </w:r>
    </w:p>
    <w:p w14:paraId="0504A387" w14:textId="3B836EFC" w:rsidR="0006211F" w:rsidRPr="0006211F" w:rsidRDefault="0006211F" w:rsidP="0006211F">
      <w:pPr>
        <w:pStyle w:val="BodyText"/>
        <w:rPr>
          <w:u w:val="thick"/>
          <w:lang w:val="en-GB"/>
        </w:rPr>
      </w:pPr>
      <w:r w:rsidRPr="0006211F">
        <w:rPr>
          <w:lang w:val="en-GB"/>
        </w:rPr>
        <w:t xml:space="preserve">If personal information about third parties is included in the application, those third parties must be made aware of the contents of this privacy statement. The Department’s privacy policy is available at </w:t>
      </w:r>
      <w:hyperlink r:id="rId14" w:history="1">
        <w:r w:rsidRPr="00CA71CC">
          <w:rPr>
            <w:rStyle w:val="Hyperlink"/>
            <w:lang w:val="en-GB"/>
          </w:rPr>
          <w:t>deeca.vic.gov.au/privacy</w:t>
        </w:r>
      </w:hyperlink>
      <w:r w:rsidRPr="00CA71CC">
        <w:rPr>
          <w:lang w:val="en-GB"/>
        </w:rPr>
        <w:t>.</w:t>
      </w:r>
    </w:p>
    <w:p w14:paraId="1E022D63" w14:textId="77777777" w:rsidR="0006211F" w:rsidRPr="0006211F" w:rsidRDefault="0006211F" w:rsidP="0006211F">
      <w:pPr>
        <w:pStyle w:val="BodyText"/>
        <w:rPr>
          <w:lang w:val="en-GB"/>
        </w:rPr>
      </w:pPr>
      <w:r w:rsidRPr="0006211F">
        <w:rPr>
          <w:lang w:val="en-GB"/>
        </w:rPr>
        <w:t xml:space="preserve">Any personal information about the applicant or a third party obtained through correspondence will be collected, held, managed, used, </w:t>
      </w:r>
      <w:proofErr w:type="gramStart"/>
      <w:r w:rsidRPr="0006211F">
        <w:rPr>
          <w:lang w:val="en-GB"/>
        </w:rPr>
        <w:t>disclosed</w:t>
      </w:r>
      <w:proofErr w:type="gramEnd"/>
      <w:r w:rsidRPr="0006211F">
        <w:rPr>
          <w:lang w:val="en-GB"/>
        </w:rPr>
        <w:t xml:space="preserve"> or transferred in accordance with the provisions of the Privacy and Data Protection Act 2014 and other applicable laws.</w:t>
      </w:r>
    </w:p>
    <w:p w14:paraId="54940368" w14:textId="3ED74237" w:rsidR="0006211F" w:rsidRPr="0006211F" w:rsidRDefault="0006211F" w:rsidP="0006211F">
      <w:pPr>
        <w:pStyle w:val="BodyText"/>
        <w:rPr>
          <w:lang w:val="en-GB"/>
        </w:rPr>
      </w:pPr>
      <w:r w:rsidRPr="0006211F">
        <w:rPr>
          <w:lang w:val="en-GB"/>
        </w:rPr>
        <w:t xml:space="preserve">The Department is committed to protecting the privacy of personal information. Enquiries about access to information should be directed to </w:t>
      </w:r>
      <w:hyperlink r:id="rId15" w:history="1">
        <w:r w:rsidRPr="00CA71CC">
          <w:rPr>
            <w:rStyle w:val="Hyperlink"/>
            <w:lang w:val="en-GB"/>
          </w:rPr>
          <w:t>foi.unit@delwp.vic.gov.au</w:t>
        </w:r>
      </w:hyperlink>
      <w:r w:rsidRPr="0006211F">
        <w:rPr>
          <w:lang w:val="en-GB"/>
        </w:rPr>
        <w:t>.</w:t>
      </w:r>
    </w:p>
    <w:p w14:paraId="4D53A1D2" w14:textId="0184E735" w:rsidR="0006211F" w:rsidRPr="0006211F" w:rsidRDefault="0006211F" w:rsidP="00CA71CC">
      <w:pPr>
        <w:pStyle w:val="Heading3"/>
      </w:pPr>
      <w:bookmarkStart w:id="30" w:name="_Toc158894195"/>
      <w:r w:rsidRPr="0006211F">
        <w:t>Local Jobs First Policy</w:t>
      </w:r>
      <w:bookmarkEnd w:id="30"/>
    </w:p>
    <w:p w14:paraId="1C73C47E" w14:textId="77777777" w:rsidR="0006211F" w:rsidRPr="0006211F" w:rsidRDefault="0006211F" w:rsidP="0006211F">
      <w:pPr>
        <w:pStyle w:val="BodyText"/>
        <w:rPr>
          <w:lang w:val="en-GB"/>
        </w:rPr>
      </w:pPr>
      <w:r w:rsidRPr="0006211F">
        <w:rPr>
          <w:lang w:val="en-GB"/>
        </w:rPr>
        <w:t xml:space="preserve">The Local Jobs First (LJF) Policy is a procurement policy that ensures that small and medium size enterprises are given full and fair opportunity to compete for both large and small government contracts, helping to create job opportunities, including for apprentices, </w:t>
      </w:r>
      <w:proofErr w:type="gramStart"/>
      <w:r w:rsidRPr="0006211F">
        <w:rPr>
          <w:lang w:val="en-GB"/>
        </w:rPr>
        <w:t>trainees</w:t>
      </w:r>
      <w:proofErr w:type="gramEnd"/>
      <w:r w:rsidRPr="0006211F">
        <w:rPr>
          <w:lang w:val="en-GB"/>
        </w:rPr>
        <w:t xml:space="preserve"> and cadets. This means that grant recipients using grant funding to procure goods and services must comply with LJF Policy.</w:t>
      </w:r>
    </w:p>
    <w:p w14:paraId="2045C907" w14:textId="77777777" w:rsidR="0006211F" w:rsidRPr="0006211F" w:rsidRDefault="0006211F" w:rsidP="0006211F">
      <w:pPr>
        <w:pStyle w:val="BodyText"/>
        <w:rPr>
          <w:lang w:val="en-GB"/>
        </w:rPr>
      </w:pPr>
      <w:r w:rsidRPr="0006211F">
        <w:rPr>
          <w:lang w:val="en-GB"/>
        </w:rPr>
        <w:t>Grant programs greater than $1 million for regional projects, and $3 million for metropolitan Melbourne or statewide projects are subject to LJF. Please refer to localjobsfirst.vic.gov.au for more details.</w:t>
      </w:r>
    </w:p>
    <w:p w14:paraId="303DCE50" w14:textId="6FA1D399" w:rsidR="0006211F" w:rsidRPr="0006211F" w:rsidRDefault="0006211F" w:rsidP="0006211F">
      <w:pPr>
        <w:pStyle w:val="BodyText"/>
        <w:rPr>
          <w:lang w:val="en-GB"/>
        </w:rPr>
      </w:pPr>
      <w:r w:rsidRPr="0006211F">
        <w:rPr>
          <w:lang w:val="en-GB"/>
        </w:rPr>
        <w:t xml:space="preserve">Potential recipients are also encouraged to engage with the Industry Capability Network (ICN) at the time of their application. Please refer to </w:t>
      </w:r>
      <w:hyperlink r:id="rId16" w:history="1">
        <w:r w:rsidRPr="009E2BDB">
          <w:rPr>
            <w:rStyle w:val="Hyperlink"/>
            <w:lang w:val="en-GB"/>
          </w:rPr>
          <w:t>icn.org.au</w:t>
        </w:r>
      </w:hyperlink>
      <w:r w:rsidRPr="0006211F">
        <w:rPr>
          <w:lang w:val="en-GB"/>
        </w:rPr>
        <w:t xml:space="preserve"> for more details.</w:t>
      </w:r>
    </w:p>
    <w:p w14:paraId="4E209274" w14:textId="77777777" w:rsidR="0006211F" w:rsidRPr="0006211F" w:rsidRDefault="0006211F" w:rsidP="009E2BDB">
      <w:pPr>
        <w:pStyle w:val="Heading3"/>
      </w:pPr>
      <w:bookmarkStart w:id="31" w:name="_Toc158894196"/>
      <w:r w:rsidRPr="0006211F">
        <w:lastRenderedPageBreak/>
        <w:t>Publicity</w:t>
      </w:r>
      <w:bookmarkEnd w:id="31"/>
    </w:p>
    <w:p w14:paraId="529F393E" w14:textId="77777777" w:rsidR="0006211F" w:rsidRPr="0006211F" w:rsidRDefault="0006211F" w:rsidP="0006211F">
      <w:pPr>
        <w:pStyle w:val="BodyText"/>
        <w:rPr>
          <w:lang w:val="en-GB"/>
        </w:rPr>
      </w:pPr>
      <w:r w:rsidRPr="0006211F">
        <w:rPr>
          <w:lang w:val="en-GB"/>
        </w:rPr>
        <w:t>Recipients must agree to cooperate with the Department in the promotion of the Program and their successful project. This may include involvement in media releases, case studies or promotional events and activities.</w:t>
      </w:r>
    </w:p>
    <w:p w14:paraId="4163D5D7" w14:textId="77777777" w:rsidR="0006211F" w:rsidRPr="0006211F" w:rsidRDefault="0006211F" w:rsidP="0006211F">
      <w:pPr>
        <w:pStyle w:val="BodyText"/>
        <w:rPr>
          <w:lang w:val="en-GB"/>
        </w:rPr>
      </w:pPr>
      <w:r w:rsidRPr="0006211F">
        <w:rPr>
          <w:lang w:val="en-GB"/>
        </w:rPr>
        <w:t>The Department may request recipients to fact check any text and seek approval to use any owned imagery associated with the activity prior to the publication of any such promotional materials.</w:t>
      </w:r>
    </w:p>
    <w:p w14:paraId="2E0F7C89" w14:textId="77777777" w:rsidR="0006211F" w:rsidRPr="0006211F" w:rsidRDefault="0006211F" w:rsidP="0006211F">
      <w:pPr>
        <w:pStyle w:val="BodyText"/>
        <w:rPr>
          <w:lang w:val="en-GB"/>
        </w:rPr>
      </w:pPr>
      <w:r w:rsidRPr="0006211F">
        <w:rPr>
          <w:lang w:val="en-GB"/>
        </w:rPr>
        <w:t>Details of successful grants are to remain confidential until formally announced by the Victorian Government.</w:t>
      </w:r>
    </w:p>
    <w:p w14:paraId="23296F09" w14:textId="77777777" w:rsidR="0006211F" w:rsidRPr="0006211F" w:rsidRDefault="0006211F" w:rsidP="0006211F">
      <w:pPr>
        <w:pStyle w:val="BodyText"/>
        <w:rPr>
          <w:lang w:val="en-GB"/>
        </w:rPr>
      </w:pPr>
      <w:r w:rsidRPr="0006211F">
        <w:rPr>
          <w:lang w:val="en-GB"/>
        </w:rPr>
        <w:t>All funded projects will be publicly listed in an annual report which is published on Agriculture Victoria’s website.</w:t>
      </w:r>
    </w:p>
    <w:p w14:paraId="079568E4" w14:textId="77777777" w:rsidR="0006211F" w:rsidRPr="0006211F" w:rsidRDefault="0006211F" w:rsidP="0006211F">
      <w:pPr>
        <w:pStyle w:val="BodyText"/>
        <w:rPr>
          <w:lang w:val="en-GB"/>
        </w:rPr>
      </w:pPr>
      <w:r w:rsidRPr="0006211F">
        <w:rPr>
          <w:lang w:val="en-GB"/>
        </w:rPr>
        <w:t>Recipients must ensure that when publishing any documents related to the project that the relevant compensation fund is attributed as the source of the project’s funding. Standing wording may be provided for this purpose.</w:t>
      </w:r>
    </w:p>
    <w:p w14:paraId="09E5A449" w14:textId="77777777" w:rsidR="0006211F" w:rsidRPr="0006211F" w:rsidRDefault="0006211F" w:rsidP="009E2BDB">
      <w:pPr>
        <w:pStyle w:val="Heading3"/>
      </w:pPr>
      <w:bookmarkStart w:id="32" w:name="_Toc158894197"/>
      <w:r w:rsidRPr="0006211F">
        <w:t>Post Project Evaluation</w:t>
      </w:r>
      <w:bookmarkEnd w:id="32"/>
    </w:p>
    <w:p w14:paraId="49DC3380" w14:textId="77777777" w:rsidR="0006211F" w:rsidRPr="0006211F" w:rsidRDefault="0006211F" w:rsidP="0006211F">
      <w:pPr>
        <w:pStyle w:val="BodyText"/>
        <w:rPr>
          <w:lang w:val="en-GB"/>
        </w:rPr>
      </w:pPr>
      <w:r w:rsidRPr="0006211F">
        <w:rPr>
          <w:lang w:val="en-GB"/>
        </w:rPr>
        <w:t xml:space="preserve">As a condition of funding, recipients agree to participate in any evaluation of the 2024 Program. This may be a small end of grant survey or a short interview case-study. </w:t>
      </w:r>
    </w:p>
    <w:p w14:paraId="1FB08B12" w14:textId="77777777" w:rsidR="0006211F" w:rsidRPr="0006211F" w:rsidRDefault="0006211F" w:rsidP="0006211F">
      <w:pPr>
        <w:pStyle w:val="BodyText"/>
        <w:rPr>
          <w:lang w:val="en-GB"/>
        </w:rPr>
      </w:pPr>
      <w:r w:rsidRPr="0006211F">
        <w:rPr>
          <w:lang w:val="en-GB"/>
        </w:rPr>
        <w:t>This evaluation survey is important for the Department to be able to assess the effectiveness of the successful projects in providing improvements to the industries to ensure the Program is being utilised to provide the best outcomes for Victorian producers. It is also important for the Department to improve its support to Victorian businesses and to ensure that grants under the Program can be better tailored to meet the needs of Victorian businesses in the future.</w:t>
      </w:r>
    </w:p>
    <w:p w14:paraId="52D3F5A6" w14:textId="4C5291C2" w:rsidR="0006211F" w:rsidRPr="0006211F" w:rsidRDefault="0006211F" w:rsidP="009E2BDB">
      <w:pPr>
        <w:pStyle w:val="Heading2"/>
      </w:pPr>
      <w:bookmarkStart w:id="33" w:name="_Toc158894198"/>
      <w:r w:rsidRPr="0006211F">
        <w:t>9.</w:t>
      </w:r>
      <w:r w:rsidRPr="0006211F">
        <w:tab/>
      </w:r>
      <w:r w:rsidR="005A2D1B" w:rsidRPr="0006211F">
        <w:t xml:space="preserve">Right </w:t>
      </w:r>
      <w:r w:rsidR="005A2D1B">
        <w:t>o</w:t>
      </w:r>
      <w:r w:rsidR="005A2D1B" w:rsidRPr="0006211F">
        <w:t>f Amendment</w:t>
      </w:r>
      <w:bookmarkEnd w:id="33"/>
    </w:p>
    <w:p w14:paraId="2883BF6B" w14:textId="77777777" w:rsidR="0006211F" w:rsidRPr="0006211F" w:rsidRDefault="0006211F" w:rsidP="0006211F">
      <w:pPr>
        <w:pStyle w:val="BodyText"/>
        <w:rPr>
          <w:lang w:val="en-GB"/>
        </w:rPr>
      </w:pPr>
      <w:r w:rsidRPr="0006211F">
        <w:rPr>
          <w:lang w:val="en-GB"/>
        </w:rPr>
        <w:t>The Department reserves the right to amend the conditions and processes outlined in these guidelines where appropriate.</w:t>
      </w:r>
    </w:p>
    <w:p w14:paraId="615324BD" w14:textId="3AC29268" w:rsidR="0006211F" w:rsidRPr="0006211F" w:rsidRDefault="0006211F" w:rsidP="009E2BDB">
      <w:pPr>
        <w:pStyle w:val="Heading2"/>
      </w:pPr>
      <w:bookmarkStart w:id="34" w:name="_Toc158894199"/>
      <w:r w:rsidRPr="0006211F">
        <w:lastRenderedPageBreak/>
        <w:t>10.</w:t>
      </w:r>
      <w:r w:rsidR="00192DC5">
        <w:t xml:space="preserve"> </w:t>
      </w:r>
      <w:r w:rsidR="003A393C">
        <w:t xml:space="preserve"> </w:t>
      </w:r>
      <w:r w:rsidR="005A2D1B" w:rsidRPr="0006211F">
        <w:t>Further Information</w:t>
      </w:r>
      <w:bookmarkEnd w:id="34"/>
    </w:p>
    <w:p w14:paraId="4DB561B1" w14:textId="08868A81" w:rsidR="0006211F" w:rsidRDefault="0006211F" w:rsidP="0006211F">
      <w:pPr>
        <w:pStyle w:val="BodyText"/>
        <w:rPr>
          <w:lang w:val="en-GB"/>
        </w:rPr>
      </w:pPr>
      <w:r w:rsidRPr="0006211F">
        <w:rPr>
          <w:lang w:val="en-GB"/>
        </w:rPr>
        <w:t>For more information on the Program please visit</w:t>
      </w:r>
      <w:r w:rsidRPr="0006211F">
        <w:rPr>
          <w:lang w:val="en-GB"/>
        </w:rPr>
        <w:br/>
      </w:r>
      <w:hyperlink r:id="rId17" w:history="1">
        <w:r w:rsidRPr="009E2BDB">
          <w:rPr>
            <w:rStyle w:val="Hyperlink"/>
            <w:lang w:val="en-GB"/>
          </w:rPr>
          <w:t>agriculture.vic.gov.au/</w:t>
        </w:r>
        <w:proofErr w:type="spellStart"/>
        <w:r w:rsidRPr="009E2BDB">
          <w:rPr>
            <w:rStyle w:val="Hyperlink"/>
            <w:lang w:val="en-GB"/>
          </w:rPr>
          <w:t>livestockbiosecurityfunds</w:t>
        </w:r>
        <w:proofErr w:type="spellEnd"/>
      </w:hyperlink>
      <w:r w:rsidRPr="0006211F">
        <w:rPr>
          <w:lang w:val="en-GB"/>
        </w:rPr>
        <w:t xml:space="preserve"> </w:t>
      </w:r>
    </w:p>
    <w:p w14:paraId="58E26D44" w14:textId="77777777" w:rsidR="009E2BDB" w:rsidRDefault="009E2BDB">
      <w:pPr>
        <w:suppressAutoHyphens w:val="0"/>
        <w:spacing w:after="160"/>
        <w:rPr>
          <w:rFonts w:asciiTheme="majorHAnsi" w:eastAsiaTheme="majorEastAsia" w:hAnsiTheme="majorHAnsi" w:cs="Times New Roman (Headings CS)"/>
          <w:b/>
          <w:bCs/>
          <w:sz w:val="44"/>
          <w:szCs w:val="36"/>
          <w:lang w:val="en-GB"/>
        </w:rPr>
      </w:pPr>
      <w:r>
        <w:rPr>
          <w:lang w:val="en-GB"/>
        </w:rPr>
        <w:br w:type="page"/>
      </w:r>
    </w:p>
    <w:p w14:paraId="43D742AC" w14:textId="2E3F9922" w:rsidR="0006211F" w:rsidRDefault="0006211F" w:rsidP="009E2BDB">
      <w:pPr>
        <w:pStyle w:val="Heading1"/>
        <w:rPr>
          <w:lang w:val="en-GB"/>
        </w:rPr>
      </w:pPr>
      <w:r w:rsidRPr="0006211F">
        <w:rPr>
          <w:lang w:val="en-GB"/>
        </w:rPr>
        <w:lastRenderedPageBreak/>
        <w:t>APPENDIX</w:t>
      </w:r>
    </w:p>
    <w:p w14:paraId="6BD422B9" w14:textId="77777777" w:rsidR="0006211F" w:rsidRPr="0006211F" w:rsidRDefault="0006211F" w:rsidP="009E2BDB">
      <w:pPr>
        <w:pStyle w:val="Heading2"/>
      </w:pPr>
      <w:bookmarkStart w:id="35" w:name="_Toc158894200"/>
      <w:r w:rsidRPr="0006211F">
        <w:t>Appendix 1 – Statement of Strategic Intent for the Cattle Compensation Fund</w:t>
      </w:r>
      <w:bookmarkEnd w:id="35"/>
    </w:p>
    <w:p w14:paraId="4444FCC8" w14:textId="54E2E521" w:rsidR="0006211F" w:rsidRPr="0006211F" w:rsidRDefault="0006211F" w:rsidP="0006211F">
      <w:pPr>
        <w:pStyle w:val="BodyText"/>
        <w:rPr>
          <w:lang w:val="en-GB"/>
        </w:rPr>
      </w:pPr>
      <w:r w:rsidRPr="0006211F">
        <w:rPr>
          <w:lang w:val="en-GB"/>
        </w:rPr>
        <w:t>Under the</w:t>
      </w:r>
      <w:r w:rsidRPr="0006211F">
        <w:rPr>
          <w:i/>
          <w:iCs/>
          <w:lang w:val="en-GB"/>
        </w:rPr>
        <w:t xml:space="preserve"> Livestock Disease Control Act 1994</w:t>
      </w:r>
      <w:r w:rsidRPr="0006211F">
        <w:rPr>
          <w:lang w:val="en-GB"/>
        </w:rPr>
        <w:t xml:space="preserve"> (the Act), stamp duty on the sale of cattle in Victoria is paid into the Cattle Compensation Fund (CCF).</w:t>
      </w:r>
    </w:p>
    <w:p w14:paraId="25A25BF3" w14:textId="77777777" w:rsidR="0006211F" w:rsidRPr="0006211F" w:rsidRDefault="0006211F" w:rsidP="0006211F">
      <w:pPr>
        <w:pStyle w:val="BodyText"/>
        <w:rPr>
          <w:lang w:val="en-GB"/>
        </w:rPr>
      </w:pPr>
      <w:r w:rsidRPr="0006211F">
        <w:rPr>
          <w:lang w:val="en-GB"/>
        </w:rPr>
        <w:t>The use of these funds must be consistent with the purpose and objectives of the Act. The main purposes of this Act are to provide for the prevention, monitoring and control of livestock diseases and to provide compensation for losses caused by certain livestock diseases.</w:t>
      </w:r>
    </w:p>
    <w:p w14:paraId="60AE4434" w14:textId="77777777" w:rsidR="0006211F" w:rsidRPr="0006211F" w:rsidRDefault="0006211F" w:rsidP="0006211F">
      <w:pPr>
        <w:pStyle w:val="BodyText"/>
        <w:rPr>
          <w:lang w:val="en-GB"/>
        </w:rPr>
      </w:pPr>
      <w:r w:rsidRPr="0006211F">
        <w:rPr>
          <w:lang w:val="en-GB"/>
        </w:rPr>
        <w:t>The Cattle Compensation Advisory Committee (CCAC), established under the Act, oversees a regular grant program administered by Agriculture Victoria to support programs and projects for the benefit of the Victorian cattle industry.</w:t>
      </w:r>
    </w:p>
    <w:p w14:paraId="187B714F" w14:textId="77777777" w:rsidR="0006211F" w:rsidRPr="0006211F" w:rsidRDefault="0006211F" w:rsidP="0006211F">
      <w:pPr>
        <w:pStyle w:val="BodyText"/>
        <w:rPr>
          <w:lang w:val="en-GB"/>
        </w:rPr>
      </w:pPr>
      <w:r w:rsidRPr="0006211F">
        <w:rPr>
          <w:lang w:val="en-GB"/>
        </w:rPr>
        <w:t>The CCAC provides advice to the Minister for Agriculture on payments from the CCF, including recommended grants.</w:t>
      </w:r>
    </w:p>
    <w:p w14:paraId="52B6A530" w14:textId="77777777" w:rsidR="0006211F" w:rsidRPr="0006211F" w:rsidRDefault="0006211F" w:rsidP="00192DC5">
      <w:pPr>
        <w:pStyle w:val="HeadingFOUR"/>
      </w:pPr>
      <w:r w:rsidRPr="0006211F">
        <w:t>Longer term outcomes</w:t>
      </w:r>
    </w:p>
    <w:p w14:paraId="43EBF2D6" w14:textId="77777777" w:rsidR="0006211F" w:rsidRPr="004627B1" w:rsidRDefault="0006211F" w:rsidP="0006211F">
      <w:pPr>
        <w:pStyle w:val="BodyText"/>
        <w:rPr>
          <w:highlight w:val="yellow"/>
          <w:lang w:val="en-GB"/>
        </w:rPr>
      </w:pPr>
      <w:r w:rsidRPr="004627B1">
        <w:rPr>
          <w:highlight w:val="yellow"/>
          <w:lang w:val="en-GB"/>
        </w:rPr>
        <w:t>Consistent with the Act, the CCAC is seeking to support programs and projects that contribute to the following long-term outcomes:</w:t>
      </w:r>
    </w:p>
    <w:p w14:paraId="4DCFD1C2" w14:textId="77777777" w:rsidR="0006211F" w:rsidRPr="004627B1" w:rsidRDefault="0006211F" w:rsidP="00A30B87">
      <w:pPr>
        <w:pStyle w:val="ListBullet"/>
        <w:rPr>
          <w:highlight w:val="yellow"/>
          <w:lang w:val="en-GB"/>
        </w:rPr>
      </w:pPr>
      <w:r w:rsidRPr="004627B1">
        <w:rPr>
          <w:highlight w:val="yellow"/>
          <w:lang w:val="en-GB"/>
        </w:rPr>
        <w:t>Maintain market access and competitive advantage for the Victorian cattle industry.</w:t>
      </w:r>
    </w:p>
    <w:p w14:paraId="38AEED66" w14:textId="77777777" w:rsidR="0006211F" w:rsidRPr="004627B1" w:rsidRDefault="0006211F" w:rsidP="00A30B87">
      <w:pPr>
        <w:pStyle w:val="ListBullet"/>
        <w:rPr>
          <w:highlight w:val="yellow"/>
          <w:lang w:val="en-GB"/>
        </w:rPr>
      </w:pPr>
      <w:r w:rsidRPr="004627B1">
        <w:rPr>
          <w:highlight w:val="yellow"/>
          <w:lang w:val="en-GB"/>
        </w:rPr>
        <w:t>Improved on-farm biosecurity and preparedness for an exotic animal disease.</w:t>
      </w:r>
    </w:p>
    <w:p w14:paraId="29D62771" w14:textId="77777777" w:rsidR="0006211F" w:rsidRPr="004627B1" w:rsidRDefault="0006211F" w:rsidP="00A30B87">
      <w:pPr>
        <w:pStyle w:val="Bullet1last"/>
        <w:rPr>
          <w:highlight w:val="yellow"/>
          <w:lang w:val="en-GB"/>
        </w:rPr>
      </w:pPr>
      <w:r w:rsidRPr="004627B1">
        <w:rPr>
          <w:highlight w:val="yellow"/>
          <w:lang w:val="en-GB"/>
        </w:rPr>
        <w:t>Improved animal health.</w:t>
      </w:r>
    </w:p>
    <w:p w14:paraId="17B3D52C" w14:textId="77777777" w:rsidR="0006211F" w:rsidRPr="00FE7DB9" w:rsidRDefault="0006211F" w:rsidP="00192DC5">
      <w:pPr>
        <w:pStyle w:val="HeadingFOUR"/>
        <w:rPr>
          <w:highlight w:val="green"/>
        </w:rPr>
      </w:pPr>
      <w:r w:rsidRPr="00FE7DB9">
        <w:rPr>
          <w:highlight w:val="green"/>
        </w:rPr>
        <w:t>Challenges for the industry</w:t>
      </w:r>
    </w:p>
    <w:p w14:paraId="6905B885" w14:textId="77777777" w:rsidR="0006211F" w:rsidRPr="00FE7DB9" w:rsidRDefault="0006211F" w:rsidP="0006211F">
      <w:pPr>
        <w:pStyle w:val="BodyText"/>
        <w:rPr>
          <w:highlight w:val="green"/>
          <w:lang w:val="en-GB"/>
        </w:rPr>
      </w:pPr>
      <w:r w:rsidRPr="00FE7DB9">
        <w:rPr>
          <w:highlight w:val="green"/>
          <w:lang w:val="en-GB"/>
        </w:rPr>
        <w:t>Biosecurity risks are increasing, which means increased likelihood and consequences of a pest or disease incursion. Factors driving these increasing risks include:</w:t>
      </w:r>
    </w:p>
    <w:p w14:paraId="1B84C7B8" w14:textId="77777777" w:rsidR="0006211F" w:rsidRPr="00FE7DB9" w:rsidRDefault="0006211F" w:rsidP="00A30B87">
      <w:pPr>
        <w:pStyle w:val="ListBullet"/>
        <w:rPr>
          <w:highlight w:val="green"/>
          <w:lang w:val="en-GB"/>
        </w:rPr>
      </w:pPr>
      <w:r w:rsidRPr="00FE7DB9">
        <w:rPr>
          <w:highlight w:val="green"/>
          <w:lang w:val="en-GB"/>
        </w:rPr>
        <w:t>Demographic and generational changes in agriculture and land use (peri-urban, corporate, new entry farmers, etc).</w:t>
      </w:r>
    </w:p>
    <w:p w14:paraId="4FEEABEB" w14:textId="77777777" w:rsidR="0006211F" w:rsidRPr="00FE7DB9" w:rsidRDefault="0006211F" w:rsidP="00A30B87">
      <w:pPr>
        <w:pStyle w:val="ListBullet"/>
        <w:rPr>
          <w:highlight w:val="green"/>
          <w:lang w:val="en-GB"/>
        </w:rPr>
      </w:pPr>
      <w:r w:rsidRPr="00FE7DB9">
        <w:rPr>
          <w:highlight w:val="green"/>
          <w:lang w:val="en-GB"/>
        </w:rPr>
        <w:lastRenderedPageBreak/>
        <w:t>Intensification of animal production.</w:t>
      </w:r>
    </w:p>
    <w:p w14:paraId="12463A8E" w14:textId="77777777" w:rsidR="0006211F" w:rsidRPr="00FE7DB9" w:rsidRDefault="0006211F" w:rsidP="00A30B87">
      <w:pPr>
        <w:pStyle w:val="ListBullet"/>
        <w:rPr>
          <w:highlight w:val="green"/>
          <w:lang w:val="en-GB"/>
        </w:rPr>
      </w:pPr>
      <w:r w:rsidRPr="00FE7DB9">
        <w:rPr>
          <w:highlight w:val="green"/>
          <w:lang w:val="en-GB"/>
        </w:rPr>
        <w:t>Increasing travel and trade.</w:t>
      </w:r>
    </w:p>
    <w:p w14:paraId="2B410772" w14:textId="77777777" w:rsidR="0006211F" w:rsidRPr="00FE7DB9" w:rsidRDefault="0006211F" w:rsidP="00A30B87">
      <w:pPr>
        <w:pStyle w:val="Bullet1last"/>
        <w:rPr>
          <w:highlight w:val="green"/>
          <w:lang w:val="en-GB"/>
        </w:rPr>
      </w:pPr>
      <w:r w:rsidRPr="00FE7DB9">
        <w:rPr>
          <w:highlight w:val="green"/>
          <w:lang w:val="en-GB"/>
        </w:rPr>
        <w:t>Climate change and changes to livestock and disease movement.</w:t>
      </w:r>
    </w:p>
    <w:p w14:paraId="78C75A2E" w14:textId="77777777" w:rsidR="0006211F" w:rsidRPr="0006211F" w:rsidRDefault="0006211F" w:rsidP="0006211F">
      <w:pPr>
        <w:pStyle w:val="BodyText"/>
        <w:rPr>
          <w:lang w:val="en-GB"/>
        </w:rPr>
      </w:pPr>
      <w:r w:rsidRPr="0006211F">
        <w:rPr>
          <w:lang w:val="en-GB"/>
        </w:rPr>
        <w:t>The CCAC seeks to identify opportunities to invest in projects that will better manage biosecurity risks in the medium term in the following areas:</w:t>
      </w:r>
    </w:p>
    <w:p w14:paraId="12DB98A4" w14:textId="77777777" w:rsidR="0006211F" w:rsidRPr="0006211F" w:rsidRDefault="0006211F" w:rsidP="0006211F">
      <w:pPr>
        <w:pStyle w:val="BodyText"/>
        <w:rPr>
          <w:lang w:val="en-GB"/>
        </w:rPr>
      </w:pPr>
      <w:r w:rsidRPr="0006211F">
        <w:rPr>
          <w:lang w:val="en-GB"/>
        </w:rPr>
        <w:t>Increased collaboration and best practice management of animal health and biosecurity.</w:t>
      </w:r>
    </w:p>
    <w:p w14:paraId="0D7B7DB5" w14:textId="77777777" w:rsidR="0006211F" w:rsidRPr="0006211F" w:rsidRDefault="0006211F" w:rsidP="0006211F">
      <w:pPr>
        <w:pStyle w:val="BodyText"/>
        <w:rPr>
          <w:lang w:val="en-GB"/>
        </w:rPr>
      </w:pPr>
      <w:r w:rsidRPr="0006211F">
        <w:rPr>
          <w:lang w:val="en-GB"/>
        </w:rPr>
        <w:t>Build capabilities to prevent, monitor and control livestock diseases.</w:t>
      </w:r>
    </w:p>
    <w:p w14:paraId="55925016" w14:textId="77777777" w:rsidR="0006211F" w:rsidRPr="0006211F" w:rsidRDefault="0006211F" w:rsidP="0006211F">
      <w:pPr>
        <w:pStyle w:val="BodyText"/>
        <w:rPr>
          <w:lang w:val="en-GB"/>
        </w:rPr>
      </w:pPr>
      <w:r w:rsidRPr="0006211F">
        <w:rPr>
          <w:lang w:val="en-GB"/>
        </w:rPr>
        <w:t>Promote proactive management and reporting of biosecurity risks across supply chain.</w:t>
      </w:r>
    </w:p>
    <w:p w14:paraId="691732D5" w14:textId="77777777" w:rsidR="0006211F" w:rsidRPr="0006211F" w:rsidRDefault="0006211F" w:rsidP="0006211F">
      <w:pPr>
        <w:pStyle w:val="BodyText"/>
        <w:rPr>
          <w:lang w:val="en-GB"/>
        </w:rPr>
      </w:pPr>
      <w:r w:rsidRPr="0006211F">
        <w:rPr>
          <w:lang w:val="en-GB"/>
        </w:rPr>
        <w:t xml:space="preserve">The CCAC acknowledges that the CCF is only one source of funds in a complex biosecurity system. Grants are targeted at projects that provide benefits to the </w:t>
      </w:r>
      <w:proofErr w:type="gramStart"/>
      <w:r w:rsidRPr="0006211F">
        <w:rPr>
          <w:lang w:val="en-GB"/>
        </w:rPr>
        <w:t>industry as a whole, where</w:t>
      </w:r>
      <w:proofErr w:type="gramEnd"/>
      <w:r w:rsidRPr="0006211F">
        <w:rPr>
          <w:lang w:val="en-GB"/>
        </w:rPr>
        <w:t xml:space="preserve"> opportunities exist between the responsibilities of government and the opportunities for businesses to capture value. The committee will not fund the core business of government or development of commercial products.</w:t>
      </w:r>
    </w:p>
    <w:p w14:paraId="3A060339" w14:textId="77777777" w:rsidR="0006211F" w:rsidRPr="0006211F" w:rsidRDefault="0006211F" w:rsidP="0006211F">
      <w:pPr>
        <w:pStyle w:val="BodyText"/>
        <w:rPr>
          <w:lang w:val="en-GB"/>
        </w:rPr>
      </w:pPr>
      <w:r w:rsidRPr="0006211F">
        <w:rPr>
          <w:lang w:val="en-GB"/>
        </w:rPr>
        <w:t>Successful projects will ideally demonstrate:</w:t>
      </w:r>
    </w:p>
    <w:p w14:paraId="13B6867D" w14:textId="77777777" w:rsidR="0006211F" w:rsidRPr="0006211F" w:rsidRDefault="0006211F" w:rsidP="00A30B87">
      <w:pPr>
        <w:pStyle w:val="ListBullet"/>
        <w:rPr>
          <w:lang w:val="en-GB"/>
        </w:rPr>
      </w:pPr>
      <w:r w:rsidRPr="0006211F">
        <w:rPr>
          <w:lang w:val="en-GB"/>
        </w:rPr>
        <w:t xml:space="preserve">Innovative solutions to addressing livestock biosecurity risks. </w:t>
      </w:r>
    </w:p>
    <w:p w14:paraId="5C5228A6" w14:textId="77777777" w:rsidR="0006211F" w:rsidRPr="0006211F" w:rsidRDefault="0006211F" w:rsidP="00A30B87">
      <w:pPr>
        <w:pStyle w:val="ListBullet"/>
        <w:rPr>
          <w:lang w:val="en-GB"/>
        </w:rPr>
      </w:pPr>
      <w:r w:rsidRPr="0006211F">
        <w:rPr>
          <w:lang w:val="en-GB"/>
        </w:rPr>
        <w:t>Collaboration where possible across value chains.</w:t>
      </w:r>
    </w:p>
    <w:p w14:paraId="56EE4DD5" w14:textId="77777777" w:rsidR="0006211F" w:rsidRPr="0006211F" w:rsidRDefault="0006211F" w:rsidP="00A30B87">
      <w:pPr>
        <w:pStyle w:val="Bullet1last"/>
        <w:rPr>
          <w:lang w:val="en-GB"/>
        </w:rPr>
      </w:pPr>
      <w:r w:rsidRPr="0006211F">
        <w:rPr>
          <w:lang w:val="en-GB"/>
        </w:rPr>
        <w:t xml:space="preserve">Quantifiable benefits to the </w:t>
      </w:r>
      <w:proofErr w:type="gramStart"/>
      <w:r w:rsidRPr="0006211F">
        <w:rPr>
          <w:lang w:val="en-GB"/>
        </w:rPr>
        <w:t>industry as a whole, which</w:t>
      </w:r>
      <w:proofErr w:type="gramEnd"/>
      <w:r w:rsidRPr="0006211F">
        <w:rPr>
          <w:lang w:val="en-GB"/>
        </w:rPr>
        <w:t xml:space="preserve"> are measured and evaluated with evidence and data.</w:t>
      </w:r>
    </w:p>
    <w:p w14:paraId="0F2CC2F1" w14:textId="62A67E45" w:rsidR="0006211F" w:rsidRPr="0006211F" w:rsidRDefault="0006211F" w:rsidP="00192DC5">
      <w:pPr>
        <w:pStyle w:val="HeadingFOUR"/>
      </w:pPr>
      <w:r w:rsidRPr="0006211F">
        <w:t>Key focus areas</w:t>
      </w:r>
    </w:p>
    <w:p w14:paraId="433F53DE" w14:textId="284708BE" w:rsidR="0006211F" w:rsidRPr="0006211F" w:rsidRDefault="0006211F" w:rsidP="0006211F">
      <w:pPr>
        <w:pStyle w:val="BodyText"/>
        <w:rPr>
          <w:lang w:val="en-GB"/>
        </w:rPr>
      </w:pPr>
      <w:r w:rsidRPr="0006211F">
        <w:rPr>
          <w:lang w:val="en-GB"/>
        </w:rPr>
        <w:t xml:space="preserve">The 2024 LBF grant program aims to fund projects and programs that prevent, monitor, and control diseases, thereby enhancing animal health, </w:t>
      </w:r>
      <w:proofErr w:type="gramStart"/>
      <w:r w:rsidRPr="0006211F">
        <w:rPr>
          <w:lang w:val="en-GB"/>
        </w:rPr>
        <w:t>biosecurity</w:t>
      </w:r>
      <w:proofErr w:type="gramEnd"/>
      <w:r w:rsidRPr="0006211F">
        <w:rPr>
          <w:lang w:val="en-GB"/>
        </w:rPr>
        <w:t xml:space="preserve"> and market access for the benefit of the Victorian cattle industry.</w:t>
      </w:r>
    </w:p>
    <w:p w14:paraId="6F814DF4" w14:textId="77777777" w:rsidR="0006211F" w:rsidRPr="0006211F" w:rsidRDefault="0006211F" w:rsidP="0006211F">
      <w:pPr>
        <w:pStyle w:val="BodyText"/>
        <w:rPr>
          <w:lang w:val="en-GB"/>
        </w:rPr>
      </w:pPr>
      <w:r w:rsidRPr="0006211F">
        <w:rPr>
          <w:lang w:val="en-GB"/>
        </w:rPr>
        <w:t>The CCAC is seeking to recommend to the Minister for Agriculture a portfolio of LBF grants across the following five areas:</w:t>
      </w:r>
    </w:p>
    <w:p w14:paraId="4E986F78" w14:textId="77777777" w:rsidR="0006211F" w:rsidRPr="00657AFF" w:rsidRDefault="0006211F" w:rsidP="007E2AFE">
      <w:pPr>
        <w:pStyle w:val="ListNumber"/>
        <w:numPr>
          <w:ilvl w:val="0"/>
          <w:numId w:val="25"/>
        </w:numPr>
        <w:tabs>
          <w:tab w:val="clear" w:pos="2345"/>
          <w:tab w:val="num" w:pos="360"/>
        </w:tabs>
        <w:ind w:left="360"/>
        <w:rPr>
          <w:highlight w:val="cyan"/>
          <w:lang w:val="en-GB"/>
        </w:rPr>
      </w:pPr>
      <w:r w:rsidRPr="00657AFF">
        <w:rPr>
          <w:highlight w:val="cyan"/>
          <w:lang w:val="en-GB"/>
        </w:rPr>
        <w:t xml:space="preserve">Preparedness for response – Prevention and building response capability, capacity and </w:t>
      </w:r>
      <w:proofErr w:type="gramStart"/>
      <w:r w:rsidRPr="00657AFF">
        <w:rPr>
          <w:highlight w:val="cyan"/>
          <w:lang w:val="en-GB"/>
        </w:rPr>
        <w:t>planning</w:t>
      </w:r>
      <w:proofErr w:type="gramEnd"/>
    </w:p>
    <w:p w14:paraId="48F922BD" w14:textId="77777777" w:rsidR="0006211F" w:rsidRPr="00657AFF" w:rsidRDefault="0006211F" w:rsidP="00A30B87">
      <w:pPr>
        <w:pStyle w:val="ListNumber"/>
        <w:rPr>
          <w:highlight w:val="cyan"/>
          <w:lang w:val="en-GB"/>
        </w:rPr>
      </w:pPr>
      <w:r w:rsidRPr="00657AFF">
        <w:rPr>
          <w:highlight w:val="cyan"/>
          <w:lang w:val="en-GB"/>
        </w:rPr>
        <w:t xml:space="preserve">Traceability – enhance system integrity and </w:t>
      </w:r>
      <w:proofErr w:type="gramStart"/>
      <w:r w:rsidRPr="00657AFF">
        <w:rPr>
          <w:highlight w:val="cyan"/>
          <w:lang w:val="en-GB"/>
        </w:rPr>
        <w:t>effectiveness</w:t>
      </w:r>
      <w:proofErr w:type="gramEnd"/>
    </w:p>
    <w:p w14:paraId="18B685D4" w14:textId="77777777" w:rsidR="0006211F" w:rsidRPr="00657AFF" w:rsidRDefault="0006211F" w:rsidP="00A30B87">
      <w:pPr>
        <w:pStyle w:val="ListNumber"/>
        <w:rPr>
          <w:highlight w:val="cyan"/>
          <w:lang w:val="en-GB"/>
        </w:rPr>
      </w:pPr>
      <w:r w:rsidRPr="00657AFF">
        <w:rPr>
          <w:highlight w:val="cyan"/>
          <w:lang w:val="en-GB"/>
        </w:rPr>
        <w:lastRenderedPageBreak/>
        <w:t>Early detection – improved surveillance and monitoring</w:t>
      </w:r>
    </w:p>
    <w:p w14:paraId="2D38CF56" w14:textId="77777777" w:rsidR="0006211F" w:rsidRPr="00657AFF" w:rsidRDefault="0006211F" w:rsidP="00A30B87">
      <w:pPr>
        <w:pStyle w:val="ListNumber"/>
        <w:rPr>
          <w:highlight w:val="cyan"/>
          <w:lang w:val="en-GB"/>
        </w:rPr>
      </w:pPr>
      <w:r w:rsidRPr="00657AFF">
        <w:rPr>
          <w:highlight w:val="cyan"/>
          <w:lang w:val="en-GB"/>
        </w:rPr>
        <w:t xml:space="preserve">Education – awareness and training for industry to better manage biosecurity </w:t>
      </w:r>
      <w:proofErr w:type="gramStart"/>
      <w:r w:rsidRPr="00657AFF">
        <w:rPr>
          <w:highlight w:val="cyan"/>
          <w:lang w:val="en-GB"/>
        </w:rPr>
        <w:t>risks</w:t>
      </w:r>
      <w:proofErr w:type="gramEnd"/>
    </w:p>
    <w:p w14:paraId="7776EE5B" w14:textId="77777777" w:rsidR="0006211F" w:rsidRPr="00657AFF" w:rsidRDefault="0006211F" w:rsidP="00A30B87">
      <w:pPr>
        <w:pStyle w:val="ListNumber"/>
        <w:rPr>
          <w:highlight w:val="cyan"/>
          <w:lang w:val="en-GB"/>
        </w:rPr>
      </w:pPr>
      <w:r w:rsidRPr="00657AFF">
        <w:rPr>
          <w:highlight w:val="cyan"/>
          <w:lang w:val="en-GB"/>
        </w:rPr>
        <w:t>Research – particularly technologies for testing and treatment (eg vaccines)</w:t>
      </w:r>
    </w:p>
    <w:p w14:paraId="28A30A47" w14:textId="77777777" w:rsidR="0006211F" w:rsidRPr="0006211F" w:rsidRDefault="0006211F" w:rsidP="0006211F">
      <w:pPr>
        <w:pStyle w:val="BodyText"/>
        <w:rPr>
          <w:lang w:val="en-GB"/>
        </w:rPr>
      </w:pPr>
      <w:r w:rsidRPr="0006211F">
        <w:rPr>
          <w:lang w:val="en-GB"/>
        </w:rPr>
        <w:t>Applications should clearly identify how the proposal will deliver benefits to the Victorian cattle industry in one or more of these areas.</w:t>
      </w:r>
    </w:p>
    <w:p w14:paraId="11CE0AF4" w14:textId="77777777" w:rsidR="0006211F" w:rsidRPr="0006211F" w:rsidRDefault="0006211F" w:rsidP="00192DC5">
      <w:pPr>
        <w:pStyle w:val="HeadingFOUR"/>
      </w:pPr>
      <w:r w:rsidRPr="0006211F">
        <w:t>Targeted areas for 2024</w:t>
      </w:r>
    </w:p>
    <w:p w14:paraId="2886FF38" w14:textId="77777777" w:rsidR="0006211F" w:rsidRPr="0006211F" w:rsidRDefault="0006211F" w:rsidP="0006211F">
      <w:pPr>
        <w:pStyle w:val="BodyText"/>
        <w:rPr>
          <w:lang w:val="en-GB"/>
        </w:rPr>
      </w:pPr>
      <w:r w:rsidRPr="0006211F">
        <w:rPr>
          <w:lang w:val="en-GB"/>
        </w:rPr>
        <w:t>In addition to the broad focus areas listed above, the CCAC is seeking to support 2024 LBF grants in targeted areas:</w:t>
      </w:r>
    </w:p>
    <w:p w14:paraId="5DF9D33F" w14:textId="77777777" w:rsidR="0006211F" w:rsidRPr="002F5947" w:rsidRDefault="0006211F" w:rsidP="008C31DE">
      <w:pPr>
        <w:pStyle w:val="ListBullet"/>
        <w:rPr>
          <w:highlight w:val="lightGray"/>
          <w:lang w:val="en-GB"/>
        </w:rPr>
      </w:pPr>
      <w:r w:rsidRPr="002F5947">
        <w:rPr>
          <w:highlight w:val="lightGray"/>
          <w:lang w:val="en-GB"/>
        </w:rPr>
        <w:t xml:space="preserve">Livestock veterinary capability to respond to an EAD </w:t>
      </w:r>
      <w:proofErr w:type="gramStart"/>
      <w:r w:rsidRPr="002F5947">
        <w:rPr>
          <w:highlight w:val="lightGray"/>
          <w:lang w:val="en-GB"/>
        </w:rPr>
        <w:t>outbreak</w:t>
      </w:r>
      <w:proofErr w:type="gramEnd"/>
    </w:p>
    <w:p w14:paraId="5429F1CD" w14:textId="77777777" w:rsidR="0006211F" w:rsidRPr="002F5947" w:rsidRDefault="0006211F" w:rsidP="008C31DE">
      <w:pPr>
        <w:pStyle w:val="Bullet2"/>
        <w:rPr>
          <w:highlight w:val="lightGray"/>
        </w:rPr>
      </w:pPr>
      <w:r w:rsidRPr="002F5947">
        <w:rPr>
          <w:highlight w:val="lightGray"/>
        </w:rPr>
        <w:t xml:space="preserve">The Cattle Compensation Advisory Committee is seeking applications to support a mentoring and training program that will support new veterinarians to gain the skills, experience, </w:t>
      </w:r>
      <w:proofErr w:type="gramStart"/>
      <w:r w:rsidRPr="002F5947">
        <w:rPr>
          <w:highlight w:val="lightGray"/>
        </w:rPr>
        <w:t>networks</w:t>
      </w:r>
      <w:proofErr w:type="gramEnd"/>
      <w:r w:rsidRPr="002F5947">
        <w:rPr>
          <w:highlight w:val="lightGray"/>
        </w:rPr>
        <w:t xml:space="preserve"> and guidance to learn and thrive in a livestock veterinary career in regional Victoria and ensure Victoria maintains the capacity to respond effectively in an emergency disease outbreak. SGCAC is keen to support a component to provide these new vets with training relevant to the sheep and goat industry. </w:t>
      </w:r>
    </w:p>
    <w:p w14:paraId="682E1E1C" w14:textId="77777777" w:rsidR="0006211F" w:rsidRPr="002F5947" w:rsidRDefault="0006211F" w:rsidP="008C31DE">
      <w:pPr>
        <w:pStyle w:val="Bullet1last"/>
        <w:rPr>
          <w:highlight w:val="lightGray"/>
          <w:lang w:val="en-GB"/>
        </w:rPr>
      </w:pPr>
      <w:r w:rsidRPr="002F5947">
        <w:rPr>
          <w:highlight w:val="lightGray"/>
          <w:lang w:val="en-GB"/>
        </w:rPr>
        <w:t>Data management and animal health or potential residue feedback</w:t>
      </w:r>
    </w:p>
    <w:p w14:paraId="4C4613CE" w14:textId="77777777" w:rsidR="0006211F" w:rsidRPr="0006211F" w:rsidRDefault="0006211F" w:rsidP="00192DC5">
      <w:pPr>
        <w:pStyle w:val="HeadingFOUR"/>
      </w:pPr>
      <w:r w:rsidRPr="0006211F">
        <w:t>Who and How</w:t>
      </w:r>
    </w:p>
    <w:p w14:paraId="37729470" w14:textId="77777777" w:rsidR="0006211F" w:rsidRPr="0006211F" w:rsidRDefault="0006211F" w:rsidP="0006211F">
      <w:pPr>
        <w:pStyle w:val="BodyText"/>
        <w:rPr>
          <w:lang w:val="en-GB"/>
        </w:rPr>
      </w:pPr>
      <w:r w:rsidRPr="0006211F">
        <w:rPr>
          <w:lang w:val="en-GB"/>
        </w:rPr>
        <w:t>The CCAC would encourage applications from any eligible bodies across the supply chain, research institutions, industry bodies and the like.</w:t>
      </w:r>
    </w:p>
    <w:p w14:paraId="41B554EB" w14:textId="5E3A0BF7" w:rsidR="0006211F" w:rsidRPr="0006211F" w:rsidRDefault="0006211F" w:rsidP="0006211F">
      <w:pPr>
        <w:pStyle w:val="BodyText"/>
        <w:rPr>
          <w:lang w:val="en-GB"/>
        </w:rPr>
      </w:pPr>
      <w:r w:rsidRPr="0006211F">
        <w:rPr>
          <w:lang w:val="en-GB"/>
        </w:rPr>
        <w:t xml:space="preserve">Further details can be found in the 2024 LBF Grant Program guidelines and the Agriculture Victoria website at </w:t>
      </w:r>
      <w:hyperlink r:id="rId18" w:history="1">
        <w:r w:rsidRPr="008C31DE">
          <w:rPr>
            <w:rStyle w:val="Hyperlink"/>
            <w:lang w:val="en-GB"/>
          </w:rPr>
          <w:t>LBF grant program</w:t>
        </w:r>
      </w:hyperlink>
      <w:r w:rsidRPr="0006211F">
        <w:rPr>
          <w:lang w:val="en-GB"/>
        </w:rPr>
        <w:t xml:space="preserve">. </w:t>
      </w:r>
    </w:p>
    <w:p w14:paraId="6487991B" w14:textId="11F66FC7" w:rsidR="0006211F" w:rsidRPr="008C31DE" w:rsidRDefault="0006211F" w:rsidP="0006211F">
      <w:pPr>
        <w:pStyle w:val="BodyText"/>
        <w:rPr>
          <w:lang w:val="en-GB"/>
        </w:rPr>
      </w:pPr>
      <w:r w:rsidRPr="0006211F">
        <w:rPr>
          <w:lang w:val="en-GB"/>
        </w:rPr>
        <w:t xml:space="preserve">Any questions can be directed to </w:t>
      </w:r>
      <w:hyperlink r:id="rId19" w:history="1">
        <w:r w:rsidRPr="008C31DE">
          <w:rPr>
            <w:rStyle w:val="Hyperlink"/>
            <w:lang w:val="en-GB"/>
          </w:rPr>
          <w:t>LivestockBiosecurityFund@agriculture.vic.gov.au</w:t>
        </w:r>
      </w:hyperlink>
      <w:r w:rsidRPr="008C31DE">
        <w:rPr>
          <w:lang w:val="en-GB"/>
        </w:rPr>
        <w:t>.</w:t>
      </w:r>
    </w:p>
    <w:p w14:paraId="268B3B11" w14:textId="77777777" w:rsidR="008C31DE" w:rsidRDefault="008C31DE">
      <w:pPr>
        <w:suppressAutoHyphens w:val="0"/>
        <w:spacing w:after="160"/>
        <w:rPr>
          <w:rFonts w:asciiTheme="majorHAnsi" w:eastAsiaTheme="majorEastAsia" w:hAnsiTheme="majorHAnsi" w:cs="Times New Roman (Headings CS)"/>
          <w:b/>
          <w:bCs/>
          <w:color w:val="000000" w:themeColor="text1"/>
          <w:sz w:val="36"/>
          <w:szCs w:val="30"/>
          <w:lang w:val="en-GB"/>
        </w:rPr>
      </w:pPr>
      <w:r>
        <w:br w:type="page"/>
      </w:r>
    </w:p>
    <w:p w14:paraId="6867A032" w14:textId="362AE475" w:rsidR="0006211F" w:rsidRPr="0006211F" w:rsidRDefault="0006211F" w:rsidP="008C31DE">
      <w:pPr>
        <w:pStyle w:val="Heading2"/>
      </w:pPr>
      <w:bookmarkStart w:id="36" w:name="_Toc158894201"/>
      <w:r w:rsidRPr="0006211F">
        <w:lastRenderedPageBreak/>
        <w:t>Appendix 2 – Statement of Strategic Intent for the Sheep and Goat Compensation Fund</w:t>
      </w:r>
      <w:bookmarkEnd w:id="36"/>
    </w:p>
    <w:p w14:paraId="6A7998F8" w14:textId="77777777" w:rsidR="0006211F" w:rsidRPr="0006211F" w:rsidRDefault="0006211F" w:rsidP="0006211F">
      <w:pPr>
        <w:pStyle w:val="BodyText"/>
        <w:rPr>
          <w:lang w:val="en-GB"/>
        </w:rPr>
      </w:pPr>
      <w:r w:rsidRPr="0006211F">
        <w:rPr>
          <w:lang w:val="en-GB"/>
        </w:rPr>
        <w:t xml:space="preserve">Under the </w:t>
      </w:r>
      <w:r w:rsidRPr="0006211F">
        <w:rPr>
          <w:i/>
          <w:iCs/>
          <w:lang w:val="en-GB"/>
        </w:rPr>
        <w:t xml:space="preserve">Livestock Disease Control Act 1994 </w:t>
      </w:r>
      <w:r w:rsidRPr="0006211F">
        <w:rPr>
          <w:lang w:val="en-GB"/>
        </w:rPr>
        <w:t>(the Act), stamp duty on the sale of sheep and goats in Victoria is paid into the Sheep and Goat Compensation Fund (SGCF).</w:t>
      </w:r>
    </w:p>
    <w:p w14:paraId="55EE5721" w14:textId="77777777" w:rsidR="0006211F" w:rsidRPr="0006211F" w:rsidRDefault="0006211F" w:rsidP="0006211F">
      <w:pPr>
        <w:pStyle w:val="BodyText"/>
        <w:rPr>
          <w:lang w:val="en-GB"/>
        </w:rPr>
      </w:pPr>
      <w:r w:rsidRPr="0006211F">
        <w:rPr>
          <w:lang w:val="en-GB"/>
        </w:rPr>
        <w:t>The use of these funds must be consistent with the purpose and objectives of the Act. The main purposes of this Act are to provide for the prevention, monitoring and control of livestock diseases and to provide compensation for losses caused by certain livestock diseases.</w:t>
      </w:r>
    </w:p>
    <w:p w14:paraId="3391828D" w14:textId="77777777" w:rsidR="0006211F" w:rsidRPr="0006211F" w:rsidRDefault="0006211F" w:rsidP="0006211F">
      <w:pPr>
        <w:pStyle w:val="BodyText"/>
        <w:rPr>
          <w:lang w:val="en-GB"/>
        </w:rPr>
      </w:pPr>
      <w:r w:rsidRPr="0006211F">
        <w:rPr>
          <w:lang w:val="en-GB"/>
        </w:rPr>
        <w:t>The Sheep and Goat Compensation Advisory Committee (SGCAC), established under the Act, oversees a regular grant program administered by Agriculture Victoria to support programs and projects for the benefit of the Victorian sheep and goat industry.</w:t>
      </w:r>
    </w:p>
    <w:p w14:paraId="704A34D6" w14:textId="77777777" w:rsidR="0006211F" w:rsidRPr="0006211F" w:rsidRDefault="0006211F" w:rsidP="0006211F">
      <w:pPr>
        <w:pStyle w:val="BodyText"/>
        <w:rPr>
          <w:lang w:val="en-GB"/>
        </w:rPr>
      </w:pPr>
      <w:r w:rsidRPr="0006211F">
        <w:rPr>
          <w:lang w:val="en-GB"/>
        </w:rPr>
        <w:t>The SGCAC provides advice to the Minister for Agriculture on payments from the SGCF, including recommended grants.</w:t>
      </w:r>
    </w:p>
    <w:p w14:paraId="69D9D8DF" w14:textId="77777777" w:rsidR="0006211F" w:rsidRPr="00F32B65" w:rsidRDefault="0006211F" w:rsidP="00192DC5">
      <w:pPr>
        <w:pStyle w:val="HeadingFOUR"/>
        <w:rPr>
          <w:highlight w:val="yellow"/>
        </w:rPr>
      </w:pPr>
      <w:r w:rsidRPr="00F32B65">
        <w:rPr>
          <w:highlight w:val="yellow"/>
        </w:rPr>
        <w:t>Longer term outcomes</w:t>
      </w:r>
    </w:p>
    <w:p w14:paraId="6561C8D6" w14:textId="77777777" w:rsidR="0006211F" w:rsidRPr="00F32B65" w:rsidRDefault="0006211F" w:rsidP="0006211F">
      <w:pPr>
        <w:pStyle w:val="BodyText"/>
        <w:rPr>
          <w:highlight w:val="yellow"/>
          <w:lang w:val="en-GB"/>
        </w:rPr>
      </w:pPr>
      <w:r w:rsidRPr="00F32B65">
        <w:rPr>
          <w:highlight w:val="yellow"/>
          <w:lang w:val="en-GB"/>
        </w:rPr>
        <w:t>Consistent with the Act, the SGCAC is seeking to support programs and projects that in the longer term contribute to the following long-term outcomes:</w:t>
      </w:r>
    </w:p>
    <w:p w14:paraId="7362B42C" w14:textId="77777777" w:rsidR="0006211F" w:rsidRPr="00F32B65" w:rsidRDefault="0006211F" w:rsidP="007012DF">
      <w:pPr>
        <w:pStyle w:val="ListBullet"/>
        <w:rPr>
          <w:highlight w:val="yellow"/>
          <w:lang w:val="en-GB"/>
        </w:rPr>
      </w:pPr>
      <w:r w:rsidRPr="00F32B65">
        <w:rPr>
          <w:highlight w:val="yellow"/>
          <w:lang w:val="en-GB"/>
        </w:rPr>
        <w:t>Maintain market access and competitive advantage for the Victorian sheep and goat industry.</w:t>
      </w:r>
    </w:p>
    <w:p w14:paraId="2CA6F48C" w14:textId="77777777" w:rsidR="0006211F" w:rsidRPr="00F32B65" w:rsidRDefault="0006211F" w:rsidP="007012DF">
      <w:pPr>
        <w:pStyle w:val="ListBullet"/>
        <w:rPr>
          <w:highlight w:val="yellow"/>
          <w:lang w:val="en-GB"/>
        </w:rPr>
      </w:pPr>
      <w:r w:rsidRPr="00F32B65">
        <w:rPr>
          <w:highlight w:val="yellow"/>
          <w:lang w:val="en-GB"/>
        </w:rPr>
        <w:t>Improved on-farm biosecurity and preparedness for an exotic animal disease.</w:t>
      </w:r>
    </w:p>
    <w:p w14:paraId="1C005C61" w14:textId="77777777" w:rsidR="0006211F" w:rsidRPr="00F32B65" w:rsidRDefault="0006211F" w:rsidP="007012DF">
      <w:pPr>
        <w:pStyle w:val="Bullet1last"/>
        <w:rPr>
          <w:highlight w:val="yellow"/>
          <w:lang w:val="en-GB"/>
        </w:rPr>
      </w:pPr>
      <w:r w:rsidRPr="00F32B65">
        <w:rPr>
          <w:highlight w:val="yellow"/>
          <w:lang w:val="en-GB"/>
        </w:rPr>
        <w:t>Improved animal health.</w:t>
      </w:r>
    </w:p>
    <w:p w14:paraId="54E4AD95" w14:textId="77777777" w:rsidR="0006211F" w:rsidRPr="00616888" w:rsidRDefault="0006211F" w:rsidP="00192DC5">
      <w:pPr>
        <w:pStyle w:val="HeadingFOUR"/>
        <w:rPr>
          <w:highlight w:val="green"/>
        </w:rPr>
      </w:pPr>
      <w:r w:rsidRPr="00616888">
        <w:rPr>
          <w:highlight w:val="green"/>
        </w:rPr>
        <w:t>Challenges for the industry</w:t>
      </w:r>
    </w:p>
    <w:p w14:paraId="63E41DBF" w14:textId="77777777" w:rsidR="0006211F" w:rsidRPr="00616888" w:rsidRDefault="0006211F" w:rsidP="0006211F">
      <w:pPr>
        <w:pStyle w:val="BodyText"/>
        <w:rPr>
          <w:highlight w:val="green"/>
          <w:lang w:val="en-GB"/>
        </w:rPr>
      </w:pPr>
      <w:r w:rsidRPr="00616888">
        <w:rPr>
          <w:highlight w:val="green"/>
          <w:lang w:val="en-GB"/>
        </w:rPr>
        <w:t>Biosecurity risks are increasing, which means increased likelihood and consequences of a pest or disease incursion. Factors driving these increasing risks include:</w:t>
      </w:r>
    </w:p>
    <w:p w14:paraId="41560273" w14:textId="77777777" w:rsidR="0006211F" w:rsidRPr="00616888" w:rsidRDefault="0006211F" w:rsidP="007012DF">
      <w:pPr>
        <w:pStyle w:val="ListBullet"/>
        <w:rPr>
          <w:highlight w:val="green"/>
          <w:lang w:val="en-GB"/>
        </w:rPr>
      </w:pPr>
      <w:r w:rsidRPr="00616888">
        <w:rPr>
          <w:highlight w:val="green"/>
          <w:lang w:val="en-GB"/>
        </w:rPr>
        <w:t>Demographic and generational changes in agriculture and land use (peri-urban, corporate, new entry farmers, etc).</w:t>
      </w:r>
    </w:p>
    <w:p w14:paraId="1BA8DC5B" w14:textId="77777777" w:rsidR="0006211F" w:rsidRPr="00616888" w:rsidRDefault="0006211F" w:rsidP="007012DF">
      <w:pPr>
        <w:pStyle w:val="ListBullet"/>
        <w:rPr>
          <w:highlight w:val="green"/>
          <w:lang w:val="en-GB"/>
        </w:rPr>
      </w:pPr>
      <w:r w:rsidRPr="00616888">
        <w:rPr>
          <w:highlight w:val="green"/>
          <w:lang w:val="en-GB"/>
        </w:rPr>
        <w:t>Intensification of animal production.</w:t>
      </w:r>
    </w:p>
    <w:p w14:paraId="381A5C16" w14:textId="77777777" w:rsidR="0006211F" w:rsidRPr="00616888" w:rsidRDefault="0006211F" w:rsidP="007012DF">
      <w:pPr>
        <w:pStyle w:val="ListBullet"/>
        <w:rPr>
          <w:highlight w:val="green"/>
          <w:lang w:val="en-GB"/>
        </w:rPr>
      </w:pPr>
      <w:r w:rsidRPr="00616888">
        <w:rPr>
          <w:highlight w:val="green"/>
          <w:lang w:val="en-GB"/>
        </w:rPr>
        <w:t>Increasing travel and trade.</w:t>
      </w:r>
    </w:p>
    <w:p w14:paraId="664B8757" w14:textId="77777777" w:rsidR="0006211F" w:rsidRPr="00616888" w:rsidRDefault="0006211F" w:rsidP="007012DF">
      <w:pPr>
        <w:pStyle w:val="Bullet1last"/>
        <w:rPr>
          <w:highlight w:val="green"/>
          <w:lang w:val="en-GB"/>
        </w:rPr>
      </w:pPr>
      <w:r w:rsidRPr="00616888">
        <w:rPr>
          <w:highlight w:val="green"/>
          <w:lang w:val="en-GB"/>
        </w:rPr>
        <w:lastRenderedPageBreak/>
        <w:t>Climate change and changes to livestock and disease movement.</w:t>
      </w:r>
    </w:p>
    <w:p w14:paraId="7A93FC27" w14:textId="77777777" w:rsidR="0006211F" w:rsidRPr="0006211F" w:rsidRDefault="0006211F" w:rsidP="0006211F">
      <w:pPr>
        <w:pStyle w:val="BodyText"/>
        <w:rPr>
          <w:lang w:val="en-GB"/>
        </w:rPr>
      </w:pPr>
      <w:r w:rsidRPr="0006211F">
        <w:rPr>
          <w:lang w:val="en-GB"/>
        </w:rPr>
        <w:t>The SGCAC seeks to identify opportunities to invest in projects that will better manage biosecurity risks in the medium term in the following areas:</w:t>
      </w:r>
    </w:p>
    <w:p w14:paraId="1A3D656C" w14:textId="77777777" w:rsidR="0006211F" w:rsidRPr="0006211F" w:rsidRDefault="0006211F" w:rsidP="007012DF">
      <w:pPr>
        <w:pStyle w:val="ListBullet"/>
        <w:rPr>
          <w:lang w:val="en-GB"/>
        </w:rPr>
      </w:pPr>
      <w:r w:rsidRPr="0006211F">
        <w:rPr>
          <w:lang w:val="en-GB"/>
        </w:rPr>
        <w:t>Increased collaboration and best practice management of animal health and biosecurity.</w:t>
      </w:r>
    </w:p>
    <w:p w14:paraId="4068A073" w14:textId="77777777" w:rsidR="0006211F" w:rsidRPr="0006211F" w:rsidRDefault="0006211F" w:rsidP="007012DF">
      <w:pPr>
        <w:pStyle w:val="ListBullet"/>
        <w:rPr>
          <w:lang w:val="en-GB"/>
        </w:rPr>
      </w:pPr>
      <w:r w:rsidRPr="0006211F">
        <w:rPr>
          <w:lang w:val="en-GB"/>
        </w:rPr>
        <w:t>Build capabilities to prevent, monitor and control livestock diseases.</w:t>
      </w:r>
    </w:p>
    <w:p w14:paraId="08E028CF" w14:textId="77777777" w:rsidR="0006211F" w:rsidRPr="0006211F" w:rsidRDefault="0006211F" w:rsidP="007012DF">
      <w:pPr>
        <w:pStyle w:val="Bullet1last"/>
        <w:rPr>
          <w:lang w:val="en-GB"/>
        </w:rPr>
      </w:pPr>
      <w:r w:rsidRPr="0006211F">
        <w:rPr>
          <w:lang w:val="en-GB"/>
        </w:rPr>
        <w:t>Promote proactive management and reporting of biosecurity risks across supply chain.</w:t>
      </w:r>
    </w:p>
    <w:p w14:paraId="1A8A3630" w14:textId="77777777" w:rsidR="0006211F" w:rsidRPr="0006211F" w:rsidRDefault="0006211F" w:rsidP="0006211F">
      <w:pPr>
        <w:pStyle w:val="BodyText"/>
        <w:rPr>
          <w:lang w:val="en-GB"/>
        </w:rPr>
      </w:pPr>
      <w:r w:rsidRPr="0006211F">
        <w:rPr>
          <w:lang w:val="en-GB"/>
        </w:rPr>
        <w:t xml:space="preserve">The SGCAC acknowledges that the SGCF is only one source of funds in a complex biosecurity system. Grants are targeted at projects that provide benefits to the </w:t>
      </w:r>
      <w:proofErr w:type="gramStart"/>
      <w:r w:rsidRPr="0006211F">
        <w:rPr>
          <w:lang w:val="en-GB"/>
        </w:rPr>
        <w:t>industry as a whole, where</w:t>
      </w:r>
      <w:proofErr w:type="gramEnd"/>
      <w:r w:rsidRPr="0006211F">
        <w:rPr>
          <w:lang w:val="en-GB"/>
        </w:rPr>
        <w:t xml:space="preserve"> opportunities exist between the responsibilities of government and the opportunities for businesses to capture value. The committee will not fund core government business or commercial development of products.</w:t>
      </w:r>
    </w:p>
    <w:p w14:paraId="434D90A0" w14:textId="77777777" w:rsidR="0006211F" w:rsidRPr="0006211F" w:rsidRDefault="0006211F" w:rsidP="0006211F">
      <w:pPr>
        <w:pStyle w:val="BodyText"/>
        <w:rPr>
          <w:lang w:val="en-GB"/>
        </w:rPr>
      </w:pPr>
      <w:r w:rsidRPr="0006211F">
        <w:rPr>
          <w:lang w:val="en-GB"/>
        </w:rPr>
        <w:t>Successful projects will ideally demonstrate:</w:t>
      </w:r>
    </w:p>
    <w:p w14:paraId="11B22504" w14:textId="26053BAF" w:rsidR="0006211F" w:rsidRPr="0006211F" w:rsidRDefault="0006211F" w:rsidP="007012DF">
      <w:pPr>
        <w:pStyle w:val="ListBullet"/>
        <w:rPr>
          <w:lang w:val="en-GB"/>
        </w:rPr>
      </w:pPr>
      <w:r w:rsidRPr="0006211F">
        <w:rPr>
          <w:lang w:val="en-GB"/>
        </w:rPr>
        <w:t>Innovative solutions to addressing livestock biosecurity risks.</w:t>
      </w:r>
    </w:p>
    <w:p w14:paraId="7A42CA97" w14:textId="77777777" w:rsidR="0006211F" w:rsidRPr="0006211F" w:rsidRDefault="0006211F" w:rsidP="007012DF">
      <w:pPr>
        <w:pStyle w:val="ListBullet"/>
        <w:rPr>
          <w:lang w:val="en-GB"/>
        </w:rPr>
      </w:pPr>
      <w:r w:rsidRPr="0006211F">
        <w:rPr>
          <w:lang w:val="en-GB"/>
        </w:rPr>
        <w:t>Collaboration where possible across value chains.</w:t>
      </w:r>
    </w:p>
    <w:p w14:paraId="6F62EF46" w14:textId="77777777" w:rsidR="0006211F" w:rsidRPr="0006211F" w:rsidRDefault="0006211F" w:rsidP="007012DF">
      <w:pPr>
        <w:pStyle w:val="Bullet1last"/>
        <w:rPr>
          <w:lang w:val="en-GB"/>
        </w:rPr>
      </w:pPr>
      <w:r w:rsidRPr="0006211F">
        <w:rPr>
          <w:lang w:val="en-GB"/>
        </w:rPr>
        <w:t xml:space="preserve">Quantifiable benefits to the </w:t>
      </w:r>
      <w:proofErr w:type="gramStart"/>
      <w:r w:rsidRPr="0006211F">
        <w:rPr>
          <w:lang w:val="en-GB"/>
        </w:rPr>
        <w:t>industry as a whole, which</w:t>
      </w:r>
      <w:proofErr w:type="gramEnd"/>
      <w:r w:rsidRPr="0006211F">
        <w:rPr>
          <w:lang w:val="en-GB"/>
        </w:rPr>
        <w:t xml:space="preserve"> are measured and evaluated with evidence and data.</w:t>
      </w:r>
    </w:p>
    <w:p w14:paraId="41824A57" w14:textId="77777777" w:rsidR="0006211F" w:rsidRPr="0006211F" w:rsidRDefault="0006211F" w:rsidP="00192DC5">
      <w:pPr>
        <w:pStyle w:val="HeadingFOUR"/>
      </w:pPr>
      <w:r w:rsidRPr="0006211F">
        <w:t xml:space="preserve">Key focus areas </w:t>
      </w:r>
    </w:p>
    <w:p w14:paraId="3E6AB376" w14:textId="77777777" w:rsidR="0006211F" w:rsidRPr="0006211F" w:rsidRDefault="0006211F" w:rsidP="0006211F">
      <w:pPr>
        <w:pStyle w:val="BodyText"/>
        <w:rPr>
          <w:lang w:val="en-GB"/>
        </w:rPr>
      </w:pPr>
      <w:r w:rsidRPr="0006211F">
        <w:rPr>
          <w:lang w:val="en-GB"/>
        </w:rPr>
        <w:t xml:space="preserve">The 2024 LBF grant program aims to fund projects and programs that prevent, monitor, and control diseases, thereby enhancing animal health, </w:t>
      </w:r>
      <w:proofErr w:type="gramStart"/>
      <w:r w:rsidRPr="0006211F">
        <w:rPr>
          <w:lang w:val="en-GB"/>
        </w:rPr>
        <w:t>biosecurity</w:t>
      </w:r>
      <w:proofErr w:type="gramEnd"/>
      <w:r w:rsidRPr="0006211F">
        <w:rPr>
          <w:lang w:val="en-GB"/>
        </w:rPr>
        <w:t xml:space="preserve"> and market access for the benefit of the Victorian sheep and goat industry. </w:t>
      </w:r>
    </w:p>
    <w:p w14:paraId="1E739720" w14:textId="77777777" w:rsidR="0006211F" w:rsidRPr="0006211F" w:rsidRDefault="0006211F" w:rsidP="0006211F">
      <w:pPr>
        <w:pStyle w:val="BodyText"/>
        <w:rPr>
          <w:lang w:val="en-GB"/>
        </w:rPr>
      </w:pPr>
      <w:r w:rsidRPr="0006211F">
        <w:rPr>
          <w:lang w:val="en-GB"/>
        </w:rPr>
        <w:t>The SGCF is seeking to recommend to the Minister for Agriculture a portfolio of LBF grants across the following five areas:</w:t>
      </w:r>
    </w:p>
    <w:p w14:paraId="5379779F" w14:textId="77777777" w:rsidR="0006211F" w:rsidRPr="00657AFF" w:rsidRDefault="0006211F" w:rsidP="007E2AFE">
      <w:pPr>
        <w:pStyle w:val="ListNumber"/>
        <w:numPr>
          <w:ilvl w:val="0"/>
          <w:numId w:val="26"/>
        </w:numPr>
        <w:tabs>
          <w:tab w:val="clear" w:pos="2345"/>
          <w:tab w:val="num" w:pos="360"/>
        </w:tabs>
        <w:ind w:left="360"/>
        <w:rPr>
          <w:highlight w:val="cyan"/>
          <w:lang w:val="en-GB"/>
        </w:rPr>
      </w:pPr>
      <w:r w:rsidRPr="00657AFF">
        <w:rPr>
          <w:highlight w:val="cyan"/>
          <w:lang w:val="en-GB"/>
        </w:rPr>
        <w:t xml:space="preserve">Preparedness for response – building response capability, capacity and </w:t>
      </w:r>
      <w:proofErr w:type="gramStart"/>
      <w:r w:rsidRPr="00657AFF">
        <w:rPr>
          <w:highlight w:val="cyan"/>
          <w:lang w:val="en-GB"/>
        </w:rPr>
        <w:t>planning</w:t>
      </w:r>
      <w:proofErr w:type="gramEnd"/>
    </w:p>
    <w:p w14:paraId="75EEF629" w14:textId="77777777" w:rsidR="0006211F" w:rsidRPr="00657AFF" w:rsidRDefault="0006211F" w:rsidP="00C10BA8">
      <w:pPr>
        <w:pStyle w:val="ListNumber"/>
        <w:rPr>
          <w:highlight w:val="cyan"/>
          <w:lang w:val="en-GB"/>
        </w:rPr>
      </w:pPr>
      <w:r w:rsidRPr="00657AFF">
        <w:rPr>
          <w:highlight w:val="cyan"/>
          <w:lang w:val="en-GB"/>
        </w:rPr>
        <w:t xml:space="preserve">Traceability – enhance system integrity and </w:t>
      </w:r>
      <w:proofErr w:type="gramStart"/>
      <w:r w:rsidRPr="00657AFF">
        <w:rPr>
          <w:highlight w:val="cyan"/>
          <w:lang w:val="en-GB"/>
        </w:rPr>
        <w:t>effectiveness</w:t>
      </w:r>
      <w:proofErr w:type="gramEnd"/>
    </w:p>
    <w:p w14:paraId="6B667635" w14:textId="77777777" w:rsidR="0006211F" w:rsidRPr="00657AFF" w:rsidRDefault="0006211F" w:rsidP="00C10BA8">
      <w:pPr>
        <w:pStyle w:val="ListNumber"/>
        <w:rPr>
          <w:highlight w:val="cyan"/>
          <w:lang w:val="en-GB"/>
        </w:rPr>
      </w:pPr>
      <w:r w:rsidRPr="00657AFF">
        <w:rPr>
          <w:highlight w:val="cyan"/>
          <w:lang w:val="en-GB"/>
        </w:rPr>
        <w:t>Early detection – improved surveillance and monitoring</w:t>
      </w:r>
    </w:p>
    <w:p w14:paraId="54D1BE12" w14:textId="77777777" w:rsidR="0006211F" w:rsidRPr="00657AFF" w:rsidRDefault="0006211F" w:rsidP="00C10BA8">
      <w:pPr>
        <w:pStyle w:val="ListNumber"/>
        <w:rPr>
          <w:highlight w:val="cyan"/>
          <w:lang w:val="en-GB"/>
        </w:rPr>
      </w:pPr>
      <w:r w:rsidRPr="00657AFF">
        <w:rPr>
          <w:highlight w:val="cyan"/>
          <w:lang w:val="en-GB"/>
        </w:rPr>
        <w:lastRenderedPageBreak/>
        <w:t xml:space="preserve">Education – awareness and training for industry to better manage biosecurity </w:t>
      </w:r>
      <w:proofErr w:type="gramStart"/>
      <w:r w:rsidRPr="00657AFF">
        <w:rPr>
          <w:highlight w:val="cyan"/>
          <w:lang w:val="en-GB"/>
        </w:rPr>
        <w:t>risks</w:t>
      </w:r>
      <w:proofErr w:type="gramEnd"/>
    </w:p>
    <w:p w14:paraId="0D75AB42" w14:textId="77777777" w:rsidR="0006211F" w:rsidRPr="00657AFF" w:rsidRDefault="0006211F" w:rsidP="00C10BA8">
      <w:pPr>
        <w:pStyle w:val="ListNumber"/>
        <w:rPr>
          <w:highlight w:val="cyan"/>
          <w:lang w:val="en-GB"/>
        </w:rPr>
      </w:pPr>
      <w:r w:rsidRPr="00657AFF">
        <w:rPr>
          <w:highlight w:val="cyan"/>
          <w:lang w:val="en-GB"/>
        </w:rPr>
        <w:t>Research – particularly technologies for testing and treatment (eg vaccines)</w:t>
      </w:r>
    </w:p>
    <w:p w14:paraId="7637B9F9" w14:textId="77777777" w:rsidR="0006211F" w:rsidRPr="0006211F" w:rsidRDefault="0006211F" w:rsidP="0006211F">
      <w:pPr>
        <w:pStyle w:val="BodyText"/>
        <w:rPr>
          <w:lang w:val="en-GB"/>
        </w:rPr>
      </w:pPr>
      <w:r w:rsidRPr="0006211F">
        <w:rPr>
          <w:lang w:val="en-GB"/>
        </w:rPr>
        <w:t>Applications should clearly identify how the proposal will deliver benefits to the Victorian industry in one or more of these areas.</w:t>
      </w:r>
    </w:p>
    <w:p w14:paraId="52E66BBC" w14:textId="77777777" w:rsidR="0006211F" w:rsidRPr="00E46073" w:rsidRDefault="0006211F" w:rsidP="00192DC5">
      <w:pPr>
        <w:pStyle w:val="HeadingFOUR"/>
        <w:rPr>
          <w:highlight w:val="lightGray"/>
        </w:rPr>
      </w:pPr>
      <w:r w:rsidRPr="00E46073">
        <w:rPr>
          <w:highlight w:val="lightGray"/>
        </w:rPr>
        <w:t>Targeted areas for 2024</w:t>
      </w:r>
    </w:p>
    <w:p w14:paraId="6CBFE2E3" w14:textId="77777777" w:rsidR="0006211F" w:rsidRPr="00E46073" w:rsidRDefault="0006211F" w:rsidP="0006211F">
      <w:pPr>
        <w:pStyle w:val="BodyText"/>
        <w:rPr>
          <w:highlight w:val="lightGray"/>
          <w:lang w:val="en-GB"/>
        </w:rPr>
      </w:pPr>
      <w:r w:rsidRPr="00E46073">
        <w:rPr>
          <w:highlight w:val="lightGray"/>
          <w:lang w:val="en-GB"/>
        </w:rPr>
        <w:t>In addition to the broad focus areas listed above, the SGCAC is seeking to support 2024 LBF grants in targeted areas:</w:t>
      </w:r>
    </w:p>
    <w:p w14:paraId="18700545" w14:textId="77777777" w:rsidR="0006211F" w:rsidRPr="00E46073" w:rsidRDefault="0006211F" w:rsidP="00C10BA8">
      <w:pPr>
        <w:pStyle w:val="ListBullet"/>
        <w:rPr>
          <w:highlight w:val="lightGray"/>
          <w:lang w:val="en-GB"/>
        </w:rPr>
      </w:pPr>
      <w:r w:rsidRPr="00E46073">
        <w:rPr>
          <w:highlight w:val="lightGray"/>
          <w:lang w:val="en-GB"/>
        </w:rPr>
        <w:t>Livestock veterinary capability</w:t>
      </w:r>
    </w:p>
    <w:p w14:paraId="1C86E3A3" w14:textId="277005B5" w:rsidR="0006211F" w:rsidRPr="00E46073" w:rsidRDefault="0006211F" w:rsidP="00C10BA8">
      <w:pPr>
        <w:pStyle w:val="Bullet2"/>
        <w:rPr>
          <w:highlight w:val="lightGray"/>
        </w:rPr>
      </w:pPr>
      <w:r w:rsidRPr="00E46073">
        <w:rPr>
          <w:highlight w:val="lightGray"/>
        </w:rPr>
        <w:t xml:space="preserve">The </w:t>
      </w:r>
      <w:r w:rsidR="00E23B40" w:rsidRPr="00E46073">
        <w:rPr>
          <w:highlight w:val="lightGray"/>
        </w:rPr>
        <w:t xml:space="preserve">Cattle </w:t>
      </w:r>
      <w:r w:rsidRPr="00E46073">
        <w:rPr>
          <w:highlight w:val="lightGray"/>
        </w:rPr>
        <w:t xml:space="preserve">Compensation Advisory Committee is seeking applications to support a mentoring and training program that will support new veterinarians to gain the skills, experience, </w:t>
      </w:r>
      <w:proofErr w:type="gramStart"/>
      <w:r w:rsidRPr="00E46073">
        <w:rPr>
          <w:highlight w:val="lightGray"/>
        </w:rPr>
        <w:t>networks</w:t>
      </w:r>
      <w:proofErr w:type="gramEnd"/>
      <w:r w:rsidRPr="00E46073">
        <w:rPr>
          <w:highlight w:val="lightGray"/>
        </w:rPr>
        <w:t xml:space="preserve"> and guidance to learn and thrive in a livestock veterinary career in regional Victoria and ensure Victoria maintains the capacity to respond effectively in an emergency disease outbreak. SGCAC is keen to support a component to provide these new vets with training relevant to the sheep and goat industry.</w:t>
      </w:r>
    </w:p>
    <w:p w14:paraId="7DD7A733" w14:textId="77777777" w:rsidR="0006211F" w:rsidRPr="00E46073" w:rsidRDefault="0006211F" w:rsidP="00C10BA8">
      <w:pPr>
        <w:pStyle w:val="ListBullet"/>
        <w:rPr>
          <w:i/>
          <w:iCs/>
          <w:highlight w:val="lightGray"/>
          <w:lang w:val="en-GB"/>
        </w:rPr>
      </w:pPr>
      <w:r w:rsidRPr="00E46073">
        <w:rPr>
          <w:i/>
          <w:iCs/>
          <w:highlight w:val="lightGray"/>
          <w:lang w:val="en-GB"/>
        </w:rPr>
        <w:t>Antimicrobial stewardship.</w:t>
      </w:r>
    </w:p>
    <w:p w14:paraId="55363834" w14:textId="77777777" w:rsidR="0006211F" w:rsidRPr="00E46073" w:rsidRDefault="0006211F" w:rsidP="00C10BA8">
      <w:pPr>
        <w:pStyle w:val="ListBullet"/>
        <w:rPr>
          <w:i/>
          <w:iCs/>
          <w:highlight w:val="lightGray"/>
          <w:lang w:val="en-GB"/>
        </w:rPr>
      </w:pPr>
      <w:r w:rsidRPr="00E46073">
        <w:rPr>
          <w:i/>
          <w:iCs/>
          <w:highlight w:val="lightGray"/>
          <w:lang w:val="en-GB"/>
        </w:rPr>
        <w:t>Data management and animal health feedback.</w:t>
      </w:r>
    </w:p>
    <w:p w14:paraId="1C16F34B" w14:textId="77777777" w:rsidR="0006211F" w:rsidRPr="00E46073" w:rsidRDefault="0006211F" w:rsidP="00C10BA8">
      <w:pPr>
        <w:pStyle w:val="ListBullet"/>
        <w:rPr>
          <w:i/>
          <w:iCs/>
          <w:highlight w:val="lightGray"/>
          <w:lang w:val="en-GB"/>
        </w:rPr>
      </w:pPr>
      <w:r w:rsidRPr="00E46073">
        <w:rPr>
          <w:i/>
          <w:iCs/>
          <w:highlight w:val="lightGray"/>
          <w:lang w:val="en-GB"/>
        </w:rPr>
        <w:t>Livestock treatment and potential residues.</w:t>
      </w:r>
    </w:p>
    <w:p w14:paraId="378033E7" w14:textId="77777777" w:rsidR="0006211F" w:rsidRPr="0006211F" w:rsidRDefault="0006211F" w:rsidP="00192DC5">
      <w:pPr>
        <w:pStyle w:val="HeadingFOUR"/>
      </w:pPr>
      <w:r w:rsidRPr="0006211F">
        <w:t>Who and How</w:t>
      </w:r>
    </w:p>
    <w:p w14:paraId="4C53EC79" w14:textId="77777777" w:rsidR="0006211F" w:rsidRPr="0006211F" w:rsidRDefault="0006211F" w:rsidP="0006211F">
      <w:pPr>
        <w:pStyle w:val="BodyText"/>
        <w:rPr>
          <w:lang w:val="en-GB"/>
        </w:rPr>
      </w:pPr>
      <w:r w:rsidRPr="0006211F">
        <w:rPr>
          <w:lang w:val="en-GB"/>
        </w:rPr>
        <w:t>The SGCAC would encourage applications from any eligible bodies across the supply chain, research institutions, industry bodies and the like.</w:t>
      </w:r>
    </w:p>
    <w:p w14:paraId="4AA3C9B4" w14:textId="2FBDD2D9" w:rsidR="0006211F" w:rsidRPr="0006211F" w:rsidRDefault="0006211F" w:rsidP="0006211F">
      <w:pPr>
        <w:pStyle w:val="BodyText"/>
        <w:rPr>
          <w:lang w:val="en-GB"/>
        </w:rPr>
      </w:pPr>
      <w:r w:rsidRPr="0006211F">
        <w:rPr>
          <w:lang w:val="en-GB"/>
        </w:rPr>
        <w:t xml:space="preserve">Further details can be found in the 2024 LBF Grant Program guidelines and the Agriculture Victoria website at </w:t>
      </w:r>
      <w:hyperlink r:id="rId20" w:history="1">
        <w:r w:rsidRPr="005B5FC2">
          <w:rPr>
            <w:rStyle w:val="Hyperlink"/>
            <w:lang w:val="en-GB"/>
          </w:rPr>
          <w:t>LBF grant program</w:t>
        </w:r>
      </w:hyperlink>
      <w:r w:rsidRPr="0006211F">
        <w:rPr>
          <w:lang w:val="en-GB"/>
        </w:rPr>
        <w:t xml:space="preserve">. </w:t>
      </w:r>
    </w:p>
    <w:p w14:paraId="545A130B" w14:textId="7E106D9A" w:rsidR="0006211F" w:rsidRPr="00F60B10" w:rsidRDefault="0006211F" w:rsidP="0006211F">
      <w:pPr>
        <w:pStyle w:val="BodyText"/>
        <w:rPr>
          <w:u w:val="thick"/>
          <w:lang w:val="en-GB"/>
        </w:rPr>
      </w:pPr>
      <w:r w:rsidRPr="0006211F">
        <w:rPr>
          <w:lang w:val="en-GB"/>
        </w:rPr>
        <w:t xml:space="preserve">Any questions can be directed to </w:t>
      </w:r>
      <w:hyperlink r:id="rId21" w:history="1">
        <w:r w:rsidRPr="005B5FC2">
          <w:rPr>
            <w:rStyle w:val="Hyperlink"/>
            <w:lang w:val="en-GB"/>
          </w:rPr>
          <w:t>LivestockBiosecurityFund@agriculture.vic.gov.au</w:t>
        </w:r>
      </w:hyperlink>
      <w:r w:rsidRPr="005B5FC2">
        <w:rPr>
          <w:lang w:val="en-GB"/>
        </w:rPr>
        <w:t>.</w:t>
      </w:r>
    </w:p>
    <w:p w14:paraId="555C1F42" w14:textId="77777777" w:rsidR="005B5FC2" w:rsidRDefault="005B5FC2">
      <w:pPr>
        <w:suppressAutoHyphens w:val="0"/>
        <w:spacing w:after="160"/>
        <w:rPr>
          <w:rFonts w:cs="Times New Roman (Body CS)"/>
          <w:kern w:val="24"/>
          <w:lang w:val="en-GB"/>
        </w:rPr>
      </w:pPr>
      <w:r>
        <w:rPr>
          <w:lang w:val="en-GB"/>
        </w:rPr>
        <w:br w:type="page"/>
      </w:r>
    </w:p>
    <w:p w14:paraId="1E998170" w14:textId="24CFDCF3" w:rsidR="0006211F" w:rsidRPr="0006211F" w:rsidRDefault="0006211F" w:rsidP="005B5FC2">
      <w:pPr>
        <w:pStyle w:val="Heading2"/>
      </w:pPr>
      <w:bookmarkStart w:id="37" w:name="_Toc158894202"/>
      <w:r w:rsidRPr="0006211F">
        <w:lastRenderedPageBreak/>
        <w:t>Appendix 3 – Statement of Strategic Intent for the Swine Compensation Fund</w:t>
      </w:r>
      <w:bookmarkEnd w:id="37"/>
    </w:p>
    <w:p w14:paraId="02076382" w14:textId="77777777" w:rsidR="0006211F" w:rsidRPr="0006211F" w:rsidRDefault="0006211F" w:rsidP="0006211F">
      <w:pPr>
        <w:pStyle w:val="BodyText"/>
        <w:rPr>
          <w:lang w:val="en-GB"/>
        </w:rPr>
      </w:pPr>
      <w:r w:rsidRPr="0006211F">
        <w:rPr>
          <w:lang w:val="en-GB"/>
        </w:rPr>
        <w:t xml:space="preserve">Under the </w:t>
      </w:r>
      <w:r w:rsidRPr="0006211F">
        <w:rPr>
          <w:i/>
          <w:iCs/>
          <w:lang w:val="en-GB"/>
        </w:rPr>
        <w:t>Livestock Disease Control Act 1994</w:t>
      </w:r>
      <w:r w:rsidRPr="0006211F">
        <w:rPr>
          <w:lang w:val="en-GB"/>
        </w:rPr>
        <w:t xml:space="preserve"> (the Act), stamp duty on the sale of swine in Victoria is paid into the Swine Compensation Fund (SCF).</w:t>
      </w:r>
    </w:p>
    <w:p w14:paraId="70812014" w14:textId="77777777" w:rsidR="0006211F" w:rsidRPr="0006211F" w:rsidRDefault="0006211F" w:rsidP="0006211F">
      <w:pPr>
        <w:pStyle w:val="BodyText"/>
        <w:rPr>
          <w:lang w:val="en-GB"/>
        </w:rPr>
      </w:pPr>
      <w:r w:rsidRPr="0006211F">
        <w:rPr>
          <w:lang w:val="en-GB"/>
        </w:rPr>
        <w:t>The use of these funds must be consistent with the purpose and objectives of the Act. The main purposes of this Act are to provide for the prevention, monitoring and control of livestock diseases and to provide compensation for losses caused by certain livestock diseases.</w:t>
      </w:r>
    </w:p>
    <w:p w14:paraId="24B8A5C4" w14:textId="77777777" w:rsidR="0006211F" w:rsidRPr="0006211F" w:rsidRDefault="0006211F" w:rsidP="0006211F">
      <w:pPr>
        <w:pStyle w:val="BodyText"/>
        <w:rPr>
          <w:lang w:val="en-GB"/>
        </w:rPr>
      </w:pPr>
      <w:r w:rsidRPr="0006211F">
        <w:rPr>
          <w:lang w:val="en-GB"/>
        </w:rPr>
        <w:t>The Swine Industry Projects Advisory Committee (SIPAC), established under the Act, oversees a regular grant program administered by Agriculture Victoria to support programs and projects for the benefit of the Victorian swine industry.</w:t>
      </w:r>
    </w:p>
    <w:p w14:paraId="5ABC1C67" w14:textId="77777777" w:rsidR="0006211F" w:rsidRPr="0006211F" w:rsidRDefault="0006211F" w:rsidP="0006211F">
      <w:pPr>
        <w:pStyle w:val="BodyText"/>
        <w:rPr>
          <w:lang w:val="en-GB"/>
        </w:rPr>
      </w:pPr>
      <w:r w:rsidRPr="0006211F">
        <w:rPr>
          <w:lang w:val="en-GB"/>
        </w:rPr>
        <w:t>The SIPAC provides advice to the Minister for Agriculture on payments from the SCF, including recommended grants.</w:t>
      </w:r>
    </w:p>
    <w:p w14:paraId="7D9A9134" w14:textId="77777777" w:rsidR="0006211F" w:rsidRPr="00F32B65" w:rsidRDefault="0006211F" w:rsidP="00192DC5">
      <w:pPr>
        <w:pStyle w:val="HeadingFOUR"/>
        <w:rPr>
          <w:highlight w:val="yellow"/>
        </w:rPr>
      </w:pPr>
      <w:r w:rsidRPr="00F32B65">
        <w:rPr>
          <w:highlight w:val="yellow"/>
        </w:rPr>
        <w:t>Longer term outcomes</w:t>
      </w:r>
    </w:p>
    <w:p w14:paraId="2DC16669" w14:textId="77777777" w:rsidR="0006211F" w:rsidRPr="00F32B65" w:rsidRDefault="0006211F" w:rsidP="0006211F">
      <w:pPr>
        <w:pStyle w:val="BodyText"/>
        <w:rPr>
          <w:highlight w:val="yellow"/>
          <w:lang w:val="en-GB"/>
        </w:rPr>
      </w:pPr>
      <w:r w:rsidRPr="00F32B65">
        <w:rPr>
          <w:highlight w:val="yellow"/>
          <w:lang w:val="en-GB"/>
        </w:rPr>
        <w:t>Consistent with the Act, the SIPAC is seeking to support programs and projects that contribute to the following long-term outcomes:</w:t>
      </w:r>
    </w:p>
    <w:p w14:paraId="6F82A0FC" w14:textId="5749B0AB" w:rsidR="0006211F" w:rsidRPr="00F32B65" w:rsidRDefault="0006211F" w:rsidP="00E72D41">
      <w:pPr>
        <w:pStyle w:val="ListBullet"/>
        <w:rPr>
          <w:highlight w:val="yellow"/>
          <w:lang w:val="en-GB"/>
        </w:rPr>
      </w:pPr>
      <w:r w:rsidRPr="00F32B65">
        <w:rPr>
          <w:highlight w:val="yellow"/>
          <w:lang w:val="en-GB"/>
        </w:rPr>
        <w:t>Improved animal health.</w:t>
      </w:r>
    </w:p>
    <w:p w14:paraId="0166D165" w14:textId="77777777" w:rsidR="0006211F" w:rsidRPr="00F32B65" w:rsidRDefault="0006211F" w:rsidP="00E72D41">
      <w:pPr>
        <w:pStyle w:val="ListBullet"/>
        <w:rPr>
          <w:highlight w:val="yellow"/>
          <w:lang w:val="en-GB"/>
        </w:rPr>
      </w:pPr>
      <w:r w:rsidRPr="00F32B65">
        <w:rPr>
          <w:highlight w:val="yellow"/>
          <w:lang w:val="en-GB"/>
        </w:rPr>
        <w:t>Long term sustainability and productivity of the pig industry in Victoria.</w:t>
      </w:r>
    </w:p>
    <w:p w14:paraId="607BCE1B" w14:textId="77777777" w:rsidR="0006211F" w:rsidRPr="00F32B65" w:rsidRDefault="0006211F" w:rsidP="00E72D41">
      <w:pPr>
        <w:pStyle w:val="ListBullet"/>
        <w:rPr>
          <w:highlight w:val="yellow"/>
          <w:lang w:val="en-GB"/>
        </w:rPr>
      </w:pPr>
      <w:r w:rsidRPr="00F32B65">
        <w:rPr>
          <w:highlight w:val="yellow"/>
          <w:lang w:val="en-GB"/>
        </w:rPr>
        <w:t>Proactive approaches used to detect and manage swine disease.</w:t>
      </w:r>
    </w:p>
    <w:p w14:paraId="089EC76B" w14:textId="77777777" w:rsidR="0006211F" w:rsidRPr="00F32B65" w:rsidRDefault="0006211F" w:rsidP="00E72D41">
      <w:pPr>
        <w:pStyle w:val="ListBullet"/>
        <w:rPr>
          <w:highlight w:val="yellow"/>
          <w:lang w:val="en-GB"/>
        </w:rPr>
      </w:pPr>
      <w:r w:rsidRPr="00F32B65">
        <w:rPr>
          <w:highlight w:val="yellow"/>
          <w:lang w:val="en-GB"/>
        </w:rPr>
        <w:t>Strengthened capability of government and industry to effectively respond to outbreaks.</w:t>
      </w:r>
    </w:p>
    <w:p w14:paraId="4E54F823" w14:textId="77777777" w:rsidR="0006211F" w:rsidRPr="00F32B65" w:rsidRDefault="0006211F" w:rsidP="00E72D41">
      <w:pPr>
        <w:pStyle w:val="ListBullet"/>
        <w:rPr>
          <w:highlight w:val="yellow"/>
          <w:lang w:val="en-GB"/>
        </w:rPr>
      </w:pPr>
      <w:r w:rsidRPr="00F32B65">
        <w:rPr>
          <w:highlight w:val="yellow"/>
          <w:lang w:val="en-GB"/>
        </w:rPr>
        <w:t>Strong homeland biosecurity.</w:t>
      </w:r>
    </w:p>
    <w:p w14:paraId="2CC02D42" w14:textId="77777777" w:rsidR="0006211F" w:rsidRPr="00F32B65" w:rsidRDefault="0006211F" w:rsidP="00E72D41">
      <w:pPr>
        <w:pStyle w:val="ListBullet"/>
        <w:rPr>
          <w:highlight w:val="yellow"/>
          <w:lang w:val="en-GB"/>
        </w:rPr>
      </w:pPr>
      <w:r w:rsidRPr="00F32B65">
        <w:rPr>
          <w:highlight w:val="yellow"/>
          <w:lang w:val="en-GB"/>
        </w:rPr>
        <w:t>Sound understanding of disease within herds and the feral pig population.</w:t>
      </w:r>
    </w:p>
    <w:p w14:paraId="63950EF2" w14:textId="77777777" w:rsidR="0006211F" w:rsidRPr="0006211F" w:rsidRDefault="0006211F" w:rsidP="00E72D41">
      <w:pPr>
        <w:pStyle w:val="Bullet1last"/>
        <w:rPr>
          <w:lang w:val="en-GB"/>
        </w:rPr>
      </w:pPr>
      <w:r w:rsidRPr="00F32B65">
        <w:rPr>
          <w:highlight w:val="yellow"/>
          <w:lang w:val="en-GB"/>
        </w:rPr>
        <w:t>Improved awareness and understanding of the benefits of investment by the fund for the pig industry</w:t>
      </w:r>
      <w:r w:rsidRPr="0006211F">
        <w:rPr>
          <w:lang w:val="en-GB"/>
        </w:rPr>
        <w:t>.</w:t>
      </w:r>
    </w:p>
    <w:p w14:paraId="686B4F2D" w14:textId="77777777" w:rsidR="0006211F" w:rsidRPr="00616888" w:rsidRDefault="0006211F" w:rsidP="00192DC5">
      <w:pPr>
        <w:pStyle w:val="HeadingFOUR"/>
        <w:rPr>
          <w:highlight w:val="green"/>
        </w:rPr>
      </w:pPr>
      <w:r w:rsidRPr="00616888">
        <w:rPr>
          <w:highlight w:val="green"/>
        </w:rPr>
        <w:lastRenderedPageBreak/>
        <w:t>Challenges for the industry</w:t>
      </w:r>
    </w:p>
    <w:p w14:paraId="77C95573" w14:textId="410B7666" w:rsidR="0006211F" w:rsidRPr="00616888" w:rsidRDefault="0006211F" w:rsidP="0006211F">
      <w:pPr>
        <w:pStyle w:val="BodyText"/>
        <w:rPr>
          <w:highlight w:val="green"/>
          <w:lang w:val="en-GB"/>
        </w:rPr>
      </w:pPr>
      <w:r w:rsidRPr="00616888">
        <w:rPr>
          <w:highlight w:val="green"/>
          <w:lang w:val="en-GB"/>
        </w:rPr>
        <w:t>Biosecurity risks are increasing, which means increased likelihood and consequences of a pest or disease incursion. Factors driving these increasing risks include:</w:t>
      </w:r>
    </w:p>
    <w:p w14:paraId="01E01065" w14:textId="77777777" w:rsidR="0006211F" w:rsidRPr="00616888" w:rsidRDefault="0006211F" w:rsidP="00E72D41">
      <w:pPr>
        <w:pStyle w:val="ListBullet"/>
        <w:rPr>
          <w:highlight w:val="green"/>
          <w:lang w:val="en-GB"/>
        </w:rPr>
      </w:pPr>
      <w:r w:rsidRPr="00616888">
        <w:rPr>
          <w:highlight w:val="green"/>
          <w:lang w:val="en-GB"/>
        </w:rPr>
        <w:t>Demographic and generational changes in agriculture and land use (peri-urban and recreational farmers, corporate enterprises, labour shortages, social licence, etc).</w:t>
      </w:r>
    </w:p>
    <w:p w14:paraId="0BE1B0A9" w14:textId="77777777" w:rsidR="0006211F" w:rsidRPr="00616888" w:rsidRDefault="0006211F" w:rsidP="00E72D41">
      <w:pPr>
        <w:pStyle w:val="ListBullet"/>
        <w:rPr>
          <w:highlight w:val="green"/>
          <w:lang w:val="en-GB"/>
        </w:rPr>
      </w:pPr>
      <w:r w:rsidRPr="00616888">
        <w:rPr>
          <w:highlight w:val="green"/>
          <w:lang w:val="en-GB"/>
        </w:rPr>
        <w:t>Intensification of animal production.</w:t>
      </w:r>
    </w:p>
    <w:p w14:paraId="6C42FF30" w14:textId="77777777" w:rsidR="0006211F" w:rsidRPr="00616888" w:rsidRDefault="0006211F" w:rsidP="00E72D41">
      <w:pPr>
        <w:pStyle w:val="ListBullet"/>
        <w:rPr>
          <w:highlight w:val="green"/>
          <w:lang w:val="en-GB"/>
        </w:rPr>
      </w:pPr>
      <w:r w:rsidRPr="00616888">
        <w:rPr>
          <w:highlight w:val="green"/>
          <w:lang w:val="en-GB"/>
        </w:rPr>
        <w:t>Increasing travel and trade.</w:t>
      </w:r>
    </w:p>
    <w:p w14:paraId="6144C352" w14:textId="77777777" w:rsidR="0006211F" w:rsidRPr="00616888" w:rsidRDefault="0006211F" w:rsidP="00E72D41">
      <w:pPr>
        <w:pStyle w:val="ListBullet"/>
        <w:rPr>
          <w:highlight w:val="green"/>
          <w:lang w:val="en-GB"/>
        </w:rPr>
      </w:pPr>
      <w:r w:rsidRPr="00616888">
        <w:rPr>
          <w:highlight w:val="green"/>
          <w:lang w:val="en-GB"/>
        </w:rPr>
        <w:t>Climate change and changes to livestock and disease movement.</w:t>
      </w:r>
    </w:p>
    <w:p w14:paraId="26060B1D" w14:textId="77777777" w:rsidR="0006211F" w:rsidRPr="00616888" w:rsidRDefault="0006211F" w:rsidP="00E72D41">
      <w:pPr>
        <w:pStyle w:val="ListBullet"/>
        <w:rPr>
          <w:highlight w:val="green"/>
          <w:lang w:val="en-GB"/>
        </w:rPr>
      </w:pPr>
      <w:r w:rsidRPr="00616888">
        <w:rPr>
          <w:highlight w:val="green"/>
          <w:lang w:val="en-GB"/>
        </w:rPr>
        <w:t>Access to vaccines in Australia.</w:t>
      </w:r>
    </w:p>
    <w:p w14:paraId="50E527B5" w14:textId="77777777" w:rsidR="0006211F" w:rsidRPr="00616888" w:rsidRDefault="0006211F" w:rsidP="00E72D41">
      <w:pPr>
        <w:pStyle w:val="Bullet1last"/>
        <w:rPr>
          <w:highlight w:val="green"/>
          <w:lang w:val="en-GB"/>
        </w:rPr>
      </w:pPr>
      <w:r w:rsidRPr="00616888">
        <w:rPr>
          <w:highlight w:val="green"/>
          <w:lang w:val="en-GB"/>
        </w:rPr>
        <w:t>Awareness across industry and the community of biosecurity risks including swill feeding restrictions.</w:t>
      </w:r>
    </w:p>
    <w:p w14:paraId="0231323C" w14:textId="77777777" w:rsidR="0006211F" w:rsidRPr="0006211F" w:rsidRDefault="0006211F" w:rsidP="00192DC5">
      <w:pPr>
        <w:pStyle w:val="HeadingFOUR"/>
      </w:pPr>
      <w:r w:rsidRPr="0006211F">
        <w:t>Medium term outcomes</w:t>
      </w:r>
    </w:p>
    <w:p w14:paraId="3460D55B" w14:textId="77777777" w:rsidR="0006211F" w:rsidRPr="0006211F" w:rsidRDefault="0006211F" w:rsidP="0006211F">
      <w:pPr>
        <w:pStyle w:val="BodyText"/>
        <w:rPr>
          <w:lang w:val="en-GB"/>
        </w:rPr>
      </w:pPr>
      <w:r w:rsidRPr="0006211F">
        <w:rPr>
          <w:lang w:val="en-GB"/>
        </w:rPr>
        <w:t>The SIPAC seeks to identify opportunities to invest in projects that will better manage biosecurity risks in the medium term in the following areas:</w:t>
      </w:r>
    </w:p>
    <w:p w14:paraId="01E5C853" w14:textId="77777777" w:rsidR="0006211F" w:rsidRPr="0006211F" w:rsidRDefault="0006211F" w:rsidP="00E72D41">
      <w:pPr>
        <w:pStyle w:val="ListBullet"/>
        <w:rPr>
          <w:lang w:val="en-GB"/>
        </w:rPr>
      </w:pPr>
      <w:r w:rsidRPr="0006211F">
        <w:rPr>
          <w:lang w:val="en-GB"/>
        </w:rPr>
        <w:t>Support Victorian pig industry in relation to biosecurity, ‘right to farm’ and ensuring animal health.</w:t>
      </w:r>
    </w:p>
    <w:p w14:paraId="6742CE79" w14:textId="77777777" w:rsidR="0006211F" w:rsidRPr="0006211F" w:rsidRDefault="0006211F" w:rsidP="00E72D41">
      <w:pPr>
        <w:pStyle w:val="ListBullet"/>
        <w:rPr>
          <w:lang w:val="en-GB"/>
        </w:rPr>
      </w:pPr>
      <w:r w:rsidRPr="0006211F">
        <w:rPr>
          <w:lang w:val="en-GB"/>
        </w:rPr>
        <w:t xml:space="preserve">Support compliance with the </w:t>
      </w:r>
      <w:r w:rsidRPr="0006211F">
        <w:rPr>
          <w:i/>
          <w:iCs/>
          <w:lang w:val="en-GB"/>
        </w:rPr>
        <w:t>Livestock Disease Control Act 1994</w:t>
      </w:r>
      <w:r w:rsidRPr="0006211F">
        <w:rPr>
          <w:lang w:val="en-GB"/>
        </w:rPr>
        <w:t xml:space="preserve"> to ensure prevention, monitoring and control of diseases (small-and-large scale producers).</w:t>
      </w:r>
    </w:p>
    <w:p w14:paraId="08F7EC40" w14:textId="77777777" w:rsidR="0006211F" w:rsidRPr="0006211F" w:rsidRDefault="0006211F" w:rsidP="00E72D41">
      <w:pPr>
        <w:pStyle w:val="ListBullet"/>
        <w:rPr>
          <w:lang w:val="en-GB"/>
        </w:rPr>
      </w:pPr>
      <w:r w:rsidRPr="0006211F">
        <w:rPr>
          <w:lang w:val="en-GB"/>
        </w:rPr>
        <w:t>Increased capability of industry and government staff (e.g. working on a pig farm, departmental) to ensure effective response to outbreaks.</w:t>
      </w:r>
    </w:p>
    <w:p w14:paraId="2A2F1A22" w14:textId="77777777" w:rsidR="0006211F" w:rsidRPr="0006211F" w:rsidRDefault="0006211F" w:rsidP="00E72D41">
      <w:pPr>
        <w:pStyle w:val="ListBullet"/>
        <w:rPr>
          <w:lang w:val="en-GB"/>
        </w:rPr>
      </w:pPr>
      <w:r w:rsidRPr="0006211F">
        <w:rPr>
          <w:lang w:val="en-GB"/>
        </w:rPr>
        <w:t>Increased surveillance and awareness of vectors of diseases (education and awareness of peri-urban/hobby farmers and general community).</w:t>
      </w:r>
    </w:p>
    <w:p w14:paraId="6C0A5DBF" w14:textId="77777777" w:rsidR="0006211F" w:rsidRPr="0006211F" w:rsidRDefault="0006211F" w:rsidP="00E72D41">
      <w:pPr>
        <w:pStyle w:val="Bullet1last"/>
        <w:rPr>
          <w:lang w:val="en-GB"/>
        </w:rPr>
      </w:pPr>
      <w:r w:rsidRPr="0006211F">
        <w:rPr>
          <w:lang w:val="en-GB"/>
        </w:rPr>
        <w:t>Investment in research to improve understanding of the feral pig population.</w:t>
      </w:r>
    </w:p>
    <w:p w14:paraId="64BB4898" w14:textId="77777777" w:rsidR="0006211F" w:rsidRPr="0006211F" w:rsidRDefault="0006211F" w:rsidP="0006211F">
      <w:pPr>
        <w:pStyle w:val="BodyText"/>
        <w:rPr>
          <w:lang w:val="en-GB"/>
        </w:rPr>
      </w:pPr>
      <w:r w:rsidRPr="0006211F">
        <w:rPr>
          <w:lang w:val="en-GB"/>
        </w:rPr>
        <w:t xml:space="preserve">The SIPAC acknowledges that the SCF is only one source of funds in a complex biosecurity system. Grants are targeted at projects that provide benefits to the </w:t>
      </w:r>
      <w:proofErr w:type="gramStart"/>
      <w:r w:rsidRPr="0006211F">
        <w:rPr>
          <w:lang w:val="en-GB"/>
        </w:rPr>
        <w:t>industry as a whole, where</w:t>
      </w:r>
      <w:proofErr w:type="gramEnd"/>
      <w:r w:rsidRPr="0006211F">
        <w:rPr>
          <w:lang w:val="en-GB"/>
        </w:rPr>
        <w:t xml:space="preserve"> opportunities exist between the responsibilities of government and the </w:t>
      </w:r>
      <w:r w:rsidRPr="0006211F">
        <w:rPr>
          <w:lang w:val="en-GB"/>
        </w:rPr>
        <w:lastRenderedPageBreak/>
        <w:t>opportunities for businesses to capture value. The committee will not fund the core business of government or development of commercial products.</w:t>
      </w:r>
    </w:p>
    <w:p w14:paraId="7FDCD1BF" w14:textId="77777777" w:rsidR="0006211F" w:rsidRPr="0006211F" w:rsidRDefault="0006211F" w:rsidP="0006211F">
      <w:pPr>
        <w:pStyle w:val="BodyText"/>
        <w:rPr>
          <w:lang w:val="en-GB"/>
        </w:rPr>
      </w:pPr>
      <w:r w:rsidRPr="0006211F">
        <w:rPr>
          <w:lang w:val="en-GB"/>
        </w:rPr>
        <w:t>Successful projects will ideally demonstrate:</w:t>
      </w:r>
    </w:p>
    <w:p w14:paraId="5567871E" w14:textId="6FC9FE91" w:rsidR="0006211F" w:rsidRPr="0006211F" w:rsidRDefault="0006211F" w:rsidP="00E72D41">
      <w:pPr>
        <w:pStyle w:val="ListBullet"/>
        <w:rPr>
          <w:lang w:val="en-GB"/>
        </w:rPr>
      </w:pPr>
      <w:r w:rsidRPr="0006211F">
        <w:rPr>
          <w:lang w:val="en-GB"/>
        </w:rPr>
        <w:t>Innovative solutions and emerging technologies to unsolved livestock biosecurity issue/s, need/</w:t>
      </w:r>
      <w:proofErr w:type="gramStart"/>
      <w:r w:rsidRPr="0006211F">
        <w:rPr>
          <w:lang w:val="en-GB"/>
        </w:rPr>
        <w:t>s</w:t>
      </w:r>
      <w:proofErr w:type="gramEnd"/>
      <w:r w:rsidRPr="0006211F">
        <w:rPr>
          <w:lang w:val="en-GB"/>
        </w:rPr>
        <w:t xml:space="preserve"> or gap/s.</w:t>
      </w:r>
    </w:p>
    <w:p w14:paraId="7FB777F7" w14:textId="77777777" w:rsidR="0006211F" w:rsidRPr="0006211F" w:rsidRDefault="0006211F" w:rsidP="00E72D41">
      <w:pPr>
        <w:pStyle w:val="ListBullet"/>
        <w:rPr>
          <w:lang w:val="en-GB"/>
        </w:rPr>
      </w:pPr>
      <w:r w:rsidRPr="0006211F">
        <w:rPr>
          <w:lang w:val="en-GB"/>
        </w:rPr>
        <w:t>Collaboration where possible across value chains.</w:t>
      </w:r>
    </w:p>
    <w:p w14:paraId="3C82386A" w14:textId="77777777" w:rsidR="0006211F" w:rsidRPr="0006211F" w:rsidRDefault="0006211F" w:rsidP="00E72D41">
      <w:pPr>
        <w:pStyle w:val="Bullet1last"/>
        <w:rPr>
          <w:lang w:val="en-GB"/>
        </w:rPr>
      </w:pPr>
      <w:r w:rsidRPr="0006211F">
        <w:rPr>
          <w:lang w:val="en-GB"/>
        </w:rPr>
        <w:t xml:space="preserve">Investment by the SCF provides value for money and quantifiable benefits demonstrated to the </w:t>
      </w:r>
      <w:proofErr w:type="gramStart"/>
      <w:r w:rsidRPr="0006211F">
        <w:rPr>
          <w:lang w:val="en-GB"/>
        </w:rPr>
        <w:t>industry as a whole, which</w:t>
      </w:r>
      <w:proofErr w:type="gramEnd"/>
      <w:r w:rsidRPr="0006211F">
        <w:rPr>
          <w:lang w:val="en-GB"/>
        </w:rPr>
        <w:t xml:space="preserve"> are measured and evaluated with evidence and data.</w:t>
      </w:r>
    </w:p>
    <w:p w14:paraId="6ABB13BF" w14:textId="77777777" w:rsidR="0006211F" w:rsidRPr="0006211F" w:rsidRDefault="0006211F" w:rsidP="00192DC5">
      <w:pPr>
        <w:pStyle w:val="HeadingFOUR"/>
      </w:pPr>
      <w:r w:rsidRPr="0006211F">
        <w:t xml:space="preserve">Key focus areas </w:t>
      </w:r>
    </w:p>
    <w:p w14:paraId="25F16D0A" w14:textId="333806E0" w:rsidR="0006211F" w:rsidRPr="0006211F" w:rsidRDefault="0006211F" w:rsidP="0006211F">
      <w:pPr>
        <w:pStyle w:val="BodyText"/>
        <w:rPr>
          <w:lang w:val="en-GB"/>
        </w:rPr>
      </w:pPr>
      <w:r w:rsidRPr="0006211F">
        <w:rPr>
          <w:lang w:val="en-GB"/>
        </w:rPr>
        <w:t xml:space="preserve">The 2024 LBF grant program aims to fund projects and programs that prevent, monitor, and control diseases, thereby enhancing animal health, </w:t>
      </w:r>
      <w:proofErr w:type="gramStart"/>
      <w:r w:rsidRPr="0006211F">
        <w:rPr>
          <w:lang w:val="en-GB"/>
        </w:rPr>
        <w:t>biosecurity</w:t>
      </w:r>
      <w:proofErr w:type="gramEnd"/>
      <w:r w:rsidRPr="0006211F">
        <w:rPr>
          <w:lang w:val="en-GB"/>
        </w:rPr>
        <w:t xml:space="preserve"> and market access for the benefit of the Victorian swine industry.</w:t>
      </w:r>
    </w:p>
    <w:p w14:paraId="39F0ECA1" w14:textId="77777777" w:rsidR="0006211F" w:rsidRPr="0006211F" w:rsidRDefault="0006211F" w:rsidP="0006211F">
      <w:pPr>
        <w:pStyle w:val="BodyText"/>
        <w:rPr>
          <w:lang w:val="en-GB"/>
        </w:rPr>
      </w:pPr>
      <w:r w:rsidRPr="0006211F">
        <w:rPr>
          <w:lang w:val="en-GB"/>
        </w:rPr>
        <w:t>The SIPAC is seeking to recommend to the Minister for Agriculture a portfolio of LBF grants across the following five areas:</w:t>
      </w:r>
    </w:p>
    <w:p w14:paraId="6AB2A7B7" w14:textId="77777777" w:rsidR="0006211F" w:rsidRPr="00657AFF" w:rsidRDefault="0006211F" w:rsidP="007E2AFE">
      <w:pPr>
        <w:pStyle w:val="ListNumber"/>
        <w:numPr>
          <w:ilvl w:val="0"/>
          <w:numId w:val="27"/>
        </w:numPr>
        <w:tabs>
          <w:tab w:val="clear" w:pos="2345"/>
          <w:tab w:val="num" w:pos="360"/>
        </w:tabs>
        <w:ind w:left="360"/>
        <w:rPr>
          <w:highlight w:val="cyan"/>
          <w:lang w:val="en-GB"/>
        </w:rPr>
      </w:pPr>
      <w:r w:rsidRPr="00657AFF">
        <w:rPr>
          <w:highlight w:val="cyan"/>
          <w:lang w:val="en-GB"/>
        </w:rPr>
        <w:t>Preparedness for response to biosecurity events – build prevention and response capability, capacity and planning of government and industry.</w:t>
      </w:r>
    </w:p>
    <w:p w14:paraId="62D8FF67" w14:textId="77777777" w:rsidR="0006211F" w:rsidRPr="00657AFF" w:rsidRDefault="0006211F" w:rsidP="00E72D41">
      <w:pPr>
        <w:pStyle w:val="ListNumber"/>
        <w:rPr>
          <w:highlight w:val="cyan"/>
          <w:lang w:val="en-GB"/>
        </w:rPr>
      </w:pPr>
      <w:r w:rsidRPr="00657AFF">
        <w:rPr>
          <w:highlight w:val="cyan"/>
          <w:lang w:val="en-GB"/>
        </w:rPr>
        <w:t>Traceability – enhance system integrity and effectiveness.</w:t>
      </w:r>
    </w:p>
    <w:p w14:paraId="39CB1026" w14:textId="77777777" w:rsidR="0006211F" w:rsidRPr="00657AFF" w:rsidRDefault="0006211F" w:rsidP="00E72D41">
      <w:pPr>
        <w:pStyle w:val="ListNumber"/>
        <w:rPr>
          <w:highlight w:val="cyan"/>
          <w:lang w:val="en-GB"/>
        </w:rPr>
      </w:pPr>
      <w:r w:rsidRPr="00657AFF">
        <w:rPr>
          <w:highlight w:val="cyan"/>
          <w:lang w:val="en-GB"/>
        </w:rPr>
        <w:t>Early detection – improved surveillance and monitoring, including domestic and feral pigs, to inform decision making.</w:t>
      </w:r>
    </w:p>
    <w:p w14:paraId="3E3753B4" w14:textId="77777777" w:rsidR="0006211F" w:rsidRPr="00657AFF" w:rsidRDefault="0006211F" w:rsidP="00E72D41">
      <w:pPr>
        <w:pStyle w:val="ListNumber"/>
        <w:rPr>
          <w:highlight w:val="cyan"/>
          <w:lang w:val="en-GB"/>
        </w:rPr>
      </w:pPr>
      <w:r w:rsidRPr="00657AFF">
        <w:rPr>
          <w:highlight w:val="cyan"/>
          <w:lang w:val="en-GB"/>
        </w:rPr>
        <w:t>Education – awareness and training for industry to better manage biosecurity risks, including swill feeding, traceability, mixed species awareness and interaction, and small producer legal and biosecurity obligations.</w:t>
      </w:r>
    </w:p>
    <w:p w14:paraId="6B92E852" w14:textId="77777777" w:rsidR="0006211F" w:rsidRPr="00657AFF" w:rsidRDefault="0006211F" w:rsidP="00E72D41">
      <w:pPr>
        <w:pStyle w:val="ListNumber"/>
        <w:rPr>
          <w:highlight w:val="cyan"/>
          <w:lang w:val="en-GB"/>
        </w:rPr>
      </w:pPr>
      <w:r w:rsidRPr="00657AFF">
        <w:rPr>
          <w:highlight w:val="cyan"/>
          <w:lang w:val="en-GB"/>
        </w:rPr>
        <w:t>Research – particularly technologies for testing and treatment (eg vaccines).</w:t>
      </w:r>
    </w:p>
    <w:p w14:paraId="7DE77A03" w14:textId="77777777" w:rsidR="0006211F" w:rsidRPr="0006211F" w:rsidRDefault="0006211F" w:rsidP="0006211F">
      <w:pPr>
        <w:pStyle w:val="BodyText"/>
        <w:rPr>
          <w:lang w:val="en-GB"/>
        </w:rPr>
      </w:pPr>
      <w:r w:rsidRPr="0006211F">
        <w:rPr>
          <w:lang w:val="en-GB"/>
        </w:rPr>
        <w:t>Applications should clearly identify how the proposal will deliver benefits to the Victorian swine industry in one or more of these areas.</w:t>
      </w:r>
    </w:p>
    <w:p w14:paraId="3440B868" w14:textId="77777777" w:rsidR="0006211F" w:rsidRPr="0006211F" w:rsidRDefault="0006211F" w:rsidP="00192DC5">
      <w:pPr>
        <w:pStyle w:val="HeadingFOUR"/>
      </w:pPr>
      <w:r w:rsidRPr="0006211F">
        <w:lastRenderedPageBreak/>
        <w:t>Who and How</w:t>
      </w:r>
    </w:p>
    <w:p w14:paraId="31EF363D" w14:textId="77777777" w:rsidR="0006211F" w:rsidRPr="0006211F" w:rsidRDefault="0006211F" w:rsidP="0006211F">
      <w:pPr>
        <w:pStyle w:val="BodyText"/>
        <w:rPr>
          <w:lang w:val="en-GB"/>
        </w:rPr>
      </w:pPr>
      <w:r w:rsidRPr="0006211F">
        <w:rPr>
          <w:lang w:val="en-GB"/>
        </w:rPr>
        <w:t>The SIPAC would encourage applications from any eligible bodies across the supply chain, research institutions, industry bodies and the like.</w:t>
      </w:r>
    </w:p>
    <w:p w14:paraId="41008E70" w14:textId="076C7F25" w:rsidR="0006211F" w:rsidRPr="0006211F" w:rsidRDefault="0006211F" w:rsidP="0006211F">
      <w:pPr>
        <w:pStyle w:val="BodyText"/>
        <w:rPr>
          <w:lang w:val="en-GB"/>
        </w:rPr>
      </w:pPr>
      <w:r w:rsidRPr="0006211F">
        <w:rPr>
          <w:lang w:val="en-GB"/>
        </w:rPr>
        <w:t xml:space="preserve">Further details can be found in the 2024 LBF Grant Program guidelines and the Agriculture Victoria website at </w:t>
      </w:r>
      <w:hyperlink r:id="rId22" w:history="1">
        <w:r w:rsidRPr="00E72D41">
          <w:rPr>
            <w:rStyle w:val="Hyperlink"/>
            <w:lang w:val="en-GB"/>
          </w:rPr>
          <w:t>LBF grant program</w:t>
        </w:r>
      </w:hyperlink>
      <w:r w:rsidRPr="0006211F">
        <w:rPr>
          <w:lang w:val="en-GB"/>
        </w:rPr>
        <w:t>.</w:t>
      </w:r>
    </w:p>
    <w:p w14:paraId="4D653514" w14:textId="63A53B60" w:rsidR="0006211F" w:rsidRDefault="0006211F" w:rsidP="0006211F">
      <w:pPr>
        <w:pStyle w:val="BodyText"/>
        <w:rPr>
          <w:u w:val="thick"/>
          <w:lang w:val="en-GB"/>
        </w:rPr>
      </w:pPr>
      <w:r w:rsidRPr="0006211F">
        <w:rPr>
          <w:lang w:val="en-GB"/>
        </w:rPr>
        <w:t xml:space="preserve">Any questions can be directed to </w:t>
      </w:r>
      <w:hyperlink r:id="rId23" w:history="1">
        <w:r w:rsidRPr="0065238B">
          <w:rPr>
            <w:rStyle w:val="Hyperlink"/>
            <w:lang w:val="en-GB"/>
          </w:rPr>
          <w:t>LivestockBiosecurityFund@agriculture.vic.gov.au</w:t>
        </w:r>
      </w:hyperlink>
      <w:r w:rsidRPr="00E72D41">
        <w:rPr>
          <w:lang w:val="en-GB"/>
        </w:rPr>
        <w:t>.</w:t>
      </w:r>
    </w:p>
    <w:p w14:paraId="24A60936" w14:textId="77777777" w:rsidR="00E72D41" w:rsidRDefault="00E72D41">
      <w:pPr>
        <w:suppressAutoHyphens w:val="0"/>
        <w:spacing w:after="160"/>
        <w:rPr>
          <w:rFonts w:cs="Times New Roman (Body CS)"/>
          <w:kern w:val="24"/>
          <w:lang w:val="en-GB"/>
        </w:rPr>
      </w:pPr>
      <w:r>
        <w:rPr>
          <w:lang w:val="en-GB"/>
        </w:rPr>
        <w:br w:type="page"/>
      </w:r>
    </w:p>
    <w:p w14:paraId="427763DF" w14:textId="73C69744" w:rsidR="0006211F" w:rsidRPr="0006211F" w:rsidRDefault="0006211F" w:rsidP="00E72D41">
      <w:pPr>
        <w:pStyle w:val="Heading2"/>
      </w:pPr>
      <w:bookmarkStart w:id="38" w:name="_Toc158894203"/>
      <w:r w:rsidRPr="0006211F">
        <w:lastRenderedPageBreak/>
        <w:t xml:space="preserve">Appendix 4 – Statement of Strategic Intent for the </w:t>
      </w:r>
      <w:proofErr w:type="gramStart"/>
      <w:r w:rsidRPr="0006211F">
        <w:t>Honey Bee</w:t>
      </w:r>
      <w:proofErr w:type="gramEnd"/>
      <w:r w:rsidRPr="0006211F">
        <w:t xml:space="preserve"> Compensation and Industry Development Fund</w:t>
      </w:r>
      <w:bookmarkEnd w:id="38"/>
    </w:p>
    <w:p w14:paraId="793F4823" w14:textId="685651A8" w:rsidR="0006211F" w:rsidRPr="0006211F" w:rsidRDefault="0006211F" w:rsidP="0006211F">
      <w:pPr>
        <w:pStyle w:val="BodyText"/>
        <w:rPr>
          <w:lang w:val="en-GB"/>
        </w:rPr>
      </w:pPr>
      <w:r w:rsidRPr="0006211F">
        <w:rPr>
          <w:lang w:val="en-GB"/>
        </w:rPr>
        <w:t xml:space="preserve">Under the </w:t>
      </w:r>
      <w:r w:rsidRPr="0006211F">
        <w:rPr>
          <w:i/>
          <w:iCs/>
          <w:lang w:val="en-GB"/>
        </w:rPr>
        <w:t>Livestock Disease Control Act 1994</w:t>
      </w:r>
      <w:r w:rsidRPr="0006211F">
        <w:rPr>
          <w:lang w:val="en-GB"/>
        </w:rPr>
        <w:t xml:space="preserve"> (the Act), registration fees paid by </w:t>
      </w:r>
      <w:proofErr w:type="gramStart"/>
      <w:r w:rsidRPr="0006211F">
        <w:rPr>
          <w:lang w:val="en-GB"/>
        </w:rPr>
        <w:t>bee keepers</w:t>
      </w:r>
      <w:proofErr w:type="gramEnd"/>
      <w:r w:rsidRPr="0006211F">
        <w:rPr>
          <w:lang w:val="en-GB"/>
        </w:rPr>
        <w:t xml:space="preserve"> in Victoria are paid into the Honey Bee Compensation and Industry Development Fund (HBCIDF).</w:t>
      </w:r>
    </w:p>
    <w:p w14:paraId="0BBF56A9" w14:textId="77777777" w:rsidR="0006211F" w:rsidRPr="0006211F" w:rsidRDefault="0006211F" w:rsidP="0006211F">
      <w:pPr>
        <w:pStyle w:val="BodyText"/>
        <w:rPr>
          <w:lang w:val="en-GB"/>
        </w:rPr>
      </w:pPr>
      <w:r w:rsidRPr="0006211F">
        <w:rPr>
          <w:lang w:val="en-GB"/>
        </w:rPr>
        <w:t xml:space="preserve">The use of these funds must be consistent with the purpose and objectives of the Act. The main purposes of this Act are to provide for the prevention, monitoring and control of diseases in </w:t>
      </w:r>
      <w:proofErr w:type="gramStart"/>
      <w:r w:rsidRPr="0006211F">
        <w:rPr>
          <w:lang w:val="en-GB"/>
        </w:rPr>
        <w:t>honey bees</w:t>
      </w:r>
      <w:proofErr w:type="gramEnd"/>
      <w:r w:rsidRPr="0006211F">
        <w:rPr>
          <w:lang w:val="en-GB"/>
        </w:rPr>
        <w:t xml:space="preserve"> and to provide compensation for losses caused by a declared </w:t>
      </w:r>
      <w:proofErr w:type="spellStart"/>
      <w:r w:rsidRPr="0006211F">
        <w:rPr>
          <w:lang w:val="en-GB"/>
        </w:rPr>
        <w:t>compensatable</w:t>
      </w:r>
      <w:proofErr w:type="spellEnd"/>
      <w:r w:rsidRPr="0006211F">
        <w:rPr>
          <w:lang w:val="en-GB"/>
        </w:rPr>
        <w:t xml:space="preserve"> disease. American Foul Brood (AFB) is currently the only declared </w:t>
      </w:r>
      <w:proofErr w:type="spellStart"/>
      <w:r w:rsidRPr="0006211F">
        <w:rPr>
          <w:lang w:val="en-GB"/>
        </w:rPr>
        <w:t>compensatable</w:t>
      </w:r>
      <w:proofErr w:type="spellEnd"/>
      <w:r w:rsidRPr="0006211F">
        <w:rPr>
          <w:lang w:val="en-GB"/>
        </w:rPr>
        <w:t xml:space="preserve"> disease.</w:t>
      </w:r>
    </w:p>
    <w:p w14:paraId="466C531B" w14:textId="77777777" w:rsidR="0006211F" w:rsidRPr="0006211F" w:rsidRDefault="0006211F" w:rsidP="0006211F">
      <w:pPr>
        <w:pStyle w:val="BodyText"/>
        <w:rPr>
          <w:lang w:val="en-GB"/>
        </w:rPr>
      </w:pPr>
      <w:r w:rsidRPr="0006211F">
        <w:rPr>
          <w:lang w:val="en-GB"/>
        </w:rPr>
        <w:t>The Apicultural Industry Advisory Committee (AIAC), established under the Act, oversees a regular grant program administered by Agriculture Victoria to support programs and projects for the benefit of the Victorian apicultural industry.</w:t>
      </w:r>
    </w:p>
    <w:p w14:paraId="44BD181D" w14:textId="77777777" w:rsidR="0006211F" w:rsidRPr="0006211F" w:rsidRDefault="0006211F" w:rsidP="0006211F">
      <w:pPr>
        <w:pStyle w:val="BodyText"/>
        <w:rPr>
          <w:lang w:val="en-GB"/>
        </w:rPr>
      </w:pPr>
      <w:r w:rsidRPr="0006211F">
        <w:rPr>
          <w:lang w:val="en-GB"/>
        </w:rPr>
        <w:t>The AIAC provides advice to the Minister for Agriculture on payments from the HBCIDF, including recommended grants.</w:t>
      </w:r>
    </w:p>
    <w:p w14:paraId="2552DA31" w14:textId="77777777" w:rsidR="0006211F" w:rsidRPr="00F32B65" w:rsidRDefault="0006211F" w:rsidP="00192DC5">
      <w:pPr>
        <w:pStyle w:val="HeadingFOUR"/>
        <w:rPr>
          <w:highlight w:val="yellow"/>
        </w:rPr>
      </w:pPr>
      <w:r w:rsidRPr="00F32B65">
        <w:rPr>
          <w:highlight w:val="yellow"/>
        </w:rPr>
        <w:t>Longer term outcomes</w:t>
      </w:r>
    </w:p>
    <w:p w14:paraId="7689527A" w14:textId="77777777" w:rsidR="0006211F" w:rsidRPr="00F32B65" w:rsidRDefault="0006211F" w:rsidP="0006211F">
      <w:pPr>
        <w:pStyle w:val="BodyText"/>
        <w:rPr>
          <w:highlight w:val="yellow"/>
          <w:lang w:val="en-GB"/>
        </w:rPr>
      </w:pPr>
      <w:r w:rsidRPr="00F32B65">
        <w:rPr>
          <w:highlight w:val="yellow"/>
          <w:lang w:val="en-GB"/>
        </w:rPr>
        <w:t>Consistent with the Act, the AIAC is seeking to support programs and projects that contribute to the following long-term outcomes:</w:t>
      </w:r>
    </w:p>
    <w:p w14:paraId="0D2E19DE" w14:textId="77777777" w:rsidR="0006211F" w:rsidRPr="00F32B65" w:rsidRDefault="0006211F" w:rsidP="008B0D01">
      <w:pPr>
        <w:pStyle w:val="ListBullet"/>
        <w:rPr>
          <w:highlight w:val="yellow"/>
          <w:lang w:val="en-GB"/>
        </w:rPr>
      </w:pPr>
      <w:r w:rsidRPr="00F32B65">
        <w:rPr>
          <w:highlight w:val="yellow"/>
          <w:lang w:val="en-GB"/>
        </w:rPr>
        <w:t>Ongoing effective early detection and management of significant pests and diseases such as American Foul Brood (AFB) to minimise the spread and impact.</w:t>
      </w:r>
    </w:p>
    <w:p w14:paraId="3CA323C1" w14:textId="77777777" w:rsidR="0006211F" w:rsidRPr="00F32B65" w:rsidRDefault="0006211F" w:rsidP="008B0D01">
      <w:pPr>
        <w:pStyle w:val="ListBullet"/>
        <w:rPr>
          <w:highlight w:val="yellow"/>
          <w:lang w:val="en-GB"/>
        </w:rPr>
      </w:pPr>
      <w:r w:rsidRPr="00F32B65">
        <w:rPr>
          <w:highlight w:val="yellow"/>
          <w:lang w:val="en-GB"/>
        </w:rPr>
        <w:t>Higher standards of bee keeping are achieved to maintain a viable apiary industry through application of best practice.</w:t>
      </w:r>
    </w:p>
    <w:p w14:paraId="599F6F3D" w14:textId="77777777" w:rsidR="0006211F" w:rsidRPr="00F32B65" w:rsidRDefault="0006211F" w:rsidP="008B0D01">
      <w:pPr>
        <w:pStyle w:val="ListBullet"/>
        <w:rPr>
          <w:highlight w:val="yellow"/>
          <w:lang w:val="en-GB"/>
        </w:rPr>
      </w:pPr>
      <w:r w:rsidRPr="00F32B65">
        <w:rPr>
          <w:highlight w:val="yellow"/>
          <w:lang w:val="en-GB"/>
        </w:rPr>
        <w:t>Enhanced international market access and product integrity.</w:t>
      </w:r>
    </w:p>
    <w:p w14:paraId="547B65FA" w14:textId="77777777" w:rsidR="0006211F" w:rsidRPr="00F32B65" w:rsidRDefault="0006211F" w:rsidP="008B0D01">
      <w:pPr>
        <w:pStyle w:val="ListBullet"/>
        <w:rPr>
          <w:highlight w:val="yellow"/>
          <w:lang w:val="en-GB"/>
        </w:rPr>
      </w:pPr>
      <w:r w:rsidRPr="00F32B65">
        <w:rPr>
          <w:highlight w:val="yellow"/>
          <w:lang w:val="en-GB"/>
        </w:rPr>
        <w:t>Maintaining and enhancing collaborative relationships between government and industry.</w:t>
      </w:r>
    </w:p>
    <w:p w14:paraId="1D041A77" w14:textId="77777777" w:rsidR="0006211F" w:rsidRPr="0027005A" w:rsidRDefault="0006211F" w:rsidP="00192DC5">
      <w:pPr>
        <w:pStyle w:val="HeadingFOUR"/>
        <w:rPr>
          <w:highlight w:val="green"/>
          <w:u w:val="thick"/>
        </w:rPr>
      </w:pPr>
      <w:r w:rsidRPr="0027005A">
        <w:rPr>
          <w:highlight w:val="green"/>
        </w:rPr>
        <w:lastRenderedPageBreak/>
        <w:t>Challenges for the industry</w:t>
      </w:r>
    </w:p>
    <w:p w14:paraId="4177F742" w14:textId="77777777" w:rsidR="0006211F" w:rsidRPr="0027005A" w:rsidRDefault="0006211F" w:rsidP="0006211F">
      <w:pPr>
        <w:pStyle w:val="BodyText"/>
        <w:rPr>
          <w:highlight w:val="green"/>
          <w:u w:val="thick"/>
          <w:lang w:val="en-GB"/>
        </w:rPr>
      </w:pPr>
      <w:r w:rsidRPr="0027005A">
        <w:rPr>
          <w:highlight w:val="green"/>
          <w:lang w:val="en-GB"/>
        </w:rPr>
        <w:t>Biosecurity risks are increasing, which means increased likelihood and consequences of a pest or disease incursion. Factors driving these increasing risks include:</w:t>
      </w:r>
    </w:p>
    <w:p w14:paraId="32558960" w14:textId="77777777" w:rsidR="0006211F" w:rsidRPr="0027005A" w:rsidRDefault="0006211F" w:rsidP="008B0D01">
      <w:pPr>
        <w:pStyle w:val="ListBullet"/>
        <w:rPr>
          <w:highlight w:val="green"/>
          <w:lang w:val="en-GB"/>
        </w:rPr>
      </w:pPr>
      <w:r w:rsidRPr="0027005A">
        <w:rPr>
          <w:highlight w:val="green"/>
          <w:lang w:val="en-GB"/>
        </w:rPr>
        <w:t>Increasing travel and trade</w:t>
      </w:r>
    </w:p>
    <w:p w14:paraId="1683FF05" w14:textId="77777777" w:rsidR="0006211F" w:rsidRPr="0027005A" w:rsidRDefault="0006211F" w:rsidP="008B0D01">
      <w:pPr>
        <w:pStyle w:val="ListBullet"/>
        <w:rPr>
          <w:highlight w:val="green"/>
          <w:lang w:val="en-GB"/>
        </w:rPr>
      </w:pPr>
      <w:r w:rsidRPr="0027005A">
        <w:rPr>
          <w:highlight w:val="green"/>
          <w:lang w:val="en-GB"/>
        </w:rPr>
        <w:t xml:space="preserve">Changes to </w:t>
      </w:r>
      <w:proofErr w:type="gramStart"/>
      <w:r w:rsidRPr="0027005A">
        <w:rPr>
          <w:highlight w:val="green"/>
          <w:lang w:val="en-GB"/>
        </w:rPr>
        <w:t>honey bee</w:t>
      </w:r>
      <w:proofErr w:type="gramEnd"/>
      <w:r w:rsidRPr="0027005A">
        <w:rPr>
          <w:highlight w:val="green"/>
          <w:lang w:val="en-GB"/>
        </w:rPr>
        <w:t xml:space="preserve"> and disease movement </w:t>
      </w:r>
    </w:p>
    <w:p w14:paraId="60DB1FCE" w14:textId="77777777" w:rsidR="0006211F" w:rsidRPr="0027005A" w:rsidRDefault="0006211F" w:rsidP="008B0D01">
      <w:pPr>
        <w:pStyle w:val="ListBullet"/>
        <w:rPr>
          <w:highlight w:val="green"/>
          <w:lang w:val="en-GB"/>
        </w:rPr>
      </w:pPr>
      <w:r w:rsidRPr="0027005A">
        <w:rPr>
          <w:highlight w:val="green"/>
          <w:lang w:val="en-GB"/>
        </w:rPr>
        <w:t>Climate change</w:t>
      </w:r>
    </w:p>
    <w:p w14:paraId="51601C7E" w14:textId="77777777" w:rsidR="0006211F" w:rsidRPr="0027005A" w:rsidRDefault="0006211F" w:rsidP="008B0D01">
      <w:pPr>
        <w:pStyle w:val="ListBullet"/>
        <w:rPr>
          <w:highlight w:val="green"/>
          <w:lang w:val="en-GB"/>
        </w:rPr>
      </w:pPr>
      <w:r w:rsidRPr="0027005A">
        <w:rPr>
          <w:highlight w:val="green"/>
          <w:lang w:val="en-GB"/>
        </w:rPr>
        <w:t xml:space="preserve">Access to nutrition for </w:t>
      </w:r>
      <w:proofErr w:type="gramStart"/>
      <w:r w:rsidRPr="0027005A">
        <w:rPr>
          <w:highlight w:val="green"/>
          <w:lang w:val="en-GB"/>
        </w:rPr>
        <w:t>honey bees</w:t>
      </w:r>
      <w:proofErr w:type="gramEnd"/>
    </w:p>
    <w:p w14:paraId="6F31F4DF" w14:textId="77777777" w:rsidR="0006211F" w:rsidRPr="0027005A" w:rsidRDefault="0006211F" w:rsidP="008B0D01">
      <w:pPr>
        <w:pStyle w:val="ListBullet"/>
        <w:rPr>
          <w:highlight w:val="green"/>
          <w:lang w:val="en-GB"/>
        </w:rPr>
      </w:pPr>
      <w:r w:rsidRPr="0027005A">
        <w:rPr>
          <w:highlight w:val="green"/>
          <w:lang w:val="en-GB"/>
        </w:rPr>
        <w:t xml:space="preserve">Profitability and declining registration of </w:t>
      </w:r>
      <w:proofErr w:type="gramStart"/>
      <w:r w:rsidRPr="0027005A">
        <w:rPr>
          <w:highlight w:val="green"/>
          <w:lang w:val="en-GB"/>
        </w:rPr>
        <w:t>bee keepers</w:t>
      </w:r>
      <w:proofErr w:type="gramEnd"/>
    </w:p>
    <w:p w14:paraId="6A8C0CD0" w14:textId="77777777" w:rsidR="0006211F" w:rsidRPr="0027005A" w:rsidRDefault="0006211F" w:rsidP="008B0D01">
      <w:pPr>
        <w:pStyle w:val="ListBullet"/>
        <w:rPr>
          <w:highlight w:val="green"/>
          <w:lang w:val="en-GB"/>
        </w:rPr>
      </w:pPr>
      <w:r w:rsidRPr="0027005A">
        <w:rPr>
          <w:highlight w:val="green"/>
          <w:lang w:val="en-GB"/>
        </w:rPr>
        <w:t>Transitioning to the management of Varroa</w:t>
      </w:r>
    </w:p>
    <w:p w14:paraId="19D486DE" w14:textId="77777777" w:rsidR="0006211F" w:rsidRPr="0027005A" w:rsidRDefault="0006211F" w:rsidP="008B0D01">
      <w:pPr>
        <w:pStyle w:val="Bullet1last"/>
        <w:rPr>
          <w:highlight w:val="green"/>
          <w:u w:val="thick"/>
          <w:lang w:val="en-GB"/>
        </w:rPr>
      </w:pPr>
      <w:r w:rsidRPr="0027005A">
        <w:rPr>
          <w:highlight w:val="green"/>
          <w:lang w:val="en-GB"/>
        </w:rPr>
        <w:t xml:space="preserve">Engagement with recreational </w:t>
      </w:r>
      <w:proofErr w:type="gramStart"/>
      <w:r w:rsidRPr="0027005A">
        <w:rPr>
          <w:highlight w:val="green"/>
          <w:lang w:val="en-GB"/>
        </w:rPr>
        <w:t>bee keepers</w:t>
      </w:r>
      <w:proofErr w:type="gramEnd"/>
      <w:r w:rsidRPr="0027005A">
        <w:rPr>
          <w:highlight w:val="green"/>
          <w:lang w:val="en-GB"/>
        </w:rPr>
        <w:t>.</w:t>
      </w:r>
    </w:p>
    <w:p w14:paraId="0946BD6E" w14:textId="77777777" w:rsidR="0006211F" w:rsidRPr="0006211F" w:rsidRDefault="0006211F" w:rsidP="0006211F">
      <w:pPr>
        <w:pStyle w:val="BodyText"/>
        <w:rPr>
          <w:u w:val="thick"/>
          <w:lang w:val="en-GB"/>
        </w:rPr>
      </w:pPr>
      <w:r w:rsidRPr="0006211F">
        <w:rPr>
          <w:lang w:val="en-GB"/>
        </w:rPr>
        <w:t xml:space="preserve">The AIAC seeks to identify opportunities to invest in projects that will better manage biosecurity risks in the </w:t>
      </w:r>
      <w:r w:rsidRPr="0010305F">
        <w:rPr>
          <w:b/>
          <w:bCs/>
          <w:lang w:val="en-GB"/>
        </w:rPr>
        <w:t>medium term</w:t>
      </w:r>
      <w:r w:rsidRPr="0006211F">
        <w:rPr>
          <w:lang w:val="en-GB"/>
        </w:rPr>
        <w:t xml:space="preserve"> in the following areas:</w:t>
      </w:r>
    </w:p>
    <w:p w14:paraId="79DDE313" w14:textId="5287821B" w:rsidR="0006211F" w:rsidRPr="0006211F" w:rsidRDefault="0006211F" w:rsidP="008B0D01">
      <w:pPr>
        <w:pStyle w:val="ListBullet"/>
        <w:rPr>
          <w:lang w:val="en-GB"/>
        </w:rPr>
      </w:pPr>
      <w:proofErr w:type="gramStart"/>
      <w:r w:rsidRPr="0006211F">
        <w:rPr>
          <w:lang w:val="en-GB"/>
        </w:rPr>
        <w:t>Bee keepers</w:t>
      </w:r>
      <w:proofErr w:type="gramEnd"/>
      <w:r w:rsidRPr="0006211F">
        <w:rPr>
          <w:lang w:val="en-GB"/>
        </w:rPr>
        <w:t xml:space="preserve"> are accurately identifying and reporting AFB</w:t>
      </w:r>
    </w:p>
    <w:p w14:paraId="505D3FFF" w14:textId="77777777" w:rsidR="0006211F" w:rsidRPr="0006211F" w:rsidRDefault="0006211F" w:rsidP="008B0D01">
      <w:pPr>
        <w:pStyle w:val="ListBullet"/>
        <w:rPr>
          <w:lang w:val="en-GB"/>
        </w:rPr>
      </w:pPr>
      <w:r w:rsidRPr="0006211F">
        <w:rPr>
          <w:lang w:val="en-GB"/>
        </w:rPr>
        <w:t xml:space="preserve">Implementation of a robust model of cover for industry and government to effectively respond to a biosecurity apiary </w:t>
      </w:r>
      <w:proofErr w:type="gramStart"/>
      <w:r w:rsidRPr="0006211F">
        <w:rPr>
          <w:lang w:val="en-GB"/>
        </w:rPr>
        <w:t>incident</w:t>
      </w:r>
      <w:proofErr w:type="gramEnd"/>
    </w:p>
    <w:p w14:paraId="246CE94A" w14:textId="77777777" w:rsidR="0006211F" w:rsidRPr="0006211F" w:rsidRDefault="0006211F" w:rsidP="008B0D01">
      <w:pPr>
        <w:pStyle w:val="ListBullet"/>
        <w:rPr>
          <w:lang w:val="en-GB"/>
        </w:rPr>
      </w:pPr>
      <w:r w:rsidRPr="0006211F">
        <w:rPr>
          <w:lang w:val="en-GB"/>
        </w:rPr>
        <w:t xml:space="preserve">Government and industry actively share data and intelligence for purposes of prevention and control management of </w:t>
      </w:r>
      <w:proofErr w:type="gramStart"/>
      <w:r w:rsidRPr="0006211F">
        <w:rPr>
          <w:lang w:val="en-GB"/>
        </w:rPr>
        <w:t>AFB</w:t>
      </w:r>
      <w:proofErr w:type="gramEnd"/>
    </w:p>
    <w:p w14:paraId="013E7296" w14:textId="77777777" w:rsidR="0006211F" w:rsidRPr="0006211F" w:rsidRDefault="0006211F" w:rsidP="008B0D01">
      <w:pPr>
        <w:pStyle w:val="ListBullet"/>
        <w:rPr>
          <w:lang w:val="en-GB"/>
        </w:rPr>
      </w:pPr>
      <w:r w:rsidRPr="0006211F">
        <w:rPr>
          <w:lang w:val="en-GB"/>
        </w:rPr>
        <w:t xml:space="preserve">State government continues to protect key public land sites (e.g. state forests) in alignment with the </w:t>
      </w:r>
      <w:r w:rsidRPr="0006211F">
        <w:rPr>
          <w:i/>
          <w:iCs/>
          <w:lang w:val="en-GB"/>
        </w:rPr>
        <w:t>Livestock Disease Control Act 1994</w:t>
      </w:r>
    </w:p>
    <w:p w14:paraId="53BE8888" w14:textId="77777777" w:rsidR="0006211F" w:rsidRPr="0006211F" w:rsidRDefault="0006211F" w:rsidP="008B0D01">
      <w:pPr>
        <w:pStyle w:val="Bullet1last"/>
        <w:rPr>
          <w:lang w:val="en-GB"/>
        </w:rPr>
      </w:pPr>
      <w:r w:rsidRPr="0006211F">
        <w:rPr>
          <w:lang w:val="en-GB"/>
        </w:rPr>
        <w:t xml:space="preserve">Industry actively participates in preparation, control and eradication education, </w:t>
      </w:r>
      <w:proofErr w:type="gramStart"/>
      <w:r w:rsidRPr="0006211F">
        <w:rPr>
          <w:lang w:val="en-GB"/>
        </w:rPr>
        <w:t>awareness</w:t>
      </w:r>
      <w:proofErr w:type="gramEnd"/>
      <w:r w:rsidRPr="0006211F">
        <w:rPr>
          <w:lang w:val="en-GB"/>
        </w:rPr>
        <w:t xml:space="preserve"> and training programs.</w:t>
      </w:r>
    </w:p>
    <w:p w14:paraId="4F88B168" w14:textId="77777777" w:rsidR="0006211F" w:rsidRPr="0006211F" w:rsidRDefault="0006211F" w:rsidP="0006211F">
      <w:pPr>
        <w:pStyle w:val="BodyText"/>
        <w:rPr>
          <w:lang w:val="en-GB"/>
        </w:rPr>
      </w:pPr>
      <w:r w:rsidRPr="0006211F">
        <w:rPr>
          <w:lang w:val="en-GB"/>
        </w:rPr>
        <w:t xml:space="preserve">The AIAC acknowledges that the HBCIDF is only one source of funds in a complex biosecurity system. Grants are targeted at projects that provide benefits to the </w:t>
      </w:r>
      <w:proofErr w:type="gramStart"/>
      <w:r w:rsidRPr="0006211F">
        <w:rPr>
          <w:lang w:val="en-GB"/>
        </w:rPr>
        <w:t>industry as a whole, where</w:t>
      </w:r>
      <w:proofErr w:type="gramEnd"/>
      <w:r w:rsidRPr="0006211F">
        <w:rPr>
          <w:lang w:val="en-GB"/>
        </w:rPr>
        <w:t xml:space="preserve"> opportunities exist between the responsibilities of government and the opportunities for businesses to capture value. The committee will not fund the core business of government or development of commercial </w:t>
      </w:r>
      <w:proofErr w:type="gramStart"/>
      <w:r w:rsidRPr="0006211F">
        <w:rPr>
          <w:lang w:val="en-GB"/>
        </w:rPr>
        <w:t>products</w:t>
      </w:r>
      <w:proofErr w:type="gramEnd"/>
    </w:p>
    <w:p w14:paraId="4A0ACC94" w14:textId="77777777" w:rsidR="0006211F" w:rsidRPr="0006211F" w:rsidRDefault="0006211F" w:rsidP="0006211F">
      <w:pPr>
        <w:pStyle w:val="BodyText"/>
        <w:rPr>
          <w:lang w:val="en-GB"/>
        </w:rPr>
      </w:pPr>
      <w:r w:rsidRPr="0006211F">
        <w:rPr>
          <w:lang w:val="en-GB"/>
        </w:rPr>
        <w:t>Successful projects will ideally demonstrate:</w:t>
      </w:r>
    </w:p>
    <w:p w14:paraId="1B5735E4" w14:textId="77777777" w:rsidR="0006211F" w:rsidRPr="0006211F" w:rsidRDefault="0006211F" w:rsidP="008B0D01">
      <w:pPr>
        <w:pStyle w:val="ListBullet"/>
        <w:rPr>
          <w:lang w:val="en-GB"/>
        </w:rPr>
      </w:pPr>
      <w:r w:rsidRPr="0006211F">
        <w:rPr>
          <w:lang w:val="en-GB"/>
        </w:rPr>
        <w:lastRenderedPageBreak/>
        <w:t xml:space="preserve">Innovative solutions to addressing </w:t>
      </w:r>
      <w:proofErr w:type="gramStart"/>
      <w:r w:rsidRPr="0006211F">
        <w:rPr>
          <w:lang w:val="en-GB"/>
        </w:rPr>
        <w:t>honey bee</w:t>
      </w:r>
      <w:proofErr w:type="gramEnd"/>
      <w:r w:rsidRPr="0006211F">
        <w:rPr>
          <w:lang w:val="en-GB"/>
        </w:rPr>
        <w:t xml:space="preserve"> biosecurity risks</w:t>
      </w:r>
    </w:p>
    <w:p w14:paraId="7BBB236C" w14:textId="77777777" w:rsidR="0006211F" w:rsidRPr="0006211F" w:rsidRDefault="0006211F" w:rsidP="008B0D01">
      <w:pPr>
        <w:pStyle w:val="ListBullet"/>
        <w:rPr>
          <w:lang w:val="en-GB"/>
        </w:rPr>
      </w:pPr>
      <w:r w:rsidRPr="0006211F">
        <w:rPr>
          <w:lang w:val="en-GB"/>
        </w:rPr>
        <w:t>Collaboration where possible across value chains</w:t>
      </w:r>
    </w:p>
    <w:p w14:paraId="554ADDE5" w14:textId="77777777" w:rsidR="0006211F" w:rsidRPr="0006211F" w:rsidRDefault="0006211F" w:rsidP="008B0D01">
      <w:pPr>
        <w:pStyle w:val="ListBullet"/>
        <w:rPr>
          <w:lang w:val="en-GB"/>
        </w:rPr>
      </w:pPr>
      <w:r w:rsidRPr="0006211F">
        <w:rPr>
          <w:lang w:val="en-GB"/>
        </w:rPr>
        <w:t xml:space="preserve">Quantifiable benefits to the </w:t>
      </w:r>
      <w:proofErr w:type="gramStart"/>
      <w:r w:rsidRPr="0006211F">
        <w:rPr>
          <w:lang w:val="en-GB"/>
        </w:rPr>
        <w:t>industry as a whole, which</w:t>
      </w:r>
      <w:proofErr w:type="gramEnd"/>
      <w:r w:rsidRPr="0006211F">
        <w:rPr>
          <w:lang w:val="en-GB"/>
        </w:rPr>
        <w:t xml:space="preserve"> are measured and evaluated with evidence and data.</w:t>
      </w:r>
    </w:p>
    <w:p w14:paraId="342F772E" w14:textId="33972B1D" w:rsidR="0006211F" w:rsidRPr="0006211F" w:rsidRDefault="0006211F" w:rsidP="00192DC5">
      <w:pPr>
        <w:pStyle w:val="HeadingFOUR"/>
        <w:rPr>
          <w:u w:val="thick"/>
        </w:rPr>
      </w:pPr>
      <w:r w:rsidRPr="0006211F">
        <w:t>Key focus areas</w:t>
      </w:r>
    </w:p>
    <w:p w14:paraId="1BFBE326" w14:textId="495DC130" w:rsidR="0006211F" w:rsidRPr="0006211F" w:rsidRDefault="0006211F" w:rsidP="0006211F">
      <w:pPr>
        <w:pStyle w:val="BodyText"/>
        <w:rPr>
          <w:u w:val="thick"/>
          <w:lang w:val="en-GB"/>
        </w:rPr>
      </w:pPr>
      <w:r w:rsidRPr="0006211F">
        <w:rPr>
          <w:lang w:val="en-GB"/>
        </w:rPr>
        <w:t xml:space="preserve">The 2024 LBF grant program aims to fund projects and programs that prevent, monitor, and control diseases, thereby enhancing </w:t>
      </w:r>
      <w:proofErr w:type="gramStart"/>
      <w:r w:rsidRPr="0006211F">
        <w:rPr>
          <w:lang w:val="en-GB"/>
        </w:rPr>
        <w:t>honey bee</w:t>
      </w:r>
      <w:proofErr w:type="gramEnd"/>
      <w:r w:rsidRPr="0006211F">
        <w:rPr>
          <w:lang w:val="en-GB"/>
        </w:rPr>
        <w:t xml:space="preserve"> health, biosecurity and market access for the benefit of the Honey Bee industry in Victoria.</w:t>
      </w:r>
    </w:p>
    <w:p w14:paraId="2945EE91" w14:textId="77777777" w:rsidR="0006211F" w:rsidRPr="0006211F" w:rsidRDefault="0006211F" w:rsidP="0006211F">
      <w:pPr>
        <w:pStyle w:val="BodyText"/>
        <w:rPr>
          <w:u w:val="thick"/>
          <w:lang w:val="en-GB"/>
        </w:rPr>
      </w:pPr>
      <w:r w:rsidRPr="0006211F">
        <w:rPr>
          <w:lang w:val="en-GB"/>
        </w:rPr>
        <w:t>The AIAC is seeking to recommend to the Minister for Agriculture a portfolio of LBF grants across the following five areas:</w:t>
      </w:r>
    </w:p>
    <w:p w14:paraId="7ADDE845" w14:textId="77777777" w:rsidR="0006211F" w:rsidRPr="00657AFF" w:rsidRDefault="0006211F" w:rsidP="007E2AFE">
      <w:pPr>
        <w:pStyle w:val="ListNumber"/>
        <w:numPr>
          <w:ilvl w:val="0"/>
          <w:numId w:val="28"/>
        </w:numPr>
        <w:tabs>
          <w:tab w:val="clear" w:pos="2345"/>
          <w:tab w:val="num" w:pos="360"/>
        </w:tabs>
        <w:ind w:left="360"/>
        <w:rPr>
          <w:highlight w:val="cyan"/>
          <w:lang w:val="en-GB"/>
        </w:rPr>
      </w:pPr>
      <w:r w:rsidRPr="00657AFF">
        <w:rPr>
          <w:highlight w:val="cyan"/>
          <w:lang w:val="en-GB"/>
        </w:rPr>
        <w:t xml:space="preserve">Preparedness for response – building response capability, capacity and planning including the development of innovative control techniques to prevent and manage significant pests and diseases including </w:t>
      </w:r>
      <w:proofErr w:type="gramStart"/>
      <w:r w:rsidRPr="00657AFF">
        <w:rPr>
          <w:highlight w:val="cyan"/>
          <w:lang w:val="en-GB"/>
        </w:rPr>
        <w:t>AFB</w:t>
      </w:r>
      <w:proofErr w:type="gramEnd"/>
    </w:p>
    <w:p w14:paraId="2E2496BA" w14:textId="77777777" w:rsidR="0006211F" w:rsidRPr="00657AFF" w:rsidRDefault="0006211F" w:rsidP="00C103A5">
      <w:pPr>
        <w:pStyle w:val="ListNumber"/>
        <w:rPr>
          <w:highlight w:val="cyan"/>
          <w:lang w:val="en-GB"/>
        </w:rPr>
      </w:pPr>
      <w:r w:rsidRPr="00657AFF">
        <w:rPr>
          <w:highlight w:val="cyan"/>
          <w:lang w:val="en-GB"/>
        </w:rPr>
        <w:t xml:space="preserve">Traceability – enhance system integrity and </w:t>
      </w:r>
      <w:proofErr w:type="gramStart"/>
      <w:r w:rsidRPr="00657AFF">
        <w:rPr>
          <w:highlight w:val="cyan"/>
          <w:lang w:val="en-GB"/>
        </w:rPr>
        <w:t>effectiveness</w:t>
      </w:r>
      <w:proofErr w:type="gramEnd"/>
    </w:p>
    <w:p w14:paraId="4CB73A8E" w14:textId="77777777" w:rsidR="0006211F" w:rsidRPr="00657AFF" w:rsidRDefault="0006211F" w:rsidP="00C103A5">
      <w:pPr>
        <w:pStyle w:val="ListNumber"/>
        <w:rPr>
          <w:highlight w:val="cyan"/>
          <w:lang w:val="en-GB"/>
        </w:rPr>
      </w:pPr>
      <w:r w:rsidRPr="00657AFF">
        <w:rPr>
          <w:highlight w:val="cyan"/>
          <w:lang w:val="en-GB"/>
        </w:rPr>
        <w:t>Early detection – improved surveillance and monitoring</w:t>
      </w:r>
    </w:p>
    <w:p w14:paraId="2C4E4363" w14:textId="77777777" w:rsidR="0006211F" w:rsidRPr="00657AFF" w:rsidRDefault="0006211F" w:rsidP="00C103A5">
      <w:pPr>
        <w:pStyle w:val="ListNumber"/>
        <w:rPr>
          <w:highlight w:val="cyan"/>
          <w:lang w:val="en-GB"/>
        </w:rPr>
      </w:pPr>
      <w:r w:rsidRPr="00657AFF">
        <w:rPr>
          <w:highlight w:val="cyan"/>
          <w:lang w:val="en-GB"/>
        </w:rPr>
        <w:t xml:space="preserve">Education – awareness and training for industry to better manage biosecurity risks, disease treatment and management and improve </w:t>
      </w:r>
      <w:proofErr w:type="gramStart"/>
      <w:r w:rsidRPr="00657AFF">
        <w:rPr>
          <w:highlight w:val="cyan"/>
          <w:lang w:val="en-GB"/>
        </w:rPr>
        <w:t>bee keeper</w:t>
      </w:r>
      <w:proofErr w:type="gramEnd"/>
      <w:r w:rsidRPr="00657AFF">
        <w:rPr>
          <w:highlight w:val="cyan"/>
          <w:lang w:val="en-GB"/>
        </w:rPr>
        <w:t xml:space="preserve"> competency</w:t>
      </w:r>
    </w:p>
    <w:p w14:paraId="517BF2B9" w14:textId="77777777" w:rsidR="0006211F" w:rsidRPr="00657AFF" w:rsidRDefault="0006211F" w:rsidP="00C103A5">
      <w:pPr>
        <w:pStyle w:val="ListNumber"/>
        <w:rPr>
          <w:highlight w:val="cyan"/>
          <w:u w:val="thick"/>
          <w:lang w:val="en-GB"/>
        </w:rPr>
      </w:pPr>
      <w:r w:rsidRPr="00657AFF">
        <w:rPr>
          <w:highlight w:val="cyan"/>
          <w:lang w:val="en-GB"/>
        </w:rPr>
        <w:t xml:space="preserve">Research – particularly technologies for nutrition and genetic breeding programs, including for AFB, building </w:t>
      </w:r>
      <w:proofErr w:type="gramStart"/>
      <w:r w:rsidRPr="00657AFF">
        <w:rPr>
          <w:highlight w:val="cyan"/>
          <w:lang w:val="en-GB"/>
        </w:rPr>
        <w:t>honey bee</w:t>
      </w:r>
      <w:proofErr w:type="gramEnd"/>
      <w:r w:rsidRPr="00657AFF">
        <w:rPr>
          <w:highlight w:val="cyan"/>
          <w:lang w:val="en-GB"/>
        </w:rPr>
        <w:t xml:space="preserve"> resistance to significant pests and diseases, understanding of supplementary feeding of bees/husbandry practices to maintain healthy honey bee pollination stocks and benchmarking against national and international AFB standards</w:t>
      </w:r>
    </w:p>
    <w:p w14:paraId="1B1B812B" w14:textId="77777777" w:rsidR="0006211F" w:rsidRPr="0006211F" w:rsidRDefault="0006211F" w:rsidP="00C103A5">
      <w:pPr>
        <w:pStyle w:val="BodyText"/>
        <w:rPr>
          <w:lang w:val="en-GB"/>
        </w:rPr>
      </w:pPr>
      <w:r w:rsidRPr="0006211F">
        <w:rPr>
          <w:lang w:val="en-GB"/>
        </w:rPr>
        <w:t>Applications should clearly identify how the proposal will deliver benefits to the Victorian apicultural industry in one or more of these areas.</w:t>
      </w:r>
    </w:p>
    <w:p w14:paraId="09371FEC" w14:textId="77777777" w:rsidR="0006211F" w:rsidRPr="0006211F" w:rsidRDefault="0006211F" w:rsidP="00192DC5">
      <w:pPr>
        <w:pStyle w:val="HeadingFOUR"/>
        <w:rPr>
          <w:u w:val="thick"/>
        </w:rPr>
      </w:pPr>
      <w:r w:rsidRPr="0006211F">
        <w:t>Who and How</w:t>
      </w:r>
    </w:p>
    <w:p w14:paraId="22D05749" w14:textId="77777777" w:rsidR="0006211F" w:rsidRPr="0006211F" w:rsidRDefault="0006211F" w:rsidP="0006211F">
      <w:pPr>
        <w:pStyle w:val="BodyText"/>
        <w:rPr>
          <w:lang w:val="en-GB"/>
        </w:rPr>
      </w:pPr>
      <w:r w:rsidRPr="0006211F">
        <w:rPr>
          <w:lang w:val="en-GB"/>
        </w:rPr>
        <w:t>The AIAC would encourage applications from any eligible bodies across the supply chain, research institutions, industry bodies and the like.</w:t>
      </w:r>
    </w:p>
    <w:p w14:paraId="2DB147FD" w14:textId="2C6ABFDB" w:rsidR="0006211F" w:rsidRPr="0006211F" w:rsidRDefault="0006211F" w:rsidP="0006211F">
      <w:pPr>
        <w:pStyle w:val="BodyText"/>
        <w:rPr>
          <w:lang w:val="en-GB"/>
        </w:rPr>
      </w:pPr>
      <w:r w:rsidRPr="0006211F">
        <w:rPr>
          <w:lang w:val="en-GB"/>
        </w:rPr>
        <w:lastRenderedPageBreak/>
        <w:t xml:space="preserve">Further details can be found in the 2024 LBF Grant Program guidelines and the Agriculture Victoria website at </w:t>
      </w:r>
      <w:hyperlink r:id="rId24" w:history="1">
        <w:r w:rsidRPr="00C103A5">
          <w:rPr>
            <w:rStyle w:val="Hyperlink"/>
            <w:lang w:val="en-GB"/>
          </w:rPr>
          <w:t>LBF grant program</w:t>
        </w:r>
      </w:hyperlink>
      <w:r w:rsidRPr="0006211F">
        <w:rPr>
          <w:lang w:val="en-GB"/>
        </w:rPr>
        <w:t xml:space="preserve">. </w:t>
      </w:r>
    </w:p>
    <w:p w14:paraId="682CB02D" w14:textId="2CC93D7C" w:rsidR="000F4C2F" w:rsidRPr="00F60B10" w:rsidRDefault="0006211F" w:rsidP="000F4C2F">
      <w:pPr>
        <w:pStyle w:val="BodyText"/>
        <w:rPr>
          <w:u w:val="thick"/>
          <w:lang w:val="en-GB"/>
        </w:rPr>
      </w:pPr>
      <w:r w:rsidRPr="0006211F">
        <w:rPr>
          <w:lang w:val="en-GB"/>
        </w:rPr>
        <w:t xml:space="preserve">Any questions can be directed to </w:t>
      </w:r>
      <w:hyperlink r:id="rId25" w:history="1">
        <w:r w:rsidRPr="00C103A5">
          <w:rPr>
            <w:rStyle w:val="Hyperlink"/>
            <w:lang w:val="en-GB"/>
          </w:rPr>
          <w:t>LivestockBiosecurityFund@agriculture.vic.gov.au</w:t>
        </w:r>
      </w:hyperlink>
    </w:p>
    <w:p w14:paraId="743B13C7" w14:textId="66C608CD" w:rsidR="002F08A3" w:rsidRDefault="002F08A3">
      <w:pPr>
        <w:suppressAutoHyphens w:val="0"/>
        <w:spacing w:after="160"/>
        <w:rPr>
          <w:rFonts w:cs="Times New Roman (Body CS)"/>
          <w:kern w:val="24"/>
          <w:lang w:val="en-GB"/>
        </w:rPr>
      </w:pPr>
      <w:r>
        <w:rPr>
          <w:lang w:val="en-GB"/>
        </w:rPr>
        <w:br w:type="page"/>
      </w:r>
    </w:p>
    <w:p w14:paraId="31D43CEF" w14:textId="77777777" w:rsidR="005E730C" w:rsidRPr="005E730C" w:rsidRDefault="005E730C" w:rsidP="005E730C">
      <w:pPr>
        <w:pStyle w:val="BodyText"/>
        <w:rPr>
          <w:lang w:val="en-US"/>
        </w:rPr>
      </w:pPr>
      <w:proofErr w:type="spellStart"/>
      <w:r w:rsidRPr="005E730C">
        <w:rPr>
          <w:lang w:val="en-US"/>
        </w:rPr>
        <w:lastRenderedPageBreak/>
        <w:t>Authorised</w:t>
      </w:r>
      <w:proofErr w:type="spellEnd"/>
      <w:r w:rsidRPr="005E730C">
        <w:rPr>
          <w:lang w:val="en-US"/>
        </w:rPr>
        <w:t xml:space="preserve"> by the Department of Energy, Environment and Climate Action</w:t>
      </w:r>
    </w:p>
    <w:p w14:paraId="3632685A" w14:textId="77777777" w:rsidR="005E730C" w:rsidRPr="005E730C" w:rsidRDefault="005E730C" w:rsidP="005E730C">
      <w:pPr>
        <w:pStyle w:val="BodyText"/>
        <w:rPr>
          <w:lang w:val="en-GB"/>
        </w:rPr>
      </w:pPr>
      <w:r w:rsidRPr="005E730C">
        <w:rPr>
          <w:lang w:val="en-US"/>
        </w:rPr>
        <w:t xml:space="preserve">475 </w:t>
      </w:r>
      <w:proofErr w:type="spellStart"/>
      <w:r w:rsidRPr="005E730C">
        <w:rPr>
          <w:lang w:val="en-US"/>
        </w:rPr>
        <w:t>Mickleham</w:t>
      </w:r>
      <w:proofErr w:type="spellEnd"/>
      <w:r w:rsidRPr="005E730C">
        <w:rPr>
          <w:lang w:val="en-US"/>
        </w:rPr>
        <w:t xml:space="preserve"> Rd, Attwood.</w:t>
      </w:r>
    </w:p>
    <w:p w14:paraId="46DA2221" w14:textId="2A75017B" w:rsidR="005E730C" w:rsidRPr="005E730C" w:rsidRDefault="005E730C" w:rsidP="005E730C">
      <w:pPr>
        <w:pStyle w:val="BodyText"/>
        <w:rPr>
          <w:u w:val="thick"/>
          <w:lang w:val="en-GB"/>
        </w:rPr>
      </w:pPr>
      <w:r w:rsidRPr="005E730C">
        <w:rPr>
          <w:lang w:val="en-GB"/>
        </w:rPr>
        <w:t xml:space="preserve">Email: </w:t>
      </w:r>
      <w:hyperlink r:id="rId26" w:history="1">
        <w:r w:rsidRPr="005E730C">
          <w:rPr>
            <w:rStyle w:val="Hyperlink"/>
            <w:lang w:val="en-GB"/>
          </w:rPr>
          <w:t>livestockbiosecurityfund@agriculture.vic.gov.au</w:t>
        </w:r>
      </w:hyperlink>
    </w:p>
    <w:p w14:paraId="395C393C" w14:textId="31A007D2" w:rsidR="005E730C" w:rsidRPr="005E730C" w:rsidRDefault="005E730C" w:rsidP="005E730C">
      <w:pPr>
        <w:pStyle w:val="BodyText"/>
        <w:rPr>
          <w:lang w:val="en-GB"/>
        </w:rPr>
      </w:pPr>
      <w:r>
        <w:rPr>
          <w:lang w:val="en-GB"/>
        </w:rPr>
        <w:t>Telephone</w:t>
      </w:r>
      <w:r w:rsidRPr="005E730C">
        <w:rPr>
          <w:lang w:val="en-GB"/>
        </w:rPr>
        <w:t>: 136 186</w:t>
      </w:r>
    </w:p>
    <w:p w14:paraId="5AC5E49E" w14:textId="01F49D8D" w:rsidR="002F08A3" w:rsidRPr="00D63DD7" w:rsidRDefault="005E730C" w:rsidP="005E730C">
      <w:pPr>
        <w:pStyle w:val="BodyText"/>
      </w:pPr>
      <w:r w:rsidRPr="005E730C">
        <w:rPr>
          <w:lang w:val="en-GB"/>
        </w:rPr>
        <w:t>W</w:t>
      </w:r>
      <w:r>
        <w:rPr>
          <w:lang w:val="en-GB"/>
        </w:rPr>
        <w:t>ebsite</w:t>
      </w:r>
      <w:r w:rsidRPr="005E730C">
        <w:rPr>
          <w:lang w:val="en-GB"/>
        </w:rPr>
        <w:t xml:space="preserve">: </w:t>
      </w:r>
      <w:hyperlink r:id="rId27" w:history="1">
        <w:r w:rsidRPr="005E730C">
          <w:rPr>
            <w:rStyle w:val="Hyperlink"/>
            <w:lang w:val="en-GB"/>
          </w:rPr>
          <w:t>agriculture.vic.gov.au/</w:t>
        </w:r>
        <w:proofErr w:type="spellStart"/>
        <w:r w:rsidRPr="005E730C">
          <w:rPr>
            <w:rStyle w:val="Hyperlink"/>
            <w:lang w:val="en-GB"/>
          </w:rPr>
          <w:t>livestockbiosecurityfunds</w:t>
        </w:r>
        <w:proofErr w:type="spellEnd"/>
      </w:hyperlink>
      <w:r w:rsidR="002F08A3" w:rsidRPr="005E730C">
        <w:t>.</w:t>
      </w:r>
    </w:p>
    <w:p w14:paraId="74E05816" w14:textId="1B661F57" w:rsidR="002F08A3" w:rsidRPr="00D63DD7" w:rsidRDefault="002F08A3" w:rsidP="002F08A3">
      <w:pPr>
        <w:pStyle w:val="BodyText"/>
        <w:ind w:right="-427"/>
      </w:pPr>
      <w:r w:rsidRPr="00D63DD7">
        <w:t xml:space="preserve">© The State of Victoria Department of Energy, Environment and Climate Action, </w:t>
      </w:r>
      <w:r w:rsidR="005E730C" w:rsidRPr="005E730C">
        <w:t>February 2024</w:t>
      </w:r>
    </w:p>
    <w:p w14:paraId="5DA04A43" w14:textId="77777777" w:rsidR="002F08A3" w:rsidRPr="009F308A" w:rsidRDefault="002F08A3" w:rsidP="002F08A3">
      <w:pPr>
        <w:pStyle w:val="BodyText"/>
        <w:spacing w:after="0"/>
        <w:rPr>
          <w:b/>
          <w:bCs/>
          <w:sz w:val="26"/>
          <w:szCs w:val="26"/>
        </w:rPr>
      </w:pPr>
      <w:r w:rsidRPr="009F308A">
        <w:rPr>
          <w:b/>
          <w:bCs/>
          <w:sz w:val="26"/>
          <w:szCs w:val="26"/>
        </w:rPr>
        <w:t>Creative Commons</w:t>
      </w:r>
    </w:p>
    <w:p w14:paraId="694DD95C" w14:textId="77777777" w:rsidR="002F08A3" w:rsidRPr="00096F20" w:rsidRDefault="002F08A3" w:rsidP="002F08A3">
      <w:pPr>
        <w:pStyle w:val="BodyText"/>
        <w:rPr>
          <w:lang w:val="en-US"/>
        </w:rPr>
      </w:pPr>
      <w:r w:rsidRPr="00096F20">
        <w:rPr>
          <w:lang w:val="en-US"/>
        </w:rPr>
        <w:t xml:space="preserve">This work is licensed under a Creative Commons Attribution 4.0 International </w:t>
      </w:r>
      <w:proofErr w:type="spellStart"/>
      <w:r w:rsidRPr="00096F20">
        <w:rPr>
          <w:lang w:val="en-US"/>
        </w:rPr>
        <w:t>licence</w:t>
      </w:r>
      <w:proofErr w:type="spellEnd"/>
      <w:r w:rsidRPr="00096F20">
        <w:rPr>
          <w:lang w:val="en-US"/>
        </w:rPr>
        <w:t xml:space="preserve">, visit the </w:t>
      </w:r>
      <w:hyperlink r:id="rId28" w:history="1">
        <w:r w:rsidRPr="00096F20">
          <w:rPr>
            <w:rStyle w:val="Hyperlink"/>
            <w:lang w:val="en-US"/>
          </w:rPr>
          <w:t>Creative Commons website</w:t>
        </w:r>
      </w:hyperlink>
      <w:r w:rsidRPr="00096F20">
        <w:rPr>
          <w:lang w:val="en-US"/>
        </w:rPr>
        <w:t xml:space="preserve"> (http://creativecommons.org/licenses/by/4.0/).</w:t>
      </w:r>
    </w:p>
    <w:p w14:paraId="6A988346" w14:textId="77777777" w:rsidR="002F08A3" w:rsidRPr="00096F20" w:rsidRDefault="002F08A3" w:rsidP="002F08A3">
      <w:pPr>
        <w:pStyle w:val="BodyText"/>
        <w:rPr>
          <w:lang w:val="en-US"/>
        </w:rPr>
      </w:pPr>
      <w:r w:rsidRPr="00096F20">
        <w:rPr>
          <w:lang w:val="en-US"/>
        </w:rPr>
        <w:t xml:space="preserve">You are free to re-use the work under that </w:t>
      </w:r>
      <w:proofErr w:type="spellStart"/>
      <w:r w:rsidRPr="00096F20">
        <w:rPr>
          <w:lang w:val="en-US"/>
        </w:rPr>
        <w:t>licence</w:t>
      </w:r>
      <w:proofErr w:type="spellEnd"/>
      <w:r w:rsidRPr="00096F20">
        <w:rPr>
          <w:lang w:val="en-US"/>
        </w:rPr>
        <w:t xml:space="preserve">, on the condition that you credit the State of Victoria as author. The </w:t>
      </w:r>
      <w:proofErr w:type="spellStart"/>
      <w:r w:rsidRPr="00096F20">
        <w:rPr>
          <w:lang w:val="en-US"/>
        </w:rPr>
        <w:t>licence</w:t>
      </w:r>
      <w:proofErr w:type="spellEnd"/>
      <w:r w:rsidRPr="00096F20">
        <w:rPr>
          <w:lang w:val="en-US"/>
        </w:rPr>
        <w:t xml:space="preserve"> does not apply to any images, </w:t>
      </w:r>
      <w:proofErr w:type="gramStart"/>
      <w:r w:rsidRPr="00096F20">
        <w:rPr>
          <w:lang w:val="en-US"/>
        </w:rPr>
        <w:t>photographs</w:t>
      </w:r>
      <w:proofErr w:type="gramEnd"/>
      <w:r w:rsidRPr="00096F20">
        <w:rPr>
          <w:lang w:val="en-US"/>
        </w:rPr>
        <w:t xml:space="preserve"> or branding, including the Victorian Coat of Arms, and the Victorian Government and Department logos.</w:t>
      </w:r>
    </w:p>
    <w:p w14:paraId="73C03E67" w14:textId="77777777" w:rsidR="002F08A3" w:rsidRPr="005E730C" w:rsidRDefault="002F08A3" w:rsidP="005E730C">
      <w:pPr>
        <w:pStyle w:val="BodyText"/>
        <w:spacing w:after="0"/>
        <w:rPr>
          <w:b/>
          <w:bCs/>
          <w:sz w:val="26"/>
          <w:szCs w:val="26"/>
        </w:rPr>
      </w:pPr>
      <w:r w:rsidRPr="009F308A">
        <w:rPr>
          <w:b/>
          <w:bCs/>
          <w:sz w:val="26"/>
          <w:szCs w:val="26"/>
        </w:rPr>
        <w:t>Disclaimer</w:t>
      </w:r>
    </w:p>
    <w:p w14:paraId="3126FAB7" w14:textId="1A99714B" w:rsidR="002F08A3" w:rsidRPr="00D63DD7" w:rsidRDefault="005E730C" w:rsidP="002F08A3">
      <w:pPr>
        <w:pStyle w:val="BodyText"/>
        <w:rPr>
          <w:lang w:val="en-US"/>
        </w:rPr>
      </w:pPr>
      <w:r w:rsidRPr="005E730C">
        <w:rPr>
          <w:lang w:val="en-US"/>
        </w:rPr>
        <w:t xml:space="preserve">This publication may be of assistance to </w:t>
      </w:r>
      <w:proofErr w:type="gramStart"/>
      <w:r w:rsidRPr="005E730C">
        <w:rPr>
          <w:lang w:val="en-US"/>
        </w:rPr>
        <w:t>you</w:t>
      </w:r>
      <w:proofErr w:type="gramEnd"/>
      <w:r w:rsidRPr="005E730C">
        <w:rPr>
          <w:lang w:val="en-US"/>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3F6D1DB7" w14:textId="77777777" w:rsidR="002F08A3" w:rsidRPr="009F308A" w:rsidRDefault="002F08A3" w:rsidP="002F08A3">
      <w:pPr>
        <w:pStyle w:val="BodyText"/>
        <w:spacing w:after="0"/>
        <w:rPr>
          <w:b/>
          <w:bCs/>
          <w:sz w:val="26"/>
          <w:szCs w:val="26"/>
        </w:rPr>
      </w:pPr>
      <w:r w:rsidRPr="009F308A">
        <w:rPr>
          <w:b/>
          <w:bCs/>
          <w:sz w:val="26"/>
          <w:szCs w:val="26"/>
        </w:rPr>
        <w:t>Accessibility</w:t>
      </w:r>
    </w:p>
    <w:p w14:paraId="65102305" w14:textId="78BD2AAE" w:rsidR="0084376B" w:rsidRPr="00532EA0" w:rsidRDefault="002F08A3" w:rsidP="003560A1">
      <w:pPr>
        <w:pStyle w:val="BodyText"/>
      </w:pPr>
      <w:r w:rsidRPr="009F308A">
        <w:t xml:space="preserve">To receive this document in an alternative format, phone the Customer Service Centre on 136 186, email </w:t>
      </w:r>
      <w:hyperlink r:id="rId29" w:history="1">
        <w:r w:rsidRPr="009F308A">
          <w:rPr>
            <w:rStyle w:val="Hyperlink"/>
          </w:rPr>
          <w:t>customer.service@delwp.vic.gov.au</w:t>
        </w:r>
      </w:hyperlink>
      <w:r w:rsidRPr="009F308A">
        <w:t xml:space="preserve"> or contact </w:t>
      </w:r>
      <w:hyperlink r:id="rId30" w:history="1">
        <w:r w:rsidRPr="009F308A">
          <w:rPr>
            <w:rStyle w:val="Hyperlink"/>
          </w:rPr>
          <w:t>National Relay Service</w:t>
        </w:r>
      </w:hyperlink>
      <w:r w:rsidRPr="009F308A">
        <w:t xml:space="preserve"> (</w:t>
      </w:r>
      <w:hyperlink r:id="rId31" w:history="1">
        <w:r w:rsidR="00532EA0" w:rsidRPr="00532EA0">
          <w:rPr>
            <w:rStyle w:val="Hyperlink"/>
          </w:rPr>
          <w:t>www.relayservice.com.au</w:t>
        </w:r>
      </w:hyperlink>
      <w:r w:rsidRPr="009F308A">
        <w:t>) on 133 677.</w:t>
      </w:r>
    </w:p>
    <w:sectPr w:rsidR="0084376B" w:rsidRPr="00532EA0" w:rsidSect="00836587">
      <w:footerReference w:type="default" r:id="rId32"/>
      <w:pgSz w:w="11906" w:h="16838"/>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C2C3D" w14:textId="77777777" w:rsidR="00E20B34" w:rsidRDefault="00E20B34" w:rsidP="00F2730B">
      <w:pPr>
        <w:spacing w:after="0" w:line="240" w:lineRule="auto"/>
      </w:pPr>
      <w:r>
        <w:separator/>
      </w:r>
    </w:p>
  </w:endnote>
  <w:endnote w:type="continuationSeparator" w:id="0">
    <w:p w14:paraId="499A2F83" w14:textId="77777777" w:rsidR="00E20B34" w:rsidRDefault="00E20B34" w:rsidP="00F2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MinionPro-Regular">
    <w:altName w:val="Calibri"/>
    <w:panose1 w:val="00000000000000000000"/>
    <w:charset w:val="00"/>
    <w:family w:val="auto"/>
    <w:notTrueType/>
    <w:pitch w:val="default"/>
    <w:sig w:usb0="00000003" w:usb1="00000000" w:usb2="00000000" w:usb3="00000000" w:csb0="00000001" w:csb1="00000000"/>
  </w:font>
  <w:font w:name="VIC SemiBold">
    <w:panose1 w:val="00000700000000000000"/>
    <w:charset w:val="00"/>
    <w:family w:val="auto"/>
    <w:pitch w:val="variable"/>
    <w:sig w:usb0="00000007" w:usb1="00000000" w:usb2="00000000" w:usb3="00000000" w:csb0="00000093" w:csb1="00000000"/>
  </w:font>
  <w:font w:name="VIC Light">
    <w:panose1 w:val="00000400000000000000"/>
    <w:charset w:val="00"/>
    <w:family w:val="auto"/>
    <w:pitch w:val="variable"/>
    <w:sig w:usb0="00000007" w:usb1="00000000" w:usb2="00000000" w:usb3="00000000" w:csb0="00000093" w:csb1="00000000"/>
  </w:font>
  <w:font w:name="VIC (OTF) Light Italic">
    <w:altName w:val="VIC"/>
    <w:panose1 w:val="00000000000000000000"/>
    <w:charset w:val="4D"/>
    <w:family w:val="auto"/>
    <w:notTrueType/>
    <w:pitch w:val="variable"/>
    <w:sig w:usb0="00000007" w:usb1="00000000" w:usb2="00000000" w:usb3="00000000" w:csb0="00000093" w:csb1="00000000"/>
  </w:font>
  <w:font w:name="VIC">
    <w:altName w:val="Calibri"/>
    <w:panose1 w:val="00000500000000000000"/>
    <w:charset w:val="00"/>
    <w:family w:val="auto"/>
    <w:pitch w:val="variable"/>
    <w:sig w:usb0="00000007" w:usb1="00000000" w:usb2="00000000" w:usb3="00000000" w:csb0="00000093" w:csb1="00000000"/>
  </w:font>
  <w:font w:name="VIC (OTF) Light">
    <w:altName w:val="VIC"/>
    <w:panose1 w:val="00000000000000000000"/>
    <w:charset w:val="4D"/>
    <w:family w:val="auto"/>
    <w:notTrueType/>
    <w:pitch w:val="variable"/>
    <w:sig w:usb0="00000007" w:usb1="00000000" w:usb2="00000000" w:usb3="00000000" w:csb0="00000093" w:csb1="00000000"/>
  </w:font>
  <w:font w:name="VIC (OTF) SemiBold">
    <w:altName w:val="VIC"/>
    <w:panose1 w:val="00000000000000000000"/>
    <w:charset w:val="4D"/>
    <w:family w:val="auto"/>
    <w:notTrueType/>
    <w:pitch w:val="variable"/>
    <w:sig w:usb0="00000007" w:usb1="00000000" w:usb2="00000000" w:usb3="00000000" w:csb0="00000093" w:csb1="00000000"/>
  </w:font>
  <w:font w:name="Times New Roman (Body CS)">
    <w:altName w:val="Times New Roman"/>
    <w:panose1 w:val="00000000000000000000"/>
    <w:charset w:val="00"/>
    <w:family w:val="roman"/>
    <w:notTrueType/>
    <w:pitch w:val="default"/>
  </w:font>
  <w:font w:name="Arial (Body)">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4EE9" w14:textId="65FA894B" w:rsidR="00A509D3" w:rsidRDefault="00A509D3">
    <w:pPr>
      <w:pStyle w:val="Footer"/>
    </w:pPr>
    <w:r>
      <w:rPr>
        <w:noProof/>
      </w:rPr>
      <mc:AlternateContent>
        <mc:Choice Requires="wps">
          <w:drawing>
            <wp:anchor distT="0" distB="0" distL="114300" distR="114300" simplePos="0" relativeHeight="251661312" behindDoc="0" locked="0" layoutInCell="0" allowOverlap="1" wp14:anchorId="4BDAFA6A" wp14:editId="5771FF3A">
              <wp:simplePos x="0" y="0"/>
              <wp:positionH relativeFrom="page">
                <wp:posOffset>-16510</wp:posOffset>
              </wp:positionH>
              <wp:positionV relativeFrom="page">
                <wp:posOffset>10212070</wp:posOffset>
              </wp:positionV>
              <wp:extent cx="7560310" cy="273050"/>
              <wp:effectExtent l="0" t="0" r="0" b="12700"/>
              <wp:wrapNone/>
              <wp:docPr id="682757513" name="MSIPCMded941fab433699aba67c050"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415A71" w14:textId="77777777" w:rsidR="00A509D3" w:rsidRPr="00561FF9" w:rsidRDefault="00A509D3" w:rsidP="00515813">
                          <w:pPr>
                            <w:spacing w:after="0"/>
                            <w:jc w:val="center"/>
                            <w:rPr>
                              <w:rFonts w:ascii="Calibri" w:hAnsi="Calibri" w:cs="Calibri"/>
                              <w:color w:val="000000"/>
                            </w:rPr>
                          </w:pPr>
                          <w:r w:rsidRPr="00561FF9">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DAFA6A" id="_x0000_t202" coordsize="21600,21600" o:spt="202" path="m,l,21600r21600,l21600,xe">
              <v:stroke joinstyle="miter"/>
              <v:path gradientshapeok="t" o:connecttype="rect"/>
            </v:shapetype>
            <v:shape id="MSIPCMded941fab433699aba67c050" o:spid="_x0000_s1026" type="#_x0000_t202" alt="{&quot;HashCode&quot;:-1264680268,&quot;Height&quot;:841.0,&quot;Width&quot;:595.0,&quot;Placement&quot;:&quot;Footer&quot;,&quot;Index&quot;:&quot;Primary&quot;,&quot;Section&quot;:1,&quot;Top&quot;:0.0,&quot;Left&quot;:0.0}" style="position:absolute;margin-left:-1.3pt;margin-top:804.1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" o:allowincell="f" filled="f" stroked="f" strokeweight=".5pt">
              <v:textbox inset=",0,,0">
                <w:txbxContent>
                  <w:p w14:paraId="11415A71" w14:textId="77777777" w:rsidR="00A509D3" w:rsidRPr="00561FF9" w:rsidRDefault="00A509D3" w:rsidP="00515813">
                    <w:pPr>
                      <w:spacing w:after="0"/>
                      <w:jc w:val="center"/>
                      <w:rPr>
                        <w:rFonts w:ascii="Calibri" w:hAnsi="Calibri" w:cs="Calibri"/>
                        <w:color w:val="000000"/>
                      </w:rPr>
                    </w:pPr>
                    <w:r w:rsidRPr="00561FF9">
                      <w:rPr>
                        <w:rFonts w:ascii="Calibri" w:hAnsi="Calibri" w:cs="Calibri"/>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6301F" w14:textId="77777777" w:rsidR="00E20B34" w:rsidRDefault="00E20B34" w:rsidP="00F2730B">
      <w:pPr>
        <w:spacing w:after="0" w:line="240" w:lineRule="auto"/>
      </w:pPr>
      <w:r>
        <w:separator/>
      </w:r>
    </w:p>
  </w:footnote>
  <w:footnote w:type="continuationSeparator" w:id="0">
    <w:p w14:paraId="19B861FA" w14:textId="77777777" w:rsidR="00E20B34" w:rsidRDefault="00E20B34" w:rsidP="00F27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3F8FD9A"/>
    <w:lvl w:ilvl="0">
      <w:start w:val="1"/>
      <w:numFmt w:val="decimal"/>
      <w:pStyle w:val="ListNumber2"/>
      <w:lvlText w:val="%1."/>
      <w:lvlJc w:val="left"/>
      <w:pPr>
        <w:tabs>
          <w:tab w:val="num" w:pos="643"/>
        </w:tabs>
        <w:ind w:left="643" w:hanging="360"/>
      </w:pPr>
    </w:lvl>
  </w:abstractNum>
  <w:abstractNum w:abstractNumId="1" w15:restartNumberingAfterBreak="0">
    <w:nsid w:val="FFFFFF82"/>
    <w:multiLevelType w:val="singleLevel"/>
    <w:tmpl w:val="69823AB0"/>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C64E3856"/>
    <w:lvl w:ilvl="0">
      <w:start w:val="1"/>
      <w:numFmt w:val="decimal"/>
      <w:pStyle w:val="ListNumber"/>
      <w:lvlText w:val="%1."/>
      <w:lvlJc w:val="left"/>
      <w:pPr>
        <w:tabs>
          <w:tab w:val="num" w:pos="2345"/>
        </w:tabs>
        <w:ind w:left="2345" w:hanging="360"/>
      </w:pPr>
      <w:rPr>
        <w:rFonts w:hint="default"/>
      </w:rPr>
    </w:lvl>
  </w:abstractNum>
  <w:abstractNum w:abstractNumId="3" w15:restartNumberingAfterBreak="0">
    <w:nsid w:val="FFFFFF89"/>
    <w:multiLevelType w:val="singleLevel"/>
    <w:tmpl w:val="711CA1B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2F06B82"/>
    <w:multiLevelType w:val="multilevel"/>
    <w:tmpl w:val="55D8B3A0"/>
    <w:styleLink w:val="CurrentList8"/>
    <w:lvl w:ilvl="0">
      <w:start w:val="4"/>
      <w:numFmt w:val="lowerLetter"/>
      <w:lvlText w:val="%1."/>
      <w:lvlJc w:val="left"/>
      <w:pPr>
        <w:tabs>
          <w:tab w:val="num" w:pos="1049"/>
        </w:tabs>
        <w:ind w:left="1049" w:hanging="340"/>
      </w:pPr>
      <w:rPr>
        <w:rFonts w:hint="default"/>
      </w:r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5" w15:restartNumberingAfterBreak="0">
    <w:nsid w:val="07BC660F"/>
    <w:multiLevelType w:val="multilevel"/>
    <w:tmpl w:val="C518E0AA"/>
    <w:styleLink w:val="CurrentList2"/>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D41628"/>
    <w:multiLevelType w:val="multilevel"/>
    <w:tmpl w:val="0CEE4B10"/>
    <w:styleLink w:val="CurrentList7"/>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7A50B1"/>
    <w:multiLevelType w:val="multilevel"/>
    <w:tmpl w:val="EE1E9434"/>
    <w:styleLink w:val="CurrentList10"/>
    <w:lvl w:ilvl="0">
      <w:start w:val="2"/>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DD3C4D"/>
    <w:multiLevelType w:val="multilevel"/>
    <w:tmpl w:val="0CEE4B10"/>
    <w:styleLink w:val="CurrentList4"/>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EE0F58"/>
    <w:multiLevelType w:val="hybridMultilevel"/>
    <w:tmpl w:val="31F01B80"/>
    <w:lvl w:ilvl="0" w:tplc="7746159C">
      <w:start w:val="1"/>
      <w:numFmt w:val="bullet"/>
      <w:pStyle w:val="Bullet1"/>
      <w:lvlText w:val=""/>
      <w:lvlJc w:val="left"/>
      <w:pPr>
        <w:tabs>
          <w:tab w:val="num" w:pos="340"/>
        </w:tabs>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BE7834"/>
    <w:multiLevelType w:val="hybridMultilevel"/>
    <w:tmpl w:val="E5F2027C"/>
    <w:lvl w:ilvl="0" w:tplc="DD82739A">
      <w:start w:val="1"/>
      <w:numFmt w:val="lowerRoman"/>
      <w:pStyle w:val="Listparagraphi"/>
      <w:lvlText w:val="%1."/>
      <w:lvlJc w:val="left"/>
      <w:pPr>
        <w:tabs>
          <w:tab w:val="num" w:pos="1049"/>
        </w:tabs>
        <w:ind w:left="1049" w:hanging="34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 w15:restartNumberingAfterBreak="0">
    <w:nsid w:val="304E5E27"/>
    <w:multiLevelType w:val="multilevel"/>
    <w:tmpl w:val="A02C5382"/>
    <w:styleLink w:val="CurrentList5"/>
    <w:lvl w:ilvl="0">
      <w:start w:val="1"/>
      <w:numFmt w:val="lowerRoman"/>
      <w:lvlText w:val="%1."/>
      <w:lvlJc w:val="left"/>
      <w:pPr>
        <w:tabs>
          <w:tab w:val="num" w:pos="1049"/>
        </w:tabs>
        <w:ind w:left="1049" w:hanging="34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305E37BC"/>
    <w:multiLevelType w:val="multilevel"/>
    <w:tmpl w:val="4AB455C8"/>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tabs>
          <w:tab w:val="num" w:pos="567"/>
        </w:tabs>
        <w:ind w:left="567" w:hanging="567"/>
      </w:pPr>
      <w:rPr>
        <w:rFonts w:hint="default"/>
      </w:rPr>
    </w:lvl>
    <w:lvl w:ilvl="2">
      <w:start w:val="1"/>
      <w:numFmt w:val="decimal"/>
      <w:pStyle w:val="Heading3numbered"/>
      <w:lvlText w:val="%1.%2.%3"/>
      <w:lvlJc w:val="left"/>
      <w:pPr>
        <w:tabs>
          <w:tab w:val="num" w:pos="567"/>
        </w:tabs>
        <w:ind w:left="567" w:hanging="567"/>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3B9A489D"/>
    <w:multiLevelType w:val="multilevel"/>
    <w:tmpl w:val="18E09786"/>
    <w:styleLink w:val="CurrentList9"/>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1F63B2"/>
    <w:multiLevelType w:val="multilevel"/>
    <w:tmpl w:val="2582452E"/>
    <w:styleLink w:val="CurrentList11"/>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D35F88"/>
    <w:multiLevelType w:val="multilevel"/>
    <w:tmpl w:val="6DAE0932"/>
    <w:styleLink w:val="CurrentList3"/>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32F73A0"/>
    <w:multiLevelType w:val="multilevel"/>
    <w:tmpl w:val="2582452E"/>
    <w:styleLink w:val="CurrentList12"/>
    <w:lvl w:ilvl="0">
      <w:start w:val="1"/>
      <w:numFmt w:val="lowerLetter"/>
      <w:lvlText w:val="%1."/>
      <w:lvlJc w:val="left"/>
      <w:pPr>
        <w:tabs>
          <w:tab w:val="num" w:pos="697"/>
        </w:tabs>
        <w:ind w:left="697" w:hanging="340"/>
      </w:pPr>
      <w:rPr>
        <w:rFonts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7" w15:restartNumberingAfterBreak="0">
    <w:nsid w:val="5510099A"/>
    <w:multiLevelType w:val="multilevel"/>
    <w:tmpl w:val="C518E0AA"/>
    <w:styleLink w:val="CurrentList1"/>
    <w:lvl w:ilvl="0">
      <w:start w:val="1"/>
      <w:numFmt w:val="lowerLetter"/>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B790C95"/>
    <w:multiLevelType w:val="multilevel"/>
    <w:tmpl w:val="33E43144"/>
    <w:styleLink w:val="CurrentList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CA3B4C"/>
    <w:multiLevelType w:val="hybridMultilevel"/>
    <w:tmpl w:val="3FECBB80"/>
    <w:lvl w:ilvl="0" w:tplc="125A57F2">
      <w:start w:val="1"/>
      <w:numFmt w:val="lowerLetter"/>
      <w:pStyle w:val="Listparagrapha"/>
      <w:lvlText w:val="%1."/>
      <w:lvlJc w:val="left"/>
      <w:pPr>
        <w:tabs>
          <w:tab w:val="num" w:pos="697"/>
        </w:tabs>
        <w:ind w:left="697" w:hanging="340"/>
      </w:pPr>
      <w:rPr>
        <w:rFonts w:hint="default"/>
        <w:b w:val="0"/>
        <w:i w:val="0"/>
      </w:rPr>
    </w:lvl>
    <w:lvl w:ilvl="1" w:tplc="FFFFFFFF">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0" w15:restartNumberingAfterBreak="0">
    <w:nsid w:val="731D65E9"/>
    <w:multiLevelType w:val="hybridMultilevel"/>
    <w:tmpl w:val="8F425C38"/>
    <w:lvl w:ilvl="0" w:tplc="54303112">
      <w:start w:val="1"/>
      <w:numFmt w:val="bullet"/>
      <w:pStyle w:val="ListBullet2"/>
      <w:lvlText w:val=""/>
      <w:lvlJc w:val="left"/>
      <w:pPr>
        <w:ind w:left="732" w:hanging="360"/>
      </w:pPr>
      <w:rPr>
        <w:rFonts w:ascii="Wingdings" w:hAnsi="Wingdings"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21" w15:restartNumberingAfterBreak="0">
    <w:nsid w:val="7CA92CF3"/>
    <w:multiLevelType w:val="hybridMultilevel"/>
    <w:tmpl w:val="86D889D8"/>
    <w:lvl w:ilvl="0" w:tplc="8C9A6612">
      <w:start w:val="1"/>
      <w:numFmt w:val="bullet"/>
      <w:pStyle w:val="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59077567">
    <w:abstractNumId w:val="9"/>
  </w:num>
  <w:num w:numId="2" w16cid:durableId="2084981408">
    <w:abstractNumId w:val="12"/>
  </w:num>
  <w:num w:numId="3" w16cid:durableId="601570190">
    <w:abstractNumId w:val="21"/>
  </w:num>
  <w:num w:numId="4" w16cid:durableId="1813522522">
    <w:abstractNumId w:val="3"/>
  </w:num>
  <w:num w:numId="5" w16cid:durableId="533276510">
    <w:abstractNumId w:val="20"/>
  </w:num>
  <w:num w:numId="6" w16cid:durableId="771362055">
    <w:abstractNumId w:val="2"/>
  </w:num>
  <w:num w:numId="7" w16cid:durableId="3823149">
    <w:abstractNumId w:val="17"/>
  </w:num>
  <w:num w:numId="8" w16cid:durableId="338390637">
    <w:abstractNumId w:val="5"/>
  </w:num>
  <w:num w:numId="9" w16cid:durableId="182984412">
    <w:abstractNumId w:val="19"/>
  </w:num>
  <w:num w:numId="10" w16cid:durableId="853954488">
    <w:abstractNumId w:val="15"/>
  </w:num>
  <w:num w:numId="11" w16cid:durableId="307325374">
    <w:abstractNumId w:val="8"/>
  </w:num>
  <w:num w:numId="12" w16cid:durableId="1207567416">
    <w:abstractNumId w:val="11"/>
  </w:num>
  <w:num w:numId="13" w16cid:durableId="1714499310">
    <w:abstractNumId w:val="10"/>
  </w:num>
  <w:num w:numId="14" w16cid:durableId="1557817223">
    <w:abstractNumId w:val="18"/>
  </w:num>
  <w:num w:numId="15" w16cid:durableId="766468131">
    <w:abstractNumId w:val="6"/>
  </w:num>
  <w:num w:numId="16" w16cid:durableId="401634644">
    <w:abstractNumId w:val="4"/>
  </w:num>
  <w:num w:numId="17" w16cid:durableId="2004504209">
    <w:abstractNumId w:val="13"/>
  </w:num>
  <w:num w:numId="18" w16cid:durableId="1333338980">
    <w:abstractNumId w:val="7"/>
  </w:num>
  <w:num w:numId="19" w16cid:durableId="2077896738">
    <w:abstractNumId w:val="14"/>
  </w:num>
  <w:num w:numId="20" w16cid:durableId="318195612">
    <w:abstractNumId w:val="0"/>
  </w:num>
  <w:num w:numId="21" w16cid:durableId="172572898">
    <w:abstractNumId w:val="16"/>
  </w:num>
  <w:num w:numId="22" w16cid:durableId="1306818322">
    <w:abstractNumId w:val="1"/>
  </w:num>
  <w:num w:numId="23" w16cid:durableId="1426268262">
    <w:abstractNumId w:val="2"/>
    <w:lvlOverride w:ilvl="0">
      <w:startOverride w:val="1"/>
    </w:lvlOverride>
  </w:num>
  <w:num w:numId="24" w16cid:durableId="1648826759">
    <w:abstractNumId w:val="2"/>
    <w:lvlOverride w:ilvl="0">
      <w:startOverride w:val="1"/>
    </w:lvlOverride>
  </w:num>
  <w:num w:numId="25" w16cid:durableId="1090615007">
    <w:abstractNumId w:val="2"/>
    <w:lvlOverride w:ilvl="0">
      <w:startOverride w:val="1"/>
    </w:lvlOverride>
  </w:num>
  <w:num w:numId="26" w16cid:durableId="1542744870">
    <w:abstractNumId w:val="2"/>
    <w:lvlOverride w:ilvl="0">
      <w:startOverride w:val="1"/>
    </w:lvlOverride>
  </w:num>
  <w:num w:numId="27" w16cid:durableId="653530993">
    <w:abstractNumId w:val="2"/>
    <w:lvlOverride w:ilvl="0">
      <w:startOverride w:val="1"/>
    </w:lvlOverride>
  </w:num>
  <w:num w:numId="28" w16cid:durableId="120193733">
    <w:abstractNumId w:val="2"/>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embedSystemFonts/>
  <w:bordersDoNotSurroundHeader/>
  <w:bordersDoNotSurroundFooter/>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CB"/>
    <w:rsid w:val="00010851"/>
    <w:rsid w:val="00010D69"/>
    <w:rsid w:val="000159E0"/>
    <w:rsid w:val="00024EED"/>
    <w:rsid w:val="00033D9B"/>
    <w:rsid w:val="00035E6B"/>
    <w:rsid w:val="00040921"/>
    <w:rsid w:val="00045691"/>
    <w:rsid w:val="000505A5"/>
    <w:rsid w:val="00060F88"/>
    <w:rsid w:val="0006211F"/>
    <w:rsid w:val="00062635"/>
    <w:rsid w:val="000670B1"/>
    <w:rsid w:val="00077243"/>
    <w:rsid w:val="00083F92"/>
    <w:rsid w:val="00096F20"/>
    <w:rsid w:val="000A06C8"/>
    <w:rsid w:val="000A09C6"/>
    <w:rsid w:val="000B0305"/>
    <w:rsid w:val="000B181D"/>
    <w:rsid w:val="000B62B5"/>
    <w:rsid w:val="000C4A37"/>
    <w:rsid w:val="000C4B11"/>
    <w:rsid w:val="000D76E6"/>
    <w:rsid w:val="000D7F89"/>
    <w:rsid w:val="000E6786"/>
    <w:rsid w:val="000F491B"/>
    <w:rsid w:val="000F4C2F"/>
    <w:rsid w:val="00101019"/>
    <w:rsid w:val="0010305F"/>
    <w:rsid w:val="00104647"/>
    <w:rsid w:val="001073C1"/>
    <w:rsid w:val="00112EFF"/>
    <w:rsid w:val="00124CDD"/>
    <w:rsid w:val="00125150"/>
    <w:rsid w:val="001273C5"/>
    <w:rsid w:val="00131B14"/>
    <w:rsid w:val="001326C2"/>
    <w:rsid w:val="00135B36"/>
    <w:rsid w:val="001475FA"/>
    <w:rsid w:val="001500AB"/>
    <w:rsid w:val="00151489"/>
    <w:rsid w:val="0016764A"/>
    <w:rsid w:val="001679A3"/>
    <w:rsid w:val="001708FE"/>
    <w:rsid w:val="00172357"/>
    <w:rsid w:val="00175022"/>
    <w:rsid w:val="00185ABC"/>
    <w:rsid w:val="00192DC5"/>
    <w:rsid w:val="001A118C"/>
    <w:rsid w:val="001A358E"/>
    <w:rsid w:val="001A4A2B"/>
    <w:rsid w:val="001A5DB2"/>
    <w:rsid w:val="001B02D0"/>
    <w:rsid w:val="001B1361"/>
    <w:rsid w:val="001B1B3A"/>
    <w:rsid w:val="001B2A51"/>
    <w:rsid w:val="001B37AF"/>
    <w:rsid w:val="001C10D8"/>
    <w:rsid w:val="001D3828"/>
    <w:rsid w:val="001D392F"/>
    <w:rsid w:val="001E3FB4"/>
    <w:rsid w:val="001E4386"/>
    <w:rsid w:val="001E4846"/>
    <w:rsid w:val="001E5B9F"/>
    <w:rsid w:val="001E6288"/>
    <w:rsid w:val="001F2925"/>
    <w:rsid w:val="00202A5B"/>
    <w:rsid w:val="00212461"/>
    <w:rsid w:val="00214345"/>
    <w:rsid w:val="002143C5"/>
    <w:rsid w:val="0021482C"/>
    <w:rsid w:val="00215E01"/>
    <w:rsid w:val="00233B8B"/>
    <w:rsid w:val="00236EB6"/>
    <w:rsid w:val="00241796"/>
    <w:rsid w:val="00241E12"/>
    <w:rsid w:val="00244E10"/>
    <w:rsid w:val="0024556C"/>
    <w:rsid w:val="002460FA"/>
    <w:rsid w:val="002515D8"/>
    <w:rsid w:val="00252B69"/>
    <w:rsid w:val="002533B0"/>
    <w:rsid w:val="00253CE5"/>
    <w:rsid w:val="002612BF"/>
    <w:rsid w:val="0026182E"/>
    <w:rsid w:val="00266DF9"/>
    <w:rsid w:val="0027005A"/>
    <w:rsid w:val="00276F9F"/>
    <w:rsid w:val="00281939"/>
    <w:rsid w:val="00283316"/>
    <w:rsid w:val="00283D59"/>
    <w:rsid w:val="002848F0"/>
    <w:rsid w:val="00285B57"/>
    <w:rsid w:val="00287102"/>
    <w:rsid w:val="00287AA8"/>
    <w:rsid w:val="00287CD4"/>
    <w:rsid w:val="00291546"/>
    <w:rsid w:val="00295CE3"/>
    <w:rsid w:val="002A2BEF"/>
    <w:rsid w:val="002C3499"/>
    <w:rsid w:val="002C75FC"/>
    <w:rsid w:val="002D0B3A"/>
    <w:rsid w:val="002D2205"/>
    <w:rsid w:val="002D5D38"/>
    <w:rsid w:val="002D70AB"/>
    <w:rsid w:val="002D75AD"/>
    <w:rsid w:val="002E05AF"/>
    <w:rsid w:val="002E4FE6"/>
    <w:rsid w:val="002F0246"/>
    <w:rsid w:val="002F08A3"/>
    <w:rsid w:val="002F2CD2"/>
    <w:rsid w:val="002F5028"/>
    <w:rsid w:val="002F5947"/>
    <w:rsid w:val="003016EC"/>
    <w:rsid w:val="0030735D"/>
    <w:rsid w:val="00307463"/>
    <w:rsid w:val="0031002A"/>
    <w:rsid w:val="00310309"/>
    <w:rsid w:val="003116DC"/>
    <w:rsid w:val="00320E94"/>
    <w:rsid w:val="003226E3"/>
    <w:rsid w:val="003367D8"/>
    <w:rsid w:val="00337320"/>
    <w:rsid w:val="0034757B"/>
    <w:rsid w:val="00352F44"/>
    <w:rsid w:val="003560A1"/>
    <w:rsid w:val="003616B0"/>
    <w:rsid w:val="00365844"/>
    <w:rsid w:val="0036602E"/>
    <w:rsid w:val="003815C1"/>
    <w:rsid w:val="003931F4"/>
    <w:rsid w:val="00395B17"/>
    <w:rsid w:val="00397BEF"/>
    <w:rsid w:val="003A0984"/>
    <w:rsid w:val="003A0ADE"/>
    <w:rsid w:val="003A393C"/>
    <w:rsid w:val="003A42CC"/>
    <w:rsid w:val="003A6086"/>
    <w:rsid w:val="003A72CF"/>
    <w:rsid w:val="003B25BA"/>
    <w:rsid w:val="003C2291"/>
    <w:rsid w:val="003C7DED"/>
    <w:rsid w:val="003D16D7"/>
    <w:rsid w:val="003D1F96"/>
    <w:rsid w:val="003D4796"/>
    <w:rsid w:val="003E3C61"/>
    <w:rsid w:val="003E5B1D"/>
    <w:rsid w:val="003F3D0A"/>
    <w:rsid w:val="003F5AFF"/>
    <w:rsid w:val="003F682C"/>
    <w:rsid w:val="00400E4D"/>
    <w:rsid w:val="0040225E"/>
    <w:rsid w:val="00404B9B"/>
    <w:rsid w:val="00404F0E"/>
    <w:rsid w:val="004163B5"/>
    <w:rsid w:val="00423210"/>
    <w:rsid w:val="00451ABC"/>
    <w:rsid w:val="0045371F"/>
    <w:rsid w:val="00454FF3"/>
    <w:rsid w:val="004554EA"/>
    <w:rsid w:val="00460D9F"/>
    <w:rsid w:val="004627B1"/>
    <w:rsid w:val="00463C15"/>
    <w:rsid w:val="0046520A"/>
    <w:rsid w:val="00467943"/>
    <w:rsid w:val="00471616"/>
    <w:rsid w:val="004732CA"/>
    <w:rsid w:val="00480600"/>
    <w:rsid w:val="004875F9"/>
    <w:rsid w:val="00490E07"/>
    <w:rsid w:val="004A0E5A"/>
    <w:rsid w:val="004A68CA"/>
    <w:rsid w:val="004B20C4"/>
    <w:rsid w:val="004B30FB"/>
    <w:rsid w:val="004C5429"/>
    <w:rsid w:val="004E2D9F"/>
    <w:rsid w:val="004E4CB9"/>
    <w:rsid w:val="004E6D88"/>
    <w:rsid w:val="004F77CA"/>
    <w:rsid w:val="00506B0D"/>
    <w:rsid w:val="00513A03"/>
    <w:rsid w:val="00515813"/>
    <w:rsid w:val="00515C9C"/>
    <w:rsid w:val="0051674C"/>
    <w:rsid w:val="00526FFF"/>
    <w:rsid w:val="00532EA0"/>
    <w:rsid w:val="0053353B"/>
    <w:rsid w:val="00536DD7"/>
    <w:rsid w:val="0054395D"/>
    <w:rsid w:val="005479C6"/>
    <w:rsid w:val="005554F3"/>
    <w:rsid w:val="00556105"/>
    <w:rsid w:val="005576D8"/>
    <w:rsid w:val="00560C0D"/>
    <w:rsid w:val="00561FF9"/>
    <w:rsid w:val="00562EF3"/>
    <w:rsid w:val="00562FFF"/>
    <w:rsid w:val="00564079"/>
    <w:rsid w:val="005659D9"/>
    <w:rsid w:val="00573734"/>
    <w:rsid w:val="0057561A"/>
    <w:rsid w:val="00576223"/>
    <w:rsid w:val="00577C9B"/>
    <w:rsid w:val="00597962"/>
    <w:rsid w:val="005A1B66"/>
    <w:rsid w:val="005A1BCD"/>
    <w:rsid w:val="005A2D1B"/>
    <w:rsid w:val="005A3AC9"/>
    <w:rsid w:val="005A6B8F"/>
    <w:rsid w:val="005B0BB4"/>
    <w:rsid w:val="005B593D"/>
    <w:rsid w:val="005B5FC2"/>
    <w:rsid w:val="005C1D42"/>
    <w:rsid w:val="005C4602"/>
    <w:rsid w:val="005C79C1"/>
    <w:rsid w:val="005D1F35"/>
    <w:rsid w:val="005D4D35"/>
    <w:rsid w:val="005D632D"/>
    <w:rsid w:val="005D72B8"/>
    <w:rsid w:val="005E2B4C"/>
    <w:rsid w:val="005E393E"/>
    <w:rsid w:val="005E3F95"/>
    <w:rsid w:val="005E730C"/>
    <w:rsid w:val="005F1A1C"/>
    <w:rsid w:val="00605A83"/>
    <w:rsid w:val="00611355"/>
    <w:rsid w:val="00616888"/>
    <w:rsid w:val="00616CF4"/>
    <w:rsid w:val="00620098"/>
    <w:rsid w:val="0062675C"/>
    <w:rsid w:val="0063014E"/>
    <w:rsid w:val="006353A0"/>
    <w:rsid w:val="006368F9"/>
    <w:rsid w:val="00645230"/>
    <w:rsid w:val="006466AF"/>
    <w:rsid w:val="0065671E"/>
    <w:rsid w:val="00657AFF"/>
    <w:rsid w:val="00661813"/>
    <w:rsid w:val="00661920"/>
    <w:rsid w:val="00673096"/>
    <w:rsid w:val="0068129E"/>
    <w:rsid w:val="00684BBF"/>
    <w:rsid w:val="006955A0"/>
    <w:rsid w:val="00696E55"/>
    <w:rsid w:val="00697519"/>
    <w:rsid w:val="006A191D"/>
    <w:rsid w:val="006A3A6E"/>
    <w:rsid w:val="006D30B7"/>
    <w:rsid w:val="006D4F10"/>
    <w:rsid w:val="006E5AC4"/>
    <w:rsid w:val="006E5B70"/>
    <w:rsid w:val="006F6B4C"/>
    <w:rsid w:val="00700BF1"/>
    <w:rsid w:val="007012DF"/>
    <w:rsid w:val="0071440E"/>
    <w:rsid w:val="0073229A"/>
    <w:rsid w:val="007334FF"/>
    <w:rsid w:val="00733E6C"/>
    <w:rsid w:val="00740461"/>
    <w:rsid w:val="00746868"/>
    <w:rsid w:val="00750D1B"/>
    <w:rsid w:val="00753D3B"/>
    <w:rsid w:val="00760099"/>
    <w:rsid w:val="00764EAB"/>
    <w:rsid w:val="00767C6C"/>
    <w:rsid w:val="00772A54"/>
    <w:rsid w:val="00775061"/>
    <w:rsid w:val="00782B24"/>
    <w:rsid w:val="00785918"/>
    <w:rsid w:val="00793193"/>
    <w:rsid w:val="007A16FB"/>
    <w:rsid w:val="007A261A"/>
    <w:rsid w:val="007A526F"/>
    <w:rsid w:val="007A7ED1"/>
    <w:rsid w:val="007B211D"/>
    <w:rsid w:val="007B23BC"/>
    <w:rsid w:val="007B509C"/>
    <w:rsid w:val="007B65B8"/>
    <w:rsid w:val="007C1E53"/>
    <w:rsid w:val="007D5225"/>
    <w:rsid w:val="007D58CB"/>
    <w:rsid w:val="007E127D"/>
    <w:rsid w:val="007E1BDA"/>
    <w:rsid w:val="007E2AFE"/>
    <w:rsid w:val="007E2EB8"/>
    <w:rsid w:val="007E6240"/>
    <w:rsid w:val="007F180E"/>
    <w:rsid w:val="007F39FA"/>
    <w:rsid w:val="007F58BA"/>
    <w:rsid w:val="007F6BDB"/>
    <w:rsid w:val="007F748D"/>
    <w:rsid w:val="00803E96"/>
    <w:rsid w:val="00807062"/>
    <w:rsid w:val="008071AB"/>
    <w:rsid w:val="008118D0"/>
    <w:rsid w:val="00816E1D"/>
    <w:rsid w:val="0082692C"/>
    <w:rsid w:val="00827815"/>
    <w:rsid w:val="008335CF"/>
    <w:rsid w:val="00836587"/>
    <w:rsid w:val="00840E7A"/>
    <w:rsid w:val="0084376B"/>
    <w:rsid w:val="008452F6"/>
    <w:rsid w:val="008475CB"/>
    <w:rsid w:val="00876FBF"/>
    <w:rsid w:val="00880B31"/>
    <w:rsid w:val="0088165C"/>
    <w:rsid w:val="00884818"/>
    <w:rsid w:val="00886D42"/>
    <w:rsid w:val="008941D0"/>
    <w:rsid w:val="0089467E"/>
    <w:rsid w:val="008A06F8"/>
    <w:rsid w:val="008A44D0"/>
    <w:rsid w:val="008B0D01"/>
    <w:rsid w:val="008B6A3C"/>
    <w:rsid w:val="008B7A3D"/>
    <w:rsid w:val="008C31DE"/>
    <w:rsid w:val="008C3D83"/>
    <w:rsid w:val="008C71C0"/>
    <w:rsid w:val="008D1B1A"/>
    <w:rsid w:val="008D2EAE"/>
    <w:rsid w:val="008E09F9"/>
    <w:rsid w:val="008E0DEB"/>
    <w:rsid w:val="00900F9F"/>
    <w:rsid w:val="009033BD"/>
    <w:rsid w:val="00904039"/>
    <w:rsid w:val="00910401"/>
    <w:rsid w:val="00912DD1"/>
    <w:rsid w:val="0092332B"/>
    <w:rsid w:val="00933FE2"/>
    <w:rsid w:val="0093403C"/>
    <w:rsid w:val="009434B7"/>
    <w:rsid w:val="0096063F"/>
    <w:rsid w:val="00965F42"/>
    <w:rsid w:val="009746FC"/>
    <w:rsid w:val="00975227"/>
    <w:rsid w:val="0098122F"/>
    <w:rsid w:val="00987D0E"/>
    <w:rsid w:val="0099081D"/>
    <w:rsid w:val="009940F3"/>
    <w:rsid w:val="009A37D5"/>
    <w:rsid w:val="009C55EA"/>
    <w:rsid w:val="009C565D"/>
    <w:rsid w:val="009D0070"/>
    <w:rsid w:val="009D1E59"/>
    <w:rsid w:val="009D3FEB"/>
    <w:rsid w:val="009D7B95"/>
    <w:rsid w:val="009E08F6"/>
    <w:rsid w:val="009E2BDB"/>
    <w:rsid w:val="009E5947"/>
    <w:rsid w:val="009E761C"/>
    <w:rsid w:val="009F26C0"/>
    <w:rsid w:val="009F308A"/>
    <w:rsid w:val="009F3317"/>
    <w:rsid w:val="009F5E71"/>
    <w:rsid w:val="00A03959"/>
    <w:rsid w:val="00A10D57"/>
    <w:rsid w:val="00A13E2A"/>
    <w:rsid w:val="00A23518"/>
    <w:rsid w:val="00A2445D"/>
    <w:rsid w:val="00A30B87"/>
    <w:rsid w:val="00A32BCC"/>
    <w:rsid w:val="00A3786E"/>
    <w:rsid w:val="00A42F8A"/>
    <w:rsid w:val="00A509D3"/>
    <w:rsid w:val="00A56B9D"/>
    <w:rsid w:val="00A639B8"/>
    <w:rsid w:val="00A66851"/>
    <w:rsid w:val="00A72005"/>
    <w:rsid w:val="00A803C5"/>
    <w:rsid w:val="00A842C0"/>
    <w:rsid w:val="00A93914"/>
    <w:rsid w:val="00A96FA1"/>
    <w:rsid w:val="00AA45F8"/>
    <w:rsid w:val="00AB025E"/>
    <w:rsid w:val="00AB048F"/>
    <w:rsid w:val="00AB415F"/>
    <w:rsid w:val="00AB4ACE"/>
    <w:rsid w:val="00AB6104"/>
    <w:rsid w:val="00AB7BD4"/>
    <w:rsid w:val="00AC5812"/>
    <w:rsid w:val="00AC6D47"/>
    <w:rsid w:val="00AD4396"/>
    <w:rsid w:val="00AD5001"/>
    <w:rsid w:val="00AE397A"/>
    <w:rsid w:val="00AE66E0"/>
    <w:rsid w:val="00B0026D"/>
    <w:rsid w:val="00B01AE9"/>
    <w:rsid w:val="00B06E29"/>
    <w:rsid w:val="00B13805"/>
    <w:rsid w:val="00B142F1"/>
    <w:rsid w:val="00B14FBE"/>
    <w:rsid w:val="00B37362"/>
    <w:rsid w:val="00B437D8"/>
    <w:rsid w:val="00B520CF"/>
    <w:rsid w:val="00B573B1"/>
    <w:rsid w:val="00B65755"/>
    <w:rsid w:val="00B66945"/>
    <w:rsid w:val="00B712B3"/>
    <w:rsid w:val="00B71F5A"/>
    <w:rsid w:val="00B75868"/>
    <w:rsid w:val="00B80DD2"/>
    <w:rsid w:val="00B84C3C"/>
    <w:rsid w:val="00B868B3"/>
    <w:rsid w:val="00BA2EE9"/>
    <w:rsid w:val="00BA39B8"/>
    <w:rsid w:val="00BA4CD9"/>
    <w:rsid w:val="00BA5EAE"/>
    <w:rsid w:val="00BB7BE8"/>
    <w:rsid w:val="00BC0A72"/>
    <w:rsid w:val="00BC0CD6"/>
    <w:rsid w:val="00BC2466"/>
    <w:rsid w:val="00BC579A"/>
    <w:rsid w:val="00BD34D3"/>
    <w:rsid w:val="00BE09DE"/>
    <w:rsid w:val="00BE0B32"/>
    <w:rsid w:val="00BE1D2C"/>
    <w:rsid w:val="00C07867"/>
    <w:rsid w:val="00C103A5"/>
    <w:rsid w:val="00C10BA8"/>
    <w:rsid w:val="00C122AF"/>
    <w:rsid w:val="00C14FE6"/>
    <w:rsid w:val="00C173AC"/>
    <w:rsid w:val="00C20D01"/>
    <w:rsid w:val="00C23328"/>
    <w:rsid w:val="00C3751A"/>
    <w:rsid w:val="00C412FF"/>
    <w:rsid w:val="00C41F25"/>
    <w:rsid w:val="00C44560"/>
    <w:rsid w:val="00C62567"/>
    <w:rsid w:val="00C6259B"/>
    <w:rsid w:val="00C62E58"/>
    <w:rsid w:val="00C71AEC"/>
    <w:rsid w:val="00C806B7"/>
    <w:rsid w:val="00CA0E01"/>
    <w:rsid w:val="00CA3282"/>
    <w:rsid w:val="00CA71CC"/>
    <w:rsid w:val="00CB3B62"/>
    <w:rsid w:val="00CD0AA8"/>
    <w:rsid w:val="00CD2217"/>
    <w:rsid w:val="00CD3108"/>
    <w:rsid w:val="00CE60C5"/>
    <w:rsid w:val="00D03821"/>
    <w:rsid w:val="00D10094"/>
    <w:rsid w:val="00D10395"/>
    <w:rsid w:val="00D121C3"/>
    <w:rsid w:val="00D1334E"/>
    <w:rsid w:val="00D209D5"/>
    <w:rsid w:val="00D24556"/>
    <w:rsid w:val="00D26A00"/>
    <w:rsid w:val="00D2758B"/>
    <w:rsid w:val="00D35365"/>
    <w:rsid w:val="00D44761"/>
    <w:rsid w:val="00D46731"/>
    <w:rsid w:val="00D50B49"/>
    <w:rsid w:val="00D52FF3"/>
    <w:rsid w:val="00D54C6D"/>
    <w:rsid w:val="00D55DB2"/>
    <w:rsid w:val="00D57213"/>
    <w:rsid w:val="00D63DD7"/>
    <w:rsid w:val="00D6690D"/>
    <w:rsid w:val="00D8403B"/>
    <w:rsid w:val="00D86BCD"/>
    <w:rsid w:val="00D877EA"/>
    <w:rsid w:val="00D9405A"/>
    <w:rsid w:val="00D96D80"/>
    <w:rsid w:val="00DA2645"/>
    <w:rsid w:val="00DB16C0"/>
    <w:rsid w:val="00DB7D85"/>
    <w:rsid w:val="00DC0304"/>
    <w:rsid w:val="00DC3BE3"/>
    <w:rsid w:val="00DE1E42"/>
    <w:rsid w:val="00DE3999"/>
    <w:rsid w:val="00DE416A"/>
    <w:rsid w:val="00DE76F0"/>
    <w:rsid w:val="00DF071B"/>
    <w:rsid w:val="00E00C8A"/>
    <w:rsid w:val="00E01FCC"/>
    <w:rsid w:val="00E07A62"/>
    <w:rsid w:val="00E11A71"/>
    <w:rsid w:val="00E157A5"/>
    <w:rsid w:val="00E20B34"/>
    <w:rsid w:val="00E23B40"/>
    <w:rsid w:val="00E37BF1"/>
    <w:rsid w:val="00E46073"/>
    <w:rsid w:val="00E51D86"/>
    <w:rsid w:val="00E602B9"/>
    <w:rsid w:val="00E6081B"/>
    <w:rsid w:val="00E6112B"/>
    <w:rsid w:val="00E65843"/>
    <w:rsid w:val="00E70B37"/>
    <w:rsid w:val="00E72D41"/>
    <w:rsid w:val="00E746AA"/>
    <w:rsid w:val="00E74B07"/>
    <w:rsid w:val="00E815F9"/>
    <w:rsid w:val="00E819C7"/>
    <w:rsid w:val="00E859FE"/>
    <w:rsid w:val="00E924AC"/>
    <w:rsid w:val="00E97655"/>
    <w:rsid w:val="00EB323D"/>
    <w:rsid w:val="00EC5782"/>
    <w:rsid w:val="00EC5D45"/>
    <w:rsid w:val="00ED1FD5"/>
    <w:rsid w:val="00EE5012"/>
    <w:rsid w:val="00EE6E3F"/>
    <w:rsid w:val="00F017F7"/>
    <w:rsid w:val="00F138D1"/>
    <w:rsid w:val="00F14FDC"/>
    <w:rsid w:val="00F1500A"/>
    <w:rsid w:val="00F1720B"/>
    <w:rsid w:val="00F177F3"/>
    <w:rsid w:val="00F21502"/>
    <w:rsid w:val="00F253F6"/>
    <w:rsid w:val="00F26E05"/>
    <w:rsid w:val="00F2730B"/>
    <w:rsid w:val="00F32B65"/>
    <w:rsid w:val="00F32C3C"/>
    <w:rsid w:val="00F32F35"/>
    <w:rsid w:val="00F3506F"/>
    <w:rsid w:val="00F41B13"/>
    <w:rsid w:val="00F526A1"/>
    <w:rsid w:val="00F56F97"/>
    <w:rsid w:val="00F60B10"/>
    <w:rsid w:val="00F65380"/>
    <w:rsid w:val="00F81B23"/>
    <w:rsid w:val="00F864C4"/>
    <w:rsid w:val="00F86A04"/>
    <w:rsid w:val="00F87B42"/>
    <w:rsid w:val="00F93CBE"/>
    <w:rsid w:val="00F958EF"/>
    <w:rsid w:val="00F96DD0"/>
    <w:rsid w:val="00F97E91"/>
    <w:rsid w:val="00FA1F9A"/>
    <w:rsid w:val="00FA7197"/>
    <w:rsid w:val="00FB2E83"/>
    <w:rsid w:val="00FB7831"/>
    <w:rsid w:val="00FC1016"/>
    <w:rsid w:val="00FC10F2"/>
    <w:rsid w:val="00FC4659"/>
    <w:rsid w:val="00FC4832"/>
    <w:rsid w:val="00FD26F6"/>
    <w:rsid w:val="00FE53F9"/>
    <w:rsid w:val="00FE7D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C7B47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11F"/>
    <w:pPr>
      <w:suppressAutoHyphens/>
      <w:spacing w:after="200"/>
    </w:pPr>
    <w:rPr>
      <w:sz w:val="24"/>
    </w:rPr>
  </w:style>
  <w:style w:type="paragraph" w:styleId="Heading1">
    <w:name w:val="heading 1"/>
    <w:basedOn w:val="Normal"/>
    <w:next w:val="Normal"/>
    <w:link w:val="Heading1Char"/>
    <w:uiPriority w:val="9"/>
    <w:qFormat/>
    <w:rsid w:val="00E07A62"/>
    <w:pPr>
      <w:keepNext/>
      <w:keepLines/>
      <w:spacing w:before="240" w:after="480"/>
      <w:outlineLvl w:val="0"/>
    </w:pPr>
    <w:rPr>
      <w:rFonts w:asciiTheme="majorHAnsi" w:eastAsiaTheme="majorEastAsia" w:hAnsiTheme="majorHAnsi" w:cs="Times New Roman (Headings CS)"/>
      <w:b/>
      <w:bCs/>
      <w:sz w:val="44"/>
      <w:szCs w:val="36"/>
    </w:rPr>
  </w:style>
  <w:style w:type="paragraph" w:styleId="Heading2">
    <w:name w:val="heading 2"/>
    <w:basedOn w:val="Normal"/>
    <w:next w:val="Normal"/>
    <w:link w:val="Heading2Char"/>
    <w:uiPriority w:val="9"/>
    <w:unhideWhenUsed/>
    <w:qFormat/>
    <w:rsid w:val="005A2D1B"/>
    <w:pPr>
      <w:keepNext/>
      <w:keepLines/>
      <w:spacing w:before="120" w:after="180" w:line="360" w:lineRule="auto"/>
      <w:outlineLvl w:val="1"/>
    </w:pPr>
    <w:rPr>
      <w:rFonts w:asciiTheme="majorHAnsi" w:eastAsiaTheme="majorEastAsia" w:hAnsiTheme="majorHAnsi" w:cs="Times New Roman (Headings CS)"/>
      <w:b/>
      <w:bCs/>
      <w:color w:val="000000" w:themeColor="text1"/>
      <w:sz w:val="40"/>
      <w:szCs w:val="30"/>
      <w:lang w:val="en-GB"/>
    </w:rPr>
  </w:style>
  <w:style w:type="paragraph" w:styleId="Heading3">
    <w:name w:val="heading 3"/>
    <w:basedOn w:val="Normal"/>
    <w:next w:val="Normal"/>
    <w:link w:val="Heading3Char"/>
    <w:uiPriority w:val="9"/>
    <w:unhideWhenUsed/>
    <w:qFormat/>
    <w:rsid w:val="000A06C8"/>
    <w:pPr>
      <w:keepNext/>
      <w:keepLines/>
      <w:spacing w:before="120" w:after="0" w:line="360" w:lineRule="auto"/>
      <w:outlineLvl w:val="2"/>
    </w:pPr>
    <w:rPr>
      <w:rFonts w:asciiTheme="majorHAnsi" w:eastAsiaTheme="majorEastAsia" w:hAnsiTheme="majorHAnsi" w:cstheme="majorBidi"/>
      <w:b/>
      <w:bCs/>
      <w:sz w:val="32"/>
      <w:szCs w:val="26"/>
      <w:lang w:val="en-GB"/>
    </w:rPr>
  </w:style>
  <w:style w:type="paragraph" w:styleId="Heading4">
    <w:name w:val="heading 4"/>
    <w:basedOn w:val="Normal"/>
    <w:next w:val="Normal"/>
    <w:link w:val="Heading4Char"/>
    <w:uiPriority w:val="9"/>
    <w:semiHidden/>
    <w:unhideWhenUsed/>
    <w:qFormat/>
    <w:rsid w:val="007D58CB"/>
    <w:pPr>
      <w:keepNext/>
      <w:keepLines/>
      <w:numPr>
        <w:ilvl w:val="3"/>
        <w:numId w:val="2"/>
      </w:numPr>
      <w:spacing w:before="40" w:after="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semiHidden/>
    <w:unhideWhenUsed/>
    <w:qFormat/>
    <w:rsid w:val="00BE09DE"/>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E09DE"/>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E09DE"/>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E09D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09D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numbering" w:customStyle="1" w:styleId="CurrentList9">
    <w:name w:val="Current List9"/>
    <w:uiPriority w:val="99"/>
    <w:rsid w:val="00F138D1"/>
    <w:pPr>
      <w:numPr>
        <w:numId w:val="17"/>
      </w:numPr>
    </w:pPr>
  </w:style>
  <w:style w:type="character" w:customStyle="1" w:styleId="Bold">
    <w:name w:val="Bold"/>
    <w:uiPriority w:val="99"/>
    <w:rPr>
      <w:b/>
      <w:bCs/>
    </w:rPr>
  </w:style>
  <w:style w:type="paragraph" w:styleId="FootnoteText">
    <w:name w:val="footnote text"/>
    <w:basedOn w:val="Normal"/>
    <w:link w:val="FootnoteTextChar"/>
    <w:uiPriority w:val="99"/>
    <w:rsid w:val="002848F0"/>
    <w:pPr>
      <w:tabs>
        <w:tab w:val="left" w:pos="227"/>
      </w:tabs>
      <w:spacing w:after="60" w:line="240" w:lineRule="auto"/>
      <w:ind w:left="227" w:hanging="227"/>
    </w:pPr>
    <w:rPr>
      <w:sz w:val="18"/>
      <w:szCs w:val="20"/>
    </w:rPr>
  </w:style>
  <w:style w:type="character" w:customStyle="1" w:styleId="FootnoteTextChar">
    <w:name w:val="Footnote Text Char"/>
    <w:basedOn w:val="DefaultParagraphFont"/>
    <w:link w:val="FootnoteText"/>
    <w:uiPriority w:val="99"/>
    <w:rsid w:val="002848F0"/>
    <w:rPr>
      <w:sz w:val="18"/>
      <w:szCs w:val="20"/>
    </w:rPr>
  </w:style>
  <w:style w:type="character" w:styleId="FootnoteReference">
    <w:name w:val="footnote reference"/>
    <w:basedOn w:val="DefaultParagraphFont"/>
    <w:uiPriority w:val="99"/>
    <w:semiHidden/>
    <w:unhideWhenUsed/>
    <w:rsid w:val="00F2730B"/>
    <w:rPr>
      <w:vertAlign w:val="superscript"/>
    </w:rPr>
  </w:style>
  <w:style w:type="paragraph" w:customStyle="1" w:styleId="Heading1Headings">
    <w:name w:val="Heading 1 (Headings)"/>
    <w:basedOn w:val="NoParagraphStyle"/>
    <w:uiPriority w:val="99"/>
    <w:rsid w:val="007D58CB"/>
    <w:pPr>
      <w:widowControl/>
      <w:suppressAutoHyphens/>
      <w:spacing w:after="283" w:line="540" w:lineRule="atLeast"/>
    </w:pPr>
    <w:rPr>
      <w:rFonts w:ascii="VIC SemiBold" w:hAnsi="VIC SemiBold" w:cs="VIC SemiBold"/>
      <w:b/>
      <w:bCs/>
      <w:color w:val="000000" w:themeColor="text1"/>
      <w:sz w:val="44"/>
      <w:szCs w:val="44"/>
      <w:lang w:val="en-GB"/>
    </w:rPr>
  </w:style>
  <w:style w:type="paragraph" w:customStyle="1" w:styleId="Number3Lists">
    <w:name w:val="Number 3 (Lists)"/>
    <w:basedOn w:val="Normal"/>
    <w:uiPriority w:val="99"/>
    <w:rsid w:val="00F138D1"/>
    <w:pPr>
      <w:autoSpaceDE w:val="0"/>
      <w:autoSpaceDN w:val="0"/>
      <w:adjustRightInd w:val="0"/>
      <w:spacing w:before="57" w:after="113" w:line="220" w:lineRule="atLeast"/>
      <w:ind w:left="1020" w:hanging="340"/>
      <w:textAlignment w:val="center"/>
    </w:pPr>
    <w:rPr>
      <w:rFonts w:ascii="VIC Light" w:hAnsi="VIC Light" w:cs="VIC Light"/>
      <w:color w:val="000000"/>
      <w:sz w:val="18"/>
      <w:szCs w:val="18"/>
      <w:lang w:val="en-GB"/>
    </w:rPr>
  </w:style>
  <w:style w:type="character" w:customStyle="1" w:styleId="Italic">
    <w:name w:val="Italic"/>
    <w:basedOn w:val="Bold"/>
    <w:uiPriority w:val="99"/>
    <w:rsid w:val="006368F9"/>
    <w:rPr>
      <w:rFonts w:ascii="VIC (OTF) Light Italic" w:hAnsi="VIC (OTF) Light Italic" w:cs="VIC (OTF) Light Italic"/>
      <w:b w:val="0"/>
      <w:bCs w:val="0"/>
      <w:i/>
      <w:iCs/>
    </w:rPr>
  </w:style>
  <w:style w:type="paragraph" w:customStyle="1" w:styleId="Heading3Headings">
    <w:name w:val="Heading 3 (Headings)"/>
    <w:basedOn w:val="NoParagraphStyle"/>
    <w:uiPriority w:val="99"/>
    <w:rsid w:val="006368F9"/>
    <w:pPr>
      <w:widowControl/>
      <w:suppressAutoHyphens/>
      <w:spacing w:before="113" w:after="113" w:line="240" w:lineRule="atLeast"/>
    </w:pPr>
    <w:rPr>
      <w:rFonts w:ascii="VIC" w:hAnsi="VIC" w:cs="VIC"/>
      <w:b/>
      <w:bCs/>
      <w:color w:val="100149"/>
      <w:sz w:val="20"/>
      <w:szCs w:val="20"/>
      <w:lang w:val="en-GB"/>
    </w:rPr>
  </w:style>
  <w:style w:type="paragraph" w:customStyle="1" w:styleId="Bullet1">
    <w:name w:val="Bullet 1"/>
    <w:basedOn w:val="Normal"/>
    <w:uiPriority w:val="99"/>
    <w:rsid w:val="00F138D1"/>
    <w:pPr>
      <w:numPr>
        <w:numId w:val="1"/>
      </w:numPr>
      <w:autoSpaceDE w:val="0"/>
      <w:autoSpaceDN w:val="0"/>
      <w:adjustRightInd w:val="0"/>
      <w:spacing w:after="120" w:line="220" w:lineRule="atLeast"/>
      <w:textAlignment w:val="center"/>
    </w:pPr>
    <w:rPr>
      <w:rFonts w:ascii="Arial" w:hAnsi="Arial" w:cs="Arial"/>
      <w:color w:val="000000"/>
      <w:sz w:val="22"/>
      <w:lang w:val="en-GB"/>
    </w:rPr>
  </w:style>
  <w:style w:type="paragraph" w:customStyle="1" w:styleId="Heading2Headings">
    <w:name w:val="Heading 2 (Headings)"/>
    <w:basedOn w:val="Normal"/>
    <w:uiPriority w:val="99"/>
    <w:rsid w:val="00337320"/>
    <w:pPr>
      <w:autoSpaceDE w:val="0"/>
      <w:autoSpaceDN w:val="0"/>
      <w:adjustRightInd w:val="0"/>
      <w:spacing w:before="227" w:after="113" w:line="280" w:lineRule="atLeast"/>
      <w:ind w:left="460" w:hanging="460"/>
      <w:textAlignment w:val="center"/>
    </w:pPr>
    <w:rPr>
      <w:rFonts w:ascii="VIC SemiBold" w:hAnsi="VIC SemiBold" w:cs="VIC SemiBold"/>
      <w:b/>
      <w:bCs/>
      <w:color w:val="000000" w:themeColor="text1"/>
      <w:szCs w:val="24"/>
      <w:lang w:val="en-GB"/>
    </w:rPr>
  </w:style>
  <w:style w:type="paragraph" w:customStyle="1" w:styleId="Heading5Headings">
    <w:name w:val="Heading 5 (Headings)"/>
    <w:basedOn w:val="NoParagraphStyle"/>
    <w:uiPriority w:val="99"/>
    <w:rsid w:val="006368F9"/>
    <w:pPr>
      <w:widowControl/>
      <w:suppressAutoHyphens/>
      <w:spacing w:before="113" w:after="113" w:line="240" w:lineRule="atLeast"/>
    </w:pPr>
    <w:rPr>
      <w:rFonts w:ascii="VIC" w:hAnsi="VIC" w:cs="VIC"/>
      <w:i/>
      <w:iCs/>
      <w:color w:val="100149"/>
      <w:sz w:val="20"/>
      <w:szCs w:val="20"/>
      <w:lang w:val="en-GB"/>
    </w:rPr>
  </w:style>
  <w:style w:type="paragraph" w:customStyle="1" w:styleId="HeadingPOPulloutbox">
    <w:name w:val="Heading_PO (Pull out box)"/>
    <w:basedOn w:val="NoParagraphStyle"/>
    <w:uiPriority w:val="99"/>
    <w:rsid w:val="00033D9B"/>
    <w:pPr>
      <w:widowControl/>
      <w:suppressAutoHyphens/>
      <w:spacing w:before="57" w:after="113" w:line="280" w:lineRule="atLeast"/>
    </w:pPr>
    <w:rPr>
      <w:rFonts w:ascii="VIC SemiBold" w:hAnsi="VIC SemiBold" w:cs="VIC SemiBold"/>
      <w:b/>
      <w:bCs/>
      <w:color w:val="100149"/>
      <w:sz w:val="26"/>
      <w:szCs w:val="26"/>
      <w:lang w:val="en-GB"/>
    </w:rPr>
  </w:style>
  <w:style w:type="character" w:styleId="Hyperlink">
    <w:name w:val="Hyperlink"/>
    <w:basedOn w:val="DefaultParagraphFont"/>
    <w:uiPriority w:val="99"/>
    <w:rsid w:val="00B66945"/>
    <w:rPr>
      <w:color w:val="205D9E"/>
      <w:u w:val="single" w:color="205D9E"/>
    </w:rPr>
  </w:style>
  <w:style w:type="paragraph" w:customStyle="1" w:styleId="Number2Lists">
    <w:name w:val="Number 2 (Lists)"/>
    <w:basedOn w:val="Normal"/>
    <w:uiPriority w:val="99"/>
    <w:rsid w:val="00033D9B"/>
    <w:pPr>
      <w:autoSpaceDE w:val="0"/>
      <w:autoSpaceDN w:val="0"/>
      <w:adjustRightInd w:val="0"/>
      <w:spacing w:before="57" w:after="113" w:line="220" w:lineRule="atLeast"/>
      <w:ind w:left="680" w:hanging="340"/>
      <w:textAlignment w:val="center"/>
    </w:pPr>
    <w:rPr>
      <w:rFonts w:ascii="VIC Light" w:hAnsi="VIC Light" w:cs="VIC Light"/>
      <w:color w:val="000000"/>
      <w:sz w:val="18"/>
      <w:szCs w:val="18"/>
      <w:lang w:val="en-GB"/>
    </w:rPr>
  </w:style>
  <w:style w:type="numbering" w:customStyle="1" w:styleId="CurrentList10">
    <w:name w:val="Current List10"/>
    <w:uiPriority w:val="99"/>
    <w:rsid w:val="00515813"/>
    <w:pPr>
      <w:numPr>
        <w:numId w:val="18"/>
      </w:numPr>
    </w:pPr>
  </w:style>
  <w:style w:type="paragraph" w:customStyle="1" w:styleId="TablebodyleftTables">
    <w:name w:val="Table body_left (Tables)"/>
    <w:basedOn w:val="NoParagraphStyle"/>
    <w:uiPriority w:val="99"/>
    <w:rsid w:val="00033D9B"/>
    <w:pPr>
      <w:widowControl/>
      <w:spacing w:after="180" w:line="220" w:lineRule="atLeast"/>
    </w:pPr>
    <w:rPr>
      <w:rFonts w:ascii="VIC" w:hAnsi="VIC" w:cs="VIC"/>
      <w:color w:val="100149"/>
      <w:sz w:val="18"/>
      <w:szCs w:val="18"/>
      <w:lang w:val="en-GB"/>
    </w:rPr>
  </w:style>
  <w:style w:type="paragraph" w:customStyle="1" w:styleId="TablebodyrightTables">
    <w:name w:val="Table body_right (Tables)"/>
    <w:basedOn w:val="NoParagraphStyle"/>
    <w:uiPriority w:val="99"/>
    <w:rsid w:val="00033D9B"/>
    <w:pPr>
      <w:widowControl/>
      <w:spacing w:after="180" w:line="220" w:lineRule="atLeast"/>
      <w:jc w:val="right"/>
    </w:pPr>
    <w:rPr>
      <w:rFonts w:ascii="VIC" w:hAnsi="VIC" w:cs="VIC"/>
      <w:color w:val="100149"/>
      <w:sz w:val="18"/>
      <w:szCs w:val="18"/>
      <w:lang w:val="en-GB"/>
    </w:rPr>
  </w:style>
  <w:style w:type="paragraph" w:customStyle="1" w:styleId="ReferencesBodycopy">
    <w:name w:val="References (Body copy)"/>
    <w:basedOn w:val="Normal"/>
    <w:uiPriority w:val="99"/>
    <w:rsid w:val="00F138D1"/>
    <w:pPr>
      <w:autoSpaceDE w:val="0"/>
      <w:autoSpaceDN w:val="0"/>
      <w:adjustRightInd w:val="0"/>
      <w:spacing w:before="57" w:after="57" w:line="200" w:lineRule="atLeast"/>
      <w:ind w:left="680" w:hanging="680"/>
      <w:textAlignment w:val="center"/>
    </w:pPr>
    <w:rPr>
      <w:rFonts w:ascii="VIC Light" w:hAnsi="VIC Light" w:cs="VIC Light"/>
      <w:color w:val="000000"/>
      <w:sz w:val="16"/>
      <w:szCs w:val="16"/>
      <w:lang w:val="en-GB"/>
    </w:rPr>
  </w:style>
  <w:style w:type="paragraph" w:customStyle="1" w:styleId="SubheadingCover">
    <w:name w:val="Sub heading (Cover)"/>
    <w:basedOn w:val="Subtitle"/>
    <w:uiPriority w:val="99"/>
    <w:rsid w:val="00B80DD2"/>
  </w:style>
  <w:style w:type="paragraph" w:styleId="Title">
    <w:name w:val="Title"/>
    <w:basedOn w:val="Normal"/>
    <w:next w:val="Normal"/>
    <w:link w:val="TitleChar"/>
    <w:uiPriority w:val="10"/>
    <w:qFormat/>
    <w:rsid w:val="00C44560"/>
    <w:pPr>
      <w:spacing w:after="0" w:line="800" w:lineRule="exact"/>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C44560"/>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B80DD2"/>
    <w:pPr>
      <w:numPr>
        <w:ilvl w:val="1"/>
      </w:numPr>
      <w:spacing w:before="240"/>
    </w:pPr>
    <w:rPr>
      <w:sz w:val="36"/>
      <w:szCs w:val="36"/>
    </w:rPr>
  </w:style>
  <w:style w:type="character" w:customStyle="1" w:styleId="SubtitleChar">
    <w:name w:val="Subtitle Char"/>
    <w:basedOn w:val="DefaultParagraphFont"/>
    <w:link w:val="Subtitle"/>
    <w:uiPriority w:val="11"/>
    <w:rsid w:val="00B80DD2"/>
    <w:rPr>
      <w:sz w:val="36"/>
      <w:szCs w:val="36"/>
    </w:rPr>
  </w:style>
  <w:style w:type="paragraph" w:customStyle="1" w:styleId="SmallheadingInsidecover">
    <w:name w:val="Small heading (Inside cover)"/>
    <w:basedOn w:val="Normal"/>
    <w:uiPriority w:val="99"/>
    <w:rsid w:val="00F138D1"/>
    <w:pPr>
      <w:autoSpaceDE w:val="0"/>
      <w:autoSpaceDN w:val="0"/>
      <w:adjustRightInd w:val="0"/>
      <w:spacing w:before="113" w:after="113" w:line="220" w:lineRule="atLeast"/>
      <w:textAlignment w:val="center"/>
    </w:pPr>
    <w:rPr>
      <w:rFonts w:ascii="VIC SemiBold" w:hAnsi="VIC SemiBold" w:cs="VIC SemiBold"/>
      <w:b/>
      <w:bCs/>
      <w:color w:val="000000"/>
      <w:sz w:val="18"/>
      <w:szCs w:val="18"/>
      <w:lang w:val="en-GB"/>
    </w:rPr>
  </w:style>
  <w:style w:type="paragraph" w:customStyle="1" w:styleId="SmallbodycopyInsidecover">
    <w:name w:val="Small body copy (Inside cover)"/>
    <w:basedOn w:val="NoParagraphStyle"/>
    <w:uiPriority w:val="99"/>
    <w:rsid w:val="001B2A51"/>
    <w:pPr>
      <w:widowControl/>
      <w:suppressAutoHyphens/>
      <w:spacing w:after="57" w:line="200" w:lineRule="atLeast"/>
    </w:pPr>
    <w:rPr>
      <w:rFonts w:ascii="VIC (OTF) Light" w:hAnsi="VIC (OTF) Light" w:cs="VIC (OTF) Light"/>
      <w:sz w:val="16"/>
      <w:szCs w:val="16"/>
      <w:lang w:val="en-GB"/>
    </w:rPr>
  </w:style>
  <w:style w:type="paragraph" w:customStyle="1" w:styleId="Boldheader">
    <w:name w:val="Bold header"/>
    <w:basedOn w:val="SmallheadingInsidecover"/>
    <w:qFormat/>
    <w:rsid w:val="00B14FBE"/>
    <w:pPr>
      <w:keepNext/>
      <w:keepLines/>
      <w:spacing w:before="120" w:after="120"/>
    </w:pPr>
    <w:rPr>
      <w:rFonts w:asciiTheme="minorHAnsi" w:hAnsiTheme="minorHAnsi" w:cstheme="minorHAnsi"/>
      <w:color w:val="auto"/>
      <w:sz w:val="24"/>
      <w:szCs w:val="26"/>
    </w:rPr>
  </w:style>
  <w:style w:type="paragraph" w:customStyle="1" w:styleId="ImprintbodycopyInsidecover">
    <w:name w:val="Imprint body copy (Inside cover)"/>
    <w:basedOn w:val="Normal"/>
    <w:uiPriority w:val="99"/>
    <w:rsid w:val="001B2A51"/>
    <w:pPr>
      <w:autoSpaceDE w:val="0"/>
      <w:autoSpaceDN w:val="0"/>
      <w:adjustRightInd w:val="0"/>
      <w:spacing w:after="57" w:line="200" w:lineRule="atLeast"/>
      <w:textAlignment w:val="center"/>
    </w:pPr>
    <w:rPr>
      <w:rFonts w:ascii="VIC" w:hAnsi="VIC" w:cs="VIC"/>
      <w:color w:val="000000"/>
      <w:sz w:val="16"/>
      <w:szCs w:val="16"/>
      <w:lang w:val="en-US"/>
    </w:rPr>
  </w:style>
  <w:style w:type="paragraph" w:customStyle="1" w:styleId="ImprintheadingInsidecover">
    <w:name w:val="Imprint heading (Inside cover)"/>
    <w:basedOn w:val="ImprintbodycopyInsidecover"/>
    <w:uiPriority w:val="99"/>
    <w:rsid w:val="001B2A51"/>
    <w:pPr>
      <w:spacing w:after="0" w:line="220" w:lineRule="atLeast"/>
    </w:pPr>
    <w:rPr>
      <w:rFonts w:ascii="VIC (OTF) SemiBold" w:hAnsi="VIC (OTF) SemiBold" w:cs="VIC (OTF) SemiBold"/>
      <w:b/>
      <w:bCs/>
      <w:sz w:val="18"/>
      <w:szCs w:val="18"/>
    </w:rPr>
  </w:style>
  <w:style w:type="paragraph" w:customStyle="1" w:styleId="Normalbeforebullets">
    <w:name w:val="Normal before bullets"/>
    <w:basedOn w:val="Normal"/>
    <w:qFormat/>
    <w:rsid w:val="002848F0"/>
    <w:pPr>
      <w:keepNext/>
      <w:spacing w:after="120"/>
    </w:pPr>
  </w:style>
  <w:style w:type="character" w:customStyle="1" w:styleId="Heading1Char">
    <w:name w:val="Heading 1 Char"/>
    <w:basedOn w:val="DefaultParagraphFont"/>
    <w:link w:val="Heading1"/>
    <w:uiPriority w:val="9"/>
    <w:rsid w:val="00E07A62"/>
    <w:rPr>
      <w:rFonts w:asciiTheme="majorHAnsi" w:eastAsiaTheme="majorEastAsia" w:hAnsiTheme="majorHAnsi" w:cs="Times New Roman (Headings CS)"/>
      <w:b/>
      <w:bCs/>
      <w:sz w:val="44"/>
      <w:szCs w:val="36"/>
    </w:rPr>
  </w:style>
  <w:style w:type="paragraph" w:customStyle="1" w:styleId="FiguretitleFiguresImages">
    <w:name w:val="Figure title (Figures/Images)"/>
    <w:basedOn w:val="BodyText"/>
    <w:uiPriority w:val="99"/>
    <w:rsid w:val="00620098"/>
    <w:pPr>
      <w:keepNext/>
      <w:spacing w:before="120" w:after="240" w:line="220" w:lineRule="atLeast"/>
    </w:pPr>
    <w:rPr>
      <w:rFonts w:cstheme="minorHAnsi"/>
      <w:b/>
      <w:bCs/>
      <w:color w:val="000000" w:themeColor="text1"/>
    </w:rPr>
  </w:style>
  <w:style w:type="paragraph" w:customStyle="1" w:styleId="Source">
    <w:name w:val="Source"/>
    <w:basedOn w:val="Boldheader"/>
    <w:qFormat/>
    <w:rsid w:val="00FE53F9"/>
    <w:pPr>
      <w:keepNext w:val="0"/>
      <w:spacing w:after="200"/>
    </w:pPr>
    <w:rPr>
      <w:b w:val="0"/>
      <w:bCs w:val="0"/>
      <w:color w:val="000000"/>
      <w:sz w:val="18"/>
      <w:szCs w:val="20"/>
    </w:rPr>
  </w:style>
  <w:style w:type="paragraph" w:customStyle="1" w:styleId="FiguresourceFiguresImages">
    <w:name w:val="Figure source (Figures/Images)"/>
    <w:basedOn w:val="NoParagraphStyle"/>
    <w:uiPriority w:val="99"/>
    <w:rsid w:val="007A261A"/>
    <w:pPr>
      <w:widowControl/>
      <w:suppressAutoHyphens/>
      <w:spacing w:after="57" w:line="180" w:lineRule="atLeast"/>
    </w:pPr>
    <w:rPr>
      <w:rFonts w:ascii="VIC" w:hAnsi="VIC" w:cs="VIC"/>
      <w:sz w:val="14"/>
      <w:szCs w:val="14"/>
    </w:rPr>
  </w:style>
  <w:style w:type="paragraph" w:styleId="ListParagraph">
    <w:name w:val="List Paragraph"/>
    <w:basedOn w:val="Normal"/>
    <w:uiPriority w:val="34"/>
    <w:qFormat/>
    <w:rsid w:val="00750D1B"/>
    <w:pPr>
      <w:ind w:left="720"/>
      <w:contextualSpacing/>
    </w:pPr>
  </w:style>
  <w:style w:type="paragraph" w:customStyle="1" w:styleId="Listparagraphi">
    <w:name w:val="List paragraph (i.)"/>
    <w:basedOn w:val="ListParagraph"/>
    <w:qFormat/>
    <w:rsid w:val="00320E94"/>
    <w:pPr>
      <w:numPr>
        <w:numId w:val="13"/>
      </w:numPr>
      <w:spacing w:after="120" w:line="288" w:lineRule="auto"/>
      <w:contextualSpacing w:val="0"/>
    </w:pPr>
    <w:rPr>
      <w:lang w:val="en-GB"/>
    </w:rPr>
  </w:style>
  <w:style w:type="paragraph" w:customStyle="1" w:styleId="Bullet1last">
    <w:name w:val="Bullet 1 last"/>
    <w:basedOn w:val="ListBullet"/>
    <w:qFormat/>
    <w:rsid w:val="00FC4659"/>
    <w:pPr>
      <w:spacing w:after="360"/>
      <w:ind w:left="357" w:hanging="357"/>
    </w:pPr>
  </w:style>
  <w:style w:type="paragraph" w:customStyle="1" w:styleId="Heading1numbered">
    <w:name w:val="Heading 1 (numbered)"/>
    <w:basedOn w:val="Heading1"/>
    <w:qFormat/>
    <w:rsid w:val="00E6112B"/>
    <w:pPr>
      <w:numPr>
        <w:numId w:val="2"/>
      </w:numPr>
    </w:pPr>
  </w:style>
  <w:style w:type="character" w:customStyle="1" w:styleId="Heading2Char">
    <w:name w:val="Heading 2 Char"/>
    <w:basedOn w:val="DefaultParagraphFont"/>
    <w:link w:val="Heading2"/>
    <w:uiPriority w:val="9"/>
    <w:rsid w:val="005A2D1B"/>
    <w:rPr>
      <w:rFonts w:asciiTheme="majorHAnsi" w:eastAsiaTheme="majorEastAsia" w:hAnsiTheme="majorHAnsi" w:cs="Times New Roman (Headings CS)"/>
      <w:b/>
      <w:bCs/>
      <w:color w:val="000000" w:themeColor="text1"/>
      <w:sz w:val="40"/>
      <w:szCs w:val="30"/>
      <w:lang w:val="en-GB"/>
    </w:rPr>
  </w:style>
  <w:style w:type="character" w:customStyle="1" w:styleId="Heading3Char">
    <w:name w:val="Heading 3 Char"/>
    <w:basedOn w:val="DefaultParagraphFont"/>
    <w:link w:val="Heading3"/>
    <w:uiPriority w:val="9"/>
    <w:rsid w:val="000A06C8"/>
    <w:rPr>
      <w:rFonts w:asciiTheme="majorHAnsi" w:eastAsiaTheme="majorEastAsia" w:hAnsiTheme="majorHAnsi" w:cstheme="majorBidi"/>
      <w:b/>
      <w:bCs/>
      <w:sz w:val="32"/>
      <w:szCs w:val="26"/>
      <w:lang w:val="en-GB"/>
    </w:rPr>
  </w:style>
  <w:style w:type="paragraph" w:customStyle="1" w:styleId="Heading2numbered">
    <w:name w:val="Heading 2 (numbered)"/>
    <w:basedOn w:val="Heading2"/>
    <w:qFormat/>
    <w:rsid w:val="00BE09DE"/>
    <w:pPr>
      <w:numPr>
        <w:ilvl w:val="1"/>
        <w:numId w:val="2"/>
      </w:numPr>
    </w:pPr>
  </w:style>
  <w:style w:type="paragraph" w:customStyle="1" w:styleId="Heading3numbered">
    <w:name w:val="Heading 3 (numbered)"/>
    <w:basedOn w:val="Heading3"/>
    <w:qFormat/>
    <w:rsid w:val="00BE09DE"/>
    <w:pPr>
      <w:numPr>
        <w:ilvl w:val="2"/>
        <w:numId w:val="2"/>
      </w:numPr>
    </w:pPr>
  </w:style>
  <w:style w:type="character" w:customStyle="1" w:styleId="Heading4Char">
    <w:name w:val="Heading 4 Char"/>
    <w:basedOn w:val="DefaultParagraphFont"/>
    <w:link w:val="Heading4"/>
    <w:uiPriority w:val="9"/>
    <w:semiHidden/>
    <w:rsid w:val="007D58CB"/>
    <w:rPr>
      <w:rFonts w:asciiTheme="majorHAnsi" w:eastAsiaTheme="majorEastAsia" w:hAnsiTheme="majorHAnsi" w:cstheme="majorBidi"/>
      <w:i/>
      <w:iCs/>
      <w:color w:val="000000" w:themeColor="text1"/>
      <w:sz w:val="24"/>
    </w:rPr>
  </w:style>
  <w:style w:type="character" w:customStyle="1" w:styleId="Heading5Char">
    <w:name w:val="Heading 5 Char"/>
    <w:basedOn w:val="DefaultParagraphFont"/>
    <w:link w:val="Heading5"/>
    <w:uiPriority w:val="9"/>
    <w:semiHidden/>
    <w:rsid w:val="00BE09DE"/>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BE09DE"/>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BE09DE"/>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BE09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09DE"/>
    <w:rPr>
      <w:rFonts w:asciiTheme="majorHAnsi" w:eastAsiaTheme="majorEastAsia" w:hAnsiTheme="majorHAnsi" w:cstheme="majorBidi"/>
      <w:i/>
      <w:iCs/>
      <w:color w:val="272727" w:themeColor="text1" w:themeTint="D8"/>
      <w:sz w:val="21"/>
      <w:szCs w:val="21"/>
    </w:rPr>
  </w:style>
  <w:style w:type="paragraph" w:customStyle="1" w:styleId="TabletitleTables">
    <w:name w:val="Table title (Tables)"/>
    <w:basedOn w:val="NoParagraphStyle"/>
    <w:uiPriority w:val="99"/>
    <w:rsid w:val="00252B69"/>
    <w:pPr>
      <w:widowControl/>
      <w:suppressAutoHyphens/>
      <w:spacing w:before="57" w:after="113" w:line="240" w:lineRule="atLeast"/>
    </w:pPr>
    <w:rPr>
      <w:rFonts w:ascii="VIC (OTF) SemiBold" w:hAnsi="VIC (OTF) SemiBold" w:cs="VIC (OTF) SemiBold"/>
      <w:b/>
      <w:bCs/>
      <w:color w:val="100149"/>
      <w:sz w:val="20"/>
      <w:szCs w:val="20"/>
    </w:rPr>
  </w:style>
  <w:style w:type="paragraph" w:customStyle="1" w:styleId="TableheadingrightTables">
    <w:name w:val="Table heading_right (Tables)"/>
    <w:basedOn w:val="NoParagraphStyle"/>
    <w:uiPriority w:val="99"/>
    <w:rsid w:val="00A56B9D"/>
    <w:pPr>
      <w:widowControl/>
      <w:suppressAutoHyphens/>
      <w:spacing w:before="113" w:after="113" w:line="220" w:lineRule="atLeast"/>
      <w:jc w:val="right"/>
    </w:pPr>
    <w:rPr>
      <w:rFonts w:ascii="VIC SemiBold" w:hAnsi="VIC SemiBold" w:cstheme="minorBidi"/>
      <w:b/>
      <w:bCs/>
      <w:color w:val="FFFFFF"/>
      <w:sz w:val="18"/>
      <w:szCs w:val="18"/>
      <w:lang w:val="en-GB"/>
    </w:rPr>
  </w:style>
  <w:style w:type="table" w:styleId="TableGrid">
    <w:name w:val="Table Grid"/>
    <w:basedOn w:val="TableNormal"/>
    <w:uiPriority w:val="39"/>
    <w:rsid w:val="00A5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s">
    <w:name w:val="Table Column Headings"/>
    <w:basedOn w:val="Normal"/>
    <w:qFormat/>
    <w:rsid w:val="00A56B9D"/>
    <w:pPr>
      <w:spacing w:before="60" w:after="60" w:line="240" w:lineRule="auto"/>
    </w:pPr>
    <w:rPr>
      <w:b/>
      <w:bCs/>
      <w:lang w:val="en-GB"/>
    </w:rPr>
  </w:style>
  <w:style w:type="paragraph" w:customStyle="1" w:styleId="Tabletext">
    <w:name w:val="Table text"/>
    <w:basedOn w:val="BodyText"/>
    <w:qFormat/>
    <w:rsid w:val="0021482C"/>
    <w:pPr>
      <w:spacing w:after="0" w:line="360" w:lineRule="exact"/>
    </w:pPr>
    <w:rPr>
      <w:lang w:val="en-GB"/>
    </w:rPr>
  </w:style>
  <w:style w:type="character" w:styleId="UnresolvedMention">
    <w:name w:val="Unresolved Mention"/>
    <w:basedOn w:val="DefaultParagraphFont"/>
    <w:uiPriority w:val="99"/>
    <w:semiHidden/>
    <w:unhideWhenUsed/>
    <w:rsid w:val="00CD2217"/>
    <w:rPr>
      <w:color w:val="605E5C"/>
      <w:shd w:val="clear" w:color="auto" w:fill="E1DFDD"/>
    </w:rPr>
  </w:style>
  <w:style w:type="numbering" w:customStyle="1" w:styleId="CurrentList11">
    <w:name w:val="Current List11"/>
    <w:uiPriority w:val="99"/>
    <w:rsid w:val="00515813"/>
    <w:pPr>
      <w:numPr>
        <w:numId w:val="19"/>
      </w:numPr>
    </w:pPr>
  </w:style>
  <w:style w:type="paragraph" w:customStyle="1" w:styleId="Bullet2">
    <w:name w:val="Bullet 2"/>
    <w:basedOn w:val="Bullet1"/>
    <w:qFormat/>
    <w:rsid w:val="00DE1E42"/>
    <w:pPr>
      <w:numPr>
        <w:numId w:val="3"/>
      </w:numPr>
      <w:spacing w:line="360" w:lineRule="auto"/>
      <w:ind w:left="686" w:hanging="340"/>
    </w:pPr>
    <w:rPr>
      <w:sz w:val="24"/>
    </w:rPr>
  </w:style>
  <w:style w:type="paragraph" w:customStyle="1" w:styleId="Listparagrapha">
    <w:name w:val="List paragraph (a.)"/>
    <w:basedOn w:val="BodyText"/>
    <w:qFormat/>
    <w:rsid w:val="00291546"/>
    <w:pPr>
      <w:numPr>
        <w:numId w:val="9"/>
      </w:numPr>
    </w:pPr>
  </w:style>
  <w:style w:type="paragraph" w:styleId="Header">
    <w:name w:val="header"/>
    <w:basedOn w:val="Normal"/>
    <w:link w:val="HeaderChar"/>
    <w:uiPriority w:val="99"/>
    <w:unhideWhenUsed/>
    <w:rsid w:val="007F6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BDB"/>
  </w:style>
  <w:style w:type="paragraph" w:styleId="Footer">
    <w:name w:val="footer"/>
    <w:basedOn w:val="Normal"/>
    <w:link w:val="FooterChar"/>
    <w:uiPriority w:val="99"/>
    <w:unhideWhenUsed/>
    <w:rsid w:val="007F6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BDB"/>
  </w:style>
  <w:style w:type="paragraph" w:styleId="TOC1">
    <w:name w:val="toc 1"/>
    <w:basedOn w:val="Normal"/>
    <w:next w:val="Normal"/>
    <w:uiPriority w:val="39"/>
    <w:unhideWhenUsed/>
    <w:rsid w:val="003A393C"/>
    <w:pPr>
      <w:spacing w:before="240" w:after="0"/>
    </w:pPr>
    <w:rPr>
      <w:rFonts w:cstheme="minorHAnsi"/>
      <w:b/>
      <w:bCs/>
      <w:iCs/>
      <w:szCs w:val="24"/>
    </w:rPr>
  </w:style>
  <w:style w:type="paragraph" w:styleId="TOC2">
    <w:name w:val="toc 2"/>
    <w:basedOn w:val="Normal"/>
    <w:next w:val="Normal"/>
    <w:uiPriority w:val="39"/>
    <w:unhideWhenUsed/>
    <w:rsid w:val="00192DC5"/>
    <w:pPr>
      <w:adjustRightInd w:val="0"/>
      <w:spacing w:before="120" w:after="0"/>
      <w:ind w:left="454"/>
    </w:pPr>
    <w:rPr>
      <w:rFonts w:cstheme="minorHAnsi"/>
      <w:bCs/>
    </w:rPr>
  </w:style>
  <w:style w:type="paragraph" w:styleId="TOC3">
    <w:name w:val="toc 3"/>
    <w:basedOn w:val="Normal"/>
    <w:next w:val="Normal"/>
    <w:uiPriority w:val="39"/>
    <w:unhideWhenUsed/>
    <w:rsid w:val="00192DC5"/>
    <w:pPr>
      <w:spacing w:after="0"/>
      <w:ind w:left="794"/>
    </w:pPr>
    <w:rPr>
      <w:rFonts w:cstheme="minorHAnsi"/>
      <w:sz w:val="20"/>
      <w:szCs w:val="20"/>
    </w:rPr>
  </w:style>
  <w:style w:type="paragraph" w:styleId="BodyText">
    <w:name w:val="Body Text"/>
    <w:basedOn w:val="Normal"/>
    <w:link w:val="BodyTextChar"/>
    <w:uiPriority w:val="99"/>
    <w:unhideWhenUsed/>
    <w:rsid w:val="00F138D1"/>
    <w:pPr>
      <w:spacing w:after="180" w:line="360" w:lineRule="auto"/>
    </w:pPr>
    <w:rPr>
      <w:rFonts w:cs="Times New Roman (Body CS)"/>
      <w:kern w:val="24"/>
    </w:rPr>
  </w:style>
  <w:style w:type="character" w:customStyle="1" w:styleId="BodyTextChar">
    <w:name w:val="Body Text Char"/>
    <w:basedOn w:val="DefaultParagraphFont"/>
    <w:link w:val="BodyText"/>
    <w:uiPriority w:val="99"/>
    <w:rsid w:val="00F138D1"/>
    <w:rPr>
      <w:rFonts w:cs="Times New Roman (Body CS)"/>
      <w:kern w:val="24"/>
      <w:sz w:val="24"/>
    </w:rPr>
  </w:style>
  <w:style w:type="paragraph" w:styleId="ListBullet">
    <w:name w:val="List Bullet"/>
    <w:basedOn w:val="BodyText"/>
    <w:uiPriority w:val="99"/>
    <w:unhideWhenUsed/>
    <w:rsid w:val="00404F0E"/>
    <w:pPr>
      <w:numPr>
        <w:numId w:val="4"/>
      </w:numPr>
    </w:pPr>
  </w:style>
  <w:style w:type="paragraph" w:customStyle="1" w:styleId="FootnoteBody">
    <w:name w:val="Footnote (Body)"/>
    <w:basedOn w:val="NoParagraphStyle"/>
    <w:uiPriority w:val="99"/>
    <w:rsid w:val="00F1500A"/>
    <w:pPr>
      <w:widowControl/>
      <w:tabs>
        <w:tab w:val="left" w:pos="227"/>
      </w:tabs>
      <w:suppressAutoHyphens/>
      <w:spacing w:after="113" w:line="200" w:lineRule="atLeast"/>
      <w:ind w:left="227" w:hanging="227"/>
    </w:pPr>
    <w:rPr>
      <w:rFonts w:ascii="VIC Light" w:hAnsi="VIC Light" w:cs="VIC Light"/>
      <w:sz w:val="16"/>
      <w:szCs w:val="16"/>
      <w:lang w:val="en-GB"/>
    </w:rPr>
  </w:style>
  <w:style w:type="paragraph" w:customStyle="1" w:styleId="HeadingFOUR">
    <w:name w:val="Heading FOUR"/>
    <w:basedOn w:val="Heading3"/>
    <w:qFormat/>
    <w:rsid w:val="00192DC5"/>
    <w:rPr>
      <w:color w:val="000000" w:themeColor="text1"/>
    </w:rPr>
  </w:style>
  <w:style w:type="paragraph" w:styleId="List2">
    <w:name w:val="List 2"/>
    <w:basedOn w:val="Normal"/>
    <w:uiPriority w:val="99"/>
    <w:unhideWhenUsed/>
    <w:rsid w:val="00A10D57"/>
    <w:pPr>
      <w:spacing w:after="120"/>
      <w:ind w:left="568" w:hanging="284"/>
      <w:contextualSpacing/>
    </w:pPr>
  </w:style>
  <w:style w:type="paragraph" w:styleId="ListBullet2">
    <w:name w:val="List Bullet 2"/>
    <w:basedOn w:val="BodyText"/>
    <w:uiPriority w:val="99"/>
    <w:unhideWhenUsed/>
    <w:rsid w:val="004554EA"/>
    <w:pPr>
      <w:numPr>
        <w:numId w:val="5"/>
      </w:numPr>
      <w:ind w:left="714" w:hanging="357"/>
    </w:pPr>
  </w:style>
  <w:style w:type="paragraph" w:customStyle="1" w:styleId="ChartSourceStyle">
    <w:name w:val="Chart Source Style"/>
    <w:basedOn w:val="BodyText"/>
    <w:qFormat/>
    <w:rsid w:val="00B14FBE"/>
    <w:pPr>
      <w:spacing w:before="60" w:after="240"/>
    </w:pPr>
  </w:style>
  <w:style w:type="paragraph" w:customStyle="1" w:styleId="Style1">
    <w:name w:val="Style1"/>
    <w:basedOn w:val="ChartSourceStyle"/>
    <w:qFormat/>
    <w:rsid w:val="00620098"/>
    <w:pPr>
      <w:spacing w:before="120"/>
    </w:pPr>
  </w:style>
  <w:style w:type="paragraph" w:styleId="TOCHeading">
    <w:name w:val="TOC Heading"/>
    <w:basedOn w:val="Heading1"/>
    <w:next w:val="Normal"/>
    <w:uiPriority w:val="39"/>
    <w:unhideWhenUsed/>
    <w:qFormat/>
    <w:rsid w:val="003A393C"/>
    <w:pPr>
      <w:spacing w:after="120" w:line="360" w:lineRule="auto"/>
      <w:outlineLvl w:val="9"/>
    </w:pPr>
    <w:rPr>
      <w:bCs w:val="0"/>
      <w:color w:val="000000" w:themeColor="text1"/>
      <w:szCs w:val="32"/>
    </w:rPr>
  </w:style>
  <w:style w:type="character" w:styleId="FollowedHyperlink">
    <w:name w:val="FollowedHyperlink"/>
    <w:basedOn w:val="DefaultParagraphFont"/>
    <w:uiPriority w:val="99"/>
    <w:semiHidden/>
    <w:unhideWhenUsed/>
    <w:rsid w:val="00B66945"/>
    <w:rPr>
      <w:color w:val="954F72" w:themeColor="followedHyperlink"/>
      <w:u w:val="single"/>
    </w:rPr>
  </w:style>
  <w:style w:type="paragraph" w:styleId="ListNumber">
    <w:name w:val="List Number"/>
    <w:basedOn w:val="BodyText"/>
    <w:uiPriority w:val="99"/>
    <w:unhideWhenUsed/>
    <w:rsid w:val="00FC4659"/>
    <w:pPr>
      <w:numPr>
        <w:numId w:val="6"/>
      </w:numPr>
      <w:snapToGrid w:val="0"/>
      <w:ind w:left="357" w:hanging="357"/>
    </w:pPr>
  </w:style>
  <w:style w:type="paragraph" w:styleId="ListNumber2">
    <w:name w:val="List Number 2"/>
    <w:basedOn w:val="Normal"/>
    <w:uiPriority w:val="99"/>
    <w:unhideWhenUsed/>
    <w:rsid w:val="001D3828"/>
    <w:pPr>
      <w:numPr>
        <w:numId w:val="20"/>
      </w:numPr>
      <w:contextualSpacing/>
    </w:pPr>
  </w:style>
  <w:style w:type="paragraph" w:styleId="Caption">
    <w:name w:val="caption"/>
    <w:basedOn w:val="Normal"/>
    <w:next w:val="Normal"/>
    <w:uiPriority w:val="35"/>
    <w:unhideWhenUsed/>
    <w:qFormat/>
    <w:rsid w:val="00F97E91"/>
    <w:pPr>
      <w:spacing w:before="120" w:after="240" w:line="240" w:lineRule="auto"/>
    </w:pPr>
    <w:rPr>
      <w:b/>
      <w:iCs/>
      <w:color w:val="000000" w:themeColor="text1"/>
      <w:szCs w:val="18"/>
    </w:rPr>
  </w:style>
  <w:style w:type="numbering" w:customStyle="1" w:styleId="CurrentList1">
    <w:name w:val="Current List1"/>
    <w:uiPriority w:val="99"/>
    <w:rsid w:val="007B211D"/>
    <w:pPr>
      <w:numPr>
        <w:numId w:val="7"/>
      </w:numPr>
    </w:pPr>
  </w:style>
  <w:style w:type="numbering" w:customStyle="1" w:styleId="CurrentList2">
    <w:name w:val="Current List2"/>
    <w:uiPriority w:val="99"/>
    <w:rsid w:val="00E11A71"/>
    <w:pPr>
      <w:numPr>
        <w:numId w:val="8"/>
      </w:numPr>
    </w:pPr>
  </w:style>
  <w:style w:type="numbering" w:customStyle="1" w:styleId="CurrentList3">
    <w:name w:val="Current List3"/>
    <w:uiPriority w:val="99"/>
    <w:rsid w:val="00E11A71"/>
    <w:pPr>
      <w:numPr>
        <w:numId w:val="10"/>
      </w:numPr>
    </w:pPr>
  </w:style>
  <w:style w:type="numbering" w:customStyle="1" w:styleId="CurrentList4">
    <w:name w:val="Current List4"/>
    <w:uiPriority w:val="99"/>
    <w:rsid w:val="00E11A71"/>
    <w:pPr>
      <w:numPr>
        <w:numId w:val="11"/>
      </w:numPr>
    </w:pPr>
  </w:style>
  <w:style w:type="numbering" w:customStyle="1" w:styleId="CurrentList5">
    <w:name w:val="Current List5"/>
    <w:uiPriority w:val="99"/>
    <w:rsid w:val="00E11A71"/>
    <w:pPr>
      <w:numPr>
        <w:numId w:val="12"/>
      </w:numPr>
    </w:pPr>
  </w:style>
  <w:style w:type="paragraph" w:styleId="TOC4">
    <w:name w:val="toc 4"/>
    <w:basedOn w:val="Normal"/>
    <w:next w:val="Normal"/>
    <w:autoRedefine/>
    <w:uiPriority w:val="39"/>
    <w:unhideWhenUsed/>
    <w:rsid w:val="005E3F95"/>
    <w:pPr>
      <w:spacing w:after="0"/>
      <w:ind w:left="720"/>
    </w:pPr>
    <w:rPr>
      <w:rFonts w:cstheme="minorHAnsi"/>
      <w:sz w:val="20"/>
      <w:szCs w:val="20"/>
    </w:rPr>
  </w:style>
  <w:style w:type="paragraph" w:styleId="TOC5">
    <w:name w:val="toc 5"/>
    <w:basedOn w:val="Normal"/>
    <w:next w:val="Normal"/>
    <w:autoRedefine/>
    <w:uiPriority w:val="39"/>
    <w:unhideWhenUsed/>
    <w:rsid w:val="005E3F95"/>
    <w:pPr>
      <w:spacing w:after="0"/>
      <w:ind w:left="960"/>
    </w:pPr>
    <w:rPr>
      <w:rFonts w:cstheme="minorHAnsi"/>
      <w:sz w:val="20"/>
      <w:szCs w:val="20"/>
    </w:rPr>
  </w:style>
  <w:style w:type="paragraph" w:styleId="TOC6">
    <w:name w:val="toc 6"/>
    <w:basedOn w:val="Normal"/>
    <w:next w:val="Normal"/>
    <w:autoRedefine/>
    <w:uiPriority w:val="39"/>
    <w:unhideWhenUsed/>
    <w:rsid w:val="005E3F95"/>
    <w:pPr>
      <w:spacing w:after="0"/>
      <w:ind w:left="1200"/>
    </w:pPr>
    <w:rPr>
      <w:rFonts w:cstheme="minorHAnsi"/>
      <w:sz w:val="20"/>
      <w:szCs w:val="20"/>
    </w:rPr>
  </w:style>
  <w:style w:type="paragraph" w:styleId="TOC7">
    <w:name w:val="toc 7"/>
    <w:basedOn w:val="Normal"/>
    <w:next w:val="Normal"/>
    <w:autoRedefine/>
    <w:uiPriority w:val="39"/>
    <w:unhideWhenUsed/>
    <w:rsid w:val="005E3F95"/>
    <w:pPr>
      <w:spacing w:after="0"/>
      <w:ind w:left="1440"/>
    </w:pPr>
    <w:rPr>
      <w:rFonts w:cstheme="minorHAnsi"/>
      <w:sz w:val="20"/>
      <w:szCs w:val="20"/>
    </w:rPr>
  </w:style>
  <w:style w:type="paragraph" w:styleId="TOC8">
    <w:name w:val="toc 8"/>
    <w:basedOn w:val="Normal"/>
    <w:next w:val="Normal"/>
    <w:autoRedefine/>
    <w:uiPriority w:val="39"/>
    <w:unhideWhenUsed/>
    <w:rsid w:val="005E3F95"/>
    <w:pPr>
      <w:spacing w:after="0"/>
      <w:ind w:left="1680"/>
    </w:pPr>
    <w:rPr>
      <w:rFonts w:cstheme="minorHAnsi"/>
      <w:sz w:val="20"/>
      <w:szCs w:val="20"/>
    </w:rPr>
  </w:style>
  <w:style w:type="paragraph" w:styleId="TOC9">
    <w:name w:val="toc 9"/>
    <w:basedOn w:val="Normal"/>
    <w:next w:val="Normal"/>
    <w:autoRedefine/>
    <w:uiPriority w:val="39"/>
    <w:unhideWhenUsed/>
    <w:rsid w:val="005E3F95"/>
    <w:pPr>
      <w:spacing w:after="0"/>
      <w:ind w:left="1920"/>
    </w:pPr>
    <w:rPr>
      <w:rFonts w:cstheme="minorHAnsi"/>
      <w:sz w:val="20"/>
      <w:szCs w:val="20"/>
    </w:rPr>
  </w:style>
  <w:style w:type="paragraph" w:styleId="TOAHeading">
    <w:name w:val="toa heading"/>
    <w:basedOn w:val="Normal"/>
    <w:next w:val="Normal"/>
    <w:uiPriority w:val="99"/>
    <w:unhideWhenUsed/>
    <w:rsid w:val="009C55EA"/>
    <w:pPr>
      <w:spacing w:before="120" w:after="240"/>
    </w:pPr>
    <w:rPr>
      <w:rFonts w:asciiTheme="majorHAnsi" w:eastAsiaTheme="majorEastAsia" w:hAnsiTheme="majorHAnsi" w:cstheme="majorBidi"/>
      <w:b/>
      <w:bCs/>
      <w:szCs w:val="24"/>
    </w:rPr>
  </w:style>
  <w:style w:type="numbering" w:customStyle="1" w:styleId="CurrentList6">
    <w:name w:val="Current List6"/>
    <w:uiPriority w:val="99"/>
    <w:rsid w:val="00904039"/>
    <w:pPr>
      <w:numPr>
        <w:numId w:val="14"/>
      </w:numPr>
    </w:pPr>
  </w:style>
  <w:style w:type="numbering" w:customStyle="1" w:styleId="CurrentList7">
    <w:name w:val="Current List7"/>
    <w:uiPriority w:val="99"/>
    <w:rsid w:val="00904039"/>
    <w:pPr>
      <w:numPr>
        <w:numId w:val="15"/>
      </w:numPr>
    </w:pPr>
  </w:style>
  <w:style w:type="numbering" w:customStyle="1" w:styleId="CurrentList8">
    <w:name w:val="Current List8"/>
    <w:uiPriority w:val="99"/>
    <w:rsid w:val="00241796"/>
    <w:pPr>
      <w:numPr>
        <w:numId w:val="16"/>
      </w:numPr>
    </w:pPr>
  </w:style>
  <w:style w:type="paragraph" w:styleId="NormalWeb">
    <w:name w:val="Normal (Web)"/>
    <w:basedOn w:val="Normal"/>
    <w:uiPriority w:val="99"/>
    <w:semiHidden/>
    <w:unhideWhenUsed/>
    <w:rsid w:val="00733E6C"/>
    <w:pPr>
      <w:suppressAutoHyphens w:val="0"/>
      <w:spacing w:before="100" w:beforeAutospacing="1" w:after="100" w:afterAutospacing="1" w:line="240" w:lineRule="auto"/>
    </w:pPr>
    <w:rPr>
      <w:rFonts w:ascii="Times New Roman" w:eastAsia="Times New Roman" w:hAnsi="Times New Roman" w:cs="Times New Roman"/>
      <w:szCs w:val="24"/>
      <w:lang w:eastAsia="en-GB"/>
    </w:rPr>
  </w:style>
  <w:style w:type="paragraph" w:styleId="Revision">
    <w:name w:val="Revision"/>
    <w:hidden/>
    <w:uiPriority w:val="99"/>
    <w:semiHidden/>
    <w:rsid w:val="00760099"/>
    <w:pPr>
      <w:spacing w:after="0" w:line="240" w:lineRule="auto"/>
    </w:pPr>
    <w:rPr>
      <w:sz w:val="24"/>
    </w:rPr>
  </w:style>
  <w:style w:type="character" w:styleId="CommentReference">
    <w:name w:val="annotation reference"/>
    <w:basedOn w:val="DefaultParagraphFont"/>
    <w:uiPriority w:val="99"/>
    <w:semiHidden/>
    <w:unhideWhenUsed/>
    <w:rsid w:val="00DC0304"/>
    <w:rPr>
      <w:sz w:val="16"/>
      <w:szCs w:val="16"/>
    </w:rPr>
  </w:style>
  <w:style w:type="paragraph" w:styleId="CommentText">
    <w:name w:val="annotation text"/>
    <w:basedOn w:val="Normal"/>
    <w:link w:val="CommentTextChar"/>
    <w:uiPriority w:val="99"/>
    <w:semiHidden/>
    <w:unhideWhenUsed/>
    <w:rsid w:val="00DC0304"/>
    <w:pPr>
      <w:spacing w:line="240" w:lineRule="auto"/>
    </w:pPr>
    <w:rPr>
      <w:sz w:val="20"/>
      <w:szCs w:val="20"/>
    </w:rPr>
  </w:style>
  <w:style w:type="character" w:customStyle="1" w:styleId="CommentTextChar">
    <w:name w:val="Comment Text Char"/>
    <w:basedOn w:val="DefaultParagraphFont"/>
    <w:link w:val="CommentText"/>
    <w:uiPriority w:val="99"/>
    <w:semiHidden/>
    <w:rsid w:val="00DC0304"/>
    <w:rPr>
      <w:sz w:val="20"/>
      <w:szCs w:val="20"/>
    </w:rPr>
  </w:style>
  <w:style w:type="paragraph" w:styleId="CommentSubject">
    <w:name w:val="annotation subject"/>
    <w:basedOn w:val="CommentText"/>
    <w:next w:val="CommentText"/>
    <w:link w:val="CommentSubjectChar"/>
    <w:uiPriority w:val="99"/>
    <w:semiHidden/>
    <w:unhideWhenUsed/>
    <w:rsid w:val="00DC0304"/>
    <w:rPr>
      <w:b/>
      <w:bCs/>
    </w:rPr>
  </w:style>
  <w:style w:type="character" w:customStyle="1" w:styleId="CommentSubjectChar">
    <w:name w:val="Comment Subject Char"/>
    <w:basedOn w:val="CommentTextChar"/>
    <w:link w:val="CommentSubject"/>
    <w:uiPriority w:val="99"/>
    <w:semiHidden/>
    <w:rsid w:val="00DC0304"/>
    <w:rPr>
      <w:b/>
      <w:bCs/>
      <w:sz w:val="20"/>
      <w:szCs w:val="20"/>
    </w:rPr>
  </w:style>
  <w:style w:type="numbering" w:customStyle="1" w:styleId="CurrentList12">
    <w:name w:val="Current List12"/>
    <w:uiPriority w:val="99"/>
    <w:rsid w:val="00291546"/>
    <w:pPr>
      <w:numPr>
        <w:numId w:val="21"/>
      </w:numPr>
    </w:pPr>
  </w:style>
  <w:style w:type="paragraph" w:styleId="BodyText2">
    <w:name w:val="Body Text 2"/>
    <w:basedOn w:val="Normal"/>
    <w:link w:val="BodyText2Char"/>
    <w:uiPriority w:val="99"/>
    <w:unhideWhenUsed/>
    <w:rsid w:val="0065671E"/>
    <w:pPr>
      <w:spacing w:after="120" w:line="480" w:lineRule="auto"/>
    </w:pPr>
  </w:style>
  <w:style w:type="character" w:customStyle="1" w:styleId="BodyText2Char">
    <w:name w:val="Body Text 2 Char"/>
    <w:basedOn w:val="DefaultParagraphFont"/>
    <w:link w:val="BodyText2"/>
    <w:uiPriority w:val="99"/>
    <w:rsid w:val="0065671E"/>
    <w:rPr>
      <w:sz w:val="24"/>
    </w:rPr>
  </w:style>
  <w:style w:type="paragraph" w:customStyle="1" w:styleId="HeadingFIVE">
    <w:name w:val="Heading FIVE"/>
    <w:basedOn w:val="BodyText"/>
    <w:qFormat/>
    <w:rsid w:val="0034757B"/>
    <w:pPr>
      <w:spacing w:after="120" w:line="240" w:lineRule="auto"/>
    </w:pPr>
    <w:rPr>
      <w:b/>
      <w:bCs/>
      <w:sz w:val="26"/>
      <w:szCs w:val="26"/>
    </w:rPr>
  </w:style>
  <w:style w:type="paragraph" w:styleId="ListBullet3">
    <w:name w:val="List Bullet 3"/>
    <w:basedOn w:val="Normal"/>
    <w:uiPriority w:val="99"/>
    <w:unhideWhenUsed/>
    <w:rsid w:val="00CB3B62"/>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91346">
      <w:bodyDiv w:val="1"/>
      <w:marLeft w:val="0"/>
      <w:marRight w:val="0"/>
      <w:marTop w:val="0"/>
      <w:marBottom w:val="0"/>
      <w:divBdr>
        <w:top w:val="none" w:sz="0" w:space="0" w:color="auto"/>
        <w:left w:val="none" w:sz="0" w:space="0" w:color="auto"/>
        <w:bottom w:val="none" w:sz="0" w:space="0" w:color="auto"/>
        <w:right w:val="none" w:sz="0" w:space="0" w:color="auto"/>
      </w:divBdr>
    </w:div>
    <w:div w:id="81946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c.gov.au/victorian-common-funding-agreement-forms-and-templates" TargetMode="External"/><Relationship Id="rId18" Type="http://schemas.openxmlformats.org/officeDocument/2006/relationships/hyperlink" Target="https://agriculture.vic.gov.au/support-and-resources/funds-grants-programs/livestock-biosecurity-funds" TargetMode="External"/><Relationship Id="rId26" Type="http://schemas.openxmlformats.org/officeDocument/2006/relationships/hyperlink" Target="mailto:livestockbiosecurityfund@agriculture.vic.gov.au" TargetMode="External"/><Relationship Id="rId3" Type="http://schemas.openxmlformats.org/officeDocument/2006/relationships/styles" Target="styles.xml"/><Relationship Id="rId21" Type="http://schemas.openxmlformats.org/officeDocument/2006/relationships/hyperlink" Target="mailto:LivestockBiosecurityFund@agriculture.vic.gov.a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hyperlink" Target="http://agriculture.vic.gov.au/livestockbiosecurityfunds" TargetMode="External"/><Relationship Id="rId25" Type="http://schemas.openxmlformats.org/officeDocument/2006/relationships/hyperlink" Target="mailto:LivestockBiosecurityFund@agriculture.vic.gov.a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cn.org.au/" TargetMode="External"/><Relationship Id="rId20" Type="http://schemas.openxmlformats.org/officeDocument/2006/relationships/hyperlink" Target="https://agriculture.vic.gov.au/support-and-resources/funds-grants-programs/livestock-biosecurity-funds" TargetMode="External"/><Relationship Id="rId29" Type="http://schemas.openxmlformats.org/officeDocument/2006/relationships/hyperlink" Target="mailto:customer.service@delwp.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agriculture.vic.gov.au/support-and-resources/funds-grants-programs/livestock-biosecurity-fund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foi.unit@delwp.vic.gov.au" TargetMode="External"/><Relationship Id="rId23" Type="http://schemas.openxmlformats.org/officeDocument/2006/relationships/hyperlink" Target="mailto:LivestockBiosecurityFund@agriculture.vic.gov.au" TargetMode="External"/><Relationship Id="rId28" Type="http://schemas.openxmlformats.org/officeDocument/2006/relationships/hyperlink" Target="http://creativecommons.org/licenses/by/4.0/" TargetMode="External"/><Relationship Id="rId10" Type="http://schemas.openxmlformats.org/officeDocument/2006/relationships/hyperlink" Target="https://agriculture.vic.gov.au/support-and-resources/funds-grants-programs/livestock-biosecurity-funds" TargetMode="External"/><Relationship Id="rId19" Type="http://schemas.openxmlformats.org/officeDocument/2006/relationships/hyperlink" Target="mailto:LivestockBiosecurityFund@agriculture.vic.gov.au" TargetMode="External"/><Relationship Id="rId31" Type="http://schemas.openxmlformats.org/officeDocument/2006/relationships/hyperlink" Target="https://www.accesshub.gov.au/" TargetMode="External"/><Relationship Id="rId4" Type="http://schemas.openxmlformats.org/officeDocument/2006/relationships/settings" Target="settings.xml"/><Relationship Id="rId9" Type="http://schemas.openxmlformats.org/officeDocument/2006/relationships/hyperlink" Target="https://agriculture.vic.gov.au/support-and-resources/funds-grants-programs/livestock-biosecurity-funds" TargetMode="External"/><Relationship Id="rId14" Type="http://schemas.openxmlformats.org/officeDocument/2006/relationships/hyperlink" Target="http://www.deeca.vic.gov.au/privacy" TargetMode="External"/><Relationship Id="rId22" Type="http://schemas.openxmlformats.org/officeDocument/2006/relationships/hyperlink" Target="https://agriculture.vic.gov.au/support-and-resources/funds-grants-programs/livestock-biosecurity-funds" TargetMode="External"/><Relationship Id="rId27" Type="http://schemas.openxmlformats.org/officeDocument/2006/relationships/hyperlink" Target="http://agriculture.vic.gov.au/livestockbiosecurityfunds" TargetMode="External"/><Relationship Id="rId30" Type="http://schemas.openxmlformats.org/officeDocument/2006/relationships/hyperlink" Target="http://www.accesshub.gov.au/"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E1028-9B50-4285-8CE8-22A50796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7301</Words>
  <Characters>41618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2024-02-21T02:03:00Z</dcterms:created>
  <dcterms:modified xsi:type="dcterms:W3CDTF">2024-02-23T02:27:00Z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2022-09-20T23:29:16Z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e5bb7520-2aea-48aa-81c7-1c8f860860fb</vt:lpwstr>
  </property>
  <property fmtid="{D5CDD505-2E9C-101B-9397-08002B2CF9AE}" pid="8" name="MSIP_Label_4257e2ab-f512-40e2-9c9a-c64247360765_ContentBits">
    <vt:lpwstr>2</vt:lpwstr>
  </property>
</Properties>
</file>