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7B81" w14:textId="15B69A13" w:rsidR="00525585" w:rsidRPr="00CA041E" w:rsidRDefault="0052792F" w:rsidP="0052792F">
      <w:pPr>
        <w:pStyle w:val="Title"/>
        <w:framePr w:wrap="around"/>
      </w:pPr>
      <w:bookmarkStart w:id="0" w:name="_Hlk214872360"/>
      <w:r>
        <w:t>Disposing of carcasses after a bushfire, flood or drought</w:t>
      </w:r>
    </w:p>
    <w:p w14:paraId="28B7C084" w14:textId="77777777" w:rsidR="0052792F" w:rsidRDefault="0052792F" w:rsidP="0052792F">
      <w:pPr>
        <w:pStyle w:val="Subtitle"/>
        <w:framePr w:h="2516" w:hRule="exact" w:wrap="around"/>
      </w:pPr>
    </w:p>
    <w:p w14:paraId="2B42A4D7" w14:textId="77777777" w:rsidR="0052792F" w:rsidRDefault="0052792F" w:rsidP="0052792F">
      <w:pPr>
        <w:pStyle w:val="Subtitle"/>
        <w:framePr w:h="2516" w:hRule="exact" w:wrap="around"/>
      </w:pPr>
    </w:p>
    <w:p w14:paraId="6371B47D" w14:textId="3D37F432" w:rsidR="00525585" w:rsidRPr="00F27353" w:rsidRDefault="00F27353" w:rsidP="0052792F">
      <w:pPr>
        <w:pStyle w:val="Subtitle"/>
        <w:framePr w:h="2516" w:hRule="exact" w:wrap="around"/>
        <w:rPr>
          <w:szCs w:val="24"/>
        </w:rPr>
      </w:pPr>
      <w:r>
        <w:br/>
      </w:r>
      <w:r w:rsidR="0052792F" w:rsidRPr="00F27353">
        <w:rPr>
          <w:szCs w:val="24"/>
        </w:rPr>
        <w:t>Information sheet</w:t>
      </w:r>
      <w:r w:rsidRPr="00F27353">
        <w:rPr>
          <w:szCs w:val="24"/>
        </w:rPr>
        <w:t xml:space="preserve"> – Current as </w:t>
      </w:r>
      <w:proofErr w:type="gramStart"/>
      <w:r w:rsidRPr="00F27353">
        <w:rPr>
          <w:szCs w:val="24"/>
        </w:rPr>
        <w:t>at</w:t>
      </w:r>
      <w:proofErr w:type="gramEnd"/>
      <w:r w:rsidRPr="00F27353">
        <w:rPr>
          <w:szCs w:val="24"/>
        </w:rPr>
        <w:t xml:space="preserve"> </w:t>
      </w:r>
      <w:r w:rsidR="0015201B">
        <w:rPr>
          <w:szCs w:val="24"/>
        </w:rPr>
        <w:t>31</w:t>
      </w:r>
      <w:r w:rsidRPr="00F27353">
        <w:rPr>
          <w:szCs w:val="24"/>
        </w:rPr>
        <w:t xml:space="preserve"> January 2026</w:t>
      </w:r>
    </w:p>
    <w:p w14:paraId="175DAD41" w14:textId="2F5B251C" w:rsidR="0052792F" w:rsidRPr="00076FD9" w:rsidRDefault="00844D01" w:rsidP="00E332E4">
      <w:bookmarkStart w:id="1" w:name="_Hlk143247946"/>
      <w:bookmarkEnd w:id="0"/>
      <w:r w:rsidRPr="00CA041E">
        <w:rPr>
          <w:noProof/>
        </w:rPr>
        <w:drawing>
          <wp:anchor distT="0" distB="0" distL="114300" distR="114300" simplePos="0" relativeHeight="251658240" behindDoc="1" locked="0" layoutInCell="1" allowOverlap="1" wp14:anchorId="40203CBA" wp14:editId="71A1D7D6">
            <wp:simplePos x="0" y="0"/>
            <wp:positionH relativeFrom="page">
              <wp:align>left</wp:align>
            </wp:positionH>
            <wp:positionV relativeFrom="page">
              <wp:align>top</wp:align>
            </wp:positionV>
            <wp:extent cx="7564493" cy="10691999"/>
            <wp:effectExtent l="0" t="0" r="5080" b="1905"/>
            <wp:wrapNone/>
            <wp:docPr id="8583694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6943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493" cy="10691999"/>
                    </a:xfrm>
                    <a:prstGeom prst="rect">
                      <a:avLst/>
                    </a:prstGeom>
                  </pic:spPr>
                </pic:pic>
              </a:graphicData>
            </a:graphic>
            <wp14:sizeRelH relativeFrom="margin">
              <wp14:pctWidth>0</wp14:pctWidth>
            </wp14:sizeRelH>
            <wp14:sizeRelV relativeFrom="margin">
              <wp14:pctHeight>0</wp14:pctHeight>
            </wp14:sizeRelV>
          </wp:anchor>
        </w:drawing>
      </w:r>
      <w:bookmarkEnd w:id="1"/>
      <w:r w:rsidR="0052792F" w:rsidRPr="00076FD9">
        <w:t xml:space="preserve">A bushfire, flood and drought can result in carcasses </w:t>
      </w:r>
      <w:r w:rsidR="0052792F">
        <w:t>(bodies of deceased animals) that need to be disposed of</w:t>
      </w:r>
      <w:r w:rsidR="0052792F" w:rsidRPr="00076FD9">
        <w:t>.</w:t>
      </w:r>
    </w:p>
    <w:p w14:paraId="7FCC4344" w14:textId="1240CBC3" w:rsidR="0052792F" w:rsidRPr="00076FD9" w:rsidRDefault="0052792F" w:rsidP="0052792F">
      <w:r w:rsidRPr="00076FD9">
        <w:t xml:space="preserve">There are several options outlined below for livestock producers for </w:t>
      </w:r>
      <w:r>
        <w:t xml:space="preserve">the removal and </w:t>
      </w:r>
      <w:r w:rsidR="6DE08978">
        <w:t>disposal</w:t>
      </w:r>
      <w:r>
        <w:t xml:space="preserve"> of carcasses.</w:t>
      </w:r>
    </w:p>
    <w:p w14:paraId="5A3D91CB" w14:textId="13190741" w:rsidR="0052792F" w:rsidRPr="00076FD9" w:rsidRDefault="0052792F" w:rsidP="0052792F">
      <w:r w:rsidRPr="00076FD9">
        <w:t>Please note this information does not include </w:t>
      </w:r>
      <w:r w:rsidRPr="000D5ADB">
        <w:t>the removal and burial of animals affected by an</w:t>
      </w:r>
      <w:r w:rsidRPr="00076FD9">
        <w:t xml:space="preserve"> emergency animal disease (EAD).</w:t>
      </w:r>
    </w:p>
    <w:p w14:paraId="070F0FF6" w14:textId="77777777" w:rsidR="0052792F" w:rsidRPr="0052792F" w:rsidRDefault="0052792F" w:rsidP="0052792F">
      <w:pPr>
        <w:pStyle w:val="Heading2"/>
      </w:pPr>
      <w:r w:rsidRPr="0052792F">
        <w:t>How to dispose of deceased animals</w:t>
      </w:r>
    </w:p>
    <w:p w14:paraId="67E40377" w14:textId="77777777" w:rsidR="0052792F" w:rsidRPr="00076FD9" w:rsidRDefault="0052792F" w:rsidP="0052792F">
      <w:r>
        <w:t>The landholder is responsible for the disposal of deceased</w:t>
      </w:r>
      <w:r w:rsidRPr="00076FD9">
        <w:t xml:space="preserve"> livestock as part of on-property recovery.</w:t>
      </w:r>
    </w:p>
    <w:p w14:paraId="3165E7CA" w14:textId="77777777" w:rsidR="0052792F" w:rsidRPr="000D5ADB" w:rsidRDefault="0052792F" w:rsidP="0052792F">
      <w:r w:rsidRPr="000D5ADB">
        <w:t xml:space="preserve">Options for </w:t>
      </w:r>
      <w:r w:rsidRPr="0052792F">
        <w:t>the</w:t>
      </w:r>
      <w:r w:rsidRPr="000D5ADB">
        <w:t xml:space="preserve"> disposal of animal carcasses include:</w:t>
      </w:r>
    </w:p>
    <w:p w14:paraId="2D79F804" w14:textId="77777777" w:rsidR="0052792F" w:rsidRPr="0052792F" w:rsidRDefault="0052792F" w:rsidP="0052792F">
      <w:pPr>
        <w:pStyle w:val="ListBullet"/>
      </w:pPr>
      <w:r w:rsidRPr="0052792F">
        <w:t xml:space="preserve">knackeries and rendering facilities </w:t>
      </w:r>
    </w:p>
    <w:p w14:paraId="3B2C7DCE" w14:textId="77777777" w:rsidR="0052792F" w:rsidRPr="0052792F" w:rsidRDefault="0052792F" w:rsidP="0052792F">
      <w:pPr>
        <w:pStyle w:val="ListBullet"/>
      </w:pPr>
      <w:r w:rsidRPr="0052792F">
        <w:t xml:space="preserve">licensed landfills </w:t>
      </w:r>
    </w:p>
    <w:p w14:paraId="34E32533" w14:textId="57428B01" w:rsidR="0052792F" w:rsidRPr="0052792F" w:rsidRDefault="0052792F" w:rsidP="0052792F">
      <w:pPr>
        <w:pStyle w:val="ListBullet"/>
      </w:pPr>
      <w:r>
        <w:t xml:space="preserve">on-farm </w:t>
      </w:r>
      <w:r w:rsidR="52A558CD">
        <w:t>disposal</w:t>
      </w:r>
      <w:r w:rsidR="5D144A45">
        <w:t>.</w:t>
      </w:r>
    </w:p>
    <w:p w14:paraId="0916D572" w14:textId="77777777" w:rsidR="0052792F" w:rsidRPr="00076FD9" w:rsidRDefault="0052792F" w:rsidP="00E332E4">
      <w:pPr>
        <w:spacing w:before="120"/>
      </w:pPr>
      <w:r w:rsidRPr="00076FD9">
        <w:t>Agriculture Victoria support</w:t>
      </w:r>
      <w:r>
        <w:t>s</w:t>
      </w:r>
      <w:r w:rsidRPr="00076FD9">
        <w:t xml:space="preserve"> landholders with guidance, information and technical advice.</w:t>
      </w:r>
    </w:p>
    <w:p w14:paraId="4C072791" w14:textId="2024E533" w:rsidR="0052792F" w:rsidRPr="000D5ADB" w:rsidRDefault="0052792F" w:rsidP="0052792F">
      <w:pPr>
        <w:rPr>
          <w:color w:val="000000"/>
          <w:lang w:eastAsia="en-AU"/>
        </w:rPr>
      </w:pPr>
      <w:r w:rsidRPr="000D5ADB">
        <w:rPr>
          <w:lang w:eastAsia="en-AU"/>
        </w:rPr>
        <w:t xml:space="preserve">Contact the </w:t>
      </w:r>
      <w:bookmarkStart w:id="2" w:name="_Hlk219556289"/>
      <w:r w:rsidRPr="000D5ADB">
        <w:rPr>
          <w:color w:val="000000"/>
          <w:lang w:eastAsia="en-AU"/>
        </w:rPr>
        <w:t xml:space="preserve">Livestock Disposal Advisory </w:t>
      </w:r>
      <w:bookmarkEnd w:id="2"/>
      <w:r w:rsidRPr="000D5ADB">
        <w:rPr>
          <w:color w:val="000000"/>
          <w:lang w:eastAsia="en-AU"/>
        </w:rPr>
        <w:t>Service on </w:t>
      </w:r>
      <w:hyperlink r:id="rId9" w:history="1">
        <w:r w:rsidRPr="004D4116">
          <w:rPr>
            <w:rStyle w:val="Hyperlink"/>
            <w:lang w:eastAsia="en-AU"/>
          </w:rPr>
          <w:t>0407 145 007</w:t>
        </w:r>
      </w:hyperlink>
      <w:r>
        <w:rPr>
          <w:color w:val="000000"/>
          <w:lang w:eastAsia="en-AU"/>
        </w:rPr>
        <w:t xml:space="preserve"> </w:t>
      </w:r>
      <w:r w:rsidRPr="000D5ADB">
        <w:rPr>
          <w:color w:val="000000"/>
          <w:lang w:eastAsia="en-AU"/>
        </w:rPr>
        <w:t>or </w:t>
      </w:r>
      <w:hyperlink r:id="rId10" w:history="1">
        <w:r w:rsidRPr="000D5ADB">
          <w:rPr>
            <w:color w:val="00573F"/>
            <w:u w:val="single"/>
            <w:lang w:eastAsia="en-AU"/>
          </w:rPr>
          <w:t>livestock.disposal@agriculture.vic.gov.au</w:t>
        </w:r>
      </w:hyperlink>
      <w:r w:rsidRPr="009249F9">
        <w:t xml:space="preserve"> </w:t>
      </w:r>
      <w:r w:rsidRPr="000D5ADB">
        <w:rPr>
          <w:color w:val="000000"/>
          <w:lang w:eastAsia="en-AU"/>
        </w:rPr>
        <w:t>for advice or information.</w:t>
      </w:r>
    </w:p>
    <w:p w14:paraId="4C08E2A1" w14:textId="5C0059E2" w:rsidR="00F27161" w:rsidRPr="00F27161" w:rsidRDefault="00F27161" w:rsidP="00F27161">
      <w:pPr>
        <w:rPr>
          <w:lang w:val="en-AU" w:eastAsia="en-AU"/>
        </w:rPr>
      </w:pPr>
      <w:r w:rsidRPr="00F27161">
        <w:rPr>
          <w:lang w:val="en-AU" w:eastAsia="en-AU"/>
        </w:rPr>
        <w:t xml:space="preserve">For guidance on managing farm waste, including disposing of deceased livestock, see EPA’s </w:t>
      </w:r>
      <w:hyperlink r:id="rId11" w:tooltip="https://www.epa.vic.gov.au/manage-farm-waste" w:history="1">
        <w:r w:rsidRPr="00F27161">
          <w:rPr>
            <w:rStyle w:val="Hyperlink"/>
            <w:lang w:val="en-AU" w:eastAsia="en-AU"/>
          </w:rPr>
          <w:t>Manage farm waste</w:t>
        </w:r>
      </w:hyperlink>
      <w:r w:rsidRPr="00F27161">
        <w:rPr>
          <w:lang w:val="en-AU" w:eastAsia="en-AU"/>
        </w:rPr>
        <w:t xml:space="preserve"> page. Call EPA on </w:t>
      </w:r>
      <w:hyperlink r:id="rId12" w:history="1">
        <w:r w:rsidRPr="00B345BA">
          <w:rPr>
            <w:rStyle w:val="Hyperlink"/>
            <w:lang w:val="en-AU" w:eastAsia="en-AU"/>
          </w:rPr>
          <w:t>1300 372 842</w:t>
        </w:r>
      </w:hyperlink>
      <w:r w:rsidRPr="00F27161">
        <w:rPr>
          <w:lang w:val="en-AU" w:eastAsia="en-AU"/>
        </w:rPr>
        <w:t xml:space="preserve"> for advice.</w:t>
      </w:r>
    </w:p>
    <w:p w14:paraId="3BB976C5" w14:textId="77777777" w:rsidR="0052792F" w:rsidRPr="00076FD9" w:rsidRDefault="0052792F" w:rsidP="0052792F">
      <w:pPr>
        <w:pStyle w:val="Heading2"/>
      </w:pPr>
      <w:r w:rsidRPr="00076FD9">
        <w:t>EPA publications</w:t>
      </w:r>
    </w:p>
    <w:p w14:paraId="550E2966" w14:textId="77777777" w:rsidR="0052792F" w:rsidRPr="00076FD9" w:rsidRDefault="0052792F" w:rsidP="0052792F">
      <w:r w:rsidRPr="00076FD9">
        <w:t>For managing routine livestock mortalities see</w:t>
      </w:r>
      <w:r>
        <w:t xml:space="preserve"> </w:t>
      </w:r>
      <w:hyperlink r:id="rId13" w:history="1">
        <w:r w:rsidRPr="00A77A14">
          <w:rPr>
            <w:rStyle w:val="Hyperlink"/>
          </w:rPr>
          <w:t>https://www.epa.vic.gov.au/about-epa/publications/iwrg641-1</w:t>
        </w:r>
      </w:hyperlink>
      <w:r>
        <w:t xml:space="preserve">. </w:t>
      </w:r>
    </w:p>
    <w:p w14:paraId="1B5712FC" w14:textId="77777777" w:rsidR="0052792F" w:rsidRPr="00076FD9" w:rsidRDefault="0052792F" w:rsidP="0052792F">
      <w:r w:rsidRPr="00076FD9">
        <w:t>For more information on carcass disposal after bushfires see the EPA fact sheet</w:t>
      </w:r>
      <w:r>
        <w:t xml:space="preserve">: </w:t>
      </w:r>
      <w:hyperlink r:id="rId14" w:history="1">
        <w:r w:rsidRPr="00A77A14">
          <w:rPr>
            <w:rStyle w:val="Hyperlink"/>
          </w:rPr>
          <w:t>https://www.epa.vic.gov.au/composting-mortalities-farms</w:t>
        </w:r>
      </w:hyperlink>
      <w:r>
        <w:t xml:space="preserve">. </w:t>
      </w:r>
    </w:p>
    <w:p w14:paraId="0C054E2E" w14:textId="77777777" w:rsidR="006827F2" w:rsidRDefault="006827F2">
      <w:pPr>
        <w:spacing w:after="0" w:line="240" w:lineRule="auto"/>
        <w:rPr>
          <w:b/>
          <w:sz w:val="28"/>
          <w:szCs w:val="28"/>
        </w:rPr>
      </w:pPr>
      <w:r>
        <w:br w:type="page"/>
      </w:r>
    </w:p>
    <w:p w14:paraId="76801AB8" w14:textId="20AC45FA" w:rsidR="0052792F" w:rsidRPr="00076FD9" w:rsidRDefault="0052792F" w:rsidP="0052792F">
      <w:pPr>
        <w:pStyle w:val="Heading2"/>
      </w:pPr>
      <w:r w:rsidRPr="00076FD9">
        <w:lastRenderedPageBreak/>
        <w:t>Disposal options</w:t>
      </w:r>
    </w:p>
    <w:p w14:paraId="7F8D0413" w14:textId="77777777" w:rsidR="008549CC" w:rsidRDefault="002F322B" w:rsidP="00B85130">
      <w:pPr>
        <w:pStyle w:val="Heading3"/>
      </w:pPr>
      <w:r w:rsidRPr="00101309">
        <w:t xml:space="preserve">On-farm </w:t>
      </w:r>
    </w:p>
    <w:p w14:paraId="2E0DFF92" w14:textId="2EDB8652" w:rsidR="002F322B" w:rsidRPr="00056935" w:rsidRDefault="008549CC" w:rsidP="00B85130">
      <w:pPr>
        <w:pStyle w:val="Heading4"/>
      </w:pPr>
      <w:r w:rsidRPr="00056935">
        <w:t>B</w:t>
      </w:r>
      <w:r w:rsidR="002F322B" w:rsidRPr="00056935">
        <w:t>urial</w:t>
      </w:r>
    </w:p>
    <w:p w14:paraId="2B8E087F" w14:textId="112CAE0F" w:rsidR="0052792F" w:rsidRDefault="0052792F" w:rsidP="0052792F">
      <w:r w:rsidRPr="00076FD9">
        <w:t xml:space="preserve">On-farm burial is the </w:t>
      </w:r>
      <w:r w:rsidR="002300CC">
        <w:t>most common</w:t>
      </w:r>
      <w:r w:rsidR="002300CC" w:rsidRPr="00076FD9">
        <w:t xml:space="preserve"> </w:t>
      </w:r>
      <w:r w:rsidRPr="00076FD9">
        <w:t xml:space="preserve">method of carcass disposal following bushfire, flood or drought events. </w:t>
      </w:r>
      <w:r w:rsidR="002300CC">
        <w:t>I</w:t>
      </w:r>
      <w:r w:rsidRPr="00076FD9">
        <w:t>t is quick, effective and relatively cheaper than other options</w:t>
      </w:r>
      <w:r w:rsidR="002300CC">
        <w:t>.</w:t>
      </w:r>
      <w:r w:rsidR="000E610B">
        <w:t xml:space="preserve"> </w:t>
      </w:r>
      <w:r w:rsidR="00EA4599">
        <w:t xml:space="preserve">However, </w:t>
      </w:r>
      <w:r w:rsidR="00E332E4">
        <w:t>the</w:t>
      </w:r>
      <w:r w:rsidR="00EA4599">
        <w:t xml:space="preserve"> environment, </w:t>
      </w:r>
      <w:r w:rsidR="007547F6">
        <w:t>environment protection regulations, logistics and safet</w:t>
      </w:r>
      <w:r w:rsidR="00E332E4">
        <w:t>y</w:t>
      </w:r>
      <w:r w:rsidRPr="00076FD9">
        <w:t xml:space="preserve"> need to be considered before initiating burial, particularly if it is significant.</w:t>
      </w:r>
    </w:p>
    <w:p w14:paraId="6E5CC82F" w14:textId="77777777" w:rsidR="00ED1D20" w:rsidRPr="00056935" w:rsidRDefault="00BB737B" w:rsidP="00B85130">
      <w:pPr>
        <w:pStyle w:val="Heading4"/>
      </w:pPr>
      <w:r w:rsidRPr="00056935">
        <w:t xml:space="preserve">Covering with mulch </w:t>
      </w:r>
    </w:p>
    <w:p w14:paraId="50CA16E4" w14:textId="77777777" w:rsidR="00ED1D20" w:rsidRPr="00C10530" w:rsidRDefault="00BB737B" w:rsidP="00C10530">
      <w:r w:rsidRPr="00C10530">
        <w:t xml:space="preserve">If burial is not possible, covering the carcasses with a thick layer of mulch can help to reduce </w:t>
      </w:r>
      <w:proofErr w:type="spellStart"/>
      <w:r w:rsidRPr="00C10530">
        <w:t>odour</w:t>
      </w:r>
      <w:proofErr w:type="spellEnd"/>
      <w:r w:rsidRPr="00C10530">
        <w:t xml:space="preserve"> and the visual impact of the animals. This is a short-term solution which provides time to arrange proper </w:t>
      </w:r>
      <w:proofErr w:type="gramStart"/>
      <w:r w:rsidRPr="00C10530">
        <w:t>disposal</w:t>
      </w:r>
      <w:proofErr w:type="gramEnd"/>
      <w:r w:rsidRPr="00C10530">
        <w:t xml:space="preserve"> but it will not necessarily create </w:t>
      </w:r>
      <w:proofErr w:type="gramStart"/>
      <w:r w:rsidRPr="00C10530">
        <w:t>a fully</w:t>
      </w:r>
      <w:proofErr w:type="gramEnd"/>
      <w:r w:rsidRPr="00C10530">
        <w:t xml:space="preserve"> composted material.</w:t>
      </w:r>
    </w:p>
    <w:p w14:paraId="45592AB5" w14:textId="060A95E1" w:rsidR="00ED1D20" w:rsidRPr="00ED1D20" w:rsidRDefault="00BB737B" w:rsidP="00B85130">
      <w:pPr>
        <w:pStyle w:val="Heading4"/>
      </w:pPr>
      <w:r w:rsidRPr="00056935">
        <w:t xml:space="preserve">Composting </w:t>
      </w:r>
    </w:p>
    <w:p w14:paraId="429F0BAA" w14:textId="77777777" w:rsidR="00D1550D" w:rsidRDefault="00BB737B" w:rsidP="0052792F">
      <w:pPr>
        <w:pStyle w:val="Heading3"/>
        <w:rPr>
          <w:b w:val="0"/>
          <w:bCs/>
        </w:rPr>
      </w:pPr>
      <w:r w:rsidRPr="00056935">
        <w:rPr>
          <w:b w:val="0"/>
          <w:bCs/>
        </w:rPr>
        <w:t xml:space="preserve">Composting deceased livestock with mulch or green waste is a beneficial process that breaks down the carcasses into a useful product. It’s important to </w:t>
      </w:r>
      <w:proofErr w:type="spellStart"/>
      <w:r w:rsidRPr="00056935">
        <w:rPr>
          <w:b w:val="0"/>
          <w:bCs/>
        </w:rPr>
        <w:t>realise</w:t>
      </w:r>
      <w:proofErr w:type="spellEnd"/>
      <w:r w:rsidRPr="00056935">
        <w:rPr>
          <w:b w:val="0"/>
          <w:bCs/>
        </w:rPr>
        <w:t xml:space="preserve"> that composting is an active process, not a set-and-forget method. </w:t>
      </w:r>
    </w:p>
    <w:p w14:paraId="134ECD5E" w14:textId="7E7D0146" w:rsidR="00D1550D" w:rsidRDefault="00BB737B" w:rsidP="0052792F">
      <w:pPr>
        <w:pStyle w:val="Heading3"/>
        <w:rPr>
          <w:b w:val="0"/>
          <w:bCs/>
        </w:rPr>
      </w:pPr>
      <w:r w:rsidRPr="00056935">
        <w:rPr>
          <w:b w:val="0"/>
          <w:bCs/>
        </w:rPr>
        <w:t xml:space="preserve">Information on how to compost safely can be found </w:t>
      </w:r>
      <w:r w:rsidR="00D1550D">
        <w:rPr>
          <w:b w:val="0"/>
          <w:bCs/>
        </w:rPr>
        <w:t>on the Agriculture Victoria website</w:t>
      </w:r>
      <w:r w:rsidR="00CC0932">
        <w:rPr>
          <w:b w:val="0"/>
          <w:bCs/>
        </w:rPr>
        <w:t xml:space="preserve"> at </w:t>
      </w:r>
      <w:hyperlink r:id="rId15" w:history="1">
        <w:r w:rsidR="00CC0932" w:rsidRPr="00CC0932">
          <w:rPr>
            <w:rStyle w:val="Hyperlink"/>
            <w:b w:val="0"/>
            <w:bCs/>
          </w:rPr>
          <w:t>Compost and farm biosecurity | Composting | Soil | Farm management | Agriculture Victoria</w:t>
        </w:r>
      </w:hyperlink>
      <w:r w:rsidR="008A6038">
        <w:rPr>
          <w:b w:val="0"/>
          <w:bCs/>
        </w:rPr>
        <w:t>.</w:t>
      </w:r>
    </w:p>
    <w:p w14:paraId="2AEA9449" w14:textId="1CA6CFB2" w:rsidR="00ED1D20" w:rsidRDefault="00BB737B" w:rsidP="0052792F">
      <w:pPr>
        <w:pStyle w:val="Heading3"/>
        <w:rPr>
          <w:b w:val="0"/>
          <w:bCs/>
        </w:rPr>
      </w:pPr>
      <w:r w:rsidRPr="00056935">
        <w:rPr>
          <w:b w:val="0"/>
          <w:bCs/>
        </w:rPr>
        <w:t>Detailed information about composting dead stock can be found in the EPA’s Composting mortalities on farm guidanc</w:t>
      </w:r>
      <w:r w:rsidR="004B6222">
        <w:rPr>
          <w:b w:val="0"/>
          <w:bCs/>
        </w:rPr>
        <w:t xml:space="preserve">e at </w:t>
      </w:r>
      <w:hyperlink r:id="rId16" w:history="1">
        <w:r w:rsidR="004B6222" w:rsidRPr="004B6222">
          <w:rPr>
            <w:rStyle w:val="Hyperlink"/>
            <w:b w:val="0"/>
            <w:bCs/>
          </w:rPr>
          <w:t>Composting mortalities on farms | epa.vic.gov.au</w:t>
        </w:r>
      </w:hyperlink>
      <w:r w:rsidR="004B6222">
        <w:rPr>
          <w:b w:val="0"/>
          <w:bCs/>
        </w:rPr>
        <w:t>.</w:t>
      </w:r>
    </w:p>
    <w:p w14:paraId="02E8A929" w14:textId="5B40ED00" w:rsidR="0052792F" w:rsidRPr="00076FD9" w:rsidRDefault="00BB737B" w:rsidP="0052792F">
      <w:pPr>
        <w:pStyle w:val="Heading3"/>
      </w:pPr>
      <w:r w:rsidRPr="00056935">
        <w:rPr>
          <w:b w:val="0"/>
          <w:bCs/>
        </w:rPr>
        <w:cr/>
      </w:r>
      <w:r w:rsidR="0052792F" w:rsidRPr="00076FD9">
        <w:t>Knacker</w:t>
      </w:r>
      <w:r w:rsidR="00636D9E">
        <w:t>y</w:t>
      </w:r>
    </w:p>
    <w:p w14:paraId="32AE4623" w14:textId="77777777" w:rsidR="0052792F" w:rsidRPr="00076FD9" w:rsidRDefault="0052792F" w:rsidP="0052792F">
      <w:r w:rsidRPr="00076FD9">
        <w:t xml:space="preserve">Knackeries provide an efficient means of disposing of </w:t>
      </w:r>
      <w:r>
        <w:t>deceased</w:t>
      </w:r>
      <w:r w:rsidRPr="00076FD9">
        <w:t>, unsaleable or suffering livestock. Carcasses can be processed for:</w:t>
      </w:r>
    </w:p>
    <w:p w14:paraId="62C5880E" w14:textId="77777777" w:rsidR="0052792F" w:rsidRPr="009D3997" w:rsidRDefault="0052792F" w:rsidP="0052792F">
      <w:pPr>
        <w:pStyle w:val="ListBullet"/>
      </w:pPr>
      <w:r w:rsidRPr="009D3997">
        <w:t>fresh meat</w:t>
      </w:r>
    </w:p>
    <w:p w14:paraId="4F015BAC" w14:textId="77777777" w:rsidR="0052792F" w:rsidRPr="009D3997" w:rsidRDefault="0052792F" w:rsidP="0052792F">
      <w:pPr>
        <w:pStyle w:val="ListBullet"/>
      </w:pPr>
      <w:r w:rsidRPr="009D3997">
        <w:t>saleable hide</w:t>
      </w:r>
    </w:p>
    <w:p w14:paraId="0226C67B" w14:textId="77777777" w:rsidR="0052792F" w:rsidRPr="009D3997" w:rsidRDefault="0052792F" w:rsidP="0052792F">
      <w:pPr>
        <w:pStyle w:val="ListBullet"/>
      </w:pPr>
      <w:r w:rsidRPr="009D3997">
        <w:t>offal.</w:t>
      </w:r>
    </w:p>
    <w:p w14:paraId="24990CDD" w14:textId="77777777" w:rsidR="0052792F" w:rsidRPr="00076FD9" w:rsidRDefault="0052792F" w:rsidP="00E332E4">
      <w:pPr>
        <w:spacing w:before="120"/>
      </w:pPr>
      <w:r w:rsidRPr="00076FD9">
        <w:t>For commercial reasons, knackeries prefer to process larger animals such as cattle and horses. Knackeries may pick up sheep carcasses, but this is usually as a service and generally only in small numbers.</w:t>
      </w:r>
    </w:p>
    <w:p w14:paraId="1E8F4C43" w14:textId="77777777" w:rsidR="0052792F" w:rsidRPr="00076FD9" w:rsidRDefault="0052792F" w:rsidP="0052792F">
      <w:r w:rsidRPr="00076FD9">
        <w:t>It is unlikely that knackeries will accept moderate to severely burnt livestock.</w:t>
      </w:r>
    </w:p>
    <w:p w14:paraId="7A6D65E0" w14:textId="77777777" w:rsidR="0052792F" w:rsidRPr="00076FD9" w:rsidRDefault="0052792F" w:rsidP="0052792F">
      <w:pPr>
        <w:pStyle w:val="Heading3"/>
      </w:pPr>
      <w:r w:rsidRPr="00076FD9">
        <w:lastRenderedPageBreak/>
        <w:t>Rendering</w:t>
      </w:r>
    </w:p>
    <w:p w14:paraId="51EA43C7" w14:textId="554BC442" w:rsidR="0052792F" w:rsidRPr="00076FD9" w:rsidRDefault="0052792F" w:rsidP="0052792F">
      <w:r w:rsidRPr="00076FD9">
        <w:t>Rendering is an effective method of converting animal carcasses into saleable products such as meat</w:t>
      </w:r>
      <w:r w:rsidR="5F40338B">
        <w:t>,</w:t>
      </w:r>
      <w:r w:rsidRPr="00076FD9">
        <w:t xml:space="preserve"> bone meal, and tallow. Rendering plants are located throughout Victoria and some have the capacity to process large volumes of animal material.</w:t>
      </w:r>
    </w:p>
    <w:p w14:paraId="2336F772" w14:textId="77777777" w:rsidR="0052792F" w:rsidRPr="00076FD9" w:rsidRDefault="0052792F" w:rsidP="0052792F">
      <w:r w:rsidRPr="00076FD9">
        <w:t>The practicality of using rendering as a disposal method may be limited by:</w:t>
      </w:r>
    </w:p>
    <w:p w14:paraId="0EBF9534" w14:textId="77777777" w:rsidR="0052792F" w:rsidRPr="00076FD9" w:rsidRDefault="0052792F" w:rsidP="0052792F">
      <w:pPr>
        <w:pStyle w:val="ListBullet"/>
      </w:pPr>
      <w:r w:rsidRPr="00076FD9">
        <w:t>rendering companies' willingness to receive product</w:t>
      </w:r>
    </w:p>
    <w:p w14:paraId="66CB95A0" w14:textId="77777777" w:rsidR="0052792F" w:rsidRPr="00076FD9" w:rsidRDefault="0052792F" w:rsidP="0052792F">
      <w:pPr>
        <w:pStyle w:val="ListBullet"/>
      </w:pPr>
      <w:r w:rsidRPr="00076FD9">
        <w:t>suitability of product (such as degree of burns, decomposition, emaciated stock, amount of wool)</w:t>
      </w:r>
    </w:p>
    <w:p w14:paraId="2B37FBA2" w14:textId="77777777" w:rsidR="0052792F" w:rsidRPr="00076FD9" w:rsidRDefault="0052792F" w:rsidP="0052792F">
      <w:pPr>
        <w:pStyle w:val="ListBullet"/>
      </w:pPr>
      <w:r w:rsidRPr="00076FD9">
        <w:t>plant capacity</w:t>
      </w:r>
    </w:p>
    <w:p w14:paraId="1DBD4DE5" w14:textId="77777777" w:rsidR="0052792F" w:rsidRDefault="0052792F" w:rsidP="0052792F">
      <w:pPr>
        <w:pStyle w:val="ListBullet"/>
      </w:pPr>
      <w:r w:rsidRPr="00076FD9">
        <w:t>cost of transport.</w:t>
      </w:r>
    </w:p>
    <w:p w14:paraId="02620E15" w14:textId="77777777" w:rsidR="0052792F" w:rsidRPr="00076FD9" w:rsidRDefault="0052792F" w:rsidP="0052792F">
      <w:pPr>
        <w:pStyle w:val="Heading3"/>
      </w:pPr>
      <w:r w:rsidRPr="00076FD9">
        <w:t>Licensed landfill</w:t>
      </w:r>
    </w:p>
    <w:p w14:paraId="06C2DE79" w14:textId="77ABF001" w:rsidR="0052792F" w:rsidRPr="00076FD9" w:rsidRDefault="0052792F" w:rsidP="0052792F">
      <w:r w:rsidRPr="00076FD9">
        <w:t xml:space="preserve">Disposing of carcasses to licensed </w:t>
      </w:r>
      <w:r>
        <w:t>landfill</w:t>
      </w:r>
      <w:r w:rsidR="73063D03">
        <w:t>s</w:t>
      </w:r>
      <w:r w:rsidRPr="00076FD9">
        <w:t xml:space="preserve"> is an acceptable and effective option for agricultural emergencies.</w:t>
      </w:r>
    </w:p>
    <w:p w14:paraId="7CDD8D31" w14:textId="77777777" w:rsidR="0052792F" w:rsidRPr="00076FD9" w:rsidRDefault="0052792F" w:rsidP="0052792F">
      <w:r w:rsidRPr="00076FD9">
        <w:t>The advantage of landfill is that it may already be licensed to accept animal materials (putrescible waste) and generally has the existing infrastructure to manage long-term containment issues (such as leachate, gas, security).</w:t>
      </w:r>
    </w:p>
    <w:p w14:paraId="5A7E7B57" w14:textId="07A64AAD" w:rsidR="0052792F" w:rsidRPr="00076FD9" w:rsidRDefault="0052792F" w:rsidP="0052792F">
      <w:r w:rsidRPr="00076FD9">
        <w:t xml:space="preserve">Another advantage of </w:t>
      </w:r>
      <w:r>
        <w:t>landfill</w:t>
      </w:r>
      <w:r w:rsidR="558E6BFF">
        <w:t>s</w:t>
      </w:r>
      <w:r w:rsidRPr="00076FD9">
        <w:t xml:space="preserve"> is that many sites are owned by local government and may already be identified as potential disposal sites under Municipal Emergency Management Plans.</w:t>
      </w:r>
    </w:p>
    <w:p w14:paraId="414E8E66" w14:textId="69710DE0" w:rsidR="0052792F" w:rsidRPr="00076FD9" w:rsidRDefault="002F1697" w:rsidP="00101309">
      <w:pPr>
        <w:pStyle w:val="Heading2"/>
      </w:pPr>
      <w:r>
        <w:t>Plan your o</w:t>
      </w:r>
      <w:r w:rsidRPr="00076FD9">
        <w:t>n</w:t>
      </w:r>
      <w:r w:rsidR="0052792F" w:rsidRPr="00076FD9">
        <w:t>-farm burial</w:t>
      </w:r>
    </w:p>
    <w:p w14:paraId="7DB9B811" w14:textId="77777777" w:rsidR="0052792F" w:rsidRPr="00076FD9" w:rsidRDefault="0052792F" w:rsidP="0052792F">
      <w:r w:rsidRPr="00076FD9">
        <w:t>When planning for on-farm burial there are many factors that must be considered. These include:</w:t>
      </w:r>
    </w:p>
    <w:p w14:paraId="58D75C49" w14:textId="77777777" w:rsidR="0052792F" w:rsidRPr="0052792F" w:rsidRDefault="0052792F" w:rsidP="0052792F">
      <w:pPr>
        <w:pStyle w:val="ListBullet"/>
      </w:pPr>
      <w:r w:rsidRPr="0052792F">
        <w:t>the environment</w:t>
      </w:r>
    </w:p>
    <w:p w14:paraId="58FC3CF3" w14:textId="312E40D6" w:rsidR="0052792F" w:rsidRPr="0052792F" w:rsidRDefault="45A162EF" w:rsidP="0052792F">
      <w:pPr>
        <w:pStyle w:val="ListBullet"/>
      </w:pPr>
      <w:r>
        <w:t>environment protection regulations</w:t>
      </w:r>
    </w:p>
    <w:p w14:paraId="5FBB2DB6" w14:textId="77777777" w:rsidR="0052792F" w:rsidRPr="0052792F" w:rsidRDefault="0052792F" w:rsidP="0052792F">
      <w:pPr>
        <w:pStyle w:val="ListBullet"/>
      </w:pPr>
      <w:r w:rsidRPr="0052792F">
        <w:t>logistics</w:t>
      </w:r>
    </w:p>
    <w:p w14:paraId="2AD58D7D" w14:textId="77777777" w:rsidR="0052792F" w:rsidRPr="0052792F" w:rsidRDefault="0052792F" w:rsidP="0052792F">
      <w:pPr>
        <w:pStyle w:val="ListBullet"/>
      </w:pPr>
      <w:r w:rsidRPr="0052792F">
        <w:t>safety.</w:t>
      </w:r>
    </w:p>
    <w:p w14:paraId="5DA1BD3D" w14:textId="51CC8D72" w:rsidR="0052792F" w:rsidRPr="00076FD9" w:rsidRDefault="0052792F" w:rsidP="00E332E4">
      <w:pPr>
        <w:spacing w:before="360"/>
      </w:pPr>
      <w:r w:rsidRPr="00076FD9">
        <w:t>To reduce any impact on the environment</w:t>
      </w:r>
      <w:r>
        <w:t xml:space="preserve"> (e.g. contamination of ground or surface water)</w:t>
      </w:r>
      <w:r w:rsidRPr="00076FD9">
        <w:t>, a burial site should be located:</w:t>
      </w:r>
    </w:p>
    <w:p w14:paraId="20E5BC48" w14:textId="2B5D8798" w:rsidR="0052792F" w:rsidRPr="009D3997" w:rsidRDefault="0052792F" w:rsidP="0052792F">
      <w:pPr>
        <w:pStyle w:val="ListBullet"/>
      </w:pPr>
      <w:r w:rsidRPr="009D3997">
        <w:t>at least 200</w:t>
      </w:r>
      <w:r w:rsidR="00F348BA">
        <w:t xml:space="preserve"> </w:t>
      </w:r>
      <w:r w:rsidRPr="009D3997">
        <w:t>m from any groundwater supply (stock and domestic bore)</w:t>
      </w:r>
    </w:p>
    <w:p w14:paraId="2874D7F2" w14:textId="3E278B64" w:rsidR="0052792F" w:rsidRPr="009D3997" w:rsidRDefault="0052792F" w:rsidP="0052792F">
      <w:pPr>
        <w:pStyle w:val="ListBullet"/>
      </w:pPr>
      <w:r w:rsidRPr="009D3997">
        <w:t>at least 2</w:t>
      </w:r>
      <w:r w:rsidR="00F348BA">
        <w:t xml:space="preserve"> </w:t>
      </w:r>
      <w:r w:rsidRPr="009D3997">
        <w:t>m above the water table level (measured from the bottom of the pit)</w:t>
      </w:r>
    </w:p>
    <w:p w14:paraId="258D24D3" w14:textId="7C63030F" w:rsidR="0052792F" w:rsidRPr="009D3997" w:rsidRDefault="0052792F" w:rsidP="0052792F">
      <w:pPr>
        <w:pStyle w:val="ListBullet"/>
      </w:pPr>
      <w:r w:rsidRPr="009D3997">
        <w:t>at least 200</w:t>
      </w:r>
      <w:r w:rsidR="00F348BA">
        <w:t xml:space="preserve"> </w:t>
      </w:r>
      <w:r w:rsidRPr="009D3997">
        <w:t>m from any surface water (creek, river, lake or spring), excluding dams that are not seeping into groundwater or flowing offsite</w:t>
      </w:r>
    </w:p>
    <w:p w14:paraId="32CA7830" w14:textId="77777777" w:rsidR="0052792F" w:rsidRPr="009D3997" w:rsidRDefault="0052792F" w:rsidP="0052792F">
      <w:pPr>
        <w:pStyle w:val="ListBullet"/>
      </w:pPr>
      <w:r w:rsidRPr="009D3997">
        <w:t>away from surface water drainage features, low points or areas at risk of erosion</w:t>
      </w:r>
    </w:p>
    <w:p w14:paraId="1C71927F" w14:textId="77777777" w:rsidR="0052792F" w:rsidRPr="009D3997" w:rsidRDefault="0052792F" w:rsidP="0052792F">
      <w:pPr>
        <w:pStyle w:val="ListBullet"/>
      </w:pPr>
      <w:r w:rsidRPr="009D3997">
        <w:t>on clay soil of low permeability and good stability</w:t>
      </w:r>
    </w:p>
    <w:p w14:paraId="4C0DC96F" w14:textId="77777777" w:rsidR="0052792F" w:rsidRPr="009D3997" w:rsidRDefault="0052792F" w:rsidP="0052792F">
      <w:pPr>
        <w:pStyle w:val="ListBullet"/>
      </w:pPr>
      <w:r w:rsidRPr="009D3997">
        <w:lastRenderedPageBreak/>
        <w:t xml:space="preserve">away from underground and above-ground infrastructure (such as powerlines, telephone and </w:t>
      </w:r>
      <w:proofErr w:type="spellStart"/>
      <w:r w:rsidRPr="009D3997">
        <w:t>fibre</w:t>
      </w:r>
      <w:proofErr w:type="spellEnd"/>
      <w:r w:rsidRPr="009D3997">
        <w:t xml:space="preserve"> optic lines, gas lines, waterpipes or sewerage)</w:t>
      </w:r>
    </w:p>
    <w:p w14:paraId="47F5831C" w14:textId="77777777" w:rsidR="0052792F" w:rsidRPr="009D3997" w:rsidRDefault="0052792F" w:rsidP="0052792F">
      <w:pPr>
        <w:pStyle w:val="ListBullet"/>
      </w:pPr>
      <w:r w:rsidRPr="009D3997">
        <w:t>above the one in 100-year flood level</w:t>
      </w:r>
    </w:p>
    <w:p w14:paraId="30B3B692" w14:textId="0E1B4583" w:rsidR="0052792F" w:rsidRPr="009D3997" w:rsidRDefault="0052792F" w:rsidP="0052792F">
      <w:pPr>
        <w:pStyle w:val="ListBullet"/>
      </w:pPr>
      <w:r w:rsidRPr="009D3997">
        <w:t>at least 200</w:t>
      </w:r>
      <w:r w:rsidR="00F348BA">
        <w:t xml:space="preserve"> </w:t>
      </w:r>
      <w:r w:rsidRPr="009D3997">
        <w:t>m from another burial area</w:t>
      </w:r>
    </w:p>
    <w:p w14:paraId="796FBA01" w14:textId="77777777" w:rsidR="0052792F" w:rsidRPr="009D3997" w:rsidRDefault="0052792F" w:rsidP="0052792F">
      <w:pPr>
        <w:pStyle w:val="ListBullet"/>
      </w:pPr>
      <w:r w:rsidRPr="009D3997">
        <w:t>on elevated land but with a slope of less than 5% (preferably less than 2%)</w:t>
      </w:r>
    </w:p>
    <w:p w14:paraId="4E3FB6B1" w14:textId="77777777" w:rsidR="0052792F" w:rsidRPr="009D3997" w:rsidRDefault="0052792F" w:rsidP="0052792F">
      <w:pPr>
        <w:pStyle w:val="ListBullet"/>
      </w:pPr>
      <w:r w:rsidRPr="009D3997">
        <w:t>away from conservation areas and areas of cultural sensitivity</w:t>
      </w:r>
    </w:p>
    <w:p w14:paraId="7D508794" w14:textId="47465F52" w:rsidR="0052792F" w:rsidRPr="009D3997" w:rsidRDefault="0052792F" w:rsidP="0052792F">
      <w:pPr>
        <w:pStyle w:val="ListBullet"/>
      </w:pPr>
      <w:r w:rsidRPr="009D3997">
        <w:t>at least 20</w:t>
      </w:r>
      <w:r w:rsidR="00F348BA">
        <w:t xml:space="preserve"> </w:t>
      </w:r>
      <w:r w:rsidRPr="009D3997">
        <w:t xml:space="preserve">0m from the boundary of </w:t>
      </w:r>
      <w:proofErr w:type="spellStart"/>
      <w:r w:rsidRPr="009D3997">
        <w:t>neighbouring</w:t>
      </w:r>
      <w:proofErr w:type="spellEnd"/>
      <w:r w:rsidRPr="009D3997">
        <w:t xml:space="preserve"> privately owned land</w:t>
      </w:r>
    </w:p>
    <w:p w14:paraId="156E2C75" w14:textId="71C3B77C" w:rsidR="0052792F" w:rsidRPr="009D3997" w:rsidRDefault="0052792F" w:rsidP="00E332E4">
      <w:pPr>
        <w:pStyle w:val="ListBullet"/>
      </w:pPr>
      <w:r w:rsidRPr="009D3997">
        <w:t>at least 300</w:t>
      </w:r>
      <w:r w:rsidR="00F348BA">
        <w:t xml:space="preserve"> </w:t>
      </w:r>
      <w:r w:rsidRPr="009D3997">
        <w:t>m from any sensitive use (</w:t>
      </w:r>
      <w:r w:rsidRPr="00E332E4">
        <w:t>such</w:t>
      </w:r>
      <w:r w:rsidRPr="009D3997">
        <w:t xml:space="preserve"> as a </w:t>
      </w:r>
      <w:proofErr w:type="spellStart"/>
      <w:r w:rsidRPr="009D3997">
        <w:t>neighbouring</w:t>
      </w:r>
      <w:proofErr w:type="spellEnd"/>
      <w:r w:rsidRPr="009D3997">
        <w:t xml:space="preserve"> house)</w:t>
      </w:r>
    </w:p>
    <w:p w14:paraId="3EAC495D" w14:textId="77777777" w:rsidR="0052792F" w:rsidRPr="009D3997" w:rsidRDefault="0052792F" w:rsidP="0052792F">
      <w:pPr>
        <w:pStyle w:val="ListBullet"/>
      </w:pPr>
      <w:r w:rsidRPr="009D3997">
        <w:t>out of view of the public (by either being far away from public areas or by screening).</w:t>
      </w:r>
    </w:p>
    <w:p w14:paraId="72874BD9" w14:textId="09844E33" w:rsidR="0052792F" w:rsidRPr="00076FD9" w:rsidRDefault="0052792F" w:rsidP="00E332E4">
      <w:pPr>
        <w:spacing w:before="360"/>
      </w:pPr>
      <w:r w:rsidRPr="00076FD9">
        <w:t>Operators should also:</w:t>
      </w:r>
    </w:p>
    <w:p w14:paraId="4B75C695" w14:textId="77777777" w:rsidR="0052792F" w:rsidRPr="009D3997" w:rsidRDefault="0052792F" w:rsidP="0052792F">
      <w:pPr>
        <w:pStyle w:val="ListBullet"/>
      </w:pPr>
      <w:r w:rsidRPr="009D3997">
        <w:t xml:space="preserve">cover carcasses with at least one </w:t>
      </w:r>
      <w:proofErr w:type="spellStart"/>
      <w:r w:rsidRPr="009D3997">
        <w:t>metre</w:t>
      </w:r>
      <w:proofErr w:type="spellEnd"/>
      <w:r w:rsidRPr="009D3997">
        <w:t xml:space="preserve"> of soil</w:t>
      </w:r>
    </w:p>
    <w:p w14:paraId="00501AA0" w14:textId="77777777" w:rsidR="0052792F" w:rsidRPr="009D3997" w:rsidRDefault="0052792F" w:rsidP="0052792F">
      <w:pPr>
        <w:pStyle w:val="ListBullet"/>
      </w:pPr>
      <w:r w:rsidRPr="009D3997">
        <w:t>slightly mound pits after backfilling to allow for subsidence and promote runoff rather than infiltration</w:t>
      </w:r>
    </w:p>
    <w:p w14:paraId="1C1A0D19" w14:textId="77777777" w:rsidR="0052792F" w:rsidRPr="009D3997" w:rsidRDefault="0052792F" w:rsidP="0052792F">
      <w:pPr>
        <w:pStyle w:val="ListBullet"/>
      </w:pPr>
      <w:r w:rsidRPr="009D3997">
        <w:t>where necessary, excavate cut-off drains upslope of the burial pits to direct surface run-off away from the pits</w:t>
      </w:r>
    </w:p>
    <w:p w14:paraId="2E752890" w14:textId="77777777" w:rsidR="0052792F" w:rsidRPr="009D3997" w:rsidRDefault="0052792F" w:rsidP="0052792F">
      <w:pPr>
        <w:pStyle w:val="ListBullet"/>
      </w:pPr>
      <w:r w:rsidRPr="009D3997">
        <w:t>where possible, plan destruction activities close to burial site</w:t>
      </w:r>
    </w:p>
    <w:p w14:paraId="5FA1F22E" w14:textId="77777777" w:rsidR="0052792F" w:rsidRPr="009D3997" w:rsidRDefault="0052792F" w:rsidP="0052792F">
      <w:pPr>
        <w:pStyle w:val="ListBullet"/>
      </w:pPr>
      <w:r w:rsidRPr="009D3997">
        <w:t xml:space="preserve">have good, safe access to </w:t>
      </w:r>
      <w:proofErr w:type="gramStart"/>
      <w:r w:rsidRPr="009D3997">
        <w:t>site</w:t>
      </w:r>
      <w:proofErr w:type="gramEnd"/>
      <w:r w:rsidRPr="009D3997">
        <w:t xml:space="preserve"> for machinery.</w:t>
      </w:r>
    </w:p>
    <w:p w14:paraId="62D4AEB1" w14:textId="33B8C0E3" w:rsidR="0052792F" w:rsidRPr="009D3997" w:rsidRDefault="0052792F" w:rsidP="00E332E4">
      <w:pPr>
        <w:spacing w:before="360"/>
      </w:pPr>
      <w:r w:rsidRPr="009D3997">
        <w:t>Other important factors that must be considered are:</w:t>
      </w:r>
    </w:p>
    <w:p w14:paraId="143EB04B" w14:textId="77777777" w:rsidR="0052792F" w:rsidRPr="009D3997" w:rsidRDefault="0052792F" w:rsidP="0052792F">
      <w:pPr>
        <w:pStyle w:val="ListBullet"/>
      </w:pPr>
      <w:r w:rsidRPr="009D3997">
        <w:t>monitoring programs (if required by EPA)</w:t>
      </w:r>
    </w:p>
    <w:p w14:paraId="43FDE79E" w14:textId="77777777" w:rsidR="0052792F" w:rsidRPr="009D3997" w:rsidRDefault="0052792F" w:rsidP="0052792F">
      <w:pPr>
        <w:pStyle w:val="ListBullet"/>
      </w:pPr>
      <w:r w:rsidRPr="009D3997">
        <w:t>leachate and gas management (if required by EPA)</w:t>
      </w:r>
    </w:p>
    <w:p w14:paraId="7EAB5EFA" w14:textId="77777777" w:rsidR="0052792F" w:rsidRPr="009D3997" w:rsidRDefault="0052792F" w:rsidP="0052792F">
      <w:pPr>
        <w:pStyle w:val="ListBullet"/>
      </w:pPr>
      <w:r w:rsidRPr="009D3997">
        <w:t>use of synthetic liners in pits (if required by EPA)</w:t>
      </w:r>
    </w:p>
    <w:p w14:paraId="0F67A112" w14:textId="77777777" w:rsidR="0052792F" w:rsidRPr="009D3997" w:rsidRDefault="0052792F" w:rsidP="0052792F">
      <w:pPr>
        <w:pStyle w:val="ListBullet"/>
      </w:pPr>
      <w:r w:rsidRPr="009D3997">
        <w:t>native flora and fauna planning controls, heritage overlays, native title and covenants.</w:t>
      </w:r>
    </w:p>
    <w:p w14:paraId="159AF9F2" w14:textId="77777777" w:rsidR="0052792F" w:rsidRPr="00076FD9" w:rsidRDefault="0052792F" w:rsidP="0052792F">
      <w:r w:rsidRPr="00076FD9">
        <w:t>Final site selection usually involves the agreed best outcome after consultation with relevant agencies and a risk assessment of all factors.</w:t>
      </w:r>
    </w:p>
    <w:p w14:paraId="4F392690" w14:textId="0FF5C99B" w:rsidR="00174927" w:rsidRDefault="0052792F" w:rsidP="0052792F">
      <w:pPr>
        <w:pStyle w:val="Heading2"/>
      </w:pPr>
      <w:r w:rsidRPr="00076FD9">
        <w:t xml:space="preserve">Burial site </w:t>
      </w:r>
      <w:r w:rsidR="0069639B">
        <w:t>requirements</w:t>
      </w:r>
    </w:p>
    <w:p w14:paraId="75737A8C" w14:textId="28E6994B" w:rsidR="0052792F" w:rsidRPr="00101309" w:rsidRDefault="00174927" w:rsidP="00B85130">
      <w:pPr>
        <w:pStyle w:val="Heading3"/>
      </w:pPr>
      <w:r w:rsidRPr="00101309">
        <w:t>A</w:t>
      </w:r>
      <w:r w:rsidR="0052792F" w:rsidRPr="00101309">
        <w:t>ssessment</w:t>
      </w:r>
    </w:p>
    <w:p w14:paraId="6A31518E" w14:textId="06FAB195" w:rsidR="0052792F" w:rsidRPr="00076FD9" w:rsidRDefault="0052792F" w:rsidP="0052792F">
      <w:r>
        <w:t xml:space="preserve">A </w:t>
      </w:r>
      <w:r w:rsidR="565CA636">
        <w:t>large</w:t>
      </w:r>
      <w:r w:rsidRPr="00076FD9">
        <w:t xml:space="preserve"> potential burial site should be assessed for suitability by an EPA representative</w:t>
      </w:r>
      <w:r>
        <w:t xml:space="preserve"> to </w:t>
      </w:r>
      <w:proofErr w:type="spellStart"/>
      <w:r>
        <w:t>minimise</w:t>
      </w:r>
      <w:proofErr w:type="spellEnd"/>
      <w:r>
        <w:t xml:space="preserve"> its potential environmental impact</w:t>
      </w:r>
      <w:r w:rsidRPr="00076FD9">
        <w:t>. In a bushfire response an on-site assessment may not be practical</w:t>
      </w:r>
      <w:r>
        <w:t xml:space="preserve">. Provide the </w:t>
      </w:r>
      <w:proofErr w:type="gramStart"/>
      <w:r>
        <w:t>EPA</w:t>
      </w:r>
      <w:proofErr w:type="gramEnd"/>
      <w:r>
        <w:t xml:space="preserve"> the property address, number and type of livestock (e.g. sheep or cattle)</w:t>
      </w:r>
      <w:r w:rsidRPr="00076FD9">
        <w:t xml:space="preserve">, </w:t>
      </w:r>
      <w:r>
        <w:t xml:space="preserve">and the </w:t>
      </w:r>
      <w:r w:rsidRPr="00076FD9">
        <w:t>proposed burial pit location</w:t>
      </w:r>
      <w:r>
        <w:t xml:space="preserve">. </w:t>
      </w:r>
      <w:r w:rsidRPr="00076FD9">
        <w:t>The location of each disposal site should be recorded for future reference using a global positioning system (GPS)</w:t>
      </w:r>
      <w:r>
        <w:t xml:space="preserve"> and/or a </w:t>
      </w:r>
      <w:r w:rsidRPr="00076FD9">
        <w:t xml:space="preserve">drawn on a farm </w:t>
      </w:r>
      <w:r w:rsidRPr="0052792F">
        <w:t>map.</w:t>
      </w:r>
    </w:p>
    <w:p w14:paraId="0112A8CE" w14:textId="5A2F465D" w:rsidR="0052792F" w:rsidRDefault="0052792F" w:rsidP="0052792F">
      <w:r w:rsidRPr="00076FD9">
        <w:t>The Navigating Farm Development Tool</w:t>
      </w:r>
      <w:r w:rsidR="006463E8">
        <w:t xml:space="preserve"> </w:t>
      </w:r>
      <w:r>
        <w:t>(</w:t>
      </w:r>
      <w:hyperlink r:id="rId17">
        <w:r w:rsidRPr="5549B409">
          <w:rPr>
            <w:rStyle w:val="Hyperlink"/>
          </w:rPr>
          <w:t>https://developments.agriculture.vic.gov.au/NFD/index</w:t>
        </w:r>
      </w:hyperlink>
      <w:r>
        <w:t>)</w:t>
      </w:r>
      <w:r w:rsidR="006463E8">
        <w:t xml:space="preserve"> </w:t>
      </w:r>
      <w:r w:rsidRPr="00076FD9">
        <w:t xml:space="preserve">can assist you to determine a suitable </w:t>
      </w:r>
      <w:r w:rsidRPr="00076FD9">
        <w:lastRenderedPageBreak/>
        <w:t xml:space="preserve">burial pit location in line with the burial criteria. Although </w:t>
      </w:r>
      <w:r>
        <w:t xml:space="preserve">this tool is </w:t>
      </w:r>
      <w:r w:rsidRPr="00076FD9">
        <w:t xml:space="preserve">designed for an emergency animal disease event, the burial criteria </w:t>
      </w:r>
      <w:bookmarkStart w:id="3" w:name="_Int_wsLhSmay"/>
      <w:proofErr w:type="gramStart"/>
      <w:r>
        <w:t>is</w:t>
      </w:r>
      <w:bookmarkEnd w:id="3"/>
      <w:proofErr w:type="gramEnd"/>
      <w:r w:rsidRPr="00076FD9">
        <w:t xml:space="preserve"> the same</w:t>
      </w:r>
      <w:r>
        <w:t xml:space="preserve"> for bushfire, flood and drought</w:t>
      </w:r>
      <w:r w:rsidRPr="00076FD9">
        <w:t>.</w:t>
      </w:r>
    </w:p>
    <w:p w14:paraId="43E28FBF" w14:textId="77777777" w:rsidR="0052792F" w:rsidRPr="00172CD0" w:rsidRDefault="0052792F" w:rsidP="0052792F">
      <w:pPr>
        <w:pStyle w:val="Heading3"/>
      </w:pPr>
      <w:r w:rsidRPr="00172CD0">
        <w:t>Preparation</w:t>
      </w:r>
    </w:p>
    <w:p w14:paraId="65B172F8" w14:textId="77777777" w:rsidR="0052792F" w:rsidRPr="000D5ADB" w:rsidRDefault="0052792F" w:rsidP="0052792F">
      <w:pPr>
        <w:rPr>
          <w:lang w:eastAsia="en-AU"/>
        </w:rPr>
      </w:pPr>
      <w:r w:rsidRPr="000D5ADB">
        <w:rPr>
          <w:lang w:eastAsia="en-AU"/>
        </w:rPr>
        <w:t xml:space="preserve">Animal carcasses should be moved to the intended burial site as soon as possible. A front-end loader and bucket </w:t>
      </w:r>
      <w:bookmarkStart w:id="4" w:name="_Int_fz8IYMe2"/>
      <w:proofErr w:type="gramStart"/>
      <w:r w:rsidRPr="000D5ADB">
        <w:rPr>
          <w:lang w:eastAsia="en-AU"/>
        </w:rPr>
        <w:t>is</w:t>
      </w:r>
      <w:bookmarkEnd w:id="4"/>
      <w:proofErr w:type="gramEnd"/>
      <w:r w:rsidRPr="000D5ADB">
        <w:rPr>
          <w:lang w:eastAsia="en-AU"/>
        </w:rPr>
        <w:t xml:space="preserve"> suitable for moving sheep and similar-sized animals. Large animals (horses, bulls) are more readily moved with a 4-tyne hay fork or silage grab attachment if available. </w:t>
      </w:r>
    </w:p>
    <w:p w14:paraId="63947E91" w14:textId="77777777" w:rsidR="0052792F" w:rsidRPr="00076FD9" w:rsidRDefault="0052792F" w:rsidP="0052792F">
      <w:pPr>
        <w:pStyle w:val="Heading3"/>
      </w:pPr>
      <w:r w:rsidRPr="00076FD9">
        <w:t>Pit construction</w:t>
      </w:r>
    </w:p>
    <w:p w14:paraId="52C85EC9" w14:textId="77777777" w:rsidR="0052792F" w:rsidRPr="00076FD9" w:rsidRDefault="0052792F" w:rsidP="0052792F">
      <w:r>
        <w:t>C</w:t>
      </w:r>
      <w:r w:rsidRPr="00076FD9">
        <w:t>onstruct a deep, narrow, vertically sided pit</w:t>
      </w:r>
      <w:r>
        <w:t>. This is called</w:t>
      </w:r>
      <w:r w:rsidRPr="00076FD9">
        <w:t xml:space="preserve"> </w:t>
      </w:r>
      <w:bookmarkStart w:id="5" w:name="_Int_eWMHeutG"/>
      <w:r w:rsidRPr="00076FD9">
        <w:t>trench</w:t>
      </w:r>
      <w:bookmarkEnd w:id="5"/>
      <w:r w:rsidRPr="00076FD9">
        <w:t xml:space="preserve"> burial</w:t>
      </w:r>
      <w:r>
        <w:t>. It is suitable for stable soil</w:t>
      </w:r>
      <w:r w:rsidRPr="00076FD9">
        <w:t>.</w:t>
      </w:r>
    </w:p>
    <w:p w14:paraId="6BE92440" w14:textId="77777777" w:rsidR="0052792F" w:rsidRPr="00076FD9" w:rsidRDefault="0052792F" w:rsidP="0052792F">
      <w:r>
        <w:t>If</w:t>
      </w:r>
      <w:r w:rsidRPr="00076FD9">
        <w:t xml:space="preserve"> soil stability is of concern, </w:t>
      </w:r>
      <w:r>
        <w:t xml:space="preserve">use </w:t>
      </w:r>
      <w:r w:rsidRPr="00076FD9">
        <w:t xml:space="preserve">a battered </w:t>
      </w:r>
      <w:r>
        <w:t xml:space="preserve">pit </w:t>
      </w:r>
      <w:r w:rsidRPr="00076FD9">
        <w:t>design to enhance operator safety. WorkSafe Victoria </w:t>
      </w:r>
      <w:r>
        <w:t>(</w:t>
      </w:r>
      <w:hyperlink r:id="rId18">
        <w:r w:rsidRPr="5549B409">
          <w:rPr>
            <w:rStyle w:val="Hyperlink"/>
          </w:rPr>
          <w:t>https://www.worksafe.vic.gov.au/</w:t>
        </w:r>
      </w:hyperlink>
      <w:r>
        <w:t xml:space="preserve">) </w:t>
      </w:r>
      <w:r w:rsidRPr="00076FD9">
        <w:t xml:space="preserve">can </w:t>
      </w:r>
      <w:bookmarkStart w:id="6" w:name="_Int_Xtq3Gaas"/>
      <w:r w:rsidRPr="00076FD9">
        <w:t>provide</w:t>
      </w:r>
      <w:bookmarkEnd w:id="6"/>
      <w:r w:rsidRPr="00076FD9">
        <w:t xml:space="preserve"> information on safety precautions for emergency trenching operations.</w:t>
      </w:r>
    </w:p>
    <w:p w14:paraId="6A20A648" w14:textId="77777777" w:rsidR="0052792F" w:rsidRDefault="0052792F" w:rsidP="0052792F">
      <w:r w:rsidRPr="00076FD9">
        <w:t xml:space="preserve">The preferred equipment for constructing this type of pit is an excavator. During construction, topsoil should be separated from subsoil for later return to the top during pit closure. Excavated material should be stored along one side or at the </w:t>
      </w:r>
      <w:bookmarkStart w:id="7" w:name="_Int_89JKlPcE"/>
      <w:r w:rsidRPr="00076FD9">
        <w:t>ends</w:t>
      </w:r>
      <w:bookmarkEnd w:id="7"/>
      <w:r w:rsidRPr="00076FD9">
        <w:t xml:space="preserve"> of the pit, depending on the operation. Surplus soil should be heaped as </w:t>
      </w:r>
      <w:bookmarkStart w:id="8" w:name="_Int_96KHuqu2"/>
      <w:r w:rsidRPr="00076FD9">
        <w:t>overfill</w:t>
      </w:r>
      <w:bookmarkEnd w:id="8"/>
      <w:r w:rsidRPr="00076FD9">
        <w:t>.</w:t>
      </w:r>
    </w:p>
    <w:p w14:paraId="0197FBBD" w14:textId="77777777" w:rsidR="0052792F" w:rsidRDefault="0052792F" w:rsidP="0052792F">
      <w:pPr>
        <w:pStyle w:val="Heading3"/>
      </w:pPr>
      <w:r w:rsidRPr="00076FD9">
        <w:t>Pit dimensions</w:t>
      </w:r>
    </w:p>
    <w:p w14:paraId="3EA1447F" w14:textId="77777777" w:rsidR="0052792F" w:rsidRPr="00076FD9" w:rsidRDefault="0052792F" w:rsidP="0052792F">
      <w:r>
        <w:t>Consider</w:t>
      </w:r>
      <w:r w:rsidRPr="00076FD9">
        <w:t xml:space="preserve"> the method used to fill the pit with carcasses. Typically, </w:t>
      </w:r>
      <w:r>
        <w:t>they</w:t>
      </w:r>
      <w:r w:rsidRPr="00076FD9">
        <w:t xml:space="preserve"> will be unloaded (out of tip trucks) and then pushed into the pit (loader, bulldozer or excavator) from one of the long sides.</w:t>
      </w:r>
    </w:p>
    <w:p w14:paraId="4BCD96E0" w14:textId="64D0F96E" w:rsidR="00E94246" w:rsidRDefault="0052792F" w:rsidP="0052792F">
      <w:r w:rsidRPr="00076FD9">
        <w:t xml:space="preserve">It is critical </w:t>
      </w:r>
      <w:r>
        <w:t>to establish</w:t>
      </w:r>
      <w:r w:rsidRPr="00076FD9">
        <w:t xml:space="preserve"> a safe operating zone as part of a documented work procedure</w:t>
      </w:r>
      <w:r>
        <w:t xml:space="preserve">, </w:t>
      </w:r>
      <w:r w:rsidRPr="000D5ADB">
        <w:t>especially if other machines such as front-end loaders are being used</w:t>
      </w:r>
      <w:r w:rsidRPr="00076FD9">
        <w:t xml:space="preserve">. Excavators can be a good option to fill pits with carcasses, especially where soil stability </w:t>
      </w:r>
      <w:r>
        <w:t>may be an</w:t>
      </w:r>
      <w:r w:rsidRPr="00076FD9">
        <w:t xml:space="preserve"> issue.</w:t>
      </w:r>
    </w:p>
    <w:tbl>
      <w:tblPr>
        <w:tblStyle w:val="TableGrid"/>
        <w:tblW w:w="0" w:type="auto"/>
        <w:tblCellMar>
          <w:top w:w="113" w:type="dxa"/>
          <w:bottom w:w="113" w:type="dxa"/>
        </w:tblCellMar>
        <w:tblLook w:val="04A0" w:firstRow="1" w:lastRow="0" w:firstColumn="1" w:lastColumn="0" w:noHBand="0" w:noVBand="1"/>
      </w:tblPr>
      <w:tblGrid>
        <w:gridCol w:w="5094"/>
        <w:gridCol w:w="5094"/>
      </w:tblGrid>
      <w:tr w:rsidR="006463E8" w14:paraId="3311AB28" w14:textId="77777777" w:rsidTr="006B4882">
        <w:tc>
          <w:tcPr>
            <w:tcW w:w="5094" w:type="dxa"/>
          </w:tcPr>
          <w:p w14:paraId="087BB836" w14:textId="501DE3AA" w:rsidR="00E94246" w:rsidRPr="00E94246" w:rsidRDefault="00E94246" w:rsidP="0052792F">
            <w:pPr>
              <w:rPr>
                <w:sz w:val="20"/>
                <w:szCs w:val="20"/>
              </w:rPr>
            </w:pPr>
            <w:r w:rsidRPr="00101309">
              <w:rPr>
                <w:b/>
                <w:bCs/>
                <w:noProof/>
                <w:color w:val="EE0000"/>
                <w:sz w:val="20"/>
                <w:szCs w:val="20"/>
              </w:rPr>
              <w:lastRenderedPageBreak/>
              <w:drawing>
                <wp:anchor distT="0" distB="0" distL="114300" distR="114300" simplePos="0" relativeHeight="251658241" behindDoc="0" locked="0" layoutInCell="1" allowOverlap="1" wp14:anchorId="65DDF2E6" wp14:editId="3A65CFA2">
                  <wp:simplePos x="0" y="0"/>
                  <wp:positionH relativeFrom="column">
                    <wp:posOffset>6985</wp:posOffset>
                  </wp:positionH>
                  <wp:positionV relativeFrom="paragraph">
                    <wp:posOffset>226695</wp:posOffset>
                  </wp:positionV>
                  <wp:extent cx="3240000" cy="2487600"/>
                  <wp:effectExtent l="0" t="0" r="0" b="1905"/>
                  <wp:wrapSquare wrapText="bothSides"/>
                  <wp:docPr id="920723271" name="Picture 6" descr="Diagram of a pit filled with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23271" name="Picture 6" descr="Diagram of a pit filled with water&#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40000" cy="2487600"/>
                          </a:xfrm>
                          <a:prstGeom prst="rect">
                            <a:avLst/>
                          </a:prstGeom>
                        </pic:spPr>
                      </pic:pic>
                    </a:graphicData>
                  </a:graphic>
                  <wp14:sizeRelH relativeFrom="page">
                    <wp14:pctWidth>0</wp14:pctWidth>
                  </wp14:sizeRelH>
                  <wp14:sizeRelV relativeFrom="page">
                    <wp14:pctHeight>0</wp14:pctHeight>
                  </wp14:sizeRelV>
                </wp:anchor>
              </w:drawing>
            </w:r>
            <w:r w:rsidR="00474A14" w:rsidRPr="00101309">
              <w:rPr>
                <w:b/>
                <w:bCs/>
                <w:sz w:val="20"/>
                <w:szCs w:val="20"/>
              </w:rPr>
              <w:t>Figure 1:</w:t>
            </w:r>
            <w:r w:rsidR="00474A14">
              <w:rPr>
                <w:sz w:val="20"/>
                <w:szCs w:val="20"/>
              </w:rPr>
              <w:t xml:space="preserve"> </w:t>
            </w:r>
            <w:r w:rsidR="00B5023C" w:rsidRPr="00B5023C">
              <w:rPr>
                <w:sz w:val="20"/>
                <w:szCs w:val="20"/>
              </w:rPr>
              <w:t>Traditional Trench Style Burial Pit</w:t>
            </w:r>
          </w:p>
        </w:tc>
        <w:tc>
          <w:tcPr>
            <w:tcW w:w="5094" w:type="dxa"/>
          </w:tcPr>
          <w:p w14:paraId="4FB021E8" w14:textId="35E89900" w:rsidR="00E7077B" w:rsidRPr="00B5023C" w:rsidRDefault="00E94246" w:rsidP="00E94246">
            <w:pPr>
              <w:rPr>
                <w:sz w:val="20"/>
                <w:szCs w:val="20"/>
              </w:rPr>
            </w:pPr>
            <w:r w:rsidRPr="00101309">
              <w:rPr>
                <w:b/>
                <w:bCs/>
                <w:noProof/>
                <w:color w:val="EE0000"/>
                <w:sz w:val="20"/>
                <w:szCs w:val="20"/>
              </w:rPr>
              <w:drawing>
                <wp:anchor distT="0" distB="0" distL="114300" distR="114300" simplePos="0" relativeHeight="251658242" behindDoc="0" locked="0" layoutInCell="1" allowOverlap="1" wp14:anchorId="0DA8FAA7" wp14:editId="00222EB0">
                  <wp:simplePos x="0" y="0"/>
                  <wp:positionH relativeFrom="column">
                    <wp:posOffset>-64770</wp:posOffset>
                  </wp:positionH>
                  <wp:positionV relativeFrom="paragraph">
                    <wp:posOffset>226695</wp:posOffset>
                  </wp:positionV>
                  <wp:extent cx="3240000" cy="2491200"/>
                  <wp:effectExtent l="0" t="0" r="0" b="0"/>
                  <wp:wrapSquare wrapText="bothSides"/>
                  <wp:docPr id="807164181" name="Picture 7" descr="A diagram of a pit being measur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64181" name="Picture 7" descr="A diagram of a pit being measure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40000" cy="2491200"/>
                          </a:xfrm>
                          <a:prstGeom prst="rect">
                            <a:avLst/>
                          </a:prstGeom>
                        </pic:spPr>
                      </pic:pic>
                    </a:graphicData>
                  </a:graphic>
                  <wp14:sizeRelH relativeFrom="page">
                    <wp14:pctWidth>0</wp14:pctWidth>
                  </wp14:sizeRelH>
                  <wp14:sizeRelV relativeFrom="page">
                    <wp14:pctHeight>0</wp14:pctHeight>
                  </wp14:sizeRelV>
                </wp:anchor>
              </w:drawing>
            </w:r>
            <w:r w:rsidR="00474A14" w:rsidRPr="00101309">
              <w:rPr>
                <w:b/>
                <w:bCs/>
                <w:sz w:val="20"/>
                <w:szCs w:val="20"/>
              </w:rPr>
              <w:t>Figure 2:</w:t>
            </w:r>
            <w:r w:rsidR="00474A14">
              <w:rPr>
                <w:sz w:val="20"/>
                <w:szCs w:val="20"/>
              </w:rPr>
              <w:t xml:space="preserve"> </w:t>
            </w:r>
            <w:r w:rsidR="006463E8" w:rsidRPr="00B5023C">
              <w:rPr>
                <w:sz w:val="20"/>
                <w:szCs w:val="20"/>
              </w:rPr>
              <w:t xml:space="preserve">Battered Burial Pit </w:t>
            </w:r>
          </w:p>
        </w:tc>
      </w:tr>
    </w:tbl>
    <w:p w14:paraId="2921F368" w14:textId="3C9F6B40" w:rsidR="0052792F" w:rsidRPr="00076FD9" w:rsidRDefault="00F27353" w:rsidP="0052792F">
      <w:r>
        <w:br/>
      </w:r>
      <w:r w:rsidR="0052792F">
        <w:t>Use</w:t>
      </w:r>
      <w:r w:rsidR="0052792F" w:rsidRPr="00076FD9">
        <w:t xml:space="preserve"> the following dimensions as a guide</w:t>
      </w:r>
      <w:r w:rsidR="0052792F">
        <w:t xml:space="preserve"> to on-farm trench burial</w:t>
      </w:r>
      <w:r w:rsidR="0052792F" w:rsidRPr="00076FD9">
        <w:t>:</w:t>
      </w:r>
    </w:p>
    <w:p w14:paraId="1683A311" w14:textId="13BFDBF9" w:rsidR="0052792F" w:rsidRPr="00076FD9" w:rsidRDefault="0052792F" w:rsidP="0052792F">
      <w:pPr>
        <w:pStyle w:val="ListBullet"/>
      </w:pPr>
      <w:r w:rsidRPr="00076FD9">
        <w:t>Depth – 4</w:t>
      </w:r>
      <w:r w:rsidR="00F348BA">
        <w:t xml:space="preserve"> m</w:t>
      </w:r>
      <w:r w:rsidRPr="00076FD9">
        <w:t xml:space="preserve"> to 5</w:t>
      </w:r>
      <w:r w:rsidR="00F348BA">
        <w:t xml:space="preserve"> </w:t>
      </w:r>
      <w:r w:rsidRPr="00076FD9">
        <w:t xml:space="preserve">m (depending on </w:t>
      </w:r>
      <w:bookmarkStart w:id="9" w:name="_Int_jrjwNomh"/>
      <w:r w:rsidRPr="00076FD9">
        <w:t>reach</w:t>
      </w:r>
      <w:bookmarkEnd w:id="9"/>
      <w:r w:rsidRPr="00076FD9">
        <w:t xml:space="preserve"> of machinery, soil stability and depth to </w:t>
      </w:r>
      <w:bookmarkStart w:id="10" w:name="_Int_n5hXrvqE"/>
      <w:r w:rsidRPr="00076FD9">
        <w:t>water</w:t>
      </w:r>
      <w:bookmarkEnd w:id="10"/>
      <w:r w:rsidRPr="00076FD9">
        <w:t xml:space="preserve"> table). Base of pit to be at least 2</w:t>
      </w:r>
      <w:r w:rsidR="00F348BA">
        <w:t xml:space="preserve"> </w:t>
      </w:r>
      <w:r w:rsidRPr="00076FD9">
        <w:t>m above water table level</w:t>
      </w:r>
      <w:r>
        <w:t>.</w:t>
      </w:r>
    </w:p>
    <w:p w14:paraId="53138530" w14:textId="4266922F" w:rsidR="0052792F" w:rsidRPr="00076FD9" w:rsidRDefault="0052792F" w:rsidP="0052792F">
      <w:pPr>
        <w:pStyle w:val="ListBullet"/>
      </w:pPr>
      <w:r w:rsidRPr="00076FD9">
        <w:t>Width – not greater than 3</w:t>
      </w:r>
      <w:r w:rsidR="00F348BA">
        <w:t xml:space="preserve"> </w:t>
      </w:r>
      <w:r w:rsidRPr="00076FD9">
        <w:t xml:space="preserve">m wide (to allow for even spread of </w:t>
      </w:r>
      <w:r>
        <w:t>animals</w:t>
      </w:r>
      <w:r w:rsidRPr="00076FD9">
        <w:t xml:space="preserve"> in</w:t>
      </w:r>
      <w:r>
        <w:t xml:space="preserve"> the</w:t>
      </w:r>
      <w:r w:rsidRPr="00076FD9">
        <w:t xml:space="preserve"> pit)</w:t>
      </w:r>
      <w:r>
        <w:t>.</w:t>
      </w:r>
    </w:p>
    <w:p w14:paraId="2EE95D41" w14:textId="4A060C07" w:rsidR="0052792F" w:rsidRPr="00076FD9" w:rsidRDefault="0052792F" w:rsidP="0052792F">
      <w:pPr>
        <w:pStyle w:val="ListBullet"/>
      </w:pPr>
      <w:r w:rsidRPr="00076FD9">
        <w:t xml:space="preserve">Length – depends on </w:t>
      </w:r>
      <w:r w:rsidR="10743882">
        <w:t xml:space="preserve">the </w:t>
      </w:r>
      <w:r w:rsidRPr="00076FD9">
        <w:t>number and size of carcasses to be buried (volume)</w:t>
      </w:r>
      <w:r>
        <w:t>.</w:t>
      </w:r>
    </w:p>
    <w:p w14:paraId="49AB3FC9" w14:textId="77777777" w:rsidR="0052792F" w:rsidRPr="00076FD9" w:rsidRDefault="0052792F" w:rsidP="0052792F">
      <w:pPr>
        <w:pStyle w:val="ListBullet"/>
      </w:pPr>
      <w:r w:rsidRPr="00076FD9">
        <w:t xml:space="preserve">Backfill – </w:t>
      </w:r>
      <w:r w:rsidRPr="000D5ADB">
        <w:t>at least 1</w:t>
      </w:r>
      <w:r w:rsidRPr="009D3997">
        <w:rPr>
          <w:rFonts w:ascii="VIC-Regular" w:eastAsia="Times New Roman" w:hAnsi="VIC-Regular" w:cs="Times New Roman"/>
          <w:color w:val="000000"/>
          <w:lang w:eastAsia="en-AU"/>
        </w:rPr>
        <w:t xml:space="preserve"> </w:t>
      </w:r>
      <w:r w:rsidRPr="00076FD9">
        <w:t xml:space="preserve">m of </w:t>
      </w:r>
      <w:r>
        <w:t>soil</w:t>
      </w:r>
      <w:r w:rsidRPr="00076FD9">
        <w:t xml:space="preserve"> to </w:t>
      </w:r>
      <w:r>
        <w:t>c</w:t>
      </w:r>
      <w:r w:rsidRPr="00076FD9">
        <w:t xml:space="preserve">over </w:t>
      </w:r>
      <w:r>
        <w:t>deceased livestock.</w:t>
      </w:r>
    </w:p>
    <w:p w14:paraId="49BACC33" w14:textId="58AC56A4" w:rsidR="0052792F" w:rsidRDefault="0052792F" w:rsidP="0052792F">
      <w:pPr>
        <w:pStyle w:val="ListBullet"/>
      </w:pPr>
      <w:r w:rsidRPr="00076FD9">
        <w:t>Volume –</w:t>
      </w:r>
      <w:r>
        <w:t xml:space="preserve"> </w:t>
      </w:r>
      <w:r w:rsidRPr="00076FD9">
        <w:t xml:space="preserve">will vary according to </w:t>
      </w:r>
      <w:r w:rsidR="5C010AF5">
        <w:t xml:space="preserve">the </w:t>
      </w:r>
      <w:r w:rsidRPr="00076FD9">
        <w:t>number and size of animals</w:t>
      </w:r>
      <w:r>
        <w:t>.</w:t>
      </w:r>
    </w:p>
    <w:p w14:paraId="1E3893A0" w14:textId="77777777" w:rsidR="0052792F" w:rsidRPr="00076FD9" w:rsidRDefault="0052792F" w:rsidP="0052792F">
      <w:pPr>
        <w:pStyle w:val="Heading3"/>
      </w:pPr>
      <w:r w:rsidRPr="00076FD9">
        <w:t>Volume requirements</w:t>
      </w:r>
    </w:p>
    <w:p w14:paraId="7B842575" w14:textId="2584C203" w:rsidR="0052792F" w:rsidRPr="000D5ADB" w:rsidRDefault="0052792F" w:rsidP="0052792F">
      <w:pPr>
        <w:rPr>
          <w:rFonts w:ascii="VIC-Regular" w:eastAsia="Times New Roman" w:hAnsi="VIC-Regular" w:cs="Times New Roman"/>
          <w:color w:val="000000"/>
          <w:lang w:eastAsia="en-AU"/>
        </w:rPr>
      </w:pPr>
      <w:r w:rsidRPr="00076FD9">
        <w:t xml:space="preserve">Previous experience has shown that approximately 10 adult sheep in poor condition and with limited wool will take up one cubic </w:t>
      </w:r>
      <w:proofErr w:type="spellStart"/>
      <w:r w:rsidRPr="00076FD9">
        <w:t>metre</w:t>
      </w:r>
      <w:proofErr w:type="spellEnd"/>
      <w:r w:rsidRPr="00076FD9">
        <w:t> of pit space</w:t>
      </w:r>
      <w:r>
        <w:t xml:space="preserve"> </w:t>
      </w:r>
      <w:r w:rsidRPr="00076FD9">
        <w:t>(North-East Region Flock Reduction Scheme)</w:t>
      </w:r>
      <w:r>
        <w:t xml:space="preserve">. </w:t>
      </w:r>
      <w:r w:rsidRPr="000D5ADB">
        <w:t>A 156 m</w:t>
      </w:r>
      <w:r w:rsidR="00F348BA" w:rsidRPr="00F348BA">
        <w:rPr>
          <w:vertAlign w:val="superscript"/>
        </w:rPr>
        <w:t>3</w:t>
      </w:r>
      <w:r w:rsidRPr="000D5ADB">
        <w:t xml:space="preserve"> pit (3 m wide x 13 m long x 4 m deep) will be sufficient to bury 22 beef cattle with 1.8</w:t>
      </w:r>
      <w:r w:rsidR="00F348BA">
        <w:t xml:space="preserve"> </w:t>
      </w:r>
      <w:r w:rsidRPr="000D5ADB">
        <w:t>m of soil cover (Longwood fire 2026</w:t>
      </w:r>
      <w:r w:rsidRPr="00B02832">
        <w:t>)</w:t>
      </w:r>
      <w:r w:rsidR="00F27353">
        <w:t>.</w:t>
      </w:r>
    </w:p>
    <w:p w14:paraId="179DEC86" w14:textId="11DC0B8C" w:rsidR="0052792F" w:rsidRPr="00076FD9" w:rsidRDefault="0052792F" w:rsidP="0052792F">
      <w:r w:rsidRPr="00076FD9">
        <w:t>As a guide, allow 1.5 m</w:t>
      </w:r>
      <w:r w:rsidR="00F348BA" w:rsidRPr="00F348BA">
        <w:rPr>
          <w:vertAlign w:val="superscript"/>
        </w:rPr>
        <w:t>3</w:t>
      </w:r>
      <w:r w:rsidRPr="00076FD9">
        <w:t> of pit space for one adult beast or 5 adult sheep in good condition (AUSVETPLAN Disposal Manual, 2015)</w:t>
      </w:r>
      <w:r>
        <w:t>.</w:t>
      </w:r>
    </w:p>
    <w:p w14:paraId="20877D44" w14:textId="77777777" w:rsidR="0052792F" w:rsidRPr="00076FD9" w:rsidRDefault="0052792F" w:rsidP="0052792F">
      <w:pPr>
        <w:pStyle w:val="Heading3"/>
      </w:pPr>
      <w:r w:rsidRPr="00076FD9">
        <w:t>Slashing</w:t>
      </w:r>
    </w:p>
    <w:p w14:paraId="08DD501B" w14:textId="77777777" w:rsidR="0052792F" w:rsidRPr="00076FD9" w:rsidRDefault="0052792F" w:rsidP="0052792F">
      <w:r w:rsidRPr="00076FD9">
        <w:t>The slashing of the abdomens of carcasses before burial (to reduce the build-up of gas) is not recommended for sheep or other small animals, or badly decomposed cattle.</w:t>
      </w:r>
    </w:p>
    <w:p w14:paraId="2D56CA57" w14:textId="77777777" w:rsidR="0052792F" w:rsidRPr="00076FD9" w:rsidRDefault="0052792F" w:rsidP="0052792F">
      <w:r w:rsidRPr="00076FD9">
        <w:t xml:space="preserve">For freshly </w:t>
      </w:r>
      <w:r>
        <w:t>deceased</w:t>
      </w:r>
      <w:r w:rsidRPr="00076FD9">
        <w:t xml:space="preserve"> cattle, a risk assessment should be conducted to determine if the benefits of slashing outweigh the safety risks to the operator. Machinery may be used to puncture the abdomens of cattle to reduce manual handling risks.</w:t>
      </w:r>
    </w:p>
    <w:p w14:paraId="759D3DB9" w14:textId="77777777" w:rsidR="0052792F" w:rsidRPr="00076FD9" w:rsidRDefault="0052792F" w:rsidP="0052792F">
      <w:pPr>
        <w:pStyle w:val="Heading2"/>
      </w:pPr>
      <w:r w:rsidRPr="00076FD9">
        <w:lastRenderedPageBreak/>
        <w:t>Personal (worker) safety</w:t>
      </w:r>
    </w:p>
    <w:p w14:paraId="2C55E568" w14:textId="77777777" w:rsidR="0052792F" w:rsidRPr="000D5ADB" w:rsidRDefault="0052792F" w:rsidP="0052792F">
      <w:pPr>
        <w:rPr>
          <w:lang w:eastAsia="en-AU"/>
        </w:rPr>
      </w:pPr>
      <w:bookmarkStart w:id="11" w:name="_Int_Yc147EyD"/>
      <w:proofErr w:type="gramStart"/>
      <w:r w:rsidRPr="000D5ADB">
        <w:rPr>
          <w:lang w:eastAsia="en-AU"/>
        </w:rPr>
        <w:t>Disposing</w:t>
      </w:r>
      <w:bookmarkEnd w:id="11"/>
      <w:proofErr w:type="gramEnd"/>
      <w:r w:rsidRPr="000D5ADB">
        <w:rPr>
          <w:lang w:eastAsia="en-AU"/>
        </w:rPr>
        <w:t xml:space="preserve"> </w:t>
      </w:r>
      <w:proofErr w:type="gramStart"/>
      <w:r>
        <w:rPr>
          <w:lang w:eastAsia="en-AU"/>
        </w:rPr>
        <w:t>deceased</w:t>
      </w:r>
      <w:proofErr w:type="gramEnd"/>
      <w:r w:rsidRPr="000D5ADB">
        <w:rPr>
          <w:lang w:eastAsia="en-AU"/>
        </w:rPr>
        <w:t xml:space="preserve"> livestock carries risks to human health. </w:t>
      </w:r>
    </w:p>
    <w:p w14:paraId="764EA2B7" w14:textId="77777777" w:rsidR="0052792F" w:rsidRPr="000D5ADB" w:rsidRDefault="0052792F" w:rsidP="0052792F">
      <w:pPr>
        <w:rPr>
          <w:lang w:eastAsia="en-AU"/>
        </w:rPr>
      </w:pPr>
      <w:r w:rsidRPr="000D5ADB">
        <w:rPr>
          <w:lang w:eastAsia="en-AU"/>
        </w:rPr>
        <w:t>Animal carcasses will putrefy rapidly during hot weather. Contact with body fluids may be unavoidable. Take all reasonable efforts to protect yourself from the inhalation of dust/ash or other aerosols. Be aware when </w:t>
      </w:r>
      <w:hyperlink r:id="rId21" w:history="1">
        <w:r w:rsidRPr="000D5ADB">
          <w:rPr>
            <w:color w:val="00573F"/>
            <w:u w:val="single"/>
            <w:lang w:eastAsia="en-AU"/>
          </w:rPr>
          <w:t>Q fever</w:t>
        </w:r>
      </w:hyperlink>
      <w:r w:rsidRPr="000D5ADB">
        <w:rPr>
          <w:lang w:eastAsia="en-AU"/>
        </w:rPr>
        <w:t> infection may be a risk. Before commencing disposal activities:</w:t>
      </w:r>
    </w:p>
    <w:p w14:paraId="41C541D0" w14:textId="77777777" w:rsidR="0052792F" w:rsidRPr="000D5ADB" w:rsidRDefault="0052792F" w:rsidP="0052792F">
      <w:pPr>
        <w:pStyle w:val="ListBullet"/>
      </w:pPr>
      <w:r w:rsidRPr="000D5ADB">
        <w:t>wear protective clothing (gloves, boots, eye protection)</w:t>
      </w:r>
    </w:p>
    <w:p w14:paraId="477AA1A7" w14:textId="77777777" w:rsidR="0052792F" w:rsidRPr="000D5ADB" w:rsidRDefault="0052792F" w:rsidP="0052792F">
      <w:pPr>
        <w:pStyle w:val="ListBullet"/>
      </w:pPr>
      <w:r w:rsidRPr="000D5ADB">
        <w:t xml:space="preserve">wear a mask (P2 particulate respirator) </w:t>
      </w:r>
    </w:p>
    <w:p w14:paraId="46985C62" w14:textId="77777777" w:rsidR="0052792F" w:rsidRPr="000D5ADB" w:rsidRDefault="0052792F" w:rsidP="0052792F">
      <w:pPr>
        <w:pStyle w:val="ListBullet"/>
      </w:pPr>
      <w:proofErr w:type="spellStart"/>
      <w:r w:rsidRPr="000D5ADB">
        <w:t>minimise</w:t>
      </w:r>
      <w:proofErr w:type="spellEnd"/>
      <w:r w:rsidRPr="000D5ADB">
        <w:t xml:space="preserve"> exposed skin and ensure broken skin/cuts are clean and covered</w:t>
      </w:r>
    </w:p>
    <w:p w14:paraId="5E1CF7D6" w14:textId="77777777" w:rsidR="0052792F" w:rsidRPr="000D5ADB" w:rsidRDefault="0052792F" w:rsidP="0052792F">
      <w:pPr>
        <w:pStyle w:val="ListBullet"/>
      </w:pPr>
      <w:r w:rsidRPr="000D5ADB">
        <w:t>handle carcasses as little as possible</w:t>
      </w:r>
    </w:p>
    <w:p w14:paraId="185CBD96" w14:textId="77777777" w:rsidR="0052792F" w:rsidRPr="000D5ADB" w:rsidRDefault="0052792F" w:rsidP="0052792F">
      <w:pPr>
        <w:pStyle w:val="ListBullet"/>
      </w:pPr>
      <w:bookmarkStart w:id="12" w:name="_Int_ZmCHvzYD"/>
      <w:r w:rsidRPr="000D5ADB">
        <w:t>wash</w:t>
      </w:r>
      <w:bookmarkEnd w:id="12"/>
      <w:r w:rsidRPr="000D5ADB">
        <w:t xml:space="preserve"> hands with soap and clean water after contact with </w:t>
      </w:r>
      <w:r>
        <w:t>deceased</w:t>
      </w:r>
      <w:r w:rsidRPr="000D5ADB">
        <w:t xml:space="preserve"> animals.</w:t>
      </w:r>
    </w:p>
    <w:p w14:paraId="38E1EC19" w14:textId="341500AC" w:rsidR="0052792F" w:rsidRPr="00076FD9" w:rsidRDefault="00E332E4" w:rsidP="00E332E4">
      <w:pPr>
        <w:pStyle w:val="ListBullet"/>
      </w:pPr>
      <w:bookmarkStart w:id="13" w:name="_Int_z2FptoMG"/>
      <w:r>
        <w:t>s</w:t>
      </w:r>
      <w:r w:rsidR="0052792F" w:rsidRPr="00076FD9">
        <w:t>afety</w:t>
      </w:r>
      <w:bookmarkEnd w:id="13"/>
      <w:r w:rsidR="0052792F" w:rsidRPr="00076FD9">
        <w:t xml:space="preserve"> of staff and contractors must always be considered</w:t>
      </w:r>
      <w:r w:rsidR="0052792F">
        <w:t>. Precautions include</w:t>
      </w:r>
      <w:r w:rsidR="0052792F" w:rsidRPr="00076FD9">
        <w:t>:</w:t>
      </w:r>
    </w:p>
    <w:p w14:paraId="4E2B554C" w14:textId="77777777" w:rsidR="0052792F" w:rsidRPr="00076FD9" w:rsidRDefault="0052792F" w:rsidP="0052792F">
      <w:pPr>
        <w:pStyle w:val="ListBullet"/>
      </w:pPr>
      <w:r>
        <w:t>having a m</w:t>
      </w:r>
      <w:r w:rsidRPr="00076FD9">
        <w:t>inimum of 2 people at the pit site.</w:t>
      </w:r>
    </w:p>
    <w:p w14:paraId="6F7412C2" w14:textId="77777777" w:rsidR="0052792F" w:rsidRPr="00076FD9" w:rsidRDefault="0052792F" w:rsidP="0052792F">
      <w:pPr>
        <w:pStyle w:val="ListBullet"/>
      </w:pPr>
      <w:r>
        <w:t>m</w:t>
      </w:r>
      <w:r w:rsidRPr="00076FD9">
        <w:t>aintain</w:t>
      </w:r>
      <w:r>
        <w:t>ing</w:t>
      </w:r>
      <w:r w:rsidRPr="00076FD9">
        <w:t xml:space="preserve"> a safe working distance from</w:t>
      </w:r>
      <w:r>
        <w:t xml:space="preserve"> the</w:t>
      </w:r>
      <w:r w:rsidRPr="00076FD9">
        <w:t xml:space="preserve"> pit edge.</w:t>
      </w:r>
    </w:p>
    <w:p w14:paraId="530087A0" w14:textId="77777777" w:rsidR="0052792F" w:rsidRPr="00076FD9" w:rsidRDefault="0052792F" w:rsidP="0052792F">
      <w:pPr>
        <w:pStyle w:val="ListBullet"/>
      </w:pPr>
      <w:r>
        <w:t>allowing n</w:t>
      </w:r>
      <w:r w:rsidRPr="00076FD9">
        <w:t xml:space="preserve">o </w:t>
      </w:r>
      <w:bookmarkStart w:id="14" w:name="_Int_logdtBZm"/>
      <w:proofErr w:type="gramStart"/>
      <w:r w:rsidRPr="00076FD9">
        <w:t>persons</w:t>
      </w:r>
      <w:bookmarkEnd w:id="14"/>
      <w:proofErr w:type="gramEnd"/>
      <w:r w:rsidRPr="00076FD9">
        <w:t xml:space="preserve"> to enter the pit.</w:t>
      </w:r>
    </w:p>
    <w:p w14:paraId="565FD539" w14:textId="77777777" w:rsidR="0052792F" w:rsidRPr="00076FD9" w:rsidRDefault="0052792F" w:rsidP="0052792F">
      <w:pPr>
        <w:pStyle w:val="ListBullet"/>
      </w:pPr>
      <w:r>
        <w:t>ensuring r</w:t>
      </w:r>
      <w:r w:rsidRPr="00076FD9">
        <w:t xml:space="preserve">escue items such as ropes </w:t>
      </w:r>
      <w:r>
        <w:t>ar</w:t>
      </w:r>
      <w:r w:rsidRPr="00076FD9">
        <w:t xml:space="preserve">e available in case of collapsing walls or </w:t>
      </w:r>
      <w:r>
        <w:t xml:space="preserve">if </w:t>
      </w:r>
      <w:r w:rsidRPr="00076FD9">
        <w:t>a person fall</w:t>
      </w:r>
      <w:r>
        <w:t>s</w:t>
      </w:r>
      <w:r w:rsidRPr="00076FD9">
        <w:t xml:space="preserve"> into the pit.</w:t>
      </w:r>
    </w:p>
    <w:p w14:paraId="3583CC37" w14:textId="77777777" w:rsidR="0052792F" w:rsidRPr="00076FD9" w:rsidRDefault="0052792F" w:rsidP="0052792F">
      <w:pPr>
        <w:pStyle w:val="ListBullet"/>
      </w:pPr>
      <w:bookmarkStart w:id="15" w:name="_Int_842ophEc"/>
      <w:r>
        <w:t>using</w:t>
      </w:r>
      <w:bookmarkEnd w:id="15"/>
      <w:r>
        <w:t xml:space="preserve"> a</w:t>
      </w:r>
      <w:r w:rsidRPr="00076FD9">
        <w:t>ppropriate personal protective equipment (PPE)</w:t>
      </w:r>
      <w:r>
        <w:t>,</w:t>
      </w:r>
      <w:r w:rsidRPr="00076FD9">
        <w:t xml:space="preserve"> such as gloves, </w:t>
      </w:r>
      <w:bookmarkStart w:id="16" w:name="_Int_q2dO1H0d"/>
      <w:r w:rsidRPr="00076FD9">
        <w:t>overalls</w:t>
      </w:r>
      <w:bookmarkEnd w:id="16"/>
      <w:r w:rsidRPr="00076FD9">
        <w:t xml:space="preserve"> and dust masks.</w:t>
      </w:r>
    </w:p>
    <w:p w14:paraId="1C3E3206" w14:textId="77777777" w:rsidR="0052792F" w:rsidRPr="00076FD9" w:rsidRDefault="0052792F" w:rsidP="0052792F">
      <w:pPr>
        <w:pStyle w:val="ListBullet"/>
      </w:pPr>
      <w:r>
        <w:t>a</w:t>
      </w:r>
      <w:r w:rsidRPr="00076FD9">
        <w:t>ssess</w:t>
      </w:r>
      <w:r>
        <w:t>ing</w:t>
      </w:r>
      <w:r w:rsidRPr="00076FD9">
        <w:t xml:space="preserve"> every manual handling task</w:t>
      </w:r>
      <w:r>
        <w:t xml:space="preserve"> – u</w:t>
      </w:r>
      <w:r w:rsidRPr="00076FD9">
        <w:t>se mechanical aids where possible.</w:t>
      </w:r>
    </w:p>
    <w:p w14:paraId="1911D411" w14:textId="77777777" w:rsidR="0052792F" w:rsidRPr="00076FD9" w:rsidRDefault="0052792F" w:rsidP="0052792F">
      <w:pPr>
        <w:pStyle w:val="ListBullet"/>
      </w:pPr>
      <w:r>
        <w:t>briefing a</w:t>
      </w:r>
      <w:r w:rsidRPr="00076FD9">
        <w:t>ll person</w:t>
      </w:r>
      <w:r>
        <w:t>nel</w:t>
      </w:r>
      <w:r w:rsidRPr="00076FD9">
        <w:t xml:space="preserve"> on the site operations and</w:t>
      </w:r>
      <w:r>
        <w:t xml:space="preserve"> on</w:t>
      </w:r>
      <w:r w:rsidRPr="00076FD9">
        <w:t xml:space="preserve"> the safety plan.</w:t>
      </w:r>
    </w:p>
    <w:p w14:paraId="5C015961" w14:textId="5E8519CA" w:rsidR="0052792F" w:rsidRPr="00076FD9" w:rsidRDefault="0052792F" w:rsidP="00E332E4">
      <w:pPr>
        <w:spacing w:before="120"/>
      </w:pPr>
      <w:r w:rsidRPr="00076FD9">
        <w:t>In some instances, worker illness</w:t>
      </w:r>
      <w:r>
        <w:t>,</w:t>
      </w:r>
      <w:r w:rsidRPr="00076FD9">
        <w:t xml:space="preserve"> injury or accident events may be classified as a </w:t>
      </w:r>
      <w:hyperlink r:id="rId22" w:history="1">
        <w:r w:rsidRPr="00076FD9">
          <w:rPr>
            <w:rStyle w:val="Hyperlink"/>
          </w:rPr>
          <w:t>notifiable incident</w:t>
        </w:r>
      </w:hyperlink>
      <w:r w:rsidRPr="00076FD9">
        <w:t> to the safety regulator WorkSafe Victoria</w:t>
      </w:r>
      <w:r w:rsidR="00E13130">
        <w:t xml:space="preserve"> (</w:t>
      </w:r>
      <w:hyperlink r:id="rId23" w:history="1">
        <w:r w:rsidR="00E13130" w:rsidRPr="00A77A14">
          <w:rPr>
            <w:rStyle w:val="Hyperlink"/>
          </w:rPr>
          <w:t>https://www.worksafe.vic.gov.au/</w:t>
        </w:r>
      </w:hyperlink>
      <w:r w:rsidR="00E13130">
        <w:t>)</w:t>
      </w:r>
      <w:r w:rsidRPr="00076FD9">
        <w:t>.</w:t>
      </w:r>
    </w:p>
    <w:p w14:paraId="3ACEC9D6" w14:textId="77777777" w:rsidR="0052792F" w:rsidRPr="00076FD9" w:rsidRDefault="0052792F" w:rsidP="0052792F">
      <w:pPr>
        <w:pStyle w:val="Heading2"/>
      </w:pPr>
      <w:r w:rsidRPr="00076FD9">
        <w:t>More information</w:t>
      </w:r>
    </w:p>
    <w:p w14:paraId="2A21EA4A" w14:textId="467A9D7B" w:rsidR="0052792F" w:rsidRPr="004A44D0" w:rsidRDefault="0052792F" w:rsidP="0052792F">
      <w:r w:rsidRPr="00076FD9">
        <w:t xml:space="preserve">For more information </w:t>
      </w:r>
      <w:r>
        <w:t xml:space="preserve">contact the Livestock Disposal Advisory </w:t>
      </w:r>
      <w:r w:rsidR="18BED3AA">
        <w:t>S</w:t>
      </w:r>
      <w:r>
        <w:t xml:space="preserve">ervice on 0407 145 007 and </w:t>
      </w:r>
      <w:hyperlink r:id="rId24">
        <w:r w:rsidRPr="5549B409">
          <w:rPr>
            <w:rStyle w:val="Hyperlink"/>
          </w:rPr>
          <w:t>livestock.disposal@agriculture.vic.gov.au</w:t>
        </w:r>
      </w:hyperlink>
      <w:r>
        <w:t xml:space="preserve"> or </w:t>
      </w:r>
      <w:r w:rsidRPr="5549B409">
        <w:rPr>
          <w:rFonts w:eastAsia="Times New Roman" w:cs="Arial"/>
          <w:lang w:eastAsia="en-AU"/>
        </w:rPr>
        <w:t>the Customer Contact Centre on </w:t>
      </w:r>
      <w:hyperlink r:id="rId25">
        <w:r w:rsidRPr="5549B409">
          <w:rPr>
            <w:rFonts w:eastAsia="Times New Roman" w:cs="Arial"/>
            <w:color w:val="00573F" w:themeColor="accent1"/>
            <w:u w:val="single"/>
            <w:lang w:eastAsia="en-AU"/>
          </w:rPr>
          <w:t>136 186</w:t>
        </w:r>
      </w:hyperlink>
      <w:r w:rsidRPr="5549B409">
        <w:rPr>
          <w:rFonts w:ascii="VIC-Regular" w:eastAsia="Times New Roman" w:hAnsi="VIC-Regular" w:cs="Times New Roman"/>
          <w:lang w:eastAsia="en-AU"/>
        </w:rPr>
        <w:t>.</w:t>
      </w:r>
    </w:p>
    <w:p w14:paraId="7CB84CBB" w14:textId="7EA08394" w:rsidR="00B61BD3" w:rsidRPr="00CA041E" w:rsidRDefault="00B61BD3" w:rsidP="0052792F"/>
    <w:p w14:paraId="40AFCA42" w14:textId="420F8513" w:rsidR="009D0B94" w:rsidRPr="006463E8" w:rsidRDefault="009D0B94" w:rsidP="0052792F">
      <w:pPr>
        <w:pStyle w:val="DisclaimerText"/>
        <w:framePr w:wrap="around"/>
        <w:rPr>
          <w:rFonts w:ascii="Arial" w:hAnsi="Arial"/>
        </w:rPr>
      </w:pPr>
      <w:bookmarkStart w:id="17" w:name="_Hlk131848832"/>
      <w:r w:rsidRPr="006463E8">
        <w:rPr>
          <w:rFonts w:ascii="Arial" w:hAnsi="Arial"/>
        </w:rPr>
        <w:t>©</w:t>
      </w:r>
      <w:bookmarkStart w:id="18" w:name="_Copyright"/>
      <w:bookmarkEnd w:id="18"/>
      <w:r w:rsidRPr="006463E8">
        <w:rPr>
          <w:rFonts w:ascii="Arial" w:hAnsi="Arial"/>
        </w:rPr>
        <w:t xml:space="preserve"> The State of Victoria Department of Energy, Environment and Climate Action </w:t>
      </w:r>
      <w:r w:rsidR="006463E8">
        <w:rPr>
          <w:rFonts w:ascii="Arial" w:hAnsi="Arial"/>
        </w:rPr>
        <w:t>January 2026.</w:t>
      </w:r>
    </w:p>
    <w:p w14:paraId="49CC5D33" w14:textId="77777777" w:rsidR="00AE3162" w:rsidRPr="00CA041E" w:rsidRDefault="00AE3162" w:rsidP="0052792F">
      <w:bookmarkStart w:id="19" w:name="_CreativeCommonsMarker"/>
      <w:bookmarkEnd w:id="17"/>
      <w:bookmarkEnd w:id="19"/>
    </w:p>
    <w:sectPr w:rsidR="00AE3162" w:rsidRPr="00CA041E" w:rsidSect="00CA041E">
      <w:headerReference w:type="even" r:id="rId26"/>
      <w:headerReference w:type="default" r:id="rId27"/>
      <w:footerReference w:type="even" r:id="rId28"/>
      <w:footerReference w:type="default" r:id="rId29"/>
      <w:footerReference w:type="first" r:id="rId30"/>
      <w:type w:val="continuous"/>
      <w:pgSz w:w="11900" w:h="16840"/>
      <w:pgMar w:top="1709" w:right="851" w:bottom="1418" w:left="851" w:header="8" w:footer="1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DA4B" w14:textId="77777777" w:rsidR="00472E7E" w:rsidRDefault="00472E7E" w:rsidP="0052792F">
      <w:r>
        <w:separator/>
      </w:r>
    </w:p>
  </w:endnote>
  <w:endnote w:type="continuationSeparator" w:id="0">
    <w:p w14:paraId="19E76566" w14:textId="77777777" w:rsidR="00472E7E" w:rsidRDefault="00472E7E" w:rsidP="0052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IC-Regular">
    <w:altName w:val="VIC"/>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BB12" w14:textId="77671960" w:rsidR="00F25670" w:rsidRDefault="001C7E91" w:rsidP="0052792F">
    <w:pPr>
      <w:pStyle w:val="Footer"/>
      <w:rPr>
        <w:rStyle w:val="PageNumber"/>
      </w:rPr>
    </w:pPr>
    <w:r>
      <w:rPr>
        <w:noProof/>
      </w:rPr>
      <mc:AlternateContent>
        <mc:Choice Requires="wps">
          <w:drawing>
            <wp:anchor distT="0" distB="0" distL="0" distR="0" simplePos="0" relativeHeight="251660292" behindDoc="0" locked="0" layoutInCell="1" allowOverlap="1" wp14:anchorId="49456FC3" wp14:editId="57307DF3">
              <wp:simplePos x="635" y="635"/>
              <wp:positionH relativeFrom="page">
                <wp:align>center</wp:align>
              </wp:positionH>
              <wp:positionV relativeFrom="page">
                <wp:align>bottom</wp:align>
              </wp:positionV>
              <wp:extent cx="622300" cy="381000"/>
              <wp:effectExtent l="0" t="0" r="6350" b="0"/>
              <wp:wrapNone/>
              <wp:docPr id="21444110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516AAEB6" w14:textId="04BD6D7D"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56FC3" id="_x0000_t202" coordsize="21600,21600" o:spt="202" path="m,l,21600r21600,l21600,xe">
              <v:stroke joinstyle="miter"/>
              <v:path gradientshapeok="t" o:connecttype="rect"/>
            </v:shapetype>
            <v:shape id="Text Box 5" o:spid="_x0000_s1026" type="#_x0000_t202" alt="OFFICIAL" style="position:absolute;margin-left:0;margin-top:0;width:49pt;height:30pt;z-index:2516602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" filled="f" stroked="f">
              <v:textbox style="mso-fit-shape-to-text:t" inset="0,0,0,15pt">
                <w:txbxContent>
                  <w:p w14:paraId="516AAEB6" w14:textId="04BD6D7D"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2C1C" w14:textId="4F7014D2" w:rsidR="00CC7539" w:rsidRDefault="001C7E91" w:rsidP="0052792F">
    <w:pPr>
      <w:pStyle w:val="Footer"/>
    </w:pPr>
    <w:r>
      <w:rPr>
        <w:noProof/>
      </w:rPr>
      <mc:AlternateContent>
        <mc:Choice Requires="wps">
          <w:drawing>
            <wp:anchor distT="0" distB="0" distL="0" distR="0" simplePos="0" relativeHeight="251661316" behindDoc="0" locked="0" layoutInCell="1" allowOverlap="1" wp14:anchorId="19DBA305" wp14:editId="79DA9006">
              <wp:simplePos x="635" y="635"/>
              <wp:positionH relativeFrom="page">
                <wp:align>center</wp:align>
              </wp:positionH>
              <wp:positionV relativeFrom="page">
                <wp:align>bottom</wp:align>
              </wp:positionV>
              <wp:extent cx="622300" cy="381000"/>
              <wp:effectExtent l="0" t="0" r="6350" b="0"/>
              <wp:wrapNone/>
              <wp:docPr id="12000916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0001EEFB" w14:textId="6539D51E"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BA305" id="_x0000_t202" coordsize="21600,21600" o:spt="202" path="m,l,21600r21600,l21600,xe">
              <v:stroke joinstyle="miter"/>
              <v:path gradientshapeok="t" o:connecttype="rect"/>
            </v:shapetype>
            <v:shape id="Text Box 6" o:spid="_x0000_s1027" type="#_x0000_t202" alt="OFFICIAL" style="position:absolute;margin-left:0;margin-top:0;width:49pt;height:30pt;z-index:2516613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7ZCg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" filled="f" stroked="f">
              <v:textbox style="mso-fit-shape-to-text:t" inset="0,0,0,15pt">
                <w:txbxContent>
                  <w:p w14:paraId="0001EEFB" w14:textId="6539D51E"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90D" w14:textId="7380A171" w:rsidR="00CC7539" w:rsidRDefault="001C7E91" w:rsidP="0052792F">
    <w:pPr>
      <w:pStyle w:val="Footer"/>
    </w:pPr>
    <w:r>
      <w:rPr>
        <w:noProof/>
      </w:rPr>
      <mc:AlternateContent>
        <mc:Choice Requires="wps">
          <w:drawing>
            <wp:anchor distT="0" distB="0" distL="0" distR="0" simplePos="0" relativeHeight="251659268" behindDoc="0" locked="0" layoutInCell="1" allowOverlap="1" wp14:anchorId="28BE56AD" wp14:editId="3501A54B">
              <wp:simplePos x="635" y="635"/>
              <wp:positionH relativeFrom="page">
                <wp:align>center</wp:align>
              </wp:positionH>
              <wp:positionV relativeFrom="page">
                <wp:align>bottom</wp:align>
              </wp:positionV>
              <wp:extent cx="622300" cy="381000"/>
              <wp:effectExtent l="0" t="0" r="6350" b="0"/>
              <wp:wrapNone/>
              <wp:docPr id="3156289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638E4844" w14:textId="6477505D"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E56AD" id="_x0000_t202" coordsize="21600,21600" o:spt="202" path="m,l,21600r21600,l21600,xe">
              <v:stroke joinstyle="miter"/>
              <v:path gradientshapeok="t" o:connecttype="rect"/>
            </v:shapetype>
            <v:shape id="Text Box 4" o:spid="_x0000_s1028" type="#_x0000_t202" alt="OFFICIAL" style="position:absolute;margin-left:0;margin-top:0;width:49pt;height:30pt;z-index:251659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mfDA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" filled="f" stroked="f">
              <v:textbox style="mso-fit-shape-to-text:t" inset="0,0,0,15pt">
                <w:txbxContent>
                  <w:p w14:paraId="638E4844" w14:textId="6477505D"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A972" w14:textId="77777777" w:rsidR="00472E7E" w:rsidRDefault="00472E7E" w:rsidP="0052792F">
      <w:r>
        <w:separator/>
      </w:r>
    </w:p>
  </w:footnote>
  <w:footnote w:type="continuationSeparator" w:id="0">
    <w:p w14:paraId="49523261" w14:textId="77777777" w:rsidR="00472E7E" w:rsidRDefault="00472E7E" w:rsidP="0052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E3D3" w14:textId="77777777" w:rsidR="009D0B94" w:rsidRDefault="00CA041E" w:rsidP="0052792F">
    <w:pPr>
      <w:pStyle w:val="Header"/>
    </w:pPr>
    <w:r>
      <w:rPr>
        <w:noProof/>
      </w:rPr>
      <w:drawing>
        <wp:anchor distT="0" distB="0" distL="114300" distR="114300" simplePos="0" relativeHeight="251658244" behindDoc="1" locked="1" layoutInCell="1" allowOverlap="1" wp14:anchorId="33D82218" wp14:editId="20F55DF4">
          <wp:simplePos x="0" y="0"/>
          <wp:positionH relativeFrom="page">
            <wp:align>left</wp:align>
          </wp:positionH>
          <wp:positionV relativeFrom="page">
            <wp:align>top</wp:align>
          </wp:positionV>
          <wp:extent cx="7563600" cy="10688400"/>
          <wp:effectExtent l="0" t="0" r="5715" b="0"/>
          <wp:wrapNone/>
          <wp:docPr id="1835762129"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60163" name="Picture 6"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2F5F" w14:textId="77777777" w:rsidR="009D0B94" w:rsidRDefault="009D0B94" w:rsidP="0052792F">
    <w:pPr>
      <w:pStyle w:val="Header"/>
    </w:pPr>
    <w:r>
      <w:rPr>
        <w:noProof/>
      </w:rPr>
      <w:drawing>
        <wp:anchor distT="0" distB="0" distL="114300" distR="114300" simplePos="0" relativeHeight="251658243" behindDoc="1" locked="0" layoutInCell="1" allowOverlap="1" wp14:anchorId="02E5F1DF" wp14:editId="7145E1D3">
          <wp:simplePos x="0" y="0"/>
          <wp:positionH relativeFrom="page">
            <wp:align>left</wp:align>
          </wp:positionH>
          <wp:positionV relativeFrom="page">
            <wp:align>top</wp:align>
          </wp:positionV>
          <wp:extent cx="7563600" cy="10688400"/>
          <wp:effectExtent l="0" t="0" r="5715" b="0"/>
          <wp:wrapNone/>
          <wp:docPr id="11557772"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60163" name="Picture 6"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3C9E7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DA07BD"/>
    <w:multiLevelType w:val="hybridMultilevel"/>
    <w:tmpl w:val="05981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599936">
    <w:abstractNumId w:val="0"/>
  </w:num>
  <w:num w:numId="2" w16cid:durableId="1291672476">
    <w:abstractNumId w:val="1"/>
  </w:num>
  <w:num w:numId="3" w16cid:durableId="322440426">
    <w:abstractNumId w:val="2"/>
  </w:num>
  <w:num w:numId="4" w16cid:durableId="1058088888">
    <w:abstractNumId w:val="3"/>
  </w:num>
  <w:num w:numId="5" w16cid:durableId="731269054">
    <w:abstractNumId w:val="4"/>
  </w:num>
  <w:num w:numId="6" w16cid:durableId="1358967921">
    <w:abstractNumId w:val="9"/>
  </w:num>
  <w:num w:numId="7" w16cid:durableId="337924856">
    <w:abstractNumId w:val="5"/>
  </w:num>
  <w:num w:numId="8" w16cid:durableId="1402175443">
    <w:abstractNumId w:val="6"/>
  </w:num>
  <w:num w:numId="9" w16cid:durableId="493374916">
    <w:abstractNumId w:val="7"/>
  </w:num>
  <w:num w:numId="10" w16cid:durableId="1405058635">
    <w:abstractNumId w:val="8"/>
  </w:num>
  <w:num w:numId="11" w16cid:durableId="1422216415">
    <w:abstractNumId w:val="10"/>
  </w:num>
  <w:num w:numId="12" w16cid:durableId="2006979773">
    <w:abstractNumId w:val="11"/>
  </w:num>
  <w:num w:numId="13" w16cid:durableId="619577393">
    <w:abstractNumId w:val="14"/>
  </w:num>
  <w:num w:numId="14" w16cid:durableId="723866397">
    <w:abstractNumId w:val="13"/>
  </w:num>
  <w:num w:numId="15" w16cid:durableId="276910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07"/>
    <w:rsid w:val="00002759"/>
    <w:rsid w:val="0000652D"/>
    <w:rsid w:val="0002255F"/>
    <w:rsid w:val="00022DD5"/>
    <w:rsid w:val="00022E32"/>
    <w:rsid w:val="00022FB4"/>
    <w:rsid w:val="0002784E"/>
    <w:rsid w:val="00032CE3"/>
    <w:rsid w:val="000356FF"/>
    <w:rsid w:val="00044589"/>
    <w:rsid w:val="00044D07"/>
    <w:rsid w:val="00051E50"/>
    <w:rsid w:val="00055C19"/>
    <w:rsid w:val="00056935"/>
    <w:rsid w:val="00072855"/>
    <w:rsid w:val="000804B8"/>
    <w:rsid w:val="00081FFD"/>
    <w:rsid w:val="000909F0"/>
    <w:rsid w:val="00094DD6"/>
    <w:rsid w:val="000A4889"/>
    <w:rsid w:val="000A67C3"/>
    <w:rsid w:val="000A76A8"/>
    <w:rsid w:val="000A7CF7"/>
    <w:rsid w:val="000B07D6"/>
    <w:rsid w:val="000B0F53"/>
    <w:rsid w:val="000C35AB"/>
    <w:rsid w:val="000C3BBD"/>
    <w:rsid w:val="000D3DFD"/>
    <w:rsid w:val="000D75BE"/>
    <w:rsid w:val="000E610B"/>
    <w:rsid w:val="000F109C"/>
    <w:rsid w:val="00101309"/>
    <w:rsid w:val="00102BC6"/>
    <w:rsid w:val="00107A2D"/>
    <w:rsid w:val="00126C3C"/>
    <w:rsid w:val="00133657"/>
    <w:rsid w:val="00147114"/>
    <w:rsid w:val="0015201B"/>
    <w:rsid w:val="00160F89"/>
    <w:rsid w:val="0016167B"/>
    <w:rsid w:val="00164BC8"/>
    <w:rsid w:val="00172CB2"/>
    <w:rsid w:val="001731CD"/>
    <w:rsid w:val="00174927"/>
    <w:rsid w:val="0018080B"/>
    <w:rsid w:val="00180AE6"/>
    <w:rsid w:val="0018238B"/>
    <w:rsid w:val="00185D74"/>
    <w:rsid w:val="00190653"/>
    <w:rsid w:val="001A153E"/>
    <w:rsid w:val="001A35ED"/>
    <w:rsid w:val="001A4311"/>
    <w:rsid w:val="001A43FA"/>
    <w:rsid w:val="001B0D50"/>
    <w:rsid w:val="001B3B64"/>
    <w:rsid w:val="001B5BB2"/>
    <w:rsid w:val="001C4F34"/>
    <w:rsid w:val="001C5293"/>
    <w:rsid w:val="001C7E91"/>
    <w:rsid w:val="001D09F1"/>
    <w:rsid w:val="001D0C70"/>
    <w:rsid w:val="001D2031"/>
    <w:rsid w:val="001D5952"/>
    <w:rsid w:val="001E225A"/>
    <w:rsid w:val="001F2507"/>
    <w:rsid w:val="0020275C"/>
    <w:rsid w:val="00211AD9"/>
    <w:rsid w:val="0021570A"/>
    <w:rsid w:val="00216AD5"/>
    <w:rsid w:val="002300CC"/>
    <w:rsid w:val="002329E0"/>
    <w:rsid w:val="00234D47"/>
    <w:rsid w:val="00241E10"/>
    <w:rsid w:val="00243086"/>
    <w:rsid w:val="0024596A"/>
    <w:rsid w:val="00246E23"/>
    <w:rsid w:val="00257C7B"/>
    <w:rsid w:val="00262B0D"/>
    <w:rsid w:val="00271359"/>
    <w:rsid w:val="00275313"/>
    <w:rsid w:val="00283833"/>
    <w:rsid w:val="0029259C"/>
    <w:rsid w:val="00292828"/>
    <w:rsid w:val="002953C1"/>
    <w:rsid w:val="00295605"/>
    <w:rsid w:val="002977EC"/>
    <w:rsid w:val="002B0C9A"/>
    <w:rsid w:val="002B1653"/>
    <w:rsid w:val="002B6684"/>
    <w:rsid w:val="002D255E"/>
    <w:rsid w:val="002E19B7"/>
    <w:rsid w:val="002E3358"/>
    <w:rsid w:val="002F1697"/>
    <w:rsid w:val="002F3031"/>
    <w:rsid w:val="002F322B"/>
    <w:rsid w:val="002F4C12"/>
    <w:rsid w:val="00303AEF"/>
    <w:rsid w:val="00306B4E"/>
    <w:rsid w:val="00307089"/>
    <w:rsid w:val="00320B43"/>
    <w:rsid w:val="00321002"/>
    <w:rsid w:val="00321F07"/>
    <w:rsid w:val="00327B2E"/>
    <w:rsid w:val="00343625"/>
    <w:rsid w:val="003471C5"/>
    <w:rsid w:val="003547B1"/>
    <w:rsid w:val="00360C83"/>
    <w:rsid w:val="00362648"/>
    <w:rsid w:val="00365526"/>
    <w:rsid w:val="003822F7"/>
    <w:rsid w:val="003825E7"/>
    <w:rsid w:val="003850FC"/>
    <w:rsid w:val="00391927"/>
    <w:rsid w:val="00391AE9"/>
    <w:rsid w:val="00391F20"/>
    <w:rsid w:val="00392681"/>
    <w:rsid w:val="00397B9B"/>
    <w:rsid w:val="003A0AFB"/>
    <w:rsid w:val="003A0C46"/>
    <w:rsid w:val="003A2768"/>
    <w:rsid w:val="003A2D9F"/>
    <w:rsid w:val="003A5E7E"/>
    <w:rsid w:val="003A63C5"/>
    <w:rsid w:val="003B5182"/>
    <w:rsid w:val="003B79F8"/>
    <w:rsid w:val="003C0D48"/>
    <w:rsid w:val="003C2E56"/>
    <w:rsid w:val="003C4A74"/>
    <w:rsid w:val="003D032C"/>
    <w:rsid w:val="003D1638"/>
    <w:rsid w:val="003E4FCB"/>
    <w:rsid w:val="003E59F9"/>
    <w:rsid w:val="003E793A"/>
    <w:rsid w:val="003F24C6"/>
    <w:rsid w:val="003F65E4"/>
    <w:rsid w:val="00403238"/>
    <w:rsid w:val="004115DC"/>
    <w:rsid w:val="004118BB"/>
    <w:rsid w:val="00411E2D"/>
    <w:rsid w:val="00413D36"/>
    <w:rsid w:val="004155D6"/>
    <w:rsid w:val="00416217"/>
    <w:rsid w:val="00424316"/>
    <w:rsid w:val="00425215"/>
    <w:rsid w:val="0043136A"/>
    <w:rsid w:val="00442E3D"/>
    <w:rsid w:val="00445648"/>
    <w:rsid w:val="00447E59"/>
    <w:rsid w:val="0045223C"/>
    <w:rsid w:val="004537F9"/>
    <w:rsid w:val="00465D6B"/>
    <w:rsid w:val="00472E7E"/>
    <w:rsid w:val="00474A14"/>
    <w:rsid w:val="00480133"/>
    <w:rsid w:val="004A2968"/>
    <w:rsid w:val="004B6222"/>
    <w:rsid w:val="004C018C"/>
    <w:rsid w:val="004C3940"/>
    <w:rsid w:val="004D4116"/>
    <w:rsid w:val="004E4947"/>
    <w:rsid w:val="004E4E8C"/>
    <w:rsid w:val="004E5D4D"/>
    <w:rsid w:val="004E7D5D"/>
    <w:rsid w:val="00502723"/>
    <w:rsid w:val="0052269E"/>
    <w:rsid w:val="00525585"/>
    <w:rsid w:val="005261FD"/>
    <w:rsid w:val="00526556"/>
    <w:rsid w:val="0052792F"/>
    <w:rsid w:val="00534314"/>
    <w:rsid w:val="0053780A"/>
    <w:rsid w:val="00541053"/>
    <w:rsid w:val="00552D7E"/>
    <w:rsid w:val="00555B0F"/>
    <w:rsid w:val="0055629B"/>
    <w:rsid w:val="00557FDD"/>
    <w:rsid w:val="00564A02"/>
    <w:rsid w:val="005715B8"/>
    <w:rsid w:val="00577E34"/>
    <w:rsid w:val="00581D06"/>
    <w:rsid w:val="00590E4A"/>
    <w:rsid w:val="005A0417"/>
    <w:rsid w:val="005A4A13"/>
    <w:rsid w:val="005A777D"/>
    <w:rsid w:val="005B528E"/>
    <w:rsid w:val="005C2521"/>
    <w:rsid w:val="005D35C4"/>
    <w:rsid w:val="005D37DA"/>
    <w:rsid w:val="005D47E6"/>
    <w:rsid w:val="005D6D23"/>
    <w:rsid w:val="005D735D"/>
    <w:rsid w:val="005E07E2"/>
    <w:rsid w:val="005F18D2"/>
    <w:rsid w:val="006078A7"/>
    <w:rsid w:val="00607DF7"/>
    <w:rsid w:val="00611516"/>
    <w:rsid w:val="0062259B"/>
    <w:rsid w:val="0062458C"/>
    <w:rsid w:val="00624BBC"/>
    <w:rsid w:val="006351F3"/>
    <w:rsid w:val="00636D9E"/>
    <w:rsid w:val="00642AC1"/>
    <w:rsid w:val="006463E8"/>
    <w:rsid w:val="006522BA"/>
    <w:rsid w:val="00653C93"/>
    <w:rsid w:val="0066292A"/>
    <w:rsid w:val="00677ED1"/>
    <w:rsid w:val="006827F2"/>
    <w:rsid w:val="00692B0F"/>
    <w:rsid w:val="00694091"/>
    <w:rsid w:val="006951DD"/>
    <w:rsid w:val="0069639B"/>
    <w:rsid w:val="006A039E"/>
    <w:rsid w:val="006A55B8"/>
    <w:rsid w:val="006A6409"/>
    <w:rsid w:val="006B4882"/>
    <w:rsid w:val="006B532F"/>
    <w:rsid w:val="006C0E0F"/>
    <w:rsid w:val="006C1C7F"/>
    <w:rsid w:val="006C7D76"/>
    <w:rsid w:val="006D07C3"/>
    <w:rsid w:val="006D60DF"/>
    <w:rsid w:val="006D73C2"/>
    <w:rsid w:val="006E2897"/>
    <w:rsid w:val="006E3204"/>
    <w:rsid w:val="006E44B9"/>
    <w:rsid w:val="006E5B09"/>
    <w:rsid w:val="00703F4E"/>
    <w:rsid w:val="007057CC"/>
    <w:rsid w:val="007068DA"/>
    <w:rsid w:val="007219EC"/>
    <w:rsid w:val="007262DC"/>
    <w:rsid w:val="007267AF"/>
    <w:rsid w:val="00726882"/>
    <w:rsid w:val="00727538"/>
    <w:rsid w:val="00730978"/>
    <w:rsid w:val="00733923"/>
    <w:rsid w:val="0073577E"/>
    <w:rsid w:val="00737A17"/>
    <w:rsid w:val="007411E5"/>
    <w:rsid w:val="0074385E"/>
    <w:rsid w:val="007455B2"/>
    <w:rsid w:val="0075203C"/>
    <w:rsid w:val="007547F6"/>
    <w:rsid w:val="007623F6"/>
    <w:rsid w:val="00763A68"/>
    <w:rsid w:val="00771D9A"/>
    <w:rsid w:val="00775C11"/>
    <w:rsid w:val="00775DF5"/>
    <w:rsid w:val="00787540"/>
    <w:rsid w:val="00792085"/>
    <w:rsid w:val="00795B8B"/>
    <w:rsid w:val="007B0B70"/>
    <w:rsid w:val="007B43D8"/>
    <w:rsid w:val="007C4080"/>
    <w:rsid w:val="007D6FA7"/>
    <w:rsid w:val="007F610A"/>
    <w:rsid w:val="00804CDA"/>
    <w:rsid w:val="008113AE"/>
    <w:rsid w:val="00814A11"/>
    <w:rsid w:val="00817758"/>
    <w:rsid w:val="00817A5E"/>
    <w:rsid w:val="0082529F"/>
    <w:rsid w:val="00832099"/>
    <w:rsid w:val="00832A52"/>
    <w:rsid w:val="00833E2D"/>
    <w:rsid w:val="008444FF"/>
    <w:rsid w:val="00844D01"/>
    <w:rsid w:val="0084575A"/>
    <w:rsid w:val="0084615D"/>
    <w:rsid w:val="00853E47"/>
    <w:rsid w:val="008549CC"/>
    <w:rsid w:val="0086129D"/>
    <w:rsid w:val="0087183A"/>
    <w:rsid w:val="00886DB5"/>
    <w:rsid w:val="008911CD"/>
    <w:rsid w:val="008954B2"/>
    <w:rsid w:val="00896567"/>
    <w:rsid w:val="008A6038"/>
    <w:rsid w:val="008A7858"/>
    <w:rsid w:val="008B3D9D"/>
    <w:rsid w:val="008B7B9E"/>
    <w:rsid w:val="008C3756"/>
    <w:rsid w:val="008C5966"/>
    <w:rsid w:val="008C7B77"/>
    <w:rsid w:val="008D04F6"/>
    <w:rsid w:val="008D0DED"/>
    <w:rsid w:val="008D4A21"/>
    <w:rsid w:val="008E1DE9"/>
    <w:rsid w:val="00901EEA"/>
    <w:rsid w:val="00902571"/>
    <w:rsid w:val="00905479"/>
    <w:rsid w:val="00906A6E"/>
    <w:rsid w:val="009200FA"/>
    <w:rsid w:val="00920B92"/>
    <w:rsid w:val="009217EA"/>
    <w:rsid w:val="009247F3"/>
    <w:rsid w:val="00925858"/>
    <w:rsid w:val="00926D22"/>
    <w:rsid w:val="0093666F"/>
    <w:rsid w:val="00937612"/>
    <w:rsid w:val="00940ECE"/>
    <w:rsid w:val="00947B0E"/>
    <w:rsid w:val="00980445"/>
    <w:rsid w:val="00981DB9"/>
    <w:rsid w:val="00984D5D"/>
    <w:rsid w:val="00991535"/>
    <w:rsid w:val="009A1FFB"/>
    <w:rsid w:val="009A3F3E"/>
    <w:rsid w:val="009A6C18"/>
    <w:rsid w:val="009B376B"/>
    <w:rsid w:val="009C3108"/>
    <w:rsid w:val="009C311A"/>
    <w:rsid w:val="009D0408"/>
    <w:rsid w:val="009D0B94"/>
    <w:rsid w:val="009D2F90"/>
    <w:rsid w:val="009D5922"/>
    <w:rsid w:val="009D5F19"/>
    <w:rsid w:val="009D6336"/>
    <w:rsid w:val="009D65A9"/>
    <w:rsid w:val="009E093A"/>
    <w:rsid w:val="009E2C10"/>
    <w:rsid w:val="009F6B37"/>
    <w:rsid w:val="00A038AC"/>
    <w:rsid w:val="00A1528A"/>
    <w:rsid w:val="00A314C5"/>
    <w:rsid w:val="00A47C38"/>
    <w:rsid w:val="00A54CAB"/>
    <w:rsid w:val="00A676B7"/>
    <w:rsid w:val="00A67C67"/>
    <w:rsid w:val="00A67D3C"/>
    <w:rsid w:val="00A7036F"/>
    <w:rsid w:val="00A80AF4"/>
    <w:rsid w:val="00A93FB6"/>
    <w:rsid w:val="00AB7D71"/>
    <w:rsid w:val="00AD633D"/>
    <w:rsid w:val="00AE3162"/>
    <w:rsid w:val="00AE3BE3"/>
    <w:rsid w:val="00AE78E9"/>
    <w:rsid w:val="00AF0067"/>
    <w:rsid w:val="00AF1553"/>
    <w:rsid w:val="00AF6580"/>
    <w:rsid w:val="00AF7944"/>
    <w:rsid w:val="00B01D4C"/>
    <w:rsid w:val="00B1069C"/>
    <w:rsid w:val="00B11A2E"/>
    <w:rsid w:val="00B179B3"/>
    <w:rsid w:val="00B32087"/>
    <w:rsid w:val="00B335D6"/>
    <w:rsid w:val="00B345BA"/>
    <w:rsid w:val="00B347F1"/>
    <w:rsid w:val="00B36F18"/>
    <w:rsid w:val="00B43DB8"/>
    <w:rsid w:val="00B47936"/>
    <w:rsid w:val="00B5023C"/>
    <w:rsid w:val="00B54184"/>
    <w:rsid w:val="00B61BD3"/>
    <w:rsid w:val="00B67908"/>
    <w:rsid w:val="00B7028A"/>
    <w:rsid w:val="00B70DBA"/>
    <w:rsid w:val="00B76BDB"/>
    <w:rsid w:val="00B85130"/>
    <w:rsid w:val="00B85ECD"/>
    <w:rsid w:val="00B9243A"/>
    <w:rsid w:val="00BB4991"/>
    <w:rsid w:val="00BB4F44"/>
    <w:rsid w:val="00BB737B"/>
    <w:rsid w:val="00BC7343"/>
    <w:rsid w:val="00BD58AD"/>
    <w:rsid w:val="00BD5E36"/>
    <w:rsid w:val="00BF196F"/>
    <w:rsid w:val="00BF4AAA"/>
    <w:rsid w:val="00BF5865"/>
    <w:rsid w:val="00BF70B9"/>
    <w:rsid w:val="00C01CFE"/>
    <w:rsid w:val="00C10530"/>
    <w:rsid w:val="00C124F1"/>
    <w:rsid w:val="00C14E78"/>
    <w:rsid w:val="00C21862"/>
    <w:rsid w:val="00C21C0E"/>
    <w:rsid w:val="00C35141"/>
    <w:rsid w:val="00C36D72"/>
    <w:rsid w:val="00C4194A"/>
    <w:rsid w:val="00C433B1"/>
    <w:rsid w:val="00C44299"/>
    <w:rsid w:val="00C45B22"/>
    <w:rsid w:val="00C479A9"/>
    <w:rsid w:val="00C5775E"/>
    <w:rsid w:val="00C6733B"/>
    <w:rsid w:val="00C73391"/>
    <w:rsid w:val="00C7543B"/>
    <w:rsid w:val="00C768CB"/>
    <w:rsid w:val="00C804A3"/>
    <w:rsid w:val="00C956B3"/>
    <w:rsid w:val="00CA041E"/>
    <w:rsid w:val="00CA05CE"/>
    <w:rsid w:val="00CA301C"/>
    <w:rsid w:val="00CA4211"/>
    <w:rsid w:val="00CA63CF"/>
    <w:rsid w:val="00CC0932"/>
    <w:rsid w:val="00CC3049"/>
    <w:rsid w:val="00CC3BCB"/>
    <w:rsid w:val="00CC730F"/>
    <w:rsid w:val="00CC7539"/>
    <w:rsid w:val="00CC7A6E"/>
    <w:rsid w:val="00CC7BED"/>
    <w:rsid w:val="00CD0EC4"/>
    <w:rsid w:val="00CD1CC9"/>
    <w:rsid w:val="00CD566D"/>
    <w:rsid w:val="00CE32DD"/>
    <w:rsid w:val="00CF0624"/>
    <w:rsid w:val="00CF6F53"/>
    <w:rsid w:val="00D1550D"/>
    <w:rsid w:val="00D33A77"/>
    <w:rsid w:val="00D35E2E"/>
    <w:rsid w:val="00D35FD8"/>
    <w:rsid w:val="00D4036F"/>
    <w:rsid w:val="00D41605"/>
    <w:rsid w:val="00D46F55"/>
    <w:rsid w:val="00D540D9"/>
    <w:rsid w:val="00D55D23"/>
    <w:rsid w:val="00D74F58"/>
    <w:rsid w:val="00D92AB6"/>
    <w:rsid w:val="00D95CC2"/>
    <w:rsid w:val="00DA7075"/>
    <w:rsid w:val="00DB04FF"/>
    <w:rsid w:val="00DB6580"/>
    <w:rsid w:val="00DC3C90"/>
    <w:rsid w:val="00DC4AA3"/>
    <w:rsid w:val="00DD35EE"/>
    <w:rsid w:val="00DE2E3E"/>
    <w:rsid w:val="00DE4095"/>
    <w:rsid w:val="00DE62E1"/>
    <w:rsid w:val="00DF01D4"/>
    <w:rsid w:val="00E10A58"/>
    <w:rsid w:val="00E13130"/>
    <w:rsid w:val="00E215AD"/>
    <w:rsid w:val="00E21EE4"/>
    <w:rsid w:val="00E2687C"/>
    <w:rsid w:val="00E31B91"/>
    <w:rsid w:val="00E332E4"/>
    <w:rsid w:val="00E3372F"/>
    <w:rsid w:val="00E500DA"/>
    <w:rsid w:val="00E55B1A"/>
    <w:rsid w:val="00E565FB"/>
    <w:rsid w:val="00E648B4"/>
    <w:rsid w:val="00E7077B"/>
    <w:rsid w:val="00E713AB"/>
    <w:rsid w:val="00E732C0"/>
    <w:rsid w:val="00E76F04"/>
    <w:rsid w:val="00E776E5"/>
    <w:rsid w:val="00E833BA"/>
    <w:rsid w:val="00E862A0"/>
    <w:rsid w:val="00E9080D"/>
    <w:rsid w:val="00E94246"/>
    <w:rsid w:val="00EA1C90"/>
    <w:rsid w:val="00EA287B"/>
    <w:rsid w:val="00EA4599"/>
    <w:rsid w:val="00EA7402"/>
    <w:rsid w:val="00EB315B"/>
    <w:rsid w:val="00EB57BA"/>
    <w:rsid w:val="00EC54AD"/>
    <w:rsid w:val="00EC56EC"/>
    <w:rsid w:val="00EC7A31"/>
    <w:rsid w:val="00ED1D20"/>
    <w:rsid w:val="00ED5ABF"/>
    <w:rsid w:val="00EE424A"/>
    <w:rsid w:val="00EF3DC4"/>
    <w:rsid w:val="00EF7E06"/>
    <w:rsid w:val="00F0145A"/>
    <w:rsid w:val="00F069A0"/>
    <w:rsid w:val="00F105E3"/>
    <w:rsid w:val="00F15010"/>
    <w:rsid w:val="00F178BE"/>
    <w:rsid w:val="00F2277B"/>
    <w:rsid w:val="00F25670"/>
    <w:rsid w:val="00F27161"/>
    <w:rsid w:val="00F27353"/>
    <w:rsid w:val="00F348BA"/>
    <w:rsid w:val="00F42C67"/>
    <w:rsid w:val="00F6072B"/>
    <w:rsid w:val="00F63690"/>
    <w:rsid w:val="00F671FA"/>
    <w:rsid w:val="00F706D5"/>
    <w:rsid w:val="00F71FEF"/>
    <w:rsid w:val="00F7492C"/>
    <w:rsid w:val="00F835C0"/>
    <w:rsid w:val="00FA08DB"/>
    <w:rsid w:val="00FA5D66"/>
    <w:rsid w:val="00FD3AD5"/>
    <w:rsid w:val="00FE4BBD"/>
    <w:rsid w:val="00FF3B94"/>
    <w:rsid w:val="00FF4196"/>
    <w:rsid w:val="00FF75BF"/>
    <w:rsid w:val="0B12BDA5"/>
    <w:rsid w:val="0F409355"/>
    <w:rsid w:val="10743882"/>
    <w:rsid w:val="18BED3AA"/>
    <w:rsid w:val="1CF62400"/>
    <w:rsid w:val="22CE613B"/>
    <w:rsid w:val="31AF711D"/>
    <w:rsid w:val="34E32000"/>
    <w:rsid w:val="41039199"/>
    <w:rsid w:val="45A162EF"/>
    <w:rsid w:val="4BCF8C5A"/>
    <w:rsid w:val="52A558CD"/>
    <w:rsid w:val="5549B409"/>
    <w:rsid w:val="558E6BFF"/>
    <w:rsid w:val="565CA636"/>
    <w:rsid w:val="56795548"/>
    <w:rsid w:val="59DDFDBA"/>
    <w:rsid w:val="5C010AF5"/>
    <w:rsid w:val="5D144A45"/>
    <w:rsid w:val="5F40338B"/>
    <w:rsid w:val="682A07AB"/>
    <w:rsid w:val="6A06B847"/>
    <w:rsid w:val="6B2ED218"/>
    <w:rsid w:val="6DE08978"/>
    <w:rsid w:val="6E9BCCFB"/>
    <w:rsid w:val="73063D03"/>
    <w:rsid w:val="7666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2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85130"/>
    <w:pPr>
      <w:spacing w:after="160" w:line="300" w:lineRule="exact"/>
    </w:pPr>
    <w:rPr>
      <w:rFonts w:ascii="Arial" w:hAnsi="Arial" w:cs="VIC-SemiBold"/>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B85130"/>
    <w:pPr>
      <w:keepNext/>
      <w:spacing w:before="240" w:after="60" w:line="240" w:lineRule="auto"/>
      <w:outlineLvl w:val="2"/>
    </w:pPr>
    <w:rPr>
      <w:b/>
      <w:sz w:val="26"/>
    </w:rPr>
  </w:style>
  <w:style w:type="paragraph" w:styleId="Heading4">
    <w:name w:val="heading 4"/>
    <w:basedOn w:val="Normal"/>
    <w:next w:val="Normal"/>
    <w:link w:val="Heading4Char"/>
    <w:uiPriority w:val="9"/>
    <w:semiHidden/>
    <w:rsid w:val="00B85130"/>
    <w:pPr>
      <w:keepNext/>
      <w:keepLines/>
      <w:spacing w:before="40" w:after="0"/>
      <w:outlineLvl w:val="3"/>
    </w:pPr>
    <w:rPr>
      <w:rFonts w:eastAsiaTheme="majorEastAsia" w:cstheme="majorBidi"/>
      <w:b/>
      <w:iCs/>
      <w:color w:val="00412E" w:themeColor="accent1" w:themeShade="BF"/>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rsid w:val="008C3756"/>
    <w:pPr>
      <w:tabs>
        <w:tab w:val="center" w:pos="4513"/>
        <w:tab w:val="right" w:pos="9026"/>
      </w:tabs>
    </w:pPr>
  </w:style>
  <w:style w:type="character" w:customStyle="1" w:styleId="HeaderChar">
    <w:name w:val="Header Char"/>
    <w:basedOn w:val="DefaultParagraphFont"/>
    <w:link w:val="Header"/>
    <w:uiPriority w:val="99"/>
    <w:rsid w:val="00292828"/>
    <w:rPr>
      <w:rFonts w:ascii="Arial" w:hAnsi="Arial" w:cs="VIC-SemiBold"/>
      <w:color w:val="000000" w:themeColor="text1"/>
      <w:szCs w:val="50"/>
    </w:rPr>
  </w:style>
  <w:style w:type="paragraph" w:styleId="Footer">
    <w:name w:val="footer"/>
    <w:basedOn w:val="Normal"/>
    <w:link w:val="FooterChar"/>
    <w:uiPriority w:val="99"/>
    <w:rsid w:val="008C3756"/>
    <w:pPr>
      <w:tabs>
        <w:tab w:val="center" w:pos="4513"/>
        <w:tab w:val="right" w:pos="9026"/>
      </w:tabs>
    </w:pPr>
  </w:style>
  <w:style w:type="character" w:customStyle="1" w:styleId="FooterChar">
    <w:name w:val="Footer Char"/>
    <w:basedOn w:val="DefaultParagraphFont"/>
    <w:link w:val="Footer"/>
    <w:uiPriority w:val="99"/>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B85130"/>
    <w:rPr>
      <w:rFonts w:ascii="Arial" w:hAnsi="Arial" w:cs="VIC-SemiBold"/>
      <w:b/>
      <w:color w:val="000000" w:themeColor="text1"/>
      <w:sz w:val="26"/>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Heading1"/>
    <w:next w:val="Normal"/>
    <w:link w:val="TitleChar"/>
    <w:uiPriority w:val="10"/>
    <w:qFormat/>
    <w:rsid w:val="00CA05CE"/>
    <w:pPr>
      <w:framePr w:w="7876" w:h="2053" w:hRule="exact" w:hSpace="5670" w:wrap="around" w:vAnchor="page" w:hAnchor="page" w:x="852" w:y="738" w:anchorLock="1"/>
      <w:spacing w:before="240" w:line="440" w:lineRule="exact"/>
      <w:ind w:right="839"/>
    </w:pPr>
    <w:rPr>
      <w:caps w:val="0"/>
      <w:sz w:val="41"/>
      <w:szCs w:val="41"/>
    </w:rPr>
  </w:style>
  <w:style w:type="character" w:customStyle="1" w:styleId="TitleChar">
    <w:name w:val="Title Char"/>
    <w:basedOn w:val="DefaultParagraphFont"/>
    <w:link w:val="Title"/>
    <w:uiPriority w:val="10"/>
    <w:rsid w:val="00CA05CE"/>
    <w:rPr>
      <w:rFonts w:ascii="Arial" w:hAnsi="Arial" w:cs="VIC-SemiBold"/>
      <w:b/>
      <w:bCs/>
      <w:noProof/>
      <w:color w:val="000000" w:themeColor="text1"/>
      <w:sz w:val="41"/>
      <w:szCs w:val="41"/>
    </w:rPr>
  </w:style>
  <w:style w:type="paragraph" w:styleId="ListBullet">
    <w:name w:val="List Bullet"/>
    <w:basedOn w:val="Normal"/>
    <w:uiPriority w:val="99"/>
    <w:unhideWhenUsed/>
    <w:rsid w:val="00E332E4"/>
    <w:pPr>
      <w:numPr>
        <w:numId w:val="11"/>
      </w:numPr>
      <w:spacing w:after="60"/>
      <w:ind w:left="284" w:hanging="284"/>
    </w:pPr>
  </w:style>
  <w:style w:type="paragraph" w:styleId="Subtitle">
    <w:name w:val="Subtitle"/>
    <w:basedOn w:val="Heading1"/>
    <w:next w:val="Normal"/>
    <w:link w:val="SubtitleChar"/>
    <w:uiPriority w:val="2"/>
    <w:rsid w:val="00525585"/>
    <w:pPr>
      <w:framePr w:w="7655" w:h="2722" w:hRule="exact" w:hSpace="5670" w:wrap="around" w:vAnchor="page" w:hAnchor="page" w:x="852" w:y="738" w:anchorLock="1"/>
      <w:spacing w:before="200" w:after="0" w:line="280" w:lineRule="exact"/>
      <w:outlineLvl w:val="9"/>
    </w:pPr>
    <w:rPr>
      <w:rFonts w:eastAsiaTheme="majorEastAsia" w:cstheme="majorBidi"/>
      <w:b w:val="0"/>
      <w:caps w:val="0"/>
      <w:spacing w:val="-4"/>
      <w:sz w:val="24"/>
      <w:szCs w:val="40"/>
      <w:lang w:val="en-AU" w:eastAsia="en-AU"/>
    </w:rPr>
  </w:style>
  <w:style w:type="character" w:customStyle="1" w:styleId="SubtitleChar">
    <w:name w:val="Subtitle Char"/>
    <w:basedOn w:val="DefaultParagraphFont"/>
    <w:link w:val="Subtitle"/>
    <w:uiPriority w:val="2"/>
    <w:rsid w:val="00525585"/>
    <w:rPr>
      <w:rFonts w:ascii="Arial" w:eastAsiaTheme="majorEastAsia" w:hAnsi="Arial" w:cstheme="majorBidi"/>
      <w:bCs/>
      <w:color w:val="000000" w:themeColor="text1"/>
      <w:spacing w:val="-4"/>
      <w:szCs w:val="40"/>
      <w:lang w:val="en-AU" w:eastAsia="en-AU"/>
    </w:rPr>
  </w:style>
  <w:style w:type="character" w:styleId="PlaceholderText">
    <w:name w:val="Placeholder Text"/>
    <w:basedOn w:val="DefaultParagraphFont"/>
    <w:uiPriority w:val="99"/>
    <w:rsid w:val="009D0B94"/>
    <w:rPr>
      <w:color w:val="auto"/>
      <w:bdr w:val="none" w:sz="0" w:space="0" w:color="auto"/>
      <w:shd w:val="clear" w:color="auto" w:fill="FFFF00"/>
    </w:rPr>
  </w:style>
  <w:style w:type="paragraph" w:customStyle="1" w:styleId="DisclaimerText">
    <w:name w:val="Disclaimer Text"/>
    <w:basedOn w:val="Normal"/>
    <w:uiPriority w:val="99"/>
    <w:semiHidden/>
    <w:rsid w:val="009D0B94"/>
    <w:pPr>
      <w:framePr w:w="10206" w:hSpace="284" w:vSpace="142" w:wrap="around" w:hAnchor="page" w:x="852" w:yAlign="bottom"/>
      <w:spacing w:after="60" w:line="240" w:lineRule="atLeast"/>
      <w:suppressOverlap/>
    </w:pPr>
    <w:rPr>
      <w:rFonts w:asciiTheme="minorHAnsi" w:eastAsia="Times New Roman" w:hAnsiTheme="minorHAnsi" w:cs="Arial"/>
      <w:sz w:val="20"/>
      <w:szCs w:val="20"/>
      <w:lang w:val="en-AU" w:eastAsia="en-AU"/>
    </w:rPr>
  </w:style>
  <w:style w:type="paragraph" w:customStyle="1" w:styleId="SmallBodyText">
    <w:name w:val="Small Body Text"/>
    <w:basedOn w:val="Normal"/>
    <w:qFormat/>
    <w:rsid w:val="009D0B94"/>
    <w:pPr>
      <w:spacing w:before="80" w:after="80" w:line="245" w:lineRule="auto"/>
    </w:pPr>
    <w:rPr>
      <w:rFonts w:asciiTheme="minorHAnsi" w:eastAsia="Times New Roman" w:hAnsiTheme="minorHAnsi" w:cs="Times New Roman"/>
      <w:color w:val="auto"/>
      <w:sz w:val="18"/>
      <w:szCs w:val="20"/>
      <w:lang w:val="en-AU" w:eastAsia="en-AU"/>
    </w:rPr>
  </w:style>
  <w:style w:type="paragraph" w:customStyle="1" w:styleId="DisclaimerText12pt">
    <w:name w:val="Disclaimer Text 12 pt"/>
    <w:basedOn w:val="DisclaimerText"/>
    <w:uiPriority w:val="99"/>
    <w:semiHidden/>
    <w:qFormat/>
    <w:rsid w:val="009D0B94"/>
    <w:pPr>
      <w:framePr w:wrap="around"/>
    </w:pPr>
    <w:rPr>
      <w:sz w:val="24"/>
    </w:rPr>
  </w:style>
  <w:style w:type="paragraph" w:styleId="BodyText">
    <w:name w:val="Body Text"/>
    <w:basedOn w:val="Normal"/>
    <w:link w:val="BodyTextChar"/>
    <w:qFormat/>
    <w:rsid w:val="00525585"/>
    <w:pPr>
      <w:spacing w:before="120" w:after="120" w:line="240" w:lineRule="atLeast"/>
    </w:pPr>
    <w:rPr>
      <w:rFonts w:asciiTheme="minorHAnsi" w:eastAsia="Times New Roman" w:hAnsiTheme="minorHAnsi" w:cs="Times New Roman"/>
      <w:color w:val="auto"/>
      <w:sz w:val="20"/>
      <w:szCs w:val="20"/>
      <w:lang w:val="en-AU" w:eastAsia="en-AU"/>
    </w:rPr>
  </w:style>
  <w:style w:type="character" w:customStyle="1" w:styleId="BodyTextChar">
    <w:name w:val="Body Text Char"/>
    <w:basedOn w:val="DefaultParagraphFont"/>
    <w:link w:val="BodyText"/>
    <w:rsid w:val="00525585"/>
    <w:rPr>
      <w:rFonts w:eastAsia="Times New Roman" w:cs="Times New Roman"/>
      <w:sz w:val="20"/>
      <w:szCs w:val="20"/>
      <w:lang w:val="en-AU" w:eastAsia="en-AU"/>
    </w:rPr>
  </w:style>
  <w:style w:type="paragraph" w:styleId="NoSpacing">
    <w:name w:val="No Spacing"/>
    <w:basedOn w:val="Normal"/>
    <w:next w:val="BodyText"/>
    <w:link w:val="NoSpacingChar"/>
    <w:qFormat/>
    <w:rsid w:val="00525585"/>
    <w:pPr>
      <w:spacing w:after="0" w:line="240" w:lineRule="atLeast"/>
    </w:pPr>
    <w:rPr>
      <w:rFonts w:asciiTheme="minorHAnsi" w:eastAsia="Times New Roman" w:hAnsiTheme="minorHAnsi" w:cs="Times New Roman"/>
      <w:color w:val="auto"/>
      <w:sz w:val="20"/>
      <w:szCs w:val="20"/>
      <w:lang w:val="en-AU" w:eastAsia="en-AU"/>
    </w:rPr>
  </w:style>
  <w:style w:type="paragraph" w:customStyle="1" w:styleId="xVicLogo">
    <w:name w:val="xVicLogo"/>
    <w:basedOn w:val="NoSpacing"/>
    <w:uiPriority w:val="99"/>
    <w:semiHidden/>
    <w:rsid w:val="00525585"/>
    <w:pPr>
      <w:framePr w:wrap="around" w:vAnchor="page" w:hAnchor="page" w:x="8602" w:y="15452"/>
    </w:pPr>
  </w:style>
  <w:style w:type="character" w:customStyle="1" w:styleId="NoSpacingChar">
    <w:name w:val="No Spacing Char"/>
    <w:basedOn w:val="DefaultParagraphFont"/>
    <w:link w:val="NoSpacing"/>
    <w:rsid w:val="00525585"/>
    <w:rPr>
      <w:rFonts w:eastAsia="Times New Roman" w:cs="Times New Roman"/>
      <w:sz w:val="20"/>
      <w:szCs w:val="20"/>
      <w:lang w:val="en-AU" w:eastAsia="en-AU"/>
    </w:rPr>
  </w:style>
  <w:style w:type="paragraph" w:customStyle="1" w:styleId="FooterOdd">
    <w:name w:val="Footer Odd"/>
    <w:next w:val="Footer"/>
    <w:uiPriority w:val="99"/>
    <w:rsid w:val="00525585"/>
    <w:pPr>
      <w:spacing w:line="200" w:lineRule="atLeast"/>
      <w:jc w:val="right"/>
    </w:pPr>
    <w:rPr>
      <w:rFonts w:eastAsia="Times New Roman" w:cs="Arial"/>
      <w:color w:val="000000" w:themeColor="text1"/>
      <w:spacing w:val="2"/>
      <w:sz w:val="16"/>
      <w:szCs w:val="20"/>
      <w:lang w:val="en-AU" w:eastAsia="en-AU"/>
    </w:rPr>
  </w:style>
  <w:style w:type="paragraph" w:customStyle="1" w:styleId="FooterOddPageNumber">
    <w:name w:val="Footer Odd Page Number"/>
    <w:basedOn w:val="FooterOdd"/>
    <w:uiPriority w:val="99"/>
    <w:rsid w:val="00525585"/>
    <w:pPr>
      <w:ind w:right="28"/>
    </w:pPr>
    <w:rPr>
      <w:b/>
    </w:rPr>
  </w:style>
  <w:style w:type="table" w:customStyle="1" w:styleId="TableAsPlaceholder">
    <w:name w:val="Table As Placeholder"/>
    <w:basedOn w:val="TableNormal"/>
    <w:uiPriority w:val="99"/>
    <w:qFormat/>
    <w:rsid w:val="00525585"/>
    <w:pPr>
      <w:spacing w:line="240" w:lineRule="atLeast"/>
    </w:pPr>
    <w:rPr>
      <w:rFonts w:eastAsia="Times New Roman" w:cs="Arial"/>
      <w:color w:val="000000" w:themeColor="text1"/>
      <w:sz w:val="20"/>
      <w:szCs w:val="20"/>
      <w:lang w:val="en-AU" w:eastAsia="en-AU"/>
    </w:rPr>
    <w:tblPr>
      <w:tblCellMar>
        <w:left w:w="0" w:type="dxa"/>
        <w:right w:w="0" w:type="dxa"/>
      </w:tblCellMar>
    </w:tblPr>
  </w:style>
  <w:style w:type="paragraph" w:customStyle="1" w:styleId="FooterEven">
    <w:name w:val="Footer Even"/>
    <w:next w:val="Footer"/>
    <w:uiPriority w:val="99"/>
    <w:rsid w:val="00525585"/>
    <w:pPr>
      <w:spacing w:line="200" w:lineRule="atLeast"/>
    </w:pPr>
    <w:rPr>
      <w:rFonts w:eastAsia="Times New Roman" w:cs="Arial"/>
      <w:color w:val="000000" w:themeColor="text1"/>
      <w:sz w:val="16"/>
      <w:szCs w:val="20"/>
      <w:lang w:val="en-AU" w:eastAsia="en-AU"/>
    </w:rPr>
  </w:style>
  <w:style w:type="paragraph" w:customStyle="1" w:styleId="FooterEvenPageNumber">
    <w:name w:val="Footer Even Page Number"/>
    <w:basedOn w:val="FooterEven"/>
    <w:uiPriority w:val="99"/>
    <w:rsid w:val="00525585"/>
    <w:pPr>
      <w:framePr w:wrap="around" w:vAnchor="page" w:hAnchor="margin" w:yAlign="bottom"/>
    </w:pPr>
    <w:rPr>
      <w:b/>
    </w:rPr>
  </w:style>
  <w:style w:type="character" w:styleId="Hyperlink">
    <w:name w:val="Hyperlink"/>
    <w:basedOn w:val="DefaultParagraphFont"/>
    <w:uiPriority w:val="99"/>
    <w:unhideWhenUsed/>
    <w:rsid w:val="0052792F"/>
    <w:rPr>
      <w:color w:val="0563C1" w:themeColor="hyperlink"/>
      <w:u w:val="single"/>
    </w:rPr>
  </w:style>
  <w:style w:type="character" w:styleId="CommentReference">
    <w:name w:val="annotation reference"/>
    <w:basedOn w:val="DefaultParagraphFont"/>
    <w:uiPriority w:val="99"/>
    <w:semiHidden/>
    <w:unhideWhenUsed/>
    <w:rsid w:val="0052792F"/>
    <w:rPr>
      <w:sz w:val="16"/>
      <w:szCs w:val="16"/>
    </w:rPr>
  </w:style>
  <w:style w:type="paragraph" w:styleId="CommentText">
    <w:name w:val="annotation text"/>
    <w:basedOn w:val="Normal"/>
    <w:link w:val="CommentTextChar"/>
    <w:uiPriority w:val="99"/>
    <w:unhideWhenUsed/>
    <w:rsid w:val="0052792F"/>
    <w:pPr>
      <w:spacing w:after="200" w:line="240" w:lineRule="auto"/>
    </w:pPr>
    <w:rPr>
      <w:sz w:val="20"/>
      <w:szCs w:val="20"/>
      <w:lang w:val="en-AU"/>
    </w:rPr>
  </w:style>
  <w:style w:type="character" w:customStyle="1" w:styleId="CommentTextChar">
    <w:name w:val="Comment Text Char"/>
    <w:basedOn w:val="DefaultParagraphFont"/>
    <w:link w:val="CommentText"/>
    <w:uiPriority w:val="99"/>
    <w:rsid w:val="0052792F"/>
    <w:rPr>
      <w:rFonts w:ascii="Arial" w:hAnsi="Arial" w:cs="VIC-SemiBold"/>
      <w:color w:val="000000" w:themeColor="text1"/>
      <w:sz w:val="20"/>
      <w:szCs w:val="20"/>
      <w:lang w:val="en-AU"/>
    </w:rPr>
  </w:style>
  <w:style w:type="paragraph" w:styleId="Caption">
    <w:name w:val="caption"/>
    <w:basedOn w:val="Normal"/>
    <w:next w:val="Normal"/>
    <w:uiPriority w:val="35"/>
    <w:unhideWhenUsed/>
    <w:qFormat/>
    <w:rsid w:val="0052792F"/>
    <w:pPr>
      <w:spacing w:after="200" w:line="240" w:lineRule="auto"/>
    </w:pPr>
    <w:rPr>
      <w:i/>
      <w:iCs/>
      <w:color w:val="53565A" w:themeColor="text2"/>
      <w:sz w:val="18"/>
      <w:szCs w:val="18"/>
      <w:lang w:val="en-AU"/>
    </w:rPr>
  </w:style>
  <w:style w:type="paragraph" w:styleId="Revision">
    <w:name w:val="Revision"/>
    <w:hidden/>
    <w:uiPriority w:val="99"/>
    <w:semiHidden/>
    <w:rsid w:val="003822F7"/>
    <w:rPr>
      <w:rFonts w:ascii="Arial" w:hAnsi="Arial" w:cs="VIC-SemiBold"/>
      <w:color w:val="000000" w:themeColor="text1"/>
      <w:szCs w:val="50"/>
    </w:rPr>
  </w:style>
  <w:style w:type="paragraph" w:styleId="CommentSubject">
    <w:name w:val="annotation subject"/>
    <w:basedOn w:val="CommentText"/>
    <w:next w:val="CommentText"/>
    <w:link w:val="CommentSubjectChar"/>
    <w:uiPriority w:val="99"/>
    <w:semiHidden/>
    <w:unhideWhenUsed/>
    <w:rsid w:val="0002255F"/>
    <w:pPr>
      <w:spacing w:after="160"/>
    </w:pPr>
    <w:rPr>
      <w:b/>
      <w:bCs/>
      <w:lang w:val="en-US"/>
    </w:rPr>
  </w:style>
  <w:style w:type="character" w:customStyle="1" w:styleId="CommentSubjectChar">
    <w:name w:val="Comment Subject Char"/>
    <w:basedOn w:val="CommentTextChar"/>
    <w:link w:val="CommentSubject"/>
    <w:uiPriority w:val="99"/>
    <w:semiHidden/>
    <w:rsid w:val="0002255F"/>
    <w:rPr>
      <w:rFonts w:ascii="Arial" w:hAnsi="Arial" w:cs="VIC-SemiBold"/>
      <w:b/>
      <w:bCs/>
      <w:color w:val="000000" w:themeColor="text1"/>
      <w:sz w:val="20"/>
      <w:szCs w:val="20"/>
      <w:lang w:val="en-AU"/>
    </w:rPr>
  </w:style>
  <w:style w:type="character" w:styleId="Mention">
    <w:name w:val="Mention"/>
    <w:basedOn w:val="DefaultParagraphFont"/>
    <w:uiPriority w:val="99"/>
    <w:rsid w:val="001A43FA"/>
    <w:rPr>
      <w:color w:val="2B579A"/>
      <w:shd w:val="clear" w:color="auto" w:fill="E1DFDD"/>
    </w:rPr>
  </w:style>
  <w:style w:type="character" w:styleId="UnresolvedMention">
    <w:name w:val="Unresolved Mention"/>
    <w:basedOn w:val="DefaultParagraphFont"/>
    <w:uiPriority w:val="99"/>
    <w:rsid w:val="003E4FCB"/>
    <w:rPr>
      <w:color w:val="605E5C"/>
      <w:shd w:val="clear" w:color="auto" w:fill="E1DFDD"/>
    </w:rPr>
  </w:style>
  <w:style w:type="character" w:styleId="FollowedHyperlink">
    <w:name w:val="FollowedHyperlink"/>
    <w:basedOn w:val="DefaultParagraphFont"/>
    <w:uiPriority w:val="99"/>
    <w:semiHidden/>
    <w:unhideWhenUsed/>
    <w:rsid w:val="00303AEF"/>
    <w:rPr>
      <w:color w:val="954F72" w:themeColor="followedHyperlink"/>
      <w:u w:val="single"/>
    </w:rPr>
  </w:style>
  <w:style w:type="character" w:customStyle="1" w:styleId="Heading4Char">
    <w:name w:val="Heading 4 Char"/>
    <w:basedOn w:val="DefaultParagraphFont"/>
    <w:link w:val="Heading4"/>
    <w:uiPriority w:val="9"/>
    <w:semiHidden/>
    <w:rsid w:val="00B85130"/>
    <w:rPr>
      <w:rFonts w:ascii="Arial" w:eastAsiaTheme="majorEastAsia" w:hAnsi="Arial" w:cstheme="majorBidi"/>
      <w:b/>
      <w:iCs/>
      <w:color w:val="00412E" w:themeColor="accent1" w:themeShade="BF"/>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a.vic.gov.au/about-epa/publications/iwrg641-1" TargetMode="External"/><Relationship Id="rId18" Type="http://schemas.openxmlformats.org/officeDocument/2006/relationships/hyperlink" Target="https://www.worksafe.vic.gov.a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2.health.vic.gov.au/public-health/infectious-diseases/disease-information-advice/q-fever" TargetMode="External"/><Relationship Id="rId7" Type="http://schemas.openxmlformats.org/officeDocument/2006/relationships/endnotes" Target="endnotes.xml"/><Relationship Id="rId12" Type="http://schemas.openxmlformats.org/officeDocument/2006/relationships/hyperlink" Target="tel:1300372842" TargetMode="External"/><Relationship Id="rId17" Type="http://schemas.openxmlformats.org/officeDocument/2006/relationships/hyperlink" Target="https://developments.agriculture.vic.gov.au/NFD/index" TargetMode="External"/><Relationship Id="rId25" Type="http://schemas.openxmlformats.org/officeDocument/2006/relationships/hyperlink" Target="tel:136186" TargetMode="External"/><Relationship Id="rId2" Type="http://schemas.openxmlformats.org/officeDocument/2006/relationships/numbering" Target="numbering.xml"/><Relationship Id="rId16" Type="http://schemas.openxmlformats.org/officeDocument/2006/relationships/hyperlink" Target="https://www.epa.vic.gov.au/composting-mortalities-farms" TargetMode="External"/><Relationship Id="rId20" Type="http://schemas.openxmlformats.org/officeDocument/2006/relationships/image" Target="media/image3.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vic.gov.au/manage-farm-waste" TargetMode="External"/><Relationship Id="rId24" Type="http://schemas.openxmlformats.org/officeDocument/2006/relationships/hyperlink" Target="mailto:livestock.disposal@agriculture.vic.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griculture.vic.gov.au/farm-management/soil/composting/compost-and-farm-biosecurity" TargetMode="External"/><Relationship Id="rId23" Type="http://schemas.openxmlformats.org/officeDocument/2006/relationships/hyperlink" Target="https://www.worksafe.vic.gov.au/" TargetMode="External"/><Relationship Id="rId28" Type="http://schemas.openxmlformats.org/officeDocument/2006/relationships/footer" Target="footer1.xml"/><Relationship Id="rId10" Type="http://schemas.openxmlformats.org/officeDocument/2006/relationships/hyperlink" Target="mailto:livestock.disposal@agriculture.vic.gov.au"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0407145007" TargetMode="External"/><Relationship Id="rId14" Type="http://schemas.openxmlformats.org/officeDocument/2006/relationships/hyperlink" Target="https://www.epa.vic.gov.au/composting-mortalities-farms" TargetMode="External"/><Relationship Id="rId22" Type="http://schemas.openxmlformats.org/officeDocument/2006/relationships/hyperlink" Target="https://www.worksafe.vic.gov.au/report-incident-criteria-notifiable-incidents" TargetMode="External"/><Relationship Id="rId27" Type="http://schemas.openxmlformats.org/officeDocument/2006/relationships/header" Target="header2.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1972</Words>
  <Characters>10832</Characters>
  <Application>Microsoft Office Word</Application>
  <DocSecurity>0</DocSecurity>
  <Lines>225</Lines>
  <Paragraphs>158</Paragraphs>
  <ScaleCrop>false</ScaleCrop>
  <Manager/>
  <Company/>
  <LinksUpToDate>false</LinksUpToDate>
  <CharactersWithSpaces>12646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2026-01-30T23:38:00Z</dcterms:created>
  <dcterms:modified xsi:type="dcterms:W3CDTF">2026-02-01T22:24:00Z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12d01d96,7fd11d9a,4787f212</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2026-01-30T23:39:02Z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6f37c547-1ac1-435c-96eb-eb194b24b7b4</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