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0F9D" w14:textId="28A264C5" w:rsidR="00FE5ED1" w:rsidRDefault="0020259F" w:rsidP="008D57CB">
      <w:pPr>
        <w:jc w:val="right"/>
      </w:pPr>
      <w:r>
        <w:rPr>
          <w:noProof/>
        </w:rPr>
        <w:drawing>
          <wp:inline distT="0" distB="0" distL="0" distR="0" wp14:anchorId="57B6E3A2" wp14:editId="28F37097">
            <wp:extent cx="2552308" cy="664234"/>
            <wp:effectExtent l="0" t="0" r="635" b="254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7567" cy="686423"/>
                    </a:xfrm>
                    <a:prstGeom prst="rect">
                      <a:avLst/>
                    </a:prstGeom>
                  </pic:spPr>
                </pic:pic>
              </a:graphicData>
            </a:graphic>
          </wp:inline>
        </w:drawing>
      </w:r>
    </w:p>
    <w:p w14:paraId="7900ADEF" w14:textId="74F98C0D" w:rsidR="0020259F" w:rsidRPr="004D1720" w:rsidRDefault="0020259F" w:rsidP="008F1172">
      <w:pPr>
        <w:pStyle w:val="Title"/>
        <w:rPr>
          <w:rFonts w:ascii="VIC" w:hAnsi="VIC"/>
          <w:color w:val="2F5496" w:themeColor="accent1" w:themeShade="BF"/>
          <w:spacing w:val="0"/>
          <w:kern w:val="0"/>
          <w:sz w:val="32"/>
          <w:szCs w:val="32"/>
        </w:rPr>
      </w:pPr>
      <w:r w:rsidRPr="004D1720">
        <w:rPr>
          <w:rFonts w:ascii="VIC" w:hAnsi="VIC"/>
          <w:color w:val="2F5496" w:themeColor="accent1" w:themeShade="BF"/>
          <w:spacing w:val="0"/>
          <w:kern w:val="0"/>
          <w:sz w:val="32"/>
          <w:szCs w:val="32"/>
        </w:rPr>
        <w:t>Authorisation and record-keeping requirements for farm chemical retailers</w:t>
      </w:r>
    </w:p>
    <w:p w14:paraId="54ECF2AA" w14:textId="77777777" w:rsidR="00F85E68" w:rsidRPr="0089717B" w:rsidRDefault="00F85E68" w:rsidP="006C2833">
      <w:pPr>
        <w:rPr>
          <w:rFonts w:ascii="VIC" w:hAnsi="VIC"/>
          <w:sz w:val="24"/>
          <w:szCs w:val="24"/>
        </w:rPr>
      </w:pPr>
      <w:r w:rsidRPr="0089717B">
        <w:rPr>
          <w:rFonts w:ascii="VIC" w:hAnsi="VIC"/>
          <w:sz w:val="24"/>
          <w:szCs w:val="24"/>
        </w:rPr>
        <w:t xml:space="preserve">This information note summarises the authorisation types required and the records that must legally be kept for the retail sale / supply of farm agricultural chemicals in Victoria. </w:t>
      </w:r>
    </w:p>
    <w:p w14:paraId="212645FE" w14:textId="77777777" w:rsidR="00F85E68" w:rsidRPr="0089717B" w:rsidRDefault="00F85E68" w:rsidP="00F85E68">
      <w:pPr>
        <w:rPr>
          <w:rFonts w:ascii="VIC" w:hAnsi="VIC"/>
          <w:iCs/>
          <w:sz w:val="24"/>
          <w:szCs w:val="24"/>
        </w:rPr>
      </w:pPr>
      <w:r w:rsidRPr="0089717B">
        <w:rPr>
          <w:rFonts w:ascii="VIC" w:hAnsi="VIC"/>
          <w:sz w:val="24"/>
          <w:szCs w:val="24"/>
        </w:rPr>
        <w:t xml:space="preserve">The primary legislation governing who is authorised to be supplied with agricultural chemicals is the Commonwealth </w:t>
      </w:r>
      <w:r w:rsidRPr="0089717B">
        <w:rPr>
          <w:rFonts w:ascii="VIC" w:hAnsi="VIC"/>
          <w:i/>
          <w:sz w:val="24"/>
          <w:szCs w:val="24"/>
        </w:rPr>
        <w:t>Agricultural and Veterinary Chemicals Code Act 1994</w:t>
      </w:r>
      <w:r w:rsidRPr="0089717B">
        <w:rPr>
          <w:rFonts w:ascii="VIC" w:hAnsi="VIC"/>
          <w:iCs/>
          <w:sz w:val="24"/>
          <w:szCs w:val="24"/>
        </w:rPr>
        <w:t xml:space="preserve">. </w:t>
      </w:r>
    </w:p>
    <w:p w14:paraId="5457D9C5" w14:textId="77777777" w:rsidR="00F85E68" w:rsidRPr="0089717B" w:rsidRDefault="00F85E68" w:rsidP="00F85E68">
      <w:pPr>
        <w:rPr>
          <w:rFonts w:ascii="VIC" w:hAnsi="VIC"/>
          <w:sz w:val="24"/>
          <w:szCs w:val="24"/>
        </w:rPr>
      </w:pPr>
      <w:r w:rsidRPr="0089717B">
        <w:rPr>
          <w:rFonts w:ascii="VIC" w:hAnsi="VIC"/>
          <w:iCs/>
          <w:sz w:val="24"/>
          <w:szCs w:val="24"/>
        </w:rPr>
        <w:t xml:space="preserve">The </w:t>
      </w:r>
      <w:r w:rsidRPr="0089717B">
        <w:rPr>
          <w:rFonts w:ascii="VIC" w:hAnsi="VIC"/>
          <w:sz w:val="24"/>
          <w:szCs w:val="24"/>
        </w:rPr>
        <w:t xml:space="preserve">Victorian </w:t>
      </w:r>
      <w:r w:rsidRPr="0089717B">
        <w:rPr>
          <w:rFonts w:ascii="VIC" w:hAnsi="VIC"/>
          <w:i/>
          <w:sz w:val="24"/>
          <w:szCs w:val="24"/>
        </w:rPr>
        <w:t xml:space="preserve">Drugs, Poisons and Controlled Substances Act 1981 </w:t>
      </w:r>
      <w:r w:rsidRPr="0089717B">
        <w:rPr>
          <w:rFonts w:ascii="VIC" w:hAnsi="VIC"/>
          <w:iCs/>
          <w:sz w:val="24"/>
          <w:szCs w:val="24"/>
        </w:rPr>
        <w:t xml:space="preserve">defines the </w:t>
      </w:r>
      <w:r w:rsidRPr="0089717B">
        <w:rPr>
          <w:rFonts w:ascii="VIC" w:hAnsi="VIC"/>
          <w:sz w:val="24"/>
          <w:szCs w:val="24"/>
        </w:rPr>
        <w:t xml:space="preserve">record keeping requirements for the sale / supply of Schedule 7 agricultural chemicals, which must be kept for a minimum of three years. Additional records, that may need to be kept as part of store accreditation programs are not covered in this information note. </w:t>
      </w:r>
    </w:p>
    <w:p w14:paraId="494A32C2" w14:textId="426F5C89" w:rsidR="00F85E68" w:rsidRPr="0089717B" w:rsidRDefault="00F85E68" w:rsidP="00F85E68">
      <w:pPr>
        <w:rPr>
          <w:rFonts w:ascii="VIC" w:hAnsi="VIC"/>
          <w:sz w:val="24"/>
          <w:szCs w:val="24"/>
        </w:rPr>
      </w:pPr>
      <w:r w:rsidRPr="0089717B">
        <w:rPr>
          <w:rFonts w:ascii="VIC" w:hAnsi="VIC"/>
          <w:sz w:val="24"/>
          <w:szCs w:val="24"/>
        </w:rPr>
        <w:t xml:space="preserve">The legal requirements vary according to the classification of agricultural chemical and the risks associated with its handling and use. </w:t>
      </w:r>
      <w:r w:rsidR="0043360D">
        <w:rPr>
          <w:rFonts w:ascii="VIC" w:hAnsi="VIC"/>
          <w:sz w:val="24"/>
          <w:szCs w:val="24"/>
        </w:rPr>
        <w:t>A</w:t>
      </w:r>
      <w:r w:rsidRPr="0089717B">
        <w:rPr>
          <w:rFonts w:ascii="VIC" w:hAnsi="VIC"/>
          <w:sz w:val="24"/>
          <w:szCs w:val="24"/>
        </w:rPr>
        <w:t xml:space="preserve">gricultural chemicals </w:t>
      </w:r>
      <w:r w:rsidR="0043360D">
        <w:rPr>
          <w:rFonts w:ascii="VIC" w:hAnsi="VIC"/>
          <w:sz w:val="24"/>
          <w:szCs w:val="24"/>
        </w:rPr>
        <w:t xml:space="preserve">can be </w:t>
      </w:r>
      <w:r w:rsidR="00847C96">
        <w:rPr>
          <w:rFonts w:ascii="VIC" w:hAnsi="VIC"/>
          <w:sz w:val="24"/>
          <w:szCs w:val="24"/>
        </w:rPr>
        <w:t xml:space="preserve">summarised </w:t>
      </w:r>
      <w:r w:rsidRPr="0089717B">
        <w:rPr>
          <w:rFonts w:ascii="VIC" w:hAnsi="VIC"/>
          <w:sz w:val="24"/>
          <w:szCs w:val="24"/>
        </w:rPr>
        <w:t>into six groups with respect to the legal requirements. The six groups are arranged according to a scale with agricultural chemicals that have the ‘highest level’ of legal requirement in Group 1.</w:t>
      </w:r>
    </w:p>
    <w:p w14:paraId="18D6DB0D" w14:textId="4615395F" w:rsidR="0011051E" w:rsidRPr="0089717B" w:rsidRDefault="0011051E" w:rsidP="004D44B7">
      <w:pPr>
        <w:rPr>
          <w:rFonts w:ascii="VIC" w:hAnsi="VIC"/>
          <w:sz w:val="24"/>
          <w:szCs w:val="24"/>
          <w14:shadow w14:blurRad="50800" w14:dist="50800" w14:dir="5400000" w14:sx="0" w14:sy="0" w14:kx="0" w14:ky="0" w14:algn="ctr">
            <w14:srgbClr w14:val="FF0000"/>
          </w14:shadow>
        </w:rPr>
      </w:pPr>
      <w:r w:rsidRPr="00A725D4">
        <w:rPr>
          <w:rFonts w:ascii="VIC" w:hAnsi="VIC"/>
          <w:sz w:val="24"/>
          <w:szCs w:val="24"/>
        </w:rPr>
        <w:t xml:space="preserve">1/ </w:t>
      </w:r>
      <w:r w:rsidRPr="0089717B">
        <w:rPr>
          <w:rFonts w:ascii="VIC" w:hAnsi="VIC"/>
          <w:sz w:val="24"/>
          <w:szCs w:val="24"/>
          <w14:shadow w14:blurRad="50800" w14:dist="50800" w14:dir="5400000" w14:sx="0" w14:sy="0" w14:kx="0" w14:ky="0" w14:algn="ctr">
            <w14:srgbClr w14:val="FF0000"/>
          </w14:shadow>
        </w:rPr>
        <w:t>Schedule 7 Restricted Chemical Products (RCPs) [includes 1080 and PAPP products]</w:t>
      </w:r>
    </w:p>
    <w:p w14:paraId="3746BDF0" w14:textId="022D1122" w:rsidR="0011051E" w:rsidRPr="0089717B" w:rsidRDefault="0011051E" w:rsidP="004D44B7">
      <w:pPr>
        <w:rPr>
          <w:rFonts w:ascii="VIC" w:hAnsi="VIC"/>
          <w:sz w:val="24"/>
          <w:szCs w:val="24"/>
          <w14:shadow w14:blurRad="50800" w14:dist="50800" w14:dir="5400000" w14:sx="0" w14:sy="0" w14:kx="0" w14:ky="0" w14:algn="ctr">
            <w14:srgbClr w14:val="FF0000"/>
          </w14:shadow>
        </w:rPr>
      </w:pPr>
      <w:r w:rsidRPr="0089717B">
        <w:rPr>
          <w:rFonts w:ascii="VIC" w:hAnsi="VIC"/>
          <w:sz w:val="24"/>
          <w:szCs w:val="24"/>
          <w14:shadow w14:blurRad="50800" w14:dist="50800" w14:dir="5400000" w14:sx="0" w14:sy="0" w14:kx="0" w14:ky="0" w14:algn="ctr">
            <w14:srgbClr w14:val="FF0000"/>
          </w14:shadow>
        </w:rPr>
        <w:t>2/ Pindone concentrate products</w:t>
      </w:r>
    </w:p>
    <w:p w14:paraId="15F70305" w14:textId="70ABBACB" w:rsidR="001B7C3D" w:rsidRPr="0089717B" w:rsidRDefault="001B7C3D" w:rsidP="004D44B7">
      <w:pPr>
        <w:rPr>
          <w:rFonts w:ascii="VIC" w:hAnsi="VIC"/>
          <w:sz w:val="24"/>
          <w:szCs w:val="24"/>
          <w14:shadow w14:blurRad="50800" w14:dist="50800" w14:dir="5400000" w14:sx="0" w14:sy="0" w14:kx="0" w14:ky="0" w14:algn="ctr">
            <w14:srgbClr w14:val="FF0000"/>
          </w14:shadow>
        </w:rPr>
      </w:pPr>
      <w:r w:rsidRPr="0089717B">
        <w:rPr>
          <w:rFonts w:ascii="VIC" w:hAnsi="VIC"/>
          <w:sz w:val="24"/>
          <w:szCs w:val="24"/>
          <w14:shadow w14:blurRad="50800" w14:dist="50800" w14:dir="5400000" w14:sx="0" w14:sy="0" w14:kx="0" w14:ky="0" w14:algn="ctr">
            <w14:srgbClr w14:val="FF0000"/>
          </w14:shadow>
        </w:rPr>
        <w:t>3/ Other Schedule 7 chemical products</w:t>
      </w:r>
    </w:p>
    <w:p w14:paraId="0729FBBE" w14:textId="3209F121" w:rsidR="001B7C3D" w:rsidRPr="0089717B" w:rsidRDefault="001B7C3D" w:rsidP="004D44B7">
      <w:pPr>
        <w:rPr>
          <w:rFonts w:ascii="VIC" w:hAnsi="VIC"/>
          <w:sz w:val="24"/>
          <w:szCs w:val="24"/>
          <w14:shadow w14:blurRad="50800" w14:dist="50800" w14:dir="5400000" w14:sx="0" w14:sy="0" w14:kx="0" w14:ky="0" w14:algn="ctr">
            <w14:srgbClr w14:val="FF0000"/>
          </w14:shadow>
        </w:rPr>
      </w:pPr>
      <w:r w:rsidRPr="0089717B">
        <w:rPr>
          <w:rFonts w:ascii="VIC" w:hAnsi="VIC"/>
          <w:sz w:val="24"/>
          <w:szCs w:val="24"/>
          <w14:shadow w14:blurRad="50800" w14:dist="50800" w14:dir="5400000" w14:sx="0" w14:sy="0" w14:kx="0" w14:ky="0" w14:algn="ctr">
            <w14:srgbClr w14:val="FF0000"/>
          </w14:shadow>
        </w:rPr>
        <w:t>4/ Restricted Use chemical product</w:t>
      </w:r>
    </w:p>
    <w:p w14:paraId="42743ADB" w14:textId="6C782681" w:rsidR="001B7C3D" w:rsidRPr="0089717B" w:rsidRDefault="001B7C3D" w:rsidP="004D44B7">
      <w:pPr>
        <w:rPr>
          <w:rFonts w:ascii="VIC" w:hAnsi="VIC"/>
          <w:sz w:val="24"/>
          <w:szCs w:val="24"/>
          <w14:shadow w14:blurRad="50800" w14:dist="50800" w14:dir="5400000" w14:sx="0" w14:sy="0" w14:kx="0" w14:ky="0" w14:algn="ctr">
            <w14:srgbClr w14:val="FF0000"/>
          </w14:shadow>
        </w:rPr>
      </w:pPr>
      <w:r w:rsidRPr="0089717B">
        <w:rPr>
          <w:rFonts w:ascii="VIC" w:hAnsi="VIC"/>
          <w:sz w:val="24"/>
          <w:szCs w:val="24"/>
          <w14:shadow w14:blurRad="50800" w14:dist="50800" w14:dir="5400000" w14:sx="0" w14:sy="0" w14:kx="0" w14:ky="0" w14:algn="ctr">
            <w14:srgbClr w14:val="FF0000"/>
          </w14:shadow>
        </w:rPr>
        <w:t xml:space="preserve">5/ </w:t>
      </w:r>
      <w:r w:rsidR="009A3B50" w:rsidRPr="0089717B">
        <w:rPr>
          <w:rFonts w:ascii="VIC" w:hAnsi="VIC"/>
          <w:sz w:val="24"/>
          <w:szCs w:val="24"/>
          <w14:shadow w14:blurRad="50800" w14:dist="50800" w14:dir="5400000" w14:sx="0" w14:sy="0" w14:kx="0" w14:ky="0" w14:algn="ctr">
            <w14:srgbClr w14:val="FF0000"/>
          </w14:shadow>
        </w:rPr>
        <w:t>Schedule 6 RCPs [excluding Pindone concentrate products]</w:t>
      </w:r>
    </w:p>
    <w:p w14:paraId="586A1E92" w14:textId="44A51F06" w:rsidR="009A3B50" w:rsidRPr="0089717B" w:rsidRDefault="009A3B50" w:rsidP="004D44B7">
      <w:pPr>
        <w:rPr>
          <w:rFonts w:ascii="VIC" w:hAnsi="VIC"/>
          <w:sz w:val="24"/>
          <w:szCs w:val="24"/>
          <w14:shadow w14:blurRad="50800" w14:dist="50800" w14:dir="5400000" w14:sx="0" w14:sy="0" w14:kx="0" w14:ky="0" w14:algn="ctr">
            <w14:srgbClr w14:val="FF0000"/>
          </w14:shadow>
        </w:rPr>
      </w:pPr>
      <w:r w:rsidRPr="0089717B">
        <w:rPr>
          <w:rFonts w:ascii="VIC" w:hAnsi="VIC"/>
          <w:sz w:val="24"/>
          <w:szCs w:val="24"/>
          <w14:shadow w14:blurRad="50800" w14:dist="50800" w14:dir="5400000" w14:sx="0" w14:sy="0" w14:kx="0" w14:ky="0" w14:algn="ctr">
            <w14:srgbClr w14:val="FF0000"/>
          </w14:shadow>
        </w:rPr>
        <w:t xml:space="preserve">6/ </w:t>
      </w:r>
      <w:r w:rsidRPr="0089717B">
        <w:rPr>
          <w:rFonts w:ascii="VIC" w:hAnsi="VIC"/>
          <w:sz w:val="24"/>
          <w:szCs w:val="24"/>
        </w:rPr>
        <w:t>Other agricultural chemical products</w:t>
      </w:r>
    </w:p>
    <w:p w14:paraId="195E2A08" w14:textId="21816A2E" w:rsidR="004D44B7" w:rsidRPr="00B806F8" w:rsidRDefault="004D44B7" w:rsidP="004D44B7">
      <w:pPr>
        <w:rPr>
          <w:rFonts w:ascii="VIC" w:hAnsi="VIC"/>
          <w:sz w:val="24"/>
          <w:szCs w:val="24"/>
        </w:rPr>
      </w:pPr>
      <w:r w:rsidRPr="00B806F8">
        <w:rPr>
          <w:rFonts w:ascii="VIC" w:hAnsi="VIC"/>
          <w:sz w:val="24"/>
          <w:szCs w:val="24"/>
        </w:rPr>
        <w:t>Some agricultural chemical products fall into more than one group. For example, 1080 and PAPP products fit into Groups 1, 3 and</w:t>
      </w:r>
      <w:r w:rsidRPr="00B806F8">
        <w:rPr>
          <w:rFonts w:ascii="Times New Roman" w:hAnsi="Times New Roman" w:cs="Times New Roman"/>
          <w:sz w:val="24"/>
          <w:szCs w:val="24"/>
        </w:rPr>
        <w:t> </w:t>
      </w:r>
      <w:r w:rsidRPr="00B806F8">
        <w:rPr>
          <w:rFonts w:ascii="VIC" w:hAnsi="VIC"/>
          <w:sz w:val="24"/>
          <w:szCs w:val="24"/>
        </w:rPr>
        <w:t>4. In these situations, the group with the highest level of legal requirement applies (i.e. Group 1 for 1080 and PAPP products).</w:t>
      </w:r>
    </w:p>
    <w:p w14:paraId="355280F4" w14:textId="6FFBF113" w:rsidR="00BF10F8" w:rsidRPr="00DA35D4" w:rsidRDefault="004D44B7" w:rsidP="00DA35D4">
      <w:pPr>
        <w:rPr>
          <w:rFonts w:ascii="VIC" w:hAnsi="VIC"/>
          <w:sz w:val="24"/>
          <w:szCs w:val="24"/>
        </w:rPr>
      </w:pPr>
      <w:r w:rsidRPr="00B806F8">
        <w:rPr>
          <w:rFonts w:ascii="VIC" w:hAnsi="VIC"/>
          <w:sz w:val="24"/>
          <w:szCs w:val="24"/>
        </w:rPr>
        <w:lastRenderedPageBreak/>
        <w:t xml:space="preserve">RCPs have a greater level of risk and can only be handled by, supplied to and used by people who hold relevant authorisation. A full list of RCPs is available on </w:t>
      </w:r>
      <w:hyperlink r:id="rId11" w:history="1">
        <w:r w:rsidRPr="00B806F8">
          <w:rPr>
            <w:rStyle w:val="Hyperlink"/>
            <w:rFonts w:ascii="VIC" w:hAnsi="VIC"/>
            <w:sz w:val="24"/>
            <w:szCs w:val="24"/>
          </w:rPr>
          <w:t>the Australian Pesticides and Veterinary Medicines Authority (APVMA)</w:t>
        </w:r>
      </w:hyperlink>
      <w:r w:rsidRPr="00B806F8">
        <w:rPr>
          <w:rFonts w:ascii="VIC" w:hAnsi="VIC"/>
          <w:sz w:val="24"/>
          <w:szCs w:val="24"/>
        </w:rPr>
        <w:t xml:space="preserve"> website.</w:t>
      </w:r>
    </w:p>
    <w:p w14:paraId="3929D7D3" w14:textId="39893155" w:rsidR="00BF10F8" w:rsidRPr="00A64F71" w:rsidRDefault="00BF10F8" w:rsidP="0058596B">
      <w:pPr>
        <w:rPr>
          <w:rFonts w:ascii="VIC" w:hAnsi="VIC"/>
          <w:sz w:val="24"/>
          <w:szCs w:val="24"/>
        </w:rPr>
      </w:pPr>
      <w:r w:rsidRPr="00A64F71">
        <w:rPr>
          <w:rFonts w:ascii="VIC" w:hAnsi="VIC"/>
          <w:sz w:val="24"/>
          <w:szCs w:val="24"/>
        </w:rPr>
        <w:t xml:space="preserve">While there are a number of Schedule 7 RCPs, this information note only refers to 1080 and PAPP products as these are the most common Schedule 7 RCPs supplied by farm chemical retailers. </w:t>
      </w:r>
    </w:p>
    <w:p w14:paraId="1549828F" w14:textId="77777777" w:rsidR="00BF10F8" w:rsidRPr="00A64F71" w:rsidRDefault="00BF10F8" w:rsidP="0058596B">
      <w:pPr>
        <w:rPr>
          <w:rFonts w:ascii="VIC" w:hAnsi="VIC"/>
          <w:sz w:val="24"/>
          <w:szCs w:val="24"/>
        </w:rPr>
      </w:pPr>
      <w:r w:rsidRPr="00A64F71">
        <w:rPr>
          <w:rFonts w:ascii="VIC" w:hAnsi="VIC"/>
          <w:sz w:val="24"/>
          <w:szCs w:val="24"/>
        </w:rPr>
        <w:t xml:space="preserve">All Schedule 7 products have the signal heading ‘Dangerous Poison’ at the top of the label. The majority are agricultural chemicals but there are a small number of Schedule 7 veterinary chemical products (such as some products containing selenium). Retailers need to ensure they are keeping the required records for both agricultural and veterinary Schedule 7 chemical products. </w:t>
      </w:r>
    </w:p>
    <w:p w14:paraId="402277AC" w14:textId="77777777" w:rsidR="00BF10F8" w:rsidRPr="00A64F71" w:rsidRDefault="00BF10F8" w:rsidP="0058596B">
      <w:pPr>
        <w:rPr>
          <w:rFonts w:ascii="VIC" w:hAnsi="VIC"/>
          <w:sz w:val="24"/>
          <w:szCs w:val="24"/>
        </w:rPr>
      </w:pPr>
      <w:r w:rsidRPr="00A64F71">
        <w:rPr>
          <w:rFonts w:ascii="VIC" w:hAnsi="VIC"/>
          <w:sz w:val="24"/>
          <w:szCs w:val="24"/>
        </w:rPr>
        <w:t xml:space="preserve">In Victoria, there are high-risk chemicals that are restricted in terms of who can use them and what they can be used for. These are known as ‘Restricted Use’ chemicals. They are products that contain atrazine, </w:t>
      </w:r>
      <w:proofErr w:type="spellStart"/>
      <w:r w:rsidRPr="00A64F71">
        <w:rPr>
          <w:rFonts w:ascii="VIC" w:hAnsi="VIC"/>
          <w:sz w:val="24"/>
          <w:szCs w:val="24"/>
        </w:rPr>
        <w:t>metham</w:t>
      </w:r>
      <w:proofErr w:type="spellEnd"/>
      <w:r w:rsidRPr="00A64F71">
        <w:rPr>
          <w:rFonts w:ascii="VIC" w:hAnsi="VIC"/>
          <w:sz w:val="24"/>
          <w:szCs w:val="24"/>
        </w:rPr>
        <w:t xml:space="preserve"> sodium and ester formulations of 2,4-D, 2,4-DB, MCPA and triclopyr, as well as all Schedule 7 chemical products. </w:t>
      </w:r>
    </w:p>
    <w:p w14:paraId="0555E584" w14:textId="77777777" w:rsidR="00BF10F8" w:rsidRPr="00A64F71" w:rsidRDefault="00BF10F8" w:rsidP="0058596B">
      <w:pPr>
        <w:rPr>
          <w:rFonts w:ascii="VIC" w:hAnsi="VIC"/>
          <w:sz w:val="24"/>
          <w:szCs w:val="24"/>
        </w:rPr>
      </w:pPr>
      <w:r w:rsidRPr="00A64F71">
        <w:rPr>
          <w:rFonts w:ascii="VIC" w:hAnsi="VIC"/>
          <w:sz w:val="24"/>
          <w:szCs w:val="24"/>
        </w:rPr>
        <w:t xml:space="preserve">The relevant authorisation required to be held by people is dependent on the product being sold/supplied. </w:t>
      </w:r>
    </w:p>
    <w:p w14:paraId="4B52BF3C" w14:textId="77D355FA" w:rsidR="00BF10F8" w:rsidRPr="00A64F71" w:rsidRDefault="00BF10F8" w:rsidP="0058596B">
      <w:pPr>
        <w:rPr>
          <w:rFonts w:ascii="VIC" w:hAnsi="VIC" w:cstheme="minorHAnsi"/>
          <w:sz w:val="24"/>
          <w:szCs w:val="24"/>
        </w:rPr>
      </w:pPr>
      <w:r w:rsidRPr="00A64F71">
        <w:rPr>
          <w:rFonts w:ascii="VIC" w:hAnsi="VIC"/>
          <w:sz w:val="24"/>
          <w:szCs w:val="24"/>
        </w:rPr>
        <w:t>Further information about the various</w:t>
      </w:r>
      <w:r w:rsidRPr="00A64F71">
        <w:rPr>
          <w:rFonts w:ascii="VIC" w:hAnsi="VIC" w:cstheme="minorHAnsi"/>
          <w:sz w:val="24"/>
          <w:szCs w:val="24"/>
        </w:rPr>
        <w:t xml:space="preserve"> authorisations can be found on the </w:t>
      </w:r>
      <w:hyperlink r:id="rId12" w:history="1">
        <w:r w:rsidRPr="00A64F71">
          <w:rPr>
            <w:rStyle w:val="Hyperlink"/>
            <w:rFonts w:ascii="VIC" w:hAnsi="VIC" w:cstheme="minorHAnsi"/>
            <w:sz w:val="24"/>
            <w:szCs w:val="24"/>
          </w:rPr>
          <w:t xml:space="preserve">Agriculture Victoria </w:t>
        </w:r>
        <w:r w:rsidR="00FA52E5" w:rsidRPr="00A64F71">
          <w:rPr>
            <w:rStyle w:val="Hyperlink"/>
            <w:rFonts w:ascii="VIC" w:hAnsi="VIC" w:cstheme="minorHAnsi"/>
            <w:sz w:val="24"/>
            <w:szCs w:val="24"/>
          </w:rPr>
          <w:t>w</w:t>
        </w:r>
        <w:r w:rsidRPr="00A64F71">
          <w:rPr>
            <w:rStyle w:val="Hyperlink"/>
            <w:rFonts w:ascii="VIC" w:hAnsi="VIC" w:cstheme="minorHAnsi"/>
            <w:sz w:val="24"/>
            <w:szCs w:val="24"/>
          </w:rPr>
          <w:t>ebsite</w:t>
        </w:r>
      </w:hyperlink>
      <w:r w:rsidR="00FA52E5" w:rsidRPr="00A64F71">
        <w:rPr>
          <w:rFonts w:ascii="VIC" w:hAnsi="VIC" w:cstheme="minorHAnsi"/>
          <w:sz w:val="24"/>
          <w:szCs w:val="24"/>
        </w:rPr>
        <w:t>.</w:t>
      </w:r>
    </w:p>
    <w:p w14:paraId="510A36D2" w14:textId="6EDD7C6A" w:rsidR="00BF10F8" w:rsidRPr="00A64F71" w:rsidRDefault="00BF10F8" w:rsidP="0058596B">
      <w:pPr>
        <w:rPr>
          <w:rFonts w:ascii="VIC" w:hAnsi="VIC" w:cstheme="minorHAnsi"/>
          <w:sz w:val="24"/>
          <w:szCs w:val="24"/>
        </w:rPr>
      </w:pPr>
      <w:r w:rsidRPr="00A64F71">
        <w:rPr>
          <w:rFonts w:ascii="VIC" w:hAnsi="VIC" w:cstheme="minorHAnsi"/>
          <w:sz w:val="24"/>
          <w:szCs w:val="24"/>
        </w:rPr>
        <w:t xml:space="preserve">Refer to </w:t>
      </w:r>
      <w:r w:rsidR="009755CF">
        <w:rPr>
          <w:rFonts w:ascii="VIC" w:hAnsi="VIC" w:cstheme="minorHAnsi"/>
          <w:sz w:val="24"/>
          <w:szCs w:val="24"/>
        </w:rPr>
        <w:t>the tables</w:t>
      </w:r>
      <w:r w:rsidRPr="00A64F71">
        <w:rPr>
          <w:rFonts w:ascii="VIC" w:hAnsi="VIC" w:cstheme="minorHAnsi"/>
          <w:sz w:val="24"/>
          <w:szCs w:val="24"/>
        </w:rPr>
        <w:t xml:space="preserve"> below for a summary of the authorisation and record keeping requirements for the retail supply of agricultural chemicals.</w:t>
      </w:r>
    </w:p>
    <w:p w14:paraId="380111ED" w14:textId="77777777" w:rsidR="00A64F71" w:rsidRDefault="00A64F71">
      <w:pPr>
        <w:rPr>
          <w:rFonts w:ascii="VIC" w:eastAsiaTheme="majorEastAsia" w:hAnsi="VIC" w:cstheme="majorBidi"/>
          <w:color w:val="2F5496" w:themeColor="accent1" w:themeShade="BF"/>
          <w:sz w:val="28"/>
          <w:szCs w:val="28"/>
        </w:rPr>
      </w:pPr>
      <w:r>
        <w:rPr>
          <w:rFonts w:ascii="VIC" w:hAnsi="VIC"/>
          <w:sz w:val="28"/>
          <w:szCs w:val="28"/>
        </w:rPr>
        <w:br w:type="page"/>
      </w:r>
    </w:p>
    <w:p w14:paraId="3A8C562D" w14:textId="1AD35218" w:rsidR="004D44B7" w:rsidRPr="004D1720" w:rsidRDefault="004D44B7" w:rsidP="004D1720">
      <w:pPr>
        <w:pStyle w:val="Heading1"/>
        <w:rPr>
          <w:rFonts w:ascii="VIC" w:hAnsi="VIC"/>
        </w:rPr>
      </w:pPr>
      <w:r w:rsidRPr="004D1720">
        <w:rPr>
          <w:rFonts w:ascii="VIC" w:hAnsi="VIC"/>
        </w:rPr>
        <w:lastRenderedPageBreak/>
        <w:t>Retail supply of farm agricultural chemicals in Victoria</w:t>
      </w:r>
    </w:p>
    <w:p w14:paraId="11750E27" w14:textId="0A5CA737" w:rsidR="004D44B7" w:rsidRPr="004D1720" w:rsidRDefault="004D44B7" w:rsidP="004D1720">
      <w:pPr>
        <w:pStyle w:val="Heading2"/>
        <w:rPr>
          <w:rFonts w:ascii="VIC" w:hAnsi="VIC"/>
        </w:rPr>
      </w:pPr>
      <w:r w:rsidRPr="004D1720">
        <w:rPr>
          <w:rFonts w:ascii="VIC" w:hAnsi="VIC"/>
        </w:rPr>
        <w:t>Authorisation requirements for users</w:t>
      </w:r>
    </w:p>
    <w:tbl>
      <w:tblPr>
        <w:tblStyle w:val="TableGrid"/>
        <w:tblW w:w="0" w:type="auto"/>
        <w:tblLook w:val="04A0" w:firstRow="1" w:lastRow="0" w:firstColumn="1" w:lastColumn="0" w:noHBand="0" w:noVBand="1"/>
      </w:tblPr>
      <w:tblGrid>
        <w:gridCol w:w="3753"/>
        <w:gridCol w:w="1854"/>
        <w:gridCol w:w="1837"/>
        <w:gridCol w:w="1572"/>
      </w:tblGrid>
      <w:tr w:rsidR="00E33B6D" w:rsidRPr="00B806F8" w14:paraId="38BE5758" w14:textId="77777777" w:rsidTr="00BB5347">
        <w:tc>
          <w:tcPr>
            <w:tcW w:w="4106" w:type="dxa"/>
          </w:tcPr>
          <w:p w14:paraId="12D6960E" w14:textId="699702B2" w:rsidR="00E33B6D" w:rsidRPr="00B806F8" w:rsidRDefault="00E33B6D" w:rsidP="00E33B6D">
            <w:pPr>
              <w:rPr>
                <w:rFonts w:ascii="VIC" w:hAnsi="VIC"/>
                <w:b/>
                <w:bCs/>
              </w:rPr>
            </w:pPr>
            <w:r w:rsidRPr="00B806F8">
              <w:rPr>
                <w:rFonts w:ascii="VIC" w:hAnsi="VIC"/>
                <w:b/>
                <w:bCs/>
              </w:rPr>
              <w:t>Description of product</w:t>
            </w:r>
          </w:p>
        </w:tc>
        <w:tc>
          <w:tcPr>
            <w:tcW w:w="1698" w:type="dxa"/>
          </w:tcPr>
          <w:p w14:paraId="4D4758F3" w14:textId="3951DA04" w:rsidR="00E33B6D" w:rsidRPr="00B806F8" w:rsidRDefault="00E33B6D" w:rsidP="00E33B6D">
            <w:pPr>
              <w:rPr>
                <w:rFonts w:ascii="VIC" w:hAnsi="VIC"/>
              </w:rPr>
            </w:pPr>
            <w:r w:rsidRPr="00B806F8">
              <w:rPr>
                <w:rFonts w:ascii="VIC" w:hAnsi="VIC"/>
                <w:b/>
                <w:bCs/>
              </w:rPr>
              <w:t>Person must hold relevant authorisation to be sold / supplied product.</w:t>
            </w:r>
          </w:p>
        </w:tc>
        <w:tc>
          <w:tcPr>
            <w:tcW w:w="1563" w:type="dxa"/>
          </w:tcPr>
          <w:p w14:paraId="452C2F27" w14:textId="142593D6" w:rsidR="00E33B6D" w:rsidRPr="00B806F8" w:rsidRDefault="00E33B6D" w:rsidP="00E33B6D">
            <w:pPr>
              <w:rPr>
                <w:rFonts w:ascii="VIC" w:hAnsi="VIC"/>
              </w:rPr>
            </w:pPr>
            <w:r w:rsidRPr="00B806F8">
              <w:rPr>
                <w:rFonts w:ascii="VIC" w:hAnsi="VIC"/>
                <w:b/>
                <w:bCs/>
              </w:rPr>
              <w:t>Person must hold relevant authorisation to use product</w:t>
            </w:r>
          </w:p>
        </w:tc>
        <w:tc>
          <w:tcPr>
            <w:tcW w:w="1649" w:type="dxa"/>
          </w:tcPr>
          <w:p w14:paraId="4B19D2F1" w14:textId="00A53E0E" w:rsidR="00E33B6D" w:rsidRPr="00B806F8" w:rsidRDefault="00E33B6D" w:rsidP="00E33B6D">
            <w:pPr>
              <w:rPr>
                <w:rFonts w:ascii="VIC" w:hAnsi="VIC"/>
              </w:rPr>
            </w:pPr>
            <w:r w:rsidRPr="00B806F8">
              <w:rPr>
                <w:rFonts w:ascii="VIC" w:hAnsi="VIC"/>
                <w:b/>
                <w:bCs/>
              </w:rPr>
              <w:t>Person must be 18 years of age or over to be sold / supplied and use product</w:t>
            </w:r>
          </w:p>
        </w:tc>
      </w:tr>
      <w:tr w:rsidR="00E33B6D" w:rsidRPr="00B806F8" w14:paraId="2D13561A" w14:textId="77777777" w:rsidTr="00BB5347">
        <w:tc>
          <w:tcPr>
            <w:tcW w:w="4106" w:type="dxa"/>
          </w:tcPr>
          <w:p w14:paraId="65813E47" w14:textId="77777777" w:rsidR="00E33B6D" w:rsidRPr="00B806F8" w:rsidRDefault="00E33B6D" w:rsidP="00E33B6D">
            <w:pPr>
              <w:rPr>
                <w:rFonts w:ascii="VIC" w:hAnsi="VIC"/>
              </w:rPr>
            </w:pPr>
            <w:r w:rsidRPr="00B806F8">
              <w:rPr>
                <w:rFonts w:ascii="VIC" w:hAnsi="VIC"/>
                <w:b/>
                <w:bCs/>
              </w:rPr>
              <w:t>1/ Schedule 7 RCPs (1080 and PAPP</w:t>
            </w:r>
            <w:r w:rsidRPr="00B806F8">
              <w:rPr>
                <w:rFonts w:ascii="VIC" w:hAnsi="VIC"/>
              </w:rPr>
              <w:t>)</w:t>
            </w:r>
          </w:p>
          <w:p w14:paraId="2A3F1E9C" w14:textId="77777777" w:rsidR="00E33B6D" w:rsidRPr="00B806F8" w:rsidRDefault="00E33B6D" w:rsidP="00E33B6D">
            <w:pPr>
              <w:rPr>
                <w:rFonts w:ascii="VIC" w:hAnsi="VIC"/>
                <w:i/>
                <w:iCs/>
              </w:rPr>
            </w:pPr>
            <w:r w:rsidRPr="00B806F8">
              <w:rPr>
                <w:rFonts w:ascii="VIC" w:hAnsi="VIC"/>
                <w:i/>
                <w:iCs/>
              </w:rPr>
              <w:t xml:space="preserve">e.g. 1080 and PAPP baits, </w:t>
            </w:r>
            <w:proofErr w:type="spellStart"/>
            <w:r w:rsidRPr="00B806F8">
              <w:rPr>
                <w:rFonts w:ascii="VIC" w:hAnsi="VIC"/>
                <w:i/>
                <w:iCs/>
              </w:rPr>
              <w:t>Magnacide</w:t>
            </w:r>
            <w:proofErr w:type="spellEnd"/>
            <w:r w:rsidRPr="00B806F8">
              <w:rPr>
                <w:rFonts w:ascii="VIC" w:hAnsi="VIC"/>
                <w:i/>
                <w:iCs/>
              </w:rPr>
              <w:t xml:space="preserve"> H Herbicide (contains acrolein), Copper Chrome Arsenic (CCA) products.</w:t>
            </w:r>
          </w:p>
          <w:p w14:paraId="528600F7" w14:textId="77777777" w:rsidR="00E33B6D" w:rsidRPr="00B806F8" w:rsidRDefault="00E33B6D" w:rsidP="00E33B6D">
            <w:pPr>
              <w:rPr>
                <w:rFonts w:ascii="VIC" w:hAnsi="VIC"/>
              </w:rPr>
            </w:pPr>
            <w:r w:rsidRPr="00B806F8">
              <w:rPr>
                <w:rFonts w:ascii="VIC" w:hAnsi="VIC" w:cstheme="minorHAnsi"/>
              </w:rPr>
              <w:t>Note: 1080 and PAPP products can only be sold / supplied by staff that hold valid completion of the Agsafe 1080 and PAPP personnel course in an Agsafe 1080 and PAPP accredited store. Recording the staff person’s name when 1080 and PAPP products are sold / supplied is not a legal requirement but can demonstrate that the store is meeting this obligation.</w:t>
            </w:r>
          </w:p>
          <w:p w14:paraId="7929A51B" w14:textId="77777777" w:rsidR="00E33B6D" w:rsidRPr="00B806F8" w:rsidRDefault="00E33B6D" w:rsidP="00E33B6D">
            <w:pPr>
              <w:rPr>
                <w:rFonts w:ascii="VIC" w:hAnsi="VIC"/>
              </w:rPr>
            </w:pPr>
          </w:p>
        </w:tc>
        <w:tc>
          <w:tcPr>
            <w:tcW w:w="1698" w:type="dxa"/>
          </w:tcPr>
          <w:p w14:paraId="4DAFEA5A" w14:textId="79DFE9B4" w:rsidR="00E33B6D" w:rsidRPr="00B806F8" w:rsidRDefault="00E33B6D" w:rsidP="00E33B6D">
            <w:pPr>
              <w:rPr>
                <w:rFonts w:ascii="VIC" w:hAnsi="VIC"/>
              </w:rPr>
            </w:pPr>
            <w:r w:rsidRPr="00B806F8">
              <w:rPr>
                <w:rFonts w:ascii="VIC" w:hAnsi="VIC"/>
              </w:rPr>
              <w:t>Yes</w:t>
            </w:r>
          </w:p>
        </w:tc>
        <w:tc>
          <w:tcPr>
            <w:tcW w:w="1563" w:type="dxa"/>
          </w:tcPr>
          <w:p w14:paraId="70BE6E1C" w14:textId="1E15A6C3" w:rsidR="00E33B6D" w:rsidRPr="00B806F8" w:rsidRDefault="00E33B6D" w:rsidP="00E33B6D">
            <w:pPr>
              <w:rPr>
                <w:rFonts w:ascii="VIC" w:hAnsi="VIC"/>
              </w:rPr>
            </w:pPr>
            <w:r w:rsidRPr="00B806F8">
              <w:rPr>
                <w:rFonts w:ascii="VIC" w:hAnsi="VIC"/>
              </w:rPr>
              <w:t>Yes</w:t>
            </w:r>
          </w:p>
        </w:tc>
        <w:tc>
          <w:tcPr>
            <w:tcW w:w="1649" w:type="dxa"/>
          </w:tcPr>
          <w:p w14:paraId="54932C32" w14:textId="3FAB50CB" w:rsidR="00E33B6D" w:rsidRPr="00B806F8" w:rsidRDefault="00E33B6D" w:rsidP="00E33B6D">
            <w:pPr>
              <w:rPr>
                <w:rFonts w:ascii="VIC" w:hAnsi="VIC"/>
              </w:rPr>
            </w:pPr>
            <w:r w:rsidRPr="00B806F8">
              <w:rPr>
                <w:rFonts w:ascii="VIC" w:hAnsi="VIC"/>
              </w:rPr>
              <w:t>Yes</w:t>
            </w:r>
          </w:p>
        </w:tc>
      </w:tr>
      <w:tr w:rsidR="00E33B6D" w:rsidRPr="00B806F8" w14:paraId="0ECEC764" w14:textId="77777777" w:rsidTr="00BB5347">
        <w:tc>
          <w:tcPr>
            <w:tcW w:w="4106" w:type="dxa"/>
          </w:tcPr>
          <w:p w14:paraId="2A47604D" w14:textId="77777777" w:rsidR="00E33B6D" w:rsidRPr="00B806F8" w:rsidRDefault="00E33B6D" w:rsidP="00E33B6D">
            <w:pPr>
              <w:rPr>
                <w:rFonts w:ascii="VIC" w:hAnsi="VIC"/>
                <w:b/>
                <w:bCs/>
              </w:rPr>
            </w:pPr>
            <w:r w:rsidRPr="00B806F8">
              <w:rPr>
                <w:rFonts w:ascii="VIC" w:hAnsi="VIC"/>
                <w:b/>
                <w:bCs/>
              </w:rPr>
              <w:t xml:space="preserve">2/ Pindone concentrate products </w:t>
            </w:r>
          </w:p>
          <w:p w14:paraId="0F463AAC" w14:textId="77777777" w:rsidR="00E33B6D" w:rsidRPr="00B806F8" w:rsidRDefault="00E33B6D" w:rsidP="00E33B6D">
            <w:pPr>
              <w:rPr>
                <w:rStyle w:val="SubtleEmphasis"/>
                <w:rFonts w:ascii="VIC" w:hAnsi="VIC"/>
                <w:szCs w:val="18"/>
              </w:rPr>
            </w:pPr>
            <w:r w:rsidRPr="00B806F8">
              <w:rPr>
                <w:rFonts w:ascii="VIC" w:hAnsi="VIC"/>
              </w:rPr>
              <w:t xml:space="preserve">e.g. </w:t>
            </w:r>
            <w:proofErr w:type="spellStart"/>
            <w:r w:rsidRPr="00B806F8">
              <w:rPr>
                <w:rStyle w:val="SubtleEmphasis"/>
                <w:rFonts w:ascii="VIC" w:hAnsi="VIC"/>
                <w:szCs w:val="18"/>
              </w:rPr>
              <w:t>Rabbait</w:t>
            </w:r>
            <w:proofErr w:type="spellEnd"/>
            <w:r w:rsidRPr="00B806F8">
              <w:rPr>
                <w:rStyle w:val="SubtleEmphasis"/>
                <w:rFonts w:ascii="VIC" w:hAnsi="VIC"/>
                <w:szCs w:val="18"/>
              </w:rPr>
              <w:t xml:space="preserve"> Aqueous Pindone Concentrate</w:t>
            </w:r>
          </w:p>
          <w:p w14:paraId="1445A404" w14:textId="77777777" w:rsidR="00E33B6D" w:rsidRPr="00B806F8" w:rsidRDefault="00E33B6D" w:rsidP="00E33B6D">
            <w:pPr>
              <w:rPr>
                <w:rFonts w:ascii="VIC" w:hAnsi="VIC" w:cs="Arial"/>
              </w:rPr>
            </w:pPr>
            <w:r w:rsidRPr="00B806F8">
              <w:rPr>
                <w:rFonts w:ascii="VIC" w:hAnsi="VIC" w:cs="Arial"/>
              </w:rPr>
              <w:t xml:space="preserve">Note: It is illegal to supply pindone concentrate products to unauthorised people, and as such the best way to comply with this requirement is to sight their </w:t>
            </w:r>
            <w:r w:rsidRPr="00B806F8">
              <w:rPr>
                <w:rFonts w:ascii="VIC" w:hAnsi="VIC" w:cs="Arial"/>
              </w:rPr>
              <w:lastRenderedPageBreak/>
              <w:t>authorisation prior to supply. Recording the authorisation details is not a legal requirement but it can demonstrate that the person’s authorisation was sighted and checked by the store.</w:t>
            </w:r>
          </w:p>
          <w:p w14:paraId="59DAF86A" w14:textId="77777777" w:rsidR="00E33B6D" w:rsidRPr="00B806F8" w:rsidRDefault="00E33B6D" w:rsidP="00E33B6D">
            <w:pPr>
              <w:rPr>
                <w:rFonts w:ascii="VIC" w:hAnsi="VIC"/>
              </w:rPr>
            </w:pPr>
          </w:p>
        </w:tc>
        <w:tc>
          <w:tcPr>
            <w:tcW w:w="1698" w:type="dxa"/>
          </w:tcPr>
          <w:p w14:paraId="4078D399" w14:textId="4EB1E486" w:rsidR="00E33B6D" w:rsidRPr="00B806F8" w:rsidRDefault="00E33B6D" w:rsidP="00E33B6D">
            <w:pPr>
              <w:rPr>
                <w:rFonts w:ascii="VIC" w:hAnsi="VIC"/>
              </w:rPr>
            </w:pPr>
            <w:r w:rsidRPr="00B806F8">
              <w:rPr>
                <w:rFonts w:ascii="VIC" w:hAnsi="VIC"/>
              </w:rPr>
              <w:lastRenderedPageBreak/>
              <w:t>Yes</w:t>
            </w:r>
          </w:p>
        </w:tc>
        <w:tc>
          <w:tcPr>
            <w:tcW w:w="1563" w:type="dxa"/>
          </w:tcPr>
          <w:p w14:paraId="765A6D4B" w14:textId="1998D5EE" w:rsidR="00E33B6D" w:rsidRPr="00B806F8" w:rsidRDefault="00E33B6D" w:rsidP="00E33B6D">
            <w:pPr>
              <w:rPr>
                <w:rFonts w:ascii="VIC" w:hAnsi="VIC"/>
              </w:rPr>
            </w:pPr>
            <w:r w:rsidRPr="00B806F8">
              <w:rPr>
                <w:rFonts w:ascii="VIC" w:hAnsi="VIC"/>
              </w:rPr>
              <w:t>Yes</w:t>
            </w:r>
          </w:p>
        </w:tc>
        <w:tc>
          <w:tcPr>
            <w:tcW w:w="1649" w:type="dxa"/>
          </w:tcPr>
          <w:p w14:paraId="061FD8DA" w14:textId="1753B87F" w:rsidR="00E33B6D" w:rsidRPr="00B806F8" w:rsidRDefault="00E33B6D" w:rsidP="00E33B6D">
            <w:pPr>
              <w:rPr>
                <w:rFonts w:ascii="VIC" w:hAnsi="VIC"/>
              </w:rPr>
            </w:pPr>
            <w:r w:rsidRPr="00B806F8">
              <w:rPr>
                <w:rFonts w:ascii="VIC" w:hAnsi="VIC"/>
              </w:rPr>
              <w:t>No</w:t>
            </w:r>
          </w:p>
        </w:tc>
      </w:tr>
      <w:tr w:rsidR="00E33B6D" w:rsidRPr="00B806F8" w14:paraId="5BE9B153" w14:textId="77777777" w:rsidTr="00BB5347">
        <w:tc>
          <w:tcPr>
            <w:tcW w:w="4106" w:type="dxa"/>
          </w:tcPr>
          <w:p w14:paraId="01D999FC" w14:textId="77777777" w:rsidR="00E33B6D" w:rsidRPr="00B806F8" w:rsidRDefault="00E33B6D" w:rsidP="00E33B6D">
            <w:pPr>
              <w:rPr>
                <w:rFonts w:ascii="VIC" w:hAnsi="VIC"/>
                <w:b/>
                <w:bCs/>
              </w:rPr>
            </w:pPr>
            <w:r w:rsidRPr="00B806F8">
              <w:rPr>
                <w:rFonts w:ascii="VIC" w:hAnsi="VIC"/>
                <w:b/>
                <w:bCs/>
              </w:rPr>
              <w:t>3/ Other schedule 7 products</w:t>
            </w:r>
          </w:p>
          <w:p w14:paraId="2DC3F08A" w14:textId="13F514B8" w:rsidR="00E33B6D" w:rsidRPr="00B806F8" w:rsidRDefault="00E33B6D" w:rsidP="00E33B6D">
            <w:pPr>
              <w:rPr>
                <w:rFonts w:ascii="VIC" w:hAnsi="VIC"/>
              </w:rPr>
            </w:pPr>
            <w:r w:rsidRPr="00B806F8">
              <w:rPr>
                <w:rStyle w:val="SubtleEmphasis"/>
                <w:rFonts w:ascii="VIC" w:hAnsi="VIC"/>
                <w:szCs w:val="18"/>
              </w:rPr>
              <w:t xml:space="preserve">e.g. </w:t>
            </w:r>
            <w:proofErr w:type="spellStart"/>
            <w:r w:rsidRPr="00B806F8">
              <w:rPr>
                <w:rStyle w:val="SubtleEmphasis"/>
                <w:rFonts w:ascii="VIC" w:hAnsi="VIC"/>
                <w:szCs w:val="18"/>
              </w:rPr>
              <w:t>Gramoxone</w:t>
            </w:r>
            <w:proofErr w:type="spellEnd"/>
            <w:r w:rsidRPr="00B806F8">
              <w:rPr>
                <w:rStyle w:val="SubtleEmphasis"/>
                <w:rFonts w:ascii="VIC" w:hAnsi="VIC"/>
                <w:szCs w:val="18"/>
              </w:rPr>
              <w:t xml:space="preserve"> 250 Herbicide (contains paraquat), Howzat SC Fungicide (contains carbendazim), Sumitomo </w:t>
            </w:r>
            <w:proofErr w:type="spellStart"/>
            <w:r w:rsidRPr="00B806F8">
              <w:rPr>
                <w:rStyle w:val="SubtleEmphasis"/>
                <w:rFonts w:ascii="VIC" w:hAnsi="VIC"/>
                <w:szCs w:val="18"/>
              </w:rPr>
              <w:t>Sumisclex</w:t>
            </w:r>
            <w:proofErr w:type="spellEnd"/>
            <w:r w:rsidRPr="00B806F8">
              <w:rPr>
                <w:rStyle w:val="SubtleEmphasis"/>
                <w:rFonts w:ascii="VIC" w:hAnsi="VIC"/>
                <w:szCs w:val="18"/>
              </w:rPr>
              <w:t xml:space="preserve"> 500 Fungicide (contains procymidone), </w:t>
            </w:r>
            <w:proofErr w:type="spellStart"/>
            <w:r w:rsidRPr="00B806F8">
              <w:rPr>
                <w:rStyle w:val="SubtleEmphasis"/>
                <w:rFonts w:ascii="VIC" w:hAnsi="VIC"/>
                <w:szCs w:val="18"/>
              </w:rPr>
              <w:t>Quickphos</w:t>
            </w:r>
            <w:proofErr w:type="spellEnd"/>
            <w:r w:rsidRPr="00B806F8">
              <w:rPr>
                <w:rStyle w:val="SubtleEmphasis"/>
                <w:rFonts w:ascii="VIC" w:hAnsi="VIC"/>
                <w:szCs w:val="18"/>
              </w:rPr>
              <w:t xml:space="preserve"> Fumigation Tablets (contains </w:t>
            </w:r>
            <w:proofErr w:type="spellStart"/>
            <w:r w:rsidRPr="00B806F8">
              <w:rPr>
                <w:rStyle w:val="SubtleEmphasis"/>
                <w:rFonts w:ascii="VIC" w:hAnsi="VIC"/>
                <w:szCs w:val="18"/>
              </w:rPr>
              <w:t>aluminium</w:t>
            </w:r>
            <w:proofErr w:type="spellEnd"/>
            <w:r w:rsidRPr="00B806F8">
              <w:rPr>
                <w:rStyle w:val="SubtleEmphasis"/>
                <w:rFonts w:ascii="VIC" w:hAnsi="VIC"/>
                <w:szCs w:val="18"/>
              </w:rPr>
              <w:t xml:space="preserve"> phosphide).</w:t>
            </w:r>
          </w:p>
        </w:tc>
        <w:tc>
          <w:tcPr>
            <w:tcW w:w="1698" w:type="dxa"/>
          </w:tcPr>
          <w:p w14:paraId="3C2884DA" w14:textId="77777777" w:rsidR="00E33B6D" w:rsidRPr="00B806F8" w:rsidRDefault="00E33B6D" w:rsidP="00E33B6D">
            <w:pPr>
              <w:rPr>
                <w:rFonts w:ascii="VIC" w:hAnsi="VIC"/>
              </w:rPr>
            </w:pPr>
            <w:r w:rsidRPr="00B806F8">
              <w:rPr>
                <w:rFonts w:ascii="VIC" w:hAnsi="VIC"/>
              </w:rPr>
              <w:t>No</w:t>
            </w:r>
          </w:p>
          <w:p w14:paraId="797D7DE7" w14:textId="194FC500" w:rsidR="00E33B6D" w:rsidRPr="00B806F8" w:rsidRDefault="00E33B6D" w:rsidP="00E33B6D">
            <w:pPr>
              <w:rPr>
                <w:rFonts w:ascii="VIC" w:hAnsi="VIC" w:cstheme="minorHAnsi"/>
              </w:rPr>
            </w:pPr>
            <w:r w:rsidRPr="00B806F8">
              <w:rPr>
                <w:rFonts w:ascii="VIC" w:hAnsi="VIC" w:cstheme="minorHAnsi"/>
              </w:rPr>
              <w:t>Note: While a person is not required to hold authorisation to be sold / supplied these products, suppliers are encouraged to check and remind the purchaser that the person who will ultimately use the product must hold the relevant authori</w:t>
            </w:r>
            <w:r w:rsidR="0042577D" w:rsidRPr="00B806F8">
              <w:rPr>
                <w:rFonts w:ascii="VIC" w:hAnsi="VIC" w:cstheme="minorHAnsi"/>
              </w:rPr>
              <w:t>s</w:t>
            </w:r>
            <w:r w:rsidRPr="00B806F8">
              <w:rPr>
                <w:rFonts w:ascii="VIC" w:hAnsi="VIC" w:cstheme="minorHAnsi"/>
              </w:rPr>
              <w:t>ation.</w:t>
            </w:r>
          </w:p>
          <w:p w14:paraId="50EFB43A" w14:textId="77777777" w:rsidR="00E33B6D" w:rsidRPr="00B806F8" w:rsidRDefault="00E33B6D" w:rsidP="00E33B6D">
            <w:pPr>
              <w:rPr>
                <w:rFonts w:ascii="VIC" w:hAnsi="VIC"/>
              </w:rPr>
            </w:pPr>
          </w:p>
        </w:tc>
        <w:tc>
          <w:tcPr>
            <w:tcW w:w="1563" w:type="dxa"/>
          </w:tcPr>
          <w:p w14:paraId="5E53F789" w14:textId="77777777" w:rsidR="00E33B6D" w:rsidRPr="00B806F8" w:rsidRDefault="00E33B6D" w:rsidP="00E33B6D">
            <w:pPr>
              <w:rPr>
                <w:rFonts w:ascii="VIC" w:hAnsi="VIC"/>
                <w:b/>
                <w:bCs/>
                <w:vertAlign w:val="superscript"/>
              </w:rPr>
            </w:pPr>
            <w:r w:rsidRPr="00B806F8">
              <w:rPr>
                <w:rFonts w:ascii="VIC" w:hAnsi="VIC"/>
              </w:rPr>
              <w:t>Yes</w:t>
            </w:r>
          </w:p>
          <w:p w14:paraId="16E1E399" w14:textId="77777777" w:rsidR="00E33B6D" w:rsidRPr="00B806F8" w:rsidRDefault="00E33B6D" w:rsidP="00E33B6D">
            <w:pPr>
              <w:rPr>
                <w:rFonts w:ascii="VIC" w:hAnsi="VIC"/>
              </w:rPr>
            </w:pPr>
          </w:p>
        </w:tc>
        <w:tc>
          <w:tcPr>
            <w:tcW w:w="1649" w:type="dxa"/>
          </w:tcPr>
          <w:p w14:paraId="72E525D7" w14:textId="564C1CE8" w:rsidR="00E33B6D" w:rsidRPr="00B806F8" w:rsidRDefault="00E33B6D" w:rsidP="00E33B6D">
            <w:pPr>
              <w:rPr>
                <w:rFonts w:ascii="VIC" w:hAnsi="VIC"/>
              </w:rPr>
            </w:pPr>
            <w:r w:rsidRPr="00B806F8">
              <w:rPr>
                <w:rFonts w:ascii="VIC" w:hAnsi="VIC"/>
              </w:rPr>
              <w:t>Yes</w:t>
            </w:r>
          </w:p>
        </w:tc>
      </w:tr>
      <w:tr w:rsidR="00E33B6D" w:rsidRPr="00B806F8" w14:paraId="7FB83CBC" w14:textId="77777777" w:rsidTr="00BB5347">
        <w:tc>
          <w:tcPr>
            <w:tcW w:w="4106" w:type="dxa"/>
          </w:tcPr>
          <w:p w14:paraId="40FDDDD4" w14:textId="77777777" w:rsidR="00E33B6D" w:rsidRPr="00B806F8" w:rsidRDefault="00E33B6D" w:rsidP="00E33B6D">
            <w:pPr>
              <w:rPr>
                <w:rFonts w:ascii="VIC" w:hAnsi="VIC"/>
                <w:b/>
                <w:bCs/>
              </w:rPr>
            </w:pPr>
            <w:r w:rsidRPr="00B806F8">
              <w:rPr>
                <w:rFonts w:ascii="VIC" w:hAnsi="VIC"/>
                <w:b/>
                <w:bCs/>
              </w:rPr>
              <w:t>4/ Restricted use chemicals</w:t>
            </w:r>
          </w:p>
          <w:p w14:paraId="2F449FAF" w14:textId="6633D6EB" w:rsidR="00E33B6D" w:rsidRPr="00B806F8" w:rsidRDefault="00E33B6D" w:rsidP="00E33B6D">
            <w:pPr>
              <w:rPr>
                <w:rFonts w:ascii="VIC" w:hAnsi="VIC"/>
              </w:rPr>
            </w:pPr>
            <w:r w:rsidRPr="00B806F8">
              <w:rPr>
                <w:rFonts w:ascii="VIC" w:hAnsi="VIC"/>
                <w:i/>
                <w:iCs/>
                <w:szCs w:val="18"/>
              </w:rPr>
              <w:t>e.g.</w:t>
            </w:r>
            <w:r w:rsidRPr="00B806F8">
              <w:rPr>
                <w:rFonts w:ascii="VIC" w:hAnsi="VIC"/>
                <w:szCs w:val="18"/>
              </w:rPr>
              <w:t xml:space="preserve"> </w:t>
            </w:r>
            <w:proofErr w:type="spellStart"/>
            <w:r w:rsidRPr="00B806F8">
              <w:rPr>
                <w:rStyle w:val="SubtleEmphasis"/>
                <w:rFonts w:ascii="VIC" w:hAnsi="VIC"/>
                <w:szCs w:val="18"/>
              </w:rPr>
              <w:t>Garlon</w:t>
            </w:r>
            <w:proofErr w:type="spellEnd"/>
            <w:r w:rsidRPr="00B806F8">
              <w:rPr>
                <w:rStyle w:val="SubtleEmphasis"/>
                <w:rFonts w:ascii="VIC" w:hAnsi="VIC"/>
                <w:szCs w:val="18"/>
              </w:rPr>
              <w:t xml:space="preserve"> 600 Herbicide and </w:t>
            </w:r>
            <w:proofErr w:type="spellStart"/>
            <w:r w:rsidRPr="00B806F8">
              <w:rPr>
                <w:rStyle w:val="SubtleEmphasis"/>
                <w:rFonts w:ascii="VIC" w:hAnsi="VIC"/>
                <w:szCs w:val="18"/>
              </w:rPr>
              <w:t>Grazon</w:t>
            </w:r>
            <w:proofErr w:type="spellEnd"/>
            <w:r w:rsidRPr="00B806F8">
              <w:rPr>
                <w:rStyle w:val="SubtleEmphasis"/>
                <w:rFonts w:ascii="VIC" w:hAnsi="VIC"/>
                <w:szCs w:val="18"/>
              </w:rPr>
              <w:t xml:space="preserve"> Extra Herbicide (contain triclopyr ester), 2,4-D ester products, </w:t>
            </w:r>
            <w:proofErr w:type="spellStart"/>
            <w:r w:rsidRPr="00B806F8">
              <w:rPr>
                <w:rStyle w:val="SubtleEmphasis"/>
                <w:rFonts w:ascii="VIC" w:hAnsi="VIC"/>
                <w:szCs w:val="18"/>
              </w:rPr>
              <w:t>Tigrex</w:t>
            </w:r>
            <w:proofErr w:type="spellEnd"/>
            <w:r w:rsidRPr="00B806F8">
              <w:rPr>
                <w:rStyle w:val="SubtleEmphasis"/>
                <w:rFonts w:ascii="VIC" w:hAnsi="VIC"/>
                <w:szCs w:val="18"/>
              </w:rPr>
              <w:t xml:space="preserve"> Selective Herbicide (contains MCPA ester).</w:t>
            </w:r>
          </w:p>
        </w:tc>
        <w:tc>
          <w:tcPr>
            <w:tcW w:w="1698" w:type="dxa"/>
          </w:tcPr>
          <w:p w14:paraId="6DC8EB75" w14:textId="77777777" w:rsidR="00E33B6D" w:rsidRPr="00B806F8" w:rsidRDefault="00E33B6D" w:rsidP="00E33B6D">
            <w:pPr>
              <w:rPr>
                <w:rFonts w:ascii="VIC" w:hAnsi="VIC"/>
              </w:rPr>
            </w:pPr>
            <w:r w:rsidRPr="00B806F8">
              <w:rPr>
                <w:rFonts w:ascii="VIC" w:hAnsi="VIC"/>
              </w:rPr>
              <w:t>No</w:t>
            </w:r>
          </w:p>
          <w:p w14:paraId="76AED0F1" w14:textId="21E5ED1A" w:rsidR="00E33B6D" w:rsidRPr="00B806F8" w:rsidRDefault="00E33B6D" w:rsidP="00E33B6D">
            <w:pPr>
              <w:rPr>
                <w:rFonts w:ascii="VIC" w:hAnsi="VIC"/>
              </w:rPr>
            </w:pPr>
            <w:r w:rsidRPr="00B806F8">
              <w:rPr>
                <w:rFonts w:ascii="VIC" w:hAnsi="VIC" w:cstheme="minorHAnsi"/>
              </w:rPr>
              <w:t xml:space="preserve">Note: While a person is not required to hold authorisation to be sold / supplied these </w:t>
            </w:r>
            <w:r w:rsidRPr="00B806F8">
              <w:rPr>
                <w:rFonts w:ascii="VIC" w:hAnsi="VIC" w:cstheme="minorHAnsi"/>
              </w:rPr>
              <w:lastRenderedPageBreak/>
              <w:t>products, suppliers are encouraged to check and remind the purchaser that the person who will ultimately use the product must hold the relevant authori</w:t>
            </w:r>
            <w:r w:rsidR="0042577D" w:rsidRPr="00B806F8">
              <w:rPr>
                <w:rFonts w:ascii="VIC" w:hAnsi="VIC" w:cstheme="minorHAnsi"/>
              </w:rPr>
              <w:t>s</w:t>
            </w:r>
            <w:r w:rsidRPr="00B806F8">
              <w:rPr>
                <w:rFonts w:ascii="VIC" w:hAnsi="VIC" w:cstheme="minorHAnsi"/>
              </w:rPr>
              <w:t>ation.</w:t>
            </w:r>
          </w:p>
        </w:tc>
        <w:tc>
          <w:tcPr>
            <w:tcW w:w="1563" w:type="dxa"/>
          </w:tcPr>
          <w:p w14:paraId="56760D20" w14:textId="77777777" w:rsidR="00E33B6D" w:rsidRPr="00B806F8" w:rsidRDefault="00E33B6D" w:rsidP="00E33B6D">
            <w:pPr>
              <w:rPr>
                <w:rFonts w:ascii="VIC" w:hAnsi="VIC"/>
                <w:b/>
                <w:bCs/>
                <w:vertAlign w:val="superscript"/>
              </w:rPr>
            </w:pPr>
            <w:r w:rsidRPr="00B806F8">
              <w:rPr>
                <w:rFonts w:ascii="VIC" w:hAnsi="VIC"/>
              </w:rPr>
              <w:lastRenderedPageBreak/>
              <w:t>Yes</w:t>
            </w:r>
          </w:p>
          <w:p w14:paraId="2B929B9F" w14:textId="77777777" w:rsidR="00E33B6D" w:rsidRPr="00B806F8" w:rsidRDefault="00E33B6D" w:rsidP="00E33B6D">
            <w:pPr>
              <w:rPr>
                <w:rFonts w:ascii="VIC" w:hAnsi="VIC"/>
              </w:rPr>
            </w:pPr>
          </w:p>
        </w:tc>
        <w:tc>
          <w:tcPr>
            <w:tcW w:w="1649" w:type="dxa"/>
          </w:tcPr>
          <w:p w14:paraId="3268F628" w14:textId="09E273F9" w:rsidR="00E33B6D" w:rsidRPr="00B806F8" w:rsidRDefault="00E33B6D" w:rsidP="00E33B6D">
            <w:pPr>
              <w:rPr>
                <w:rFonts w:ascii="VIC" w:hAnsi="VIC"/>
              </w:rPr>
            </w:pPr>
            <w:r w:rsidRPr="00B806F8">
              <w:rPr>
                <w:rFonts w:ascii="VIC" w:hAnsi="VIC"/>
              </w:rPr>
              <w:t>No</w:t>
            </w:r>
          </w:p>
        </w:tc>
      </w:tr>
      <w:tr w:rsidR="00E33B6D" w:rsidRPr="00B806F8" w14:paraId="03A69635" w14:textId="77777777" w:rsidTr="00BB5347">
        <w:tc>
          <w:tcPr>
            <w:tcW w:w="4106" w:type="dxa"/>
          </w:tcPr>
          <w:p w14:paraId="4F87C7C9" w14:textId="77777777" w:rsidR="00E33B6D" w:rsidRPr="00B806F8" w:rsidRDefault="00E33B6D" w:rsidP="00E33B6D">
            <w:pPr>
              <w:rPr>
                <w:rFonts w:ascii="VIC" w:hAnsi="VIC"/>
                <w:b/>
                <w:bCs/>
              </w:rPr>
            </w:pPr>
            <w:r w:rsidRPr="00B806F8">
              <w:rPr>
                <w:rFonts w:ascii="VIC" w:hAnsi="VIC"/>
                <w:b/>
                <w:bCs/>
              </w:rPr>
              <w:t>5/ Schedule 6 RCPs (excluding Pindone Concentrate Products)</w:t>
            </w:r>
          </w:p>
          <w:p w14:paraId="59FF0131" w14:textId="270849EE" w:rsidR="00E33B6D" w:rsidRPr="00B806F8" w:rsidRDefault="00E33B6D" w:rsidP="00E33B6D">
            <w:pPr>
              <w:rPr>
                <w:rFonts w:ascii="VIC" w:hAnsi="VIC"/>
              </w:rPr>
            </w:pPr>
            <w:r w:rsidRPr="00B806F8">
              <w:rPr>
                <w:rFonts w:ascii="VIC" w:hAnsi="VIC"/>
                <w:i/>
                <w:iCs/>
                <w:szCs w:val="18"/>
              </w:rPr>
              <w:t xml:space="preserve">e.g. Products containing </w:t>
            </w:r>
            <w:proofErr w:type="spellStart"/>
            <w:r w:rsidRPr="00B806F8">
              <w:rPr>
                <w:rFonts w:ascii="VIC" w:hAnsi="VIC"/>
                <w:i/>
                <w:iCs/>
                <w:szCs w:val="18"/>
              </w:rPr>
              <w:t>a</w:t>
            </w:r>
            <w:r w:rsidRPr="00B806F8">
              <w:rPr>
                <w:rStyle w:val="SubtleEmphasis"/>
                <w:rFonts w:ascii="VIC" w:hAnsi="VIC"/>
                <w:szCs w:val="18"/>
              </w:rPr>
              <w:t>lphachloralose</w:t>
            </w:r>
            <w:proofErr w:type="spellEnd"/>
            <w:r w:rsidRPr="00B806F8">
              <w:rPr>
                <w:rStyle w:val="SubtleEmphasis"/>
                <w:rFonts w:ascii="VIC" w:hAnsi="VIC"/>
                <w:szCs w:val="18"/>
              </w:rPr>
              <w:t>.</w:t>
            </w:r>
          </w:p>
        </w:tc>
        <w:tc>
          <w:tcPr>
            <w:tcW w:w="1698" w:type="dxa"/>
          </w:tcPr>
          <w:p w14:paraId="26DD893F" w14:textId="0408F61F" w:rsidR="00E33B6D" w:rsidRPr="00B806F8" w:rsidRDefault="00E33B6D" w:rsidP="00E33B6D">
            <w:pPr>
              <w:rPr>
                <w:rFonts w:ascii="VIC" w:hAnsi="VIC"/>
              </w:rPr>
            </w:pPr>
            <w:r w:rsidRPr="00B806F8">
              <w:rPr>
                <w:rFonts w:ascii="VIC" w:hAnsi="VIC"/>
              </w:rPr>
              <w:t>No</w:t>
            </w:r>
          </w:p>
        </w:tc>
        <w:tc>
          <w:tcPr>
            <w:tcW w:w="1563" w:type="dxa"/>
          </w:tcPr>
          <w:p w14:paraId="1BE70490" w14:textId="66D6C1C0" w:rsidR="00E33B6D" w:rsidRPr="00B806F8" w:rsidRDefault="00E33B6D" w:rsidP="00E33B6D">
            <w:pPr>
              <w:rPr>
                <w:rFonts w:ascii="VIC" w:hAnsi="VIC"/>
              </w:rPr>
            </w:pPr>
            <w:r w:rsidRPr="00B806F8">
              <w:rPr>
                <w:rFonts w:ascii="VIC" w:hAnsi="VIC"/>
              </w:rPr>
              <w:t>No</w:t>
            </w:r>
          </w:p>
        </w:tc>
        <w:tc>
          <w:tcPr>
            <w:tcW w:w="1649" w:type="dxa"/>
          </w:tcPr>
          <w:p w14:paraId="08A6D784" w14:textId="57D3CF52" w:rsidR="00E33B6D" w:rsidRPr="00B806F8" w:rsidRDefault="00E33B6D" w:rsidP="00E33B6D">
            <w:pPr>
              <w:rPr>
                <w:rFonts w:ascii="VIC" w:hAnsi="VIC"/>
              </w:rPr>
            </w:pPr>
            <w:r w:rsidRPr="00B806F8">
              <w:rPr>
                <w:rFonts w:ascii="VIC" w:hAnsi="VIC"/>
              </w:rPr>
              <w:t>No</w:t>
            </w:r>
          </w:p>
        </w:tc>
      </w:tr>
      <w:tr w:rsidR="00E33B6D" w:rsidRPr="00B806F8" w14:paraId="689F381E" w14:textId="77777777" w:rsidTr="00BB5347">
        <w:tc>
          <w:tcPr>
            <w:tcW w:w="4106" w:type="dxa"/>
          </w:tcPr>
          <w:p w14:paraId="73C55E31" w14:textId="77777777" w:rsidR="00E33B6D" w:rsidRPr="00B806F8" w:rsidRDefault="00E33B6D" w:rsidP="00E33B6D">
            <w:pPr>
              <w:rPr>
                <w:rFonts w:ascii="VIC" w:hAnsi="VIC"/>
                <w:b/>
                <w:bCs/>
              </w:rPr>
            </w:pPr>
            <w:r w:rsidRPr="00B806F8">
              <w:rPr>
                <w:rFonts w:ascii="VIC" w:hAnsi="VIC"/>
                <w:b/>
                <w:bCs/>
              </w:rPr>
              <w:t>6/ Other agricultural chemicals</w:t>
            </w:r>
          </w:p>
          <w:p w14:paraId="28DD2C06" w14:textId="75BB8318" w:rsidR="00E33B6D" w:rsidRPr="00B806F8" w:rsidRDefault="00E33B6D" w:rsidP="00E33B6D">
            <w:pPr>
              <w:rPr>
                <w:rFonts w:ascii="VIC" w:hAnsi="VIC"/>
              </w:rPr>
            </w:pPr>
            <w:r w:rsidRPr="00B806F8">
              <w:rPr>
                <w:rFonts w:ascii="VIC" w:hAnsi="VIC"/>
                <w:i/>
                <w:iCs/>
                <w:szCs w:val="18"/>
              </w:rPr>
              <w:t>e.g.</w:t>
            </w:r>
            <w:r w:rsidRPr="00B806F8">
              <w:rPr>
                <w:rStyle w:val="SubtleEmphasis"/>
                <w:rFonts w:ascii="VIC" w:hAnsi="VIC"/>
                <w:szCs w:val="18"/>
              </w:rPr>
              <w:t xml:space="preserve"> glyphosate products, 2,4-D amine products, </w:t>
            </w:r>
            <w:proofErr w:type="spellStart"/>
            <w:r w:rsidRPr="00B806F8">
              <w:rPr>
                <w:rStyle w:val="SubtleEmphasis"/>
                <w:rFonts w:ascii="VIC" w:hAnsi="VIC"/>
                <w:szCs w:val="18"/>
              </w:rPr>
              <w:t>Rovral</w:t>
            </w:r>
            <w:proofErr w:type="spellEnd"/>
            <w:r w:rsidRPr="00B806F8">
              <w:rPr>
                <w:rStyle w:val="SubtleEmphasis"/>
                <w:rFonts w:ascii="VIC" w:hAnsi="VIC"/>
                <w:szCs w:val="18"/>
              </w:rPr>
              <w:t xml:space="preserve"> Liquid Fungicide (contains iprodione), </w:t>
            </w:r>
            <w:proofErr w:type="spellStart"/>
            <w:r w:rsidRPr="00B806F8">
              <w:rPr>
                <w:rStyle w:val="SubtleEmphasis"/>
                <w:rFonts w:ascii="VIC" w:hAnsi="VIC"/>
                <w:szCs w:val="18"/>
              </w:rPr>
              <w:t>Rabbait</w:t>
            </w:r>
            <w:proofErr w:type="spellEnd"/>
            <w:r w:rsidRPr="00B806F8">
              <w:rPr>
                <w:rStyle w:val="SubtleEmphasis"/>
                <w:rFonts w:ascii="VIC" w:hAnsi="VIC"/>
                <w:szCs w:val="18"/>
              </w:rPr>
              <w:t xml:space="preserve"> Pindone Oat Bait (contains pindone salt), </w:t>
            </w:r>
            <w:proofErr w:type="spellStart"/>
            <w:r w:rsidRPr="00B806F8">
              <w:rPr>
                <w:rStyle w:val="SubtleEmphasis"/>
                <w:rFonts w:ascii="VIC" w:hAnsi="VIC"/>
                <w:szCs w:val="18"/>
              </w:rPr>
              <w:t>Profume</w:t>
            </w:r>
            <w:proofErr w:type="spellEnd"/>
            <w:r w:rsidRPr="00B806F8">
              <w:rPr>
                <w:rStyle w:val="SubtleEmphasis"/>
                <w:rFonts w:ascii="VIC" w:hAnsi="VIC"/>
                <w:szCs w:val="18"/>
              </w:rPr>
              <w:t xml:space="preserve"> Gas Fumigant (contains sulfuryl fluoride).</w:t>
            </w:r>
          </w:p>
        </w:tc>
        <w:tc>
          <w:tcPr>
            <w:tcW w:w="1698" w:type="dxa"/>
          </w:tcPr>
          <w:p w14:paraId="47EEA192" w14:textId="35A13551" w:rsidR="00E33B6D" w:rsidRPr="00B806F8" w:rsidRDefault="00E33B6D" w:rsidP="00E33B6D">
            <w:pPr>
              <w:rPr>
                <w:rFonts w:ascii="VIC" w:hAnsi="VIC"/>
              </w:rPr>
            </w:pPr>
            <w:r w:rsidRPr="00B806F8">
              <w:rPr>
                <w:rFonts w:ascii="VIC" w:hAnsi="VIC"/>
              </w:rPr>
              <w:t>No</w:t>
            </w:r>
          </w:p>
        </w:tc>
        <w:tc>
          <w:tcPr>
            <w:tcW w:w="1563" w:type="dxa"/>
          </w:tcPr>
          <w:p w14:paraId="28B92B24" w14:textId="0487392C" w:rsidR="00E33B6D" w:rsidRPr="00B806F8" w:rsidRDefault="00E33B6D" w:rsidP="00E33B6D">
            <w:pPr>
              <w:rPr>
                <w:rFonts w:ascii="VIC" w:hAnsi="VIC"/>
              </w:rPr>
            </w:pPr>
            <w:r w:rsidRPr="00B806F8">
              <w:rPr>
                <w:rFonts w:ascii="VIC" w:hAnsi="VIC"/>
              </w:rPr>
              <w:t>No</w:t>
            </w:r>
          </w:p>
        </w:tc>
        <w:tc>
          <w:tcPr>
            <w:tcW w:w="1649" w:type="dxa"/>
          </w:tcPr>
          <w:p w14:paraId="62B8DA65" w14:textId="52A9112B" w:rsidR="00E33B6D" w:rsidRPr="00B806F8" w:rsidRDefault="00E33B6D" w:rsidP="00E33B6D">
            <w:pPr>
              <w:rPr>
                <w:rFonts w:ascii="VIC" w:hAnsi="VIC"/>
              </w:rPr>
            </w:pPr>
            <w:r w:rsidRPr="00B806F8">
              <w:rPr>
                <w:rFonts w:ascii="VIC" w:hAnsi="VIC"/>
              </w:rPr>
              <w:t>No</w:t>
            </w:r>
          </w:p>
        </w:tc>
      </w:tr>
    </w:tbl>
    <w:p w14:paraId="1F87A8BF" w14:textId="0F818E7E" w:rsidR="00EE230F" w:rsidRPr="00B806F8" w:rsidRDefault="005A5C0F" w:rsidP="00EE230F">
      <w:pPr>
        <w:rPr>
          <w:rFonts w:ascii="VIC" w:hAnsi="VIC"/>
        </w:rPr>
      </w:pPr>
      <w:r w:rsidRPr="00B806F8">
        <w:rPr>
          <w:rFonts w:ascii="VIC" w:hAnsi="VIC"/>
        </w:rPr>
        <w:t xml:space="preserve"> </w:t>
      </w:r>
    </w:p>
    <w:p w14:paraId="65C72BA0" w14:textId="77777777" w:rsidR="00441604" w:rsidRDefault="00441604">
      <w:pPr>
        <w:rPr>
          <w:rFonts w:ascii="VIC" w:eastAsiaTheme="majorEastAsia" w:hAnsi="VIC" w:cstheme="majorBidi"/>
          <w:color w:val="2F5496" w:themeColor="accent1" w:themeShade="BF"/>
          <w:sz w:val="26"/>
          <w:szCs w:val="26"/>
        </w:rPr>
      </w:pPr>
      <w:r>
        <w:rPr>
          <w:rFonts w:ascii="VIC" w:hAnsi="VIC"/>
        </w:rPr>
        <w:br w:type="page"/>
      </w:r>
    </w:p>
    <w:p w14:paraId="78441F1C" w14:textId="5CA5F57A" w:rsidR="005A5C0F" w:rsidRPr="00B806F8" w:rsidRDefault="005A5C0F" w:rsidP="005A5C0F">
      <w:pPr>
        <w:pStyle w:val="Heading2"/>
        <w:rPr>
          <w:rFonts w:ascii="VIC" w:hAnsi="VIC"/>
        </w:rPr>
      </w:pPr>
      <w:r w:rsidRPr="00B806F8">
        <w:rPr>
          <w:rFonts w:ascii="VIC" w:hAnsi="VIC"/>
        </w:rPr>
        <w:lastRenderedPageBreak/>
        <w:t>Sale/supply record requirements</w:t>
      </w:r>
    </w:p>
    <w:p w14:paraId="1C1775D3" w14:textId="71805E6F" w:rsidR="00677039" w:rsidRPr="00B806F8" w:rsidRDefault="00677039" w:rsidP="00677039">
      <w:pPr>
        <w:pStyle w:val="FootnoteText"/>
        <w:rPr>
          <w:rFonts w:ascii="VIC" w:hAnsi="VIC" w:cstheme="minorHAnsi"/>
          <w:sz w:val="24"/>
          <w:szCs w:val="24"/>
        </w:rPr>
      </w:pPr>
      <w:r w:rsidRPr="00B806F8">
        <w:rPr>
          <w:rFonts w:ascii="VIC" w:hAnsi="VIC" w:cstheme="minorHAnsi"/>
          <w:sz w:val="24"/>
          <w:szCs w:val="24"/>
        </w:rPr>
        <w:t xml:space="preserve">Note: The name of the poison in the product must be recorded (e.g. 3 mg 1080 per bait; 250g/L paraquat) or sufficient information to enable the identification of the poison, such as the full product trade name (e.g. </w:t>
      </w:r>
      <w:proofErr w:type="spellStart"/>
      <w:r w:rsidRPr="00B806F8">
        <w:rPr>
          <w:rFonts w:ascii="VIC" w:hAnsi="VIC" w:cstheme="minorHAnsi"/>
          <w:i/>
          <w:iCs/>
          <w:sz w:val="24"/>
          <w:szCs w:val="24"/>
        </w:rPr>
        <w:t>Foxoff</w:t>
      </w:r>
      <w:proofErr w:type="spellEnd"/>
      <w:r w:rsidRPr="00B806F8">
        <w:rPr>
          <w:rFonts w:ascii="VIC" w:hAnsi="VIC" w:cstheme="minorHAnsi"/>
          <w:i/>
          <w:iCs/>
          <w:sz w:val="24"/>
          <w:szCs w:val="24"/>
        </w:rPr>
        <w:t xml:space="preserve"> </w:t>
      </w:r>
      <w:proofErr w:type="spellStart"/>
      <w:r w:rsidRPr="00B806F8">
        <w:rPr>
          <w:rFonts w:ascii="VIC" w:hAnsi="VIC" w:cstheme="minorHAnsi"/>
          <w:i/>
          <w:iCs/>
          <w:sz w:val="24"/>
          <w:szCs w:val="24"/>
        </w:rPr>
        <w:t>Econobait</w:t>
      </w:r>
      <w:proofErr w:type="spellEnd"/>
      <w:r w:rsidRPr="00B806F8">
        <w:rPr>
          <w:rFonts w:ascii="VIC" w:hAnsi="VIC" w:cstheme="minorHAnsi"/>
          <w:sz w:val="24"/>
          <w:szCs w:val="24"/>
        </w:rPr>
        <w:t xml:space="preserve">, </w:t>
      </w:r>
      <w:proofErr w:type="spellStart"/>
      <w:r w:rsidRPr="00B806F8">
        <w:rPr>
          <w:rFonts w:ascii="VIC" w:hAnsi="VIC" w:cstheme="minorHAnsi"/>
          <w:i/>
          <w:iCs/>
          <w:sz w:val="24"/>
          <w:szCs w:val="24"/>
        </w:rPr>
        <w:t>Gramoxone</w:t>
      </w:r>
      <w:proofErr w:type="spellEnd"/>
      <w:r w:rsidRPr="00B806F8">
        <w:rPr>
          <w:rFonts w:ascii="VIC" w:hAnsi="VIC" w:cstheme="minorHAnsi"/>
          <w:i/>
          <w:iCs/>
          <w:sz w:val="24"/>
          <w:szCs w:val="24"/>
        </w:rPr>
        <w:t xml:space="preserve"> 250 Herbicide</w:t>
      </w:r>
      <w:r w:rsidRPr="00B806F8">
        <w:rPr>
          <w:rFonts w:ascii="VIC" w:hAnsi="VIC" w:cstheme="minorHAnsi"/>
          <w:sz w:val="24"/>
          <w:szCs w:val="24"/>
        </w:rPr>
        <w:t xml:space="preserve">). </w:t>
      </w:r>
    </w:p>
    <w:p w14:paraId="64B3BCD6" w14:textId="77777777" w:rsidR="00A326CB" w:rsidRPr="00B806F8" w:rsidRDefault="00A326CB" w:rsidP="00677039">
      <w:pPr>
        <w:pStyle w:val="FootnoteText"/>
        <w:rPr>
          <w:rFonts w:ascii="VIC" w:hAnsi="VIC" w:cstheme="minorHAnsi"/>
          <w:sz w:val="24"/>
          <w:szCs w:val="24"/>
        </w:rPr>
      </w:pPr>
    </w:p>
    <w:tbl>
      <w:tblPr>
        <w:tblStyle w:val="TableGrid"/>
        <w:tblW w:w="0" w:type="auto"/>
        <w:tblLook w:val="04A0" w:firstRow="1" w:lastRow="0" w:firstColumn="1" w:lastColumn="0" w:noHBand="0" w:noVBand="1"/>
      </w:tblPr>
      <w:tblGrid>
        <w:gridCol w:w="3668"/>
        <w:gridCol w:w="1557"/>
        <w:gridCol w:w="1009"/>
        <w:gridCol w:w="1417"/>
        <w:gridCol w:w="1365"/>
      </w:tblGrid>
      <w:tr w:rsidR="00B67719" w:rsidRPr="00B806F8" w14:paraId="21AD452F" w14:textId="3ECCEB31" w:rsidTr="00330583">
        <w:tc>
          <w:tcPr>
            <w:tcW w:w="3681" w:type="dxa"/>
          </w:tcPr>
          <w:p w14:paraId="5C47A6E4" w14:textId="7549CAB2" w:rsidR="00B67719" w:rsidRPr="00B806F8" w:rsidRDefault="00B67719" w:rsidP="00B67719">
            <w:pPr>
              <w:rPr>
                <w:rFonts w:ascii="VIC" w:hAnsi="VIC" w:cstheme="minorHAnsi"/>
                <w:b/>
                <w:bCs/>
              </w:rPr>
            </w:pPr>
            <w:r w:rsidRPr="00B806F8">
              <w:rPr>
                <w:rFonts w:ascii="VIC" w:hAnsi="VIC" w:cstheme="minorHAnsi"/>
                <w:b/>
                <w:bCs/>
              </w:rPr>
              <w:t>Description of product</w:t>
            </w:r>
          </w:p>
        </w:tc>
        <w:tc>
          <w:tcPr>
            <w:tcW w:w="1559" w:type="dxa"/>
          </w:tcPr>
          <w:p w14:paraId="43DA4E52" w14:textId="5C44140C" w:rsidR="00B67719" w:rsidRPr="00B806F8" w:rsidRDefault="00B67719" w:rsidP="00B67719">
            <w:pPr>
              <w:rPr>
                <w:rFonts w:ascii="VIC" w:hAnsi="VIC" w:cstheme="minorHAnsi"/>
              </w:rPr>
            </w:pPr>
            <w:r w:rsidRPr="00B806F8">
              <w:rPr>
                <w:rFonts w:ascii="VIC" w:hAnsi="VIC" w:cstheme="minorHAnsi"/>
                <w:b/>
                <w:bCs/>
              </w:rPr>
              <w:t xml:space="preserve">Name and address </w:t>
            </w:r>
          </w:p>
        </w:tc>
        <w:tc>
          <w:tcPr>
            <w:tcW w:w="992" w:type="dxa"/>
          </w:tcPr>
          <w:p w14:paraId="28FB834C" w14:textId="3AC1E986" w:rsidR="00B67719" w:rsidRPr="00B806F8" w:rsidRDefault="00B67719" w:rsidP="00B67719">
            <w:pPr>
              <w:rPr>
                <w:rFonts w:ascii="VIC" w:hAnsi="VIC" w:cstheme="minorHAnsi"/>
              </w:rPr>
            </w:pPr>
            <w:r w:rsidRPr="00B806F8">
              <w:rPr>
                <w:rFonts w:ascii="VIC" w:hAnsi="VIC" w:cstheme="minorHAnsi"/>
                <w:b/>
                <w:bCs/>
              </w:rPr>
              <w:t>Date of sale / supply</w:t>
            </w:r>
          </w:p>
        </w:tc>
        <w:tc>
          <w:tcPr>
            <w:tcW w:w="1418" w:type="dxa"/>
          </w:tcPr>
          <w:p w14:paraId="53E8B67A" w14:textId="3C28995D" w:rsidR="00B67719" w:rsidRPr="00B806F8" w:rsidRDefault="00B67719" w:rsidP="00B67719">
            <w:pPr>
              <w:rPr>
                <w:rFonts w:ascii="VIC" w:hAnsi="VIC" w:cstheme="minorHAnsi"/>
              </w:rPr>
            </w:pPr>
            <w:r w:rsidRPr="00B806F8">
              <w:rPr>
                <w:rFonts w:ascii="VIC" w:hAnsi="VIC" w:cstheme="minorHAnsi"/>
                <w:b/>
                <w:bCs/>
              </w:rPr>
              <w:t>Name of the poison sold / supplied</w:t>
            </w:r>
          </w:p>
        </w:tc>
        <w:tc>
          <w:tcPr>
            <w:tcW w:w="1366" w:type="dxa"/>
          </w:tcPr>
          <w:p w14:paraId="56679343" w14:textId="7C905CE6" w:rsidR="00B67719" w:rsidRPr="00B806F8" w:rsidRDefault="00B67719" w:rsidP="00B67719">
            <w:pPr>
              <w:rPr>
                <w:rFonts w:ascii="VIC" w:hAnsi="VIC" w:cstheme="minorHAnsi"/>
              </w:rPr>
            </w:pPr>
            <w:r w:rsidRPr="00B806F8">
              <w:rPr>
                <w:rFonts w:ascii="VIC" w:hAnsi="VIC" w:cstheme="minorHAnsi"/>
                <w:b/>
                <w:bCs/>
              </w:rPr>
              <w:t>Quantity of the poison sold / supplied</w:t>
            </w:r>
          </w:p>
        </w:tc>
      </w:tr>
      <w:tr w:rsidR="00330583" w:rsidRPr="00B806F8" w14:paraId="3D7FF9B2" w14:textId="49CE25E6" w:rsidTr="00330583">
        <w:tc>
          <w:tcPr>
            <w:tcW w:w="3681" w:type="dxa"/>
          </w:tcPr>
          <w:p w14:paraId="24FFA9D4" w14:textId="77777777" w:rsidR="00330583" w:rsidRPr="00B806F8" w:rsidRDefault="00330583" w:rsidP="00330583">
            <w:pPr>
              <w:rPr>
                <w:rFonts w:ascii="VIC" w:hAnsi="VIC" w:cstheme="minorHAnsi"/>
              </w:rPr>
            </w:pPr>
            <w:r w:rsidRPr="00B806F8">
              <w:rPr>
                <w:rFonts w:ascii="VIC" w:hAnsi="VIC" w:cstheme="minorHAnsi"/>
                <w:b/>
                <w:bCs/>
              </w:rPr>
              <w:t>1/ Schedule 7 RCPs (1080 and PAPP</w:t>
            </w:r>
            <w:r w:rsidRPr="00B806F8">
              <w:rPr>
                <w:rFonts w:ascii="VIC" w:hAnsi="VIC" w:cstheme="minorHAnsi"/>
              </w:rPr>
              <w:t>)</w:t>
            </w:r>
          </w:p>
          <w:p w14:paraId="7F22F4F1" w14:textId="77777777" w:rsidR="00330583" w:rsidRPr="00B806F8" w:rsidRDefault="00330583" w:rsidP="00330583">
            <w:pPr>
              <w:rPr>
                <w:rFonts w:ascii="VIC" w:hAnsi="VIC" w:cstheme="minorHAnsi"/>
              </w:rPr>
            </w:pPr>
            <w:r w:rsidRPr="00B806F8">
              <w:rPr>
                <w:rFonts w:ascii="VIC" w:hAnsi="VIC" w:cstheme="minorHAnsi"/>
                <w:i/>
                <w:iCs/>
              </w:rPr>
              <w:t xml:space="preserve">e.g. 1080 and PAPP baits, </w:t>
            </w:r>
            <w:proofErr w:type="spellStart"/>
            <w:r w:rsidRPr="00B806F8">
              <w:rPr>
                <w:rFonts w:ascii="VIC" w:hAnsi="VIC" w:cstheme="minorHAnsi"/>
                <w:i/>
                <w:iCs/>
              </w:rPr>
              <w:t>Magnacide</w:t>
            </w:r>
            <w:proofErr w:type="spellEnd"/>
            <w:r w:rsidRPr="00B806F8">
              <w:rPr>
                <w:rFonts w:ascii="VIC" w:hAnsi="VIC" w:cstheme="minorHAnsi"/>
                <w:i/>
                <w:iCs/>
              </w:rPr>
              <w:t xml:space="preserve"> H Herbicide (contains acrolein), Copper Chrome Arsenic (CCA) products.</w:t>
            </w:r>
          </w:p>
          <w:p w14:paraId="7B1BB3F7" w14:textId="77777777" w:rsidR="00330583" w:rsidRPr="00B806F8" w:rsidRDefault="00330583" w:rsidP="00330583">
            <w:pPr>
              <w:rPr>
                <w:rFonts w:ascii="VIC" w:hAnsi="VIC" w:cstheme="minorHAnsi"/>
              </w:rPr>
            </w:pPr>
            <w:r w:rsidRPr="00B806F8">
              <w:rPr>
                <w:rFonts w:ascii="VIC" w:hAnsi="VIC" w:cstheme="minorHAnsi"/>
              </w:rPr>
              <w:t>Note: 1080 and PAPP products can only be sold / supplied by staff that hold valid completion of the Agsafe 1080 and PAPP personnel course in an Agsafe 1080 and PAPP accredited store. Recording the staff person’s name when 1080 and PAPP products are sold / supplied is not a legal requirement but can demonstrate that the store is meeting this obligation.</w:t>
            </w:r>
          </w:p>
          <w:p w14:paraId="0F43CDE8" w14:textId="77777777" w:rsidR="00330583" w:rsidRPr="00B806F8" w:rsidRDefault="00330583" w:rsidP="00330583">
            <w:pPr>
              <w:rPr>
                <w:rFonts w:ascii="VIC" w:hAnsi="VIC" w:cstheme="minorHAnsi"/>
              </w:rPr>
            </w:pPr>
          </w:p>
        </w:tc>
        <w:tc>
          <w:tcPr>
            <w:tcW w:w="1559" w:type="dxa"/>
          </w:tcPr>
          <w:p w14:paraId="70D3F2A7" w14:textId="77777777" w:rsidR="00330583" w:rsidRPr="00B806F8" w:rsidRDefault="00330583" w:rsidP="00330583">
            <w:pPr>
              <w:rPr>
                <w:rFonts w:ascii="VIC" w:hAnsi="VIC" w:cstheme="minorHAnsi"/>
              </w:rPr>
            </w:pPr>
            <w:r w:rsidRPr="00B806F8">
              <w:rPr>
                <w:rFonts w:ascii="VIC" w:hAnsi="VIC" w:cstheme="minorHAnsi"/>
              </w:rPr>
              <w:t xml:space="preserve">Yes. </w:t>
            </w:r>
          </w:p>
          <w:p w14:paraId="0E10EE7A" w14:textId="77777777" w:rsidR="00330583" w:rsidRPr="00B806F8" w:rsidRDefault="00330583" w:rsidP="00330583">
            <w:pPr>
              <w:rPr>
                <w:rFonts w:ascii="VIC" w:hAnsi="VIC" w:cstheme="minorHAnsi"/>
              </w:rPr>
            </w:pPr>
            <w:r w:rsidRPr="00B806F8">
              <w:rPr>
                <w:rFonts w:ascii="VIC" w:hAnsi="VIC" w:cstheme="minorHAnsi"/>
              </w:rPr>
              <w:t>- Person who collected the product from the store; and</w:t>
            </w:r>
          </w:p>
          <w:p w14:paraId="3A9970E6" w14:textId="77777777" w:rsidR="00330583" w:rsidRPr="00B806F8" w:rsidRDefault="00330583" w:rsidP="00330583">
            <w:pPr>
              <w:rPr>
                <w:rFonts w:ascii="VIC" w:hAnsi="VIC" w:cstheme="minorHAnsi"/>
              </w:rPr>
            </w:pPr>
            <w:r w:rsidRPr="00B806F8">
              <w:rPr>
                <w:rFonts w:ascii="VIC" w:hAnsi="VIC" w:cstheme="minorHAnsi"/>
              </w:rPr>
              <w:t>- User of product (if the product is collected by another person (i.e. an ‘agent’)</w:t>
            </w:r>
          </w:p>
          <w:p w14:paraId="2B8CF256" w14:textId="77777777" w:rsidR="00330583" w:rsidRPr="00B806F8" w:rsidRDefault="00330583" w:rsidP="00330583">
            <w:pPr>
              <w:rPr>
                <w:rFonts w:ascii="VIC" w:hAnsi="VIC" w:cstheme="minorHAnsi"/>
              </w:rPr>
            </w:pPr>
          </w:p>
          <w:p w14:paraId="373EE8BE" w14:textId="77777777" w:rsidR="00330583" w:rsidRPr="00B806F8" w:rsidRDefault="00330583" w:rsidP="00330583">
            <w:pPr>
              <w:rPr>
                <w:rFonts w:ascii="VIC" w:hAnsi="VIC" w:cstheme="minorHAnsi"/>
              </w:rPr>
            </w:pPr>
          </w:p>
        </w:tc>
        <w:tc>
          <w:tcPr>
            <w:tcW w:w="992" w:type="dxa"/>
          </w:tcPr>
          <w:p w14:paraId="037381FE" w14:textId="59398B5B" w:rsidR="00330583" w:rsidRPr="00B806F8" w:rsidRDefault="00330583" w:rsidP="00330583">
            <w:pPr>
              <w:rPr>
                <w:rFonts w:ascii="VIC" w:hAnsi="VIC" w:cstheme="minorHAnsi"/>
              </w:rPr>
            </w:pPr>
            <w:r w:rsidRPr="00B806F8">
              <w:rPr>
                <w:rFonts w:ascii="VIC" w:hAnsi="VIC" w:cstheme="minorHAnsi"/>
              </w:rPr>
              <w:t>Yes</w:t>
            </w:r>
          </w:p>
        </w:tc>
        <w:tc>
          <w:tcPr>
            <w:tcW w:w="1418" w:type="dxa"/>
          </w:tcPr>
          <w:p w14:paraId="014E8CE6" w14:textId="0FA41228" w:rsidR="00330583" w:rsidRPr="00B806F8" w:rsidRDefault="00330583" w:rsidP="00330583">
            <w:pPr>
              <w:rPr>
                <w:rFonts w:ascii="VIC" w:hAnsi="VIC" w:cstheme="minorHAnsi"/>
              </w:rPr>
            </w:pPr>
            <w:r w:rsidRPr="00B806F8">
              <w:rPr>
                <w:rFonts w:ascii="VIC" w:hAnsi="VIC" w:cstheme="minorHAnsi"/>
              </w:rPr>
              <w:t>Yes</w:t>
            </w:r>
          </w:p>
        </w:tc>
        <w:tc>
          <w:tcPr>
            <w:tcW w:w="1366" w:type="dxa"/>
          </w:tcPr>
          <w:p w14:paraId="0490D282" w14:textId="245931D2" w:rsidR="00330583" w:rsidRPr="00B806F8" w:rsidRDefault="00330583" w:rsidP="00330583">
            <w:pPr>
              <w:rPr>
                <w:rFonts w:ascii="VIC" w:hAnsi="VIC" w:cstheme="minorHAnsi"/>
              </w:rPr>
            </w:pPr>
            <w:r w:rsidRPr="00B806F8">
              <w:rPr>
                <w:rFonts w:ascii="VIC" w:hAnsi="VIC" w:cstheme="minorHAnsi"/>
              </w:rPr>
              <w:t>Yes</w:t>
            </w:r>
          </w:p>
        </w:tc>
      </w:tr>
      <w:tr w:rsidR="00330583" w:rsidRPr="00B806F8" w14:paraId="42FDC13D" w14:textId="3F364B2B" w:rsidTr="00330583">
        <w:tc>
          <w:tcPr>
            <w:tcW w:w="3681" w:type="dxa"/>
          </w:tcPr>
          <w:p w14:paraId="0CD8FBFD" w14:textId="77777777" w:rsidR="00330583" w:rsidRPr="00B806F8" w:rsidRDefault="00330583" w:rsidP="00330583">
            <w:pPr>
              <w:rPr>
                <w:rFonts w:ascii="VIC" w:hAnsi="VIC" w:cstheme="minorHAnsi"/>
                <w:b/>
                <w:bCs/>
              </w:rPr>
            </w:pPr>
            <w:r w:rsidRPr="00B806F8">
              <w:rPr>
                <w:rFonts w:ascii="VIC" w:hAnsi="VIC" w:cstheme="minorHAnsi"/>
                <w:b/>
                <w:bCs/>
              </w:rPr>
              <w:t>2/ Pindone concentrate products</w:t>
            </w:r>
          </w:p>
          <w:p w14:paraId="7B47E350" w14:textId="77777777" w:rsidR="00330583" w:rsidRPr="00B806F8" w:rsidRDefault="00330583" w:rsidP="00330583">
            <w:pPr>
              <w:rPr>
                <w:rFonts w:ascii="VIC" w:hAnsi="VIC" w:cstheme="minorHAnsi"/>
              </w:rPr>
            </w:pPr>
            <w:r w:rsidRPr="00B806F8">
              <w:rPr>
                <w:rFonts w:ascii="VIC" w:hAnsi="VIC" w:cstheme="minorHAnsi"/>
              </w:rPr>
              <w:t xml:space="preserve">e.g. </w:t>
            </w:r>
            <w:proofErr w:type="spellStart"/>
            <w:r w:rsidRPr="00B806F8">
              <w:rPr>
                <w:rStyle w:val="SubtleEmphasis"/>
                <w:rFonts w:ascii="VIC" w:hAnsi="VIC" w:cstheme="minorHAnsi"/>
              </w:rPr>
              <w:t>Rabbait</w:t>
            </w:r>
            <w:proofErr w:type="spellEnd"/>
            <w:r w:rsidRPr="00B806F8">
              <w:rPr>
                <w:rStyle w:val="SubtleEmphasis"/>
                <w:rFonts w:ascii="VIC" w:hAnsi="VIC" w:cstheme="minorHAnsi"/>
              </w:rPr>
              <w:t xml:space="preserve"> Aqueous Pindone Concentrate</w:t>
            </w:r>
          </w:p>
          <w:p w14:paraId="719AE699" w14:textId="0FE85C11" w:rsidR="00330583" w:rsidRPr="00B806F8" w:rsidRDefault="00330583" w:rsidP="00330583">
            <w:pPr>
              <w:rPr>
                <w:rFonts w:ascii="VIC" w:hAnsi="VIC" w:cstheme="minorHAnsi"/>
              </w:rPr>
            </w:pPr>
            <w:r w:rsidRPr="00B806F8">
              <w:rPr>
                <w:rFonts w:ascii="VIC" w:hAnsi="VIC" w:cstheme="minorHAnsi"/>
              </w:rPr>
              <w:t xml:space="preserve">Note: It is illegal to supply pindone concentrate products to unauthorised people, and as such the best </w:t>
            </w:r>
            <w:r w:rsidRPr="00B806F8">
              <w:rPr>
                <w:rFonts w:ascii="VIC" w:hAnsi="VIC" w:cstheme="minorHAnsi"/>
              </w:rPr>
              <w:lastRenderedPageBreak/>
              <w:t>way to comply with this requirement is to sight their authorisation prior to supply. Recording the authorisation details is not a legal requirement but it can demonstrate that the person’s authorisation was sighted and checked by the store.</w:t>
            </w:r>
          </w:p>
        </w:tc>
        <w:tc>
          <w:tcPr>
            <w:tcW w:w="1559" w:type="dxa"/>
          </w:tcPr>
          <w:p w14:paraId="5E8D6514" w14:textId="6020B025" w:rsidR="00330583" w:rsidRPr="00B806F8" w:rsidRDefault="00330583" w:rsidP="00330583">
            <w:pPr>
              <w:rPr>
                <w:rFonts w:ascii="VIC" w:hAnsi="VIC" w:cstheme="minorHAnsi"/>
              </w:rPr>
            </w:pPr>
            <w:r w:rsidRPr="00B806F8">
              <w:rPr>
                <w:rFonts w:ascii="VIC" w:hAnsi="VIC" w:cstheme="minorHAnsi"/>
              </w:rPr>
              <w:lastRenderedPageBreak/>
              <w:t>No</w:t>
            </w:r>
          </w:p>
        </w:tc>
        <w:tc>
          <w:tcPr>
            <w:tcW w:w="992" w:type="dxa"/>
          </w:tcPr>
          <w:p w14:paraId="716BA6E0" w14:textId="61126F94" w:rsidR="00330583" w:rsidRPr="00B806F8" w:rsidRDefault="00330583" w:rsidP="00330583">
            <w:pPr>
              <w:rPr>
                <w:rFonts w:ascii="VIC" w:hAnsi="VIC" w:cstheme="minorHAnsi"/>
              </w:rPr>
            </w:pPr>
            <w:r w:rsidRPr="00B806F8">
              <w:rPr>
                <w:rFonts w:ascii="VIC" w:hAnsi="VIC" w:cstheme="minorHAnsi"/>
              </w:rPr>
              <w:t>No</w:t>
            </w:r>
          </w:p>
        </w:tc>
        <w:tc>
          <w:tcPr>
            <w:tcW w:w="1418" w:type="dxa"/>
          </w:tcPr>
          <w:p w14:paraId="49EDCDD2" w14:textId="1B4F6F70" w:rsidR="00330583" w:rsidRPr="00B806F8" w:rsidRDefault="00330583" w:rsidP="00330583">
            <w:pPr>
              <w:rPr>
                <w:rFonts w:ascii="VIC" w:hAnsi="VIC" w:cstheme="minorHAnsi"/>
              </w:rPr>
            </w:pPr>
            <w:r w:rsidRPr="00B806F8">
              <w:rPr>
                <w:rFonts w:ascii="VIC" w:hAnsi="VIC" w:cstheme="minorHAnsi"/>
              </w:rPr>
              <w:t>No</w:t>
            </w:r>
          </w:p>
        </w:tc>
        <w:tc>
          <w:tcPr>
            <w:tcW w:w="1366" w:type="dxa"/>
          </w:tcPr>
          <w:p w14:paraId="20EE867E" w14:textId="5172DA07" w:rsidR="00330583" w:rsidRPr="00B806F8" w:rsidRDefault="00330583" w:rsidP="00330583">
            <w:pPr>
              <w:rPr>
                <w:rFonts w:ascii="VIC" w:hAnsi="VIC" w:cstheme="minorHAnsi"/>
              </w:rPr>
            </w:pPr>
            <w:r w:rsidRPr="00B806F8">
              <w:rPr>
                <w:rFonts w:ascii="VIC" w:hAnsi="VIC" w:cstheme="minorHAnsi"/>
              </w:rPr>
              <w:t>No</w:t>
            </w:r>
          </w:p>
        </w:tc>
      </w:tr>
      <w:tr w:rsidR="00330583" w:rsidRPr="00B806F8" w14:paraId="6030BEE7" w14:textId="4F778528" w:rsidTr="00330583">
        <w:tc>
          <w:tcPr>
            <w:tcW w:w="3681" w:type="dxa"/>
          </w:tcPr>
          <w:p w14:paraId="3E231D2E" w14:textId="77777777" w:rsidR="00330583" w:rsidRPr="00B806F8" w:rsidRDefault="00330583" w:rsidP="00330583">
            <w:pPr>
              <w:rPr>
                <w:rFonts w:ascii="VIC" w:hAnsi="VIC" w:cstheme="minorHAnsi"/>
                <w:b/>
                <w:bCs/>
              </w:rPr>
            </w:pPr>
            <w:r w:rsidRPr="00B806F8">
              <w:rPr>
                <w:rFonts w:ascii="VIC" w:hAnsi="VIC" w:cstheme="minorHAnsi"/>
                <w:b/>
                <w:bCs/>
              </w:rPr>
              <w:t>3/ Other schedule 7 products</w:t>
            </w:r>
          </w:p>
          <w:p w14:paraId="1BEB13BC" w14:textId="642330FF" w:rsidR="00330583" w:rsidRPr="00B806F8" w:rsidRDefault="00330583" w:rsidP="00330583">
            <w:pPr>
              <w:rPr>
                <w:rFonts w:ascii="VIC" w:hAnsi="VIC" w:cstheme="minorHAnsi"/>
              </w:rPr>
            </w:pPr>
            <w:r w:rsidRPr="00B806F8">
              <w:rPr>
                <w:rStyle w:val="SubtleEmphasis"/>
                <w:rFonts w:ascii="VIC" w:hAnsi="VIC" w:cstheme="minorHAnsi"/>
              </w:rPr>
              <w:t xml:space="preserve">e.g. </w:t>
            </w:r>
            <w:proofErr w:type="spellStart"/>
            <w:r w:rsidRPr="00B806F8">
              <w:rPr>
                <w:rStyle w:val="SubtleEmphasis"/>
                <w:rFonts w:ascii="VIC" w:hAnsi="VIC" w:cstheme="minorHAnsi"/>
              </w:rPr>
              <w:t>Gramoxone</w:t>
            </w:r>
            <w:proofErr w:type="spellEnd"/>
            <w:r w:rsidRPr="00B806F8">
              <w:rPr>
                <w:rStyle w:val="SubtleEmphasis"/>
                <w:rFonts w:ascii="VIC" w:hAnsi="VIC" w:cstheme="minorHAnsi"/>
              </w:rPr>
              <w:t xml:space="preserve"> 250 Herbicide (contains paraquat), Howzat SC Fungicide (contains carbendazim), Sumitomo </w:t>
            </w:r>
            <w:proofErr w:type="spellStart"/>
            <w:r w:rsidRPr="00B806F8">
              <w:rPr>
                <w:rStyle w:val="SubtleEmphasis"/>
                <w:rFonts w:ascii="VIC" w:hAnsi="VIC" w:cstheme="minorHAnsi"/>
              </w:rPr>
              <w:t>Sumisclex</w:t>
            </w:r>
            <w:proofErr w:type="spellEnd"/>
            <w:r w:rsidRPr="00B806F8">
              <w:rPr>
                <w:rStyle w:val="SubtleEmphasis"/>
                <w:rFonts w:ascii="VIC" w:hAnsi="VIC" w:cstheme="minorHAnsi"/>
              </w:rPr>
              <w:t xml:space="preserve"> 500 Fungicide (contains procymidone), </w:t>
            </w:r>
            <w:proofErr w:type="spellStart"/>
            <w:r w:rsidRPr="00B806F8">
              <w:rPr>
                <w:rStyle w:val="SubtleEmphasis"/>
                <w:rFonts w:ascii="VIC" w:hAnsi="VIC" w:cstheme="minorHAnsi"/>
              </w:rPr>
              <w:t>Quickphos</w:t>
            </w:r>
            <w:proofErr w:type="spellEnd"/>
            <w:r w:rsidRPr="00B806F8">
              <w:rPr>
                <w:rStyle w:val="SubtleEmphasis"/>
                <w:rFonts w:ascii="VIC" w:hAnsi="VIC" w:cstheme="minorHAnsi"/>
              </w:rPr>
              <w:t xml:space="preserve"> Fumigation Tablets (contains </w:t>
            </w:r>
            <w:proofErr w:type="spellStart"/>
            <w:r w:rsidRPr="00B806F8">
              <w:rPr>
                <w:rStyle w:val="SubtleEmphasis"/>
                <w:rFonts w:ascii="VIC" w:hAnsi="VIC" w:cstheme="minorHAnsi"/>
              </w:rPr>
              <w:t>aluminium</w:t>
            </w:r>
            <w:proofErr w:type="spellEnd"/>
            <w:r w:rsidRPr="00B806F8">
              <w:rPr>
                <w:rStyle w:val="SubtleEmphasis"/>
                <w:rFonts w:ascii="VIC" w:hAnsi="VIC" w:cstheme="minorHAnsi"/>
              </w:rPr>
              <w:t xml:space="preserve"> phosphide).</w:t>
            </w:r>
          </w:p>
        </w:tc>
        <w:tc>
          <w:tcPr>
            <w:tcW w:w="1559" w:type="dxa"/>
          </w:tcPr>
          <w:p w14:paraId="351B84D3" w14:textId="77777777" w:rsidR="00330583" w:rsidRPr="00B806F8" w:rsidRDefault="00330583" w:rsidP="00330583">
            <w:pPr>
              <w:rPr>
                <w:rFonts w:ascii="VIC" w:hAnsi="VIC" w:cstheme="minorHAnsi"/>
              </w:rPr>
            </w:pPr>
            <w:r w:rsidRPr="00B806F8">
              <w:rPr>
                <w:rFonts w:ascii="VIC" w:hAnsi="VIC" w:cstheme="minorHAnsi"/>
              </w:rPr>
              <w:t xml:space="preserve">Yes </w:t>
            </w:r>
          </w:p>
          <w:p w14:paraId="7BC3527D" w14:textId="77777777" w:rsidR="00330583" w:rsidRPr="00B806F8" w:rsidRDefault="00330583" w:rsidP="00330583">
            <w:pPr>
              <w:rPr>
                <w:rFonts w:ascii="VIC" w:hAnsi="VIC" w:cstheme="minorHAnsi"/>
              </w:rPr>
            </w:pPr>
            <w:r w:rsidRPr="00B806F8">
              <w:rPr>
                <w:rFonts w:ascii="VIC" w:hAnsi="VIC" w:cstheme="minorHAnsi"/>
              </w:rPr>
              <w:t>- Person who collected the product from the store; and</w:t>
            </w:r>
          </w:p>
          <w:p w14:paraId="2460CD38" w14:textId="0F407C53" w:rsidR="00330583" w:rsidRPr="00B806F8" w:rsidRDefault="00330583" w:rsidP="00330583">
            <w:pPr>
              <w:rPr>
                <w:rFonts w:ascii="VIC" w:hAnsi="VIC" w:cstheme="minorHAnsi"/>
              </w:rPr>
            </w:pPr>
            <w:r w:rsidRPr="00B806F8">
              <w:rPr>
                <w:rFonts w:ascii="VIC" w:hAnsi="VIC" w:cstheme="minorHAnsi"/>
              </w:rPr>
              <w:t>- User of product (if the product is collected by another person, (i.e. an ‘agent’)</w:t>
            </w:r>
          </w:p>
        </w:tc>
        <w:tc>
          <w:tcPr>
            <w:tcW w:w="992" w:type="dxa"/>
          </w:tcPr>
          <w:p w14:paraId="30ADA07B" w14:textId="37EE39D2" w:rsidR="00330583" w:rsidRPr="00B806F8" w:rsidRDefault="00330583" w:rsidP="00330583">
            <w:pPr>
              <w:rPr>
                <w:rFonts w:ascii="VIC" w:hAnsi="VIC" w:cstheme="minorHAnsi"/>
              </w:rPr>
            </w:pPr>
            <w:r w:rsidRPr="00B806F8">
              <w:rPr>
                <w:rFonts w:ascii="VIC" w:hAnsi="VIC" w:cstheme="minorHAnsi"/>
              </w:rPr>
              <w:t>Yes</w:t>
            </w:r>
          </w:p>
        </w:tc>
        <w:tc>
          <w:tcPr>
            <w:tcW w:w="1418" w:type="dxa"/>
          </w:tcPr>
          <w:p w14:paraId="0FF25EEF" w14:textId="492CF392" w:rsidR="00330583" w:rsidRPr="00B806F8" w:rsidRDefault="00330583" w:rsidP="00330583">
            <w:pPr>
              <w:rPr>
                <w:rFonts w:ascii="VIC" w:hAnsi="VIC" w:cstheme="minorHAnsi"/>
              </w:rPr>
            </w:pPr>
            <w:r w:rsidRPr="00B806F8">
              <w:rPr>
                <w:rFonts w:ascii="VIC" w:hAnsi="VIC" w:cstheme="minorHAnsi"/>
              </w:rPr>
              <w:t>Yes</w:t>
            </w:r>
          </w:p>
        </w:tc>
        <w:tc>
          <w:tcPr>
            <w:tcW w:w="1366" w:type="dxa"/>
          </w:tcPr>
          <w:p w14:paraId="373C3C7A" w14:textId="5C89106A" w:rsidR="00330583" w:rsidRPr="00B806F8" w:rsidRDefault="00330583" w:rsidP="00330583">
            <w:pPr>
              <w:rPr>
                <w:rFonts w:ascii="VIC" w:hAnsi="VIC" w:cstheme="minorHAnsi"/>
              </w:rPr>
            </w:pPr>
            <w:r w:rsidRPr="00B806F8">
              <w:rPr>
                <w:rFonts w:ascii="VIC" w:hAnsi="VIC" w:cstheme="minorHAnsi"/>
              </w:rPr>
              <w:t>Yes</w:t>
            </w:r>
          </w:p>
        </w:tc>
      </w:tr>
      <w:tr w:rsidR="00330583" w:rsidRPr="00B806F8" w14:paraId="3AAA0990" w14:textId="40FD2629" w:rsidTr="00330583">
        <w:tc>
          <w:tcPr>
            <w:tcW w:w="3681" w:type="dxa"/>
          </w:tcPr>
          <w:p w14:paraId="11478D53" w14:textId="77777777" w:rsidR="00330583" w:rsidRPr="00B806F8" w:rsidRDefault="00330583" w:rsidP="00330583">
            <w:pPr>
              <w:rPr>
                <w:rFonts w:ascii="VIC" w:hAnsi="VIC" w:cstheme="minorHAnsi"/>
                <w:b/>
                <w:bCs/>
              </w:rPr>
            </w:pPr>
            <w:r w:rsidRPr="00B806F8">
              <w:rPr>
                <w:rFonts w:ascii="VIC" w:hAnsi="VIC" w:cstheme="minorHAnsi"/>
                <w:b/>
                <w:bCs/>
              </w:rPr>
              <w:t>4/ Restricted use chemicals</w:t>
            </w:r>
          </w:p>
          <w:p w14:paraId="49189A14" w14:textId="01056254" w:rsidR="00330583" w:rsidRPr="00B806F8" w:rsidRDefault="00330583" w:rsidP="00330583">
            <w:pPr>
              <w:rPr>
                <w:rFonts w:ascii="VIC" w:hAnsi="VIC" w:cstheme="minorHAnsi"/>
              </w:rPr>
            </w:pPr>
            <w:r w:rsidRPr="00B806F8">
              <w:rPr>
                <w:rFonts w:ascii="VIC" w:hAnsi="VIC" w:cstheme="minorHAnsi"/>
                <w:i/>
                <w:iCs/>
              </w:rPr>
              <w:t>e.g.</w:t>
            </w:r>
            <w:r w:rsidRPr="00B806F8">
              <w:rPr>
                <w:rFonts w:ascii="VIC" w:hAnsi="VIC" w:cstheme="minorHAnsi"/>
              </w:rPr>
              <w:t xml:space="preserve"> </w:t>
            </w:r>
            <w:proofErr w:type="spellStart"/>
            <w:r w:rsidRPr="00B806F8">
              <w:rPr>
                <w:rStyle w:val="SubtleEmphasis"/>
                <w:rFonts w:ascii="VIC" w:hAnsi="VIC" w:cstheme="minorHAnsi"/>
              </w:rPr>
              <w:t>Garlon</w:t>
            </w:r>
            <w:proofErr w:type="spellEnd"/>
            <w:r w:rsidRPr="00B806F8">
              <w:rPr>
                <w:rStyle w:val="SubtleEmphasis"/>
                <w:rFonts w:ascii="VIC" w:hAnsi="VIC" w:cstheme="minorHAnsi"/>
              </w:rPr>
              <w:t xml:space="preserve"> 600 Herbicide and </w:t>
            </w:r>
            <w:proofErr w:type="spellStart"/>
            <w:r w:rsidRPr="00B806F8">
              <w:rPr>
                <w:rStyle w:val="SubtleEmphasis"/>
                <w:rFonts w:ascii="VIC" w:hAnsi="VIC" w:cstheme="minorHAnsi"/>
              </w:rPr>
              <w:t>Grazon</w:t>
            </w:r>
            <w:proofErr w:type="spellEnd"/>
            <w:r w:rsidRPr="00B806F8">
              <w:rPr>
                <w:rStyle w:val="SubtleEmphasis"/>
                <w:rFonts w:ascii="VIC" w:hAnsi="VIC" w:cstheme="minorHAnsi"/>
              </w:rPr>
              <w:t xml:space="preserve"> Extra Herbicide (contain triclopyr ester), 2,4-D ester products, </w:t>
            </w:r>
            <w:proofErr w:type="spellStart"/>
            <w:r w:rsidRPr="00B806F8">
              <w:rPr>
                <w:rStyle w:val="SubtleEmphasis"/>
                <w:rFonts w:ascii="VIC" w:hAnsi="VIC" w:cstheme="minorHAnsi"/>
              </w:rPr>
              <w:t>Tigrex</w:t>
            </w:r>
            <w:proofErr w:type="spellEnd"/>
            <w:r w:rsidRPr="00B806F8">
              <w:rPr>
                <w:rStyle w:val="SubtleEmphasis"/>
                <w:rFonts w:ascii="VIC" w:hAnsi="VIC" w:cstheme="minorHAnsi"/>
              </w:rPr>
              <w:t xml:space="preserve"> Selective Herbicide (contains MCPA ester).</w:t>
            </w:r>
          </w:p>
        </w:tc>
        <w:tc>
          <w:tcPr>
            <w:tcW w:w="1559" w:type="dxa"/>
          </w:tcPr>
          <w:p w14:paraId="4FDBDC43" w14:textId="4699D455" w:rsidR="00330583" w:rsidRPr="00B806F8" w:rsidRDefault="00330583" w:rsidP="00330583">
            <w:pPr>
              <w:rPr>
                <w:rFonts w:ascii="VIC" w:hAnsi="VIC" w:cstheme="minorHAnsi"/>
              </w:rPr>
            </w:pPr>
            <w:r w:rsidRPr="00B806F8">
              <w:rPr>
                <w:rFonts w:ascii="VIC" w:hAnsi="VIC" w:cstheme="minorHAnsi"/>
              </w:rPr>
              <w:t>No</w:t>
            </w:r>
          </w:p>
        </w:tc>
        <w:tc>
          <w:tcPr>
            <w:tcW w:w="992" w:type="dxa"/>
          </w:tcPr>
          <w:p w14:paraId="409DDEDD" w14:textId="167393FA" w:rsidR="00330583" w:rsidRPr="00B806F8" w:rsidRDefault="00330583" w:rsidP="00330583">
            <w:pPr>
              <w:rPr>
                <w:rFonts w:ascii="VIC" w:hAnsi="VIC" w:cstheme="minorHAnsi"/>
              </w:rPr>
            </w:pPr>
            <w:r w:rsidRPr="00B806F8">
              <w:rPr>
                <w:rFonts w:ascii="VIC" w:hAnsi="VIC" w:cstheme="minorHAnsi"/>
              </w:rPr>
              <w:t>No</w:t>
            </w:r>
          </w:p>
        </w:tc>
        <w:tc>
          <w:tcPr>
            <w:tcW w:w="1418" w:type="dxa"/>
          </w:tcPr>
          <w:p w14:paraId="037BAD0A" w14:textId="6B00AD9E" w:rsidR="00330583" w:rsidRPr="00B806F8" w:rsidRDefault="00330583" w:rsidP="00330583">
            <w:pPr>
              <w:rPr>
                <w:rFonts w:ascii="VIC" w:hAnsi="VIC" w:cstheme="minorHAnsi"/>
              </w:rPr>
            </w:pPr>
            <w:r w:rsidRPr="00B806F8">
              <w:rPr>
                <w:rFonts w:ascii="VIC" w:hAnsi="VIC" w:cstheme="minorHAnsi"/>
              </w:rPr>
              <w:t>No</w:t>
            </w:r>
          </w:p>
        </w:tc>
        <w:tc>
          <w:tcPr>
            <w:tcW w:w="1366" w:type="dxa"/>
          </w:tcPr>
          <w:p w14:paraId="4AADD55A" w14:textId="14117166" w:rsidR="00330583" w:rsidRPr="00B806F8" w:rsidRDefault="00330583" w:rsidP="00330583">
            <w:pPr>
              <w:rPr>
                <w:rFonts w:ascii="VIC" w:hAnsi="VIC" w:cstheme="minorHAnsi"/>
              </w:rPr>
            </w:pPr>
            <w:r w:rsidRPr="00B806F8">
              <w:rPr>
                <w:rFonts w:ascii="VIC" w:hAnsi="VIC" w:cstheme="minorHAnsi"/>
              </w:rPr>
              <w:t>No</w:t>
            </w:r>
          </w:p>
        </w:tc>
      </w:tr>
      <w:tr w:rsidR="00330583" w:rsidRPr="00B806F8" w14:paraId="55AF041C" w14:textId="4E6AAAFC" w:rsidTr="00330583">
        <w:tc>
          <w:tcPr>
            <w:tcW w:w="3681" w:type="dxa"/>
          </w:tcPr>
          <w:p w14:paraId="4E641752" w14:textId="77777777" w:rsidR="00330583" w:rsidRPr="00B806F8" w:rsidRDefault="00330583" w:rsidP="00330583">
            <w:pPr>
              <w:rPr>
                <w:rFonts w:ascii="VIC" w:hAnsi="VIC" w:cstheme="minorHAnsi"/>
                <w:b/>
                <w:bCs/>
              </w:rPr>
            </w:pPr>
            <w:r w:rsidRPr="00B806F8">
              <w:rPr>
                <w:rFonts w:ascii="VIC" w:hAnsi="VIC" w:cstheme="minorHAnsi"/>
                <w:b/>
                <w:bCs/>
              </w:rPr>
              <w:t>6/ Other agricultural chemicals</w:t>
            </w:r>
          </w:p>
          <w:p w14:paraId="520F71BA" w14:textId="70DF78C8" w:rsidR="00330583" w:rsidRPr="00B806F8" w:rsidRDefault="00330583" w:rsidP="00330583">
            <w:pPr>
              <w:rPr>
                <w:rFonts w:ascii="VIC" w:hAnsi="VIC" w:cstheme="minorHAnsi"/>
              </w:rPr>
            </w:pPr>
            <w:r w:rsidRPr="00B806F8">
              <w:rPr>
                <w:rFonts w:ascii="VIC" w:hAnsi="VIC" w:cstheme="minorHAnsi"/>
                <w:i/>
                <w:iCs/>
              </w:rPr>
              <w:t>e.g.</w:t>
            </w:r>
            <w:r w:rsidRPr="00B806F8">
              <w:rPr>
                <w:rStyle w:val="SubtleEmphasis"/>
                <w:rFonts w:ascii="VIC" w:hAnsi="VIC" w:cstheme="minorHAnsi"/>
              </w:rPr>
              <w:t xml:space="preserve"> glyphosate products, 2,4-D amine products, </w:t>
            </w:r>
            <w:proofErr w:type="spellStart"/>
            <w:r w:rsidRPr="00B806F8">
              <w:rPr>
                <w:rStyle w:val="SubtleEmphasis"/>
                <w:rFonts w:ascii="VIC" w:hAnsi="VIC" w:cstheme="minorHAnsi"/>
              </w:rPr>
              <w:t>Rovral</w:t>
            </w:r>
            <w:proofErr w:type="spellEnd"/>
            <w:r w:rsidRPr="00B806F8">
              <w:rPr>
                <w:rStyle w:val="SubtleEmphasis"/>
                <w:rFonts w:ascii="VIC" w:hAnsi="VIC" w:cstheme="minorHAnsi"/>
              </w:rPr>
              <w:t xml:space="preserve"> Liquid Fungicide (contains iprodione), </w:t>
            </w:r>
            <w:proofErr w:type="spellStart"/>
            <w:r w:rsidRPr="00B806F8">
              <w:rPr>
                <w:rStyle w:val="SubtleEmphasis"/>
                <w:rFonts w:ascii="VIC" w:hAnsi="VIC" w:cstheme="minorHAnsi"/>
              </w:rPr>
              <w:t>Rabbait</w:t>
            </w:r>
            <w:proofErr w:type="spellEnd"/>
            <w:r w:rsidRPr="00B806F8">
              <w:rPr>
                <w:rStyle w:val="SubtleEmphasis"/>
                <w:rFonts w:ascii="VIC" w:hAnsi="VIC" w:cstheme="minorHAnsi"/>
              </w:rPr>
              <w:t xml:space="preserve"> Pindone Oat Bait (contains pindone salt), </w:t>
            </w:r>
            <w:proofErr w:type="spellStart"/>
            <w:r w:rsidRPr="00B806F8">
              <w:rPr>
                <w:rStyle w:val="SubtleEmphasis"/>
                <w:rFonts w:ascii="VIC" w:hAnsi="VIC" w:cstheme="minorHAnsi"/>
              </w:rPr>
              <w:t>Profume</w:t>
            </w:r>
            <w:proofErr w:type="spellEnd"/>
            <w:r w:rsidRPr="00B806F8">
              <w:rPr>
                <w:rStyle w:val="SubtleEmphasis"/>
                <w:rFonts w:ascii="VIC" w:hAnsi="VIC" w:cstheme="minorHAnsi"/>
              </w:rPr>
              <w:t xml:space="preserve"> Gas Fumigant (contains sulfuryl fluoride).</w:t>
            </w:r>
          </w:p>
        </w:tc>
        <w:tc>
          <w:tcPr>
            <w:tcW w:w="1559" w:type="dxa"/>
          </w:tcPr>
          <w:p w14:paraId="358AD851" w14:textId="4829823F" w:rsidR="00330583" w:rsidRPr="00B806F8" w:rsidRDefault="00330583" w:rsidP="00330583">
            <w:pPr>
              <w:rPr>
                <w:rFonts w:ascii="VIC" w:hAnsi="VIC" w:cstheme="minorHAnsi"/>
              </w:rPr>
            </w:pPr>
            <w:r w:rsidRPr="00B806F8">
              <w:rPr>
                <w:rFonts w:ascii="VIC" w:hAnsi="VIC" w:cstheme="minorHAnsi"/>
              </w:rPr>
              <w:t>No</w:t>
            </w:r>
          </w:p>
        </w:tc>
        <w:tc>
          <w:tcPr>
            <w:tcW w:w="992" w:type="dxa"/>
          </w:tcPr>
          <w:p w14:paraId="2A997CE9" w14:textId="7B7692CF" w:rsidR="00330583" w:rsidRPr="00B806F8" w:rsidRDefault="00330583" w:rsidP="00330583">
            <w:pPr>
              <w:rPr>
                <w:rFonts w:ascii="VIC" w:hAnsi="VIC" w:cstheme="minorHAnsi"/>
              </w:rPr>
            </w:pPr>
            <w:r w:rsidRPr="00B806F8">
              <w:rPr>
                <w:rFonts w:ascii="VIC" w:hAnsi="VIC" w:cstheme="minorHAnsi"/>
              </w:rPr>
              <w:t>No</w:t>
            </w:r>
          </w:p>
        </w:tc>
        <w:tc>
          <w:tcPr>
            <w:tcW w:w="1418" w:type="dxa"/>
          </w:tcPr>
          <w:p w14:paraId="5D59B62F" w14:textId="0EEB0CEF" w:rsidR="00330583" w:rsidRPr="00B806F8" w:rsidRDefault="00330583" w:rsidP="00330583">
            <w:pPr>
              <w:rPr>
                <w:rFonts w:ascii="VIC" w:hAnsi="VIC" w:cstheme="minorHAnsi"/>
              </w:rPr>
            </w:pPr>
            <w:r w:rsidRPr="00B806F8">
              <w:rPr>
                <w:rFonts w:ascii="VIC" w:hAnsi="VIC" w:cstheme="minorHAnsi"/>
              </w:rPr>
              <w:t>No</w:t>
            </w:r>
          </w:p>
        </w:tc>
        <w:tc>
          <w:tcPr>
            <w:tcW w:w="1366" w:type="dxa"/>
          </w:tcPr>
          <w:p w14:paraId="6D2E6168" w14:textId="6A5BD881" w:rsidR="00330583" w:rsidRPr="00B806F8" w:rsidRDefault="00330583" w:rsidP="00330583">
            <w:pPr>
              <w:rPr>
                <w:rFonts w:ascii="VIC" w:hAnsi="VIC" w:cstheme="minorHAnsi"/>
              </w:rPr>
            </w:pPr>
            <w:r w:rsidRPr="00B806F8">
              <w:rPr>
                <w:rFonts w:ascii="VIC" w:hAnsi="VIC" w:cstheme="minorHAnsi"/>
              </w:rPr>
              <w:t>No</w:t>
            </w:r>
          </w:p>
        </w:tc>
      </w:tr>
    </w:tbl>
    <w:p w14:paraId="0F7DB385" w14:textId="5E6048F7" w:rsidR="005A5C0F" w:rsidRPr="00B806F8" w:rsidRDefault="005A5C0F" w:rsidP="005A5C0F">
      <w:pPr>
        <w:rPr>
          <w:rFonts w:ascii="VIC" w:hAnsi="VIC"/>
        </w:rPr>
      </w:pPr>
    </w:p>
    <w:p w14:paraId="2EDC02CC" w14:textId="4D435541" w:rsidR="00A326CB" w:rsidRPr="00B174DD" w:rsidRDefault="00A326CB" w:rsidP="00B174DD">
      <w:pPr>
        <w:pStyle w:val="Heading1"/>
        <w:rPr>
          <w:rStyle w:val="Heading1Char"/>
          <w:rFonts w:ascii="VIC" w:hAnsi="VIC"/>
        </w:rPr>
      </w:pPr>
      <w:r w:rsidRPr="00B174DD">
        <w:rPr>
          <w:rFonts w:ascii="VIC" w:hAnsi="VIC"/>
        </w:rPr>
        <w:lastRenderedPageBreak/>
        <w:t>T</w:t>
      </w:r>
      <w:r w:rsidR="00ED2954">
        <w:rPr>
          <w:rFonts w:ascii="VIC" w:hAnsi="VIC"/>
        </w:rPr>
        <w:t>ips for</w:t>
      </w:r>
      <w:r w:rsidRPr="00B174DD">
        <w:rPr>
          <w:rStyle w:val="Heading1Char"/>
          <w:rFonts w:ascii="VIC" w:hAnsi="VIC"/>
        </w:rPr>
        <w:t xml:space="preserve"> </w:t>
      </w:r>
      <w:r w:rsidR="00ED2954">
        <w:rPr>
          <w:rStyle w:val="Heading1Char"/>
          <w:rFonts w:ascii="VIC" w:hAnsi="VIC"/>
        </w:rPr>
        <w:t>retail record keeping</w:t>
      </w:r>
    </w:p>
    <w:p w14:paraId="3B774A21" w14:textId="77777777" w:rsidR="003F0337" w:rsidRPr="00B174DD" w:rsidRDefault="003F0337" w:rsidP="00B174DD">
      <w:pPr>
        <w:pStyle w:val="Heading2"/>
        <w:rPr>
          <w:rFonts w:ascii="VIC" w:hAnsi="VIC"/>
        </w:rPr>
      </w:pPr>
      <w:r w:rsidRPr="00B174DD">
        <w:rPr>
          <w:rFonts w:ascii="VIC" w:hAnsi="VIC"/>
        </w:rPr>
        <w:t>Name and address of person sold / supplied product</w:t>
      </w:r>
    </w:p>
    <w:p w14:paraId="6A63B52B" w14:textId="77777777" w:rsidR="003F0337" w:rsidRPr="00B806F8" w:rsidRDefault="003F0337" w:rsidP="003F0337">
      <w:pPr>
        <w:rPr>
          <w:rFonts w:ascii="VIC" w:hAnsi="VIC" w:cstheme="minorHAnsi"/>
          <w:sz w:val="24"/>
          <w:szCs w:val="24"/>
        </w:rPr>
      </w:pPr>
      <w:r w:rsidRPr="00B806F8">
        <w:rPr>
          <w:rFonts w:ascii="VIC" w:hAnsi="VIC" w:cstheme="minorHAnsi"/>
          <w:sz w:val="24"/>
          <w:szCs w:val="24"/>
        </w:rPr>
        <w:t xml:space="preserve">The full name and address of the person who obtained the product needs to be identifiable from the sales records. This may be different to the person who is paying for the product or who intends to use the product. Most retail record keeping systems contain account details for sales, but generally not the details of the </w:t>
      </w:r>
      <w:r w:rsidRPr="00B806F8">
        <w:rPr>
          <w:rFonts w:ascii="VIC" w:hAnsi="VIC" w:cstheme="minorHAnsi"/>
          <w:i/>
          <w:sz w:val="24"/>
          <w:szCs w:val="24"/>
        </w:rPr>
        <w:t>individual</w:t>
      </w:r>
      <w:r w:rsidRPr="00B806F8">
        <w:rPr>
          <w:rFonts w:ascii="VIC" w:hAnsi="VIC" w:cstheme="minorHAnsi"/>
          <w:sz w:val="24"/>
          <w:szCs w:val="24"/>
        </w:rPr>
        <w:t xml:space="preserve"> who was handed the product on the day. Retailers need to be aware that they must record the individual’s details to meet their record keeping obligations.</w:t>
      </w:r>
    </w:p>
    <w:p w14:paraId="0E2A2304" w14:textId="77777777" w:rsidR="003F0337" w:rsidRPr="0030577F" w:rsidRDefault="003F0337" w:rsidP="0030577F">
      <w:pPr>
        <w:pStyle w:val="Heading2"/>
        <w:rPr>
          <w:rFonts w:ascii="VIC" w:hAnsi="VIC"/>
        </w:rPr>
      </w:pPr>
      <w:r w:rsidRPr="0030577F">
        <w:rPr>
          <w:rFonts w:ascii="VIC" w:hAnsi="VIC"/>
        </w:rPr>
        <w:t xml:space="preserve">Name of the poison sold / supplied </w:t>
      </w:r>
    </w:p>
    <w:p w14:paraId="018E159E" w14:textId="24455962" w:rsidR="003F0337" w:rsidRPr="00B806F8" w:rsidRDefault="003F0337" w:rsidP="003F0337">
      <w:pPr>
        <w:rPr>
          <w:rFonts w:ascii="VIC" w:hAnsi="VIC" w:cstheme="minorHAnsi"/>
          <w:sz w:val="24"/>
          <w:szCs w:val="24"/>
        </w:rPr>
      </w:pPr>
      <w:r w:rsidRPr="00B806F8">
        <w:rPr>
          <w:rFonts w:ascii="VIC" w:hAnsi="VIC" w:cstheme="minorHAnsi"/>
          <w:sz w:val="24"/>
          <w:szCs w:val="24"/>
        </w:rPr>
        <w:t xml:space="preserve">Where there is a requirement to record the name of the poison sold / supplied, the name of the poison in the product must be recorded (e.g. 3 mg 1080 per bait; 250g/L paraquat) or sufficient information to enable the identification of the poison, such as the full product trade name (e.g. </w:t>
      </w:r>
      <w:proofErr w:type="spellStart"/>
      <w:r w:rsidRPr="00B806F8">
        <w:rPr>
          <w:rFonts w:ascii="VIC" w:hAnsi="VIC" w:cstheme="minorHAnsi"/>
          <w:i/>
          <w:iCs/>
          <w:sz w:val="24"/>
          <w:szCs w:val="24"/>
        </w:rPr>
        <w:t>Foxoff</w:t>
      </w:r>
      <w:proofErr w:type="spellEnd"/>
      <w:r w:rsidRPr="00B806F8">
        <w:rPr>
          <w:rFonts w:ascii="VIC" w:hAnsi="VIC" w:cstheme="minorHAnsi"/>
          <w:i/>
          <w:iCs/>
          <w:sz w:val="24"/>
          <w:szCs w:val="24"/>
        </w:rPr>
        <w:t xml:space="preserve"> </w:t>
      </w:r>
      <w:proofErr w:type="spellStart"/>
      <w:r w:rsidRPr="00B806F8">
        <w:rPr>
          <w:rFonts w:ascii="VIC" w:hAnsi="VIC" w:cstheme="minorHAnsi"/>
          <w:i/>
          <w:iCs/>
          <w:sz w:val="24"/>
          <w:szCs w:val="24"/>
        </w:rPr>
        <w:t>Econobait</w:t>
      </w:r>
      <w:proofErr w:type="spellEnd"/>
      <w:r w:rsidRPr="00B806F8">
        <w:rPr>
          <w:rFonts w:ascii="VIC" w:hAnsi="VIC" w:cstheme="minorHAnsi"/>
          <w:sz w:val="24"/>
          <w:szCs w:val="24"/>
        </w:rPr>
        <w:t xml:space="preserve">, </w:t>
      </w:r>
      <w:proofErr w:type="spellStart"/>
      <w:r w:rsidRPr="00B806F8">
        <w:rPr>
          <w:rFonts w:ascii="VIC" w:hAnsi="VIC" w:cstheme="minorHAnsi"/>
          <w:i/>
          <w:iCs/>
          <w:sz w:val="24"/>
          <w:szCs w:val="24"/>
        </w:rPr>
        <w:t>Gramoxone</w:t>
      </w:r>
      <w:proofErr w:type="spellEnd"/>
      <w:r w:rsidRPr="00B806F8">
        <w:rPr>
          <w:rFonts w:ascii="VIC" w:hAnsi="VIC" w:cstheme="minorHAnsi"/>
          <w:i/>
          <w:iCs/>
          <w:sz w:val="24"/>
          <w:szCs w:val="24"/>
        </w:rPr>
        <w:t xml:space="preserve"> 250 Herbicide</w:t>
      </w:r>
      <w:r w:rsidRPr="00B806F8">
        <w:rPr>
          <w:rFonts w:ascii="VIC" w:hAnsi="VIC" w:cstheme="minorHAnsi"/>
          <w:sz w:val="24"/>
          <w:szCs w:val="24"/>
        </w:rPr>
        <w:t xml:space="preserve">). </w:t>
      </w:r>
    </w:p>
    <w:p w14:paraId="42DFF49D" w14:textId="77777777" w:rsidR="003F0337" w:rsidRPr="0030577F" w:rsidRDefault="003F0337" w:rsidP="0030577F">
      <w:pPr>
        <w:pStyle w:val="Heading2"/>
        <w:rPr>
          <w:rFonts w:ascii="VIC" w:hAnsi="VIC"/>
        </w:rPr>
      </w:pPr>
      <w:r w:rsidRPr="0030577F">
        <w:rPr>
          <w:rFonts w:ascii="VIC" w:hAnsi="VIC"/>
        </w:rPr>
        <w:t>Cash Sales</w:t>
      </w:r>
    </w:p>
    <w:p w14:paraId="24B7F6F1" w14:textId="77777777" w:rsidR="003F0337" w:rsidRPr="00B806F8" w:rsidRDefault="003F0337" w:rsidP="003F0337">
      <w:pPr>
        <w:rPr>
          <w:rFonts w:ascii="VIC" w:hAnsi="VIC" w:cstheme="minorHAnsi"/>
          <w:sz w:val="24"/>
          <w:szCs w:val="24"/>
        </w:rPr>
      </w:pPr>
      <w:r w:rsidRPr="00B806F8">
        <w:rPr>
          <w:rFonts w:ascii="VIC" w:hAnsi="VIC" w:cstheme="minorHAnsi"/>
          <w:sz w:val="24"/>
          <w:szCs w:val="24"/>
        </w:rPr>
        <w:t>The required records of sale / supply must be made for all sales. Where a chemical product is not purchased by an account holder it is particularly important for stores to either add the name and address of the individual who was handed the product to the invoice or capture these details in a separate record.</w:t>
      </w:r>
    </w:p>
    <w:p w14:paraId="40893A91" w14:textId="77777777" w:rsidR="003F0337" w:rsidRPr="0030577F" w:rsidRDefault="003F0337" w:rsidP="0030577F">
      <w:pPr>
        <w:pStyle w:val="Heading2"/>
        <w:rPr>
          <w:rFonts w:ascii="VIC" w:hAnsi="VIC"/>
        </w:rPr>
      </w:pPr>
      <w:r w:rsidRPr="0030577F">
        <w:rPr>
          <w:rFonts w:ascii="VIC" w:hAnsi="VIC"/>
        </w:rPr>
        <w:t>Agents</w:t>
      </w:r>
    </w:p>
    <w:p w14:paraId="6B989D4C" w14:textId="77777777" w:rsidR="003F0337" w:rsidRPr="00B806F8" w:rsidRDefault="003F0337" w:rsidP="003F0337">
      <w:pPr>
        <w:rPr>
          <w:rFonts w:ascii="VIC" w:hAnsi="VIC" w:cstheme="minorHAnsi"/>
          <w:sz w:val="24"/>
          <w:szCs w:val="24"/>
        </w:rPr>
      </w:pPr>
      <w:r w:rsidRPr="00B806F8">
        <w:rPr>
          <w:rFonts w:ascii="VIC" w:hAnsi="VIC" w:cstheme="minorHAnsi"/>
          <w:sz w:val="24"/>
          <w:szCs w:val="24"/>
        </w:rPr>
        <w:t xml:space="preserve">An ‘agent’ is a person who obtains a chemical product on behalf of another chemical user. </w:t>
      </w:r>
    </w:p>
    <w:p w14:paraId="58D75788" w14:textId="77777777" w:rsidR="003F0337" w:rsidRPr="00B806F8" w:rsidRDefault="003F0337" w:rsidP="003F0337">
      <w:pPr>
        <w:rPr>
          <w:rFonts w:ascii="VIC" w:hAnsi="VIC" w:cstheme="minorHAnsi"/>
          <w:sz w:val="24"/>
          <w:szCs w:val="24"/>
        </w:rPr>
      </w:pPr>
      <w:r w:rsidRPr="00B806F8">
        <w:rPr>
          <w:rFonts w:ascii="VIC" w:hAnsi="VIC" w:cstheme="minorHAnsi"/>
          <w:sz w:val="24"/>
          <w:szCs w:val="24"/>
        </w:rPr>
        <w:t xml:space="preserve">It is a requirement for retailers to ensure that 1080 and PAPP products (and all other RCPs) are only supplied to authorised persons. If an ‘agent’ obtains 1080 or PAPP product on behalf of the user, the retailer must ensure that both the agent and user are authorised persons and makes the necessary records for both persons (i.e. full name and address). </w:t>
      </w:r>
    </w:p>
    <w:p w14:paraId="0B63F31D" w14:textId="6DCAE771" w:rsidR="003F0337" w:rsidRPr="00B806F8" w:rsidRDefault="003F0337" w:rsidP="003F0337">
      <w:pPr>
        <w:rPr>
          <w:rFonts w:ascii="VIC" w:hAnsi="VIC" w:cstheme="minorHAnsi"/>
          <w:sz w:val="24"/>
          <w:szCs w:val="24"/>
        </w:rPr>
      </w:pPr>
      <w:r w:rsidRPr="00B806F8">
        <w:rPr>
          <w:rFonts w:ascii="VIC" w:hAnsi="VIC" w:cstheme="minorHAnsi"/>
          <w:sz w:val="24"/>
          <w:szCs w:val="24"/>
        </w:rPr>
        <w:t>Record keeping templates are available from</w:t>
      </w:r>
      <w:r w:rsidR="00B001C6" w:rsidRPr="00B806F8">
        <w:rPr>
          <w:rFonts w:ascii="VIC" w:hAnsi="VIC" w:cstheme="minorHAnsi"/>
          <w:sz w:val="24"/>
          <w:szCs w:val="24"/>
        </w:rPr>
        <w:t xml:space="preserve"> </w:t>
      </w:r>
      <w:hyperlink r:id="rId13" w:history="1">
        <w:r w:rsidR="00B001C6" w:rsidRPr="00B806F8">
          <w:rPr>
            <w:rStyle w:val="Hyperlink"/>
            <w:rFonts w:ascii="VIC" w:hAnsi="VIC" w:cstheme="minorHAnsi"/>
            <w:sz w:val="24"/>
            <w:szCs w:val="24"/>
          </w:rPr>
          <w:t>Record keeping format and templates</w:t>
        </w:r>
      </w:hyperlink>
      <w:r w:rsidR="00B001C6" w:rsidRPr="00B806F8">
        <w:rPr>
          <w:rFonts w:ascii="VIC" w:hAnsi="VIC" w:cstheme="minorHAnsi"/>
          <w:sz w:val="24"/>
          <w:szCs w:val="24"/>
        </w:rPr>
        <w:t xml:space="preserve"> on the Agriculture Victoria website.</w:t>
      </w:r>
      <w:r w:rsidRPr="00B806F8">
        <w:rPr>
          <w:rFonts w:ascii="VIC" w:hAnsi="VIC" w:cstheme="minorHAnsi"/>
          <w:sz w:val="24"/>
          <w:szCs w:val="24"/>
        </w:rPr>
        <w:t xml:space="preserve"> </w:t>
      </w:r>
    </w:p>
    <w:p w14:paraId="69199C8B" w14:textId="77777777" w:rsidR="00A326CB" w:rsidRPr="00A326CB" w:rsidRDefault="00A326CB" w:rsidP="00A326CB"/>
    <w:p w14:paraId="6972F8C9" w14:textId="77777777" w:rsidR="005A5C0F" w:rsidRPr="005A5C0F" w:rsidRDefault="005A5C0F" w:rsidP="005A5C0F"/>
    <w:sectPr w:rsidR="005A5C0F" w:rsidRPr="005A5C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8E79" w14:textId="77777777" w:rsidR="00345CB2" w:rsidRDefault="00345CB2" w:rsidP="002A5648">
      <w:pPr>
        <w:spacing w:after="0" w:line="240" w:lineRule="auto"/>
      </w:pPr>
      <w:r>
        <w:separator/>
      </w:r>
    </w:p>
  </w:endnote>
  <w:endnote w:type="continuationSeparator" w:id="0">
    <w:p w14:paraId="6982C2F5" w14:textId="77777777" w:rsidR="00345CB2" w:rsidRDefault="00345CB2" w:rsidP="002A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charset w:val="00"/>
    <w:family w:val="auto"/>
    <w:pitch w:val="variable"/>
    <w:sig w:usb0="00000001" w:usb1="00000000" w:usb2="00000000" w:usb3="00000000" w:csb0="00000093" w:csb1="00000000"/>
  </w:font>
  <w:font w:name="VIC">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B0A34" w14:textId="77777777" w:rsidR="00345CB2" w:rsidRDefault="00345CB2" w:rsidP="002A5648">
      <w:pPr>
        <w:spacing w:after="0" w:line="240" w:lineRule="auto"/>
      </w:pPr>
      <w:r>
        <w:separator/>
      </w:r>
    </w:p>
  </w:footnote>
  <w:footnote w:type="continuationSeparator" w:id="0">
    <w:p w14:paraId="2FFE0CB4" w14:textId="77777777" w:rsidR="00345CB2" w:rsidRDefault="00345CB2" w:rsidP="002A5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9F"/>
    <w:rsid w:val="0004075E"/>
    <w:rsid w:val="00092ADE"/>
    <w:rsid w:val="0011051E"/>
    <w:rsid w:val="001B7C3D"/>
    <w:rsid w:val="0020259F"/>
    <w:rsid w:val="00214E40"/>
    <w:rsid w:val="002A5648"/>
    <w:rsid w:val="002F7554"/>
    <w:rsid w:val="0030577F"/>
    <w:rsid w:val="00330583"/>
    <w:rsid w:val="00345CB2"/>
    <w:rsid w:val="00381F1A"/>
    <w:rsid w:val="00386F7B"/>
    <w:rsid w:val="00394156"/>
    <w:rsid w:val="003F0337"/>
    <w:rsid w:val="0042577D"/>
    <w:rsid w:val="0043360D"/>
    <w:rsid w:val="00441604"/>
    <w:rsid w:val="004576E3"/>
    <w:rsid w:val="00473D82"/>
    <w:rsid w:val="004D1720"/>
    <w:rsid w:val="004D44B7"/>
    <w:rsid w:val="0058596B"/>
    <w:rsid w:val="005A5C0F"/>
    <w:rsid w:val="005D1081"/>
    <w:rsid w:val="005D3840"/>
    <w:rsid w:val="00611679"/>
    <w:rsid w:val="00623A8E"/>
    <w:rsid w:val="00677039"/>
    <w:rsid w:val="006C2833"/>
    <w:rsid w:val="007648F8"/>
    <w:rsid w:val="00812AAE"/>
    <w:rsid w:val="00847C96"/>
    <w:rsid w:val="0089717B"/>
    <w:rsid w:val="008D57CB"/>
    <w:rsid w:val="008F1172"/>
    <w:rsid w:val="00905CD0"/>
    <w:rsid w:val="009755CF"/>
    <w:rsid w:val="00991A36"/>
    <w:rsid w:val="009A3B50"/>
    <w:rsid w:val="009D6B79"/>
    <w:rsid w:val="00A326CB"/>
    <w:rsid w:val="00A64F71"/>
    <w:rsid w:val="00A725D4"/>
    <w:rsid w:val="00A74CBC"/>
    <w:rsid w:val="00AC3B55"/>
    <w:rsid w:val="00B001C6"/>
    <w:rsid w:val="00B174DD"/>
    <w:rsid w:val="00B67719"/>
    <w:rsid w:val="00B806F8"/>
    <w:rsid w:val="00BB5347"/>
    <w:rsid w:val="00BF10F8"/>
    <w:rsid w:val="00BF5566"/>
    <w:rsid w:val="00C228D3"/>
    <w:rsid w:val="00DA35D4"/>
    <w:rsid w:val="00E33B6D"/>
    <w:rsid w:val="00E370FD"/>
    <w:rsid w:val="00ED2954"/>
    <w:rsid w:val="00ED4DF8"/>
    <w:rsid w:val="00EE230F"/>
    <w:rsid w:val="00F21FC7"/>
    <w:rsid w:val="00F541CB"/>
    <w:rsid w:val="00F85E68"/>
    <w:rsid w:val="00FA5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A999"/>
  <w15:chartTrackingRefBased/>
  <w15:docId w15:val="{48DA1AEC-594F-4E87-8BBA-45A1D5AF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4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0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F0337"/>
    <w:pPr>
      <w:keepNext/>
      <w:keepLines/>
      <w:spacing w:before="40" w:after="0" w:line="220" w:lineRule="exact"/>
      <w:outlineLvl w:val="3"/>
    </w:pPr>
    <w:rPr>
      <w:rFonts w:asciiTheme="majorHAnsi" w:eastAsiaTheme="majorEastAsia" w:hAnsiTheme="majorHAnsi" w:cstheme="majorBidi"/>
      <w:i/>
      <w:iCs/>
      <w:color w:val="2F5496" w:themeColor="accent1" w:themeShade="BF"/>
      <w:sz w:val="18"/>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9F"/>
    <w:rPr>
      <w:rFonts w:asciiTheme="majorHAnsi" w:eastAsiaTheme="majorEastAsia" w:hAnsiTheme="majorHAnsi" w:cstheme="majorBidi"/>
      <w:color w:val="2F5496" w:themeColor="accent1" w:themeShade="BF"/>
      <w:sz w:val="32"/>
      <w:szCs w:val="32"/>
    </w:rPr>
  </w:style>
  <w:style w:type="paragraph" w:customStyle="1" w:styleId="Agbodytext">
    <w:name w:val="Ag body text"/>
    <w:basedOn w:val="Normal"/>
    <w:qFormat/>
    <w:rsid w:val="004D44B7"/>
    <w:pPr>
      <w:spacing w:after="120" w:line="220" w:lineRule="exact"/>
    </w:pPr>
    <w:rPr>
      <w:rFonts w:ascii="Arial" w:hAnsi="Arial" w:cs="VIC-SemiBold"/>
      <w:color w:val="000000" w:themeColor="text1"/>
      <w:sz w:val="18"/>
      <w:szCs w:val="52"/>
      <w:lang w:val="en-US"/>
    </w:rPr>
  </w:style>
  <w:style w:type="table" w:styleId="TableGrid">
    <w:name w:val="Table Grid"/>
    <w:basedOn w:val="TableNormal"/>
    <w:uiPriority w:val="39"/>
    <w:rsid w:val="004D44B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4B7"/>
    <w:rPr>
      <w:color w:val="0563C1" w:themeColor="hyperlink"/>
      <w:u w:val="single"/>
    </w:rPr>
  </w:style>
  <w:style w:type="character" w:styleId="UnresolvedMention">
    <w:name w:val="Unresolved Mention"/>
    <w:basedOn w:val="DefaultParagraphFont"/>
    <w:uiPriority w:val="99"/>
    <w:semiHidden/>
    <w:unhideWhenUsed/>
    <w:rsid w:val="004D44B7"/>
    <w:rPr>
      <w:color w:val="605E5C"/>
      <w:shd w:val="clear" w:color="auto" w:fill="E1DFDD"/>
    </w:rPr>
  </w:style>
  <w:style w:type="character" w:customStyle="1" w:styleId="Heading2Char">
    <w:name w:val="Heading 2 Char"/>
    <w:basedOn w:val="DefaultParagraphFont"/>
    <w:link w:val="Heading2"/>
    <w:uiPriority w:val="9"/>
    <w:rsid w:val="004D44B7"/>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4D44B7"/>
    <w:rPr>
      <w:i/>
      <w:iCs/>
      <w:color w:val="404040" w:themeColor="text1" w:themeTint="BF"/>
    </w:rPr>
  </w:style>
  <w:style w:type="paragraph" w:styleId="FootnoteText">
    <w:name w:val="footnote text"/>
    <w:basedOn w:val="Normal"/>
    <w:link w:val="FootnoteTextChar"/>
    <w:uiPriority w:val="99"/>
    <w:semiHidden/>
    <w:unhideWhenUsed/>
    <w:rsid w:val="00677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039"/>
    <w:rPr>
      <w:sz w:val="20"/>
      <w:szCs w:val="20"/>
    </w:rPr>
  </w:style>
  <w:style w:type="character" w:customStyle="1" w:styleId="Heading4Char">
    <w:name w:val="Heading 4 Char"/>
    <w:basedOn w:val="DefaultParagraphFont"/>
    <w:link w:val="Heading4"/>
    <w:uiPriority w:val="9"/>
    <w:semiHidden/>
    <w:rsid w:val="003F0337"/>
    <w:rPr>
      <w:rFonts w:asciiTheme="majorHAnsi" w:eastAsiaTheme="majorEastAsia" w:hAnsiTheme="majorHAnsi" w:cstheme="majorBidi"/>
      <w:i/>
      <w:iCs/>
      <w:color w:val="2F5496" w:themeColor="accent1" w:themeShade="BF"/>
      <w:sz w:val="18"/>
      <w:szCs w:val="52"/>
      <w:lang w:val="en-US"/>
    </w:rPr>
  </w:style>
  <w:style w:type="character" w:customStyle="1" w:styleId="Heading3Char">
    <w:name w:val="Heading 3 Char"/>
    <w:basedOn w:val="DefaultParagraphFont"/>
    <w:link w:val="Heading3"/>
    <w:uiPriority w:val="9"/>
    <w:rsid w:val="003F0337"/>
    <w:rPr>
      <w:rFonts w:asciiTheme="majorHAnsi" w:eastAsiaTheme="majorEastAsia" w:hAnsiTheme="majorHAnsi" w:cstheme="majorBidi"/>
      <w:color w:val="1F3763" w:themeColor="accent1" w:themeShade="7F"/>
      <w:sz w:val="24"/>
      <w:szCs w:val="24"/>
    </w:rPr>
  </w:style>
  <w:style w:type="paragraph" w:customStyle="1" w:styleId="Default">
    <w:name w:val="Default"/>
    <w:rsid w:val="00BF10F8"/>
    <w:pPr>
      <w:autoSpaceDE w:val="0"/>
      <w:autoSpaceDN w:val="0"/>
      <w:adjustRightInd w:val="0"/>
      <w:spacing w:after="0" w:line="240" w:lineRule="auto"/>
    </w:pPr>
    <w:rPr>
      <w:rFonts w:ascii="Arial" w:hAnsi="Arial" w:cs="Arial"/>
      <w:color w:val="000000"/>
      <w:sz w:val="24"/>
      <w:szCs w:val="24"/>
    </w:rPr>
  </w:style>
  <w:style w:type="paragraph" w:customStyle="1" w:styleId="Agtitle">
    <w:name w:val="Ag title"/>
    <w:basedOn w:val="Normal"/>
    <w:qFormat/>
    <w:rsid w:val="009D6B79"/>
    <w:pPr>
      <w:spacing w:after="80" w:line="440" w:lineRule="exact"/>
    </w:pPr>
    <w:rPr>
      <w:rFonts w:ascii="Arial" w:hAnsi="Arial" w:cs="VIC-SemiBold"/>
      <w:color w:val="FFFFFF" w:themeColor="background1" w:themeTint="80"/>
      <w:sz w:val="44"/>
      <w:szCs w:val="18"/>
      <w:lang w:val="en-US"/>
    </w:rPr>
  </w:style>
  <w:style w:type="paragraph" w:styleId="Title">
    <w:name w:val="Title"/>
    <w:basedOn w:val="Normal"/>
    <w:next w:val="Normal"/>
    <w:link w:val="TitleChar"/>
    <w:uiPriority w:val="10"/>
    <w:qFormat/>
    <w:rsid w:val="005D1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0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riculture.vic.gov.au/recordkee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riculture.vic.gov.au/licencesandperm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vma.gov.au/node/98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6" ma:contentTypeDescription="DEDJTR Document" ma:contentTypeScope="" ma:versionID="50396b701a7c1a9ce0987ee1392e97a1">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38b0047b9e41abcc1dbcede7cfa82156"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BASPCI-1074048661-218716</_dlc_DocId>
    <_dlc_DocIdUrl xmlns="7ced9e6b-4cde-4b18-ab0a-09af9921cd59">
      <Url>https://vicgov.sharepoint.com/sites/VG000464/_layouts/15/DocIdRedir.aspx?ID=BASPCI-1074048661-218716</Url>
      <Description>BASPCI-1074048661-218716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18132-E576-4F2E-81FF-5F3C9D166886}">
  <ds:schemaRefs>
    <ds:schemaRef ds:uri="http://schemas.microsoft.com/sharepoint/events"/>
  </ds:schemaRefs>
</ds:datastoreItem>
</file>

<file path=customXml/itemProps2.xml><?xml version="1.0" encoding="utf-8"?>
<ds:datastoreItem xmlns:ds="http://schemas.openxmlformats.org/officeDocument/2006/customXml" ds:itemID="{EF18E043-06E5-4CC9-9CB0-D13AD6D34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6011D-8E64-4B83-BE6E-DD6D18EF0C3D}">
  <ds:schemaRefs>
    <ds:schemaRef ds:uri="http://schemas.microsoft.com/office/2006/metadata/properties"/>
    <ds:schemaRef ds:uri="http://schemas.microsoft.com/office/infopath/2007/PartnerControls"/>
    <ds:schemaRef ds:uri="1970f3ff-c7c3-4b73-8f0c-0bc260d159f3"/>
    <ds:schemaRef ds:uri="7ced9e6b-4cde-4b18-ab0a-09af9921cd59"/>
  </ds:schemaRefs>
</ds:datastoreItem>
</file>

<file path=customXml/itemProps4.xml><?xml version="1.0" encoding="utf-8"?>
<ds:datastoreItem xmlns:ds="http://schemas.openxmlformats.org/officeDocument/2006/customXml" ds:itemID="{EE79131D-B268-4510-AE9D-13C9FE66D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 P Reading (DJPR)</dc:creator>
  <cp:keywords/>
  <dc:description/>
  <cp:lastModifiedBy>Susan Heale (DJPR)</cp:lastModifiedBy>
  <cp:revision>3</cp:revision>
  <dcterms:created xsi:type="dcterms:W3CDTF">2021-12-06T23:42:00Z</dcterms:created>
  <dcterms:modified xsi:type="dcterms:W3CDTF">2021-12-07T00:05:00Z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DEDJTRBranch">
    <vt:lpwstr/>
  </property>
  <property fmtid="{D5CDD505-2E9C-101B-9397-08002B2CF9AE}" pid="4" name="DEDJTRSection">
    <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Division">
    <vt:lpwstr>2;#Agriculture Victoria|aa595c92-527f-46eb-8130-f23c3634d9e6</vt:lpwstr>
  </property>
  <property fmtid="{D5CDD505-2E9C-101B-9397-08002B2CF9AE}" pid="8" name="_dlc_DocIdItemGuid">
    <vt:lpwstr>f70cd2cd-48f4-4be3-bb95-5ff8945ad2fe</vt:lpwstr>
  </property>
</Properties>
</file>